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header85.xml" ContentType="application/vnd.openxmlformats-officedocument.wordprocessingml.header+xml"/>
  <Override PartName="/word/footer84.xml" ContentType="application/vnd.openxmlformats-officedocument.wordprocessingml.foot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header91.xml" ContentType="application/vnd.openxmlformats-officedocument.wordprocessingml.header+xml"/>
  <Override PartName="/word/footer90.xml" ContentType="application/vnd.openxmlformats-officedocument.wordprocessingml.foot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header97.xml" ContentType="application/vnd.openxmlformats-officedocument.wordprocessingml.header+xml"/>
  <Override PartName="/word/footer96.xml" ContentType="application/vnd.openxmlformats-officedocument.wordprocessingml.foot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header112.xml" ContentType="application/vnd.openxmlformats-officedocument.wordprocessingml.header+xml"/>
  <Override PartName="/word/footer111.xml" ContentType="application/vnd.openxmlformats-officedocument.wordprocessingml.foot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header115.xml" ContentType="application/vnd.openxmlformats-officedocument.wordprocessingml.header+xml"/>
  <Override PartName="/word/footer114.xml" ContentType="application/vnd.openxmlformats-officedocument.wordprocessingml.foot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header118.xml" ContentType="application/vnd.openxmlformats-officedocument.wordprocessingml.header+xml"/>
  <Override PartName="/word/footer117.xml" ContentType="application/vnd.openxmlformats-officedocument.wordprocessingml.foot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header121.xml" ContentType="application/vnd.openxmlformats-officedocument.wordprocessingml.header+xml"/>
  <Override PartName="/word/footer120.xml" ContentType="application/vnd.openxmlformats-officedocument.wordprocessingml.foot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126.xml" ContentType="application/vnd.openxmlformats-officedocument.wordprocessingml.foot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132.xml" ContentType="application/vnd.openxmlformats-officedocument.wordprocessingml.foot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oter138.xml" ContentType="application/vnd.openxmlformats-officedocument.wordprocessingml.foot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header157.xml" ContentType="application/vnd.openxmlformats-officedocument.wordprocessingml.header+xml"/>
  <Override PartName="/word/footer156.xml" ContentType="application/vnd.openxmlformats-officedocument.wordprocessingml.foot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header163.xml" ContentType="application/vnd.openxmlformats-officedocument.wordprocessingml.header+xml"/>
  <Override PartName="/word/footer162.xml" ContentType="application/vnd.openxmlformats-officedocument.wordprocessingml.foot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header175.xml" ContentType="application/vnd.openxmlformats-officedocument.wordprocessingml.header+xml"/>
  <Override PartName="/word/footer174.xml" ContentType="application/vnd.openxmlformats-officedocument.wordprocessingml.foot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191.xml" ContentType="application/vnd.openxmlformats-officedocument.wordprocessingml.foot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12FE5" w14:textId="59A79B22" w:rsidR="006C686E" w:rsidRDefault="00391DFC" w:rsidP="00391DFC">
      <w:pPr>
        <w:pStyle w:val="Pagedecouverture"/>
        <w:rPr>
          <w:rFonts w:eastAsia="Calibri"/>
          <w:noProof/>
        </w:rPr>
      </w:pPr>
      <w:bookmarkStart w:id="0" w:name="LW_BM_COVERPAGE"/>
      <w:r>
        <w:rPr>
          <w:rFonts w:eastAsia="Calibri"/>
          <w:noProof/>
        </w:rPr>
        <w:pict w14:anchorId="006457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8ECE92-AA80-484B-A61A-CA032EC9760C" style="width:455.25pt;height:372.75pt">
            <v:imagedata r:id="rId11" o:title=""/>
          </v:shape>
        </w:pict>
      </w:r>
    </w:p>
    <w:bookmarkEnd w:id="0"/>
    <w:p w14:paraId="6111B2E3" w14:textId="77777777" w:rsidR="006C686E" w:rsidRDefault="006C686E">
      <w:pPr>
        <w:rPr>
          <w:noProof/>
        </w:rPr>
        <w:sectPr w:rsidR="006C686E" w:rsidSect="00391DF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FDD12BC" w14:textId="08A0044A" w:rsidR="006C686E" w:rsidRDefault="00B17E8C">
      <w:pPr>
        <w:pStyle w:val="P68B1DB1-Normal1"/>
        <w:spacing w:after="200" w:line="276" w:lineRule="auto"/>
        <w:jc w:val="center"/>
        <w:rPr>
          <w:rFonts w:ascii="Calibri" w:hAnsi="Calibri"/>
          <w:bCs/>
          <w:noProof/>
        </w:rPr>
      </w:pPr>
      <w:bookmarkStart w:id="1" w:name="_GoBack"/>
      <w:bookmarkEnd w:id="1"/>
      <w:r>
        <w:rPr>
          <w:noProof/>
        </w:rPr>
        <w:lastRenderedPageBreak/>
        <w:t>ANNEXE</w:t>
      </w:r>
    </w:p>
    <w:p w14:paraId="5F24ACD5" w14:textId="77777777" w:rsidR="006C686E" w:rsidRDefault="00B17E8C">
      <w:pPr>
        <w:pStyle w:val="P68B1DB1-Normal2"/>
        <w:keepNext/>
        <w:spacing w:before="360" w:after="0"/>
        <w:jc w:val="both"/>
        <w:outlineLvl w:val="0"/>
        <w:rPr>
          <w:rFonts w:eastAsia="Times New Roman"/>
          <w:bCs/>
          <w:noProof/>
        </w:rPr>
      </w:pPr>
      <w:r>
        <w:rPr>
          <w:noProof/>
        </w:rPr>
        <w:t>SECTION 1 : RÉFORMES ET INVESTISSEMENTS DANS LE CADRE DU PLAN DE RÉCUPÉRATION ET DE RESILIENCE</w:t>
      </w:r>
    </w:p>
    <w:p w14:paraId="1D074F02" w14:textId="77777777" w:rsidR="006C686E" w:rsidRDefault="006C686E">
      <w:pPr>
        <w:keepNext/>
        <w:spacing w:before="40" w:after="0"/>
        <w:jc w:val="both"/>
        <w:rPr>
          <w:rFonts w:ascii="Times New Roman" w:eastAsia="Times New Roman" w:hAnsi="Times New Roman" w:cs="Times New Roman"/>
          <w:noProof/>
          <w:kern w:val="0"/>
          <w14:ligatures w14:val="none"/>
        </w:rPr>
      </w:pPr>
    </w:p>
    <w:p w14:paraId="3C6EBB38" w14:textId="77777777" w:rsidR="006C686E" w:rsidRDefault="00B17E8C">
      <w:pPr>
        <w:pStyle w:val="P68B1DB1-Normal1"/>
        <w:keepNext/>
        <w:spacing w:before="40" w:after="0"/>
        <w:ind w:left="130" w:firstLine="720"/>
        <w:jc w:val="both"/>
        <w:outlineLvl w:val="1"/>
        <w:rPr>
          <w:rFonts w:eastAsia="Times New Roman"/>
          <w:bCs/>
          <w:noProof/>
        </w:rPr>
      </w:pPr>
      <w:r>
        <w:rPr>
          <w:noProof/>
        </w:rPr>
        <w:t xml:space="preserve">1. Description des réformes et des investissements </w:t>
      </w:r>
    </w:p>
    <w:p w14:paraId="7F1135B9" w14:textId="77777777" w:rsidR="006C686E" w:rsidRDefault="006C686E">
      <w:pPr>
        <w:keepNext/>
        <w:spacing w:before="40" w:after="0"/>
        <w:jc w:val="both"/>
        <w:rPr>
          <w:rFonts w:ascii="Times New Roman" w:eastAsia="Times New Roman" w:hAnsi="Times New Roman" w:cs="Times New Roman"/>
          <w:i/>
          <w:iCs/>
          <w:noProof/>
          <w:kern w:val="0"/>
          <w14:ligatures w14:val="none"/>
        </w:rPr>
      </w:pPr>
    </w:p>
    <w:p w14:paraId="5246E701" w14:textId="77777777" w:rsidR="006C686E" w:rsidRDefault="00B17E8C">
      <w:pPr>
        <w:pStyle w:val="P68B1DB1-Normal1"/>
        <w:keepNext/>
        <w:spacing w:before="40" w:after="0"/>
        <w:ind w:left="130" w:firstLine="720"/>
        <w:jc w:val="both"/>
        <w:outlineLvl w:val="1"/>
        <w:rPr>
          <w:noProof/>
        </w:rPr>
      </w:pPr>
      <w:r>
        <w:rPr>
          <w:noProof/>
        </w:rPr>
        <w:t xml:space="preserve">A. Élément 1: Service </w:t>
      </w:r>
      <w:bookmarkStart w:id="2" w:name="_Hlk228899406"/>
      <w:r>
        <w:rPr>
          <w:noProof/>
        </w:rPr>
        <w:t>national de santé</w:t>
      </w:r>
      <w:bookmarkEnd w:id="2"/>
    </w:p>
    <w:p w14:paraId="0518E151" w14:textId="6012AB65" w:rsidR="006C686E" w:rsidRDefault="00B17E8C">
      <w:pPr>
        <w:pStyle w:val="P68B1DB1-Normal3"/>
        <w:keepNext/>
        <w:spacing w:before="40" w:after="0"/>
        <w:jc w:val="both"/>
        <w:rPr>
          <w:rFonts w:eastAsia="Times New Roman"/>
          <w:noProof/>
          <w:kern w:val="0"/>
          <w14:ligatures w14:val="none"/>
        </w:rPr>
      </w:pPr>
      <w:r>
        <w:rPr>
          <w:noProof/>
          <w:kern w:val="0"/>
          <w14:ligatures w14:val="none"/>
        </w:rPr>
        <w:t>Cette composante du plan portugais pour la reprise et la résilience répond à plusieurs défis auxquels le système de santé portugais est actuellement confronté en ce qui concerne les besoins actuels et en évolution en matière de soins de santé et les coûts associés. Premièrement, les tendances démographiques défavorables du Portugal, caractérisées par une accélération du vieillissement et des besoins ultérieurs en soins de longue durée, coïncident avec l’évolution des schémas de maladies, une charge croissante de maladies chroniques et dégénératives, ainsi qu’une augmentation progressive de la multimorbidité. Deuxièmement, il existe encore une mortalité évitable considérable au Portugal et un nombre relativement faible d'années de vie en bonne santé à l'âge de 65 ans. Troisièmement, il est possible de mettre davantage l'accent sur la promotion de la santé et la prévention des maladies, tout en s'attaquant à la fragmentation des services de soins de santé et aux lacunes dans l'accès aux soins de santé. Quatrièmement, les paiements directs pour les soins de santé sont parmi les plus élevés de l’UE et la charge financière déclarée des soins médicaux est relativement élevée. Enfin, le service national de santé portugais est confronté à une situation financière difficile depuis plusieurs années. En particulier, le Portugal a fait ses preuves en matière de renflouements récurrents d’hôpitaux publics par le gouvernement, qui n’a pas réussi à éviter un cycle systématique d’endettement des hôpitaux, ce qui a eu des répercussions sur les relations entre les chaînes d’approvisionnement.</w:t>
      </w:r>
    </w:p>
    <w:p w14:paraId="26888CA3" w14:textId="77777777" w:rsidR="006C686E" w:rsidRDefault="00B17E8C">
      <w:pPr>
        <w:pStyle w:val="P68B1DB1-Normal4"/>
        <w:keepNext/>
        <w:spacing w:before="40" w:after="0"/>
        <w:jc w:val="both"/>
        <w:rPr>
          <w:rFonts w:eastAsia="Times New Roman"/>
          <w:noProof/>
        </w:rPr>
      </w:pPr>
      <w:r>
        <w:rPr>
          <w:noProof/>
        </w:rPr>
        <w:t>L’objectif principal du volet est de renforcer la capacité de réaction du service national de santé du Portugal, en vue de répondre aux changements démographiques et épidémiologiques dans le pays, à l’innovation thérapeutique et technologique et à la tendance à l’augmentation de la demande de soins de santé et des coûts associés. À cette fin, le volet vise à renforcer le rôle central des services de soins de santé primaires dans l’architecture globale du service national de santé, à développer les services de soins de santé mentale et de longue durée, et à accroître l’efficacité en achevant la réforme du modèle de gouvernance des hôpitaux publics et en faisant progresser la numérisation des services de soins de santé.</w:t>
      </w:r>
    </w:p>
    <w:p w14:paraId="5F880322" w14:textId="77777777" w:rsidR="006C686E" w:rsidRDefault="00B17E8C">
      <w:pPr>
        <w:pStyle w:val="P68B1DB1-Normal4"/>
        <w:spacing w:before="40" w:after="120"/>
        <w:jc w:val="both"/>
        <w:rPr>
          <w:noProof/>
        </w:rPr>
      </w:pPr>
      <w:r>
        <w:rPr>
          <w:noProof/>
        </w:rPr>
        <w:t>La composante soutient la mise en œuvre de la recommandation par pays relative au renforcement du contrôle global des dépenses, de l’efficacité au regard des coûts et d’une budgétisation adéquate, en mettant l’accent sur une réduction durable des arriérés dans les hôpitaux (recommandation par pays no 1 de 2019), ainsi que de la recommandation par pays relative au renforcement de la résilience du système de santé et à la garantie de l’égalité d’accès à des soins de santé et de longue durée de qualité (recommandation par pays no 1 de 2020). Ce volet contribue également à donner suite à la recommandation par pays visant à concentrer les investissements sur la transition écologique et numérique (recommandation par pays no 3 de 2020).</w:t>
      </w:r>
    </w:p>
    <w:p w14:paraId="7FED18D9" w14:textId="77777777" w:rsidR="006C686E" w:rsidRDefault="00B17E8C">
      <w:pPr>
        <w:pStyle w:val="P68B1DB1-Normal4"/>
        <w:spacing w:after="200" w:line="276" w:lineRule="auto"/>
        <w:rPr>
          <w:noProof/>
        </w:rPr>
      </w:pPr>
      <w:r>
        <w:rPr>
          <w:noProof/>
        </w:rPr>
        <w:br w:type="page"/>
      </w:r>
    </w:p>
    <w:p w14:paraId="45DF3372" w14:textId="77777777" w:rsidR="006C686E" w:rsidRDefault="00B17E8C">
      <w:pPr>
        <w:pStyle w:val="P68B1DB1-Normal4"/>
        <w:keepNext/>
        <w:spacing w:before="40" w:after="120"/>
        <w:jc w:val="both"/>
        <w:rPr>
          <w:rFonts w:eastAsia="Times New Roman"/>
          <w:b/>
          <w:bCs/>
          <w:noProof/>
          <w:u w:val="single"/>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1EC56493" w14:textId="77777777" w:rsidR="006C686E" w:rsidRDefault="00B17E8C">
      <w:pPr>
        <w:pStyle w:val="P68B1DB1-Normal1"/>
        <w:keepNext/>
        <w:spacing w:before="40" w:after="120"/>
        <w:ind w:left="130" w:firstLine="720"/>
        <w:jc w:val="both"/>
        <w:outlineLvl w:val="1"/>
        <w:rPr>
          <w:rFonts w:eastAsia="Times New Roman"/>
          <w:bCs/>
          <w:noProof/>
        </w:rPr>
      </w:pPr>
      <w:r>
        <w:rPr>
          <w:noProof/>
        </w:rPr>
        <w:t>A.1. Description des réformes et des investissements pour le soutien financier non remboursable</w:t>
      </w:r>
    </w:p>
    <w:p w14:paraId="15B00BCF" w14:textId="77777777" w:rsidR="006C686E" w:rsidRDefault="00B17E8C">
      <w:pPr>
        <w:pStyle w:val="P68B1DB1-Normal5"/>
        <w:keepNext/>
        <w:spacing w:before="240" w:after="0"/>
        <w:ind w:left="851"/>
        <w:jc w:val="both"/>
        <w:outlineLvl w:val="2"/>
        <w:rPr>
          <w:rFonts w:eastAsia="Times New Roman"/>
          <w:noProof/>
        </w:rPr>
      </w:pPr>
      <w:r>
        <w:rPr>
          <w:noProof/>
        </w:rPr>
        <w:t>Réforme RE-r01: Réforme des soins de santé primaires</w:t>
      </w:r>
    </w:p>
    <w:p w14:paraId="1DC1C4B7" w14:textId="77777777" w:rsidR="006C686E" w:rsidRDefault="00B17E8C">
      <w:pPr>
        <w:pStyle w:val="P68B1DB1-Normal4"/>
        <w:keepNext/>
        <w:spacing w:before="40" w:after="0"/>
        <w:jc w:val="both"/>
        <w:rPr>
          <w:rFonts w:eastAsia="Times New Roman"/>
          <w:noProof/>
          <w:u w:val="single"/>
        </w:rPr>
      </w:pPr>
      <w:r>
        <w:rPr>
          <w:noProof/>
        </w:rPr>
        <w:t>L'objectif général de la réforme est de renforcer le rôle central des services de soins de santé primaires pour répondre aux besoins de santé de la population au sein de l'architecture globale du Service national de santé. À cette fin, la réforme vise six priorités: i) l'approfondissement de la capacité de dépistage et de diagnostic précoce, notamment des pathologies les plus fréquentes; ii) renforcer la capacité d'intervention des soins primaires par la création de centres de santé plus proactifs avec un portefeuille de services et des domaines d'intervention élargis, ainsi qu'une meilleure intégration avec d'autres niveaux de soins, et en adaptant les processus aux caractéristiques individuelles de chaque utilisateur et au chemin de vie associé, en réduisant la grande variabilité des pratiques cliniques (y compris en termes de prescription de médicaments en consultation externe), en améliorant l'orientation clinique entre les différents niveaux de soins de santé et en recherchant des gains d'efficacité en limitant la duplication des services ou la fourniture de soins inefficaces, inadéquats ou de faible valeur; iii) corriger les asymétries régionales et locales en termes d'installations et d'équipements disponibles dans les services de soins de santé primaires; iv) soutenir les réponses communautaires et la création de programmes de soutien pour les utilisateurs et leurs familles, en associant mieux les citoyens et les communautés, notamment en achevant le transfert des responsabilités en matière de santé des autorités centrales aux autorités locales; v) l'amélioration des compétences du personnel de santé, le renforcement du travail d'équipe multidisciplinaire et l'augmentation du nombre de professionnels, y compris de spécialistes; et vi) réaliser la transition numérique du service national de santé et exploiter son potentiel pour moderniser et simplifier l’utilisation des services de soins de santé. Ce faisant, cette réforme fournira des conditions-cadres renforcées pour les investissements correspondants dans les services de soins de santé primaires.</w:t>
      </w:r>
    </w:p>
    <w:p w14:paraId="2DA46305" w14:textId="77777777" w:rsidR="006C686E" w:rsidRDefault="00B17E8C">
      <w:pPr>
        <w:pStyle w:val="P68B1DB1-Normal4"/>
        <w:keepNext/>
        <w:spacing w:before="40" w:after="0"/>
        <w:jc w:val="both"/>
        <w:rPr>
          <w:rFonts w:eastAsia="Times New Roman"/>
          <w:noProof/>
        </w:rPr>
      </w:pPr>
      <w:r>
        <w:rPr>
          <w:noProof/>
        </w:rPr>
        <w:t>La réforme consiste en la mise en œuvre de plusieurs mesures législatives et réglementaires visant à: i) élargir les responsabilités et le champ d'intervention des groupes de centres de santé, ainsi que la typologie des unités fonctionnelles qui les composent; ii) revoir le régime juridique régissant l'organisation et le fonctionnement des unités fonctionnelles, ainsi que le régime d'incitations à accorder aux éléments qui les constituent; iii) l'élaboration d'un instrument de stratification des risques pour soutenir la gouvernance clinique dans les unités fonctionnelles des groupes de centres de santé; et iv) l'achèvement du transfert des responsabilités dans le domaine de la santé de l'administration centrale aux municipalités.</w:t>
      </w:r>
    </w:p>
    <w:p w14:paraId="167775AF" w14:textId="5616160D" w:rsidR="006C686E" w:rsidRDefault="00B17E8C">
      <w:pPr>
        <w:pStyle w:val="P68B1DB1-Normal4"/>
        <w:keepNext/>
        <w:spacing w:before="40" w:after="0"/>
        <w:jc w:val="both"/>
        <w:rPr>
          <w:noProof/>
        </w:rPr>
      </w:pPr>
      <w:r>
        <w:rPr>
          <w:noProof/>
        </w:rPr>
        <w:t>Le jalon et les cibles liés à la mise en œuvre de la réforme sont atteints au plus tard le 31 décembre 2023.</w:t>
      </w:r>
    </w:p>
    <w:p w14:paraId="7FEA7D42" w14:textId="77777777" w:rsidR="006C686E" w:rsidRDefault="00B17E8C">
      <w:pPr>
        <w:pStyle w:val="P68B1DB1-Normal4"/>
        <w:spacing w:after="200" w:line="276" w:lineRule="auto"/>
        <w:rPr>
          <w:noProof/>
        </w:rPr>
      </w:pPr>
      <w:r>
        <w:rPr>
          <w:noProof/>
        </w:rPr>
        <w:br w:type="page"/>
      </w:r>
    </w:p>
    <w:p w14:paraId="61D44024" w14:textId="77777777" w:rsidR="006C686E" w:rsidRDefault="00B17E8C">
      <w:pPr>
        <w:pStyle w:val="P68B1DB1-Normal5"/>
        <w:keepNext/>
        <w:spacing w:before="240" w:after="0"/>
        <w:ind w:left="851"/>
        <w:jc w:val="both"/>
        <w:outlineLvl w:val="2"/>
        <w:rPr>
          <w:rFonts w:eastAsia="Times New Roman"/>
          <w:noProof/>
        </w:rPr>
      </w:pPr>
      <w:r>
        <w:rPr>
          <w:noProof/>
        </w:rPr>
        <w:t>Réforme RE-r02: Réforme de la santé mentale</w:t>
      </w:r>
    </w:p>
    <w:p w14:paraId="26AD85F6" w14:textId="77777777" w:rsidR="006C686E" w:rsidRDefault="00B17E8C">
      <w:pPr>
        <w:pStyle w:val="P68B1DB1-Normal4"/>
        <w:keepNext/>
        <w:spacing w:before="40" w:after="0"/>
        <w:jc w:val="both"/>
        <w:rPr>
          <w:rFonts w:eastAsia="Times New Roman"/>
          <w:noProof/>
        </w:rPr>
      </w:pPr>
      <w:r>
        <w:rPr>
          <w:noProof/>
        </w:rPr>
        <w:t>L'objectif général de cette réforme est d'améliorer la santé mentale au Portugal. À cette fin, la réforme s'articule autour de cinq axes d'intervention: i) désinstitutionnaliser les patients résidant dans des hôpitaux psychiatriques ou dans des institutions du secteur social; ii) compléter la couverture nationale des services locaux de santé mentale, dans les domaines des soins hospitaliers, ambulatoires et communautaires; iii) élargir le réseau national de soins continus intégrés, en mettant l'accent sur la santé mentale; iv) la réorganisation des services psychiatriques médico-légaux; et v) la mise en œuvre des plans régionaux de santé pour la démence.</w:t>
      </w:r>
    </w:p>
    <w:p w14:paraId="69F902E2" w14:textId="19102679" w:rsidR="006C686E" w:rsidRDefault="00B17E8C">
      <w:pPr>
        <w:pStyle w:val="P68B1DB1-Normal4"/>
        <w:keepNext/>
        <w:spacing w:before="40" w:after="0"/>
        <w:jc w:val="both"/>
        <w:rPr>
          <w:rFonts w:eastAsia="Times New Roman"/>
          <w:noProof/>
        </w:rPr>
      </w:pPr>
      <w:r>
        <w:rPr>
          <w:noProof/>
        </w:rPr>
        <w:t>Concrètement, la réforme consistera en la révision de l’actuelle loi sur la santé mentale – qui établira les principes généraux de la politique de santé mentale au Portugal et réglementera l’internement obligatoire des personnes souffrant de troubles psychiques – et du décret-loi sur la santé mentale – qui définira les principes directeurs de l’organisation, de la gestion et de l’évaluation des services de santé mentale. Entre autres, les modifications suivantes sont introduites dans ces dispositions juridiques: i) intégrer dans la législation les principes de la Convention des Nations Unies relative aux droits des personnes handicapées; et ii) accroître l’autonomie et la bonne gestion des services locaux de santé mentale, grâce à la création de centres de responsabilité intégrée. Ce faisant, cette réforme fournira des conditions-cadres renforcées pour les investissements correspondants dans les services de soins de santé mentale.</w:t>
      </w:r>
    </w:p>
    <w:p w14:paraId="10F0941C" w14:textId="77777777" w:rsidR="006C686E" w:rsidRDefault="00B17E8C">
      <w:pPr>
        <w:pStyle w:val="P68B1DB1-Normal4"/>
        <w:keepNext/>
        <w:spacing w:before="40" w:after="0"/>
        <w:jc w:val="both"/>
        <w:rPr>
          <w:rFonts w:eastAsia="Times New Roman"/>
          <w:noProof/>
        </w:rPr>
        <w:sectPr w:rsidR="006C686E" w:rsidSect="0018213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pPr>
      <w:r>
        <w:rPr>
          <w:noProof/>
        </w:rPr>
        <w:t>Les étapes liées à la mise en œuvre de la réforme sont achevées au plus tard le 31 mars 2023.</w:t>
      </w:r>
    </w:p>
    <w:p w14:paraId="786EC13F" w14:textId="77777777" w:rsidR="006C686E" w:rsidRDefault="00B17E8C">
      <w:pPr>
        <w:pStyle w:val="P68B1DB1-Normal5"/>
        <w:keepNext/>
        <w:spacing w:before="240" w:after="0"/>
        <w:ind w:left="851"/>
        <w:jc w:val="both"/>
        <w:outlineLvl w:val="2"/>
        <w:rPr>
          <w:rFonts w:eastAsia="Times New Roman"/>
          <w:noProof/>
        </w:rPr>
      </w:pPr>
      <w:r>
        <w:rPr>
          <w:noProof/>
        </w:rPr>
        <w:t>Réforme RE-r03: Achèvement de la réforme du modèle de gouvernance des hôpitaux publics</w:t>
      </w:r>
    </w:p>
    <w:p w14:paraId="4BF88E3D" w14:textId="77777777" w:rsidR="006C686E" w:rsidRDefault="00B17E8C">
      <w:pPr>
        <w:pStyle w:val="P68B1DB1-Normal4"/>
        <w:keepNext/>
        <w:spacing w:before="40" w:after="0"/>
        <w:jc w:val="both"/>
        <w:rPr>
          <w:rFonts w:eastAsia="Times New Roman"/>
          <w:noProof/>
        </w:rPr>
      </w:pPr>
      <w:r>
        <w:rPr>
          <w:noProof/>
        </w:rPr>
        <w:t>L'objectif général de la réforme est d'accroître l'efficacité des hôpitaux du Service national de santé. À cette fin, il vise à: i) réformer l'organisation et la gestion interne des hôpitaux publics; ii) reconfiguration du réseau hospitalier en fonction de la planification des capacités en termes de demande de services et d'offre de ressources humaines et d'infrastructures; iii) améliorer l'articulation avec les autres éléments du Service national de santé, à savoir les services de soins primaires et de santé mentale, ainsi qu'avec les réseaux de soins palliatifs et intégrés continus; iv) la participation des professionnels de santé et des structures intermédiaires à la gestion des hôpitaux publics; et v) en concentrant les réponses sur les besoins réels des citoyens en matière de santé et de bien-être.</w:t>
      </w:r>
    </w:p>
    <w:p w14:paraId="197599D9" w14:textId="77777777" w:rsidR="006C686E" w:rsidRDefault="00B17E8C">
      <w:pPr>
        <w:pStyle w:val="P68B1DB1-Normal4"/>
        <w:keepNext/>
        <w:spacing w:before="40" w:after="0"/>
        <w:jc w:val="both"/>
        <w:rPr>
          <w:rFonts w:eastAsia="Times New Roman"/>
          <w:noProof/>
        </w:rPr>
      </w:pPr>
      <w:r>
        <w:rPr>
          <w:noProof/>
        </w:rPr>
        <w:t>Des indicateurs objectifs permettant d’évaluer les performances des gestionnaires d’hôpitaux sont inclus dans les contrats de gestion, en évaluant à la fois la qualité du service et la situation financière des hôpitaux publics. Cela contribuera à assurer la cohérence avec les priorités de la politique de santé du gouvernement et à une gestion plus prévisible des ressources hospitalières, l’autonomie étant combinée à un renforcement du suivi et de la responsabilité. La mise en œuvre des contrats de gestion remaniés est progressive et hiérarchisée en fonction du niveau d’efficacité, de la dimension et de la répartition géographique des hôpitaux publics. En outre, le rôle de suivi des ministères de la santé et des finances doit être renforcé afin de garantir une approche intégrée et cohérente de l’évaluation des performances des hôpitaux et de la correction, en temps utile, des écarts par rapport aux budgets approuvés.</w:t>
      </w:r>
    </w:p>
    <w:p w14:paraId="4F9BCB95" w14:textId="77777777" w:rsidR="006C686E" w:rsidRDefault="00B17E8C">
      <w:pPr>
        <w:pStyle w:val="P68B1DB1-Normal4"/>
        <w:keepNext/>
        <w:spacing w:before="40" w:after="0"/>
        <w:jc w:val="both"/>
        <w:rPr>
          <w:rFonts w:eastAsia="Times New Roman"/>
          <w:noProof/>
        </w:rPr>
      </w:pPr>
      <w:r>
        <w:rPr>
          <w:noProof/>
        </w:rPr>
        <w:t>En outre, les achats centralisés sont renforcés en vue de réaliser de nouvelles économies d'efficacité, notamment en répondant aux recommandations d'une évaluation indépendante récente. En particulier, les achats centralisés doivent être étendus aux équipements et dispositifs médicaux. En outre, la gestion interne des hôpitaux publics devrait être améliorée, notamment par la création de centres de responsabilité intégrée et la mise en œuvre de régimes de rémunération fondés sur les performances applicables aux unités associées à ces centres. En conséquence, un régime de dévouement complet au Service national de santé pour les professionnels de la santé entrera en vigueur.</w:t>
      </w:r>
    </w:p>
    <w:p w14:paraId="26DE0459" w14:textId="003CC1E0" w:rsidR="006C686E" w:rsidRDefault="00B17E8C">
      <w:pPr>
        <w:pStyle w:val="P68B1DB1-Normal4"/>
        <w:keepNext/>
        <w:spacing w:before="40" w:after="0"/>
        <w:jc w:val="both"/>
        <w:rPr>
          <w:noProof/>
        </w:rPr>
      </w:pPr>
      <w:r>
        <w:rPr>
          <w:noProof/>
        </w:rPr>
        <w:t>La mise en œuvre de la réforme est achevée au plus tard le 31 décembre 2024.</w:t>
      </w:r>
    </w:p>
    <w:p w14:paraId="2E598F6B" w14:textId="77777777" w:rsidR="006C686E" w:rsidRDefault="00B17E8C">
      <w:pPr>
        <w:pStyle w:val="P68B1DB1-Normal6"/>
        <w:spacing w:after="200" w:line="276" w:lineRule="auto"/>
        <w:rPr>
          <w:rFonts w:ascii="Times New Roman" w:hAnsi="Times New Roman"/>
          <w:noProof/>
          <w:u w:val="single"/>
        </w:rPr>
      </w:pPr>
      <w:r>
        <w:rPr>
          <w:noProof/>
        </w:rPr>
        <w:br w:type="page"/>
      </w:r>
    </w:p>
    <w:p w14:paraId="3CDFC17B" w14:textId="77777777" w:rsidR="006C686E" w:rsidRDefault="00B17E8C">
      <w:pPr>
        <w:pStyle w:val="P68B1DB1-Normal5"/>
        <w:keepNext/>
        <w:spacing w:before="240" w:after="0"/>
        <w:ind w:left="851"/>
        <w:jc w:val="both"/>
        <w:outlineLvl w:val="2"/>
        <w:rPr>
          <w:rFonts w:eastAsia="Times New Roman"/>
          <w:noProof/>
        </w:rPr>
      </w:pPr>
      <w:r>
        <w:rPr>
          <w:noProof/>
        </w:rPr>
        <w:t>Investissement RE-C01-i01: Services de soins de santé primaires avec plus de réponses</w:t>
      </w:r>
    </w:p>
    <w:p w14:paraId="6F0E5BB4" w14:textId="77777777" w:rsidR="006C686E" w:rsidRDefault="00B17E8C">
      <w:pPr>
        <w:pStyle w:val="P68B1DB1-Normal4"/>
        <w:keepNext/>
        <w:spacing w:before="40" w:after="0"/>
        <w:jc w:val="both"/>
        <w:rPr>
          <w:noProof/>
        </w:rPr>
      </w:pPr>
      <w:r>
        <w:rPr>
          <w:noProof/>
        </w:rPr>
        <w:t xml:space="preserve">L'objectif de cet investissement est d'élargir les soins de santé primaires. </w:t>
      </w:r>
    </w:p>
    <w:p w14:paraId="14E1084C" w14:textId="77777777" w:rsidR="006C686E" w:rsidRDefault="00B17E8C">
      <w:pPr>
        <w:pStyle w:val="P68B1DB1-Normal4"/>
        <w:keepNext/>
        <w:spacing w:before="40" w:after="0"/>
        <w:jc w:val="both"/>
        <w:rPr>
          <w:rFonts w:eastAsia="Times New Roman"/>
          <w:noProof/>
        </w:rPr>
      </w:pPr>
      <w:r>
        <w:rPr>
          <w:noProof/>
        </w:rPr>
        <w:t>L'investissement consiste en les initiatives suivantes:</w:t>
      </w:r>
    </w:p>
    <w:p w14:paraId="1808017C" w14:textId="77777777" w:rsidR="006C686E" w:rsidRDefault="00B17E8C">
      <w:pPr>
        <w:pStyle w:val="P68B1DB1-Normal4"/>
        <w:keepNext/>
        <w:numPr>
          <w:ilvl w:val="0"/>
          <w:numId w:val="18"/>
        </w:numPr>
        <w:tabs>
          <w:tab w:val="left" w:pos="426"/>
        </w:tabs>
        <w:spacing w:before="40" w:after="200" w:line="276" w:lineRule="auto"/>
        <w:jc w:val="both"/>
        <w:rPr>
          <w:rFonts w:eastAsia="Times New Roman"/>
          <w:noProof/>
        </w:rPr>
      </w:pPr>
      <w:r>
        <w:rPr>
          <w:noProof/>
        </w:rPr>
        <w:t xml:space="preserve">Accroître la couverture nationale des programmes de dépistage; </w:t>
      </w:r>
    </w:p>
    <w:p w14:paraId="062DBC88" w14:textId="77777777" w:rsidR="006C686E" w:rsidRDefault="00B17E8C">
      <w:pPr>
        <w:pStyle w:val="P68B1DB1-Normal3"/>
        <w:keepNext/>
        <w:numPr>
          <w:ilvl w:val="0"/>
          <w:numId w:val="18"/>
        </w:numPr>
        <w:tabs>
          <w:tab w:val="left" w:pos="426"/>
        </w:tabs>
        <w:spacing w:before="40" w:after="200" w:line="276" w:lineRule="auto"/>
        <w:jc w:val="both"/>
        <w:rPr>
          <w:noProof/>
          <w:kern w:val="0"/>
          <w14:ligatures w14:val="none"/>
        </w:rPr>
      </w:pPr>
      <w:r>
        <w:rPr>
          <w:noProof/>
        </w:rPr>
        <w:t>E</w:t>
      </w:r>
      <w:r>
        <w:rPr>
          <w:noProof/>
          <w:kern w:val="0"/>
          <w14:ligatures w14:val="none"/>
        </w:rPr>
        <w:t xml:space="preserve"> xpansion des domaines d'intervention des groupes de centres de santé;</w:t>
      </w:r>
      <w:r>
        <w:rPr>
          <w:noProof/>
        </w:rPr>
        <w:t xml:space="preserve"> et</w:t>
      </w:r>
    </w:p>
    <w:p w14:paraId="23A64FA7" w14:textId="77777777" w:rsidR="006C686E" w:rsidRDefault="00B17E8C">
      <w:pPr>
        <w:pStyle w:val="P68B1DB1-Normal3"/>
        <w:keepNext/>
        <w:numPr>
          <w:ilvl w:val="0"/>
          <w:numId w:val="18"/>
        </w:numPr>
        <w:tabs>
          <w:tab w:val="left" w:pos="426"/>
        </w:tabs>
        <w:spacing w:before="40" w:after="200" w:line="276" w:lineRule="auto"/>
        <w:jc w:val="both"/>
        <w:rPr>
          <w:rFonts w:eastAsia="Times New Roman"/>
          <w:noProof/>
          <w:kern w:val="0"/>
          <w14:ligatures w14:val="none"/>
        </w:rPr>
      </w:pPr>
      <w:r>
        <w:rPr>
          <w:noProof/>
          <w:kern w:val="0"/>
          <w14:ligatures w14:val="none"/>
        </w:rPr>
        <w:t>Rénovation des installations et équipements des centres de santé.</w:t>
      </w:r>
    </w:p>
    <w:p w14:paraId="3E4A6D85" w14:textId="77777777" w:rsidR="006C686E" w:rsidRDefault="00B17E8C">
      <w:pPr>
        <w:pStyle w:val="P68B1DB1-Normal5"/>
        <w:keepNext/>
        <w:spacing w:before="240" w:after="0"/>
        <w:ind w:left="851"/>
        <w:jc w:val="both"/>
        <w:outlineLvl w:val="2"/>
        <w:rPr>
          <w:rFonts w:eastAsia="Times New Roman"/>
          <w:noProof/>
        </w:rPr>
      </w:pPr>
      <w:r>
        <w:rPr>
          <w:noProof/>
        </w:rPr>
        <w:t>Investissement RE-C01-i02: Réseau national de soins continus intégrés et Réseau national de soins palliatifs</w:t>
      </w:r>
    </w:p>
    <w:p w14:paraId="48585577"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L’objectif de l’investissement est de </w:t>
      </w:r>
      <w:r>
        <w:rPr>
          <w:noProof/>
        </w:rPr>
        <w:t xml:space="preserve">soutenir </w:t>
      </w:r>
      <w:r>
        <w:rPr>
          <w:noProof/>
          <w:kern w:val="0"/>
          <w14:ligatures w14:val="none"/>
        </w:rPr>
        <w:t xml:space="preserve">les réseaux nationaux de soins palliatifs et de soins continus intégrés, en ce qui concerne les traitements hospitaliers et ambulatoires, ainsi que les soins à domicile. </w:t>
      </w:r>
    </w:p>
    <w:p w14:paraId="7FD3A160"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L'investissement consiste </w:t>
      </w:r>
      <w:r>
        <w:rPr>
          <w:noProof/>
        </w:rPr>
        <w:t xml:space="preserve">en l'expansion du réseau national de soins continus intégrés, des interventions en santé mentale et du réseau national de soins palliatifs. </w:t>
      </w:r>
    </w:p>
    <w:p w14:paraId="74E2D655" w14:textId="77777777" w:rsidR="006C686E" w:rsidRDefault="00B17E8C">
      <w:pPr>
        <w:pStyle w:val="P68B1DB1-Normal7"/>
        <w:keepNext/>
        <w:spacing w:before="240" w:after="0"/>
        <w:ind w:left="851"/>
        <w:jc w:val="both"/>
        <w:outlineLvl w:val="2"/>
        <w:rPr>
          <w:noProof/>
        </w:rPr>
      </w:pPr>
      <w:r>
        <w:rPr>
          <w:noProof/>
        </w:rPr>
        <w:t xml:space="preserve">Investissement RE-C01-i03: Soutien à la réforme de la santé mentale </w:t>
      </w:r>
    </w:p>
    <w:p w14:paraId="3D4581D3"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L’objectif de l’investissement est d’accroître </w:t>
      </w:r>
      <w:r>
        <w:rPr>
          <w:noProof/>
        </w:rPr>
        <w:t xml:space="preserve"> </w:t>
      </w:r>
      <w:r>
        <w:rPr>
          <w:noProof/>
          <w:kern w:val="0"/>
          <w14:ligatures w14:val="none"/>
        </w:rPr>
        <w:t>la capacité de réaction du système national de santé dans le domaine de la santé mentale.</w:t>
      </w:r>
    </w:p>
    <w:p w14:paraId="2E925ABD" w14:textId="5B3CBC0B" w:rsidR="006C686E" w:rsidRDefault="00B17E8C">
      <w:pPr>
        <w:pStyle w:val="P68B1DB1-Normal3"/>
        <w:keepNext/>
        <w:spacing w:before="40" w:after="0"/>
        <w:jc w:val="both"/>
        <w:rPr>
          <w:noProof/>
          <w:kern w:val="0"/>
          <w14:ligatures w14:val="none"/>
        </w:rPr>
      </w:pPr>
      <w:r>
        <w:rPr>
          <w:noProof/>
          <w:kern w:val="0"/>
          <w14:ligatures w14:val="none"/>
        </w:rPr>
        <w:t xml:space="preserve">L'investissement consiste en des interventions sur les installations, les structures et les ressources humaines dans le </w:t>
      </w:r>
      <w:r>
        <w:rPr>
          <w:noProof/>
        </w:rPr>
        <w:t>domaine des soins de santé mentale.</w:t>
      </w:r>
    </w:p>
    <w:p w14:paraId="3FAFCB65" w14:textId="77777777" w:rsidR="006C686E" w:rsidRDefault="006C686E">
      <w:pPr>
        <w:keepNext/>
        <w:spacing w:before="40" w:after="0"/>
        <w:jc w:val="both"/>
        <w:rPr>
          <w:rFonts w:ascii="Times New Roman" w:eastAsia="Calibri" w:hAnsi="Times New Roman" w:cs="Times New Roman"/>
          <w:noProof/>
          <w:kern w:val="0"/>
          <w14:ligatures w14:val="none"/>
        </w:rPr>
        <w:sectPr w:rsidR="006C686E" w:rsidSect="00C95E00">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p w14:paraId="561AA726" w14:textId="77777777" w:rsidR="006C686E" w:rsidRDefault="00B17E8C">
      <w:pPr>
        <w:pStyle w:val="P68B1DB1-Normal7"/>
        <w:keepNext/>
        <w:spacing w:before="240" w:after="0" w:line="276" w:lineRule="auto"/>
        <w:ind w:left="851"/>
        <w:jc w:val="both"/>
        <w:outlineLvl w:val="2"/>
        <w:rPr>
          <w:noProof/>
        </w:rPr>
      </w:pPr>
      <w:r>
        <w:rPr>
          <w:noProof/>
        </w:rPr>
        <w:t>Investissement RE-C01-i04: Modernisation et rénovation des zones hospitalières et des équipements pour les hôpitaux</w:t>
      </w:r>
    </w:p>
    <w:p w14:paraId="578B4541" w14:textId="77777777" w:rsidR="006C686E" w:rsidRDefault="00B17E8C">
      <w:pPr>
        <w:pStyle w:val="P68B1DB1-Normal4"/>
        <w:keepNext/>
        <w:spacing w:before="40" w:after="0"/>
        <w:jc w:val="both"/>
        <w:rPr>
          <w:noProof/>
        </w:rPr>
      </w:pPr>
      <w:r>
        <w:rPr>
          <w:noProof/>
        </w:rPr>
        <w:t xml:space="preserve">L'objectif de l'investissement est d'assurer un meilleur accès aux soins de santé à la population. </w:t>
      </w:r>
    </w:p>
    <w:p w14:paraId="14ECB066" w14:textId="4AC4ABDC" w:rsidR="006C686E" w:rsidRDefault="00B17E8C">
      <w:pPr>
        <w:pStyle w:val="P68B1DB1-Normal3"/>
        <w:keepNext/>
        <w:spacing w:before="40" w:after="0"/>
        <w:jc w:val="both"/>
        <w:rPr>
          <w:rFonts w:eastAsia="Times New Roman"/>
          <w:noProof/>
        </w:rPr>
      </w:pPr>
      <w:r>
        <w:rPr>
          <w:noProof/>
        </w:rPr>
        <w:t>Cet investissement consiste en des projets</w:t>
      </w:r>
      <w:r>
        <w:rPr>
          <w:noProof/>
          <w:kern w:val="0"/>
          <w14:ligatures w14:val="none"/>
        </w:rPr>
        <w:t xml:space="preserve"> </w:t>
      </w:r>
      <w:r>
        <w:rPr>
          <w:noProof/>
        </w:rPr>
        <w:t>d'infrastructure et de rénovation et en l'achat d'équipements pour les hôpitaux.</w:t>
      </w:r>
    </w:p>
    <w:p w14:paraId="5737EE1A" w14:textId="77777777" w:rsidR="006C686E" w:rsidRDefault="00B17E8C">
      <w:pPr>
        <w:pStyle w:val="P68B1DB1-Normal7"/>
        <w:keepNext/>
        <w:spacing w:before="240" w:after="0" w:line="276" w:lineRule="auto"/>
        <w:ind w:left="851"/>
        <w:jc w:val="both"/>
        <w:outlineLvl w:val="2"/>
        <w:rPr>
          <w:noProof/>
        </w:rPr>
      </w:pPr>
      <w:r>
        <w:rPr>
          <w:noProof/>
        </w:rPr>
        <w:t>Investissement RE</w:t>
      </w:r>
      <w:r>
        <w:rPr>
          <w:noProof/>
          <w:color w:val="000000"/>
        </w:rPr>
        <w:t>-C01-i05-RAM: Soutien au service régional de santé de</w:t>
      </w:r>
      <w:r>
        <w:rPr>
          <w:noProof/>
        </w:rPr>
        <w:t xml:space="preserve"> Madère</w:t>
      </w:r>
    </w:p>
    <w:p w14:paraId="17B64C5D" w14:textId="77777777" w:rsidR="006C686E" w:rsidRDefault="00B17E8C">
      <w:pPr>
        <w:pStyle w:val="P68B1DB1-Normal4"/>
        <w:keepNext/>
        <w:spacing w:before="40" w:after="0"/>
        <w:jc w:val="both"/>
        <w:rPr>
          <w:noProof/>
        </w:rPr>
      </w:pPr>
      <w:r>
        <w:rPr>
          <w:noProof/>
        </w:rPr>
        <w:t xml:space="preserve">L’objectif de cet investissement est de soutenir le système de santé régional de la région autonome de Madère. L'investissement consiste en des projets de construction et de rénovation, un système de classification et des équipes de santé mentale communautaires. </w:t>
      </w:r>
    </w:p>
    <w:p w14:paraId="479C5B5C" w14:textId="77777777" w:rsidR="006C686E" w:rsidRDefault="00B17E8C">
      <w:pPr>
        <w:pStyle w:val="P68B1DB1-Normal7"/>
        <w:keepNext/>
        <w:spacing w:before="240" w:after="0" w:line="276" w:lineRule="auto"/>
        <w:ind w:left="851"/>
        <w:jc w:val="both"/>
        <w:outlineLvl w:val="2"/>
        <w:rPr>
          <w:noProof/>
        </w:rPr>
      </w:pPr>
      <w:r>
        <w:rPr>
          <w:noProof/>
        </w:rPr>
        <w:t>Investissement RE-C01-i06: Transition numérique en matière de santé</w:t>
      </w:r>
    </w:p>
    <w:p w14:paraId="5469AE83" w14:textId="77777777" w:rsidR="006C686E" w:rsidRDefault="00B17E8C">
      <w:pPr>
        <w:pStyle w:val="P68B1DB1-Normal4"/>
        <w:keepNext/>
        <w:spacing w:before="40" w:after="0"/>
        <w:jc w:val="both"/>
        <w:rPr>
          <w:noProof/>
        </w:rPr>
      </w:pPr>
      <w:r>
        <w:rPr>
          <w:noProof/>
        </w:rPr>
        <w:t>Cet objectif de l’investissement est de soutenir la transition numérique du service national de santé.</w:t>
      </w:r>
    </w:p>
    <w:p w14:paraId="7558CC7A" w14:textId="77777777" w:rsidR="006C686E" w:rsidRDefault="00B17E8C">
      <w:pPr>
        <w:pStyle w:val="P68B1DB1-Normal3"/>
        <w:keepNext/>
        <w:spacing w:before="40" w:after="0"/>
        <w:jc w:val="both"/>
        <w:rPr>
          <w:noProof/>
          <w:kern w:val="0"/>
          <w14:ligatures w14:val="none"/>
        </w:rPr>
      </w:pPr>
      <w:r>
        <w:rPr>
          <w:noProof/>
          <w:kern w:val="0"/>
          <w14:ligatures w14:val="none"/>
        </w:rPr>
        <w:t>L’investissement consiste</w:t>
      </w:r>
      <w:r>
        <w:rPr>
          <w:noProof/>
        </w:rPr>
        <w:t xml:space="preserve"> en la numérisation du service national de santé (télémédecine, télésanté et systèmes numériques).</w:t>
      </w:r>
      <w:r>
        <w:rPr>
          <w:noProof/>
          <w:kern w:val="0"/>
          <w14:ligatures w14:val="none"/>
        </w:rPr>
        <w:t xml:space="preserve"> </w:t>
      </w:r>
    </w:p>
    <w:p w14:paraId="6AA94BF2" w14:textId="77777777" w:rsidR="006C686E" w:rsidRDefault="00B17E8C">
      <w:pPr>
        <w:pStyle w:val="P68B1DB1-Normal5"/>
        <w:keepNext/>
        <w:spacing w:before="240" w:after="0"/>
        <w:ind w:left="851"/>
        <w:jc w:val="both"/>
        <w:outlineLvl w:val="2"/>
        <w:rPr>
          <w:rFonts w:eastAsia="Times New Roman"/>
          <w:noProof/>
        </w:rPr>
      </w:pPr>
      <w:r>
        <w:rPr>
          <w:noProof/>
        </w:rPr>
        <w:t>Investissement RE-C01-i07-RAM: Numérisation du service régional de santé de Madère</w:t>
      </w:r>
    </w:p>
    <w:p w14:paraId="7BD364D8" w14:textId="77777777" w:rsidR="006C686E" w:rsidRDefault="00B17E8C">
      <w:pPr>
        <w:pStyle w:val="P68B1DB1-Normal4"/>
        <w:keepNext/>
        <w:spacing w:before="40" w:after="0"/>
        <w:jc w:val="both"/>
        <w:rPr>
          <w:rFonts w:eastAsia="Times New Roman"/>
          <w:noProof/>
        </w:rPr>
      </w:pPr>
      <w:r>
        <w:rPr>
          <w:noProof/>
        </w:rPr>
        <w:t>L’objectif de cet investissement est de favoriser la numérisation du service régional de santé de Madère. L'investissement consiste en l'acquisition d'équipements et de logiciels.</w:t>
      </w:r>
    </w:p>
    <w:p w14:paraId="77D09BD1" w14:textId="77777777" w:rsidR="006C686E" w:rsidRDefault="00B17E8C">
      <w:pPr>
        <w:pStyle w:val="P68B1DB1-Normal5"/>
        <w:keepNext/>
        <w:spacing w:before="240" w:after="0"/>
        <w:ind w:left="851"/>
        <w:jc w:val="both"/>
        <w:outlineLvl w:val="2"/>
        <w:rPr>
          <w:rFonts w:eastAsia="Times New Roman"/>
          <w:noProof/>
        </w:rPr>
      </w:pPr>
      <w:r>
        <w:rPr>
          <w:noProof/>
        </w:rPr>
        <w:t>Investissement RE-C01-i08-RAA: Hôpital numérique aux Açores</w:t>
      </w:r>
    </w:p>
    <w:p w14:paraId="18F689C1" w14:textId="77777777" w:rsidR="006C686E" w:rsidRDefault="00B17E8C">
      <w:pPr>
        <w:pStyle w:val="P68B1DB1-Normal4"/>
        <w:keepNext/>
        <w:spacing w:before="40" w:after="0"/>
        <w:jc w:val="both"/>
        <w:rPr>
          <w:noProof/>
        </w:rPr>
      </w:pPr>
      <w:r>
        <w:rPr>
          <w:noProof/>
        </w:rPr>
        <w:t xml:space="preserve">L’objectif de l’investissement est d’intensifier la numérisation du service de santé des Açores. </w:t>
      </w:r>
    </w:p>
    <w:p w14:paraId="450F6916" w14:textId="77777777" w:rsidR="006C686E" w:rsidRDefault="00B17E8C">
      <w:pPr>
        <w:pStyle w:val="P68B1DB1-Normal4"/>
        <w:keepNext/>
        <w:spacing w:before="40" w:after="0"/>
        <w:jc w:val="both"/>
        <w:rPr>
          <w:noProof/>
        </w:rPr>
      </w:pPr>
      <w:r>
        <w:rPr>
          <w:noProof/>
        </w:rPr>
        <w:t>L'investissement consiste à offrir aux citoyens un accès numérique aux soins de santé.</w:t>
      </w:r>
    </w:p>
    <w:p w14:paraId="7B3F3EC4" w14:textId="77777777" w:rsidR="006C686E" w:rsidRDefault="00B17E8C">
      <w:pPr>
        <w:pStyle w:val="P68B1DB1-Normal5"/>
        <w:keepNext/>
        <w:spacing w:before="240" w:after="0"/>
        <w:ind w:left="851"/>
        <w:jc w:val="both"/>
        <w:outlineLvl w:val="2"/>
        <w:rPr>
          <w:noProof/>
        </w:rPr>
      </w:pPr>
      <w:r>
        <w:rPr>
          <w:noProof/>
        </w:rPr>
        <w:t>Investissement RE-C01-i09: Système universel de soutien à la vie active</w:t>
      </w:r>
    </w:p>
    <w:p w14:paraId="4457D3DF"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L'objectif de l'investissement est de promouvoir la </w:t>
      </w:r>
      <w:r>
        <w:rPr>
          <w:noProof/>
        </w:rPr>
        <w:t xml:space="preserve"> </w:t>
      </w:r>
      <w:r>
        <w:rPr>
          <w:noProof/>
          <w:kern w:val="0"/>
          <w14:ligatures w14:val="none"/>
        </w:rPr>
        <w:t>pratique de l'activité physique dans le pays.</w:t>
      </w:r>
    </w:p>
    <w:p w14:paraId="7867F6CA" w14:textId="77777777" w:rsidR="006C686E" w:rsidRDefault="00B17E8C">
      <w:pPr>
        <w:pStyle w:val="P68B1DB1-Normal4"/>
        <w:keepNext/>
        <w:spacing w:before="40" w:after="0"/>
        <w:jc w:val="both"/>
        <w:rPr>
          <w:noProof/>
        </w:rPr>
      </w:pPr>
      <w:r>
        <w:rPr>
          <w:noProof/>
        </w:rPr>
        <w:t>L'investissement consiste en l'achat de kits de vélos et en une campagne de promotion des bienfaits de l'activité physique.</w:t>
      </w:r>
    </w:p>
    <w:p w14:paraId="477388FC" w14:textId="77777777" w:rsidR="006C686E" w:rsidRDefault="00B17E8C">
      <w:pPr>
        <w:pStyle w:val="P68B1DB1-Normal5"/>
        <w:keepNext/>
        <w:spacing w:before="240" w:after="0"/>
        <w:ind w:left="851"/>
        <w:jc w:val="both"/>
        <w:outlineLvl w:val="2"/>
        <w:rPr>
          <w:rFonts w:eastAsia="Times New Roman"/>
          <w:noProof/>
        </w:rPr>
      </w:pPr>
      <w:r>
        <w:rPr>
          <w:noProof/>
        </w:rPr>
        <w:t>Investissement RE-C01-i10: Programme de modernisation technologique du NHS</w:t>
      </w:r>
    </w:p>
    <w:p w14:paraId="365B1113" w14:textId="77777777" w:rsidR="006C686E" w:rsidRDefault="00B17E8C">
      <w:pPr>
        <w:pStyle w:val="P68B1DB1-Normal3"/>
        <w:keepNext/>
        <w:spacing w:before="40" w:after="0"/>
        <w:jc w:val="both"/>
        <w:rPr>
          <w:noProof/>
        </w:rPr>
      </w:pPr>
      <w:r>
        <w:rPr>
          <w:noProof/>
          <w:kern w:val="0"/>
          <w14:ligatures w14:val="none"/>
        </w:rPr>
        <w:t>L’objectif de cet investissement est de rénover le parc technologique du service national de santé (NHS).</w:t>
      </w:r>
      <w:r>
        <w:rPr>
          <w:noProof/>
        </w:rPr>
        <w:t xml:space="preserve"> </w:t>
      </w:r>
    </w:p>
    <w:p w14:paraId="5EAAE476" w14:textId="5952981D" w:rsidR="006C686E" w:rsidRDefault="00B17E8C">
      <w:pPr>
        <w:pStyle w:val="P68B1DB1-Normal3"/>
        <w:keepNext/>
        <w:spacing w:before="40" w:after="0"/>
        <w:jc w:val="both"/>
        <w:rPr>
          <w:rFonts w:eastAsia="Times New Roman"/>
          <w:noProof/>
          <w:kern w:val="0"/>
          <w14:ligatures w14:val="none"/>
        </w:rPr>
      </w:pPr>
      <w:r>
        <w:rPr>
          <w:noProof/>
        </w:rPr>
        <w:t>L'investissement consiste en l'achat d'équipements médicaux pour les établissements médicaux.</w:t>
      </w:r>
    </w:p>
    <w:p w14:paraId="5D0B658C" w14:textId="77777777" w:rsidR="006C686E" w:rsidRDefault="00B17E8C">
      <w:pPr>
        <w:pStyle w:val="P68B1DB1-Normal5"/>
        <w:keepNext/>
        <w:spacing w:before="240" w:after="0"/>
        <w:ind w:left="851"/>
        <w:jc w:val="both"/>
        <w:outlineLvl w:val="2"/>
        <w:rPr>
          <w:rFonts w:eastAsia="Times New Roman"/>
          <w:noProof/>
        </w:rPr>
      </w:pPr>
      <w:r>
        <w:rPr>
          <w:noProof/>
        </w:rPr>
        <w:t>Investissement RE-C01-i11-RAA: Modernisation et requalification du service régional de santé</w:t>
      </w:r>
    </w:p>
    <w:p w14:paraId="19438E2B" w14:textId="77777777" w:rsidR="006C686E" w:rsidRDefault="00B17E8C">
      <w:pPr>
        <w:pStyle w:val="P68B1DB1-Normal4"/>
        <w:keepNext/>
        <w:spacing w:before="40" w:after="0"/>
        <w:jc w:val="both"/>
        <w:rPr>
          <w:noProof/>
        </w:rPr>
      </w:pPr>
      <w:r>
        <w:rPr>
          <w:noProof/>
        </w:rPr>
        <w:t xml:space="preserve">L'objectif de cet investissement est de moderniser le service régional de santé des Açores. </w:t>
      </w:r>
    </w:p>
    <w:p w14:paraId="4FB1C716" w14:textId="77777777" w:rsidR="006C686E" w:rsidRDefault="00B17E8C">
      <w:pPr>
        <w:pStyle w:val="P68B1DB1-Normal8"/>
        <w:keepNext/>
        <w:spacing w:before="40" w:after="0"/>
        <w:jc w:val="both"/>
        <w:rPr>
          <w:noProof/>
        </w:rPr>
      </w:pPr>
      <w:r>
        <w:rPr>
          <w:noProof/>
        </w:rPr>
        <w:t>L'investissement consiste en la construction et la rénovation de centres de santé et d'un hôpital, ainsi qu'en l'acquisition de véhicules et d'équipements.</w:t>
      </w:r>
    </w:p>
    <w:p w14:paraId="722F6B0F" w14:textId="7601FB79" w:rsidR="006C686E" w:rsidRDefault="006C686E">
      <w:pPr>
        <w:keepNext/>
        <w:spacing w:before="40" w:after="0"/>
        <w:jc w:val="both"/>
        <w:rPr>
          <w:rFonts w:ascii="Times New Roman" w:eastAsia="Calibri" w:hAnsi="Times New Roman" w:cs="Times New Roman"/>
          <w:noProof/>
          <w:kern w:val="0"/>
          <w14:ligatures w14:val="none"/>
        </w:rPr>
        <w:sectPr w:rsidR="006C686E" w:rsidSect="00C95E00">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202B1703" w14:textId="77777777" w:rsidR="006C686E" w:rsidRDefault="00B17E8C">
      <w:pPr>
        <w:pStyle w:val="P68B1DB1-Normal1"/>
        <w:keepNext/>
        <w:spacing w:before="40" w:after="0"/>
        <w:ind w:left="130" w:firstLine="12"/>
        <w:jc w:val="center"/>
        <w:outlineLvl w:val="1"/>
        <w:rPr>
          <w:noProof/>
        </w:rPr>
      </w:pPr>
      <w:r>
        <w:rPr>
          <w:noProof/>
        </w:rPr>
        <w:t>A.2. Étapes, cibles, indicateurs et calendrier pour le suivi et la mise en œuvre du soutien financier non remboursable</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1417"/>
        <w:gridCol w:w="1276"/>
        <w:gridCol w:w="1417"/>
        <w:gridCol w:w="1029"/>
        <w:gridCol w:w="962"/>
        <w:gridCol w:w="879"/>
        <w:gridCol w:w="532"/>
        <w:gridCol w:w="851"/>
        <w:gridCol w:w="4258"/>
      </w:tblGrid>
      <w:tr w:rsidR="006C686E" w14:paraId="1C9D6F80" w14:textId="77777777" w:rsidTr="00093E19">
        <w:trPr>
          <w:trHeight w:val="774"/>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EDE9805" w14:textId="77777777" w:rsidR="006C686E" w:rsidRDefault="00B17E8C">
            <w:pPr>
              <w:pStyle w:val="P68B1DB1-Normal9"/>
              <w:spacing w:after="0" w:line="240" w:lineRule="auto"/>
              <w:jc w:val="center"/>
              <w:rPr>
                <w:rFonts w:eastAsia="Times New Roman"/>
                <w:bCs/>
                <w:noProof/>
              </w:rPr>
            </w:pPr>
            <w:r>
              <w:rPr>
                <w:noProof/>
              </w:rPr>
              <w:t>Numéro séquentiel</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C7AC212" w14:textId="77777777" w:rsidR="006C686E" w:rsidRDefault="00B17E8C">
            <w:pPr>
              <w:pStyle w:val="P68B1DB1-Normal9"/>
              <w:spacing w:after="0" w:line="240" w:lineRule="auto"/>
              <w:jc w:val="center"/>
              <w:rPr>
                <w:rFonts w:eastAsia="Times New Roman"/>
                <w:bCs/>
                <w:noProof/>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C74069A" w14:textId="77777777" w:rsidR="006C686E" w:rsidRDefault="00B17E8C">
            <w:pPr>
              <w:pStyle w:val="P68B1DB1-Normal9"/>
              <w:spacing w:after="0" w:line="240" w:lineRule="auto"/>
              <w:jc w:val="center"/>
              <w:rPr>
                <w:rFonts w:eastAsia="Times New Roman"/>
                <w:bCs/>
                <w:noProof/>
              </w:rPr>
            </w:pPr>
            <w:r>
              <w:rPr>
                <w:noProof/>
              </w:rPr>
              <w:t>Étape/objectif</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A2E2886" w14:textId="77777777" w:rsidR="006C686E" w:rsidRDefault="00B17E8C">
            <w:pPr>
              <w:pStyle w:val="P68B1DB1-Normal9"/>
              <w:spacing w:after="0" w:line="240" w:lineRule="auto"/>
              <w:jc w:val="center"/>
              <w:rPr>
                <w:rFonts w:eastAsia="Times New Roman"/>
                <w:bCs/>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7D569C9" w14:textId="77777777" w:rsidR="006C686E" w:rsidRDefault="00B17E8C">
            <w:pPr>
              <w:pStyle w:val="P68B1DB1-Normal9"/>
              <w:spacing w:after="0" w:line="240" w:lineRule="auto"/>
              <w:jc w:val="center"/>
              <w:rPr>
                <w:rFonts w:eastAsia="Times New Roman"/>
                <w:bCs/>
                <w:noProof/>
              </w:rPr>
            </w:pPr>
            <w:r>
              <w:rPr>
                <w:noProof/>
              </w:rPr>
              <w:t>Indicateurs qualitatifs (pour les jalons)</w:t>
            </w:r>
          </w:p>
        </w:tc>
        <w:tc>
          <w:tcPr>
            <w:tcW w:w="287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147F3F9" w14:textId="77777777" w:rsidR="006C686E" w:rsidRDefault="00B17E8C">
            <w:pPr>
              <w:pStyle w:val="P68B1DB1-Normal9"/>
              <w:spacing w:after="0" w:line="240" w:lineRule="auto"/>
              <w:jc w:val="center"/>
              <w:rPr>
                <w:rFonts w:eastAsia="Times New Roman"/>
                <w:bCs/>
                <w:noProof/>
              </w:rPr>
            </w:pPr>
            <w:r>
              <w:rPr>
                <w:noProof/>
              </w:rPr>
              <w:t>Indicateurs quantitatifs (pour les objectifs)</w:t>
            </w:r>
          </w:p>
        </w:tc>
        <w:tc>
          <w:tcPr>
            <w:tcW w:w="1383"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0677AE2" w14:textId="77777777" w:rsidR="006C686E" w:rsidRDefault="00B17E8C">
            <w:pPr>
              <w:pStyle w:val="P68B1DB1-Normal9"/>
              <w:spacing w:after="0" w:line="240" w:lineRule="auto"/>
              <w:jc w:val="center"/>
              <w:rPr>
                <w:rFonts w:eastAsia="Times New Roman"/>
                <w:bCs/>
                <w:noProof/>
              </w:rPr>
            </w:pPr>
            <w:r>
              <w:rPr>
                <w:noProof/>
              </w:rPr>
              <w:t>Calendrier indicatif d'achèvement</w:t>
            </w:r>
          </w:p>
        </w:tc>
        <w:tc>
          <w:tcPr>
            <w:tcW w:w="425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CE231CD" w14:textId="77777777" w:rsidR="006C686E" w:rsidRDefault="00B17E8C">
            <w:pPr>
              <w:pStyle w:val="P68B1DB1-Normal9"/>
              <w:spacing w:after="0" w:line="240" w:lineRule="auto"/>
              <w:jc w:val="center"/>
              <w:rPr>
                <w:rFonts w:eastAsia="Times New Roman"/>
                <w:bCs/>
                <w:noProof/>
              </w:rPr>
            </w:pPr>
            <w:r>
              <w:rPr>
                <w:noProof/>
              </w:rPr>
              <w:t>Description et définition claire de chaque jalon et cible</w:t>
            </w:r>
          </w:p>
        </w:tc>
      </w:tr>
      <w:tr w:rsidR="006C686E" w14:paraId="5A8413FE" w14:textId="77777777" w:rsidTr="00093E19">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ECB35CC"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554" w:type="dxa"/>
            <w:vMerge/>
            <w:tcBorders>
              <w:top w:val="single" w:sz="4" w:space="0" w:color="auto"/>
              <w:left w:val="single" w:sz="4" w:space="0" w:color="auto"/>
              <w:bottom w:val="single" w:sz="4" w:space="0" w:color="auto"/>
              <w:right w:val="single" w:sz="4" w:space="0" w:color="auto"/>
            </w:tcBorders>
            <w:vAlign w:val="center"/>
            <w:hideMark/>
          </w:tcPr>
          <w:p w14:paraId="34DBCB12"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noWrap/>
            <w:vAlign w:val="center"/>
            <w:hideMark/>
          </w:tcPr>
          <w:p w14:paraId="6F0A43F5" w14:textId="77777777" w:rsidR="006C686E" w:rsidRDefault="006C686E">
            <w:pPr>
              <w:spacing w:after="0" w:line="240" w:lineRule="auto"/>
              <w:jc w:val="center"/>
              <w:rPr>
                <w:rFonts w:ascii="Times New Roman" w:eastAsia="Times New Roman" w:hAnsi="Times New Roman" w:cs="Times New Roman"/>
                <w:b/>
                <w:bCs/>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7DE06B6"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BB465F0"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B7585D" w14:textId="77777777" w:rsidR="006C686E" w:rsidRDefault="00B17E8C">
            <w:pPr>
              <w:pStyle w:val="P68B1DB1-Normal9"/>
              <w:spacing w:after="0" w:line="240" w:lineRule="auto"/>
              <w:jc w:val="center"/>
              <w:rPr>
                <w:rFonts w:eastAsia="Times New Roman"/>
                <w:bCs/>
                <w:noProof/>
              </w:rPr>
            </w:pPr>
            <w:r>
              <w:rPr>
                <w:noProof/>
              </w:rPr>
              <w:t>Unité de mesure</w:t>
            </w:r>
          </w:p>
        </w:tc>
        <w:tc>
          <w:tcPr>
            <w:tcW w:w="96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EC5E01E" w14:textId="77777777" w:rsidR="006C686E" w:rsidRDefault="00B17E8C">
            <w:pPr>
              <w:pStyle w:val="P68B1DB1-Normal9"/>
              <w:spacing w:after="0" w:line="240" w:lineRule="auto"/>
              <w:jc w:val="center"/>
              <w:rPr>
                <w:rFonts w:eastAsia="Times New Roman"/>
                <w:bCs/>
                <w:noProof/>
              </w:rPr>
            </w:pPr>
            <w:r>
              <w:rPr>
                <w:noProof/>
              </w:rPr>
              <w:t>Données de référence</w:t>
            </w:r>
          </w:p>
        </w:tc>
        <w:tc>
          <w:tcPr>
            <w:tcW w:w="87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833D451" w14:textId="77777777" w:rsidR="006C686E" w:rsidRDefault="00B17E8C">
            <w:pPr>
              <w:pStyle w:val="P68B1DB1-Normal9"/>
              <w:spacing w:after="0" w:line="240" w:lineRule="auto"/>
              <w:jc w:val="center"/>
              <w:rPr>
                <w:rFonts w:eastAsia="Times New Roman"/>
                <w:bCs/>
                <w:noProof/>
              </w:rPr>
            </w:pPr>
            <w:r>
              <w:rPr>
                <w:noProof/>
              </w:rPr>
              <w:t>Objectif</w:t>
            </w:r>
          </w:p>
        </w:tc>
        <w:tc>
          <w:tcPr>
            <w:tcW w:w="53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764CCD1" w14:textId="77777777" w:rsidR="006C686E" w:rsidRDefault="00B17E8C">
            <w:pPr>
              <w:pStyle w:val="P68B1DB1-Normal9"/>
              <w:spacing w:after="0" w:line="240" w:lineRule="auto"/>
              <w:jc w:val="center"/>
              <w:rPr>
                <w:rFonts w:eastAsia="Times New Roman"/>
                <w:bCs/>
                <w:noProof/>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11239E8" w14:textId="77777777" w:rsidR="006C686E" w:rsidRDefault="00B17E8C">
            <w:pPr>
              <w:pStyle w:val="P68B1DB1-Normal9"/>
              <w:spacing w:after="0" w:line="240" w:lineRule="auto"/>
              <w:jc w:val="center"/>
              <w:rPr>
                <w:rFonts w:eastAsia="Times New Roman"/>
                <w:bCs/>
                <w:noProof/>
              </w:rPr>
            </w:pPr>
            <w:r>
              <w:rPr>
                <w:noProof/>
              </w:rPr>
              <w:t>Année</w:t>
            </w:r>
          </w:p>
        </w:tc>
        <w:tc>
          <w:tcPr>
            <w:tcW w:w="4258" w:type="dxa"/>
            <w:vMerge/>
            <w:tcBorders>
              <w:top w:val="single" w:sz="4" w:space="0" w:color="auto"/>
              <w:left w:val="single" w:sz="4" w:space="0" w:color="auto"/>
              <w:bottom w:val="single" w:sz="4" w:space="0" w:color="auto"/>
              <w:right w:val="single" w:sz="4" w:space="0" w:color="auto"/>
            </w:tcBorders>
            <w:vAlign w:val="center"/>
            <w:hideMark/>
          </w:tcPr>
          <w:p w14:paraId="334433CD"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r>
      <w:tr w:rsidR="006C686E" w14:paraId="1D0DE87B" w14:textId="77777777" w:rsidTr="00093E19">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FD86C" w14:textId="77777777" w:rsidR="006C686E" w:rsidRDefault="00B17E8C">
            <w:pPr>
              <w:pStyle w:val="P68B1DB1-Normal10"/>
              <w:spacing w:after="0" w:line="240" w:lineRule="auto"/>
              <w:jc w:val="center"/>
              <w:rPr>
                <w:rFonts w:eastAsia="Times New Roman"/>
                <w:bCs/>
                <w:noProof/>
              </w:rPr>
            </w:pPr>
            <w:r>
              <w:rPr>
                <w:noProof/>
              </w:rPr>
              <w:t>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1E5AA2" w14:textId="77777777" w:rsidR="006C686E" w:rsidRDefault="00B17E8C">
            <w:pPr>
              <w:pStyle w:val="P68B1DB1-Normal11"/>
              <w:spacing w:after="0" w:line="240" w:lineRule="auto"/>
              <w:jc w:val="center"/>
              <w:rPr>
                <w:rFonts w:eastAsia="Times New Roman"/>
                <w:noProof/>
              </w:rPr>
            </w:pPr>
            <w:r>
              <w:rPr>
                <w:noProof/>
              </w:rPr>
              <w:t>RE-C01-r01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87E9EC"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25B9E2" w14:textId="77777777" w:rsidR="006C686E" w:rsidRDefault="00B17E8C">
            <w:pPr>
              <w:pStyle w:val="P68B1DB1-Normal11"/>
              <w:spacing w:after="0" w:line="240" w:lineRule="auto"/>
              <w:jc w:val="center"/>
              <w:rPr>
                <w:rFonts w:eastAsia="Times New Roman"/>
                <w:noProof/>
              </w:rPr>
            </w:pPr>
            <w:r>
              <w:rPr>
                <w:noProof/>
              </w:rPr>
              <w:t>Entrée en vigueur des actes juridiques dans le domaine des soins de santé primaires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58E0F3" w14:textId="77777777" w:rsidR="006C686E" w:rsidRDefault="00B17E8C">
            <w:pPr>
              <w:pStyle w:val="P68B1DB1-Normal11"/>
              <w:spacing w:after="0" w:line="240" w:lineRule="auto"/>
              <w:jc w:val="center"/>
              <w:rPr>
                <w:rFonts w:eastAsia="Times New Roman"/>
                <w:noProof/>
              </w:rPr>
            </w:pPr>
            <w:r>
              <w:rPr>
                <w:noProof/>
              </w:rPr>
              <w:t>Entrée en vigueur des actes juridiques révisés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BABFEB"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615498"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F703DE"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5C1B6A"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947B17" w14:textId="77777777" w:rsidR="006C686E" w:rsidRDefault="00B17E8C">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42E312" w14:textId="77777777" w:rsidR="006C686E" w:rsidRDefault="00B17E8C">
            <w:pPr>
              <w:pStyle w:val="P68B1DB1-Normal11"/>
              <w:spacing w:after="0" w:line="240" w:lineRule="auto"/>
              <w:jc w:val="both"/>
              <w:rPr>
                <w:rFonts w:eastAsia="Times New Roman"/>
                <w:noProof/>
              </w:rPr>
            </w:pPr>
            <w:r>
              <w:rPr>
                <w:noProof/>
              </w:rPr>
              <w:t>Révision des actes juridiques dans le domaine des soins de santé primaires, à savoir: i) la législation qui sous-tend les unités fonctionnelles des centres de soins de santé primaires (y compris le décret-loi no 73/2017 pour les unités de santé familiale modèle B, l'arrêté gouvernemental no 1 368/2007, les règles et le modèle de rémunération des unités de santé familiale modèle B et l'acte juridique associé, ainsi que les actes juridiques qui sous-tendent le fonctionnement d'autres types d'unités de soins de santé primaires); et ii) la législation qui sous-tend les groupes de centres de santé (y compris les actes juridiques qui sous-tendent les groupes de centres de santé, à savoir le décret-loi no 28/2008).</w:t>
            </w:r>
          </w:p>
        </w:tc>
      </w:tr>
      <w:tr w:rsidR="006C686E" w14:paraId="3FD33213" w14:textId="77777777" w:rsidTr="00093E19">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C8057" w14:textId="77777777" w:rsidR="006C686E" w:rsidRDefault="00B17E8C">
            <w:pPr>
              <w:pStyle w:val="P68B1DB1-Normal10"/>
              <w:spacing w:after="0" w:line="240" w:lineRule="auto"/>
              <w:jc w:val="center"/>
              <w:rPr>
                <w:rFonts w:eastAsia="Times New Roman"/>
                <w:bCs/>
                <w:noProof/>
              </w:rPr>
            </w:pPr>
            <w:r>
              <w:rPr>
                <w:noProof/>
              </w:rPr>
              <w:t>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F45249" w14:textId="77777777" w:rsidR="006C686E" w:rsidRDefault="00B17E8C">
            <w:pPr>
              <w:pStyle w:val="P68B1DB1-Normal11"/>
              <w:spacing w:after="0" w:line="240" w:lineRule="auto"/>
              <w:jc w:val="center"/>
              <w:rPr>
                <w:rFonts w:eastAsia="Times New Roman"/>
                <w:noProof/>
              </w:rPr>
            </w:pPr>
            <w:r>
              <w:rPr>
                <w:noProof/>
              </w:rPr>
              <w:t>RE-C01-r01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059BB4"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33126B" w14:textId="77777777" w:rsidR="006C686E" w:rsidRDefault="00B17E8C">
            <w:pPr>
              <w:pStyle w:val="P68B1DB1-Normal11"/>
              <w:spacing w:after="0" w:line="240" w:lineRule="auto"/>
              <w:jc w:val="center"/>
              <w:rPr>
                <w:rFonts w:eastAsia="Times New Roman"/>
                <w:noProof/>
              </w:rPr>
            </w:pPr>
            <w:r>
              <w:rPr>
                <w:noProof/>
              </w:rPr>
              <w:t>Fourniture d’un accès à l’instrument de stratification des risques pour soutenir la gouvernance clinique dans les unités fonctionnelles des groupes de centres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67E64"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3BB544"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A5E41F"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2D3AC0" w14:textId="77777777" w:rsidR="006C686E" w:rsidRDefault="00B17E8C">
            <w:pPr>
              <w:pStyle w:val="P68B1DB1-Normal11"/>
              <w:spacing w:after="0" w:line="240" w:lineRule="auto"/>
              <w:jc w:val="center"/>
              <w:rPr>
                <w:rFonts w:eastAsia="Times New Roman"/>
                <w:noProof/>
              </w:rPr>
            </w:pPr>
            <w:r>
              <w:rPr>
                <w:noProof/>
              </w:rPr>
              <w:t>1 000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3A827"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C68FD2" w14:textId="77777777" w:rsidR="006C686E" w:rsidRDefault="00B17E8C">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885936" w14:textId="77777777" w:rsidR="006C686E" w:rsidRDefault="00B17E8C">
            <w:pPr>
              <w:pStyle w:val="P68B1DB1-Normal11"/>
              <w:spacing w:after="0" w:line="240" w:lineRule="auto"/>
              <w:jc w:val="both"/>
              <w:rPr>
                <w:rFonts w:eastAsia="Times New Roman"/>
                <w:noProof/>
              </w:rPr>
            </w:pPr>
            <w:r>
              <w:rPr>
                <w:noProof/>
              </w:rPr>
              <w:t>Nombre d’unités fonctionnelles des centres de santé ayant accès aux informations provenant de l’instrument de stratification des risques couvrant les utilisateurs enregistrés. L’instrument de stratification des risques permet une intervention proactive dans les populations présentant un risque clinique et une vulnérabilité sociale plus élevés, en garantissant des programmes de dépistage et de diagnostic précoce fondés sur la population dans l’ensemble du pays, ainsi qu’un traitement en temps utile et un suivi adéquat des utilisateurs qui souffrent des maladies les plus fréquentes (cardiovasculaires, diabète, cancer, respiratoires, mentales et ostéoarticulaires).</w:t>
            </w:r>
          </w:p>
        </w:tc>
      </w:tr>
      <w:tr w:rsidR="006C686E" w14:paraId="49E2F5E2" w14:textId="77777777" w:rsidTr="00093E19">
        <w:trPr>
          <w:trHeight w:val="1123"/>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34EB5B" w14:textId="77777777" w:rsidR="006C686E" w:rsidRDefault="00B17E8C">
            <w:pPr>
              <w:pStyle w:val="P68B1DB1-Normal10"/>
              <w:spacing w:after="0" w:line="240" w:lineRule="auto"/>
              <w:jc w:val="center"/>
              <w:rPr>
                <w:rFonts w:eastAsia="Times New Roman"/>
                <w:bCs/>
                <w:noProof/>
              </w:rPr>
            </w:pPr>
            <w:r>
              <w:rPr>
                <w:noProof/>
              </w:rPr>
              <w:t>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35BD7B" w14:textId="77777777" w:rsidR="006C686E" w:rsidRDefault="00B17E8C">
            <w:pPr>
              <w:pStyle w:val="P68B1DB1-Normal11"/>
              <w:spacing w:after="0" w:line="240" w:lineRule="auto"/>
              <w:jc w:val="center"/>
              <w:rPr>
                <w:rFonts w:eastAsia="Times New Roman"/>
                <w:noProof/>
              </w:rPr>
            </w:pPr>
            <w:r>
              <w:rPr>
                <w:noProof/>
              </w:rPr>
              <w:t>RE-C01-r01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B2CCBC"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6512DA" w14:textId="77777777" w:rsidR="006C686E" w:rsidRDefault="00B17E8C">
            <w:pPr>
              <w:pStyle w:val="P68B1DB1-Normal11"/>
              <w:spacing w:after="0" w:line="240" w:lineRule="auto"/>
              <w:jc w:val="center"/>
              <w:rPr>
                <w:rFonts w:eastAsia="Times New Roman"/>
                <w:noProof/>
              </w:rPr>
            </w:pPr>
            <w:r>
              <w:rPr>
                <w:noProof/>
              </w:rPr>
              <w:t>Achèvement du processus de décentralisation des responsabilités dans le domaine de la santé dans les municipalités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104C5"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70CFA9"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DB54EA"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5A300" w14:textId="77777777" w:rsidR="006C686E" w:rsidRDefault="00B17E8C">
            <w:pPr>
              <w:pStyle w:val="P68B1DB1-Normal11"/>
              <w:spacing w:after="0" w:line="240" w:lineRule="auto"/>
              <w:jc w:val="center"/>
              <w:rPr>
                <w:rFonts w:eastAsia="Times New Roman"/>
                <w:noProof/>
              </w:rPr>
            </w:pPr>
            <w:r>
              <w:rPr>
                <w:noProof/>
              </w:rPr>
              <w:t>201</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AF292"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188E06"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0D64DC" w14:textId="77777777" w:rsidR="006C686E" w:rsidRDefault="00B17E8C">
            <w:pPr>
              <w:pStyle w:val="P68B1DB1-Normal11"/>
              <w:spacing w:after="0" w:line="240" w:lineRule="auto"/>
              <w:jc w:val="both"/>
              <w:rPr>
                <w:rFonts w:eastAsia="Times New Roman"/>
                <w:noProof/>
              </w:rPr>
            </w:pPr>
            <w:r>
              <w:rPr>
                <w:noProof/>
              </w:rPr>
              <w:t xml:space="preserve">Nombre de nouvelles municipalités où le processus de décentralisation des responsabilités dans le domaine de la santé a été achevé, conformément au décret-loi no 23/2019 du 30 janvier, par la signature d’un avis de transfert par le ministère de la santé, les administrations régionales de la santé et les municipalités. Le transfert de responsabilités couvre notamment: i) la participation des municipalités aux décisions de planification, de gestion et d'investissement des unités de soins de santé primaires et des divisions d'intervention dans les comportements addictifs et les dépendances, notamment dans leur construction, leur équipement et leur entretien; ii) la gestion, l'entretien et la conservation d'autres équipements liés aux soins de santé primaires; iii) la gestion des travailleurs de la santé dans la catégorie des assistants opérationnels des unités fonctionnelles des groupes de centres de santé et des divisions d'intervention dans les comportements addictifs et les dépendances qui intègrent le Service national de santé; iv) la gestion des services de soutien logistique des groupes de centres de santé. </w:t>
            </w:r>
          </w:p>
        </w:tc>
      </w:tr>
      <w:tr w:rsidR="006C686E" w14:paraId="5CD4ED42"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FFAE27" w14:textId="77777777" w:rsidR="006C686E" w:rsidRDefault="00B17E8C">
            <w:pPr>
              <w:pStyle w:val="P68B1DB1-Normal10"/>
              <w:spacing w:after="0" w:line="240" w:lineRule="auto"/>
              <w:jc w:val="center"/>
              <w:rPr>
                <w:rFonts w:eastAsia="Times New Roman"/>
                <w:bCs/>
                <w:noProof/>
              </w:rPr>
            </w:pPr>
            <w:r>
              <w:rPr>
                <w:noProof/>
              </w:rPr>
              <w:t>1.4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C8D9D8" w14:textId="77777777" w:rsidR="006C686E" w:rsidRDefault="00B17E8C">
            <w:pPr>
              <w:pStyle w:val="P68B1DB1-Normal11"/>
              <w:spacing w:after="0" w:line="240" w:lineRule="auto"/>
              <w:jc w:val="center"/>
              <w:rPr>
                <w:rFonts w:eastAsia="Times New Roman"/>
                <w:noProof/>
              </w:rPr>
            </w:pPr>
            <w:r>
              <w:rPr>
                <w:noProof/>
              </w:rPr>
              <w:t>RE-C01-r02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5A1ED7"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5E031C" w14:textId="77777777" w:rsidR="006C686E" w:rsidRDefault="00B17E8C">
            <w:pPr>
              <w:pStyle w:val="P68B1DB1-Normal11"/>
              <w:spacing w:after="0" w:line="240" w:lineRule="auto"/>
              <w:jc w:val="center"/>
              <w:rPr>
                <w:rFonts w:eastAsia="Times New Roman"/>
                <w:noProof/>
              </w:rPr>
            </w:pPr>
            <w:r>
              <w:rPr>
                <w:noProof/>
              </w:rPr>
              <w:t>Entrée en vigueur du nouveau décret-loi sur la santé mentale, qui énonce les principes d'organisation des services de soins de santé mentale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AA1D52" w14:textId="77777777" w:rsidR="006C686E" w:rsidRDefault="00B17E8C">
            <w:pPr>
              <w:pStyle w:val="P68B1DB1-Normal11"/>
              <w:spacing w:after="0" w:line="240" w:lineRule="auto"/>
              <w:jc w:val="center"/>
              <w:rPr>
                <w:rFonts w:eastAsia="Times New Roman"/>
                <w:noProof/>
              </w:rPr>
            </w:pPr>
            <w:r>
              <w:rPr>
                <w:noProof/>
              </w:rPr>
              <w:t>Entrée en vigueur du nouveau décret-loi sur la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338597"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98D18A"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AB733F"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71291A"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42B5F8" w14:textId="77777777" w:rsidR="006C686E" w:rsidRDefault="00B17E8C">
            <w:pPr>
              <w:pStyle w:val="P68B1DB1-Normal11"/>
              <w:spacing w:after="0" w:line="240" w:lineRule="auto"/>
              <w:jc w:val="center"/>
              <w:rPr>
                <w:rFonts w:eastAsia="Times New Roman"/>
                <w:noProof/>
              </w:rPr>
            </w:pPr>
            <w:r>
              <w:rPr>
                <w:noProof/>
              </w:rPr>
              <w:t>2021</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4BB7BE" w14:textId="7D12DD17" w:rsidR="006C686E" w:rsidRDefault="00B17E8C">
            <w:pPr>
              <w:pStyle w:val="P68B1DB1-Normal11"/>
              <w:spacing w:after="0" w:line="240" w:lineRule="auto"/>
              <w:jc w:val="both"/>
              <w:rPr>
                <w:rFonts w:eastAsia="Times New Roman"/>
                <w:noProof/>
              </w:rPr>
            </w:pPr>
            <w:r>
              <w:rPr>
                <w:noProof/>
              </w:rPr>
              <w:t>Le nouveau décret-loi reflète les propositions de modifications formulées par le groupe de travail institué par l’arrêté gouvernemental no 6 324/2020 du 15 juin, tel que modifié par l’arrêté gouvernemental no 11 485/2020 du 20 novembre, en vue de définir les principes d’organisation des services de soins de santé mentale.</w:t>
            </w:r>
          </w:p>
        </w:tc>
      </w:tr>
      <w:tr w:rsidR="006C686E" w14:paraId="0BFC6704" w14:textId="77777777" w:rsidTr="00093E19">
        <w:trPr>
          <w:trHeight w:val="185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ED2EB" w14:textId="77777777" w:rsidR="006C686E" w:rsidRDefault="00B17E8C">
            <w:pPr>
              <w:pStyle w:val="P68B1DB1-Normal10"/>
              <w:spacing w:after="0" w:line="240" w:lineRule="auto"/>
              <w:jc w:val="center"/>
              <w:rPr>
                <w:rFonts w:eastAsia="Times New Roman"/>
                <w:bCs/>
                <w:noProof/>
              </w:rPr>
            </w:pPr>
            <w:r>
              <w:rPr>
                <w:noProof/>
              </w:rPr>
              <w:t>1.5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0E6853" w14:textId="77777777" w:rsidR="006C686E" w:rsidRDefault="00B17E8C">
            <w:pPr>
              <w:pStyle w:val="P68B1DB1-Normal11"/>
              <w:spacing w:after="0" w:line="240" w:lineRule="auto"/>
              <w:jc w:val="center"/>
              <w:rPr>
                <w:rFonts w:eastAsia="Times New Roman"/>
                <w:noProof/>
              </w:rPr>
            </w:pPr>
            <w:r>
              <w:rPr>
                <w:noProof/>
              </w:rPr>
              <w:t>RE-C01-r02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C501CF"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E32AE1" w14:textId="77777777" w:rsidR="006C686E" w:rsidRDefault="00B17E8C">
            <w:pPr>
              <w:pStyle w:val="P68B1DB1-Normal11"/>
              <w:spacing w:after="0" w:line="240" w:lineRule="auto"/>
              <w:jc w:val="center"/>
              <w:rPr>
                <w:rFonts w:eastAsia="Times New Roman"/>
                <w:noProof/>
              </w:rPr>
            </w:pPr>
            <w:r>
              <w:rPr>
                <w:noProof/>
              </w:rPr>
              <w:t>Entrée en vigueur de la nouvelle loi sur la santé mentale, qui établit les principes relatifs aux droits des personnes atteintes de maladie mentale et réglemente l'hospitalisation ou le traitement obligatoire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F0DAED" w14:textId="77777777" w:rsidR="006C686E" w:rsidRDefault="00B17E8C">
            <w:pPr>
              <w:pStyle w:val="P68B1DB1-Normal11"/>
              <w:spacing w:after="0" w:line="240" w:lineRule="auto"/>
              <w:jc w:val="center"/>
              <w:rPr>
                <w:rFonts w:eastAsia="Times New Roman"/>
                <w:noProof/>
              </w:rPr>
            </w:pPr>
            <w:r>
              <w:rPr>
                <w:noProof/>
              </w:rPr>
              <w:t>Entrée en vigueur de la nouvelle loi sur la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0B59C4"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7F795C"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5FB15D"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2408B0"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6E21DA" w14:textId="77777777" w:rsidR="006C686E" w:rsidRDefault="00B17E8C">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1580D7" w14:textId="1F2CBD37" w:rsidR="006C686E" w:rsidRDefault="00B17E8C">
            <w:pPr>
              <w:pStyle w:val="P68B1DB1-Normal11"/>
              <w:spacing w:after="0" w:line="240" w:lineRule="auto"/>
              <w:jc w:val="both"/>
              <w:rPr>
                <w:rFonts w:eastAsia="Times New Roman"/>
                <w:noProof/>
              </w:rPr>
            </w:pPr>
            <w:r>
              <w:rPr>
                <w:noProof/>
              </w:rPr>
              <w:t>La nouvelle loi sur la santé mentale reflète les propositions de modifications formulées par le groupe de travail créé par l’arrêté gouvernemental no 6324/2020 du 15 juin, tel que modifié par l’arrêté gouvernemental no 11485/2020 du 20 novembre, en vue de fixer les principes relatifs aux droits des personnes atteintes de maladie mentale et de réglementer l’hospitalisation ou le traitement obligatoire.</w:t>
            </w:r>
          </w:p>
        </w:tc>
      </w:tr>
      <w:tr w:rsidR="006C686E" w14:paraId="6EC4A88A" w14:textId="77777777" w:rsidTr="00093E19">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08ACB0" w14:textId="77777777" w:rsidR="006C686E" w:rsidRDefault="00B17E8C">
            <w:pPr>
              <w:pStyle w:val="P68B1DB1-Normal10"/>
              <w:spacing w:after="0" w:line="240" w:lineRule="auto"/>
              <w:jc w:val="center"/>
              <w:rPr>
                <w:rFonts w:eastAsia="Times New Roman"/>
                <w:bCs/>
                <w:noProof/>
              </w:rPr>
            </w:pPr>
            <w:r>
              <w:rPr>
                <w:noProof/>
              </w:rPr>
              <w:t>1.6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D5CA89" w14:textId="77777777" w:rsidR="006C686E" w:rsidRDefault="00B17E8C">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C7A125"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7DC4D6" w14:textId="77777777" w:rsidR="006C686E" w:rsidRDefault="00B17E8C">
            <w:pPr>
              <w:pStyle w:val="P68B1DB1-Normal11"/>
              <w:spacing w:after="0" w:line="240" w:lineRule="auto"/>
              <w:jc w:val="center"/>
              <w:rPr>
                <w:rFonts w:eastAsia="Times New Roman"/>
                <w:noProof/>
              </w:rPr>
            </w:pPr>
            <w:r>
              <w:rPr>
                <w:noProof/>
              </w:rPr>
              <w:t xml:space="preserve">Entrée en vigueur du nouveau modèle de contrat de gestion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F51429" w14:textId="77777777" w:rsidR="006C686E" w:rsidRDefault="00B17E8C">
            <w:pPr>
              <w:pStyle w:val="P68B1DB1-Normal11"/>
              <w:spacing w:after="0" w:line="240" w:lineRule="auto"/>
              <w:jc w:val="center"/>
              <w:rPr>
                <w:rFonts w:eastAsia="Times New Roman"/>
                <w:noProof/>
              </w:rPr>
            </w:pPr>
            <w:r>
              <w:rPr>
                <w:noProof/>
              </w:rPr>
              <w:t>Entrée en vigueur du nouveau modèle de contrat de gestion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130C86"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D4458A"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7C7AA0"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92E81"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F9F7AA"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9EDE58" w14:textId="77777777" w:rsidR="006C686E" w:rsidRDefault="00B17E8C">
            <w:pPr>
              <w:pStyle w:val="P68B1DB1-Normal11"/>
              <w:spacing w:after="0" w:line="240" w:lineRule="auto"/>
              <w:jc w:val="both"/>
              <w:rPr>
                <w:rFonts w:eastAsia="Times New Roman"/>
                <w:noProof/>
              </w:rPr>
            </w:pPr>
            <w:r>
              <w:rPr>
                <w:noProof/>
              </w:rPr>
              <w:t>Entrée en vigueur, par approbation conjointe des ministères de la santé et des finances, du nouveau modèle de contrat de gestion. Le nouveau modèle sera respecté dans tous les futurs contrats de gestion qui seront signés par tous les gestionnaires publics d’entreprises publiques du système de santé, afin de renforcer la responsabilité et d’encourager les pratiques de gestion axées sur les performances.</w:t>
            </w:r>
          </w:p>
        </w:tc>
      </w:tr>
      <w:tr w:rsidR="006C686E" w14:paraId="60D4D1E7" w14:textId="77777777" w:rsidTr="00093E19">
        <w:trPr>
          <w:trHeight w:val="556"/>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82966B" w14:textId="77777777" w:rsidR="006C686E" w:rsidRDefault="00B17E8C">
            <w:pPr>
              <w:pStyle w:val="P68B1DB1-Normal10"/>
              <w:spacing w:after="0" w:line="240" w:lineRule="auto"/>
              <w:jc w:val="center"/>
              <w:rPr>
                <w:rFonts w:eastAsia="Times New Roman"/>
                <w:bCs/>
                <w:noProof/>
              </w:rPr>
            </w:pPr>
            <w:r>
              <w:rPr>
                <w:noProof/>
              </w:rPr>
              <w:t>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D14A14" w14:textId="77777777" w:rsidR="006C686E" w:rsidRDefault="00B17E8C">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13DED9"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58EECA" w14:textId="77777777" w:rsidR="006C686E" w:rsidRDefault="00B17E8C">
            <w:pPr>
              <w:pStyle w:val="P68B1DB1-Normal11"/>
              <w:spacing w:after="0" w:line="240" w:lineRule="auto"/>
              <w:jc w:val="center"/>
              <w:rPr>
                <w:rFonts w:eastAsia="Times New Roman"/>
                <w:noProof/>
              </w:rPr>
            </w:pPr>
            <w:r>
              <w:rPr>
                <w:noProof/>
              </w:rPr>
              <w:t>Entrée en vigueur du nouveau plan comptable de gestion du 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CDB1EA" w14:textId="77777777" w:rsidR="006C686E" w:rsidRDefault="00B17E8C">
            <w:pPr>
              <w:pStyle w:val="P68B1DB1-Normal11"/>
              <w:spacing w:after="0" w:line="240" w:lineRule="auto"/>
              <w:jc w:val="center"/>
              <w:rPr>
                <w:rFonts w:eastAsia="Times New Roman"/>
                <w:noProof/>
              </w:rPr>
            </w:pPr>
            <w:r>
              <w:rPr>
                <w:noProof/>
              </w:rPr>
              <w:t>Entrée en vigueur du nouveau plan comptable de gestion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2F6BD8"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4937D5"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EF8B51"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C09152"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93CA0A" w14:textId="77777777" w:rsidR="006C686E" w:rsidRDefault="00B17E8C">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BA8D8B" w14:textId="77777777" w:rsidR="006C686E" w:rsidRDefault="00B17E8C">
            <w:pPr>
              <w:pStyle w:val="P68B1DB1-Normal11"/>
              <w:spacing w:after="0" w:line="240" w:lineRule="auto"/>
              <w:jc w:val="both"/>
              <w:rPr>
                <w:rFonts w:eastAsia="Times New Roman"/>
                <w:noProof/>
              </w:rPr>
            </w:pPr>
            <w:r>
              <w:rPr>
                <w:noProof/>
              </w:rPr>
              <w:t>Établissement d'un plan comptable de gestion pour le service national de santé, afin de recueillir, au niveau national, des informations sur les coûts, les revenus et les résultats des services hospitaliers, améliorant ainsi l'allocation des ressources au sein du service national de santé, l'étalonnage et l'identification des domaines d'amélioration de l'efficacité opérationnelle des entités sanitaires. Le nouveau plan comptable de gestion est diffusé au moyen d’une circulaire normative par l’administration centrale du système de santé.</w:t>
            </w:r>
          </w:p>
        </w:tc>
      </w:tr>
      <w:tr w:rsidR="006C686E" w14:paraId="58212E7F" w14:textId="77777777" w:rsidTr="00093E19">
        <w:trPr>
          <w:trHeight w:val="50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8584E6" w14:textId="77777777" w:rsidR="006C686E" w:rsidRDefault="00B17E8C">
            <w:pPr>
              <w:pStyle w:val="P68B1DB1-Normal10"/>
              <w:spacing w:after="0" w:line="240" w:lineRule="auto"/>
              <w:jc w:val="center"/>
              <w:rPr>
                <w:rFonts w:eastAsia="Times New Roman"/>
                <w:bCs/>
                <w:noProof/>
              </w:rPr>
            </w:pPr>
            <w:r>
              <w:rPr>
                <w:noProof/>
              </w:rPr>
              <w:t>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4860AB" w14:textId="77777777" w:rsidR="006C686E" w:rsidRDefault="00B17E8C">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B1564B"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482A61" w14:textId="77777777" w:rsidR="006C686E" w:rsidRDefault="00B17E8C">
            <w:pPr>
              <w:pStyle w:val="P68B1DB1-Normal11"/>
              <w:spacing w:after="0" w:line="240" w:lineRule="auto"/>
              <w:jc w:val="center"/>
              <w:rPr>
                <w:rFonts w:eastAsia="Times New Roman"/>
                <w:noProof/>
              </w:rPr>
            </w:pPr>
            <w:r>
              <w:rPr>
                <w:noProof/>
              </w:rPr>
              <w:t>Création de nouveaux centres de responsabilité intégrée dans les hôpitaux du 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8E8862"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12D378"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478175"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E1756" w14:textId="77777777" w:rsidR="006C686E" w:rsidRDefault="00B17E8C">
            <w:pPr>
              <w:pStyle w:val="P68B1DB1-Normal11"/>
              <w:spacing w:after="0" w:line="240" w:lineRule="auto"/>
              <w:jc w:val="center"/>
              <w:rPr>
                <w:rFonts w:eastAsia="Times New Roman"/>
                <w:noProof/>
              </w:rPr>
            </w:pPr>
            <w:r>
              <w:rPr>
                <w:noProof/>
              </w:rPr>
              <w:t>10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11E9B3"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3F5F5B"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39EC0A" w14:textId="77777777" w:rsidR="006C686E" w:rsidRDefault="00B17E8C">
            <w:pPr>
              <w:pStyle w:val="P68B1DB1-Normal11"/>
              <w:spacing w:after="0" w:line="240" w:lineRule="auto"/>
              <w:jc w:val="both"/>
              <w:rPr>
                <w:rFonts w:eastAsia="Times New Roman"/>
                <w:noProof/>
              </w:rPr>
            </w:pPr>
            <w:r>
              <w:rPr>
                <w:noProof/>
              </w:rPr>
              <w:t>Création de nouveaux centres de responsabilité intégrée dans les hôpitaux du Service national de santé afin de: i) améliorer l'accès aux services de soins de santé ainsi que leur qualité et leur efficacité; ii) renforcer la gouvernance clinique, l'autonomie et la responsabilisation des services de soins de santé; iii) encourager les professionnels de la santé à continuer de travailler dans les hôpitaux publics; iv) partager les risques et les avantages entre les services de soins de santé et les hôpitaux; v) valoriser la mission de chaque service de santé et hôpital dans le contexte régional et national du Service national de santé.</w:t>
            </w:r>
          </w:p>
        </w:tc>
      </w:tr>
      <w:tr w:rsidR="006C686E" w14:paraId="0DFAFB69" w14:textId="77777777" w:rsidTr="00093E19">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01A970" w14:textId="77777777" w:rsidR="006C686E" w:rsidRDefault="00B17E8C">
            <w:pPr>
              <w:pStyle w:val="P68B1DB1-Normal10"/>
              <w:spacing w:after="0" w:line="240" w:lineRule="auto"/>
              <w:jc w:val="center"/>
              <w:rPr>
                <w:rFonts w:eastAsia="Times New Roman"/>
                <w:bCs/>
                <w:noProof/>
              </w:rPr>
            </w:pPr>
            <w:r>
              <w:rPr>
                <w:noProof/>
              </w:rPr>
              <w:t>1.9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DE55C" w14:textId="77777777" w:rsidR="006C686E" w:rsidRDefault="00B17E8C">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E4D2B1"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7382BA" w14:textId="77777777" w:rsidR="006C686E" w:rsidRDefault="00B17E8C">
            <w:pPr>
              <w:pStyle w:val="P68B1DB1-Normal11"/>
              <w:spacing w:after="0" w:line="240" w:lineRule="auto"/>
              <w:jc w:val="center"/>
              <w:rPr>
                <w:rFonts w:eastAsia="Times New Roman"/>
                <w:noProof/>
              </w:rPr>
            </w:pPr>
            <w:r>
              <w:rPr>
                <w:noProof/>
              </w:rPr>
              <w:t>Création de nouveaux centres de responsabilité intégrée dans les hôpitaux du 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6AFCC7"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7024A6"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3AE3A6" w14:textId="77777777" w:rsidR="006C686E" w:rsidRDefault="00B17E8C">
            <w:pPr>
              <w:pStyle w:val="P68B1DB1-Normal11"/>
              <w:spacing w:after="0" w:line="240" w:lineRule="auto"/>
              <w:jc w:val="center"/>
              <w:rPr>
                <w:rFonts w:eastAsia="Times New Roman"/>
                <w:noProof/>
              </w:rPr>
            </w:pPr>
            <w:r>
              <w:rPr>
                <w:noProof/>
              </w:rPr>
              <w:t>10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3C2E00" w14:textId="77777777" w:rsidR="006C686E" w:rsidRDefault="00B17E8C">
            <w:pPr>
              <w:pStyle w:val="P68B1DB1-Normal11"/>
              <w:spacing w:after="0" w:line="240" w:lineRule="auto"/>
              <w:jc w:val="center"/>
              <w:rPr>
                <w:rFonts w:eastAsia="Times New Roman"/>
                <w:noProof/>
              </w:rPr>
            </w:pPr>
            <w:r>
              <w:rPr>
                <w:noProof/>
              </w:rPr>
              <w:t>25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D6F8C"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6D1484" w14:textId="77777777" w:rsidR="006C686E" w:rsidRDefault="00B17E8C">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B8F0CE" w14:textId="77777777" w:rsidR="006C686E" w:rsidRDefault="00B17E8C">
            <w:pPr>
              <w:pStyle w:val="P68B1DB1-Normal11"/>
              <w:spacing w:after="0" w:line="240" w:lineRule="auto"/>
              <w:jc w:val="both"/>
              <w:rPr>
                <w:rFonts w:eastAsia="Times New Roman"/>
                <w:noProof/>
              </w:rPr>
            </w:pPr>
            <w:r>
              <w:rPr>
                <w:noProof/>
              </w:rPr>
              <w:t>Création de nouveaux centres de responsabilité intégrée dans les hôpitaux du Service national de santé afin de: i) améliorer l'accès aux services de soins de santé ainsi que leur qualité et leur efficacité; ii) renforcer la gouvernance clinique, l'autonomie et la responsabilisation des services de soins de santé; iii) encourager les professionnels de la santé à continuer de travailler dans les hôpitaux publics; iv) partager les risques et les avantages entre les services de soins de santé et les hôpitaux; v) valoriser la mission de chaque service de santé et hôpital dans le contexte régional et national du Service national de santé.</w:t>
            </w:r>
          </w:p>
        </w:tc>
      </w:tr>
      <w:tr w:rsidR="006C686E" w14:paraId="0B5A83B2" w14:textId="77777777" w:rsidTr="00093E19">
        <w:trPr>
          <w:trHeight w:val="10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8BA643" w14:textId="77777777" w:rsidR="006C686E" w:rsidRDefault="00B17E8C">
            <w:pPr>
              <w:pStyle w:val="P68B1DB1-Normal10"/>
              <w:spacing w:after="0" w:line="240" w:lineRule="auto"/>
              <w:jc w:val="center"/>
              <w:rPr>
                <w:rFonts w:eastAsia="Times New Roman"/>
                <w:bCs/>
                <w:noProof/>
              </w:rPr>
            </w:pPr>
            <w:r>
              <w:rPr>
                <w:noProof/>
              </w:rPr>
              <w:t>1.10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763E3E" w14:textId="77777777" w:rsidR="006C686E" w:rsidRDefault="00B17E8C">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3EAB90"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488164" w14:textId="77777777" w:rsidR="006C686E" w:rsidRDefault="00B17E8C">
            <w:pPr>
              <w:pStyle w:val="P68B1DB1-Normal12"/>
              <w:spacing w:after="0" w:line="240" w:lineRule="auto"/>
              <w:jc w:val="center"/>
              <w:rPr>
                <w:noProof/>
              </w:rPr>
            </w:pPr>
            <w:r>
              <w:rPr>
                <w:noProof/>
              </w:rPr>
              <w:t xml:space="preserve"> Augmentation du nombre de patients sortis de l'hospitalisation à domicile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989724"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EB3AAA"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364587"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16279B" w14:textId="77777777" w:rsidR="006C686E" w:rsidRDefault="00B17E8C">
            <w:pPr>
              <w:pStyle w:val="P68B1DB1-Normal11"/>
              <w:spacing w:after="0" w:line="240" w:lineRule="auto"/>
              <w:jc w:val="center"/>
              <w:rPr>
                <w:rFonts w:eastAsia="Times New Roman"/>
                <w:noProof/>
              </w:rPr>
            </w:pPr>
            <w:r>
              <w:rPr>
                <w:noProof/>
              </w:rPr>
              <w:t>5 000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FA3DCD"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21A8CF" w14:textId="77777777" w:rsidR="006C686E" w:rsidRDefault="00B17E8C">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55BDAF" w14:textId="77777777" w:rsidR="006C686E" w:rsidRDefault="00B17E8C">
            <w:pPr>
              <w:pStyle w:val="P68B1DB1-Normal11"/>
              <w:spacing w:after="0" w:line="240" w:lineRule="auto"/>
              <w:jc w:val="both"/>
              <w:rPr>
                <w:rFonts w:eastAsia="Times New Roman"/>
                <w:noProof/>
              </w:rPr>
            </w:pPr>
            <w:r>
              <w:rPr>
                <w:noProof/>
              </w:rPr>
              <w:t>Augmentation du nombre annuel de patients sortant d’une hospitalisation à domicile entre 2020 et 2024.</w:t>
            </w:r>
          </w:p>
        </w:tc>
      </w:tr>
      <w:tr w:rsidR="006C686E" w14:paraId="5601C9AD" w14:textId="77777777" w:rsidTr="00093E19">
        <w:trPr>
          <w:trHeight w:val="548"/>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7B0D94" w14:textId="77777777" w:rsidR="006C686E" w:rsidRDefault="00B17E8C">
            <w:pPr>
              <w:pStyle w:val="P68B1DB1-Normal10"/>
              <w:spacing w:after="0" w:line="240" w:lineRule="auto"/>
              <w:jc w:val="center"/>
              <w:rPr>
                <w:rFonts w:eastAsia="Times New Roman"/>
                <w:bCs/>
                <w:noProof/>
              </w:rPr>
            </w:pPr>
            <w:r>
              <w:rPr>
                <w:noProof/>
              </w:rPr>
              <w:t>1.11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C4AD07" w14:textId="77777777" w:rsidR="006C686E" w:rsidRDefault="00B17E8C">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2ED5CA"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CC5D9B" w14:textId="77777777" w:rsidR="006C686E" w:rsidRDefault="00B17E8C">
            <w:pPr>
              <w:pStyle w:val="P68B1DB1-Normal11"/>
              <w:spacing w:after="0" w:line="240" w:lineRule="auto"/>
              <w:jc w:val="center"/>
              <w:rPr>
                <w:rFonts w:eastAsia="Times New Roman"/>
                <w:noProof/>
              </w:rPr>
            </w:pPr>
            <w:r>
              <w:rPr>
                <w:noProof/>
              </w:rPr>
              <w:t>Entrée en vigueur du plan d'action visant à renforcer les mécanismes centralisés d'achat de médicaments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2FD821" w14:textId="77777777" w:rsidR="006C686E" w:rsidRDefault="00B17E8C">
            <w:pPr>
              <w:pStyle w:val="P68B1DB1-Normal11"/>
              <w:spacing w:after="0" w:line="240" w:lineRule="auto"/>
              <w:jc w:val="center"/>
              <w:rPr>
                <w:rFonts w:eastAsia="Times New Roman"/>
                <w:noProof/>
              </w:rPr>
            </w:pPr>
            <w:r>
              <w:rPr>
                <w:noProof/>
              </w:rPr>
              <w:t>Entrée en vigueur du plan d'action visant à renforcer les mécanismes centralisés d'achat de médicaments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833524"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9A8709"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3B3FC1"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09C700"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241673" w14:textId="77777777" w:rsidR="006C686E" w:rsidRDefault="00B17E8C">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E369D" w14:textId="77777777" w:rsidR="006C686E" w:rsidRDefault="00B17E8C">
            <w:pPr>
              <w:pStyle w:val="P68B1DB1-Normal11"/>
              <w:spacing w:after="0" w:line="240" w:lineRule="auto"/>
              <w:jc w:val="both"/>
              <w:rPr>
                <w:rFonts w:eastAsia="Times New Roman"/>
                <w:noProof/>
              </w:rPr>
            </w:pPr>
            <w:r>
              <w:rPr>
                <w:noProof/>
              </w:rPr>
              <w:t>Entrée en vigueur du plan d’action visant à renforcer les mécanismes d’achat centralisé de médicaments, à mettre en œuvre les recommandations de l’évaluation indépendante de l’achat centralisé de médicaments au Portugal, réalisée par l’Institut national autrichien de la santé publique dans le cadre du programme d’appui à la réforme structurelle.</w:t>
            </w:r>
          </w:p>
        </w:tc>
      </w:tr>
      <w:tr w:rsidR="006C686E" w14:paraId="5F2D9426" w14:textId="77777777" w:rsidTr="00093E19">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A2C4DF" w14:textId="77777777" w:rsidR="006C686E" w:rsidRDefault="00B17E8C">
            <w:pPr>
              <w:pStyle w:val="P68B1DB1-Normal10"/>
              <w:spacing w:after="0" w:line="240" w:lineRule="auto"/>
              <w:jc w:val="center"/>
              <w:rPr>
                <w:rFonts w:eastAsia="Times New Roman"/>
                <w:bCs/>
                <w:noProof/>
              </w:rPr>
            </w:pPr>
            <w:r>
              <w:rPr>
                <w:noProof/>
              </w:rPr>
              <w:t>1.12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675C62" w14:textId="77777777" w:rsidR="006C686E" w:rsidRDefault="00B17E8C">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4FC604"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6C3397" w14:textId="77777777" w:rsidR="006C686E" w:rsidRDefault="00B17E8C">
            <w:pPr>
              <w:pStyle w:val="P68B1DB1-Normal11"/>
              <w:spacing w:after="0" w:line="240" w:lineRule="auto"/>
              <w:jc w:val="center"/>
              <w:rPr>
                <w:rFonts w:eastAsia="Times New Roman"/>
                <w:noProof/>
              </w:rPr>
            </w:pPr>
            <w:r>
              <w:rPr>
                <w:noProof/>
              </w:rPr>
              <w:t>Entrée en vigueur du nouveau régime d'engagement total au sein du 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03DACF" w14:textId="77777777" w:rsidR="006C686E" w:rsidRDefault="00B17E8C">
            <w:pPr>
              <w:pStyle w:val="P68B1DB1-Normal11"/>
              <w:spacing w:after="0" w:line="240" w:lineRule="auto"/>
              <w:jc w:val="center"/>
              <w:rPr>
                <w:rFonts w:eastAsia="Times New Roman"/>
                <w:noProof/>
              </w:rPr>
            </w:pPr>
            <w:r>
              <w:rPr>
                <w:noProof/>
              </w:rPr>
              <w:t>Entrée en vigueur du nouveau régime d'engagement total</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EE0CD3"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6ECD99"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24357"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6E5BDD"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C6FF7C" w14:textId="77777777" w:rsidR="006C686E" w:rsidRDefault="00B17E8C">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43F57E" w14:textId="77777777" w:rsidR="006C686E" w:rsidRDefault="00B17E8C">
            <w:pPr>
              <w:pStyle w:val="P68B1DB1-Normal11"/>
              <w:spacing w:after="0" w:line="240" w:lineRule="auto"/>
              <w:jc w:val="both"/>
              <w:rPr>
                <w:rFonts w:eastAsia="Times New Roman"/>
                <w:noProof/>
              </w:rPr>
            </w:pPr>
            <w:r>
              <w:rPr>
                <w:noProof/>
              </w:rPr>
              <w:t>Nouveau régime de travail entièrement dédié pour les professionnels de la santé au sein du service national de santé, intégrant des mécanismes appropriés pour organiser le temps de travail et les tables de rémunération.</w:t>
            </w:r>
          </w:p>
        </w:tc>
      </w:tr>
      <w:tr w:rsidR="006C686E" w14:paraId="5CAB39F7"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96A8A" w14:textId="77777777" w:rsidR="006C686E" w:rsidRDefault="00B17E8C">
            <w:pPr>
              <w:pStyle w:val="P68B1DB1-Normal10"/>
              <w:spacing w:after="0" w:line="240" w:lineRule="auto"/>
              <w:jc w:val="center"/>
              <w:rPr>
                <w:rFonts w:eastAsia="Times New Roman"/>
                <w:bCs/>
                <w:noProof/>
              </w:rPr>
            </w:pPr>
            <w:r>
              <w:rPr>
                <w:noProof/>
              </w:rPr>
              <w:t>1.13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993030" w14:textId="77777777" w:rsidR="006C686E" w:rsidRDefault="00B17E8C">
            <w:pPr>
              <w:pStyle w:val="P68B1DB1-Normal11"/>
              <w:spacing w:after="0" w:line="240" w:lineRule="auto"/>
              <w:jc w:val="center"/>
              <w:rPr>
                <w:rFonts w:eastAsia="Times New Roman"/>
                <w:noProof/>
              </w:rPr>
            </w:pPr>
            <w:r>
              <w:rPr>
                <w:noProof/>
              </w:rPr>
              <w:t>RE-C01-i01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DA653F"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6B0A7D" w14:textId="77777777" w:rsidR="006C686E" w:rsidRDefault="00B17E8C">
            <w:pPr>
              <w:pStyle w:val="P68B1DB1-Normal11"/>
              <w:spacing w:after="0" w:line="240" w:lineRule="auto"/>
              <w:jc w:val="center"/>
              <w:rPr>
                <w:rFonts w:eastAsia="Times New Roman"/>
                <w:noProof/>
              </w:rPr>
            </w:pPr>
            <w:r>
              <w:rPr>
                <w:noProof/>
              </w:rPr>
              <w:t>Entrée en vigueur des modalités de référencement des épisodes d'urgence dépistés en blanc, bleu ou vert dans les services d'urgence hospitaliers pour d'autres types de services de soins de santé, y compris les services de soins de santé primaires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7E3DC4" w14:textId="77777777" w:rsidR="006C686E" w:rsidRDefault="00B17E8C">
            <w:pPr>
              <w:pStyle w:val="P68B1DB1-Normal11"/>
              <w:spacing w:after="0" w:line="240" w:lineRule="auto"/>
              <w:jc w:val="center"/>
              <w:rPr>
                <w:rFonts w:eastAsia="Times New Roman"/>
                <w:noProof/>
              </w:rPr>
            </w:pPr>
            <w:r>
              <w:rPr>
                <w:noProof/>
              </w:rPr>
              <w:t xml:space="preserve">Entrée en vigueur des modalités de référencement des épisodes d'urgence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1478AC" w14:textId="5E58EB59"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662A9D"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7D917D"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435B0E"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08D81D"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57BAEF" w14:textId="77777777" w:rsidR="006C686E" w:rsidRDefault="00B17E8C">
            <w:pPr>
              <w:pStyle w:val="P68B1DB1-Normal11"/>
              <w:spacing w:after="0" w:line="240" w:lineRule="auto"/>
              <w:jc w:val="both"/>
              <w:rPr>
                <w:rFonts w:eastAsia="Times New Roman"/>
                <w:noProof/>
              </w:rPr>
            </w:pPr>
            <w:r>
              <w:rPr>
                <w:noProof/>
              </w:rPr>
              <w:t>Entrée en vigueur des procédures et des règles administratives de la procédure d'aiguillage pour les utilisateurs ayant des épisodes d'urgence dépistés en blanc, bleu ou vert dans les services d'urgence hospitaliers pour d'autres types de soins de santé, des services, à savoir pour les services de soins de santé primaires, avec une planification directe des rendez-vous.</w:t>
            </w:r>
          </w:p>
        </w:tc>
      </w:tr>
      <w:tr w:rsidR="006C686E" w14:paraId="6472D303" w14:textId="77777777" w:rsidTr="00093E19">
        <w:trPr>
          <w:trHeight w:val="1055"/>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DB9C16" w14:textId="77777777" w:rsidR="006C686E" w:rsidRDefault="00B17E8C">
            <w:pPr>
              <w:pStyle w:val="P68B1DB1-Normal10"/>
              <w:spacing w:after="0" w:line="240" w:lineRule="auto"/>
              <w:jc w:val="center"/>
              <w:rPr>
                <w:rFonts w:eastAsia="Times New Roman"/>
                <w:bCs/>
                <w:noProof/>
              </w:rPr>
            </w:pPr>
            <w:r>
              <w:rPr>
                <w:noProof/>
              </w:rPr>
              <w:t>1.17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FFCC4A" w14:textId="77777777" w:rsidR="006C686E" w:rsidRDefault="00B17E8C">
            <w:pPr>
              <w:pStyle w:val="P68B1DB1-Normal11"/>
              <w:spacing w:after="0" w:line="240" w:lineRule="auto"/>
              <w:jc w:val="center"/>
              <w:rPr>
                <w:rFonts w:eastAsia="Times New Roman"/>
                <w:noProof/>
              </w:rPr>
            </w:pPr>
            <w:r>
              <w:rPr>
                <w:noProof/>
              </w:rPr>
              <w:t>RE-C01-i01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4CF39E"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2AF235" w14:textId="77777777" w:rsidR="006C686E" w:rsidRDefault="00B17E8C">
            <w:pPr>
              <w:pStyle w:val="P68B1DB1-Normal13"/>
              <w:spacing w:after="0" w:line="240" w:lineRule="auto"/>
              <w:jc w:val="center"/>
              <w:rPr>
                <w:rFonts w:eastAsia="Times New Roman"/>
                <w:noProof/>
                <w:kern w:val="0"/>
                <w14:ligatures w14:val="none"/>
              </w:rPr>
            </w:pPr>
            <w:r>
              <w:rPr>
                <w:noProof/>
              </w:rPr>
              <w:t>Achat de matériel et disponibilité de services ou de consultations dans les unités de santé locales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9A8DD5" w14:textId="77777777" w:rsidR="006C686E" w:rsidRDefault="00B17E8C">
            <w:pPr>
              <w:pStyle w:val="P68B1DB1-Normal13"/>
              <w:spacing w:after="0" w:line="240" w:lineRule="auto"/>
              <w:jc w:val="center"/>
              <w:rPr>
                <w:rFonts w:eastAsia="Times New Roman"/>
                <w:noProof/>
                <w:kern w:val="0"/>
                <w14:ligatures w14:val="none"/>
              </w:rPr>
            </w:pPr>
            <w:r>
              <w:rPr>
                <w:noProof/>
              </w:rPr>
              <w:t>Achat de matériel et disponibilité de services ou de consultations dans les unités de santé locales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3FEF29" w14:textId="77777777" w:rsidR="006C686E" w:rsidRDefault="00B17E8C">
            <w:pPr>
              <w:pStyle w:val="P68B1DB1-Normal11"/>
              <w:spacing w:after="0" w:line="240" w:lineRule="auto"/>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C6B603" w14:textId="77777777" w:rsidR="006C686E" w:rsidRDefault="00B17E8C">
            <w:pPr>
              <w:pStyle w:val="P68B1DB1-Normal11"/>
              <w:spacing w:after="0" w:line="240" w:lineRule="auto"/>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415AD1" w14:textId="77777777" w:rsidR="006C686E" w:rsidRDefault="00B17E8C">
            <w:pPr>
              <w:pStyle w:val="P68B1DB1-Normal11"/>
              <w:spacing w:after="0" w:line="240" w:lineRule="auto"/>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45F9F1"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24953" w14:textId="77777777" w:rsidR="006C686E" w:rsidRDefault="00B17E8C">
            <w:pPr>
              <w:pStyle w:val="P68B1DB1-Normal11"/>
              <w:spacing w:after="0" w:line="240" w:lineRule="auto"/>
              <w:jc w:val="both"/>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13C686" w14:textId="77777777" w:rsidR="006C686E" w:rsidRDefault="00B17E8C">
            <w:pPr>
              <w:pStyle w:val="P68B1DB1-Normal13"/>
              <w:spacing w:after="0" w:line="240" w:lineRule="auto"/>
              <w:jc w:val="both"/>
              <w:rPr>
                <w:noProof/>
              </w:rPr>
            </w:pPr>
            <w:r>
              <w:rPr>
                <w:noProof/>
              </w:rPr>
              <w:t>Achat de 1</w:t>
            </w:r>
            <w:r>
              <w:rPr>
                <w:noProof/>
                <w:kern w:val="0"/>
                <w14:ligatures w14:val="none"/>
              </w:rPr>
              <w:t> </w:t>
            </w:r>
            <w:r>
              <w:rPr>
                <w:noProof/>
              </w:rPr>
              <w:t>160 unités d'équipement, à savoir:</w:t>
            </w:r>
          </w:p>
          <w:p w14:paraId="5DB3E68F" w14:textId="77777777" w:rsidR="006C686E" w:rsidRDefault="00B17E8C">
            <w:pPr>
              <w:pStyle w:val="P68B1DB1-Normal13"/>
              <w:spacing w:after="0" w:line="240" w:lineRule="auto"/>
              <w:jc w:val="both"/>
              <w:rPr>
                <w:noProof/>
              </w:rPr>
            </w:pPr>
            <w:r>
              <w:rPr>
                <w:noProof/>
              </w:rPr>
              <w:t>i) les spiromètres;</w:t>
            </w:r>
          </w:p>
          <w:p w14:paraId="59A0DAA8" w14:textId="77777777" w:rsidR="006C686E" w:rsidRDefault="00B17E8C">
            <w:pPr>
              <w:pStyle w:val="P68B1DB1-Normal13"/>
              <w:spacing w:after="0" w:line="240" w:lineRule="auto"/>
              <w:jc w:val="both"/>
              <w:rPr>
                <w:noProof/>
              </w:rPr>
            </w:pPr>
            <w:r>
              <w:rPr>
                <w:noProof/>
              </w:rPr>
              <w:t>ii) l'équipement des cabinets dentaires;</w:t>
            </w:r>
          </w:p>
          <w:p w14:paraId="0AF14FA7" w14:textId="77777777" w:rsidR="006C686E" w:rsidRDefault="00B17E8C">
            <w:pPr>
              <w:pStyle w:val="P68B1DB1-Normal13"/>
              <w:spacing w:after="0" w:line="240" w:lineRule="auto"/>
              <w:jc w:val="both"/>
              <w:rPr>
                <w:noProof/>
              </w:rPr>
            </w:pPr>
            <w:r>
              <w:rPr>
                <w:noProof/>
              </w:rPr>
              <w:t>iii) l'équipement des centres de déplacement et de réadaptation; ou</w:t>
            </w:r>
          </w:p>
          <w:p w14:paraId="66896D5E" w14:textId="77777777" w:rsidR="006C686E" w:rsidRDefault="00B17E8C">
            <w:pPr>
              <w:pStyle w:val="P68B1DB1-Normal13"/>
              <w:spacing w:after="0" w:line="240" w:lineRule="auto"/>
              <w:jc w:val="both"/>
              <w:rPr>
                <w:noProof/>
              </w:rPr>
            </w:pPr>
            <w:r>
              <w:rPr>
                <w:noProof/>
              </w:rPr>
              <w:t>iv) l'équipement pour le maintien de la vie de base (par exemple, sac d'urgence, défibrillateur et moniteurs de signes vitaux).</w:t>
            </w:r>
          </w:p>
          <w:p w14:paraId="413595BA" w14:textId="77777777" w:rsidR="006C686E" w:rsidRDefault="006C686E">
            <w:pPr>
              <w:spacing w:after="0" w:line="240" w:lineRule="auto"/>
              <w:jc w:val="both"/>
              <w:rPr>
                <w:rFonts w:ascii="Times New Roman" w:eastAsia="Calibri" w:hAnsi="Times New Roman" w:cs="Times New Roman"/>
                <w:noProof/>
                <w:sz w:val="16"/>
                <w:szCs w:val="16"/>
              </w:rPr>
            </w:pPr>
          </w:p>
          <w:p w14:paraId="3FBDCD99" w14:textId="23C70A8E" w:rsidR="006C686E" w:rsidRDefault="00B17E8C">
            <w:pPr>
              <w:pStyle w:val="P68B1DB1-Normal13"/>
              <w:spacing w:after="0" w:line="240" w:lineRule="auto"/>
              <w:jc w:val="both"/>
              <w:rPr>
                <w:noProof/>
              </w:rPr>
            </w:pPr>
            <w:r>
              <w:rPr>
                <w:noProof/>
              </w:rPr>
              <w:t>Disponibilité de tous les services ou consultations suivants dans 39 unités de santé locales: Dépistage du cancer colorectal et du cancer du col de l'utérus, dépistage de la rétinopathie diabétique, examens Holter, surveillance ambulatoire de la pression artérielle et consultations du pied diabétique .</w:t>
            </w:r>
          </w:p>
          <w:p w14:paraId="6F8535EE" w14:textId="77777777" w:rsidR="006C686E" w:rsidRDefault="006C686E">
            <w:pPr>
              <w:spacing w:after="0" w:line="240" w:lineRule="auto"/>
              <w:jc w:val="both"/>
              <w:rPr>
                <w:rFonts w:ascii="Times New Roman" w:eastAsia="Times New Roman" w:hAnsi="Times New Roman" w:cs="Times New Roman"/>
                <w:noProof/>
                <w:kern w:val="0"/>
                <w:sz w:val="16"/>
                <w:szCs w:val="16"/>
                <w14:ligatures w14:val="none"/>
              </w:rPr>
            </w:pPr>
          </w:p>
        </w:tc>
      </w:tr>
      <w:tr w:rsidR="006C686E" w14:paraId="4E34D9C6" w14:textId="77777777" w:rsidTr="00093E19">
        <w:trPr>
          <w:trHeight w:val="105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5F521" w14:textId="77777777" w:rsidR="006C686E" w:rsidRDefault="00B17E8C">
            <w:pPr>
              <w:pStyle w:val="P68B1DB1-Normal10"/>
              <w:spacing w:after="0" w:line="240" w:lineRule="auto"/>
              <w:jc w:val="center"/>
              <w:rPr>
                <w:rFonts w:eastAsia="Times New Roman"/>
                <w:bCs/>
                <w:noProof/>
              </w:rPr>
            </w:pPr>
            <w:r>
              <w:rPr>
                <w:noProof/>
              </w:rPr>
              <w:t>1.18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69C10F" w14:textId="77777777" w:rsidR="006C686E" w:rsidRDefault="00B17E8C">
            <w:pPr>
              <w:pStyle w:val="P68B1DB1-Normal11"/>
              <w:spacing w:after="0" w:line="240" w:lineRule="auto"/>
              <w:jc w:val="center"/>
              <w:rPr>
                <w:rFonts w:eastAsia="Times New Roman"/>
                <w:noProof/>
              </w:rPr>
            </w:pPr>
            <w:r>
              <w:rPr>
                <w:noProof/>
              </w:rPr>
              <w:t>RE-C01-i01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2066FD" w14:textId="77777777" w:rsidR="006C686E" w:rsidRDefault="00B17E8C">
            <w:pPr>
              <w:pStyle w:val="P68B1DB1-Normal11"/>
              <w:spacing w:after="0" w:line="240" w:lineRule="auto"/>
              <w:jc w:val="center"/>
              <w:rPr>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1BF292" w14:textId="77777777" w:rsidR="006C686E" w:rsidRDefault="00B17E8C">
            <w:pPr>
              <w:pStyle w:val="P68B1DB1-Normal13"/>
              <w:spacing w:after="0" w:line="240" w:lineRule="auto"/>
              <w:jc w:val="center"/>
              <w:rPr>
                <w:rFonts w:eastAsia="Times New Roman"/>
                <w:noProof/>
              </w:rPr>
            </w:pPr>
            <w:r>
              <w:rPr>
                <w:noProof/>
              </w:rPr>
              <w:t xml:space="preserve">Construction ou rénovation d'unités de santé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358BC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4028BD" w14:textId="77777777" w:rsidR="006C686E" w:rsidRDefault="00B17E8C">
            <w:pPr>
              <w:pStyle w:val="P68B1DB1-Normal11"/>
              <w:spacing w:after="0" w:line="240" w:lineRule="auto"/>
              <w:jc w:val="center"/>
              <w:rPr>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678D2A" w14:textId="47B902AD"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9F4811" w14:textId="0D1054EA" w:rsidR="006C686E" w:rsidRDefault="00B17E8C">
            <w:pPr>
              <w:pStyle w:val="P68B1DB1-Normal11"/>
              <w:spacing w:after="0" w:line="240" w:lineRule="auto"/>
              <w:jc w:val="center"/>
              <w:rPr>
                <w:noProof/>
              </w:rPr>
            </w:pPr>
            <w:r>
              <w:rPr>
                <w:noProof/>
              </w:rPr>
              <w:t>400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9C9CC7"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3747A5" w14:textId="77777777" w:rsidR="006C686E" w:rsidRDefault="00B17E8C">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C47E7A" w14:textId="66A44A08" w:rsidR="006C686E" w:rsidRDefault="00B17E8C">
            <w:pPr>
              <w:pStyle w:val="P68B1DB1-Normal13"/>
              <w:spacing w:after="0" w:line="240" w:lineRule="auto"/>
              <w:jc w:val="both"/>
              <w:rPr>
                <w:rFonts w:eastAsia="Times New Roman"/>
                <w:noProof/>
                <w:kern w:val="0"/>
                <w14:ligatures w14:val="none"/>
              </w:rPr>
            </w:pPr>
            <w:r>
              <w:rPr>
                <w:noProof/>
              </w:rPr>
              <w:t>Construction ou rénovation de 400 unités de santé, dont au moins 70 sont construites.</w:t>
            </w:r>
          </w:p>
        </w:tc>
      </w:tr>
      <w:tr w:rsidR="006C686E" w14:paraId="2DEE6279" w14:textId="77777777" w:rsidTr="00093E19">
        <w:trPr>
          <w:trHeight w:val="93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935765" w14:textId="77777777" w:rsidR="006C686E" w:rsidRDefault="00B17E8C">
            <w:pPr>
              <w:pStyle w:val="P68B1DB1-Normal10"/>
              <w:spacing w:after="0" w:line="240" w:lineRule="auto"/>
              <w:jc w:val="center"/>
              <w:rPr>
                <w:rFonts w:eastAsia="Times New Roman"/>
                <w:bCs/>
                <w:noProof/>
              </w:rPr>
            </w:pPr>
            <w:r>
              <w:rPr>
                <w:noProof/>
              </w:rPr>
              <w:t>1.20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CAF0F" w14:textId="77777777" w:rsidR="006C686E" w:rsidRDefault="00B17E8C">
            <w:pPr>
              <w:pStyle w:val="P68B1DB1-Normal11"/>
              <w:spacing w:after="0" w:line="240" w:lineRule="auto"/>
              <w:jc w:val="center"/>
              <w:rPr>
                <w:rFonts w:eastAsia="Times New Roman"/>
                <w:noProof/>
              </w:rPr>
            </w:pPr>
            <w:r>
              <w:rPr>
                <w:noProof/>
              </w:rPr>
              <w:t>RE-C01-i02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4A577"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ECD053" w14:textId="77777777" w:rsidR="006C686E" w:rsidRDefault="00B17E8C">
            <w:pPr>
              <w:pStyle w:val="P68B1DB1-Normal11"/>
              <w:spacing w:after="0" w:line="240" w:lineRule="auto"/>
              <w:jc w:val="center"/>
              <w:rPr>
                <w:rFonts w:eastAsia="Times New Roman"/>
                <w:noProof/>
              </w:rPr>
            </w:pPr>
            <w:r>
              <w:rPr>
                <w:noProof/>
              </w:rPr>
              <w:t>Entrée en vigueur du règlement relatif à l’attribution d’un soutien financier par les autorités sanitaires régionales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00D101" w14:textId="77777777" w:rsidR="006C686E" w:rsidRDefault="00B17E8C">
            <w:pPr>
              <w:pStyle w:val="P68B1DB1-Normal11"/>
              <w:spacing w:after="0" w:line="240" w:lineRule="auto"/>
              <w:jc w:val="center"/>
              <w:rPr>
                <w:rFonts w:eastAsia="Times New Roman"/>
                <w:noProof/>
              </w:rPr>
            </w:pPr>
            <w:r>
              <w:rPr>
                <w:noProof/>
              </w:rPr>
              <w:t>Entrée en vigueur du règlement relatif à l'attribution du soutien financier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5EC677"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F0986C"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14553B" w14:textId="1EF60AC2"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1684CA"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0F062"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429F85" w14:textId="77777777" w:rsidR="006C686E" w:rsidRDefault="00B17E8C">
            <w:pPr>
              <w:pStyle w:val="P68B1DB1-Normal11"/>
              <w:spacing w:after="0" w:line="240" w:lineRule="auto"/>
              <w:jc w:val="both"/>
              <w:rPr>
                <w:rFonts w:eastAsia="Times New Roman"/>
                <w:noProof/>
              </w:rPr>
            </w:pPr>
            <w:r>
              <w:rPr>
                <w:noProof/>
              </w:rPr>
              <w:t>Entrée en vigueur du règlement relatif à l’attribution du soutien financier par les autorités sanitaires régionales, qui définit le modèle de gouvernance du programme et les exigences respectives des demandeurs.</w:t>
            </w:r>
          </w:p>
        </w:tc>
      </w:tr>
      <w:tr w:rsidR="006C686E" w14:paraId="69BF3D77" w14:textId="77777777" w:rsidTr="00093E19">
        <w:trPr>
          <w:trHeight w:val="146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44756E" w14:textId="77777777" w:rsidR="006C686E" w:rsidRDefault="00B17E8C">
            <w:pPr>
              <w:pStyle w:val="P68B1DB1-Normal10"/>
              <w:spacing w:after="0" w:line="240" w:lineRule="auto"/>
              <w:jc w:val="center"/>
              <w:rPr>
                <w:rFonts w:eastAsia="Times New Roman"/>
                <w:bCs/>
                <w:noProof/>
              </w:rPr>
            </w:pPr>
            <w:r>
              <w:rPr>
                <w:noProof/>
              </w:rPr>
              <w:t>1.21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59D3A7" w14:textId="77777777" w:rsidR="006C686E" w:rsidRDefault="00B17E8C">
            <w:pPr>
              <w:pStyle w:val="P68B1DB1-Normal11"/>
              <w:spacing w:after="0" w:line="240" w:lineRule="auto"/>
              <w:jc w:val="center"/>
              <w:rPr>
                <w:rFonts w:eastAsia="Times New Roman"/>
                <w:noProof/>
              </w:rPr>
            </w:pPr>
            <w:r>
              <w:rPr>
                <w:noProof/>
              </w:rPr>
              <w:t>RE-C01-i02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198D94" w14:textId="6406392B"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592D6D" w14:textId="740CF54F" w:rsidR="006C686E" w:rsidRDefault="00B17E8C">
            <w:pPr>
              <w:pStyle w:val="P68B1DB1-Normal13"/>
              <w:spacing w:after="0" w:line="240" w:lineRule="auto"/>
              <w:jc w:val="center"/>
              <w:rPr>
                <w:rFonts w:eastAsia="Times New Roman"/>
                <w:noProof/>
              </w:rPr>
            </w:pPr>
            <w:r>
              <w:rPr>
                <w:noProof/>
                <w:kern w:val="0"/>
                <w14:ligatures w14:val="none"/>
              </w:rPr>
              <w:t xml:space="preserve">Rénovation ou </w:t>
            </w:r>
            <w:r>
              <w:rPr>
                <w:noProof/>
              </w:rPr>
              <w:t>nouveaux lits dans le système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306D17" w14:textId="39ABC17B" w:rsidR="006C686E" w:rsidRDefault="00B17E8C">
            <w:pPr>
              <w:pStyle w:val="P68B1DB1-Normal11"/>
              <w:spacing w:after="0" w:line="240" w:lineRule="auto"/>
              <w:jc w:val="center"/>
              <w:rPr>
                <w:rFonts w:eastAsia="Times New Roman"/>
                <w:noProof/>
              </w:rPr>
            </w:pPr>
            <w:r>
              <w:rPr>
                <w:noProof/>
              </w:rPr>
              <w:t>Rénovation et construction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D5D192" w14:textId="1D8E90CA"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D579B9" w14:textId="01554A49"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AB8413" w14:textId="19C1873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6ACE3" w14:textId="6B22A58E"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534E17" w14:textId="018C2212" w:rsidR="006C686E" w:rsidRDefault="00B17E8C">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E7A917" w14:textId="028AC4B7" w:rsidR="006C686E" w:rsidRDefault="00B17E8C">
            <w:pPr>
              <w:pStyle w:val="P68B1DB1-Normal13"/>
              <w:spacing w:after="0" w:line="240" w:lineRule="auto"/>
              <w:jc w:val="both"/>
              <w:rPr>
                <w:noProof/>
              </w:rPr>
            </w:pPr>
            <w:r>
              <w:rPr>
                <w:noProof/>
              </w:rPr>
              <w:t>1. Rénovation ou achat d'équipement pour 180 projets, par exemple au sein du réseau national de soins intégrés continus, de soins palliatifs ou de soins de santé mentale.</w:t>
            </w:r>
          </w:p>
          <w:p w14:paraId="674E9DF0" w14:textId="77777777" w:rsidR="006C686E" w:rsidRDefault="006C686E">
            <w:pPr>
              <w:spacing w:after="0" w:line="240" w:lineRule="auto"/>
              <w:jc w:val="both"/>
              <w:rPr>
                <w:rFonts w:ascii="Times New Roman" w:eastAsia="Calibri" w:hAnsi="Times New Roman" w:cs="Times New Roman"/>
                <w:noProof/>
                <w:sz w:val="16"/>
                <w:szCs w:val="16"/>
              </w:rPr>
            </w:pPr>
          </w:p>
          <w:p w14:paraId="050D493C" w14:textId="0D2A52A5" w:rsidR="006C686E" w:rsidRDefault="00B17E8C">
            <w:pPr>
              <w:pStyle w:val="P68B1DB1-Normal13"/>
              <w:spacing w:after="0" w:line="240" w:lineRule="auto"/>
              <w:jc w:val="both"/>
              <w:rPr>
                <w:rFonts w:eastAsia="Times New Roman"/>
                <w:noProof/>
                <w:kern w:val="0"/>
                <w14:ligatures w14:val="none"/>
              </w:rPr>
            </w:pPr>
            <w:r>
              <w:rPr>
                <w:noProof/>
              </w:rPr>
              <w:t>2. Au moins 3 850 nouveaux lits sont disponibles, par exemple au sein du réseau national de soins continus intégrés, de soins palliatifs ou de soins de santé mentale.</w:t>
            </w:r>
          </w:p>
        </w:tc>
      </w:tr>
      <w:tr w:rsidR="006C686E" w14:paraId="000EA5B8" w14:textId="77777777" w:rsidTr="00093E19">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A5E0AF" w14:textId="77777777" w:rsidR="006C686E" w:rsidRDefault="00B17E8C">
            <w:pPr>
              <w:pStyle w:val="P68B1DB1-Normal10"/>
              <w:spacing w:after="0" w:line="240" w:lineRule="auto"/>
              <w:jc w:val="center"/>
              <w:rPr>
                <w:rFonts w:eastAsia="Times New Roman"/>
                <w:bCs/>
                <w:noProof/>
              </w:rPr>
            </w:pPr>
            <w:r>
              <w:rPr>
                <w:noProof/>
              </w:rPr>
              <w:t>1.22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A98D57" w14:textId="77777777" w:rsidR="006C686E" w:rsidRDefault="00B17E8C">
            <w:pPr>
              <w:pStyle w:val="P68B1DB1-Normal11"/>
              <w:spacing w:after="0" w:line="240" w:lineRule="auto"/>
              <w:jc w:val="center"/>
              <w:rPr>
                <w:rFonts w:eastAsia="Times New Roman"/>
                <w:noProof/>
              </w:rPr>
            </w:pPr>
            <w:r>
              <w:rPr>
                <w:noProof/>
              </w:rPr>
              <w:t>RE-C01-i02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A00E70"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568B45" w14:textId="77777777" w:rsidR="006C686E" w:rsidRDefault="00B17E8C">
            <w:pPr>
              <w:pStyle w:val="P68B1DB1-Normal11"/>
              <w:spacing w:after="0" w:line="240" w:lineRule="auto"/>
              <w:jc w:val="center"/>
              <w:rPr>
                <w:rFonts w:eastAsia="Times New Roman"/>
                <w:noProof/>
              </w:rPr>
            </w:pPr>
            <w:r>
              <w:rPr>
                <w:noProof/>
              </w:rPr>
              <w:t>Renforcement de la capacité d'intervention des réseaux nationaux de services intégrés de soins continus et de soins palliatifs en soins à domicile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9B2D3"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BE43E8"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4013D8"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4602FC" w14:textId="77777777" w:rsidR="006C686E" w:rsidRDefault="00B17E8C">
            <w:pPr>
              <w:pStyle w:val="P68B1DB1-Normal11"/>
              <w:spacing w:after="0" w:line="240" w:lineRule="auto"/>
              <w:jc w:val="center"/>
              <w:rPr>
                <w:rFonts w:eastAsia="Times New Roman"/>
                <w:noProof/>
              </w:rPr>
            </w:pPr>
            <w:r>
              <w:rPr>
                <w:noProof/>
              </w:rPr>
              <w:t>1 200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ED5C41" w14:textId="77777777" w:rsidR="006C686E" w:rsidRDefault="00B17E8C">
            <w:pPr>
              <w:pStyle w:val="P68B1DB1-Normal11"/>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F91A3C" w14:textId="77777777" w:rsidR="006C686E" w:rsidRDefault="00B17E8C">
            <w:pPr>
              <w:pStyle w:val="P68B1DB1-Normal11"/>
              <w:spacing w:after="0" w:line="240" w:lineRule="auto"/>
              <w:jc w:val="center"/>
              <w:rPr>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702380" w14:textId="302BD44E" w:rsidR="006C686E" w:rsidRDefault="00B17E8C">
            <w:pPr>
              <w:pStyle w:val="P68B1DB1-Normal11"/>
              <w:spacing w:after="0" w:line="240" w:lineRule="auto"/>
              <w:jc w:val="both"/>
              <w:rPr>
                <w:rFonts w:eastAsia="Times New Roman"/>
                <w:noProof/>
              </w:rPr>
            </w:pPr>
            <w:r>
              <w:rPr>
                <w:noProof/>
              </w:rPr>
              <w:t>Renforcement de la capacité d'intervention des réseaux nationaux de soins continus intégrés et de services de soins palliatifs dans les soins à domicile par les moyens suivants: i) l'inscription sur la plateforme SI RNCCI de 1 000 nouvelles places dans des équipes intégrées de soins continus à domicile; ii) l'inscription sur la plateforme SI RNCCI de 100 nouvelles places dans les équipes de soutien à domicile en santé mentale et, iii) les contrats et décisions des unités de santé locales créant les équipes nécessaires pour fournir 100 nouvelles places en soutien aux soins palliatifs communautaires.</w:t>
            </w:r>
          </w:p>
        </w:tc>
      </w:tr>
      <w:tr w:rsidR="006C686E" w14:paraId="0DE16856" w14:textId="77777777" w:rsidTr="00093E19">
        <w:trPr>
          <w:trHeight w:val="14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F82A82" w14:textId="77777777" w:rsidR="006C686E" w:rsidRDefault="00B17E8C">
            <w:pPr>
              <w:pStyle w:val="P68B1DB1-Normal10"/>
              <w:spacing w:after="0" w:line="240" w:lineRule="auto"/>
              <w:jc w:val="center"/>
              <w:rPr>
                <w:rFonts w:eastAsia="Times New Roman"/>
                <w:bCs/>
                <w:noProof/>
              </w:rPr>
            </w:pPr>
            <w:r>
              <w:rPr>
                <w:noProof/>
              </w:rPr>
              <w:t>1.24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838C93" w14:textId="77777777" w:rsidR="006C686E" w:rsidRDefault="00B17E8C">
            <w:pPr>
              <w:pStyle w:val="P68B1DB1-Normal11"/>
              <w:spacing w:after="0" w:line="240" w:lineRule="auto"/>
              <w:jc w:val="center"/>
              <w:rPr>
                <w:rFonts w:eastAsia="Times New Roman"/>
                <w:noProof/>
              </w:rPr>
            </w:pPr>
            <w:r>
              <w:rPr>
                <w:noProof/>
              </w:rPr>
              <w:t>RE-C01-i03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B4D897"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E5F5FF" w14:textId="77777777" w:rsidR="006C686E" w:rsidRDefault="00B17E8C">
            <w:pPr>
              <w:pStyle w:val="P68B1DB1-Normal11"/>
              <w:spacing w:after="0" w:line="240" w:lineRule="auto"/>
              <w:jc w:val="center"/>
              <w:rPr>
                <w:rFonts w:eastAsia="Times New Roman"/>
                <w:noProof/>
              </w:rPr>
            </w:pPr>
            <w:r>
              <w:rPr>
                <w:noProof/>
              </w:rPr>
              <w:t>Développement d’actions de sensibilisation et de formation pour «construire les parcours des patients» dans le contexte des démences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1AE2A6" w14:textId="77777777" w:rsidR="006C686E" w:rsidRDefault="00B17E8C">
            <w:pPr>
              <w:pStyle w:val="P68B1DB1-Normal11"/>
              <w:spacing w:after="0" w:line="240" w:lineRule="auto"/>
              <w:jc w:val="center"/>
              <w:rPr>
                <w:rFonts w:eastAsia="Times New Roman"/>
                <w:noProof/>
              </w:rPr>
            </w:pPr>
            <w:r>
              <w:rPr>
                <w:noProof/>
              </w:rPr>
              <w:t>Rapport sur le déploiement de nouvelles actions de sensibilisation et de formation et leur développement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75B7D2"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19DD7F"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53505D"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3EEA1C"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A80459"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BB8B72" w14:textId="77777777" w:rsidR="006C686E" w:rsidRDefault="00B17E8C">
            <w:pPr>
              <w:pStyle w:val="P68B1DB1-Normal11"/>
              <w:spacing w:after="0" w:line="240" w:lineRule="auto"/>
              <w:jc w:val="both"/>
              <w:rPr>
                <w:rFonts w:eastAsia="Times New Roman"/>
                <w:noProof/>
              </w:rPr>
            </w:pPr>
            <w:r>
              <w:rPr>
                <w:noProof/>
              </w:rPr>
              <w:t>Actions de sensibilisation et de formation sur les démences, en vue de soutenir les réformes des services sociaux et de soins de santé, destinées au personnel des services sociaux et de soins de santé ou d'autres entités qui travaillent avec le grand public dans le domaine des politiques sociales et de soins de santé, ainsi qu'aux utilisateurs des services sociaux et de soins de santé.</w:t>
            </w:r>
          </w:p>
        </w:tc>
      </w:tr>
      <w:tr w:rsidR="006C686E" w14:paraId="6B742B0A" w14:textId="77777777" w:rsidTr="00093E19">
        <w:trPr>
          <w:trHeight w:val="68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6C6F81" w14:textId="77777777" w:rsidR="006C686E" w:rsidRDefault="00B17E8C">
            <w:pPr>
              <w:pStyle w:val="P68B1DB1-Normal10"/>
              <w:spacing w:after="0" w:line="240" w:lineRule="auto"/>
              <w:jc w:val="center"/>
              <w:rPr>
                <w:rFonts w:eastAsia="Times New Roman"/>
                <w:bCs/>
                <w:noProof/>
              </w:rPr>
            </w:pPr>
            <w:r>
              <w:rPr>
                <w:noProof/>
              </w:rPr>
              <w:t>1.25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FE6D8C" w14:textId="77777777" w:rsidR="006C686E" w:rsidRDefault="00B17E8C">
            <w:pPr>
              <w:pStyle w:val="P68B1DB1-Normal11"/>
              <w:spacing w:after="0" w:line="240" w:lineRule="auto"/>
              <w:jc w:val="center"/>
              <w:rPr>
                <w:rFonts w:eastAsia="Times New Roman"/>
                <w:noProof/>
              </w:rPr>
            </w:pPr>
            <w:r>
              <w:rPr>
                <w:noProof/>
              </w:rPr>
              <w:t>RE-C01-i03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BD6ADA"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B9029E" w14:textId="54BDC537" w:rsidR="006C686E" w:rsidRDefault="00B17E8C">
            <w:pPr>
              <w:pStyle w:val="P68B1DB1-Normal11"/>
              <w:spacing w:after="0" w:line="240" w:lineRule="auto"/>
              <w:jc w:val="center"/>
              <w:rPr>
                <w:rFonts w:eastAsia="Times New Roman"/>
                <w:noProof/>
              </w:rPr>
            </w:pPr>
            <w:r>
              <w:rPr>
                <w:noProof/>
              </w:rPr>
              <w:t>Réseau de soins de santé mentale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A61D92" w14:textId="77777777" w:rsidR="006C686E" w:rsidRDefault="00B17E8C">
            <w:pPr>
              <w:pStyle w:val="P68B1DB1-Normal11"/>
              <w:spacing w:after="0" w:line="240" w:lineRule="auto"/>
              <w:jc w:val="center"/>
              <w:rPr>
                <w:rFonts w:eastAsia="Times New Roman"/>
                <w:noProof/>
              </w:rPr>
            </w:pPr>
            <w:r>
              <w:rPr>
                <w:noProof/>
              </w:rPr>
              <w:t>Réseau de soins de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95064"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1DEACF"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C60947"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5EA8DC" w14:textId="72DD60B0" w:rsidR="006C686E" w:rsidRDefault="00B17E8C">
            <w:pPr>
              <w:pStyle w:val="P68B1DB1-Normal11"/>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80BF03" w14:textId="55BEBC8B" w:rsidR="006C686E" w:rsidRDefault="00B17E8C">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2CADAF" w14:textId="0DA2BF60" w:rsidR="006C686E" w:rsidRDefault="00B17E8C">
            <w:pPr>
              <w:pStyle w:val="P68B1DB1-Normal13"/>
              <w:spacing w:after="0" w:line="240" w:lineRule="auto"/>
              <w:jc w:val="both"/>
              <w:rPr>
                <w:noProof/>
              </w:rPr>
            </w:pPr>
            <w:r>
              <w:rPr>
                <w:noProof/>
              </w:rPr>
              <w:t>i) Rénovation de 23 unités;</w:t>
            </w:r>
          </w:p>
          <w:p w14:paraId="290FD304" w14:textId="690CC937" w:rsidR="006C686E" w:rsidRDefault="00B17E8C">
            <w:pPr>
              <w:pStyle w:val="P68B1DB1-Normal13"/>
              <w:spacing w:after="0" w:line="240" w:lineRule="auto"/>
              <w:jc w:val="both"/>
              <w:rPr>
                <w:rFonts w:eastAsia="Times New Roman"/>
                <w:noProof/>
              </w:rPr>
            </w:pPr>
            <w:r>
              <w:rPr>
                <w:noProof/>
              </w:rPr>
              <w:t>i</w:t>
            </w:r>
            <w:r>
              <w:rPr>
                <w:noProof/>
                <w:kern w:val="0"/>
                <w14:ligatures w14:val="none"/>
              </w:rPr>
              <w:t xml:space="preserve"> i) </w:t>
            </w:r>
            <w:r>
              <w:rPr>
                <w:noProof/>
              </w:rPr>
              <w:t xml:space="preserve">Construction </w:t>
            </w:r>
            <w:r>
              <w:rPr>
                <w:noProof/>
                <w:kern w:val="0"/>
                <w14:ligatures w14:val="none"/>
              </w:rPr>
              <w:t>de trois unités</w:t>
            </w:r>
            <w:r>
              <w:rPr>
                <w:noProof/>
              </w:rPr>
              <w:t xml:space="preserve"> et rénovation d'une unité;</w:t>
            </w:r>
          </w:p>
          <w:p w14:paraId="5F1EFC05" w14:textId="77777777" w:rsidR="006C686E" w:rsidRDefault="00B17E8C">
            <w:pPr>
              <w:pStyle w:val="P68B1DB1-Normal13"/>
              <w:spacing w:after="0" w:line="240" w:lineRule="auto"/>
              <w:jc w:val="both"/>
              <w:rPr>
                <w:rFonts w:eastAsia="Times New Roman"/>
                <w:noProof/>
              </w:rPr>
            </w:pPr>
            <w:r>
              <w:rPr>
                <w:noProof/>
                <w:kern w:val="0"/>
                <w14:ligatures w14:val="none"/>
              </w:rPr>
              <w:t xml:space="preserve">iii) 15 </w:t>
            </w:r>
            <w:r>
              <w:rPr>
                <w:noProof/>
              </w:rPr>
              <w:t xml:space="preserve">nouveaux </w:t>
            </w:r>
            <w:r>
              <w:rPr>
                <w:noProof/>
                <w:kern w:val="0"/>
                <w14:ligatures w14:val="none"/>
              </w:rPr>
              <w:t>centres de responsabilité intégrée;</w:t>
            </w:r>
          </w:p>
          <w:p w14:paraId="097F74F0" w14:textId="5D6CE9F8" w:rsidR="006C686E" w:rsidRDefault="00B17E8C">
            <w:pPr>
              <w:pStyle w:val="P68B1DB1-Normal13"/>
              <w:spacing w:after="0" w:line="240" w:lineRule="auto"/>
              <w:jc w:val="both"/>
              <w:rPr>
                <w:noProof/>
              </w:rPr>
            </w:pPr>
            <w:r>
              <w:rPr>
                <w:noProof/>
              </w:rPr>
              <w:t>iv) Construction, rénovation ou location de</w:t>
            </w:r>
            <w:r>
              <w:rPr>
                <w:noProof/>
                <w:color w:val="FF0000"/>
              </w:rPr>
              <w:t xml:space="preserve"> </w:t>
            </w:r>
            <w:r>
              <w:rPr>
                <w:noProof/>
              </w:rPr>
              <w:t>bâtiments, maisons ou appartements pour 500 places;</w:t>
            </w:r>
          </w:p>
          <w:p w14:paraId="79B5C525" w14:textId="0F43B7BC" w:rsidR="006C686E" w:rsidRDefault="00B17E8C">
            <w:pPr>
              <w:pStyle w:val="P68B1DB1-Normal13"/>
              <w:spacing w:after="0" w:line="240" w:lineRule="auto"/>
              <w:jc w:val="both"/>
              <w:rPr>
                <w:rFonts w:eastAsia="Times New Roman"/>
                <w:noProof/>
              </w:rPr>
            </w:pPr>
            <w:r>
              <w:rPr>
                <w:noProof/>
                <w:kern w:val="0"/>
                <w14:ligatures w14:val="none"/>
              </w:rPr>
              <w:t xml:space="preserve">v) </w:t>
            </w:r>
            <w:r>
              <w:rPr>
                <w:noProof/>
              </w:rPr>
              <w:t>Rénovation ou achat d'équipement pour</w:t>
            </w:r>
            <w:r>
              <w:rPr>
                <w:noProof/>
                <w:kern w:val="0"/>
                <w14:ligatures w14:val="none"/>
              </w:rPr>
              <w:t xml:space="preserve"> trois installations; et </w:t>
            </w:r>
          </w:p>
          <w:p w14:paraId="4D5911DB" w14:textId="33EC583A" w:rsidR="006C686E" w:rsidRDefault="00B17E8C">
            <w:pPr>
              <w:pStyle w:val="P68B1DB1-Normal13"/>
              <w:spacing w:after="0" w:line="240" w:lineRule="auto"/>
              <w:jc w:val="both"/>
              <w:rPr>
                <w:noProof/>
              </w:rPr>
            </w:pPr>
            <w:r>
              <w:rPr>
                <w:noProof/>
                <w:kern w:val="0"/>
                <w14:ligatures w14:val="none"/>
              </w:rPr>
              <w:t xml:space="preserve">vi) 40 </w:t>
            </w:r>
            <w:r>
              <w:rPr>
                <w:noProof/>
              </w:rPr>
              <w:t xml:space="preserve">nouvelles </w:t>
            </w:r>
            <w:r>
              <w:rPr>
                <w:noProof/>
                <w:kern w:val="0"/>
                <w14:ligatures w14:val="none"/>
              </w:rPr>
              <w:t>équipes communautaires.</w:t>
            </w:r>
          </w:p>
          <w:p w14:paraId="6D0ECA4F" w14:textId="1F114B46" w:rsidR="006C686E" w:rsidRDefault="00B17E8C">
            <w:pPr>
              <w:pStyle w:val="P68B1DB1-Normal13"/>
              <w:spacing w:after="0" w:line="240" w:lineRule="auto"/>
              <w:jc w:val="both"/>
              <w:rPr>
                <w:rFonts w:eastAsia="Times New Roman"/>
                <w:noProof/>
              </w:rPr>
            </w:pPr>
            <w:r>
              <w:rPr>
                <w:noProof/>
                <w:kern w:val="0"/>
                <w14:ligatures w14:val="none"/>
              </w:rPr>
              <w:t>Les rénovations en matière d'efficacité énergétique</w:t>
            </w:r>
            <w:r>
              <w:rPr>
                <w:noProof/>
              </w:rPr>
              <w:t xml:space="preserve"> permettent, en moyenne, de réaliser au moins 30 % d'économies d'énergie primaire. </w:t>
            </w:r>
          </w:p>
        </w:tc>
      </w:tr>
      <w:tr w:rsidR="006C686E" w14:paraId="00F0AA0F" w14:textId="77777777" w:rsidTr="00093E19">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F66214" w14:textId="77777777" w:rsidR="006C686E" w:rsidRDefault="00B17E8C">
            <w:pPr>
              <w:pStyle w:val="P68B1DB1-Normal10"/>
              <w:spacing w:after="0" w:line="240" w:lineRule="auto"/>
              <w:jc w:val="center"/>
              <w:rPr>
                <w:rFonts w:eastAsia="Times New Roman"/>
                <w:bCs/>
                <w:noProof/>
              </w:rPr>
            </w:pPr>
            <w:r>
              <w:rPr>
                <w:noProof/>
              </w:rPr>
              <w:t>1.26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1D42C7" w14:textId="77777777" w:rsidR="006C686E" w:rsidRDefault="00B17E8C">
            <w:pPr>
              <w:pStyle w:val="P68B1DB1-Normal11"/>
              <w:spacing w:after="0" w:line="240" w:lineRule="auto"/>
              <w:jc w:val="center"/>
              <w:rPr>
                <w:rFonts w:eastAsia="Times New Roman"/>
                <w:noProof/>
              </w:rPr>
            </w:pPr>
            <w:r>
              <w:rPr>
                <w:noProof/>
              </w:rPr>
              <w:t>RE-C01-i04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797E6"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A88058" w14:textId="3CA64B58" w:rsidR="006C686E" w:rsidRDefault="00B17E8C">
            <w:pPr>
              <w:pStyle w:val="P68B1DB1-Normal13"/>
              <w:keepNext/>
              <w:spacing w:after="0" w:line="240" w:lineRule="auto"/>
              <w:jc w:val="center"/>
              <w:rPr>
                <w:noProof/>
                <w:kern w:val="0"/>
                <w14:ligatures w14:val="none"/>
              </w:rPr>
            </w:pPr>
            <w:r>
              <w:rPr>
                <w:noProof/>
              </w:rPr>
              <w:t>Projets et équipements d'infrastructures de soins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5083BD" w14:textId="77777777" w:rsidR="006C686E" w:rsidRDefault="00B17E8C">
            <w:pPr>
              <w:pStyle w:val="P68B1DB1-Normal11"/>
              <w:spacing w:after="0" w:line="240" w:lineRule="auto"/>
              <w:jc w:val="center"/>
              <w:rPr>
                <w:noProof/>
              </w:rPr>
            </w:pPr>
            <w:r>
              <w:rPr>
                <w:noProof/>
              </w:rPr>
              <w:t xml:space="preserve">Achat, construction et rénovation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DAC659" w14:textId="77777777" w:rsidR="006C686E" w:rsidRDefault="00B17E8C">
            <w:pPr>
              <w:pStyle w:val="P68B1DB1-Normal14"/>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F81242" w14:textId="77777777" w:rsidR="006C686E" w:rsidRDefault="00B17E8C">
            <w:pPr>
              <w:pStyle w:val="P68B1DB1-Normal14"/>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E14437" w14:textId="77777777" w:rsidR="006C686E" w:rsidRDefault="00B17E8C">
            <w:pPr>
              <w:pStyle w:val="P68B1DB1-Normal14"/>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02F4CF"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76625F" w14:textId="77777777" w:rsidR="006C686E" w:rsidRDefault="00B17E8C">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A8A0B0" w14:textId="0A5A30A0" w:rsidR="006C686E" w:rsidRDefault="00B17E8C">
            <w:pPr>
              <w:pStyle w:val="P68B1DB1-Normal13"/>
              <w:spacing w:after="0" w:line="240" w:lineRule="auto"/>
              <w:jc w:val="both"/>
              <w:rPr>
                <w:noProof/>
                <w:kern w:val="0"/>
                <w14:ligatures w14:val="none"/>
              </w:rPr>
            </w:pPr>
            <w:r>
              <w:rPr>
                <w:noProof/>
                <w:kern w:val="0"/>
                <w14:ligatures w14:val="none"/>
              </w:rPr>
              <w:t>1) Achat de matériel</w:t>
            </w:r>
            <w:r>
              <w:rPr>
                <w:noProof/>
              </w:rPr>
              <w:t>.</w:t>
            </w:r>
          </w:p>
          <w:p w14:paraId="05297966" w14:textId="38B2FE29" w:rsidR="006C686E" w:rsidRDefault="00B17E8C">
            <w:pPr>
              <w:pStyle w:val="P68B1DB1-Normal13"/>
              <w:spacing w:after="0" w:line="240" w:lineRule="auto"/>
              <w:jc w:val="both"/>
              <w:rPr>
                <w:noProof/>
              </w:rPr>
            </w:pPr>
            <w:r>
              <w:rPr>
                <w:noProof/>
                <w:kern w:val="0"/>
                <w14:ligatures w14:val="none"/>
              </w:rPr>
              <w:t xml:space="preserve">2) </w:t>
            </w:r>
            <w:r>
              <w:rPr>
                <w:noProof/>
              </w:rPr>
              <w:t>Au moins 14 nouveaux projets d'infrastructure pour les services de santé ont été réalisés.</w:t>
            </w:r>
          </w:p>
          <w:p w14:paraId="23230264" w14:textId="5A6DABF4" w:rsidR="006C686E" w:rsidRDefault="00B17E8C">
            <w:pPr>
              <w:pStyle w:val="P68B1DB1-Normal13"/>
              <w:spacing w:after="0" w:line="240" w:lineRule="auto"/>
              <w:jc w:val="both"/>
              <w:rPr>
                <w:noProof/>
              </w:rPr>
            </w:pPr>
            <w:r>
              <w:rPr>
                <w:noProof/>
                <w:kern w:val="0"/>
                <w14:ligatures w14:val="none"/>
              </w:rPr>
              <w:t xml:space="preserve">3) </w:t>
            </w:r>
            <w:r>
              <w:rPr>
                <w:noProof/>
              </w:rPr>
              <w:t>Au moins 38 projets de rénovation d'infrastructures de soins de santé ont été réalisés.</w:t>
            </w:r>
          </w:p>
          <w:p w14:paraId="111F82FC" w14:textId="46FC128E" w:rsidR="006C686E" w:rsidRDefault="00B17E8C">
            <w:pPr>
              <w:pStyle w:val="P68B1DB1-Normal13"/>
              <w:spacing w:after="0" w:line="240" w:lineRule="auto"/>
              <w:jc w:val="both"/>
              <w:rPr>
                <w:noProof/>
              </w:rPr>
            </w:pPr>
            <w:r>
              <w:rPr>
                <w:noProof/>
              </w:rPr>
              <w:t>4) Achat de quatre hélicoptères pour les soins médicaux.</w:t>
            </w:r>
          </w:p>
        </w:tc>
      </w:tr>
      <w:tr w:rsidR="006C686E" w14:paraId="5A19113C" w14:textId="77777777" w:rsidTr="00093E19">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B8B0E1" w14:textId="77777777" w:rsidR="006C686E" w:rsidRDefault="00B17E8C">
            <w:pPr>
              <w:pStyle w:val="P68B1DB1-Normal10"/>
              <w:spacing w:after="0" w:line="240" w:lineRule="auto"/>
              <w:jc w:val="center"/>
              <w:rPr>
                <w:rFonts w:eastAsia="Times New Roman"/>
                <w:bCs/>
                <w:noProof/>
              </w:rPr>
            </w:pPr>
            <w:r>
              <w:rPr>
                <w:noProof/>
              </w:rPr>
              <w:t>1.28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6680C1" w14:textId="77777777" w:rsidR="006C686E" w:rsidRDefault="00B17E8C">
            <w:pPr>
              <w:pStyle w:val="P68B1DB1-Normal11"/>
              <w:spacing w:after="0" w:line="240" w:lineRule="auto"/>
              <w:jc w:val="center"/>
              <w:rPr>
                <w:rFonts w:eastAsia="Times New Roman"/>
                <w:noProof/>
              </w:rPr>
            </w:pPr>
            <w:r>
              <w:rPr>
                <w:noProof/>
              </w:rPr>
              <w:t>RE-C01-i05-RAM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66495C"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193D78" w14:textId="77777777" w:rsidR="006C686E" w:rsidRDefault="00B17E8C">
            <w:pPr>
              <w:pStyle w:val="P68B1DB1-Normal11"/>
              <w:spacing w:after="0" w:line="240" w:lineRule="auto"/>
              <w:jc w:val="center"/>
              <w:rPr>
                <w:rFonts w:eastAsia="Times New Roman"/>
                <w:noProof/>
              </w:rPr>
            </w:pPr>
            <w:r>
              <w:rPr>
                <w:noProof/>
              </w:rPr>
              <w:t>Création d’équipes communautaires de santé mentale au sein du service régional de santé de Madère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57DF6A"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22AF89"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B5064B"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F37D2" w14:textId="77777777" w:rsidR="006C686E" w:rsidRDefault="00B17E8C">
            <w:pPr>
              <w:pStyle w:val="P68B1DB1-Normal11"/>
              <w:spacing w:after="0" w:line="240" w:lineRule="auto"/>
              <w:jc w:val="center"/>
              <w:rPr>
                <w:rFonts w:eastAsia="Times New Roman"/>
                <w:noProof/>
              </w:rPr>
            </w:pPr>
            <w:r>
              <w:rPr>
                <w:noProof/>
              </w:rPr>
              <w:t>7</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CD658E"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BDD293" w14:textId="77777777" w:rsidR="006C686E" w:rsidRDefault="00B17E8C">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443103" w14:textId="77777777" w:rsidR="006C686E" w:rsidRDefault="00B17E8C">
            <w:pPr>
              <w:pStyle w:val="P68B1DB1-Normal11"/>
              <w:spacing w:after="0" w:line="240" w:lineRule="auto"/>
              <w:jc w:val="both"/>
              <w:rPr>
                <w:rFonts w:eastAsia="Times New Roman"/>
                <w:noProof/>
              </w:rPr>
            </w:pPr>
            <w:r>
              <w:rPr>
                <w:noProof/>
              </w:rPr>
              <w:t>Création d'équipes communautaires de santé mentale par le biais de décisions des Services de santé régionaux.</w:t>
            </w:r>
          </w:p>
        </w:tc>
      </w:tr>
      <w:tr w:rsidR="006C686E" w14:paraId="5A5BFE54"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B72023" w14:textId="77777777" w:rsidR="006C686E" w:rsidRDefault="00B17E8C">
            <w:pPr>
              <w:pStyle w:val="P68B1DB1-Normal10"/>
              <w:spacing w:after="0" w:line="240" w:lineRule="auto"/>
              <w:jc w:val="center"/>
              <w:rPr>
                <w:rFonts w:eastAsia="Times New Roman"/>
                <w:bCs/>
                <w:noProof/>
              </w:rPr>
            </w:pPr>
            <w:r>
              <w:rPr>
                <w:noProof/>
              </w:rPr>
              <w:t>1.29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58A36D" w14:textId="77777777" w:rsidR="006C686E" w:rsidRDefault="00B17E8C">
            <w:pPr>
              <w:pStyle w:val="P68B1DB1-Normal11"/>
              <w:spacing w:after="0" w:line="240" w:lineRule="auto"/>
              <w:jc w:val="center"/>
              <w:rPr>
                <w:rFonts w:eastAsia="Times New Roman"/>
                <w:noProof/>
              </w:rPr>
            </w:pPr>
            <w:r>
              <w:rPr>
                <w:noProof/>
              </w:rPr>
              <w:t>RE-C01-i05-RAM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8255BA"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1FA533" w14:textId="77777777" w:rsidR="006C686E" w:rsidRDefault="00B17E8C">
            <w:pPr>
              <w:pStyle w:val="P68B1DB1-Normal11"/>
              <w:spacing w:after="0" w:line="240" w:lineRule="auto"/>
              <w:jc w:val="center"/>
              <w:rPr>
                <w:rFonts w:eastAsia="Times New Roman"/>
                <w:noProof/>
              </w:rPr>
            </w:pPr>
            <w:r>
              <w:rPr>
                <w:noProof/>
              </w:rPr>
              <w:t>Déploiement du système de classification, du profil fonctionnel et du système d’orientation des utilisateurs pour le modèle régional de services intégrés de soins continus de Madère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116D31" w14:textId="77777777" w:rsidR="006C686E" w:rsidRDefault="00B17E8C">
            <w:pPr>
              <w:pStyle w:val="P68B1DB1-Normal11"/>
              <w:spacing w:after="0" w:line="240" w:lineRule="auto"/>
              <w:jc w:val="center"/>
              <w:rPr>
                <w:rFonts w:eastAsia="Times New Roman"/>
                <w:noProof/>
              </w:rPr>
            </w:pPr>
            <w:r>
              <w:rPr>
                <w:noProof/>
              </w:rPr>
              <w:t>Rapport sur le déploiement du système de classification, du profil fonctionnel et du système d’orientation des utilisateurs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96DE92"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E564ED"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5DA26E"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2D10A1"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E3D2F1" w14:textId="77777777" w:rsidR="006C686E" w:rsidRDefault="00B17E8C">
            <w:pPr>
              <w:pStyle w:val="P68B1DB1-Normal11"/>
              <w:spacing w:after="0" w:line="240" w:lineRule="auto"/>
              <w:jc w:val="center"/>
              <w:rPr>
                <w:rFonts w:eastAsia="Times New Roman"/>
                <w:noProof/>
              </w:rPr>
            </w:pPr>
            <w:r>
              <w:rPr>
                <w:noProof/>
              </w:rPr>
              <w:t>2021</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205B51" w14:textId="77777777" w:rsidR="006C686E" w:rsidRDefault="00B17E8C">
            <w:pPr>
              <w:pStyle w:val="P68B1DB1-Normal11"/>
              <w:spacing w:after="0" w:line="240" w:lineRule="auto"/>
              <w:jc w:val="both"/>
              <w:rPr>
                <w:rFonts w:eastAsia="Times New Roman"/>
                <w:noProof/>
              </w:rPr>
            </w:pPr>
            <w:r>
              <w:rPr>
                <w:noProof/>
              </w:rPr>
              <w:t>Déploiement du système de classification, du profil fonctionnel et du système d’orientation des utilisateurs, en vue de renforcer le modèle régional de Madère de services intégrés de soins continus, ainsi que sa coordination et sa gestion technique.</w:t>
            </w:r>
          </w:p>
        </w:tc>
      </w:tr>
      <w:tr w:rsidR="006C686E" w14:paraId="4576BE5B" w14:textId="77777777" w:rsidTr="00093E19">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8B66F" w14:textId="77777777" w:rsidR="006C686E" w:rsidRDefault="00B17E8C">
            <w:pPr>
              <w:pStyle w:val="P68B1DB1-Normal10"/>
              <w:spacing w:after="0" w:line="240" w:lineRule="auto"/>
              <w:jc w:val="center"/>
              <w:rPr>
                <w:rFonts w:eastAsia="Times New Roman"/>
                <w:bCs/>
                <w:noProof/>
              </w:rPr>
            </w:pPr>
            <w:r>
              <w:rPr>
                <w:noProof/>
              </w:rPr>
              <w:t>1.30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BB729B" w14:textId="77777777" w:rsidR="006C686E" w:rsidRDefault="00B17E8C">
            <w:pPr>
              <w:pStyle w:val="P68B1DB1-Normal11"/>
              <w:spacing w:after="0" w:line="240" w:lineRule="auto"/>
              <w:jc w:val="center"/>
              <w:rPr>
                <w:rFonts w:eastAsia="Times New Roman"/>
                <w:noProof/>
              </w:rPr>
            </w:pPr>
            <w:r>
              <w:rPr>
                <w:noProof/>
              </w:rPr>
              <w:t>RE-C01-i05-RAM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285336" w14:textId="77777777" w:rsidR="006C686E" w:rsidRDefault="00B17E8C">
            <w:pPr>
              <w:pStyle w:val="P68B1DB1-Normal11"/>
              <w:spacing w:after="0" w:line="240" w:lineRule="auto"/>
              <w:jc w:val="center"/>
              <w:rPr>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0D3395" w14:textId="5140DC5D" w:rsidR="006C686E" w:rsidRDefault="00B17E8C">
            <w:pPr>
              <w:pStyle w:val="P68B1DB1-Normal13"/>
              <w:spacing w:after="0" w:line="240" w:lineRule="auto"/>
              <w:jc w:val="center"/>
              <w:rPr>
                <w:noProof/>
                <w:kern w:val="0"/>
                <w14:ligatures w14:val="none"/>
              </w:rPr>
            </w:pPr>
            <w:r>
              <w:rPr>
                <w:noProof/>
                <w:kern w:val="0"/>
                <w14:ligatures w14:val="none"/>
              </w:rPr>
              <w:t xml:space="preserve">Construction ou rénovation et </w:t>
            </w:r>
            <w:r>
              <w:rPr>
                <w:noProof/>
              </w:rPr>
              <w:t>création d'équipes de soutien à domicile pour les soins de santé mentale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80A35D" w14:textId="75820E3C" w:rsidR="006C686E" w:rsidRDefault="00B17E8C">
            <w:pPr>
              <w:pStyle w:val="P68B1DB1-Normal13"/>
              <w:spacing w:after="0" w:line="240" w:lineRule="auto"/>
              <w:jc w:val="center"/>
              <w:rPr>
                <w:noProof/>
                <w:kern w:val="0"/>
                <w14:ligatures w14:val="none"/>
              </w:rPr>
            </w:pPr>
            <w:r>
              <w:rPr>
                <w:noProof/>
                <w:kern w:val="0"/>
                <w14:ligatures w14:val="none"/>
              </w:rPr>
              <w:t>Décisions de construction ou de rénovation</w:t>
            </w:r>
            <w:r>
              <w:rPr>
                <w:noProof/>
              </w:rPr>
              <w:t xml:space="preserve"> et de financement des équipes de soutien à domicile pour les soins de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07DE2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E2874A"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6CE4F2"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97E132"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A7075F" w14:textId="77777777" w:rsidR="006C686E" w:rsidRDefault="00B17E8C">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40C415" w14:textId="3319D068" w:rsidR="006C686E" w:rsidRDefault="00B17E8C">
            <w:pPr>
              <w:pStyle w:val="P68B1DB1-Normal13"/>
              <w:spacing w:after="0" w:line="240" w:lineRule="auto"/>
              <w:jc w:val="both"/>
              <w:rPr>
                <w:noProof/>
                <w:kern w:val="0"/>
                <w14:ligatures w14:val="none"/>
              </w:rPr>
            </w:pPr>
            <w:r>
              <w:rPr>
                <w:noProof/>
              </w:rPr>
              <w:t>1) Construction ou rénovation d'au moins 12 projets de soins continus intégrés et de services de santé mentale</w:t>
            </w:r>
          </w:p>
          <w:p w14:paraId="4FD27092" w14:textId="25321CC2" w:rsidR="006C686E" w:rsidRDefault="00B17E8C">
            <w:pPr>
              <w:pStyle w:val="P68B1DB1-Normal15"/>
              <w:spacing w:after="0" w:line="240" w:lineRule="auto"/>
              <w:jc w:val="both"/>
              <w:rPr>
                <w:noProof/>
              </w:rPr>
            </w:pPr>
            <w:r>
              <w:rPr>
                <w:noProof/>
              </w:rPr>
              <w:t>2) Décisions d'octroi de financement pour 5 équipes de soutien à domicile pour les soins de santé mentale.</w:t>
            </w:r>
          </w:p>
          <w:p w14:paraId="57357F8F" w14:textId="60D9F86D" w:rsidR="006C686E" w:rsidRDefault="00B17E8C">
            <w:pPr>
              <w:pStyle w:val="P68B1DB1-Normal13"/>
              <w:spacing w:after="0" w:line="240" w:lineRule="auto"/>
              <w:jc w:val="both"/>
              <w:rPr>
                <w:noProof/>
              </w:rPr>
            </w:pPr>
            <w:r>
              <w:rPr>
                <w:noProof/>
              </w:rPr>
              <w:t>3) Rénovation de 8 établissements de soins de santé primaires.</w:t>
            </w:r>
          </w:p>
          <w:p w14:paraId="3A6B67B8" w14:textId="77777777" w:rsidR="006C686E" w:rsidRDefault="00B17E8C">
            <w:pPr>
              <w:pStyle w:val="P68B1DB1-Normal11"/>
              <w:spacing w:after="0" w:line="240" w:lineRule="auto"/>
              <w:jc w:val="both"/>
              <w:rPr>
                <w:rFonts w:eastAsia="Times New Roman"/>
                <w:noProof/>
              </w:rPr>
            </w:pPr>
            <w:r>
              <w:rPr>
                <w:noProof/>
              </w:rPr>
              <w:t>Les bâtiments neufs ont une demande d’énergie primaire inférieure d’au moins 20 % aux exigences des bâtiments dont la consommation d’énergie est quasi nulle.</w:t>
            </w:r>
          </w:p>
        </w:tc>
      </w:tr>
      <w:tr w:rsidR="006C686E" w14:paraId="4D2A55D7"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7191F5" w14:textId="77777777" w:rsidR="006C686E" w:rsidRDefault="00B17E8C">
            <w:pPr>
              <w:pStyle w:val="P68B1DB1-Normal10"/>
              <w:spacing w:after="0" w:line="240" w:lineRule="auto"/>
              <w:jc w:val="center"/>
              <w:rPr>
                <w:rFonts w:eastAsia="Times New Roman"/>
                <w:bCs/>
                <w:noProof/>
              </w:rPr>
            </w:pPr>
            <w:r>
              <w:rPr>
                <w:noProof/>
              </w:rPr>
              <w:t>1.32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F9493B" w14:textId="77777777" w:rsidR="006C686E" w:rsidRDefault="00B17E8C">
            <w:pPr>
              <w:pStyle w:val="P68B1DB1-Normal11"/>
              <w:spacing w:after="0" w:line="240" w:lineRule="auto"/>
              <w:jc w:val="center"/>
              <w:rPr>
                <w:rFonts w:eastAsia="Times New Roman"/>
                <w:noProof/>
              </w:rPr>
            </w:pPr>
            <w:r>
              <w:rPr>
                <w:noProof/>
              </w:rPr>
              <w:t>RE-C01-i06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7B458F"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2852B9" w14:textId="77777777" w:rsidR="006C686E" w:rsidRDefault="00B17E8C">
            <w:pPr>
              <w:pStyle w:val="P68B1DB1-Normal11"/>
              <w:spacing w:after="0" w:line="240" w:lineRule="auto"/>
              <w:jc w:val="center"/>
              <w:rPr>
                <w:rFonts w:eastAsia="Times New Roman"/>
                <w:noProof/>
              </w:rPr>
            </w:pPr>
            <w:r>
              <w:rPr>
                <w:noProof/>
              </w:rPr>
              <w:t>Mise à niveau des réseaux informatiques locaux</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FA3987"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7DE456" w14:textId="77777777" w:rsidR="006C686E" w:rsidRDefault="00B17E8C">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AD6720"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59ECBA" w14:textId="77777777" w:rsidR="006C686E" w:rsidRDefault="00B17E8C">
            <w:pPr>
              <w:pStyle w:val="P68B1DB1-Normal11"/>
              <w:spacing w:after="0" w:line="240" w:lineRule="auto"/>
              <w:jc w:val="center"/>
              <w:rPr>
                <w:rFonts w:eastAsia="Times New Roman"/>
                <w:noProof/>
              </w:rPr>
            </w:pPr>
            <w:r>
              <w:rPr>
                <w:noProof/>
              </w:rPr>
              <w:t>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DB5497"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490776"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01535" w14:textId="77777777" w:rsidR="006C686E" w:rsidRDefault="00B17E8C">
            <w:pPr>
              <w:pStyle w:val="P68B1DB1-Normal11"/>
              <w:spacing w:after="0" w:line="240" w:lineRule="auto"/>
              <w:jc w:val="both"/>
              <w:rPr>
                <w:rFonts w:eastAsia="Times New Roman"/>
                <w:noProof/>
              </w:rPr>
            </w:pPr>
            <w:r>
              <w:rPr>
                <w:noProof/>
              </w:rPr>
              <w:t>Pourcentage de réseaux locaux de technologies de l'information mis à niveau au sein du service national de santé, organisés et mis en œuvre par l'entité de services partagés du ministère de la santé, qui seront ainsi en mesure de fonctionner dans le nouveau modèle de communications unifiées (voix sur protocole Internet).</w:t>
            </w:r>
          </w:p>
        </w:tc>
      </w:tr>
      <w:tr w:rsidR="006C686E" w14:paraId="597E0747"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2BECCC" w14:textId="77777777" w:rsidR="006C686E" w:rsidRDefault="00B17E8C">
            <w:pPr>
              <w:pStyle w:val="P68B1DB1-Normal10"/>
              <w:spacing w:after="0" w:line="240" w:lineRule="auto"/>
              <w:jc w:val="center"/>
              <w:rPr>
                <w:rFonts w:eastAsia="Times New Roman"/>
                <w:bCs/>
                <w:noProof/>
              </w:rPr>
            </w:pPr>
            <w:r>
              <w:rPr>
                <w:noProof/>
              </w:rPr>
              <w:t>1.33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284A30" w14:textId="77777777" w:rsidR="006C686E" w:rsidRDefault="00B17E8C">
            <w:pPr>
              <w:pStyle w:val="P68B1DB1-Normal11"/>
              <w:spacing w:after="0" w:line="240" w:lineRule="auto"/>
              <w:jc w:val="center"/>
              <w:rPr>
                <w:rFonts w:eastAsia="Times New Roman"/>
                <w:noProof/>
              </w:rPr>
            </w:pPr>
            <w:r>
              <w:rPr>
                <w:noProof/>
              </w:rPr>
              <w:t>RE-C01-i06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B30BD8"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DA59C6" w14:textId="77777777" w:rsidR="006C686E" w:rsidRDefault="00B17E8C">
            <w:pPr>
              <w:pStyle w:val="P68B1DB1-Normal11"/>
              <w:spacing w:after="0" w:line="240" w:lineRule="auto"/>
              <w:jc w:val="center"/>
              <w:rPr>
                <w:rFonts w:eastAsia="Times New Roman"/>
                <w:noProof/>
              </w:rPr>
            </w:pPr>
            <w:r>
              <w:rPr>
                <w:noProof/>
              </w:rPr>
              <w:t>Mise en œuvre des fonctionnalités de télésanté et de télésurveillance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B2E7E3"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76929C" w14:textId="77777777" w:rsidR="006C686E" w:rsidRDefault="00B17E8C">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E3256B"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1F3CF0" w14:textId="77777777" w:rsidR="006C686E" w:rsidRDefault="00B17E8C">
            <w:pPr>
              <w:pStyle w:val="P68B1DB1-Normal11"/>
              <w:spacing w:after="0" w:line="240" w:lineRule="auto"/>
              <w:jc w:val="center"/>
              <w:rPr>
                <w:rFonts w:eastAsia="Times New Roman"/>
                <w:noProof/>
              </w:rPr>
            </w:pPr>
            <w:r>
              <w:rPr>
                <w:noProof/>
              </w:rPr>
              <w:t>15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71661B"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66E604" w14:textId="77777777" w:rsidR="006C686E" w:rsidRDefault="00B17E8C">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92DEE6" w14:textId="77777777" w:rsidR="006C686E" w:rsidRDefault="00B17E8C">
            <w:pPr>
              <w:pStyle w:val="P68B1DB1-Normal11"/>
              <w:spacing w:after="0" w:line="240" w:lineRule="auto"/>
              <w:jc w:val="both"/>
              <w:rPr>
                <w:rFonts w:eastAsia="Times New Roman"/>
                <w:noProof/>
              </w:rPr>
            </w:pPr>
            <w:r>
              <w:rPr>
                <w:noProof/>
              </w:rPr>
              <w:t>Pourcentage d'utilisateurs ayant accès à de nouvelles fonctionnalités de télésanté et de télésurveillance, permettant la fourniture de services de soins de santé à distance, augmentant ainsi les niveaux d'accès aux soins de santé et la participation des citoyens au processus de collecte et de traitement de l'information à distance.</w:t>
            </w:r>
          </w:p>
        </w:tc>
      </w:tr>
      <w:tr w:rsidR="006C686E" w14:paraId="4A5D69B2" w14:textId="77777777" w:rsidTr="00093E19">
        <w:trPr>
          <w:trHeight w:val="41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EA1405" w14:textId="77777777" w:rsidR="006C686E" w:rsidRDefault="00B17E8C">
            <w:pPr>
              <w:pStyle w:val="P68B1DB1-Normal10"/>
              <w:spacing w:after="0" w:line="240" w:lineRule="auto"/>
              <w:jc w:val="center"/>
              <w:rPr>
                <w:rFonts w:eastAsia="Times New Roman"/>
                <w:bCs/>
                <w:noProof/>
              </w:rPr>
            </w:pPr>
            <w:r>
              <w:rPr>
                <w:noProof/>
              </w:rPr>
              <w:t>1.34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0EECDD" w14:textId="77777777" w:rsidR="006C686E" w:rsidRDefault="00B17E8C">
            <w:pPr>
              <w:pStyle w:val="P68B1DB1-Normal11"/>
              <w:spacing w:after="0" w:line="240" w:lineRule="auto"/>
              <w:jc w:val="center"/>
              <w:rPr>
                <w:rFonts w:eastAsia="Times New Roman"/>
                <w:noProof/>
              </w:rPr>
            </w:pPr>
            <w:r>
              <w:rPr>
                <w:noProof/>
              </w:rPr>
              <w:t>RE-C01-i06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A1CD73"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5395A8" w14:textId="77777777" w:rsidR="006C686E" w:rsidRDefault="00B17E8C">
            <w:pPr>
              <w:pStyle w:val="P68B1DB1-Normal13"/>
              <w:spacing w:after="0" w:line="240" w:lineRule="auto"/>
              <w:jc w:val="center"/>
              <w:rPr>
                <w:rFonts w:eastAsia="Times New Roman"/>
                <w:noProof/>
              </w:rPr>
            </w:pPr>
            <w:r>
              <w:rPr>
                <w:noProof/>
              </w:rPr>
              <w:t xml:space="preserve">Disponibilité </w:t>
            </w:r>
            <w:r>
              <w:rPr>
                <w:noProof/>
                <w:kern w:val="0"/>
                <w14:ligatures w14:val="none"/>
              </w:rPr>
              <w:t>des modules informatiques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A148E9" w14:textId="77777777" w:rsidR="006C686E" w:rsidRDefault="00B17E8C">
            <w:pPr>
              <w:pStyle w:val="P68B1DB1-Normal13"/>
              <w:spacing w:after="0" w:line="240" w:lineRule="auto"/>
              <w:jc w:val="center"/>
              <w:rPr>
                <w:rFonts w:eastAsia="Times New Roman"/>
                <w:noProof/>
                <w:kern w:val="0"/>
                <w14:ligatures w14:val="none"/>
              </w:rPr>
            </w:pPr>
            <w:r>
              <w:rPr>
                <w:noProof/>
              </w:rPr>
              <w:t xml:space="preserve">Disponibilité </w:t>
            </w:r>
            <w:r>
              <w:rPr>
                <w:noProof/>
                <w:kern w:val="0"/>
                <w14:ligatures w14:val="none"/>
              </w:rPr>
              <w:t>des modules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70EA6"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79E7D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F443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AA0060"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D3465" w14:textId="77777777" w:rsidR="006C686E" w:rsidRDefault="00B17E8C">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2FF883" w14:textId="77777777" w:rsidR="006C686E" w:rsidRDefault="00B17E8C">
            <w:pPr>
              <w:pStyle w:val="P68B1DB1-Normal13"/>
              <w:spacing w:after="0" w:line="240" w:lineRule="auto"/>
              <w:jc w:val="both"/>
              <w:rPr>
                <w:rFonts w:eastAsia="Times New Roman"/>
                <w:noProof/>
              </w:rPr>
            </w:pPr>
            <w:r>
              <w:rPr>
                <w:noProof/>
              </w:rPr>
              <w:t xml:space="preserve">Disponibilité pour le personnel de santé des </w:t>
            </w:r>
            <w:r>
              <w:rPr>
                <w:noProof/>
                <w:kern w:val="0"/>
                <w14:ligatures w14:val="none"/>
              </w:rPr>
              <w:t>modules</w:t>
            </w:r>
            <w:r>
              <w:rPr>
                <w:noProof/>
              </w:rPr>
              <w:t xml:space="preserve"> </w:t>
            </w:r>
            <w:r>
              <w:rPr>
                <w:noProof/>
                <w:kern w:val="0"/>
                <w14:ligatures w14:val="none"/>
              </w:rPr>
              <w:t xml:space="preserve"> cliniques</w:t>
            </w:r>
            <w:r>
              <w:rPr>
                <w:noProof/>
              </w:rPr>
              <w:t xml:space="preserve"> ou administratifs suivants pour les soins </w:t>
            </w:r>
            <w:r>
              <w:rPr>
                <w:noProof/>
                <w:kern w:val="0"/>
                <w14:ligatures w14:val="none"/>
              </w:rPr>
              <w:t>primaires</w:t>
            </w:r>
            <w:r>
              <w:rPr>
                <w:noProof/>
              </w:rPr>
              <w:t xml:space="preserve"> ou</w:t>
            </w:r>
            <w:r>
              <w:rPr>
                <w:noProof/>
                <w:kern w:val="0"/>
                <w14:ligatures w14:val="none"/>
              </w:rPr>
              <w:t xml:space="preserve"> hospitaliers:</w:t>
            </w:r>
            <w:r>
              <w:rPr>
                <w:noProof/>
              </w:rPr>
              <w:t xml:space="preserve"> «SClínico CSP», «SClínico H Linux» et «S3 Healthcare system».</w:t>
            </w:r>
          </w:p>
        </w:tc>
      </w:tr>
      <w:tr w:rsidR="006C686E" w14:paraId="5CC5BB2D"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AC9CAA" w14:textId="77777777" w:rsidR="006C686E" w:rsidRDefault="00B17E8C">
            <w:pPr>
              <w:pStyle w:val="P68B1DB1-Normal10"/>
              <w:spacing w:after="0" w:line="240" w:lineRule="auto"/>
              <w:jc w:val="center"/>
              <w:rPr>
                <w:rFonts w:eastAsia="Times New Roman"/>
                <w:bCs/>
                <w:noProof/>
              </w:rPr>
            </w:pPr>
            <w:r>
              <w:rPr>
                <w:noProof/>
              </w:rPr>
              <w:t>1.35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31F25" w14:textId="77777777" w:rsidR="006C686E" w:rsidRDefault="00B17E8C">
            <w:pPr>
              <w:pStyle w:val="P68B1DB1-Normal11"/>
              <w:spacing w:after="0" w:line="240" w:lineRule="auto"/>
              <w:jc w:val="center"/>
              <w:rPr>
                <w:rFonts w:eastAsia="Times New Roman"/>
                <w:noProof/>
              </w:rPr>
            </w:pPr>
            <w:r>
              <w:rPr>
                <w:noProof/>
              </w:rPr>
              <w:t>RE-C01-i07-RAM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CE8BCE"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D654FA" w14:textId="77777777" w:rsidR="006C686E" w:rsidRDefault="00B17E8C">
            <w:pPr>
              <w:pStyle w:val="P68B1DB1-Normal11"/>
              <w:spacing w:after="0" w:line="240" w:lineRule="auto"/>
              <w:jc w:val="center"/>
              <w:rPr>
                <w:rFonts w:eastAsia="Times New Roman"/>
                <w:noProof/>
              </w:rPr>
            </w:pPr>
            <w:r>
              <w:rPr>
                <w:noProof/>
              </w:rPr>
              <w:t>Nouvel équipement numérique pour le service régional de santé de Madère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86A6F5" w14:textId="77777777" w:rsidR="006C686E" w:rsidRDefault="00B17E8C">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BFB7F4" w14:textId="77777777" w:rsidR="006C686E" w:rsidRDefault="00B17E8C">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00F942"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674F37" w14:textId="77777777" w:rsidR="006C686E" w:rsidRDefault="00B17E8C">
            <w:pPr>
              <w:pStyle w:val="P68B1DB1-Normal11"/>
              <w:spacing w:after="0" w:line="240" w:lineRule="auto"/>
              <w:jc w:val="center"/>
              <w:rPr>
                <w:rFonts w:eastAsia="Times New Roman"/>
                <w:noProof/>
              </w:rPr>
            </w:pPr>
            <w:r>
              <w:rPr>
                <w:noProof/>
              </w:rPr>
              <w:t>3 600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56BC95"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8D8489" w14:textId="77777777" w:rsidR="006C686E" w:rsidRDefault="00B17E8C">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223E88" w14:textId="77777777" w:rsidR="006C686E" w:rsidRDefault="00B17E8C">
            <w:pPr>
              <w:pStyle w:val="P68B1DB1-Normal13"/>
              <w:spacing w:after="0" w:line="240" w:lineRule="auto"/>
              <w:jc w:val="both"/>
              <w:rPr>
                <w:rFonts w:eastAsia="Times New Roman"/>
                <w:noProof/>
              </w:rPr>
            </w:pPr>
            <w:r>
              <w:rPr>
                <w:noProof/>
              </w:rPr>
              <w:t>Achat de 3</w:t>
            </w:r>
            <w:r>
              <w:rPr>
                <w:noProof/>
                <w:kern w:val="0"/>
                <w14:ligatures w14:val="none"/>
              </w:rPr>
              <w:t> </w:t>
            </w:r>
            <w:r>
              <w:rPr>
                <w:noProof/>
              </w:rPr>
              <w:t>600 équipements ou</w:t>
            </w:r>
            <w:r>
              <w:rPr>
                <w:noProof/>
                <w:kern w:val="0"/>
                <w14:ligatures w14:val="none"/>
              </w:rPr>
              <w:t xml:space="preserve"> logiciels</w:t>
            </w:r>
            <w:r>
              <w:rPr>
                <w:noProof/>
              </w:rPr>
              <w:t xml:space="preserve"> numériques.</w:t>
            </w:r>
          </w:p>
        </w:tc>
      </w:tr>
      <w:tr w:rsidR="006C686E" w14:paraId="56DBC18F" w14:textId="77777777" w:rsidTr="00093E19">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AA8A09" w14:textId="77777777" w:rsidR="006C686E" w:rsidRDefault="00B17E8C">
            <w:pPr>
              <w:pStyle w:val="P68B1DB1-Normal10"/>
              <w:spacing w:after="0" w:line="240" w:lineRule="auto"/>
              <w:jc w:val="center"/>
              <w:rPr>
                <w:rFonts w:eastAsia="Times New Roman"/>
                <w:bCs/>
                <w:noProof/>
              </w:rPr>
            </w:pPr>
            <w:r>
              <w:rPr>
                <w:noProof/>
              </w:rPr>
              <w:t>1.36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7E4932" w14:textId="77777777" w:rsidR="006C686E" w:rsidRDefault="00B17E8C">
            <w:pPr>
              <w:pStyle w:val="P68B1DB1-Normal11"/>
              <w:spacing w:after="0" w:line="240" w:lineRule="auto"/>
              <w:jc w:val="center"/>
              <w:rPr>
                <w:rFonts w:eastAsia="Times New Roman"/>
                <w:noProof/>
              </w:rPr>
            </w:pPr>
            <w:r>
              <w:rPr>
                <w:noProof/>
              </w:rPr>
              <w:t>RE-C01-i08-RAA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CAD968"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3473F" w14:textId="77777777" w:rsidR="006C686E" w:rsidRDefault="00B17E8C">
            <w:pPr>
              <w:pStyle w:val="P68B1DB1-Normal13"/>
              <w:spacing w:after="0" w:line="240" w:lineRule="auto"/>
              <w:jc w:val="center"/>
              <w:rPr>
                <w:rFonts w:eastAsia="Times New Roman"/>
                <w:noProof/>
                <w:kern w:val="0"/>
                <w14:ligatures w14:val="none"/>
              </w:rPr>
            </w:pPr>
            <w:r>
              <w:rPr>
                <w:noProof/>
              </w:rPr>
              <w:t xml:space="preserve">Disponibilité de </w:t>
            </w:r>
            <w:r>
              <w:rPr>
                <w:noProof/>
                <w:kern w:val="0"/>
                <w14:ligatures w14:val="none"/>
              </w:rPr>
              <w:t>l’application</w:t>
            </w:r>
            <w:r>
              <w:rPr>
                <w:noProof/>
              </w:rPr>
              <w:t xml:space="preserve"> et</w:t>
            </w:r>
            <w:r>
              <w:rPr>
                <w:noProof/>
                <w:kern w:val="0"/>
                <w14:ligatures w14:val="none"/>
              </w:rPr>
              <w:t xml:space="preserve"> du site web du service régional de santé des Açores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D0F4E8" w14:textId="77777777" w:rsidR="006C686E" w:rsidRDefault="00B17E8C">
            <w:pPr>
              <w:pStyle w:val="P68B1DB1-Normal13"/>
              <w:spacing w:after="0" w:line="240" w:lineRule="auto"/>
              <w:jc w:val="center"/>
              <w:rPr>
                <w:noProof/>
                <w:kern w:val="0"/>
                <w14:ligatures w14:val="none"/>
              </w:rPr>
            </w:pPr>
            <w:r>
              <w:rPr>
                <w:noProof/>
              </w:rPr>
              <w:t>Disponibilité de l'application et du site web</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504AE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5C1CD"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F8BF6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D46614"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5CF0EB" w14:textId="77777777" w:rsidR="006C686E" w:rsidRDefault="00B17E8C">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921FD3" w14:textId="307343E3" w:rsidR="006C686E" w:rsidRDefault="00B17E8C">
            <w:pPr>
              <w:pStyle w:val="P68B1DB1-Normal13"/>
              <w:spacing w:after="0" w:line="240" w:lineRule="auto"/>
              <w:jc w:val="both"/>
              <w:rPr>
                <w:rFonts w:eastAsia="Times New Roman"/>
                <w:noProof/>
                <w:kern w:val="0"/>
                <w14:ligatures w14:val="none"/>
              </w:rPr>
            </w:pPr>
            <w:r>
              <w:rPr>
                <w:noProof/>
              </w:rPr>
              <w:t>Disponibilité pour les citoyens de l'application et du site Web My Saúde Açores contenant des informations sur les soins de santé, y compris sur les rendez-vous programmés, les résultats d'analyses ou les prescriptions de médicaments.</w:t>
            </w:r>
          </w:p>
        </w:tc>
      </w:tr>
      <w:tr w:rsidR="006C686E" w14:paraId="06C9DCE1" w14:textId="77777777" w:rsidTr="00093E19">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D77F8" w14:textId="77777777" w:rsidR="006C686E" w:rsidRDefault="00B17E8C">
            <w:pPr>
              <w:pStyle w:val="P68B1DB1-Normal10"/>
              <w:spacing w:after="0" w:line="240" w:lineRule="auto"/>
              <w:jc w:val="center"/>
              <w:rPr>
                <w:rFonts w:eastAsia="Times New Roman"/>
                <w:bCs/>
                <w:noProof/>
              </w:rPr>
            </w:pPr>
            <w:r>
              <w:rPr>
                <w:noProof/>
              </w:rPr>
              <w:t>1.37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49F2" w14:textId="77777777" w:rsidR="006C686E" w:rsidRDefault="00B17E8C">
            <w:pPr>
              <w:pStyle w:val="P68B1DB1-Normal11"/>
              <w:spacing w:after="0" w:line="240" w:lineRule="auto"/>
              <w:jc w:val="center"/>
              <w:rPr>
                <w:rFonts w:eastAsia="Times New Roman"/>
                <w:noProof/>
              </w:rPr>
            </w:pPr>
            <w:r>
              <w:rPr>
                <w:noProof/>
              </w:rPr>
              <w:t>RE-C01-i08-RAA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F1B57D"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CC3788" w14:textId="77777777" w:rsidR="006C686E" w:rsidRDefault="00B17E8C">
            <w:pPr>
              <w:pStyle w:val="P68B1DB1-Normal11"/>
              <w:spacing w:after="0" w:line="240" w:lineRule="auto"/>
              <w:jc w:val="center"/>
              <w:rPr>
                <w:rFonts w:eastAsia="Times New Roman"/>
                <w:noProof/>
              </w:rPr>
            </w:pPr>
            <w:r>
              <w:rPr>
                <w:noProof/>
              </w:rPr>
              <w:t>Télémédecine dans le service régional de santé des Açores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7B1BF1" w14:textId="77777777" w:rsidR="006C686E" w:rsidRDefault="00B17E8C">
            <w:pPr>
              <w:pStyle w:val="P68B1DB1-Normal11"/>
              <w:spacing w:after="0" w:line="240" w:lineRule="auto"/>
              <w:jc w:val="center"/>
              <w:rPr>
                <w:rFonts w:eastAsia="Times New Roman"/>
                <w:noProof/>
              </w:rPr>
            </w:pPr>
            <w:r>
              <w:rPr>
                <w:noProof/>
              </w:rPr>
              <w:t xml:space="preserve">Approbation du plan et de la circulaire normative pour la télémédecine dans le système de santé des Açores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EBEDF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477CA"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446B8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DE10A7" w14:textId="77777777" w:rsidR="006C686E" w:rsidRDefault="00B17E8C">
            <w:pPr>
              <w:pStyle w:val="P68B1DB1-Normal11"/>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31C51C" w14:textId="77777777" w:rsidR="006C686E" w:rsidRDefault="00B17E8C">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63B955" w14:textId="77777777" w:rsidR="006C686E" w:rsidRDefault="00B17E8C">
            <w:pPr>
              <w:pStyle w:val="P68B1DB1-Normal11"/>
              <w:spacing w:after="0" w:line="240" w:lineRule="auto"/>
              <w:jc w:val="both"/>
              <w:rPr>
                <w:rFonts w:eastAsia="Times New Roman"/>
                <w:noProof/>
              </w:rPr>
            </w:pPr>
            <w:r>
              <w:rPr>
                <w:noProof/>
              </w:rPr>
              <w:t>i) a) Approbation par le Directeur régional de la santé d ' une circulaire normative sur le fonctionnement de la télémédecine; ii) l’entrée en vigueur d’un plan de télémédecine; iii) la livraison d’équipements de télémédecine.</w:t>
            </w:r>
          </w:p>
        </w:tc>
      </w:tr>
      <w:tr w:rsidR="006C686E" w14:paraId="7CA5557B"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2B65E7" w14:textId="77777777" w:rsidR="006C686E" w:rsidRDefault="00B17E8C">
            <w:pPr>
              <w:pStyle w:val="P68B1DB1-Normal10"/>
              <w:spacing w:after="0" w:line="240" w:lineRule="auto"/>
              <w:jc w:val="center"/>
              <w:rPr>
                <w:rFonts w:eastAsia="Times New Roman"/>
                <w:bCs/>
                <w:noProof/>
              </w:rPr>
            </w:pPr>
            <w:r>
              <w:rPr>
                <w:noProof/>
              </w:rPr>
              <w:t>1.38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F1114E" w14:textId="77777777" w:rsidR="006C686E" w:rsidRDefault="00B17E8C">
            <w:pPr>
              <w:pStyle w:val="P68B1DB1-Normal11"/>
              <w:spacing w:after="0" w:line="240" w:lineRule="auto"/>
              <w:jc w:val="center"/>
              <w:rPr>
                <w:rFonts w:eastAsia="Times New Roman"/>
                <w:noProof/>
              </w:rPr>
            </w:pPr>
            <w:r>
              <w:rPr>
                <w:noProof/>
              </w:rPr>
              <w:t>RE-C01-i09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31B4A1"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B4F6A" w14:textId="77777777" w:rsidR="006C686E" w:rsidRDefault="00B17E8C">
            <w:pPr>
              <w:pStyle w:val="P68B1DB1-Normal11"/>
              <w:spacing w:after="0" w:line="240" w:lineRule="auto"/>
              <w:jc w:val="center"/>
              <w:rPr>
                <w:rFonts w:eastAsia="Times New Roman"/>
                <w:noProof/>
              </w:rPr>
            </w:pPr>
            <w:r>
              <w:rPr>
                <w:noProof/>
              </w:rPr>
              <w:t xml:space="preserve">Achat de kits de vélos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5287EC" w14:textId="77777777" w:rsidR="006C686E" w:rsidRDefault="00B17E8C">
            <w:pPr>
              <w:pStyle w:val="P68B1DB1-Normal13"/>
              <w:spacing w:after="0" w:line="240" w:lineRule="auto"/>
              <w:jc w:val="center"/>
              <w:rPr>
                <w:rFonts w:eastAsia="Times New Roman"/>
                <w:noProof/>
                <w:kern w:val="0"/>
                <w14:ligatures w14:val="none"/>
              </w:rPr>
            </w:pPr>
            <w:r>
              <w:rPr>
                <w:noProof/>
              </w:rPr>
              <w:t>Achat de kits de vélos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35509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615AE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8B2D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21F663" w14:textId="77777777" w:rsidR="006C686E" w:rsidRDefault="00B17E8C">
            <w:pPr>
              <w:pStyle w:val="P68B1DB1-Normal11"/>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F61FB6" w14:textId="77777777" w:rsidR="006C686E" w:rsidRDefault="00B17E8C">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2B6A99" w14:textId="77777777" w:rsidR="006C686E" w:rsidRDefault="00B17E8C">
            <w:pPr>
              <w:pStyle w:val="P68B1DB1-Normal13"/>
              <w:spacing w:after="0" w:line="240" w:lineRule="auto"/>
              <w:jc w:val="both"/>
              <w:rPr>
                <w:rFonts w:eastAsia="Times New Roman"/>
                <w:noProof/>
              </w:rPr>
            </w:pPr>
            <w:r>
              <w:rPr>
                <w:noProof/>
                <w:kern w:val="0"/>
                <w14:ligatures w14:val="none"/>
              </w:rPr>
              <w:t xml:space="preserve">Achat de 1 980 kits de vélos b par l'Institut portugais des sports et de la jeunesse. </w:t>
            </w:r>
          </w:p>
        </w:tc>
      </w:tr>
      <w:tr w:rsidR="006C686E" w14:paraId="4CD4773A"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CD5115" w14:textId="77777777" w:rsidR="006C686E" w:rsidRDefault="00B17E8C">
            <w:pPr>
              <w:pStyle w:val="P68B1DB1-Normal10"/>
              <w:spacing w:after="0" w:line="240" w:lineRule="auto"/>
              <w:jc w:val="center"/>
              <w:rPr>
                <w:rFonts w:eastAsia="Times New Roman"/>
                <w:bCs/>
                <w:noProof/>
              </w:rPr>
            </w:pPr>
            <w:r>
              <w:rPr>
                <w:noProof/>
              </w:rPr>
              <w:t>1.39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8AC8724" w14:textId="77777777" w:rsidR="006C686E" w:rsidRDefault="00B17E8C">
            <w:pPr>
              <w:pStyle w:val="P68B1DB1-Normal11"/>
              <w:spacing w:after="0" w:line="240" w:lineRule="auto"/>
              <w:jc w:val="center"/>
              <w:rPr>
                <w:rFonts w:eastAsia="Times New Roman"/>
                <w:noProof/>
              </w:rPr>
            </w:pPr>
            <w:r>
              <w:rPr>
                <w:noProof/>
              </w:rPr>
              <w:t>RE-C01-i09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C95B4E"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C0701E" w14:textId="77777777" w:rsidR="006C686E" w:rsidRDefault="00B17E8C">
            <w:pPr>
              <w:pStyle w:val="P68B1DB1-Normal11"/>
              <w:spacing w:after="0" w:line="240" w:lineRule="auto"/>
              <w:jc w:val="center"/>
              <w:rPr>
                <w:rFonts w:eastAsia="Times New Roman"/>
                <w:noProof/>
              </w:rPr>
            </w:pPr>
            <w:r>
              <w:rPr>
                <w:noProof/>
              </w:rPr>
              <w:t xml:space="preserve">Campagne pour le système universel de soutien à la vie active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99EBE3" w14:textId="77777777"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Une</w:t>
            </w:r>
            <w:r>
              <w:rPr>
                <w:noProof/>
              </w:rPr>
              <w:t xml:space="preserve"> vailabilité du site web et de l'application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FB5E20" w14:textId="77777777" w:rsidR="006C686E" w:rsidRDefault="00B17E8C">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56BDFB" w14:textId="77777777" w:rsidR="006C686E" w:rsidRDefault="00B17E8C">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C2FD2F" w14:textId="77777777" w:rsidR="006C686E" w:rsidRDefault="00B17E8C">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77B3FD"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40C86E" w14:textId="77777777" w:rsidR="006C686E" w:rsidRDefault="00B17E8C">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55E8E4" w14:textId="77777777" w:rsidR="006C686E" w:rsidRDefault="00B17E8C">
            <w:pPr>
              <w:pStyle w:val="P68B1DB1-Normal11"/>
              <w:spacing w:after="0" w:line="240" w:lineRule="auto"/>
              <w:jc w:val="both"/>
              <w:rPr>
                <w:rFonts w:eastAsia="Times New Roman"/>
                <w:noProof/>
              </w:rPr>
            </w:pPr>
            <w:r>
              <w:rPr>
                <w:noProof/>
              </w:rPr>
              <w:t>Disponibilité du site Web et de l'application mobile pour la campagne Universal Active Life Support System.</w:t>
            </w:r>
          </w:p>
        </w:tc>
      </w:tr>
      <w:tr w:rsidR="006C686E" w14:paraId="7B168ED5"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EEC46A" w14:textId="77777777" w:rsidR="006C686E" w:rsidRDefault="00B17E8C">
            <w:pPr>
              <w:pStyle w:val="P68B1DB1-Normal10"/>
              <w:spacing w:after="0" w:line="240" w:lineRule="auto"/>
              <w:jc w:val="center"/>
              <w:rPr>
                <w:rFonts w:eastAsia="Times New Roman"/>
                <w:noProof/>
              </w:rPr>
            </w:pPr>
            <w:r>
              <w:rPr>
                <w:noProof/>
              </w:rPr>
              <w:t>1.41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F1CFE8" w14:textId="77777777" w:rsidR="006C686E" w:rsidRDefault="00B17E8C">
            <w:pPr>
              <w:pStyle w:val="P68B1DB1-Normal11"/>
              <w:spacing w:after="0" w:line="240" w:lineRule="auto"/>
              <w:jc w:val="center"/>
              <w:rPr>
                <w:rFonts w:eastAsia="Times New Roman"/>
                <w:noProof/>
              </w:rPr>
            </w:pPr>
            <w:r>
              <w:rPr>
                <w:noProof/>
              </w:rPr>
              <w:t>RE-C01-i10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C1B001" w14:textId="77777777" w:rsidR="006C686E" w:rsidRDefault="00B17E8C">
            <w:pPr>
              <w:pStyle w:val="P68B1DB1-Normal11"/>
              <w:spacing w:after="0" w:line="240" w:lineRule="auto"/>
              <w:jc w:val="center"/>
              <w:rPr>
                <w:rFonts w:eastAsia="Times New Roman"/>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89DD18" w14:textId="77777777" w:rsidR="006C686E" w:rsidRDefault="00B17E8C">
            <w:pPr>
              <w:pStyle w:val="P68B1DB1-Normal11"/>
              <w:spacing w:after="0" w:line="240" w:lineRule="auto"/>
              <w:jc w:val="center"/>
              <w:rPr>
                <w:rFonts w:eastAsia="Times New Roman"/>
                <w:noProof/>
              </w:rPr>
            </w:pPr>
            <w:r>
              <w:rPr>
                <w:noProof/>
              </w:rPr>
              <w:t>Approbation du rapport identifiant les besoins du NHS en matériel médical lourd</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F3CD8B" w14:textId="77777777" w:rsidR="006C686E" w:rsidRDefault="00B17E8C">
            <w:pPr>
              <w:pStyle w:val="P68B1DB1-Normal11"/>
              <w:spacing w:after="0" w:line="240" w:lineRule="auto"/>
              <w:jc w:val="center"/>
              <w:rPr>
                <w:rFonts w:eastAsia="Times New Roman"/>
                <w:noProof/>
              </w:rPr>
            </w:pPr>
            <w:r>
              <w:rPr>
                <w:noProof/>
              </w:rPr>
              <w:t>Approbation du rapport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210FA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6288C7"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2637F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3D3035" w14:textId="77777777" w:rsidR="006C686E" w:rsidRDefault="00B17E8C">
            <w:pPr>
              <w:pStyle w:val="P68B1DB1-Normal11"/>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6F2D4E" w14:textId="77777777" w:rsidR="006C686E" w:rsidRDefault="00B17E8C">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29F131" w14:textId="77777777" w:rsidR="006C686E" w:rsidRDefault="00B17E8C">
            <w:pPr>
              <w:pStyle w:val="P68B1DB1-Normal11"/>
              <w:spacing w:after="0" w:line="240" w:lineRule="auto"/>
              <w:jc w:val="both"/>
              <w:rPr>
                <w:rFonts w:eastAsia="Times New Roman"/>
                <w:noProof/>
              </w:rPr>
            </w:pPr>
            <w:r>
              <w:rPr>
                <w:noProof/>
              </w:rPr>
              <w:t xml:space="preserve">Approbation du rapport du ministère de la santé qui recense les besoins des hôpitaux des services nationaux de santé en équipements médicaux lourds. Ce rapport identifie à la fois la nécessité d'acheter ce type d'équipement pour la première fois et la nécessité de remplacer l'équipement médical lourd existant. </w:t>
            </w:r>
          </w:p>
        </w:tc>
      </w:tr>
      <w:tr w:rsidR="006C686E" w14:paraId="3FC96FBF" w14:textId="77777777" w:rsidTr="00093E19">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727DC4" w14:textId="77777777" w:rsidR="006C686E" w:rsidRDefault="00B17E8C">
            <w:pPr>
              <w:pStyle w:val="P68B1DB1-Normal10"/>
              <w:spacing w:after="0" w:line="240" w:lineRule="auto"/>
              <w:jc w:val="center"/>
              <w:rPr>
                <w:rFonts w:eastAsia="Times New Roman"/>
                <w:noProof/>
              </w:rPr>
            </w:pPr>
            <w:r>
              <w:rPr>
                <w:noProof/>
              </w:rPr>
              <w:t>1.42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4F8079" w14:textId="77777777" w:rsidR="006C686E" w:rsidRDefault="00B17E8C">
            <w:pPr>
              <w:pStyle w:val="P68B1DB1-Normal11"/>
              <w:spacing w:after="0" w:line="240" w:lineRule="auto"/>
              <w:jc w:val="center"/>
              <w:rPr>
                <w:rFonts w:eastAsia="Times New Roman"/>
                <w:noProof/>
              </w:rPr>
            </w:pPr>
            <w:r>
              <w:rPr>
                <w:noProof/>
              </w:rPr>
              <w:t>RE-C01-i10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008B9C"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F8977E" w14:textId="77777777" w:rsidR="006C686E" w:rsidRDefault="00B17E8C">
            <w:pPr>
              <w:pStyle w:val="P68B1DB1-Normal11"/>
              <w:spacing w:after="0" w:line="240" w:lineRule="auto"/>
              <w:jc w:val="center"/>
              <w:rPr>
                <w:rFonts w:eastAsia="Times New Roman"/>
                <w:noProof/>
              </w:rPr>
            </w:pPr>
            <w:r>
              <w:rPr>
                <w:noProof/>
              </w:rPr>
              <w:t>Achat de matériel médical lourd</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D8A2FA"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F1215F" w14:textId="77777777" w:rsidR="006C686E" w:rsidRDefault="00B17E8C">
            <w:pPr>
              <w:pStyle w:val="P68B1DB1-Normal11"/>
              <w:spacing w:after="0" w:line="240" w:lineRule="auto"/>
              <w:jc w:val="center"/>
              <w:rPr>
                <w:rFonts w:eastAsia="Times New Roman"/>
                <w:noProof/>
              </w:rPr>
            </w:pPr>
            <w:r>
              <w:rPr>
                <w:noProof/>
              </w:rPr>
              <w:t xml:space="preserve">Numéro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99F71B" w14:textId="77777777" w:rsidR="006C686E" w:rsidRDefault="00B17E8C">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A98620" w14:textId="77777777" w:rsidR="006C686E" w:rsidRDefault="00B17E8C">
            <w:pPr>
              <w:pStyle w:val="P68B1DB1-Normal11"/>
              <w:spacing w:after="0" w:line="240" w:lineRule="auto"/>
              <w:jc w:val="center"/>
              <w:rPr>
                <w:rFonts w:eastAsia="Times New Roman"/>
                <w:noProof/>
              </w:rPr>
            </w:pPr>
            <w:r>
              <w:rPr>
                <w:noProof/>
              </w:rPr>
              <w:t>19</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8B3FC1"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19CFE9" w14:textId="77777777" w:rsidR="006C686E" w:rsidRDefault="00B17E8C">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4A2711" w14:textId="77777777" w:rsidR="006C686E" w:rsidRDefault="00B17E8C">
            <w:pPr>
              <w:pStyle w:val="P68B1DB1-Normal16"/>
              <w:widowControl w:val="0"/>
              <w:spacing w:after="0" w:line="240" w:lineRule="auto"/>
              <w:rPr>
                <w:noProof/>
              </w:rPr>
            </w:pPr>
            <w:r>
              <w:rPr>
                <w:noProof/>
              </w:rPr>
              <w:t xml:space="preserve">Nombre d’équipements médicaux lourds achetés pour les entités hospitalières (hôpitaux, centres hospitaliers et un institut) en fonction des besoins recensés dans le rapport, comme indiqué dans l’étape 1.41. </w:t>
            </w:r>
          </w:p>
        </w:tc>
      </w:tr>
      <w:tr w:rsidR="006C686E" w14:paraId="373A962B" w14:textId="77777777" w:rsidTr="00093E19">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DD0D18C" w14:textId="77777777" w:rsidR="006C686E" w:rsidRDefault="00B17E8C">
            <w:pPr>
              <w:pStyle w:val="P68B1DB1-Normal10"/>
              <w:spacing w:after="0" w:line="240" w:lineRule="auto"/>
              <w:jc w:val="center"/>
              <w:rPr>
                <w:rFonts w:eastAsia="Times New Roman"/>
                <w:noProof/>
              </w:rPr>
            </w:pPr>
            <w:r>
              <w:rPr>
                <w:noProof/>
              </w:rPr>
              <w:t>1.43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03B58F" w14:textId="77777777" w:rsidR="006C686E" w:rsidRDefault="00B17E8C">
            <w:pPr>
              <w:pStyle w:val="P68B1DB1-Normal11"/>
              <w:spacing w:after="0" w:line="240" w:lineRule="auto"/>
              <w:jc w:val="center"/>
              <w:rPr>
                <w:rFonts w:eastAsia="Times New Roman"/>
                <w:noProof/>
              </w:rPr>
            </w:pPr>
            <w:r>
              <w:rPr>
                <w:noProof/>
              </w:rPr>
              <w:t>RE-C01-i10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5916A7" w14:textId="77777777" w:rsidR="006C686E" w:rsidRDefault="00B17E8C">
            <w:pPr>
              <w:pStyle w:val="P68B1DB1-Normal11"/>
              <w:spacing w:after="0" w:line="240" w:lineRule="auto"/>
              <w:jc w:val="center"/>
              <w:rPr>
                <w:rFonts w:eastAsia="Times New Roman"/>
                <w:noProof/>
              </w:rPr>
            </w:pPr>
            <w:r>
              <w:rPr>
                <w:noProof/>
              </w:rPr>
              <w:t>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C6C721" w14:textId="3981B9B0"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 xml:space="preserve">Achat de </w:t>
            </w:r>
            <w:r>
              <w:rPr>
                <w:noProof/>
              </w:rPr>
              <w:t>matériel médical</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D21B3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B6C2D0F" w14:textId="77777777" w:rsidR="006C686E" w:rsidRDefault="00B17E8C">
            <w:pPr>
              <w:pStyle w:val="P68B1DB1-Normal11"/>
              <w:spacing w:after="0" w:line="240" w:lineRule="auto"/>
              <w:jc w:val="center"/>
              <w:rPr>
                <w:rFonts w:eastAsia="Times New Roman"/>
                <w:noProof/>
              </w:rPr>
            </w:pPr>
            <w:r>
              <w:rPr>
                <w:noProof/>
              </w:rPr>
              <w:t xml:space="preserve">Numéro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0964F4" w14:textId="77777777" w:rsidR="006C686E" w:rsidRDefault="00B17E8C">
            <w:pPr>
              <w:pStyle w:val="P68B1DB1-Normal11"/>
              <w:spacing w:after="0" w:line="240" w:lineRule="auto"/>
              <w:jc w:val="center"/>
              <w:rPr>
                <w:rFonts w:eastAsia="Times New Roman"/>
                <w:noProof/>
              </w:rPr>
            </w:pPr>
            <w:r>
              <w:rPr>
                <w:noProof/>
              </w:rPr>
              <w:t>19</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72A993" w14:textId="77777777" w:rsidR="006C686E" w:rsidRDefault="00B17E8C">
            <w:pPr>
              <w:pStyle w:val="P68B1DB1-Normal11"/>
              <w:spacing w:after="0" w:line="240" w:lineRule="auto"/>
              <w:jc w:val="center"/>
              <w:rPr>
                <w:rFonts w:eastAsia="Times New Roman"/>
                <w:noProof/>
              </w:rPr>
            </w:pPr>
            <w:r>
              <w:rPr>
                <w:noProof/>
              </w:rPr>
              <w:t>124</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E04A71" w14:textId="3B605865"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9482F4" w14:textId="7A2BF6DA" w:rsidR="006C686E" w:rsidRDefault="00B17E8C">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70A36D" w14:textId="326274D0" w:rsidR="006C686E" w:rsidRDefault="00B17E8C">
            <w:pPr>
              <w:pStyle w:val="P68B1DB1-Normal13"/>
              <w:spacing w:after="0" w:line="240" w:lineRule="auto"/>
              <w:jc w:val="both"/>
              <w:rPr>
                <w:rFonts w:eastAsia="Times New Roman"/>
                <w:noProof/>
                <w:kern w:val="0"/>
                <w14:ligatures w14:val="none"/>
              </w:rPr>
            </w:pPr>
            <w:r>
              <w:rPr>
                <w:noProof/>
              </w:rPr>
              <w:t xml:space="preserve">Achat de 105 équipements médicaux, dont un système d'angiographie, une caméra gamma, un scanner de tomodensitométrie par émission de positons, un système d'imagerie par résonance magnétique, un scanner de tomodensitométrie, un accélérateur linéaire et un robot chirurgical pour les hôpitaux. </w:t>
            </w:r>
          </w:p>
        </w:tc>
      </w:tr>
      <w:tr w:rsidR="006C686E" w14:paraId="32B63E22" w14:textId="77777777" w:rsidTr="00093E1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9FB5FA" w14:textId="77777777" w:rsidR="006C686E" w:rsidRDefault="00B17E8C">
            <w:pPr>
              <w:pStyle w:val="P68B1DB1-Normal17"/>
              <w:spacing w:after="200" w:line="240" w:lineRule="auto"/>
              <w:jc w:val="center"/>
              <w:rPr>
                <w:bCs/>
                <w:noProof/>
                <w:kern w:val="0"/>
                <w14:ligatures w14:val="none"/>
              </w:rPr>
            </w:pPr>
            <w:r>
              <w:rPr>
                <w:noProof/>
              </w:rPr>
              <w:t>1.44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15272A" w14:textId="77777777" w:rsidR="006C686E" w:rsidRDefault="00B17E8C">
            <w:pPr>
              <w:pStyle w:val="P68B1DB1-Normal11"/>
              <w:spacing w:after="0" w:line="240" w:lineRule="auto"/>
              <w:jc w:val="center"/>
              <w:rPr>
                <w:rFonts w:eastAsia="Times New Roman"/>
                <w:noProof/>
              </w:rPr>
            </w:pPr>
            <w:r>
              <w:rPr>
                <w:noProof/>
              </w:rPr>
              <w:t>RE-C01-i11-RAA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8C4CF3" w14:textId="54781526" w:rsidR="006C686E" w:rsidRDefault="00B17E8C">
            <w:pPr>
              <w:pStyle w:val="P68B1DB1-Normal11"/>
              <w:spacing w:after="200" w:line="240" w:lineRule="auto"/>
              <w:jc w:val="center"/>
              <w:rPr>
                <w:noProof/>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0E630" w14:textId="77777777" w:rsidR="006C686E" w:rsidRDefault="00B17E8C">
            <w:pPr>
              <w:pStyle w:val="P68B1DB1-Normal11"/>
              <w:spacing w:after="200" w:line="240" w:lineRule="auto"/>
              <w:jc w:val="center"/>
              <w:rPr>
                <w:noProof/>
              </w:rPr>
            </w:pPr>
            <w:r>
              <w:rPr>
                <w:noProof/>
              </w:rPr>
              <w:t>Construction, équipement et véhicules pour le Service régional de santé des Açores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3B8619" w14:textId="6F8CCE5F" w:rsidR="006C686E" w:rsidRDefault="00B17E8C">
            <w:pPr>
              <w:pStyle w:val="P68B1DB1-Normal11"/>
              <w:spacing w:after="200" w:line="240" w:lineRule="auto"/>
              <w:jc w:val="center"/>
              <w:rPr>
                <w:rFonts w:eastAsia="Times New Roman"/>
                <w:noProof/>
              </w:rPr>
            </w:pPr>
            <w:r>
              <w:rPr>
                <w:noProof/>
              </w:rPr>
              <w:t>Construction, équipement et véhicules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942B93" w14:textId="77777777" w:rsidR="006C686E" w:rsidRDefault="006C686E">
            <w:pPr>
              <w:spacing w:after="20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586C9C" w14:textId="77777777" w:rsidR="006C686E" w:rsidRDefault="006C686E">
            <w:pPr>
              <w:spacing w:after="200" w:line="240" w:lineRule="auto"/>
              <w:jc w:val="center"/>
              <w:rPr>
                <w:rFonts w:ascii="Times New Roman" w:eastAsia="Calibri"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4B7E14" w14:textId="7E158474" w:rsidR="006C686E" w:rsidRDefault="006C686E">
            <w:pPr>
              <w:spacing w:after="20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30A433" w14:textId="77777777" w:rsidR="006C686E" w:rsidRDefault="00B17E8C">
            <w:pPr>
              <w:pStyle w:val="P68B1DB1-Normal11"/>
              <w:spacing w:after="20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1817AF" w14:textId="77777777" w:rsidR="006C686E" w:rsidRDefault="00B17E8C">
            <w:pPr>
              <w:pStyle w:val="P68B1DB1-Normal11"/>
              <w:spacing w:after="200" w:line="240" w:lineRule="auto"/>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5188A4" w14:textId="77777777" w:rsidR="006C686E" w:rsidRDefault="00B17E8C">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Construction de deux nouveaux centres de santé et rénovation de l'hôpital </w:t>
            </w:r>
            <w:r>
              <w:rPr>
                <w:noProof/>
              </w:rPr>
              <w:t>da Horta</w:t>
            </w:r>
          </w:p>
          <w:p w14:paraId="2DF3BCEB" w14:textId="5760393F" w:rsidR="006C686E" w:rsidRDefault="00B17E8C">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Achat </w:t>
            </w:r>
            <w:r>
              <w:rPr>
                <w:noProof/>
              </w:rPr>
              <w:t xml:space="preserve">de </w:t>
            </w:r>
            <w:r>
              <w:rPr>
                <w:noProof/>
                <w:kern w:val="0"/>
                <w14:ligatures w14:val="none"/>
              </w:rPr>
              <w:t xml:space="preserve">71 </w:t>
            </w:r>
            <w:r>
              <w:rPr>
                <w:noProof/>
              </w:rPr>
              <w:t>véhicules électriques;</w:t>
            </w:r>
          </w:p>
          <w:p w14:paraId="7AA345D4" w14:textId="77777777" w:rsidR="006C686E" w:rsidRDefault="00B17E8C">
            <w:pPr>
              <w:pStyle w:val="P68B1DB1-Normal15"/>
              <w:keepNext/>
              <w:numPr>
                <w:ilvl w:val="0"/>
                <w:numId w:val="19"/>
              </w:numPr>
              <w:spacing w:after="200" w:line="240" w:lineRule="auto"/>
              <w:ind w:left="322" w:hanging="322"/>
              <w:contextualSpacing/>
              <w:jc w:val="both"/>
              <w:rPr>
                <w:noProof/>
                <w:kern w:val="0"/>
                <w14:ligatures w14:val="none"/>
              </w:rPr>
            </w:pPr>
            <w:r>
              <w:rPr>
                <w:noProof/>
              </w:rPr>
              <w:t xml:space="preserve">Achat </w:t>
            </w:r>
            <w:r>
              <w:rPr>
                <w:noProof/>
                <w:kern w:val="0"/>
                <w14:ligatures w14:val="none"/>
              </w:rPr>
              <w:t>de 142 unités d'équipement;</w:t>
            </w:r>
          </w:p>
          <w:p w14:paraId="64BADAA3" w14:textId="454ACB5D" w:rsidR="006C686E" w:rsidRDefault="00B17E8C">
            <w:pPr>
              <w:pStyle w:val="P68B1DB1-Normal15"/>
              <w:keepNext/>
              <w:numPr>
                <w:ilvl w:val="0"/>
                <w:numId w:val="19"/>
              </w:numPr>
              <w:spacing w:after="200" w:line="240" w:lineRule="auto"/>
              <w:ind w:left="322" w:hanging="322"/>
              <w:jc w:val="both"/>
              <w:rPr>
                <w:noProof/>
              </w:rPr>
            </w:pPr>
            <w:r>
              <w:rPr>
                <w:noProof/>
              </w:rPr>
              <w:t>Achat</w:t>
            </w:r>
            <w:r>
              <w:rPr>
                <w:noProof/>
                <w:kern w:val="0"/>
                <w14:ligatures w14:val="none"/>
              </w:rPr>
              <w:t xml:space="preserve"> de 21 ambulances.</w:t>
            </w:r>
          </w:p>
          <w:p w14:paraId="6F628C88" w14:textId="7ED0FC0D" w:rsidR="006C686E" w:rsidRDefault="00B17E8C">
            <w:pPr>
              <w:pStyle w:val="P68B1DB1-Normal13"/>
              <w:spacing w:after="200" w:line="240" w:lineRule="auto"/>
              <w:rPr>
                <w:noProof/>
                <w:kern w:val="0"/>
                <w14:ligatures w14:val="none"/>
              </w:rPr>
            </w:pPr>
            <w:r>
              <w:rPr>
                <w:noProof/>
                <w:kern w:val="0"/>
                <w14:ligatures w14:val="none"/>
              </w:rPr>
              <w:t>Les bâtiments dont</w:t>
            </w:r>
            <w:r>
              <w:rPr>
                <w:noProof/>
              </w:rPr>
              <w:t xml:space="preserve"> la demande d’énergie primaire est inférieure d’au moins 20 % aux exigences des bâtiments dont la consommation d’énergie est quasi nulle.</w:t>
            </w:r>
          </w:p>
        </w:tc>
      </w:tr>
    </w:tbl>
    <w:p w14:paraId="147A7A97" w14:textId="77777777" w:rsidR="006C686E" w:rsidRDefault="006C686E">
      <w:pPr>
        <w:keepNext/>
        <w:spacing w:before="40" w:after="120"/>
        <w:jc w:val="both"/>
        <w:outlineLvl w:val="1"/>
        <w:rPr>
          <w:rFonts w:ascii="Times New Roman" w:eastAsia="Calibri" w:hAnsi="Times New Roman" w:cs="Times New Roman"/>
          <w:b/>
          <w:bCs/>
          <w:noProof/>
          <w:kern w:val="0"/>
          <w:u w:val="single"/>
          <w14:ligatures w14:val="none"/>
        </w:rPr>
        <w:sectPr w:rsidR="006C686E" w:rsidSect="00C95E00">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6794BD73" w14:textId="4E1865E9" w:rsidR="006C686E" w:rsidRDefault="00B17E8C">
      <w:pPr>
        <w:pStyle w:val="P68B1DB1-Normal18"/>
        <w:keepNext/>
        <w:spacing w:before="40" w:after="0" w:line="259" w:lineRule="auto"/>
        <w:jc w:val="both"/>
        <w:outlineLvl w:val="1"/>
        <w:rPr>
          <w:bCs/>
          <w:noProof/>
        </w:rPr>
      </w:pPr>
      <w:r>
        <w:rPr>
          <w:noProof/>
        </w:rPr>
        <w:t>A.3. Description des réformes et des investissements pour le prêt</w:t>
      </w:r>
    </w:p>
    <w:p w14:paraId="74738E40" w14:textId="77777777" w:rsidR="006C686E" w:rsidRDefault="006C686E">
      <w:pPr>
        <w:keepNext/>
        <w:spacing w:before="40" w:after="0" w:line="259" w:lineRule="auto"/>
        <w:jc w:val="both"/>
        <w:outlineLvl w:val="1"/>
        <w:rPr>
          <w:rFonts w:ascii="Times New Roman" w:hAnsi="Times New Roman"/>
          <w:b/>
          <w:bCs/>
          <w:noProof/>
          <w:u w:val="single"/>
        </w:rPr>
      </w:pPr>
    </w:p>
    <w:p w14:paraId="4542AE48" w14:textId="69B78D41" w:rsidR="006C686E" w:rsidRDefault="00B17E8C">
      <w:pPr>
        <w:pStyle w:val="P68B1DB1-Normal5"/>
        <w:keepNext/>
        <w:spacing w:before="40" w:after="0" w:line="259" w:lineRule="auto"/>
        <w:jc w:val="both"/>
        <w:outlineLvl w:val="1"/>
        <w:rPr>
          <w:noProof/>
        </w:rPr>
      </w:pPr>
      <w:r>
        <w:rPr>
          <w:noProof/>
        </w:rPr>
        <w:t>Investissement RE-C01-i13: Services de soins de santé primaires</w:t>
      </w:r>
    </w:p>
    <w:p w14:paraId="1556D549" w14:textId="77777777" w:rsidR="006C686E" w:rsidRDefault="006C686E">
      <w:pPr>
        <w:keepNext/>
        <w:spacing w:before="40" w:after="0" w:line="259" w:lineRule="auto"/>
        <w:jc w:val="both"/>
        <w:outlineLvl w:val="1"/>
        <w:rPr>
          <w:rFonts w:ascii="Times New Roman" w:eastAsia="Calibri" w:hAnsi="Times New Roman" w:cs="Times New Roman"/>
          <w:noProof/>
          <w:kern w:val="0"/>
          <w:u w:val="single"/>
          <w14:ligatures w14:val="none"/>
        </w:rPr>
      </w:pPr>
    </w:p>
    <w:p w14:paraId="51D2492F" w14:textId="77777777" w:rsidR="006C686E" w:rsidRDefault="00B17E8C">
      <w:pPr>
        <w:pStyle w:val="P68B1DB1-Normal4"/>
        <w:keepNext/>
        <w:spacing w:before="40" w:after="0"/>
        <w:jc w:val="both"/>
        <w:rPr>
          <w:noProof/>
        </w:rPr>
      </w:pPr>
      <w:r>
        <w:rPr>
          <w:noProof/>
        </w:rPr>
        <w:t xml:space="preserve">L'objectif de cet investissement est d'élargir les soins de santé primaires. </w:t>
      </w:r>
    </w:p>
    <w:p w14:paraId="1D1323E7" w14:textId="1F8FE77C" w:rsidR="006C686E" w:rsidRDefault="00B17E8C">
      <w:pPr>
        <w:pStyle w:val="P68B1DB1-Normal3"/>
        <w:keepNext/>
        <w:spacing w:before="40" w:after="0"/>
        <w:jc w:val="both"/>
        <w:rPr>
          <w:noProof/>
        </w:rPr>
      </w:pPr>
      <w:r>
        <w:rPr>
          <w:noProof/>
        </w:rPr>
        <w:t>L’investissement consiste en la confirmation par une entité tierce chargée de l’inspection qu’au moins 82 536 300 EUR pour la construction ou la rénovation d’unités de santé ont été exécutés financièrement.</w:t>
      </w:r>
    </w:p>
    <w:p w14:paraId="7D09B716" w14:textId="77777777" w:rsidR="006C686E" w:rsidRDefault="006C686E">
      <w:pPr>
        <w:keepNext/>
        <w:spacing w:before="40" w:after="0"/>
        <w:jc w:val="both"/>
        <w:rPr>
          <w:rFonts w:ascii="Times New Roman" w:eastAsia="Calibri" w:hAnsi="Times New Roman" w:cs="Times New Roman"/>
          <w:noProof/>
        </w:rPr>
        <w:sectPr w:rsidR="006C686E" w:rsidSect="00C95E00">
          <w:headerReference w:type="even" r:id="rId42"/>
          <w:headerReference w:type="default" r:id="rId43"/>
          <w:footerReference w:type="even" r:id="rId44"/>
          <w:footerReference w:type="default" r:id="rId45"/>
          <w:headerReference w:type="first" r:id="rId46"/>
          <w:footerReference w:type="first" r:id="rId47"/>
          <w:pgSz w:w="11907" w:h="16839"/>
          <w:pgMar w:top="1134" w:right="1418" w:bottom="1134" w:left="1418" w:header="567" w:footer="567" w:gutter="0"/>
          <w:cols w:space="720"/>
          <w:docGrid w:linePitch="360"/>
        </w:sectPr>
      </w:pPr>
    </w:p>
    <w:p w14:paraId="568220AF" w14:textId="018F6CEC" w:rsidR="006C686E" w:rsidRDefault="00B17E8C">
      <w:pPr>
        <w:pStyle w:val="P68B1DB1-Normal18"/>
        <w:keepNext/>
        <w:spacing w:before="40" w:after="0"/>
        <w:jc w:val="center"/>
        <w:rPr>
          <w:bCs/>
          <w:noProof/>
        </w:rPr>
      </w:pPr>
      <w:r>
        <w:rPr>
          <w:noProof/>
        </w:rPr>
        <w:t>A.4. Étapes, indicateurs et calendrier de suivi et de mise en œuvre du prêt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1417"/>
        <w:gridCol w:w="1254"/>
        <w:gridCol w:w="1298"/>
        <w:gridCol w:w="1134"/>
        <w:gridCol w:w="992"/>
        <w:gridCol w:w="1027"/>
        <w:gridCol w:w="780"/>
        <w:gridCol w:w="880"/>
        <w:gridCol w:w="3981"/>
      </w:tblGrid>
      <w:tr w:rsidR="006C686E" w14:paraId="0D74C15D" w14:textId="77777777" w:rsidTr="00093E19">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2D36186" w14:textId="77777777" w:rsidR="006C686E" w:rsidRDefault="00B17E8C">
            <w:pPr>
              <w:pStyle w:val="P68B1DB1-Normal19"/>
              <w:spacing w:after="0" w:line="240" w:lineRule="auto"/>
              <w:jc w:val="center"/>
              <w:rPr>
                <w:rFonts w:eastAsia="Times New Roman"/>
                <w:bCs/>
                <w:noProof/>
                <w:szCs w:val="18"/>
              </w:rPr>
            </w:pPr>
            <w:r>
              <w:rPr>
                <w:noProof/>
              </w:rPr>
              <w:t>Numéro séquentiel</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251200E" w14:textId="77777777" w:rsidR="006C686E" w:rsidRDefault="00B17E8C">
            <w:pPr>
              <w:pStyle w:val="P68B1DB1-Normal19"/>
              <w:spacing w:after="0" w:line="240" w:lineRule="auto"/>
              <w:jc w:val="center"/>
              <w:rPr>
                <w:rFonts w:eastAsia="Times New Roman"/>
                <w:bCs/>
                <w:noProof/>
                <w:szCs w:val="18"/>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D4792C7" w14:textId="77777777" w:rsidR="006C686E" w:rsidRDefault="00B17E8C">
            <w:pPr>
              <w:pStyle w:val="P68B1DB1-Normal19"/>
              <w:spacing w:after="0" w:line="240" w:lineRule="auto"/>
              <w:jc w:val="center"/>
              <w:rPr>
                <w:rFonts w:eastAsia="Times New Roman"/>
                <w:bCs/>
                <w:noProof/>
                <w:szCs w:val="18"/>
              </w:rPr>
            </w:pPr>
            <w:r>
              <w:rPr>
                <w:noProof/>
              </w:rPr>
              <w:t>Étape/objectif</w:t>
            </w:r>
          </w:p>
        </w:tc>
        <w:tc>
          <w:tcPr>
            <w:tcW w:w="125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D6A006" w14:textId="77777777" w:rsidR="006C686E" w:rsidRDefault="00B17E8C">
            <w:pPr>
              <w:pStyle w:val="P68B1DB1-Normal19"/>
              <w:spacing w:after="0" w:line="240" w:lineRule="auto"/>
              <w:jc w:val="center"/>
              <w:rPr>
                <w:rFonts w:eastAsia="Times New Roman"/>
                <w:bCs/>
                <w:noProof/>
                <w:szCs w:val="18"/>
              </w:rPr>
            </w:pPr>
            <w:r>
              <w:rPr>
                <w:noProof/>
              </w:rPr>
              <w:t>Nom</w:t>
            </w:r>
          </w:p>
        </w:tc>
        <w:tc>
          <w:tcPr>
            <w:tcW w:w="129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DC60E2D" w14:textId="77777777" w:rsidR="006C686E" w:rsidRDefault="00B17E8C">
            <w:pPr>
              <w:pStyle w:val="P68B1DB1-Normal19"/>
              <w:spacing w:after="0" w:line="240" w:lineRule="auto"/>
              <w:jc w:val="center"/>
              <w:rPr>
                <w:rFonts w:eastAsia="Times New Roman"/>
                <w:bCs/>
                <w:noProof/>
                <w:szCs w:val="18"/>
              </w:rPr>
            </w:pPr>
            <w:r>
              <w:rPr>
                <w:noProof/>
              </w:rPr>
              <w:t>Indicateurs qualitatifs (pour les jalons)</w:t>
            </w:r>
          </w:p>
        </w:tc>
        <w:tc>
          <w:tcPr>
            <w:tcW w:w="3153"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21AA1E7" w14:textId="77777777" w:rsidR="006C686E" w:rsidRDefault="00B17E8C">
            <w:pPr>
              <w:pStyle w:val="P68B1DB1-Normal19"/>
              <w:spacing w:after="0" w:line="240" w:lineRule="auto"/>
              <w:jc w:val="center"/>
              <w:rPr>
                <w:rFonts w:eastAsia="Times New Roman"/>
                <w:bCs/>
                <w:noProof/>
                <w:szCs w:val="18"/>
              </w:rPr>
            </w:pPr>
            <w:r>
              <w:rPr>
                <w:noProof/>
              </w:rPr>
              <w:t>Indicateurs quantitatifs (pour les objectifs)</w:t>
            </w:r>
          </w:p>
        </w:tc>
        <w:tc>
          <w:tcPr>
            <w:tcW w:w="1660"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C1CE51" w14:textId="77777777" w:rsidR="006C686E" w:rsidRDefault="00B17E8C">
            <w:pPr>
              <w:pStyle w:val="P68B1DB1-Normal19"/>
              <w:spacing w:after="0" w:line="240" w:lineRule="auto"/>
              <w:jc w:val="center"/>
              <w:rPr>
                <w:rFonts w:eastAsia="Times New Roman"/>
                <w:bCs/>
                <w:noProof/>
                <w:szCs w:val="18"/>
              </w:rPr>
            </w:pPr>
            <w:r>
              <w:rPr>
                <w:noProof/>
              </w:rPr>
              <w:t>Calendrier indicatif d'achèvement</w:t>
            </w:r>
          </w:p>
        </w:tc>
        <w:tc>
          <w:tcPr>
            <w:tcW w:w="39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014EA7F" w14:textId="77777777" w:rsidR="006C686E" w:rsidRDefault="00B17E8C">
            <w:pPr>
              <w:pStyle w:val="P68B1DB1-Normal19"/>
              <w:spacing w:after="0" w:line="240" w:lineRule="auto"/>
              <w:jc w:val="center"/>
              <w:rPr>
                <w:rFonts w:eastAsia="Times New Roman"/>
                <w:bCs/>
                <w:noProof/>
                <w:szCs w:val="18"/>
              </w:rPr>
            </w:pPr>
            <w:r>
              <w:rPr>
                <w:noProof/>
              </w:rPr>
              <w:t>Description et définition claire de chaque jalon et cible</w:t>
            </w:r>
          </w:p>
        </w:tc>
      </w:tr>
      <w:tr w:rsidR="006C686E" w14:paraId="6689780D" w14:textId="77777777" w:rsidTr="00093E19">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32ABB3D"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295E04AE"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noWrap/>
            <w:vAlign w:val="center"/>
            <w:hideMark/>
          </w:tcPr>
          <w:p w14:paraId="16E641CF" w14:textId="77777777" w:rsidR="006C686E" w:rsidRDefault="006C686E">
            <w:pPr>
              <w:spacing w:after="0" w:line="240" w:lineRule="auto"/>
              <w:jc w:val="center"/>
              <w:rPr>
                <w:rFonts w:ascii="Times New Roman" w:eastAsia="Times New Roman" w:hAnsi="Times New Roman" w:cs="Times New Roman"/>
                <w:b/>
                <w:bCs/>
                <w:noProof/>
                <w:kern w:val="0"/>
                <w:sz w:val="18"/>
                <w:szCs w:val="18"/>
                <w14:ligatures w14:val="none"/>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1A775753"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298" w:type="dxa"/>
            <w:vMerge/>
            <w:tcBorders>
              <w:top w:val="single" w:sz="4" w:space="0" w:color="auto"/>
              <w:left w:val="single" w:sz="4" w:space="0" w:color="auto"/>
              <w:bottom w:val="single" w:sz="4" w:space="0" w:color="auto"/>
              <w:right w:val="single" w:sz="4" w:space="0" w:color="auto"/>
            </w:tcBorders>
            <w:vAlign w:val="center"/>
            <w:hideMark/>
          </w:tcPr>
          <w:p w14:paraId="6F5DDCAC"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EE7A44C" w14:textId="77777777" w:rsidR="006C686E" w:rsidRDefault="00B17E8C">
            <w:pPr>
              <w:pStyle w:val="P68B1DB1-Normal19"/>
              <w:spacing w:after="0" w:line="240" w:lineRule="auto"/>
              <w:jc w:val="center"/>
              <w:rPr>
                <w:rFonts w:eastAsia="Times New Roman"/>
                <w:bCs/>
                <w:noProof/>
                <w:szCs w:val="18"/>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796F485" w14:textId="77777777" w:rsidR="006C686E" w:rsidRDefault="00B17E8C">
            <w:pPr>
              <w:pStyle w:val="P68B1DB1-Normal19"/>
              <w:spacing w:after="0" w:line="240" w:lineRule="auto"/>
              <w:jc w:val="center"/>
              <w:rPr>
                <w:rFonts w:eastAsia="Times New Roman"/>
                <w:bCs/>
                <w:noProof/>
                <w:szCs w:val="18"/>
              </w:rPr>
            </w:pPr>
            <w:r>
              <w:rPr>
                <w:noProof/>
              </w:rPr>
              <w:t>Données de référence</w:t>
            </w:r>
          </w:p>
        </w:tc>
        <w:tc>
          <w:tcPr>
            <w:tcW w:w="102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52F3E01" w14:textId="77777777" w:rsidR="006C686E" w:rsidRDefault="00B17E8C">
            <w:pPr>
              <w:pStyle w:val="P68B1DB1-Normal19"/>
              <w:spacing w:after="0" w:line="240" w:lineRule="auto"/>
              <w:jc w:val="center"/>
              <w:rPr>
                <w:rFonts w:eastAsia="Times New Roman"/>
                <w:bCs/>
                <w:noProof/>
                <w:szCs w:val="18"/>
              </w:rPr>
            </w:pPr>
            <w:r>
              <w:rPr>
                <w:noProof/>
              </w:rPr>
              <w:t>Objectif</w:t>
            </w:r>
          </w:p>
        </w:tc>
        <w:tc>
          <w:tcPr>
            <w:tcW w:w="7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06A5BDE" w14:textId="77777777" w:rsidR="006C686E" w:rsidRDefault="00B17E8C">
            <w:pPr>
              <w:pStyle w:val="P68B1DB1-Normal19"/>
              <w:spacing w:after="0" w:line="240" w:lineRule="auto"/>
              <w:jc w:val="center"/>
              <w:rPr>
                <w:rFonts w:eastAsia="Times New Roman"/>
                <w:bCs/>
                <w:noProof/>
                <w:szCs w:val="18"/>
              </w:rPr>
            </w:pPr>
            <w:r>
              <w:rPr>
                <w:noProof/>
              </w:rPr>
              <w:t>Q</w:t>
            </w:r>
          </w:p>
        </w:tc>
        <w:tc>
          <w:tcPr>
            <w:tcW w:w="8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B5333A2" w14:textId="77777777" w:rsidR="006C686E" w:rsidRDefault="00B17E8C">
            <w:pPr>
              <w:pStyle w:val="P68B1DB1-Normal19"/>
              <w:spacing w:after="0" w:line="240" w:lineRule="auto"/>
              <w:jc w:val="center"/>
              <w:rPr>
                <w:rFonts w:eastAsia="Times New Roman"/>
                <w:bCs/>
                <w:noProof/>
                <w:szCs w:val="18"/>
              </w:rPr>
            </w:pPr>
            <w:r>
              <w:rPr>
                <w:noProof/>
              </w:rPr>
              <w:t>Année</w:t>
            </w:r>
          </w:p>
        </w:tc>
        <w:tc>
          <w:tcPr>
            <w:tcW w:w="3981" w:type="dxa"/>
            <w:vMerge/>
            <w:tcBorders>
              <w:top w:val="single" w:sz="4" w:space="0" w:color="auto"/>
              <w:left w:val="single" w:sz="4" w:space="0" w:color="auto"/>
              <w:bottom w:val="single" w:sz="4" w:space="0" w:color="auto"/>
              <w:right w:val="single" w:sz="4" w:space="0" w:color="auto"/>
            </w:tcBorders>
            <w:vAlign w:val="center"/>
            <w:hideMark/>
          </w:tcPr>
          <w:p w14:paraId="61F09B7A"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r>
      <w:tr w:rsidR="006C686E" w14:paraId="3F02A000" w14:textId="77777777" w:rsidTr="00093E19">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CF77AB" w14:textId="23A0398B" w:rsidR="006C686E" w:rsidRDefault="00B17E8C">
            <w:pPr>
              <w:pStyle w:val="P68B1DB1-Normal20"/>
              <w:spacing w:after="0" w:line="240" w:lineRule="auto"/>
              <w:jc w:val="center"/>
              <w:rPr>
                <w:bCs/>
                <w:noProof/>
              </w:rPr>
            </w:pPr>
            <w:r>
              <w:rPr>
                <w:noProof/>
              </w:rPr>
              <w:t>1.46</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2EB902" w14:textId="524EA9DF" w:rsidR="006C686E" w:rsidRDefault="00B17E8C">
            <w:pPr>
              <w:pStyle w:val="P68B1DB1-Normal15"/>
              <w:spacing w:after="0" w:line="240" w:lineRule="auto"/>
              <w:jc w:val="center"/>
              <w:rPr>
                <w:noProof/>
                <w:kern w:val="0"/>
                <w14:ligatures w14:val="none"/>
              </w:rPr>
            </w:pPr>
            <w:r>
              <w:rPr>
                <w:noProof/>
              </w:rPr>
              <w:t>RE-C01-i13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7C4C0F" w14:textId="6501EC18" w:rsidR="006C686E" w:rsidRDefault="00B17E8C">
            <w:pPr>
              <w:pStyle w:val="P68B1DB1-Normal12"/>
              <w:spacing w:after="0" w:line="240" w:lineRule="auto"/>
              <w:jc w:val="center"/>
              <w:rPr>
                <w:noProof/>
              </w:rPr>
            </w:pPr>
            <w:r>
              <w:rPr>
                <w:noProof/>
              </w:rPr>
              <w:t>T</w:t>
            </w:r>
          </w:p>
        </w:tc>
        <w:tc>
          <w:tcPr>
            <w:tcW w:w="12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7E961F" w14:textId="24B1655D" w:rsidR="006C686E" w:rsidRDefault="00B17E8C">
            <w:pPr>
              <w:pStyle w:val="P68B1DB1-Normal15"/>
              <w:spacing w:after="0" w:line="240" w:lineRule="auto"/>
              <w:jc w:val="center"/>
              <w:rPr>
                <w:noProof/>
                <w:kern w:val="0"/>
                <w14:ligatures w14:val="none"/>
              </w:rPr>
            </w:pPr>
            <w:r>
              <w:rPr>
                <w:noProof/>
              </w:rPr>
              <w:t>Exécution financière pour la construction ou la rénovation d'unités de santé</w:t>
            </w:r>
          </w:p>
        </w:tc>
        <w:tc>
          <w:tcPr>
            <w:tcW w:w="129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51DF5B" w14:textId="40056FB4" w:rsidR="006C686E" w:rsidRDefault="006C686E">
            <w:pPr>
              <w:spacing w:after="0" w:line="240" w:lineRule="auto"/>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F27377" w14:textId="6F099B17" w:rsidR="006C686E" w:rsidRDefault="00B17E8C">
            <w:pPr>
              <w:pStyle w:val="P68B1DB1-Normal12"/>
              <w:spacing w:after="0" w:line="240" w:lineRule="auto"/>
              <w:jc w:val="center"/>
              <w:rPr>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C4441B2" w14:textId="5151E0B9" w:rsidR="006C686E" w:rsidRDefault="00B17E8C">
            <w:pPr>
              <w:pStyle w:val="P68B1DB1-Normal12"/>
              <w:spacing w:after="0" w:line="240" w:lineRule="auto"/>
              <w:jc w:val="center"/>
              <w:rPr>
                <w:noProof/>
              </w:rPr>
            </w:pPr>
            <w:r>
              <w:rPr>
                <w:noProof/>
              </w:rPr>
              <w:t>0</w:t>
            </w:r>
          </w:p>
        </w:tc>
        <w:tc>
          <w:tcPr>
            <w:tcW w:w="10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991C9B" w14:textId="2A8D77C5" w:rsidR="006C686E" w:rsidRDefault="00B17E8C">
            <w:pPr>
              <w:pStyle w:val="P68B1DB1-Normal15"/>
              <w:spacing w:after="0" w:line="240" w:lineRule="auto"/>
              <w:jc w:val="center"/>
              <w:rPr>
                <w:noProof/>
              </w:rPr>
            </w:pPr>
            <w:r>
              <w:rPr>
                <w:noProof/>
              </w:rPr>
              <w:t>82 536 300</w:t>
            </w:r>
          </w:p>
        </w:tc>
        <w:tc>
          <w:tcPr>
            <w:tcW w:w="7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EB6970" w14:textId="44F2384C" w:rsidR="006C686E" w:rsidRDefault="00B17E8C">
            <w:pPr>
              <w:pStyle w:val="P68B1DB1-Normal15"/>
              <w:spacing w:after="0" w:line="240" w:lineRule="auto"/>
              <w:jc w:val="center"/>
              <w:rPr>
                <w:noProof/>
              </w:rPr>
            </w:pPr>
            <w:r>
              <w:rPr>
                <w:noProof/>
              </w:rPr>
              <w:t>T2</w:t>
            </w:r>
          </w:p>
        </w:tc>
        <w:tc>
          <w:tcPr>
            <w:tcW w:w="8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389C5D" w14:textId="287828BD" w:rsidR="006C686E" w:rsidRDefault="00B17E8C">
            <w:pPr>
              <w:pStyle w:val="P68B1DB1-Normal15"/>
              <w:spacing w:after="0" w:line="240" w:lineRule="auto"/>
              <w:jc w:val="center"/>
              <w:rPr>
                <w:noProof/>
              </w:rPr>
            </w:pPr>
            <w:r>
              <w:rPr>
                <w:noProof/>
              </w:rPr>
              <w:t>2026</w:t>
            </w:r>
          </w:p>
        </w:tc>
        <w:tc>
          <w:tcPr>
            <w:tcW w:w="398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D3A235" w14:textId="7B4990B7" w:rsidR="006C686E" w:rsidRDefault="00B17E8C">
            <w:pPr>
              <w:pStyle w:val="P68B1DB1-Normal15"/>
              <w:spacing w:after="0" w:line="240" w:lineRule="auto"/>
              <w:jc w:val="both"/>
              <w:rPr>
                <w:noProof/>
              </w:rPr>
            </w:pPr>
            <w:r>
              <w:rPr>
                <w:noProof/>
              </w:rPr>
              <w:t>Confirmation par une entité tierce chargée de l’inspection qu’au moins 82 536 300 EUR pour la construction ou la rénovation d’unités de santé ont été exécutés financièrement.</w:t>
            </w:r>
          </w:p>
        </w:tc>
      </w:tr>
    </w:tbl>
    <w:p w14:paraId="28E9C865" w14:textId="77777777" w:rsidR="006C686E" w:rsidRDefault="006C686E">
      <w:pPr>
        <w:keepNext/>
        <w:spacing w:before="40" w:after="0"/>
        <w:jc w:val="both"/>
        <w:rPr>
          <w:rFonts w:ascii="Times New Roman" w:eastAsia="Calibri" w:hAnsi="Times New Roman" w:cs="Times New Roman"/>
          <w:noProof/>
        </w:rPr>
      </w:pPr>
    </w:p>
    <w:p w14:paraId="5622AE02" w14:textId="77777777" w:rsidR="006C686E" w:rsidRDefault="00B17E8C">
      <w:pPr>
        <w:pStyle w:val="P68B1DB1-Normal21"/>
        <w:keepNext/>
        <w:spacing w:before="40" w:after="0"/>
        <w:jc w:val="both"/>
        <w:rPr>
          <w:b/>
          <w:noProof/>
        </w:rPr>
        <w:sectPr w:rsidR="006C686E" w:rsidSect="006520C2">
          <w:headerReference w:type="default" r:id="rId48"/>
          <w:footerReference w:type="default" r:id="rId49"/>
          <w:pgSz w:w="16839" w:h="11907" w:orient="landscape"/>
          <w:pgMar w:top="1418" w:right="1134" w:bottom="1418" w:left="1134" w:header="567" w:footer="567" w:gutter="0"/>
          <w:cols w:space="720"/>
          <w:docGrid w:linePitch="360"/>
        </w:sectPr>
      </w:pPr>
      <w:r>
        <w:rPr>
          <w:noProof/>
        </w:rPr>
        <w:br w:type="page"/>
      </w:r>
    </w:p>
    <w:p w14:paraId="39BDBD56" w14:textId="77777777" w:rsidR="006C686E" w:rsidRDefault="00B17E8C">
      <w:pPr>
        <w:pStyle w:val="P68B1DB1-Normal18"/>
        <w:keepNext/>
        <w:spacing w:before="40" w:after="0" w:line="259" w:lineRule="auto"/>
        <w:jc w:val="both"/>
        <w:outlineLvl w:val="1"/>
        <w:rPr>
          <w:rFonts w:eastAsiaTheme="minorEastAsia" w:cs="Times New Roman"/>
          <w:bCs/>
          <w:noProof/>
        </w:rPr>
      </w:pPr>
      <w:r>
        <w:rPr>
          <w:noProof/>
        </w:rPr>
        <w:t>B. Élément 2: Logement</w:t>
      </w:r>
    </w:p>
    <w:p w14:paraId="3F1554D9"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Ce volet du plan portugais pour la reprise et la résilience répond aux défis liés à la pénurie structurelle de solutions de logement permanentes et temporaires pour les groupes les plus vulnérables, tant au Portugal continental que dans les régions autonomes des Açores et de Madère, tout en contribuant indirectement au renforcement du système de protection sociale. Le logement public ne représente que 2 % du stock total au Portugal et est jugé insuffisant pour répondre aux besoins des personnes les plus démunies et exposées au risque d’exclusion sociale. </w:t>
      </w:r>
    </w:p>
    <w:p w14:paraId="3064E30C" w14:textId="77777777" w:rsidR="006C686E" w:rsidRDefault="00B17E8C">
      <w:pPr>
        <w:pStyle w:val="P68B1DB1-Normal22"/>
        <w:keepNext/>
        <w:spacing w:before="40" w:after="0" w:line="259" w:lineRule="auto"/>
        <w:jc w:val="both"/>
        <w:rPr>
          <w:rFonts w:eastAsiaTheme="minorEastAsia" w:cs="Times New Roman"/>
          <w:noProof/>
        </w:rPr>
      </w:pPr>
      <w:r>
        <w:rPr>
          <w:noProof/>
        </w:rPr>
        <w:t>Les principaux objectifs du volet sont les suivants: i) accroître l'offre de logements sociaux et abordables (y compris en répondant à d'autres besoins connexes, tels que le manque d'infrastructures et d'équipements de base, des lieux de résidence malsains et peu sûrs, la précarité ou l'absence de liens contractuels, la surpopulation ou l'insuffisance de logements pour répondre aux besoins particuliers des résidents handicapés ou à mobilité réduite); ii) de créer une réponse publique nationale aux besoins urgents et temporaires en matière d’hébergement découlant d’événements imprévus ou imprévisibles tels que des catastrophes naturelles, des incendies, des pandémies, des mouvements migratoires, des demandes d’asile ou des situations présentant un risque imminent telles que la violence domestique, la traite des êtres humains, le risque d’expulsions et autres; et iii) d’accroître l’offre de logements étudiants à des prix abordables. Les investissements dans cette composante comprennent la construction de nouveaux logements et la réhabilitation des logements existants.</w:t>
      </w:r>
    </w:p>
    <w:p w14:paraId="29671183"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Ce volet contribue à donner suite aux recommandations par pays adressées au Portugal dans le cadre du Semestre européen en 2019 et 2020, notamment: améliorer l’efficacité et l’adéquation du filet de sécurité sociale (recommandation par pays no 2 de 2019); garantir une protection sociale et une aide au revenu suffisantes et efficaces (recommandation par pays no 2 de 2020); et augmenter le nombre de diplômés de l’enseignement supérieur, en particulier dans le domaine des sciences et des technologies de l’information (grâce aux investissements dans le logement des étudiants) (recommandation par pays no 2 de 2019). Le volet contribue également à la mise en œuvre de la recommandation par pays relative à la transition climatique (recommandation par pays no 3 de 2020). Ce volet contribue également à la mise en œuvre de plusieurs principes du socle européen des droits sociaux, tels que: «L’accès au logement social ou à une aide au logement de bonne qualité est prévu pour les personnes dans le besoin» (EPSR 19.a); «Les personnes vulnérables ont droit à une assistance et à une protection appropriées contre les expulsions forcées» (EPSR 19.b); «Des abris et des services adéquats sont fournis aux sans-abri afin de promouvoir leur inclusion sociale» (EPSR 19.c); «Protection sociale» (EPSR 12); «Inclusion des personnes handicapées» (EPSR 17); «Accès aux services essentiels» (EPSR 20); ’Éducation, formation et apprentissage tout au long de la vie: Toute personne a droit à une éducation, une formation et un apprentissage tout au long de la vie inclusifs et de qualité afin de maintenir et d’acquérir des compétences qui lui permettent de participer pleinement à la société et de gérer avec succès les transitions sur le marché du travail» (EPSR 1). Les dimensions environnementales sont également prises en compte, notamment par la promotion de nouvelles constructions répondant à des normes élevées en matière d'efficacité énergétique. </w:t>
      </w:r>
    </w:p>
    <w:p w14:paraId="7217935F" w14:textId="77777777" w:rsidR="006C686E" w:rsidRDefault="00B17E8C">
      <w:pPr>
        <w:pStyle w:val="P68B1DB1-Normal22"/>
        <w:keepNext/>
        <w:spacing w:before="40" w:after="0" w:line="259" w:lineRule="auto"/>
        <w:jc w:val="both"/>
        <w:rPr>
          <w:rFonts w:eastAsiaTheme="minorEastAsia"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0D7D99FA" w14:textId="77777777" w:rsidR="006C686E" w:rsidRDefault="00B17E8C">
      <w:pPr>
        <w:rPr>
          <w:rFonts w:ascii="Times New Roman" w:eastAsiaTheme="minorEastAsia" w:hAnsi="Times New Roman" w:cs="Times New Roman"/>
          <w:b/>
          <w:bCs/>
          <w:noProof/>
          <w:u w:val="single"/>
        </w:rPr>
      </w:pPr>
      <w:r>
        <w:rPr>
          <w:noProof/>
        </w:rPr>
        <w:br w:type="page"/>
      </w:r>
      <w:r>
        <w:rPr>
          <w:rFonts w:ascii="Times New Roman" w:hAnsi="Times New Roman"/>
          <w:b/>
          <w:noProof/>
          <w:u w:val="single"/>
        </w:rPr>
        <w:t>B.1. Description des réformes et des investissements pour le soutien financier non remboursable</w:t>
      </w:r>
    </w:p>
    <w:p w14:paraId="2688C60B" w14:textId="77777777" w:rsidR="006C686E" w:rsidRDefault="00B17E8C">
      <w:pPr>
        <w:pStyle w:val="P68B1DB1-Normal21"/>
        <w:spacing w:before="240" w:after="0" w:line="259" w:lineRule="auto"/>
        <w:ind w:left="851"/>
        <w:jc w:val="both"/>
        <w:outlineLvl w:val="2"/>
        <w:rPr>
          <w:rFonts w:ascii="Segoe UI" w:eastAsiaTheme="minorEastAsia" w:hAnsi="Segoe UI" w:cs="Segoe UI"/>
          <w:noProof/>
          <w:sz w:val="18"/>
          <w:szCs w:val="18"/>
        </w:rPr>
      </w:pPr>
      <w:r>
        <w:rPr>
          <w:noProof/>
        </w:rPr>
        <w:t>Réforme RE-r04: Plan national d'urgence et de logement temporaire</w:t>
      </w:r>
      <w:r>
        <w:rPr>
          <w:b/>
          <w:noProof/>
        </w:rPr>
        <w:t xml:space="preserve"> </w:t>
      </w:r>
    </w:p>
    <w:p w14:paraId="68224CA4" w14:textId="77777777" w:rsidR="006C686E" w:rsidRDefault="00B17E8C">
      <w:pPr>
        <w:pStyle w:val="P68B1DB1-Normal22"/>
        <w:keepNext/>
        <w:spacing w:before="40" w:after="0" w:line="259" w:lineRule="auto"/>
        <w:jc w:val="both"/>
        <w:rPr>
          <w:rFonts w:eastAsiaTheme="minorEastAsia" w:cs="Times New Roman"/>
          <w:noProof/>
        </w:rPr>
      </w:pPr>
      <w:r>
        <w:rPr>
          <w:noProof/>
        </w:rPr>
        <w:t>L’objectif de la réforme est de créer un réseau public national pour répondre aux besoins urgents et temporaires en matière de logement dans le cadre du renouvellement des politiques de logement au Portugal, en vue de protéger et d’autonomiser les groupes cibles identifiés, et de favoriser l’inclusion sociale et la lutte contre les inégalités.</w:t>
      </w:r>
    </w:p>
    <w:p w14:paraId="06E315B6"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La réforme consiste à créer une réponse structurée et transversale pour les personnes ayant besoin de solutions d’hébergement d’urgence ou temporaires, à élaborer le cadre juridique et réglementaire nécessaire pour établir le modèle de gouvernance de l’investissement RE-C02-i02 (subvention nationale d’urgence et d’hébergement temporaire) et à établir des méthodes de signalisation et d’orientation vers l’hébergement et le soutien social pour les personnes soutenues. </w:t>
      </w:r>
    </w:p>
    <w:p w14:paraId="50C48A55" w14:textId="54670E15" w:rsidR="006C686E" w:rsidRDefault="00B17E8C">
      <w:pPr>
        <w:keepNext/>
        <w:spacing w:before="40" w:after="0" w:line="259" w:lineRule="auto"/>
        <w:jc w:val="both"/>
        <w:rPr>
          <w:rFonts w:ascii="Times New Roman" w:eastAsiaTheme="minorEastAsia" w:hAnsi="Times New Roman" w:cs="Times New Roman"/>
          <w:noProof/>
        </w:rPr>
      </w:pPr>
      <w:r>
        <w:rPr>
          <w:rFonts w:ascii="Times New Roman" w:hAnsi="Times New Roman"/>
          <w:noProof/>
        </w:rPr>
        <w:t>La mise en œuvre de la réforme devait être achevée au plus tard</w:t>
      </w:r>
      <w:r>
        <w:rPr>
          <w:rFonts w:ascii="Times New Roman" w:eastAsia="Calibri" w:hAnsi="Times New Roman" w:cs="Times New Roman"/>
          <w:noProof/>
          <w:kern w:val="0"/>
          <w14:ligatures w14:val="none"/>
        </w:rPr>
        <w:t> </w:t>
      </w:r>
      <w:r>
        <w:rPr>
          <w:rFonts w:ascii="Times New Roman" w:hAnsi="Times New Roman"/>
          <w:noProof/>
        </w:rPr>
        <w:t>le 30 juin 2021.</w:t>
      </w:r>
    </w:p>
    <w:p w14:paraId="1EFBC6F5" w14:textId="77777777" w:rsidR="006C686E" w:rsidRDefault="00B17E8C">
      <w:pPr>
        <w:pStyle w:val="P68B1DB1-Normal21"/>
        <w:spacing w:before="240" w:after="0" w:line="259" w:lineRule="auto"/>
        <w:ind w:left="851"/>
        <w:jc w:val="both"/>
        <w:outlineLvl w:val="2"/>
        <w:rPr>
          <w:rFonts w:eastAsiaTheme="minorEastAsia" w:cs="Times New Roman"/>
          <w:b/>
          <w:bCs/>
          <w:noProof/>
        </w:rPr>
      </w:pPr>
      <w:r>
        <w:rPr>
          <w:noProof/>
        </w:rPr>
        <w:t>Investissement RE-C02-i01: Programme d'appui à l'accès au logement</w:t>
      </w:r>
    </w:p>
    <w:p w14:paraId="3C0C63F2" w14:textId="77777777" w:rsidR="006C686E" w:rsidRDefault="00B17E8C">
      <w:pPr>
        <w:pStyle w:val="P68B1DB1-Normal22"/>
        <w:keepNext/>
        <w:spacing w:before="40" w:after="0" w:line="259" w:lineRule="auto"/>
        <w:jc w:val="both"/>
        <w:rPr>
          <w:rFonts w:eastAsiaTheme="minorEastAsia" w:cs="Times New Roman"/>
          <w:noProof/>
        </w:rPr>
      </w:pPr>
      <w:r>
        <w:rPr>
          <w:noProof/>
        </w:rPr>
        <w:t>L'objectif de l'investissement est de fournir un logement aux familles ayant les plus grands besoins et aux groupes les plus vulnérables.</w:t>
      </w:r>
    </w:p>
    <w:p w14:paraId="42630492" w14:textId="77777777" w:rsidR="006C686E" w:rsidRDefault="00B17E8C">
      <w:pPr>
        <w:pStyle w:val="P68B1DB1-Normal23"/>
        <w:keepNext/>
        <w:spacing w:before="40" w:after="0" w:line="259" w:lineRule="auto"/>
        <w:jc w:val="both"/>
        <w:rPr>
          <w:noProof/>
        </w:rPr>
      </w:pPr>
      <w:r>
        <w:rPr>
          <w:noProof/>
        </w:rPr>
        <w:t>L'investissement consiste en la construction, la rénovation, l'achat ou la sous-location de logements dans le cadre du programme immobilier 1.º Direito.</w:t>
      </w:r>
    </w:p>
    <w:p w14:paraId="6BB31DB8" w14:textId="77777777" w:rsidR="006C686E" w:rsidRDefault="00B17E8C">
      <w:pPr>
        <w:pStyle w:val="P68B1DB1-Normal21"/>
        <w:spacing w:before="240" w:after="0" w:line="259" w:lineRule="auto"/>
        <w:ind w:left="851"/>
        <w:jc w:val="both"/>
        <w:outlineLvl w:val="2"/>
        <w:rPr>
          <w:rFonts w:eastAsia="Times New Roman" w:cs="Times New Roman"/>
          <w:noProof/>
        </w:rPr>
      </w:pPr>
      <w:r>
        <w:rPr>
          <w:noProof/>
        </w:rPr>
        <w:t>Investissement RE-C02-i02: Subvention nationale d'urgence et d'hébergement temporaire</w:t>
      </w:r>
    </w:p>
    <w:p w14:paraId="5187FD06" w14:textId="77777777" w:rsidR="006C686E" w:rsidRDefault="00B17E8C">
      <w:pPr>
        <w:pStyle w:val="P68B1DB1-Normal22"/>
        <w:keepNext/>
        <w:spacing w:before="40" w:after="0" w:line="259" w:lineRule="auto"/>
        <w:jc w:val="both"/>
        <w:rPr>
          <w:noProof/>
        </w:rPr>
      </w:pPr>
      <w:r>
        <w:rPr>
          <w:noProof/>
        </w:rPr>
        <w:t xml:space="preserve">L’objectif de cet investissement est de fournir un hébergement temporaire ou d’urgence aux groupes de population défavorisés du Portugal continental. </w:t>
      </w:r>
    </w:p>
    <w:p w14:paraId="6902BFA5" w14:textId="77777777" w:rsidR="006C686E" w:rsidRDefault="00B17E8C">
      <w:pPr>
        <w:pStyle w:val="P68B1DB1-Normal22"/>
        <w:keepNext/>
        <w:spacing w:before="40" w:after="0" w:line="259" w:lineRule="auto"/>
        <w:jc w:val="both"/>
        <w:rPr>
          <w:noProof/>
        </w:rPr>
      </w:pPr>
      <w:r>
        <w:rPr>
          <w:noProof/>
        </w:rPr>
        <w:t xml:space="preserve">L'investissement consiste en la construction et la rénovation de logements temporaires et d'urgence. </w:t>
      </w:r>
    </w:p>
    <w:p w14:paraId="297F0F6F" w14:textId="77777777" w:rsidR="006C686E" w:rsidRDefault="006C686E">
      <w:pPr>
        <w:keepNext/>
        <w:spacing w:before="40" w:after="0" w:line="259" w:lineRule="auto"/>
        <w:jc w:val="both"/>
        <w:rPr>
          <w:rFonts w:ascii="Times New Roman" w:hAnsi="Times New Roman"/>
          <w:noProof/>
        </w:rPr>
      </w:pPr>
    </w:p>
    <w:p w14:paraId="0A7FDDC9" w14:textId="77777777" w:rsidR="006C686E" w:rsidRDefault="00B17E8C">
      <w:pPr>
        <w:pStyle w:val="P68B1DB1-Normal21"/>
        <w:keepNext/>
        <w:spacing w:before="40" w:after="0" w:line="259" w:lineRule="auto"/>
        <w:ind w:firstLine="720"/>
        <w:jc w:val="both"/>
        <w:rPr>
          <w:rFonts w:eastAsia="Times New Roman" w:cs="Times New Roman"/>
          <w:noProof/>
        </w:rPr>
      </w:pPr>
      <w:r>
        <w:rPr>
          <w:noProof/>
        </w:rPr>
        <w:t>Investissement RE-C02-i03-RAM: Logement social dans la région autonome de Madère</w:t>
      </w:r>
    </w:p>
    <w:p w14:paraId="666C0DEE" w14:textId="77777777" w:rsidR="006C686E" w:rsidRDefault="00B17E8C">
      <w:pPr>
        <w:pStyle w:val="P68B1DB1-Normal22"/>
        <w:keepNext/>
        <w:spacing w:before="40" w:after="0" w:line="259" w:lineRule="auto"/>
        <w:jc w:val="both"/>
        <w:rPr>
          <w:rFonts w:eastAsia="Times New Roman" w:cs="Times New Roman"/>
          <w:noProof/>
        </w:rPr>
      </w:pPr>
      <w:r>
        <w:rPr>
          <w:noProof/>
        </w:rPr>
        <w:t>L’objectif de cet investissement est de fournir un logement adéquat dans la région autonome de Madère.</w:t>
      </w:r>
    </w:p>
    <w:p w14:paraId="5A5F6037" w14:textId="73E43A39" w:rsidR="006C686E" w:rsidRDefault="00B17E8C">
      <w:pPr>
        <w:pStyle w:val="P68B1DB1-Normal22"/>
        <w:keepNext/>
        <w:spacing w:before="40" w:after="0" w:line="259" w:lineRule="auto"/>
        <w:jc w:val="both"/>
        <w:rPr>
          <w:rFonts w:eastAsia="Times New Roman" w:cs="Times New Roman"/>
          <w:noProof/>
        </w:rPr>
      </w:pPr>
      <w:r>
        <w:rPr>
          <w:noProof/>
        </w:rPr>
        <w:t xml:space="preserve">L’investissement consiste en la construction ou l’achat de logements bénéficiant d’un soutien public. </w:t>
      </w:r>
    </w:p>
    <w:p w14:paraId="17FB0862" w14:textId="77777777" w:rsidR="006C686E" w:rsidRDefault="00B17E8C">
      <w:pPr>
        <w:pStyle w:val="P68B1DB1-Normal21"/>
        <w:spacing w:before="240" w:after="0" w:line="259" w:lineRule="auto"/>
        <w:ind w:left="851"/>
        <w:jc w:val="both"/>
        <w:outlineLvl w:val="2"/>
        <w:rPr>
          <w:rFonts w:eastAsiaTheme="minorEastAsia" w:cs="Times New Roman"/>
          <w:b/>
          <w:bCs/>
          <w:noProof/>
        </w:rPr>
      </w:pPr>
      <w:r>
        <w:rPr>
          <w:noProof/>
        </w:rPr>
        <w:t>Investissement RE-C02-i04-RAA: Amélioration des conditions de logement dans le parc immobilier de la région autonome des Açores</w:t>
      </w:r>
    </w:p>
    <w:p w14:paraId="147D4862" w14:textId="77777777" w:rsidR="006C686E" w:rsidRDefault="00B17E8C">
      <w:pPr>
        <w:pStyle w:val="P68B1DB1-Normal22"/>
        <w:keepNext/>
        <w:spacing w:before="40" w:after="0" w:line="259" w:lineRule="auto"/>
        <w:jc w:val="both"/>
        <w:rPr>
          <w:rFonts w:eastAsia="Times New Roman" w:cs="Times New Roman"/>
          <w:noProof/>
        </w:rPr>
      </w:pPr>
      <w:r>
        <w:rPr>
          <w:noProof/>
        </w:rPr>
        <w:t xml:space="preserve">L’objectif de l’investissement est de construire et de rénover le parc immobilier de la région autonome des Açores. </w:t>
      </w:r>
    </w:p>
    <w:p w14:paraId="254E9498" w14:textId="77777777" w:rsidR="006C686E" w:rsidRDefault="00B17E8C">
      <w:pPr>
        <w:pStyle w:val="P68B1DB1-Normal22"/>
        <w:keepNext/>
        <w:spacing w:before="40" w:after="0" w:line="259" w:lineRule="auto"/>
        <w:jc w:val="both"/>
        <w:rPr>
          <w:rFonts w:eastAsia="Times New Roman" w:cs="Times New Roman"/>
          <w:noProof/>
        </w:rPr>
      </w:pPr>
      <w:r>
        <w:rPr>
          <w:noProof/>
        </w:rPr>
        <w:t>L'investissement consiste en la construction ou la rénovation d'appartements ou de bâtiments.</w:t>
      </w:r>
    </w:p>
    <w:p w14:paraId="52A75F83" w14:textId="77777777" w:rsidR="006C686E" w:rsidRDefault="006C686E">
      <w:pPr>
        <w:keepNext/>
        <w:spacing w:before="40" w:line="259" w:lineRule="auto"/>
        <w:ind w:left="720"/>
        <w:contextualSpacing/>
        <w:jc w:val="both"/>
        <w:rPr>
          <w:rFonts w:ascii="Times New Roman" w:eastAsia="Times New Roman" w:hAnsi="Times New Roman" w:cs="Times New Roman"/>
          <w:noProof/>
        </w:rPr>
      </w:pPr>
    </w:p>
    <w:p w14:paraId="7A080BB0" w14:textId="77777777" w:rsidR="006C686E" w:rsidRDefault="00B17E8C">
      <w:pPr>
        <w:pStyle w:val="P68B1DB1-Normal21"/>
        <w:spacing w:before="240" w:after="0" w:line="259" w:lineRule="auto"/>
        <w:ind w:left="851"/>
        <w:jc w:val="both"/>
        <w:outlineLvl w:val="2"/>
        <w:rPr>
          <w:rFonts w:eastAsia="Times New Roman" w:cs="Times New Roman"/>
          <w:noProof/>
        </w:rPr>
      </w:pPr>
      <w:r>
        <w:rPr>
          <w:noProof/>
        </w:rPr>
        <w:t>Investissement RE-C02-i07-RAA: Infrastructures pour parcelles de terrain destinées au logement résidentiel</w:t>
      </w:r>
    </w:p>
    <w:p w14:paraId="21B55CBF" w14:textId="77777777" w:rsidR="006C686E" w:rsidRDefault="00B17E8C">
      <w:pPr>
        <w:pStyle w:val="P68B1DB1-Normal22"/>
        <w:keepNext/>
        <w:spacing w:before="40" w:after="0" w:line="259" w:lineRule="auto"/>
        <w:jc w:val="both"/>
        <w:rPr>
          <w:noProof/>
        </w:rPr>
      </w:pPr>
      <w:r>
        <w:rPr>
          <w:noProof/>
        </w:rPr>
        <w:t>L'objectif de cet investissement est de permettre aux candidats sélectionnés de construire leurs propres maisons.</w:t>
      </w:r>
    </w:p>
    <w:p w14:paraId="45B3BDF7" w14:textId="652F6316" w:rsidR="006C686E" w:rsidRDefault="00B17E8C">
      <w:pPr>
        <w:pStyle w:val="P68B1DB1-Normal22"/>
        <w:keepNext/>
        <w:spacing w:before="40" w:after="0" w:line="259" w:lineRule="auto"/>
        <w:jc w:val="both"/>
        <w:rPr>
          <w:noProof/>
        </w:rPr>
      </w:pPr>
      <w:r>
        <w:rPr>
          <w:noProof/>
        </w:rPr>
        <w:t xml:space="preserve">L’investissement consiste en l’attribution de parcelles de terrain par l’administration de la région autonome des Açores. </w:t>
      </w:r>
    </w:p>
    <w:p w14:paraId="1B8B7783" w14:textId="77777777" w:rsidR="006C686E" w:rsidRDefault="006C686E">
      <w:pPr>
        <w:keepNext/>
        <w:spacing w:before="40" w:after="0" w:line="259" w:lineRule="auto"/>
        <w:jc w:val="both"/>
        <w:rPr>
          <w:rFonts w:ascii="Times New Roman" w:eastAsia="Times New Roman" w:hAnsi="Times New Roman" w:cs="Times New Roman"/>
          <w:noProof/>
        </w:rPr>
      </w:pPr>
    </w:p>
    <w:p w14:paraId="50749AB4" w14:textId="77777777" w:rsidR="006C686E" w:rsidRDefault="006C686E">
      <w:pPr>
        <w:spacing w:before="240" w:after="0" w:line="259" w:lineRule="auto"/>
        <w:ind w:left="851"/>
        <w:jc w:val="both"/>
        <w:outlineLvl w:val="2"/>
        <w:rPr>
          <w:rFonts w:ascii="Times New Roman" w:hAnsi="Times New Roman"/>
          <w:noProof/>
          <w:u w:val="single"/>
        </w:rPr>
        <w:sectPr w:rsidR="006C686E" w:rsidSect="00411CDA">
          <w:headerReference w:type="default" r:id="rId50"/>
          <w:footerReference w:type="default" r:id="rId51"/>
          <w:pgSz w:w="11907" w:h="16839"/>
          <w:pgMar w:top="1134" w:right="1418" w:bottom="1134" w:left="1418" w:header="567" w:footer="567" w:gutter="0"/>
          <w:cols w:space="720"/>
          <w:docGrid w:linePitch="360"/>
        </w:sectPr>
      </w:pPr>
    </w:p>
    <w:p w14:paraId="245FDB7C" w14:textId="77777777" w:rsidR="006C686E" w:rsidRDefault="00B17E8C">
      <w:pPr>
        <w:pStyle w:val="P68B1DB1-Normal18"/>
        <w:spacing w:before="40" w:after="0" w:line="259" w:lineRule="auto"/>
        <w:ind w:left="130" w:firstLine="12"/>
        <w:jc w:val="center"/>
        <w:outlineLvl w:val="1"/>
        <w:rPr>
          <w:rFonts w:eastAsiaTheme="minorEastAsia" w:cs="Times New Roman"/>
          <w:bCs/>
          <w:noProof/>
        </w:rPr>
      </w:pPr>
      <w:r>
        <w:rPr>
          <w:noProof/>
        </w:rPr>
        <w:t>B.2. Étapes, indicateurs et calendrier pour le suivi et la mise en œuvre du soutien financier non remboursable.</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482"/>
        <w:gridCol w:w="1417"/>
        <w:gridCol w:w="993"/>
        <w:gridCol w:w="1417"/>
        <w:gridCol w:w="992"/>
        <w:gridCol w:w="993"/>
        <w:gridCol w:w="850"/>
        <w:gridCol w:w="580"/>
        <w:gridCol w:w="838"/>
        <w:gridCol w:w="4399"/>
      </w:tblGrid>
      <w:tr w:rsidR="006C686E" w14:paraId="72BC73DB" w14:textId="77777777" w:rsidTr="00BD2CAE">
        <w:trPr>
          <w:trHeight w:val="646"/>
          <w:tblHeader/>
          <w:jc w:val="center"/>
        </w:trPr>
        <w:tc>
          <w:tcPr>
            <w:tcW w:w="10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758D0B9"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54C39FA"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858ED75" w14:textId="77777777" w:rsidR="006C686E" w:rsidRDefault="00B17E8C">
            <w:pPr>
              <w:pStyle w:val="P68B1DB1-Normal24"/>
              <w:spacing w:after="0" w:line="240" w:lineRule="auto"/>
              <w:jc w:val="center"/>
              <w:rPr>
                <w:rFonts w:eastAsia="Times New Roman"/>
                <w:bCs/>
                <w:noProof/>
              </w:rPr>
            </w:pPr>
            <w:r>
              <w:rPr>
                <w:noProof/>
              </w:rPr>
              <w:t>Étape/objectif</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69A7FD6" w14:textId="77777777" w:rsidR="006C686E" w:rsidRDefault="00B17E8C">
            <w:pPr>
              <w:pStyle w:val="P68B1DB1-Normal24"/>
              <w:spacing w:after="0" w:line="240" w:lineRule="auto"/>
              <w:jc w:val="center"/>
              <w:rPr>
                <w:rFonts w:eastAsia="Times New Roman"/>
                <w:bCs/>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2728E1"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9582E69"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16F9307D"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439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0C5E3AE"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61A1DB7B" w14:textId="77777777" w:rsidTr="00BD2CAE">
        <w:trPr>
          <w:trHeight w:val="470"/>
          <w:tblHeader/>
          <w:jc w:val="center"/>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42B59D42" w14:textId="77777777" w:rsidR="006C686E" w:rsidRDefault="006C686E">
            <w:pPr>
              <w:spacing w:after="0" w:line="240" w:lineRule="auto"/>
              <w:rPr>
                <w:rFonts w:ascii="Times New Roman" w:eastAsia="Times New Roman" w:hAnsi="Times New Roman" w:cs="Times New Roman"/>
                <w:b/>
                <w:bCs/>
                <w:noProof/>
                <w:sz w:val="18"/>
                <w:szCs w:val="18"/>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4C5EBAD4" w14:textId="77777777" w:rsidR="006C686E" w:rsidRDefault="006C686E">
            <w:pPr>
              <w:spacing w:after="0" w:line="240" w:lineRule="auto"/>
              <w:rPr>
                <w:rFonts w:ascii="Times New Roman" w:eastAsia="Times New Roman" w:hAnsi="Times New Roman" w:cs="Times New Roman"/>
                <w:b/>
                <w:bCs/>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932264A"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3F3C577" w14:textId="77777777" w:rsidR="006C686E" w:rsidRDefault="006C686E">
            <w:pPr>
              <w:spacing w:after="0" w:line="240" w:lineRule="auto"/>
              <w:rPr>
                <w:rFonts w:ascii="Times New Roman" w:eastAsia="Times New Roman" w:hAnsi="Times New Roman" w:cs="Times New Roman"/>
                <w:b/>
                <w:bCs/>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9EB453D" w14:textId="77777777" w:rsidR="006C686E" w:rsidRDefault="006C686E">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1CC1B49" w14:textId="77777777" w:rsidR="006C686E" w:rsidRDefault="00B17E8C">
            <w:pPr>
              <w:pStyle w:val="P68B1DB1-Normal24"/>
              <w:spacing w:after="0" w:line="240" w:lineRule="auto"/>
              <w:jc w:val="center"/>
              <w:rPr>
                <w:rFonts w:eastAsia="Times New Roman"/>
                <w:bCs/>
                <w:noProof/>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E3FAF8A"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C3E09D1" w14:textId="77777777" w:rsidR="006C686E" w:rsidRDefault="00B17E8C">
            <w:pPr>
              <w:pStyle w:val="P68B1DB1-Normal24"/>
              <w:spacing w:after="0" w:line="240" w:lineRule="auto"/>
              <w:jc w:val="center"/>
              <w:rPr>
                <w:rFonts w:eastAsia="Times New Roman"/>
                <w:bCs/>
                <w:noProof/>
              </w:rPr>
            </w:pPr>
            <w:r>
              <w:rPr>
                <w:noProof/>
              </w:rPr>
              <w:t>Objectif</w:t>
            </w:r>
          </w:p>
        </w:tc>
        <w:tc>
          <w:tcPr>
            <w:tcW w:w="5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30B51BF" w14:textId="77777777" w:rsidR="006C686E" w:rsidRDefault="00B17E8C">
            <w:pPr>
              <w:pStyle w:val="P68B1DB1-Normal24"/>
              <w:spacing w:after="0" w:line="240" w:lineRule="auto"/>
              <w:jc w:val="center"/>
              <w:rPr>
                <w:rFonts w:eastAsia="Times New Roman"/>
                <w:bCs/>
                <w:noProof/>
              </w:rPr>
            </w:pPr>
            <w:r>
              <w:rPr>
                <w:noProof/>
              </w:rPr>
              <w:t>Q</w:t>
            </w:r>
          </w:p>
        </w:tc>
        <w:tc>
          <w:tcPr>
            <w:tcW w:w="83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44BD66B" w14:textId="77777777" w:rsidR="006C686E" w:rsidRDefault="00B17E8C">
            <w:pPr>
              <w:pStyle w:val="P68B1DB1-Normal24"/>
              <w:spacing w:after="0" w:line="240" w:lineRule="auto"/>
              <w:jc w:val="center"/>
              <w:rPr>
                <w:rFonts w:eastAsia="Times New Roman"/>
                <w:bCs/>
                <w:noProof/>
              </w:rPr>
            </w:pPr>
            <w:r>
              <w:rPr>
                <w:noProof/>
              </w:rPr>
              <w:t>Année</w:t>
            </w:r>
          </w:p>
        </w:tc>
        <w:tc>
          <w:tcPr>
            <w:tcW w:w="4399" w:type="dxa"/>
            <w:vMerge/>
            <w:tcBorders>
              <w:top w:val="single" w:sz="4" w:space="0" w:color="auto"/>
              <w:left w:val="single" w:sz="4" w:space="0" w:color="auto"/>
              <w:bottom w:val="single" w:sz="4" w:space="0" w:color="auto"/>
              <w:right w:val="single" w:sz="4" w:space="0" w:color="auto"/>
            </w:tcBorders>
            <w:vAlign w:val="center"/>
            <w:hideMark/>
          </w:tcPr>
          <w:p w14:paraId="0C6D8C09"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442CFE0D" w14:textId="77777777" w:rsidTr="00BD2CAE">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96DEFF4" w14:textId="77777777" w:rsidR="006C686E" w:rsidRDefault="00B17E8C">
            <w:pPr>
              <w:pStyle w:val="P68B1DB1-Normal25"/>
              <w:spacing w:after="0" w:line="240" w:lineRule="auto"/>
              <w:jc w:val="center"/>
              <w:rPr>
                <w:rFonts w:eastAsia="Times New Roman"/>
                <w:bCs/>
                <w:noProof/>
              </w:rPr>
            </w:pPr>
            <w:r>
              <w:rPr>
                <w:noProof/>
              </w:rPr>
              <w:t>2.1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9B1731" w14:textId="77777777" w:rsidR="006C686E" w:rsidRDefault="00B17E8C">
            <w:pPr>
              <w:pStyle w:val="P68B1DB1-Normal26"/>
              <w:spacing w:after="0" w:line="240" w:lineRule="auto"/>
              <w:jc w:val="center"/>
              <w:rPr>
                <w:rFonts w:eastAsia="Times New Roman"/>
                <w:noProof/>
              </w:rPr>
            </w:pPr>
            <w:r>
              <w:rPr>
                <w:noProof/>
              </w:rPr>
              <w:t>RE-C02-i01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D58B71"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34352" w14:textId="77777777" w:rsidR="006C686E" w:rsidRDefault="00B17E8C">
            <w:pPr>
              <w:pStyle w:val="P68B1DB1-Normal26"/>
              <w:spacing w:after="0" w:line="240" w:lineRule="auto"/>
              <w:jc w:val="center"/>
              <w:rPr>
                <w:rFonts w:eastAsia="Times New Roman"/>
                <w:noProof/>
              </w:rPr>
            </w:pPr>
            <w:r>
              <w:rPr>
                <w:noProof/>
              </w:rPr>
              <w:t>Programme d'appui à l'accès au logement - Accords de collaboration ou de financement signés</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4A6F63"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A0178F"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B4A6AF" w14:textId="77777777" w:rsidR="006C686E" w:rsidRDefault="00B17E8C">
            <w:pPr>
              <w:pStyle w:val="P68B1DB1-Normal26"/>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6B6A55" w14:textId="77777777" w:rsidR="006C686E" w:rsidRDefault="00B17E8C">
            <w:pPr>
              <w:pStyle w:val="P68B1DB1-Normal26"/>
              <w:spacing w:after="0" w:line="240" w:lineRule="auto"/>
              <w:jc w:val="center"/>
              <w:rPr>
                <w:rFonts w:eastAsia="Times New Roman"/>
                <w:noProof/>
              </w:rPr>
            </w:pPr>
            <w:r>
              <w:rPr>
                <w:noProof/>
              </w:rPr>
              <w:t>75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DB01CA" w14:textId="77777777" w:rsidR="006C686E" w:rsidRDefault="00B17E8C">
            <w:pPr>
              <w:pStyle w:val="P68B1DB1-Normal26"/>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E08417" w14:textId="77777777" w:rsidR="006C686E" w:rsidRDefault="00B17E8C">
            <w:pPr>
              <w:pStyle w:val="P68B1DB1-Normal26"/>
              <w:spacing w:after="0" w:line="240" w:lineRule="auto"/>
              <w:jc w:val="center"/>
              <w:rPr>
                <w:rFonts w:eastAsia="Times New Roman"/>
                <w:noProof/>
              </w:rPr>
            </w:pPr>
            <w:r>
              <w:rPr>
                <w:noProof/>
              </w:rPr>
              <w:t>2022</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383ACD" w14:textId="77777777" w:rsidR="006C686E" w:rsidRDefault="00B17E8C">
            <w:pPr>
              <w:pStyle w:val="P68B1DB1-Normal26"/>
              <w:spacing w:after="0" w:line="240" w:lineRule="auto"/>
              <w:rPr>
                <w:rFonts w:eastAsia="Times New Roman"/>
                <w:noProof/>
              </w:rPr>
            </w:pPr>
            <w:r>
              <w:rPr>
                <w:noProof/>
              </w:rPr>
              <w:t>Signature d'ententes de collaboration ou de financement.</w:t>
            </w:r>
          </w:p>
          <w:p w14:paraId="77349925" w14:textId="77777777" w:rsidR="006C686E" w:rsidRDefault="006C686E">
            <w:pPr>
              <w:spacing w:after="0" w:line="240" w:lineRule="auto"/>
              <w:rPr>
                <w:rFonts w:ascii="Times New Roman" w:eastAsia="Times New Roman" w:hAnsi="Times New Roman" w:cs="Times New Roman"/>
                <w:noProof/>
                <w:sz w:val="16"/>
                <w:szCs w:val="16"/>
              </w:rPr>
            </w:pPr>
          </w:p>
          <w:p w14:paraId="37E41601" w14:textId="13D878C8" w:rsidR="006C686E" w:rsidRDefault="00B17E8C">
            <w:pPr>
              <w:pStyle w:val="P68B1DB1-Normal26"/>
              <w:spacing w:after="0" w:line="240" w:lineRule="auto"/>
              <w:jc w:val="both"/>
              <w:rPr>
                <w:rFonts w:eastAsia="Times New Roman"/>
                <w:noProof/>
              </w:rPr>
            </w:pPr>
            <w:r>
              <w:rPr>
                <w:noProof/>
              </w:rPr>
              <w:t>Les stratégies locales d'hébergement sont présentées par les municipalités. Ces stratégies identifient 1) tous les besoins éligibles au titre de ce programme (tels que spécifiés dans le décret-loi no 37/2018 du 4 juin) et 2) les entités promouvant des solutions de logement. Une fois que l’IHRU (Institut du logement et de la réhabilitation urbaine) a validé la conformité des stratégies locales d’hébergement avec le programme, les accords de collaboration avec les municipalités ou les conventions de financement avec les autres bénéficiaires encadrant les investissements concrets à promouvoir sont signés et le délai de leur mise en œuvre précisé.</w:t>
            </w:r>
          </w:p>
        </w:tc>
      </w:tr>
      <w:tr w:rsidR="006C686E" w14:paraId="04965A29" w14:textId="77777777" w:rsidTr="00BD2CAE">
        <w:trPr>
          <w:trHeight w:val="127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B22D3" w14:textId="77777777" w:rsidR="006C686E" w:rsidRDefault="00B17E8C">
            <w:pPr>
              <w:pStyle w:val="P68B1DB1-Normal25"/>
              <w:spacing w:after="0" w:line="240" w:lineRule="auto"/>
              <w:jc w:val="center"/>
              <w:rPr>
                <w:rFonts w:eastAsia="Times New Roman"/>
                <w:bCs/>
                <w:noProof/>
              </w:rPr>
            </w:pPr>
            <w:r>
              <w:rPr>
                <w:noProof/>
              </w:rPr>
              <w:t>2.2</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13B3EB" w14:textId="77777777" w:rsidR="006C686E" w:rsidRDefault="00B17E8C">
            <w:pPr>
              <w:pStyle w:val="P68B1DB1-Normal26"/>
              <w:spacing w:after="0" w:line="240" w:lineRule="auto"/>
              <w:jc w:val="center"/>
              <w:rPr>
                <w:rFonts w:eastAsia="Times New Roman"/>
                <w:noProof/>
              </w:rPr>
            </w:pPr>
            <w:r>
              <w:rPr>
                <w:noProof/>
              </w:rPr>
              <w:t>RE-C02-i01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EA3236"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95146A" w14:textId="77777777" w:rsidR="006C686E" w:rsidRDefault="00B17E8C">
            <w:pPr>
              <w:pStyle w:val="P68B1DB1-Normal26"/>
              <w:spacing w:after="0" w:line="240" w:lineRule="auto"/>
              <w:jc w:val="center"/>
              <w:rPr>
                <w:rFonts w:eastAsia="Times New Roman"/>
                <w:noProof/>
              </w:rPr>
            </w:pPr>
            <w:r>
              <w:rPr>
                <w:noProof/>
              </w:rPr>
              <w:t>Programme d’aide à l’accès au logement – Logements achetés, construits (à haute efficacité énergétique) ou réhabilités fournis aux ménages</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3CF554"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9C9B03"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F3B9E7" w14:textId="77777777" w:rsidR="006C686E" w:rsidRDefault="00B17E8C">
            <w:pPr>
              <w:pStyle w:val="P68B1DB1-Normal26"/>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2F977A" w14:textId="77777777"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1</w:t>
            </w:r>
            <w:r>
              <w:rPr>
                <w:rFonts w:ascii="Times New Roman" w:eastAsia="Calibri" w:hAnsi="Times New Roman" w:cs="Times New Roman"/>
                <w:noProof/>
                <w:kern w:val="0"/>
                <w14:ligatures w14:val="none"/>
              </w:rPr>
              <w:t xml:space="preserve"> </w:t>
            </w:r>
            <w:r>
              <w:rPr>
                <w:rFonts w:ascii="Times New Roman" w:hAnsi="Times New Roman" w:cs="Times New Roman"/>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D304E0" w14:textId="77777777" w:rsidR="006C686E" w:rsidRDefault="00B17E8C">
            <w:pPr>
              <w:pStyle w:val="P68B1DB1-Normal26"/>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6EF23F" w14:textId="77777777" w:rsidR="006C686E" w:rsidRDefault="00B17E8C">
            <w:pPr>
              <w:pStyle w:val="P68B1DB1-Normal26"/>
              <w:spacing w:after="0" w:line="240" w:lineRule="auto"/>
              <w:jc w:val="center"/>
              <w:rPr>
                <w:rFonts w:eastAsia="Times New Roman"/>
                <w:noProof/>
              </w:rPr>
            </w:pPr>
            <w:r>
              <w:rPr>
                <w:noProof/>
              </w:rPr>
              <w:t>2023</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5031E1" w14:textId="77777777" w:rsidR="006C686E" w:rsidRDefault="00B17E8C">
            <w:pPr>
              <w:pStyle w:val="P68B1DB1-Normal27"/>
              <w:spacing w:after="0" w:line="240" w:lineRule="auto"/>
              <w:jc w:val="both"/>
              <w:rPr>
                <w:rFonts w:ascii="Times New Roman" w:eastAsia="Times New Roman" w:hAnsi="Times New Roman" w:cs="Times New Roman"/>
                <w:noProof/>
              </w:rPr>
            </w:pPr>
            <w:r>
              <w:rPr>
                <w:rFonts w:ascii="Times New Roman" w:hAnsi="Times New Roman" w:cs="Times New Roman"/>
                <w:noProof/>
              </w:rPr>
              <w:t>Nombre de logements livrés aux ménages éligibles du programme. Les bâtiments neufs ou ceux achetés sans réhabilitation ont une demande d’énergie primaire inférieure d’au moins 20 % aux besoins des bâtiments dont la consommation d’énergie est quasi nulle (à l’exception d’un maximum de 1</w:t>
            </w:r>
            <w:r>
              <w:rPr>
                <w:rFonts w:ascii="Times New Roman" w:eastAsia="Calibri" w:hAnsi="Times New Roman" w:cs="Times New Roman"/>
                <w:noProof/>
                <w:kern w:val="0"/>
                <w14:ligatures w14:val="none"/>
              </w:rPr>
              <w:t> </w:t>
            </w:r>
            <w:r>
              <w:rPr>
                <w:rFonts w:ascii="Times New Roman" w:hAnsi="Times New Roman" w:cs="Times New Roman"/>
                <w:noProof/>
              </w:rPr>
              <w:t xml:space="preserve">502 logements pour l’ensemble de la mesure). </w:t>
            </w:r>
          </w:p>
        </w:tc>
      </w:tr>
      <w:tr w:rsidR="006C686E" w14:paraId="41E3F40A" w14:textId="77777777" w:rsidTr="00BD2CAE">
        <w:trPr>
          <w:trHeight w:val="1181"/>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70D8D12" w14:textId="77777777" w:rsidR="006C686E" w:rsidRDefault="00B17E8C">
            <w:pPr>
              <w:pStyle w:val="P68B1DB1-Normal25"/>
              <w:spacing w:after="0" w:line="240" w:lineRule="auto"/>
              <w:jc w:val="center"/>
              <w:rPr>
                <w:rFonts w:eastAsia="Times New Roman"/>
                <w:bCs/>
                <w:noProof/>
              </w:rPr>
            </w:pPr>
            <w:r>
              <w:rPr>
                <w:noProof/>
              </w:rPr>
              <w:t>2.3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E9AB86" w14:textId="77777777" w:rsidR="006C686E" w:rsidRDefault="00B17E8C">
            <w:pPr>
              <w:pStyle w:val="P68B1DB1-Normal26"/>
              <w:spacing w:after="0" w:line="240" w:lineRule="auto"/>
              <w:jc w:val="center"/>
              <w:rPr>
                <w:rFonts w:eastAsia="Times New Roman"/>
                <w:noProof/>
              </w:rPr>
            </w:pPr>
            <w:r>
              <w:rPr>
                <w:noProof/>
              </w:rPr>
              <w:t>RE-C02-i01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663888"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936ED4" w14:textId="1277F65B" w:rsidR="006C686E" w:rsidRDefault="00B17E8C">
            <w:pPr>
              <w:pStyle w:val="P68B1DB1-Normal26"/>
              <w:spacing w:after="0" w:line="240" w:lineRule="auto"/>
              <w:jc w:val="center"/>
              <w:rPr>
                <w:rFonts w:eastAsia="Times New Roman"/>
                <w:noProof/>
              </w:rPr>
            </w:pPr>
            <w:r>
              <w:rPr>
                <w:noProof/>
              </w:rPr>
              <w:t>Programme d’aide à l’accès au logement – Logements d’aide au logement</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0FA869"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BCA579"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251149" w14:textId="77777777"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1</w:t>
            </w:r>
            <w:r>
              <w:rPr>
                <w:rFonts w:ascii="Times New Roman" w:eastAsia="Calibri" w:hAnsi="Times New Roman" w:cs="Times New Roman"/>
                <w:noProof/>
                <w:kern w:val="0"/>
                <w14:ligatures w14:val="none"/>
              </w:rPr>
              <w:t xml:space="preserve"> </w:t>
            </w:r>
            <w:r>
              <w:rPr>
                <w:rFonts w:ascii="Times New Roman" w:hAnsi="Times New Roman" w:cs="Times New Roman"/>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1500F3" w14:textId="77777777" w:rsidR="006C686E" w:rsidRDefault="00B17E8C">
            <w:pPr>
              <w:pStyle w:val="P68B1DB1-Normal27"/>
              <w:spacing w:after="0" w:line="240" w:lineRule="auto"/>
              <w:jc w:val="center"/>
              <w:rPr>
                <w:rFonts w:ascii="Times New Roman" w:hAnsi="Times New Roman" w:cs="Times New Roman"/>
                <w:noProof/>
              </w:rPr>
            </w:pPr>
            <w:r>
              <w:rPr>
                <w:rFonts w:ascii="Times New Roman" w:hAnsi="Times New Roman" w:cs="Times New Roman"/>
                <w:noProof/>
              </w:rPr>
              <w:t>20</w:t>
            </w:r>
            <w:r>
              <w:rPr>
                <w:rFonts w:ascii="Times New Roman" w:eastAsia="Calibri" w:hAnsi="Times New Roman" w:cs="Times New Roman"/>
                <w:noProof/>
                <w:kern w:val="0"/>
                <w14:ligatures w14:val="none"/>
              </w:rPr>
              <w:t xml:space="preserve"> </w:t>
            </w:r>
            <w:r>
              <w:rPr>
                <w:rFonts w:ascii="Times New Roman" w:hAnsi="Times New Roman" w:cs="Times New Roman"/>
                <w:noProof/>
              </w:rPr>
              <w:t>801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D2458B" w14:textId="77777777" w:rsidR="006C686E" w:rsidRDefault="00B17E8C">
            <w:pPr>
              <w:pStyle w:val="P68B1DB1-Normal26"/>
              <w:spacing w:after="0" w:line="240" w:lineRule="auto"/>
              <w:jc w:val="center"/>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C2A21D" w14:textId="77777777" w:rsidR="006C686E" w:rsidRDefault="00B17E8C">
            <w:pPr>
              <w:pStyle w:val="P68B1DB1-Normal26"/>
              <w:spacing w:after="0" w:line="240" w:lineRule="auto"/>
              <w:jc w:val="center"/>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D20A5B" w14:textId="2B53B756" w:rsidR="006C686E" w:rsidRDefault="00B17E8C">
            <w:pPr>
              <w:pStyle w:val="P68B1DB1-Normal27"/>
              <w:spacing w:after="0" w:line="240" w:lineRule="auto"/>
              <w:rPr>
                <w:rFonts w:ascii="Times New Roman" w:eastAsia="Times New Roman" w:hAnsi="Times New Roman" w:cs="Times New Roman"/>
                <w:noProof/>
              </w:rPr>
            </w:pPr>
            <w:r>
              <w:rPr>
                <w:rFonts w:ascii="Times New Roman" w:hAnsi="Times New Roman" w:cs="Times New Roman"/>
                <w:noProof/>
              </w:rPr>
              <w:t xml:space="preserve">Nombre de logements construits, achetés, rénovés ou loués pour la sous-location, au titre du programme de logement 1.º Direito. </w:t>
            </w:r>
            <w:bookmarkStart w:id="3" w:name="_Hlk214011069"/>
            <w:r>
              <w:rPr>
                <w:rFonts w:ascii="Times New Roman" w:hAnsi="Times New Roman" w:cs="Times New Roman"/>
                <w:noProof/>
              </w:rPr>
              <w:t>Les bâtiments neufs ou ceux achetés sans réhabilitation ont une demande d’énergie primaire inférieure d’au moins 20 % aux besoins des bâtiments dont la consommation d’énergie est quasi nulle (à l’exception d’un maximum de 1</w:t>
            </w:r>
            <w:r>
              <w:rPr>
                <w:rFonts w:ascii="Times New Roman" w:eastAsia="Calibri" w:hAnsi="Times New Roman" w:cs="Times New Roman"/>
                <w:noProof/>
                <w:kern w:val="0"/>
                <w14:ligatures w14:val="none"/>
              </w:rPr>
              <w:t> </w:t>
            </w:r>
            <w:r>
              <w:rPr>
                <w:rFonts w:ascii="Times New Roman" w:hAnsi="Times New Roman" w:cs="Times New Roman"/>
                <w:noProof/>
              </w:rPr>
              <w:t>502</w:t>
            </w:r>
            <w:bookmarkEnd w:id="3"/>
            <w:r>
              <w:rPr>
                <w:rFonts w:ascii="Times New Roman" w:hAnsi="Times New Roman" w:cs="Times New Roman"/>
                <w:noProof/>
              </w:rPr>
              <w:t xml:space="preserve"> logements pour l’ensemble de la mesure).</w:t>
            </w:r>
          </w:p>
        </w:tc>
      </w:tr>
      <w:tr w:rsidR="006C686E" w14:paraId="3CC667A4" w14:textId="77777777" w:rsidTr="00BD2CAE">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115F933" w14:textId="77777777" w:rsidR="006C686E" w:rsidRDefault="00B17E8C">
            <w:pPr>
              <w:pStyle w:val="P68B1DB1-Normal25"/>
              <w:spacing w:after="0" w:line="240" w:lineRule="auto"/>
              <w:jc w:val="center"/>
              <w:rPr>
                <w:rFonts w:eastAsia="Times New Roman"/>
                <w:bCs/>
                <w:noProof/>
              </w:rPr>
            </w:pPr>
            <w:r>
              <w:rPr>
                <w:noProof/>
              </w:rPr>
              <w:t>2.4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3060401" w14:textId="77777777" w:rsidR="006C686E" w:rsidRDefault="00B17E8C">
            <w:pPr>
              <w:pStyle w:val="P68B1DB1-Normal26"/>
              <w:spacing w:after="0" w:line="240" w:lineRule="auto"/>
              <w:jc w:val="center"/>
              <w:rPr>
                <w:rFonts w:eastAsia="Times New Roman"/>
                <w:noProof/>
              </w:rPr>
            </w:pPr>
            <w:r>
              <w:rPr>
                <w:noProof/>
              </w:rPr>
              <w:t>RE-C02-i02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D4521C" w14:textId="77777777" w:rsidR="006C686E" w:rsidRDefault="00B17E8C">
            <w:pPr>
              <w:pStyle w:val="P68B1DB1-Normal26"/>
              <w:spacing w:after="0" w:line="240" w:lineRule="auto"/>
              <w:jc w:val="center"/>
              <w:rPr>
                <w:rFonts w:eastAsia="Times New Roman"/>
                <w:noProof/>
              </w:rPr>
            </w:pPr>
            <w:r>
              <w:rPr>
                <w:noProof/>
              </w:rPr>
              <w:t> 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EDB68" w14:textId="77777777" w:rsidR="006C686E" w:rsidRDefault="00B17E8C">
            <w:pPr>
              <w:pStyle w:val="P68B1DB1-Normal26"/>
              <w:spacing w:after="0" w:line="240" w:lineRule="auto"/>
              <w:jc w:val="center"/>
              <w:rPr>
                <w:rFonts w:eastAsia="Times New Roman"/>
                <w:noProof/>
              </w:rPr>
            </w:pPr>
            <w:r>
              <w:rPr>
                <w:noProof/>
              </w:rPr>
              <w:t>Subvention nationale d’hébergement d’urgence et temporaire – Signature de conventions de financement pour les hébergements d’urgence et de transition</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13F974"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55945B"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295042" w14:textId="77777777" w:rsidR="006C686E" w:rsidRDefault="00B17E8C">
            <w:pPr>
              <w:pStyle w:val="P68B1DB1-Normal26"/>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F8CEB8" w14:textId="77777777" w:rsidR="006C686E" w:rsidRDefault="00B17E8C">
            <w:pPr>
              <w:pStyle w:val="P68B1DB1-Normal26"/>
              <w:spacing w:after="0" w:line="240" w:lineRule="auto"/>
              <w:jc w:val="center"/>
              <w:rPr>
                <w:rFonts w:eastAsia="Times New Roman"/>
                <w:noProof/>
              </w:rPr>
            </w:pPr>
            <w:r>
              <w:rPr>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1F1B0B" w14:textId="77777777" w:rsidR="006C686E" w:rsidRDefault="00B17E8C">
            <w:pPr>
              <w:pStyle w:val="P68B1DB1-Normal26"/>
              <w:spacing w:after="0" w:line="240" w:lineRule="auto"/>
              <w:jc w:val="center"/>
              <w:rPr>
                <w:rFonts w:eastAsia="Times New Roman"/>
                <w:noProof/>
              </w:rPr>
            </w:pPr>
            <w:r>
              <w:rPr>
                <w:noProof/>
              </w:rPr>
              <w:t xml:space="preserve">T3 </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85D69AA" w14:textId="77777777" w:rsidR="006C686E" w:rsidRDefault="00B17E8C">
            <w:pPr>
              <w:pStyle w:val="P68B1DB1-Normal26"/>
              <w:spacing w:after="0" w:line="240" w:lineRule="auto"/>
              <w:jc w:val="center"/>
              <w:rPr>
                <w:rFonts w:eastAsia="Times New Roman"/>
                <w:noProof/>
              </w:rPr>
            </w:pPr>
            <w:r>
              <w:rPr>
                <w:noProof/>
              </w:rPr>
              <w:t>2022</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2AB5694" w14:textId="77777777" w:rsidR="006C686E" w:rsidRDefault="00B17E8C">
            <w:pPr>
              <w:pStyle w:val="P68B1DB1-Normal26"/>
              <w:spacing w:after="0" w:line="240" w:lineRule="auto"/>
              <w:jc w:val="both"/>
              <w:rPr>
                <w:rFonts w:eastAsia="Times New Roman"/>
                <w:noProof/>
              </w:rPr>
            </w:pPr>
            <w:r>
              <w:rPr>
                <w:noProof/>
              </w:rPr>
              <w:t xml:space="preserve">Le nombre de logements pour lesquels des ententes de financement sont signées. </w:t>
            </w:r>
          </w:p>
          <w:p w14:paraId="122551F9" w14:textId="77777777" w:rsidR="006C686E" w:rsidRDefault="00B17E8C">
            <w:pPr>
              <w:pStyle w:val="P68B1DB1-Normal26"/>
              <w:spacing w:after="0" w:line="240" w:lineRule="auto"/>
              <w:jc w:val="both"/>
              <w:rPr>
                <w:rFonts w:eastAsia="Times New Roman"/>
                <w:noProof/>
              </w:rPr>
            </w:pPr>
            <w:r>
              <w:rPr>
                <w:noProof/>
              </w:rPr>
              <w:t>Les entités soumettent leurs demandes de financement dans le cadre de l'appel d'offres ouvert par l'IHRU (Institut du logement et de la réhabilitation urbaine) qui, après avoir évalué et demandé l'avis de l'ISS (Institut de la sécurité sociale) sur la validité et la faisabilité des demandes soumises, contracte le financement et fixe le délai de sa mise en œuvre. Logement désigne une partie ou la totalité d'un bâtiment avec accès indépendant composé d'un ou de plusieurs compartiments d'habitation et d'espaces privés ou d'unités résidentielles supplémentaires pour plus d'un ménage.</w:t>
            </w:r>
          </w:p>
        </w:tc>
      </w:tr>
      <w:tr w:rsidR="006C686E" w14:paraId="69786AF8" w14:textId="77777777" w:rsidTr="00BD2CAE">
        <w:trPr>
          <w:trHeight w:val="211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282E289" w14:textId="77777777" w:rsidR="006C686E" w:rsidRDefault="00B17E8C">
            <w:pPr>
              <w:pStyle w:val="P68B1DB1-Normal25"/>
              <w:spacing w:after="0" w:line="240" w:lineRule="auto"/>
              <w:jc w:val="center"/>
              <w:rPr>
                <w:rFonts w:eastAsia="Times New Roman"/>
                <w:bCs/>
                <w:noProof/>
              </w:rPr>
            </w:pPr>
            <w:r>
              <w:rPr>
                <w:noProof/>
              </w:rPr>
              <w:t>2.5</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396116" w14:textId="77777777" w:rsidR="006C686E" w:rsidRDefault="00B17E8C">
            <w:pPr>
              <w:pStyle w:val="P68B1DB1-Normal26"/>
              <w:spacing w:after="0" w:line="240" w:lineRule="auto"/>
              <w:jc w:val="center"/>
              <w:rPr>
                <w:rFonts w:eastAsia="Times New Roman"/>
                <w:noProof/>
              </w:rPr>
            </w:pPr>
            <w:r>
              <w:rPr>
                <w:noProof/>
              </w:rPr>
              <w:t>RE-C02-i02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4E4F20"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3E5910" w14:textId="77777777" w:rsidR="006C686E" w:rsidRDefault="00B17E8C">
            <w:pPr>
              <w:pStyle w:val="P68B1DB1-Normal26"/>
              <w:spacing w:after="0" w:line="240" w:lineRule="auto"/>
              <w:jc w:val="center"/>
              <w:rPr>
                <w:rFonts w:eastAsia="Times New Roman"/>
                <w:noProof/>
              </w:rPr>
            </w:pPr>
            <w:r>
              <w:rPr>
                <w:noProof/>
              </w:rPr>
              <w:t>Subvention nationale d’hébergement d’urgence et temporaire – Signature de conventions de financement pour les hébergements d’urgence et de transition</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EB9DDE"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142C6E"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F96F8B" w14:textId="77777777" w:rsidR="006C686E" w:rsidRDefault="00B17E8C">
            <w:pPr>
              <w:pStyle w:val="P68B1DB1-Normal26"/>
              <w:spacing w:after="0" w:line="240" w:lineRule="auto"/>
              <w:jc w:val="center"/>
              <w:rPr>
                <w:rFonts w:eastAsia="Times New Roman"/>
                <w:noProof/>
              </w:rPr>
            </w:pPr>
            <w:r>
              <w:rPr>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3923CC" w14:textId="77777777" w:rsidR="006C686E" w:rsidRDefault="00B17E8C">
            <w:pPr>
              <w:pStyle w:val="P68B1DB1-Normal26"/>
              <w:spacing w:after="0" w:line="240" w:lineRule="auto"/>
              <w:jc w:val="center"/>
              <w:rPr>
                <w:rFonts w:eastAsia="Times New Roman"/>
                <w:noProof/>
              </w:rPr>
            </w:pPr>
            <w:r>
              <w:rPr>
                <w:noProof/>
              </w:rPr>
              <w:t>1 000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1F5681" w14:textId="77777777" w:rsidR="006C686E" w:rsidRDefault="00B17E8C">
            <w:pPr>
              <w:pStyle w:val="P68B1DB1-Normal26"/>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463D0D" w14:textId="77777777" w:rsidR="006C686E" w:rsidRDefault="00B17E8C">
            <w:pPr>
              <w:pStyle w:val="P68B1DB1-Normal26"/>
              <w:spacing w:after="0" w:line="240" w:lineRule="auto"/>
              <w:jc w:val="center"/>
              <w:rPr>
                <w:rFonts w:eastAsia="Times New Roman"/>
                <w:noProof/>
              </w:rPr>
            </w:pPr>
            <w:r>
              <w:rPr>
                <w:noProof/>
              </w:rPr>
              <w:t>2024</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tcPr>
          <w:p w14:paraId="4EA0D950" w14:textId="77777777" w:rsidR="006C686E" w:rsidRDefault="00B17E8C">
            <w:pPr>
              <w:pStyle w:val="P68B1DB1-Normal26"/>
              <w:spacing w:after="0" w:line="240" w:lineRule="auto"/>
              <w:jc w:val="both"/>
              <w:rPr>
                <w:rFonts w:eastAsia="Times New Roman"/>
                <w:noProof/>
              </w:rPr>
            </w:pPr>
            <w:r>
              <w:rPr>
                <w:noProof/>
              </w:rPr>
              <w:t>Le nombre de logements pour lesquels des ententes de financement sont signées.</w:t>
            </w:r>
          </w:p>
          <w:p w14:paraId="083EBA29" w14:textId="2DE1EBD9" w:rsidR="006C686E" w:rsidRDefault="00B17E8C">
            <w:pPr>
              <w:pStyle w:val="P68B1DB1-Normal26"/>
              <w:spacing w:after="0" w:line="240" w:lineRule="auto"/>
              <w:jc w:val="both"/>
              <w:rPr>
                <w:rFonts w:eastAsia="Times New Roman"/>
                <w:noProof/>
              </w:rPr>
            </w:pPr>
            <w:r>
              <w:rPr>
                <w:noProof/>
              </w:rPr>
              <w:t>Les entités soumettent leurs demandes de financement dans le cadre de l'appel d'offres ouvert par l'IHRU (Institut du logement et de la réhabilitation urbaine) qui, après avoir évalué et demandé l'avis de l'ISS (Institut de la sécurité sociale) sur la validité et la faisabilité des demandes soumises, contracte le financement et fixe le délai de sa mise en œuvre. Logement désigne une partie ou la totalité d'un bâtiment avec accès indépendant composé d'un ou de plusieurs compartiments d'habitation et d'espaces privés ou d'unités résidentielles supplémentaires pour plus d'un ménage.</w:t>
            </w:r>
          </w:p>
        </w:tc>
      </w:tr>
      <w:tr w:rsidR="006C686E" w14:paraId="6D9ECDEA" w14:textId="77777777" w:rsidTr="00BD2CAE">
        <w:trPr>
          <w:trHeight w:val="102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BAC8F26" w14:textId="77777777" w:rsidR="006C686E" w:rsidRDefault="00B17E8C">
            <w:pPr>
              <w:pStyle w:val="P68B1DB1-Normal25"/>
              <w:spacing w:after="0" w:line="240" w:lineRule="auto"/>
              <w:jc w:val="center"/>
              <w:rPr>
                <w:rFonts w:eastAsia="Times New Roman"/>
                <w:bCs/>
                <w:noProof/>
              </w:rPr>
            </w:pPr>
            <w:r>
              <w:rPr>
                <w:noProof/>
              </w:rPr>
              <w:t>2.6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FC8397" w14:textId="77777777" w:rsidR="006C686E" w:rsidRDefault="00B17E8C">
            <w:pPr>
              <w:pStyle w:val="P68B1DB1-Normal26"/>
              <w:spacing w:after="0" w:line="240" w:lineRule="auto"/>
              <w:jc w:val="center"/>
              <w:rPr>
                <w:rFonts w:eastAsia="Times New Roman"/>
                <w:noProof/>
              </w:rPr>
            </w:pPr>
            <w:r>
              <w:rPr>
                <w:noProof/>
              </w:rPr>
              <w:t>RE-C02-i02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510914"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D61A35" w14:textId="77777777" w:rsidR="006C686E" w:rsidRDefault="00B17E8C">
            <w:pPr>
              <w:pStyle w:val="P68B1DB1-Normal26"/>
              <w:spacing w:after="0" w:line="240" w:lineRule="auto"/>
              <w:jc w:val="center"/>
              <w:rPr>
                <w:rFonts w:eastAsia="Times New Roman"/>
                <w:noProof/>
              </w:rPr>
            </w:pPr>
            <w:r>
              <w:rPr>
                <w:noProof/>
              </w:rPr>
              <w:t xml:space="preserve">Subvention nationale d’urgence et d’hébergement temporaire – Logements dont les travaux ont commencé ou ont été achetés </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B84A35"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039CC3"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A19F95" w14:textId="77777777" w:rsidR="006C686E" w:rsidRDefault="00B17E8C">
            <w:pPr>
              <w:pStyle w:val="P68B1DB1-Normal26"/>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74008E" w14:textId="77777777" w:rsidR="006C686E" w:rsidRDefault="00B17E8C">
            <w:pPr>
              <w:pStyle w:val="P68B1DB1-Normal26"/>
              <w:spacing w:after="0" w:line="240" w:lineRule="auto"/>
              <w:jc w:val="center"/>
              <w:rPr>
                <w:rFonts w:eastAsia="Times New Roman"/>
                <w:noProof/>
              </w:rPr>
            </w:pPr>
            <w:r>
              <w:rPr>
                <w:noProof/>
              </w:rPr>
              <w:t>41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4610DE" w14:textId="77777777" w:rsidR="006C686E" w:rsidRDefault="00B17E8C">
            <w:pPr>
              <w:pStyle w:val="P68B1DB1-Normal26"/>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01E0DA" w14:textId="77777777" w:rsidR="006C686E" w:rsidRDefault="00B17E8C">
            <w:pPr>
              <w:pStyle w:val="P68B1DB1-Normal26"/>
              <w:spacing w:after="0" w:line="240" w:lineRule="auto"/>
              <w:jc w:val="center"/>
              <w:rPr>
                <w:rFonts w:eastAsia="Times New Roman"/>
                <w:noProof/>
              </w:rPr>
            </w:pPr>
            <w:r>
              <w:rPr>
                <w:noProof/>
              </w:rPr>
              <w:t>2023</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1BDA9E" w14:textId="77777777" w:rsidR="006C686E" w:rsidRDefault="00B17E8C">
            <w:pPr>
              <w:pStyle w:val="P68B1DB1-Normal26"/>
              <w:spacing w:after="0" w:line="240" w:lineRule="auto"/>
              <w:jc w:val="both"/>
              <w:rPr>
                <w:rFonts w:eastAsia="Times New Roman"/>
                <w:noProof/>
              </w:rPr>
            </w:pPr>
            <w:r>
              <w:rPr>
                <w:noProof/>
              </w:rPr>
              <w:t xml:space="preserve">Nombre de projets pour lesquels des travaux de construction ou de rénovation ont commencé ou pour lesquels des bâtiments ont été achetés. </w:t>
            </w:r>
          </w:p>
        </w:tc>
      </w:tr>
      <w:tr w:rsidR="006C686E" w14:paraId="011DBF68" w14:textId="77777777" w:rsidTr="00BD2CAE">
        <w:trPr>
          <w:trHeight w:val="111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tcPr>
          <w:p w14:paraId="004E8724" w14:textId="77777777" w:rsidR="006C686E" w:rsidRDefault="00B17E8C">
            <w:pPr>
              <w:pStyle w:val="P68B1DB1-Normal25"/>
              <w:spacing w:after="0" w:line="240" w:lineRule="auto"/>
              <w:jc w:val="center"/>
              <w:rPr>
                <w:noProof/>
              </w:rPr>
            </w:pPr>
            <w:r>
              <w:rPr>
                <w:noProof/>
              </w:rPr>
              <w:t>2.7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5FA330BD" w14:textId="77777777" w:rsidR="006C686E" w:rsidRDefault="00B17E8C">
            <w:pPr>
              <w:pStyle w:val="P68B1DB1-Normal26"/>
              <w:spacing w:after="0" w:line="240" w:lineRule="auto"/>
              <w:jc w:val="center"/>
              <w:rPr>
                <w:noProof/>
              </w:rPr>
            </w:pPr>
            <w:r>
              <w:rPr>
                <w:noProof/>
              </w:rPr>
              <w:t>RE-C02-i02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1291B980" w14:textId="77777777" w:rsidR="006C686E" w:rsidRDefault="00B17E8C">
            <w:pPr>
              <w:pStyle w:val="P68B1DB1-Normal26"/>
              <w:spacing w:after="0" w:line="240" w:lineRule="auto"/>
              <w:jc w:val="center"/>
              <w:rPr>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7B862881" w14:textId="77777777" w:rsidR="006C686E" w:rsidRDefault="00B17E8C">
            <w:pPr>
              <w:pStyle w:val="P68B1DB1-Normal26"/>
              <w:spacing w:after="0" w:line="240" w:lineRule="auto"/>
              <w:jc w:val="center"/>
              <w:rPr>
                <w:noProof/>
              </w:rPr>
            </w:pPr>
            <w:r>
              <w:rPr>
                <w:noProof/>
              </w:rPr>
              <w:t>Hébergement d'urgence et temporaire</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64CCE83A" w14:textId="77777777" w:rsidR="006C686E" w:rsidRDefault="006C686E">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3F5F395" w14:textId="77777777" w:rsidR="006C686E" w:rsidRDefault="00B17E8C">
            <w:pPr>
              <w:pStyle w:val="P68B1DB1-Normal26"/>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2D8E4DEF" w14:textId="77777777" w:rsidR="006C686E" w:rsidRDefault="00B17E8C">
            <w:pPr>
              <w:pStyle w:val="P68B1DB1-Normal26"/>
              <w:spacing w:after="0" w:line="240" w:lineRule="auto"/>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47508325" w14:textId="098F3AD0" w:rsidR="006C686E" w:rsidRDefault="00B17E8C">
            <w:pPr>
              <w:pStyle w:val="P68B1DB1-Normal26"/>
              <w:spacing w:after="0" w:line="240" w:lineRule="auto"/>
              <w:jc w:val="center"/>
              <w:rPr>
                <w:noProof/>
              </w:rPr>
            </w:pPr>
            <w:r>
              <w:rPr>
                <w:noProof/>
              </w:rPr>
              <w:t>133</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76C3FA8E" w14:textId="77777777" w:rsidR="006C686E" w:rsidRDefault="00B17E8C">
            <w:pPr>
              <w:pStyle w:val="P68B1DB1-Normal26"/>
              <w:spacing w:after="0" w:line="240" w:lineRule="auto"/>
              <w:jc w:val="center"/>
              <w:rPr>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tcPr>
          <w:p w14:paraId="57700ACD" w14:textId="77777777" w:rsidR="006C686E" w:rsidRDefault="00B17E8C">
            <w:pPr>
              <w:pStyle w:val="P68B1DB1-Normal26"/>
              <w:spacing w:after="0" w:line="240" w:lineRule="auto"/>
              <w:jc w:val="center"/>
              <w:rPr>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tcPr>
          <w:p w14:paraId="005B4600" w14:textId="0D161F47" w:rsidR="006C686E" w:rsidRDefault="00B17E8C">
            <w:pPr>
              <w:pStyle w:val="P68B1DB1-Normal13"/>
              <w:spacing w:after="0" w:line="240" w:lineRule="auto"/>
              <w:jc w:val="both"/>
              <w:rPr>
                <w:noProof/>
              </w:rPr>
            </w:pPr>
            <w:r>
              <w:rPr>
                <w:noProof/>
              </w:rPr>
              <w:t>Construction, rénovation ou achat de logements et de logements constituant 133 projets au titre de l'allocation nationale d'urgence et d'hébergement temporaire et d'hébergement temporaire pour l'armée et les forces de sécurité.</w:t>
            </w:r>
          </w:p>
          <w:p w14:paraId="33A94DE3" w14:textId="41B18052" w:rsidR="006C686E" w:rsidRDefault="00B17E8C">
            <w:pPr>
              <w:pStyle w:val="P68B1DB1-Normal13"/>
              <w:spacing w:after="0" w:line="240" w:lineRule="auto"/>
              <w:jc w:val="both"/>
              <w:rPr>
                <w:noProof/>
              </w:rPr>
            </w:pPr>
            <w:r>
              <w:rPr>
                <w:noProof/>
              </w:rPr>
              <w:t>Les bâtiments neufs ou ceux achetés sans réhabilitation doivent avoir une demande d’énergie primaire inférieure d’au moins 20 % aux exigences des bâtiments dont la consommation d’énergie est quasi nulle (à l’exception d’un maximum de 30 projets).</w:t>
            </w:r>
          </w:p>
        </w:tc>
      </w:tr>
      <w:tr w:rsidR="006C686E" w14:paraId="20EC51FC" w14:textId="77777777" w:rsidTr="00BD2CAE">
        <w:trPr>
          <w:trHeight w:val="126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44A643" w14:textId="77777777" w:rsidR="006C686E" w:rsidRDefault="00B17E8C">
            <w:pPr>
              <w:pStyle w:val="P68B1DB1-Normal25"/>
              <w:spacing w:after="0" w:line="240" w:lineRule="auto"/>
              <w:jc w:val="center"/>
              <w:rPr>
                <w:rFonts w:eastAsia="Times New Roman"/>
                <w:bCs/>
                <w:noProof/>
              </w:rPr>
            </w:pPr>
            <w:r>
              <w:rPr>
                <w:noProof/>
              </w:rPr>
              <w:t>2.11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AB3BFE" w14:textId="77777777" w:rsidR="006C686E" w:rsidRDefault="00B17E8C">
            <w:pPr>
              <w:pStyle w:val="P68B1DB1-Normal26"/>
              <w:spacing w:after="0" w:line="240" w:lineRule="auto"/>
              <w:jc w:val="center"/>
              <w:rPr>
                <w:rFonts w:eastAsia="Times New Roman"/>
                <w:noProof/>
              </w:rPr>
            </w:pPr>
            <w:r>
              <w:rPr>
                <w:noProof/>
              </w:rPr>
              <w:t>RE-C02-i03-RAM</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297AFB"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5FC4D4" w14:textId="4783BB5A" w:rsidR="006C686E" w:rsidRDefault="00B17E8C">
            <w:pPr>
              <w:pStyle w:val="P68B1DB1-Normal26"/>
              <w:spacing w:after="0" w:line="240" w:lineRule="auto"/>
              <w:jc w:val="center"/>
              <w:rPr>
                <w:rFonts w:eastAsia="Times New Roman"/>
                <w:noProof/>
              </w:rPr>
            </w:pPr>
            <w:r>
              <w:rPr>
                <w:noProof/>
              </w:rPr>
              <w:t>Logements bénéficiant d'un soutien public dans la région autonome de Madère</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0EC419"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85A6B6"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94D5D" w14:textId="77777777" w:rsidR="006C686E" w:rsidRDefault="00B17E8C">
            <w:pPr>
              <w:pStyle w:val="P68B1DB1-Normal26"/>
              <w:spacing w:after="0" w:line="240" w:lineRule="auto"/>
              <w:jc w:val="center"/>
              <w:rPr>
                <w:rFonts w:eastAsia="Calibri"/>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F9B9EE" w14:textId="77777777" w:rsidR="006C686E" w:rsidRDefault="00B17E8C">
            <w:pPr>
              <w:pStyle w:val="P68B1DB1-Normal26"/>
              <w:spacing w:after="0" w:line="240" w:lineRule="auto"/>
              <w:jc w:val="center"/>
              <w:rPr>
                <w:rFonts w:eastAsia="Times New Roman"/>
                <w:noProof/>
              </w:rPr>
            </w:pPr>
            <w:r>
              <w:rPr>
                <w:noProof/>
              </w:rPr>
              <w:t>805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5ED4CD" w14:textId="77777777" w:rsidR="006C686E" w:rsidRDefault="00B17E8C">
            <w:pPr>
              <w:pStyle w:val="P68B1DB1-Normal26"/>
              <w:spacing w:after="0" w:line="240" w:lineRule="auto"/>
              <w:jc w:val="center"/>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168130" w14:textId="77777777" w:rsidR="006C686E" w:rsidRDefault="00B17E8C">
            <w:pPr>
              <w:pStyle w:val="P68B1DB1-Normal26"/>
              <w:spacing w:after="0" w:line="240" w:lineRule="auto"/>
              <w:jc w:val="center"/>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66B135" w14:textId="23B748E9" w:rsidR="006C686E" w:rsidRDefault="00B17E8C">
            <w:pPr>
              <w:pStyle w:val="P68B1DB1-Normal26"/>
              <w:spacing w:after="0" w:line="240" w:lineRule="auto"/>
              <w:jc w:val="both"/>
              <w:rPr>
                <w:noProof/>
              </w:rPr>
            </w:pPr>
            <w:bookmarkStart w:id="4" w:name="_Hlk214257374"/>
            <w:r>
              <w:rPr>
                <w:noProof/>
              </w:rPr>
              <w:t xml:space="preserve">Construction ou achat de logements pour des logements subventionnés par l'État. </w:t>
            </w:r>
          </w:p>
          <w:p w14:paraId="4FA8FC85" w14:textId="77777777" w:rsidR="006C686E" w:rsidRDefault="00B17E8C">
            <w:pPr>
              <w:pStyle w:val="P68B1DB1-Normal26"/>
              <w:spacing w:after="0" w:line="240" w:lineRule="auto"/>
              <w:jc w:val="both"/>
              <w:rPr>
                <w:rFonts w:eastAsia="Times New Roman"/>
                <w:noProof/>
              </w:rPr>
            </w:pPr>
            <w:r>
              <w:rPr>
                <w:noProof/>
              </w:rPr>
              <w:t xml:space="preserve">Les bâtiments neufs ou ceux achetés sans rénovation ont une demande d’énergie primaire inférieure d’au moins 20 % aux exigences des bâtiments dont la consommation d’énergie est quasi nulle. </w:t>
            </w:r>
            <w:bookmarkEnd w:id="4"/>
          </w:p>
        </w:tc>
      </w:tr>
      <w:tr w:rsidR="006C686E" w14:paraId="186AD667" w14:textId="77777777" w:rsidTr="00BD2CAE">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511F7F5" w14:textId="77777777" w:rsidR="006C686E" w:rsidRDefault="00B17E8C">
            <w:pPr>
              <w:pStyle w:val="P68B1DB1-Normal25"/>
              <w:spacing w:after="0" w:line="240" w:lineRule="auto"/>
              <w:jc w:val="center"/>
              <w:rPr>
                <w:rFonts w:eastAsia="Times New Roman"/>
                <w:bCs/>
                <w:noProof/>
              </w:rPr>
            </w:pPr>
            <w:r>
              <w:rPr>
                <w:noProof/>
              </w:rPr>
              <w:t>2.13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622974" w14:textId="77777777" w:rsidR="006C686E" w:rsidRDefault="00B17E8C">
            <w:pPr>
              <w:pStyle w:val="P68B1DB1-Normal26"/>
              <w:spacing w:after="0" w:line="240" w:lineRule="auto"/>
              <w:jc w:val="center"/>
              <w:rPr>
                <w:rFonts w:eastAsia="Times New Roman"/>
                <w:noProof/>
              </w:rPr>
            </w:pPr>
            <w:r>
              <w:rPr>
                <w:noProof/>
              </w:rPr>
              <w:t>RE-C02-i04-RAA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DD0A7F"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E8B5A8" w14:textId="77777777" w:rsidR="006C686E" w:rsidRDefault="00B17E8C">
            <w:pPr>
              <w:pStyle w:val="P68B1DB1-Normal26"/>
              <w:spacing w:after="0" w:line="240" w:lineRule="auto"/>
              <w:jc w:val="center"/>
              <w:rPr>
                <w:rFonts w:eastAsia="Times New Roman"/>
                <w:noProof/>
              </w:rPr>
            </w:pPr>
            <w:r>
              <w:rPr>
                <w:noProof/>
              </w:rPr>
              <w:t xml:space="preserve">Bâtiments construits dans le parc de logements publics de la région autonome des Açores </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8DA9E7"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BBBB6B"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11A9B3" w14:textId="77777777" w:rsidR="006C686E" w:rsidRDefault="00B17E8C">
            <w:pPr>
              <w:pStyle w:val="P68B1DB1-Normal26"/>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A809D9" w14:textId="77777777" w:rsidR="006C686E" w:rsidRDefault="00B17E8C">
            <w:pPr>
              <w:pStyle w:val="P68B1DB1-Normal26"/>
              <w:spacing w:after="0" w:line="240" w:lineRule="auto"/>
              <w:jc w:val="center"/>
              <w:rPr>
                <w:rFonts w:eastAsia="Times New Roman"/>
                <w:noProof/>
              </w:rPr>
            </w:pPr>
            <w:r>
              <w:rPr>
                <w:noProof/>
              </w:rPr>
              <w:t>24</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8EB129" w14:textId="77777777" w:rsidR="006C686E" w:rsidRDefault="00B17E8C">
            <w:pPr>
              <w:pStyle w:val="P68B1DB1-Normal26"/>
              <w:spacing w:after="0" w:line="240" w:lineRule="auto"/>
              <w:jc w:val="center"/>
              <w:rPr>
                <w:rFonts w:eastAsia="Times New Roman"/>
                <w:noProof/>
              </w:rPr>
            </w:pPr>
            <w:r>
              <w:rPr>
                <w:noProof/>
              </w:rPr>
              <w:t>T4</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2F37E0" w14:textId="77777777" w:rsidR="006C686E" w:rsidRDefault="00B17E8C">
            <w:pPr>
              <w:pStyle w:val="P68B1DB1-Normal26"/>
              <w:spacing w:after="0" w:line="240" w:lineRule="auto"/>
              <w:jc w:val="center"/>
              <w:rPr>
                <w:rFonts w:eastAsia="Times New Roman"/>
                <w:noProof/>
              </w:rPr>
            </w:pPr>
            <w:r>
              <w:rPr>
                <w:noProof/>
              </w:rPr>
              <w:t>2021</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7F7F3D" w14:textId="77777777" w:rsidR="006C686E" w:rsidRDefault="00B17E8C">
            <w:pPr>
              <w:pStyle w:val="P68B1DB1-Normal26"/>
              <w:spacing w:after="0" w:line="240" w:lineRule="auto"/>
              <w:jc w:val="both"/>
              <w:rPr>
                <w:rFonts w:eastAsia="Times New Roman"/>
                <w:noProof/>
              </w:rPr>
            </w:pPr>
            <w:r>
              <w:rPr>
                <w:noProof/>
              </w:rPr>
              <w:t xml:space="preserve">Nombre de bâtiments construits, dont les travaux sont achevés afin d’augmenter le parc de logements sociaux. </w:t>
            </w:r>
          </w:p>
          <w:p w14:paraId="15413276" w14:textId="77777777" w:rsidR="006C686E" w:rsidRDefault="00B17E8C">
            <w:pPr>
              <w:pStyle w:val="P68B1DB1-Normal26"/>
              <w:spacing w:after="0" w:line="240" w:lineRule="auto"/>
              <w:jc w:val="both"/>
              <w:rPr>
                <w:rFonts w:eastAsia="Times New Roman"/>
                <w:noProof/>
              </w:rPr>
            </w:pPr>
            <w:r>
              <w:rPr>
                <w:noProof/>
              </w:rPr>
              <w:t>Les bâtiments neufs ont une demande d’énergie primaire inférieure d’au moins 20 % aux exigences des bâtiments dont la consommation d’énergie est quasi nulle.</w:t>
            </w:r>
          </w:p>
          <w:p w14:paraId="0139908B" w14:textId="77777777" w:rsidR="006C686E" w:rsidRDefault="00B17E8C">
            <w:pPr>
              <w:pStyle w:val="P68B1DB1-Normal26"/>
              <w:spacing w:after="0" w:line="240" w:lineRule="auto"/>
              <w:jc w:val="both"/>
              <w:rPr>
                <w:rFonts w:eastAsia="Times New Roman"/>
                <w:noProof/>
              </w:rPr>
            </w:pPr>
            <w:r>
              <w:rPr>
                <w:noProof/>
              </w:rPr>
              <w:t>Les logements ont une taille moyenne d'environ 120 mètres carrés.</w:t>
            </w:r>
          </w:p>
        </w:tc>
      </w:tr>
      <w:tr w:rsidR="006C686E" w14:paraId="348C9CDB" w14:textId="77777777" w:rsidTr="00BD2CAE">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5AFDFD8" w14:textId="77777777" w:rsidR="006C686E" w:rsidRDefault="00B17E8C">
            <w:pPr>
              <w:pStyle w:val="P68B1DB1-Normal25"/>
              <w:spacing w:after="0" w:line="240" w:lineRule="auto"/>
              <w:jc w:val="center"/>
              <w:rPr>
                <w:rFonts w:eastAsia="Times New Roman"/>
                <w:bCs/>
                <w:noProof/>
              </w:rPr>
            </w:pPr>
            <w:r>
              <w:rPr>
                <w:noProof/>
              </w:rPr>
              <w:t>2.14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2B502D" w14:textId="77777777" w:rsidR="006C686E" w:rsidRDefault="00B17E8C">
            <w:pPr>
              <w:pStyle w:val="P68B1DB1-Normal26"/>
              <w:spacing w:after="0" w:line="240" w:lineRule="auto"/>
              <w:jc w:val="center"/>
              <w:rPr>
                <w:rFonts w:eastAsia="Times New Roman"/>
                <w:noProof/>
              </w:rPr>
            </w:pPr>
            <w:r>
              <w:rPr>
                <w:noProof/>
              </w:rPr>
              <w:t>RE-C02-i04-RAA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AFA351"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193383" w14:textId="77777777" w:rsidR="006C686E" w:rsidRDefault="00B17E8C">
            <w:pPr>
              <w:pStyle w:val="P68B1DB1-Normal26"/>
              <w:spacing w:after="0" w:line="240" w:lineRule="auto"/>
              <w:jc w:val="center"/>
              <w:rPr>
                <w:rFonts w:eastAsia="Times New Roman"/>
                <w:noProof/>
              </w:rPr>
            </w:pPr>
            <w:r>
              <w:rPr>
                <w:noProof/>
              </w:rPr>
              <w:t xml:space="preserve">Interventions dans le parc de logements sociaux de la région autonome des Açores - rénovation </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DA27AC"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30A75C"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913EE6" w14:textId="77777777" w:rsidR="006C686E" w:rsidRDefault="00B17E8C">
            <w:pPr>
              <w:pStyle w:val="P68B1DB1-Normal26"/>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26EC86" w14:textId="77777777" w:rsidR="006C686E" w:rsidRDefault="00B17E8C">
            <w:pPr>
              <w:pStyle w:val="P68B1DB1-Normal26"/>
              <w:spacing w:after="0" w:line="240" w:lineRule="auto"/>
              <w:jc w:val="center"/>
              <w:rPr>
                <w:rFonts w:eastAsia="Times New Roman"/>
                <w:noProof/>
              </w:rPr>
            </w:pPr>
            <w:r>
              <w:rPr>
                <w:noProof/>
              </w:rPr>
              <w:t>40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4CAAF8" w14:textId="77777777" w:rsidR="006C686E" w:rsidRDefault="00B17E8C">
            <w:pPr>
              <w:pStyle w:val="P68B1DB1-Normal26"/>
              <w:spacing w:after="0" w:line="240" w:lineRule="auto"/>
              <w:jc w:val="center"/>
              <w:rPr>
                <w:rFonts w:eastAsia="Times New Roman"/>
                <w:noProof/>
              </w:rPr>
            </w:pPr>
            <w:r>
              <w:rPr>
                <w:noProof/>
              </w:rPr>
              <w:t>T4</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47C137" w14:textId="77777777" w:rsidR="006C686E" w:rsidRDefault="00B17E8C">
            <w:pPr>
              <w:pStyle w:val="P68B1DB1-Normal26"/>
              <w:spacing w:after="0" w:line="240" w:lineRule="auto"/>
              <w:jc w:val="center"/>
              <w:rPr>
                <w:rFonts w:eastAsia="Times New Roman"/>
                <w:noProof/>
              </w:rPr>
            </w:pPr>
            <w:r>
              <w:rPr>
                <w:noProof/>
              </w:rPr>
              <w:t>2021</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CC1BA5" w14:textId="77777777" w:rsidR="006C686E" w:rsidRDefault="00B17E8C">
            <w:pPr>
              <w:pStyle w:val="P68B1DB1-Normal26"/>
              <w:spacing w:after="0" w:line="240" w:lineRule="auto"/>
              <w:jc w:val="both"/>
              <w:rPr>
                <w:rFonts w:eastAsia="Times New Roman"/>
                <w:noProof/>
              </w:rPr>
            </w:pPr>
            <w:r>
              <w:rPr>
                <w:noProof/>
              </w:rPr>
              <w:t>L’investissement comprend la rénovation ou la finalisation de bâtiments et d’appartements, mesurée par le nombre d’interventions. Les interventions comprennent:</w:t>
            </w:r>
          </w:p>
          <w:p w14:paraId="2D4D596A" w14:textId="77777777" w:rsidR="006C686E" w:rsidRDefault="00B17E8C">
            <w:pPr>
              <w:pStyle w:val="P68B1DB1-Normal26"/>
              <w:spacing w:after="0" w:line="240" w:lineRule="auto"/>
              <w:jc w:val="both"/>
              <w:rPr>
                <w:rFonts w:eastAsia="Times New Roman"/>
                <w:noProof/>
              </w:rPr>
            </w:pPr>
            <w:r>
              <w:rPr>
                <w:noProof/>
              </w:rPr>
              <w:t xml:space="preserve">- la transformation de bâtiments publics non résidentiels en logements, </w:t>
            </w:r>
          </w:p>
          <w:p w14:paraId="0B6C147F" w14:textId="77777777" w:rsidR="006C686E" w:rsidRDefault="00B17E8C">
            <w:pPr>
              <w:pStyle w:val="P68B1DB1-Normal26"/>
              <w:spacing w:after="0" w:line="240" w:lineRule="auto"/>
              <w:jc w:val="both"/>
              <w:rPr>
                <w:rFonts w:eastAsia="Times New Roman"/>
                <w:noProof/>
              </w:rPr>
            </w:pPr>
            <w:r>
              <w:rPr>
                <w:noProof/>
              </w:rPr>
              <w:t>- Appui financier à la reconversion des bâtiments sociaux dégradés (Bairros Sociais)</w:t>
            </w:r>
          </w:p>
          <w:p w14:paraId="4C5B0F92" w14:textId="77777777" w:rsidR="006C686E" w:rsidRDefault="00B17E8C">
            <w:pPr>
              <w:pStyle w:val="P68B1DB1-Normal26"/>
              <w:spacing w:after="0" w:line="240" w:lineRule="auto"/>
              <w:jc w:val="both"/>
              <w:rPr>
                <w:rFonts w:eastAsia="Times New Roman"/>
                <w:noProof/>
              </w:rPr>
            </w:pPr>
            <w:r>
              <w:rPr>
                <w:noProof/>
              </w:rPr>
              <w:t>- rénovation de logements sociaux pour se conformer à la législation en vigueur en matière de logement, principalement aux exigences en matière d'efficacité énergétique.</w:t>
            </w:r>
          </w:p>
          <w:p w14:paraId="5C714029" w14:textId="77777777" w:rsidR="006C686E" w:rsidRDefault="00B17E8C">
            <w:pPr>
              <w:pStyle w:val="P68B1DB1-Normal26"/>
              <w:spacing w:after="0" w:line="240" w:lineRule="auto"/>
              <w:jc w:val="both"/>
              <w:rPr>
                <w:rFonts w:eastAsia="Times New Roman"/>
                <w:noProof/>
              </w:rPr>
            </w:pPr>
            <w:r>
              <w:rPr>
                <w:noProof/>
              </w:rPr>
              <w:t>Les rénovations en matière d’efficacité énergétique permettent, en moyenne, d’atteindre au moins un niveau moyen de rénovation en profondeur tel que défini dans la recommandation (UE) 2019/786 de la Commission sur la rénovation des bâtiments.</w:t>
            </w:r>
          </w:p>
          <w:p w14:paraId="7FB742DA" w14:textId="77777777" w:rsidR="006C686E" w:rsidRDefault="00B17E8C">
            <w:pPr>
              <w:pStyle w:val="P68B1DB1-Normal26"/>
              <w:spacing w:after="0" w:line="240" w:lineRule="auto"/>
              <w:jc w:val="both"/>
              <w:rPr>
                <w:rFonts w:eastAsia="Times New Roman"/>
                <w:noProof/>
              </w:rPr>
            </w:pPr>
            <w:r>
              <w:rPr>
                <w:noProof/>
              </w:rPr>
              <w:t>Le logement concerné a une taille moyenne d'environ 100 mètres carrés.</w:t>
            </w:r>
          </w:p>
        </w:tc>
      </w:tr>
      <w:tr w:rsidR="006C686E" w14:paraId="647B7362" w14:textId="77777777" w:rsidTr="00BD2CAE">
        <w:trPr>
          <w:trHeight w:val="1575"/>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16A5A8C" w14:textId="77777777" w:rsidR="006C686E" w:rsidRDefault="00B17E8C">
            <w:pPr>
              <w:pStyle w:val="P68B1DB1-Normal25"/>
              <w:spacing w:after="0" w:line="240" w:lineRule="auto"/>
              <w:jc w:val="center"/>
              <w:rPr>
                <w:rFonts w:eastAsia="Times New Roman"/>
                <w:bCs/>
                <w:noProof/>
              </w:rPr>
            </w:pPr>
            <w:r>
              <w:rPr>
                <w:noProof/>
              </w:rPr>
              <w:t>2.16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20704C" w14:textId="77777777" w:rsidR="006C686E" w:rsidRDefault="00B17E8C">
            <w:pPr>
              <w:pStyle w:val="P68B1DB1-Normal26"/>
              <w:spacing w:after="0" w:line="240" w:lineRule="auto"/>
              <w:jc w:val="center"/>
              <w:rPr>
                <w:rFonts w:eastAsia="Times New Roman"/>
                <w:noProof/>
              </w:rPr>
            </w:pPr>
            <w:r>
              <w:rPr>
                <w:noProof/>
              </w:rPr>
              <w:t>RE-C02-i04-RAA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80D95E"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1FC91C" w14:textId="77777777" w:rsidR="006C686E" w:rsidRDefault="00B17E8C">
            <w:pPr>
              <w:pStyle w:val="P68B1DB1-Normal26"/>
              <w:spacing w:after="0" w:line="240" w:lineRule="auto"/>
              <w:jc w:val="center"/>
              <w:rPr>
                <w:rFonts w:eastAsia="Times New Roman"/>
                <w:noProof/>
              </w:rPr>
            </w:pPr>
            <w:r>
              <w:rPr>
                <w:noProof/>
              </w:rPr>
              <w:t xml:space="preserve">Interventions dans le parc de logements sociaux de la région autonome des Açores - rénovation </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730878"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18C081"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9DF7B2" w14:textId="77777777" w:rsidR="006C686E" w:rsidRDefault="00B17E8C">
            <w:pPr>
              <w:pStyle w:val="P68B1DB1-Normal26"/>
              <w:spacing w:after="0" w:line="240" w:lineRule="auto"/>
              <w:jc w:val="center"/>
              <w:rPr>
                <w:rFonts w:eastAsia="Times New Roman"/>
                <w:noProof/>
              </w:rPr>
            </w:pPr>
            <w:r>
              <w:rPr>
                <w:noProof/>
              </w:rPr>
              <w:t>40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34318A" w14:textId="77777777" w:rsidR="006C686E" w:rsidRDefault="00B17E8C">
            <w:pPr>
              <w:pStyle w:val="P68B1DB1-Normal26"/>
              <w:spacing w:after="0" w:line="240" w:lineRule="auto"/>
              <w:jc w:val="center"/>
              <w:rPr>
                <w:rFonts w:eastAsia="Times New Roman"/>
                <w:noProof/>
              </w:rPr>
            </w:pPr>
            <w:r>
              <w:rPr>
                <w:noProof/>
              </w:rPr>
              <w:t>101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5D7F15" w14:textId="77777777" w:rsidR="006C686E" w:rsidRDefault="00B17E8C">
            <w:pPr>
              <w:pStyle w:val="P68B1DB1-Normal26"/>
              <w:spacing w:after="0" w:line="240" w:lineRule="auto"/>
              <w:jc w:val="center"/>
              <w:rPr>
                <w:rFonts w:eastAsia="Times New Roman"/>
                <w:noProof/>
              </w:rPr>
            </w:pPr>
            <w:r>
              <w:rPr>
                <w:noProof/>
              </w:rPr>
              <w:t>T4</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E11D86" w14:textId="77777777" w:rsidR="006C686E" w:rsidRDefault="00B17E8C">
            <w:pPr>
              <w:pStyle w:val="P68B1DB1-Normal26"/>
              <w:spacing w:after="0" w:line="240" w:lineRule="auto"/>
              <w:jc w:val="center"/>
              <w:rPr>
                <w:rFonts w:eastAsia="Times New Roman"/>
                <w:noProof/>
              </w:rPr>
            </w:pPr>
            <w:r>
              <w:rPr>
                <w:noProof/>
              </w:rPr>
              <w:t>2023</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366FCD" w14:textId="77777777" w:rsidR="006C686E" w:rsidRDefault="00B17E8C">
            <w:pPr>
              <w:pStyle w:val="P68B1DB1-Normal26"/>
              <w:spacing w:after="0" w:line="240" w:lineRule="auto"/>
              <w:jc w:val="both"/>
              <w:rPr>
                <w:rFonts w:eastAsia="Times New Roman"/>
                <w:noProof/>
              </w:rPr>
            </w:pPr>
            <w:r>
              <w:rPr>
                <w:noProof/>
              </w:rPr>
              <w:t xml:space="preserve">L’investissement comprend la rénovation ou la finalisation de bâtiments et d’appartements publics dont les travaux sont finalisés. </w:t>
            </w:r>
          </w:p>
          <w:p w14:paraId="566BE84F" w14:textId="77777777" w:rsidR="006C686E" w:rsidRDefault="00B17E8C">
            <w:pPr>
              <w:pStyle w:val="P68B1DB1-Normal26"/>
              <w:spacing w:after="0" w:line="240" w:lineRule="auto"/>
              <w:jc w:val="both"/>
              <w:rPr>
                <w:rFonts w:eastAsia="Times New Roman"/>
                <w:noProof/>
              </w:rPr>
            </w:pPr>
            <w:r>
              <w:rPr>
                <w:noProof/>
              </w:rPr>
              <w:t>Les interventions peuvent comprendre:</w:t>
            </w:r>
          </w:p>
          <w:p w14:paraId="04BBFA91" w14:textId="77777777" w:rsidR="006C686E" w:rsidRDefault="00B17E8C">
            <w:pPr>
              <w:pStyle w:val="P68B1DB1-Normal26"/>
              <w:spacing w:after="0" w:line="240" w:lineRule="auto"/>
              <w:jc w:val="both"/>
              <w:rPr>
                <w:rFonts w:eastAsia="Times New Roman"/>
                <w:noProof/>
              </w:rPr>
            </w:pPr>
            <w:r>
              <w:rPr>
                <w:noProof/>
              </w:rPr>
              <w:t xml:space="preserve">- la transformation de bâtiments publics non résidentiels en logements, </w:t>
            </w:r>
          </w:p>
          <w:p w14:paraId="3A883450" w14:textId="77777777" w:rsidR="006C686E" w:rsidRDefault="00B17E8C">
            <w:pPr>
              <w:pStyle w:val="P68B1DB1-Normal26"/>
              <w:spacing w:after="0" w:line="240" w:lineRule="auto"/>
              <w:jc w:val="both"/>
              <w:rPr>
                <w:rFonts w:eastAsia="Times New Roman"/>
                <w:noProof/>
              </w:rPr>
            </w:pPr>
            <w:r>
              <w:rPr>
                <w:noProof/>
              </w:rPr>
              <w:t xml:space="preserve">- Soutien financier à la reconversion des bâtiments sociaux dégradés </w:t>
            </w:r>
          </w:p>
          <w:p w14:paraId="164BBE47" w14:textId="77777777" w:rsidR="006C686E" w:rsidRDefault="00B17E8C">
            <w:pPr>
              <w:pStyle w:val="P68B1DB1-Normal26"/>
              <w:spacing w:after="0" w:line="240" w:lineRule="auto"/>
              <w:jc w:val="both"/>
              <w:rPr>
                <w:rFonts w:eastAsia="Times New Roman"/>
                <w:noProof/>
              </w:rPr>
            </w:pPr>
            <w:r>
              <w:rPr>
                <w:noProof/>
              </w:rPr>
              <w:t xml:space="preserve">- Rénovation de logements sociaux </w:t>
            </w:r>
          </w:p>
          <w:p w14:paraId="72CF5BC4" w14:textId="24BA9853" w:rsidR="006C686E" w:rsidRDefault="00B17E8C">
            <w:pPr>
              <w:pStyle w:val="P68B1DB1-Normal26"/>
              <w:spacing w:after="0" w:line="240" w:lineRule="auto"/>
              <w:jc w:val="both"/>
              <w:rPr>
                <w:rFonts w:eastAsia="Times New Roman"/>
                <w:noProof/>
              </w:rPr>
            </w:pPr>
            <w:r>
              <w:rPr>
                <w:noProof/>
              </w:rPr>
              <w:t>Les rénovations en matière d’efficacité énergétique permettent, en moyenne, d’atteindre au moins un niveau moyen de rénovation en profondeur tel que défini dans la recommandation (UE) 2019/786 de la Commission sur la rénovation des bâtiments.</w:t>
            </w:r>
          </w:p>
          <w:p w14:paraId="18007454" w14:textId="77777777" w:rsidR="006C686E" w:rsidRDefault="00B17E8C">
            <w:pPr>
              <w:pStyle w:val="P68B1DB1-Normal26"/>
              <w:spacing w:after="0" w:line="240" w:lineRule="auto"/>
              <w:jc w:val="both"/>
              <w:rPr>
                <w:rFonts w:eastAsia="Times New Roman"/>
                <w:noProof/>
              </w:rPr>
            </w:pPr>
            <w:r>
              <w:rPr>
                <w:noProof/>
              </w:rPr>
              <w:t>Le logement concerné a une taille moyenne d'environ 100 mètres carrés.</w:t>
            </w:r>
          </w:p>
        </w:tc>
      </w:tr>
      <w:tr w:rsidR="006C686E" w14:paraId="5EB31C22" w14:textId="77777777" w:rsidTr="00BD2CAE">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F0671A2" w14:textId="77777777" w:rsidR="006C686E" w:rsidRDefault="00B17E8C">
            <w:pPr>
              <w:pStyle w:val="P68B1DB1-Normal25"/>
              <w:spacing w:after="0" w:line="240" w:lineRule="auto"/>
              <w:jc w:val="center"/>
              <w:rPr>
                <w:rFonts w:eastAsia="Times New Roman"/>
                <w:bCs/>
                <w:noProof/>
              </w:rPr>
            </w:pPr>
            <w:r>
              <w:rPr>
                <w:noProof/>
              </w:rPr>
              <w:t>2.17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42376E" w14:textId="77777777" w:rsidR="006C686E" w:rsidRDefault="00B17E8C">
            <w:pPr>
              <w:pStyle w:val="P68B1DB1-Normal26"/>
              <w:spacing w:after="0" w:line="240" w:lineRule="auto"/>
              <w:jc w:val="center"/>
              <w:rPr>
                <w:rFonts w:eastAsia="Times New Roman"/>
                <w:noProof/>
              </w:rPr>
            </w:pPr>
            <w:r>
              <w:rPr>
                <w:noProof/>
              </w:rPr>
              <w:t>RE-C02-i04-RAA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55603C"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59BF81" w14:textId="2F90DCE5" w:rsidR="006C686E" w:rsidRDefault="00B17E8C">
            <w:pPr>
              <w:pStyle w:val="P68B1DB1-Normal26"/>
              <w:spacing w:after="0" w:line="240" w:lineRule="auto"/>
              <w:jc w:val="center"/>
              <w:rPr>
                <w:rFonts w:eastAsia="Times New Roman"/>
                <w:noProof/>
              </w:rPr>
            </w:pPr>
            <w:r>
              <w:rPr>
                <w:noProof/>
              </w:rPr>
              <w:t xml:space="preserve">Construction &amp; bâtiments rénovés dans le parc de logements publics de la région autonome des Açores </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148C4F"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57815F"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0B0F12" w14:textId="77777777" w:rsidR="006C686E" w:rsidRDefault="00B17E8C">
            <w:pPr>
              <w:pStyle w:val="P68B1DB1-Normal26"/>
              <w:spacing w:after="0" w:line="240" w:lineRule="auto"/>
              <w:jc w:val="center"/>
              <w:rPr>
                <w:noProof/>
              </w:rPr>
            </w:pPr>
            <w:r>
              <w:rPr>
                <w:noProof/>
              </w:rPr>
              <w:t>125</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4E2597" w14:textId="77777777" w:rsidR="006C686E" w:rsidRDefault="00B17E8C">
            <w:pPr>
              <w:pStyle w:val="P68B1DB1-Normal15"/>
              <w:spacing w:after="0" w:line="240" w:lineRule="auto"/>
              <w:jc w:val="center"/>
              <w:rPr>
                <w:noProof/>
              </w:rPr>
            </w:pPr>
            <w:r>
              <w:rPr>
                <w:noProof/>
              </w:rPr>
              <w:t>622</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04FC07" w14:textId="77777777" w:rsidR="006C686E" w:rsidRDefault="00B17E8C">
            <w:pPr>
              <w:pStyle w:val="P68B1DB1-Normal26"/>
              <w:spacing w:after="0" w:line="240" w:lineRule="auto"/>
              <w:jc w:val="center"/>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458124" w14:textId="77777777" w:rsidR="006C686E" w:rsidRDefault="00B17E8C">
            <w:pPr>
              <w:pStyle w:val="P68B1DB1-Normal26"/>
              <w:spacing w:after="0" w:line="240" w:lineRule="auto"/>
              <w:jc w:val="center"/>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7831CC" w14:textId="506D974F" w:rsidR="006C686E" w:rsidRDefault="00B17E8C">
            <w:pPr>
              <w:pStyle w:val="P68B1DB1-Normal26"/>
              <w:spacing w:after="0" w:line="240" w:lineRule="auto"/>
              <w:jc w:val="both"/>
              <w:rPr>
                <w:noProof/>
              </w:rPr>
            </w:pPr>
            <w:r>
              <w:rPr>
                <w:noProof/>
              </w:rPr>
              <w:t>Nombre de bâtiments ou d’appartements construits et rénovés pour le parc de logements publics. Les bâtiments neufs ont une demande d’énergie primaire inférieure d’au moins 20 % aux exigences des bâtiments dont la consommation d’énergie est quasi nulle.</w:t>
            </w:r>
          </w:p>
          <w:p w14:paraId="741B3247" w14:textId="77777777" w:rsidR="006C686E" w:rsidRDefault="006C686E">
            <w:pPr>
              <w:spacing w:after="0" w:line="240" w:lineRule="auto"/>
              <w:jc w:val="both"/>
              <w:rPr>
                <w:rFonts w:ascii="Times New Roman" w:hAnsi="Times New Roman" w:cs="Times New Roman"/>
                <w:noProof/>
                <w:sz w:val="16"/>
                <w:szCs w:val="16"/>
              </w:rPr>
            </w:pPr>
          </w:p>
          <w:p w14:paraId="0DF72E2D" w14:textId="5194A713" w:rsidR="006C686E" w:rsidRDefault="00B17E8C">
            <w:pPr>
              <w:pStyle w:val="P68B1DB1-Normal26"/>
              <w:spacing w:after="0" w:line="240" w:lineRule="auto"/>
              <w:jc w:val="both"/>
              <w:rPr>
                <w:noProof/>
              </w:rPr>
            </w:pPr>
            <w:r>
              <w:rPr>
                <w:noProof/>
              </w:rPr>
              <w:t>Les rénovations en matière d’efficacité énergétique permettent, en moyenne, de réaliser 30 % d’économies d’énergie primaire.</w:t>
            </w:r>
          </w:p>
        </w:tc>
      </w:tr>
      <w:tr w:rsidR="006C686E" w14:paraId="33B0EF30" w14:textId="77777777" w:rsidTr="00BD2CAE">
        <w:trPr>
          <w:trHeight w:val="1539"/>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184B2F80" w14:textId="77777777" w:rsidR="006C686E" w:rsidRDefault="00B17E8C">
            <w:pPr>
              <w:pStyle w:val="P68B1DB1-Normal25"/>
              <w:spacing w:after="0" w:line="240" w:lineRule="auto"/>
              <w:jc w:val="center"/>
              <w:rPr>
                <w:rFonts w:eastAsia="Times New Roman"/>
                <w:bCs/>
                <w:noProof/>
              </w:rPr>
            </w:pPr>
            <w:r>
              <w:rPr>
                <w:noProof/>
              </w:rPr>
              <w:t>2.19</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176A119A" w14:textId="77777777" w:rsidR="006C686E" w:rsidRDefault="00B17E8C">
            <w:pPr>
              <w:pStyle w:val="P68B1DB1-Normal26"/>
              <w:spacing w:after="0" w:line="240" w:lineRule="auto"/>
              <w:jc w:val="center"/>
              <w:rPr>
                <w:rFonts w:eastAsia="Times New Roman"/>
                <w:noProof/>
              </w:rPr>
            </w:pPr>
            <w:r>
              <w:rPr>
                <w:noProof/>
              </w:rPr>
              <w:t>RE-C02-r04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5B31FB17" w14:textId="77777777" w:rsidR="006C686E" w:rsidRDefault="00B17E8C">
            <w:pPr>
              <w:pStyle w:val="P68B1DB1-Normal26"/>
              <w:spacing w:after="0" w:line="240" w:lineRule="auto"/>
              <w:jc w:val="center"/>
              <w:rPr>
                <w:rFonts w:eastAsia="Times New Roman"/>
                <w:noProof/>
              </w:rPr>
            </w:pPr>
            <w:r>
              <w:rPr>
                <w:noProof/>
              </w:rPr>
              <w:t>M</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277A7966" w14:textId="77777777" w:rsidR="006C686E" w:rsidRDefault="00B17E8C">
            <w:pPr>
              <w:pStyle w:val="P68B1DB1-Normal26"/>
              <w:spacing w:after="0" w:line="240" w:lineRule="auto"/>
              <w:jc w:val="center"/>
              <w:rPr>
                <w:rFonts w:eastAsia="Times New Roman"/>
                <w:noProof/>
              </w:rPr>
            </w:pPr>
            <w:r>
              <w:rPr>
                <w:noProof/>
              </w:rPr>
              <w:t>Entrée en vigueur du décret-loi portant approbation du cadre juridique du plan national d’urgence et de logement temporaire</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209001F1" w14:textId="77777777" w:rsidR="006C686E" w:rsidRDefault="00B17E8C">
            <w:pPr>
              <w:pStyle w:val="P68B1DB1-Normal26"/>
              <w:spacing w:after="0" w:line="240" w:lineRule="auto"/>
              <w:jc w:val="center"/>
              <w:rPr>
                <w:rFonts w:eastAsia="Times New Roman"/>
                <w:noProof/>
              </w:rPr>
            </w:pPr>
            <w:r>
              <w:rPr>
                <w:noProof/>
              </w:rPr>
              <w:t>Entrée en vigueur du décret-loi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FA743C1"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5EDF2EB5"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330FCFAA"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09E748B" w14:textId="77777777" w:rsidR="006C686E" w:rsidRDefault="00B17E8C">
            <w:pPr>
              <w:pStyle w:val="P68B1DB1-Normal26"/>
              <w:spacing w:after="0" w:line="240" w:lineRule="auto"/>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tcPr>
          <w:p w14:paraId="59E9AC6C" w14:textId="77777777" w:rsidR="006C686E" w:rsidRDefault="00B17E8C">
            <w:pPr>
              <w:pStyle w:val="P68B1DB1-Normal26"/>
              <w:spacing w:after="0" w:line="240" w:lineRule="auto"/>
              <w:rPr>
                <w:rFonts w:eastAsia="Times New Roman"/>
                <w:noProof/>
              </w:rPr>
            </w:pPr>
            <w:r>
              <w:rPr>
                <w:noProof/>
              </w:rPr>
              <w:t>2021</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tcPr>
          <w:p w14:paraId="7488805A" w14:textId="77777777" w:rsidR="006C686E" w:rsidRDefault="00B17E8C">
            <w:pPr>
              <w:pStyle w:val="P68B1DB1-Normal26"/>
              <w:spacing w:after="0" w:line="240" w:lineRule="auto"/>
              <w:jc w:val="both"/>
              <w:rPr>
                <w:rFonts w:eastAsia="Times New Roman"/>
                <w:noProof/>
              </w:rPr>
            </w:pPr>
            <w:r>
              <w:rPr>
                <w:noProof/>
              </w:rPr>
              <w:t>Le décret-loi définit la structure du plan et du parc immobilier, notamment en ce qui concerne les bénéficiaires éligibles, les solutions de logement et le modèle de financement. Parallèlement au cadre juridique, le Plan national du logement est présenté et approuvé par le Gouvernement, qui intègre la planification stratégique des solutions de logement à promouvoir et le soutien nécessaire à cet effet, en fonction des besoins et des spécificités locales et de la cohésion socioterritoriale.</w:t>
            </w:r>
          </w:p>
        </w:tc>
      </w:tr>
      <w:tr w:rsidR="006C686E" w14:paraId="02F049C2" w14:textId="77777777" w:rsidTr="00BD2CAE">
        <w:trPr>
          <w:trHeight w:val="697"/>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25D4CCE5" w14:textId="77777777" w:rsidR="006C686E" w:rsidRDefault="00B17E8C">
            <w:pPr>
              <w:pStyle w:val="P68B1DB1-Normal25"/>
              <w:spacing w:after="0" w:line="240" w:lineRule="auto"/>
              <w:jc w:val="center"/>
              <w:rPr>
                <w:rFonts w:eastAsia="Times New Roman"/>
                <w:bCs/>
                <w:noProof/>
              </w:rPr>
            </w:pPr>
            <w:r>
              <w:rPr>
                <w:noProof/>
              </w:rPr>
              <w:t>2.30</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6FC53977" w14:textId="77777777" w:rsidR="006C686E" w:rsidRDefault="00B17E8C">
            <w:pPr>
              <w:pStyle w:val="P68B1DB1-Normal26"/>
              <w:spacing w:after="0" w:line="240" w:lineRule="auto"/>
              <w:jc w:val="center"/>
              <w:rPr>
                <w:rFonts w:eastAsia="Times New Roman"/>
                <w:noProof/>
              </w:rPr>
            </w:pPr>
            <w:r>
              <w:rPr>
                <w:noProof/>
              </w:rPr>
              <w:t>RE-C02-i07-RAA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C3A86FC" w14:textId="77777777" w:rsidR="006C686E" w:rsidRDefault="00B17E8C">
            <w:pPr>
              <w:pStyle w:val="P68B1DB1-Normal26"/>
              <w:spacing w:after="0" w:line="240" w:lineRule="auto"/>
              <w:jc w:val="center"/>
              <w:rPr>
                <w:rFonts w:eastAsia="Times New Roman"/>
                <w:noProof/>
              </w:rPr>
            </w:pPr>
            <w:r>
              <w:rPr>
                <w:noProof/>
              </w:rPr>
              <w:t>T</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6C595C05" w14:textId="25725E1A" w:rsidR="006C686E" w:rsidRDefault="00B17E8C">
            <w:pPr>
              <w:pStyle w:val="P68B1DB1-Normal26"/>
              <w:spacing w:after="0" w:line="240" w:lineRule="auto"/>
              <w:jc w:val="center"/>
              <w:rPr>
                <w:rFonts w:eastAsia="Times New Roman"/>
                <w:noProof/>
              </w:rPr>
            </w:pPr>
            <w:r>
              <w:rPr>
                <w:noProof/>
              </w:rPr>
              <w:t>Parcelles de terres attribuées</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3B2C0A00" w14:textId="254D24DD" w:rsidR="006C686E" w:rsidRDefault="006C686E">
            <w:pPr>
              <w:spacing w:after="0" w:line="240" w:lineRule="auto"/>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3888847" w14:textId="77777777" w:rsidR="006C686E" w:rsidRDefault="00B17E8C">
            <w:pPr>
              <w:pStyle w:val="P68B1DB1-Normal26"/>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47E0E34F" w14:textId="77777777" w:rsidR="006C686E" w:rsidRDefault="00B17E8C">
            <w:pPr>
              <w:pStyle w:val="P68B1DB1-Normal26"/>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197D2D89" w14:textId="77777777" w:rsidR="006C686E" w:rsidRDefault="00B17E8C">
            <w:pPr>
              <w:pStyle w:val="P68B1DB1-Normal26"/>
              <w:spacing w:after="0" w:line="240" w:lineRule="auto"/>
              <w:jc w:val="center"/>
              <w:rPr>
                <w:rFonts w:eastAsia="Times New Roman"/>
                <w:noProof/>
              </w:rPr>
            </w:pPr>
            <w:r>
              <w:rPr>
                <w:noProof/>
              </w:rPr>
              <w:t>145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7248A075" w14:textId="77777777" w:rsidR="006C686E" w:rsidRDefault="00B17E8C">
            <w:pPr>
              <w:pStyle w:val="P68B1DB1-Normal26"/>
              <w:spacing w:after="0" w:line="240" w:lineRule="auto"/>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tcPr>
          <w:p w14:paraId="6740917A" w14:textId="77777777" w:rsidR="006C686E" w:rsidRDefault="00B17E8C">
            <w:pPr>
              <w:pStyle w:val="P68B1DB1-Normal26"/>
              <w:spacing w:after="0" w:line="240" w:lineRule="auto"/>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tcPr>
          <w:p w14:paraId="3319E198" w14:textId="7347AFA8" w:rsidR="006C686E" w:rsidRDefault="00B17E8C">
            <w:pPr>
              <w:pStyle w:val="P68B1DB1-Normal27"/>
              <w:spacing w:after="0" w:line="240" w:lineRule="auto"/>
              <w:jc w:val="both"/>
              <w:rPr>
                <w:rFonts w:ascii="Times New Roman" w:eastAsia="Times New Roman" w:hAnsi="Times New Roman" w:cs="Times New Roman"/>
                <w:noProof/>
              </w:rPr>
            </w:pPr>
            <w:r>
              <w:rPr>
                <w:rFonts w:ascii="Times New Roman" w:hAnsi="Times New Roman" w:cs="Times New Roman"/>
                <w:noProof/>
              </w:rPr>
              <w:t>Parcelles de terres attribuées par l’administration de la région autonome des Açores</w:t>
            </w:r>
            <w:r>
              <w:rPr>
                <w:rFonts w:ascii="Times New Roman" w:eastAsia="Times New Roman" w:hAnsi="Times New Roman" w:cs="Times New Roman"/>
                <w:noProof/>
                <w:color w:val="004377"/>
                <w:u w:val="single"/>
              </w:rPr>
              <w:t xml:space="preserve"> </w:t>
            </w:r>
          </w:p>
        </w:tc>
      </w:tr>
    </w:tbl>
    <w:p w14:paraId="574A3A2B" w14:textId="77777777" w:rsidR="006C686E" w:rsidRDefault="006C686E">
      <w:pPr>
        <w:spacing w:before="40" w:after="0" w:line="259" w:lineRule="auto"/>
        <w:jc w:val="both"/>
        <w:rPr>
          <w:rFonts w:ascii="Times New Roman" w:eastAsiaTheme="minorEastAsia" w:hAnsi="Times New Roman" w:cs="Times New Roman"/>
          <w:b/>
          <w:bCs/>
          <w:noProof/>
        </w:rPr>
        <w:sectPr w:rsidR="006C686E" w:rsidSect="00C95E00">
          <w:headerReference w:type="even" r:id="rId52"/>
          <w:headerReference w:type="default" r:id="rId53"/>
          <w:footerReference w:type="even" r:id="rId54"/>
          <w:footerReference w:type="default" r:id="rId55"/>
          <w:headerReference w:type="first" r:id="rId56"/>
          <w:footerReference w:type="first" r:id="rId57"/>
          <w:pgSz w:w="16839" w:h="11907" w:orient="landscape"/>
          <w:pgMar w:top="1134" w:right="1418" w:bottom="1134" w:left="1418" w:header="567" w:footer="567" w:gutter="0"/>
          <w:cols w:space="720"/>
          <w:docGrid w:linePitch="360"/>
        </w:sectPr>
      </w:pPr>
    </w:p>
    <w:p w14:paraId="55A66148" w14:textId="77777777" w:rsidR="006C686E" w:rsidRDefault="00B17E8C">
      <w:pPr>
        <w:pStyle w:val="P68B1DB1-Normal18"/>
        <w:spacing w:before="40" w:after="0" w:line="259" w:lineRule="auto"/>
        <w:ind w:left="130" w:firstLine="720"/>
        <w:jc w:val="both"/>
        <w:outlineLvl w:val="2"/>
        <w:rPr>
          <w:rFonts w:eastAsiaTheme="minorEastAsia" w:cs="Times New Roman"/>
          <w:bCs/>
          <w:noProof/>
        </w:rPr>
      </w:pPr>
      <w:r>
        <w:rPr>
          <w:noProof/>
        </w:rPr>
        <w:t>B.3. Description des réformes et des investissements pour le prêt</w:t>
      </w:r>
    </w:p>
    <w:p w14:paraId="6AEEF9F2" w14:textId="240664FF" w:rsidR="006C686E" w:rsidRDefault="00B17E8C">
      <w:pPr>
        <w:pStyle w:val="P68B1DB1-Normal21"/>
        <w:spacing w:before="240" w:after="0" w:line="259" w:lineRule="auto"/>
        <w:ind w:left="851"/>
        <w:jc w:val="both"/>
        <w:outlineLvl w:val="3"/>
        <w:rPr>
          <w:rFonts w:eastAsiaTheme="minorEastAsia" w:cs="Times New Roman"/>
          <w:b/>
          <w:bCs/>
          <w:noProof/>
        </w:rPr>
      </w:pPr>
      <w:r>
        <w:rPr>
          <w:noProof/>
        </w:rPr>
        <w:t xml:space="preserve">Investissement RE-C02-i05: Logement abordable et social </w:t>
      </w:r>
    </w:p>
    <w:p w14:paraId="6CF79D3E" w14:textId="77777777" w:rsidR="006C686E" w:rsidRDefault="00B17E8C">
      <w:pPr>
        <w:pStyle w:val="P68B1DB1-Normal22"/>
        <w:keepNext/>
        <w:spacing w:before="40" w:after="0" w:line="259" w:lineRule="auto"/>
        <w:jc w:val="both"/>
        <w:rPr>
          <w:rFonts w:eastAsia="Times New Roman" w:cs="Times New Roman"/>
          <w:noProof/>
        </w:rPr>
      </w:pPr>
      <w:r>
        <w:rPr>
          <w:noProof/>
        </w:rPr>
        <w:t xml:space="preserve">L'objectif de l'investissement est de fournir des logements à des prix abordables. </w:t>
      </w:r>
    </w:p>
    <w:p w14:paraId="725835C0" w14:textId="775B5E49" w:rsidR="006C686E" w:rsidRDefault="00B17E8C">
      <w:pPr>
        <w:pStyle w:val="P68B1DB1-Normal22"/>
        <w:keepNext/>
        <w:spacing w:before="40" w:after="0" w:line="259" w:lineRule="auto"/>
        <w:jc w:val="both"/>
        <w:rPr>
          <w:noProof/>
        </w:rPr>
      </w:pPr>
      <w:r>
        <w:rPr>
          <w:noProof/>
        </w:rPr>
        <w:t>L'investissement consiste en la construction ou la rénovation de logements, pour fournir des logements abordables, ainsi que des interventions dans le cadre du programme de logement 1.º Direito ou des logements contractés par l'Instituto da Habitação e da Reabilitação Urbana (IHRU).</w:t>
      </w:r>
    </w:p>
    <w:p w14:paraId="3D130C0C"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Investissement RE-C02-i06: Logement étudiant à des prix abordables</w:t>
      </w:r>
    </w:p>
    <w:p w14:paraId="1EC20798"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L'objectif de cet investissement est d'accroître l'offre nationale de logements étudiants abordables. </w:t>
      </w:r>
    </w:p>
    <w:p w14:paraId="14AA26E4" w14:textId="681F8690" w:rsidR="006C686E" w:rsidRDefault="00B17E8C">
      <w:pPr>
        <w:pStyle w:val="P68B1DB1-Normal22"/>
        <w:keepNext/>
        <w:spacing w:before="40" w:after="0" w:line="259" w:lineRule="auto"/>
        <w:jc w:val="both"/>
        <w:rPr>
          <w:rFonts w:eastAsia="Times New Roman" w:cs="Times New Roman"/>
          <w:noProof/>
        </w:rPr>
      </w:pPr>
      <w:r>
        <w:rPr>
          <w:noProof/>
        </w:rPr>
        <w:t>L'investissement consiste en la construction et la rénovation de logements étudiants.</w:t>
      </w:r>
    </w:p>
    <w:p w14:paraId="5EA2B60B" w14:textId="77777777" w:rsidR="006C686E" w:rsidRDefault="006C686E">
      <w:pPr>
        <w:spacing w:before="40" w:after="0" w:line="259" w:lineRule="auto"/>
        <w:ind w:left="130" w:firstLine="720"/>
        <w:jc w:val="both"/>
        <w:outlineLvl w:val="2"/>
        <w:rPr>
          <w:rFonts w:ascii="Times New Roman" w:eastAsiaTheme="minorEastAsia" w:hAnsi="Times New Roman" w:cs="Times New Roman"/>
          <w:b/>
          <w:bCs/>
          <w:noProof/>
          <w:u w:val="single"/>
        </w:rPr>
        <w:sectPr w:rsidR="006C686E" w:rsidSect="00C95E00">
          <w:headerReference w:type="even" r:id="rId58"/>
          <w:headerReference w:type="default" r:id="rId59"/>
          <w:footerReference w:type="even" r:id="rId60"/>
          <w:footerReference w:type="default" r:id="rId61"/>
          <w:headerReference w:type="first" r:id="rId62"/>
          <w:footerReference w:type="first" r:id="rId63"/>
          <w:pgSz w:w="11907" w:h="16839"/>
          <w:pgMar w:top="1134" w:right="1418" w:bottom="1134" w:left="1418" w:header="567" w:footer="567" w:gutter="0"/>
          <w:cols w:space="720"/>
          <w:docGrid w:linePitch="360"/>
        </w:sectPr>
      </w:pPr>
    </w:p>
    <w:p w14:paraId="232EAD33" w14:textId="77777777" w:rsidR="006C686E" w:rsidRDefault="00B17E8C">
      <w:pPr>
        <w:pStyle w:val="P68B1DB1-Normal18"/>
        <w:spacing w:before="40" w:after="0" w:line="259" w:lineRule="auto"/>
        <w:ind w:left="130" w:firstLine="12"/>
        <w:jc w:val="center"/>
        <w:outlineLvl w:val="2"/>
        <w:rPr>
          <w:rFonts w:eastAsiaTheme="minorEastAsia" w:cs="Times New Roman"/>
          <w:bCs/>
          <w:noProof/>
        </w:rPr>
      </w:pPr>
      <w:r>
        <w:rPr>
          <w:noProof/>
        </w:rPr>
        <w:t xml:space="preserve">B.4. </w:t>
      </w:r>
      <w:r>
        <w:rPr>
          <w:noProof/>
        </w:rPr>
        <w:tab/>
        <w:t>Étapes, objectifs, indicateurs et calendrier du suivi et de la mise en œuvre du prêt</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392"/>
        <w:gridCol w:w="1119"/>
        <w:gridCol w:w="1316"/>
        <w:gridCol w:w="1619"/>
        <w:gridCol w:w="981"/>
        <w:gridCol w:w="980"/>
        <w:gridCol w:w="956"/>
        <w:gridCol w:w="567"/>
        <w:gridCol w:w="709"/>
        <w:gridCol w:w="4252"/>
      </w:tblGrid>
      <w:tr w:rsidR="006C686E" w14:paraId="014A8353" w14:textId="77777777" w:rsidTr="00BD2CAE">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F02437C"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4E3BA59"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F70BB0E" w14:textId="77777777" w:rsidR="006C686E" w:rsidRDefault="00B17E8C">
            <w:pPr>
              <w:pStyle w:val="P68B1DB1-Normal24"/>
              <w:spacing w:after="0" w:line="240" w:lineRule="auto"/>
              <w:jc w:val="center"/>
              <w:rPr>
                <w:rFonts w:eastAsia="Times New Roman"/>
                <w:bCs/>
                <w:noProof/>
              </w:rPr>
            </w:pPr>
            <w:r>
              <w:rPr>
                <w:noProof/>
              </w:rPr>
              <w:t>Étape/</w:t>
            </w:r>
          </w:p>
          <w:p w14:paraId="42C4CFF1" w14:textId="77777777" w:rsidR="006C686E" w:rsidRDefault="00B17E8C">
            <w:pPr>
              <w:pStyle w:val="P68B1DB1-Normal24"/>
              <w:spacing w:after="0" w:line="240" w:lineRule="auto"/>
              <w:jc w:val="center"/>
              <w:rPr>
                <w:rFonts w:eastAsia="Times New Roman"/>
                <w:bCs/>
                <w:noProof/>
              </w:rPr>
            </w:pPr>
            <w:r>
              <w:rPr>
                <w:noProof/>
              </w:rPr>
              <w:t>Objectif</w:t>
            </w:r>
          </w:p>
        </w:tc>
        <w:tc>
          <w:tcPr>
            <w:tcW w:w="131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36A31D0" w14:textId="77777777" w:rsidR="006C686E" w:rsidRDefault="00B17E8C">
            <w:pPr>
              <w:pStyle w:val="P68B1DB1-Normal24"/>
              <w:spacing w:after="0" w:line="240" w:lineRule="auto"/>
              <w:jc w:val="center"/>
              <w:rPr>
                <w:rFonts w:eastAsia="Times New Roman"/>
                <w:bCs/>
                <w:noProof/>
              </w:rPr>
            </w:pPr>
            <w:r>
              <w:rPr>
                <w:noProof/>
              </w:rPr>
              <w:t>Nom</w:t>
            </w:r>
          </w:p>
        </w:tc>
        <w:tc>
          <w:tcPr>
            <w:tcW w:w="16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C05A332"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291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F529C91"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F4D33A1"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FC26FDF"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16ABC66E" w14:textId="77777777" w:rsidTr="00BD2CAE">
        <w:trPr>
          <w:trHeight w:val="470"/>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29CBB4E" w14:textId="77777777" w:rsidR="006C686E" w:rsidRDefault="006C686E">
            <w:pPr>
              <w:spacing w:after="0" w:line="240" w:lineRule="auto"/>
              <w:rPr>
                <w:rFonts w:ascii="Times New Roman" w:eastAsia="Times New Roman" w:hAnsi="Times New Roman" w:cs="Times New Roman"/>
                <w:b/>
                <w:bCs/>
                <w:noProof/>
                <w:sz w:val="18"/>
                <w:szCs w:val="18"/>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14:paraId="71CA62FF" w14:textId="77777777" w:rsidR="006C686E" w:rsidRDefault="006C686E">
            <w:pPr>
              <w:spacing w:after="0" w:line="240" w:lineRule="auto"/>
              <w:rPr>
                <w:rFonts w:ascii="Times New Roman" w:eastAsia="Times New Roman" w:hAnsi="Times New Roman" w:cs="Times New Roman"/>
                <w:b/>
                <w:bCs/>
                <w:noProof/>
                <w:sz w:val="18"/>
                <w:szCs w:val="18"/>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14:paraId="7C44B6CC"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1316" w:type="dxa"/>
            <w:vMerge/>
            <w:tcBorders>
              <w:top w:val="single" w:sz="4" w:space="0" w:color="auto"/>
              <w:left w:val="single" w:sz="4" w:space="0" w:color="auto"/>
              <w:bottom w:val="single" w:sz="4" w:space="0" w:color="auto"/>
              <w:right w:val="single" w:sz="4" w:space="0" w:color="auto"/>
            </w:tcBorders>
            <w:vAlign w:val="center"/>
            <w:hideMark/>
          </w:tcPr>
          <w:p w14:paraId="7325B6C1" w14:textId="77777777" w:rsidR="006C686E" w:rsidRDefault="006C686E">
            <w:pPr>
              <w:spacing w:after="0" w:line="240" w:lineRule="auto"/>
              <w:rPr>
                <w:rFonts w:ascii="Times New Roman" w:eastAsia="Times New Roman" w:hAnsi="Times New Roman" w:cs="Times New Roman"/>
                <w:b/>
                <w:bCs/>
                <w:noProof/>
                <w:sz w:val="18"/>
                <w:szCs w:val="18"/>
              </w:rPr>
            </w:pPr>
          </w:p>
        </w:tc>
        <w:tc>
          <w:tcPr>
            <w:tcW w:w="1619" w:type="dxa"/>
            <w:vMerge/>
            <w:tcBorders>
              <w:top w:val="single" w:sz="4" w:space="0" w:color="auto"/>
              <w:left w:val="single" w:sz="4" w:space="0" w:color="auto"/>
              <w:bottom w:val="single" w:sz="4" w:space="0" w:color="auto"/>
              <w:right w:val="single" w:sz="4" w:space="0" w:color="auto"/>
            </w:tcBorders>
            <w:vAlign w:val="center"/>
            <w:hideMark/>
          </w:tcPr>
          <w:p w14:paraId="08E0F3B1" w14:textId="77777777" w:rsidR="006C686E" w:rsidRDefault="006C686E">
            <w:pPr>
              <w:spacing w:after="0" w:line="240" w:lineRule="auto"/>
              <w:rPr>
                <w:rFonts w:ascii="Times New Roman" w:eastAsia="Times New Roman" w:hAnsi="Times New Roman" w:cs="Times New Roman"/>
                <w:b/>
                <w:bCs/>
                <w:noProof/>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8F17E3B" w14:textId="77777777" w:rsidR="006C686E" w:rsidRDefault="00B17E8C">
            <w:pPr>
              <w:pStyle w:val="P68B1DB1-Normal24"/>
              <w:spacing w:after="0" w:line="240" w:lineRule="auto"/>
              <w:jc w:val="center"/>
              <w:rPr>
                <w:rFonts w:eastAsia="Times New Roman"/>
                <w:bCs/>
                <w:noProof/>
              </w:rPr>
            </w:pPr>
            <w:r>
              <w:rPr>
                <w:noProof/>
              </w:rPr>
              <w:t>Unité de mesure</w:t>
            </w:r>
          </w:p>
        </w:tc>
        <w:tc>
          <w:tcPr>
            <w:tcW w:w="9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384685D"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95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9A483D7" w14:textId="77777777" w:rsidR="006C686E" w:rsidRDefault="00B17E8C">
            <w:pPr>
              <w:pStyle w:val="P68B1DB1-Normal24"/>
              <w:spacing w:after="0" w:line="240" w:lineRule="auto"/>
              <w:jc w:val="center"/>
              <w:rPr>
                <w:rFonts w:eastAsia="Times New Roman"/>
                <w:bCs/>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629098" w14:textId="77777777" w:rsidR="006C686E" w:rsidRDefault="00B17E8C">
            <w:pPr>
              <w:pStyle w:val="P68B1DB1-Normal24"/>
              <w:spacing w:after="0" w:line="240" w:lineRule="auto"/>
              <w:jc w:val="center"/>
              <w:rPr>
                <w:rFonts w:eastAsia="Times New Roman"/>
                <w:bCs/>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B51E79F" w14:textId="77777777" w:rsidR="006C686E" w:rsidRDefault="00B17E8C">
            <w:pPr>
              <w:pStyle w:val="P68B1DB1-Normal24"/>
              <w:spacing w:after="0" w:line="240" w:lineRule="auto"/>
              <w:jc w:val="center"/>
              <w:rPr>
                <w:rFonts w:eastAsia="Times New Roman"/>
                <w:bCs/>
                <w:noProof/>
              </w:rPr>
            </w:pPr>
            <w:r>
              <w:rPr>
                <w:noProof/>
              </w:rPr>
              <w:t>Année</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602F6E6A"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08439E10" w14:textId="77777777" w:rsidTr="00BD2CAE">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E82F58" w14:textId="77777777" w:rsidR="006C686E" w:rsidRDefault="00B17E8C">
            <w:pPr>
              <w:pStyle w:val="P68B1DB1-Normal25"/>
              <w:spacing w:after="0" w:line="240" w:lineRule="auto"/>
              <w:jc w:val="center"/>
              <w:rPr>
                <w:rFonts w:eastAsia="Times New Roman"/>
                <w:bCs/>
                <w:noProof/>
              </w:rPr>
            </w:pPr>
            <w:r>
              <w:rPr>
                <w:noProof/>
              </w:rPr>
              <w:t>2.20</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6D2474" w14:textId="77777777" w:rsidR="006C686E" w:rsidRDefault="00B17E8C">
            <w:pPr>
              <w:pStyle w:val="P68B1DB1-Normal26"/>
              <w:spacing w:after="0" w:line="240" w:lineRule="auto"/>
              <w:jc w:val="center"/>
              <w:rPr>
                <w:rFonts w:eastAsia="Times New Roman"/>
                <w:noProof/>
              </w:rPr>
            </w:pPr>
            <w:r>
              <w:rPr>
                <w:noProof/>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1C35AF" w14:textId="77777777" w:rsidR="006C686E" w:rsidRDefault="00B17E8C">
            <w:pPr>
              <w:pStyle w:val="P68B1DB1-Normal26"/>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442F3F" w14:textId="77777777" w:rsidR="006C686E" w:rsidRDefault="00B17E8C">
            <w:pPr>
              <w:pStyle w:val="P68B1DB1-Normal26"/>
              <w:spacing w:after="0" w:line="240" w:lineRule="auto"/>
              <w:jc w:val="center"/>
              <w:rPr>
                <w:rFonts w:eastAsia="Times New Roman"/>
                <w:noProof/>
              </w:rPr>
            </w:pPr>
            <w:r>
              <w:rPr>
                <w:noProof/>
              </w:rPr>
              <w:t>Stock de logements sociaux abordables - Logements avec travaux commencés (construits avec une efficacité énergétique élevée ou réhabilités avec une performance énergétique améliorée)</w:t>
            </w:r>
          </w:p>
        </w:tc>
        <w:tc>
          <w:tcPr>
            <w:tcW w:w="16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D57854" w14:textId="77777777" w:rsidR="006C686E" w:rsidRDefault="00B17E8C">
            <w:pPr>
              <w:pStyle w:val="P68B1DB1-Normal26"/>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75EC7B" w14:textId="77777777" w:rsidR="006C686E" w:rsidRDefault="00B17E8C">
            <w:pPr>
              <w:pStyle w:val="P68B1DB1-Normal26"/>
              <w:spacing w:after="0" w:line="240" w:lineRule="auto"/>
              <w:jc w:val="center"/>
              <w:rPr>
                <w:rFonts w:eastAsia="Times New Roman"/>
                <w:noProof/>
              </w:rPr>
            </w:pPr>
            <w:r>
              <w:rPr>
                <w:noProof/>
              </w:rPr>
              <w:t xml:space="preserve">Numéro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FE0CD7" w14:textId="77777777" w:rsidR="006C686E" w:rsidRDefault="00B17E8C">
            <w:pPr>
              <w:pStyle w:val="P68B1DB1-Normal26"/>
              <w:spacing w:after="0" w:line="240" w:lineRule="auto"/>
              <w:jc w:val="center"/>
              <w:rPr>
                <w:rFonts w:eastAsia="Times New Roman"/>
                <w:noProof/>
              </w:rPr>
            </w:pPr>
            <w:r>
              <w:rPr>
                <w:noProof/>
              </w:rPr>
              <w:t>0</w:t>
            </w:r>
          </w:p>
        </w:tc>
        <w:tc>
          <w:tcPr>
            <w:tcW w:w="9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3F6BFF" w14:textId="77777777" w:rsidR="006C686E" w:rsidRDefault="00B17E8C">
            <w:pPr>
              <w:pStyle w:val="P68B1DB1-Normal26"/>
              <w:spacing w:after="0" w:line="240" w:lineRule="auto"/>
              <w:jc w:val="center"/>
              <w:rPr>
                <w:rFonts w:eastAsia="Times New Roman"/>
                <w:noProof/>
              </w:rPr>
            </w:pPr>
            <w:r>
              <w:rPr>
                <w:noProof/>
              </w:rPr>
              <w:t>520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1EF1F4" w14:textId="77777777" w:rsidR="006C686E" w:rsidRDefault="00B17E8C">
            <w:pPr>
              <w:pStyle w:val="P68B1DB1-Normal26"/>
              <w:spacing w:after="0" w:line="240" w:lineRule="auto"/>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34C8BA" w14:textId="77777777" w:rsidR="006C686E" w:rsidRDefault="00B17E8C">
            <w:pPr>
              <w:pStyle w:val="P68B1DB1-Normal26"/>
              <w:spacing w:after="0" w:line="240" w:lineRule="auto"/>
              <w:jc w:val="center"/>
              <w:rPr>
                <w:rFonts w:eastAsia="Times New Roman"/>
                <w:noProof/>
              </w:rPr>
            </w:pPr>
            <w:r>
              <w:rPr>
                <w:noProof/>
              </w:rPr>
              <w:t>2022</w:t>
            </w:r>
          </w:p>
        </w:tc>
        <w:tc>
          <w:tcPr>
            <w:tcW w:w="425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054C0F" w14:textId="77777777" w:rsidR="006C686E" w:rsidRDefault="00B17E8C">
            <w:pPr>
              <w:pStyle w:val="P68B1DB1-Normal26"/>
              <w:spacing w:after="0" w:line="240" w:lineRule="auto"/>
              <w:jc w:val="both"/>
              <w:rPr>
                <w:rFonts w:eastAsia="Times New Roman"/>
                <w:noProof/>
              </w:rPr>
            </w:pPr>
            <w:r>
              <w:rPr>
                <w:noProof/>
              </w:rPr>
              <w:t>Nombre de logements pour lesquels les travaux commencent à la suite de la procédure d’appel d’offres et de la signature d’un contrat. Lorsqu’il s’agit de nouvelles constructions, les bâtiments neufs ont une demande d’énergie primaire inférieure d’au moins 20 % aux exigences des bâtiments dont la consommation d’énergie est quasi nulle.</w:t>
            </w:r>
          </w:p>
        </w:tc>
      </w:tr>
      <w:tr w:rsidR="006C686E" w14:paraId="2403F560" w14:textId="77777777" w:rsidTr="00BD2CAE">
        <w:trPr>
          <w:trHeight w:val="105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1391A6" w14:textId="77777777" w:rsidR="006C686E" w:rsidRDefault="00B17E8C">
            <w:pPr>
              <w:pStyle w:val="P68B1DB1-Normal25"/>
              <w:spacing w:after="0" w:line="240" w:lineRule="auto"/>
              <w:jc w:val="center"/>
              <w:rPr>
                <w:rFonts w:eastAsia="Times New Roman"/>
                <w:bCs/>
                <w:noProof/>
              </w:rPr>
            </w:pPr>
            <w:r>
              <w:rPr>
                <w:noProof/>
              </w:rPr>
              <w:t>2.24</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C74BDE" w14:textId="77777777" w:rsidR="006C686E" w:rsidRDefault="00B17E8C">
            <w:pPr>
              <w:pStyle w:val="P68B1DB1-Normal26"/>
              <w:spacing w:after="0" w:line="240" w:lineRule="auto"/>
              <w:jc w:val="center"/>
              <w:rPr>
                <w:rFonts w:eastAsia="Times New Roman"/>
                <w:noProof/>
              </w:rPr>
            </w:pPr>
            <w:r>
              <w:rPr>
                <w:noProof/>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B67730" w14:textId="29CB3D33" w:rsidR="006C686E" w:rsidRDefault="00B17E8C">
            <w:pPr>
              <w:pStyle w:val="P68B1DB1-Normal26"/>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0749DF" w14:textId="74F78891" w:rsidR="006C686E" w:rsidRDefault="00B17E8C">
            <w:pPr>
              <w:pStyle w:val="P68B1DB1-Normal26"/>
              <w:spacing w:after="0" w:line="240" w:lineRule="auto"/>
              <w:jc w:val="center"/>
              <w:rPr>
                <w:rFonts w:eastAsia="Times New Roman"/>
                <w:noProof/>
              </w:rPr>
            </w:pPr>
            <w:bookmarkStart w:id="5" w:name="_Hlk213688573"/>
            <w:r>
              <w:rPr>
                <w:noProof/>
              </w:rPr>
              <w:t>Logement abordable et social</w:t>
            </w:r>
            <w:bookmarkEnd w:id="5"/>
          </w:p>
        </w:tc>
        <w:tc>
          <w:tcPr>
            <w:tcW w:w="16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A9DD43" w14:textId="0DFA380F" w:rsidR="006C686E" w:rsidRDefault="00B17E8C">
            <w:pPr>
              <w:pStyle w:val="P68B1DB1-Normal26"/>
              <w:spacing w:after="0" w:line="240" w:lineRule="auto"/>
              <w:jc w:val="center"/>
              <w:rPr>
                <w:rFonts w:eastAsia="Times New Roman"/>
                <w:noProof/>
              </w:rPr>
            </w:pPr>
            <w:r>
              <w:rPr>
                <w:noProof/>
              </w:rPr>
              <w:t xml:space="preserve">Construction ou rénovation, achat ou exécution financière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9A005E" w14:textId="281E7ADF" w:rsidR="006C686E" w:rsidRDefault="006C686E">
            <w:pPr>
              <w:spacing w:after="0" w:line="240" w:lineRule="auto"/>
              <w:jc w:val="center"/>
              <w:rPr>
                <w:rFonts w:ascii="Times New Roman" w:eastAsia="Times New Roman" w:hAnsi="Times New Roman" w:cs="Times New Roman"/>
                <w:noProof/>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0D1CB9" w14:textId="345C7463" w:rsidR="006C686E" w:rsidRDefault="006C686E">
            <w:pPr>
              <w:spacing w:after="0" w:line="240" w:lineRule="auto"/>
              <w:jc w:val="center"/>
              <w:rPr>
                <w:rFonts w:ascii="Times New Roman" w:hAnsi="Times New Roman" w:cs="Times New Roman"/>
                <w:noProof/>
                <w:sz w:val="16"/>
                <w:szCs w:val="16"/>
              </w:rPr>
            </w:pPr>
          </w:p>
        </w:tc>
        <w:tc>
          <w:tcPr>
            <w:tcW w:w="9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13A160" w14:textId="6FDA2EEF" w:rsidR="006C686E" w:rsidRDefault="006C686E">
            <w:pPr>
              <w:spacing w:after="0" w:line="240" w:lineRule="auto"/>
              <w:jc w:val="center"/>
              <w:rPr>
                <w:rFonts w:ascii="Times New Roman" w:eastAsia="Calibri"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22B43E" w14:textId="77777777" w:rsidR="006C686E" w:rsidRDefault="00B17E8C">
            <w:pPr>
              <w:pStyle w:val="P68B1DB1-Normal26"/>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699C99" w14:textId="77777777" w:rsidR="006C686E" w:rsidRDefault="00B17E8C">
            <w:pPr>
              <w:pStyle w:val="P68B1DB1-Normal26"/>
              <w:spacing w:after="0" w:line="240" w:lineRule="auto"/>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A9468A" w14:textId="174B8CFB" w:rsidR="006C686E" w:rsidRDefault="00B17E8C">
            <w:pPr>
              <w:pStyle w:val="P68B1DB1-Normal27"/>
              <w:spacing w:after="0" w:line="240" w:lineRule="auto"/>
              <w:jc w:val="both"/>
              <w:rPr>
                <w:rFonts w:ascii="Times New Roman" w:hAnsi="Times New Roman" w:cs="Times New Roman"/>
                <w:noProof/>
              </w:rPr>
            </w:pPr>
            <w:r>
              <w:rPr>
                <w:rFonts w:ascii="Times New Roman" w:hAnsi="Times New Roman" w:cs="Times New Roman"/>
                <w:noProof/>
              </w:rPr>
              <w:t>Au moins 5 199 logements construits, rénovés ou achetés. En outre, confirmation par une entité tierce chargée de l’inspection qu’au moins</w:t>
            </w:r>
            <w:r>
              <w:rPr>
                <w:rFonts w:ascii="Times New Roman" w:eastAsia="Calibri" w:hAnsi="Times New Roman" w:cs="Times New Roman"/>
                <w:noProof/>
                <w:kern w:val="0"/>
                <w14:ligatures w14:val="none"/>
              </w:rPr>
              <w:t> </w:t>
            </w:r>
            <w:r>
              <w:rPr>
                <w:rFonts w:ascii="Times New Roman" w:hAnsi="Times New Roman" w:cs="Times New Roman"/>
                <w:noProof/>
              </w:rPr>
              <w:t>327</w:t>
            </w:r>
            <w:r>
              <w:rPr>
                <w:rFonts w:ascii="Times New Roman" w:eastAsia="Calibri" w:hAnsi="Times New Roman" w:cs="Times New Roman"/>
                <w:noProof/>
                <w:kern w:val="0"/>
                <w14:ligatures w14:val="none"/>
              </w:rPr>
              <w:t> </w:t>
            </w:r>
            <w:r>
              <w:rPr>
                <w:rFonts w:ascii="Times New Roman" w:hAnsi="Times New Roman" w:cs="Times New Roman"/>
                <w:noProof/>
              </w:rPr>
              <w:t>855</w:t>
            </w:r>
            <w:r>
              <w:rPr>
                <w:rFonts w:ascii="Times New Roman" w:eastAsia="Calibri" w:hAnsi="Times New Roman" w:cs="Times New Roman"/>
                <w:noProof/>
                <w:kern w:val="0"/>
                <w14:ligatures w14:val="none"/>
              </w:rPr>
              <w:t> </w:t>
            </w:r>
            <w:r>
              <w:rPr>
                <w:rFonts w:ascii="Times New Roman" w:hAnsi="Times New Roman" w:cs="Times New Roman"/>
                <w:noProof/>
              </w:rPr>
              <w:t xml:space="preserve">715 EUR pour la construction, la rénovation ou l’achat d’autres logements ont été exécutés financièrement. </w:t>
            </w:r>
          </w:p>
        </w:tc>
      </w:tr>
      <w:tr w:rsidR="006C686E" w14:paraId="204C824F" w14:textId="77777777" w:rsidTr="00BD2CAE">
        <w:trPr>
          <w:trHeight w:val="1766"/>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E9242A" w14:textId="77777777" w:rsidR="006C686E" w:rsidRDefault="00B17E8C">
            <w:pPr>
              <w:pStyle w:val="P68B1DB1-Normal25"/>
              <w:spacing w:after="0" w:line="240" w:lineRule="auto"/>
              <w:jc w:val="center"/>
              <w:rPr>
                <w:rFonts w:eastAsia="Times New Roman"/>
                <w:bCs/>
                <w:noProof/>
              </w:rPr>
            </w:pPr>
            <w:r>
              <w:rPr>
                <w:noProof/>
              </w:rPr>
              <w:t>2.25</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1D3340" w14:textId="77777777" w:rsidR="006C686E" w:rsidRDefault="00B17E8C">
            <w:pPr>
              <w:pStyle w:val="P68B1DB1-Normal26"/>
              <w:spacing w:after="0" w:line="240" w:lineRule="auto"/>
              <w:jc w:val="center"/>
              <w:rPr>
                <w:rFonts w:eastAsia="Times New Roman"/>
                <w:noProof/>
              </w:rPr>
            </w:pPr>
            <w:r>
              <w:rPr>
                <w:noProof/>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440FD7" w14:textId="77777777" w:rsidR="006C686E" w:rsidRDefault="00B17E8C">
            <w:pPr>
              <w:pStyle w:val="P68B1DB1-Normal26"/>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209307" w14:textId="77777777" w:rsidR="006C686E" w:rsidRDefault="00B17E8C">
            <w:pPr>
              <w:pStyle w:val="P68B1DB1-Normal26"/>
              <w:spacing w:after="0" w:line="240" w:lineRule="auto"/>
              <w:jc w:val="center"/>
              <w:rPr>
                <w:rFonts w:eastAsia="Times New Roman"/>
                <w:noProof/>
              </w:rPr>
            </w:pPr>
            <w:r>
              <w:rPr>
                <w:noProof/>
              </w:rPr>
              <w:t>Logement étudiant à des coûts abordables – nombre de places d’hébergement étudiant faisant l’objet d’appels d’offres lancés</w:t>
            </w:r>
          </w:p>
        </w:tc>
        <w:tc>
          <w:tcPr>
            <w:tcW w:w="16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B57159" w14:textId="77777777" w:rsidR="006C686E" w:rsidRDefault="00B17E8C">
            <w:pPr>
              <w:pStyle w:val="P68B1DB1-Normal26"/>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CA3C46" w14:textId="77777777" w:rsidR="006C686E" w:rsidRDefault="00B17E8C">
            <w:pPr>
              <w:pStyle w:val="P68B1DB1-Normal26"/>
              <w:spacing w:after="0" w:line="240" w:lineRule="auto"/>
              <w:jc w:val="center"/>
              <w:rPr>
                <w:rFonts w:eastAsia="Times New Roman"/>
                <w:noProof/>
              </w:rPr>
            </w:pPr>
            <w:r>
              <w:rPr>
                <w:noProof/>
              </w:rPr>
              <w:t xml:space="preserve">Numéro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71434" w14:textId="77777777" w:rsidR="006C686E" w:rsidRDefault="00B17E8C">
            <w:pPr>
              <w:pStyle w:val="P68B1DB1-Normal26"/>
              <w:spacing w:after="0" w:line="240" w:lineRule="auto"/>
              <w:jc w:val="center"/>
              <w:rPr>
                <w:rFonts w:eastAsia="Times New Roman"/>
                <w:noProof/>
              </w:rPr>
            </w:pPr>
            <w:r>
              <w:rPr>
                <w:noProof/>
              </w:rPr>
              <w:t>0</w:t>
            </w:r>
          </w:p>
        </w:tc>
        <w:tc>
          <w:tcPr>
            <w:tcW w:w="9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4F19BC" w14:textId="77777777" w:rsidR="006C686E" w:rsidRDefault="00B17E8C">
            <w:pPr>
              <w:pStyle w:val="P68B1DB1-Normal26"/>
              <w:spacing w:after="0" w:line="240" w:lineRule="auto"/>
              <w:jc w:val="center"/>
              <w:rPr>
                <w:rFonts w:eastAsia="Times New Roman"/>
                <w:noProof/>
              </w:rPr>
            </w:pPr>
            <w:r>
              <w:rPr>
                <w:noProof/>
              </w:rPr>
              <w:t>7 000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9B0B1B" w14:textId="77777777" w:rsidR="006C686E" w:rsidRDefault="00B17E8C">
            <w:pPr>
              <w:pStyle w:val="P68B1DB1-Normal26"/>
              <w:spacing w:after="0" w:line="240" w:lineRule="auto"/>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05BB11" w14:textId="77777777" w:rsidR="006C686E" w:rsidRDefault="00B17E8C">
            <w:pPr>
              <w:pStyle w:val="P68B1DB1-Normal26"/>
              <w:spacing w:after="0" w:line="240" w:lineRule="auto"/>
              <w:jc w:val="center"/>
              <w:rPr>
                <w:rFonts w:eastAsia="Times New Roman"/>
                <w:noProof/>
              </w:rPr>
            </w:pPr>
            <w:r>
              <w:rPr>
                <w:noProof/>
              </w:rPr>
              <w:t>2022</w:t>
            </w:r>
          </w:p>
        </w:tc>
        <w:tc>
          <w:tcPr>
            <w:tcW w:w="425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E62DC1" w14:textId="2BC46B81" w:rsidR="006C686E" w:rsidRDefault="00B17E8C">
            <w:pPr>
              <w:pStyle w:val="P68B1DB1-Normal26"/>
              <w:spacing w:after="0" w:line="240" w:lineRule="auto"/>
              <w:jc w:val="both"/>
              <w:rPr>
                <w:noProof/>
              </w:rPr>
            </w:pPr>
            <w:r>
              <w:rPr>
                <w:noProof/>
              </w:rPr>
              <w:t>Nombre de lieux d’hébergement neufs et rénovés destinés principalement aux étudiants de l’enseignement supérieur pour lesquels des appels d’offres publics ont été lancés.</w:t>
            </w:r>
          </w:p>
          <w:p w14:paraId="64760FE4" w14:textId="77777777" w:rsidR="006C686E" w:rsidRDefault="00B17E8C">
            <w:pPr>
              <w:pStyle w:val="P68B1DB1-Normal26"/>
              <w:spacing w:after="0" w:line="240" w:lineRule="auto"/>
              <w:jc w:val="both"/>
              <w:rPr>
                <w:noProof/>
              </w:rPr>
            </w:pPr>
            <w:r>
              <w:rPr>
                <w:noProof/>
              </w:rPr>
              <w:t>Les bâtiments neufs ou ceux achetés sans réhabilitation ont une demande d’énergie primaire inférieure d’au moins 20 % aux exigences des bâtiments dont la consommation d’énergie est quasi nulle. Les rénovations en matière d’efficacité énergétique permettent, en moyenne, d’atteindre au moins un niveau moyen de rénovation en profondeur tel que défini dans la recommandation (UE) 2019/786 de la Commission sur la rénovation des bâtiments.</w:t>
            </w:r>
          </w:p>
        </w:tc>
      </w:tr>
      <w:tr w:rsidR="006C686E" w14:paraId="160C67E2" w14:textId="77777777" w:rsidTr="00BD2CAE">
        <w:trPr>
          <w:trHeight w:val="70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2FDA6E" w14:textId="406C2BD2" w:rsidR="006C686E" w:rsidRDefault="00B17E8C">
            <w:pPr>
              <w:pStyle w:val="P68B1DB1-Normal25"/>
              <w:spacing w:after="0" w:line="240" w:lineRule="auto"/>
              <w:jc w:val="center"/>
              <w:rPr>
                <w:rFonts w:eastAsia="Times New Roman"/>
                <w:bCs/>
                <w:noProof/>
              </w:rPr>
            </w:pPr>
            <w:r>
              <w:rPr>
                <w:noProof/>
              </w:rPr>
              <w:t>2.28</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DB7D9B" w14:textId="77777777" w:rsidR="006C686E" w:rsidRDefault="00B17E8C">
            <w:pPr>
              <w:pStyle w:val="P68B1DB1-Normal26"/>
              <w:spacing w:after="0" w:line="240" w:lineRule="auto"/>
              <w:jc w:val="center"/>
              <w:rPr>
                <w:rFonts w:eastAsia="Times New Roman"/>
                <w:noProof/>
              </w:rPr>
            </w:pPr>
            <w:r>
              <w:rPr>
                <w:noProof/>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6EA6BC" w14:textId="77777777" w:rsidR="006C686E" w:rsidRDefault="00B17E8C">
            <w:pPr>
              <w:pStyle w:val="P68B1DB1-Normal26"/>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FF44DA" w14:textId="77777777" w:rsidR="006C686E" w:rsidRDefault="00B17E8C">
            <w:pPr>
              <w:pStyle w:val="P68B1DB1-Normal26"/>
              <w:spacing w:after="0" w:line="240" w:lineRule="auto"/>
              <w:jc w:val="center"/>
              <w:rPr>
                <w:rFonts w:eastAsia="Times New Roman"/>
                <w:noProof/>
              </w:rPr>
            </w:pPr>
            <w:r>
              <w:rPr>
                <w:noProof/>
              </w:rPr>
              <w:t xml:space="preserve">Logement étudiant à des coûts abordables </w:t>
            </w:r>
          </w:p>
        </w:tc>
        <w:tc>
          <w:tcPr>
            <w:tcW w:w="16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012EC5" w14:textId="77777777" w:rsidR="006C686E" w:rsidRDefault="00B17E8C">
            <w:pPr>
              <w:pStyle w:val="P68B1DB1-Normal26"/>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6C11AA" w14:textId="77777777" w:rsidR="006C686E" w:rsidRDefault="00B17E8C">
            <w:pPr>
              <w:pStyle w:val="P68B1DB1-Normal26"/>
              <w:spacing w:after="0" w:line="240" w:lineRule="auto"/>
              <w:jc w:val="center"/>
              <w:rPr>
                <w:rFonts w:eastAsia="Times New Roman"/>
                <w:noProof/>
              </w:rPr>
            </w:pPr>
            <w:r>
              <w:rPr>
                <w:noProof/>
              </w:rPr>
              <w:t xml:space="preserve">Numéro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EE4EEB" w14:textId="77777777" w:rsidR="006C686E" w:rsidRDefault="00B17E8C">
            <w:pPr>
              <w:pStyle w:val="P68B1DB1-Normal26"/>
              <w:spacing w:after="0" w:line="240" w:lineRule="auto"/>
              <w:jc w:val="center"/>
              <w:rPr>
                <w:noProof/>
              </w:rPr>
            </w:pPr>
            <w:r>
              <w:rPr>
                <w:noProof/>
              </w:rPr>
              <w:t>0</w:t>
            </w:r>
          </w:p>
        </w:tc>
        <w:tc>
          <w:tcPr>
            <w:tcW w:w="9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3567500" w14:textId="5CD6310B" w:rsidR="006C686E" w:rsidRDefault="00B17E8C">
            <w:pPr>
              <w:pStyle w:val="P68B1DB1-Normal26"/>
              <w:spacing w:after="0" w:line="240" w:lineRule="auto"/>
              <w:jc w:val="center"/>
              <w:rPr>
                <w:noProof/>
              </w:rPr>
            </w:pPr>
            <w:r>
              <w:rPr>
                <w:noProof/>
              </w:rPr>
              <w:t>18 000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D33C91" w14:textId="77777777" w:rsidR="006C686E" w:rsidRDefault="00B17E8C">
            <w:pPr>
              <w:pStyle w:val="P68B1DB1-Normal26"/>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C77007" w14:textId="77777777" w:rsidR="006C686E" w:rsidRDefault="00B17E8C">
            <w:pPr>
              <w:pStyle w:val="P68B1DB1-Normal26"/>
              <w:spacing w:after="0" w:line="240" w:lineRule="auto"/>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217EDA" w14:textId="77777777" w:rsidR="006C686E" w:rsidRDefault="00B17E8C">
            <w:pPr>
              <w:pStyle w:val="P68B1DB1-Normal26"/>
              <w:spacing w:after="0" w:line="240" w:lineRule="auto"/>
              <w:jc w:val="both"/>
              <w:rPr>
                <w:rFonts w:eastAsia="Times New Roman"/>
                <w:noProof/>
              </w:rPr>
            </w:pPr>
            <w:r>
              <w:rPr>
                <w:noProof/>
              </w:rPr>
              <w:t>Nombre de lits construits et rénovés dans les logements étudiants.</w:t>
            </w:r>
          </w:p>
        </w:tc>
      </w:tr>
    </w:tbl>
    <w:p w14:paraId="74FA1826" w14:textId="77777777" w:rsidR="006C686E" w:rsidRDefault="006C686E">
      <w:pPr>
        <w:rPr>
          <w:rFonts w:ascii="Times New Roman" w:eastAsiaTheme="minorEastAsia" w:hAnsi="Times New Roman" w:cs="Times New Roman"/>
          <w:noProof/>
        </w:rPr>
        <w:sectPr w:rsidR="006C686E" w:rsidSect="00C95E00">
          <w:headerReference w:type="even" r:id="rId64"/>
          <w:headerReference w:type="default" r:id="rId65"/>
          <w:footerReference w:type="even" r:id="rId66"/>
          <w:footerReference w:type="default" r:id="rId67"/>
          <w:headerReference w:type="first" r:id="rId68"/>
          <w:footerReference w:type="first" r:id="rId69"/>
          <w:pgSz w:w="16839" w:h="11907" w:orient="landscape"/>
          <w:pgMar w:top="1134" w:right="1134" w:bottom="1134" w:left="1134" w:header="567" w:footer="567" w:gutter="0"/>
          <w:cols w:space="720"/>
          <w:docGrid w:linePitch="360"/>
        </w:sectPr>
      </w:pPr>
    </w:p>
    <w:p w14:paraId="193958FE" w14:textId="77777777" w:rsidR="006C686E" w:rsidRDefault="00B17E8C">
      <w:pPr>
        <w:pStyle w:val="P68B1DB1-Normal1"/>
        <w:keepNext/>
        <w:spacing w:before="40" w:after="0"/>
        <w:ind w:left="130" w:firstLine="720"/>
        <w:jc w:val="both"/>
        <w:outlineLvl w:val="1"/>
        <w:rPr>
          <w:rFonts w:eastAsia="Times New Roman"/>
          <w:bCs/>
          <w:noProof/>
        </w:rPr>
      </w:pPr>
      <w:r>
        <w:rPr>
          <w:noProof/>
        </w:rPr>
        <w:t>C. Élément 3: Réponses sociales</w:t>
      </w:r>
    </w:p>
    <w:p w14:paraId="4817D4DA" w14:textId="77777777" w:rsidR="006C686E" w:rsidRDefault="00B17E8C">
      <w:pPr>
        <w:pStyle w:val="P68B1DB1-Normal4"/>
        <w:keepNext/>
        <w:spacing w:before="40" w:after="0"/>
        <w:jc w:val="both"/>
        <w:rPr>
          <w:rFonts w:eastAsia="Times New Roman"/>
          <w:noProof/>
        </w:rPr>
      </w:pPr>
      <w:r>
        <w:rPr>
          <w:noProof/>
        </w:rPr>
        <w:t xml:space="preserve">Le Portugal est confronté depuis de nombreuses années à d’importants défis démographiques et socio-économiques qui ont été amplifiés par la pandémie de COVID-19. Ce volet du plan portugais pour la reprise et la résilience relève les défis suivants: le vieillissement démographique, les droits des personnes handicapées et des autres personnes dépendantes et les situations de pauvreté et d’exclusion sociale au sein des communautés et groupes défavorisés. </w:t>
      </w:r>
    </w:p>
    <w:p w14:paraId="554D7B19" w14:textId="77777777" w:rsidR="006C686E" w:rsidRDefault="00B17E8C">
      <w:pPr>
        <w:pStyle w:val="P68B1DB1-Normal4"/>
        <w:keepNext/>
        <w:spacing w:before="40" w:after="0"/>
        <w:jc w:val="both"/>
        <w:rPr>
          <w:rFonts w:eastAsia="Times New Roman"/>
          <w:noProof/>
        </w:rPr>
      </w:pPr>
      <w:r>
        <w:rPr>
          <w:noProof/>
        </w:rPr>
        <w:t xml:space="preserve">Dans ce contexte, cette composante aborde les défis structurels liés à la politique sociale et les pénuries de couverture des services sociaux pour les populations/régions dans le besoin, tant au Portugal continental que dans les régions autonomes des Açores et de Madère. </w:t>
      </w:r>
    </w:p>
    <w:p w14:paraId="18784800" w14:textId="77777777" w:rsidR="006C686E" w:rsidRDefault="00B17E8C">
      <w:pPr>
        <w:pStyle w:val="P68B1DB1-Normal4"/>
        <w:keepNext/>
        <w:spacing w:before="40" w:after="0"/>
        <w:jc w:val="both"/>
        <w:rPr>
          <w:rFonts w:eastAsia="Times New Roman"/>
          <w:noProof/>
        </w:rPr>
      </w:pPr>
      <w:r>
        <w:rPr>
          <w:noProof/>
        </w:rPr>
        <w:t>Les principaux objectifs du volet sont les suivants: i) améliorer les structures d'aide sociale et assurer une meilleure couverture territoriale; ii) renforcer et élargir le réseau de réponses sociales grâce à des solutions innovantes et à des projets et interventions pilotes; iii) élaborer de nouvelles réponses de soutien au niveau local, contribuant à la promotion de l'autonomie de vie, à la prévention de la dépendance et à l'élaboration de réponses en faveur de la non-institutionnalisation, conformément à la convention des Nations unies relative aux droits des personnes handicapées; iv) garantir aux personnes handicapées l'accès à une vie et à une participation inclusives à la société et à l'économie; et v) promouvoir l’éradication de la pauvreté en élaborant une stratégie nationale globale axée sur les communautés les plus vulnérables et défavorisées.</w:t>
      </w:r>
    </w:p>
    <w:p w14:paraId="596EDA47" w14:textId="77777777" w:rsidR="006C686E" w:rsidRDefault="00B17E8C">
      <w:pPr>
        <w:pStyle w:val="P68B1DB1-Normal4"/>
        <w:keepNext/>
        <w:spacing w:before="40" w:after="0"/>
        <w:jc w:val="both"/>
        <w:rPr>
          <w:rFonts w:eastAsia="Times New Roman"/>
          <w:noProof/>
        </w:rPr>
      </w:pPr>
      <w:r>
        <w:rPr>
          <w:noProof/>
        </w:rPr>
        <w:t>Le volet soutient la mise en œuvre de la recommandation par pays visant à renforcer la résilience du système de santé et à garantir l’égalité d’accès à des soins de santé et à des soins de longue durée de qualité (recommandation par pays no 1 de 2020). En outre, il contribue à donner suite à la recommandation par pays relative à l’amélioration de l’efficacité et de l’adéquation du filet de sécurité sociale et à l’amélioration du niveau de compétences de la population (recommandation par pays no 2 de 2019), à garantir une protection sociale et une aide au revenu suffisantes et à garantir l’égalité d’accès à une éducation et à une formation de qualité (recommandation par pays no 2 de 2020) et à améliorer l’efficacité du système de protection sociale portugais, notamment en simplifiant son cadre (recommandation par pays no 1 de 2022 et 2023). Le volet soutient également indirectement la mise en œuvre de la recommandation par pays visant à concentrer les investissements sur la transition écologique et numérique (recommandation par pays no 3 de 2020).</w:t>
      </w:r>
    </w:p>
    <w:p w14:paraId="0CB8AB11" w14:textId="77777777" w:rsidR="006C686E" w:rsidRDefault="00B17E8C">
      <w:pPr>
        <w:pStyle w:val="P68B1DB1-Normal4"/>
        <w:keepNext/>
        <w:spacing w:before="40" w:after="0"/>
        <w:jc w:val="both"/>
        <w:rPr>
          <w:rFonts w:eastAsia="Times New Roman"/>
          <w:noProof/>
        </w:rPr>
      </w:pPr>
      <w:r>
        <w:rPr>
          <w:noProof/>
        </w:rPr>
        <w:t xml:space="preserve">Ce volet devrait contribuer à la fois aux transitions écologique et numérique. Les projets liés à la construction, à l’agrandissement et à la rénovation des installations de réaction sociale sont axés sur l’efficacité énergétique, l’utilisation d’énergies renouvelables pour l’autoconsommation et la réduction des coûts de l’énergie et des combustibles. Les dimensions environnementales doivent être prises en compte, par la promotion de nouvelles constructions répondant à des normes élevées en matière d'efficacité énergétique. En outre, les entités concernées sont équipées de véhicules légers à émissions nulles. Enfin, ce volet comprend des mesures qui renforcent l’utilisation des outils numériques, notamment par les services sociaux qui apportent un soutien aux personnes âgées et par le gouvernement grâce à la création d’outils TIC et de services en ligne ciblant les personnes handicapées. </w:t>
      </w:r>
    </w:p>
    <w:p w14:paraId="2387536A" w14:textId="77777777" w:rsidR="006C686E" w:rsidRDefault="00B17E8C">
      <w:pPr>
        <w:pStyle w:val="P68B1DB1-Normal4"/>
        <w:keepNext/>
        <w:spacing w:before="40" w:after="0"/>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1997D1BE" w14:textId="77777777" w:rsidR="006C686E" w:rsidRDefault="006C686E">
      <w:pPr>
        <w:keepNext/>
        <w:spacing w:before="40" w:after="0"/>
        <w:jc w:val="both"/>
        <w:rPr>
          <w:rFonts w:ascii="Times New Roman" w:eastAsia="Calibri" w:hAnsi="Times New Roman" w:cs="Times New Roman"/>
          <w:noProof/>
          <w:kern w:val="0"/>
          <w14:ligatures w14:val="none"/>
        </w:rPr>
        <w:sectPr w:rsidR="006C686E" w:rsidSect="00C95E00">
          <w:headerReference w:type="even" r:id="rId70"/>
          <w:headerReference w:type="default" r:id="rId71"/>
          <w:footerReference w:type="even" r:id="rId72"/>
          <w:footerReference w:type="default" r:id="rId73"/>
          <w:headerReference w:type="first" r:id="rId74"/>
          <w:footerReference w:type="first" r:id="rId75"/>
          <w:pgSz w:w="11907" w:h="16839"/>
          <w:pgMar w:top="1134" w:right="1134" w:bottom="1134" w:left="1134" w:header="567" w:footer="567" w:gutter="0"/>
          <w:cols w:space="720"/>
          <w:docGrid w:linePitch="360"/>
        </w:sectPr>
      </w:pPr>
    </w:p>
    <w:p w14:paraId="70561D65" w14:textId="0D4DA905" w:rsidR="006C686E" w:rsidRDefault="00B17E8C">
      <w:pPr>
        <w:pStyle w:val="P68B1DB1-Normal1"/>
        <w:keepNext/>
        <w:spacing w:before="40" w:after="0"/>
        <w:ind w:left="130" w:firstLine="720"/>
        <w:jc w:val="both"/>
        <w:outlineLvl w:val="2"/>
        <w:rPr>
          <w:rFonts w:eastAsia="Times New Roman"/>
          <w:bCs/>
          <w:noProof/>
        </w:rPr>
      </w:pPr>
      <w:r>
        <w:rPr>
          <w:noProof/>
        </w:rPr>
        <w:t>C.1. Description des réformes et des investissements pour le soutien financier non remboursable</w:t>
      </w:r>
    </w:p>
    <w:p w14:paraId="32B28E73" w14:textId="77777777" w:rsidR="006C686E" w:rsidRDefault="00B17E8C">
      <w:pPr>
        <w:pStyle w:val="P68B1DB1-Normal28"/>
        <w:keepNext/>
        <w:spacing w:before="240" w:after="0"/>
        <w:ind w:left="851"/>
        <w:outlineLvl w:val="3"/>
        <w:rPr>
          <w:rFonts w:ascii="Times New Roman" w:eastAsia="Calibri" w:hAnsi="Times New Roman" w:cs="Times New Roman"/>
          <w:noProof/>
          <w:highlight w:val="green"/>
          <w:u w:val="single"/>
        </w:rPr>
      </w:pPr>
      <w:r>
        <w:rPr>
          <w:rFonts w:ascii="Times New Roman" w:eastAsia="Calibri" w:hAnsi="Times New Roman" w:cs="Times New Roman"/>
          <w:noProof/>
          <w:u w:val="single"/>
        </w:rPr>
        <w:t>Réforme RE-r05: Réforme de l'approvisionnement des installations et des interventions sociales</w:t>
      </w:r>
      <w:r>
        <w:rPr>
          <w:rFonts w:ascii="Calibri" w:eastAsia="Calibri" w:hAnsi="Calibri" w:cs="Times New Roman"/>
          <w:noProof/>
        </w:rPr>
        <w:t xml:space="preserve"> </w:t>
      </w:r>
      <w:r>
        <w:rPr>
          <w:rFonts w:ascii="Calibri" w:eastAsia="Calibri" w:hAnsi="Calibri" w:cs="Times New Roman"/>
          <w:noProof/>
        </w:rPr>
        <w:br/>
      </w:r>
    </w:p>
    <w:p w14:paraId="070F94D8" w14:textId="77777777" w:rsidR="006C686E" w:rsidRDefault="00B17E8C">
      <w:pPr>
        <w:pStyle w:val="P68B1DB1-Normal28"/>
        <w:keepNext/>
        <w:keepLines/>
        <w:spacing w:before="40" w:after="0"/>
        <w:jc w:val="both"/>
        <w:rPr>
          <w:rFonts w:ascii="Times New Roman" w:eastAsia="Times New Roman" w:hAnsi="Times New Roman" w:cs="Times New Roman"/>
          <w:noProof/>
        </w:rPr>
      </w:pPr>
      <w:r>
        <w:rPr>
          <w:rFonts w:ascii="Times New Roman" w:eastAsia="Calibri" w:hAnsi="Times New Roman" w:cs="Times New Roman"/>
          <w:noProof/>
        </w:rPr>
        <w:t xml:space="preserve">L'objectif de cette mesure est d'étendre, d'améliorer et de réhabiliter le réseau de services sociaux et les installations fournies par les institutions sociales publiques et privées. La mesure cible les groupes particulièrement vulnérables sur les plans économique, social et sanitaire, tels que les personnes et les familles pauvres ou à faible revenu, les personnes âgées et les personnes en situation de dépendance, les personnes handicapées et les enfants et les jeunes. En outre, les interventions intégrées de soutien sanitaire et social prévues par la présente mesure promeuvent l’autonomie des personnes dépendantes par leur réadaptation et leur réinsertion sociale, conformément à la convention des Nations unies relative aux droits des personnes </w:t>
      </w:r>
      <w:bookmarkStart w:id="6" w:name="_Hlk176510724"/>
      <w:r>
        <w:rPr>
          <w:rFonts w:ascii="Times New Roman" w:hAnsi="Times New Roman" w:cs="Times New Roman"/>
          <w:noProof/>
        </w:rPr>
        <w:t>handicapées</w:t>
      </w:r>
      <w:r w:rsidRPr="0096693F">
        <w:rPr>
          <w:rFonts w:ascii="Times New Roman" w:hAnsi="Times New Roman" w:cs="Times New Roman"/>
          <w:noProof/>
          <w:vertAlign w:val="superscript"/>
        </w:rPr>
        <w:footnoteReference w:id="1"/>
      </w:r>
      <w:r w:rsidRPr="0096693F">
        <w:rPr>
          <w:rFonts w:ascii="Times New Roman" w:hAnsi="Times New Roman" w:cs="Times New Roman"/>
          <w:noProof/>
          <w:vertAlign w:val="superscript"/>
        </w:rPr>
        <w:t xml:space="preserve"> </w:t>
      </w:r>
      <w:r>
        <w:rPr>
          <w:rFonts w:ascii="Times New Roman" w:hAnsi="Times New Roman" w:cs="Times New Roman"/>
          <w:noProof/>
        </w:rPr>
        <w:t>et à la stratégie européenne en faveur des droits des personnes handicapées 2021-2030</w:t>
      </w:r>
      <w:r w:rsidRPr="00B17E8C">
        <w:rPr>
          <w:rFonts w:ascii="Times New Roman" w:hAnsi="Times New Roman" w:cs="Times New Roman"/>
          <w:noProof/>
          <w:vertAlign w:val="superscript"/>
        </w:rPr>
        <w:footnoteReference w:id="2"/>
      </w:r>
      <w:r>
        <w:rPr>
          <w:rFonts w:ascii="Times New Roman" w:hAnsi="Times New Roman" w:cs="Times New Roman"/>
          <w:noProof/>
        </w:rPr>
        <w:t xml:space="preserve"> et au livre vert sur le vieillissement – Favoriser la solidarité et la responsabilité entre les générations.</w:t>
      </w:r>
      <w:r w:rsidRPr="00B17E8C">
        <w:rPr>
          <w:rFonts w:ascii="Times New Roman" w:hAnsi="Times New Roman" w:cs="Times New Roman"/>
          <w:noProof/>
          <w:vertAlign w:val="superscript"/>
        </w:rPr>
        <w:footnoteReference w:id="3"/>
      </w:r>
      <w:r>
        <w:rPr>
          <w:rFonts w:ascii="Times New Roman" w:hAnsi="Times New Roman" w:cs="Times New Roman"/>
          <w:noProof/>
        </w:rPr>
        <w:t xml:space="preserve"> </w:t>
      </w:r>
    </w:p>
    <w:p w14:paraId="7BCDC562" w14:textId="77777777" w:rsidR="006C686E" w:rsidRDefault="00B17E8C">
      <w:pPr>
        <w:pStyle w:val="P68B1DB1-Normal4"/>
        <w:keepNext/>
        <w:spacing w:before="40" w:after="0"/>
        <w:jc w:val="both"/>
        <w:rPr>
          <w:rFonts w:eastAsia="Times New Roman"/>
          <w:noProof/>
        </w:rPr>
      </w:pPr>
      <w:r>
        <w:rPr>
          <w:noProof/>
        </w:rPr>
        <w:t>Cette réforme consistera à lancer le programme de nouvelle génération d’équipements et de réponses sociales par l’entrée en vigueur du régime de simplification de l’installation d’équipements sociaux.</w:t>
      </w:r>
      <w:bookmarkStart w:id="7" w:name="_Hlk214266355"/>
      <w:r>
        <w:rPr>
          <w:noProof/>
        </w:rPr>
        <w:t xml:space="preserve"> Le programme se concentre sur des mesures telles que: </w:t>
      </w:r>
    </w:p>
    <w:p w14:paraId="201A332B"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améliorer les soins sociaux et les services personnalisés fournis dans les foyers de soins pour personnes âgées (ERPI), à la suite d’une évaluation des besoins;</w:t>
      </w:r>
    </w:p>
    <w:bookmarkEnd w:id="7"/>
    <w:p w14:paraId="2829C81F"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promouvoir l’octroi de licences et/ou la régularisation des IERP en dehors du système officiel;</w:t>
      </w:r>
    </w:p>
    <w:p w14:paraId="65EF1C62"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 xml:space="preserve">Réviser le cadre législatif pour l'octroi de licences aux établissements sociaux, </w:t>
      </w:r>
    </w:p>
    <w:p w14:paraId="2120D49D"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Promouvoir des réponses sociales innovantes telles que le logement collaboratif à petite échelle;</w:t>
      </w:r>
    </w:p>
    <w:p w14:paraId="03894BED"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Développer un modèle innovant de soutien à domicile;</w:t>
      </w:r>
    </w:p>
    <w:p w14:paraId="4532821D"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Renforcer l ' appui social aux personnes en situation d ' isolement social, par la création d ' équipes pluridisciplinaires et d ' un mécanisme de cartographie et de suivi des situations socialement vulnérables (projets Radar Social);</w:t>
      </w:r>
    </w:p>
    <w:p w14:paraId="3DB66329"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Accroître les niveaux de main-d’œuvre et la qualité des services fournis dans le cadre des réponses sociales, principalement dans les territoires où les niveaux de couverture sont faibles;</w:t>
      </w:r>
    </w:p>
    <w:p w14:paraId="1906E075" w14:textId="77777777" w:rsidR="006C686E" w:rsidRDefault="00B17E8C">
      <w:pPr>
        <w:pStyle w:val="P68B1DB1-Normal4"/>
        <w:keepNext/>
        <w:numPr>
          <w:ilvl w:val="0"/>
          <w:numId w:val="20"/>
        </w:numPr>
        <w:spacing w:before="40" w:after="200" w:line="276" w:lineRule="auto"/>
        <w:ind w:hanging="371"/>
        <w:contextualSpacing/>
        <w:jc w:val="both"/>
        <w:rPr>
          <w:rFonts w:eastAsia="Times New Roman"/>
          <w:noProof/>
        </w:rPr>
      </w:pPr>
      <w:r>
        <w:rPr>
          <w:noProof/>
        </w:rPr>
        <w:t>Renforcer les services sociaux et le soutien destinés aux personnes handicapées ou dépendantes et promouvoir leur autonomie et leur autonomie de vie.</w:t>
      </w:r>
    </w:p>
    <w:p w14:paraId="37DDA3B3" w14:textId="77777777" w:rsidR="006C686E" w:rsidRDefault="006C686E">
      <w:pPr>
        <w:keepNext/>
        <w:spacing w:before="40" w:after="0"/>
        <w:jc w:val="both"/>
        <w:rPr>
          <w:rFonts w:ascii="Times New Roman" w:eastAsia="Calibri" w:hAnsi="Times New Roman" w:cs="Times New Roman"/>
          <w:noProof/>
          <w:kern w:val="0"/>
          <w14:ligatures w14:val="none"/>
        </w:rPr>
      </w:pPr>
    </w:p>
    <w:p w14:paraId="4CDDD089" w14:textId="77777777" w:rsidR="006C686E" w:rsidRDefault="00B17E8C">
      <w:pPr>
        <w:pStyle w:val="P68B1DB1-Normal4"/>
        <w:keepNext/>
        <w:spacing w:before="40" w:after="0"/>
        <w:jc w:val="both"/>
        <w:rPr>
          <w:rFonts w:eastAsia="Times New Roman"/>
          <w:noProof/>
        </w:rPr>
      </w:pPr>
      <w:r>
        <w:rPr>
          <w:noProof/>
        </w:rPr>
        <w:t xml:space="preserve">L’investissement RE-C03-i01 — Nouvelle génération d’équipements et réponses sociales contribuera à la mise en œuvre de la réforme. </w:t>
      </w:r>
    </w:p>
    <w:p w14:paraId="7495EEAF" w14:textId="31CF454F" w:rsidR="006C686E" w:rsidRDefault="00B17E8C">
      <w:pPr>
        <w:pStyle w:val="P68B1DB1-Normal4"/>
        <w:keepNext/>
        <w:spacing w:before="40" w:after="0"/>
        <w:jc w:val="both"/>
        <w:rPr>
          <w:rFonts w:eastAsia="Times New Roman"/>
          <w:noProof/>
        </w:rPr>
      </w:pPr>
      <w:r>
        <w:rPr>
          <w:noProof/>
        </w:rPr>
        <w:t>Le jalon lié à la mise en œuvre de la réforme est atteint au plus tard le 31 décembre 2021.</w:t>
      </w:r>
    </w:p>
    <w:bookmarkEnd w:id="6"/>
    <w:p w14:paraId="36F2A463" w14:textId="77777777" w:rsidR="006C686E" w:rsidRDefault="00B17E8C">
      <w:pPr>
        <w:pStyle w:val="P68B1DB1-Normal5"/>
        <w:keepNext/>
        <w:spacing w:before="240" w:after="0"/>
        <w:ind w:left="851"/>
        <w:jc w:val="both"/>
        <w:outlineLvl w:val="3"/>
        <w:rPr>
          <w:rFonts w:eastAsia="Times New Roman"/>
          <w:noProof/>
        </w:rPr>
      </w:pPr>
      <w:r>
        <w:rPr>
          <w:noProof/>
        </w:rPr>
        <w:t>Réforme RE-r06: Stratégie nationale pour l’inclusion des personnes handicapées 2021-2025</w:t>
      </w:r>
    </w:p>
    <w:p w14:paraId="15994AB3" w14:textId="77777777" w:rsidR="006C686E" w:rsidRDefault="00B17E8C">
      <w:pPr>
        <w:pStyle w:val="P68B1DB1-Normal4"/>
        <w:keepNext/>
        <w:spacing w:before="40" w:after="0"/>
        <w:jc w:val="both"/>
        <w:rPr>
          <w:rFonts w:eastAsia="Times New Roman"/>
          <w:noProof/>
        </w:rPr>
      </w:pPr>
      <w:r>
        <w:rPr>
          <w:noProof/>
        </w:rPr>
        <w:t>L’objectif de cette mesure est de faciliter et d’approfondir l’inclusion des personnes handicapées dans tous les domaines de la vie, de promouvoir leur autonomie, leur indépendance et leur autodétermination, ainsi que de garantir l’égalité des chances pour tous les citoyens, quelles que soient leurs capacités.</w:t>
      </w:r>
    </w:p>
    <w:p w14:paraId="34D37B9C" w14:textId="77777777" w:rsidR="006C686E" w:rsidRDefault="00B17E8C">
      <w:pPr>
        <w:pStyle w:val="P68B1DB1-Normal4"/>
        <w:rPr>
          <w:noProof/>
        </w:rPr>
      </w:pPr>
      <w:r>
        <w:rPr>
          <w:noProof/>
        </w:rPr>
        <w:br w:type="page"/>
      </w:r>
    </w:p>
    <w:p w14:paraId="3039ED8F" w14:textId="77777777" w:rsidR="006C686E" w:rsidRDefault="00B17E8C">
      <w:pPr>
        <w:pStyle w:val="P68B1DB1-Normal29"/>
        <w:keepNext/>
        <w:spacing w:before="40" w:after="0"/>
        <w:jc w:val="both"/>
        <w:rPr>
          <w:rFonts w:eastAsia="Times New Roman"/>
          <w:noProof/>
        </w:rPr>
      </w:pPr>
      <w:r>
        <w:rPr>
          <w:noProof/>
        </w:rPr>
        <w:t>Cette réforme consiste en l’adoption de la stratégie nationale pour l’inclusion des personnes handicapées 2021-2025. La stratégie reflète les engagements de la convention des Nations unies relative aux droits des personnes handicapées</w:t>
      </w:r>
      <w:r>
        <w:rPr>
          <w:noProof/>
        </w:rPr>
        <w:footnoteReference w:id="4"/>
      </w:r>
      <w:r>
        <w:rPr>
          <w:noProof/>
        </w:rPr>
        <w:t xml:space="preserve"> et permet le lancement d’un ensemble de mesures, telles que:</w:t>
      </w:r>
    </w:p>
    <w:p w14:paraId="395B5147"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r>
        <w:rPr>
          <w:noProof/>
        </w:rPr>
        <w:t xml:space="preserve">la reformulation du cadre réglementaire actuel chaque fois que cela est nécessaire; </w:t>
      </w:r>
    </w:p>
    <w:p w14:paraId="7F49F1D2"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r>
        <w:rPr>
          <w:noProof/>
        </w:rPr>
        <w:t>La reformulation du système d'évaluation et de certification du handicap;</w:t>
      </w:r>
    </w:p>
    <w:p w14:paraId="52CF0E1B"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r>
        <w:rPr>
          <w:noProof/>
        </w:rPr>
        <w:t>a) Un diagnostic complet des personnes handicapées grâce à la mise au point de systèmes de collecte de données et de suivi des indicateurs à l ' appui de la prise de décisions;</w:t>
      </w:r>
    </w:p>
    <w:p w14:paraId="6C5D15B8"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bookmarkStart w:id="8" w:name="_Hlk214266395"/>
      <w:r>
        <w:rPr>
          <w:noProof/>
        </w:rPr>
        <w:t>Interventions dans les espaces publics pour faciliter l'accès des personnes handicapées;</w:t>
      </w:r>
    </w:p>
    <w:p w14:paraId="4A1733F9"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r>
        <w:rPr>
          <w:noProof/>
        </w:rPr>
        <w:t>l'adaptation des systèmes de formation, d'emploi et de qualification des personnes handicapées;</w:t>
      </w:r>
    </w:p>
    <w:bookmarkEnd w:id="8"/>
    <w:p w14:paraId="7731A24F"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r>
        <w:rPr>
          <w:noProof/>
        </w:rPr>
        <w:t>Le développement de services sociaux innovants et d'approches communautaires;</w:t>
      </w:r>
    </w:p>
    <w:p w14:paraId="462C9C25"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r>
        <w:rPr>
          <w:noProof/>
        </w:rPr>
        <w:t>La participation des personnes handicapées aux activités sportives, culturelles et de loisirs.</w:t>
      </w:r>
    </w:p>
    <w:p w14:paraId="386F2390" w14:textId="77777777" w:rsidR="006C686E" w:rsidRDefault="00B17E8C">
      <w:pPr>
        <w:pStyle w:val="P68B1DB1-Normal4"/>
        <w:keepNext/>
        <w:numPr>
          <w:ilvl w:val="0"/>
          <w:numId w:val="21"/>
        </w:numPr>
        <w:spacing w:before="40" w:after="200" w:line="276" w:lineRule="auto"/>
        <w:contextualSpacing/>
        <w:jc w:val="both"/>
        <w:rPr>
          <w:rFonts w:eastAsia="Times New Roman"/>
          <w:noProof/>
        </w:rPr>
      </w:pPr>
      <w:r>
        <w:rPr>
          <w:noProof/>
        </w:rPr>
        <w:t>l'extension du modèle de soutien à la vie autonome, qui fournit une assistance personnelle aux personnes handicapées;</w:t>
      </w:r>
    </w:p>
    <w:p w14:paraId="1AB42946" w14:textId="77777777" w:rsidR="006C686E" w:rsidRDefault="00B17E8C">
      <w:pPr>
        <w:pStyle w:val="P68B1DB1-Normal4"/>
        <w:keepNext/>
        <w:spacing w:before="40" w:after="0"/>
        <w:jc w:val="both"/>
        <w:rPr>
          <w:rFonts w:eastAsia="Times New Roman"/>
          <w:noProof/>
        </w:rPr>
      </w:pPr>
      <w:r>
        <w:rPr>
          <w:noProof/>
        </w:rPr>
        <w:t xml:space="preserve">Investissements RE-C03-i02: Accessibilité 360° et RE-C03-i05: Plateforme et accès, ainsi que l’investissement RE-C01-i02: Le Réseau national de soins continus intégrés et le Réseau national de soins palliatifs contribueront à la mise en œuvre de la réforme. </w:t>
      </w:r>
    </w:p>
    <w:p w14:paraId="0CA033BB" w14:textId="01E9D74E" w:rsidR="006C686E" w:rsidRDefault="00B17E8C">
      <w:pPr>
        <w:pStyle w:val="P68B1DB1-Normal4"/>
        <w:keepNext/>
        <w:spacing w:before="40" w:after="0"/>
        <w:jc w:val="both"/>
        <w:rPr>
          <w:rFonts w:eastAsia="Times New Roman"/>
          <w:noProof/>
        </w:rPr>
      </w:pPr>
      <w:r>
        <w:rPr>
          <w:noProof/>
        </w:rPr>
        <w:t>Le jalon lié à la mise en œuvre de la réforme est atteint au plus tard le 31 décembre 2021.</w:t>
      </w:r>
    </w:p>
    <w:p w14:paraId="78ED437A" w14:textId="77777777" w:rsidR="006C686E" w:rsidRDefault="00B17E8C">
      <w:pPr>
        <w:pStyle w:val="P68B1DB1-Normal5"/>
        <w:keepNext/>
        <w:spacing w:before="240" w:after="0"/>
        <w:ind w:left="851"/>
        <w:jc w:val="both"/>
        <w:outlineLvl w:val="3"/>
        <w:rPr>
          <w:rFonts w:eastAsia="Times New Roman"/>
          <w:noProof/>
        </w:rPr>
      </w:pPr>
      <w:r>
        <w:rPr>
          <w:noProof/>
        </w:rPr>
        <w:t>Réforme RE-r07: Passation de contrats pour des programmes de soutien intégrés en faveur des communautés défavorisées dans les zones métropolitaines</w:t>
      </w:r>
    </w:p>
    <w:p w14:paraId="4142A884" w14:textId="77777777" w:rsidR="006C686E" w:rsidRDefault="00B17E8C">
      <w:pPr>
        <w:pStyle w:val="P68B1DB1-Normal4"/>
        <w:keepNext/>
        <w:spacing w:before="40" w:after="0"/>
        <w:jc w:val="both"/>
        <w:rPr>
          <w:rFonts w:eastAsia="Times New Roman"/>
          <w:noProof/>
        </w:rPr>
      </w:pPr>
      <w:r>
        <w:rPr>
          <w:noProof/>
        </w:rPr>
        <w:t xml:space="preserve">L’objectif de cette mesure est de lutter contre la pauvreté et l’exclusion sociale dans les municipalités les plus défavorisées des zones métropolitaines de Lisbonne et de Porto. </w:t>
      </w:r>
    </w:p>
    <w:p w14:paraId="354799E9" w14:textId="77777777" w:rsidR="006C686E" w:rsidRDefault="00B17E8C">
      <w:pPr>
        <w:pStyle w:val="P68B1DB1-Normal4"/>
        <w:keepNext/>
        <w:spacing w:before="40" w:after="0"/>
        <w:jc w:val="both"/>
        <w:rPr>
          <w:rFonts w:eastAsia="Times New Roman"/>
          <w:noProof/>
        </w:rPr>
      </w:pPr>
      <w:r>
        <w:rPr>
          <w:noProof/>
        </w:rPr>
        <w:t xml:space="preserve">Cette réforme consiste en un ensemble d'actions pilotes intégrées à mettre au point à la suite d'une évaluation et d'un recensement des besoins spécifiques de la communauté. À la suite de cette phase de diagnostic, les interventions intégrées seront conçues et axées sur deux domaines: </w:t>
      </w:r>
    </w:p>
    <w:p w14:paraId="16E83DD6" w14:textId="77777777" w:rsidR="006C686E" w:rsidRDefault="00B17E8C">
      <w:pPr>
        <w:pStyle w:val="P68B1DB1-Normal4"/>
        <w:keepNext/>
        <w:numPr>
          <w:ilvl w:val="0"/>
          <w:numId w:val="22"/>
        </w:numPr>
        <w:spacing w:before="40" w:after="200" w:line="276" w:lineRule="auto"/>
        <w:contextualSpacing/>
        <w:jc w:val="both"/>
        <w:rPr>
          <w:rFonts w:eastAsia="Times New Roman"/>
          <w:noProof/>
        </w:rPr>
      </w:pPr>
      <w:r>
        <w:rPr>
          <w:noProof/>
        </w:rPr>
        <w:t>les interventions dans l’espace public et les infrastructures sociales telles que les crèches et les écoles primaires, les établissements de soins de santé et les installations pour les manifestations sociales et culturelles, les ateliers et/ou les cours de formation; et</w:t>
      </w:r>
    </w:p>
    <w:p w14:paraId="66990B70" w14:textId="77777777" w:rsidR="006C686E" w:rsidRDefault="00B17E8C">
      <w:pPr>
        <w:pStyle w:val="P68B1DB1-Normal4"/>
        <w:keepNext/>
        <w:keepLines/>
        <w:numPr>
          <w:ilvl w:val="0"/>
          <w:numId w:val="22"/>
        </w:numPr>
        <w:spacing w:before="40" w:after="200" w:line="276" w:lineRule="auto"/>
        <w:ind w:left="714" w:hanging="357"/>
        <w:contextualSpacing/>
        <w:jc w:val="both"/>
        <w:rPr>
          <w:rFonts w:eastAsia="Times New Roman"/>
          <w:noProof/>
        </w:rPr>
      </w:pPr>
      <w:r>
        <w:rPr>
          <w:noProof/>
        </w:rPr>
        <w:t xml:space="preserve">Interventions de nature immatérielle visant à promouvoir la cohésion sociale, telles que la participation active des communautés à leur conception et à leur mise en œuvre, la promotion de l’esprit d’entreprise des petites entreprises locales, la conception de projets visant à lutter contre l’échec scolaire et le décrochage scolaire, l’offre de formation professionnelle et la promotion du sport. </w:t>
      </w:r>
    </w:p>
    <w:p w14:paraId="1858B995" w14:textId="77777777" w:rsidR="006C686E" w:rsidRDefault="00B17E8C">
      <w:pPr>
        <w:pStyle w:val="P68B1DB1-Normal4"/>
        <w:keepNext/>
        <w:spacing w:before="40" w:after="0"/>
        <w:jc w:val="both"/>
        <w:rPr>
          <w:rFonts w:eastAsia="Times New Roman"/>
          <w:noProof/>
        </w:rPr>
      </w:pPr>
      <w:r>
        <w:rPr>
          <w:noProof/>
        </w:rPr>
        <w:t xml:space="preserve">Cette réforme sera étayée et structurée conformément à la toute première stratégie nationale de lutte contre la pauvreté (ENCP) du Portugal et aux interventions thématiques pour des groupes spécifiques qui y sont recensés. </w:t>
      </w:r>
    </w:p>
    <w:p w14:paraId="1ED44034" w14:textId="77777777" w:rsidR="006C686E" w:rsidRDefault="00B17E8C">
      <w:pPr>
        <w:pStyle w:val="P68B1DB1-Normal4"/>
        <w:keepNext/>
        <w:spacing w:before="40" w:after="0"/>
        <w:jc w:val="both"/>
        <w:rPr>
          <w:rFonts w:eastAsia="Times New Roman"/>
          <w:noProof/>
        </w:rPr>
      </w:pPr>
      <w:r>
        <w:rPr>
          <w:noProof/>
        </w:rPr>
        <w:t>La réforme est mise en œuvre au moyen de l’investissement RE-C03-i06 — Opérations intégrées dans les communautés défavorisées des zones métropolitaines de Lisbonne et de Porto.</w:t>
      </w:r>
    </w:p>
    <w:p w14:paraId="4FAFD1C6" w14:textId="20705355" w:rsidR="006C686E" w:rsidRDefault="00B17E8C">
      <w:pPr>
        <w:pStyle w:val="P68B1DB1-Normal4"/>
        <w:keepNext/>
        <w:spacing w:before="40" w:after="0"/>
        <w:jc w:val="both"/>
        <w:rPr>
          <w:rFonts w:eastAsia="Times New Roman"/>
          <w:noProof/>
        </w:rPr>
      </w:pPr>
      <w:r>
        <w:rPr>
          <w:noProof/>
        </w:rPr>
        <w:t>Le jalon lié à la mise en œuvre de la réforme est atteint au plus tard le 31 décembre 2021.</w:t>
      </w:r>
    </w:p>
    <w:p w14:paraId="270F6C54" w14:textId="77777777" w:rsidR="006C686E" w:rsidRDefault="00B17E8C">
      <w:pPr>
        <w:pStyle w:val="P68B1DB1-Normal5"/>
        <w:keepNext/>
        <w:spacing w:before="240" w:after="0"/>
        <w:ind w:left="851"/>
        <w:jc w:val="both"/>
        <w:outlineLvl w:val="3"/>
        <w:rPr>
          <w:rFonts w:eastAsia="Times New Roman"/>
          <w:noProof/>
        </w:rPr>
      </w:pPr>
      <w:r>
        <w:rPr>
          <w:noProof/>
        </w:rPr>
        <w:t>Réforme RE-r08: Stratégie nationale de lutte contre la pauvreté</w:t>
      </w:r>
    </w:p>
    <w:p w14:paraId="15BB8C5D" w14:textId="77777777" w:rsidR="006C686E" w:rsidRDefault="00B17E8C">
      <w:pPr>
        <w:pStyle w:val="P68B1DB1-Normal4"/>
        <w:keepNext/>
        <w:spacing w:before="40" w:after="0"/>
        <w:jc w:val="both"/>
        <w:rPr>
          <w:rFonts w:eastAsia="Times New Roman"/>
          <w:noProof/>
        </w:rPr>
      </w:pPr>
      <w:r>
        <w:rPr>
          <w:noProof/>
        </w:rPr>
        <w:t>L'objectif de cette mesure est de lutter contre la pauvreté par le développement d'une approche multidimensionnelle, intégrée, à moyen et long terme.</w:t>
      </w:r>
    </w:p>
    <w:p w14:paraId="570487F4" w14:textId="77777777" w:rsidR="006C686E" w:rsidRDefault="00B17E8C">
      <w:pPr>
        <w:pStyle w:val="P68B1DB1-Normal4"/>
        <w:keepNext/>
        <w:keepLines/>
        <w:spacing w:before="40" w:after="0"/>
        <w:jc w:val="both"/>
        <w:rPr>
          <w:rFonts w:eastAsia="Times New Roman"/>
          <w:noProof/>
        </w:rPr>
      </w:pPr>
      <w:r>
        <w:rPr>
          <w:noProof/>
        </w:rPr>
        <w:t>La réforme consiste en l'adoption de la Stratégie nationale de lutte contre la pauvreté (ENCP). La stratégie fournit le cadre d’interventions thématiques ciblant des groupes spécifiques, des enfants aux personnes âgées, y compris les groupes les plus vulnérables. Il définit les conditions d'élaboration et de mise en œuvre de politiques intégrées axées sur les spécificités de l'exclusion sociale et de la pauvreté au niveau local. En outre, il prévoit également la création d'un cadre de suivi unique pour les indicateurs liés à la pauvreté.</w:t>
      </w:r>
    </w:p>
    <w:p w14:paraId="63E07002" w14:textId="77777777" w:rsidR="006C686E" w:rsidRDefault="00B17E8C">
      <w:pPr>
        <w:pStyle w:val="P68B1DB1-Normal4"/>
        <w:keepNext/>
        <w:spacing w:before="40" w:after="0"/>
        <w:jc w:val="both"/>
        <w:rPr>
          <w:rFonts w:eastAsia="Times New Roman"/>
          <w:noProof/>
        </w:rPr>
      </w:pPr>
      <w:r>
        <w:rPr>
          <w:noProof/>
        </w:rPr>
        <w:t>InvestmentRE-C03-i06 — Les opérations intégrées dans les communautés défavorisées des zones métropolitaines de Lisbonne et de Porto contribueront à la mise en œuvre de la réforme.</w:t>
      </w:r>
    </w:p>
    <w:p w14:paraId="3435EACC" w14:textId="0E9808E6" w:rsidR="006C686E" w:rsidRDefault="00B17E8C">
      <w:pPr>
        <w:pStyle w:val="P68B1DB1-Normal4"/>
        <w:keepNext/>
        <w:spacing w:before="40" w:after="0"/>
        <w:jc w:val="both"/>
        <w:rPr>
          <w:rFonts w:eastAsia="Times New Roman"/>
          <w:noProof/>
        </w:rPr>
      </w:pPr>
      <w:r>
        <w:rPr>
          <w:noProof/>
        </w:rPr>
        <w:t>Le jalon lié à la mise en œuvre de la réforme est atteint au plus tard le 30 septembre 2021.</w:t>
      </w:r>
    </w:p>
    <w:p w14:paraId="137D676F" w14:textId="77777777" w:rsidR="006C686E" w:rsidRDefault="00B17E8C">
      <w:pPr>
        <w:pStyle w:val="P68B1DB1-Normal5"/>
        <w:rPr>
          <w:noProof/>
        </w:rPr>
      </w:pPr>
      <w:r>
        <w:rPr>
          <w:noProof/>
        </w:rPr>
        <w:br w:type="page"/>
      </w:r>
    </w:p>
    <w:p w14:paraId="4CF5C033" w14:textId="77777777" w:rsidR="006C686E" w:rsidRDefault="00B17E8C">
      <w:pPr>
        <w:pStyle w:val="P68B1DB1-Normal5"/>
        <w:keepNext/>
        <w:spacing w:before="240" w:after="0"/>
        <w:ind w:left="851"/>
        <w:jc w:val="both"/>
        <w:outlineLvl w:val="3"/>
        <w:rPr>
          <w:rFonts w:eastAsia="Times New Roman"/>
          <w:noProof/>
        </w:rPr>
      </w:pPr>
      <w:r>
        <w:rPr>
          <w:noProof/>
        </w:rPr>
        <w:t>Investissement RE-C03-i01: Nouvelle génération d'équipements et réponses sociales</w:t>
      </w:r>
    </w:p>
    <w:p w14:paraId="0ADB4B2F" w14:textId="77777777" w:rsidR="006C686E" w:rsidRDefault="00B17E8C">
      <w:pPr>
        <w:pStyle w:val="P68B1DB1-Normal4"/>
        <w:keepNext/>
        <w:keepLines/>
        <w:spacing w:before="40" w:after="0"/>
        <w:jc w:val="both"/>
        <w:rPr>
          <w:rFonts w:eastAsia="Times New Roman"/>
          <w:noProof/>
        </w:rPr>
      </w:pPr>
      <w:r>
        <w:rPr>
          <w:noProof/>
        </w:rPr>
        <w:t>L'objectif de cette mesure est d'étendre les services sociaux.</w:t>
      </w:r>
    </w:p>
    <w:p w14:paraId="19DFF7B5" w14:textId="24BA7F13" w:rsidR="006C686E" w:rsidRDefault="00B17E8C">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Cet investissement consiste</w:t>
      </w:r>
      <w:r>
        <w:rPr>
          <w:rFonts w:ascii="Times New Roman" w:eastAsia="Calibri" w:hAnsi="Times New Roman" w:cs="Times New Roman"/>
          <w:noProof/>
        </w:rPr>
        <w:t xml:space="preserve"> en</w:t>
      </w:r>
      <w:r>
        <w:rPr>
          <w:rFonts w:ascii="Times New Roman" w:eastAsia="Times New Roman" w:hAnsi="Times New Roman" w:cs="Times New Roman"/>
          <w:noProof/>
          <w:color w:val="000000" w:themeColor="text1"/>
        </w:rPr>
        <w:t xml:space="preserve"> la rénovation ou la construction d'installations sociales dans le cadre du programme de requalification et d'expansion du réseau d'installations et de services sociaux, d'équipes d'intervention sociale et de l'équipement des institutions privées de solidarité sociale (IPSS) en véhicules électriques.</w:t>
      </w:r>
    </w:p>
    <w:p w14:paraId="402EA5FB" w14:textId="77777777" w:rsidR="006C686E" w:rsidRDefault="00B17E8C">
      <w:pPr>
        <w:pStyle w:val="P68B1DB1-Normal5"/>
        <w:keepNext/>
        <w:spacing w:before="240" w:after="0"/>
        <w:ind w:left="851"/>
        <w:jc w:val="both"/>
        <w:outlineLvl w:val="3"/>
        <w:rPr>
          <w:rFonts w:eastAsia="Times New Roman"/>
          <w:noProof/>
        </w:rPr>
      </w:pPr>
      <w:r>
        <w:rPr>
          <w:noProof/>
        </w:rPr>
        <w:t>Investissement RE-C03-i02: Accessibilité 360</w:t>
      </w:r>
    </w:p>
    <w:p w14:paraId="58A2761C" w14:textId="77777777" w:rsidR="006C686E" w:rsidRDefault="00B17E8C">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L’objectif de cette mesure est de faciliter les conditions d’accessibilité pour les personnes handicapées. Cet investissement </w:t>
      </w:r>
      <w:r>
        <w:rPr>
          <w:rFonts w:ascii="Times New Roman" w:eastAsia="Calibri" w:hAnsi="Times New Roman" w:cs="Times New Roman"/>
          <w:noProof/>
        </w:rPr>
        <w:t>consiste en l’adaptation de logements, de bâtiments publics et d’espaces</w:t>
      </w:r>
      <w:r>
        <w:rPr>
          <w:rFonts w:ascii="Times New Roman" w:eastAsia="Times New Roman" w:hAnsi="Times New Roman" w:cs="Times New Roman"/>
          <w:noProof/>
          <w:color w:val="000000" w:themeColor="text1"/>
        </w:rPr>
        <w:t xml:space="preserve"> publics.</w:t>
      </w:r>
    </w:p>
    <w:p w14:paraId="6B99E789" w14:textId="77777777" w:rsidR="006C686E" w:rsidRDefault="00B17E8C">
      <w:pPr>
        <w:pStyle w:val="P68B1DB1-Normal5"/>
        <w:keepNext/>
        <w:spacing w:before="240" w:after="0"/>
        <w:ind w:left="851"/>
        <w:jc w:val="both"/>
        <w:outlineLvl w:val="3"/>
        <w:rPr>
          <w:noProof/>
        </w:rPr>
      </w:pPr>
      <w:r>
        <w:rPr>
          <w:noProof/>
        </w:rPr>
        <w:t>Investissement RE-C03-i03-RAM: Réponses sociales dans la région autonome de Madère (ARM)</w:t>
      </w:r>
    </w:p>
    <w:p w14:paraId="0A546B08" w14:textId="77777777" w:rsidR="006C686E" w:rsidRDefault="00B17E8C">
      <w:pPr>
        <w:pStyle w:val="P68B1DB1-Normal4"/>
        <w:keepNext/>
        <w:spacing w:before="40" w:after="0"/>
        <w:jc w:val="both"/>
        <w:rPr>
          <w:rFonts w:eastAsia="Times New Roman"/>
          <w:noProof/>
        </w:rPr>
      </w:pPr>
      <w:r>
        <w:rPr>
          <w:noProof/>
        </w:rPr>
        <w:t>L’objectif de cette mesure est de soutenir les services sociaux dans la région autonome de Madère.</w:t>
      </w:r>
    </w:p>
    <w:p w14:paraId="639AD9E9" w14:textId="77777777" w:rsidR="006C686E" w:rsidRDefault="00B17E8C">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Cet investissement consiste à </w:t>
      </w:r>
      <w:r>
        <w:rPr>
          <w:rFonts w:ascii="Times New Roman" w:eastAsia="Times New Roman" w:hAnsi="Times New Roman" w:cs="Times New Roman"/>
          <w:noProof/>
          <w:color w:val="000000" w:themeColor="text1"/>
        </w:rPr>
        <w:t>construire et à rénover des structures de soutien social pour les personnes âgées ou ayant des besoins spéciaux et les sans-abri.</w:t>
      </w:r>
    </w:p>
    <w:p w14:paraId="46A6AED7" w14:textId="77777777" w:rsidR="006C686E" w:rsidRDefault="00B17E8C">
      <w:pPr>
        <w:pStyle w:val="P68B1DB1-Normal5"/>
        <w:keepNext/>
        <w:spacing w:before="240" w:after="0"/>
        <w:ind w:left="851"/>
        <w:jc w:val="both"/>
        <w:outlineLvl w:val="3"/>
        <w:rPr>
          <w:rFonts w:eastAsia="Times New Roman"/>
          <w:noProof/>
        </w:rPr>
      </w:pPr>
      <w:r>
        <w:rPr>
          <w:noProof/>
        </w:rPr>
        <w:t>Investissement RE-C03-i04-RAA: Stratégie régionale de lutte contre la pauvreté et l’exclusion sociale — Réseaux de soutien social (RAS)</w:t>
      </w:r>
    </w:p>
    <w:p w14:paraId="038E36DD" w14:textId="77777777" w:rsidR="006C686E" w:rsidRDefault="00B17E8C">
      <w:pPr>
        <w:pStyle w:val="P68B1DB1-Normal4"/>
        <w:keepNext/>
        <w:spacing w:before="40" w:after="0" w:line="276" w:lineRule="auto"/>
        <w:contextualSpacing/>
        <w:jc w:val="both"/>
        <w:rPr>
          <w:noProof/>
        </w:rPr>
      </w:pPr>
      <w:r>
        <w:rPr>
          <w:noProof/>
        </w:rPr>
        <w:t>L’objectif de cette mesure est de soutenir les services sociaux et éducatifs dans la région autonome des Açores.</w:t>
      </w:r>
    </w:p>
    <w:p w14:paraId="01DB7E14" w14:textId="1A17A586" w:rsidR="006C686E" w:rsidRDefault="00B17E8C">
      <w:pPr>
        <w:pStyle w:val="P68B1DB1-Normal3"/>
        <w:spacing w:after="200" w:line="276" w:lineRule="auto"/>
        <w:rPr>
          <w:noProof/>
        </w:rPr>
      </w:pPr>
      <w:r>
        <w:rPr>
          <w:noProof/>
          <w:kern w:val="0"/>
          <w14:ligatures w14:val="none"/>
        </w:rPr>
        <w:t>Cet investissement consiste notamment en</w:t>
      </w:r>
      <w:r>
        <w:rPr>
          <w:noProof/>
        </w:rPr>
        <w:t xml:space="preserve"> la fourniture de formations,  la construction et la rénovation de bâtiments, l’attribution de véhicules électriques aux institutions sociales, ainsi que des mesures soutenant </w:t>
      </w:r>
      <w:r>
        <w:rPr>
          <w:noProof/>
          <w:kern w:val="0"/>
          <w14:ligatures w14:val="none"/>
        </w:rPr>
        <w:t>l’accès aux services sociaux et éducatifs</w:t>
      </w:r>
      <w:r>
        <w:rPr>
          <w:noProof/>
        </w:rPr>
        <w:t xml:space="preserve"> pour les enfants, les jeunes, les personnes âgées et les personnes handicapées. </w:t>
      </w:r>
    </w:p>
    <w:p w14:paraId="5C8064CF" w14:textId="77777777" w:rsidR="006C686E" w:rsidRDefault="00B17E8C">
      <w:pPr>
        <w:pStyle w:val="P68B1DB1-Normal5"/>
        <w:keepNext/>
        <w:spacing w:before="240" w:after="0"/>
        <w:ind w:left="851"/>
        <w:jc w:val="both"/>
        <w:outlineLvl w:val="3"/>
        <w:rPr>
          <w:rFonts w:eastAsia="Times New Roman"/>
          <w:noProof/>
        </w:rPr>
      </w:pPr>
      <w:r>
        <w:rPr>
          <w:noProof/>
        </w:rPr>
        <w:t>Investissement RE-C03-i05: Plate-forme + Accès</w:t>
      </w:r>
    </w:p>
    <w:p w14:paraId="44A84519" w14:textId="77777777" w:rsidR="006C686E" w:rsidRDefault="00B17E8C">
      <w:pPr>
        <w:pStyle w:val="P68B1DB1-Normal4"/>
        <w:keepNext/>
        <w:spacing w:before="40" w:after="0" w:line="276" w:lineRule="auto"/>
        <w:contextualSpacing/>
        <w:jc w:val="both"/>
        <w:rPr>
          <w:noProof/>
        </w:rPr>
      </w:pPr>
      <w:r>
        <w:rPr>
          <w:noProof/>
        </w:rPr>
        <w:t xml:space="preserve">L’objectif de cette mesure est de favoriser l’inclusion des personnes handicapées. </w:t>
      </w:r>
    </w:p>
    <w:p w14:paraId="066FB025" w14:textId="77777777" w:rsidR="006C686E" w:rsidRDefault="00B17E8C">
      <w:pPr>
        <w:pStyle w:val="P68B1DB1-Normal29"/>
        <w:keepNext/>
        <w:spacing w:before="40" w:after="0" w:line="276" w:lineRule="auto"/>
        <w:contextualSpacing/>
        <w:jc w:val="both"/>
        <w:rPr>
          <w:rFonts w:eastAsia="Calibri"/>
          <w:noProof/>
        </w:rPr>
      </w:pPr>
      <w:r>
        <w:rPr>
          <w:noProof/>
        </w:rPr>
        <w:t>L’investissement consiste en un site web public qui regroupe et simplifie les informations sur la législation et sur l’aide disponible pour les personnes handicapées, ainsi qu’en un centre d’appels pour l’interprétation de la langue des signes portugaise.</w:t>
      </w:r>
    </w:p>
    <w:p w14:paraId="05C529AD" w14:textId="77777777" w:rsidR="006C686E" w:rsidRDefault="00B17E8C">
      <w:pPr>
        <w:pStyle w:val="P68B1DB1-Normal5"/>
        <w:keepNext/>
        <w:spacing w:before="240" w:after="0"/>
        <w:ind w:left="851"/>
        <w:jc w:val="both"/>
        <w:outlineLvl w:val="3"/>
        <w:rPr>
          <w:rFonts w:eastAsia="Times New Roman"/>
          <w:noProof/>
        </w:rPr>
      </w:pPr>
      <w:r>
        <w:rPr>
          <w:noProof/>
        </w:rPr>
        <w:t>Investissement RE-C03-i06: Interventions sociales dans les communautés défavorisées des zones métropolitaines de Lisbonne et de Porto</w:t>
      </w:r>
    </w:p>
    <w:p w14:paraId="77DC8818" w14:textId="77777777" w:rsidR="006C686E" w:rsidRDefault="00B17E8C">
      <w:pPr>
        <w:pStyle w:val="P68B1DB1-Normal3"/>
        <w:keepNext/>
        <w:spacing w:before="40" w:after="0"/>
        <w:jc w:val="both"/>
        <w:rPr>
          <w:noProof/>
        </w:rPr>
      </w:pPr>
      <w:r>
        <w:rPr>
          <w:noProof/>
          <w:kern w:val="0"/>
          <w14:ligatures w14:val="none"/>
        </w:rPr>
        <w:t xml:space="preserve">L'objectif de cette mesure est de lutter contre la pauvreté et l'exclusion sociale dans les zones métropolitaines de Lisbonne et de Porto et </w:t>
      </w:r>
      <w:r>
        <w:rPr>
          <w:noProof/>
        </w:rPr>
        <w:t>dans d'autres territoires du continent.</w:t>
      </w:r>
    </w:p>
    <w:p w14:paraId="625DEE0A" w14:textId="77777777" w:rsidR="006C686E" w:rsidRDefault="00B17E8C">
      <w:pPr>
        <w:pStyle w:val="P68B1DB1-Normal4"/>
        <w:keepNext/>
        <w:spacing w:before="40" w:after="0"/>
        <w:jc w:val="both"/>
        <w:rPr>
          <w:rFonts w:eastAsia="Times New Roman"/>
          <w:noProof/>
        </w:rPr>
      </w:pPr>
      <w:r>
        <w:rPr>
          <w:noProof/>
        </w:rPr>
        <w:t xml:space="preserve">Cet investissement consiste en un ensemble d'interventions dans les espaces publics, les infrastructures sociales et sportives, les activités sociales et les logements. </w:t>
      </w:r>
    </w:p>
    <w:p w14:paraId="4881D012" w14:textId="77777777" w:rsidR="006C686E" w:rsidRDefault="00B17E8C">
      <w:pPr>
        <w:pStyle w:val="P68B1DB1-Normal5"/>
        <w:keepNext/>
        <w:spacing w:before="240" w:after="0"/>
        <w:ind w:left="851"/>
        <w:jc w:val="both"/>
        <w:outlineLvl w:val="3"/>
        <w:rPr>
          <w:rFonts w:eastAsia="Times New Roman"/>
          <w:noProof/>
        </w:rPr>
      </w:pPr>
      <w:r>
        <w:rPr>
          <w:noProof/>
        </w:rPr>
        <w:t xml:space="preserve">Investissement RE-C03-i07-RAA: Réseau de foyers de soins pour personnes âgées (ERPI) </w:t>
      </w:r>
    </w:p>
    <w:p w14:paraId="37182598" w14:textId="77777777" w:rsidR="006C686E" w:rsidRDefault="00B17E8C">
      <w:pPr>
        <w:pStyle w:val="P68B1DB1-Normal4"/>
        <w:keepNext/>
        <w:spacing w:before="40" w:after="0"/>
        <w:jc w:val="both"/>
        <w:rPr>
          <w:rFonts w:eastAsia="Times New Roman"/>
          <w:noProof/>
        </w:rPr>
      </w:pPr>
      <w:r>
        <w:rPr>
          <w:noProof/>
        </w:rPr>
        <w:t xml:space="preserve">L’objectif de cette mesure est d’apporter un soutien aux personnes âgées dans la région autonome des Açores. </w:t>
      </w:r>
    </w:p>
    <w:p w14:paraId="34671701" w14:textId="77777777" w:rsidR="006C686E" w:rsidRDefault="00B17E8C">
      <w:pPr>
        <w:pStyle w:val="P68B1DB1-Normal4"/>
        <w:keepNext/>
        <w:spacing w:before="40" w:after="0"/>
        <w:jc w:val="both"/>
        <w:rPr>
          <w:rFonts w:eastAsia="Times New Roman"/>
          <w:noProof/>
        </w:rPr>
      </w:pPr>
      <w:r>
        <w:rPr>
          <w:noProof/>
        </w:rPr>
        <w:t xml:space="preserve">Cet investissement consiste à agrandir et à rénover les établissements de soins résidentiels. </w:t>
      </w:r>
    </w:p>
    <w:p w14:paraId="71EA5295" w14:textId="77777777" w:rsidR="006C686E" w:rsidRDefault="006C686E">
      <w:pPr>
        <w:keepNext/>
        <w:spacing w:before="40" w:after="0"/>
        <w:jc w:val="both"/>
        <w:rPr>
          <w:rFonts w:ascii="Times New Roman" w:eastAsia="Times New Roman" w:hAnsi="Times New Roman" w:cs="Times New Roman"/>
          <w:noProof/>
          <w:kern w:val="0"/>
          <w14:ligatures w14:val="none"/>
        </w:rPr>
      </w:pPr>
    </w:p>
    <w:p w14:paraId="456F1A6F" w14:textId="77777777" w:rsidR="006C686E" w:rsidRDefault="00B17E8C">
      <w:pPr>
        <w:pStyle w:val="P68B1DB1-Normal7"/>
        <w:keepNext/>
        <w:spacing w:before="40" w:after="0" w:line="276" w:lineRule="auto"/>
        <w:ind w:left="130" w:firstLine="720"/>
        <w:jc w:val="both"/>
        <w:outlineLvl w:val="1"/>
        <w:rPr>
          <w:noProof/>
        </w:rPr>
      </w:pPr>
      <w:r>
        <w:rPr>
          <w:noProof/>
        </w:rPr>
        <w:t>Réforme RE-C03-r38: Simplification du système de sécurité sociale</w:t>
      </w:r>
    </w:p>
    <w:p w14:paraId="5255FB5A"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L’objectif de cette réforme est de simplifier le système de sécurité sociale du Portugal («Sistema de Segurança Social»). La réforme </w:t>
      </w:r>
      <w:r>
        <w:rPr>
          <w:noProof/>
        </w:rPr>
        <w:t>consiste en l'entrée en vigueur d'un acte juridique sur la prestation sociale unique.</w:t>
      </w:r>
    </w:p>
    <w:p w14:paraId="47987C2B" w14:textId="77777777" w:rsidR="006C686E" w:rsidRDefault="006C686E">
      <w:pPr>
        <w:spacing w:before="120" w:after="120" w:line="240" w:lineRule="auto"/>
        <w:contextualSpacing/>
        <w:jc w:val="both"/>
        <w:rPr>
          <w:rFonts w:ascii="Times New Roman" w:eastAsia="Times New Roman" w:hAnsi="Times New Roman" w:cs="Times New Roman"/>
          <w:noProof/>
          <w:kern w:val="0"/>
          <w14:ligatures w14:val="none"/>
        </w:rPr>
      </w:pPr>
    </w:p>
    <w:p w14:paraId="3FE05A9C" w14:textId="77777777" w:rsidR="006C686E" w:rsidRDefault="006C686E">
      <w:pPr>
        <w:keepNext/>
        <w:spacing w:before="40" w:after="0"/>
        <w:jc w:val="both"/>
        <w:rPr>
          <w:rFonts w:ascii="Times New Roman" w:eastAsia="Calibri" w:hAnsi="Times New Roman" w:cs="Times New Roman"/>
          <w:noProof/>
          <w:kern w:val="0"/>
          <w14:ligatures w14:val="none"/>
        </w:rPr>
        <w:sectPr w:rsidR="006C686E" w:rsidSect="00C95E00">
          <w:headerReference w:type="even" r:id="rId76"/>
          <w:headerReference w:type="default" r:id="rId77"/>
          <w:footerReference w:type="even" r:id="rId78"/>
          <w:footerReference w:type="default" r:id="rId79"/>
          <w:headerReference w:type="first" r:id="rId80"/>
          <w:footerReference w:type="first" r:id="rId81"/>
          <w:pgSz w:w="11907" w:h="16839"/>
          <w:pgMar w:top="1134" w:right="1134" w:bottom="1134" w:left="1134" w:header="567" w:footer="567" w:gutter="0"/>
          <w:cols w:space="720"/>
          <w:docGrid w:linePitch="360"/>
        </w:sectPr>
      </w:pPr>
    </w:p>
    <w:p w14:paraId="1D00D61C" w14:textId="77777777" w:rsidR="006C686E" w:rsidRDefault="00B17E8C">
      <w:pPr>
        <w:pStyle w:val="P68B1DB1-Normal1"/>
        <w:keepNext/>
        <w:spacing w:before="40" w:after="0"/>
        <w:ind w:left="130" w:firstLine="12"/>
        <w:jc w:val="center"/>
        <w:outlineLvl w:val="2"/>
        <w:rPr>
          <w:rFonts w:eastAsia="Times New Roman"/>
          <w:bCs/>
          <w:noProof/>
        </w:rPr>
      </w:pPr>
      <w:r>
        <w:rPr>
          <w:noProof/>
        </w:rPr>
        <w:t>C.2. Étapes, cibles, indicateurs et calendrier pour le suivi et la mise en œuvre du soutien financier non remboursable</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
        <w:gridCol w:w="1439"/>
        <w:gridCol w:w="709"/>
        <w:gridCol w:w="1842"/>
        <w:gridCol w:w="1560"/>
        <w:gridCol w:w="992"/>
        <w:gridCol w:w="992"/>
        <w:gridCol w:w="1134"/>
        <w:gridCol w:w="425"/>
        <w:gridCol w:w="851"/>
        <w:gridCol w:w="4135"/>
      </w:tblGrid>
      <w:tr w:rsidR="006C686E" w14:paraId="3EF5ED02" w14:textId="77777777" w:rsidTr="006E2673">
        <w:trPr>
          <w:trHeight w:val="910"/>
          <w:tblHeader/>
          <w:jc w:val="center"/>
        </w:trPr>
        <w:tc>
          <w:tcPr>
            <w:tcW w:w="110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2AA496D" w14:textId="77777777" w:rsidR="006C686E" w:rsidRDefault="00B17E8C">
            <w:pPr>
              <w:pStyle w:val="P68B1DB1-Normal9"/>
              <w:spacing w:after="0" w:line="240" w:lineRule="auto"/>
              <w:jc w:val="center"/>
              <w:rPr>
                <w:rFonts w:eastAsia="Times New Roman"/>
                <w:bCs/>
                <w:noProof/>
              </w:rPr>
            </w:pPr>
            <w:r>
              <w:rPr>
                <w:noProof/>
              </w:rPr>
              <w:t>Numéro séquentiel</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9CF8588" w14:textId="77777777" w:rsidR="006C686E" w:rsidRDefault="00B17E8C">
            <w:pPr>
              <w:pStyle w:val="P68B1DB1-Normal9"/>
              <w:spacing w:after="0" w:line="240" w:lineRule="auto"/>
              <w:jc w:val="center"/>
              <w:rPr>
                <w:rFonts w:eastAsia="Times New Roman"/>
                <w:bCs/>
                <w:noProof/>
              </w:rPr>
            </w:pPr>
            <w:r>
              <w:rPr>
                <w:noProof/>
              </w:rPr>
              <w:t>Mesure (réforme ou investissement)</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9428F53" w14:textId="77777777" w:rsidR="006C686E" w:rsidRDefault="00B17E8C">
            <w:pPr>
              <w:pStyle w:val="P68B1DB1-Normal9"/>
              <w:spacing w:after="0" w:line="240" w:lineRule="auto"/>
              <w:jc w:val="center"/>
              <w:rPr>
                <w:rFonts w:eastAsia="Times New Roman"/>
                <w:bCs/>
                <w:noProof/>
              </w:rPr>
            </w:pPr>
            <w:r>
              <w:rPr>
                <w:noProof/>
              </w:rPr>
              <w:t>Étape/cible</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9811042" w14:textId="77777777" w:rsidR="006C686E" w:rsidRDefault="00B17E8C">
            <w:pPr>
              <w:pStyle w:val="P68B1DB1-Normal9"/>
              <w:spacing w:after="0" w:line="240" w:lineRule="auto"/>
              <w:jc w:val="center"/>
              <w:rPr>
                <w:rFonts w:eastAsia="Times New Roman"/>
                <w:bCs/>
                <w:noProof/>
              </w:rPr>
            </w:pPr>
            <w:r>
              <w:rPr>
                <w:noProof/>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7599B27" w14:textId="77777777" w:rsidR="006C686E" w:rsidRDefault="00B17E8C">
            <w:pPr>
              <w:pStyle w:val="P68B1DB1-Normal9"/>
              <w:spacing w:after="0" w:line="240" w:lineRule="auto"/>
              <w:jc w:val="center"/>
              <w:rPr>
                <w:rFonts w:eastAsia="Times New Roman"/>
                <w:bCs/>
                <w:noProof/>
              </w:rPr>
            </w:pPr>
            <w:r>
              <w:rPr>
                <w:noProof/>
              </w:rPr>
              <w:t>Indicateurs qualitatifs (pour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3A20594" w14:textId="77777777" w:rsidR="006C686E" w:rsidRDefault="00B17E8C">
            <w:pPr>
              <w:pStyle w:val="P68B1DB1-Normal9"/>
              <w:spacing w:after="0" w:line="240" w:lineRule="auto"/>
              <w:jc w:val="center"/>
              <w:rPr>
                <w:rFonts w:eastAsia="Times New Roman"/>
                <w:bCs/>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9BCD383" w14:textId="77777777" w:rsidR="006C686E" w:rsidRDefault="00B17E8C">
            <w:pPr>
              <w:pStyle w:val="P68B1DB1-Normal9"/>
              <w:spacing w:after="0" w:line="240" w:lineRule="auto"/>
              <w:jc w:val="center"/>
              <w:rPr>
                <w:rFonts w:eastAsia="Times New Roman"/>
                <w:bCs/>
                <w:noProof/>
              </w:rPr>
            </w:pPr>
            <w:r>
              <w:rPr>
                <w:noProof/>
              </w:rPr>
              <w:t>Calendrier indicatif d'achèvement</w:t>
            </w:r>
          </w:p>
        </w:tc>
        <w:tc>
          <w:tcPr>
            <w:tcW w:w="4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C0B0CC7" w14:textId="77777777" w:rsidR="006C686E" w:rsidRDefault="00B17E8C">
            <w:pPr>
              <w:pStyle w:val="P68B1DB1-Normal9"/>
              <w:spacing w:after="0" w:line="240" w:lineRule="auto"/>
              <w:jc w:val="center"/>
              <w:rPr>
                <w:rFonts w:eastAsia="Times New Roman"/>
                <w:bCs/>
                <w:noProof/>
              </w:rPr>
            </w:pPr>
            <w:r>
              <w:rPr>
                <w:noProof/>
              </w:rPr>
              <w:t>Description et définition claire de chaque jalon et cible</w:t>
            </w:r>
          </w:p>
        </w:tc>
      </w:tr>
      <w:tr w:rsidR="006C686E" w14:paraId="4E45576D" w14:textId="77777777" w:rsidTr="006E2673">
        <w:trPr>
          <w:trHeight w:val="470"/>
          <w:tblHeader/>
          <w:jc w:val="center"/>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7B9240D6"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34CE4D26"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9728AEF" w14:textId="77777777" w:rsidR="006C686E" w:rsidRDefault="006C686E">
            <w:pPr>
              <w:spacing w:after="0" w:line="240" w:lineRule="auto"/>
              <w:jc w:val="center"/>
              <w:rPr>
                <w:rFonts w:ascii="Times New Roman" w:eastAsia="Times New Roman" w:hAnsi="Times New Roman" w:cs="Times New Roman"/>
                <w:b/>
                <w:bCs/>
                <w:noProof/>
                <w:kern w:val="0"/>
                <w:sz w:val="18"/>
                <w:szCs w:val="18"/>
                <w14:ligatures w14:val="none"/>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A48F4BF"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BE2423E"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2140BDC" w14:textId="77777777" w:rsidR="006C686E" w:rsidRDefault="00B17E8C">
            <w:pPr>
              <w:pStyle w:val="P68B1DB1-Normal9"/>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617A766" w14:textId="77777777" w:rsidR="006C686E" w:rsidRDefault="00B17E8C">
            <w:pPr>
              <w:pStyle w:val="P68B1DB1-Normal9"/>
              <w:spacing w:after="0" w:line="240" w:lineRule="auto"/>
              <w:jc w:val="center"/>
              <w:rPr>
                <w:rFonts w:eastAsia="Times New Roman"/>
                <w:bCs/>
                <w:noProof/>
              </w:rPr>
            </w:pPr>
            <w:r>
              <w:rPr>
                <w:noProof/>
              </w:rPr>
              <w:t>Données de référence</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47DE1E6" w14:textId="77777777" w:rsidR="006C686E" w:rsidRDefault="00B17E8C">
            <w:pPr>
              <w:pStyle w:val="P68B1DB1-Normal9"/>
              <w:spacing w:after="0" w:line="240" w:lineRule="auto"/>
              <w:jc w:val="center"/>
              <w:rPr>
                <w:rFonts w:eastAsia="Times New Roman"/>
                <w:bCs/>
                <w:noProof/>
              </w:rPr>
            </w:pPr>
            <w:r>
              <w:rPr>
                <w:noProof/>
              </w:rPr>
              <w:t>Objectif</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C503056" w14:textId="77777777" w:rsidR="006C686E" w:rsidRDefault="00B17E8C">
            <w:pPr>
              <w:pStyle w:val="P68B1DB1-Normal9"/>
              <w:spacing w:after="0" w:line="240" w:lineRule="auto"/>
              <w:jc w:val="center"/>
              <w:rPr>
                <w:rFonts w:eastAsia="Times New Roman"/>
                <w:bCs/>
                <w:noProof/>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B5B2FC7" w14:textId="77777777" w:rsidR="006C686E" w:rsidRDefault="00B17E8C">
            <w:pPr>
              <w:pStyle w:val="P68B1DB1-Normal9"/>
              <w:spacing w:after="0" w:line="240" w:lineRule="auto"/>
              <w:jc w:val="center"/>
              <w:rPr>
                <w:rFonts w:eastAsia="Times New Roman"/>
                <w:bCs/>
                <w:noProof/>
              </w:rPr>
            </w:pPr>
            <w:r>
              <w:rPr>
                <w:noProof/>
              </w:rPr>
              <w:t>Année</w:t>
            </w:r>
          </w:p>
        </w:tc>
        <w:tc>
          <w:tcPr>
            <w:tcW w:w="4135" w:type="dxa"/>
            <w:vMerge/>
            <w:tcBorders>
              <w:top w:val="single" w:sz="4" w:space="0" w:color="auto"/>
              <w:left w:val="single" w:sz="4" w:space="0" w:color="auto"/>
              <w:bottom w:val="single" w:sz="4" w:space="0" w:color="auto"/>
              <w:right w:val="single" w:sz="4" w:space="0" w:color="auto"/>
            </w:tcBorders>
            <w:vAlign w:val="center"/>
            <w:hideMark/>
          </w:tcPr>
          <w:p w14:paraId="3444CBA5"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r>
      <w:tr w:rsidR="006C686E" w14:paraId="1871B3D1" w14:textId="77777777" w:rsidTr="006E2673">
        <w:trPr>
          <w:trHeight w:val="64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537CC4F" w14:textId="77777777" w:rsidR="006C686E" w:rsidRDefault="00B17E8C">
            <w:pPr>
              <w:pStyle w:val="P68B1DB1-Normal10"/>
              <w:spacing w:after="0" w:line="240" w:lineRule="auto"/>
              <w:jc w:val="center"/>
              <w:rPr>
                <w:rFonts w:eastAsia="Times New Roman"/>
                <w:bCs/>
                <w:noProof/>
              </w:rPr>
            </w:pPr>
            <w:r>
              <w:rPr>
                <w:noProof/>
              </w:rPr>
              <w:t>3.1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5D920" w14:textId="77777777" w:rsidR="006C686E" w:rsidRDefault="00B17E8C">
            <w:pPr>
              <w:pStyle w:val="P68B1DB1-Normal11"/>
              <w:spacing w:after="0" w:line="240" w:lineRule="auto"/>
              <w:jc w:val="center"/>
              <w:rPr>
                <w:rFonts w:eastAsia="Times New Roman"/>
                <w:noProof/>
              </w:rPr>
            </w:pPr>
            <w:r>
              <w:rPr>
                <w:noProof/>
              </w:rPr>
              <w:t>RE-C03-i01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878613"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32F84DC" w14:textId="77777777" w:rsidR="006C686E" w:rsidRDefault="00B17E8C">
            <w:pPr>
              <w:pStyle w:val="P68B1DB1-Normal11"/>
              <w:spacing w:after="0" w:line="240" w:lineRule="auto"/>
              <w:jc w:val="center"/>
              <w:rPr>
                <w:rFonts w:eastAsia="Times New Roman"/>
                <w:noProof/>
              </w:rPr>
            </w:pPr>
            <w:r>
              <w:rPr>
                <w:noProof/>
              </w:rPr>
              <w:t>Véhicules électriques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08AC6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CC073A" w14:textId="67178128" w:rsidR="006C686E" w:rsidRDefault="00B17E8C">
            <w:pPr>
              <w:pStyle w:val="P68B1DB1-Normal11"/>
              <w:spacing w:after="0" w:line="240" w:lineRule="auto"/>
              <w:jc w:val="center"/>
              <w:rPr>
                <w:rFonts w:eastAsia="Times New Roman"/>
                <w:noProof/>
              </w:rPr>
            </w:pPr>
            <w:r>
              <w:rPr>
                <w:noProof/>
              </w:rPr>
              <w:t>Nombre de véhicules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3E11F0"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43042C" w14:textId="77777777"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 xml:space="preserve">2 </w:t>
            </w:r>
            <w:r>
              <w:rPr>
                <w:noProof/>
              </w:rPr>
              <w:t>0</w:t>
            </w:r>
            <w:r>
              <w:rPr>
                <w:noProof/>
                <w:kern w:val="0"/>
                <w14:ligatures w14:val="none"/>
              </w:rPr>
              <w:t>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03D99D"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C01668" w14:textId="77777777"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1F7FAD" w14:textId="707FA5B5" w:rsidR="006C686E" w:rsidRDefault="00B17E8C">
            <w:pPr>
              <w:pStyle w:val="P68B1DB1-Normal13"/>
              <w:spacing w:after="0" w:line="240" w:lineRule="auto"/>
              <w:jc w:val="both"/>
              <w:rPr>
                <w:rFonts w:eastAsia="Times New Roman"/>
                <w:noProof/>
                <w:kern w:val="0"/>
                <w14:ligatures w14:val="none"/>
              </w:rPr>
            </w:pPr>
            <w:r>
              <w:rPr>
                <w:noProof/>
              </w:rPr>
              <w:t xml:space="preserve">Institutions privées de solidarité sociale (IPSS) ou entités similaires (par exemple, centres de jour, refuges ou maisons de soutien) équipées de </w:t>
            </w:r>
            <w:r>
              <w:rPr>
                <w:noProof/>
                <w:kern w:val="0"/>
                <w14:ligatures w14:val="none"/>
              </w:rPr>
              <w:t>2 </w:t>
            </w:r>
            <w:r>
              <w:rPr>
                <w:noProof/>
              </w:rPr>
              <w:t>0</w:t>
            </w:r>
            <w:r>
              <w:rPr>
                <w:noProof/>
                <w:kern w:val="0"/>
                <w14:ligatures w14:val="none"/>
              </w:rPr>
              <w:t xml:space="preserve"> 00 </w:t>
            </w:r>
            <w:r>
              <w:rPr>
                <w:noProof/>
              </w:rPr>
              <w:t>véhicules électriques.</w:t>
            </w:r>
          </w:p>
        </w:tc>
      </w:tr>
      <w:tr w:rsidR="006C686E" w14:paraId="131251C6" w14:textId="77777777" w:rsidTr="006E2673">
        <w:trPr>
          <w:trHeight w:val="79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D0C1398" w14:textId="77777777" w:rsidR="006C686E" w:rsidRDefault="00B17E8C">
            <w:pPr>
              <w:pStyle w:val="P68B1DB1-Normal10"/>
              <w:spacing w:after="0" w:line="240" w:lineRule="auto"/>
              <w:jc w:val="center"/>
              <w:rPr>
                <w:rFonts w:eastAsia="Times New Roman"/>
                <w:bCs/>
                <w:noProof/>
              </w:rPr>
            </w:pPr>
            <w:r>
              <w:rPr>
                <w:noProof/>
              </w:rPr>
              <w:t>3.2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5890AD" w14:textId="77777777" w:rsidR="006C686E" w:rsidRDefault="00B17E8C">
            <w:pPr>
              <w:pStyle w:val="P68B1DB1-Normal11"/>
              <w:spacing w:after="0" w:line="240" w:lineRule="auto"/>
              <w:jc w:val="center"/>
              <w:rPr>
                <w:rFonts w:eastAsia="Times New Roman"/>
                <w:noProof/>
              </w:rPr>
            </w:pPr>
            <w:r>
              <w:rPr>
                <w:noProof/>
              </w:rPr>
              <w:t>RE-C03-i01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B30A3F"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9D0513" w14:textId="77777777" w:rsidR="006C686E" w:rsidRDefault="00B17E8C">
            <w:pPr>
              <w:pStyle w:val="P68B1DB1-Normal11"/>
              <w:spacing w:after="0" w:line="240" w:lineRule="auto"/>
              <w:jc w:val="center"/>
              <w:rPr>
                <w:rFonts w:eastAsia="Times New Roman"/>
                <w:noProof/>
              </w:rPr>
            </w:pPr>
            <w:r>
              <w:rPr>
                <w:noProof/>
              </w:rPr>
              <w:t>Création des équipes d'intervention sociale (Radar Social)</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D8A336"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FA2B62"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5EFD22"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21D37A" w14:textId="77777777" w:rsidR="006C686E" w:rsidRDefault="00B17E8C">
            <w:pPr>
              <w:pStyle w:val="P68B1DB1-Normal11"/>
              <w:spacing w:after="0" w:line="240" w:lineRule="auto"/>
              <w:jc w:val="center"/>
              <w:rPr>
                <w:rFonts w:eastAsia="Times New Roman"/>
                <w:noProof/>
              </w:rPr>
            </w:pPr>
            <w:r>
              <w:rPr>
                <w:noProof/>
              </w:rPr>
              <w:t>278</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BAA5CC"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77389B" w14:textId="77777777" w:rsidR="006C686E" w:rsidRDefault="00B17E8C">
            <w:pPr>
              <w:pStyle w:val="P68B1DB1-Normal11"/>
              <w:spacing w:after="0" w:line="240" w:lineRule="auto"/>
              <w:jc w:val="center"/>
              <w:rPr>
                <w:rFonts w:eastAsia="Times New Roman"/>
                <w:noProof/>
              </w:rPr>
            </w:pPr>
            <w:r>
              <w:rPr>
                <w:noProof/>
              </w:rPr>
              <w:t>2024</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C386AD" w14:textId="31AB5E1C" w:rsidR="006C686E" w:rsidRDefault="00B17E8C">
            <w:pPr>
              <w:pStyle w:val="P68B1DB1-Normal11"/>
              <w:spacing w:after="0" w:line="240" w:lineRule="auto"/>
              <w:jc w:val="both"/>
              <w:rPr>
                <w:rFonts w:eastAsia="Times New Roman"/>
                <w:noProof/>
              </w:rPr>
            </w:pPr>
            <w:r>
              <w:rPr>
                <w:noProof/>
              </w:rPr>
              <w:t>Conditions d'acceptation signées par les municipalités pour créer 278 équipes d'intervention sociale au Portugal continental.</w:t>
            </w:r>
          </w:p>
        </w:tc>
      </w:tr>
      <w:tr w:rsidR="006C686E" w14:paraId="223621DE" w14:textId="77777777" w:rsidTr="006E2673">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D7D1E0" w14:textId="77777777" w:rsidR="006C686E" w:rsidRDefault="00B17E8C">
            <w:pPr>
              <w:pStyle w:val="P68B1DB1-Normal10"/>
              <w:spacing w:after="0" w:line="240" w:lineRule="auto"/>
              <w:jc w:val="center"/>
              <w:rPr>
                <w:rFonts w:eastAsia="Times New Roman"/>
                <w:bCs/>
                <w:noProof/>
              </w:rPr>
            </w:pPr>
            <w:r>
              <w:rPr>
                <w:noProof/>
              </w:rPr>
              <w:t>3.3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9B5A03" w14:textId="77777777" w:rsidR="006C686E" w:rsidRDefault="00B17E8C">
            <w:pPr>
              <w:pStyle w:val="P68B1DB1-Normal11"/>
              <w:spacing w:after="0" w:line="240" w:lineRule="auto"/>
              <w:jc w:val="center"/>
              <w:rPr>
                <w:rFonts w:eastAsia="Times New Roman"/>
                <w:noProof/>
              </w:rPr>
            </w:pPr>
            <w:r>
              <w:rPr>
                <w:noProof/>
              </w:rPr>
              <w:t>RE-C03-i01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D9048D"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90586E" w14:textId="77777777" w:rsidR="006C686E" w:rsidRDefault="00B17E8C">
            <w:pPr>
              <w:pStyle w:val="P68B1DB1-Normal11"/>
              <w:spacing w:after="0" w:line="240" w:lineRule="auto"/>
              <w:jc w:val="center"/>
              <w:rPr>
                <w:rFonts w:eastAsia="Times New Roman"/>
                <w:noProof/>
              </w:rPr>
            </w:pPr>
            <w:r>
              <w:rPr>
                <w:noProof/>
              </w:rPr>
              <w:t>Attribution de contrats de soutien à des organismes de promotion pour la création et l'expansion du réseau d'infrastructures sociales/réponses sociales.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9D718A" w14:textId="77777777" w:rsidR="006C686E" w:rsidRDefault="00B17E8C">
            <w:pPr>
              <w:pStyle w:val="P68B1DB1-Normal11"/>
              <w:spacing w:after="0" w:line="240" w:lineRule="auto"/>
              <w:jc w:val="center"/>
              <w:rPr>
                <w:rFonts w:eastAsia="Times New Roman"/>
                <w:noProof/>
              </w:rPr>
            </w:pPr>
            <w:r>
              <w:rPr>
                <w:noProof/>
              </w:rPr>
              <w:t>Attribution de contrats de soutien aux organismes de promotion du réseau des structures/réponses sociales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19A574"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ED49AE"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305954"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DF9913"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004927" w14:textId="77777777" w:rsidR="006C686E" w:rsidRDefault="00B17E8C">
            <w:pPr>
              <w:pStyle w:val="P68B1DB1-Normal11"/>
              <w:spacing w:after="0" w:line="240" w:lineRule="auto"/>
              <w:jc w:val="center"/>
              <w:rPr>
                <w:rFonts w:eastAsia="Times New Roman"/>
                <w:noProof/>
              </w:rPr>
            </w:pPr>
            <w:r>
              <w:rPr>
                <w:noProof/>
              </w:rPr>
              <w:t>2022</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03573A" w14:textId="55864832" w:rsidR="006C686E" w:rsidRDefault="00B17E8C">
            <w:pPr>
              <w:pStyle w:val="P68B1DB1-Normal11"/>
              <w:spacing w:after="0" w:line="240" w:lineRule="auto"/>
              <w:jc w:val="both"/>
              <w:rPr>
                <w:rFonts w:eastAsia="Times New Roman"/>
                <w:noProof/>
              </w:rPr>
            </w:pPr>
            <w:r>
              <w:rPr>
                <w:noProof/>
              </w:rPr>
              <w:t>Attribution d’un contrat de soutien à des organismes de promotion qui ont postulé au concours pour la création et l’expansion du réseau d’infrastructures sociales/de réponses sociales (couvrant les enfants, les personnes âgées, les personnes handicapées et autres) et qui ont été jugés conformes au règlement défini, dans les limites de l’enveloppe disponible. En cas de nouvelle construction de bâtiments, la procédure d’appel d’offres garantit que les nouveaux bâtiments ont une demande d’énergie primaire inférieure d’au moins 20 % aux exigences des bâtiments dont la consommation d’énergie est quasi nulle.</w:t>
            </w:r>
          </w:p>
        </w:tc>
      </w:tr>
      <w:tr w:rsidR="006C686E" w14:paraId="38A8D64E" w14:textId="77777777" w:rsidTr="006E2673">
        <w:trPr>
          <w:trHeight w:val="130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1BDF44E" w14:textId="77777777" w:rsidR="006C686E" w:rsidRDefault="00B17E8C">
            <w:pPr>
              <w:pStyle w:val="P68B1DB1-Normal10"/>
              <w:spacing w:after="0" w:line="240" w:lineRule="auto"/>
              <w:jc w:val="center"/>
              <w:rPr>
                <w:rFonts w:eastAsia="Times New Roman"/>
                <w:bCs/>
                <w:noProof/>
              </w:rPr>
            </w:pPr>
            <w:r>
              <w:rPr>
                <w:noProof/>
              </w:rPr>
              <w:t>3.4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51FFB8" w14:textId="77777777" w:rsidR="006C686E" w:rsidRDefault="00B17E8C">
            <w:pPr>
              <w:pStyle w:val="P68B1DB1-Normal11"/>
              <w:spacing w:after="0" w:line="240" w:lineRule="auto"/>
              <w:jc w:val="center"/>
              <w:rPr>
                <w:rFonts w:eastAsia="Times New Roman"/>
                <w:noProof/>
              </w:rPr>
            </w:pPr>
            <w:r>
              <w:rPr>
                <w:noProof/>
              </w:rPr>
              <w:t>RE-C03-i01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C1634"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7C92FE" w14:textId="77777777" w:rsidR="006C686E" w:rsidRDefault="00B17E8C">
            <w:pPr>
              <w:pStyle w:val="P68B1DB1-Normal11"/>
              <w:spacing w:after="0" w:line="240" w:lineRule="auto"/>
              <w:jc w:val="center"/>
              <w:rPr>
                <w:rFonts w:eastAsia="Times New Roman"/>
                <w:noProof/>
              </w:rPr>
            </w:pPr>
            <w:r>
              <w:rPr>
                <w:noProof/>
              </w:rPr>
              <w:t>Programme de requalification et d'expansion du réseau d'installations et de services sociaux</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200CC3"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9683A8"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45B6BF"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809ABF" w14:textId="77777777" w:rsidR="006C686E" w:rsidRDefault="00B17E8C">
            <w:pPr>
              <w:pStyle w:val="P68B1DB1-Normal27"/>
              <w:spacing w:after="0" w:line="240" w:lineRule="auto"/>
              <w:jc w:val="center"/>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28</w:t>
            </w:r>
            <w:r>
              <w:rPr>
                <w:rFonts w:ascii="Times New Roman" w:hAnsi="Times New Roman" w:cs="Times New Roman"/>
                <w:noProof/>
              </w:rPr>
              <w:t xml:space="preserve"> </w:t>
            </w:r>
            <w:r>
              <w:rPr>
                <w:rFonts w:ascii="Times New Roman" w:eastAsia="Calibri" w:hAnsi="Times New Roman" w:cs="Times New Roman"/>
                <w:noProof/>
                <w:kern w:val="0"/>
                <w14:ligatures w14:val="none"/>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BD77AA"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AA48C47" w14:textId="77777777"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EFA564" w14:textId="273A63D1" w:rsidR="006C686E" w:rsidRDefault="00B17E8C">
            <w:pPr>
              <w:pStyle w:val="P68B1DB1-Normal27"/>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Au moins 28</w:t>
            </w:r>
            <w:r>
              <w:rPr>
                <w:rFonts w:ascii="Times New Roman" w:hAnsi="Times New Roman" w:cs="Times New Roman"/>
                <w:noProof/>
              </w:rPr>
              <w:t> </w:t>
            </w:r>
            <w:r>
              <w:rPr>
                <w:rFonts w:ascii="Times New Roman" w:eastAsia="Calibri" w:hAnsi="Times New Roman" w:cs="Times New Roman"/>
                <w:noProof/>
                <w:kern w:val="0"/>
                <w14:ligatures w14:val="none"/>
              </w:rPr>
              <w:t>000 places nouvelles ou rénovées dans le cadre du programme de requalification et d’expansion du réseau d’infrastructures et de services sociaux.</w:t>
            </w:r>
          </w:p>
        </w:tc>
      </w:tr>
      <w:tr w:rsidR="006C686E" w14:paraId="1FCB3925" w14:textId="77777777" w:rsidTr="006E2673">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32342B" w14:textId="77777777" w:rsidR="006C686E" w:rsidRDefault="00B17E8C">
            <w:pPr>
              <w:pStyle w:val="P68B1DB1-Normal10"/>
              <w:spacing w:after="0" w:line="240" w:lineRule="auto"/>
              <w:jc w:val="center"/>
              <w:rPr>
                <w:rFonts w:eastAsia="Times New Roman"/>
                <w:bCs/>
                <w:noProof/>
              </w:rPr>
            </w:pPr>
            <w:r>
              <w:rPr>
                <w:noProof/>
              </w:rPr>
              <w:t>3.6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083A8C" w14:textId="77777777" w:rsidR="006C686E" w:rsidRDefault="00B17E8C">
            <w:pPr>
              <w:pStyle w:val="P68B1DB1-Normal11"/>
              <w:spacing w:after="0" w:line="240" w:lineRule="auto"/>
              <w:jc w:val="center"/>
              <w:rPr>
                <w:rFonts w:eastAsia="Times New Roman"/>
                <w:noProof/>
              </w:rPr>
            </w:pPr>
            <w:r>
              <w:rPr>
                <w:noProof/>
              </w:rPr>
              <w:t>RE-C03-i02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BB0067" w14:textId="77777777" w:rsidR="006C686E" w:rsidRDefault="00B17E8C">
            <w:pPr>
              <w:pStyle w:val="P68B1DB1-Normal11"/>
              <w:spacing w:after="0" w:line="240" w:lineRule="auto"/>
              <w:jc w:val="center"/>
              <w:rPr>
                <w:rFonts w:eastAsia="Times New Roman"/>
                <w:noProof/>
              </w:rPr>
            </w:pPr>
            <w:r>
              <w:rPr>
                <w:noProof/>
              </w:rPr>
              <w:t> 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0B2658" w14:textId="77777777" w:rsidR="006C686E" w:rsidRDefault="00B17E8C">
            <w:pPr>
              <w:pStyle w:val="P68B1DB1-Normal11"/>
              <w:spacing w:after="0" w:line="240" w:lineRule="auto"/>
              <w:jc w:val="center"/>
              <w:rPr>
                <w:rFonts w:eastAsia="Times New Roman"/>
                <w:noProof/>
              </w:rPr>
            </w:pPr>
            <w:r>
              <w:rPr>
                <w:noProof/>
              </w:rPr>
              <w:t xml:space="preserve">Logements avec une meilleure accessibilité pour les personnes handicapées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CAB6EA"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D80AA5"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1D3B66"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7CA1A1" w14:textId="77777777" w:rsidR="006C686E" w:rsidRDefault="00B17E8C">
            <w:pPr>
              <w:pStyle w:val="P68B1DB1-Normal11"/>
              <w:spacing w:after="0" w:line="240" w:lineRule="auto"/>
              <w:jc w:val="center"/>
              <w:rPr>
                <w:rFonts w:eastAsia="Times New Roman"/>
                <w:noProof/>
              </w:rPr>
            </w:pPr>
            <w:r>
              <w:rPr>
                <w:noProof/>
              </w:rPr>
              <w:t>190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5174B4"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F707B7" w14:textId="77777777" w:rsidR="006C686E" w:rsidRDefault="00B17E8C">
            <w:pPr>
              <w:pStyle w:val="P68B1DB1-Normal11"/>
              <w:spacing w:after="0" w:line="240" w:lineRule="auto"/>
              <w:jc w:val="center"/>
              <w:rPr>
                <w:rFonts w:eastAsia="Times New Roman"/>
                <w:noProof/>
              </w:rPr>
            </w:pPr>
            <w:r>
              <w:rPr>
                <w:noProof/>
              </w:rPr>
              <w:t>2024</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EFC7A8" w14:textId="77777777" w:rsidR="006C686E" w:rsidRDefault="00B17E8C">
            <w:pPr>
              <w:pStyle w:val="P68B1DB1-Normal11"/>
              <w:spacing w:after="0" w:line="240" w:lineRule="auto"/>
              <w:jc w:val="both"/>
              <w:rPr>
                <w:rFonts w:eastAsia="Times New Roman"/>
                <w:noProof/>
              </w:rPr>
            </w:pPr>
            <w:r>
              <w:rPr>
                <w:noProof/>
              </w:rPr>
              <w:t>Nombre de logements bénéficiant d’interventions visant à améliorer les conditions d’accessibilité pour les personnes handicapées.</w:t>
            </w:r>
          </w:p>
        </w:tc>
      </w:tr>
      <w:tr w:rsidR="006C686E" w14:paraId="6B7AE08D" w14:textId="77777777" w:rsidTr="006E2673">
        <w:trPr>
          <w:trHeight w:val="79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25C145C" w14:textId="77777777" w:rsidR="006C686E" w:rsidRDefault="00B17E8C">
            <w:pPr>
              <w:pStyle w:val="P68B1DB1-Normal10"/>
              <w:spacing w:after="0" w:line="240" w:lineRule="auto"/>
              <w:jc w:val="center"/>
              <w:rPr>
                <w:rFonts w:eastAsia="Times New Roman"/>
                <w:bCs/>
                <w:noProof/>
              </w:rPr>
            </w:pPr>
            <w:r>
              <w:rPr>
                <w:noProof/>
              </w:rPr>
              <w:t>3.7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85F80C" w14:textId="77777777" w:rsidR="006C686E" w:rsidRDefault="00B17E8C">
            <w:pPr>
              <w:pStyle w:val="P68B1DB1-Normal11"/>
              <w:spacing w:after="0" w:line="240" w:lineRule="auto"/>
              <w:jc w:val="center"/>
              <w:rPr>
                <w:rFonts w:eastAsia="Times New Roman"/>
                <w:noProof/>
              </w:rPr>
            </w:pPr>
            <w:r>
              <w:rPr>
                <w:noProof/>
              </w:rPr>
              <w:t>RE-C03-i02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89AA0A"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4D3EFC" w14:textId="77777777" w:rsidR="006C686E" w:rsidRDefault="00B17E8C">
            <w:pPr>
              <w:pStyle w:val="P68B1DB1-Normal11"/>
              <w:spacing w:after="0" w:line="240" w:lineRule="auto"/>
              <w:jc w:val="center"/>
              <w:rPr>
                <w:rFonts w:eastAsia="Times New Roman"/>
                <w:noProof/>
              </w:rPr>
            </w:pPr>
            <w:r>
              <w:rPr>
                <w:noProof/>
              </w:rPr>
              <w:t xml:space="preserve">Logements et équipements de service public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764568"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516400"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7616D7" w14:textId="77777777" w:rsidR="006C686E" w:rsidRDefault="00B17E8C">
            <w:pPr>
              <w:pStyle w:val="P68B1DB1-Normal11"/>
              <w:spacing w:after="0" w:line="240" w:lineRule="auto"/>
              <w:jc w:val="center"/>
              <w:rPr>
                <w:rFonts w:eastAsia="Times New Roman"/>
                <w:noProof/>
              </w:rPr>
            </w:pPr>
            <w:r>
              <w:rPr>
                <w:noProof/>
              </w:rPr>
              <w:t>190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56EA7A" w14:textId="77777777" w:rsidR="006C686E" w:rsidRDefault="00B17E8C">
            <w:pPr>
              <w:pStyle w:val="P68B1DB1-Normal26"/>
              <w:spacing w:after="0" w:line="240" w:lineRule="auto"/>
              <w:jc w:val="center"/>
              <w:rPr>
                <w:rFonts w:eastAsia="Times New Roman"/>
                <w:noProof/>
                <w:kern w:val="0"/>
                <w14:ligatures w14:val="none"/>
              </w:rPr>
            </w:pPr>
            <w:r>
              <w:rPr>
                <w:noProof/>
              </w:rPr>
              <w:t>1 250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6E4940" w14:textId="2BCC3EBB"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FCEAB3" w14:textId="558F488D"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C4B5AF" w14:textId="74DF2109" w:rsidR="006C686E" w:rsidRDefault="00B17E8C">
            <w:pPr>
              <w:pStyle w:val="P68B1DB1-Normal13"/>
              <w:spacing w:after="0" w:line="240" w:lineRule="auto"/>
              <w:jc w:val="both"/>
              <w:rPr>
                <w:rFonts w:eastAsia="Times New Roman"/>
                <w:noProof/>
                <w:kern w:val="0"/>
                <w14:ligatures w14:val="none"/>
              </w:rPr>
            </w:pPr>
            <w:r>
              <w:rPr>
                <w:noProof/>
                <w:kern w:val="0"/>
                <w14:ligatures w14:val="none"/>
              </w:rPr>
              <w:t>Nombre de logements ou d’installations</w:t>
            </w:r>
            <w:r>
              <w:rPr>
                <w:noProof/>
              </w:rPr>
              <w:t xml:space="preserve"> de service public bénéficiant</w:t>
            </w:r>
            <w:r>
              <w:rPr>
                <w:noProof/>
                <w:kern w:val="0"/>
                <w14:ligatures w14:val="none"/>
              </w:rPr>
              <w:t xml:space="preserve"> d’interventions</w:t>
            </w:r>
            <w:r>
              <w:rPr>
                <w:noProof/>
              </w:rPr>
              <w:t xml:space="preserve"> au titre du programme d’intervention en matière de logement ou du programme d’intervention en matière de bâtiments publics.</w:t>
            </w:r>
            <w:r>
              <w:rPr>
                <w:noProof/>
                <w:kern w:val="0"/>
                <w14:ligatures w14:val="none"/>
              </w:rPr>
              <w:t xml:space="preserve"> </w:t>
            </w:r>
          </w:p>
        </w:tc>
      </w:tr>
      <w:tr w:rsidR="006C686E" w14:paraId="1EE7A036" w14:textId="77777777" w:rsidTr="006E2673">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405633A" w14:textId="77777777" w:rsidR="006C686E" w:rsidRDefault="00B17E8C">
            <w:pPr>
              <w:pStyle w:val="P68B1DB1-Normal10"/>
              <w:spacing w:after="0" w:line="240" w:lineRule="auto"/>
              <w:jc w:val="center"/>
              <w:rPr>
                <w:rFonts w:eastAsia="Times New Roman"/>
                <w:bCs/>
                <w:noProof/>
              </w:rPr>
            </w:pPr>
            <w:r>
              <w:rPr>
                <w:noProof/>
              </w:rPr>
              <w:t>3.8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BC9863" w14:textId="77777777" w:rsidR="006C686E" w:rsidRDefault="00B17E8C">
            <w:pPr>
              <w:pStyle w:val="P68B1DB1-Normal11"/>
              <w:spacing w:after="0" w:line="240" w:lineRule="auto"/>
              <w:jc w:val="center"/>
              <w:rPr>
                <w:rFonts w:eastAsia="Times New Roman"/>
                <w:noProof/>
              </w:rPr>
            </w:pPr>
            <w:r>
              <w:rPr>
                <w:noProof/>
              </w:rPr>
              <w:t>RE-C03-i02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2EF286"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1AA904" w14:textId="2F0351FA" w:rsidR="006C686E" w:rsidRDefault="00B17E8C">
            <w:pPr>
              <w:pStyle w:val="P68B1DB1-Normal13"/>
              <w:spacing w:after="0" w:line="240" w:lineRule="auto"/>
              <w:jc w:val="center"/>
              <w:rPr>
                <w:rFonts w:eastAsia="Times New Roman"/>
                <w:noProof/>
                <w:kern w:val="0"/>
                <w14:ligatures w14:val="none"/>
              </w:rPr>
            </w:pPr>
            <w:r>
              <w:rPr>
                <w:noProof/>
              </w:rPr>
              <w:t xml:space="preserve">Programme d'intervention par la voie </w:t>
            </w:r>
            <w:r>
              <w:rPr>
                <w:noProof/>
                <w:kern w:val="0"/>
                <w14:ligatures w14:val="none"/>
              </w:rPr>
              <w:t xml:space="preserve">publique </w:t>
            </w:r>
            <w:r>
              <w:rPr>
                <w:noProof/>
              </w:rPr>
              <w:t xml:space="preserve">(PIVP)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D2C9FB"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9B7F9F" w14:textId="77777777" w:rsidR="006C686E" w:rsidRDefault="00B17E8C">
            <w:pPr>
              <w:pStyle w:val="P68B1DB1-Normal11"/>
              <w:spacing w:after="0" w:line="240" w:lineRule="auto"/>
              <w:jc w:val="center"/>
              <w:rPr>
                <w:rFonts w:eastAsia="Times New Roman"/>
                <w:noProof/>
              </w:rPr>
            </w:pPr>
            <w:r>
              <w:rPr>
                <w:noProof/>
              </w:rPr>
              <w:t>m</w:t>
            </w:r>
            <w:r>
              <w:rPr>
                <w:noProof/>
                <w:vertAlign w:val="superscript"/>
              </w:rPr>
              <w:t xml:space="preserve"> 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7BBDA5"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273656" w14:textId="77777777" w:rsidR="006C686E" w:rsidRDefault="00B17E8C">
            <w:pPr>
              <w:pStyle w:val="P68B1DB1-Normal26"/>
              <w:spacing w:after="0" w:line="240" w:lineRule="auto"/>
              <w:jc w:val="center"/>
              <w:rPr>
                <w:rFonts w:eastAsia="Calibri"/>
                <w:noProof/>
                <w:kern w:val="0"/>
                <w14:ligatures w14:val="none"/>
              </w:rPr>
            </w:pPr>
            <w:r>
              <w:rPr>
                <w:noProof/>
              </w:rPr>
              <w:t>75 000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25C6173" w14:textId="2D6CB9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135B4F" w14:textId="3F13D54F"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C90C3F" w14:textId="06141402" w:rsidR="006C686E" w:rsidRDefault="00B17E8C">
            <w:pPr>
              <w:pStyle w:val="P68B1DB1-Normal13"/>
              <w:spacing w:after="0" w:line="240" w:lineRule="auto"/>
              <w:jc w:val="both"/>
              <w:rPr>
                <w:noProof/>
                <w:kern w:val="0"/>
                <w14:ligatures w14:val="none"/>
              </w:rPr>
            </w:pPr>
            <w:r>
              <w:rPr>
                <w:noProof/>
                <w:kern w:val="0"/>
                <w14:ligatures w14:val="none"/>
              </w:rPr>
              <w:t>Superficie en mètres carrés bénéficiant d’interventions</w:t>
            </w:r>
            <w:r>
              <w:rPr>
                <w:noProof/>
              </w:rPr>
              <w:t xml:space="preserve"> au titre du programme d’intervention par voie publique.</w:t>
            </w:r>
          </w:p>
        </w:tc>
      </w:tr>
      <w:tr w:rsidR="006C686E" w14:paraId="7A334B6F" w14:textId="77777777" w:rsidTr="006E2673">
        <w:trPr>
          <w:trHeight w:val="1395"/>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6F9EA7F" w14:textId="77777777" w:rsidR="006C686E" w:rsidRDefault="00B17E8C">
            <w:pPr>
              <w:pStyle w:val="P68B1DB1-Normal10"/>
              <w:spacing w:after="0" w:line="240" w:lineRule="auto"/>
              <w:jc w:val="center"/>
              <w:rPr>
                <w:rFonts w:eastAsia="Times New Roman"/>
                <w:bCs/>
                <w:noProof/>
              </w:rPr>
            </w:pPr>
            <w:r>
              <w:rPr>
                <w:noProof/>
              </w:rPr>
              <w:t>3.10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A5CA6D" w14:textId="77777777" w:rsidR="006C686E" w:rsidRDefault="00B17E8C">
            <w:pPr>
              <w:pStyle w:val="P68B1DB1-Normal11"/>
              <w:spacing w:after="0" w:line="240" w:lineRule="auto"/>
              <w:jc w:val="center"/>
              <w:rPr>
                <w:rFonts w:eastAsia="Times New Roman"/>
                <w:noProof/>
              </w:rPr>
            </w:pPr>
            <w:r>
              <w:rPr>
                <w:noProof/>
              </w:rPr>
              <w:t>RE-C03-i03-RAM</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38B97"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1F1172" w14:textId="41CF03B4" w:rsidR="006C686E" w:rsidRDefault="00B17E8C">
            <w:pPr>
              <w:pStyle w:val="P68B1DB1-Normal11"/>
              <w:spacing w:after="0" w:line="240" w:lineRule="auto"/>
              <w:jc w:val="center"/>
              <w:rPr>
                <w:rFonts w:eastAsia="Times New Roman"/>
                <w:noProof/>
              </w:rPr>
            </w:pPr>
            <w:r>
              <w:rPr>
                <w:noProof/>
              </w:rPr>
              <w:t xml:space="preserve">Places nouvelles ou rénovées dans des foyers de soins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ED2A58"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7E230B"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135C3A"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C5E0E1" w14:textId="77777777" w:rsidR="006C686E" w:rsidRDefault="00B17E8C">
            <w:pPr>
              <w:pStyle w:val="P68B1DB1-Normal13"/>
              <w:spacing w:after="0" w:line="240" w:lineRule="auto"/>
              <w:jc w:val="center"/>
              <w:rPr>
                <w:rFonts w:eastAsia="Times New Roman"/>
                <w:noProof/>
                <w:kern w:val="0"/>
                <w14:ligatures w14:val="none"/>
              </w:rPr>
            </w:pPr>
            <w:r>
              <w:rPr>
                <w:noProof/>
              </w:rPr>
              <w:t>582</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10057"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86D2F7" w14:textId="77777777"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57FA89" w14:textId="7B5BF266" w:rsidR="006C686E" w:rsidRDefault="00B17E8C">
            <w:pPr>
              <w:pStyle w:val="P68B1DB1-Normal13"/>
              <w:spacing w:after="0" w:line="240" w:lineRule="auto"/>
              <w:jc w:val="both"/>
              <w:rPr>
                <w:rFonts w:eastAsia="Times New Roman"/>
                <w:noProof/>
                <w:kern w:val="0"/>
                <w14:ligatures w14:val="none"/>
              </w:rPr>
            </w:pPr>
            <w:r>
              <w:rPr>
                <w:noProof/>
                <w:kern w:val="0"/>
                <w14:ligatures w14:val="none"/>
              </w:rPr>
              <w:t>Nombre de places nouvelles ou rénovées disponibles dans les foyers de soins</w:t>
            </w:r>
            <w:r>
              <w:rPr>
                <w:noProof/>
              </w:rPr>
              <w:t xml:space="preserve"> pour personnes âgées.</w:t>
            </w:r>
          </w:p>
        </w:tc>
      </w:tr>
      <w:tr w:rsidR="006C686E" w14:paraId="27121B1A" w14:textId="77777777" w:rsidTr="006E2673">
        <w:trPr>
          <w:trHeight w:val="82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E1D04C" w14:textId="77777777" w:rsidR="006C686E" w:rsidRDefault="00B17E8C">
            <w:pPr>
              <w:pStyle w:val="P68B1DB1-Normal10"/>
              <w:spacing w:after="0" w:line="240" w:lineRule="auto"/>
              <w:jc w:val="center"/>
              <w:rPr>
                <w:rFonts w:eastAsia="Times New Roman"/>
                <w:bCs/>
                <w:noProof/>
              </w:rPr>
            </w:pPr>
            <w:r>
              <w:rPr>
                <w:noProof/>
              </w:rPr>
              <w:t>3.11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00A789" w14:textId="77777777" w:rsidR="006C686E" w:rsidRDefault="00B17E8C">
            <w:pPr>
              <w:pStyle w:val="P68B1DB1-Normal11"/>
              <w:spacing w:after="0" w:line="240" w:lineRule="auto"/>
              <w:jc w:val="center"/>
              <w:rPr>
                <w:rFonts w:eastAsia="Times New Roman"/>
                <w:noProof/>
              </w:rPr>
            </w:pPr>
            <w:r>
              <w:rPr>
                <w:noProof/>
              </w:rPr>
              <w:t>RE-C03-i03-RAM</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A2807E4"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C3767F" w14:textId="77777777" w:rsidR="006C686E" w:rsidRDefault="00B17E8C">
            <w:pPr>
              <w:pStyle w:val="P68B1DB1-Normal11"/>
              <w:spacing w:after="0" w:line="240" w:lineRule="auto"/>
              <w:jc w:val="center"/>
              <w:rPr>
                <w:rFonts w:eastAsia="Times New Roman"/>
                <w:noProof/>
              </w:rPr>
            </w:pPr>
            <w:r>
              <w:rPr>
                <w:noProof/>
              </w:rPr>
              <w:t>Plans de vie pour l'intégration des sans-abri.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5903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9B9DE0"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8045DCF" w14:textId="0F6EB5D2"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8FBA52" w14:textId="77777777" w:rsidR="006C686E" w:rsidRDefault="00B17E8C">
            <w:pPr>
              <w:pStyle w:val="P68B1DB1-Normal11"/>
              <w:spacing w:after="0" w:line="240" w:lineRule="auto"/>
              <w:jc w:val="center"/>
              <w:rPr>
                <w:rFonts w:eastAsia="Times New Roman"/>
                <w:noProof/>
              </w:rPr>
            </w:pPr>
            <w:r>
              <w:rPr>
                <w:noProof/>
              </w:rPr>
              <w:t>20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EBB9D3"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44ABEB" w14:textId="77777777" w:rsidR="006C686E" w:rsidRDefault="00B17E8C">
            <w:pPr>
              <w:pStyle w:val="P68B1DB1-Normal11"/>
              <w:spacing w:after="0" w:line="240" w:lineRule="auto"/>
              <w:jc w:val="center"/>
              <w:rPr>
                <w:rFonts w:eastAsia="Times New Roman"/>
                <w:noProof/>
              </w:rPr>
            </w:pPr>
            <w:r>
              <w:rPr>
                <w:noProof/>
              </w:rPr>
              <w:t>2022</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842F29" w14:textId="77777777" w:rsidR="006C686E" w:rsidRDefault="00B17E8C">
            <w:pPr>
              <w:pStyle w:val="P68B1DB1-Normal11"/>
              <w:spacing w:after="0" w:line="240" w:lineRule="auto"/>
              <w:jc w:val="both"/>
              <w:rPr>
                <w:rFonts w:eastAsia="Times New Roman"/>
                <w:noProof/>
              </w:rPr>
            </w:pPr>
            <w:r>
              <w:rPr>
                <w:noProof/>
              </w:rPr>
              <w:t xml:space="preserve">Nombre de plans de vie pour l'intégration des sans-abri signés. </w:t>
            </w:r>
          </w:p>
        </w:tc>
      </w:tr>
      <w:tr w:rsidR="006C686E" w14:paraId="315F981C" w14:textId="77777777" w:rsidTr="006E2673">
        <w:trPr>
          <w:trHeight w:val="1142"/>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627EF85" w14:textId="77777777" w:rsidR="006C686E" w:rsidRDefault="00B17E8C">
            <w:pPr>
              <w:pStyle w:val="P68B1DB1-Normal10"/>
              <w:spacing w:after="0" w:line="240" w:lineRule="auto"/>
              <w:jc w:val="center"/>
              <w:rPr>
                <w:rFonts w:eastAsia="Times New Roman"/>
                <w:bCs/>
                <w:noProof/>
              </w:rPr>
            </w:pPr>
            <w:r>
              <w:rPr>
                <w:noProof/>
              </w:rPr>
              <w:t>3.12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1CB1EF" w14:textId="77777777" w:rsidR="006C686E" w:rsidRDefault="00B17E8C">
            <w:pPr>
              <w:pStyle w:val="P68B1DB1-Normal11"/>
              <w:spacing w:after="0" w:line="240" w:lineRule="auto"/>
              <w:jc w:val="center"/>
              <w:rPr>
                <w:rFonts w:eastAsia="Times New Roman"/>
                <w:noProof/>
              </w:rPr>
            </w:pPr>
            <w:r>
              <w:rPr>
                <w:noProof/>
              </w:rPr>
              <w:t>RE-C03-i04-RAA</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E2F7E3"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4CA60B" w14:textId="75B55F3F"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 xml:space="preserve">Formations </w:t>
            </w:r>
            <w:r>
              <w:rPr>
                <w:noProof/>
              </w:rPr>
              <w:t xml:space="preserve">sous contrat entre Direção Regional para a Promoção da Igualdade e Inclusão Prestataires sociaux et de formation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8AC107"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1BD288" w14:textId="77777777" w:rsidR="006C686E" w:rsidRDefault="00B17E8C">
            <w:pPr>
              <w:pStyle w:val="P68B1DB1-Normal11"/>
              <w:spacing w:after="0" w:line="240" w:lineRule="auto"/>
              <w:jc w:val="center"/>
              <w:rPr>
                <w:rFonts w:eastAsia="Times New Roman"/>
                <w:noProof/>
              </w:rPr>
            </w:pPr>
            <w:r>
              <w:rPr>
                <w:noProof/>
              </w:rPr>
              <w:t>Nombre de certificats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686C98"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1ADE1B" w14:textId="77777777" w:rsidR="006C686E" w:rsidRDefault="00B17E8C">
            <w:pPr>
              <w:pStyle w:val="P68B1DB1-Normal11"/>
              <w:spacing w:after="0" w:line="240" w:lineRule="auto"/>
              <w:jc w:val="center"/>
              <w:rPr>
                <w:rFonts w:eastAsia="Times New Roman"/>
                <w:noProof/>
              </w:rPr>
            </w:pPr>
            <w:r>
              <w:rPr>
                <w:noProof/>
              </w:rPr>
              <w:t>2 500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7984F"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2AFB1F" w14:textId="77777777" w:rsidR="006C686E" w:rsidRDefault="00B17E8C">
            <w:pPr>
              <w:pStyle w:val="P68B1DB1-Normal11"/>
              <w:spacing w:after="0" w:line="240" w:lineRule="auto"/>
              <w:jc w:val="center"/>
              <w:rPr>
                <w:rFonts w:eastAsia="Times New Roman"/>
                <w:noProof/>
              </w:rPr>
            </w:pPr>
            <w:r>
              <w:rPr>
                <w:noProof/>
              </w:rPr>
              <w:t>2025</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F0A7BB" w14:textId="5EE0BC76" w:rsidR="006C686E" w:rsidRDefault="00B17E8C">
            <w:pPr>
              <w:pStyle w:val="P68B1DB1-Normal13"/>
              <w:spacing w:after="0" w:line="240" w:lineRule="auto"/>
              <w:jc w:val="both"/>
              <w:rPr>
                <w:noProof/>
                <w:kern w:val="0"/>
                <w14:ligatures w14:val="none"/>
              </w:rPr>
            </w:pPr>
            <w:r>
              <w:rPr>
                <w:noProof/>
              </w:rPr>
              <w:t xml:space="preserve">2 500 </w:t>
            </w:r>
            <w:r>
              <w:rPr>
                <w:noProof/>
                <w:kern w:val="0"/>
                <w14:ligatures w14:val="none"/>
              </w:rPr>
              <w:t>certificats délivrés</w:t>
            </w:r>
            <w:r>
              <w:rPr>
                <w:noProof/>
              </w:rPr>
              <w:t xml:space="preserve"> par des prestataires de formation dans le cadre de contrats avec la Direção Regional para a Promoção da Igualdade e Inclusão Social, pour la fourniture de services de formation. </w:t>
            </w:r>
          </w:p>
        </w:tc>
      </w:tr>
      <w:tr w:rsidR="006C686E" w14:paraId="4259514A" w14:textId="77777777" w:rsidTr="006E2673">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B5B4895" w14:textId="77777777" w:rsidR="006C686E" w:rsidRDefault="00B17E8C">
            <w:pPr>
              <w:pStyle w:val="P68B1DB1-Normal10"/>
              <w:spacing w:after="0" w:line="240" w:lineRule="auto"/>
              <w:jc w:val="center"/>
              <w:rPr>
                <w:rFonts w:eastAsia="Times New Roman"/>
                <w:bCs/>
                <w:noProof/>
              </w:rPr>
            </w:pPr>
            <w:r>
              <w:rPr>
                <w:noProof/>
              </w:rPr>
              <w:t>3.13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FC50E0" w14:textId="77777777" w:rsidR="006C686E" w:rsidRDefault="00B17E8C">
            <w:pPr>
              <w:pStyle w:val="P68B1DB1-Normal11"/>
              <w:spacing w:after="0" w:line="240" w:lineRule="auto"/>
              <w:jc w:val="center"/>
              <w:rPr>
                <w:rFonts w:eastAsia="Times New Roman"/>
                <w:noProof/>
              </w:rPr>
            </w:pPr>
            <w:r>
              <w:rPr>
                <w:noProof/>
              </w:rPr>
              <w:t>RE-C03-i04-RAA</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B7658F"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00407" w14:textId="77777777" w:rsidR="006C686E" w:rsidRDefault="00B17E8C">
            <w:pPr>
              <w:pStyle w:val="P68B1DB1-Normal11"/>
              <w:spacing w:after="0" w:line="240" w:lineRule="auto"/>
              <w:jc w:val="center"/>
              <w:rPr>
                <w:rFonts w:eastAsia="Times New Roman"/>
                <w:noProof/>
              </w:rPr>
            </w:pPr>
            <w:r>
              <w:rPr>
                <w:noProof/>
              </w:rPr>
              <w:t xml:space="preserve">Construction ou rénovation de bâtiments pour personnes handicapées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675BA8"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341114" w14:textId="77777777" w:rsidR="006C686E" w:rsidRDefault="00B17E8C">
            <w:pPr>
              <w:pStyle w:val="P68B1DB1-Normal11"/>
              <w:spacing w:after="0" w:line="240" w:lineRule="auto"/>
              <w:jc w:val="center"/>
              <w:rPr>
                <w:rFonts w:eastAsia="Times New Roman"/>
                <w:noProof/>
              </w:rPr>
            </w:pPr>
            <w:r>
              <w:rPr>
                <w:noProof/>
              </w:rPr>
              <w:t>Nombre de bâtiments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7FE5F6"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5E2F6" w14:textId="77777777" w:rsidR="006C686E" w:rsidRDefault="00B17E8C">
            <w:pPr>
              <w:pStyle w:val="P68B1DB1-Normal11"/>
              <w:spacing w:after="0" w:line="240" w:lineRule="auto"/>
              <w:jc w:val="center"/>
              <w:rPr>
                <w:rFonts w:eastAsia="Times New Roman"/>
                <w:noProof/>
              </w:rPr>
            </w:pPr>
            <w:r>
              <w:rPr>
                <w:noProof/>
              </w:rPr>
              <w:t>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00D3FB"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D10B23" w14:textId="77777777"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A53E71" w14:textId="551D30C3" w:rsidR="006C686E" w:rsidRDefault="00B17E8C">
            <w:pPr>
              <w:pStyle w:val="P68B1DB1-Normal13"/>
              <w:spacing w:after="0" w:line="240" w:lineRule="auto"/>
              <w:jc w:val="both"/>
              <w:rPr>
                <w:rFonts w:eastAsia="Times New Roman"/>
                <w:noProof/>
                <w:kern w:val="0"/>
                <w14:ligatures w14:val="none"/>
              </w:rPr>
            </w:pPr>
            <w:r>
              <w:rPr>
                <w:noProof/>
              </w:rPr>
              <w:t>C</w:t>
            </w:r>
            <w:r>
              <w:rPr>
                <w:noProof/>
                <w:kern w:val="0"/>
                <w14:ligatures w14:val="none"/>
              </w:rPr>
              <w:t xml:space="preserve"> la construction de </w:t>
            </w:r>
            <w:r>
              <w:rPr>
                <w:noProof/>
              </w:rPr>
              <w:t xml:space="preserve">deux </w:t>
            </w:r>
            <w:r>
              <w:rPr>
                <w:noProof/>
                <w:kern w:val="0"/>
                <w14:ligatures w14:val="none"/>
              </w:rPr>
              <w:t xml:space="preserve">bâtiments et la </w:t>
            </w:r>
            <w:r>
              <w:rPr>
                <w:noProof/>
              </w:rPr>
              <w:t xml:space="preserve">rénovation </w:t>
            </w:r>
            <w:r>
              <w:rPr>
                <w:noProof/>
                <w:kern w:val="0"/>
                <w14:ligatures w14:val="none"/>
              </w:rPr>
              <w:t>d'un bâtiment</w:t>
            </w:r>
            <w:r>
              <w:rPr>
                <w:noProof/>
              </w:rPr>
              <w:t xml:space="preserve"> destiné aux centres de soins pour personnes handicapées</w:t>
            </w:r>
            <w:r>
              <w:rPr>
                <w:noProof/>
                <w:kern w:val="0"/>
                <w14:ligatures w14:val="none"/>
              </w:rPr>
              <w:t xml:space="preserve">. </w:t>
            </w:r>
          </w:p>
        </w:tc>
      </w:tr>
      <w:tr w:rsidR="006C686E" w14:paraId="37DEDE53" w14:textId="77777777" w:rsidTr="006E2673">
        <w:trPr>
          <w:trHeight w:val="10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7904E5C" w14:textId="77777777" w:rsidR="006C686E" w:rsidRDefault="00B17E8C">
            <w:pPr>
              <w:pStyle w:val="P68B1DB1-Normal10"/>
              <w:spacing w:after="0" w:line="240" w:lineRule="auto"/>
              <w:jc w:val="center"/>
              <w:rPr>
                <w:rFonts w:eastAsia="Times New Roman"/>
                <w:bCs/>
                <w:noProof/>
              </w:rPr>
            </w:pPr>
            <w:r>
              <w:rPr>
                <w:noProof/>
              </w:rPr>
              <w:t>3.14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1B0E63" w14:textId="77777777" w:rsidR="006C686E" w:rsidRDefault="00B17E8C">
            <w:pPr>
              <w:pStyle w:val="P68B1DB1-Normal11"/>
              <w:spacing w:after="0" w:line="240" w:lineRule="auto"/>
              <w:jc w:val="center"/>
              <w:rPr>
                <w:rFonts w:eastAsia="Times New Roman"/>
                <w:noProof/>
              </w:rPr>
            </w:pPr>
            <w:r>
              <w:rPr>
                <w:noProof/>
              </w:rPr>
              <w:t>RE-C03-i04-RAA</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3EC9F"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993E98" w14:textId="77777777" w:rsidR="006C686E" w:rsidRDefault="00B17E8C">
            <w:pPr>
              <w:pStyle w:val="P68B1DB1-Normal11"/>
              <w:spacing w:after="0" w:line="240" w:lineRule="auto"/>
              <w:jc w:val="center"/>
              <w:rPr>
                <w:rFonts w:eastAsia="Times New Roman"/>
                <w:noProof/>
              </w:rPr>
            </w:pPr>
            <w:r>
              <w:rPr>
                <w:noProof/>
              </w:rPr>
              <w:t xml:space="preserve">Véhicules électriques pour les Instituições Particulares de Solidariedade Social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0314D9"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43BB8C" w14:textId="08425290" w:rsidR="006C686E" w:rsidRDefault="00B17E8C">
            <w:pPr>
              <w:pStyle w:val="P68B1DB1-Normal11"/>
              <w:spacing w:after="0" w:line="240" w:lineRule="auto"/>
              <w:jc w:val="center"/>
              <w:rPr>
                <w:rFonts w:eastAsia="Times New Roman"/>
                <w:noProof/>
              </w:rPr>
            </w:pPr>
            <w:r>
              <w:rPr>
                <w:noProof/>
              </w:rPr>
              <w:t>Nombre de véhicules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7EC738"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AD959E" w14:textId="77777777" w:rsidR="006C686E" w:rsidRDefault="00B17E8C">
            <w:pPr>
              <w:pStyle w:val="P68B1DB1-Normal11"/>
              <w:spacing w:after="0" w:line="240" w:lineRule="auto"/>
              <w:jc w:val="center"/>
              <w:rPr>
                <w:rFonts w:eastAsia="Times New Roman"/>
                <w:noProof/>
              </w:rPr>
            </w:pPr>
            <w:r>
              <w:rPr>
                <w:noProof/>
              </w:rPr>
              <w:t>130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51CC48"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169FA0" w14:textId="77777777" w:rsidR="006C686E" w:rsidRDefault="00B17E8C">
            <w:pPr>
              <w:pStyle w:val="P68B1DB1-Normal11"/>
              <w:spacing w:after="0" w:line="240" w:lineRule="auto"/>
              <w:jc w:val="center"/>
              <w:rPr>
                <w:rFonts w:eastAsia="Times New Roman"/>
                <w:noProof/>
              </w:rPr>
            </w:pPr>
            <w:r>
              <w:rPr>
                <w:noProof/>
              </w:rPr>
              <w:t>2025</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F6A32D" w14:textId="1CF26EB7" w:rsidR="006C686E" w:rsidRDefault="00B17E8C">
            <w:pPr>
              <w:pStyle w:val="P68B1DB1-Normal11"/>
              <w:spacing w:after="0" w:line="240" w:lineRule="auto"/>
              <w:jc w:val="both"/>
              <w:rPr>
                <w:rFonts w:eastAsia="Times New Roman"/>
                <w:noProof/>
              </w:rPr>
            </w:pPr>
            <w:r>
              <w:rPr>
                <w:noProof/>
              </w:rPr>
              <w:t xml:space="preserve">Instituições Particulares de Solidariedade Social (IPSS) équipé de 130 véhicules électriques. </w:t>
            </w:r>
          </w:p>
        </w:tc>
      </w:tr>
      <w:tr w:rsidR="006C686E" w14:paraId="533DD0D4" w14:textId="77777777" w:rsidTr="006E2673">
        <w:trPr>
          <w:trHeight w:val="4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C03DBFB" w14:textId="77777777" w:rsidR="006C686E" w:rsidRDefault="00B17E8C">
            <w:pPr>
              <w:pStyle w:val="P68B1DB1-Normal10"/>
              <w:spacing w:after="0" w:line="240" w:lineRule="auto"/>
              <w:jc w:val="center"/>
              <w:rPr>
                <w:rFonts w:eastAsia="Times New Roman"/>
                <w:bCs/>
                <w:noProof/>
              </w:rPr>
            </w:pPr>
            <w:r>
              <w:rPr>
                <w:noProof/>
              </w:rPr>
              <w:t>3.15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1B377A" w14:textId="77777777" w:rsidR="006C686E" w:rsidRDefault="00B17E8C">
            <w:pPr>
              <w:pStyle w:val="P68B1DB1-Normal11"/>
              <w:spacing w:after="0" w:line="240" w:lineRule="auto"/>
              <w:jc w:val="center"/>
              <w:rPr>
                <w:rFonts w:eastAsia="Times New Roman"/>
                <w:noProof/>
              </w:rPr>
            </w:pPr>
            <w:r>
              <w:rPr>
                <w:noProof/>
              </w:rPr>
              <w:t>RE-C03-i04-RAA</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2C1093"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84954C" w14:textId="77777777" w:rsidR="006C686E" w:rsidRDefault="00B17E8C">
            <w:pPr>
              <w:pStyle w:val="P68B1DB1-Normal11"/>
              <w:spacing w:after="0" w:line="240" w:lineRule="auto"/>
              <w:jc w:val="center"/>
              <w:rPr>
                <w:rFonts w:eastAsia="Times New Roman"/>
                <w:noProof/>
              </w:rPr>
            </w:pPr>
            <w:r>
              <w:rPr>
                <w:noProof/>
              </w:rPr>
              <w:t>Programme de projets «Vieillissement en place»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60396F" w14:textId="77777777" w:rsidR="006C686E" w:rsidRDefault="00B17E8C">
            <w:pPr>
              <w:pStyle w:val="P68B1DB1-Normal11"/>
              <w:spacing w:after="0" w:line="240" w:lineRule="auto"/>
              <w:jc w:val="center"/>
              <w:rPr>
                <w:rFonts w:eastAsia="Times New Roman"/>
                <w:noProof/>
              </w:rPr>
            </w:pPr>
            <w:r>
              <w:rPr>
                <w:noProof/>
              </w:rPr>
              <w:t>Arrêté administratif du gouvernement régional des Açores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883356"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26462E"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5F27AD"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282174E"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C4BDB0" w14:textId="77777777" w:rsidR="006C686E" w:rsidRDefault="00B17E8C">
            <w:pPr>
              <w:pStyle w:val="P68B1DB1-Normal11"/>
              <w:spacing w:after="0" w:line="240" w:lineRule="auto"/>
              <w:jc w:val="center"/>
              <w:rPr>
                <w:rFonts w:eastAsia="Times New Roman"/>
                <w:noProof/>
              </w:rPr>
            </w:pPr>
            <w:r>
              <w:rPr>
                <w:noProof/>
              </w:rPr>
              <w:t>2025</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ADE52D" w14:textId="4B2C145D" w:rsidR="006C686E" w:rsidRDefault="00B17E8C">
            <w:pPr>
              <w:pStyle w:val="P68B1DB1-Normal13"/>
              <w:spacing w:after="0" w:line="240" w:lineRule="auto"/>
              <w:jc w:val="both"/>
              <w:rPr>
                <w:rFonts w:eastAsia="Times New Roman"/>
                <w:noProof/>
                <w:kern w:val="0"/>
                <w14:ligatures w14:val="none"/>
              </w:rPr>
            </w:pPr>
            <w:r>
              <w:rPr>
                <w:noProof/>
              </w:rPr>
              <w:t xml:space="preserve">Arrêté administratif de la Région autonome des Açores sélectionnant au moins 425 personnes âgées dans le cadre du programme </w:t>
            </w:r>
            <w:r>
              <w:rPr>
                <w:noProof/>
                <w:kern w:val="0"/>
                <w14:ligatures w14:val="none"/>
              </w:rPr>
              <w:t xml:space="preserve">Vieillissement en place. </w:t>
            </w:r>
          </w:p>
        </w:tc>
      </w:tr>
      <w:tr w:rsidR="006C686E" w14:paraId="3665789A" w14:textId="77777777" w:rsidTr="006E2673">
        <w:trPr>
          <w:trHeight w:val="42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813AEC" w14:textId="2885C951" w:rsidR="006C686E" w:rsidRDefault="00B17E8C">
            <w:pPr>
              <w:pStyle w:val="P68B1DB1-Normal17"/>
              <w:spacing w:after="0" w:line="240" w:lineRule="auto"/>
              <w:jc w:val="center"/>
              <w:rPr>
                <w:rFonts w:eastAsia="Times New Roman"/>
                <w:bCs/>
                <w:noProof/>
                <w:kern w:val="0"/>
                <w14:ligatures w14:val="none"/>
              </w:rPr>
            </w:pPr>
            <w:r>
              <w:rPr>
                <w:noProof/>
              </w:rPr>
              <w:t>3.16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BE2469" w14:textId="77777777" w:rsidR="006C686E" w:rsidRDefault="00B17E8C">
            <w:pPr>
              <w:pStyle w:val="P68B1DB1-Normal11"/>
              <w:spacing w:after="0" w:line="240" w:lineRule="auto"/>
              <w:jc w:val="center"/>
              <w:rPr>
                <w:rFonts w:eastAsia="Times New Roman"/>
                <w:noProof/>
              </w:rPr>
            </w:pPr>
            <w:r>
              <w:rPr>
                <w:noProof/>
              </w:rPr>
              <w:t>RE-C03-i04-RAA</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879E39"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CDAE86" w14:textId="3E24D0FF" w:rsidR="006C686E" w:rsidRDefault="00B17E8C">
            <w:pPr>
              <w:pStyle w:val="P68B1DB1-Normal13"/>
              <w:spacing w:after="0" w:line="240" w:lineRule="auto"/>
              <w:jc w:val="center"/>
              <w:rPr>
                <w:rFonts w:eastAsia="Times New Roman"/>
                <w:noProof/>
                <w:kern w:val="0"/>
                <w14:ligatures w14:val="none"/>
              </w:rPr>
            </w:pPr>
            <w:r>
              <w:rPr>
                <w:noProof/>
              </w:rPr>
              <w:t xml:space="preserve">Mesures visant à soutenir l’accès des enfants et des jeunes aux services sociaux et éducatifs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AD1EE7" w14:textId="25EA0A6C" w:rsidR="006C686E" w:rsidRDefault="00B17E8C">
            <w:pPr>
              <w:pStyle w:val="P68B1DB1-Normal11"/>
              <w:spacing w:after="0" w:line="240" w:lineRule="auto"/>
              <w:jc w:val="center"/>
              <w:rPr>
                <w:rFonts w:eastAsia="Times New Roman"/>
                <w:noProof/>
              </w:rPr>
            </w:pPr>
            <w:r>
              <w:rPr>
                <w:noProof/>
              </w:rPr>
              <w:t xml:space="preserve">Décisions officielles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873DB0"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6647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05A5AFD"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6189AF"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EBB606" w14:textId="77777777" w:rsidR="006C686E" w:rsidRDefault="00B17E8C">
            <w:pPr>
              <w:pStyle w:val="P68B1DB1-Normal11"/>
              <w:spacing w:after="0" w:line="240" w:lineRule="auto"/>
              <w:jc w:val="center"/>
              <w:rPr>
                <w:rFonts w:eastAsia="Times New Roman"/>
                <w:noProof/>
              </w:rPr>
            </w:pPr>
            <w:r>
              <w:rPr>
                <w:noProof/>
              </w:rPr>
              <w:t>2025</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B2C78B" w14:textId="45720DB0" w:rsidR="006C686E" w:rsidRDefault="00B17E8C">
            <w:pPr>
              <w:pStyle w:val="P68B1DB1-Normal13"/>
              <w:spacing w:after="0" w:line="240" w:lineRule="auto"/>
              <w:jc w:val="both"/>
              <w:rPr>
                <w:rFonts w:eastAsia="Times New Roman"/>
                <w:noProof/>
                <w:kern w:val="0"/>
                <w14:ligatures w14:val="none"/>
              </w:rPr>
            </w:pPr>
            <w:r>
              <w:rPr>
                <w:noProof/>
                <w:kern w:val="0"/>
                <w14:ligatures w14:val="none"/>
              </w:rPr>
              <w:t>Mesures visant à soutenir la participation à l'école et à l'enseignement supérieur par les moyens</w:t>
            </w:r>
            <w:r>
              <w:rPr>
                <w:noProof/>
              </w:rPr>
              <w:t xml:space="preserve"> suivants: </w:t>
            </w:r>
          </w:p>
          <w:p w14:paraId="0F9DDE4A" w14:textId="21D9B54D" w:rsidR="006C686E" w:rsidRDefault="00B17E8C">
            <w:pPr>
              <w:pStyle w:val="P68B1DB1-Normal13"/>
              <w:spacing w:after="0" w:line="240" w:lineRule="auto"/>
              <w:jc w:val="both"/>
              <w:rPr>
                <w:rFonts w:eastAsia="Times New Roman"/>
                <w:noProof/>
                <w:kern w:val="0"/>
                <w14:ligatures w14:val="none"/>
              </w:rPr>
            </w:pPr>
            <w:r>
              <w:rPr>
                <w:noProof/>
              </w:rPr>
              <w:t>i) exemption des allocations familiales pour la fréquentation de crèches ou de crèches pour les années 2021 à 2025;</w:t>
            </w:r>
            <w:r>
              <w:rPr>
                <w:noProof/>
                <w:kern w:val="0"/>
                <w14:ligatures w14:val="none"/>
              </w:rPr>
              <w:t xml:space="preserve"> ii) </w:t>
            </w:r>
            <w:r>
              <w:rPr>
                <w:noProof/>
              </w:rPr>
              <w:t>les centres d'aide à l'étude;</w:t>
            </w:r>
            <w:r>
              <w:rPr>
                <w:noProof/>
                <w:kern w:val="0"/>
                <w14:ligatures w14:val="none"/>
              </w:rPr>
              <w:t xml:space="preserve"> iii) </w:t>
            </w:r>
            <w:r>
              <w:rPr>
                <w:noProof/>
              </w:rPr>
              <w:t xml:space="preserve">un programme de </w:t>
            </w:r>
            <w:r>
              <w:rPr>
                <w:noProof/>
                <w:kern w:val="0"/>
                <w14:ligatures w14:val="none"/>
              </w:rPr>
              <w:t>bourses d'études aux étudiants de l'enseignement supérieur issus de familles à faible revenu.</w:t>
            </w:r>
          </w:p>
        </w:tc>
      </w:tr>
      <w:tr w:rsidR="006C686E" w14:paraId="5FA8B406" w14:textId="77777777" w:rsidTr="006E2673">
        <w:trPr>
          <w:trHeight w:val="158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D07CDE" w14:textId="77777777" w:rsidR="006C686E" w:rsidRDefault="00B17E8C">
            <w:pPr>
              <w:pStyle w:val="P68B1DB1-Normal10"/>
              <w:spacing w:after="0" w:line="240" w:lineRule="auto"/>
              <w:jc w:val="center"/>
              <w:rPr>
                <w:rFonts w:eastAsia="Times New Roman"/>
                <w:bCs/>
                <w:noProof/>
              </w:rPr>
            </w:pPr>
            <w:r>
              <w:rPr>
                <w:noProof/>
              </w:rPr>
              <w:t>3.17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533114" w14:textId="77777777" w:rsidR="006C686E" w:rsidRDefault="00B17E8C">
            <w:pPr>
              <w:pStyle w:val="P68B1DB1-Normal11"/>
              <w:spacing w:after="0" w:line="240" w:lineRule="auto"/>
              <w:jc w:val="center"/>
              <w:rPr>
                <w:rFonts w:eastAsia="Times New Roman"/>
                <w:noProof/>
              </w:rPr>
            </w:pPr>
            <w:r>
              <w:rPr>
                <w:noProof/>
              </w:rPr>
              <w:t>RE-C03-i05</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8EC3C6"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F97859" w14:textId="2B13BD87" w:rsidR="006C686E" w:rsidRDefault="00B17E8C">
            <w:pPr>
              <w:pStyle w:val="P68B1DB1-Normal11"/>
              <w:spacing w:after="0" w:line="240" w:lineRule="auto"/>
              <w:jc w:val="center"/>
              <w:rPr>
                <w:rFonts w:eastAsia="Times New Roman"/>
                <w:noProof/>
              </w:rPr>
            </w:pPr>
            <w:r>
              <w:rPr>
                <w:noProof/>
              </w:rPr>
              <w:t>Publication de l’appel d’offres «Construire une infrastructure numérique pour l’accessibilité à 360°»</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8A93B8" w14:textId="77777777" w:rsidR="006C686E" w:rsidRDefault="00B17E8C">
            <w:pPr>
              <w:pStyle w:val="P68B1DB1-Normal11"/>
              <w:spacing w:after="0" w:line="240" w:lineRule="auto"/>
              <w:jc w:val="center"/>
              <w:rPr>
                <w:rFonts w:eastAsia="Times New Roman"/>
                <w:noProof/>
              </w:rPr>
            </w:pPr>
            <w:r>
              <w:rPr>
                <w:noProof/>
              </w:rPr>
              <w:t>Publication de l’avis d’appel d’offres relatif à l’acquisition d’infrastructures numériques pour l’accessibilité à 360° au Journal officiel – Diario da Republica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51EC2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DEA81B"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E3F657"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6E3BFA"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FFAD87" w14:textId="77777777" w:rsidR="006C686E" w:rsidRDefault="00B17E8C">
            <w:pPr>
              <w:pStyle w:val="P68B1DB1-Normal11"/>
              <w:spacing w:after="0" w:line="240" w:lineRule="auto"/>
              <w:jc w:val="center"/>
              <w:rPr>
                <w:rFonts w:eastAsia="Times New Roman"/>
                <w:noProof/>
              </w:rPr>
            </w:pPr>
            <w:r>
              <w:rPr>
                <w:noProof/>
              </w:rPr>
              <w:t>2021</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B0E75D" w14:textId="77777777" w:rsidR="006C686E" w:rsidRDefault="00B17E8C">
            <w:pPr>
              <w:pStyle w:val="P68B1DB1-Normal11"/>
              <w:spacing w:after="0" w:line="240" w:lineRule="auto"/>
              <w:jc w:val="both"/>
              <w:rPr>
                <w:rFonts w:eastAsia="Times New Roman"/>
                <w:noProof/>
              </w:rPr>
            </w:pPr>
            <w:r>
              <w:rPr>
                <w:noProof/>
              </w:rPr>
              <w:t>Publication d’un appel d’offres pour la construction de l’infrastructure numérique couvrant i) les informations géoréférencées sur les bâtiments publics et privés, ii) les systèmes mondiaux d’information et de positionnement (GPS), iii) le géoréférencement des places de stationnement.</w:t>
            </w:r>
          </w:p>
        </w:tc>
      </w:tr>
      <w:tr w:rsidR="006C686E" w14:paraId="46F76B3C" w14:textId="77777777" w:rsidTr="006E2673">
        <w:trPr>
          <w:trHeight w:val="83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60F30D4" w14:textId="77777777" w:rsidR="006C686E" w:rsidRDefault="00B17E8C">
            <w:pPr>
              <w:pStyle w:val="P68B1DB1-Normal10"/>
              <w:spacing w:after="0" w:line="240" w:lineRule="auto"/>
              <w:jc w:val="center"/>
              <w:rPr>
                <w:rFonts w:eastAsia="Times New Roman"/>
                <w:bCs/>
                <w:noProof/>
              </w:rPr>
            </w:pPr>
            <w:r>
              <w:rPr>
                <w:noProof/>
              </w:rPr>
              <w:t>3.18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D12F5F" w14:textId="77777777" w:rsidR="006C686E" w:rsidRDefault="00B17E8C">
            <w:pPr>
              <w:pStyle w:val="P68B1DB1-Normal11"/>
              <w:spacing w:after="0" w:line="240" w:lineRule="auto"/>
              <w:jc w:val="center"/>
              <w:rPr>
                <w:rFonts w:eastAsia="Times New Roman"/>
                <w:noProof/>
              </w:rPr>
            </w:pPr>
            <w:r>
              <w:rPr>
                <w:noProof/>
              </w:rPr>
              <w:t>RE-C03-i05</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13411A"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B56A5F" w14:textId="77777777" w:rsidR="006C686E" w:rsidRDefault="00B17E8C">
            <w:pPr>
              <w:pStyle w:val="P68B1DB1-Normal11"/>
              <w:spacing w:after="0" w:line="240" w:lineRule="auto"/>
              <w:jc w:val="center"/>
              <w:rPr>
                <w:rFonts w:eastAsia="Times New Roman"/>
                <w:noProof/>
              </w:rPr>
            </w:pPr>
            <w:r>
              <w:rPr>
                <w:noProof/>
              </w:rPr>
              <w:t>Ressources d'information numériques pour les personnes handicapées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BE95E0" w14:textId="77777777" w:rsidR="006C686E" w:rsidRDefault="00B17E8C">
            <w:pPr>
              <w:pStyle w:val="P68B1DB1-Normal11"/>
              <w:spacing w:after="0" w:line="240" w:lineRule="auto"/>
              <w:jc w:val="center"/>
              <w:rPr>
                <w:rFonts w:eastAsia="Times New Roman"/>
                <w:noProof/>
              </w:rPr>
            </w:pPr>
            <w:r>
              <w:rPr>
                <w:noProof/>
              </w:rPr>
              <w:t>Informations sur un site web et une application mobile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88AAA3"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6F738"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470E89"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058CE4"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FAC89E" w14:textId="77777777" w:rsidR="006C686E" w:rsidRDefault="00B17E8C">
            <w:pPr>
              <w:pStyle w:val="P68B1DB1-Normal11"/>
              <w:spacing w:after="0" w:line="240" w:lineRule="auto"/>
              <w:jc w:val="center"/>
              <w:rPr>
                <w:rFonts w:eastAsia="Times New Roman"/>
                <w:noProof/>
              </w:rPr>
            </w:pPr>
            <w:r>
              <w:rPr>
                <w:noProof/>
              </w:rPr>
              <w:t>2024</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EF1B4E" w14:textId="77777777" w:rsidR="006C686E" w:rsidRDefault="00B17E8C">
            <w:pPr>
              <w:pStyle w:val="P68B1DB1-Normal11"/>
              <w:spacing w:after="0" w:line="240" w:lineRule="auto"/>
              <w:jc w:val="both"/>
              <w:rPr>
                <w:rFonts w:eastAsia="Times New Roman"/>
                <w:noProof/>
              </w:rPr>
            </w:pPr>
            <w:r>
              <w:rPr>
                <w:noProof/>
              </w:rPr>
              <w:t>Informations agrégées et simplifiées sur la législation et sur l’aide disponible pour les personnes handicapées, mises à disposition sur un site web et lancement d’une application pour téléphones mobiles.</w:t>
            </w:r>
          </w:p>
        </w:tc>
      </w:tr>
      <w:tr w:rsidR="006C686E" w14:paraId="6C7FF0D5" w14:textId="77777777" w:rsidTr="006E2673">
        <w:trPr>
          <w:trHeight w:val="92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D9A5DB" w14:textId="77777777" w:rsidR="006C686E" w:rsidRDefault="00B17E8C">
            <w:pPr>
              <w:pStyle w:val="P68B1DB1-Normal10"/>
              <w:spacing w:after="0" w:line="240" w:lineRule="auto"/>
              <w:jc w:val="center"/>
              <w:rPr>
                <w:rFonts w:eastAsia="Times New Roman"/>
                <w:bCs/>
                <w:noProof/>
              </w:rPr>
            </w:pPr>
            <w:r>
              <w:rPr>
                <w:noProof/>
              </w:rPr>
              <w:t>3.19</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BC79DB" w14:textId="77777777" w:rsidR="006C686E" w:rsidRDefault="00B17E8C">
            <w:pPr>
              <w:pStyle w:val="P68B1DB1-Normal11"/>
              <w:spacing w:after="0" w:line="240" w:lineRule="auto"/>
              <w:jc w:val="center"/>
              <w:rPr>
                <w:rFonts w:eastAsia="Times New Roman"/>
                <w:noProof/>
              </w:rPr>
            </w:pPr>
            <w:r>
              <w:rPr>
                <w:noProof/>
              </w:rPr>
              <w:t>RE-C03-i05</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9BA259"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AFF75D" w14:textId="77777777" w:rsidR="006C686E" w:rsidRDefault="00B17E8C">
            <w:pPr>
              <w:pStyle w:val="P68B1DB1-Normal11"/>
              <w:spacing w:after="0" w:line="240" w:lineRule="auto"/>
              <w:jc w:val="center"/>
              <w:rPr>
                <w:rFonts w:eastAsia="Times New Roman"/>
                <w:noProof/>
              </w:rPr>
            </w:pPr>
            <w:r>
              <w:rPr>
                <w:noProof/>
              </w:rPr>
              <w:t>Centre d'appels pour la langue des signes portugaise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B18C1D" w14:textId="77777777" w:rsidR="006C686E" w:rsidRDefault="00B17E8C">
            <w:pPr>
              <w:pStyle w:val="P68B1DB1-Normal11"/>
              <w:spacing w:after="0" w:line="240" w:lineRule="auto"/>
              <w:jc w:val="center"/>
              <w:rPr>
                <w:rFonts w:eastAsia="Times New Roman"/>
                <w:noProof/>
              </w:rPr>
            </w:pPr>
            <w:r>
              <w:rPr>
                <w:noProof/>
              </w:rPr>
              <w:t xml:space="preserve">Protocole signé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5932DE"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012B90"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F12701"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721639"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CB5FC6" w14:textId="77777777" w:rsidR="006C686E" w:rsidRDefault="00B17E8C">
            <w:pPr>
              <w:pStyle w:val="P68B1DB1-Normal11"/>
              <w:spacing w:after="0" w:line="240" w:lineRule="auto"/>
              <w:jc w:val="center"/>
              <w:rPr>
                <w:rFonts w:eastAsia="Times New Roman"/>
                <w:noProof/>
              </w:rPr>
            </w:pPr>
            <w:r>
              <w:rPr>
                <w:noProof/>
              </w:rPr>
              <w:t>2025</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8CFAD7" w14:textId="75160FCB" w:rsidR="006C686E" w:rsidRDefault="00B17E8C">
            <w:pPr>
              <w:pStyle w:val="P68B1DB1-Normal11"/>
              <w:spacing w:after="0" w:line="240" w:lineRule="auto"/>
              <w:jc w:val="both"/>
              <w:rPr>
                <w:noProof/>
              </w:rPr>
            </w:pPr>
            <w:r>
              <w:rPr>
                <w:noProof/>
              </w:rPr>
              <w:t>Protocole signé pour définir les règles du centre de contact en langue des signes portugaise.</w:t>
            </w:r>
          </w:p>
        </w:tc>
      </w:tr>
      <w:tr w:rsidR="006C686E" w14:paraId="3A1E0B70" w14:textId="77777777" w:rsidTr="006E2673">
        <w:trPr>
          <w:trHeight w:val="16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tcPr>
          <w:p w14:paraId="03470D59" w14:textId="77777777" w:rsidR="006C686E" w:rsidRDefault="00B17E8C">
            <w:pPr>
              <w:pStyle w:val="P68B1DB1-Normal10"/>
              <w:spacing w:after="0" w:line="240" w:lineRule="auto"/>
              <w:jc w:val="center"/>
              <w:rPr>
                <w:rFonts w:eastAsia="Times New Roman"/>
                <w:bCs/>
                <w:noProof/>
              </w:rPr>
            </w:pPr>
            <w:r>
              <w:rPr>
                <w:noProof/>
              </w:rPr>
              <w:t>3.20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57D7CD72" w14:textId="77777777" w:rsidR="006C686E" w:rsidRDefault="00B17E8C">
            <w:pPr>
              <w:pStyle w:val="P68B1DB1-Normal11"/>
              <w:spacing w:after="0" w:line="240" w:lineRule="auto"/>
              <w:jc w:val="center"/>
              <w:rPr>
                <w:rFonts w:eastAsia="Times New Roman"/>
                <w:noProof/>
              </w:rPr>
            </w:pPr>
            <w:r>
              <w:rPr>
                <w:noProof/>
              </w:rPr>
              <w:t>RE-C03-r08</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CF17E83"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278F27E1" w14:textId="77777777" w:rsidR="006C686E" w:rsidRDefault="00B17E8C">
            <w:pPr>
              <w:pStyle w:val="P68B1DB1-Normal11"/>
              <w:spacing w:after="0" w:line="240" w:lineRule="auto"/>
              <w:jc w:val="center"/>
              <w:rPr>
                <w:rFonts w:eastAsia="Times New Roman"/>
                <w:noProof/>
              </w:rPr>
            </w:pPr>
            <w:r>
              <w:rPr>
                <w:noProof/>
              </w:rPr>
              <w:t>Adoption de la Stratégie nationale de lutte contre la pauvreté</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39F9B6BC" w14:textId="77777777" w:rsidR="006C686E" w:rsidRDefault="00B17E8C">
            <w:pPr>
              <w:pStyle w:val="P68B1DB1-Normal11"/>
              <w:spacing w:after="0" w:line="240" w:lineRule="auto"/>
              <w:jc w:val="center"/>
              <w:rPr>
                <w:rFonts w:eastAsia="Times New Roman"/>
                <w:noProof/>
              </w:rPr>
            </w:pPr>
            <w:r>
              <w:rPr>
                <w:noProof/>
              </w:rPr>
              <w:t>Adoption de la Stratégie nationale de lutte contre la pauvreté</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3BE41587"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381A9D9B"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701D1AAC"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279530BF" w14:textId="77777777" w:rsidR="006C686E" w:rsidRDefault="00B17E8C">
            <w:pPr>
              <w:pStyle w:val="P68B1DB1-Normal11"/>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217BD765" w14:textId="77777777" w:rsidR="006C686E" w:rsidRDefault="00B17E8C">
            <w:pPr>
              <w:pStyle w:val="P68B1DB1-Normal11"/>
              <w:spacing w:after="0" w:line="240" w:lineRule="auto"/>
              <w:jc w:val="center"/>
              <w:rPr>
                <w:rFonts w:eastAsia="Times New Roman"/>
                <w:noProof/>
              </w:rPr>
            </w:pPr>
            <w:r>
              <w:rPr>
                <w:noProof/>
              </w:rPr>
              <w:t>2021</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tcPr>
          <w:p w14:paraId="27030686" w14:textId="77777777" w:rsidR="006C686E" w:rsidRDefault="00B17E8C">
            <w:pPr>
              <w:pStyle w:val="P68B1DB1-Normal11"/>
              <w:spacing w:after="0" w:line="240" w:lineRule="auto"/>
              <w:jc w:val="both"/>
              <w:rPr>
                <w:rFonts w:eastAsia="Times New Roman"/>
                <w:noProof/>
              </w:rPr>
            </w:pPr>
            <w:r>
              <w:rPr>
                <w:noProof/>
              </w:rPr>
              <w:t>La Stratégie nationale de lutte contre la pauvreté (ENCP) fournit le cadre d'interventions thématiques pour des groupes spécifiques, de l'enfance à la vieillesse, y compris les groupes les plus vulnérables. Il définit les conditions d'élaboration et de mise en œuvre de politiques intégrées axées sur les spécificités de l'exclusion sociale et de la pauvreté au niveau local. En outre, il prévoit également la création d'un cadre de suivi unique pour les indicateurs liés à la pauvreté.</w:t>
            </w:r>
          </w:p>
        </w:tc>
      </w:tr>
      <w:tr w:rsidR="006C686E" w14:paraId="763C2219" w14:textId="77777777" w:rsidTr="006E2673">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DA9897A" w14:textId="77777777" w:rsidR="006C686E" w:rsidRDefault="00B17E8C">
            <w:pPr>
              <w:pStyle w:val="P68B1DB1-Normal10"/>
              <w:spacing w:after="0" w:line="240" w:lineRule="auto"/>
              <w:jc w:val="center"/>
              <w:rPr>
                <w:rFonts w:eastAsia="Times New Roman"/>
                <w:bCs/>
                <w:noProof/>
              </w:rPr>
            </w:pPr>
            <w:r>
              <w:rPr>
                <w:noProof/>
              </w:rPr>
              <w:t>3.21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0BD33A" w14:textId="77777777" w:rsidR="006C686E" w:rsidRDefault="00B17E8C">
            <w:pPr>
              <w:pStyle w:val="P68B1DB1-Normal11"/>
              <w:spacing w:after="0" w:line="240" w:lineRule="auto"/>
              <w:jc w:val="center"/>
              <w:rPr>
                <w:rFonts w:eastAsia="Times New Roman"/>
                <w:noProof/>
              </w:rPr>
            </w:pPr>
            <w:r>
              <w:rPr>
                <w:noProof/>
              </w:rPr>
              <w:t>RE-C03-r06</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B343F7"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434A27" w14:textId="77777777" w:rsidR="006C686E" w:rsidRDefault="00B17E8C">
            <w:pPr>
              <w:pStyle w:val="P68B1DB1-Normal11"/>
              <w:spacing w:after="0" w:line="240" w:lineRule="auto"/>
              <w:jc w:val="center"/>
              <w:rPr>
                <w:rFonts w:eastAsia="Times New Roman"/>
                <w:noProof/>
              </w:rPr>
            </w:pPr>
            <w:r>
              <w:rPr>
                <w:noProof/>
              </w:rPr>
              <w:t>Adoption de la stratégie nationale pour l’inclusion des personnes handicapées 2021-2025</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807176" w14:textId="77777777" w:rsidR="006C686E" w:rsidRDefault="00B17E8C">
            <w:pPr>
              <w:pStyle w:val="P68B1DB1-Normal11"/>
              <w:spacing w:after="0" w:line="240" w:lineRule="auto"/>
              <w:jc w:val="center"/>
              <w:rPr>
                <w:rFonts w:eastAsia="Times New Roman"/>
                <w:noProof/>
              </w:rPr>
            </w:pPr>
            <w:r>
              <w:rPr>
                <w:noProof/>
              </w:rPr>
              <w:t>Adoption de la stratégie nationale pour l’inclusion des personnes handicapées 2021-2025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8DBE04"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BF8CED"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8E221C"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BF66FD"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DEB114" w14:textId="77777777" w:rsidR="006C686E" w:rsidRDefault="00B17E8C">
            <w:pPr>
              <w:pStyle w:val="P68B1DB1-Normal11"/>
              <w:spacing w:after="0" w:line="240" w:lineRule="auto"/>
              <w:jc w:val="center"/>
              <w:rPr>
                <w:rFonts w:eastAsia="Times New Roman"/>
                <w:noProof/>
              </w:rPr>
            </w:pPr>
            <w:r>
              <w:rPr>
                <w:noProof/>
              </w:rPr>
              <w:t>2021</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3C3CCE" w14:textId="77777777" w:rsidR="006C686E" w:rsidRDefault="00B17E8C">
            <w:pPr>
              <w:pStyle w:val="P68B1DB1-Normal11"/>
              <w:spacing w:after="0" w:line="240" w:lineRule="auto"/>
              <w:jc w:val="both"/>
              <w:rPr>
                <w:rFonts w:eastAsia="Times New Roman"/>
                <w:noProof/>
              </w:rPr>
            </w:pPr>
            <w:r>
              <w:rPr>
                <w:noProof/>
              </w:rPr>
              <w:t xml:space="preserve">La stratégie nationale pour l'inclusion des personnes handicapées crée les conditions nécessaires pour: </w:t>
            </w:r>
          </w:p>
          <w:p w14:paraId="0CF5A44C" w14:textId="77777777" w:rsidR="006C686E" w:rsidRDefault="00B17E8C">
            <w:pPr>
              <w:pStyle w:val="P68B1DB1-Normal11"/>
              <w:spacing w:after="0" w:line="240" w:lineRule="auto"/>
              <w:jc w:val="both"/>
              <w:rPr>
                <w:rFonts w:eastAsia="Times New Roman"/>
                <w:noProof/>
              </w:rPr>
            </w:pPr>
            <w:r>
              <w:rPr>
                <w:noProof/>
              </w:rPr>
              <w:t xml:space="preserve">• un nouveau système d’évaluation et de certification du handicap; </w:t>
            </w:r>
          </w:p>
          <w:p w14:paraId="46ACBBF2" w14:textId="77777777" w:rsidR="006C686E" w:rsidRDefault="00B17E8C">
            <w:pPr>
              <w:pStyle w:val="P68B1DB1-Normal11"/>
              <w:spacing w:after="0" w:line="240" w:lineRule="auto"/>
              <w:jc w:val="both"/>
              <w:rPr>
                <w:rFonts w:eastAsia="Times New Roman"/>
                <w:noProof/>
              </w:rPr>
            </w:pPr>
            <w:r>
              <w:rPr>
                <w:noProof/>
              </w:rPr>
              <w:t xml:space="preserve">• un nouveau système de collecte et de traitement des données et d’organisation des informations relatives au handicap à l’appui de la prise de décision; </w:t>
            </w:r>
          </w:p>
          <w:p w14:paraId="6BB2FF90" w14:textId="77777777" w:rsidR="006C686E" w:rsidRDefault="00B17E8C">
            <w:pPr>
              <w:pStyle w:val="P68B1DB1-Normal11"/>
              <w:spacing w:after="0" w:line="240" w:lineRule="auto"/>
              <w:jc w:val="both"/>
              <w:rPr>
                <w:rFonts w:eastAsia="Times New Roman"/>
                <w:noProof/>
              </w:rPr>
            </w:pPr>
            <w:r>
              <w:rPr>
                <w:noProof/>
              </w:rPr>
              <w:t>• la qualification des interventions dans les espaces publics;</w:t>
            </w:r>
          </w:p>
          <w:p w14:paraId="4D03308C" w14:textId="77777777" w:rsidR="006C686E" w:rsidRDefault="00B17E8C">
            <w:pPr>
              <w:pStyle w:val="P68B1DB1-Normal11"/>
              <w:spacing w:after="0" w:line="240" w:lineRule="auto"/>
              <w:jc w:val="both"/>
              <w:rPr>
                <w:rFonts w:eastAsia="Times New Roman"/>
                <w:noProof/>
              </w:rPr>
            </w:pPr>
            <w:r>
              <w:rPr>
                <w:noProof/>
              </w:rPr>
              <w:t>• intégrer l’inclusion des personnes handicapées dans les décisions, les mesures, les programmes et les projets;</w:t>
            </w:r>
          </w:p>
          <w:p w14:paraId="0E6A40CE" w14:textId="77777777" w:rsidR="006C686E" w:rsidRDefault="00B17E8C">
            <w:pPr>
              <w:pStyle w:val="P68B1DB1-Normal11"/>
              <w:spacing w:after="0" w:line="240" w:lineRule="auto"/>
              <w:jc w:val="both"/>
              <w:rPr>
                <w:rFonts w:eastAsia="Times New Roman"/>
                <w:noProof/>
              </w:rPr>
            </w:pPr>
            <w:r>
              <w:rPr>
                <w:noProof/>
              </w:rPr>
              <w:t>• l’extension du modèle de soutien à la vie autonome, qui fournit une assistance personnelle aux personnes handicapées;</w:t>
            </w:r>
          </w:p>
          <w:p w14:paraId="1D44DF6D" w14:textId="77777777" w:rsidR="006C686E" w:rsidRDefault="00B17E8C">
            <w:pPr>
              <w:pStyle w:val="P68B1DB1-Normal11"/>
              <w:spacing w:after="0" w:line="240" w:lineRule="auto"/>
              <w:jc w:val="both"/>
              <w:rPr>
                <w:rFonts w:eastAsia="Times New Roman"/>
                <w:noProof/>
              </w:rPr>
            </w:pPr>
            <w:r>
              <w:rPr>
                <w:noProof/>
              </w:rPr>
              <w:t>• adaptation du système de formation, d'emploi et de qualification des personnes handicapées.</w:t>
            </w:r>
          </w:p>
        </w:tc>
      </w:tr>
      <w:tr w:rsidR="006C686E" w14:paraId="7324B788" w14:textId="77777777" w:rsidTr="006E2673">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BF5208D" w14:textId="77777777" w:rsidR="006C686E" w:rsidRDefault="00B17E8C">
            <w:pPr>
              <w:pStyle w:val="P68B1DB1-Normal10"/>
              <w:spacing w:after="0" w:line="240" w:lineRule="auto"/>
              <w:jc w:val="center"/>
              <w:rPr>
                <w:rFonts w:eastAsia="Times New Roman"/>
                <w:bCs/>
                <w:noProof/>
              </w:rPr>
            </w:pPr>
            <w:r>
              <w:rPr>
                <w:noProof/>
              </w:rPr>
              <w:t>3.22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EEAAA7" w14:textId="77777777" w:rsidR="006C686E" w:rsidRDefault="00B17E8C">
            <w:pPr>
              <w:pStyle w:val="P68B1DB1-Normal11"/>
              <w:spacing w:after="0" w:line="240" w:lineRule="auto"/>
              <w:jc w:val="center"/>
              <w:rPr>
                <w:rFonts w:eastAsia="Times New Roman"/>
                <w:noProof/>
              </w:rPr>
            </w:pPr>
            <w:r>
              <w:rPr>
                <w:noProof/>
              </w:rPr>
              <w:t>RE-C03-r05</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156BA9"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D00591" w14:textId="77777777" w:rsidR="006C686E" w:rsidRDefault="00B17E8C">
            <w:pPr>
              <w:pStyle w:val="P68B1DB1-Normal11"/>
              <w:spacing w:after="0" w:line="240" w:lineRule="auto"/>
              <w:jc w:val="center"/>
              <w:rPr>
                <w:rFonts w:eastAsia="Times New Roman"/>
                <w:noProof/>
              </w:rPr>
            </w:pPr>
            <w:r>
              <w:rPr>
                <w:noProof/>
              </w:rPr>
              <w:t>Entrée en vigueur du régime simplifié d'installation d'équipements sociaux</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7256FC" w14:textId="77777777" w:rsidR="006C686E" w:rsidRDefault="00B17E8C">
            <w:pPr>
              <w:pStyle w:val="P68B1DB1-Normal11"/>
              <w:spacing w:after="0" w:line="240" w:lineRule="auto"/>
              <w:jc w:val="center"/>
              <w:rPr>
                <w:rFonts w:eastAsia="Times New Roman"/>
                <w:noProof/>
              </w:rPr>
            </w:pPr>
            <w:r>
              <w:rPr>
                <w:noProof/>
              </w:rPr>
              <w:t>Entrée en vigueur du régime simplifié d'installation d'équipements sociaux</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7FA3B7"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B876B9"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AF8FD8"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2E15E2"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0A2C5B" w14:textId="77777777" w:rsidR="006C686E" w:rsidRDefault="00B17E8C">
            <w:pPr>
              <w:pStyle w:val="P68B1DB1-Normal11"/>
              <w:spacing w:after="0" w:line="240" w:lineRule="auto"/>
              <w:jc w:val="center"/>
              <w:rPr>
                <w:rFonts w:eastAsia="Times New Roman"/>
                <w:noProof/>
              </w:rPr>
            </w:pPr>
            <w:r>
              <w:rPr>
                <w:noProof/>
              </w:rPr>
              <w:t>2021</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54942D" w14:textId="0AEF84FB" w:rsidR="006C686E" w:rsidRDefault="00B17E8C">
            <w:pPr>
              <w:pStyle w:val="P68B1DB1-Normal11"/>
              <w:keepNext/>
              <w:spacing w:before="40" w:after="0" w:line="240" w:lineRule="auto"/>
              <w:rPr>
                <w:rFonts w:eastAsia="Times New Roman"/>
                <w:noProof/>
              </w:rPr>
            </w:pPr>
            <w:r>
              <w:rPr>
                <w:noProof/>
              </w:rPr>
              <w:t>Entrée en vigueur du régime simplifié d’installation d’équipements sociaux présentant les caractéristiques suivantes:</w:t>
            </w:r>
            <w:r>
              <w:rPr>
                <w:noProof/>
              </w:rPr>
              <w:br/>
              <w:t>- Établir les exigences de licence et de régularisation de la structure résidentielle pour les personnes âgées qui opèrent illégalement;</w:t>
            </w:r>
            <w:r>
              <w:rPr>
                <w:noProof/>
              </w:rPr>
              <w:br/>
              <w:t>- Introduire des critères de qualité dans les services et les structures sociales d'accueil;</w:t>
            </w:r>
          </w:p>
          <w:p w14:paraId="47C5323A" w14:textId="5909AD80" w:rsidR="006C686E" w:rsidRDefault="00B17E8C">
            <w:pPr>
              <w:pStyle w:val="P68B1DB1-Normal11"/>
              <w:keepNext/>
              <w:spacing w:before="40" w:after="0" w:line="240" w:lineRule="auto"/>
              <w:jc w:val="both"/>
              <w:rPr>
                <w:rFonts w:eastAsia="Times New Roman"/>
                <w:noProof/>
              </w:rPr>
            </w:pPr>
            <w:r>
              <w:rPr>
                <w:noProof/>
              </w:rPr>
              <w:t>Créer le cadre pour l'introduction de nouveaux types de réponses sociales telles que le logement collaboratif et de nouveaux modèles de soutien à domicile pour répondre aux différents besoins des personnes âgées.</w:t>
            </w:r>
          </w:p>
        </w:tc>
      </w:tr>
      <w:tr w:rsidR="006C686E" w14:paraId="79137197" w14:textId="77777777" w:rsidTr="006E2673">
        <w:trPr>
          <w:trHeight w:val="147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2A1CA2D" w14:textId="77777777" w:rsidR="006C686E" w:rsidRDefault="00B17E8C">
            <w:pPr>
              <w:pStyle w:val="P68B1DB1-Normal10"/>
              <w:spacing w:after="0" w:line="240" w:lineRule="auto"/>
              <w:jc w:val="center"/>
              <w:rPr>
                <w:rFonts w:eastAsia="Times New Roman"/>
                <w:bCs/>
                <w:noProof/>
              </w:rPr>
            </w:pPr>
            <w:r>
              <w:rPr>
                <w:noProof/>
              </w:rPr>
              <w:t>3.23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D5FE3B" w14:textId="77777777" w:rsidR="006C686E" w:rsidRDefault="00B17E8C">
            <w:pPr>
              <w:pStyle w:val="P68B1DB1-Normal11"/>
              <w:spacing w:after="0" w:line="240" w:lineRule="auto"/>
              <w:jc w:val="center"/>
              <w:rPr>
                <w:rFonts w:eastAsia="Times New Roman"/>
                <w:noProof/>
              </w:rPr>
            </w:pPr>
            <w:r>
              <w:rPr>
                <w:noProof/>
              </w:rPr>
              <w:t>RE-C03-r07</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870E1F"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35C2A9" w14:textId="77777777" w:rsidR="006C686E" w:rsidRDefault="00B17E8C">
            <w:pPr>
              <w:pStyle w:val="P68B1DB1-Normal11"/>
              <w:spacing w:after="0" w:line="240" w:lineRule="auto"/>
              <w:jc w:val="center"/>
              <w:rPr>
                <w:rFonts w:eastAsia="Times New Roman"/>
                <w:noProof/>
              </w:rPr>
            </w:pPr>
            <w:r>
              <w:rPr>
                <w:noProof/>
              </w:rPr>
              <w:t>Approbation des plans d'action en faveur des communautés défavorisées dans les zones métropolitaines de Lisbonne et de Porto</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79898F" w14:textId="77777777" w:rsidR="006C686E" w:rsidRDefault="00B17E8C">
            <w:pPr>
              <w:pStyle w:val="P68B1DB1-Normal11"/>
              <w:spacing w:after="0" w:line="240" w:lineRule="auto"/>
              <w:jc w:val="center"/>
              <w:rPr>
                <w:rFonts w:eastAsia="Times New Roman"/>
                <w:noProof/>
              </w:rPr>
            </w:pPr>
            <w:r>
              <w:rPr>
                <w:noProof/>
              </w:rPr>
              <w:t>Approbation des plans d'action pour les communautés défavorisées dans les zones métropolitaines de Lisbonne et de Porto pour les territoires concernés.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9F2DA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A85A6F"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A20F39"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2EA857" w14:textId="77777777" w:rsidR="006C686E" w:rsidRDefault="00B17E8C">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FCF903" w14:textId="77777777" w:rsidR="006C686E" w:rsidRDefault="00B17E8C">
            <w:pPr>
              <w:pStyle w:val="P68B1DB1-Normal11"/>
              <w:spacing w:after="0" w:line="240" w:lineRule="auto"/>
              <w:jc w:val="center"/>
              <w:rPr>
                <w:rFonts w:eastAsia="Times New Roman"/>
                <w:noProof/>
              </w:rPr>
            </w:pPr>
            <w:r>
              <w:rPr>
                <w:noProof/>
              </w:rPr>
              <w:t>2021</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E98EAD" w14:textId="77777777" w:rsidR="006C686E" w:rsidRDefault="00B17E8C">
            <w:pPr>
              <w:pStyle w:val="P68B1DB1-Normal11"/>
              <w:spacing w:after="0" w:line="240" w:lineRule="auto"/>
              <w:jc w:val="both"/>
              <w:rPr>
                <w:rFonts w:eastAsia="Times New Roman"/>
                <w:noProof/>
              </w:rPr>
            </w:pPr>
            <w:r>
              <w:rPr>
                <w:noProof/>
              </w:rPr>
              <w:t>Approbation des plans d'action pour les communautés défavorisées par les zones métropolitaines de Lisbonne et de Porto. Les plans d'action se concentrent sur deux domaines principaux: i) les interventions dans l'espace public et les infrastructures sociales telles que les crèches et les écoles primaires, les établissements de soins de santé et les installations pour des manifestations culturelles, des ateliers et/ou des cours de formation; ii) Interventions de nature immatérielle visant à promouvoir la cohésion sociale, telles que la participation active des communautés à leur conception et à leur mise en œuvre, la promotion de l'esprit d'entreprise des petites entreprises locales, la conception de projets visant à lutter contre l'échec scolaire et le décrochage scolaire, l'offre de formation professionnelle et la promotion du sport. Un modèle de gouvernance est mis en place, fondé sur des principes de gouvernance à plusieurs niveaux et associant différents acteurs, du gouvernement central aux zones/quartiers locaux. Dans le même temps, il y aura des unités techniques locales en tant qu’avant-garde opérationnelle de ce modèle afin de promouvoir l’appropriation et la proximité dans la gestion et la mise en œuvre des contrats.</w:t>
            </w:r>
          </w:p>
        </w:tc>
      </w:tr>
      <w:tr w:rsidR="006C686E" w14:paraId="51A199F1" w14:textId="77777777" w:rsidTr="006E2673">
        <w:trPr>
          <w:trHeight w:val="54"/>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9F999AD" w14:textId="77777777" w:rsidR="006C686E" w:rsidRDefault="00B17E8C">
            <w:pPr>
              <w:pStyle w:val="P68B1DB1-Normal10"/>
              <w:spacing w:after="0" w:line="240" w:lineRule="auto"/>
              <w:jc w:val="center"/>
              <w:rPr>
                <w:rFonts w:eastAsia="Times New Roman"/>
                <w:bCs/>
                <w:noProof/>
              </w:rPr>
            </w:pPr>
            <w:r>
              <w:rPr>
                <w:noProof/>
              </w:rPr>
              <w:t>3.24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896A5F" w14:textId="77777777" w:rsidR="006C686E" w:rsidRDefault="00B17E8C">
            <w:pPr>
              <w:pStyle w:val="P68B1DB1-Normal11"/>
              <w:spacing w:after="0" w:line="240" w:lineRule="auto"/>
              <w:jc w:val="center"/>
              <w:rPr>
                <w:rFonts w:eastAsia="Times New Roman"/>
                <w:noProof/>
              </w:rPr>
            </w:pPr>
            <w:r>
              <w:rPr>
                <w:noProof/>
              </w:rPr>
              <w:t xml:space="preserve">RE-C03-i06 </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C2A755" w14:textId="77777777" w:rsidR="006C686E" w:rsidRDefault="00B17E8C">
            <w:pPr>
              <w:pStyle w:val="P68B1DB1-Normal11"/>
              <w:spacing w:after="0" w:line="240" w:lineRule="auto"/>
              <w:jc w:val="center"/>
              <w:rPr>
                <w:rFonts w:eastAsia="Times New Roman"/>
                <w:noProof/>
              </w:rPr>
            </w:pPr>
            <w:r>
              <w:rPr>
                <w:noProof/>
              </w:rPr>
              <w:t xml:space="preserve">M </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9A6C93" w14:textId="77777777" w:rsidR="006C686E" w:rsidRDefault="00B17E8C">
            <w:pPr>
              <w:pStyle w:val="P68B1DB1-Normal11"/>
              <w:spacing w:after="0" w:line="240" w:lineRule="auto"/>
              <w:jc w:val="center"/>
              <w:rPr>
                <w:rFonts w:eastAsia="Times New Roman"/>
                <w:noProof/>
              </w:rPr>
            </w:pPr>
            <w:r>
              <w:rPr>
                <w:noProof/>
              </w:rPr>
              <w:t xml:space="preserve">Signature d'accords entre les municipalités de Lisbonne/Porto et les unités techniques locales définissant la portée des mesures à soutenir.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44379E" w14:textId="77777777" w:rsidR="006C686E" w:rsidRDefault="00B17E8C">
            <w:pPr>
              <w:pStyle w:val="P68B1DB1-Normal11"/>
              <w:spacing w:after="0" w:line="240" w:lineRule="auto"/>
              <w:jc w:val="center"/>
              <w:rPr>
                <w:rFonts w:eastAsia="Times New Roman"/>
                <w:noProof/>
              </w:rPr>
            </w:pPr>
            <w:r>
              <w:rPr>
                <w:noProof/>
              </w:rPr>
              <w:t xml:space="preserve">Signature d'accords sur les plans relatifs aux 12 zones d'intervention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1677AC"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F9E211"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62852F"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9C4233" w14:textId="77777777" w:rsidR="006C686E" w:rsidRDefault="00B17E8C">
            <w:pPr>
              <w:pStyle w:val="P68B1DB1-Normal11"/>
              <w:spacing w:after="0" w:line="240" w:lineRule="auto"/>
              <w:jc w:val="center"/>
              <w:rPr>
                <w:rFonts w:eastAsia="Times New Roman"/>
                <w:noProof/>
              </w:rPr>
            </w:pPr>
            <w:r>
              <w:rPr>
                <w:noProof/>
              </w:rPr>
              <w:t xml:space="preserve">T1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A48E78" w14:textId="77777777" w:rsidR="006C686E" w:rsidRDefault="00B17E8C">
            <w:pPr>
              <w:pStyle w:val="P68B1DB1-Normal11"/>
              <w:spacing w:after="0" w:line="240" w:lineRule="auto"/>
              <w:jc w:val="center"/>
              <w:rPr>
                <w:rFonts w:eastAsia="Times New Roman"/>
                <w:noProof/>
              </w:rPr>
            </w:pPr>
            <w:r>
              <w:rPr>
                <w:noProof/>
              </w:rPr>
              <w:t xml:space="preserve">2022 </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1A7A6D" w14:textId="74C87579" w:rsidR="006C686E" w:rsidRDefault="00B17E8C">
            <w:pPr>
              <w:pStyle w:val="P68B1DB1-Normal11"/>
              <w:spacing w:after="0" w:line="240" w:lineRule="auto"/>
              <w:jc w:val="both"/>
              <w:rPr>
                <w:rFonts w:eastAsia="Times New Roman"/>
                <w:noProof/>
              </w:rPr>
            </w:pPr>
            <w:r>
              <w:rPr>
                <w:noProof/>
              </w:rPr>
              <w:t xml:space="preserve">Signature d’accords entre les zones métropolitaines de Porto et de Lisbonne et les unités techniques locales chargées de chacune des 12 zones d’intervention (c’est-à-dire les quartiers) définissant le champ d’application des mesures à soutenir, le calendrier de leur exécution, l’appui </w:t>
            </w:r>
            <w:bookmarkStart w:id="9" w:name="_Hlk213689259"/>
            <w:r>
              <w:rPr>
                <w:noProof/>
              </w:rPr>
              <w:t xml:space="preserve">budgétaire de 225 millions d’EUR </w:t>
            </w:r>
            <w:bookmarkEnd w:id="9"/>
            <w:r>
              <w:rPr>
                <w:noProof/>
              </w:rPr>
              <w:t xml:space="preserve">alloué et les indicateurs de performance choisis. Les mesures à soutenir appartiennent aux catégories suivantes: </w:t>
            </w:r>
          </w:p>
          <w:p w14:paraId="3FD77141" w14:textId="77777777" w:rsidR="006C686E" w:rsidRDefault="00B17E8C">
            <w:pPr>
              <w:pStyle w:val="P68B1DB1-Normal11"/>
              <w:spacing w:after="0" w:line="240" w:lineRule="auto"/>
              <w:jc w:val="both"/>
              <w:rPr>
                <w:rFonts w:eastAsia="Times New Roman"/>
                <w:noProof/>
              </w:rPr>
            </w:pPr>
            <w:r>
              <w:rPr>
                <w:noProof/>
              </w:rPr>
              <w:t>• Promotion de la santé et de la qualité de vie des communautés</w:t>
            </w:r>
          </w:p>
          <w:p w14:paraId="4720934B" w14:textId="49C20064" w:rsidR="006C686E" w:rsidRDefault="00B17E8C">
            <w:pPr>
              <w:pStyle w:val="P68B1DB1-Normal11"/>
              <w:spacing w:after="0" w:line="240" w:lineRule="auto"/>
              <w:jc w:val="both"/>
              <w:rPr>
                <w:rFonts w:eastAsia="Times New Roman"/>
                <w:noProof/>
              </w:rPr>
            </w:pPr>
            <w:r>
              <w:rPr>
                <w:noProof/>
              </w:rPr>
              <w:t>• Mise à niveau physique de l’espace public ou renforcement des infrastructures sociales, sanitaires, de logement ou sportives</w:t>
            </w:r>
          </w:p>
          <w:p w14:paraId="47BF856E" w14:textId="77777777" w:rsidR="006C686E" w:rsidRDefault="00B17E8C">
            <w:pPr>
              <w:pStyle w:val="P68B1DB1-Normal11"/>
              <w:spacing w:after="0" w:line="240" w:lineRule="auto"/>
              <w:jc w:val="both"/>
              <w:rPr>
                <w:rFonts w:eastAsia="Times New Roman"/>
                <w:noProof/>
              </w:rPr>
            </w:pPr>
            <w:r>
              <w:rPr>
                <w:noProof/>
              </w:rPr>
              <w:t>• Revitalisation économique des zones socialement défavorisées</w:t>
            </w:r>
          </w:p>
          <w:p w14:paraId="196E96FE" w14:textId="77777777" w:rsidR="006C686E" w:rsidRDefault="00B17E8C">
            <w:pPr>
              <w:pStyle w:val="P68B1DB1-Normal11"/>
              <w:spacing w:after="0" w:line="240" w:lineRule="auto"/>
              <w:jc w:val="both"/>
              <w:rPr>
                <w:rFonts w:eastAsia="Times New Roman"/>
                <w:noProof/>
              </w:rPr>
            </w:pPr>
            <w:r>
              <w:rPr>
                <w:noProof/>
              </w:rPr>
              <w:t>• Entrepreneuriat des petites entreprises locales</w:t>
            </w:r>
          </w:p>
          <w:p w14:paraId="42A3536F" w14:textId="77777777" w:rsidR="006C686E" w:rsidRDefault="00B17E8C">
            <w:pPr>
              <w:pStyle w:val="P68B1DB1-Normal11"/>
              <w:spacing w:after="0" w:line="240" w:lineRule="auto"/>
              <w:jc w:val="both"/>
              <w:rPr>
                <w:rFonts w:eastAsia="Times New Roman"/>
                <w:noProof/>
              </w:rPr>
            </w:pPr>
            <w:r>
              <w:rPr>
                <w:noProof/>
              </w:rPr>
              <w:t>• Accès à la santé, développement de la santé communautaire et lutte contre les dépendances</w:t>
            </w:r>
          </w:p>
          <w:p w14:paraId="0EC495E7" w14:textId="77777777" w:rsidR="006C686E" w:rsidRDefault="00B17E8C">
            <w:pPr>
              <w:pStyle w:val="P68B1DB1-Normal11"/>
              <w:spacing w:after="0" w:line="240" w:lineRule="auto"/>
              <w:jc w:val="both"/>
              <w:rPr>
                <w:rFonts w:eastAsia="Times New Roman"/>
                <w:noProof/>
              </w:rPr>
            </w:pPr>
            <w:r>
              <w:rPr>
                <w:noProof/>
              </w:rPr>
              <w:t>• Programmes de vieillissement actif et en bonne santé</w:t>
            </w:r>
          </w:p>
          <w:p w14:paraId="26B78AD2" w14:textId="77777777" w:rsidR="006C686E" w:rsidRDefault="00B17E8C">
            <w:pPr>
              <w:pStyle w:val="P68B1DB1-Normal11"/>
              <w:spacing w:after="0" w:line="240" w:lineRule="auto"/>
              <w:jc w:val="both"/>
              <w:rPr>
                <w:rFonts w:eastAsia="Times New Roman"/>
                <w:noProof/>
              </w:rPr>
            </w:pPr>
            <w:r>
              <w:rPr>
                <w:noProof/>
              </w:rPr>
              <w:t>• Projets de lutte contre l'échec scolaire et le décrochage scolaire</w:t>
            </w:r>
          </w:p>
          <w:p w14:paraId="6A557433" w14:textId="77777777" w:rsidR="006C686E" w:rsidRDefault="00B17E8C">
            <w:pPr>
              <w:pStyle w:val="P68B1DB1-Normal11"/>
              <w:spacing w:after="0" w:line="240" w:lineRule="auto"/>
              <w:jc w:val="both"/>
              <w:rPr>
                <w:rFonts w:eastAsia="Times New Roman"/>
                <w:noProof/>
              </w:rPr>
            </w:pPr>
            <w:r>
              <w:rPr>
                <w:noProof/>
              </w:rPr>
              <w:t>• Qualification des adultes et certification des compétences</w:t>
            </w:r>
          </w:p>
          <w:p w14:paraId="6B57C787" w14:textId="77777777" w:rsidR="006C686E" w:rsidRDefault="00B17E8C">
            <w:pPr>
              <w:pStyle w:val="P68B1DB1-Normal11"/>
              <w:spacing w:after="0" w:line="240" w:lineRule="auto"/>
              <w:jc w:val="both"/>
              <w:rPr>
                <w:rFonts w:eastAsia="Times New Roman"/>
                <w:noProof/>
              </w:rPr>
            </w:pPr>
            <w:r>
              <w:rPr>
                <w:noProof/>
              </w:rPr>
              <w:t>• Diagnostic des besoins de la population et développement de l’alphabétisation des adultes, apprentissage de la langue portugaise et programmes d’inclusion numérique</w:t>
            </w:r>
          </w:p>
          <w:p w14:paraId="218E81AD" w14:textId="1646286D" w:rsidR="006C686E" w:rsidRDefault="00B17E8C">
            <w:pPr>
              <w:pStyle w:val="P68B1DB1-Normal11"/>
              <w:spacing w:after="0" w:line="240" w:lineRule="auto"/>
              <w:jc w:val="both"/>
              <w:rPr>
                <w:rFonts w:eastAsia="Times New Roman"/>
                <w:noProof/>
              </w:rPr>
            </w:pPr>
            <w:r>
              <w:rPr>
                <w:noProof/>
              </w:rPr>
              <w:t>• Formation et politiques professionnelles</w:t>
            </w:r>
          </w:p>
          <w:p w14:paraId="73119898" w14:textId="639F525F" w:rsidR="006C686E" w:rsidRDefault="00B17E8C">
            <w:pPr>
              <w:pStyle w:val="P68B1DB1-Normal11"/>
              <w:spacing w:after="0" w:line="240" w:lineRule="auto"/>
              <w:jc w:val="both"/>
              <w:rPr>
                <w:rFonts w:eastAsia="Times New Roman"/>
                <w:noProof/>
              </w:rPr>
            </w:pPr>
            <w:r>
              <w:rPr>
                <w:noProof/>
              </w:rPr>
              <w:t>• Accès à la culture et à la créativité</w:t>
            </w:r>
          </w:p>
          <w:p w14:paraId="0517FBC1" w14:textId="77777777" w:rsidR="006C686E" w:rsidRDefault="00B17E8C">
            <w:pPr>
              <w:pStyle w:val="P68B1DB1-Normal11"/>
              <w:spacing w:after="0" w:line="240" w:lineRule="auto"/>
              <w:jc w:val="both"/>
              <w:rPr>
                <w:rFonts w:eastAsia="Times New Roman"/>
                <w:noProof/>
              </w:rPr>
            </w:pPr>
            <w:r>
              <w:rPr>
                <w:noProof/>
              </w:rPr>
              <w:t>• Participation de la Communauté à la gestion du programme</w:t>
            </w:r>
          </w:p>
          <w:p w14:paraId="0421CA66" w14:textId="77777777" w:rsidR="006C686E" w:rsidRDefault="00B17E8C">
            <w:pPr>
              <w:pStyle w:val="P68B1DB1-Normal11"/>
              <w:spacing w:after="0" w:line="240" w:lineRule="auto"/>
              <w:jc w:val="both"/>
              <w:rPr>
                <w:rFonts w:eastAsia="Times New Roman"/>
                <w:noProof/>
              </w:rPr>
            </w:pPr>
            <w:r>
              <w:rPr>
                <w:noProof/>
              </w:rPr>
              <w:t>• Responsabiliser les acteurs locaux dans les réseaux de partenariat</w:t>
            </w:r>
          </w:p>
          <w:p w14:paraId="1F5E4FC6" w14:textId="77777777" w:rsidR="006C686E" w:rsidRDefault="00B17E8C">
            <w:pPr>
              <w:pStyle w:val="P68B1DB1-Normal11"/>
              <w:spacing w:after="0" w:line="240" w:lineRule="auto"/>
              <w:jc w:val="both"/>
              <w:rPr>
                <w:rFonts w:eastAsia="Times New Roman"/>
                <w:noProof/>
              </w:rPr>
            </w:pPr>
            <w:r>
              <w:rPr>
                <w:noProof/>
              </w:rPr>
              <w:t>• Des solutions pour lutter contre la pauvreté et l'exclusion sociale</w:t>
            </w:r>
          </w:p>
          <w:p w14:paraId="0027128F" w14:textId="77777777" w:rsidR="006C686E" w:rsidRDefault="00B17E8C">
            <w:pPr>
              <w:pStyle w:val="P68B1DB1-Normal11"/>
              <w:spacing w:after="0" w:line="240" w:lineRule="auto"/>
              <w:jc w:val="both"/>
              <w:rPr>
                <w:rFonts w:eastAsia="Times New Roman"/>
                <w:noProof/>
              </w:rPr>
            </w:pPr>
            <w:r>
              <w:rPr>
                <w:noProof/>
              </w:rPr>
              <w:t>• Promotion du sport</w:t>
            </w:r>
          </w:p>
          <w:p w14:paraId="75FFB131" w14:textId="77777777" w:rsidR="006C686E" w:rsidRDefault="00B17E8C">
            <w:pPr>
              <w:pStyle w:val="P68B1DB1-Normal11"/>
              <w:spacing w:after="0" w:line="240" w:lineRule="auto"/>
              <w:jc w:val="both"/>
              <w:rPr>
                <w:rFonts w:eastAsia="Times New Roman"/>
                <w:noProof/>
              </w:rPr>
            </w:pPr>
            <w:r>
              <w:rPr>
                <w:noProof/>
              </w:rPr>
              <w:t>• Citoyenneté et accès aux droits et participation civique</w:t>
            </w:r>
          </w:p>
          <w:p w14:paraId="6D3D9C4F" w14:textId="77777777" w:rsidR="006C686E" w:rsidRDefault="006C686E">
            <w:pPr>
              <w:spacing w:after="0" w:line="240" w:lineRule="auto"/>
              <w:jc w:val="both"/>
              <w:rPr>
                <w:rFonts w:ascii="Times New Roman" w:eastAsia="Times New Roman" w:hAnsi="Times New Roman" w:cs="Times New Roman"/>
                <w:noProof/>
                <w:kern w:val="0"/>
                <w:sz w:val="16"/>
                <w:szCs w:val="16"/>
                <w14:ligatures w14:val="none"/>
              </w:rPr>
            </w:pPr>
          </w:p>
          <w:p w14:paraId="490EA375" w14:textId="1494B2D2" w:rsidR="006C686E" w:rsidRDefault="00B17E8C">
            <w:pPr>
              <w:pStyle w:val="P68B1DB1-Normal30"/>
              <w:spacing w:after="0" w:line="240" w:lineRule="auto"/>
              <w:jc w:val="both"/>
              <w:rPr>
                <w:rFonts w:eastAsia="Times New Roman"/>
                <w:noProof/>
              </w:rPr>
            </w:pPr>
            <w:r>
              <w:rPr>
                <w:noProof/>
              </w:rPr>
              <w:t>Les termes de référence pour les prochains appels à projets comprennent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6C686E" w14:paraId="5FFE5ECF" w14:textId="77777777" w:rsidTr="006E2673">
        <w:trPr>
          <w:trHeight w:val="161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F9B959B" w14:textId="77777777" w:rsidR="006C686E" w:rsidRDefault="00B17E8C">
            <w:pPr>
              <w:pStyle w:val="P68B1DB1-Normal10"/>
              <w:spacing w:after="0" w:line="240" w:lineRule="auto"/>
              <w:jc w:val="center"/>
              <w:rPr>
                <w:rFonts w:eastAsia="Times New Roman"/>
                <w:bCs/>
                <w:noProof/>
              </w:rPr>
            </w:pPr>
            <w:r>
              <w:rPr>
                <w:noProof/>
              </w:rPr>
              <w:t>3.25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C73A18" w14:textId="77777777" w:rsidR="006C686E" w:rsidRDefault="00B17E8C">
            <w:pPr>
              <w:pStyle w:val="P68B1DB1-Normal11"/>
              <w:spacing w:after="0" w:line="240" w:lineRule="auto"/>
              <w:jc w:val="center"/>
              <w:rPr>
                <w:rFonts w:eastAsia="Times New Roman"/>
                <w:noProof/>
              </w:rPr>
            </w:pPr>
            <w:r>
              <w:rPr>
                <w:noProof/>
              </w:rPr>
              <w:t>RE-C03-i06</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0C7BF1" w14:textId="77777777" w:rsidR="006C686E" w:rsidRDefault="00B17E8C">
            <w:pPr>
              <w:pStyle w:val="P68B1DB1-Normal11"/>
              <w:spacing w:after="0" w:line="240" w:lineRule="auto"/>
              <w:jc w:val="center"/>
              <w:rPr>
                <w:rFonts w:eastAsia="Times New Roman"/>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FBA27F" w14:textId="77777777" w:rsidR="006C686E" w:rsidRDefault="00B17E8C">
            <w:pPr>
              <w:pStyle w:val="P68B1DB1-Normal11"/>
              <w:spacing w:after="0" w:line="240" w:lineRule="auto"/>
              <w:jc w:val="center"/>
              <w:rPr>
                <w:rFonts w:eastAsia="Times New Roman"/>
                <w:noProof/>
              </w:rPr>
            </w:pPr>
            <w:r>
              <w:rPr>
                <w:noProof/>
              </w:rPr>
              <w:t>Publication d'un rapport de suivi par les aires métropolitaines de Porto et de Lisbonne concernant les mesures prises dans chacune des 12 zones d'intervention.</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95A2B9" w14:textId="77777777" w:rsidR="006C686E" w:rsidRDefault="00B17E8C">
            <w:pPr>
              <w:pStyle w:val="P68B1DB1-Normal11"/>
              <w:spacing w:after="0" w:line="240" w:lineRule="auto"/>
              <w:jc w:val="center"/>
              <w:rPr>
                <w:rFonts w:eastAsia="Times New Roman"/>
                <w:noProof/>
              </w:rPr>
            </w:pPr>
            <w:r>
              <w:rPr>
                <w:noProof/>
              </w:rPr>
              <w:t>Publication d'un rapport de suivi par les aires métropolitaines de Porto et de Lisbonne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908314"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15117" w14:textId="77777777" w:rsidR="006C686E" w:rsidRDefault="00B17E8C">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908305"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FF4257" w14:textId="77777777" w:rsidR="006C686E" w:rsidRDefault="00B17E8C">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A0D02E" w14:textId="77777777" w:rsidR="006C686E" w:rsidRDefault="00B17E8C">
            <w:pPr>
              <w:pStyle w:val="P68B1DB1-Normal11"/>
              <w:spacing w:after="0" w:line="240" w:lineRule="auto"/>
              <w:jc w:val="center"/>
              <w:rPr>
                <w:rFonts w:eastAsia="Times New Roman"/>
                <w:noProof/>
              </w:rPr>
            </w:pPr>
            <w:r>
              <w:rPr>
                <w:noProof/>
              </w:rPr>
              <w:t>2024</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5F66FA" w14:textId="77777777" w:rsidR="006C686E" w:rsidRDefault="00B17E8C">
            <w:pPr>
              <w:pStyle w:val="P68B1DB1-Normal11"/>
              <w:spacing w:after="0" w:line="240" w:lineRule="auto"/>
              <w:jc w:val="both"/>
              <w:rPr>
                <w:rFonts w:eastAsia="Times New Roman"/>
                <w:noProof/>
              </w:rPr>
            </w:pPr>
            <w:r>
              <w:rPr>
                <w:noProof/>
              </w:rPr>
              <w:t>Publication d’un rapport de suivi par les zones métropolitaines de Porto et de Lisbonne décrivant les progrès réalisés dans la mise en œuvre des mesures financées par le programme dans chaque zone d’intervention, y compris l’exécution budgétaire et la performance par rapport aux indicateurs choisis pour chaque mesure.</w:t>
            </w:r>
          </w:p>
        </w:tc>
      </w:tr>
      <w:tr w:rsidR="006C686E" w14:paraId="42CB613A" w14:textId="77777777" w:rsidTr="006E2673">
        <w:trPr>
          <w:trHeight w:val="831"/>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880ACF" w14:textId="77777777" w:rsidR="006C686E" w:rsidRDefault="00B17E8C">
            <w:pPr>
              <w:pStyle w:val="P68B1DB1-Normal10"/>
              <w:spacing w:after="0" w:line="240" w:lineRule="auto"/>
              <w:jc w:val="center"/>
              <w:rPr>
                <w:rFonts w:eastAsia="Times New Roman"/>
                <w:bCs/>
                <w:noProof/>
              </w:rPr>
            </w:pPr>
            <w:r>
              <w:rPr>
                <w:noProof/>
              </w:rPr>
              <w:t>3.26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137859" w14:textId="77777777" w:rsidR="006C686E" w:rsidRDefault="00B17E8C">
            <w:pPr>
              <w:pStyle w:val="P68B1DB1-Normal11"/>
              <w:spacing w:after="0" w:line="240" w:lineRule="auto"/>
              <w:jc w:val="center"/>
              <w:rPr>
                <w:rFonts w:eastAsia="Times New Roman"/>
                <w:noProof/>
              </w:rPr>
            </w:pPr>
            <w:r>
              <w:rPr>
                <w:noProof/>
              </w:rPr>
              <w:t>RE-C03-i06</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FCBD4E"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F74468" w14:textId="095B9F2E" w:rsidR="006C686E" w:rsidRDefault="00B17E8C">
            <w:pPr>
              <w:pStyle w:val="P68B1DB1-Normal13"/>
              <w:spacing w:after="0" w:line="240" w:lineRule="auto"/>
              <w:jc w:val="center"/>
              <w:rPr>
                <w:rFonts w:eastAsia="Times New Roman"/>
                <w:noProof/>
                <w:kern w:val="0"/>
                <w14:ligatures w14:val="none"/>
              </w:rPr>
            </w:pPr>
            <w:r>
              <w:rPr>
                <w:noProof/>
              </w:rPr>
              <w:t>Déboursement pour les mesures sociales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83946"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8A1710" w14:textId="77777777" w:rsidR="006C686E" w:rsidRDefault="00B17E8C">
            <w:pPr>
              <w:pStyle w:val="P68B1DB1-Normal11"/>
              <w:spacing w:after="0" w:line="240" w:lineRule="auto"/>
              <w:jc w:val="center"/>
              <w:rPr>
                <w:rFonts w:eastAsia="Times New Roman"/>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A3721E"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5DB04D" w14:textId="77777777" w:rsidR="006C686E" w:rsidRDefault="00B17E8C">
            <w:pPr>
              <w:pStyle w:val="P68B1DB1-Normal11"/>
              <w:spacing w:after="0" w:line="240" w:lineRule="auto"/>
              <w:jc w:val="center"/>
              <w:rPr>
                <w:rFonts w:eastAsia="Times New Roman"/>
                <w:noProof/>
              </w:rPr>
            </w:pPr>
            <w:r>
              <w:rPr>
                <w:noProof/>
              </w:rPr>
              <w:t>225 000 000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417E26" w14:textId="5A5B528C"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913B2B" w14:textId="7C7ABBEB"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979F69" w14:textId="46C7519E" w:rsidR="006C686E" w:rsidRDefault="00B17E8C">
            <w:pPr>
              <w:pStyle w:val="P68B1DB1-Normal13"/>
              <w:spacing w:after="200" w:line="276" w:lineRule="auto"/>
              <w:jc w:val="both"/>
              <w:rPr>
                <w:noProof/>
                <w:kern w:val="0"/>
                <w14:ligatures w14:val="none"/>
              </w:rPr>
            </w:pPr>
            <w:r>
              <w:rPr>
                <w:noProof/>
                <w:kern w:val="0"/>
                <w14:ligatures w14:val="none"/>
              </w:rPr>
              <w:t xml:space="preserve">Déboursement d’au moins 225 000 000 EUR dans les </w:t>
            </w:r>
            <w:r>
              <w:rPr>
                <w:noProof/>
              </w:rPr>
              <w:t>catégories énumérées au jalon 3.24, ainsi que dans d’autres municipalités au titre du programme «Voisinages sains».</w:t>
            </w:r>
          </w:p>
        </w:tc>
      </w:tr>
      <w:tr w:rsidR="006C686E" w14:paraId="12EF19AA" w14:textId="77777777" w:rsidTr="006E2673">
        <w:trPr>
          <w:trHeight w:val="903"/>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0F5DCA76" w14:textId="77777777" w:rsidR="006C686E" w:rsidRDefault="00B17E8C">
            <w:pPr>
              <w:pStyle w:val="P68B1DB1-Normal10"/>
              <w:spacing w:after="0" w:line="240" w:lineRule="auto"/>
              <w:jc w:val="center"/>
              <w:rPr>
                <w:rFonts w:eastAsia="Times New Roman"/>
                <w:noProof/>
              </w:rPr>
            </w:pPr>
            <w:r>
              <w:rPr>
                <w:noProof/>
              </w:rPr>
              <w:t>3.28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1C2CC2EC" w14:textId="77777777" w:rsidR="006C686E" w:rsidRDefault="00B17E8C">
            <w:pPr>
              <w:pStyle w:val="P68B1DB1-Normal11"/>
              <w:spacing w:after="0" w:line="240" w:lineRule="auto"/>
              <w:jc w:val="center"/>
              <w:rPr>
                <w:rFonts w:eastAsia="Times New Roman"/>
                <w:noProof/>
              </w:rPr>
            </w:pPr>
            <w:r>
              <w:rPr>
                <w:noProof/>
              </w:rPr>
              <w:t>RE-03-i07-RAA</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7C3E9818" w14:textId="77777777" w:rsidR="006C686E" w:rsidRDefault="00B17E8C">
            <w:pPr>
              <w:pStyle w:val="P68B1DB1-Normal11"/>
              <w:spacing w:after="0" w:line="240" w:lineRule="auto"/>
              <w:jc w:val="center"/>
              <w:rPr>
                <w:rFonts w:eastAsia="Times New Roman"/>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85DD20C" w14:textId="77777777" w:rsidR="006C686E" w:rsidRDefault="00B17E8C">
            <w:pPr>
              <w:pStyle w:val="P68B1DB1-Normal11"/>
              <w:spacing w:after="0" w:line="240" w:lineRule="auto"/>
              <w:jc w:val="center"/>
              <w:rPr>
                <w:rFonts w:eastAsia="Times New Roman"/>
                <w:noProof/>
              </w:rPr>
            </w:pPr>
            <w:r>
              <w:rPr>
                <w:noProof/>
              </w:rPr>
              <w:t>Places neuves ou rénovées dans des foyers de soins résidentiels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124FDD9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CF5C646"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BC43709"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180124F" w14:textId="77777777" w:rsidR="006C686E" w:rsidRDefault="00B17E8C">
            <w:pPr>
              <w:pStyle w:val="P68B1DB1-Normal13"/>
              <w:spacing w:after="0" w:line="240" w:lineRule="auto"/>
              <w:jc w:val="center"/>
              <w:rPr>
                <w:rFonts w:eastAsia="Times New Roman"/>
                <w:noProof/>
                <w:kern w:val="0"/>
                <w14:ligatures w14:val="none"/>
              </w:rPr>
            </w:pPr>
            <w:r>
              <w:rPr>
                <w:noProof/>
              </w:rPr>
              <w:t>113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394B49D3" w14:textId="77777777" w:rsidR="006C686E" w:rsidRDefault="00B17E8C">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185BF76D" w14:textId="77777777" w:rsidR="006C686E" w:rsidRDefault="00B17E8C">
            <w:pPr>
              <w:pStyle w:val="P68B1DB1-Normal11"/>
              <w:spacing w:after="0" w:line="240" w:lineRule="auto"/>
              <w:jc w:val="center"/>
              <w:rPr>
                <w:rFonts w:eastAsia="Times New Roman"/>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tcPr>
          <w:p w14:paraId="1B2FC6EC" w14:textId="2046F70A"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Nombre de </w:t>
            </w:r>
            <w:r>
              <w:rPr>
                <w:noProof/>
              </w:rPr>
              <w:t xml:space="preserve"> </w:t>
            </w:r>
            <w:r>
              <w:rPr>
                <w:noProof/>
                <w:kern w:val="0"/>
                <w14:ligatures w14:val="none"/>
              </w:rPr>
              <w:t>places nouvelles ou rénovées dans des foyers de soins pour personnes âgées (ERPI) dans la région autonome des Açores.</w:t>
            </w:r>
          </w:p>
        </w:tc>
      </w:tr>
      <w:tr w:rsidR="006C686E" w14:paraId="3760B4C9" w14:textId="77777777" w:rsidTr="006E2673">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79B83EA2" w14:textId="77777777" w:rsidR="006C686E" w:rsidRDefault="00B17E8C">
            <w:pPr>
              <w:pStyle w:val="P68B1DB1-Normal10"/>
              <w:spacing w:after="0" w:line="240" w:lineRule="auto"/>
              <w:jc w:val="center"/>
              <w:rPr>
                <w:noProof/>
              </w:rPr>
            </w:pPr>
            <w:r>
              <w:rPr>
                <w:noProof/>
              </w:rPr>
              <w:t>3.30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2C47CFAE" w14:textId="77777777" w:rsidR="006C686E" w:rsidRDefault="00B17E8C">
            <w:pPr>
              <w:pStyle w:val="P68B1DB1-Normal11"/>
              <w:spacing w:after="0" w:line="240" w:lineRule="auto"/>
              <w:jc w:val="center"/>
              <w:rPr>
                <w:noProof/>
              </w:rPr>
            </w:pPr>
            <w:r>
              <w:rPr>
                <w:noProof/>
              </w:rPr>
              <w:t>RE-C03-r38</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59F6FF61" w14:textId="77777777" w:rsidR="006C686E" w:rsidRDefault="00B17E8C">
            <w:pPr>
              <w:pStyle w:val="P68B1DB1-Normal11"/>
              <w:spacing w:after="0" w:line="240" w:lineRule="auto"/>
              <w:jc w:val="center"/>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73B01CC7" w14:textId="77777777" w:rsidR="006C686E" w:rsidRDefault="00B17E8C">
            <w:pPr>
              <w:pStyle w:val="P68B1DB1-Normal11"/>
              <w:spacing w:after="0" w:line="240" w:lineRule="auto"/>
              <w:jc w:val="center"/>
              <w:rPr>
                <w:noProof/>
              </w:rPr>
            </w:pPr>
            <w:r>
              <w:rPr>
                <w:noProof/>
              </w:rPr>
              <w:t xml:space="preserve">Prestation sociale unique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464CF7C0" w14:textId="77777777" w:rsidR="006C686E" w:rsidRDefault="00B17E8C">
            <w:pPr>
              <w:pStyle w:val="P68B1DB1-Normal11"/>
              <w:spacing w:after="0" w:line="240" w:lineRule="auto"/>
              <w:jc w:val="center"/>
              <w:rPr>
                <w:rFonts w:eastAsia="Times New Roman"/>
                <w:noProof/>
              </w:rPr>
            </w:pPr>
            <w:r>
              <w:rPr>
                <w:noProof/>
              </w:rPr>
              <w:t xml:space="preserve">Disposition de la législation indiquant l'entrée en vigueur de la législation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1C96B87"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72EC74C"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8A0A3B9"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25B5C674" w14:textId="77777777" w:rsidR="006C686E" w:rsidRDefault="00B17E8C">
            <w:pPr>
              <w:pStyle w:val="P68B1DB1-Normal11"/>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498B063D" w14:textId="77777777" w:rsidR="006C686E" w:rsidRDefault="00B17E8C">
            <w:pPr>
              <w:pStyle w:val="P68B1DB1-Normal11"/>
              <w:spacing w:after="0" w:line="240" w:lineRule="auto"/>
              <w:jc w:val="center"/>
              <w:rPr>
                <w:noProof/>
              </w:rPr>
            </w:pPr>
            <w:r>
              <w:rPr>
                <w:noProof/>
              </w:rPr>
              <w:t>2026</w:t>
            </w:r>
          </w:p>
        </w:tc>
        <w:tc>
          <w:tcPr>
            <w:tcW w:w="4135" w:type="dxa"/>
            <w:tcBorders>
              <w:top w:val="single" w:sz="4" w:space="0" w:color="auto"/>
              <w:left w:val="single" w:sz="4" w:space="0" w:color="auto"/>
              <w:bottom w:val="single" w:sz="4" w:space="0" w:color="auto"/>
              <w:right w:val="single" w:sz="4" w:space="0" w:color="auto"/>
            </w:tcBorders>
            <w:shd w:val="clear" w:color="auto" w:fill="C4EFCE"/>
            <w:vAlign w:val="center"/>
          </w:tcPr>
          <w:p w14:paraId="1228841B" w14:textId="2133A2C2" w:rsidR="006C686E" w:rsidRDefault="00B17E8C">
            <w:pPr>
              <w:pStyle w:val="P68B1DB1-Normal13"/>
              <w:spacing w:after="0" w:line="240" w:lineRule="auto"/>
              <w:jc w:val="both"/>
              <w:rPr>
                <w:noProof/>
                <w:kern w:val="0"/>
                <w14:ligatures w14:val="none"/>
              </w:rPr>
            </w:pPr>
            <w:r>
              <w:rPr>
                <w:noProof/>
                <w:kern w:val="0"/>
                <w14:ligatures w14:val="none"/>
              </w:rPr>
              <w:t xml:space="preserve">Entrée en vigueur d’un acte juridique </w:t>
            </w:r>
            <w:r>
              <w:rPr>
                <w:noProof/>
              </w:rPr>
              <w:t xml:space="preserve">sur </w:t>
            </w:r>
            <w:r>
              <w:rPr>
                <w:noProof/>
                <w:kern w:val="0"/>
                <w14:ligatures w14:val="none"/>
              </w:rPr>
              <w:t xml:space="preserve">la prestation sociale unique, qui consolide un </w:t>
            </w:r>
            <w:r>
              <w:rPr>
                <w:noProof/>
              </w:rPr>
              <w:t>minimum de huit prestations sociales à caractère non contributif, y compris le régime de revenu minimum («Rendimento Social de Inserção»), à la suite de consultations avec les parties prenantes.</w:t>
            </w:r>
          </w:p>
        </w:tc>
      </w:tr>
    </w:tbl>
    <w:p w14:paraId="1404469C" w14:textId="77777777" w:rsidR="006C686E" w:rsidRDefault="006C686E">
      <w:pPr>
        <w:keepNext/>
        <w:spacing w:before="40" w:after="0"/>
        <w:jc w:val="both"/>
        <w:rPr>
          <w:rFonts w:ascii="Times New Roman" w:eastAsia="Times New Roman" w:hAnsi="Times New Roman" w:cs="Times New Roman"/>
          <w:noProof/>
          <w:kern w:val="0"/>
          <w14:ligatures w14:val="none"/>
        </w:rPr>
      </w:pPr>
    </w:p>
    <w:p w14:paraId="03157C02" w14:textId="77777777" w:rsidR="006C686E" w:rsidRDefault="006C686E">
      <w:pPr>
        <w:keepNext/>
        <w:spacing w:before="40" w:after="0"/>
        <w:jc w:val="both"/>
        <w:rPr>
          <w:rFonts w:ascii="Times New Roman" w:eastAsia="Times New Roman" w:hAnsi="Times New Roman" w:cs="Times New Roman"/>
          <w:noProof/>
          <w:kern w:val="0"/>
          <w14:ligatures w14:val="none"/>
        </w:rPr>
        <w:sectPr w:rsidR="006C686E" w:rsidSect="00C95E00">
          <w:headerReference w:type="even" r:id="rId82"/>
          <w:headerReference w:type="default" r:id="rId83"/>
          <w:footerReference w:type="even" r:id="rId84"/>
          <w:footerReference w:type="default" r:id="rId85"/>
          <w:headerReference w:type="first" r:id="rId86"/>
          <w:footerReference w:type="first" r:id="rId87"/>
          <w:pgSz w:w="16839" w:h="11907" w:orient="landscape"/>
          <w:pgMar w:top="1134" w:right="1134" w:bottom="1134" w:left="1134" w:header="567" w:footer="567" w:gutter="0"/>
          <w:cols w:space="720"/>
          <w:docGrid w:linePitch="360"/>
        </w:sectPr>
      </w:pPr>
    </w:p>
    <w:p w14:paraId="6A430814" w14:textId="77777777" w:rsidR="006C686E" w:rsidRDefault="00B17E8C">
      <w:pPr>
        <w:pStyle w:val="P68B1DB1-Normal1"/>
        <w:keepNext/>
        <w:spacing w:before="40" w:after="0"/>
        <w:ind w:left="130" w:firstLine="720"/>
        <w:jc w:val="both"/>
        <w:outlineLvl w:val="1"/>
        <w:rPr>
          <w:rFonts w:eastAsia="Times New Roman"/>
          <w:bCs/>
          <w:noProof/>
        </w:rPr>
      </w:pPr>
      <w:r>
        <w:rPr>
          <w:noProof/>
        </w:rPr>
        <w:t>D. Élément 4: Culture</w:t>
      </w:r>
    </w:p>
    <w:p w14:paraId="2899DFAE" w14:textId="77777777" w:rsidR="006C686E" w:rsidRDefault="00B17E8C">
      <w:pPr>
        <w:pStyle w:val="P68B1DB1-Normal4"/>
        <w:keepNext/>
        <w:spacing w:before="40" w:after="0"/>
        <w:jc w:val="both"/>
        <w:rPr>
          <w:rFonts w:eastAsia="Times New Roman"/>
          <w:noProof/>
        </w:rPr>
      </w:pPr>
      <w:r>
        <w:rPr>
          <w:noProof/>
        </w:rPr>
        <w:t>Le volet aborde à la fois les défis liés aux effets de la pandémie de COVID-19 et les problèmes hérités du passé résultant d’une situation de manque chronique de ressources pour l’entretien, la rénovation et la modernisation des installations et équipements culturels.</w:t>
      </w:r>
    </w:p>
    <w:p w14:paraId="3226DCB8" w14:textId="77777777" w:rsidR="006C686E" w:rsidRDefault="00B17E8C">
      <w:pPr>
        <w:pStyle w:val="P68B1DB1-Normal4"/>
        <w:keepNext/>
        <w:spacing w:before="40" w:after="0"/>
        <w:jc w:val="both"/>
        <w:rPr>
          <w:rFonts w:eastAsia="Times New Roman"/>
          <w:noProof/>
        </w:rPr>
      </w:pPr>
      <w:r>
        <w:rPr>
          <w:noProof/>
        </w:rPr>
        <w:t>Les principaux objectifs du volet Culture sont la rénovation des bâtiments et des monuments nationaux; la protection des techniques et professions artisanales; la modernisation des infrastructures technologiques et des installations culturelles; la numérisation des œuvres d’art et du patrimoine culturel; et l’internationalisation, la modernisation et la transition numérique des librairies et de l’édition.</w:t>
      </w:r>
    </w:p>
    <w:p w14:paraId="17EE55C3" w14:textId="77777777" w:rsidR="006C686E" w:rsidRDefault="00B17E8C">
      <w:pPr>
        <w:pStyle w:val="P68B1DB1-Normal4"/>
        <w:keepNext/>
        <w:spacing w:before="40" w:after="0"/>
        <w:jc w:val="both"/>
        <w:rPr>
          <w:rFonts w:eastAsia="Times New Roman"/>
          <w:noProof/>
        </w:rPr>
      </w:pPr>
      <w:r>
        <w:rPr>
          <w:noProof/>
        </w:rPr>
        <w:t xml:space="preserve">Ce volet contribue à donner suite aux recommandations par pays visant à prendre toutes les mesures nécessaires pour lutter efficacement contre la pandémie, soutenir l’économie et soutenir sa reprise (recommandation par pays no 1 de 2020); et soutenir l’utilisation des technologies numériques pour stimuler la compétitivité des entreprises (recommandation par pays no 2 de 2020). </w:t>
      </w:r>
    </w:p>
    <w:p w14:paraId="2D5CE84B" w14:textId="77777777" w:rsidR="006C686E" w:rsidRDefault="00B17E8C">
      <w:pPr>
        <w:pStyle w:val="P68B1DB1-Normal4"/>
        <w:keepNext/>
        <w:spacing w:before="40" w:after="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60483F8A" w14:textId="77777777" w:rsidR="006C686E" w:rsidRDefault="00B17E8C">
      <w:pPr>
        <w:pStyle w:val="P68B1DB1-Normal1"/>
        <w:keepNext/>
        <w:spacing w:before="40" w:after="0"/>
        <w:ind w:left="130" w:firstLine="720"/>
        <w:jc w:val="both"/>
        <w:outlineLvl w:val="2"/>
        <w:rPr>
          <w:rFonts w:eastAsia="Times New Roman"/>
          <w:bCs/>
          <w:noProof/>
        </w:rPr>
      </w:pPr>
      <w:r>
        <w:rPr>
          <w:noProof/>
        </w:rPr>
        <w:t>D.1. Description des réformes et des investissements pour le soutien financier non remboursable</w:t>
      </w:r>
    </w:p>
    <w:p w14:paraId="4EBA771C" w14:textId="77777777" w:rsidR="006C686E" w:rsidRDefault="00B17E8C">
      <w:pPr>
        <w:pStyle w:val="P68B1DB1-Normal5"/>
        <w:keepNext/>
        <w:spacing w:before="240" w:after="0"/>
        <w:ind w:left="851"/>
        <w:jc w:val="both"/>
        <w:outlineLvl w:val="3"/>
        <w:rPr>
          <w:rFonts w:eastAsia="Times New Roman"/>
          <w:noProof/>
        </w:rPr>
      </w:pPr>
      <w:r>
        <w:rPr>
          <w:noProof/>
        </w:rPr>
        <w:t>Investissement RE-C04-i01: Réseaux culturels et transition numérique</w:t>
      </w:r>
    </w:p>
    <w:p w14:paraId="62784F2D" w14:textId="77777777" w:rsidR="006C686E" w:rsidRDefault="00B17E8C">
      <w:pPr>
        <w:pStyle w:val="P68B1DB1-Normal4"/>
        <w:widowControl w:val="0"/>
        <w:spacing w:before="120" w:after="140" w:line="257" w:lineRule="auto"/>
        <w:jc w:val="both"/>
        <w:rPr>
          <w:rFonts w:eastAsia="Times New Roman"/>
          <w:noProof/>
        </w:rPr>
      </w:pPr>
      <w:r>
        <w:rPr>
          <w:noProof/>
        </w:rPr>
        <w:t xml:space="preserve">L’objectif de la mesure est la mise à niveau de l’infrastructure technologique des installations culturelles publiques favorisant leur transition numérique. </w:t>
      </w:r>
    </w:p>
    <w:p w14:paraId="3C8261AA" w14:textId="6F695319" w:rsidR="006C686E" w:rsidRDefault="00B17E8C">
      <w:pPr>
        <w:pStyle w:val="P68B1DB1-Normal3"/>
        <w:spacing w:before="40" w:after="0"/>
        <w:jc w:val="both"/>
        <w:rPr>
          <w:noProof/>
          <w:kern w:val="0"/>
          <w14:ligatures w14:val="none"/>
        </w:rPr>
      </w:pPr>
      <w:r>
        <w:rPr>
          <w:noProof/>
          <w:kern w:val="0"/>
          <w14:ligatures w14:val="none"/>
        </w:rPr>
        <w:t>Cet investissement consiste en la</w:t>
      </w:r>
      <w:r>
        <w:rPr>
          <w:noProof/>
        </w:rPr>
        <w:t xml:space="preserve"> livraison d'équipements</w:t>
      </w:r>
      <w:r>
        <w:rPr>
          <w:noProof/>
          <w:kern w:val="0"/>
          <w14:ligatures w14:val="none"/>
        </w:rPr>
        <w:t xml:space="preserve"> </w:t>
      </w:r>
      <w:r>
        <w:rPr>
          <w:noProof/>
        </w:rPr>
        <w:t>pour les</w:t>
      </w:r>
      <w:r>
        <w:rPr>
          <w:noProof/>
          <w:kern w:val="0"/>
          <w14:ligatures w14:val="none"/>
        </w:rPr>
        <w:t xml:space="preserve"> installations culturelles et</w:t>
      </w:r>
      <w:r>
        <w:rPr>
          <w:noProof/>
        </w:rPr>
        <w:t xml:space="preserve"> la numérisation des documents.</w:t>
      </w:r>
    </w:p>
    <w:p w14:paraId="4CF81CC3" w14:textId="77777777" w:rsidR="006C686E" w:rsidRDefault="00B17E8C">
      <w:pPr>
        <w:pStyle w:val="P68B1DB1-Normal5"/>
        <w:keepNext/>
        <w:spacing w:before="240" w:after="0"/>
        <w:ind w:left="851"/>
        <w:jc w:val="both"/>
        <w:outlineLvl w:val="3"/>
        <w:rPr>
          <w:rFonts w:eastAsia="Times New Roman"/>
          <w:noProof/>
        </w:rPr>
      </w:pPr>
      <w:r>
        <w:rPr>
          <w:noProof/>
        </w:rPr>
        <w:t>Investissement RE-C04-i02: Patrimoine culturel</w:t>
      </w:r>
    </w:p>
    <w:p w14:paraId="65743071" w14:textId="77777777" w:rsidR="006C686E" w:rsidRDefault="00B17E8C">
      <w:pPr>
        <w:pStyle w:val="P68B1DB1-Normal4"/>
        <w:keepNext/>
        <w:widowControl w:val="0"/>
        <w:spacing w:before="120" w:after="120"/>
        <w:jc w:val="both"/>
        <w:rPr>
          <w:rFonts w:eastAsia="Times New Roman"/>
          <w:noProof/>
        </w:rPr>
      </w:pPr>
      <w:r>
        <w:rPr>
          <w:noProof/>
        </w:rPr>
        <w:t xml:space="preserve">L’objectif de cette mesure est la rénovation d’installations culturelles classées au patrimoine culturel. </w:t>
      </w:r>
    </w:p>
    <w:p w14:paraId="35734375" w14:textId="4E7FBAE0" w:rsidR="006C686E" w:rsidRDefault="00B17E8C">
      <w:pPr>
        <w:keepNext/>
        <w:spacing w:before="120" w:after="0"/>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Cet investissement s’inscrit dans le cadre de l’initiative</w:t>
      </w:r>
      <w:r>
        <w:rPr>
          <w:rFonts w:ascii="Times New Roman" w:hAnsi="Times New Roman" w:cs="Times New Roman"/>
          <w:noProof/>
        </w:rPr>
        <w:t xml:space="preserve"> «</w:t>
      </w:r>
      <w:r>
        <w:rPr>
          <w:rFonts w:ascii="Times New Roman" w:eastAsia="Times New Roman" w:hAnsi="Times New Roman" w:cs="Times New Roman"/>
          <w:i/>
          <w:noProof/>
        </w:rPr>
        <w:t>Saber Fazer</w:t>
      </w:r>
      <w:r>
        <w:rPr>
          <w:rFonts w:ascii="Times New Roman" w:eastAsia="Times New Roman" w:hAnsi="Times New Roman" w:cs="Times New Roman"/>
          <w:noProof/>
        </w:rPr>
        <w:t>» et concerne 84 sites culturels.</w:t>
      </w:r>
      <w:r>
        <w:rPr>
          <w:rFonts w:ascii="Times New Roman" w:eastAsia="Calibri" w:hAnsi="Times New Roman" w:cs="Times New Roman"/>
          <w:noProof/>
          <w:kern w:val="0"/>
          <w14:ligatures w14:val="none"/>
        </w:rPr>
        <w:t xml:space="preserve"> </w:t>
      </w:r>
    </w:p>
    <w:p w14:paraId="21EFA244" w14:textId="77777777" w:rsidR="006C686E" w:rsidRDefault="00B17E8C">
      <w:pPr>
        <w:pStyle w:val="P68B1DB1-Normal6"/>
        <w:tabs>
          <w:tab w:val="left" w:pos="3527"/>
        </w:tabs>
        <w:spacing w:after="200" w:line="276" w:lineRule="auto"/>
        <w:rPr>
          <w:rFonts w:ascii="Times New Roman" w:eastAsia="Times New Roman" w:hAnsi="Times New Roman"/>
          <w:noProof/>
        </w:rPr>
      </w:pPr>
      <w:r>
        <w:rPr>
          <w:noProof/>
        </w:rPr>
        <w:tab/>
      </w:r>
    </w:p>
    <w:p w14:paraId="0130DE7A" w14:textId="77777777" w:rsidR="006C686E" w:rsidRDefault="006C686E">
      <w:pPr>
        <w:spacing w:after="200" w:line="276" w:lineRule="auto"/>
        <w:rPr>
          <w:rFonts w:ascii="Times New Roman" w:eastAsia="Times New Roman" w:hAnsi="Times New Roman" w:cs="Times New Roman"/>
          <w:noProof/>
          <w:kern w:val="0"/>
          <w14:ligatures w14:val="none"/>
        </w:rPr>
      </w:pPr>
    </w:p>
    <w:p w14:paraId="4AD3A4A5" w14:textId="77777777" w:rsidR="006C686E" w:rsidRDefault="006C686E">
      <w:pPr>
        <w:spacing w:after="200" w:line="276" w:lineRule="auto"/>
        <w:rPr>
          <w:rFonts w:ascii="Times New Roman" w:eastAsia="Times New Roman" w:hAnsi="Times New Roman" w:cs="Times New Roman"/>
          <w:noProof/>
          <w:kern w:val="0"/>
          <w14:ligatures w14:val="none"/>
        </w:rPr>
        <w:sectPr w:rsidR="006C686E" w:rsidSect="00C95E00">
          <w:headerReference w:type="even" r:id="rId88"/>
          <w:headerReference w:type="default" r:id="rId89"/>
          <w:footerReference w:type="even" r:id="rId90"/>
          <w:footerReference w:type="default" r:id="rId91"/>
          <w:headerReference w:type="first" r:id="rId92"/>
          <w:footerReference w:type="first" r:id="rId93"/>
          <w:pgSz w:w="11907" w:h="16839"/>
          <w:pgMar w:top="1134" w:right="1134" w:bottom="1134" w:left="1134" w:header="567" w:footer="567" w:gutter="0"/>
          <w:cols w:space="720"/>
          <w:docGrid w:linePitch="360"/>
        </w:sectPr>
      </w:pPr>
    </w:p>
    <w:p w14:paraId="34601BDE" w14:textId="77777777" w:rsidR="006C686E" w:rsidRDefault="00B17E8C">
      <w:pPr>
        <w:pStyle w:val="P68B1DB1-Normal1"/>
        <w:keepNext/>
        <w:spacing w:before="40" w:after="0"/>
        <w:ind w:left="130" w:firstLine="720"/>
        <w:jc w:val="center"/>
        <w:outlineLvl w:val="2"/>
        <w:rPr>
          <w:rFonts w:eastAsia="Times New Roman"/>
          <w:bCs/>
          <w:noProof/>
        </w:rPr>
      </w:pPr>
      <w:r>
        <w:rPr>
          <w:noProof/>
        </w:rPr>
        <w:t xml:space="preserve">D.2. </w:t>
      </w:r>
      <w:r>
        <w:rPr>
          <w:noProof/>
        </w:rPr>
        <w:tab/>
        <w:t>Étapes, cibles, indicateurs et calendrier pour le suivi et la mise en œuvre du soutien financier non remboursable</w:t>
      </w:r>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1514"/>
        <w:gridCol w:w="1418"/>
        <w:gridCol w:w="850"/>
        <w:gridCol w:w="1418"/>
        <w:gridCol w:w="992"/>
        <w:gridCol w:w="995"/>
        <w:gridCol w:w="848"/>
        <w:gridCol w:w="362"/>
        <w:gridCol w:w="1065"/>
        <w:gridCol w:w="4243"/>
      </w:tblGrid>
      <w:tr w:rsidR="006C686E" w14:paraId="0526ABE0" w14:textId="77777777" w:rsidTr="006E2673">
        <w:trPr>
          <w:trHeight w:val="910"/>
          <w:tblHead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CE67882" w14:textId="77777777" w:rsidR="006C686E" w:rsidRDefault="00B17E8C">
            <w:pPr>
              <w:pStyle w:val="P68B1DB1-Normal9"/>
              <w:spacing w:after="0" w:line="240" w:lineRule="auto"/>
              <w:jc w:val="center"/>
              <w:rPr>
                <w:rFonts w:eastAsia="Times New Roman"/>
                <w:bCs/>
                <w:noProof/>
              </w:rPr>
            </w:pPr>
            <w:r>
              <w:rPr>
                <w:noProof/>
              </w:rPr>
              <w:t>Numéro séquentiel</w:t>
            </w:r>
          </w:p>
        </w:tc>
        <w:tc>
          <w:tcPr>
            <w:tcW w:w="1514"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0A9BB8B" w14:textId="77777777" w:rsidR="006C686E" w:rsidRDefault="00B17E8C">
            <w:pPr>
              <w:pStyle w:val="P68B1DB1-Normal31"/>
              <w:spacing w:after="0" w:line="240" w:lineRule="auto"/>
              <w:jc w:val="center"/>
              <w:rPr>
                <w:rFonts w:eastAsia="Times New Roman"/>
                <w:b/>
                <w:bCs/>
                <w:noProof/>
              </w:rPr>
            </w:pPr>
            <w:r>
              <w:rPr>
                <w:b/>
                <w:noProof/>
              </w:rPr>
              <w:t>Mesure (réforme ou investissement)</w:t>
            </w:r>
            <w:r>
              <w:rPr>
                <w:noProof/>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A8C6C56" w14:textId="77777777" w:rsidR="006C686E" w:rsidRDefault="00B17E8C">
            <w:pPr>
              <w:pStyle w:val="P68B1DB1-Normal31"/>
              <w:spacing w:after="0" w:line="240" w:lineRule="auto"/>
              <w:jc w:val="center"/>
              <w:rPr>
                <w:rFonts w:eastAsia="Times New Roman"/>
                <w:b/>
                <w:bCs/>
                <w:noProof/>
              </w:rPr>
            </w:pPr>
            <w:r>
              <w:rPr>
                <w:b/>
                <w:noProof/>
              </w:rPr>
              <w:t>Étape/objectif</w:t>
            </w:r>
            <w:r>
              <w:rPr>
                <w:noProof/>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4824D27F" w14:textId="77777777" w:rsidR="006C686E" w:rsidRDefault="00B17E8C">
            <w:pPr>
              <w:pStyle w:val="P68B1DB1-Normal31"/>
              <w:spacing w:after="0" w:line="240" w:lineRule="auto"/>
              <w:jc w:val="center"/>
              <w:rPr>
                <w:rFonts w:eastAsia="Times New Roman"/>
                <w:b/>
                <w:bCs/>
                <w:noProof/>
              </w:rPr>
            </w:pPr>
            <w:r>
              <w:rPr>
                <w:b/>
                <w:noProof/>
              </w:rPr>
              <w:t>Nom</w:t>
            </w:r>
            <w:r>
              <w:rPr>
                <w:noProof/>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47AC1A68" w14:textId="77777777" w:rsidR="006C686E" w:rsidRDefault="00B17E8C">
            <w:pPr>
              <w:pStyle w:val="P68B1DB1-Normal31"/>
              <w:spacing w:after="0" w:line="240" w:lineRule="auto"/>
              <w:jc w:val="center"/>
              <w:rPr>
                <w:rFonts w:eastAsia="Times New Roman"/>
                <w:b/>
                <w:bCs/>
                <w:noProof/>
              </w:rPr>
            </w:pPr>
            <w:r>
              <w:rPr>
                <w:b/>
                <w:noProof/>
              </w:rPr>
              <w:t>Indicateurs qualitatifs (pour les jalons)</w:t>
            </w:r>
            <w:r>
              <w:rPr>
                <w:noProof/>
              </w:rPr>
              <w:t xml:space="preserve">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307DD5DC" w14:textId="77777777" w:rsidR="006C686E" w:rsidRDefault="00B17E8C">
            <w:pPr>
              <w:pStyle w:val="P68B1DB1-Normal31"/>
              <w:spacing w:after="0" w:line="240" w:lineRule="auto"/>
              <w:jc w:val="center"/>
              <w:rPr>
                <w:rFonts w:eastAsia="Times New Roman"/>
                <w:b/>
                <w:bCs/>
                <w:noProof/>
              </w:rPr>
            </w:pPr>
            <w:r>
              <w:rPr>
                <w:b/>
                <w:noProof/>
              </w:rPr>
              <w:t>Indicateurs quantitatifs (pour les objectifs)</w:t>
            </w:r>
            <w:r>
              <w:rPr>
                <w:noProof/>
              </w:rPr>
              <w:t xml:space="preserve"> </w:t>
            </w:r>
          </w:p>
        </w:tc>
        <w:tc>
          <w:tcPr>
            <w:tcW w:w="1427"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668216BC" w14:textId="77777777" w:rsidR="006C686E" w:rsidRDefault="00B17E8C">
            <w:pPr>
              <w:pStyle w:val="P68B1DB1-Normal31"/>
              <w:spacing w:after="0" w:line="240" w:lineRule="auto"/>
              <w:jc w:val="center"/>
              <w:rPr>
                <w:rFonts w:eastAsia="Times New Roman"/>
                <w:b/>
                <w:bCs/>
                <w:noProof/>
              </w:rPr>
            </w:pPr>
            <w:r>
              <w:rPr>
                <w:b/>
                <w:noProof/>
              </w:rPr>
              <w:t>Calendrier indicatif d'achèvement</w:t>
            </w:r>
            <w:r>
              <w:rPr>
                <w:noProof/>
              </w:rPr>
              <w:t xml:space="preserve"> </w:t>
            </w:r>
          </w:p>
        </w:tc>
        <w:tc>
          <w:tcPr>
            <w:tcW w:w="4243" w:type="dxa"/>
            <w:vMerge w:val="restar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27AF24E2" w14:textId="77777777" w:rsidR="006C686E" w:rsidRDefault="00B17E8C">
            <w:pPr>
              <w:pStyle w:val="P68B1DB1-Normal31"/>
              <w:spacing w:after="0" w:line="240" w:lineRule="auto"/>
              <w:jc w:val="center"/>
              <w:rPr>
                <w:rFonts w:eastAsia="Times New Roman"/>
                <w:b/>
                <w:bCs/>
                <w:noProof/>
              </w:rPr>
            </w:pPr>
            <w:r>
              <w:rPr>
                <w:b/>
                <w:noProof/>
              </w:rPr>
              <w:t>Description et définition claire de chaque jalon et cible</w:t>
            </w:r>
            <w:r>
              <w:rPr>
                <w:noProof/>
              </w:rPr>
              <w:t xml:space="preserve"> </w:t>
            </w:r>
          </w:p>
        </w:tc>
      </w:tr>
      <w:tr w:rsidR="006C686E" w14:paraId="03280D35" w14:textId="77777777" w:rsidTr="006E2673">
        <w:trPr>
          <w:trHeight w:val="470"/>
          <w:tblHeader/>
        </w:trPr>
        <w:tc>
          <w:tcPr>
            <w:tcW w:w="1067" w:type="dxa"/>
            <w:vMerge/>
            <w:tcBorders>
              <w:top w:val="single" w:sz="4" w:space="0" w:color="auto"/>
              <w:left w:val="single" w:sz="4" w:space="0" w:color="auto"/>
              <w:bottom w:val="single" w:sz="4" w:space="0" w:color="auto"/>
              <w:right w:val="single" w:sz="4" w:space="0" w:color="auto"/>
            </w:tcBorders>
            <w:vAlign w:val="center"/>
            <w:hideMark/>
          </w:tcPr>
          <w:p w14:paraId="379C6593"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514" w:type="dxa"/>
            <w:vMerge/>
            <w:tcBorders>
              <w:top w:val="single" w:sz="4" w:space="0" w:color="auto"/>
              <w:left w:val="single" w:sz="4" w:space="0" w:color="auto"/>
              <w:bottom w:val="single" w:sz="4" w:space="0" w:color="auto"/>
              <w:right w:val="single" w:sz="4" w:space="0" w:color="auto"/>
            </w:tcBorders>
            <w:vAlign w:val="center"/>
            <w:hideMark/>
          </w:tcPr>
          <w:p w14:paraId="05F190E6"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F506887" w14:textId="77777777" w:rsidR="006C686E" w:rsidRDefault="006C686E">
            <w:pPr>
              <w:spacing w:after="0" w:line="240" w:lineRule="auto"/>
              <w:jc w:val="center"/>
              <w:rPr>
                <w:rFonts w:ascii="Times New Roman" w:eastAsia="Times New Roman" w:hAnsi="Times New Roman" w:cs="Times New Roman"/>
                <w:b/>
                <w:bCs/>
                <w:noProof/>
                <w:kern w:val="0"/>
                <w:sz w:val="18"/>
                <w:szCs w:val="18"/>
                <w14:ligatures w14:val="none"/>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C6B385"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E1E329"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BD480D2" w14:textId="77777777" w:rsidR="006C686E" w:rsidRDefault="00B17E8C">
            <w:pPr>
              <w:pStyle w:val="P68B1DB1-Normal31"/>
              <w:spacing w:after="0" w:line="240" w:lineRule="auto"/>
              <w:jc w:val="center"/>
              <w:rPr>
                <w:rFonts w:eastAsia="Times New Roman"/>
                <w:b/>
                <w:bCs/>
                <w:noProof/>
              </w:rPr>
            </w:pPr>
            <w:r>
              <w:rPr>
                <w:b/>
                <w:noProof/>
              </w:rPr>
              <w:t>Unité de mesure</w:t>
            </w: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525EEBD4" w14:textId="77777777" w:rsidR="006C686E" w:rsidRDefault="00B17E8C">
            <w:pPr>
              <w:pStyle w:val="P68B1DB1-Normal31"/>
              <w:spacing w:after="0" w:line="240" w:lineRule="auto"/>
              <w:jc w:val="center"/>
              <w:rPr>
                <w:rFonts w:eastAsia="Times New Roman"/>
                <w:b/>
                <w:bCs/>
                <w:noProof/>
              </w:rPr>
            </w:pPr>
            <w:r>
              <w:rPr>
                <w:b/>
                <w:noProof/>
              </w:rPr>
              <w:t>Données de référence</w:t>
            </w:r>
            <w:r>
              <w:rPr>
                <w:noProof/>
              </w:rPr>
              <w:t xml:space="preserve"> </w:t>
            </w:r>
          </w:p>
        </w:tc>
        <w:tc>
          <w:tcPr>
            <w:tcW w:w="848"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1E8A0174" w14:textId="77777777" w:rsidR="006C686E" w:rsidRDefault="00B17E8C">
            <w:pPr>
              <w:pStyle w:val="P68B1DB1-Normal31"/>
              <w:spacing w:after="0" w:line="240" w:lineRule="auto"/>
              <w:jc w:val="center"/>
              <w:rPr>
                <w:rFonts w:eastAsia="Times New Roman"/>
                <w:b/>
                <w:bCs/>
                <w:noProof/>
              </w:rPr>
            </w:pPr>
            <w:r>
              <w:rPr>
                <w:b/>
                <w:noProof/>
              </w:rPr>
              <w:t>Objectif</w:t>
            </w:r>
            <w:r>
              <w:rPr>
                <w:noProof/>
              </w:rPr>
              <w:t xml:space="preserve"> </w:t>
            </w:r>
          </w:p>
        </w:tc>
        <w:tc>
          <w:tcPr>
            <w:tcW w:w="362"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2F668606" w14:textId="77777777" w:rsidR="006C686E" w:rsidRDefault="00B17E8C">
            <w:pPr>
              <w:pStyle w:val="P68B1DB1-Normal31"/>
              <w:spacing w:after="0" w:line="240" w:lineRule="auto"/>
              <w:jc w:val="center"/>
              <w:rPr>
                <w:rFonts w:eastAsia="Times New Roman"/>
                <w:b/>
                <w:bCs/>
                <w:noProof/>
              </w:rPr>
            </w:pPr>
            <w:r>
              <w:rPr>
                <w:b/>
                <w:noProof/>
              </w:rPr>
              <w:t>Q</w:t>
            </w:r>
            <w:r>
              <w:rPr>
                <w:noProof/>
              </w:rPr>
              <w:t xml:space="preserve"> </w:t>
            </w:r>
          </w:p>
        </w:tc>
        <w:tc>
          <w:tcPr>
            <w:tcW w:w="106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B306794" w14:textId="77777777" w:rsidR="006C686E" w:rsidRDefault="00B17E8C">
            <w:pPr>
              <w:pStyle w:val="P68B1DB1-Normal31"/>
              <w:spacing w:after="0" w:line="240" w:lineRule="auto"/>
              <w:jc w:val="center"/>
              <w:rPr>
                <w:rFonts w:eastAsia="Times New Roman"/>
                <w:b/>
                <w:bCs/>
                <w:noProof/>
              </w:rPr>
            </w:pPr>
            <w:r>
              <w:rPr>
                <w:b/>
                <w:noProof/>
              </w:rPr>
              <w:t>Année</w:t>
            </w:r>
            <w:r>
              <w:rPr>
                <w:noProof/>
              </w:rPr>
              <w:t xml:space="preserve"> </w:t>
            </w:r>
          </w:p>
        </w:tc>
        <w:tc>
          <w:tcPr>
            <w:tcW w:w="4243" w:type="dxa"/>
            <w:vMerge/>
            <w:tcBorders>
              <w:top w:val="single" w:sz="4" w:space="0" w:color="auto"/>
              <w:left w:val="single" w:sz="4" w:space="0" w:color="auto"/>
              <w:bottom w:val="single" w:sz="4" w:space="0" w:color="auto"/>
              <w:right w:val="single" w:sz="4" w:space="0" w:color="auto"/>
            </w:tcBorders>
            <w:vAlign w:val="center"/>
            <w:hideMark/>
          </w:tcPr>
          <w:p w14:paraId="5B02529C"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r>
      <w:tr w:rsidR="006C686E" w14:paraId="2ACF1653" w14:textId="77777777" w:rsidTr="006E2673">
        <w:trPr>
          <w:trHeight w:val="1246"/>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28F5843" w14:textId="77777777" w:rsidR="006C686E" w:rsidRDefault="00B17E8C">
            <w:pPr>
              <w:pStyle w:val="P68B1DB1-Normal10"/>
              <w:spacing w:after="0" w:line="240" w:lineRule="auto"/>
              <w:jc w:val="center"/>
              <w:rPr>
                <w:rFonts w:eastAsia="Times New Roman"/>
                <w:bCs/>
                <w:noProof/>
              </w:rPr>
            </w:pPr>
            <w:r>
              <w:rPr>
                <w:noProof/>
              </w:rPr>
              <w:t>4.1</w:t>
            </w:r>
          </w:p>
        </w:tc>
        <w:tc>
          <w:tcPr>
            <w:tcW w:w="151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39CA0D" w14:textId="77777777" w:rsidR="006C686E" w:rsidRDefault="00B17E8C">
            <w:pPr>
              <w:pStyle w:val="P68B1DB1-Normal11"/>
              <w:spacing w:after="0" w:line="240" w:lineRule="auto"/>
              <w:jc w:val="center"/>
              <w:rPr>
                <w:rFonts w:eastAsia="Times New Roman"/>
                <w:noProof/>
              </w:rPr>
            </w:pPr>
            <w:r>
              <w:rPr>
                <w:noProof/>
              </w:rPr>
              <w:t>RE-C04-i01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0918B0" w14:textId="77777777" w:rsidR="006C686E" w:rsidRDefault="00B17E8C">
            <w:pPr>
              <w:pStyle w:val="P68B1DB1-Normal11"/>
              <w:spacing w:after="0" w:line="240" w:lineRule="auto"/>
              <w:jc w:val="center"/>
              <w:rPr>
                <w:rFonts w:eastAsia="Times New Roman"/>
                <w:noProof/>
              </w:rPr>
            </w:pPr>
            <w:r>
              <w:rPr>
                <w:noProof/>
              </w:rPr>
              <w:t>M </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04C1BF" w14:textId="77777777" w:rsidR="006C686E" w:rsidRDefault="00B17E8C">
            <w:pPr>
              <w:pStyle w:val="P68B1DB1-Normal11"/>
              <w:spacing w:after="0" w:line="240" w:lineRule="auto"/>
              <w:jc w:val="center"/>
              <w:rPr>
                <w:rFonts w:eastAsia="Times New Roman"/>
                <w:noProof/>
              </w:rPr>
            </w:pPr>
            <w:r>
              <w:rPr>
                <w:noProof/>
              </w:rPr>
              <w:t>Spécifications technologiques pour le réseau d'installations culturelles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89A3DE" w14:textId="77777777" w:rsidR="006C686E" w:rsidRDefault="00B17E8C">
            <w:pPr>
              <w:pStyle w:val="P68B1DB1-Normal11"/>
              <w:spacing w:after="0" w:line="240" w:lineRule="auto"/>
              <w:jc w:val="center"/>
              <w:rPr>
                <w:rFonts w:eastAsia="Times New Roman"/>
                <w:noProof/>
              </w:rPr>
            </w:pPr>
            <w:r>
              <w:rPr>
                <w:noProof/>
              </w:rPr>
              <w:t>Rapport sur les spécifications technologiques du réseau d'installations culturelles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602947" w14:textId="77777777" w:rsidR="006C686E" w:rsidRDefault="00B17E8C">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1C7A63" w14:textId="77777777" w:rsidR="006C686E" w:rsidRDefault="00B17E8C">
            <w:pPr>
              <w:pStyle w:val="P68B1DB1-Normal11"/>
              <w:spacing w:after="0" w:line="240" w:lineRule="auto"/>
              <w:jc w:val="center"/>
              <w:rPr>
                <w:rFonts w:eastAsia="Times New Roman"/>
                <w:noProof/>
              </w:rPr>
            </w:pPr>
            <w:r>
              <w:rPr>
                <w:noProof/>
              </w:rPr>
              <w:t xml:space="preserve"> </w:t>
            </w:r>
          </w:p>
        </w:tc>
        <w:tc>
          <w:tcPr>
            <w:tcW w:w="84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8FE986" w14:textId="77777777" w:rsidR="006C686E" w:rsidRDefault="00B17E8C">
            <w:pPr>
              <w:pStyle w:val="P68B1DB1-Normal11"/>
              <w:spacing w:after="0" w:line="240" w:lineRule="auto"/>
              <w:jc w:val="center"/>
              <w:rPr>
                <w:rFonts w:eastAsia="Times New Roman"/>
                <w:noProof/>
              </w:rPr>
            </w:pPr>
            <w:r>
              <w:rPr>
                <w:noProof/>
              </w:rPr>
              <w:t xml:space="preserve"> </w:t>
            </w:r>
          </w:p>
        </w:tc>
        <w:tc>
          <w:tcPr>
            <w:tcW w:w="36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FEB76A" w14:textId="3D0C1296" w:rsidR="006C686E" w:rsidRDefault="00B17E8C">
            <w:pPr>
              <w:pStyle w:val="P68B1DB1-Normal11"/>
              <w:spacing w:after="0" w:line="240" w:lineRule="auto"/>
              <w:jc w:val="center"/>
              <w:rPr>
                <w:rFonts w:eastAsia="Times New Roman"/>
                <w:noProof/>
              </w:rPr>
            </w:pPr>
            <w:r>
              <w:rPr>
                <w:noProof/>
              </w:rPr>
              <w:t>T2</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CF090B" w14:textId="7B451362" w:rsidR="006C686E" w:rsidRDefault="00B17E8C">
            <w:pPr>
              <w:pStyle w:val="P68B1DB1-Normal11"/>
              <w:spacing w:after="0" w:line="240" w:lineRule="auto"/>
              <w:jc w:val="center"/>
              <w:rPr>
                <w:rFonts w:eastAsia="Times New Roman"/>
                <w:noProof/>
              </w:rPr>
            </w:pPr>
            <w:r>
              <w:rPr>
                <w:noProof/>
              </w:rPr>
              <w:t>2022</w:t>
            </w:r>
          </w:p>
        </w:tc>
        <w:tc>
          <w:tcPr>
            <w:tcW w:w="42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9AB2ED" w14:textId="28845C60" w:rsidR="006C686E" w:rsidRDefault="00B17E8C">
            <w:pPr>
              <w:pStyle w:val="P68B1DB1-Normal11"/>
              <w:spacing w:after="0" w:line="240" w:lineRule="auto"/>
              <w:jc w:val="both"/>
              <w:rPr>
                <w:rFonts w:eastAsia="Times New Roman"/>
                <w:noProof/>
              </w:rPr>
            </w:pPr>
            <w:r>
              <w:rPr>
                <w:noProof/>
              </w:rPr>
              <w:t>Définition détaillée des spécifications technologiques pour le réseau d'installations culturelles.</w:t>
            </w:r>
          </w:p>
        </w:tc>
      </w:tr>
      <w:tr w:rsidR="006C686E" w14:paraId="1FF3821F" w14:textId="77777777" w:rsidTr="006E2673">
        <w:trPr>
          <w:trHeight w:val="290"/>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5983B07" w14:textId="77777777" w:rsidR="006C686E" w:rsidRDefault="00B17E8C">
            <w:pPr>
              <w:pStyle w:val="P68B1DB1-Normal10"/>
              <w:spacing w:after="0" w:line="240" w:lineRule="auto"/>
              <w:jc w:val="center"/>
              <w:rPr>
                <w:rFonts w:eastAsia="Times New Roman"/>
                <w:bCs/>
                <w:noProof/>
              </w:rPr>
            </w:pPr>
            <w:r>
              <w:rPr>
                <w:noProof/>
              </w:rPr>
              <w:t>4.3</w:t>
            </w:r>
          </w:p>
        </w:tc>
        <w:tc>
          <w:tcPr>
            <w:tcW w:w="151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1D6352" w14:textId="5B55DAD3" w:rsidR="006C686E" w:rsidRDefault="00B17E8C">
            <w:pPr>
              <w:pStyle w:val="P68B1DB1-Normal11"/>
              <w:spacing w:after="0" w:line="240" w:lineRule="auto"/>
              <w:jc w:val="center"/>
              <w:rPr>
                <w:rFonts w:eastAsia="Times New Roman"/>
                <w:noProof/>
              </w:rPr>
            </w:pPr>
            <w:r>
              <w:rPr>
                <w:noProof/>
              </w:rPr>
              <w:t>RE-C04-i01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780A38" w14:textId="77777777" w:rsidR="006C686E" w:rsidRDefault="00B17E8C">
            <w:pPr>
              <w:pStyle w:val="P68B1DB1-Normal11"/>
              <w:spacing w:after="0" w:line="240" w:lineRule="auto"/>
              <w:jc w:val="center"/>
              <w:rPr>
                <w:rFonts w:eastAsia="Times New Roman"/>
                <w:noProof/>
              </w:rPr>
            </w:pPr>
            <w:r>
              <w:rPr>
                <w:noProof/>
              </w:rPr>
              <w:t>M </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2CE07B" w14:textId="723FFE8B" w:rsidR="006C686E" w:rsidRDefault="00B17E8C">
            <w:pPr>
              <w:pStyle w:val="P68B1DB1-Normal11"/>
              <w:spacing w:after="0" w:line="240" w:lineRule="auto"/>
              <w:jc w:val="center"/>
              <w:rPr>
                <w:rFonts w:eastAsia="Times New Roman"/>
                <w:noProof/>
              </w:rPr>
            </w:pPr>
            <w:r>
              <w:rPr>
                <w:noProof/>
              </w:rPr>
              <w:t>Numérisation de documents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ACBC3B" w14:textId="3B607FB2" w:rsidR="006C686E" w:rsidRDefault="00B17E8C">
            <w:pPr>
              <w:pStyle w:val="P68B1DB1-Normal11"/>
              <w:spacing w:after="0" w:line="240" w:lineRule="auto"/>
              <w:jc w:val="center"/>
              <w:rPr>
                <w:rFonts w:eastAsia="Times New Roman"/>
                <w:noProof/>
              </w:rPr>
            </w:pPr>
            <w:r>
              <w:rPr>
                <w:noProof/>
              </w:rPr>
              <w:t>Numérisation de documents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BDEC57" w14:textId="77777777" w:rsidR="006C686E" w:rsidRDefault="00B17E8C">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209554" w14:textId="77777777" w:rsidR="006C686E" w:rsidRDefault="00B17E8C">
            <w:pPr>
              <w:pStyle w:val="P68B1DB1-Normal11"/>
              <w:spacing w:after="0" w:line="240" w:lineRule="auto"/>
              <w:jc w:val="center"/>
              <w:rPr>
                <w:rFonts w:eastAsia="Times New Roman"/>
                <w:noProof/>
              </w:rPr>
            </w:pPr>
            <w:r>
              <w:rPr>
                <w:noProof/>
              </w:rPr>
              <w:t xml:space="preserve"> </w:t>
            </w:r>
          </w:p>
        </w:tc>
        <w:tc>
          <w:tcPr>
            <w:tcW w:w="84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0D9B8C" w14:textId="77777777" w:rsidR="006C686E" w:rsidRDefault="00B17E8C">
            <w:pPr>
              <w:pStyle w:val="P68B1DB1-Normal11"/>
              <w:spacing w:after="0" w:line="240" w:lineRule="auto"/>
              <w:jc w:val="center"/>
              <w:rPr>
                <w:rFonts w:eastAsia="Times New Roman"/>
                <w:noProof/>
              </w:rPr>
            </w:pPr>
            <w:r>
              <w:rPr>
                <w:noProof/>
              </w:rPr>
              <w:t xml:space="preserve"> </w:t>
            </w:r>
          </w:p>
        </w:tc>
        <w:tc>
          <w:tcPr>
            <w:tcW w:w="36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151038" w14:textId="1331DF02" w:rsidR="006C686E" w:rsidRDefault="00B17E8C">
            <w:pPr>
              <w:pStyle w:val="P68B1DB1-Normal11"/>
              <w:spacing w:after="0" w:line="240" w:lineRule="auto"/>
              <w:jc w:val="center"/>
              <w:rPr>
                <w:rFonts w:eastAsia="Times New Roman"/>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1BFD54" w14:textId="240597A1" w:rsidR="006C686E" w:rsidRDefault="00B17E8C">
            <w:pPr>
              <w:pStyle w:val="P68B1DB1-Normal13"/>
              <w:spacing w:after="0" w:line="240" w:lineRule="auto"/>
              <w:jc w:val="center"/>
              <w:rPr>
                <w:rFonts w:eastAsia="Times New Roman"/>
                <w:noProof/>
                <w:kern w:val="0"/>
                <w14:ligatures w14:val="none"/>
              </w:rPr>
            </w:pPr>
            <w:r>
              <w:rPr>
                <w:noProof/>
              </w:rPr>
              <w:t>2025</w:t>
            </w:r>
          </w:p>
        </w:tc>
        <w:tc>
          <w:tcPr>
            <w:tcW w:w="42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78BCE5" w14:textId="2D6FC8F4" w:rsidR="006C686E" w:rsidRDefault="00B17E8C">
            <w:pPr>
              <w:pStyle w:val="P68B1DB1-Normal13"/>
              <w:spacing w:after="0" w:line="240" w:lineRule="auto"/>
              <w:jc w:val="both"/>
              <w:rPr>
                <w:noProof/>
              </w:rPr>
            </w:pPr>
            <w:r>
              <w:rPr>
                <w:noProof/>
              </w:rPr>
              <w:t>25 contrats exécutés pour la numérisation de documents provenant des bibliothèques publiques, de la direction générale du livre, des archives et des bibliothèques, de la cinémathèque et de Património Cultural I.P.</w:t>
            </w:r>
          </w:p>
        </w:tc>
      </w:tr>
      <w:tr w:rsidR="006C686E" w14:paraId="020EF37F" w14:textId="77777777" w:rsidTr="006E2673">
        <w:trPr>
          <w:trHeight w:val="705"/>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BD3AC70" w14:textId="77777777" w:rsidR="006C686E" w:rsidRDefault="00B17E8C">
            <w:pPr>
              <w:pStyle w:val="P68B1DB1-Normal10"/>
              <w:spacing w:after="0" w:line="240" w:lineRule="auto"/>
              <w:jc w:val="center"/>
              <w:rPr>
                <w:rFonts w:eastAsia="Times New Roman"/>
                <w:bCs/>
                <w:noProof/>
              </w:rPr>
            </w:pPr>
            <w:r>
              <w:rPr>
                <w:noProof/>
              </w:rPr>
              <w:t>4.4</w:t>
            </w:r>
          </w:p>
        </w:tc>
        <w:tc>
          <w:tcPr>
            <w:tcW w:w="151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8B21F9" w14:textId="77777777" w:rsidR="006C686E" w:rsidRDefault="00B17E8C">
            <w:pPr>
              <w:pStyle w:val="P68B1DB1-Normal11"/>
              <w:spacing w:after="0" w:line="240" w:lineRule="auto"/>
              <w:jc w:val="center"/>
              <w:rPr>
                <w:rFonts w:eastAsia="Times New Roman"/>
                <w:noProof/>
              </w:rPr>
            </w:pPr>
            <w:r>
              <w:rPr>
                <w:noProof/>
              </w:rPr>
              <w:t>RE-C04-i01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A32CC5" w14:textId="77777777" w:rsidR="006C686E" w:rsidRDefault="00B17E8C">
            <w:pPr>
              <w:pStyle w:val="P68B1DB1-Normal13"/>
              <w:spacing w:after="0" w:line="240" w:lineRule="auto"/>
              <w:jc w:val="center"/>
              <w:rPr>
                <w:rFonts w:eastAsia="Times New Roman"/>
                <w:noProof/>
                <w:kern w:val="0"/>
                <w14:ligatures w14:val="none"/>
              </w:rPr>
            </w:pPr>
            <w:r>
              <w:rPr>
                <w:noProof/>
              </w:rPr>
              <w:t>T</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F936D8" w14:textId="5D367866" w:rsidR="006C686E" w:rsidRDefault="00B17E8C">
            <w:pPr>
              <w:pStyle w:val="P68B1DB1-Normal32"/>
              <w:spacing w:after="0" w:line="240" w:lineRule="auto"/>
              <w:jc w:val="center"/>
              <w:rPr>
                <w:rFonts w:eastAsia="Times New Roman"/>
                <w:noProof/>
                <w:kern w:val="0"/>
                <w14:ligatures w14:val="none"/>
              </w:rPr>
            </w:pPr>
            <w:r>
              <w:rPr>
                <w:noProof/>
              </w:rPr>
              <w:t>Équipements pour installations culturelles</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B9B591" w14:textId="77777777" w:rsidR="006C686E" w:rsidRDefault="006C686E">
            <w:pPr>
              <w:spacing w:after="0" w:line="240" w:lineRule="auto"/>
              <w:jc w:val="center"/>
              <w:rPr>
                <w:rFonts w:ascii="Times New Roman" w:eastAsia="Calibri" w:hAnsi="Times New Roman" w:cs="Times New Roman"/>
                <w:noProof/>
                <w:color w:val="000000" w:themeColor="text1"/>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73EE2" w14:textId="197DEA69" w:rsidR="006C686E" w:rsidRDefault="00B17E8C">
            <w:pPr>
              <w:pStyle w:val="P68B1DB1-Normal13"/>
              <w:spacing w:after="0" w:line="240" w:lineRule="auto"/>
              <w:jc w:val="center"/>
              <w:rPr>
                <w:rFonts w:eastAsia="Times New Roman"/>
                <w:noProof/>
                <w:kern w:val="0"/>
                <w14:ligatures w14:val="none"/>
              </w:rPr>
            </w:pPr>
            <w:r>
              <w:rPr>
                <w:noProof/>
              </w:rPr>
              <w:t>Numéro</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B461AE" w14:textId="0B466606" w:rsidR="006C686E" w:rsidRDefault="00B17E8C">
            <w:pPr>
              <w:pStyle w:val="P68B1DB1-Normal13"/>
              <w:spacing w:after="0" w:line="240" w:lineRule="auto"/>
              <w:jc w:val="center"/>
              <w:rPr>
                <w:rFonts w:eastAsia="Times New Roman"/>
                <w:noProof/>
                <w:kern w:val="0"/>
                <w14:ligatures w14:val="none"/>
              </w:rPr>
            </w:pPr>
            <w:r>
              <w:rPr>
                <w:noProof/>
              </w:rPr>
              <w:t>0</w:t>
            </w:r>
          </w:p>
        </w:tc>
        <w:tc>
          <w:tcPr>
            <w:tcW w:w="84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143A88" w14:textId="5F723FF2" w:rsidR="006C686E" w:rsidRDefault="00B17E8C">
            <w:pPr>
              <w:pStyle w:val="P68B1DB1-Normal13"/>
              <w:spacing w:after="0" w:line="240" w:lineRule="auto"/>
              <w:jc w:val="center"/>
              <w:rPr>
                <w:rFonts w:eastAsia="Times New Roman"/>
                <w:noProof/>
                <w:kern w:val="0"/>
                <w14:ligatures w14:val="none"/>
              </w:rPr>
            </w:pPr>
            <w:r>
              <w:rPr>
                <w:noProof/>
              </w:rPr>
              <w:t>449</w:t>
            </w:r>
          </w:p>
        </w:tc>
        <w:tc>
          <w:tcPr>
            <w:tcW w:w="36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1669F1" w14:textId="26C49AC5" w:rsidR="006C686E" w:rsidRDefault="00B17E8C">
            <w:pPr>
              <w:pStyle w:val="P68B1DB1-Normal11"/>
              <w:spacing w:after="0" w:line="240" w:lineRule="auto"/>
              <w:jc w:val="center"/>
              <w:rPr>
                <w:rFonts w:eastAsia="Times New Roman"/>
                <w:noProof/>
              </w:rPr>
            </w:pPr>
            <w:r>
              <w:rPr>
                <w:noProof/>
              </w:rPr>
              <w:t>T1</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EB2A07" w14:textId="77777777" w:rsidR="006C686E" w:rsidRDefault="00B17E8C">
            <w:pPr>
              <w:pStyle w:val="P68B1DB1-Normal11"/>
              <w:spacing w:after="0" w:line="240" w:lineRule="auto"/>
              <w:jc w:val="center"/>
              <w:rPr>
                <w:rFonts w:eastAsia="Times New Roman"/>
                <w:noProof/>
              </w:rPr>
            </w:pPr>
            <w:r>
              <w:rPr>
                <w:noProof/>
              </w:rPr>
              <w:t>2026</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B82277" w14:textId="17EFD5CD" w:rsidR="006C686E" w:rsidRDefault="00B17E8C">
            <w:pPr>
              <w:pStyle w:val="P68B1DB1-Normal13"/>
              <w:spacing w:after="0" w:line="240" w:lineRule="auto"/>
              <w:jc w:val="both"/>
              <w:rPr>
                <w:noProof/>
                <w:kern w:val="0"/>
                <w14:ligatures w14:val="none"/>
              </w:rPr>
            </w:pPr>
            <w:r>
              <w:rPr>
                <w:noProof/>
              </w:rPr>
              <w:t>Fourniture</w:t>
            </w:r>
            <w:r>
              <w:rPr>
                <w:noProof/>
                <w:color w:val="000000" w:themeColor="text1"/>
              </w:rPr>
              <w:t xml:space="preserve"> d'équipement ou de logiciels à 444 installations culturelles, quatre laboratoires et les Archives nationales du son.</w:t>
            </w:r>
          </w:p>
        </w:tc>
      </w:tr>
      <w:tr w:rsidR="006C686E" w14:paraId="5B918EA6" w14:textId="77777777" w:rsidTr="006E2673">
        <w:trPr>
          <w:trHeight w:val="1252"/>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29FEE76" w14:textId="77777777" w:rsidR="006C686E" w:rsidRDefault="00B17E8C">
            <w:pPr>
              <w:pStyle w:val="P68B1DB1-Normal10"/>
              <w:spacing w:after="200" w:line="240" w:lineRule="auto"/>
              <w:jc w:val="center"/>
              <w:rPr>
                <w:rFonts w:eastAsia="Times New Roman"/>
                <w:bCs/>
                <w:noProof/>
              </w:rPr>
            </w:pPr>
            <w:r>
              <w:rPr>
                <w:noProof/>
              </w:rPr>
              <w:t>4.9</w:t>
            </w:r>
          </w:p>
        </w:tc>
        <w:tc>
          <w:tcPr>
            <w:tcW w:w="151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8BD580" w14:textId="77777777" w:rsidR="006C686E" w:rsidRDefault="00B17E8C">
            <w:pPr>
              <w:pStyle w:val="P68B1DB1-Normal11"/>
              <w:spacing w:after="200" w:line="240" w:lineRule="auto"/>
              <w:jc w:val="center"/>
              <w:rPr>
                <w:rFonts w:eastAsia="Times New Roman"/>
                <w:noProof/>
              </w:rPr>
            </w:pPr>
            <w:r>
              <w:rPr>
                <w:noProof/>
              </w:rPr>
              <w:t>RE-C04-i01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8A558F" w14:textId="77777777" w:rsidR="006C686E" w:rsidRDefault="00B17E8C">
            <w:pPr>
              <w:pStyle w:val="P68B1DB1-Normal11"/>
              <w:spacing w:after="200" w:line="240" w:lineRule="auto"/>
              <w:jc w:val="center"/>
              <w:rPr>
                <w:rFonts w:eastAsia="Times New Roman"/>
                <w:noProof/>
              </w:rPr>
            </w:pPr>
            <w:r>
              <w:rPr>
                <w:noProof/>
              </w:rPr>
              <w:t>M</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01226B" w14:textId="77777777" w:rsidR="006C686E" w:rsidRDefault="00B17E8C">
            <w:pPr>
              <w:pStyle w:val="P68B1DB1-Normal11"/>
              <w:widowControl w:val="0"/>
              <w:spacing w:before="320" w:after="0" w:line="240" w:lineRule="auto"/>
              <w:jc w:val="center"/>
              <w:rPr>
                <w:noProof/>
              </w:rPr>
            </w:pPr>
            <w:r>
              <w:rPr>
                <w:noProof/>
              </w:rPr>
              <w:t>Modernisation technologique de l’ANIM – Archives nationales des images en mouvement</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924A0C" w14:textId="77777777" w:rsidR="006C686E" w:rsidRDefault="00B17E8C">
            <w:pPr>
              <w:pStyle w:val="P68B1DB1-Normal11"/>
              <w:spacing w:after="200" w:line="240" w:lineRule="auto"/>
              <w:jc w:val="center"/>
              <w:rPr>
                <w:rFonts w:eastAsia="Times New Roman"/>
                <w:noProof/>
              </w:rPr>
            </w:pPr>
            <w:r>
              <w:rPr>
                <w:noProof/>
              </w:rPr>
              <w:t>Livraison du matériel</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2F8CC5" w14:textId="77777777" w:rsidR="006C686E" w:rsidRDefault="006C686E">
            <w:pPr>
              <w:spacing w:after="20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383650" w14:textId="77777777" w:rsidR="006C686E" w:rsidRDefault="006C686E">
            <w:pPr>
              <w:spacing w:after="200" w:line="240" w:lineRule="auto"/>
              <w:jc w:val="center"/>
              <w:rPr>
                <w:rFonts w:ascii="Times New Roman" w:eastAsia="Times New Roman" w:hAnsi="Times New Roman" w:cs="Times New Roman"/>
                <w:noProof/>
                <w:kern w:val="0"/>
                <w:sz w:val="16"/>
                <w:szCs w:val="16"/>
                <w14:ligatures w14:val="none"/>
              </w:rPr>
            </w:pPr>
          </w:p>
        </w:tc>
        <w:tc>
          <w:tcPr>
            <w:tcW w:w="84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885F40" w14:textId="77777777" w:rsidR="006C686E" w:rsidRDefault="006C686E">
            <w:pPr>
              <w:spacing w:after="200" w:line="240" w:lineRule="auto"/>
              <w:jc w:val="center"/>
              <w:rPr>
                <w:rFonts w:ascii="Times New Roman" w:eastAsia="Times New Roman" w:hAnsi="Times New Roman" w:cs="Times New Roman"/>
                <w:noProof/>
                <w:kern w:val="0"/>
                <w:sz w:val="16"/>
                <w:szCs w:val="16"/>
                <w14:ligatures w14:val="none"/>
              </w:rPr>
            </w:pPr>
          </w:p>
        </w:tc>
        <w:tc>
          <w:tcPr>
            <w:tcW w:w="36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BAD8F8" w14:textId="77777777" w:rsidR="006C686E" w:rsidRDefault="00B17E8C">
            <w:pPr>
              <w:pStyle w:val="P68B1DB1-Normal11"/>
              <w:spacing w:after="200" w:line="240" w:lineRule="auto"/>
              <w:jc w:val="center"/>
              <w:rPr>
                <w:rFonts w:eastAsia="Times New Roman"/>
                <w:noProof/>
              </w:rPr>
            </w:pPr>
            <w:r>
              <w:rPr>
                <w:noProof/>
              </w:rPr>
              <w:t>T3</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2256D8" w14:textId="77777777" w:rsidR="006C686E" w:rsidRDefault="00B17E8C">
            <w:pPr>
              <w:pStyle w:val="P68B1DB1-Normal11"/>
              <w:spacing w:after="200" w:line="240" w:lineRule="auto"/>
              <w:jc w:val="center"/>
              <w:rPr>
                <w:rFonts w:eastAsia="Times New Roman"/>
                <w:noProof/>
              </w:rPr>
            </w:pPr>
            <w:r>
              <w:rPr>
                <w:noProof/>
              </w:rPr>
              <w:t>2023</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6A7183" w14:textId="77777777" w:rsidR="006C686E" w:rsidRDefault="00B17E8C">
            <w:pPr>
              <w:pStyle w:val="P68B1DB1-Normal11"/>
              <w:spacing w:before="40" w:line="240" w:lineRule="auto"/>
              <w:contextualSpacing/>
              <w:jc w:val="both"/>
              <w:rPr>
                <w:noProof/>
              </w:rPr>
            </w:pPr>
            <w:r>
              <w:rPr>
                <w:noProof/>
              </w:rPr>
              <w:t>Livraison d'équipements pour la modernisation technologique des Archives nationales des images en mouvement.</w:t>
            </w:r>
          </w:p>
        </w:tc>
      </w:tr>
      <w:tr w:rsidR="006C686E" w14:paraId="0BC2DF61" w14:textId="77777777" w:rsidTr="006E2673">
        <w:trPr>
          <w:trHeight w:val="1685"/>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A1A4AE5" w14:textId="77777777" w:rsidR="006C686E" w:rsidRDefault="00B17E8C">
            <w:pPr>
              <w:pStyle w:val="P68B1DB1-Normal10"/>
              <w:spacing w:after="0" w:line="240" w:lineRule="auto"/>
              <w:jc w:val="center"/>
              <w:rPr>
                <w:rFonts w:eastAsia="Times New Roman"/>
                <w:bCs/>
                <w:noProof/>
              </w:rPr>
            </w:pPr>
            <w:r>
              <w:rPr>
                <w:noProof/>
              </w:rPr>
              <w:t>4.6</w:t>
            </w:r>
          </w:p>
        </w:tc>
        <w:tc>
          <w:tcPr>
            <w:tcW w:w="151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B8362A" w14:textId="77777777" w:rsidR="006C686E" w:rsidRDefault="00B17E8C">
            <w:pPr>
              <w:pStyle w:val="P68B1DB1-Normal11"/>
              <w:spacing w:after="0" w:line="240" w:lineRule="auto"/>
              <w:jc w:val="center"/>
              <w:rPr>
                <w:rFonts w:eastAsia="Times New Roman"/>
                <w:noProof/>
              </w:rPr>
            </w:pPr>
            <w:r>
              <w:rPr>
                <w:noProof/>
              </w:rPr>
              <w:t>RE-C04-i02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02D693" w14:textId="77777777" w:rsidR="006C686E" w:rsidRDefault="00B17E8C">
            <w:pPr>
              <w:pStyle w:val="P68B1DB1-Normal11"/>
              <w:spacing w:after="0" w:line="240" w:lineRule="auto"/>
              <w:jc w:val="center"/>
              <w:rPr>
                <w:rFonts w:eastAsia="Times New Roman"/>
                <w:noProof/>
              </w:rPr>
            </w:pPr>
            <w:r>
              <w:rPr>
                <w:noProof/>
              </w:rPr>
              <w:t>M </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EEC621" w14:textId="77777777" w:rsidR="006C686E" w:rsidRDefault="00B17E8C">
            <w:pPr>
              <w:pStyle w:val="P68B1DB1-Normal11"/>
              <w:spacing w:after="0" w:line="240" w:lineRule="auto"/>
              <w:jc w:val="center"/>
              <w:rPr>
                <w:rFonts w:eastAsia="Times New Roman"/>
                <w:noProof/>
              </w:rPr>
            </w:pPr>
            <w:r>
              <w:rPr>
                <w:noProof/>
              </w:rPr>
              <w:t>Mise en place du réseau "Saber Fazer"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33BC3A" w14:textId="77777777" w:rsidR="006C686E" w:rsidRDefault="00B17E8C">
            <w:pPr>
              <w:pStyle w:val="P68B1DB1-Normal11"/>
              <w:spacing w:after="0" w:line="240" w:lineRule="auto"/>
              <w:jc w:val="center"/>
              <w:rPr>
                <w:rFonts w:eastAsia="Times New Roman"/>
                <w:noProof/>
              </w:rPr>
            </w:pPr>
            <w:r>
              <w:rPr>
                <w:noProof/>
              </w:rPr>
              <w:t xml:space="preserve">Création d'un répertoire d'informations et de documentation sur la production artisanale nationale, l'identification et la cartographie des matières premières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CC8C78C" w14:textId="3F84AC18"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tcPr>
          <w:p w14:paraId="4D9C34D4" w14:textId="3F4119B9"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48" w:type="dxa"/>
            <w:tcBorders>
              <w:top w:val="single" w:sz="4" w:space="0" w:color="auto"/>
              <w:left w:val="single" w:sz="4" w:space="0" w:color="auto"/>
              <w:bottom w:val="single" w:sz="4" w:space="0" w:color="auto"/>
              <w:right w:val="single" w:sz="4" w:space="0" w:color="auto"/>
            </w:tcBorders>
            <w:shd w:val="clear" w:color="auto" w:fill="C4EFCE"/>
            <w:vAlign w:val="center"/>
          </w:tcPr>
          <w:p w14:paraId="7CA3833A" w14:textId="107DA574"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36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EE3C96" w14:textId="3B4E6F0E" w:rsidR="006C686E" w:rsidRDefault="00B17E8C">
            <w:pPr>
              <w:pStyle w:val="P68B1DB1-Normal11"/>
              <w:spacing w:after="0" w:line="240" w:lineRule="auto"/>
              <w:jc w:val="center"/>
              <w:rPr>
                <w:rFonts w:eastAsia="Times New Roman"/>
                <w:noProof/>
              </w:rPr>
            </w:pPr>
            <w:r>
              <w:rPr>
                <w:noProof/>
              </w:rPr>
              <w:t>T4</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970B59" w14:textId="77777777" w:rsidR="006C686E" w:rsidRDefault="00B17E8C">
            <w:pPr>
              <w:pStyle w:val="P68B1DB1-Normal11"/>
              <w:spacing w:after="0" w:line="240" w:lineRule="auto"/>
              <w:jc w:val="center"/>
              <w:rPr>
                <w:rFonts w:eastAsia="Times New Roman"/>
                <w:noProof/>
              </w:rPr>
            </w:pPr>
            <w:r>
              <w:rPr>
                <w:noProof/>
              </w:rPr>
              <w:t>2022</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9B52C3" w14:textId="4C771C18" w:rsidR="006C686E" w:rsidRDefault="00B17E8C">
            <w:pPr>
              <w:pStyle w:val="P68B1DB1-Normal11"/>
              <w:spacing w:after="0" w:line="240" w:lineRule="auto"/>
              <w:jc w:val="both"/>
              <w:rPr>
                <w:rFonts w:eastAsia="Times New Roman"/>
                <w:noProof/>
              </w:rPr>
            </w:pPr>
            <w:r>
              <w:rPr>
                <w:noProof/>
              </w:rPr>
              <w:t>Mise en place du réseau « Saber Fazer » : création d'un répertoire d'informations et de documentation sur la production artisanale nationale; et l’identification et la cartographie des matières premières utilisées dans la production artisanale.</w:t>
            </w:r>
          </w:p>
        </w:tc>
      </w:tr>
      <w:tr w:rsidR="006C686E" w14:paraId="6E97CD90" w14:textId="77777777" w:rsidTr="006E2673">
        <w:trPr>
          <w:trHeight w:val="1411"/>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E004C3A" w14:textId="77777777" w:rsidR="006C686E" w:rsidRDefault="00B17E8C">
            <w:pPr>
              <w:pStyle w:val="P68B1DB1-Normal10"/>
              <w:spacing w:after="0" w:line="240" w:lineRule="auto"/>
              <w:jc w:val="center"/>
              <w:rPr>
                <w:rFonts w:eastAsia="Times New Roman"/>
                <w:bCs/>
                <w:noProof/>
              </w:rPr>
            </w:pPr>
            <w:r>
              <w:rPr>
                <w:noProof/>
              </w:rPr>
              <w:t>4.7</w:t>
            </w:r>
          </w:p>
        </w:tc>
        <w:tc>
          <w:tcPr>
            <w:tcW w:w="151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792B8D" w14:textId="357354E7" w:rsidR="006C686E" w:rsidRDefault="00B17E8C">
            <w:pPr>
              <w:pStyle w:val="P68B1DB1-Normal11"/>
              <w:spacing w:after="0" w:line="240" w:lineRule="auto"/>
              <w:jc w:val="center"/>
              <w:rPr>
                <w:rFonts w:eastAsia="Times New Roman"/>
                <w:noProof/>
              </w:rPr>
            </w:pPr>
            <w:r>
              <w:rPr>
                <w:noProof/>
              </w:rPr>
              <w:t>RE-C04-i02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88C24C" w14:textId="77777777" w:rsidR="006C686E" w:rsidRDefault="00B17E8C">
            <w:pPr>
              <w:pStyle w:val="P68B1DB1-Normal11"/>
              <w:spacing w:after="0" w:line="240" w:lineRule="auto"/>
              <w:jc w:val="center"/>
              <w:rPr>
                <w:rFonts w:eastAsia="Times New Roman"/>
                <w:noProof/>
              </w:rPr>
            </w:pPr>
            <w:r>
              <w:rPr>
                <w:noProof/>
              </w:rPr>
              <w:t>T</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92C409" w14:textId="77777777" w:rsidR="006C686E" w:rsidRDefault="00B17E8C">
            <w:pPr>
              <w:pStyle w:val="P68B1DB1-Normal11"/>
              <w:spacing w:after="0" w:line="240" w:lineRule="auto"/>
              <w:jc w:val="center"/>
              <w:rPr>
                <w:rFonts w:eastAsia="Times New Roman"/>
                <w:noProof/>
              </w:rPr>
            </w:pPr>
            <w:r>
              <w:rPr>
                <w:noProof/>
              </w:rPr>
              <w:t>Signature de contrats pour la réhabilitation et la conservation de bâtiments du patrimoine culturel et de théâtres nationaux</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7772B9" w14:textId="77777777" w:rsidR="006C686E" w:rsidRDefault="006C686E">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78FACC" w14:textId="77777777" w:rsidR="006C686E" w:rsidRDefault="00B17E8C">
            <w:pPr>
              <w:pStyle w:val="P68B1DB1-Normal11"/>
              <w:spacing w:after="0" w:line="240" w:lineRule="auto"/>
              <w:jc w:val="center"/>
              <w:rPr>
                <w:rFonts w:eastAsia="Times New Roman"/>
                <w:noProof/>
              </w:rPr>
            </w:pPr>
            <w:r>
              <w:rPr>
                <w:noProof/>
              </w:rPr>
              <w:t>Numéro</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3A4AE9" w14:textId="77777777" w:rsidR="006C686E" w:rsidRDefault="00B17E8C">
            <w:pPr>
              <w:pStyle w:val="P68B1DB1-Normal11"/>
              <w:spacing w:after="0" w:line="240" w:lineRule="auto"/>
              <w:jc w:val="center"/>
              <w:rPr>
                <w:rFonts w:eastAsia="Times New Roman"/>
                <w:noProof/>
              </w:rPr>
            </w:pPr>
            <w:r>
              <w:rPr>
                <w:noProof/>
              </w:rPr>
              <w:t>0</w:t>
            </w:r>
          </w:p>
        </w:tc>
        <w:tc>
          <w:tcPr>
            <w:tcW w:w="84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58AE93" w14:textId="77777777" w:rsidR="006C686E" w:rsidRDefault="00B17E8C">
            <w:pPr>
              <w:pStyle w:val="P68B1DB1-Normal11"/>
              <w:spacing w:after="0" w:line="240" w:lineRule="auto"/>
              <w:jc w:val="center"/>
              <w:rPr>
                <w:rFonts w:eastAsia="Times New Roman"/>
                <w:noProof/>
              </w:rPr>
            </w:pPr>
            <w:r>
              <w:rPr>
                <w:noProof/>
              </w:rPr>
              <w:t>49</w:t>
            </w:r>
          </w:p>
        </w:tc>
        <w:tc>
          <w:tcPr>
            <w:tcW w:w="36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2E26C0" w14:textId="77777777" w:rsidR="006C686E" w:rsidRDefault="00B17E8C">
            <w:pPr>
              <w:pStyle w:val="P68B1DB1-Normal11"/>
              <w:spacing w:after="0" w:line="240" w:lineRule="auto"/>
              <w:jc w:val="center"/>
              <w:rPr>
                <w:rFonts w:eastAsia="Times New Roman"/>
                <w:noProof/>
              </w:rPr>
            </w:pPr>
            <w:r>
              <w:rPr>
                <w:noProof/>
              </w:rPr>
              <w:t>T3</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917C94" w14:textId="77777777" w:rsidR="006C686E" w:rsidRDefault="00B17E8C">
            <w:pPr>
              <w:pStyle w:val="P68B1DB1-Normal11"/>
              <w:spacing w:after="0" w:line="240" w:lineRule="auto"/>
              <w:jc w:val="center"/>
              <w:rPr>
                <w:rFonts w:eastAsia="Times New Roman"/>
                <w:noProof/>
              </w:rPr>
            </w:pPr>
            <w:r>
              <w:rPr>
                <w:noProof/>
              </w:rPr>
              <w:t>2023</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64F1A9" w14:textId="77777777" w:rsidR="006C686E" w:rsidRDefault="00B17E8C">
            <w:pPr>
              <w:pStyle w:val="P68B1DB1-Normal11"/>
              <w:spacing w:after="0" w:line="240" w:lineRule="auto"/>
              <w:jc w:val="both"/>
              <w:rPr>
                <w:rFonts w:eastAsia="Times New Roman"/>
                <w:noProof/>
              </w:rPr>
            </w:pPr>
            <w:r>
              <w:rPr>
                <w:noProof/>
              </w:rPr>
              <w:t>Nombre de sites culturels pour lesquels des contrats sont signés pour la réhabilitation et la conservation de musées, monuments, palais d'État et théâtres nationaux.</w:t>
            </w:r>
          </w:p>
        </w:tc>
      </w:tr>
      <w:tr w:rsidR="006C686E" w14:paraId="14253262" w14:textId="77777777" w:rsidTr="006E2673">
        <w:trPr>
          <w:trHeight w:val="894"/>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0B6001A" w14:textId="77777777" w:rsidR="006C686E" w:rsidRDefault="00B17E8C">
            <w:pPr>
              <w:pStyle w:val="P68B1DB1-Normal10"/>
              <w:spacing w:after="0" w:line="240" w:lineRule="auto"/>
              <w:jc w:val="center"/>
              <w:rPr>
                <w:rFonts w:eastAsia="Times New Roman"/>
                <w:bCs/>
                <w:noProof/>
              </w:rPr>
            </w:pPr>
            <w:r>
              <w:rPr>
                <w:noProof/>
              </w:rPr>
              <w:t>4.8</w:t>
            </w:r>
          </w:p>
        </w:tc>
        <w:tc>
          <w:tcPr>
            <w:tcW w:w="151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2EC9C6" w14:textId="77777777" w:rsidR="006C686E" w:rsidRDefault="00B17E8C">
            <w:pPr>
              <w:pStyle w:val="P68B1DB1-Normal11"/>
              <w:spacing w:after="0" w:line="240" w:lineRule="auto"/>
              <w:jc w:val="center"/>
              <w:rPr>
                <w:rFonts w:eastAsia="Times New Roman"/>
                <w:noProof/>
              </w:rPr>
            </w:pPr>
            <w:r>
              <w:rPr>
                <w:noProof/>
              </w:rPr>
              <w:t>RE-C04-i02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FF9316" w14:textId="77777777" w:rsidR="006C686E" w:rsidRDefault="00B17E8C">
            <w:pPr>
              <w:pStyle w:val="P68B1DB1-Normal11"/>
              <w:spacing w:after="0" w:line="240" w:lineRule="auto"/>
              <w:jc w:val="center"/>
              <w:rPr>
                <w:rFonts w:eastAsia="Times New Roman"/>
                <w:noProof/>
              </w:rPr>
            </w:pPr>
            <w:r>
              <w:rPr>
                <w:noProof/>
              </w:rPr>
              <w:t>T </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BA8B09" w14:textId="716AB3E6" w:rsidR="006C686E" w:rsidRDefault="00B17E8C">
            <w:pPr>
              <w:pStyle w:val="P68B1DB1-Normal13"/>
              <w:spacing w:after="0" w:line="240" w:lineRule="auto"/>
              <w:jc w:val="center"/>
              <w:rPr>
                <w:rFonts w:eastAsia="Times New Roman"/>
                <w:noProof/>
                <w:kern w:val="0"/>
                <w14:ligatures w14:val="none"/>
              </w:rPr>
            </w:pPr>
            <w:r>
              <w:rPr>
                <w:noProof/>
              </w:rPr>
              <w:t>Exécution d'œuvres</w:t>
            </w:r>
            <w:r>
              <w:rPr>
                <w:noProof/>
                <w:kern w:val="0"/>
                <w14:ligatures w14:val="none"/>
              </w:rPr>
              <w:t xml:space="preserve"> pour des sites culturels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749C27" w14:textId="77777777" w:rsidR="006C686E" w:rsidRDefault="006C686E">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9773BD" w14:textId="77777777" w:rsidR="006C686E" w:rsidRDefault="00B17E8C">
            <w:pPr>
              <w:pStyle w:val="P68B1DB1-Normal11"/>
              <w:spacing w:after="0" w:line="240" w:lineRule="auto"/>
              <w:jc w:val="center"/>
              <w:rPr>
                <w:rFonts w:eastAsia="Times New Roman"/>
                <w:noProof/>
              </w:rPr>
            </w:pPr>
            <w:r>
              <w:rPr>
                <w:noProof/>
              </w:rPr>
              <w:t>Numéro</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3FDEF9" w14:textId="77777777" w:rsidR="006C686E" w:rsidRDefault="00B17E8C">
            <w:pPr>
              <w:pStyle w:val="P68B1DB1-Normal11"/>
              <w:spacing w:after="0" w:line="240" w:lineRule="auto"/>
              <w:jc w:val="center"/>
              <w:rPr>
                <w:rFonts w:eastAsia="Times New Roman"/>
                <w:noProof/>
              </w:rPr>
            </w:pPr>
            <w:r>
              <w:rPr>
                <w:noProof/>
              </w:rPr>
              <w:t>0</w:t>
            </w:r>
          </w:p>
        </w:tc>
        <w:tc>
          <w:tcPr>
            <w:tcW w:w="84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59AA9C" w14:textId="7D0F178C" w:rsidR="006C686E" w:rsidRDefault="00B17E8C">
            <w:pPr>
              <w:pStyle w:val="P68B1DB1-Normal11"/>
              <w:spacing w:after="0" w:line="240" w:lineRule="auto"/>
              <w:jc w:val="center"/>
              <w:rPr>
                <w:rFonts w:eastAsia="Times New Roman"/>
                <w:noProof/>
              </w:rPr>
            </w:pPr>
            <w:r>
              <w:rPr>
                <w:noProof/>
              </w:rPr>
              <w:t>84</w:t>
            </w:r>
          </w:p>
        </w:tc>
        <w:tc>
          <w:tcPr>
            <w:tcW w:w="36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F2E654" w14:textId="248CF70A" w:rsidR="006C686E" w:rsidRDefault="00B17E8C">
            <w:pPr>
              <w:pStyle w:val="P68B1DB1-Normal11"/>
              <w:spacing w:after="0" w:line="240" w:lineRule="auto"/>
              <w:jc w:val="center"/>
              <w:rPr>
                <w:rFonts w:eastAsia="Times New Roman"/>
                <w:noProof/>
              </w:rPr>
            </w:pPr>
            <w:r>
              <w:rPr>
                <w:noProof/>
              </w:rPr>
              <w:t>T1</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7B258B" w14:textId="77777777" w:rsidR="006C686E" w:rsidRDefault="00B17E8C">
            <w:pPr>
              <w:pStyle w:val="P68B1DB1-Normal11"/>
              <w:spacing w:after="0" w:line="240" w:lineRule="auto"/>
              <w:jc w:val="center"/>
              <w:rPr>
                <w:rFonts w:eastAsia="Times New Roman"/>
                <w:noProof/>
              </w:rPr>
            </w:pPr>
            <w:r>
              <w:rPr>
                <w:noProof/>
              </w:rPr>
              <w:t>2026</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C0F934" w14:textId="74D032F3" w:rsidR="006C686E" w:rsidRDefault="00B17E8C">
            <w:pPr>
              <w:pStyle w:val="P68B1DB1-Normal32"/>
              <w:spacing w:after="0" w:line="240" w:lineRule="auto"/>
              <w:jc w:val="both"/>
              <w:rPr>
                <w:noProof/>
                <w:kern w:val="0"/>
                <w14:ligatures w14:val="none"/>
              </w:rPr>
            </w:pPr>
            <w:r>
              <w:rPr>
                <w:noProof/>
              </w:rPr>
              <w:t>Exécution d'œuvres pour 84 sites culturels.</w:t>
            </w:r>
          </w:p>
        </w:tc>
      </w:tr>
    </w:tbl>
    <w:p w14:paraId="720AA20E" w14:textId="77777777" w:rsidR="006C686E" w:rsidRDefault="006C686E">
      <w:pPr>
        <w:spacing w:after="200" w:line="276" w:lineRule="auto"/>
        <w:rPr>
          <w:rFonts w:ascii="Calibri" w:eastAsia="Calibri" w:hAnsi="Calibri" w:cs="Times New Roman"/>
          <w:noProof/>
          <w:kern w:val="0"/>
          <w14:ligatures w14:val="none"/>
        </w:rPr>
        <w:sectPr w:rsidR="006C686E" w:rsidSect="00C95E00">
          <w:headerReference w:type="even" r:id="rId94"/>
          <w:headerReference w:type="default" r:id="rId95"/>
          <w:footerReference w:type="even" r:id="rId96"/>
          <w:footerReference w:type="default" r:id="rId97"/>
          <w:headerReference w:type="first" r:id="rId98"/>
          <w:footerReference w:type="first" r:id="rId99"/>
          <w:pgSz w:w="16839" w:h="11907" w:orient="landscape"/>
          <w:pgMar w:top="1134" w:right="1134" w:bottom="1134" w:left="1134" w:header="567" w:footer="567" w:gutter="0"/>
          <w:cols w:space="720"/>
          <w:docGrid w:linePitch="360"/>
        </w:sectPr>
      </w:pPr>
    </w:p>
    <w:p w14:paraId="6D34E71C" w14:textId="77777777" w:rsidR="006C686E" w:rsidRDefault="00B17E8C">
      <w:pPr>
        <w:pStyle w:val="P68B1DB1-Normal18"/>
        <w:keepNext/>
        <w:spacing w:before="40" w:after="0" w:line="259" w:lineRule="auto"/>
        <w:ind w:left="130" w:firstLine="720"/>
        <w:jc w:val="both"/>
        <w:outlineLvl w:val="1"/>
        <w:rPr>
          <w:bCs/>
          <w:noProof/>
        </w:rPr>
      </w:pPr>
      <w:r>
        <w:rPr>
          <w:noProof/>
        </w:rPr>
        <w:t>E. Élément 5: Investissement et innovation</w:t>
      </w:r>
    </w:p>
    <w:p w14:paraId="21931582" w14:textId="77777777" w:rsidR="006C686E" w:rsidRDefault="00B17E8C">
      <w:pPr>
        <w:pStyle w:val="P68B1DB1-Normal22"/>
        <w:jc w:val="both"/>
        <w:rPr>
          <w:rFonts w:eastAsiaTheme="minorEastAsia" w:cs="Times New Roman"/>
          <w:noProof/>
        </w:rPr>
      </w:pPr>
      <w:r>
        <w:rPr>
          <w:noProof/>
        </w:rPr>
        <w:t>Ce volet du plan portugais pour la reprise et la résilience répond aux défis liés au niveau relativement modeste de la recherche et de l’innovation, notamment en favorisant les liens entre les entreprises et la science et en mettant particulièrement l’accent sur l’innovation dans le cadre de la transition écologique, ainsi qu’aux défis liés à la sous-capitalisation chronique du secteur des entreprises portugais, qui s’est encore détériorée en raison de la pandémie de COVID-19.</w:t>
      </w:r>
    </w:p>
    <w:p w14:paraId="22ACEB47" w14:textId="77777777" w:rsidR="006C686E" w:rsidRDefault="00B17E8C">
      <w:pPr>
        <w:pStyle w:val="P68B1DB1-Normal22"/>
        <w:jc w:val="both"/>
        <w:rPr>
          <w:rFonts w:eastAsiaTheme="minorEastAsia" w:cs="Times New Roman"/>
          <w:noProof/>
        </w:rPr>
      </w:pPr>
      <w:r>
        <w:rPr>
          <w:noProof/>
        </w:rPr>
        <w:t xml:space="preserve">L’objectif du volet est d’accroître la compétitivité et la résilience de l’économie portugaise au moyen de mesures visant à renforcer la recherche, en favorisant le transfert de ses résultats vers le secteur des entreprises, favorisant ainsi l’innovation et l’investissement. Le volet «recherche et innovation» du volet vise à améliorer la coopération entre les universités et les entreprises, à renforcer le potentiel scientifique et technologique du Portugal et à soutenir la mise en œuvre de programmes de recherche et d’innovation ambitieux et complets visant à relever les principaux défis socio-économiques et environnementaux. Cet objectif devrait être atteint au moyen d’investissements accrus et plus efficaces dans la R&amp;D et l’innovation, d’un soutien ciblé visant à mieux traduire les résultats de la recherche en investissements, en diversification et en spécialisation de la structure productive, en exploitant le potentiel réel d’affirmation concurrentielle des secteurs industriels établis et des zones émergentes et en contribuant à la double transition. En particulier, ce volet vise à accroître les exportations de biens et de services à forte valeur ajoutée, à accroître les investissements dans la R&amp;D (à la fois par la création de nouveaux emplois hautement qualifiés et par l’augmentation des dépenses de R&amp;D des entreprises) et à contribuer à réduire les émissions de CO2. </w:t>
      </w:r>
    </w:p>
    <w:p w14:paraId="5ECACE78" w14:textId="77777777" w:rsidR="006C686E" w:rsidRDefault="00B17E8C">
      <w:pPr>
        <w:pStyle w:val="P68B1DB1-Normal22"/>
        <w:jc w:val="both"/>
        <w:rPr>
          <w:rFonts w:eastAsiaTheme="minorEastAsia" w:cs="Times New Roman"/>
          <w:noProof/>
        </w:rPr>
      </w:pPr>
      <w:r>
        <w:rPr>
          <w:noProof/>
        </w:rPr>
        <w:t xml:space="preserve">Conformément à la nécessité de soutenir la solvabilité du système productif et de remédier aux défaillances du marché en matière d’accès au financement, ce volet comprend une réforme et des investissements qui contribuent à l’amélioration du marché portugais du financement des entreprises, grâce à la création et au renforcement des capitaux de la Banque nationale de développement, </w:t>
      </w:r>
      <w:r>
        <w:rPr>
          <w:i/>
          <w:noProof/>
        </w:rPr>
        <w:t>de Banco Português de Fomento</w:t>
      </w:r>
      <w:r>
        <w:rPr>
          <w:noProof/>
        </w:rPr>
        <w:t xml:space="preserve"> et au développement de nouveaux instruments financiers. Le volet introduit également des réformes des marchés des capitaux afin de renforcer les marchés des capitaux au Portugal à long terme grâce à la révision du cadre juridique existant et à l’adoption de nouvelles lois, l’accent étant mis en particulier sur les sociétés d’investissement en valeurs mobilières pour le développement de l’économie (SIMFE), les organismes de placement collectif et la révision du code des valeurs mobilières.</w:t>
      </w:r>
    </w:p>
    <w:p w14:paraId="255FBCF8" w14:textId="77777777" w:rsidR="006C686E" w:rsidRDefault="00B17E8C">
      <w:pPr>
        <w:pStyle w:val="P68B1DB1-Normal22"/>
        <w:jc w:val="both"/>
        <w:rPr>
          <w:rFonts w:eastAsiaTheme="minorEastAsia" w:cs="Times New Roman"/>
          <w:noProof/>
        </w:rPr>
      </w:pPr>
      <w:r>
        <w:rPr>
          <w:noProof/>
        </w:rPr>
        <w:t xml:space="preserve">Le volet soutient la mise en œuvre de la recommandation par pays sur les investissements dans la transition climatique (recommandation par pays no 3 de 2020), de la recommandation par pays sur l’accent mis sur la politique économique liée aux investissements dans l’innovation (recommandation par pays no 3 de 2019) et de la recommandation par pays no 3 de 2020 (axer les investissements sur la transition écologique et numérique). Ce volet contribue à donner suite à la recommandation par pays sur la mise en œuvre des mesures temporaires visant à garantir l’accès aux liquidités pour les entreprises, en particulier les petites et moyennes entreprises, et à promouvoir l’investissement privé afin de favoriser la reprise économique (recommandation par pays no 3 de 2020). </w:t>
      </w:r>
    </w:p>
    <w:p w14:paraId="64E134BB" w14:textId="77777777" w:rsidR="006C686E" w:rsidRDefault="00B17E8C">
      <w:pPr>
        <w:pStyle w:val="P68B1DB1-Normal22"/>
        <w:jc w:val="both"/>
        <w:rPr>
          <w:rFonts w:eastAsiaTheme="minorEastAsia"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2EB0E471" w14:textId="77777777" w:rsidR="006C686E" w:rsidRDefault="00B17E8C">
      <w:pPr>
        <w:pStyle w:val="P68B1DB1-Normal18"/>
        <w:keepNext/>
        <w:spacing w:before="40" w:after="0" w:line="259" w:lineRule="auto"/>
        <w:ind w:left="130" w:firstLine="720"/>
        <w:jc w:val="both"/>
        <w:outlineLvl w:val="2"/>
        <w:rPr>
          <w:rFonts w:eastAsiaTheme="minorEastAsia" w:cs="Times New Roman"/>
          <w:bCs/>
          <w:noProof/>
        </w:rPr>
      </w:pPr>
      <w:r>
        <w:rPr>
          <w:noProof/>
        </w:rPr>
        <w:t>E.1. Description des réformes et des investissements pour le soutien financier non remboursable</w:t>
      </w:r>
    </w:p>
    <w:p w14:paraId="53389C37"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Réforme RE-r09: Promotion de la R&amp;I&amp;D et des investissements innovants dans les entreprises</w:t>
      </w:r>
    </w:p>
    <w:p w14:paraId="3DCDC9AA" w14:textId="77777777" w:rsidR="006C686E" w:rsidRDefault="00B17E8C">
      <w:pPr>
        <w:pStyle w:val="P68B1DB1-Normal22"/>
        <w:keepNext/>
        <w:spacing w:before="40" w:after="0" w:line="259" w:lineRule="auto"/>
        <w:jc w:val="both"/>
        <w:rPr>
          <w:rFonts w:eastAsiaTheme="minorEastAsia" w:cs="Times New Roman"/>
          <w:noProof/>
        </w:rPr>
      </w:pPr>
      <w:r>
        <w:rPr>
          <w:noProof/>
        </w:rPr>
        <w:t>L’objectif de la réforme est d’encourager les investissements dans la R&amp;D, notamment en garantissant des conditions-cadres propices à l’amélioration de l’efficience et de l’efficacité des investissements publics et privés dans la R&amp;D. La réforme s’inscrit dans le cadre de la mise à jour de la stratégie pour l’innovation technologique et d’entreprise 2018-2030. Cette mise à jour vise à faciliter le financement et la mise en œuvre des partenariats public-privé à l’appui d’ambitieux programmes de recherche et d’innovation. La réforme vise à simplifier l’accès aux instruments de financement des activités de R&amp;D et à contribuer à améliorer la prévisibilité et la stabilité du financement en établissant un cadre de programmation pluriannuel pour les investissements publics dans la R&amp;D, avec le soutien d’un système indépendant de suivi des investissements dans la R&amp;D. Les investissements à mettre en œuvre dans le cadre de cette réforme sont les suivants: RE-C05-i01.01 et RE-C05-i01.02.</w:t>
      </w:r>
    </w:p>
    <w:p w14:paraId="1ABE56E0" w14:textId="3BCF8990" w:rsidR="006C686E" w:rsidRDefault="00B17E8C">
      <w:pPr>
        <w:pStyle w:val="P68B1DB1-Normal22"/>
        <w:keepNext/>
        <w:spacing w:before="40" w:after="0" w:line="259" w:lineRule="auto"/>
        <w:jc w:val="both"/>
        <w:rPr>
          <w:rFonts w:eastAsiaTheme="minorEastAsia" w:cs="Times New Roman"/>
          <w:noProof/>
        </w:rPr>
      </w:pPr>
      <w:r>
        <w:rPr>
          <w:noProof/>
        </w:rPr>
        <w:t>La mise en œuvre de la réforme est achevée au plus tard le 31 décembre 2021.</w:t>
      </w:r>
    </w:p>
    <w:p w14:paraId="13179A3B"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Réforme RE-r11: Extension et consolidation du réseau des institutions d'interface.</w:t>
      </w:r>
    </w:p>
    <w:p w14:paraId="0B848E85"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 L'objectif de la réforme est d'améliorer les liens entre les universités et les entreprises afin d'améliorer les flux de connaissances et le transfert de technologie.</w:t>
      </w:r>
    </w:p>
    <w:p w14:paraId="775C49EC"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La réforme consiste en une révision et une normalisation du cadre législatif et réglementaire du système d'interface technologique, en particulier des centres technologiques et des centres INTERFACE créés dans le cadre du programme INTERFACE. Les centres technologiques et les centres INTERFACE mettent en relation des organismes de recherche (y compris des établissements d'enseignement supérieur) et des entreprises, afin de soutenir le transfert de connaissances et de technologies. La réforme définit le processus de création de ces entités ainsi que leur modèle de gouvernance et de financement. </w:t>
      </w:r>
    </w:p>
    <w:p w14:paraId="2A8CD91F"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Le groupe de travail sur les infrastructures technologiques habilitantes mis en place par le gouvernement est chargé de préparer la proposition législative. </w:t>
      </w:r>
    </w:p>
    <w:p w14:paraId="787253CC"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Les investissements à mettre en œuvre dans le cadre de cette réforme sont les suivants: RE-C05-i01.01 et RE-C05-i01.02. </w:t>
      </w:r>
    </w:p>
    <w:p w14:paraId="5505BBA2" w14:textId="6E1A33F4" w:rsidR="006C686E" w:rsidRDefault="00B17E8C">
      <w:pPr>
        <w:pStyle w:val="P68B1DB1-Normal22"/>
        <w:keepNext/>
        <w:spacing w:before="40" w:after="0" w:line="259" w:lineRule="auto"/>
        <w:jc w:val="both"/>
        <w:rPr>
          <w:rFonts w:eastAsiaTheme="minorEastAsia"/>
          <w:noProof/>
        </w:rPr>
      </w:pPr>
      <w:r>
        <w:rPr>
          <w:noProof/>
        </w:rPr>
        <w:t xml:space="preserve">La mise en œuvre de la réforme est achevée au plus tard le 31 décembre 2021. </w:t>
      </w:r>
    </w:p>
    <w:p w14:paraId="57FC1FE0"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Réforme RE-r12: Programme de recherche et d'innovation pour une agriculture, une alimentation et une agro-industrie durables.</w:t>
      </w:r>
    </w:p>
    <w:p w14:paraId="7E5FAF09"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L’objectif de la réforme est de renforcer le secteur agricole au Portugal et d’assurer la sécurité alimentaire et nutritionnelle, de contribuer à la santé et au bien-être, d’améliorer la gestion des zones rurales, de favoriser la conservation de la biodiversité, de lutter contre les effets du changement climatique, avec les adaptations et les contributions nécessaires pour en atténuer les effets et de stimuler d’autres activités économiques, telles que, entre autres, les services agricoles et même la restauration et le tourisme. </w:t>
      </w:r>
    </w:p>
    <w:p w14:paraId="37CAE43B" w14:textId="77777777" w:rsidR="006C686E" w:rsidRDefault="00B17E8C">
      <w:pPr>
        <w:pStyle w:val="P68B1DB1-Normal22"/>
        <w:keepNext/>
        <w:spacing w:before="40" w:after="0" w:line="259" w:lineRule="auto"/>
        <w:jc w:val="both"/>
        <w:rPr>
          <w:rFonts w:eastAsiaTheme="minorEastAsia" w:cs="Times New Roman"/>
          <w:noProof/>
        </w:rPr>
      </w:pPr>
      <w:r>
        <w:rPr>
          <w:noProof/>
        </w:rPr>
        <w:t>La réforme soutient la mise en œuvre du programme d’innovation pour l’agriculture 20|30. Il consiste à fournir les moyens nécessaires à la mise à jour et à la préparation des infrastructures existantes ainsi qu’à promouvoir des alliances fonctionnelles tout au long de la chaîne agroalimentaire, des entreprises et de la recherche, afin de promouvoir le développement et l’intégration de la R&amp;I ciblée sur les besoins du secteur agricole en vue de la transition écologique et numérique.</w:t>
      </w:r>
    </w:p>
    <w:p w14:paraId="7DA27DED" w14:textId="2AB9D9FB" w:rsidR="006C686E" w:rsidRDefault="00B17E8C">
      <w:pPr>
        <w:pStyle w:val="P68B1DB1-Normal22"/>
        <w:keepNext/>
        <w:spacing w:before="40" w:after="0" w:line="259" w:lineRule="auto"/>
        <w:jc w:val="both"/>
        <w:rPr>
          <w:rFonts w:eastAsiaTheme="minorEastAsia" w:cs="Times New Roman"/>
          <w:noProof/>
        </w:rPr>
      </w:pPr>
      <w:r>
        <w:rPr>
          <w:noProof/>
        </w:rPr>
        <w:t xml:space="preserve">La mise en œuvre de la réforme devait être achevée au plus tard le 31 décembre 2020. </w:t>
      </w:r>
    </w:p>
    <w:p w14:paraId="5DC5ECC6"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RE-C05-i01.01: Mobilisation et agendas verts/alliances pour l'innovation des entreprises.</w:t>
      </w:r>
    </w:p>
    <w:p w14:paraId="0D19558E" w14:textId="4EEDFB4C" w:rsidR="006C686E" w:rsidRDefault="00B17E8C">
      <w:pPr>
        <w:pStyle w:val="P68B1DB1-Normal22"/>
        <w:keepNext/>
        <w:spacing w:before="40" w:after="0" w:line="259" w:lineRule="auto"/>
        <w:jc w:val="both"/>
        <w:rPr>
          <w:rFonts w:eastAsiaTheme="minorEastAsia" w:cs="Times New Roman"/>
          <w:noProof/>
        </w:rPr>
      </w:pPr>
      <w:r>
        <w:rPr>
          <w:noProof/>
        </w:rPr>
        <w:t>L’objectif de cet investissement est de soutenir les capacités scientifiques et technologiques du Portugal au moyen d’ambitieux «agendas» de recherche et d’innovation fondés sur des consortiums entre entreprises et universités.</w:t>
      </w:r>
    </w:p>
    <w:p w14:paraId="1FF3D219" w14:textId="77777777" w:rsidR="006C686E" w:rsidRDefault="00B17E8C">
      <w:pPr>
        <w:pStyle w:val="P68B1DB1-Normal22"/>
        <w:keepNext/>
        <w:spacing w:before="40" w:after="0" w:line="259" w:lineRule="auto"/>
        <w:jc w:val="both"/>
        <w:rPr>
          <w:rFonts w:eastAsiaTheme="minorEastAsia" w:cs="Times New Roman"/>
          <w:noProof/>
        </w:rPr>
      </w:pPr>
      <w:r>
        <w:rPr>
          <w:noProof/>
        </w:rPr>
        <w:t>L’investissement consiste en des projets dans le cadre des programmes de mobilisation/alliances pour l’innovation des entreprises.</w:t>
      </w:r>
    </w:p>
    <w:p w14:paraId="67CFD4AF"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RE-C05-i01.02: Agendas verts/Alliances pour l’innovation des entreprises – Conclusion des contrats</w:t>
      </w:r>
    </w:p>
    <w:p w14:paraId="2B1F21FB"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L’objectif de cet investissement est toutefois de mettre en œuvre les mêmes instruments que dans le document RE-C05-i01.01, spécialisés dans un ensemble limité de programmes écologiques par l’intermédiaire de consortiums entre des entreprises et des institutions universitaires, scientifiques et/ou technologiques afin de soutenir l’innovation (en mettant l’accent sur la transition écologique, domaine 022 de l’annexe du règlement établissant la facilité pour la reprise et la résilience). </w:t>
      </w:r>
    </w:p>
    <w:p w14:paraId="64675CF1" w14:textId="77777777" w:rsidR="006C686E" w:rsidRDefault="00B17E8C">
      <w:pPr>
        <w:pStyle w:val="P68B1DB1-Normal22"/>
        <w:keepNext/>
        <w:spacing w:before="40" w:after="0" w:line="259" w:lineRule="auto"/>
        <w:jc w:val="both"/>
        <w:rPr>
          <w:rFonts w:eastAsiaTheme="minorEastAsia" w:cs="Times New Roman"/>
          <w:noProof/>
          <w:highlight w:val="green"/>
        </w:rPr>
      </w:pPr>
      <w:r>
        <w:rPr>
          <w:noProof/>
        </w:rPr>
        <w:t>Afin de garantir que la mesure est conforme aux orientations techniques «Ne pas causer de préjudice important» (2021/C58/01), les critères d’éligibilité contenus dans les termes de référence pour les prochains appels à projets excluent la liste d’activités suivante: i) les activités liées aux combustibles fossiles, y compris leur utilisation en aval;</w:t>
      </w:r>
      <w:r>
        <w:rPr>
          <w:noProof/>
        </w:rPr>
        <w:footnoteReference w:id="5"/>
      </w:r>
      <w:r>
        <w:rPr>
          <w:noProof/>
        </w:rPr>
        <w:t xml:space="preserve"> ii) les activités menées dans le cadre du système d'échange de quotas d'émission de l'UE (SEQE) pour atteindre des émissions de gaz à effet de serre prévues qui ne sont pas inférieures aux référentiels pertinents;</w:t>
      </w:r>
      <w:r>
        <w:rPr>
          <w:noProof/>
        </w:rPr>
        <w:footnoteReference w:id="6"/>
      </w:r>
      <w:r>
        <w:rPr>
          <w:noProof/>
        </w:rPr>
        <w:t xml:space="preserve"> iii) les activités liées aux décharges de déchets, aux incinérateurs</w:t>
      </w:r>
      <w:r>
        <w:rPr>
          <w:noProof/>
        </w:rPr>
        <w:footnoteReference w:id="7"/>
      </w:r>
      <w:r>
        <w:rPr>
          <w:noProof/>
        </w:rPr>
        <w:t xml:space="preserve"> et aux usines de traitement biologique mécanique;</w:t>
      </w:r>
      <w:r>
        <w:rPr>
          <w:noProof/>
        </w:rPr>
        <w:footnoteReference w:id="8"/>
      </w:r>
      <w:r>
        <w:rPr>
          <w:noProof/>
        </w:rPr>
        <w:t xml:space="preserve"> et iv) les activités dans lesquelles l'élimination à long terme des déchets peut nuire à l'environnement. Le mandat exige en outre que seules les activités conformes à la législation environnementale pertinente de l’Union et des États membres puissent être sélectionnées.</w:t>
      </w:r>
    </w:p>
    <w:p w14:paraId="6C6583AE" w14:textId="1D310D46" w:rsidR="006C686E" w:rsidRDefault="00B17E8C">
      <w:pPr>
        <w:pStyle w:val="P68B1DB1-Normal22"/>
        <w:keepNext/>
        <w:spacing w:before="40" w:after="0" w:line="259" w:lineRule="auto"/>
        <w:jc w:val="both"/>
        <w:rPr>
          <w:rFonts w:eastAsiaTheme="minorEastAsia"/>
          <w:noProof/>
        </w:rPr>
      </w:pPr>
      <w:r>
        <w:rPr>
          <w:noProof/>
        </w:rPr>
        <w:t xml:space="preserve">La mise en œuvre de l’investissement est achevée au plus tard le 31 décembre 2022. </w:t>
      </w:r>
    </w:p>
    <w:p w14:paraId="0D79AD44"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RE-C05-i02: Mission d’interface — renouvellement du réseau de soutien scientifique et technologique et orientations pour le tissu productif</w:t>
      </w:r>
    </w:p>
    <w:p w14:paraId="0FF8B158" w14:textId="77777777" w:rsidR="006C686E" w:rsidRDefault="00B17E8C">
      <w:pPr>
        <w:pStyle w:val="P68B1DB1-Normal22"/>
        <w:keepNext/>
        <w:spacing w:before="40" w:after="0" w:line="259" w:lineRule="auto"/>
        <w:jc w:val="both"/>
        <w:rPr>
          <w:noProof/>
        </w:rPr>
      </w:pPr>
      <w:r>
        <w:rPr>
          <w:noProof/>
        </w:rPr>
        <w:t xml:space="preserve">L'objectif de l'investissement est de soutenir et d'autonomiser le système scientifique et technologique national et d'accroître les liens entre les entreprises et les universités afin d'assurer un transfert de technologie efficace et la traduction des résultats de la recherche en innovation. </w:t>
      </w:r>
    </w:p>
    <w:p w14:paraId="52B833D1" w14:textId="77777777" w:rsidR="006C686E" w:rsidRDefault="00B17E8C">
      <w:pPr>
        <w:pStyle w:val="P68B1DB1-Normal22"/>
        <w:keepNext/>
        <w:spacing w:before="40" w:after="0" w:line="259" w:lineRule="auto"/>
        <w:jc w:val="both"/>
        <w:rPr>
          <w:noProof/>
        </w:rPr>
      </w:pPr>
      <w:r>
        <w:rPr>
          <w:noProof/>
        </w:rPr>
        <w:t>L'investissement consiste à financer des services techniques ou de transfert de technologie fournis par des entités d'interface, y compris des laboratoires collaboratifs (CoLAB).</w:t>
      </w:r>
    </w:p>
    <w:p w14:paraId="7FA8B143"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RE-C05-i03: Programme de recherche et d’innovation pour une agriculture, une alimentation et une agro-industrie durables [Programme d’innovation pour l’agriculture à l’horizon 2030].</w:t>
      </w:r>
    </w:p>
    <w:p w14:paraId="05A55D77" w14:textId="77777777" w:rsidR="006C686E" w:rsidRDefault="00B17E8C">
      <w:pPr>
        <w:pStyle w:val="P68B1DB1-Normal22"/>
        <w:keepNext/>
        <w:spacing w:before="40" w:after="0" w:line="259" w:lineRule="auto"/>
        <w:jc w:val="both"/>
        <w:rPr>
          <w:noProof/>
        </w:rPr>
      </w:pPr>
      <w:r>
        <w:rPr>
          <w:noProof/>
        </w:rPr>
        <w:t>L'objectif de cet investissement est de stimuler la recherche et l'innovation pour parvenir à une agriculture plus durable.</w:t>
      </w:r>
    </w:p>
    <w:p w14:paraId="33FF571A" w14:textId="77777777" w:rsidR="006C686E" w:rsidRDefault="00B17E8C">
      <w:pPr>
        <w:pStyle w:val="P68B1DB1-Normal22"/>
        <w:keepNext/>
        <w:spacing w:before="40" w:after="0" w:line="259" w:lineRule="auto"/>
        <w:jc w:val="both"/>
        <w:rPr>
          <w:noProof/>
        </w:rPr>
      </w:pPr>
      <w:r>
        <w:rPr>
          <w:noProof/>
        </w:rPr>
        <w:t>L’investissement consiste à soutenir le programme d’innovation pour l’agriculture 20|30».</w:t>
      </w:r>
    </w:p>
    <w:p w14:paraId="65BD551D"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Investissement RE-C05-i04-RAA: Recapitalisation du système commercial des Açores</w:t>
      </w:r>
    </w:p>
    <w:p w14:paraId="2B771D1E" w14:textId="77777777" w:rsidR="006C686E" w:rsidRDefault="00B17E8C">
      <w:pPr>
        <w:pStyle w:val="P68B1DB1-Normal22"/>
        <w:spacing w:before="40" w:after="0" w:line="259" w:lineRule="auto"/>
        <w:jc w:val="both"/>
        <w:rPr>
          <w:rFonts w:eastAsiaTheme="minorEastAsia" w:cs="Times New Roman"/>
          <w:noProof/>
        </w:rPr>
      </w:pPr>
      <w:r>
        <w:rPr>
          <w:noProof/>
        </w:rPr>
        <w:t>L’objectif de la mesure est de remédier au problème structurel de sous-capitalisation des entreprises de la région autonome des Açores.</w:t>
      </w:r>
    </w:p>
    <w:p w14:paraId="13A4CABD" w14:textId="7AE3743E" w:rsidR="006C686E" w:rsidRDefault="00B17E8C">
      <w:pPr>
        <w:pStyle w:val="P68B1DB1-Normal22"/>
        <w:spacing w:before="40" w:after="0" w:line="259" w:lineRule="auto"/>
        <w:jc w:val="both"/>
        <w:rPr>
          <w:noProof/>
        </w:rPr>
      </w:pPr>
      <w:r>
        <w:rPr>
          <w:noProof/>
        </w:rPr>
        <w:t xml:space="preserve">Cet investissement consiste en un véhicule spécial investissant 30 000 000 EUR dans des entreprises açoriennes, principalement sous la forme de fonds propres et de quasi-fonds propres. </w:t>
      </w:r>
    </w:p>
    <w:p w14:paraId="34026909"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Investissement RE-C05-i15-RAA: Fonds de capital-investissement pour la recapitalisation du système d'entreprise des Açores</w:t>
      </w:r>
    </w:p>
    <w:p w14:paraId="5B8456D5" w14:textId="77777777" w:rsidR="006C686E" w:rsidRDefault="00B17E8C">
      <w:pPr>
        <w:pStyle w:val="P68B1DB1-Normal22"/>
        <w:spacing w:before="40" w:line="259" w:lineRule="auto"/>
        <w:jc w:val="both"/>
        <w:rPr>
          <w:noProof/>
        </w:rPr>
      </w:pPr>
      <w:r>
        <w:rPr>
          <w:noProof/>
        </w:rPr>
        <w:t>L’objectif de la mesure est de remédier au problème structurel de sous-capitalisation des entreprises de la région autonome des Açores.</w:t>
      </w:r>
    </w:p>
    <w:p w14:paraId="7F041E0A" w14:textId="77777777" w:rsidR="006C686E" w:rsidRDefault="00B17E8C">
      <w:pPr>
        <w:pStyle w:val="P68B1DB1-Normal22"/>
        <w:spacing w:line="240" w:lineRule="auto"/>
        <w:jc w:val="both"/>
        <w:rPr>
          <w:rFonts w:eastAsia="@MS Mincho" w:cs="Times New Roman"/>
          <w:noProof/>
        </w:rPr>
      </w:pPr>
      <w:r>
        <w:rPr>
          <w:noProof/>
        </w:rPr>
        <w:t xml:space="preserve">Cette mesure consiste en un investissement public dans une facilité visant à encourager l’investissement privé et à améliorer l’accès au financement dans la région autonome des Açores, afin de développer les marchés des capitaux dans cette région. La facilité fonctionne en fournissant des fonds propres directement ou par l’intermédiaire d’intermédiaires financiers au secteur privé, ainsi qu’aux entités du secteur public exerçant des activités similaires. </w:t>
      </w:r>
    </w:p>
    <w:p w14:paraId="5C015EB7" w14:textId="77777777" w:rsidR="006C686E" w:rsidRDefault="00B17E8C">
      <w:pPr>
        <w:pStyle w:val="P68B1DB1-Normal22"/>
        <w:spacing w:line="240" w:lineRule="auto"/>
        <w:jc w:val="both"/>
        <w:rPr>
          <w:rFonts w:eastAsia="Aptos" w:cs="Times New Roman"/>
          <w:noProof/>
        </w:rPr>
      </w:pPr>
      <w:r>
        <w:rPr>
          <w:noProof/>
        </w:rPr>
        <w:t xml:space="preserve">La facilité est gérée par </w:t>
      </w:r>
      <w:r>
        <w:rPr>
          <w:i/>
          <w:noProof/>
        </w:rPr>
        <w:t>Banco Português de Fomento</w:t>
      </w:r>
      <w:r>
        <w:rPr>
          <w:noProof/>
        </w:rPr>
        <w:t xml:space="preserve"> en tant que partenaire chargé de la mise en œuvre. La facilité comprend la gamme de produits suivante:</w:t>
      </w:r>
    </w:p>
    <w:p w14:paraId="3B9B80B3" w14:textId="77777777" w:rsidR="006C686E" w:rsidRDefault="00B17E8C">
      <w:pPr>
        <w:pStyle w:val="P68B1DB1-Normal22"/>
        <w:numPr>
          <w:ilvl w:val="0"/>
          <w:numId w:val="23"/>
        </w:numPr>
        <w:spacing w:line="240" w:lineRule="auto"/>
        <w:contextualSpacing/>
        <w:jc w:val="both"/>
        <w:rPr>
          <w:rFonts w:eastAsia="Aptos" w:cs="Times New Roman"/>
          <w:noProof/>
        </w:rPr>
      </w:pPr>
      <w:r>
        <w:rPr>
          <w:noProof/>
        </w:rPr>
        <w:t>Investissements en actions dans des entreprises viables des Açores. L'investissement complète les investissements nationaux visant à la capitalisation des entreprises avec une enveloppe régionale et avec des instruments dédiés qui répondent aux spécificités de la structure d'entreprise de la Région autonome.</w:t>
      </w:r>
    </w:p>
    <w:p w14:paraId="57A53448" w14:textId="77777777" w:rsidR="006C686E" w:rsidRDefault="006C686E">
      <w:pPr>
        <w:spacing w:line="240" w:lineRule="auto"/>
        <w:contextualSpacing/>
        <w:jc w:val="both"/>
        <w:rPr>
          <w:rFonts w:ascii="Times New Roman" w:eastAsia="Aptos" w:hAnsi="Times New Roman" w:cs="Times New Roman"/>
          <w:noProof/>
        </w:rPr>
      </w:pPr>
    </w:p>
    <w:p w14:paraId="77D3A584" w14:textId="77777777" w:rsidR="006C686E" w:rsidRDefault="00B17E8C">
      <w:pPr>
        <w:pStyle w:val="P68B1DB1-Normal22"/>
        <w:spacing w:line="240" w:lineRule="auto"/>
        <w:jc w:val="both"/>
        <w:rPr>
          <w:rFonts w:cs="Times New Roman"/>
          <w:noProof/>
        </w:rPr>
      </w:pPr>
      <w:r>
        <w:rPr>
          <w:noProof/>
        </w:rPr>
        <w:t xml:space="preserve">Afin de mettre en œuvre l’investissement dans la facilité, le Portugal et </w:t>
      </w:r>
      <w:r>
        <w:rPr>
          <w:i/>
          <w:noProof/>
        </w:rPr>
        <w:t>Banco Português de Fomento</w:t>
      </w:r>
      <w:r>
        <w:rPr>
          <w:noProof/>
        </w:rPr>
        <w:t xml:space="preserve"> signent un accord de mise en œuvre qui comprend les éléments suivants:</w:t>
      </w:r>
    </w:p>
    <w:p w14:paraId="0D81A05C" w14:textId="77777777" w:rsidR="006C686E" w:rsidRDefault="00B17E8C">
      <w:pPr>
        <w:pStyle w:val="P68B1DB1-ListParagraph33"/>
        <w:keepNext/>
        <w:numPr>
          <w:ilvl w:val="0"/>
          <w:numId w:val="24"/>
        </w:numPr>
        <w:spacing w:line="259" w:lineRule="auto"/>
        <w:jc w:val="both"/>
        <w:rPr>
          <w:rFonts w:eastAsia="Times New Roman"/>
          <w:noProof/>
        </w:rPr>
      </w:pPr>
      <w:r>
        <w:rPr>
          <w:noProof/>
        </w:rPr>
        <w:t xml:space="preserve">Description du processus décisionnel de la facilité: La décision finale d’investissement de la facilité est prise par un comité d’investissement ou un autre organe directeur équivalent compétent et approuvée à la majorité des voix des membres indépendants du gouvernement. </w:t>
      </w:r>
      <w:r>
        <w:rPr>
          <w:noProof/>
        </w:rPr>
        <w:br/>
      </w:r>
    </w:p>
    <w:p w14:paraId="40F19003" w14:textId="77777777" w:rsidR="006C686E" w:rsidRDefault="00B17E8C">
      <w:pPr>
        <w:pStyle w:val="P68B1DB1-ListParagraph33"/>
        <w:keepNext/>
        <w:numPr>
          <w:ilvl w:val="0"/>
          <w:numId w:val="24"/>
        </w:numPr>
        <w:spacing w:line="259" w:lineRule="auto"/>
        <w:jc w:val="both"/>
        <w:rPr>
          <w:rFonts w:eastAsia="Times New Roman"/>
          <w:noProof/>
        </w:rPr>
      </w:pPr>
      <w:r>
        <w:rPr>
          <w:noProof/>
        </w:rPr>
        <w:t>Les principales exigences de la politique d'investissement associée,</w:t>
      </w:r>
      <w:r>
        <w:rPr>
          <w:b/>
          <w:noProof/>
        </w:rPr>
        <w:t xml:space="preserve"> </w:t>
      </w:r>
      <w:r>
        <w:rPr>
          <w:noProof/>
        </w:rPr>
        <w:t>qui comprennent:</w:t>
      </w:r>
    </w:p>
    <w:p w14:paraId="0E2E8B79" w14:textId="77777777" w:rsidR="006C686E" w:rsidRDefault="00B17E8C">
      <w:pPr>
        <w:pStyle w:val="P68B1DB1-ListParagraph33"/>
        <w:keepNext/>
        <w:numPr>
          <w:ilvl w:val="0"/>
          <w:numId w:val="25"/>
        </w:numPr>
        <w:spacing w:line="259" w:lineRule="auto"/>
        <w:jc w:val="both"/>
        <w:rPr>
          <w:rFonts w:eastAsia="Aptos"/>
          <w:noProof/>
        </w:rPr>
      </w:pPr>
      <w:r>
        <w:rPr>
          <w:noProof/>
        </w:rPr>
        <w:t xml:space="preserve">Description du produit financier et des bénéficiaires finaux éligibles. </w:t>
      </w:r>
    </w:p>
    <w:p w14:paraId="2AA96644" w14:textId="77777777" w:rsidR="006C686E" w:rsidRDefault="00B17E8C">
      <w:pPr>
        <w:pStyle w:val="P68B1DB1-ListParagraph33"/>
        <w:keepNext/>
        <w:numPr>
          <w:ilvl w:val="0"/>
          <w:numId w:val="25"/>
        </w:numPr>
        <w:spacing w:line="259" w:lineRule="auto"/>
        <w:jc w:val="both"/>
        <w:rPr>
          <w:rFonts w:eastAsia="Aptos"/>
          <w:noProof/>
        </w:rPr>
      </w:pPr>
      <w:r>
        <w:rPr>
          <w:noProof/>
        </w:rPr>
        <w:t>L’exigence selon laquelle tous les investissements soutenus sont économiquement viables</w:t>
      </w:r>
      <w:r>
        <w:rPr>
          <w:b/>
          <w:noProof/>
        </w:rPr>
        <w:t>.</w:t>
      </w:r>
    </w:p>
    <w:p w14:paraId="3FC51938" w14:textId="1ACE6316" w:rsidR="006C686E" w:rsidRDefault="00B17E8C">
      <w:pPr>
        <w:pStyle w:val="P68B1DB1-ListParagraph33"/>
        <w:keepNext/>
        <w:numPr>
          <w:ilvl w:val="0"/>
          <w:numId w:val="25"/>
        </w:numPr>
        <w:spacing w:line="259" w:lineRule="auto"/>
        <w:jc w:val="both"/>
        <w:rPr>
          <w:rFonts w:eastAsia="Aptos"/>
          <w:noProof/>
        </w:rPr>
      </w:pPr>
      <w:r>
        <w:rPr>
          <w:noProof/>
        </w:rPr>
        <w:t>L’obligation de respecter le principe consistant à «ne pas causer de préjudice important» (DNSH) tel qu’énoncé dans les orientations techniques DNSH (2021/C58/01). En particulier, dans le cas d'un soutien général aux entreprises, la politique d'investissement exclut les entreprises qui se concentrent essentiellement</w:t>
      </w:r>
      <w:r>
        <w:rPr>
          <w:noProof/>
        </w:rPr>
        <w:footnoteReference w:id="9"/>
      </w:r>
      <w:r>
        <w:rPr>
          <w:noProof/>
        </w:rPr>
        <w:t xml:space="preserve"> sur les secteurs suivants: i) la production d’énergie à partir de combustibles fossiles et les activités connexes;</w:t>
      </w:r>
      <w:r>
        <w:rPr>
          <w:noProof/>
        </w:rPr>
        <w:footnoteReference w:id="10"/>
      </w:r>
      <w:r>
        <w:rPr>
          <w:noProof/>
        </w:rPr>
        <w:t xml:space="preserve"> ii) les industries à forte intensité énergétique et/ou à forte émission de CO2;</w:t>
      </w:r>
      <w:r>
        <w:rPr>
          <w:noProof/>
        </w:rPr>
        <w:footnoteReference w:id="11"/>
      </w:r>
      <w:r>
        <w:rPr>
          <w:noProof/>
        </w:rPr>
        <w:t xml:space="preserve"> iii) la production, la location ou la vente de véhicules polluants;</w:t>
      </w:r>
      <w:r>
        <w:rPr>
          <w:noProof/>
        </w:rPr>
        <w:footnoteReference w:id="12"/>
      </w:r>
      <w:r>
        <w:rPr>
          <w:noProof/>
        </w:rPr>
        <w:t xml:space="preserve"> iv) la collecte, le traitement et</w:t>
      </w:r>
      <w:r>
        <w:rPr>
          <w:noProof/>
        </w:rPr>
        <w:footnoteReference w:id="13"/>
      </w:r>
      <w:r>
        <w:rPr>
          <w:noProof/>
        </w:rPr>
        <w:t xml:space="preserve"> l’élimination des déchets, v) le traitement du combustible nucléaire et la production d’énergie nucléaire. En outre, la politique d’investissement exige le</w:t>
      </w:r>
      <w:r>
        <w:rPr>
          <w:b/>
          <w:noProof/>
        </w:rPr>
        <w:t xml:space="preserve"> </w:t>
      </w:r>
      <w:r>
        <w:rPr>
          <w:noProof/>
        </w:rPr>
        <w:t>respect de la législation environnementale pertinente de l’UE et des États membres par les bénéficiaires finaux de la facilité.</w:t>
      </w:r>
    </w:p>
    <w:p w14:paraId="07653D02" w14:textId="77777777" w:rsidR="006C686E" w:rsidRDefault="00B17E8C">
      <w:pPr>
        <w:pStyle w:val="P68B1DB1-ListParagraph33"/>
        <w:keepNext/>
        <w:numPr>
          <w:ilvl w:val="0"/>
          <w:numId w:val="25"/>
        </w:numPr>
        <w:spacing w:line="259" w:lineRule="auto"/>
        <w:jc w:val="both"/>
        <w:rPr>
          <w:rFonts w:eastAsia="Aptos"/>
          <w:noProof/>
        </w:rPr>
      </w:pPr>
      <w:r>
        <w:rPr>
          <w:noProof/>
        </w:rPr>
        <w:t xml:space="preserve">L’exigence selon laquelle les bénéficiaires finaux de la facilité ne reçoivent pas de soutien d’autres instruments de l’Union pour couvrir le même coût. </w:t>
      </w:r>
    </w:p>
    <w:p w14:paraId="51E22A07" w14:textId="77777777" w:rsidR="006C686E" w:rsidRDefault="006C686E">
      <w:pPr>
        <w:pStyle w:val="ListParagraph"/>
        <w:keepNext/>
        <w:spacing w:line="259" w:lineRule="auto"/>
        <w:ind w:left="1196"/>
        <w:jc w:val="both"/>
        <w:rPr>
          <w:rFonts w:ascii="Times New Roman" w:eastAsia="Aptos" w:hAnsi="Times New Roman" w:cs="Times New Roman"/>
          <w:bCs/>
          <w:noProof/>
        </w:rPr>
      </w:pPr>
    </w:p>
    <w:p w14:paraId="6C732023" w14:textId="77777777" w:rsidR="006C686E" w:rsidRDefault="00B17E8C">
      <w:pPr>
        <w:pStyle w:val="P68B1DB1-ListParagraph33"/>
        <w:keepNext/>
        <w:numPr>
          <w:ilvl w:val="0"/>
          <w:numId w:val="24"/>
        </w:numPr>
        <w:spacing w:line="259" w:lineRule="auto"/>
        <w:jc w:val="both"/>
        <w:rPr>
          <w:rFonts w:eastAsia="Aptos"/>
          <w:noProof/>
        </w:rPr>
      </w:pPr>
      <w:r>
        <w:rPr>
          <w:noProof/>
        </w:rPr>
        <w:t xml:space="preserve">Le montant couvert par l’accord de mise en œuvre, la structure des frais pour le partenaire chargé de la mise en œuvre et l’obligation de réinvestir tout remboursement conformément à la politique d’investissement de la facilité. </w:t>
      </w:r>
      <w:r>
        <w:rPr>
          <w:noProof/>
        </w:rPr>
        <w:br/>
      </w:r>
    </w:p>
    <w:p w14:paraId="17A4D781" w14:textId="77777777" w:rsidR="006C686E" w:rsidRDefault="00B17E8C">
      <w:pPr>
        <w:pStyle w:val="P68B1DB1-Normal34"/>
        <w:spacing w:line="259" w:lineRule="auto"/>
        <w:rPr>
          <w:rFonts w:eastAsia="Aptos"/>
          <w:noProof/>
        </w:rPr>
      </w:pPr>
      <w:r>
        <w:rPr>
          <w:noProof/>
        </w:rPr>
        <w:t>Exigences en matière de surveillance, d'audit et de contrôle, y compris:</w:t>
      </w:r>
    </w:p>
    <w:p w14:paraId="29EC1BD9" w14:textId="77777777" w:rsidR="006C686E" w:rsidRDefault="00B17E8C">
      <w:pPr>
        <w:pStyle w:val="P68B1DB1-Normal22"/>
        <w:numPr>
          <w:ilvl w:val="1"/>
          <w:numId w:val="26"/>
        </w:numPr>
        <w:spacing w:line="240" w:lineRule="auto"/>
        <w:jc w:val="both"/>
        <w:rPr>
          <w:rFonts w:eastAsia="Aptos" w:cs="Times New Roman"/>
          <w:noProof/>
        </w:rPr>
      </w:pPr>
      <w:bookmarkStart w:id="10" w:name="_Hlk139218377"/>
      <w:r>
        <w:rPr>
          <w:noProof/>
        </w:rPr>
        <w:t>Description du système de suivi du partenaire chargé de la mise en œuvre pour rendre compte des investissements mobilisés.</w:t>
      </w:r>
    </w:p>
    <w:p w14:paraId="61F51F35" w14:textId="77777777" w:rsidR="006C686E" w:rsidRDefault="00B17E8C">
      <w:pPr>
        <w:pStyle w:val="P68B1DB1-Normal22"/>
        <w:numPr>
          <w:ilvl w:val="1"/>
          <w:numId w:val="26"/>
        </w:numPr>
        <w:spacing w:line="259" w:lineRule="auto"/>
        <w:jc w:val="both"/>
        <w:rPr>
          <w:rFonts w:eastAsia="Aptos" w:cs="Times New Roman"/>
          <w:noProof/>
        </w:rPr>
      </w:pPr>
      <w:r>
        <w:rPr>
          <w:noProof/>
        </w:rPr>
        <w:t xml:space="preserve">Description des procédures du partenaire chargé de la mise en œuvre qui garantiront la prévention, la détection et la correction de la fraude, de la corruption et des conflits d’intérêts. </w:t>
      </w:r>
    </w:p>
    <w:p w14:paraId="13BB2A1E" w14:textId="77777777" w:rsidR="006C686E" w:rsidRDefault="00B17E8C">
      <w:pPr>
        <w:pStyle w:val="P68B1DB1-Normal22"/>
        <w:numPr>
          <w:ilvl w:val="1"/>
          <w:numId w:val="26"/>
        </w:numPr>
        <w:spacing w:line="259" w:lineRule="auto"/>
        <w:jc w:val="both"/>
        <w:rPr>
          <w:rFonts w:eastAsia="Aptos" w:cs="Times New Roman"/>
          <w:noProof/>
        </w:rPr>
      </w:pPr>
      <w:r>
        <w:rPr>
          <w:noProof/>
        </w:rPr>
        <w:t>L’obligation de vérifier l’éligibilité de chaque opération conformément aux exigences énoncées dans l’accord de mise en œuvre avant de s’engager à financer une opération.</w:t>
      </w:r>
    </w:p>
    <w:bookmarkEnd w:id="10"/>
    <w:p w14:paraId="0E4B9007" w14:textId="77777777" w:rsidR="006C686E" w:rsidRDefault="00B17E8C">
      <w:pPr>
        <w:pStyle w:val="P68B1DB1-Normal22"/>
        <w:numPr>
          <w:ilvl w:val="1"/>
          <w:numId w:val="26"/>
        </w:numPr>
        <w:spacing w:line="240" w:lineRule="auto"/>
        <w:jc w:val="both"/>
        <w:rPr>
          <w:rFonts w:eastAsia="Aptos" w:cs="Times New Roman"/>
          <w:noProof/>
        </w:rPr>
      </w:pPr>
      <w:r>
        <w:rPr>
          <w:noProof/>
        </w:rPr>
        <w:t xml:space="preserve">L’obligation de réaliser des audits ex post fondés sur les risques conformément à un plan d’audit du </w:t>
      </w:r>
      <w:r>
        <w:rPr>
          <w:i/>
          <w:noProof/>
        </w:rPr>
        <w:t>Banco Português de Fomento.</w:t>
      </w:r>
      <w:r>
        <w:rPr>
          <w:noProof/>
        </w:rPr>
        <w:t xml:space="preserve"> Ces audits vérifient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et des accords de financement applicables. </w:t>
      </w:r>
    </w:p>
    <w:p w14:paraId="03E108D4"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RE-C05-i05-RAA: Relance économique de l'agriculture des Açores</w:t>
      </w:r>
    </w:p>
    <w:p w14:paraId="6B1C6DE7" w14:textId="77777777" w:rsidR="006C686E" w:rsidRDefault="00B17E8C">
      <w:pPr>
        <w:pStyle w:val="P68B1DB1-Normal22"/>
        <w:spacing w:before="40" w:after="0" w:line="259" w:lineRule="auto"/>
        <w:jc w:val="both"/>
        <w:rPr>
          <w:rFonts w:eastAsiaTheme="minorEastAsia" w:cs="Times New Roman"/>
          <w:noProof/>
        </w:rPr>
      </w:pPr>
      <w:r>
        <w:rPr>
          <w:noProof/>
        </w:rPr>
        <w:t xml:space="preserve">L'objectif de l'investissement est de stimuler l'agriculture aux Açores, en mettant l'accent sur la durabilité et la production locale. L’investissement consiste en i) des projets d’investissement dans des produits et des processus de production, ii) des investissements dans la double transition et iii) des investissements dans la restructuration du réseau régional d’abattage et la certification de la qualité du lait. </w:t>
      </w:r>
    </w:p>
    <w:p w14:paraId="3CB11C4C" w14:textId="77777777" w:rsidR="006C686E" w:rsidRDefault="00B17E8C">
      <w:pPr>
        <w:pStyle w:val="P68B1DB1-Normal21"/>
        <w:keepNext/>
        <w:spacing w:before="240" w:after="0" w:line="259" w:lineRule="auto"/>
        <w:ind w:left="851"/>
        <w:jc w:val="both"/>
        <w:outlineLvl w:val="3"/>
        <w:rPr>
          <w:rFonts w:eastAsiaTheme="minorEastAsia" w:cs="Times New Roman"/>
          <w:noProof/>
        </w:rPr>
      </w:pPr>
      <w:bookmarkStart w:id="11" w:name="_Hlk144129521"/>
      <w:r>
        <w:rPr>
          <w:noProof/>
        </w:rPr>
        <w:t xml:space="preserve">Investissement RE-C05-i07-RAM: Instruments de capitalisation pour les entreprises de Madère </w:t>
      </w:r>
    </w:p>
    <w:p w14:paraId="7197604E" w14:textId="77777777" w:rsidR="006C686E" w:rsidRDefault="00B17E8C">
      <w:pPr>
        <w:pStyle w:val="P68B1DB1-Normal22"/>
        <w:spacing w:before="40" w:after="0" w:line="259" w:lineRule="auto"/>
        <w:jc w:val="both"/>
        <w:rPr>
          <w:rFonts w:cs="Times New Roman"/>
          <w:noProof/>
        </w:rPr>
      </w:pPr>
      <w:r>
        <w:rPr>
          <w:noProof/>
        </w:rPr>
        <w:t xml:space="preserve">L’objectif de cette mesure est de soutenir les investissements dans la région autonome de Madère, dans le but de remédier aux problèmes structurels de liquidité des entreprises locales ainsi qu’à la compétitivité de l’économie régionale. </w:t>
      </w:r>
    </w:p>
    <w:p w14:paraId="5756823A" w14:textId="2A7A8472" w:rsidR="006C686E" w:rsidRDefault="00B17E8C">
      <w:pPr>
        <w:pStyle w:val="P68B1DB1-Normal22"/>
        <w:spacing w:before="40" w:after="0" w:line="259" w:lineRule="auto"/>
        <w:jc w:val="both"/>
        <w:rPr>
          <w:rFonts w:cs="Times New Roman"/>
          <w:noProof/>
        </w:rPr>
      </w:pPr>
      <w:r>
        <w:rPr>
          <w:noProof/>
        </w:rPr>
        <w:t xml:space="preserve">Cet investissement consiste à fournir des garanties de crédit aux entreprises, sur 13 000 000 EUR de prêts, en subventionnant également les charges d’intérêts sur les prêts (pour 100 % du taux sans risque (Euribor), plus au moins 60 % d’un écart de risque allant jusqu’à 3,4 %). </w:t>
      </w:r>
    </w:p>
    <w:bookmarkEnd w:id="11"/>
    <w:p w14:paraId="2CCEC882" w14:textId="77777777" w:rsidR="006C686E" w:rsidRDefault="00B17E8C">
      <w:pPr>
        <w:pStyle w:val="P68B1DB1-Normal21"/>
        <w:keepNext/>
        <w:spacing w:before="240" w:after="0" w:line="259" w:lineRule="auto"/>
        <w:ind w:left="851"/>
        <w:jc w:val="both"/>
        <w:outlineLvl w:val="3"/>
        <w:rPr>
          <w:noProof/>
        </w:rPr>
      </w:pPr>
      <w:r>
        <w:rPr>
          <w:noProof/>
        </w:rPr>
        <w:t>Investissement RE-C05-i08: Plus de science numérique</w:t>
      </w:r>
    </w:p>
    <w:p w14:paraId="13EEEA1D" w14:textId="77777777" w:rsidR="006C686E" w:rsidRDefault="00B17E8C">
      <w:pPr>
        <w:pStyle w:val="P68B1DB1-Normal22"/>
        <w:rPr>
          <w:rFonts w:cs="Times New Roman"/>
          <w:noProof/>
        </w:rPr>
      </w:pPr>
      <w:r>
        <w:rPr>
          <w:noProof/>
        </w:rPr>
        <w:t>L’objectif de cette mesure est d’accélérer le processus de transformation numérique et de numérisation de la science et des services soutenant le système scientifique et technologique national.</w:t>
      </w:r>
    </w:p>
    <w:p w14:paraId="4F980791" w14:textId="15632FAA" w:rsidR="006C686E" w:rsidRDefault="00B17E8C">
      <w:pPr>
        <w:pStyle w:val="P68B1DB1-Normal22"/>
        <w:spacing w:after="0"/>
        <w:jc w:val="both"/>
        <w:rPr>
          <w:noProof/>
        </w:rPr>
      </w:pPr>
      <w:r>
        <w:rPr>
          <w:noProof/>
        </w:rPr>
        <w:t>L’investissement consiste en i) la réhabilitation de bâtiments pour l’installation du «Campus Science XXI» et la disponibilité en ligne du «Science Desk»; ii) le centre de données/l’infrastructure de support pour deux supercalculateurs «Deucalion» et «Mare Nostrum 5», ainsi qu’un grand modèle linguistique (LLM) en langue portugaise du Portugal; iii) projets numériques de R&amp;D dans l’administration publique, ainsi que six fonctionnalités d’IA pour les processus de l’administration publique; et iv) sept services électroniques.</w:t>
      </w:r>
    </w:p>
    <w:p w14:paraId="166725E3" w14:textId="77777777" w:rsidR="006C686E" w:rsidRDefault="00B17E8C">
      <w:pPr>
        <w:pStyle w:val="P68B1DB1-Normal21"/>
        <w:keepNext/>
        <w:spacing w:before="240" w:after="0" w:line="259" w:lineRule="auto"/>
        <w:ind w:left="851"/>
        <w:jc w:val="both"/>
        <w:outlineLvl w:val="3"/>
        <w:rPr>
          <w:noProof/>
        </w:rPr>
      </w:pPr>
      <w:r>
        <w:rPr>
          <w:noProof/>
        </w:rPr>
        <w:t>Investissement RE-C05-i09–- Élargissement: Mobiliser les agendas/alliances pour l’innovation des entreprises – Conclusion des contrats</w:t>
      </w:r>
    </w:p>
    <w:p w14:paraId="0E2531A3" w14:textId="77777777" w:rsidR="006C686E" w:rsidRDefault="00B17E8C">
      <w:pPr>
        <w:pStyle w:val="P68B1DB1-Normal22"/>
        <w:jc w:val="both"/>
        <w:rPr>
          <w:rFonts w:cs="Times New Roman"/>
          <w:noProof/>
        </w:rPr>
      </w:pPr>
      <w:r>
        <w:rPr>
          <w:noProof/>
        </w:rPr>
        <w:t xml:space="preserve">L’objectif de cet investissement est d’accroître l’investissement RE-C05-i01.01, au titre du volet 5. La partie renforcée de la mesure augmente le nombre de produits, de processus ou de services achevés dans le cadre de la mobilisation des agendas/alliances pour l’innovation des entreprises. </w:t>
      </w:r>
    </w:p>
    <w:p w14:paraId="43EDE839" w14:textId="5EAAB419" w:rsidR="006C686E" w:rsidRDefault="00B17E8C">
      <w:pPr>
        <w:pStyle w:val="P68B1DB1-Normal22"/>
        <w:jc w:val="both"/>
        <w:rPr>
          <w:rFonts w:eastAsiaTheme="minorEastAsia" w:cs="Times New Roman"/>
          <w:noProof/>
        </w:rPr>
      </w:pPr>
      <w:r>
        <w:rPr>
          <w:noProof/>
        </w:rPr>
        <w:t>La mise en œuvre de l’investissement est achevée au plus tard le 30 juin 2023.</w:t>
      </w:r>
    </w:p>
    <w:p w14:paraId="18F29A6B" w14:textId="77777777" w:rsidR="006C686E" w:rsidRDefault="00B17E8C">
      <w:pPr>
        <w:pStyle w:val="P68B1DB1-Normal21"/>
        <w:keepNext/>
        <w:spacing w:before="240" w:after="0" w:line="259" w:lineRule="auto"/>
        <w:ind w:left="851"/>
        <w:jc w:val="both"/>
        <w:outlineLvl w:val="3"/>
        <w:rPr>
          <w:noProof/>
        </w:rPr>
      </w:pPr>
      <w:r>
        <w:rPr>
          <w:noProof/>
        </w:rPr>
        <w:t>Investissement RE-C05-i10–- Élargissement: Agendas verts/Alliances pour l’innovation des entreprises – Conclusion des contrats</w:t>
      </w:r>
    </w:p>
    <w:p w14:paraId="2E1AA7D4" w14:textId="77777777" w:rsidR="006C686E" w:rsidRDefault="00B17E8C">
      <w:pPr>
        <w:pStyle w:val="P68B1DB1-Normal22"/>
        <w:jc w:val="both"/>
        <w:rPr>
          <w:rFonts w:cs="Times New Roman"/>
          <w:noProof/>
        </w:rPr>
      </w:pPr>
      <w:r>
        <w:rPr>
          <w:noProof/>
        </w:rPr>
        <w:t>L’objectif de cet investissement est d’accroître l’investissement RE-C05-i01.02 au titre du volet 5. La partie renforcée de la mesure augmentera le nombre de produits, de processus ou de services issus de programmes écologiques supplémentaires.</w:t>
      </w:r>
    </w:p>
    <w:p w14:paraId="4FA54941" w14:textId="10985A0B" w:rsidR="006C686E" w:rsidRDefault="00B17E8C">
      <w:pPr>
        <w:pStyle w:val="P68B1DB1-Normal22"/>
        <w:jc w:val="both"/>
        <w:rPr>
          <w:rFonts w:eastAsiaTheme="minorEastAsia" w:cs="Times New Roman"/>
          <w:noProof/>
        </w:rPr>
      </w:pPr>
      <w:r>
        <w:rPr>
          <w:noProof/>
        </w:rPr>
        <w:t xml:space="preserve">La mise en œuvre de l’investissement est achevée au plus tard le 30 juin 2023. </w:t>
      </w:r>
    </w:p>
    <w:p w14:paraId="12F82945" w14:textId="77777777" w:rsidR="006C686E" w:rsidRDefault="00B17E8C">
      <w:pPr>
        <w:pStyle w:val="P68B1DB1-Normal21"/>
        <w:keepNext/>
        <w:spacing w:before="240" w:after="0" w:line="259" w:lineRule="auto"/>
        <w:ind w:left="851"/>
        <w:jc w:val="both"/>
        <w:outlineLvl w:val="3"/>
        <w:rPr>
          <w:noProof/>
        </w:rPr>
      </w:pPr>
      <w:r>
        <w:rPr>
          <w:noProof/>
        </w:rPr>
        <w:t>Investissement RE-C05-i13– Unités de recherche scientifique</w:t>
      </w:r>
    </w:p>
    <w:p w14:paraId="5553E9B2" w14:textId="77777777" w:rsidR="006C686E" w:rsidRDefault="00B17E8C">
      <w:pPr>
        <w:pStyle w:val="Text1"/>
        <w:rPr>
          <w:noProof/>
        </w:rPr>
      </w:pPr>
      <w:r>
        <w:rPr>
          <w:noProof/>
        </w:rPr>
        <w:t xml:space="preserve">L’objectif de cet investissement est la modernisation et la restructuration des unités de recherche scientifique, y compris leur transformation numérique. </w:t>
      </w:r>
    </w:p>
    <w:p w14:paraId="0F394342" w14:textId="77777777" w:rsidR="006C686E" w:rsidRDefault="00B17E8C">
      <w:pPr>
        <w:pStyle w:val="Text1"/>
        <w:spacing w:after="240"/>
        <w:rPr>
          <w:noProof/>
        </w:rPr>
      </w:pPr>
      <w:r>
        <w:rPr>
          <w:noProof/>
        </w:rPr>
        <w:t xml:space="preserve">L’investissement consiste en l’acquisition d’équipements, d’outils ou d’autres éléments, qui peuvent inclure, sans s’y limiter, des systèmes informatiques, pour des unités de recherche. </w:t>
      </w:r>
    </w:p>
    <w:p w14:paraId="22D5FC8A" w14:textId="77777777" w:rsidR="006C686E" w:rsidRDefault="00B17E8C">
      <w:pPr>
        <w:pStyle w:val="P68B1DB1-Normal21"/>
        <w:keepNext/>
        <w:spacing w:before="240" w:after="0" w:line="259" w:lineRule="auto"/>
        <w:ind w:left="851"/>
        <w:jc w:val="both"/>
        <w:outlineLvl w:val="3"/>
        <w:rPr>
          <w:noProof/>
        </w:rPr>
      </w:pPr>
      <w:r>
        <w:rPr>
          <w:noProof/>
        </w:rPr>
        <w:t>Investissement RE-C05-i14– Innovation des entreprises</w:t>
      </w:r>
    </w:p>
    <w:p w14:paraId="06461181" w14:textId="77777777" w:rsidR="006C686E" w:rsidRDefault="00B17E8C">
      <w:pPr>
        <w:pStyle w:val="P68B1DB1-Normal22"/>
        <w:spacing w:line="240" w:lineRule="auto"/>
        <w:jc w:val="both"/>
        <w:rPr>
          <w:rFonts w:cs="Times New Roman"/>
          <w:noProof/>
        </w:rPr>
      </w:pPr>
      <w:r>
        <w:rPr>
          <w:noProof/>
        </w:rPr>
        <w:t xml:space="preserve">Cette mesure consiste en un investissement public dans un régime de subventions afin d’encourager l’investissement privé et d’améliorer l’accès au financement pour les entreprises développant des projets innovants. Le régime fonctionne en octroyant des subventions directement au secteur privé. </w:t>
      </w:r>
    </w:p>
    <w:p w14:paraId="491A2D65" w14:textId="77777777" w:rsidR="006C686E" w:rsidRDefault="00B17E8C">
      <w:pPr>
        <w:pStyle w:val="P68B1DB1-Normal22"/>
        <w:spacing w:line="240" w:lineRule="auto"/>
        <w:jc w:val="both"/>
        <w:rPr>
          <w:rFonts w:cs="Times New Roman"/>
          <w:noProof/>
        </w:rPr>
      </w:pPr>
      <w:r>
        <w:rPr>
          <w:noProof/>
        </w:rPr>
        <w:t xml:space="preserve">Le régime est géré par </w:t>
      </w:r>
      <w:r>
        <w:rPr>
          <w:i/>
          <w:noProof/>
        </w:rPr>
        <w:t>Banco Português de Fomento</w:t>
      </w:r>
      <w:r>
        <w:rPr>
          <w:noProof/>
        </w:rPr>
        <w:t xml:space="preserve"> en tant que partenaire chargé de la mise en œuvre. Le régime comprend la gamme de produits suivante:</w:t>
      </w:r>
    </w:p>
    <w:p w14:paraId="0C4C69FD" w14:textId="77777777" w:rsidR="006C686E" w:rsidRDefault="00B17E8C">
      <w:pPr>
        <w:pStyle w:val="P68B1DB1-ListParagraph33"/>
        <w:keepNext/>
        <w:numPr>
          <w:ilvl w:val="0"/>
          <w:numId w:val="27"/>
        </w:numPr>
        <w:spacing w:line="240" w:lineRule="auto"/>
        <w:jc w:val="both"/>
        <w:rPr>
          <w:noProof/>
        </w:rPr>
      </w:pPr>
      <w:r>
        <w:rPr>
          <w:noProof/>
        </w:rPr>
        <w:t>Subventions soutenant des projets d’investissement des entreprises dans des activités qualifiées ou dans des processus de recherche et de développement, favorisant le lien entre les entreprises et la science, en mettant particulièrement l’accent sur l’innovation liée à la transition écologique et numérique.</w:t>
      </w:r>
    </w:p>
    <w:p w14:paraId="6A8AD0C5" w14:textId="77777777" w:rsidR="006C686E" w:rsidRDefault="00B17E8C">
      <w:pPr>
        <w:pStyle w:val="P68B1DB1-Normal22"/>
        <w:spacing w:line="240" w:lineRule="auto"/>
        <w:jc w:val="both"/>
        <w:rPr>
          <w:rFonts w:cs="Times New Roman"/>
          <w:noProof/>
        </w:rPr>
      </w:pPr>
      <w:r>
        <w:rPr>
          <w:noProof/>
        </w:rPr>
        <w:t xml:space="preserve">Afin de mettre en œuvre l’investissement dans le régime, le Portugal et </w:t>
      </w:r>
      <w:r>
        <w:rPr>
          <w:i/>
          <w:noProof/>
        </w:rPr>
        <w:t>Banco Português de Fomento</w:t>
      </w:r>
      <w:r>
        <w:rPr>
          <w:noProof/>
        </w:rPr>
        <w:t xml:space="preserve"> signent un accord de mise en œuvre qui comprend les éléments suivants:</w:t>
      </w:r>
    </w:p>
    <w:p w14:paraId="6A7808CE" w14:textId="77777777" w:rsidR="006C686E" w:rsidRDefault="00B17E8C">
      <w:pPr>
        <w:pStyle w:val="LegalNumPar"/>
        <w:keepNext w:val="0"/>
        <w:numPr>
          <w:ilvl w:val="0"/>
          <w:numId w:val="28"/>
        </w:numPr>
        <w:spacing w:before="0" w:after="160" w:line="259" w:lineRule="auto"/>
        <w:rPr>
          <w:noProof/>
        </w:rPr>
      </w:pPr>
      <w:r>
        <w:rPr>
          <w:noProof/>
        </w:rPr>
        <w:t>Description du processus décisionnel du régime: La décision finale d'attribution du régime est prise par un comité d'investissement ou un autre organe directeur équivalent compétent et approuvée à la majorité des voix des membres indépendants du gouvernement.</w:t>
      </w:r>
    </w:p>
    <w:p w14:paraId="19F6AE9D" w14:textId="77777777" w:rsidR="006C686E" w:rsidRDefault="00B17E8C">
      <w:pPr>
        <w:pStyle w:val="LegalNumPar"/>
        <w:keepNext w:val="0"/>
        <w:numPr>
          <w:ilvl w:val="0"/>
          <w:numId w:val="28"/>
        </w:numPr>
        <w:spacing w:before="0" w:after="160" w:line="259" w:lineRule="auto"/>
        <w:rPr>
          <w:noProof/>
        </w:rPr>
      </w:pPr>
      <w:r>
        <w:rPr>
          <w:noProof/>
        </w:rPr>
        <w:t>Principales exigences de la politique de subvention y afférente,</w:t>
      </w:r>
      <w:r>
        <w:rPr>
          <w:b/>
          <w:noProof/>
        </w:rPr>
        <w:t xml:space="preserve"> </w:t>
      </w:r>
      <w:r>
        <w:rPr>
          <w:noProof/>
        </w:rPr>
        <w:t>notamment:</w:t>
      </w:r>
    </w:p>
    <w:p w14:paraId="27958677" w14:textId="77777777" w:rsidR="006C686E" w:rsidRDefault="00B17E8C">
      <w:pPr>
        <w:pStyle w:val="LegalNumPar2"/>
        <w:keepNext w:val="0"/>
        <w:numPr>
          <w:ilvl w:val="0"/>
          <w:numId w:val="29"/>
        </w:numPr>
        <w:spacing w:before="0" w:line="259" w:lineRule="auto"/>
        <w:rPr>
          <w:noProof/>
        </w:rPr>
      </w:pPr>
      <w:r>
        <w:rPr>
          <w:noProof/>
        </w:rPr>
        <w:t xml:space="preserve">Description des subventions octroyées et des bénéficiaires finaux éligibles. </w:t>
      </w:r>
    </w:p>
    <w:p w14:paraId="2E545D5F" w14:textId="77777777" w:rsidR="006C686E" w:rsidRDefault="00B17E8C">
      <w:pPr>
        <w:pStyle w:val="LegalNumPar2"/>
        <w:keepNext w:val="0"/>
        <w:numPr>
          <w:ilvl w:val="0"/>
          <w:numId w:val="29"/>
        </w:numPr>
        <w:spacing w:before="0" w:line="259" w:lineRule="auto"/>
        <w:rPr>
          <w:b/>
          <w:bCs/>
          <w:noProof/>
        </w:rPr>
      </w:pPr>
      <w:r>
        <w:rPr>
          <w:noProof/>
        </w:rPr>
        <w:t>L’exigence selon laquelle tous les investissements soutenus sont économiquement viables</w:t>
      </w:r>
      <w:r>
        <w:rPr>
          <w:b/>
          <w:noProof/>
        </w:rPr>
        <w:t>.</w:t>
      </w:r>
    </w:p>
    <w:p w14:paraId="758ECCB1" w14:textId="77777777" w:rsidR="006C686E" w:rsidRDefault="00B17E8C">
      <w:pPr>
        <w:pStyle w:val="LegalNumPar2"/>
        <w:numPr>
          <w:ilvl w:val="0"/>
          <w:numId w:val="29"/>
        </w:numPr>
        <w:spacing w:before="0" w:line="259" w:lineRule="auto"/>
        <w:ind w:left="1190" w:hanging="357"/>
        <w:rPr>
          <w:noProof/>
        </w:rPr>
      </w:pPr>
      <w:r>
        <w:rPr>
          <w:noProof/>
        </w:rPr>
        <w:t>L’obligation de respecter le principe consistant à «ne pas causer de préjudice important» (DNSH) tel qu’énoncé dans les orientations techniques DNSH (2021/C58/01). En particulier, la politique de subvention exclut de l'éligibilité la liste suivante d'activités et d'actifs: (i) les activités et les actifs liés aux combustibles fossiles, y compris l’utilisation en aval</w:t>
      </w:r>
      <w:r>
        <w:rPr>
          <w:noProof/>
        </w:rPr>
        <w:footnoteReference w:id="14"/>
      </w:r>
      <w:r>
        <w:rPr>
          <w:noProof/>
        </w:rPr>
        <w:t>, (ii) les activités et les actifs relevant du système d’échange de quotas d’émission de l’UE (SEQE) permettant d’atteindre des émissions de gaz à effet de serre prévues qui ne sont pas inférieures aux référentiels pertinents</w:t>
      </w:r>
      <w:r>
        <w:rPr>
          <w:noProof/>
        </w:rPr>
        <w:footnoteReference w:id="15"/>
      </w:r>
      <w:r>
        <w:rPr>
          <w:noProof/>
        </w:rPr>
        <w:t>, (iii) les activités et les actifs liés aux décharges de déchets, aux incinérateurs</w:t>
      </w:r>
      <w:r>
        <w:rPr>
          <w:noProof/>
        </w:rPr>
        <w:footnoteReference w:id="16"/>
      </w:r>
      <w:r>
        <w:rPr>
          <w:noProof/>
        </w:rPr>
        <w:t xml:space="preserve"> et aux usines de traitement biologique mécanique</w:t>
      </w:r>
      <w:r>
        <w:rPr>
          <w:noProof/>
        </w:rPr>
        <w:footnoteReference w:id="17"/>
      </w:r>
      <w:r>
        <w:rPr>
          <w:noProof/>
        </w:rPr>
        <w:t xml:space="preserve">. </w:t>
      </w:r>
    </w:p>
    <w:p w14:paraId="024F9193" w14:textId="77777777" w:rsidR="006C686E" w:rsidRDefault="00B17E8C">
      <w:pPr>
        <w:pStyle w:val="LegalNumPar2"/>
        <w:keepNext w:val="0"/>
        <w:numPr>
          <w:ilvl w:val="0"/>
          <w:numId w:val="29"/>
        </w:numPr>
        <w:spacing w:before="0" w:after="240" w:line="259" w:lineRule="auto"/>
        <w:rPr>
          <w:bCs/>
          <w:noProof/>
        </w:rPr>
      </w:pPr>
      <w:r>
        <w:rPr>
          <w:noProof/>
        </w:rPr>
        <w:t>L’exigence selon laquelle les bénéficiaires finaux du régime ne reçoivent pas d’aide d’autres instruments de l’Union pour couvrir le même coût.</w:t>
      </w:r>
    </w:p>
    <w:p w14:paraId="41905DD7" w14:textId="77777777" w:rsidR="006C686E" w:rsidRDefault="00B17E8C">
      <w:pPr>
        <w:pStyle w:val="LegalNumPar"/>
        <w:keepNext w:val="0"/>
        <w:numPr>
          <w:ilvl w:val="0"/>
          <w:numId w:val="28"/>
        </w:numPr>
        <w:spacing w:before="0" w:after="160" w:line="259" w:lineRule="auto"/>
        <w:rPr>
          <w:noProof/>
        </w:rPr>
      </w:pPr>
      <w:r>
        <w:rPr>
          <w:noProof/>
        </w:rPr>
        <w:t>Le montant couvert par l’accord de mise en œuvre, la structure des redevances pour le partenaire chargé de la mise en œuvre et l’obligation d’utiliser tout produit inutilisé du régime, y compris au-delà de 2026, aux mêmes fins stratégiques.</w:t>
      </w:r>
    </w:p>
    <w:p w14:paraId="5A6CC5BE" w14:textId="77777777" w:rsidR="006C686E" w:rsidRDefault="00B17E8C">
      <w:pPr>
        <w:pStyle w:val="LegalNumPar"/>
        <w:keepNext w:val="0"/>
        <w:numPr>
          <w:ilvl w:val="0"/>
          <w:numId w:val="28"/>
        </w:numPr>
        <w:spacing w:before="0" w:after="160" w:line="259" w:lineRule="auto"/>
        <w:rPr>
          <w:noProof/>
        </w:rPr>
      </w:pPr>
      <w:r>
        <w:rPr>
          <w:noProof/>
        </w:rPr>
        <w:t>Exigences en matière de surveillance, d'audit et de contrôle, y compris:</w:t>
      </w:r>
    </w:p>
    <w:p w14:paraId="19EAE331" w14:textId="77777777" w:rsidR="006C686E" w:rsidRDefault="00B17E8C">
      <w:pPr>
        <w:pStyle w:val="LegalNumPar2"/>
        <w:keepNext w:val="0"/>
        <w:numPr>
          <w:ilvl w:val="0"/>
          <w:numId w:val="30"/>
        </w:numPr>
        <w:spacing w:before="0" w:line="259" w:lineRule="auto"/>
        <w:rPr>
          <w:noProof/>
        </w:rPr>
      </w:pPr>
      <w:r>
        <w:rPr>
          <w:noProof/>
        </w:rPr>
        <w:t>Description du système de suivi du partenaire chargé de la mise en œuvre pour rendre compte des subventions mobilisées.</w:t>
      </w:r>
    </w:p>
    <w:p w14:paraId="631A881E" w14:textId="77777777" w:rsidR="006C686E" w:rsidRDefault="00B17E8C">
      <w:pPr>
        <w:pStyle w:val="LegalNumPar2"/>
        <w:keepNext w:val="0"/>
        <w:numPr>
          <w:ilvl w:val="0"/>
          <w:numId w:val="30"/>
        </w:numPr>
        <w:spacing w:before="0" w:line="259" w:lineRule="auto"/>
        <w:rPr>
          <w:noProof/>
        </w:rPr>
      </w:pPr>
      <w:r>
        <w:rPr>
          <w:noProof/>
        </w:rPr>
        <w:t xml:space="preserve">Description des procédures du partenaire chargé de la mise en œuvre qui garantiront la prévention, la détection et la correction de la fraude, de la corruption et des conflits d’intérêts. </w:t>
      </w:r>
    </w:p>
    <w:p w14:paraId="0BE4E562" w14:textId="77777777" w:rsidR="006C686E" w:rsidRDefault="00B17E8C">
      <w:pPr>
        <w:pStyle w:val="LegalNumPar2"/>
        <w:keepNext w:val="0"/>
        <w:numPr>
          <w:ilvl w:val="0"/>
          <w:numId w:val="30"/>
        </w:numPr>
        <w:spacing w:before="0" w:line="259" w:lineRule="auto"/>
        <w:rPr>
          <w:noProof/>
        </w:rPr>
      </w:pPr>
      <w:r>
        <w:rPr>
          <w:noProof/>
        </w:rPr>
        <w:t>L’obligation de vérifier l’éligibilité de chaque opération conformément aux exigences énoncées dans l’accord de mise en œuvre avant d’octroyer une subvention à une opération.</w:t>
      </w:r>
    </w:p>
    <w:p w14:paraId="67408517" w14:textId="77777777" w:rsidR="006C686E" w:rsidRDefault="00B17E8C">
      <w:pPr>
        <w:pStyle w:val="P68B1DB1-Normal22"/>
        <w:numPr>
          <w:ilvl w:val="0"/>
          <w:numId w:val="30"/>
        </w:numPr>
        <w:spacing w:line="240" w:lineRule="auto"/>
        <w:jc w:val="both"/>
        <w:rPr>
          <w:rFonts w:cs="Times New Roman"/>
          <w:noProof/>
        </w:rPr>
      </w:pPr>
      <w:r>
        <w:rPr>
          <w:noProof/>
        </w:rPr>
        <w:t xml:space="preserve">L’obligation de réaliser des audits ex post fondés sur les risques conformément à un plan d’audit du </w:t>
      </w:r>
      <w:r>
        <w:rPr>
          <w:i/>
          <w:noProof/>
        </w:rPr>
        <w:t>Banco Português de Fomento.</w:t>
      </w:r>
      <w:r>
        <w:rPr>
          <w:noProof/>
        </w:rPr>
        <w:t xml:space="preserve"> Ces audits vérifient i) l’efficacité des systèmes de contrôle, y compris la détection de la fraude, de la corruption et des conflits d’intérêts; ii) le respect du principe consistant à «ne pas causer de préjudice important», des règles en matière d’aides d’État, des exigences en matière de climat et d’objectifs numériques; et iii) que l’exigence selon laquelle les bénéficiaires finaux du régime n’ont pas reçu d’aide d’autres instruments de l’Union pour couvrir les mêmes coûts soit respectée. Les audits vérifient également la légalité des opérations et le respect des conditions de l’accord de mise en œuvre et des accords de subvention applicables. </w:t>
      </w:r>
    </w:p>
    <w:p w14:paraId="313EAECE" w14:textId="77F558E9" w:rsidR="006C686E" w:rsidRDefault="00B17E8C">
      <w:pPr>
        <w:pStyle w:val="ListParagraph"/>
        <w:keepNext/>
        <w:numPr>
          <w:ilvl w:val="0"/>
          <w:numId w:val="28"/>
        </w:numPr>
        <w:spacing w:line="240" w:lineRule="auto"/>
        <w:jc w:val="both"/>
        <w:rPr>
          <w:rFonts w:ascii="Times New Roman" w:hAnsi="Times New Roman" w:cs="Times New Roman"/>
          <w:noProof/>
        </w:rPr>
      </w:pPr>
      <w:r>
        <w:rPr>
          <w:rFonts w:ascii="Times New Roman" w:hAnsi="Times New Roman"/>
          <w:noProof/>
        </w:rPr>
        <w:t>Exigences applicables aux investissements climatiques et numériques réalisés par le partenaire chargé de la mise en œuvre: au moins 232 182 843 EUR d’investissements de la FRR dans le régime contribuent aux objectifs en matière de changement climatique conformément à l’annexe VI du règlement FRR et au moins 522 411 398 EUR contribuent à la transition numérique conformément à l’annexe VII du règlement FRR.</w:t>
      </w:r>
      <w:r>
        <w:rPr>
          <w:rStyle w:val="FootnoteReference"/>
          <w:rFonts w:ascii="Times New Roman" w:hAnsi="Times New Roman" w:cs="Times New Roman"/>
          <w:noProof/>
        </w:rPr>
        <w:footnoteReference w:id="18"/>
      </w:r>
    </w:p>
    <w:p w14:paraId="4CC4DA72" w14:textId="77777777" w:rsidR="006C686E" w:rsidRDefault="006C686E" w:rsidP="006E2673">
      <w:pPr>
        <w:spacing w:after="0" w:line="259" w:lineRule="auto"/>
        <w:jc w:val="both"/>
        <w:rPr>
          <w:rFonts w:ascii="Times New Roman" w:eastAsiaTheme="minorEastAsia" w:hAnsi="Times New Roman" w:cs="Times New Roman"/>
          <w:noProof/>
        </w:rPr>
        <w:sectPr w:rsidR="006C686E" w:rsidSect="00C95E00">
          <w:headerReference w:type="even" r:id="rId100"/>
          <w:headerReference w:type="default" r:id="rId101"/>
          <w:footerReference w:type="even" r:id="rId102"/>
          <w:footerReference w:type="default" r:id="rId103"/>
          <w:headerReference w:type="first" r:id="rId104"/>
          <w:footerReference w:type="first" r:id="rId105"/>
          <w:pgSz w:w="11907" w:h="16839"/>
          <w:pgMar w:top="1134" w:right="1134" w:bottom="1134" w:left="1134" w:header="567" w:footer="567" w:gutter="0"/>
          <w:cols w:space="720"/>
          <w:docGrid w:linePitch="360"/>
        </w:sectPr>
      </w:pPr>
    </w:p>
    <w:p w14:paraId="36FD1770" w14:textId="77777777" w:rsidR="006C686E" w:rsidRDefault="00B17E8C" w:rsidP="006E2673">
      <w:pPr>
        <w:pStyle w:val="P68B1DB1-Normal18"/>
        <w:spacing w:before="120" w:after="0" w:line="259" w:lineRule="auto"/>
        <w:ind w:left="130" w:firstLine="12"/>
        <w:jc w:val="center"/>
        <w:outlineLvl w:val="2"/>
        <w:rPr>
          <w:rFonts w:eastAsiaTheme="minorEastAsia" w:cs="Times New Roman"/>
          <w:bCs/>
          <w:noProof/>
        </w:rPr>
      </w:pPr>
      <w:r>
        <w:rPr>
          <w:noProof/>
        </w:rPr>
        <w:t>E.2. Étapes, cibles, indicateurs et calendrier pour le suivi et la mise en œuvre du soutien financier non remboursable</w:t>
      </w:r>
    </w:p>
    <w:tbl>
      <w:tblPr>
        <w:tblW w:w="15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18"/>
        <w:gridCol w:w="1417"/>
        <w:gridCol w:w="1134"/>
        <w:gridCol w:w="2127"/>
        <w:gridCol w:w="992"/>
        <w:gridCol w:w="992"/>
        <w:gridCol w:w="1134"/>
        <w:gridCol w:w="567"/>
        <w:gridCol w:w="851"/>
        <w:gridCol w:w="3898"/>
      </w:tblGrid>
      <w:tr w:rsidR="006C686E" w14:paraId="6945082E" w14:textId="77777777" w:rsidTr="006E2673">
        <w:trPr>
          <w:trHeight w:val="300"/>
          <w:tblHeader/>
          <w:jc w:val="center"/>
        </w:trPr>
        <w:tc>
          <w:tcPr>
            <w:tcW w:w="1129" w:type="dxa"/>
            <w:vMerge w:val="restart"/>
            <w:shd w:val="clear" w:color="auto" w:fill="BDD6EE"/>
            <w:vAlign w:val="center"/>
            <w:hideMark/>
          </w:tcPr>
          <w:p w14:paraId="0A97763C"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418" w:type="dxa"/>
            <w:vMerge w:val="restart"/>
            <w:shd w:val="clear" w:color="auto" w:fill="BDD6EE"/>
            <w:noWrap/>
            <w:vAlign w:val="center"/>
            <w:hideMark/>
          </w:tcPr>
          <w:p w14:paraId="6F9F9F4E"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417" w:type="dxa"/>
            <w:vMerge w:val="restart"/>
            <w:shd w:val="clear" w:color="auto" w:fill="BDD6EE"/>
            <w:noWrap/>
            <w:vAlign w:val="center"/>
            <w:hideMark/>
          </w:tcPr>
          <w:p w14:paraId="38F93D70" w14:textId="7414EC26" w:rsidR="006C686E" w:rsidRDefault="00B17E8C">
            <w:pPr>
              <w:pStyle w:val="P68B1DB1-Normal24"/>
              <w:spacing w:after="0" w:line="240" w:lineRule="auto"/>
              <w:jc w:val="center"/>
              <w:rPr>
                <w:rFonts w:eastAsia="Times New Roman"/>
                <w:bCs/>
                <w:noProof/>
              </w:rPr>
            </w:pPr>
            <w:r>
              <w:rPr>
                <w:noProof/>
              </w:rPr>
              <w:t>Étape/objectif</w:t>
            </w:r>
          </w:p>
        </w:tc>
        <w:tc>
          <w:tcPr>
            <w:tcW w:w="1134" w:type="dxa"/>
            <w:vMerge w:val="restart"/>
            <w:shd w:val="clear" w:color="auto" w:fill="BDD6EE"/>
            <w:noWrap/>
            <w:vAlign w:val="center"/>
            <w:hideMark/>
          </w:tcPr>
          <w:p w14:paraId="4CB6C35C" w14:textId="77777777" w:rsidR="006C686E" w:rsidRDefault="00B17E8C">
            <w:pPr>
              <w:pStyle w:val="P68B1DB1-Normal24"/>
              <w:spacing w:after="0" w:line="240" w:lineRule="auto"/>
              <w:jc w:val="center"/>
              <w:rPr>
                <w:rFonts w:eastAsia="Times New Roman"/>
                <w:bCs/>
                <w:noProof/>
              </w:rPr>
            </w:pPr>
            <w:r>
              <w:rPr>
                <w:noProof/>
              </w:rPr>
              <w:t>Nom</w:t>
            </w:r>
          </w:p>
        </w:tc>
        <w:tc>
          <w:tcPr>
            <w:tcW w:w="2127" w:type="dxa"/>
            <w:vMerge w:val="restart"/>
            <w:shd w:val="clear" w:color="auto" w:fill="BDD6EE"/>
            <w:noWrap/>
            <w:vAlign w:val="center"/>
            <w:hideMark/>
          </w:tcPr>
          <w:p w14:paraId="1A7179D0"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3118" w:type="dxa"/>
            <w:gridSpan w:val="3"/>
            <w:shd w:val="clear" w:color="auto" w:fill="BDD6EE"/>
            <w:noWrap/>
            <w:vAlign w:val="center"/>
            <w:hideMark/>
          </w:tcPr>
          <w:p w14:paraId="0E5AEECA"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418" w:type="dxa"/>
            <w:gridSpan w:val="2"/>
            <w:shd w:val="clear" w:color="auto" w:fill="BDD6EE"/>
            <w:noWrap/>
            <w:vAlign w:val="center"/>
            <w:hideMark/>
          </w:tcPr>
          <w:p w14:paraId="51878722"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3898" w:type="dxa"/>
            <w:vMerge w:val="restart"/>
            <w:shd w:val="clear" w:color="auto" w:fill="BDD6EE"/>
            <w:noWrap/>
            <w:vAlign w:val="center"/>
            <w:hideMark/>
          </w:tcPr>
          <w:p w14:paraId="575815B1"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79F2F025" w14:textId="77777777" w:rsidTr="006E2673">
        <w:trPr>
          <w:trHeight w:val="414"/>
          <w:tblHeader/>
          <w:jc w:val="center"/>
        </w:trPr>
        <w:tc>
          <w:tcPr>
            <w:tcW w:w="1129" w:type="dxa"/>
            <w:vMerge/>
            <w:vAlign w:val="center"/>
            <w:hideMark/>
          </w:tcPr>
          <w:p w14:paraId="1857C799" w14:textId="77777777" w:rsidR="006C686E" w:rsidRDefault="006C686E">
            <w:pPr>
              <w:spacing w:after="0" w:line="240" w:lineRule="auto"/>
              <w:rPr>
                <w:rFonts w:ascii="Times New Roman" w:eastAsia="Times New Roman" w:hAnsi="Times New Roman" w:cs="Times New Roman"/>
                <w:b/>
                <w:bCs/>
                <w:noProof/>
                <w:sz w:val="16"/>
                <w:szCs w:val="16"/>
              </w:rPr>
            </w:pPr>
          </w:p>
        </w:tc>
        <w:tc>
          <w:tcPr>
            <w:tcW w:w="1418" w:type="dxa"/>
            <w:vMerge/>
            <w:vAlign w:val="center"/>
            <w:hideMark/>
          </w:tcPr>
          <w:p w14:paraId="7A90E7DC" w14:textId="77777777" w:rsidR="006C686E" w:rsidRDefault="006C686E">
            <w:pPr>
              <w:spacing w:after="0" w:line="240" w:lineRule="auto"/>
              <w:rPr>
                <w:rFonts w:ascii="Times New Roman" w:eastAsia="Times New Roman" w:hAnsi="Times New Roman" w:cs="Times New Roman"/>
                <w:b/>
                <w:bCs/>
                <w:noProof/>
                <w:sz w:val="16"/>
                <w:szCs w:val="16"/>
              </w:rPr>
            </w:pPr>
          </w:p>
        </w:tc>
        <w:tc>
          <w:tcPr>
            <w:tcW w:w="1417" w:type="dxa"/>
            <w:vMerge/>
            <w:noWrap/>
            <w:vAlign w:val="center"/>
            <w:hideMark/>
          </w:tcPr>
          <w:p w14:paraId="241BD45E" w14:textId="77777777" w:rsidR="006C686E" w:rsidRDefault="006C686E">
            <w:pPr>
              <w:spacing w:after="0" w:line="240" w:lineRule="auto"/>
              <w:rPr>
                <w:rFonts w:ascii="Times New Roman" w:eastAsia="Times New Roman" w:hAnsi="Times New Roman" w:cs="Times New Roman"/>
                <w:b/>
                <w:bCs/>
                <w:noProof/>
                <w:sz w:val="16"/>
                <w:szCs w:val="16"/>
              </w:rPr>
            </w:pPr>
          </w:p>
        </w:tc>
        <w:tc>
          <w:tcPr>
            <w:tcW w:w="1134" w:type="dxa"/>
            <w:vMerge/>
            <w:vAlign w:val="center"/>
            <w:hideMark/>
          </w:tcPr>
          <w:p w14:paraId="5AAECDEC" w14:textId="77777777" w:rsidR="006C686E" w:rsidRDefault="006C686E">
            <w:pPr>
              <w:spacing w:after="0" w:line="240" w:lineRule="auto"/>
              <w:rPr>
                <w:rFonts w:ascii="Times New Roman" w:eastAsia="Times New Roman" w:hAnsi="Times New Roman" w:cs="Times New Roman"/>
                <w:b/>
                <w:bCs/>
                <w:noProof/>
                <w:sz w:val="16"/>
                <w:szCs w:val="16"/>
              </w:rPr>
            </w:pPr>
          </w:p>
        </w:tc>
        <w:tc>
          <w:tcPr>
            <w:tcW w:w="2127" w:type="dxa"/>
            <w:vMerge/>
            <w:vAlign w:val="center"/>
            <w:hideMark/>
          </w:tcPr>
          <w:p w14:paraId="7F1EC447" w14:textId="77777777" w:rsidR="006C686E" w:rsidRDefault="006C686E">
            <w:pPr>
              <w:spacing w:after="0" w:line="240" w:lineRule="auto"/>
              <w:rPr>
                <w:rFonts w:ascii="Times New Roman" w:eastAsia="Times New Roman" w:hAnsi="Times New Roman" w:cs="Times New Roman"/>
                <w:b/>
                <w:bCs/>
                <w:noProof/>
                <w:sz w:val="16"/>
                <w:szCs w:val="16"/>
              </w:rPr>
            </w:pPr>
          </w:p>
        </w:tc>
        <w:tc>
          <w:tcPr>
            <w:tcW w:w="992" w:type="dxa"/>
            <w:tcBorders>
              <w:bottom w:val="single" w:sz="4" w:space="0" w:color="auto"/>
            </w:tcBorders>
            <w:shd w:val="clear" w:color="auto" w:fill="BDD6EE"/>
            <w:noWrap/>
            <w:vAlign w:val="center"/>
            <w:hideMark/>
          </w:tcPr>
          <w:p w14:paraId="5A5CC70F" w14:textId="77777777" w:rsidR="006C686E" w:rsidRDefault="00B17E8C">
            <w:pPr>
              <w:pStyle w:val="P68B1DB1-Normal25"/>
              <w:spacing w:after="0" w:line="240" w:lineRule="auto"/>
              <w:jc w:val="center"/>
              <w:rPr>
                <w:rFonts w:eastAsia="Times New Roman"/>
                <w:bCs/>
                <w:noProof/>
              </w:rPr>
            </w:pPr>
            <w:r>
              <w:rPr>
                <w:noProof/>
              </w:rPr>
              <w:t>Unité de mesure</w:t>
            </w:r>
          </w:p>
        </w:tc>
        <w:tc>
          <w:tcPr>
            <w:tcW w:w="992" w:type="dxa"/>
            <w:tcBorders>
              <w:bottom w:val="single" w:sz="4" w:space="0" w:color="auto"/>
            </w:tcBorders>
            <w:shd w:val="clear" w:color="auto" w:fill="BDD6EE"/>
            <w:noWrap/>
            <w:vAlign w:val="center"/>
            <w:hideMark/>
          </w:tcPr>
          <w:p w14:paraId="344D809D" w14:textId="77777777" w:rsidR="006C686E" w:rsidRDefault="00B17E8C">
            <w:pPr>
              <w:pStyle w:val="P68B1DB1-Normal25"/>
              <w:spacing w:after="0" w:line="240" w:lineRule="auto"/>
              <w:jc w:val="center"/>
              <w:rPr>
                <w:rFonts w:eastAsia="Times New Roman"/>
                <w:bCs/>
                <w:noProof/>
              </w:rPr>
            </w:pPr>
            <w:r>
              <w:rPr>
                <w:noProof/>
              </w:rPr>
              <w:t>Données de référence</w:t>
            </w:r>
          </w:p>
        </w:tc>
        <w:tc>
          <w:tcPr>
            <w:tcW w:w="1134" w:type="dxa"/>
            <w:tcBorders>
              <w:bottom w:val="single" w:sz="4" w:space="0" w:color="auto"/>
            </w:tcBorders>
            <w:shd w:val="clear" w:color="auto" w:fill="BDD6EE"/>
            <w:noWrap/>
            <w:vAlign w:val="center"/>
            <w:hideMark/>
          </w:tcPr>
          <w:p w14:paraId="1C4BCBAC" w14:textId="77777777" w:rsidR="006C686E" w:rsidRDefault="00B17E8C">
            <w:pPr>
              <w:pStyle w:val="P68B1DB1-Normal25"/>
              <w:spacing w:after="0" w:line="240" w:lineRule="auto"/>
              <w:jc w:val="center"/>
              <w:rPr>
                <w:rFonts w:eastAsia="Times New Roman"/>
                <w:bCs/>
                <w:noProof/>
              </w:rPr>
            </w:pPr>
            <w:r>
              <w:rPr>
                <w:noProof/>
              </w:rPr>
              <w:t>Objectif</w:t>
            </w:r>
          </w:p>
        </w:tc>
        <w:tc>
          <w:tcPr>
            <w:tcW w:w="567" w:type="dxa"/>
            <w:tcBorders>
              <w:bottom w:val="single" w:sz="4" w:space="0" w:color="auto"/>
            </w:tcBorders>
            <w:shd w:val="clear" w:color="auto" w:fill="BDD6EE"/>
            <w:noWrap/>
            <w:vAlign w:val="center"/>
            <w:hideMark/>
          </w:tcPr>
          <w:p w14:paraId="22D147A6" w14:textId="77777777" w:rsidR="006C686E" w:rsidRDefault="00B17E8C">
            <w:pPr>
              <w:pStyle w:val="P68B1DB1-Normal25"/>
              <w:spacing w:after="0" w:line="240" w:lineRule="auto"/>
              <w:jc w:val="center"/>
              <w:rPr>
                <w:rFonts w:eastAsia="Times New Roman"/>
                <w:bCs/>
                <w:noProof/>
              </w:rPr>
            </w:pPr>
            <w:r>
              <w:rPr>
                <w:noProof/>
              </w:rPr>
              <w:t>Q</w:t>
            </w:r>
          </w:p>
        </w:tc>
        <w:tc>
          <w:tcPr>
            <w:tcW w:w="851" w:type="dxa"/>
            <w:tcBorders>
              <w:bottom w:val="single" w:sz="4" w:space="0" w:color="auto"/>
            </w:tcBorders>
            <w:shd w:val="clear" w:color="auto" w:fill="BDD6EE"/>
            <w:noWrap/>
            <w:vAlign w:val="center"/>
            <w:hideMark/>
          </w:tcPr>
          <w:p w14:paraId="51B66DB1" w14:textId="77777777" w:rsidR="006C686E" w:rsidRDefault="00B17E8C">
            <w:pPr>
              <w:pStyle w:val="P68B1DB1-Normal25"/>
              <w:spacing w:after="0" w:line="240" w:lineRule="auto"/>
              <w:jc w:val="center"/>
              <w:rPr>
                <w:rFonts w:eastAsia="Times New Roman"/>
                <w:bCs/>
                <w:noProof/>
              </w:rPr>
            </w:pPr>
            <w:r>
              <w:rPr>
                <w:noProof/>
              </w:rPr>
              <w:t>Année</w:t>
            </w:r>
          </w:p>
        </w:tc>
        <w:tc>
          <w:tcPr>
            <w:tcW w:w="3898" w:type="dxa"/>
            <w:vMerge/>
            <w:vAlign w:val="center"/>
            <w:hideMark/>
          </w:tcPr>
          <w:p w14:paraId="5E9AF697"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77D65809" w14:textId="77777777" w:rsidTr="006E2673">
        <w:trPr>
          <w:trHeight w:val="1328"/>
          <w:jc w:val="center"/>
        </w:trPr>
        <w:tc>
          <w:tcPr>
            <w:tcW w:w="1129" w:type="dxa"/>
            <w:shd w:val="clear" w:color="auto" w:fill="C4EFCE"/>
            <w:vAlign w:val="center"/>
            <w:hideMark/>
          </w:tcPr>
          <w:p w14:paraId="77F3ADDB" w14:textId="77777777" w:rsidR="006C686E" w:rsidRDefault="00B17E8C">
            <w:pPr>
              <w:pStyle w:val="P68B1DB1-Normal25"/>
              <w:spacing w:after="0" w:line="240" w:lineRule="auto"/>
              <w:jc w:val="center"/>
              <w:rPr>
                <w:rFonts w:eastAsia="Times New Roman"/>
                <w:noProof/>
              </w:rPr>
            </w:pPr>
            <w:r>
              <w:rPr>
                <w:noProof/>
              </w:rPr>
              <w:t>5.1</w:t>
            </w:r>
          </w:p>
        </w:tc>
        <w:tc>
          <w:tcPr>
            <w:tcW w:w="1418" w:type="dxa"/>
            <w:shd w:val="clear" w:color="auto" w:fill="C4EFCE"/>
            <w:vAlign w:val="center"/>
            <w:hideMark/>
          </w:tcPr>
          <w:p w14:paraId="5A61927C" w14:textId="77777777" w:rsidR="006C686E" w:rsidRDefault="00B17E8C">
            <w:pPr>
              <w:pStyle w:val="P68B1DB1-Normal26"/>
              <w:spacing w:after="0" w:line="240" w:lineRule="auto"/>
              <w:jc w:val="center"/>
              <w:rPr>
                <w:rFonts w:eastAsia="Times New Roman"/>
                <w:noProof/>
              </w:rPr>
            </w:pPr>
            <w:r>
              <w:rPr>
                <w:noProof/>
              </w:rPr>
              <w:t>RE-C05-r09</w:t>
            </w:r>
          </w:p>
        </w:tc>
        <w:tc>
          <w:tcPr>
            <w:tcW w:w="1417" w:type="dxa"/>
            <w:shd w:val="clear" w:color="auto" w:fill="C4EFCE"/>
            <w:vAlign w:val="center"/>
            <w:hideMark/>
          </w:tcPr>
          <w:p w14:paraId="6C3D767C"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hideMark/>
          </w:tcPr>
          <w:p w14:paraId="0CF77247" w14:textId="77777777" w:rsidR="006C686E" w:rsidRDefault="00B17E8C">
            <w:pPr>
              <w:pStyle w:val="P68B1DB1-Normal26"/>
              <w:spacing w:after="0" w:line="240" w:lineRule="auto"/>
              <w:jc w:val="center"/>
              <w:rPr>
                <w:rFonts w:eastAsia="Times New Roman"/>
                <w:noProof/>
              </w:rPr>
            </w:pPr>
            <w:r>
              <w:rPr>
                <w:noProof/>
              </w:rPr>
              <w:t>Mise à jour des lignes directrices pour la stratégie d’innovation technologique et commerciale pour le Portugal à l’horizon 2030</w:t>
            </w:r>
          </w:p>
        </w:tc>
        <w:tc>
          <w:tcPr>
            <w:tcW w:w="2127" w:type="dxa"/>
            <w:shd w:val="clear" w:color="auto" w:fill="C4EFCE"/>
            <w:vAlign w:val="center"/>
            <w:hideMark/>
          </w:tcPr>
          <w:p w14:paraId="0BE7D1C2" w14:textId="77777777" w:rsidR="006C686E" w:rsidRDefault="00B17E8C">
            <w:pPr>
              <w:pStyle w:val="P68B1DB1-Normal26"/>
              <w:spacing w:after="0" w:line="240" w:lineRule="auto"/>
              <w:jc w:val="center"/>
              <w:rPr>
                <w:rFonts w:eastAsia="Times New Roman"/>
                <w:noProof/>
              </w:rPr>
            </w:pPr>
            <w:r>
              <w:rPr>
                <w:noProof/>
              </w:rPr>
              <w:t>Publication de lignes directrices actualisées pour la stratégie d’innovation technologique et commerciale pour le Portugal à l’horizon 2030</w:t>
            </w:r>
          </w:p>
        </w:tc>
        <w:tc>
          <w:tcPr>
            <w:tcW w:w="992" w:type="dxa"/>
            <w:shd w:val="clear" w:color="auto" w:fill="C4EFCE"/>
            <w:vAlign w:val="center"/>
            <w:hideMark/>
          </w:tcPr>
          <w:p w14:paraId="5766A949"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18793D00" w14:textId="77777777" w:rsidR="006C686E" w:rsidRDefault="00B17E8C">
            <w:pPr>
              <w:pStyle w:val="P68B1DB1-Normal26"/>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7E25D68E"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CA4F036"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hideMark/>
          </w:tcPr>
          <w:p w14:paraId="2EA00D60" w14:textId="77777777" w:rsidR="006C686E" w:rsidRDefault="00B17E8C">
            <w:pPr>
              <w:pStyle w:val="P68B1DB1-Normal26"/>
              <w:spacing w:after="0" w:line="240" w:lineRule="auto"/>
              <w:jc w:val="center"/>
              <w:rPr>
                <w:rFonts w:eastAsia="Times New Roman"/>
                <w:noProof/>
              </w:rPr>
            </w:pPr>
            <w:r>
              <w:rPr>
                <w:noProof/>
              </w:rPr>
              <w:t>2021</w:t>
            </w:r>
          </w:p>
        </w:tc>
        <w:tc>
          <w:tcPr>
            <w:tcW w:w="3898" w:type="dxa"/>
            <w:shd w:val="clear" w:color="auto" w:fill="C4EFCE"/>
            <w:vAlign w:val="center"/>
            <w:hideMark/>
          </w:tcPr>
          <w:p w14:paraId="4D2DF9D6" w14:textId="1863E5D6" w:rsidR="006C686E" w:rsidRDefault="00B17E8C">
            <w:pPr>
              <w:pStyle w:val="P68B1DB1-Normal26"/>
              <w:spacing w:after="0" w:line="240" w:lineRule="auto"/>
              <w:jc w:val="both"/>
              <w:rPr>
                <w:rFonts w:eastAsia="Times New Roman"/>
                <w:noProof/>
              </w:rPr>
            </w:pPr>
            <w:r>
              <w:rPr>
                <w:noProof/>
              </w:rPr>
              <w:t>Mise à jour de la décision du Conseil des ministres approuvant les lignes directrices pour une stratégie d’innovation technologique et commerciale pour le Portugal pour la période 2018-2030, compte tenu de la stratégie pour le Portugal à l’horizon 2030 récemment adoptée et des nouveaux défis de la reprise économique.</w:t>
            </w:r>
          </w:p>
        </w:tc>
      </w:tr>
      <w:tr w:rsidR="006C686E" w14:paraId="3C611753" w14:textId="77777777" w:rsidTr="006E2673">
        <w:trPr>
          <w:trHeight w:val="1134"/>
          <w:jc w:val="center"/>
        </w:trPr>
        <w:tc>
          <w:tcPr>
            <w:tcW w:w="1129" w:type="dxa"/>
            <w:shd w:val="clear" w:color="auto" w:fill="C4EFCE"/>
            <w:vAlign w:val="center"/>
            <w:hideMark/>
          </w:tcPr>
          <w:p w14:paraId="74FC548A" w14:textId="77777777" w:rsidR="006C686E" w:rsidRDefault="00B17E8C">
            <w:pPr>
              <w:pStyle w:val="P68B1DB1-Normal25"/>
              <w:spacing w:after="0" w:line="240" w:lineRule="auto"/>
              <w:jc w:val="center"/>
              <w:rPr>
                <w:rFonts w:eastAsia="Times New Roman"/>
                <w:noProof/>
              </w:rPr>
            </w:pPr>
            <w:r>
              <w:rPr>
                <w:noProof/>
              </w:rPr>
              <w:t>5.2</w:t>
            </w:r>
          </w:p>
        </w:tc>
        <w:tc>
          <w:tcPr>
            <w:tcW w:w="1418" w:type="dxa"/>
            <w:shd w:val="clear" w:color="auto" w:fill="C4EFCE"/>
            <w:vAlign w:val="center"/>
            <w:hideMark/>
          </w:tcPr>
          <w:p w14:paraId="0F443B54" w14:textId="77777777" w:rsidR="006C686E" w:rsidRDefault="00B17E8C">
            <w:pPr>
              <w:pStyle w:val="P68B1DB1-Normal26"/>
              <w:spacing w:after="0" w:line="240" w:lineRule="auto"/>
              <w:jc w:val="center"/>
              <w:rPr>
                <w:rFonts w:eastAsia="Times New Roman"/>
                <w:noProof/>
              </w:rPr>
            </w:pPr>
            <w:r>
              <w:rPr>
                <w:noProof/>
              </w:rPr>
              <w:t>RE-C05-r11</w:t>
            </w:r>
          </w:p>
        </w:tc>
        <w:tc>
          <w:tcPr>
            <w:tcW w:w="1417" w:type="dxa"/>
            <w:shd w:val="clear" w:color="auto" w:fill="C4EFCE"/>
            <w:vAlign w:val="center"/>
            <w:hideMark/>
          </w:tcPr>
          <w:p w14:paraId="47A4CF78"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18B81326" w14:textId="77777777" w:rsidR="006C686E" w:rsidRDefault="00B17E8C">
            <w:pPr>
              <w:pStyle w:val="P68B1DB1-Normal26"/>
              <w:spacing w:after="0" w:line="240" w:lineRule="auto"/>
              <w:jc w:val="center"/>
              <w:rPr>
                <w:rFonts w:eastAsia="Times New Roman"/>
                <w:noProof/>
              </w:rPr>
            </w:pPr>
            <w:r>
              <w:rPr>
                <w:noProof/>
              </w:rPr>
              <w:t>Extension du réseau de laboratoires de collaboration reconnus</w:t>
            </w:r>
          </w:p>
        </w:tc>
        <w:tc>
          <w:tcPr>
            <w:tcW w:w="2127" w:type="dxa"/>
            <w:shd w:val="clear" w:color="auto" w:fill="C4EFCE"/>
            <w:vAlign w:val="center"/>
            <w:hideMark/>
          </w:tcPr>
          <w:p w14:paraId="68C36980"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2BB34564"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1779EAC4" w14:textId="77777777" w:rsidR="006C686E" w:rsidRDefault="00B17E8C">
            <w:pPr>
              <w:pStyle w:val="P68B1DB1-Normal26"/>
              <w:spacing w:after="0" w:line="240" w:lineRule="auto"/>
              <w:jc w:val="center"/>
              <w:rPr>
                <w:rFonts w:eastAsia="Times New Roman"/>
                <w:noProof/>
              </w:rPr>
            </w:pPr>
            <w:r>
              <w:rPr>
                <w:noProof/>
              </w:rPr>
              <w:t>26</w:t>
            </w:r>
          </w:p>
        </w:tc>
        <w:tc>
          <w:tcPr>
            <w:tcW w:w="1134" w:type="dxa"/>
            <w:shd w:val="clear" w:color="auto" w:fill="C4EFCE"/>
            <w:vAlign w:val="center"/>
            <w:hideMark/>
          </w:tcPr>
          <w:p w14:paraId="3B302816" w14:textId="77777777" w:rsidR="006C686E" w:rsidRDefault="00B17E8C">
            <w:pPr>
              <w:pStyle w:val="P68B1DB1-Normal26"/>
              <w:spacing w:after="0" w:line="240" w:lineRule="auto"/>
              <w:jc w:val="center"/>
              <w:rPr>
                <w:rFonts w:eastAsia="Times New Roman"/>
                <w:noProof/>
              </w:rPr>
            </w:pPr>
            <w:r>
              <w:rPr>
                <w:noProof/>
              </w:rPr>
              <w:t>35</w:t>
            </w:r>
          </w:p>
        </w:tc>
        <w:tc>
          <w:tcPr>
            <w:tcW w:w="567" w:type="dxa"/>
            <w:shd w:val="clear" w:color="auto" w:fill="C4EFCE"/>
            <w:vAlign w:val="center"/>
            <w:hideMark/>
          </w:tcPr>
          <w:p w14:paraId="417EA763" w14:textId="77777777" w:rsidR="006C686E" w:rsidRDefault="00B17E8C">
            <w:pPr>
              <w:pStyle w:val="P68B1DB1-Normal26"/>
              <w:spacing w:after="0" w:line="240" w:lineRule="auto"/>
              <w:jc w:val="center"/>
              <w:rPr>
                <w:rFonts w:eastAsia="Times New Roman"/>
                <w:noProof/>
              </w:rPr>
            </w:pPr>
            <w:r>
              <w:rPr>
                <w:noProof/>
              </w:rPr>
              <w:t>T1</w:t>
            </w:r>
          </w:p>
        </w:tc>
        <w:tc>
          <w:tcPr>
            <w:tcW w:w="851" w:type="dxa"/>
            <w:shd w:val="clear" w:color="auto" w:fill="C4EFCE"/>
            <w:vAlign w:val="center"/>
            <w:hideMark/>
          </w:tcPr>
          <w:p w14:paraId="32E8612D" w14:textId="77777777" w:rsidR="006C686E" w:rsidRDefault="00B17E8C">
            <w:pPr>
              <w:pStyle w:val="P68B1DB1-Normal26"/>
              <w:spacing w:after="0" w:line="240" w:lineRule="auto"/>
              <w:jc w:val="center"/>
              <w:rPr>
                <w:rFonts w:eastAsia="Times New Roman"/>
                <w:noProof/>
              </w:rPr>
            </w:pPr>
            <w:r>
              <w:rPr>
                <w:noProof/>
              </w:rPr>
              <w:t>2021</w:t>
            </w:r>
          </w:p>
        </w:tc>
        <w:tc>
          <w:tcPr>
            <w:tcW w:w="3898" w:type="dxa"/>
            <w:shd w:val="clear" w:color="auto" w:fill="C4EFCE"/>
            <w:vAlign w:val="center"/>
            <w:hideMark/>
          </w:tcPr>
          <w:p w14:paraId="17E4B785" w14:textId="3FC315F6" w:rsidR="006C686E" w:rsidRDefault="00B17E8C">
            <w:pPr>
              <w:pStyle w:val="P68B1DB1-Normal26"/>
              <w:spacing w:after="0" w:line="240" w:lineRule="auto"/>
              <w:jc w:val="both"/>
              <w:rPr>
                <w:rFonts w:eastAsia="Times New Roman"/>
                <w:noProof/>
              </w:rPr>
            </w:pPr>
            <w:r>
              <w:rPr>
                <w:noProof/>
              </w:rPr>
              <w:t>Reconnaissance et attribution de qualifications pour de nouveaux laboratoires collaboratifs — Extension du réseau de laboratoires collaboratifs par la reconnaissance et l’attribution du titre à de nouvelles entités, résultant du processus de demande et d’évaluation mené par un groupe d’évaluation indépendant composé d’experts de mérite international reconnu nommés par le conseil de direction de FCT, I.P (Fondation pour la science et la technologie).</w:t>
            </w:r>
          </w:p>
        </w:tc>
      </w:tr>
      <w:tr w:rsidR="006C686E" w14:paraId="5461A560" w14:textId="77777777" w:rsidTr="006E2673">
        <w:trPr>
          <w:trHeight w:val="832"/>
          <w:jc w:val="center"/>
        </w:trPr>
        <w:tc>
          <w:tcPr>
            <w:tcW w:w="1129" w:type="dxa"/>
            <w:shd w:val="clear" w:color="auto" w:fill="C4EFCE"/>
            <w:vAlign w:val="center"/>
            <w:hideMark/>
          </w:tcPr>
          <w:p w14:paraId="73C892DB" w14:textId="77777777" w:rsidR="006C686E" w:rsidRDefault="00B17E8C">
            <w:pPr>
              <w:pStyle w:val="P68B1DB1-Normal25"/>
              <w:spacing w:after="0" w:line="240" w:lineRule="auto"/>
              <w:jc w:val="center"/>
              <w:rPr>
                <w:rFonts w:eastAsia="Times New Roman"/>
                <w:noProof/>
              </w:rPr>
            </w:pPr>
            <w:r>
              <w:rPr>
                <w:noProof/>
              </w:rPr>
              <w:t>5.3</w:t>
            </w:r>
          </w:p>
        </w:tc>
        <w:tc>
          <w:tcPr>
            <w:tcW w:w="1418" w:type="dxa"/>
            <w:shd w:val="clear" w:color="auto" w:fill="C4EFCE"/>
            <w:vAlign w:val="center"/>
            <w:hideMark/>
          </w:tcPr>
          <w:p w14:paraId="70B6D53D" w14:textId="77777777" w:rsidR="006C686E" w:rsidRDefault="00B17E8C">
            <w:pPr>
              <w:pStyle w:val="P68B1DB1-Normal26"/>
              <w:spacing w:after="0" w:line="240" w:lineRule="auto"/>
              <w:jc w:val="center"/>
              <w:rPr>
                <w:rFonts w:eastAsia="Times New Roman"/>
                <w:noProof/>
              </w:rPr>
            </w:pPr>
            <w:r>
              <w:rPr>
                <w:noProof/>
              </w:rPr>
              <w:t>RE-C05-r11</w:t>
            </w:r>
          </w:p>
        </w:tc>
        <w:tc>
          <w:tcPr>
            <w:tcW w:w="1417" w:type="dxa"/>
            <w:shd w:val="clear" w:color="auto" w:fill="C4EFCE"/>
            <w:vAlign w:val="center"/>
            <w:hideMark/>
          </w:tcPr>
          <w:p w14:paraId="311F84C4"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hideMark/>
          </w:tcPr>
          <w:p w14:paraId="21351392" w14:textId="77777777" w:rsidR="006C686E" w:rsidRDefault="00B17E8C">
            <w:pPr>
              <w:pStyle w:val="P68B1DB1-Normal26"/>
              <w:spacing w:after="0" w:line="240" w:lineRule="auto"/>
              <w:jc w:val="center"/>
              <w:rPr>
                <w:rFonts w:eastAsia="Times New Roman"/>
                <w:noProof/>
              </w:rPr>
            </w:pPr>
            <w:r>
              <w:rPr>
                <w:noProof/>
              </w:rPr>
              <w:t>Entrée en vigueur du nouveau régime juridique applicable aux centres de technologie et d'innovation</w:t>
            </w:r>
          </w:p>
        </w:tc>
        <w:tc>
          <w:tcPr>
            <w:tcW w:w="2127" w:type="dxa"/>
            <w:shd w:val="clear" w:color="auto" w:fill="C4EFCE"/>
            <w:vAlign w:val="center"/>
            <w:hideMark/>
          </w:tcPr>
          <w:p w14:paraId="0C3C7CA4" w14:textId="77777777" w:rsidR="006C686E" w:rsidRDefault="00B17E8C">
            <w:pPr>
              <w:pStyle w:val="P68B1DB1-Normal26"/>
              <w:spacing w:after="0" w:line="240" w:lineRule="auto"/>
              <w:jc w:val="center"/>
              <w:rPr>
                <w:rFonts w:eastAsia="Times New Roman"/>
                <w:noProof/>
              </w:rPr>
            </w:pPr>
            <w:r>
              <w:rPr>
                <w:noProof/>
              </w:rPr>
              <w:t xml:space="preserve">Entrée en vigueur du nouveau régime juridique applicable aux centres de technologie et d'innovation </w:t>
            </w:r>
          </w:p>
        </w:tc>
        <w:tc>
          <w:tcPr>
            <w:tcW w:w="992" w:type="dxa"/>
            <w:shd w:val="clear" w:color="auto" w:fill="C4EFCE"/>
            <w:vAlign w:val="center"/>
            <w:hideMark/>
          </w:tcPr>
          <w:p w14:paraId="078666B0"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4A1E2FE0" w14:textId="77777777" w:rsidR="006C686E" w:rsidRDefault="00B17E8C">
            <w:pPr>
              <w:pStyle w:val="P68B1DB1-Normal26"/>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31F7839"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6953DFFF"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hideMark/>
          </w:tcPr>
          <w:p w14:paraId="51C529CE" w14:textId="77777777" w:rsidR="006C686E" w:rsidRDefault="00B17E8C">
            <w:pPr>
              <w:pStyle w:val="P68B1DB1-Normal26"/>
              <w:spacing w:after="0" w:line="240" w:lineRule="auto"/>
              <w:jc w:val="center"/>
              <w:rPr>
                <w:rFonts w:eastAsia="Times New Roman"/>
                <w:noProof/>
              </w:rPr>
            </w:pPr>
            <w:r>
              <w:rPr>
                <w:noProof/>
              </w:rPr>
              <w:t>2021</w:t>
            </w:r>
          </w:p>
        </w:tc>
        <w:tc>
          <w:tcPr>
            <w:tcW w:w="3898" w:type="dxa"/>
            <w:shd w:val="clear" w:color="auto" w:fill="C4EFCE"/>
            <w:vAlign w:val="center"/>
            <w:hideMark/>
          </w:tcPr>
          <w:p w14:paraId="13E1B176" w14:textId="77777777" w:rsidR="006C686E" w:rsidRDefault="00B17E8C">
            <w:pPr>
              <w:pStyle w:val="P68B1DB1-Normal26"/>
              <w:spacing w:after="0" w:line="240" w:lineRule="auto"/>
              <w:jc w:val="both"/>
              <w:rPr>
                <w:rFonts w:eastAsia="Times New Roman"/>
                <w:noProof/>
              </w:rPr>
            </w:pPr>
            <w:r>
              <w:rPr>
                <w:noProof/>
              </w:rPr>
              <w:t>La législation réexamine et normalise le cadre législatif et réglementaire des entités faisant partie du système scientifique et technologique, en définissant son modèle de financement et d’évaluation.</w:t>
            </w:r>
          </w:p>
        </w:tc>
      </w:tr>
      <w:tr w:rsidR="006C686E" w14:paraId="37F041C2" w14:textId="77777777" w:rsidTr="006E2673">
        <w:trPr>
          <w:trHeight w:val="882"/>
          <w:jc w:val="center"/>
        </w:trPr>
        <w:tc>
          <w:tcPr>
            <w:tcW w:w="1129" w:type="dxa"/>
            <w:shd w:val="clear" w:color="auto" w:fill="C4EFCE"/>
            <w:vAlign w:val="center"/>
            <w:hideMark/>
          </w:tcPr>
          <w:p w14:paraId="411245D7" w14:textId="77777777" w:rsidR="006C686E" w:rsidRDefault="00B17E8C">
            <w:pPr>
              <w:pStyle w:val="P68B1DB1-Normal25"/>
              <w:spacing w:after="0" w:line="240" w:lineRule="auto"/>
              <w:jc w:val="center"/>
              <w:rPr>
                <w:rFonts w:eastAsia="Times New Roman"/>
                <w:noProof/>
              </w:rPr>
            </w:pPr>
            <w:r>
              <w:rPr>
                <w:noProof/>
              </w:rPr>
              <w:t>5.4</w:t>
            </w:r>
          </w:p>
        </w:tc>
        <w:tc>
          <w:tcPr>
            <w:tcW w:w="1418" w:type="dxa"/>
            <w:shd w:val="clear" w:color="auto" w:fill="C4EFCE"/>
            <w:vAlign w:val="center"/>
            <w:hideMark/>
          </w:tcPr>
          <w:p w14:paraId="750E2D82" w14:textId="77777777" w:rsidR="006C686E" w:rsidRDefault="00B17E8C">
            <w:pPr>
              <w:pStyle w:val="P68B1DB1-Normal26"/>
              <w:spacing w:after="0" w:line="240" w:lineRule="auto"/>
              <w:jc w:val="center"/>
              <w:rPr>
                <w:rFonts w:eastAsia="Times New Roman"/>
                <w:noProof/>
              </w:rPr>
            </w:pPr>
            <w:r>
              <w:rPr>
                <w:noProof/>
              </w:rPr>
              <w:t>RE-C05-r12</w:t>
            </w:r>
          </w:p>
        </w:tc>
        <w:tc>
          <w:tcPr>
            <w:tcW w:w="1417" w:type="dxa"/>
            <w:shd w:val="clear" w:color="auto" w:fill="C4EFCE"/>
            <w:vAlign w:val="center"/>
            <w:hideMark/>
          </w:tcPr>
          <w:p w14:paraId="3BF4BD5A"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hideMark/>
          </w:tcPr>
          <w:p w14:paraId="3710F98A" w14:textId="77777777" w:rsidR="006C686E" w:rsidRDefault="00B17E8C">
            <w:pPr>
              <w:pStyle w:val="P68B1DB1-Normal26"/>
              <w:spacing w:after="0" w:line="240" w:lineRule="auto"/>
              <w:jc w:val="center"/>
              <w:rPr>
                <w:rFonts w:eastAsia="Times New Roman"/>
                <w:noProof/>
              </w:rPr>
            </w:pPr>
            <w:r>
              <w:rPr>
                <w:noProof/>
              </w:rPr>
              <w:t>Approbation du programme d'innovation pour l'agriculture</w:t>
            </w:r>
          </w:p>
        </w:tc>
        <w:tc>
          <w:tcPr>
            <w:tcW w:w="2127" w:type="dxa"/>
            <w:shd w:val="clear" w:color="auto" w:fill="C4EFCE"/>
            <w:vAlign w:val="center"/>
            <w:hideMark/>
          </w:tcPr>
          <w:p w14:paraId="214206CA" w14:textId="77777777" w:rsidR="006C686E" w:rsidRDefault="00B17E8C">
            <w:pPr>
              <w:pStyle w:val="P68B1DB1-Normal26"/>
              <w:spacing w:after="0" w:line="240" w:lineRule="auto"/>
              <w:jc w:val="center"/>
              <w:rPr>
                <w:rFonts w:eastAsia="Times New Roman"/>
                <w:noProof/>
              </w:rPr>
            </w:pPr>
            <w:r>
              <w:rPr>
                <w:noProof/>
              </w:rPr>
              <w:t>Approbation du programme d'innovation pour l'agriculture</w:t>
            </w:r>
          </w:p>
        </w:tc>
        <w:tc>
          <w:tcPr>
            <w:tcW w:w="992" w:type="dxa"/>
            <w:shd w:val="clear" w:color="auto" w:fill="C4EFCE"/>
            <w:vAlign w:val="center"/>
            <w:hideMark/>
          </w:tcPr>
          <w:p w14:paraId="7D0B3D2F"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3337310E" w14:textId="77777777" w:rsidR="006C686E" w:rsidRDefault="00B17E8C">
            <w:pPr>
              <w:pStyle w:val="P68B1DB1-Normal26"/>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6761BF06"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2BEA3A53"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hideMark/>
          </w:tcPr>
          <w:p w14:paraId="53CC4044" w14:textId="77777777" w:rsidR="006C686E" w:rsidRDefault="00B17E8C">
            <w:pPr>
              <w:pStyle w:val="P68B1DB1-Normal26"/>
              <w:spacing w:after="0" w:line="240" w:lineRule="auto"/>
              <w:jc w:val="center"/>
              <w:rPr>
                <w:rFonts w:eastAsia="Times New Roman"/>
                <w:noProof/>
              </w:rPr>
            </w:pPr>
            <w:r>
              <w:rPr>
                <w:noProof/>
              </w:rPr>
              <w:t>2020</w:t>
            </w:r>
          </w:p>
        </w:tc>
        <w:tc>
          <w:tcPr>
            <w:tcW w:w="3898" w:type="dxa"/>
            <w:shd w:val="clear" w:color="auto" w:fill="C4EFCE"/>
            <w:vAlign w:val="center"/>
            <w:hideMark/>
          </w:tcPr>
          <w:p w14:paraId="5DCA60CB" w14:textId="2039CC93" w:rsidR="006C686E" w:rsidRDefault="00B17E8C">
            <w:pPr>
              <w:pStyle w:val="P68B1DB1-Normal26"/>
              <w:spacing w:after="0" w:line="240" w:lineRule="auto"/>
              <w:jc w:val="both"/>
              <w:rPr>
                <w:rFonts w:eastAsia="Times New Roman"/>
                <w:noProof/>
              </w:rPr>
            </w:pPr>
            <w:r>
              <w:rPr>
                <w:noProof/>
              </w:rPr>
              <w:t>Publication de la décision du Conseil des ministres approuvant le programme d'innovation pour l'agriculture. Décision du Conseil des ministres publiée le 15 octobre 2020.</w:t>
            </w:r>
          </w:p>
        </w:tc>
      </w:tr>
      <w:tr w:rsidR="006C686E" w14:paraId="29898BA6" w14:textId="77777777" w:rsidTr="006E2673">
        <w:trPr>
          <w:trHeight w:val="290"/>
          <w:jc w:val="center"/>
        </w:trPr>
        <w:tc>
          <w:tcPr>
            <w:tcW w:w="1129" w:type="dxa"/>
            <w:shd w:val="clear" w:color="auto" w:fill="C4EFCE"/>
            <w:vAlign w:val="center"/>
            <w:hideMark/>
          </w:tcPr>
          <w:p w14:paraId="17178C8A" w14:textId="77777777" w:rsidR="006C686E" w:rsidRDefault="00B17E8C">
            <w:pPr>
              <w:pStyle w:val="P68B1DB1-Normal25"/>
              <w:spacing w:after="0" w:line="240" w:lineRule="auto"/>
              <w:jc w:val="center"/>
              <w:rPr>
                <w:rFonts w:eastAsia="Times New Roman"/>
                <w:noProof/>
              </w:rPr>
            </w:pPr>
            <w:r>
              <w:rPr>
                <w:noProof/>
              </w:rPr>
              <w:t>5.5</w:t>
            </w:r>
          </w:p>
        </w:tc>
        <w:tc>
          <w:tcPr>
            <w:tcW w:w="1418" w:type="dxa"/>
            <w:shd w:val="clear" w:color="auto" w:fill="C4EFCE"/>
            <w:vAlign w:val="center"/>
            <w:hideMark/>
          </w:tcPr>
          <w:p w14:paraId="7D775488" w14:textId="77777777" w:rsidR="006C686E" w:rsidRDefault="00B17E8C">
            <w:pPr>
              <w:pStyle w:val="P68B1DB1-Normal26"/>
              <w:spacing w:after="0" w:line="240" w:lineRule="auto"/>
              <w:jc w:val="center"/>
              <w:rPr>
                <w:rFonts w:eastAsia="Times New Roman"/>
                <w:noProof/>
              </w:rPr>
            </w:pPr>
            <w:r>
              <w:rPr>
                <w:noProof/>
              </w:rPr>
              <w:t>RE-C05-i01.01</w:t>
            </w:r>
          </w:p>
        </w:tc>
        <w:tc>
          <w:tcPr>
            <w:tcW w:w="1417" w:type="dxa"/>
            <w:shd w:val="clear" w:color="auto" w:fill="C4EFCE"/>
            <w:vAlign w:val="center"/>
            <w:hideMark/>
          </w:tcPr>
          <w:p w14:paraId="65F2F3C5"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347EAAE7" w14:textId="77777777" w:rsidR="006C686E" w:rsidRDefault="00B17E8C">
            <w:pPr>
              <w:pStyle w:val="P68B1DB1-Normal26"/>
              <w:spacing w:after="0" w:line="240" w:lineRule="auto"/>
              <w:jc w:val="center"/>
              <w:rPr>
                <w:rFonts w:eastAsia="Times New Roman"/>
                <w:noProof/>
              </w:rPr>
            </w:pPr>
            <w:r>
              <w:rPr>
                <w:noProof/>
              </w:rPr>
              <w:t>Conclusion de contrats pour développer de nouveaux produits, procédés ou services dans des domaines stratégiques pertinents (programmes d’innovation).</w:t>
            </w:r>
          </w:p>
        </w:tc>
        <w:tc>
          <w:tcPr>
            <w:tcW w:w="2127" w:type="dxa"/>
            <w:shd w:val="clear" w:color="auto" w:fill="C4EFCE"/>
            <w:vAlign w:val="center"/>
            <w:hideMark/>
          </w:tcPr>
          <w:p w14:paraId="7A6F2DB1"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1638CDF9"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1C4287E0"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3F635B9D" w14:textId="77777777" w:rsidR="006C686E" w:rsidRDefault="00B17E8C">
            <w:pPr>
              <w:pStyle w:val="P68B1DB1-Normal26"/>
              <w:spacing w:after="0" w:line="240" w:lineRule="auto"/>
              <w:jc w:val="center"/>
              <w:rPr>
                <w:rFonts w:eastAsia="Times New Roman"/>
                <w:noProof/>
              </w:rPr>
            </w:pPr>
            <w:r>
              <w:rPr>
                <w:noProof/>
              </w:rPr>
              <w:t>6</w:t>
            </w:r>
          </w:p>
        </w:tc>
        <w:tc>
          <w:tcPr>
            <w:tcW w:w="567" w:type="dxa"/>
            <w:shd w:val="clear" w:color="auto" w:fill="C4EFCE"/>
            <w:vAlign w:val="center"/>
            <w:hideMark/>
          </w:tcPr>
          <w:p w14:paraId="61BE7B90"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hideMark/>
          </w:tcPr>
          <w:p w14:paraId="639721DF" w14:textId="77777777" w:rsidR="006C686E" w:rsidRDefault="00B17E8C">
            <w:pPr>
              <w:pStyle w:val="P68B1DB1-Normal26"/>
              <w:spacing w:after="0" w:line="240" w:lineRule="auto"/>
              <w:jc w:val="center"/>
              <w:rPr>
                <w:rFonts w:eastAsia="Times New Roman"/>
                <w:noProof/>
              </w:rPr>
            </w:pPr>
            <w:r>
              <w:rPr>
                <w:noProof/>
              </w:rPr>
              <w:t>2022</w:t>
            </w:r>
          </w:p>
        </w:tc>
        <w:tc>
          <w:tcPr>
            <w:tcW w:w="3898" w:type="dxa"/>
            <w:shd w:val="clear" w:color="auto" w:fill="C4EFCE"/>
            <w:vAlign w:val="center"/>
            <w:hideMark/>
          </w:tcPr>
          <w:p w14:paraId="37FB4AB1" w14:textId="77777777" w:rsidR="006C686E" w:rsidRDefault="00B17E8C">
            <w:pPr>
              <w:pStyle w:val="P68B1DB1-Normal26"/>
              <w:spacing w:after="0" w:line="240" w:lineRule="auto"/>
              <w:jc w:val="both"/>
              <w:rPr>
                <w:noProof/>
              </w:rPr>
            </w:pPr>
            <w:r>
              <w:rPr>
                <w:noProof/>
              </w:rPr>
              <w:t xml:space="preserve">Conclusion de six contrats (pactes d'innovation ou projets mobilisateurs) avec des consortiums, qui comprendront: </w:t>
            </w:r>
          </w:p>
          <w:p w14:paraId="3E6D4A9B" w14:textId="77777777" w:rsidR="006C686E" w:rsidRDefault="00B17E8C">
            <w:pPr>
              <w:pStyle w:val="P68B1DB1-ListParagraph35"/>
              <w:numPr>
                <w:ilvl w:val="0"/>
                <w:numId w:val="23"/>
              </w:numPr>
              <w:spacing w:after="0" w:line="240" w:lineRule="auto"/>
              <w:ind w:left="309" w:hanging="309"/>
              <w:jc w:val="both"/>
              <w:rPr>
                <w:rFonts w:eastAsia="Times New Roman"/>
                <w:noProof/>
              </w:rPr>
            </w:pPr>
            <w:r>
              <w:rPr>
                <w:noProof/>
              </w:rPr>
              <w:t xml:space="preserve">Identification des entités constitutives du consortium; </w:t>
            </w:r>
          </w:p>
          <w:p w14:paraId="01D40224" w14:textId="77777777" w:rsidR="006C686E" w:rsidRDefault="00B17E8C">
            <w:pPr>
              <w:pStyle w:val="P68B1DB1-ListParagraph35"/>
              <w:numPr>
                <w:ilvl w:val="0"/>
                <w:numId w:val="23"/>
              </w:numPr>
              <w:spacing w:after="0" w:line="240" w:lineRule="auto"/>
              <w:ind w:left="309" w:hanging="309"/>
              <w:jc w:val="both"/>
              <w:rPr>
                <w:rFonts w:eastAsia="Times New Roman"/>
                <w:noProof/>
              </w:rPr>
            </w:pPr>
            <w:r>
              <w:rPr>
                <w:noProof/>
              </w:rPr>
              <w:t>le plan d’entreprise/l’investissement;</w:t>
            </w:r>
          </w:p>
          <w:p w14:paraId="3D62CCC9" w14:textId="77777777" w:rsidR="006C686E" w:rsidRDefault="00B17E8C">
            <w:pPr>
              <w:pStyle w:val="P68B1DB1-ListParagraph35"/>
              <w:numPr>
                <w:ilvl w:val="0"/>
                <w:numId w:val="23"/>
              </w:numPr>
              <w:spacing w:after="0" w:line="240" w:lineRule="auto"/>
              <w:ind w:left="309" w:hanging="309"/>
              <w:jc w:val="both"/>
              <w:rPr>
                <w:rFonts w:eastAsia="Times New Roman"/>
                <w:noProof/>
              </w:rPr>
            </w:pPr>
            <w:r>
              <w:rPr>
                <w:noProof/>
              </w:rPr>
              <w:t xml:space="preserve">le montant du financement; </w:t>
            </w:r>
          </w:p>
          <w:p w14:paraId="12570D39" w14:textId="77777777" w:rsidR="006C686E" w:rsidRDefault="00B17E8C">
            <w:pPr>
              <w:pStyle w:val="P68B1DB1-ListParagraph35"/>
              <w:numPr>
                <w:ilvl w:val="0"/>
                <w:numId w:val="23"/>
              </w:numPr>
              <w:spacing w:after="0" w:line="240" w:lineRule="auto"/>
              <w:ind w:left="309" w:hanging="309"/>
              <w:jc w:val="both"/>
              <w:rPr>
                <w:rFonts w:eastAsia="Times New Roman"/>
                <w:noProof/>
              </w:rPr>
            </w:pPr>
            <w:r>
              <w:rPr>
                <w:noProof/>
              </w:rPr>
              <w:t xml:space="preserve">les objectifs auxquels le bénéficiaire est lié; </w:t>
            </w:r>
          </w:p>
          <w:p w14:paraId="30A2F1CA" w14:textId="77777777" w:rsidR="006C686E" w:rsidRDefault="00B17E8C">
            <w:pPr>
              <w:pStyle w:val="P68B1DB1-ListParagraph35"/>
              <w:numPr>
                <w:ilvl w:val="0"/>
                <w:numId w:val="23"/>
              </w:numPr>
              <w:spacing w:after="0" w:line="240" w:lineRule="auto"/>
              <w:ind w:left="309" w:hanging="309"/>
              <w:jc w:val="both"/>
              <w:rPr>
                <w:rFonts w:eastAsia="Times New Roman"/>
                <w:noProof/>
              </w:rPr>
            </w:pPr>
            <w:r>
              <w:rPr>
                <w:noProof/>
              </w:rPr>
              <w:t xml:space="preserve">La forme du suivi. </w:t>
            </w:r>
          </w:p>
          <w:p w14:paraId="7622A10E" w14:textId="77777777" w:rsidR="006C686E" w:rsidRDefault="00B17E8C">
            <w:pPr>
              <w:pStyle w:val="P68B1DB1-Normal26"/>
              <w:spacing w:after="0" w:line="240" w:lineRule="auto"/>
              <w:jc w:val="both"/>
              <w:rPr>
                <w:rFonts w:eastAsia="Times New Roman"/>
                <w:noProof/>
              </w:rPr>
            </w:pPr>
            <w:r>
              <w:rPr>
                <w:noProof/>
              </w:rPr>
              <w:t>Les contrats portent sur un total d’au moins 60 produits, procédés ou services. Le cahier des charges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6C686E" w14:paraId="4D24F925" w14:textId="77777777" w:rsidTr="006E2673">
        <w:trPr>
          <w:trHeight w:val="769"/>
          <w:jc w:val="center"/>
        </w:trPr>
        <w:tc>
          <w:tcPr>
            <w:tcW w:w="1129" w:type="dxa"/>
            <w:shd w:val="clear" w:color="auto" w:fill="C4EFCE"/>
            <w:vAlign w:val="center"/>
            <w:hideMark/>
          </w:tcPr>
          <w:p w14:paraId="1CBF38FF" w14:textId="77777777" w:rsidR="006C686E" w:rsidRDefault="00B17E8C">
            <w:pPr>
              <w:pStyle w:val="P68B1DB1-Normal25"/>
              <w:spacing w:after="0" w:line="240" w:lineRule="auto"/>
              <w:jc w:val="center"/>
              <w:rPr>
                <w:rFonts w:eastAsia="Times New Roman"/>
                <w:bCs/>
                <w:noProof/>
              </w:rPr>
            </w:pPr>
            <w:r>
              <w:rPr>
                <w:noProof/>
              </w:rPr>
              <w:t>5.6</w:t>
            </w:r>
          </w:p>
        </w:tc>
        <w:tc>
          <w:tcPr>
            <w:tcW w:w="1418" w:type="dxa"/>
            <w:shd w:val="clear" w:color="auto" w:fill="C4EFCE"/>
            <w:vAlign w:val="center"/>
            <w:hideMark/>
          </w:tcPr>
          <w:p w14:paraId="6EFA525F" w14:textId="77777777" w:rsidR="006C686E" w:rsidRDefault="00B17E8C">
            <w:pPr>
              <w:pStyle w:val="P68B1DB1-Normal26"/>
              <w:spacing w:after="0" w:line="240" w:lineRule="auto"/>
              <w:jc w:val="center"/>
              <w:rPr>
                <w:rFonts w:eastAsia="Times New Roman"/>
                <w:noProof/>
              </w:rPr>
            </w:pPr>
            <w:r>
              <w:rPr>
                <w:noProof/>
              </w:rPr>
              <w:t>RE-C05-i01.01</w:t>
            </w:r>
          </w:p>
        </w:tc>
        <w:tc>
          <w:tcPr>
            <w:tcW w:w="1417" w:type="dxa"/>
            <w:shd w:val="clear" w:color="auto" w:fill="C4EFCE"/>
            <w:vAlign w:val="center"/>
            <w:hideMark/>
          </w:tcPr>
          <w:p w14:paraId="1436E825"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2A510A0A" w14:textId="575E7F86" w:rsidR="006C686E" w:rsidRDefault="00B17E8C">
            <w:pPr>
              <w:pStyle w:val="P68B1DB1-Normal26"/>
              <w:spacing w:after="0" w:line="240" w:lineRule="auto"/>
              <w:jc w:val="center"/>
              <w:rPr>
                <w:rFonts w:eastAsia="Times New Roman"/>
                <w:noProof/>
              </w:rPr>
            </w:pPr>
            <w:r>
              <w:rPr>
                <w:noProof/>
              </w:rPr>
              <w:t>Produits, procédés ou services</w:t>
            </w:r>
          </w:p>
        </w:tc>
        <w:tc>
          <w:tcPr>
            <w:tcW w:w="2127" w:type="dxa"/>
            <w:shd w:val="clear" w:color="auto" w:fill="C4EFCE"/>
            <w:vAlign w:val="center"/>
            <w:hideMark/>
          </w:tcPr>
          <w:p w14:paraId="01FAEC57"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12497CC1"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2843C5F8"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4B0E7B02" w14:textId="77777777" w:rsidR="006C686E" w:rsidRDefault="00B17E8C">
            <w:pPr>
              <w:pStyle w:val="P68B1DB1-Normal26"/>
              <w:spacing w:after="0" w:line="240" w:lineRule="auto"/>
              <w:jc w:val="center"/>
              <w:rPr>
                <w:rFonts w:eastAsia="Times New Roman"/>
                <w:noProof/>
              </w:rPr>
            </w:pPr>
            <w:r>
              <w:rPr>
                <w:noProof/>
              </w:rPr>
              <w:t>366</w:t>
            </w:r>
          </w:p>
        </w:tc>
        <w:tc>
          <w:tcPr>
            <w:tcW w:w="567" w:type="dxa"/>
            <w:shd w:val="clear" w:color="auto" w:fill="C4EFCE"/>
            <w:vAlign w:val="center"/>
            <w:hideMark/>
          </w:tcPr>
          <w:p w14:paraId="0591D33F" w14:textId="77777777" w:rsidR="006C686E" w:rsidRDefault="00B17E8C">
            <w:pPr>
              <w:pStyle w:val="P68B1DB1-Normal26"/>
              <w:spacing w:after="0" w:line="240" w:lineRule="auto"/>
              <w:jc w:val="center"/>
              <w:rPr>
                <w:rFonts w:eastAsia="Times New Roman"/>
                <w:noProof/>
              </w:rPr>
            </w:pPr>
            <w:r>
              <w:rPr>
                <w:noProof/>
              </w:rPr>
              <w:t>T2</w:t>
            </w:r>
          </w:p>
        </w:tc>
        <w:tc>
          <w:tcPr>
            <w:tcW w:w="851" w:type="dxa"/>
            <w:shd w:val="clear" w:color="auto" w:fill="C4EFCE"/>
            <w:vAlign w:val="center"/>
            <w:hideMark/>
          </w:tcPr>
          <w:p w14:paraId="4661D15B" w14:textId="77777777" w:rsidR="006C686E" w:rsidRDefault="00B17E8C">
            <w:pPr>
              <w:pStyle w:val="P68B1DB1-Normal26"/>
              <w:spacing w:after="0" w:line="240" w:lineRule="auto"/>
              <w:jc w:val="center"/>
              <w:rPr>
                <w:rFonts w:eastAsia="Times New Roman"/>
                <w:noProof/>
              </w:rPr>
            </w:pPr>
            <w:r>
              <w:rPr>
                <w:noProof/>
              </w:rPr>
              <w:t>2026</w:t>
            </w:r>
          </w:p>
        </w:tc>
        <w:tc>
          <w:tcPr>
            <w:tcW w:w="3898" w:type="dxa"/>
            <w:shd w:val="clear" w:color="auto" w:fill="C4EFCE"/>
            <w:vAlign w:val="center"/>
            <w:hideMark/>
          </w:tcPr>
          <w:p w14:paraId="31A9761D" w14:textId="63D3F475" w:rsidR="006C686E" w:rsidRDefault="00B17E8C">
            <w:pPr>
              <w:pStyle w:val="P68B1DB1-Normal26"/>
              <w:spacing w:after="0" w:line="240" w:lineRule="auto"/>
              <w:jc w:val="both"/>
              <w:rPr>
                <w:rFonts w:eastAsia="Times New Roman"/>
                <w:noProof/>
              </w:rPr>
            </w:pPr>
            <w:r>
              <w:rPr>
                <w:noProof/>
              </w:rPr>
              <w:t>Évaluation positive par les autorités des rapports finaux d’exécution de 366 produits, processus ou services résultant des contrats.</w:t>
            </w:r>
          </w:p>
        </w:tc>
      </w:tr>
      <w:tr w:rsidR="006C686E" w14:paraId="3821693B" w14:textId="77777777" w:rsidTr="006E2673">
        <w:trPr>
          <w:trHeight w:val="3677"/>
          <w:jc w:val="center"/>
        </w:trPr>
        <w:tc>
          <w:tcPr>
            <w:tcW w:w="1129" w:type="dxa"/>
            <w:shd w:val="clear" w:color="auto" w:fill="C4EFCE"/>
            <w:vAlign w:val="center"/>
            <w:hideMark/>
          </w:tcPr>
          <w:p w14:paraId="1E76ECA4" w14:textId="77777777" w:rsidR="006C686E" w:rsidRDefault="00B17E8C">
            <w:pPr>
              <w:pStyle w:val="P68B1DB1-Normal25"/>
              <w:spacing w:after="0" w:line="240" w:lineRule="auto"/>
              <w:jc w:val="center"/>
              <w:rPr>
                <w:rFonts w:eastAsia="Times New Roman"/>
                <w:noProof/>
              </w:rPr>
            </w:pPr>
            <w:r>
              <w:rPr>
                <w:noProof/>
              </w:rPr>
              <w:t>5.7 </w:t>
            </w:r>
          </w:p>
        </w:tc>
        <w:tc>
          <w:tcPr>
            <w:tcW w:w="1418" w:type="dxa"/>
            <w:shd w:val="clear" w:color="auto" w:fill="C4EFCE"/>
            <w:vAlign w:val="center"/>
            <w:hideMark/>
          </w:tcPr>
          <w:p w14:paraId="53610E24" w14:textId="77777777" w:rsidR="006C686E" w:rsidRDefault="00B17E8C">
            <w:pPr>
              <w:pStyle w:val="P68B1DB1-Normal26"/>
              <w:spacing w:after="0" w:line="240" w:lineRule="auto"/>
              <w:jc w:val="center"/>
              <w:rPr>
                <w:rFonts w:eastAsia="Times New Roman"/>
                <w:noProof/>
              </w:rPr>
            </w:pPr>
            <w:r>
              <w:rPr>
                <w:noProof/>
              </w:rPr>
              <w:t>RE-C05-i01.02</w:t>
            </w:r>
          </w:p>
        </w:tc>
        <w:tc>
          <w:tcPr>
            <w:tcW w:w="1417" w:type="dxa"/>
            <w:shd w:val="clear" w:color="auto" w:fill="C4EFCE"/>
            <w:vAlign w:val="center"/>
            <w:hideMark/>
          </w:tcPr>
          <w:p w14:paraId="4D686E9E"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3A6880AF" w14:textId="77777777" w:rsidR="006C686E" w:rsidRDefault="00B17E8C">
            <w:pPr>
              <w:pStyle w:val="P68B1DB1-Normal26"/>
              <w:spacing w:after="0" w:line="240" w:lineRule="auto"/>
              <w:jc w:val="center"/>
              <w:rPr>
                <w:rFonts w:eastAsia="Times New Roman"/>
                <w:noProof/>
              </w:rPr>
            </w:pPr>
            <w:r>
              <w:rPr>
                <w:noProof/>
              </w:rPr>
              <w:t xml:space="preserve">Conclusion de contrats pour développer de nouveaux produits, procédés ou services dans des domaines stratégiques liés à l’économie à faible intensité de carbone, à la résilience et à l’adaptation au changement climatique. </w:t>
            </w:r>
          </w:p>
        </w:tc>
        <w:tc>
          <w:tcPr>
            <w:tcW w:w="2127" w:type="dxa"/>
            <w:shd w:val="clear" w:color="auto" w:fill="C4EFCE"/>
            <w:vAlign w:val="center"/>
            <w:hideMark/>
          </w:tcPr>
          <w:p w14:paraId="561D98E2"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487EF1BD"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490CBF1E"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090CCB7A" w14:textId="77777777" w:rsidR="006C686E" w:rsidRDefault="00B17E8C">
            <w:pPr>
              <w:pStyle w:val="P68B1DB1-Normal26"/>
              <w:spacing w:after="0" w:line="240" w:lineRule="auto"/>
              <w:jc w:val="center"/>
              <w:rPr>
                <w:rFonts w:eastAsia="Times New Roman"/>
                <w:noProof/>
              </w:rPr>
            </w:pPr>
            <w:r>
              <w:rPr>
                <w:noProof/>
              </w:rPr>
              <w:t>4</w:t>
            </w:r>
          </w:p>
        </w:tc>
        <w:tc>
          <w:tcPr>
            <w:tcW w:w="567" w:type="dxa"/>
            <w:shd w:val="clear" w:color="auto" w:fill="C4EFCE"/>
            <w:vAlign w:val="center"/>
            <w:hideMark/>
          </w:tcPr>
          <w:p w14:paraId="4AE6B82C"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hideMark/>
          </w:tcPr>
          <w:p w14:paraId="10345A50" w14:textId="77777777" w:rsidR="006C686E" w:rsidRDefault="00B17E8C">
            <w:pPr>
              <w:pStyle w:val="P68B1DB1-Normal26"/>
              <w:spacing w:after="0" w:line="240" w:lineRule="auto"/>
              <w:jc w:val="center"/>
              <w:rPr>
                <w:rFonts w:eastAsia="Times New Roman"/>
                <w:noProof/>
              </w:rPr>
            </w:pPr>
            <w:r>
              <w:rPr>
                <w:noProof/>
              </w:rPr>
              <w:t>2022</w:t>
            </w:r>
          </w:p>
        </w:tc>
        <w:tc>
          <w:tcPr>
            <w:tcW w:w="3898" w:type="dxa"/>
            <w:shd w:val="clear" w:color="auto" w:fill="C4EFCE"/>
            <w:vAlign w:val="center"/>
            <w:hideMark/>
          </w:tcPr>
          <w:p w14:paraId="437958DF" w14:textId="77777777" w:rsidR="006C686E" w:rsidRDefault="00B17E8C">
            <w:pPr>
              <w:pStyle w:val="P68B1DB1-Normal26"/>
              <w:spacing w:after="0" w:line="240" w:lineRule="auto"/>
              <w:jc w:val="both"/>
              <w:rPr>
                <w:noProof/>
              </w:rPr>
            </w:pPr>
            <w:r>
              <w:rPr>
                <w:noProof/>
              </w:rPr>
              <w:t xml:space="preserve">Conclusion de quatre contrats (pactes d'innovation ou projets mobilisateurs) avec des consortiums, qui comprendront: </w:t>
            </w:r>
          </w:p>
          <w:p w14:paraId="21534A7D" w14:textId="77777777" w:rsidR="006C686E" w:rsidRDefault="00B17E8C">
            <w:pPr>
              <w:pStyle w:val="P68B1DB1-ListParagraph35"/>
              <w:numPr>
                <w:ilvl w:val="0"/>
                <w:numId w:val="31"/>
              </w:numPr>
              <w:spacing w:after="0" w:line="240" w:lineRule="auto"/>
              <w:ind w:left="309" w:hanging="283"/>
              <w:jc w:val="both"/>
              <w:rPr>
                <w:rFonts w:eastAsia="Times New Roman"/>
                <w:noProof/>
              </w:rPr>
            </w:pPr>
            <w:r>
              <w:rPr>
                <w:noProof/>
              </w:rPr>
              <w:t>Identification des entités constitutives du consortium;</w:t>
            </w:r>
          </w:p>
          <w:p w14:paraId="135D7155" w14:textId="77777777" w:rsidR="006C686E" w:rsidRDefault="00B17E8C">
            <w:pPr>
              <w:pStyle w:val="P68B1DB1-ListParagraph35"/>
              <w:numPr>
                <w:ilvl w:val="0"/>
                <w:numId w:val="31"/>
              </w:numPr>
              <w:spacing w:after="0" w:line="240" w:lineRule="auto"/>
              <w:ind w:left="309" w:hanging="283"/>
              <w:jc w:val="both"/>
              <w:rPr>
                <w:rFonts w:eastAsia="Times New Roman"/>
                <w:noProof/>
              </w:rPr>
            </w:pPr>
            <w:r>
              <w:rPr>
                <w:noProof/>
              </w:rPr>
              <w:t xml:space="preserve">le plan d’entreprise/l’investissement; </w:t>
            </w:r>
          </w:p>
          <w:p w14:paraId="02D18E25" w14:textId="77777777" w:rsidR="006C686E" w:rsidRDefault="00B17E8C">
            <w:pPr>
              <w:pStyle w:val="P68B1DB1-ListParagraph35"/>
              <w:numPr>
                <w:ilvl w:val="0"/>
                <w:numId w:val="31"/>
              </w:numPr>
              <w:spacing w:after="0" w:line="240" w:lineRule="auto"/>
              <w:ind w:left="309" w:hanging="283"/>
              <w:jc w:val="both"/>
              <w:rPr>
                <w:rFonts w:eastAsia="Times New Roman"/>
                <w:noProof/>
              </w:rPr>
            </w:pPr>
            <w:r>
              <w:rPr>
                <w:noProof/>
              </w:rPr>
              <w:t xml:space="preserve">le montant du financement; </w:t>
            </w:r>
          </w:p>
          <w:p w14:paraId="3C46C0C3" w14:textId="77777777" w:rsidR="006C686E" w:rsidRDefault="00B17E8C">
            <w:pPr>
              <w:pStyle w:val="P68B1DB1-ListParagraph35"/>
              <w:numPr>
                <w:ilvl w:val="0"/>
                <w:numId w:val="31"/>
              </w:numPr>
              <w:spacing w:after="0" w:line="240" w:lineRule="auto"/>
              <w:ind w:left="309" w:hanging="283"/>
              <w:jc w:val="both"/>
              <w:rPr>
                <w:rFonts w:eastAsia="Times New Roman"/>
                <w:noProof/>
              </w:rPr>
            </w:pPr>
            <w:r>
              <w:rPr>
                <w:noProof/>
              </w:rPr>
              <w:t xml:space="preserve">les objectifs auxquels le bénéficiaire est lié; </w:t>
            </w:r>
          </w:p>
          <w:p w14:paraId="015DCFD7" w14:textId="77777777" w:rsidR="006C686E" w:rsidRDefault="00B17E8C">
            <w:pPr>
              <w:pStyle w:val="P68B1DB1-ListParagraph35"/>
              <w:numPr>
                <w:ilvl w:val="0"/>
                <w:numId w:val="31"/>
              </w:numPr>
              <w:spacing w:after="0" w:line="240" w:lineRule="auto"/>
              <w:ind w:left="309" w:hanging="283"/>
              <w:jc w:val="both"/>
              <w:rPr>
                <w:rFonts w:eastAsia="Times New Roman"/>
                <w:noProof/>
              </w:rPr>
            </w:pPr>
            <w:r>
              <w:rPr>
                <w:noProof/>
              </w:rPr>
              <w:t>La forme du suivi.</w:t>
            </w:r>
          </w:p>
          <w:p w14:paraId="06FB0ACE" w14:textId="77777777" w:rsidR="006C686E" w:rsidRDefault="006C686E">
            <w:pPr>
              <w:spacing w:after="0" w:line="240" w:lineRule="auto"/>
              <w:jc w:val="both"/>
              <w:rPr>
                <w:rFonts w:ascii="Times New Roman" w:eastAsia="Times New Roman" w:hAnsi="Times New Roman" w:cs="Times New Roman"/>
                <w:noProof/>
                <w:sz w:val="16"/>
                <w:szCs w:val="16"/>
              </w:rPr>
            </w:pPr>
          </w:p>
          <w:p w14:paraId="67DA2DF1" w14:textId="77777777" w:rsidR="006C686E" w:rsidRDefault="00B17E8C">
            <w:pPr>
              <w:pStyle w:val="P68B1DB1-Normal26"/>
              <w:spacing w:after="0" w:line="240" w:lineRule="auto"/>
              <w:jc w:val="both"/>
              <w:rPr>
                <w:rFonts w:eastAsia="Times New Roman"/>
                <w:noProof/>
              </w:rPr>
            </w:pPr>
            <w:r>
              <w:rPr>
                <w:noProof/>
              </w:rPr>
              <w:t>Les contrats soutiennent un total d’au moins 40 produits, processus ou services et reflètent l’alignement sur le domaine d’intervention 022 (processus de recherche et d’innovation, transfert de technologies et coopération entre entreprises, l’accent étant mis sur l’économie à faible intensité de carbone et la résilience et l’adaptation au changement climatique). Le cahier des charges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6C686E" w14:paraId="6B9DF56F" w14:textId="77777777" w:rsidTr="006E2673">
        <w:trPr>
          <w:trHeight w:val="420"/>
          <w:jc w:val="center"/>
        </w:trPr>
        <w:tc>
          <w:tcPr>
            <w:tcW w:w="1129" w:type="dxa"/>
            <w:shd w:val="clear" w:color="auto" w:fill="C4EFCE"/>
            <w:vAlign w:val="center"/>
            <w:hideMark/>
          </w:tcPr>
          <w:p w14:paraId="74CEC32A" w14:textId="77777777" w:rsidR="006C686E" w:rsidRDefault="00B17E8C">
            <w:pPr>
              <w:pStyle w:val="P68B1DB1-Normal25"/>
              <w:spacing w:after="0" w:line="240" w:lineRule="auto"/>
              <w:jc w:val="center"/>
              <w:rPr>
                <w:rFonts w:eastAsia="Times New Roman"/>
                <w:noProof/>
              </w:rPr>
            </w:pPr>
            <w:r>
              <w:rPr>
                <w:noProof/>
              </w:rPr>
              <w:t>5.9</w:t>
            </w:r>
          </w:p>
        </w:tc>
        <w:tc>
          <w:tcPr>
            <w:tcW w:w="1418" w:type="dxa"/>
            <w:shd w:val="clear" w:color="auto" w:fill="C4EFCE"/>
            <w:vAlign w:val="center"/>
            <w:hideMark/>
          </w:tcPr>
          <w:p w14:paraId="3B220E15" w14:textId="77777777" w:rsidR="006C686E" w:rsidRDefault="00B17E8C">
            <w:pPr>
              <w:pStyle w:val="P68B1DB1-Normal26"/>
              <w:spacing w:after="0" w:line="240" w:lineRule="auto"/>
              <w:jc w:val="center"/>
              <w:rPr>
                <w:rFonts w:eastAsia="Times New Roman"/>
                <w:noProof/>
              </w:rPr>
            </w:pPr>
            <w:r>
              <w:rPr>
                <w:noProof/>
              </w:rPr>
              <w:t>RE-C05-i02</w:t>
            </w:r>
          </w:p>
        </w:tc>
        <w:tc>
          <w:tcPr>
            <w:tcW w:w="1417" w:type="dxa"/>
            <w:shd w:val="clear" w:color="auto" w:fill="C4EFCE"/>
            <w:vAlign w:val="center"/>
            <w:hideMark/>
          </w:tcPr>
          <w:p w14:paraId="2482FDCB"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504F1722" w14:textId="77777777" w:rsidR="006C686E" w:rsidRDefault="00B17E8C">
            <w:pPr>
              <w:pStyle w:val="P68B1DB1-Normal26"/>
              <w:spacing w:after="0" w:line="240" w:lineRule="auto"/>
              <w:jc w:val="center"/>
              <w:rPr>
                <w:rFonts w:eastAsia="Times New Roman"/>
                <w:noProof/>
              </w:rPr>
            </w:pPr>
            <w:r>
              <w:rPr>
                <w:noProof/>
              </w:rPr>
              <w:t xml:space="preserve">Contrats conclus avec des entités d’interface, y compris des laboratoires collaboratifs – Colabs </w:t>
            </w:r>
          </w:p>
        </w:tc>
        <w:tc>
          <w:tcPr>
            <w:tcW w:w="2127" w:type="dxa"/>
            <w:shd w:val="clear" w:color="auto" w:fill="C4EFCE"/>
            <w:vAlign w:val="center"/>
            <w:hideMark/>
          </w:tcPr>
          <w:p w14:paraId="05374AA6"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353766DF"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29724511"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1FD05EAA" w14:textId="77777777" w:rsidR="006C686E" w:rsidRDefault="00B17E8C">
            <w:pPr>
              <w:pStyle w:val="P68B1DB1-Normal26"/>
              <w:spacing w:after="0" w:line="240" w:lineRule="auto"/>
              <w:jc w:val="center"/>
              <w:rPr>
                <w:rFonts w:eastAsia="Times New Roman"/>
                <w:noProof/>
              </w:rPr>
            </w:pPr>
            <w:r>
              <w:rPr>
                <w:noProof/>
              </w:rPr>
              <w:t>20</w:t>
            </w:r>
          </w:p>
        </w:tc>
        <w:tc>
          <w:tcPr>
            <w:tcW w:w="567" w:type="dxa"/>
            <w:shd w:val="clear" w:color="auto" w:fill="C4EFCE"/>
            <w:vAlign w:val="center"/>
            <w:hideMark/>
          </w:tcPr>
          <w:p w14:paraId="17CC7029"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hideMark/>
          </w:tcPr>
          <w:p w14:paraId="18F7848D" w14:textId="77777777" w:rsidR="006C686E" w:rsidRDefault="00B17E8C">
            <w:pPr>
              <w:pStyle w:val="P68B1DB1-Normal26"/>
              <w:spacing w:after="0" w:line="240" w:lineRule="auto"/>
              <w:jc w:val="center"/>
              <w:rPr>
                <w:rFonts w:eastAsia="Times New Roman"/>
                <w:noProof/>
              </w:rPr>
            </w:pPr>
            <w:r>
              <w:rPr>
                <w:noProof/>
              </w:rPr>
              <w:t>2022</w:t>
            </w:r>
          </w:p>
        </w:tc>
        <w:tc>
          <w:tcPr>
            <w:tcW w:w="3898" w:type="dxa"/>
            <w:shd w:val="clear" w:color="auto" w:fill="C4EFCE"/>
            <w:vAlign w:val="center"/>
            <w:hideMark/>
          </w:tcPr>
          <w:p w14:paraId="6AA4DCC7" w14:textId="77777777" w:rsidR="006C686E" w:rsidRDefault="00B17E8C">
            <w:pPr>
              <w:pStyle w:val="P68B1DB1-Normal26"/>
              <w:spacing w:after="0" w:line="240" w:lineRule="auto"/>
              <w:jc w:val="both"/>
              <w:rPr>
                <w:rFonts w:eastAsia="Times New Roman"/>
                <w:noProof/>
              </w:rPr>
            </w:pPr>
            <w:r>
              <w:rPr>
                <w:noProof/>
              </w:rPr>
              <w:t xml:space="preserve">À la suite d’un appel d’offres, sélection des entités à soutenir. Cet appel est limité aux promoteurs reconnus en tant qu’entités «Interface» ou en tant que laboratoires collaboratifs. </w:t>
            </w:r>
          </w:p>
          <w:p w14:paraId="51B6AA0A" w14:textId="77777777" w:rsidR="006C686E" w:rsidRDefault="006C686E">
            <w:pPr>
              <w:spacing w:after="0" w:line="240" w:lineRule="auto"/>
              <w:jc w:val="both"/>
              <w:rPr>
                <w:rFonts w:ascii="Times New Roman" w:eastAsia="Times New Roman" w:hAnsi="Times New Roman" w:cs="Times New Roman"/>
                <w:noProof/>
                <w:sz w:val="16"/>
                <w:szCs w:val="16"/>
              </w:rPr>
            </w:pPr>
          </w:p>
          <w:p w14:paraId="67A6231D" w14:textId="77777777" w:rsidR="006C686E" w:rsidRDefault="00B17E8C">
            <w:pPr>
              <w:pStyle w:val="P68B1DB1-Normal26"/>
              <w:spacing w:after="0" w:line="240" w:lineRule="auto"/>
              <w:jc w:val="both"/>
              <w:rPr>
                <w:rFonts w:eastAsia="Times New Roman"/>
                <w:noProof/>
              </w:rPr>
            </w:pPr>
            <w:r>
              <w:rPr>
                <w:noProof/>
              </w:rPr>
              <w:t>Les contrats reflètent l’alignement sur les domaines d’intervention 021 (transfert de technologies et coopération entre les entreprises, les centres de recherche et le secteur de l’éducation) et/ou 022 (processus de recherche et d’innovation, transfert de technologies et coopération entre les entreprises, en mettant l’accent sur l’économie à faible intensité de carbone et la résilience et l’adaptation au changement climatique). Le cahier des charges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6C686E" w14:paraId="42BC1477" w14:textId="77777777" w:rsidTr="006E2673">
        <w:trPr>
          <w:trHeight w:val="918"/>
          <w:jc w:val="center"/>
        </w:trPr>
        <w:tc>
          <w:tcPr>
            <w:tcW w:w="1129" w:type="dxa"/>
            <w:shd w:val="clear" w:color="auto" w:fill="C4EFCE"/>
            <w:vAlign w:val="center"/>
            <w:hideMark/>
          </w:tcPr>
          <w:p w14:paraId="25DDA4BA" w14:textId="77777777" w:rsidR="006C686E" w:rsidRDefault="00B17E8C">
            <w:pPr>
              <w:pStyle w:val="P68B1DB1-Normal25"/>
              <w:spacing w:after="0" w:line="240" w:lineRule="auto"/>
              <w:jc w:val="center"/>
              <w:rPr>
                <w:rFonts w:eastAsia="Times New Roman"/>
                <w:bCs/>
                <w:noProof/>
              </w:rPr>
            </w:pPr>
            <w:r>
              <w:rPr>
                <w:noProof/>
              </w:rPr>
              <w:t>5.10</w:t>
            </w:r>
          </w:p>
        </w:tc>
        <w:tc>
          <w:tcPr>
            <w:tcW w:w="1418" w:type="dxa"/>
            <w:shd w:val="clear" w:color="auto" w:fill="C4EFCE"/>
            <w:vAlign w:val="center"/>
            <w:hideMark/>
          </w:tcPr>
          <w:p w14:paraId="430541B8" w14:textId="77777777" w:rsidR="006C686E" w:rsidRDefault="00B17E8C">
            <w:pPr>
              <w:pStyle w:val="P68B1DB1-Normal26"/>
              <w:spacing w:after="0" w:line="240" w:lineRule="auto"/>
              <w:jc w:val="center"/>
              <w:rPr>
                <w:rFonts w:eastAsia="Times New Roman"/>
                <w:noProof/>
              </w:rPr>
            </w:pPr>
            <w:r>
              <w:rPr>
                <w:noProof/>
              </w:rPr>
              <w:t>RE-C05-i02</w:t>
            </w:r>
          </w:p>
        </w:tc>
        <w:tc>
          <w:tcPr>
            <w:tcW w:w="1417" w:type="dxa"/>
            <w:shd w:val="clear" w:color="auto" w:fill="C4EFCE"/>
            <w:vAlign w:val="center"/>
            <w:hideMark/>
          </w:tcPr>
          <w:p w14:paraId="3BB71AFE"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7A93525E" w14:textId="77777777" w:rsidR="006C686E" w:rsidRDefault="00B17E8C">
            <w:pPr>
              <w:pStyle w:val="P68B1DB1-Normal26"/>
              <w:spacing w:after="0" w:line="240" w:lineRule="auto"/>
              <w:jc w:val="center"/>
              <w:rPr>
                <w:rFonts w:eastAsia="Times New Roman"/>
                <w:noProof/>
              </w:rPr>
            </w:pPr>
            <w:r>
              <w:rPr>
                <w:noProof/>
              </w:rPr>
              <w:t>Sociétés ayant conclu des accords ou établi des factures pour des services fournis par des entités d’interface</w:t>
            </w:r>
          </w:p>
        </w:tc>
        <w:tc>
          <w:tcPr>
            <w:tcW w:w="2127" w:type="dxa"/>
            <w:shd w:val="clear" w:color="auto" w:fill="C4EFCE"/>
            <w:vAlign w:val="center"/>
            <w:hideMark/>
          </w:tcPr>
          <w:p w14:paraId="00CBE706"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296A82DC"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762AF5CE"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6924DAE7" w14:textId="77777777" w:rsidR="006C686E" w:rsidRDefault="00B17E8C">
            <w:pPr>
              <w:pStyle w:val="P68B1DB1-Normal26"/>
              <w:spacing w:after="0" w:line="240" w:lineRule="auto"/>
              <w:jc w:val="center"/>
              <w:rPr>
                <w:rFonts w:eastAsia="Times New Roman"/>
                <w:noProof/>
              </w:rPr>
            </w:pPr>
            <w:r>
              <w:rPr>
                <w:noProof/>
              </w:rPr>
              <w:t>560</w:t>
            </w:r>
          </w:p>
        </w:tc>
        <w:tc>
          <w:tcPr>
            <w:tcW w:w="567" w:type="dxa"/>
            <w:shd w:val="clear" w:color="auto" w:fill="C4EFCE"/>
            <w:vAlign w:val="center"/>
            <w:hideMark/>
          </w:tcPr>
          <w:p w14:paraId="45EECA47"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hideMark/>
          </w:tcPr>
          <w:p w14:paraId="74D2D105" w14:textId="77777777" w:rsidR="006C686E" w:rsidRDefault="00B17E8C">
            <w:pPr>
              <w:pStyle w:val="P68B1DB1-Normal26"/>
              <w:spacing w:after="0" w:line="240" w:lineRule="auto"/>
              <w:jc w:val="center"/>
              <w:rPr>
                <w:rFonts w:eastAsia="Times New Roman"/>
                <w:noProof/>
              </w:rPr>
            </w:pPr>
            <w:r>
              <w:rPr>
                <w:noProof/>
              </w:rPr>
              <w:t>2025</w:t>
            </w:r>
          </w:p>
        </w:tc>
        <w:tc>
          <w:tcPr>
            <w:tcW w:w="3898" w:type="dxa"/>
            <w:shd w:val="clear" w:color="auto" w:fill="C4EFCE"/>
            <w:vAlign w:val="center"/>
            <w:hideMark/>
          </w:tcPr>
          <w:p w14:paraId="56A994BE" w14:textId="248A467E" w:rsidR="006C686E" w:rsidRDefault="00B17E8C">
            <w:pPr>
              <w:pStyle w:val="P68B1DB1-Normal26"/>
              <w:spacing w:after="0" w:line="240" w:lineRule="auto"/>
              <w:jc w:val="both"/>
              <w:rPr>
                <w:noProof/>
              </w:rPr>
            </w:pPr>
            <w:r>
              <w:rPr>
                <w:noProof/>
              </w:rPr>
              <w:t xml:space="preserve">Sociétés avec des accords ou des factures pour des services techniques ou de transfert de technologie fournis par des entités d'interface, y compris les Laboratoires Collaboratifs - Colabs. </w:t>
            </w:r>
          </w:p>
        </w:tc>
      </w:tr>
      <w:tr w:rsidR="006C686E" w14:paraId="0CCF8DB3" w14:textId="77777777" w:rsidTr="006E2673">
        <w:trPr>
          <w:trHeight w:val="420"/>
          <w:jc w:val="center"/>
        </w:trPr>
        <w:tc>
          <w:tcPr>
            <w:tcW w:w="1129" w:type="dxa"/>
            <w:shd w:val="clear" w:color="auto" w:fill="C4EFCE"/>
            <w:vAlign w:val="center"/>
            <w:hideMark/>
          </w:tcPr>
          <w:p w14:paraId="4469F218" w14:textId="77777777" w:rsidR="006C686E" w:rsidRDefault="00B17E8C">
            <w:pPr>
              <w:pStyle w:val="P68B1DB1-Normal25"/>
              <w:spacing w:after="0" w:line="240" w:lineRule="auto"/>
              <w:jc w:val="center"/>
              <w:rPr>
                <w:rFonts w:eastAsia="Times New Roman"/>
                <w:bCs/>
                <w:noProof/>
              </w:rPr>
            </w:pPr>
            <w:r>
              <w:rPr>
                <w:noProof/>
              </w:rPr>
              <w:t>5.11</w:t>
            </w:r>
          </w:p>
        </w:tc>
        <w:tc>
          <w:tcPr>
            <w:tcW w:w="1418" w:type="dxa"/>
            <w:shd w:val="clear" w:color="auto" w:fill="C4EFCE"/>
            <w:vAlign w:val="center"/>
            <w:hideMark/>
          </w:tcPr>
          <w:p w14:paraId="2F796CE5" w14:textId="77777777" w:rsidR="006C686E" w:rsidRDefault="00B17E8C">
            <w:pPr>
              <w:pStyle w:val="P68B1DB1-Normal26"/>
              <w:spacing w:after="0" w:line="240" w:lineRule="auto"/>
              <w:jc w:val="center"/>
              <w:rPr>
                <w:rFonts w:eastAsia="Times New Roman"/>
                <w:noProof/>
              </w:rPr>
            </w:pPr>
            <w:r>
              <w:rPr>
                <w:noProof/>
              </w:rPr>
              <w:t>RE-C05-i03</w:t>
            </w:r>
          </w:p>
        </w:tc>
        <w:tc>
          <w:tcPr>
            <w:tcW w:w="1417" w:type="dxa"/>
            <w:shd w:val="clear" w:color="auto" w:fill="C4EFCE"/>
            <w:vAlign w:val="center"/>
            <w:hideMark/>
          </w:tcPr>
          <w:p w14:paraId="60534F6D"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hideMark/>
          </w:tcPr>
          <w:p w14:paraId="771AF850" w14:textId="77777777" w:rsidR="006C686E" w:rsidRDefault="00B17E8C">
            <w:pPr>
              <w:pStyle w:val="P68B1DB1-Normal26"/>
              <w:spacing w:after="0" w:line="240" w:lineRule="auto"/>
              <w:jc w:val="center"/>
              <w:rPr>
                <w:rFonts w:eastAsia="Times New Roman"/>
                <w:noProof/>
              </w:rPr>
            </w:pPr>
            <w:r>
              <w:rPr>
                <w:noProof/>
              </w:rPr>
              <w:t xml:space="preserve">Procédure d'appel d'offres pour des projets de recherche et d'innovation </w:t>
            </w:r>
          </w:p>
        </w:tc>
        <w:tc>
          <w:tcPr>
            <w:tcW w:w="2127" w:type="dxa"/>
            <w:shd w:val="clear" w:color="auto" w:fill="C4EFCE"/>
            <w:vAlign w:val="center"/>
            <w:hideMark/>
          </w:tcPr>
          <w:p w14:paraId="60B50E98" w14:textId="77777777" w:rsidR="006C686E" w:rsidRDefault="00B17E8C">
            <w:pPr>
              <w:pStyle w:val="P68B1DB1-Normal26"/>
              <w:spacing w:after="0" w:line="240" w:lineRule="auto"/>
              <w:jc w:val="center"/>
              <w:rPr>
                <w:rFonts w:eastAsia="Times New Roman"/>
                <w:noProof/>
              </w:rPr>
            </w:pPr>
            <w:r>
              <w:rPr>
                <w:noProof/>
              </w:rPr>
              <w:t xml:space="preserve">Publication de l'avis d'ouverture d'une procédure d'appel d'offres pour des projets de recherche et d'innovation </w:t>
            </w:r>
          </w:p>
        </w:tc>
        <w:tc>
          <w:tcPr>
            <w:tcW w:w="992" w:type="dxa"/>
            <w:shd w:val="clear" w:color="auto" w:fill="C4EFCE"/>
            <w:vAlign w:val="center"/>
            <w:hideMark/>
          </w:tcPr>
          <w:p w14:paraId="1CFDCF0A"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4FFC62BC" w14:textId="77777777" w:rsidR="006C686E" w:rsidRDefault="00B17E8C">
            <w:pPr>
              <w:pStyle w:val="P68B1DB1-Normal26"/>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2064B7AA"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52E6C7C7" w14:textId="77777777" w:rsidR="006C686E" w:rsidRDefault="00B17E8C">
            <w:pPr>
              <w:pStyle w:val="P68B1DB1-Normal26"/>
              <w:spacing w:after="0" w:line="240" w:lineRule="auto"/>
              <w:jc w:val="center"/>
              <w:rPr>
                <w:rFonts w:eastAsia="Times New Roman"/>
                <w:noProof/>
              </w:rPr>
            </w:pPr>
            <w:r>
              <w:rPr>
                <w:noProof/>
              </w:rPr>
              <w:t>T3</w:t>
            </w:r>
          </w:p>
        </w:tc>
        <w:tc>
          <w:tcPr>
            <w:tcW w:w="851" w:type="dxa"/>
            <w:shd w:val="clear" w:color="auto" w:fill="C4EFCE"/>
            <w:vAlign w:val="center"/>
            <w:hideMark/>
          </w:tcPr>
          <w:p w14:paraId="7A8B0105" w14:textId="77777777" w:rsidR="006C686E" w:rsidRDefault="00B17E8C">
            <w:pPr>
              <w:pStyle w:val="P68B1DB1-Normal26"/>
              <w:spacing w:after="0" w:line="240" w:lineRule="auto"/>
              <w:jc w:val="center"/>
              <w:rPr>
                <w:rFonts w:eastAsia="Times New Roman"/>
                <w:noProof/>
              </w:rPr>
            </w:pPr>
            <w:r>
              <w:rPr>
                <w:noProof/>
              </w:rPr>
              <w:t>2021</w:t>
            </w:r>
          </w:p>
        </w:tc>
        <w:tc>
          <w:tcPr>
            <w:tcW w:w="3898" w:type="dxa"/>
            <w:shd w:val="clear" w:color="auto" w:fill="C4EFCE"/>
            <w:vAlign w:val="center"/>
            <w:hideMark/>
          </w:tcPr>
          <w:p w14:paraId="41B313F4" w14:textId="77777777" w:rsidR="006C686E" w:rsidRDefault="00B17E8C">
            <w:pPr>
              <w:pStyle w:val="P68B1DB1-Normal26"/>
              <w:spacing w:after="0" w:line="240" w:lineRule="auto"/>
              <w:jc w:val="both"/>
              <w:rPr>
                <w:rFonts w:eastAsia="Times New Roman"/>
                <w:noProof/>
              </w:rPr>
            </w:pPr>
            <w:r>
              <w:rPr>
                <w:noProof/>
              </w:rPr>
              <w:t xml:space="preserve">Lancement d’un appel d’offres pour des programmes/projets de recherche et d’innovation à financer au titre d’initiatives du programme d’innovation pour l’agriculture à l’horizon 2030. </w:t>
            </w:r>
          </w:p>
          <w:p w14:paraId="0E114A4A" w14:textId="77777777" w:rsidR="006C686E" w:rsidRDefault="006C686E">
            <w:pPr>
              <w:spacing w:after="0" w:line="240" w:lineRule="auto"/>
              <w:jc w:val="both"/>
              <w:rPr>
                <w:rFonts w:ascii="Times New Roman" w:eastAsia="Times New Roman" w:hAnsi="Times New Roman" w:cs="Times New Roman"/>
                <w:noProof/>
                <w:sz w:val="16"/>
                <w:szCs w:val="16"/>
              </w:rPr>
            </w:pPr>
          </w:p>
          <w:p w14:paraId="485BB9C5" w14:textId="77777777" w:rsidR="006C686E" w:rsidRDefault="00B17E8C">
            <w:pPr>
              <w:pStyle w:val="P68B1DB1-Normal26"/>
              <w:spacing w:after="0" w:line="240" w:lineRule="auto"/>
              <w:jc w:val="both"/>
              <w:rPr>
                <w:rFonts w:eastAsia="Times New Roman"/>
                <w:noProof/>
              </w:rPr>
            </w:pPr>
            <w:r>
              <w:rPr>
                <w:noProof/>
              </w:rPr>
              <w:t xml:space="preserve">Le mandat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Les critères de sélection garantissent que les projets sont axés sur: </w:t>
            </w:r>
          </w:p>
          <w:p w14:paraId="01F29FF3" w14:textId="77777777" w:rsidR="006C686E" w:rsidRDefault="00B17E8C">
            <w:pPr>
              <w:pStyle w:val="P68B1DB1-Normal26"/>
              <w:spacing w:after="0" w:line="240" w:lineRule="auto"/>
              <w:jc w:val="both"/>
              <w:rPr>
                <w:rFonts w:eastAsia="Times New Roman"/>
                <w:noProof/>
              </w:rPr>
            </w:pPr>
            <w:r>
              <w:rPr>
                <w:noProof/>
              </w:rPr>
              <w:t xml:space="preserve">- sur l’économie à faible intensité de carbone, la résilience et l’adaptation au changement climatique, par la réduction des émissions, l’augmentation de la séquestration du carbone ou le renforcement de la résilience et de l’adaptation au changement climatique, conformément aux exigences du domaine d’intervention 022, comme indiqué à l’annexe VI du règlement FRR </w:t>
            </w:r>
          </w:p>
          <w:p w14:paraId="53EED789" w14:textId="77777777" w:rsidR="006C686E" w:rsidRDefault="00B17E8C">
            <w:pPr>
              <w:pStyle w:val="P68B1DB1-Normal26"/>
              <w:spacing w:after="0" w:line="240" w:lineRule="auto"/>
              <w:jc w:val="both"/>
              <w:rPr>
                <w:rFonts w:eastAsia="Times New Roman"/>
                <w:noProof/>
              </w:rPr>
            </w:pPr>
            <w:r>
              <w:rPr>
                <w:noProof/>
              </w:rPr>
              <w:t>- ou sur la numérisation des projets de R&amp;D tels que le portail agricole unique, le passage au numérique et la R&amp;I des projets liés aux chaînes de valeur, reflétant les exigences du domaine d’intervention 009.</w:t>
            </w:r>
          </w:p>
        </w:tc>
      </w:tr>
      <w:tr w:rsidR="006C686E" w14:paraId="5BBB77A8" w14:textId="77777777" w:rsidTr="006E2673">
        <w:trPr>
          <w:trHeight w:val="1347"/>
          <w:jc w:val="center"/>
        </w:trPr>
        <w:tc>
          <w:tcPr>
            <w:tcW w:w="1129" w:type="dxa"/>
            <w:shd w:val="clear" w:color="auto" w:fill="C4EFCE"/>
            <w:vAlign w:val="center"/>
            <w:hideMark/>
          </w:tcPr>
          <w:p w14:paraId="117BB7DD" w14:textId="77777777" w:rsidR="006C686E" w:rsidRDefault="00B17E8C">
            <w:pPr>
              <w:pStyle w:val="P68B1DB1-Normal25"/>
              <w:spacing w:after="0" w:line="240" w:lineRule="auto"/>
              <w:jc w:val="center"/>
              <w:rPr>
                <w:rFonts w:eastAsia="Times New Roman"/>
                <w:bCs/>
                <w:noProof/>
              </w:rPr>
            </w:pPr>
            <w:r>
              <w:rPr>
                <w:noProof/>
              </w:rPr>
              <w:t>5.12</w:t>
            </w:r>
          </w:p>
        </w:tc>
        <w:tc>
          <w:tcPr>
            <w:tcW w:w="1418" w:type="dxa"/>
            <w:shd w:val="clear" w:color="auto" w:fill="C4EFCE"/>
            <w:vAlign w:val="center"/>
            <w:hideMark/>
          </w:tcPr>
          <w:p w14:paraId="524956BA" w14:textId="77777777" w:rsidR="006C686E" w:rsidRDefault="00B17E8C">
            <w:pPr>
              <w:pStyle w:val="P68B1DB1-Normal26"/>
              <w:spacing w:after="0" w:line="240" w:lineRule="auto"/>
              <w:jc w:val="center"/>
              <w:rPr>
                <w:rFonts w:eastAsia="Times New Roman"/>
                <w:noProof/>
              </w:rPr>
            </w:pPr>
            <w:r>
              <w:rPr>
                <w:noProof/>
              </w:rPr>
              <w:t>RE-C05-i03</w:t>
            </w:r>
          </w:p>
        </w:tc>
        <w:tc>
          <w:tcPr>
            <w:tcW w:w="1417" w:type="dxa"/>
            <w:shd w:val="clear" w:color="auto" w:fill="C4EFCE"/>
            <w:vAlign w:val="center"/>
            <w:hideMark/>
          </w:tcPr>
          <w:p w14:paraId="6290F54F"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6E1FCC6F" w14:textId="77777777" w:rsidR="006C686E" w:rsidRDefault="00B17E8C">
            <w:pPr>
              <w:pStyle w:val="P68B1DB1-Normal26"/>
              <w:spacing w:after="0" w:line="240" w:lineRule="auto"/>
              <w:jc w:val="center"/>
              <w:rPr>
                <w:rFonts w:eastAsia="Times New Roman"/>
                <w:noProof/>
              </w:rPr>
            </w:pPr>
            <w:r>
              <w:rPr>
                <w:noProof/>
              </w:rPr>
              <w:t xml:space="preserve">Projets d’innovation et de recherche axés sur les aspects verts ou numériques du programme d’innovation pour l’agriculture à l’horizon 2030 </w:t>
            </w:r>
          </w:p>
        </w:tc>
        <w:tc>
          <w:tcPr>
            <w:tcW w:w="2127" w:type="dxa"/>
            <w:shd w:val="clear" w:color="auto" w:fill="C4EFCE"/>
            <w:vAlign w:val="center"/>
            <w:hideMark/>
          </w:tcPr>
          <w:p w14:paraId="54F2BE60"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7F7E530B"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2C44DBF6"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68B735B8" w14:textId="77777777" w:rsidR="006C686E" w:rsidRDefault="00B17E8C">
            <w:pPr>
              <w:pStyle w:val="P68B1DB1-Normal26"/>
              <w:spacing w:after="0" w:line="240" w:lineRule="auto"/>
              <w:jc w:val="center"/>
              <w:rPr>
                <w:rFonts w:eastAsia="Times New Roman"/>
                <w:noProof/>
              </w:rPr>
            </w:pPr>
            <w:r>
              <w:rPr>
                <w:noProof/>
              </w:rPr>
              <w:t>105</w:t>
            </w:r>
          </w:p>
        </w:tc>
        <w:tc>
          <w:tcPr>
            <w:tcW w:w="567" w:type="dxa"/>
            <w:shd w:val="clear" w:color="auto" w:fill="C4EFCE"/>
            <w:vAlign w:val="center"/>
            <w:hideMark/>
          </w:tcPr>
          <w:p w14:paraId="5794CD60" w14:textId="77777777" w:rsidR="006C686E" w:rsidRDefault="00B17E8C">
            <w:pPr>
              <w:pStyle w:val="P68B1DB1-Normal26"/>
              <w:spacing w:after="0" w:line="240" w:lineRule="auto"/>
              <w:jc w:val="center"/>
              <w:rPr>
                <w:rFonts w:eastAsia="Times New Roman"/>
                <w:noProof/>
              </w:rPr>
            </w:pPr>
            <w:r>
              <w:rPr>
                <w:noProof/>
              </w:rPr>
              <w:t>T3</w:t>
            </w:r>
          </w:p>
        </w:tc>
        <w:tc>
          <w:tcPr>
            <w:tcW w:w="851" w:type="dxa"/>
            <w:shd w:val="clear" w:color="auto" w:fill="C4EFCE"/>
            <w:vAlign w:val="center"/>
            <w:hideMark/>
          </w:tcPr>
          <w:p w14:paraId="0297CD8C" w14:textId="77777777" w:rsidR="006C686E" w:rsidRDefault="00B17E8C">
            <w:pPr>
              <w:pStyle w:val="P68B1DB1-Normal26"/>
              <w:spacing w:after="0" w:line="240" w:lineRule="auto"/>
              <w:jc w:val="center"/>
              <w:rPr>
                <w:rFonts w:eastAsia="Times New Roman"/>
                <w:noProof/>
              </w:rPr>
            </w:pPr>
            <w:r>
              <w:rPr>
                <w:noProof/>
              </w:rPr>
              <w:t>2025</w:t>
            </w:r>
          </w:p>
        </w:tc>
        <w:tc>
          <w:tcPr>
            <w:tcW w:w="3898" w:type="dxa"/>
            <w:shd w:val="clear" w:color="auto" w:fill="C4EFCE"/>
            <w:vAlign w:val="center"/>
            <w:hideMark/>
          </w:tcPr>
          <w:p w14:paraId="14B51608" w14:textId="3E2F2074" w:rsidR="006C686E" w:rsidRDefault="00B17E8C">
            <w:pPr>
              <w:pStyle w:val="P68B1DB1-Normal26"/>
              <w:spacing w:after="0" w:line="240" w:lineRule="auto"/>
              <w:jc w:val="both"/>
              <w:rPr>
                <w:rFonts w:eastAsia="Times New Roman"/>
                <w:noProof/>
              </w:rPr>
            </w:pPr>
            <w:r>
              <w:rPr>
                <w:noProof/>
              </w:rPr>
              <w:t>Évaluation positive par les autorités des rapports finaux d’exécution d’au moins 100 projets de recherche et d’innovation contribuant à au moins une initiative du programme d’innovation, en mettant l’accent sur une économie à faible intensité de carbone ou sur l’adaptation au changement climatique.</w:t>
            </w:r>
          </w:p>
          <w:p w14:paraId="021ADDCB" w14:textId="77777777" w:rsidR="006C686E" w:rsidRDefault="00B17E8C">
            <w:pPr>
              <w:pStyle w:val="P68B1DB1-Normal26"/>
              <w:spacing w:after="0" w:line="240" w:lineRule="auto"/>
              <w:jc w:val="both"/>
              <w:rPr>
                <w:rFonts w:eastAsia="Times New Roman"/>
                <w:noProof/>
              </w:rPr>
            </w:pPr>
            <w:r>
              <w:rPr>
                <w:noProof/>
              </w:rPr>
              <w:t xml:space="preserve">5 projets ou services numériques mis à disposition ou livrés. </w:t>
            </w:r>
          </w:p>
        </w:tc>
      </w:tr>
      <w:tr w:rsidR="006C686E" w14:paraId="4FBA2736" w14:textId="77777777" w:rsidTr="006E2673">
        <w:trPr>
          <w:trHeight w:val="420"/>
          <w:jc w:val="center"/>
        </w:trPr>
        <w:tc>
          <w:tcPr>
            <w:tcW w:w="1129" w:type="dxa"/>
            <w:shd w:val="clear" w:color="auto" w:fill="C4EFCE"/>
            <w:vAlign w:val="center"/>
            <w:hideMark/>
          </w:tcPr>
          <w:p w14:paraId="41EA49BE" w14:textId="77777777" w:rsidR="006C686E" w:rsidRDefault="00B17E8C">
            <w:pPr>
              <w:pStyle w:val="P68B1DB1-Normal25"/>
              <w:spacing w:after="0" w:line="240" w:lineRule="auto"/>
              <w:jc w:val="center"/>
              <w:rPr>
                <w:rFonts w:eastAsia="Times New Roman"/>
                <w:bCs/>
                <w:noProof/>
              </w:rPr>
            </w:pPr>
            <w:r>
              <w:rPr>
                <w:noProof/>
              </w:rPr>
              <w:t>5.14</w:t>
            </w:r>
          </w:p>
        </w:tc>
        <w:tc>
          <w:tcPr>
            <w:tcW w:w="1418" w:type="dxa"/>
            <w:shd w:val="clear" w:color="auto" w:fill="C4EFCE"/>
            <w:vAlign w:val="center"/>
            <w:hideMark/>
          </w:tcPr>
          <w:p w14:paraId="541BC31B" w14:textId="77777777" w:rsidR="006C686E" w:rsidRDefault="00B17E8C">
            <w:pPr>
              <w:pStyle w:val="P68B1DB1-Normal26"/>
              <w:spacing w:after="0" w:line="240" w:lineRule="auto"/>
              <w:jc w:val="center"/>
              <w:rPr>
                <w:rFonts w:eastAsia="Times New Roman"/>
                <w:noProof/>
              </w:rPr>
            </w:pPr>
            <w:r>
              <w:rPr>
                <w:noProof/>
              </w:rPr>
              <w:t>RE-C05-i03</w:t>
            </w:r>
          </w:p>
        </w:tc>
        <w:tc>
          <w:tcPr>
            <w:tcW w:w="1417" w:type="dxa"/>
            <w:shd w:val="clear" w:color="auto" w:fill="C4EFCE"/>
            <w:vAlign w:val="center"/>
            <w:hideMark/>
          </w:tcPr>
          <w:p w14:paraId="4818CEC8"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7AC19EAD" w14:textId="77777777" w:rsidR="006C686E" w:rsidRDefault="00B17E8C">
            <w:pPr>
              <w:pStyle w:val="P68B1DB1-Normal26"/>
              <w:spacing w:after="0" w:line="240" w:lineRule="auto"/>
              <w:jc w:val="center"/>
              <w:rPr>
                <w:rFonts w:eastAsia="Times New Roman"/>
                <w:noProof/>
              </w:rPr>
            </w:pPr>
            <w:r>
              <w:rPr>
                <w:noProof/>
              </w:rPr>
              <w:t>24 pôles d'innovation agricole</w:t>
            </w:r>
          </w:p>
        </w:tc>
        <w:tc>
          <w:tcPr>
            <w:tcW w:w="2127" w:type="dxa"/>
            <w:shd w:val="clear" w:color="auto" w:fill="C4EFCE"/>
            <w:vAlign w:val="center"/>
            <w:hideMark/>
          </w:tcPr>
          <w:p w14:paraId="70F152BF" w14:textId="30652603"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hideMark/>
          </w:tcPr>
          <w:p w14:paraId="75006BFC"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2C3B9377"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04950BE2" w14:textId="77777777" w:rsidR="006C686E" w:rsidRDefault="00B17E8C">
            <w:pPr>
              <w:pStyle w:val="P68B1DB1-Normal26"/>
              <w:spacing w:after="0" w:line="240" w:lineRule="auto"/>
              <w:jc w:val="center"/>
              <w:rPr>
                <w:rFonts w:eastAsia="Times New Roman"/>
                <w:noProof/>
              </w:rPr>
            </w:pPr>
            <w:r>
              <w:rPr>
                <w:noProof/>
              </w:rPr>
              <w:t>24</w:t>
            </w:r>
          </w:p>
        </w:tc>
        <w:tc>
          <w:tcPr>
            <w:tcW w:w="567" w:type="dxa"/>
            <w:shd w:val="clear" w:color="auto" w:fill="C4EFCE"/>
            <w:vAlign w:val="center"/>
            <w:hideMark/>
          </w:tcPr>
          <w:p w14:paraId="64F593CC" w14:textId="15CD5862" w:rsidR="006C686E" w:rsidRDefault="00B17E8C">
            <w:pPr>
              <w:pStyle w:val="P68B1DB1-Normal26"/>
              <w:spacing w:after="0" w:line="240" w:lineRule="auto"/>
              <w:jc w:val="center"/>
              <w:rPr>
                <w:rFonts w:eastAsia="Times New Roman"/>
                <w:noProof/>
              </w:rPr>
            </w:pPr>
            <w:r>
              <w:rPr>
                <w:noProof/>
              </w:rPr>
              <w:t>T2</w:t>
            </w:r>
          </w:p>
        </w:tc>
        <w:tc>
          <w:tcPr>
            <w:tcW w:w="851" w:type="dxa"/>
            <w:shd w:val="clear" w:color="auto" w:fill="C4EFCE"/>
            <w:vAlign w:val="center"/>
            <w:hideMark/>
          </w:tcPr>
          <w:p w14:paraId="3C33E9E1" w14:textId="01C46A5E" w:rsidR="006C686E" w:rsidRDefault="00B17E8C">
            <w:pPr>
              <w:pStyle w:val="P68B1DB1-Normal26"/>
              <w:spacing w:after="0" w:line="240" w:lineRule="auto"/>
              <w:jc w:val="center"/>
              <w:rPr>
                <w:rFonts w:eastAsia="Times New Roman"/>
                <w:noProof/>
              </w:rPr>
            </w:pPr>
            <w:r>
              <w:rPr>
                <w:noProof/>
              </w:rPr>
              <w:t>2026</w:t>
            </w:r>
          </w:p>
        </w:tc>
        <w:tc>
          <w:tcPr>
            <w:tcW w:w="3898" w:type="dxa"/>
            <w:shd w:val="clear" w:color="auto" w:fill="C4EFCE"/>
            <w:vAlign w:val="center"/>
            <w:hideMark/>
          </w:tcPr>
          <w:p w14:paraId="2EA01E60" w14:textId="6731458E" w:rsidR="006C686E" w:rsidRDefault="00B17E8C">
            <w:pPr>
              <w:pStyle w:val="P68B1DB1-Normal26"/>
              <w:spacing w:after="0" w:line="240" w:lineRule="auto"/>
              <w:jc w:val="both"/>
              <w:rPr>
                <w:rFonts w:eastAsia="Times New Roman"/>
                <w:noProof/>
              </w:rPr>
            </w:pPr>
            <w:r>
              <w:rPr>
                <w:noProof/>
              </w:rPr>
              <w:t xml:space="preserve">Rapport final des bénéficiaires validé par les autorités pour la rénovation ou la requalification de 24 pôles d’innovation agricole. </w:t>
            </w:r>
          </w:p>
        </w:tc>
      </w:tr>
      <w:tr w:rsidR="006C686E" w14:paraId="4CB020F7" w14:textId="77777777" w:rsidTr="006E2673">
        <w:trPr>
          <w:trHeight w:val="1050"/>
          <w:jc w:val="center"/>
        </w:trPr>
        <w:tc>
          <w:tcPr>
            <w:tcW w:w="1129" w:type="dxa"/>
            <w:shd w:val="clear" w:color="auto" w:fill="C4EFCE"/>
            <w:vAlign w:val="center"/>
            <w:hideMark/>
          </w:tcPr>
          <w:p w14:paraId="337F1065" w14:textId="77777777" w:rsidR="006C686E" w:rsidRDefault="00B17E8C">
            <w:pPr>
              <w:pStyle w:val="P68B1DB1-Normal25"/>
              <w:spacing w:after="0" w:line="240" w:lineRule="auto"/>
              <w:jc w:val="center"/>
              <w:rPr>
                <w:rFonts w:eastAsia="Times New Roman"/>
                <w:bCs/>
                <w:noProof/>
              </w:rPr>
            </w:pPr>
            <w:r>
              <w:rPr>
                <w:noProof/>
              </w:rPr>
              <w:t>5.15</w:t>
            </w:r>
          </w:p>
        </w:tc>
        <w:tc>
          <w:tcPr>
            <w:tcW w:w="1418" w:type="dxa"/>
            <w:shd w:val="clear" w:color="auto" w:fill="C4EFCE"/>
            <w:vAlign w:val="center"/>
            <w:hideMark/>
          </w:tcPr>
          <w:p w14:paraId="2CA4BB00" w14:textId="77777777" w:rsidR="006C686E" w:rsidRDefault="00B17E8C">
            <w:pPr>
              <w:pStyle w:val="P68B1DB1-Normal26"/>
              <w:spacing w:after="0" w:line="240" w:lineRule="auto"/>
              <w:jc w:val="center"/>
              <w:rPr>
                <w:rFonts w:eastAsia="Times New Roman"/>
                <w:noProof/>
              </w:rPr>
            </w:pPr>
            <w:r>
              <w:rPr>
                <w:noProof/>
              </w:rPr>
              <w:t>RE-C05-i04-RAA</w:t>
            </w:r>
          </w:p>
        </w:tc>
        <w:tc>
          <w:tcPr>
            <w:tcW w:w="1417" w:type="dxa"/>
            <w:shd w:val="clear" w:color="auto" w:fill="C4EFCE"/>
            <w:vAlign w:val="center"/>
            <w:hideMark/>
          </w:tcPr>
          <w:p w14:paraId="46A6AD57"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hideMark/>
          </w:tcPr>
          <w:p w14:paraId="0354C13E" w14:textId="77777777" w:rsidR="006C686E" w:rsidRDefault="00B17E8C">
            <w:pPr>
              <w:pStyle w:val="P68B1DB1-Normal26"/>
              <w:spacing w:after="0" w:line="240" w:lineRule="auto"/>
              <w:jc w:val="center"/>
              <w:rPr>
                <w:rFonts w:eastAsia="Times New Roman"/>
                <w:noProof/>
              </w:rPr>
            </w:pPr>
            <w:r>
              <w:rPr>
                <w:noProof/>
              </w:rPr>
              <w:t>Adoption d'un règlement relatif à l'instrument de recapitalisation des entreprises aux Açores</w:t>
            </w:r>
          </w:p>
        </w:tc>
        <w:tc>
          <w:tcPr>
            <w:tcW w:w="2127" w:type="dxa"/>
            <w:shd w:val="clear" w:color="auto" w:fill="C4EFCE"/>
            <w:vAlign w:val="center"/>
            <w:hideMark/>
          </w:tcPr>
          <w:p w14:paraId="65862ACF" w14:textId="77777777" w:rsidR="006C686E" w:rsidRDefault="00B17E8C">
            <w:pPr>
              <w:pStyle w:val="P68B1DB1-Normal26"/>
              <w:spacing w:after="0" w:line="240" w:lineRule="auto"/>
              <w:jc w:val="center"/>
              <w:rPr>
                <w:rFonts w:eastAsia="Times New Roman"/>
                <w:noProof/>
              </w:rPr>
            </w:pPr>
            <w:r>
              <w:rPr>
                <w:noProof/>
              </w:rPr>
              <w:t xml:space="preserve">Adoption par le gouvernement régional des Açores d'un règlement établissant la mesure de capitalisation et imposant l'adoption par </w:t>
            </w:r>
            <w:r>
              <w:rPr>
                <w:i/>
                <w:noProof/>
              </w:rPr>
              <w:t>Banco Portugues de Fomento</w:t>
            </w:r>
            <w:r>
              <w:rPr>
                <w:noProof/>
              </w:rPr>
              <w:t xml:space="preserve"> d'une politique d'investissement</w:t>
            </w:r>
          </w:p>
        </w:tc>
        <w:tc>
          <w:tcPr>
            <w:tcW w:w="992" w:type="dxa"/>
            <w:shd w:val="clear" w:color="auto" w:fill="C4EFCE"/>
            <w:vAlign w:val="center"/>
            <w:hideMark/>
          </w:tcPr>
          <w:p w14:paraId="67252562"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17181DCF" w14:textId="77777777" w:rsidR="006C686E" w:rsidRDefault="00B17E8C">
            <w:pPr>
              <w:pStyle w:val="P68B1DB1-Normal26"/>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133C55AF"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CAFD8FE" w14:textId="77777777" w:rsidR="006C686E" w:rsidRDefault="00B17E8C">
            <w:pPr>
              <w:pStyle w:val="P68B1DB1-Normal26"/>
              <w:spacing w:after="0" w:line="240" w:lineRule="auto"/>
              <w:jc w:val="center"/>
              <w:rPr>
                <w:rFonts w:eastAsia="Times New Roman"/>
                <w:noProof/>
              </w:rPr>
            </w:pPr>
            <w:r>
              <w:rPr>
                <w:noProof/>
              </w:rPr>
              <w:t>T3</w:t>
            </w:r>
          </w:p>
        </w:tc>
        <w:tc>
          <w:tcPr>
            <w:tcW w:w="851" w:type="dxa"/>
            <w:shd w:val="clear" w:color="auto" w:fill="C4EFCE"/>
            <w:vAlign w:val="center"/>
            <w:hideMark/>
          </w:tcPr>
          <w:p w14:paraId="51244783" w14:textId="77777777" w:rsidR="006C686E" w:rsidRDefault="00B17E8C">
            <w:pPr>
              <w:pStyle w:val="P68B1DB1-Normal26"/>
              <w:spacing w:after="0" w:line="240" w:lineRule="auto"/>
              <w:jc w:val="center"/>
              <w:rPr>
                <w:rFonts w:eastAsia="Times New Roman"/>
                <w:noProof/>
              </w:rPr>
            </w:pPr>
            <w:r>
              <w:rPr>
                <w:noProof/>
              </w:rPr>
              <w:t>2021</w:t>
            </w:r>
          </w:p>
        </w:tc>
        <w:tc>
          <w:tcPr>
            <w:tcW w:w="3898" w:type="dxa"/>
            <w:shd w:val="clear" w:color="auto" w:fill="C4EFCE"/>
            <w:vAlign w:val="center"/>
            <w:hideMark/>
          </w:tcPr>
          <w:p w14:paraId="77D8521D" w14:textId="77777777" w:rsidR="006C686E" w:rsidRDefault="00B17E8C">
            <w:pPr>
              <w:pStyle w:val="P68B1DB1-Normal26"/>
              <w:spacing w:after="0" w:line="240" w:lineRule="auto"/>
              <w:jc w:val="both"/>
              <w:rPr>
                <w:rFonts w:eastAsia="Times New Roman"/>
                <w:noProof/>
              </w:rPr>
            </w:pPr>
            <w:r>
              <w:rPr>
                <w:noProof/>
              </w:rPr>
              <w:t xml:space="preserve">Adoption par le gouvernement régional des Açores d’un règlement établissant la mesure de capitalisation et imposant l’adoption par </w:t>
            </w:r>
            <w:r>
              <w:rPr>
                <w:i/>
                <w:noProof/>
              </w:rPr>
              <w:t>Banco Portugues de Fomento</w:t>
            </w:r>
            <w:r>
              <w:rPr>
                <w:noProof/>
              </w:rPr>
              <w:t xml:space="preserve"> d’une politique d’investissement définissant, entre autres, les critères d’éligibilité et de sélection des sociétés bénéficiaires pour chaque type d’instruments financiers. Le règlement exige que la politique d’investissement contienne des critères de sélection/d’éligibilité pour le respect des orientations techniques DNSH (2021/C58/01) des entreprises bénéficiant d’un soutien, exigeant:</w:t>
            </w:r>
          </w:p>
          <w:p w14:paraId="40D32775" w14:textId="77777777" w:rsidR="006C686E" w:rsidRDefault="00B17E8C">
            <w:pPr>
              <w:pStyle w:val="P68B1DB1-Normal26"/>
              <w:spacing w:after="0" w:line="240" w:lineRule="auto"/>
              <w:jc w:val="both"/>
              <w:rPr>
                <w:rFonts w:eastAsia="Times New Roman"/>
                <w:noProof/>
              </w:rPr>
            </w:pPr>
            <w:r>
              <w:rPr>
                <w:noProof/>
              </w:rPr>
              <w:t xml:space="preserve">- l'utilisation de l'évaluation de la durabilité, </w:t>
            </w:r>
          </w:p>
          <w:p w14:paraId="7F9D9655" w14:textId="77777777" w:rsidR="006C686E" w:rsidRDefault="00B17E8C">
            <w:pPr>
              <w:pStyle w:val="P68B1DB1-Normal26"/>
              <w:spacing w:after="0" w:line="240" w:lineRule="auto"/>
              <w:jc w:val="both"/>
              <w:rPr>
                <w:rFonts w:eastAsia="Times New Roman"/>
                <w:noProof/>
              </w:rPr>
            </w:pPr>
            <w:r>
              <w:rPr>
                <w:noProof/>
              </w:rPr>
              <w:t xml:space="preserve">- une liste d'exclusion comprenant les éléments suivants: </w:t>
            </w:r>
          </w:p>
          <w:p w14:paraId="5B9D2B1F" w14:textId="77777777" w:rsidR="006C686E" w:rsidRDefault="00B17E8C">
            <w:pPr>
              <w:pStyle w:val="P68B1DB1-Normal26"/>
              <w:spacing w:after="0" w:line="240" w:lineRule="auto"/>
              <w:jc w:val="both"/>
              <w:rPr>
                <w:rFonts w:eastAsia="Times New Roman"/>
                <w:noProof/>
              </w:rPr>
            </w:pPr>
            <w:r>
              <w:rPr>
                <w:noProof/>
              </w:rPr>
              <w:t>- Investissements liés aux combustibles fossiles (y compris l’utilisation en aval), à l’exception de la chaleur et de l’électricité à base de gaz naturel conformes aux conditions énoncées à l’annexe III des orientations DNSH</w:t>
            </w:r>
          </w:p>
          <w:p w14:paraId="378C21FF" w14:textId="77777777" w:rsidR="006C686E" w:rsidRDefault="00B17E8C">
            <w:pPr>
              <w:pStyle w:val="P68B1DB1-Normal26"/>
              <w:spacing w:after="0" w:line="240" w:lineRule="auto"/>
              <w:jc w:val="both"/>
              <w:rPr>
                <w:rFonts w:eastAsia="Times New Roman"/>
                <w:noProof/>
              </w:rPr>
            </w:pPr>
            <w:r>
              <w:rPr>
                <w:noProof/>
              </w:rPr>
              <w:t xml:space="preserve">- Activités relevant du SEQE dont les émissions projetées d’équivalent CO2 ne sont pas inférieures aux référentiels pertinents établis pour l’allocation de quotas à titre gratuit. </w:t>
            </w:r>
          </w:p>
          <w:p w14:paraId="16011665" w14:textId="77777777" w:rsidR="006C686E" w:rsidRDefault="00B17E8C">
            <w:pPr>
              <w:pStyle w:val="P68B1DB1-Normal26"/>
              <w:spacing w:after="0" w:line="240" w:lineRule="auto"/>
              <w:jc w:val="both"/>
              <w:rPr>
                <w:rFonts w:eastAsia="Times New Roman"/>
                <w:noProof/>
              </w:rPr>
            </w:pPr>
            <w:r>
              <w:rPr>
                <w:noProof/>
              </w:rPr>
              <w:t xml:space="preserve">- Investissements dans des installations d'élimination des déchets en décharge, dans des installations de traitement biologique mécanique (MBT) et dans des incinérateurs pour le traitement des déchets. La liste d’exclusion ne s’applique pas aux installations exclusivement consacrées au traitement des déchets dangereux non recyclables; aux installations existantes, lorsque l'investissement vise à accroître l'efficacité énergétique, à capter les gaz d'échappement pour le stockage ou l'utilisation ou à récupérer des matériaux à partir de cendres d'incinération, à condition que ces investissements n'entraînent pas une augmentation de la capacité de traitement des déchets des installations ou une prolongation de la durée de vie de l'installation. </w:t>
            </w:r>
          </w:p>
          <w:p w14:paraId="42C4E39A" w14:textId="77777777" w:rsidR="006C686E" w:rsidRDefault="00B17E8C">
            <w:pPr>
              <w:pStyle w:val="P68B1DB1-Normal26"/>
              <w:spacing w:after="0" w:line="240" w:lineRule="auto"/>
              <w:jc w:val="both"/>
              <w:rPr>
                <w:rFonts w:eastAsia="Times New Roman"/>
                <w:noProof/>
              </w:rPr>
            </w:pPr>
            <w:r>
              <w:rPr>
                <w:noProof/>
              </w:rPr>
              <w:t xml:space="preserve">- Activités dans lesquelles l'élimination à long terme des déchets peut causer des dommages à long terme à l'environnement (par exemple, déchets nucléaires). </w:t>
            </w:r>
          </w:p>
          <w:p w14:paraId="165C6CA8" w14:textId="77777777" w:rsidR="006C686E" w:rsidRDefault="00B17E8C">
            <w:pPr>
              <w:pStyle w:val="P68B1DB1-Normal26"/>
              <w:spacing w:after="0" w:line="240" w:lineRule="auto"/>
              <w:jc w:val="both"/>
              <w:rPr>
                <w:rFonts w:eastAsia="Times New Roman"/>
                <w:noProof/>
              </w:rPr>
            </w:pPr>
            <w:r>
              <w:rPr>
                <w:noProof/>
              </w:rPr>
              <w:t xml:space="preserve">- R&amp;D&amp;I dédié aux actifs et activités ci-dessus. </w:t>
            </w:r>
          </w:p>
          <w:p w14:paraId="72C1171C" w14:textId="77777777" w:rsidR="006C686E" w:rsidRDefault="00B17E8C">
            <w:pPr>
              <w:pStyle w:val="P68B1DB1-Normal26"/>
              <w:spacing w:after="0" w:line="240" w:lineRule="auto"/>
              <w:jc w:val="both"/>
              <w:rPr>
                <w:rFonts w:eastAsia="Times New Roman"/>
                <w:noProof/>
              </w:rPr>
            </w:pPr>
            <w:r>
              <w:rPr>
                <w:noProof/>
              </w:rPr>
              <w:t>- des contrôles obligatoires de conformité juridique par l’intermédiaire de BPF et/ou de ses intermédiaires financiers sélectionnés pour les transactions exemptées de l’évaluation de la durabilité;</w:t>
            </w:r>
          </w:p>
          <w:p w14:paraId="74A08235" w14:textId="77777777" w:rsidR="006C686E" w:rsidRDefault="00B17E8C">
            <w:pPr>
              <w:pStyle w:val="P68B1DB1-Normal26"/>
              <w:spacing w:after="0" w:line="240" w:lineRule="auto"/>
              <w:jc w:val="both"/>
              <w:rPr>
                <w:rFonts w:eastAsia="Times New Roman"/>
                <w:noProof/>
              </w:rPr>
            </w:pPr>
            <w:r>
              <w:rPr>
                <w:noProof/>
              </w:rPr>
              <w:t>les bénéficiaires d’un soutien en fonds propres qui tirent au moins 50 % de leurs recettes des activités énumérées dans la liste d’exclusion afin d’adopter et de publier des plans de transition écologique.</w:t>
            </w:r>
          </w:p>
        </w:tc>
      </w:tr>
      <w:tr w:rsidR="006C686E" w14:paraId="1190BD60" w14:textId="77777777" w:rsidTr="006E2673">
        <w:trPr>
          <w:trHeight w:val="1933"/>
          <w:jc w:val="center"/>
        </w:trPr>
        <w:tc>
          <w:tcPr>
            <w:tcW w:w="1129" w:type="dxa"/>
            <w:shd w:val="clear" w:color="auto" w:fill="C4EFCE"/>
            <w:vAlign w:val="center"/>
            <w:hideMark/>
          </w:tcPr>
          <w:p w14:paraId="1BED8B5C" w14:textId="77777777" w:rsidR="006C686E" w:rsidRDefault="00B17E8C">
            <w:pPr>
              <w:pStyle w:val="P68B1DB1-Normal25"/>
              <w:spacing w:after="0" w:line="240" w:lineRule="auto"/>
              <w:jc w:val="center"/>
              <w:rPr>
                <w:rFonts w:eastAsia="Times New Roman"/>
                <w:bCs/>
                <w:noProof/>
              </w:rPr>
            </w:pPr>
            <w:r>
              <w:rPr>
                <w:noProof/>
              </w:rPr>
              <w:t>5.16</w:t>
            </w:r>
          </w:p>
        </w:tc>
        <w:tc>
          <w:tcPr>
            <w:tcW w:w="1418" w:type="dxa"/>
            <w:shd w:val="clear" w:color="auto" w:fill="C4EFCE"/>
            <w:vAlign w:val="center"/>
            <w:hideMark/>
          </w:tcPr>
          <w:p w14:paraId="030803EB" w14:textId="77777777" w:rsidR="006C686E" w:rsidRDefault="00B17E8C">
            <w:pPr>
              <w:pStyle w:val="P68B1DB1-Normal26"/>
              <w:spacing w:after="0" w:line="240" w:lineRule="auto"/>
              <w:jc w:val="center"/>
              <w:rPr>
                <w:rFonts w:eastAsia="Times New Roman"/>
                <w:noProof/>
              </w:rPr>
            </w:pPr>
            <w:r>
              <w:rPr>
                <w:noProof/>
              </w:rPr>
              <w:t>RE-C05-i04-RAA</w:t>
            </w:r>
          </w:p>
        </w:tc>
        <w:tc>
          <w:tcPr>
            <w:tcW w:w="1417" w:type="dxa"/>
            <w:shd w:val="clear" w:color="auto" w:fill="C4EFCE"/>
            <w:vAlign w:val="center"/>
            <w:hideMark/>
          </w:tcPr>
          <w:p w14:paraId="658B0A63"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hideMark/>
          </w:tcPr>
          <w:p w14:paraId="221A64C4" w14:textId="77777777" w:rsidR="006C686E" w:rsidRDefault="00B17E8C">
            <w:pPr>
              <w:pStyle w:val="P68B1DB1-Normal26"/>
              <w:spacing w:after="0" w:line="240" w:lineRule="auto"/>
              <w:jc w:val="center"/>
              <w:rPr>
                <w:rFonts w:eastAsia="Times New Roman"/>
                <w:noProof/>
              </w:rPr>
            </w:pPr>
            <w:r>
              <w:rPr>
                <w:noProof/>
              </w:rPr>
              <w:t>Adoption de la politique d'investissement pour l'instrument de recapitalisation des entreprises aux Açores</w:t>
            </w:r>
          </w:p>
        </w:tc>
        <w:tc>
          <w:tcPr>
            <w:tcW w:w="2127" w:type="dxa"/>
            <w:shd w:val="clear" w:color="auto" w:fill="C4EFCE"/>
            <w:vAlign w:val="center"/>
            <w:hideMark/>
          </w:tcPr>
          <w:p w14:paraId="699873CA" w14:textId="77777777" w:rsidR="006C686E" w:rsidRDefault="00B17E8C">
            <w:pPr>
              <w:pStyle w:val="P68B1DB1-Normal26"/>
              <w:spacing w:after="0" w:line="240" w:lineRule="auto"/>
              <w:jc w:val="center"/>
              <w:rPr>
                <w:rFonts w:eastAsia="Times New Roman"/>
                <w:noProof/>
              </w:rPr>
            </w:pPr>
            <w:r>
              <w:rPr>
                <w:noProof/>
              </w:rPr>
              <w:t>Adoption par BPF de la politique d'investissement couvrant tous les instruments financiers envisagés dans la mesure.</w:t>
            </w:r>
          </w:p>
        </w:tc>
        <w:tc>
          <w:tcPr>
            <w:tcW w:w="992" w:type="dxa"/>
            <w:shd w:val="clear" w:color="auto" w:fill="C4EFCE"/>
            <w:vAlign w:val="center"/>
            <w:hideMark/>
          </w:tcPr>
          <w:p w14:paraId="189EFC41"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2640045C" w14:textId="77777777" w:rsidR="006C686E" w:rsidRDefault="00B17E8C">
            <w:pPr>
              <w:pStyle w:val="P68B1DB1-Normal26"/>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0F4007D"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2BC35E54" w14:textId="77777777" w:rsidR="006C686E" w:rsidRDefault="00B17E8C">
            <w:pPr>
              <w:pStyle w:val="P68B1DB1-Normal26"/>
              <w:spacing w:after="0" w:line="240" w:lineRule="auto"/>
              <w:jc w:val="center"/>
              <w:rPr>
                <w:rFonts w:eastAsia="Times New Roman"/>
                <w:noProof/>
              </w:rPr>
            </w:pPr>
            <w:r>
              <w:rPr>
                <w:noProof/>
              </w:rPr>
              <w:t>T3</w:t>
            </w:r>
          </w:p>
        </w:tc>
        <w:tc>
          <w:tcPr>
            <w:tcW w:w="851" w:type="dxa"/>
            <w:shd w:val="clear" w:color="auto" w:fill="C4EFCE"/>
            <w:vAlign w:val="center"/>
            <w:hideMark/>
          </w:tcPr>
          <w:p w14:paraId="010688B9" w14:textId="77777777" w:rsidR="006C686E" w:rsidRDefault="00B17E8C">
            <w:pPr>
              <w:pStyle w:val="P68B1DB1-Normal26"/>
              <w:spacing w:after="0" w:line="240" w:lineRule="auto"/>
              <w:jc w:val="center"/>
              <w:rPr>
                <w:rFonts w:eastAsia="Times New Roman"/>
                <w:noProof/>
              </w:rPr>
            </w:pPr>
            <w:r>
              <w:rPr>
                <w:noProof/>
              </w:rPr>
              <w:t>2021</w:t>
            </w:r>
          </w:p>
        </w:tc>
        <w:tc>
          <w:tcPr>
            <w:tcW w:w="3898" w:type="dxa"/>
            <w:shd w:val="clear" w:color="auto" w:fill="C4EFCE"/>
            <w:vAlign w:val="center"/>
            <w:hideMark/>
          </w:tcPr>
          <w:p w14:paraId="72B7D5C4" w14:textId="33701649" w:rsidR="006C686E" w:rsidRDefault="00B17E8C">
            <w:pPr>
              <w:pStyle w:val="P68B1DB1-Normal26"/>
              <w:spacing w:after="0" w:line="240" w:lineRule="auto"/>
              <w:jc w:val="both"/>
              <w:rPr>
                <w:rFonts w:eastAsia="Times New Roman"/>
                <w:noProof/>
              </w:rPr>
            </w:pPr>
            <w:r>
              <w:rPr>
                <w:noProof/>
              </w:rPr>
              <w:t>Adoption par BPF de la politique d'investissement couvrant tous les instruments financiers envisagés dans la mesure. La politique d’investissement est élaborée et adoptée par BPF en tant qu’entité gestionnaire du véhicule détenant les participations résultant des instruments financiers mis en œuvre pour soutenir les entreprises sélectionnées en tant que bénéficiaires. La politique d’investissement reflète les critères de sélection/d’éligibilité et les engagements/objectifs applicables énoncés dans le règlement relatif à l’instrument de recapitalisation des entreprises aux Açores.</w:t>
            </w:r>
          </w:p>
        </w:tc>
      </w:tr>
      <w:tr w:rsidR="006C686E" w14:paraId="57B98F17" w14:textId="77777777" w:rsidTr="006E2673">
        <w:trPr>
          <w:trHeight w:val="684"/>
          <w:jc w:val="center"/>
        </w:trPr>
        <w:tc>
          <w:tcPr>
            <w:tcW w:w="1129" w:type="dxa"/>
            <w:shd w:val="clear" w:color="auto" w:fill="C4EFCE"/>
            <w:vAlign w:val="center"/>
            <w:hideMark/>
          </w:tcPr>
          <w:p w14:paraId="78BDC830" w14:textId="77777777" w:rsidR="006C686E" w:rsidRDefault="00B17E8C">
            <w:pPr>
              <w:pStyle w:val="P68B1DB1-Normal25"/>
              <w:spacing w:after="0" w:line="240" w:lineRule="auto"/>
              <w:jc w:val="center"/>
              <w:rPr>
                <w:rFonts w:eastAsia="Times New Roman"/>
                <w:bCs/>
                <w:noProof/>
              </w:rPr>
            </w:pPr>
            <w:r>
              <w:rPr>
                <w:noProof/>
              </w:rPr>
              <w:t>5.17</w:t>
            </w:r>
          </w:p>
        </w:tc>
        <w:tc>
          <w:tcPr>
            <w:tcW w:w="1418" w:type="dxa"/>
            <w:shd w:val="clear" w:color="auto" w:fill="C4EFCE"/>
            <w:vAlign w:val="center"/>
            <w:hideMark/>
          </w:tcPr>
          <w:p w14:paraId="23B5E21C" w14:textId="77777777" w:rsidR="006C686E" w:rsidRDefault="00B17E8C">
            <w:pPr>
              <w:pStyle w:val="P68B1DB1-Normal26"/>
              <w:spacing w:after="0" w:line="240" w:lineRule="auto"/>
              <w:jc w:val="center"/>
              <w:rPr>
                <w:rFonts w:eastAsia="Times New Roman"/>
                <w:noProof/>
              </w:rPr>
            </w:pPr>
            <w:r>
              <w:rPr>
                <w:noProof/>
              </w:rPr>
              <w:t>RE-C05-i04-RAA</w:t>
            </w:r>
          </w:p>
        </w:tc>
        <w:tc>
          <w:tcPr>
            <w:tcW w:w="1417" w:type="dxa"/>
            <w:shd w:val="clear" w:color="auto" w:fill="C4EFCE"/>
            <w:vAlign w:val="center"/>
            <w:hideMark/>
          </w:tcPr>
          <w:p w14:paraId="13B00BA4"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63BB4048" w14:textId="68463546" w:rsidR="006C686E" w:rsidRDefault="00B17E8C">
            <w:pPr>
              <w:pStyle w:val="P68B1DB1-Normal26"/>
              <w:spacing w:after="0" w:line="240" w:lineRule="auto"/>
              <w:jc w:val="center"/>
              <w:rPr>
                <w:rFonts w:eastAsia="Times New Roman"/>
                <w:noProof/>
              </w:rPr>
            </w:pPr>
            <w:r>
              <w:rPr>
                <w:noProof/>
              </w:rPr>
              <w:t>Certificats de transfert aux sociétés non financières sous forme de soutien sous forme de fonds propres et de quasi-fonds propres</w:t>
            </w:r>
          </w:p>
        </w:tc>
        <w:tc>
          <w:tcPr>
            <w:tcW w:w="2127" w:type="dxa"/>
            <w:shd w:val="clear" w:color="auto" w:fill="C4EFCE"/>
            <w:vAlign w:val="center"/>
            <w:hideMark/>
          </w:tcPr>
          <w:p w14:paraId="219E02B8"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45DB0A49" w14:textId="77777777" w:rsidR="006C686E" w:rsidRDefault="00B17E8C">
            <w:pPr>
              <w:pStyle w:val="P68B1DB1-Normal26"/>
              <w:spacing w:after="0" w:line="240" w:lineRule="auto"/>
              <w:jc w:val="center"/>
              <w:rPr>
                <w:rFonts w:eastAsia="Times New Roman"/>
                <w:noProof/>
              </w:rPr>
            </w:pPr>
            <w:r>
              <w:rPr>
                <w:noProof/>
              </w:rPr>
              <w:t>EUR</w:t>
            </w:r>
          </w:p>
        </w:tc>
        <w:tc>
          <w:tcPr>
            <w:tcW w:w="992" w:type="dxa"/>
            <w:shd w:val="clear" w:color="auto" w:fill="C4EFCE"/>
            <w:vAlign w:val="center"/>
            <w:hideMark/>
          </w:tcPr>
          <w:p w14:paraId="7F266A42"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7FC75AB6" w14:textId="6876A35B"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30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 xml:space="preserve">000 </w:t>
            </w:r>
          </w:p>
        </w:tc>
        <w:tc>
          <w:tcPr>
            <w:tcW w:w="567" w:type="dxa"/>
            <w:shd w:val="clear" w:color="auto" w:fill="C4EFCE"/>
            <w:vAlign w:val="center"/>
            <w:hideMark/>
          </w:tcPr>
          <w:p w14:paraId="1DEFF852" w14:textId="77777777" w:rsidR="006C686E" w:rsidRDefault="00B17E8C">
            <w:pPr>
              <w:pStyle w:val="P68B1DB1-Normal26"/>
              <w:spacing w:after="0" w:line="240" w:lineRule="auto"/>
              <w:jc w:val="center"/>
              <w:rPr>
                <w:rFonts w:eastAsia="Times New Roman"/>
                <w:noProof/>
              </w:rPr>
            </w:pPr>
            <w:r>
              <w:rPr>
                <w:noProof/>
              </w:rPr>
              <w:t>T2</w:t>
            </w:r>
          </w:p>
        </w:tc>
        <w:tc>
          <w:tcPr>
            <w:tcW w:w="851" w:type="dxa"/>
            <w:shd w:val="clear" w:color="auto" w:fill="C4EFCE"/>
            <w:vAlign w:val="center"/>
            <w:hideMark/>
          </w:tcPr>
          <w:p w14:paraId="1A16338A" w14:textId="77777777" w:rsidR="006C686E" w:rsidRDefault="00B17E8C">
            <w:pPr>
              <w:pStyle w:val="P68B1DB1-Normal26"/>
              <w:spacing w:after="0" w:line="240" w:lineRule="auto"/>
              <w:jc w:val="center"/>
              <w:rPr>
                <w:rFonts w:eastAsia="Times New Roman"/>
                <w:noProof/>
              </w:rPr>
            </w:pPr>
            <w:r>
              <w:rPr>
                <w:noProof/>
              </w:rPr>
              <w:t>2026</w:t>
            </w:r>
          </w:p>
        </w:tc>
        <w:tc>
          <w:tcPr>
            <w:tcW w:w="3898" w:type="dxa"/>
            <w:shd w:val="clear" w:color="auto" w:fill="C4EFCE"/>
            <w:vAlign w:val="center"/>
            <w:hideMark/>
          </w:tcPr>
          <w:p w14:paraId="60C3EF20" w14:textId="6CCAEF3C" w:rsidR="006C686E" w:rsidRDefault="00B17E8C">
            <w:pPr>
              <w:pStyle w:val="P68B1DB1-Normal27"/>
              <w:spacing w:after="0" w:line="240" w:lineRule="auto"/>
              <w:jc w:val="both"/>
              <w:rPr>
                <w:rFonts w:ascii="Times New Roman" w:hAnsi="Times New Roman" w:cs="Times New Roman"/>
                <w:noProof/>
              </w:rPr>
            </w:pPr>
            <w:r>
              <w:rPr>
                <w:rFonts w:ascii="Times New Roman" w:hAnsi="Times New Roman" w:cs="Times New Roman"/>
                <w:noProof/>
              </w:rPr>
              <w:t>Certificats de transfert d’un montant de</w:t>
            </w:r>
            <w:r>
              <w:rPr>
                <w:rFonts w:ascii="Times New Roman" w:eastAsia="Calibri" w:hAnsi="Times New Roman" w:cs="Times New Roman"/>
                <w:noProof/>
                <w:kern w:val="0"/>
                <w14:ligatures w14:val="none"/>
              </w:rPr>
              <w:t> </w:t>
            </w:r>
            <w:r>
              <w:rPr>
                <w:rFonts w:ascii="Times New Roman" w:hAnsi="Times New Roman" w:cs="Times New Roman"/>
                <w:noProof/>
              </w:rPr>
              <w:t>30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 xml:space="preserve">000 EUR à des sociétés non financières dans le cadre d’un soutien sous forme de fonds propres ou de quasi-fonds propres, conformément à la politique d’investissement adoptée pour l’instrument de recapitalisation des entreprises aux Açores. </w:t>
            </w:r>
          </w:p>
        </w:tc>
      </w:tr>
      <w:tr w:rsidR="006C686E" w14:paraId="2D5E188E" w14:textId="77777777" w:rsidTr="006E2673">
        <w:trPr>
          <w:trHeight w:val="684"/>
          <w:jc w:val="center"/>
        </w:trPr>
        <w:tc>
          <w:tcPr>
            <w:tcW w:w="1129" w:type="dxa"/>
            <w:shd w:val="clear" w:color="auto" w:fill="C4EFCE"/>
            <w:vAlign w:val="center"/>
          </w:tcPr>
          <w:p w14:paraId="04B357DA" w14:textId="77777777" w:rsidR="006C686E" w:rsidRDefault="00B17E8C">
            <w:pPr>
              <w:pStyle w:val="P68B1DB1-Normal25"/>
              <w:spacing w:after="0" w:line="240" w:lineRule="auto"/>
              <w:jc w:val="center"/>
              <w:rPr>
                <w:noProof/>
              </w:rPr>
            </w:pPr>
            <w:r>
              <w:rPr>
                <w:noProof/>
              </w:rPr>
              <w:t>5.53</w:t>
            </w:r>
          </w:p>
        </w:tc>
        <w:tc>
          <w:tcPr>
            <w:tcW w:w="1418" w:type="dxa"/>
            <w:shd w:val="clear" w:color="auto" w:fill="C4EFCE"/>
            <w:vAlign w:val="center"/>
          </w:tcPr>
          <w:p w14:paraId="6F3DE849" w14:textId="77777777" w:rsidR="006C686E" w:rsidRDefault="00B17E8C">
            <w:pPr>
              <w:pStyle w:val="P68B1DB1-Normal26"/>
              <w:spacing w:after="0" w:line="240" w:lineRule="auto"/>
              <w:jc w:val="center"/>
              <w:rPr>
                <w:noProof/>
              </w:rPr>
            </w:pPr>
            <w:r>
              <w:rPr>
                <w:noProof/>
              </w:rPr>
              <w:t>RE-C05-i15-RAA</w:t>
            </w:r>
          </w:p>
        </w:tc>
        <w:tc>
          <w:tcPr>
            <w:tcW w:w="1417" w:type="dxa"/>
            <w:shd w:val="clear" w:color="auto" w:fill="C4EFCE"/>
            <w:vAlign w:val="center"/>
          </w:tcPr>
          <w:p w14:paraId="35052B29" w14:textId="77777777" w:rsidR="006C686E" w:rsidRDefault="00B17E8C">
            <w:pPr>
              <w:pStyle w:val="P68B1DB1-Normal26"/>
              <w:spacing w:after="0" w:line="240" w:lineRule="auto"/>
              <w:jc w:val="center"/>
              <w:rPr>
                <w:noProof/>
              </w:rPr>
            </w:pPr>
            <w:r>
              <w:rPr>
                <w:noProof/>
              </w:rPr>
              <w:t>M</w:t>
            </w:r>
          </w:p>
        </w:tc>
        <w:tc>
          <w:tcPr>
            <w:tcW w:w="1134" w:type="dxa"/>
            <w:shd w:val="clear" w:color="auto" w:fill="C4EFCE"/>
            <w:vAlign w:val="center"/>
          </w:tcPr>
          <w:p w14:paraId="22559A70" w14:textId="77777777" w:rsidR="006C686E" w:rsidRDefault="00B17E8C">
            <w:pPr>
              <w:pStyle w:val="P68B1DB1-Normal26"/>
              <w:spacing w:after="0" w:line="240" w:lineRule="auto"/>
              <w:jc w:val="center"/>
              <w:rPr>
                <w:noProof/>
              </w:rPr>
            </w:pPr>
            <w:r>
              <w:rPr>
                <w:noProof/>
              </w:rPr>
              <w:t>Accord de mise en œuvre</w:t>
            </w:r>
          </w:p>
        </w:tc>
        <w:tc>
          <w:tcPr>
            <w:tcW w:w="2127" w:type="dxa"/>
            <w:shd w:val="clear" w:color="auto" w:fill="C4EFCE"/>
            <w:vAlign w:val="center"/>
          </w:tcPr>
          <w:p w14:paraId="49128CA9" w14:textId="77777777" w:rsidR="006C686E" w:rsidRDefault="00B17E8C">
            <w:pPr>
              <w:pStyle w:val="P68B1DB1-Normal26"/>
              <w:spacing w:after="0" w:line="240" w:lineRule="auto"/>
              <w:jc w:val="center"/>
              <w:rPr>
                <w:noProof/>
              </w:rPr>
            </w:pPr>
            <w:r>
              <w:rPr>
                <w:noProof/>
              </w:rPr>
              <w:t>Entrée en vigueur de l'accord de mise en œuvre</w:t>
            </w:r>
          </w:p>
        </w:tc>
        <w:tc>
          <w:tcPr>
            <w:tcW w:w="992" w:type="dxa"/>
            <w:shd w:val="clear" w:color="auto" w:fill="C4EFCE"/>
            <w:vAlign w:val="center"/>
          </w:tcPr>
          <w:p w14:paraId="67AAFE4B" w14:textId="77777777"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25EA675A" w14:textId="77777777" w:rsidR="006C686E" w:rsidRDefault="006C686E">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2C8BB4F3" w14:textId="77777777" w:rsidR="006C686E" w:rsidRDefault="006C686E">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6A98C2C"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317328CF" w14:textId="77777777" w:rsidR="006C686E" w:rsidRDefault="00B17E8C">
            <w:pPr>
              <w:pStyle w:val="P68B1DB1-Normal26"/>
              <w:spacing w:after="0" w:line="240" w:lineRule="auto"/>
              <w:jc w:val="center"/>
              <w:rPr>
                <w:noProof/>
              </w:rPr>
            </w:pPr>
            <w:r>
              <w:rPr>
                <w:noProof/>
              </w:rPr>
              <w:t>2025</w:t>
            </w:r>
          </w:p>
        </w:tc>
        <w:tc>
          <w:tcPr>
            <w:tcW w:w="3898" w:type="dxa"/>
            <w:shd w:val="clear" w:color="auto" w:fill="C4EFCE"/>
            <w:vAlign w:val="center"/>
          </w:tcPr>
          <w:p w14:paraId="29F16936" w14:textId="77777777" w:rsidR="006C686E" w:rsidRDefault="00B17E8C">
            <w:pPr>
              <w:pStyle w:val="P68B1DB1-Normal26"/>
              <w:spacing w:after="0" w:line="240" w:lineRule="auto"/>
              <w:jc w:val="both"/>
              <w:rPr>
                <w:noProof/>
              </w:rPr>
            </w:pPr>
            <w:r>
              <w:rPr>
                <w:noProof/>
              </w:rPr>
              <w:t>Entrée en vigueur de l’accord de mise en œuvre conformément aux exigences spécifiées dans la description de la mesure.</w:t>
            </w:r>
          </w:p>
        </w:tc>
      </w:tr>
      <w:tr w:rsidR="006C686E" w14:paraId="6034E03A" w14:textId="77777777" w:rsidTr="006E2673">
        <w:trPr>
          <w:trHeight w:val="684"/>
          <w:jc w:val="center"/>
        </w:trPr>
        <w:tc>
          <w:tcPr>
            <w:tcW w:w="1129" w:type="dxa"/>
            <w:shd w:val="clear" w:color="auto" w:fill="C4EFCE"/>
            <w:vAlign w:val="center"/>
          </w:tcPr>
          <w:p w14:paraId="0DE0D48F" w14:textId="77777777" w:rsidR="006C686E" w:rsidRDefault="00B17E8C">
            <w:pPr>
              <w:pStyle w:val="P68B1DB1-Normal25"/>
              <w:spacing w:after="0" w:line="240" w:lineRule="auto"/>
              <w:jc w:val="center"/>
              <w:rPr>
                <w:bCs/>
                <w:noProof/>
              </w:rPr>
            </w:pPr>
            <w:r>
              <w:rPr>
                <w:noProof/>
              </w:rPr>
              <w:t>5.54</w:t>
            </w:r>
          </w:p>
        </w:tc>
        <w:tc>
          <w:tcPr>
            <w:tcW w:w="1418" w:type="dxa"/>
            <w:shd w:val="clear" w:color="auto" w:fill="C4EFCE"/>
            <w:vAlign w:val="center"/>
          </w:tcPr>
          <w:p w14:paraId="054724AE" w14:textId="77777777" w:rsidR="006C686E" w:rsidRDefault="00B17E8C">
            <w:pPr>
              <w:pStyle w:val="P68B1DB1-Normal26"/>
              <w:spacing w:after="0" w:line="240" w:lineRule="auto"/>
              <w:jc w:val="center"/>
              <w:rPr>
                <w:noProof/>
              </w:rPr>
            </w:pPr>
            <w:r>
              <w:rPr>
                <w:noProof/>
              </w:rPr>
              <w:t>RE-C05-i15-RAA</w:t>
            </w:r>
          </w:p>
        </w:tc>
        <w:tc>
          <w:tcPr>
            <w:tcW w:w="1417" w:type="dxa"/>
            <w:shd w:val="clear" w:color="auto" w:fill="C4EFCE"/>
            <w:vAlign w:val="center"/>
          </w:tcPr>
          <w:p w14:paraId="1556D991" w14:textId="77777777" w:rsidR="006C686E" w:rsidRDefault="00B17E8C">
            <w:pPr>
              <w:pStyle w:val="P68B1DB1-Normal26"/>
              <w:spacing w:after="0" w:line="240" w:lineRule="auto"/>
              <w:jc w:val="center"/>
              <w:rPr>
                <w:noProof/>
              </w:rPr>
            </w:pPr>
            <w:r>
              <w:rPr>
                <w:noProof/>
              </w:rPr>
              <w:t>T</w:t>
            </w:r>
          </w:p>
        </w:tc>
        <w:tc>
          <w:tcPr>
            <w:tcW w:w="1134" w:type="dxa"/>
            <w:shd w:val="clear" w:color="auto" w:fill="C4EFCE"/>
            <w:vAlign w:val="center"/>
          </w:tcPr>
          <w:p w14:paraId="3FE5458D" w14:textId="1886E4A5" w:rsidR="006C686E" w:rsidRDefault="00B17E8C">
            <w:pPr>
              <w:pStyle w:val="P68B1DB1-Normal26"/>
              <w:spacing w:after="0" w:line="240" w:lineRule="auto"/>
              <w:jc w:val="center"/>
              <w:rPr>
                <w:noProof/>
              </w:rPr>
            </w:pPr>
            <w:r>
              <w:rPr>
                <w:noProof/>
              </w:rPr>
              <w:t>Conventions de financement juridique et montant transféré</w:t>
            </w:r>
          </w:p>
        </w:tc>
        <w:tc>
          <w:tcPr>
            <w:tcW w:w="2127" w:type="dxa"/>
            <w:shd w:val="clear" w:color="auto" w:fill="C4EFCE"/>
            <w:vAlign w:val="center"/>
          </w:tcPr>
          <w:p w14:paraId="59A9FCB3" w14:textId="09FE470A"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69504DFE" w14:textId="77777777" w:rsidR="006C686E" w:rsidRDefault="00B17E8C">
            <w:pPr>
              <w:pStyle w:val="P68B1DB1-Normal26"/>
              <w:spacing w:after="0" w:line="240" w:lineRule="auto"/>
              <w:jc w:val="center"/>
              <w:rPr>
                <w:noProof/>
              </w:rPr>
            </w:pPr>
            <w:r>
              <w:rPr>
                <w:noProof/>
              </w:rPr>
              <w:t>Pourcentage (%)</w:t>
            </w:r>
          </w:p>
        </w:tc>
        <w:tc>
          <w:tcPr>
            <w:tcW w:w="992" w:type="dxa"/>
            <w:shd w:val="clear" w:color="auto" w:fill="C4EFCE"/>
            <w:vAlign w:val="center"/>
          </w:tcPr>
          <w:p w14:paraId="48CD09DA" w14:textId="77777777" w:rsidR="006C686E" w:rsidRDefault="00B17E8C">
            <w:pPr>
              <w:pStyle w:val="P68B1DB1-Normal26"/>
              <w:spacing w:after="0" w:line="240" w:lineRule="auto"/>
              <w:jc w:val="center"/>
              <w:rPr>
                <w:noProof/>
              </w:rPr>
            </w:pPr>
            <w:r>
              <w:rPr>
                <w:noProof/>
              </w:rPr>
              <w:t>0%</w:t>
            </w:r>
          </w:p>
        </w:tc>
        <w:tc>
          <w:tcPr>
            <w:tcW w:w="1134" w:type="dxa"/>
            <w:shd w:val="clear" w:color="auto" w:fill="C4EFCE"/>
            <w:vAlign w:val="center"/>
          </w:tcPr>
          <w:p w14:paraId="7CFFBE58" w14:textId="4BEC3A46" w:rsidR="006C686E" w:rsidRDefault="00B17E8C">
            <w:pPr>
              <w:pStyle w:val="P68B1DB1-Normal26"/>
              <w:spacing w:after="0" w:line="240" w:lineRule="auto"/>
              <w:jc w:val="center"/>
              <w:rPr>
                <w:noProof/>
              </w:rPr>
            </w:pPr>
            <w:r>
              <w:rPr>
                <w:noProof/>
              </w:rPr>
              <w:t>100%</w:t>
            </w:r>
          </w:p>
        </w:tc>
        <w:tc>
          <w:tcPr>
            <w:tcW w:w="567" w:type="dxa"/>
            <w:shd w:val="clear" w:color="auto" w:fill="C4EFCE"/>
            <w:vAlign w:val="center"/>
          </w:tcPr>
          <w:p w14:paraId="7A36211D" w14:textId="7AF80DD7" w:rsidR="006C686E" w:rsidRDefault="00B17E8C">
            <w:pPr>
              <w:pStyle w:val="P68B1DB1-Normal26"/>
              <w:spacing w:after="0" w:line="240" w:lineRule="auto"/>
              <w:jc w:val="center"/>
              <w:rPr>
                <w:noProof/>
              </w:rPr>
            </w:pPr>
            <w:r>
              <w:rPr>
                <w:noProof/>
              </w:rPr>
              <w:t>T4</w:t>
            </w:r>
          </w:p>
        </w:tc>
        <w:tc>
          <w:tcPr>
            <w:tcW w:w="851" w:type="dxa"/>
            <w:shd w:val="clear" w:color="auto" w:fill="C4EFCE"/>
            <w:vAlign w:val="center"/>
          </w:tcPr>
          <w:p w14:paraId="09A14C26" w14:textId="1937EEB0" w:rsidR="006C686E" w:rsidRDefault="00B17E8C">
            <w:pPr>
              <w:pStyle w:val="P68B1DB1-Normal26"/>
              <w:spacing w:after="0" w:line="240" w:lineRule="auto"/>
              <w:jc w:val="center"/>
              <w:rPr>
                <w:noProof/>
              </w:rPr>
            </w:pPr>
            <w:r>
              <w:rPr>
                <w:noProof/>
              </w:rPr>
              <w:t>2025</w:t>
            </w:r>
          </w:p>
        </w:tc>
        <w:tc>
          <w:tcPr>
            <w:tcW w:w="3898" w:type="dxa"/>
            <w:shd w:val="clear" w:color="auto" w:fill="C4EFCE"/>
            <w:vAlign w:val="center"/>
          </w:tcPr>
          <w:p w14:paraId="0BF315F7" w14:textId="43C5682D" w:rsidR="006C686E" w:rsidRDefault="00B17E8C">
            <w:pPr>
              <w:pStyle w:val="P68B1DB1-Normal26"/>
              <w:spacing w:after="0" w:line="240" w:lineRule="auto"/>
              <w:jc w:val="both"/>
              <w:rPr>
                <w:noProof/>
              </w:rPr>
            </w:pPr>
            <w:r>
              <w:rPr>
                <w:noProof/>
              </w:rPr>
              <w:t>Banco Portugues de Fomento a</w:t>
            </w:r>
            <w:r>
              <w:rPr>
                <w:i/>
                <w:noProof/>
              </w:rPr>
              <w:t xml:space="preserve"> </w:t>
            </w:r>
            <w:r>
              <w:rPr>
                <w:noProof/>
              </w:rPr>
              <w:t>conclu des conventions de financement légales pour un montant nécessaire à l’utilisation d’au moins 100 % de l’investissement de la FRR dans la facilité (en tenant compte des frais de gestion).</w:t>
            </w:r>
          </w:p>
          <w:p w14:paraId="079E5523" w14:textId="5A8A989F" w:rsidR="006C686E" w:rsidRDefault="00B17E8C">
            <w:pPr>
              <w:pStyle w:val="P68B1DB1-Normal26"/>
              <w:spacing w:after="0" w:line="240" w:lineRule="auto"/>
              <w:jc w:val="both"/>
              <w:rPr>
                <w:noProof/>
              </w:rPr>
            </w:pPr>
            <w:r>
              <w:rPr>
                <w:noProof/>
              </w:rPr>
              <w:t>Le Portugal transfère 10 </w:t>
            </w:r>
            <w:r>
              <w:rPr>
                <w:noProof/>
                <w:kern w:val="0"/>
                <w14:ligatures w14:val="none"/>
              </w:rPr>
              <w:t>000</w:t>
            </w:r>
            <w:r>
              <w:rPr>
                <w:noProof/>
              </w:rPr>
              <w:t> 000 EUR à Banco Portugues de Fomento pour la facilité.</w:t>
            </w:r>
          </w:p>
        </w:tc>
      </w:tr>
      <w:tr w:rsidR="006C686E" w14:paraId="3A50FAC2" w14:textId="77777777" w:rsidTr="006E2673">
        <w:trPr>
          <w:trHeight w:val="1224"/>
          <w:jc w:val="center"/>
        </w:trPr>
        <w:tc>
          <w:tcPr>
            <w:tcW w:w="1129" w:type="dxa"/>
            <w:shd w:val="clear" w:color="auto" w:fill="C4EFCE"/>
            <w:vAlign w:val="center"/>
            <w:hideMark/>
          </w:tcPr>
          <w:p w14:paraId="678AF9F8" w14:textId="77777777" w:rsidR="006C686E" w:rsidRDefault="00B17E8C">
            <w:pPr>
              <w:pStyle w:val="P68B1DB1-Normal25"/>
              <w:spacing w:after="0" w:line="240" w:lineRule="auto"/>
              <w:jc w:val="center"/>
              <w:rPr>
                <w:rFonts w:eastAsia="Times New Roman"/>
                <w:bCs/>
                <w:noProof/>
              </w:rPr>
            </w:pPr>
            <w:r>
              <w:rPr>
                <w:noProof/>
              </w:rPr>
              <w:t>5.18</w:t>
            </w:r>
          </w:p>
        </w:tc>
        <w:tc>
          <w:tcPr>
            <w:tcW w:w="1418" w:type="dxa"/>
            <w:shd w:val="clear" w:color="auto" w:fill="C4EFCE"/>
            <w:vAlign w:val="center"/>
            <w:hideMark/>
          </w:tcPr>
          <w:p w14:paraId="59A48452" w14:textId="77777777" w:rsidR="006C686E" w:rsidRDefault="00B17E8C">
            <w:pPr>
              <w:pStyle w:val="P68B1DB1-Normal26"/>
              <w:spacing w:after="0" w:line="240" w:lineRule="auto"/>
              <w:jc w:val="center"/>
              <w:rPr>
                <w:rFonts w:eastAsia="Times New Roman"/>
                <w:noProof/>
              </w:rPr>
            </w:pPr>
            <w:r>
              <w:rPr>
                <w:noProof/>
              </w:rPr>
              <w:t>RE-C05-i05-RAA</w:t>
            </w:r>
          </w:p>
        </w:tc>
        <w:tc>
          <w:tcPr>
            <w:tcW w:w="1417" w:type="dxa"/>
            <w:shd w:val="clear" w:color="auto" w:fill="C4EFCE"/>
            <w:vAlign w:val="center"/>
            <w:hideMark/>
          </w:tcPr>
          <w:p w14:paraId="177526D7"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hideMark/>
          </w:tcPr>
          <w:p w14:paraId="045FD2E9" w14:textId="77777777" w:rsidR="006C686E" w:rsidRDefault="00B17E8C">
            <w:pPr>
              <w:pStyle w:val="P68B1DB1-Normal26"/>
              <w:spacing w:after="0" w:line="240" w:lineRule="auto"/>
              <w:jc w:val="center"/>
              <w:rPr>
                <w:rFonts w:eastAsia="Times New Roman"/>
                <w:noProof/>
              </w:rPr>
            </w:pPr>
            <w:r>
              <w:rPr>
                <w:noProof/>
              </w:rPr>
              <w:t>Publication du programme d’innovation et de numérisation agricoles des Açores</w:t>
            </w:r>
          </w:p>
        </w:tc>
        <w:tc>
          <w:tcPr>
            <w:tcW w:w="2127" w:type="dxa"/>
            <w:shd w:val="clear" w:color="auto" w:fill="C4EFCE"/>
            <w:vAlign w:val="center"/>
            <w:hideMark/>
          </w:tcPr>
          <w:p w14:paraId="6B2AEF16" w14:textId="77777777" w:rsidR="006C686E" w:rsidRDefault="00B17E8C">
            <w:pPr>
              <w:pStyle w:val="P68B1DB1-Normal26"/>
              <w:spacing w:after="0" w:line="240" w:lineRule="auto"/>
              <w:jc w:val="center"/>
              <w:rPr>
                <w:rFonts w:eastAsia="Times New Roman"/>
                <w:noProof/>
              </w:rPr>
            </w:pPr>
            <w:r>
              <w:rPr>
                <w:noProof/>
              </w:rPr>
              <w:t>Publication du programme d’innovation et de numérisation agricoles des Açores</w:t>
            </w:r>
          </w:p>
        </w:tc>
        <w:tc>
          <w:tcPr>
            <w:tcW w:w="992" w:type="dxa"/>
            <w:shd w:val="clear" w:color="auto" w:fill="C4EFCE"/>
            <w:vAlign w:val="center"/>
            <w:hideMark/>
          </w:tcPr>
          <w:p w14:paraId="692312E7"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1992820" w14:textId="77777777" w:rsidR="006C686E" w:rsidRDefault="00B17E8C">
            <w:pPr>
              <w:pStyle w:val="P68B1DB1-Normal26"/>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6BA4FEEE"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33D4F037" w14:textId="77777777" w:rsidR="006C686E" w:rsidRDefault="00B17E8C">
            <w:pPr>
              <w:pStyle w:val="P68B1DB1-Normal26"/>
              <w:spacing w:after="0" w:line="240" w:lineRule="auto"/>
              <w:jc w:val="center"/>
              <w:rPr>
                <w:rFonts w:eastAsia="Times New Roman"/>
                <w:noProof/>
              </w:rPr>
            </w:pPr>
            <w:r>
              <w:rPr>
                <w:noProof/>
              </w:rPr>
              <w:t>T2</w:t>
            </w:r>
          </w:p>
        </w:tc>
        <w:tc>
          <w:tcPr>
            <w:tcW w:w="851" w:type="dxa"/>
            <w:shd w:val="clear" w:color="auto" w:fill="C4EFCE"/>
            <w:vAlign w:val="center"/>
            <w:hideMark/>
          </w:tcPr>
          <w:p w14:paraId="0B1047D3" w14:textId="77777777" w:rsidR="006C686E" w:rsidRDefault="00B17E8C">
            <w:pPr>
              <w:pStyle w:val="P68B1DB1-Normal26"/>
              <w:spacing w:after="0" w:line="240" w:lineRule="auto"/>
              <w:jc w:val="center"/>
              <w:rPr>
                <w:rFonts w:eastAsia="Times New Roman"/>
                <w:noProof/>
              </w:rPr>
            </w:pPr>
            <w:r>
              <w:rPr>
                <w:noProof/>
              </w:rPr>
              <w:t>2022</w:t>
            </w:r>
          </w:p>
        </w:tc>
        <w:tc>
          <w:tcPr>
            <w:tcW w:w="3898" w:type="dxa"/>
            <w:shd w:val="clear" w:color="auto" w:fill="C4EFCE"/>
            <w:vAlign w:val="center"/>
            <w:hideMark/>
          </w:tcPr>
          <w:p w14:paraId="0AA014F7" w14:textId="77777777" w:rsidR="006C686E" w:rsidRDefault="00B17E8C">
            <w:pPr>
              <w:pStyle w:val="P68B1DB1-Normal26"/>
              <w:spacing w:after="0" w:line="240" w:lineRule="auto"/>
              <w:jc w:val="both"/>
              <w:rPr>
                <w:rFonts w:eastAsia="Times New Roman"/>
                <w:noProof/>
              </w:rPr>
            </w:pPr>
            <w:r>
              <w:rPr>
                <w:noProof/>
              </w:rPr>
              <w:t>Publication d’un programme d’innovation et de numérisation pour l’agriculture aux Açores, comprenant un plan pour le développement d’un réseau de suivi et d’avis agricoles au niveau des îles, ainsi qu’un plan pour la transition vers la réalité numérique et l’agriculture de précision.</w:t>
            </w:r>
          </w:p>
        </w:tc>
      </w:tr>
      <w:tr w:rsidR="006C686E" w14:paraId="79B89C15" w14:textId="77777777" w:rsidTr="006E2673">
        <w:trPr>
          <w:trHeight w:val="1004"/>
          <w:jc w:val="center"/>
        </w:trPr>
        <w:tc>
          <w:tcPr>
            <w:tcW w:w="1129" w:type="dxa"/>
            <w:shd w:val="clear" w:color="auto" w:fill="C4EFCE"/>
            <w:vAlign w:val="center"/>
            <w:hideMark/>
          </w:tcPr>
          <w:p w14:paraId="4FB0B2B3" w14:textId="77777777" w:rsidR="006C686E" w:rsidRDefault="00B17E8C">
            <w:pPr>
              <w:pStyle w:val="P68B1DB1-Normal25"/>
              <w:spacing w:after="0" w:line="240" w:lineRule="auto"/>
              <w:jc w:val="center"/>
              <w:rPr>
                <w:rFonts w:eastAsia="Times New Roman"/>
                <w:bCs/>
                <w:noProof/>
              </w:rPr>
            </w:pPr>
            <w:r>
              <w:rPr>
                <w:noProof/>
              </w:rPr>
              <w:t>5.19</w:t>
            </w:r>
          </w:p>
        </w:tc>
        <w:tc>
          <w:tcPr>
            <w:tcW w:w="1418" w:type="dxa"/>
            <w:shd w:val="clear" w:color="auto" w:fill="C4EFCE"/>
            <w:vAlign w:val="center"/>
            <w:hideMark/>
          </w:tcPr>
          <w:p w14:paraId="48C46F25" w14:textId="77777777" w:rsidR="006C686E" w:rsidRDefault="00B17E8C">
            <w:pPr>
              <w:pStyle w:val="P68B1DB1-Normal26"/>
              <w:spacing w:after="0" w:line="240" w:lineRule="auto"/>
              <w:jc w:val="center"/>
              <w:rPr>
                <w:rFonts w:eastAsia="Times New Roman"/>
                <w:noProof/>
              </w:rPr>
            </w:pPr>
            <w:r>
              <w:rPr>
                <w:noProof/>
              </w:rPr>
              <w:t>RE-C05-i05-RAA</w:t>
            </w:r>
          </w:p>
        </w:tc>
        <w:tc>
          <w:tcPr>
            <w:tcW w:w="1417" w:type="dxa"/>
            <w:shd w:val="clear" w:color="auto" w:fill="C4EFCE"/>
            <w:vAlign w:val="center"/>
            <w:hideMark/>
          </w:tcPr>
          <w:p w14:paraId="32E8AA6B"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22DEABC1" w14:textId="2D78B30C" w:rsidR="006C686E" w:rsidRDefault="00B17E8C">
            <w:pPr>
              <w:pStyle w:val="P68B1DB1-Normal26"/>
              <w:spacing w:after="0" w:line="240" w:lineRule="auto"/>
              <w:jc w:val="center"/>
              <w:rPr>
                <w:rFonts w:eastAsia="Times New Roman"/>
                <w:noProof/>
              </w:rPr>
            </w:pPr>
            <w:r>
              <w:rPr>
                <w:noProof/>
              </w:rPr>
              <w:t>Bâtiments destinés à l'abattage des animaux ou à la classification de la qualité du lait ou de la sécurité alimentaire</w:t>
            </w:r>
          </w:p>
        </w:tc>
        <w:tc>
          <w:tcPr>
            <w:tcW w:w="2127" w:type="dxa"/>
            <w:shd w:val="clear" w:color="auto" w:fill="C4EFCE"/>
            <w:vAlign w:val="center"/>
            <w:hideMark/>
          </w:tcPr>
          <w:p w14:paraId="536FDFA2"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5E31F80"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753C1636"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1D2D15F9" w14:textId="77777777" w:rsidR="006C686E" w:rsidRDefault="00B17E8C">
            <w:pPr>
              <w:pStyle w:val="P68B1DB1-Normal26"/>
              <w:spacing w:after="0" w:line="240" w:lineRule="auto"/>
              <w:jc w:val="center"/>
              <w:rPr>
                <w:rFonts w:eastAsia="Times New Roman"/>
                <w:noProof/>
              </w:rPr>
            </w:pPr>
            <w:r>
              <w:rPr>
                <w:noProof/>
              </w:rPr>
              <w:t>2</w:t>
            </w:r>
          </w:p>
        </w:tc>
        <w:tc>
          <w:tcPr>
            <w:tcW w:w="567" w:type="dxa"/>
            <w:shd w:val="clear" w:color="auto" w:fill="C4EFCE"/>
            <w:vAlign w:val="center"/>
            <w:hideMark/>
          </w:tcPr>
          <w:p w14:paraId="65B0AAC6" w14:textId="0A79A75C" w:rsidR="006C686E" w:rsidRDefault="00B17E8C">
            <w:pPr>
              <w:pStyle w:val="P68B1DB1-Normal26"/>
              <w:spacing w:after="0" w:line="240" w:lineRule="auto"/>
              <w:jc w:val="center"/>
              <w:rPr>
                <w:rFonts w:eastAsia="Times New Roman"/>
                <w:noProof/>
              </w:rPr>
            </w:pPr>
            <w:r>
              <w:rPr>
                <w:noProof/>
              </w:rPr>
              <w:t>T2</w:t>
            </w:r>
          </w:p>
        </w:tc>
        <w:tc>
          <w:tcPr>
            <w:tcW w:w="851" w:type="dxa"/>
            <w:shd w:val="clear" w:color="auto" w:fill="C4EFCE"/>
            <w:vAlign w:val="center"/>
            <w:hideMark/>
          </w:tcPr>
          <w:p w14:paraId="45946C69" w14:textId="78161949" w:rsidR="006C686E" w:rsidRDefault="00B17E8C">
            <w:pPr>
              <w:pStyle w:val="P68B1DB1-Normal26"/>
              <w:spacing w:after="0" w:line="240" w:lineRule="auto"/>
              <w:jc w:val="center"/>
              <w:rPr>
                <w:rFonts w:eastAsia="Times New Roman"/>
                <w:noProof/>
              </w:rPr>
            </w:pPr>
            <w:r>
              <w:rPr>
                <w:noProof/>
              </w:rPr>
              <w:t>2026</w:t>
            </w:r>
          </w:p>
        </w:tc>
        <w:tc>
          <w:tcPr>
            <w:tcW w:w="3898" w:type="dxa"/>
            <w:shd w:val="clear" w:color="auto" w:fill="C4EFCE"/>
            <w:vAlign w:val="center"/>
            <w:hideMark/>
          </w:tcPr>
          <w:p w14:paraId="6A0FC2FF" w14:textId="3DA605DB" w:rsidR="006C686E" w:rsidRDefault="00B17E8C">
            <w:pPr>
              <w:pStyle w:val="P68B1DB1-Normal26"/>
              <w:spacing w:after="0" w:line="240" w:lineRule="auto"/>
              <w:jc w:val="both"/>
              <w:rPr>
                <w:rFonts w:eastAsia="Times New Roman"/>
                <w:noProof/>
              </w:rPr>
            </w:pPr>
            <w:r>
              <w:rPr>
                <w:noProof/>
              </w:rPr>
              <w:t>Bâtiments destinés à l'abattage des animaux ou à la classification de la qualité du lait ou de la sécurité alimentaire, construits ou rénovés.</w:t>
            </w:r>
          </w:p>
        </w:tc>
      </w:tr>
      <w:tr w:rsidR="006C686E" w14:paraId="4C38E6CA" w14:textId="77777777" w:rsidTr="006E2673">
        <w:trPr>
          <w:trHeight w:val="1242"/>
          <w:jc w:val="center"/>
        </w:trPr>
        <w:tc>
          <w:tcPr>
            <w:tcW w:w="1129" w:type="dxa"/>
            <w:shd w:val="clear" w:color="auto" w:fill="C4EFCE"/>
            <w:vAlign w:val="center"/>
            <w:hideMark/>
          </w:tcPr>
          <w:p w14:paraId="3A48BD9A" w14:textId="77777777" w:rsidR="006C686E" w:rsidRDefault="00B17E8C">
            <w:pPr>
              <w:pStyle w:val="P68B1DB1-Normal25"/>
              <w:spacing w:after="0" w:line="240" w:lineRule="auto"/>
              <w:jc w:val="center"/>
              <w:rPr>
                <w:rFonts w:eastAsia="Times New Roman"/>
                <w:bCs/>
                <w:noProof/>
              </w:rPr>
            </w:pPr>
            <w:r>
              <w:rPr>
                <w:noProof/>
              </w:rPr>
              <w:t>5.20</w:t>
            </w:r>
          </w:p>
        </w:tc>
        <w:tc>
          <w:tcPr>
            <w:tcW w:w="1418" w:type="dxa"/>
            <w:shd w:val="clear" w:color="auto" w:fill="C4EFCE"/>
            <w:vAlign w:val="center"/>
            <w:hideMark/>
          </w:tcPr>
          <w:p w14:paraId="139E8D0C" w14:textId="77777777" w:rsidR="006C686E" w:rsidRDefault="00B17E8C">
            <w:pPr>
              <w:pStyle w:val="P68B1DB1-Normal26"/>
              <w:spacing w:after="0" w:line="240" w:lineRule="auto"/>
              <w:jc w:val="center"/>
              <w:rPr>
                <w:rFonts w:eastAsia="Times New Roman"/>
                <w:noProof/>
              </w:rPr>
            </w:pPr>
            <w:r>
              <w:rPr>
                <w:noProof/>
              </w:rPr>
              <w:t>RE-C05-i05-RAA</w:t>
            </w:r>
          </w:p>
        </w:tc>
        <w:tc>
          <w:tcPr>
            <w:tcW w:w="1417" w:type="dxa"/>
            <w:shd w:val="clear" w:color="auto" w:fill="C4EFCE"/>
            <w:vAlign w:val="center"/>
            <w:hideMark/>
          </w:tcPr>
          <w:p w14:paraId="4495BF81"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hideMark/>
          </w:tcPr>
          <w:p w14:paraId="3FE08FE8" w14:textId="77777777" w:rsidR="006C686E" w:rsidRDefault="00B17E8C">
            <w:pPr>
              <w:pStyle w:val="P68B1DB1-Normal26"/>
              <w:spacing w:after="0" w:line="240" w:lineRule="auto"/>
              <w:jc w:val="center"/>
              <w:rPr>
                <w:rFonts w:eastAsia="Times New Roman"/>
                <w:noProof/>
              </w:rPr>
            </w:pPr>
            <w:r>
              <w:rPr>
                <w:noProof/>
              </w:rPr>
              <w:t>Projets de restructuration d'entreprises du secteur de la transformation ou de la commercialisation et de restructuration d'exploitations agricoles</w:t>
            </w:r>
          </w:p>
        </w:tc>
        <w:tc>
          <w:tcPr>
            <w:tcW w:w="2127" w:type="dxa"/>
            <w:shd w:val="clear" w:color="auto" w:fill="C4EFCE"/>
            <w:vAlign w:val="center"/>
            <w:hideMark/>
          </w:tcPr>
          <w:p w14:paraId="24FD7B2B"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2B6AE9D4"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vAlign w:val="center"/>
            <w:hideMark/>
          </w:tcPr>
          <w:p w14:paraId="3F992F40"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hideMark/>
          </w:tcPr>
          <w:p w14:paraId="72B67DCB" w14:textId="77777777" w:rsidR="006C686E" w:rsidRDefault="00B17E8C">
            <w:pPr>
              <w:pStyle w:val="P68B1DB1-Normal26"/>
              <w:spacing w:after="0" w:line="240" w:lineRule="auto"/>
              <w:jc w:val="center"/>
              <w:rPr>
                <w:rFonts w:eastAsia="Times New Roman"/>
                <w:noProof/>
              </w:rPr>
            </w:pPr>
            <w:r>
              <w:rPr>
                <w:noProof/>
              </w:rPr>
              <w:t>224</w:t>
            </w:r>
          </w:p>
        </w:tc>
        <w:tc>
          <w:tcPr>
            <w:tcW w:w="567" w:type="dxa"/>
            <w:shd w:val="clear" w:color="auto" w:fill="C4EFCE"/>
            <w:vAlign w:val="center"/>
            <w:hideMark/>
          </w:tcPr>
          <w:p w14:paraId="5E04C2E4" w14:textId="77777777" w:rsidR="006C686E" w:rsidRDefault="00B17E8C">
            <w:pPr>
              <w:pStyle w:val="P68B1DB1-Normal26"/>
              <w:spacing w:after="0" w:line="240" w:lineRule="auto"/>
              <w:jc w:val="center"/>
              <w:rPr>
                <w:rFonts w:eastAsia="Times New Roman"/>
                <w:noProof/>
              </w:rPr>
            </w:pPr>
            <w:r>
              <w:rPr>
                <w:noProof/>
              </w:rPr>
              <w:t>T2</w:t>
            </w:r>
          </w:p>
        </w:tc>
        <w:tc>
          <w:tcPr>
            <w:tcW w:w="851" w:type="dxa"/>
            <w:shd w:val="clear" w:color="auto" w:fill="C4EFCE"/>
            <w:vAlign w:val="center"/>
            <w:hideMark/>
          </w:tcPr>
          <w:p w14:paraId="77B57F43" w14:textId="77777777" w:rsidR="006C686E" w:rsidRDefault="00B17E8C">
            <w:pPr>
              <w:pStyle w:val="P68B1DB1-Normal26"/>
              <w:spacing w:after="0" w:line="240" w:lineRule="auto"/>
              <w:jc w:val="center"/>
              <w:rPr>
                <w:rFonts w:eastAsia="Times New Roman"/>
                <w:noProof/>
              </w:rPr>
            </w:pPr>
            <w:r>
              <w:rPr>
                <w:noProof/>
              </w:rPr>
              <w:t>2025</w:t>
            </w:r>
          </w:p>
        </w:tc>
        <w:tc>
          <w:tcPr>
            <w:tcW w:w="3898" w:type="dxa"/>
            <w:shd w:val="clear" w:color="auto" w:fill="C4EFCE"/>
            <w:vAlign w:val="center"/>
            <w:hideMark/>
          </w:tcPr>
          <w:p w14:paraId="1CA18F6A" w14:textId="77777777" w:rsidR="006C686E" w:rsidRDefault="00B17E8C">
            <w:pPr>
              <w:pStyle w:val="P68B1DB1-Normal26"/>
              <w:spacing w:after="0" w:line="240" w:lineRule="auto"/>
              <w:jc w:val="both"/>
              <w:rPr>
                <w:noProof/>
              </w:rPr>
            </w:pPr>
            <w:r>
              <w:rPr>
                <w:noProof/>
              </w:rPr>
              <w:t>Projets faisant l'objet de contrats au titre de régimes d'aide en faveur de produits et de procédés:</w:t>
            </w:r>
          </w:p>
          <w:p w14:paraId="7D078E4D" w14:textId="77777777" w:rsidR="006C686E" w:rsidRDefault="00B17E8C">
            <w:pPr>
              <w:pStyle w:val="P68B1DB1-ListParagraph35"/>
              <w:keepNext/>
              <w:numPr>
                <w:ilvl w:val="0"/>
                <w:numId w:val="32"/>
              </w:numPr>
              <w:spacing w:after="0" w:line="240" w:lineRule="auto"/>
              <w:ind w:left="309" w:hanging="309"/>
              <w:jc w:val="both"/>
              <w:rPr>
                <w:rFonts w:eastAsia="Times New Roman"/>
                <w:noProof/>
              </w:rPr>
            </w:pPr>
            <w:r>
              <w:rPr>
                <w:noProof/>
              </w:rPr>
              <w:t>11 projets de restructuration d'entreprises régionales dans le secteur de la transformation ou de la commercialisation agricole;</w:t>
            </w:r>
          </w:p>
          <w:p w14:paraId="466C850C" w14:textId="19BC7C5A" w:rsidR="006C686E" w:rsidRDefault="00B17E8C">
            <w:pPr>
              <w:pStyle w:val="P68B1DB1-ListParagraph35"/>
              <w:keepNext/>
              <w:numPr>
                <w:ilvl w:val="0"/>
                <w:numId w:val="32"/>
              </w:numPr>
              <w:spacing w:after="0" w:line="240" w:lineRule="auto"/>
              <w:ind w:left="309" w:hanging="309"/>
              <w:jc w:val="both"/>
              <w:rPr>
                <w:rFonts w:eastAsia="Times New Roman"/>
                <w:noProof/>
              </w:rPr>
            </w:pPr>
            <w:r>
              <w:rPr>
                <w:noProof/>
              </w:rPr>
              <w:t>213 projets de restructuration d'exploitations agricoles.</w:t>
            </w:r>
          </w:p>
        </w:tc>
      </w:tr>
      <w:tr w:rsidR="006C686E" w14:paraId="24ADB482" w14:textId="77777777" w:rsidTr="006E2673">
        <w:trPr>
          <w:trHeight w:val="2190"/>
          <w:jc w:val="center"/>
        </w:trPr>
        <w:tc>
          <w:tcPr>
            <w:tcW w:w="1129" w:type="dxa"/>
            <w:shd w:val="clear" w:color="auto" w:fill="C4EFCE"/>
            <w:vAlign w:val="center"/>
          </w:tcPr>
          <w:p w14:paraId="3DFAAD86" w14:textId="77777777" w:rsidR="006C686E" w:rsidRDefault="00B17E8C">
            <w:pPr>
              <w:pStyle w:val="P68B1DB1-Normal25"/>
              <w:spacing w:after="0" w:line="240" w:lineRule="auto"/>
              <w:jc w:val="center"/>
              <w:rPr>
                <w:rFonts w:eastAsia="Times New Roman"/>
                <w:noProof/>
              </w:rPr>
            </w:pPr>
            <w:r>
              <w:rPr>
                <w:noProof/>
              </w:rPr>
              <w:t>5.33</w:t>
            </w:r>
          </w:p>
        </w:tc>
        <w:tc>
          <w:tcPr>
            <w:tcW w:w="1418" w:type="dxa"/>
            <w:shd w:val="clear" w:color="auto" w:fill="C4EFCE"/>
            <w:vAlign w:val="center"/>
          </w:tcPr>
          <w:p w14:paraId="54DFB4DC" w14:textId="77777777" w:rsidR="006C686E" w:rsidRDefault="00B17E8C">
            <w:pPr>
              <w:pStyle w:val="P68B1DB1-Normal26"/>
              <w:spacing w:after="0" w:line="240" w:lineRule="auto"/>
              <w:jc w:val="center"/>
              <w:rPr>
                <w:rFonts w:eastAsia="Times New Roman"/>
                <w:noProof/>
              </w:rPr>
            </w:pPr>
            <w:r>
              <w:rPr>
                <w:noProof/>
              </w:rPr>
              <w:t>RE-C05-i07-RAM</w:t>
            </w:r>
          </w:p>
        </w:tc>
        <w:tc>
          <w:tcPr>
            <w:tcW w:w="1417" w:type="dxa"/>
            <w:shd w:val="clear" w:color="auto" w:fill="C4EFCE"/>
            <w:vAlign w:val="center"/>
          </w:tcPr>
          <w:p w14:paraId="252A4B31" w14:textId="77777777" w:rsidR="006C686E" w:rsidRDefault="00B17E8C">
            <w:pPr>
              <w:pStyle w:val="P68B1DB1-Normal26"/>
              <w:spacing w:after="0" w:line="240" w:lineRule="auto"/>
              <w:jc w:val="center"/>
              <w:rPr>
                <w:rFonts w:eastAsia="Times New Roman"/>
                <w:noProof/>
              </w:rPr>
            </w:pPr>
            <w:r>
              <w:rPr>
                <w:noProof/>
              </w:rPr>
              <w:t>M</w:t>
            </w:r>
          </w:p>
        </w:tc>
        <w:tc>
          <w:tcPr>
            <w:tcW w:w="1134" w:type="dxa"/>
            <w:shd w:val="clear" w:color="auto" w:fill="C4EFCE"/>
            <w:vAlign w:val="center"/>
          </w:tcPr>
          <w:p w14:paraId="62936686" w14:textId="77777777" w:rsidR="006C686E" w:rsidRDefault="00B17E8C">
            <w:pPr>
              <w:pStyle w:val="P68B1DB1-Bodytext1036"/>
              <w:spacing w:after="0" w:line="240" w:lineRule="auto"/>
              <w:jc w:val="center"/>
              <w:rPr>
                <w:noProof/>
              </w:rPr>
            </w:pPr>
            <w:r>
              <w:rPr>
                <w:noProof/>
              </w:rPr>
              <w:t>Signature de l'accord de mise en œuvre (protocole) entre Banco Português de Fomento, Instituto de Desenvolvimento Empresarial et certains intermédiaires financiers</w:t>
            </w:r>
          </w:p>
        </w:tc>
        <w:tc>
          <w:tcPr>
            <w:tcW w:w="2127" w:type="dxa"/>
            <w:shd w:val="clear" w:color="auto" w:fill="C4EFCE"/>
            <w:vAlign w:val="center"/>
          </w:tcPr>
          <w:p w14:paraId="4BD106B5" w14:textId="77777777" w:rsidR="006C686E" w:rsidRDefault="00B17E8C">
            <w:pPr>
              <w:pStyle w:val="P68B1DB1-Normal26"/>
              <w:spacing w:after="0" w:line="240" w:lineRule="auto"/>
              <w:jc w:val="center"/>
              <w:rPr>
                <w:rFonts w:eastAsia="Times New Roman"/>
                <w:noProof/>
              </w:rPr>
            </w:pPr>
            <w:r>
              <w:rPr>
                <w:noProof/>
              </w:rPr>
              <w:t>Signature de l’accord de mise en œuvre (protocole) entre Banco Português de Fomento, l’Instituto de Desenvolvimento Empresarial et certains intermédiaires financiers, couvrant tous les instruments financiers envisagés dans la mesure</w:t>
            </w:r>
          </w:p>
        </w:tc>
        <w:tc>
          <w:tcPr>
            <w:tcW w:w="992" w:type="dxa"/>
            <w:shd w:val="clear" w:color="auto" w:fill="C4EFCE"/>
            <w:vAlign w:val="center"/>
          </w:tcPr>
          <w:p w14:paraId="2CFB3A67"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tcPr>
          <w:p w14:paraId="3CFC436E"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134" w:type="dxa"/>
            <w:shd w:val="clear" w:color="auto" w:fill="C4EFCE"/>
            <w:vAlign w:val="center"/>
          </w:tcPr>
          <w:p w14:paraId="34B3ADC6"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vAlign w:val="center"/>
          </w:tcPr>
          <w:p w14:paraId="6C1E6476" w14:textId="77777777" w:rsidR="006C686E" w:rsidRDefault="00B17E8C">
            <w:pPr>
              <w:pStyle w:val="P68B1DB1-Normal26"/>
              <w:spacing w:after="0" w:line="240" w:lineRule="auto"/>
              <w:jc w:val="center"/>
              <w:rPr>
                <w:rFonts w:eastAsia="Times New Roman"/>
                <w:noProof/>
              </w:rPr>
            </w:pPr>
            <w:r>
              <w:rPr>
                <w:noProof/>
              </w:rPr>
              <w:t>T2</w:t>
            </w:r>
          </w:p>
        </w:tc>
        <w:tc>
          <w:tcPr>
            <w:tcW w:w="851" w:type="dxa"/>
            <w:shd w:val="clear" w:color="auto" w:fill="C4EFCE"/>
            <w:vAlign w:val="center"/>
          </w:tcPr>
          <w:p w14:paraId="6500F368" w14:textId="77777777" w:rsidR="006C686E" w:rsidRDefault="00B17E8C">
            <w:pPr>
              <w:pStyle w:val="P68B1DB1-Normal26"/>
              <w:spacing w:after="0" w:line="240" w:lineRule="auto"/>
              <w:jc w:val="center"/>
              <w:rPr>
                <w:rFonts w:eastAsia="Times New Roman"/>
                <w:noProof/>
              </w:rPr>
            </w:pPr>
            <w:r>
              <w:rPr>
                <w:noProof/>
              </w:rPr>
              <w:t>2024</w:t>
            </w:r>
          </w:p>
        </w:tc>
        <w:tc>
          <w:tcPr>
            <w:tcW w:w="3898" w:type="dxa"/>
            <w:shd w:val="clear" w:color="auto" w:fill="C4EFCE"/>
          </w:tcPr>
          <w:p w14:paraId="7086D663" w14:textId="77777777" w:rsidR="006C686E" w:rsidRDefault="00B17E8C">
            <w:pPr>
              <w:pStyle w:val="P68B1DB1-Bodytext1036"/>
              <w:rPr>
                <w:noProof/>
              </w:rPr>
            </w:pPr>
            <w:r>
              <w:rPr>
                <w:noProof/>
              </w:rPr>
              <w:t xml:space="preserve">Signature de l’accord de mise en œuvre (protocole) entre Banco Português de Fomento, l’Instituto de Desenvolvimento Empresarial et certains intermédiaires financiers couvrant tous les instruments financiers envisagés dans la mesure. </w:t>
            </w:r>
          </w:p>
          <w:p w14:paraId="7FDB8C99" w14:textId="77777777" w:rsidR="006C686E" w:rsidRDefault="00B17E8C">
            <w:pPr>
              <w:pStyle w:val="P68B1DB1-Normal26"/>
              <w:spacing w:after="0" w:line="240" w:lineRule="auto"/>
              <w:jc w:val="both"/>
              <w:rPr>
                <w:rFonts w:eastAsia="Times New Roman"/>
                <w:noProof/>
              </w:rPr>
            </w:pPr>
            <w:r>
              <w:rPr>
                <w:noProof/>
              </w:rPr>
              <w:t xml:space="preserve">L’accord de mise en œuvre et les documents juridiques ultérieurs de l’instrument financier nécessitent l’application de la liste d’exclusion (comme indiqué dans la description de la mesure) et un contrôle de conformité avec la législation environnementale de l’UE et nationale. </w:t>
            </w:r>
          </w:p>
        </w:tc>
      </w:tr>
      <w:tr w:rsidR="006C686E" w14:paraId="3B6D2C5D" w14:textId="77777777" w:rsidTr="006E2673">
        <w:trPr>
          <w:trHeight w:val="67"/>
          <w:jc w:val="center"/>
        </w:trPr>
        <w:tc>
          <w:tcPr>
            <w:tcW w:w="1129" w:type="dxa"/>
            <w:shd w:val="clear" w:color="auto" w:fill="C4EFCE"/>
            <w:vAlign w:val="center"/>
          </w:tcPr>
          <w:p w14:paraId="36F29A7F" w14:textId="77777777" w:rsidR="006C686E" w:rsidRDefault="00B17E8C">
            <w:pPr>
              <w:pStyle w:val="P68B1DB1-Normal25"/>
              <w:spacing w:after="0" w:line="240" w:lineRule="auto"/>
              <w:jc w:val="center"/>
              <w:rPr>
                <w:rFonts w:eastAsia="Times New Roman"/>
                <w:noProof/>
              </w:rPr>
            </w:pPr>
            <w:r>
              <w:rPr>
                <w:noProof/>
              </w:rPr>
              <w:t>5.34</w:t>
            </w:r>
          </w:p>
        </w:tc>
        <w:tc>
          <w:tcPr>
            <w:tcW w:w="1418" w:type="dxa"/>
            <w:shd w:val="clear" w:color="auto" w:fill="C4EFCE"/>
            <w:vAlign w:val="center"/>
          </w:tcPr>
          <w:p w14:paraId="141DC79E" w14:textId="77777777" w:rsidR="006C686E" w:rsidRDefault="00B17E8C">
            <w:pPr>
              <w:pStyle w:val="P68B1DB1-Normal26"/>
              <w:spacing w:after="0" w:line="240" w:lineRule="auto"/>
              <w:jc w:val="center"/>
              <w:rPr>
                <w:rFonts w:eastAsia="Times New Roman"/>
                <w:noProof/>
              </w:rPr>
            </w:pPr>
            <w:r>
              <w:rPr>
                <w:noProof/>
              </w:rPr>
              <w:t>RE-C05-i07-RAM</w:t>
            </w:r>
          </w:p>
        </w:tc>
        <w:tc>
          <w:tcPr>
            <w:tcW w:w="1417" w:type="dxa"/>
            <w:shd w:val="clear" w:color="auto" w:fill="C4EFCE"/>
            <w:vAlign w:val="center"/>
          </w:tcPr>
          <w:p w14:paraId="557FA4D4" w14:textId="77777777" w:rsidR="006C686E" w:rsidRDefault="00B17E8C">
            <w:pPr>
              <w:pStyle w:val="P68B1DB1-Normal26"/>
              <w:spacing w:after="0" w:line="240" w:lineRule="auto"/>
              <w:jc w:val="center"/>
              <w:rPr>
                <w:rFonts w:eastAsia="Times New Roman"/>
                <w:noProof/>
              </w:rPr>
            </w:pPr>
            <w:r>
              <w:rPr>
                <w:noProof/>
              </w:rPr>
              <w:t>T</w:t>
            </w:r>
          </w:p>
        </w:tc>
        <w:tc>
          <w:tcPr>
            <w:tcW w:w="1134" w:type="dxa"/>
            <w:shd w:val="clear" w:color="auto" w:fill="C4EFCE"/>
            <w:vAlign w:val="center"/>
          </w:tcPr>
          <w:p w14:paraId="1CE34E35" w14:textId="253B7B6E" w:rsidR="006C686E" w:rsidRDefault="00B17E8C">
            <w:pPr>
              <w:pStyle w:val="P68B1DB1-Normal26"/>
              <w:spacing w:after="0" w:line="240" w:lineRule="auto"/>
              <w:jc w:val="center"/>
              <w:rPr>
                <w:rFonts w:eastAsia="Times New Roman"/>
                <w:noProof/>
              </w:rPr>
            </w:pPr>
            <w:r>
              <w:rPr>
                <w:noProof/>
              </w:rPr>
              <w:t xml:space="preserve">Garanties de prêts </w:t>
            </w:r>
          </w:p>
        </w:tc>
        <w:tc>
          <w:tcPr>
            <w:tcW w:w="2127" w:type="dxa"/>
            <w:shd w:val="clear" w:color="auto" w:fill="C4EFCE"/>
            <w:vAlign w:val="center"/>
          </w:tcPr>
          <w:p w14:paraId="573BFE07" w14:textId="77777777" w:rsidR="006C686E" w:rsidRDefault="00B17E8C">
            <w:pPr>
              <w:pStyle w:val="P68B1DB1-Normal26"/>
              <w:spacing w:after="0" w:line="240" w:lineRule="auto"/>
              <w:jc w:val="center"/>
              <w:rPr>
                <w:rFonts w:eastAsia="Times New Roman"/>
                <w:noProof/>
              </w:rPr>
            </w:pPr>
            <w:r>
              <w:rPr>
                <w:noProof/>
              </w:rPr>
              <w:t>-</w:t>
            </w:r>
          </w:p>
        </w:tc>
        <w:tc>
          <w:tcPr>
            <w:tcW w:w="992" w:type="dxa"/>
            <w:shd w:val="clear" w:color="auto" w:fill="C4EFCE"/>
            <w:vAlign w:val="center"/>
          </w:tcPr>
          <w:p w14:paraId="338D23EB" w14:textId="77777777" w:rsidR="006C686E" w:rsidRDefault="00B17E8C">
            <w:pPr>
              <w:pStyle w:val="P68B1DB1-Normal26"/>
              <w:spacing w:after="0" w:line="240" w:lineRule="auto"/>
              <w:jc w:val="center"/>
              <w:rPr>
                <w:rFonts w:eastAsia="Times New Roman"/>
                <w:noProof/>
              </w:rPr>
            </w:pPr>
            <w:r>
              <w:rPr>
                <w:noProof/>
              </w:rPr>
              <w:t>EUR</w:t>
            </w:r>
          </w:p>
        </w:tc>
        <w:tc>
          <w:tcPr>
            <w:tcW w:w="992" w:type="dxa"/>
            <w:shd w:val="clear" w:color="auto" w:fill="C4EFCE"/>
            <w:vAlign w:val="center"/>
          </w:tcPr>
          <w:p w14:paraId="48A7ABE3" w14:textId="77777777" w:rsidR="006C686E" w:rsidRDefault="00B17E8C">
            <w:pPr>
              <w:pStyle w:val="P68B1DB1-Normal26"/>
              <w:spacing w:after="0" w:line="240" w:lineRule="auto"/>
              <w:jc w:val="center"/>
              <w:rPr>
                <w:rFonts w:eastAsia="Times New Roman"/>
                <w:noProof/>
              </w:rPr>
            </w:pPr>
            <w:r>
              <w:rPr>
                <w:noProof/>
              </w:rPr>
              <w:t>0</w:t>
            </w:r>
          </w:p>
        </w:tc>
        <w:tc>
          <w:tcPr>
            <w:tcW w:w="1134" w:type="dxa"/>
            <w:shd w:val="clear" w:color="auto" w:fill="C4EFCE"/>
            <w:vAlign w:val="center"/>
          </w:tcPr>
          <w:p w14:paraId="637A022C" w14:textId="3F590265"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13 000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567" w:type="dxa"/>
            <w:shd w:val="clear" w:color="auto" w:fill="C4EFCE"/>
            <w:vAlign w:val="center"/>
          </w:tcPr>
          <w:p w14:paraId="5AB2429A" w14:textId="77777777" w:rsidR="006C686E" w:rsidRDefault="00B17E8C">
            <w:pPr>
              <w:pStyle w:val="P68B1DB1-Normal26"/>
              <w:spacing w:after="0" w:line="240" w:lineRule="auto"/>
              <w:jc w:val="center"/>
              <w:rPr>
                <w:rFonts w:eastAsia="Times New Roman"/>
                <w:noProof/>
              </w:rPr>
            </w:pPr>
            <w:r>
              <w:rPr>
                <w:noProof/>
              </w:rPr>
              <w:t>T4</w:t>
            </w:r>
          </w:p>
        </w:tc>
        <w:tc>
          <w:tcPr>
            <w:tcW w:w="851" w:type="dxa"/>
            <w:shd w:val="clear" w:color="auto" w:fill="C4EFCE"/>
            <w:vAlign w:val="center"/>
          </w:tcPr>
          <w:p w14:paraId="03B1E803" w14:textId="77777777" w:rsidR="006C686E" w:rsidRDefault="00B17E8C">
            <w:pPr>
              <w:pStyle w:val="P68B1DB1-Normal26"/>
              <w:spacing w:after="0" w:line="240" w:lineRule="auto"/>
              <w:jc w:val="center"/>
              <w:rPr>
                <w:rFonts w:eastAsia="Times New Roman"/>
                <w:noProof/>
              </w:rPr>
            </w:pPr>
            <w:r>
              <w:rPr>
                <w:noProof/>
              </w:rPr>
              <w:t>2025</w:t>
            </w:r>
          </w:p>
        </w:tc>
        <w:tc>
          <w:tcPr>
            <w:tcW w:w="3898" w:type="dxa"/>
            <w:shd w:val="clear" w:color="auto" w:fill="C4EFCE"/>
          </w:tcPr>
          <w:p w14:paraId="5B1E7B4D" w14:textId="77777777" w:rsidR="006C686E" w:rsidRDefault="00B17E8C">
            <w:pPr>
              <w:pStyle w:val="P68B1DB1-Normal26"/>
              <w:spacing w:after="0" w:line="240" w:lineRule="auto"/>
              <w:jc w:val="both"/>
              <w:rPr>
                <w:rFonts w:eastAsia="Times New Roman"/>
                <w:noProof/>
              </w:rPr>
            </w:pPr>
            <w:r>
              <w:rPr>
                <w:noProof/>
              </w:rPr>
              <w:t>Montants des prêts pour lesquels des accords de garantie ont été signés, y compris le soutien aux frais d'intérêt ou aux frais de garantie.</w:t>
            </w:r>
          </w:p>
        </w:tc>
      </w:tr>
      <w:tr w:rsidR="006C686E" w14:paraId="0F11CAAD" w14:textId="77777777" w:rsidTr="006E2673">
        <w:trPr>
          <w:trHeight w:val="67"/>
          <w:jc w:val="center"/>
        </w:trPr>
        <w:tc>
          <w:tcPr>
            <w:tcW w:w="1129" w:type="dxa"/>
            <w:shd w:val="clear" w:color="auto" w:fill="C4EFCE"/>
            <w:vAlign w:val="center"/>
          </w:tcPr>
          <w:p w14:paraId="664BBB22" w14:textId="77777777" w:rsidR="006C686E" w:rsidRDefault="00B17E8C">
            <w:pPr>
              <w:pStyle w:val="P68B1DB1-Normal25"/>
              <w:spacing w:after="0" w:line="240" w:lineRule="auto"/>
              <w:jc w:val="center"/>
              <w:rPr>
                <w:noProof/>
              </w:rPr>
            </w:pPr>
            <w:r>
              <w:rPr>
                <w:noProof/>
              </w:rPr>
              <w:t>5.35</w:t>
            </w:r>
          </w:p>
        </w:tc>
        <w:tc>
          <w:tcPr>
            <w:tcW w:w="1418" w:type="dxa"/>
            <w:shd w:val="clear" w:color="auto" w:fill="C4EFCE"/>
            <w:vAlign w:val="center"/>
          </w:tcPr>
          <w:p w14:paraId="0256EEE8" w14:textId="77777777" w:rsidR="006C686E" w:rsidRDefault="00B17E8C">
            <w:pPr>
              <w:pStyle w:val="P68B1DB1-Normal26"/>
              <w:spacing w:after="0" w:line="240" w:lineRule="auto"/>
              <w:jc w:val="center"/>
              <w:rPr>
                <w:noProof/>
              </w:rPr>
            </w:pPr>
            <w:r>
              <w:rPr>
                <w:noProof/>
              </w:rPr>
              <w:t>RE-C05-i08</w:t>
            </w:r>
          </w:p>
        </w:tc>
        <w:tc>
          <w:tcPr>
            <w:tcW w:w="1417" w:type="dxa"/>
            <w:shd w:val="clear" w:color="auto" w:fill="C4EFCE"/>
            <w:vAlign w:val="center"/>
          </w:tcPr>
          <w:p w14:paraId="5C17EECE" w14:textId="77777777" w:rsidR="006C686E" w:rsidRDefault="00B17E8C">
            <w:pPr>
              <w:pStyle w:val="P68B1DB1-Normal26"/>
              <w:spacing w:after="0" w:line="240" w:lineRule="auto"/>
              <w:jc w:val="center"/>
              <w:rPr>
                <w:noProof/>
              </w:rPr>
            </w:pPr>
            <w:r>
              <w:rPr>
                <w:noProof/>
              </w:rPr>
              <w:t>M</w:t>
            </w:r>
          </w:p>
        </w:tc>
        <w:tc>
          <w:tcPr>
            <w:tcW w:w="1134" w:type="dxa"/>
            <w:shd w:val="clear" w:color="auto" w:fill="C4EFCE"/>
            <w:vAlign w:val="center"/>
          </w:tcPr>
          <w:p w14:paraId="1D313B58" w14:textId="380D1A79" w:rsidR="006C686E" w:rsidRDefault="00B17E8C">
            <w:pPr>
              <w:pStyle w:val="P68B1DB1-Normal26"/>
              <w:spacing w:after="0" w:line="240" w:lineRule="auto"/>
              <w:jc w:val="center"/>
              <w:rPr>
                <w:noProof/>
              </w:rPr>
            </w:pPr>
            <w:r>
              <w:rPr>
                <w:noProof/>
              </w:rPr>
              <w:t>«Campus Science XXI», «Science Desk» et services disponibles</w:t>
            </w:r>
          </w:p>
        </w:tc>
        <w:tc>
          <w:tcPr>
            <w:tcW w:w="2127" w:type="dxa"/>
            <w:shd w:val="clear" w:color="auto" w:fill="C4EFCE"/>
            <w:vAlign w:val="center"/>
          </w:tcPr>
          <w:p w14:paraId="04BE55AC" w14:textId="2AB20045" w:rsidR="006C686E" w:rsidRDefault="00B17E8C">
            <w:pPr>
              <w:pStyle w:val="P68B1DB1-Normal26"/>
              <w:spacing w:after="0" w:line="240" w:lineRule="auto"/>
              <w:jc w:val="center"/>
              <w:rPr>
                <w:noProof/>
              </w:rPr>
            </w:pPr>
            <w:r>
              <w:rPr>
                <w:noProof/>
              </w:rPr>
              <w:t xml:space="preserve">Réhabilitation des bâtiments pour l’installation du «Campus Science XXI» et disponibilité du «Science Desk» ainsi que des services en ligne </w:t>
            </w:r>
          </w:p>
        </w:tc>
        <w:tc>
          <w:tcPr>
            <w:tcW w:w="992" w:type="dxa"/>
            <w:shd w:val="clear" w:color="auto" w:fill="C4EFCE"/>
            <w:vAlign w:val="center"/>
          </w:tcPr>
          <w:p w14:paraId="14E94B87" w14:textId="77777777"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55033BAE" w14:textId="77777777" w:rsidR="006C686E" w:rsidRDefault="006C686E">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7815608B" w14:textId="77777777" w:rsidR="006C686E" w:rsidRDefault="006C686E">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6725A8A2" w14:textId="77777777" w:rsidR="006C686E" w:rsidRDefault="00B17E8C">
            <w:pPr>
              <w:pStyle w:val="P68B1DB1-Normal26"/>
              <w:spacing w:after="0" w:line="240" w:lineRule="auto"/>
              <w:jc w:val="center"/>
              <w:rPr>
                <w:noProof/>
              </w:rPr>
            </w:pPr>
            <w:r>
              <w:rPr>
                <w:noProof/>
              </w:rPr>
              <w:t>T4</w:t>
            </w:r>
          </w:p>
        </w:tc>
        <w:tc>
          <w:tcPr>
            <w:tcW w:w="851" w:type="dxa"/>
            <w:shd w:val="clear" w:color="auto" w:fill="C4EFCE"/>
            <w:vAlign w:val="center"/>
          </w:tcPr>
          <w:p w14:paraId="2AC33DAC" w14:textId="75244024" w:rsidR="006C686E" w:rsidRDefault="00B17E8C">
            <w:pPr>
              <w:pStyle w:val="P68B1DB1-Normal26"/>
              <w:spacing w:after="0" w:line="240" w:lineRule="auto"/>
              <w:jc w:val="center"/>
              <w:rPr>
                <w:noProof/>
              </w:rPr>
            </w:pPr>
            <w:r>
              <w:rPr>
                <w:noProof/>
              </w:rPr>
              <w:t>2025</w:t>
            </w:r>
          </w:p>
        </w:tc>
        <w:tc>
          <w:tcPr>
            <w:tcW w:w="3898" w:type="dxa"/>
            <w:shd w:val="clear" w:color="auto" w:fill="C4EFCE"/>
            <w:vAlign w:val="center"/>
          </w:tcPr>
          <w:p w14:paraId="1F21BBC4" w14:textId="36CFB87B" w:rsidR="006C686E" w:rsidRDefault="00B17E8C">
            <w:pPr>
              <w:pStyle w:val="P68B1DB1-Normal26"/>
              <w:spacing w:after="0" w:line="240" w:lineRule="auto"/>
              <w:jc w:val="both"/>
              <w:rPr>
                <w:noProof/>
              </w:rPr>
            </w:pPr>
            <w:r>
              <w:rPr>
                <w:noProof/>
              </w:rPr>
              <w:t>Réhabilitation de deux bâtiments pour l’installation du «Campus Science XXI».</w:t>
            </w:r>
          </w:p>
          <w:p w14:paraId="6C2CFE3B" w14:textId="0A90BF70" w:rsidR="006C686E" w:rsidRDefault="00B17E8C">
            <w:pPr>
              <w:pStyle w:val="P68B1DB1-Normal26"/>
              <w:spacing w:after="0" w:line="240" w:lineRule="auto"/>
              <w:jc w:val="both"/>
              <w:rPr>
                <w:noProof/>
              </w:rPr>
            </w:pPr>
            <w:r>
              <w:rPr>
                <w:noProof/>
              </w:rPr>
              <w:br/>
              <w:t xml:space="preserve">Mise à disposition du service scientifique et technologique «Science Desk», y compris des services de gestion de l’information et du financement. </w:t>
            </w:r>
          </w:p>
          <w:p w14:paraId="152207D6" w14:textId="77777777" w:rsidR="006C686E" w:rsidRDefault="006C686E">
            <w:pPr>
              <w:spacing w:after="0" w:line="240" w:lineRule="auto"/>
              <w:jc w:val="both"/>
              <w:rPr>
                <w:rFonts w:ascii="Times New Roman" w:hAnsi="Times New Roman" w:cs="Times New Roman"/>
                <w:noProof/>
                <w:sz w:val="16"/>
                <w:szCs w:val="16"/>
              </w:rPr>
            </w:pPr>
          </w:p>
          <w:p w14:paraId="46AE9FB5" w14:textId="63C4F752" w:rsidR="006C686E" w:rsidRDefault="00B17E8C">
            <w:pPr>
              <w:pStyle w:val="P68B1DB1-Normal26"/>
              <w:spacing w:after="0" w:line="240" w:lineRule="auto"/>
              <w:jc w:val="both"/>
              <w:rPr>
                <w:noProof/>
              </w:rPr>
            </w:pPr>
            <w:r>
              <w:rPr>
                <w:noProof/>
              </w:rPr>
              <w:t>Les services électroniques en ligne suivants sont disponibles:</w:t>
            </w:r>
          </w:p>
          <w:p w14:paraId="3431AD75" w14:textId="3BF017B6" w:rsidR="006C686E" w:rsidRDefault="00B17E8C">
            <w:pPr>
              <w:pStyle w:val="P68B1DB1-Normal26"/>
              <w:numPr>
                <w:ilvl w:val="0"/>
                <w:numId w:val="78"/>
              </w:numPr>
              <w:spacing w:after="0" w:line="240" w:lineRule="auto"/>
              <w:jc w:val="both"/>
              <w:rPr>
                <w:noProof/>
              </w:rPr>
            </w:pPr>
            <w:r>
              <w:rPr>
                <w:noProof/>
              </w:rPr>
              <w:t>Synchronisation de POLEN.</w:t>
            </w:r>
          </w:p>
          <w:p w14:paraId="70D83F03" w14:textId="063E47F9" w:rsidR="006C686E" w:rsidRDefault="00B17E8C">
            <w:pPr>
              <w:pStyle w:val="P68B1DB1-Normal26"/>
              <w:numPr>
                <w:ilvl w:val="0"/>
                <w:numId w:val="78"/>
              </w:numPr>
              <w:spacing w:after="0" w:line="240" w:lineRule="auto"/>
              <w:jc w:val="both"/>
              <w:rPr>
                <w:noProof/>
              </w:rPr>
            </w:pPr>
            <w:r>
              <w:rPr>
                <w:noProof/>
              </w:rPr>
              <w:t>Plan directeur de POLEN.</w:t>
            </w:r>
          </w:p>
          <w:p w14:paraId="32F64A4E" w14:textId="267D1366" w:rsidR="006C686E" w:rsidRDefault="00B17E8C">
            <w:pPr>
              <w:pStyle w:val="P68B1DB1-Normal26"/>
              <w:numPr>
                <w:ilvl w:val="0"/>
                <w:numId w:val="78"/>
              </w:numPr>
              <w:spacing w:after="0" w:line="240" w:lineRule="auto"/>
              <w:jc w:val="both"/>
              <w:rPr>
                <w:noProof/>
              </w:rPr>
            </w:pPr>
            <w:r>
              <w:rPr>
                <w:noProof/>
              </w:rPr>
              <w:t>POLEN DataHub.</w:t>
            </w:r>
          </w:p>
          <w:p w14:paraId="2D8D61B0" w14:textId="19DE6C17" w:rsidR="006C686E" w:rsidRDefault="00B17E8C">
            <w:pPr>
              <w:pStyle w:val="P68B1DB1-Normal26"/>
              <w:numPr>
                <w:ilvl w:val="0"/>
                <w:numId w:val="78"/>
              </w:numPr>
              <w:spacing w:after="0" w:line="240" w:lineRule="auto"/>
              <w:jc w:val="both"/>
              <w:rPr>
                <w:noProof/>
              </w:rPr>
            </w:pPr>
            <w:r>
              <w:rPr>
                <w:noProof/>
              </w:rPr>
              <w:t>Validador RCAAP.</w:t>
            </w:r>
          </w:p>
          <w:p w14:paraId="23E95E21" w14:textId="2ED3E336" w:rsidR="006C686E" w:rsidRDefault="00B17E8C">
            <w:pPr>
              <w:pStyle w:val="P68B1DB1-Normal26"/>
              <w:numPr>
                <w:ilvl w:val="0"/>
                <w:numId w:val="78"/>
              </w:numPr>
              <w:spacing w:after="0" w:line="240" w:lineRule="auto"/>
              <w:jc w:val="both"/>
              <w:rPr>
                <w:noProof/>
              </w:rPr>
            </w:pPr>
            <w:r>
              <w:rPr>
                <w:noProof/>
              </w:rPr>
              <w:t>Portail RCAAP.</w:t>
            </w:r>
          </w:p>
          <w:p w14:paraId="4ACCCC83" w14:textId="3066E0C5" w:rsidR="006C686E" w:rsidRDefault="00B17E8C">
            <w:pPr>
              <w:pStyle w:val="P68B1DB1-Normal26"/>
              <w:numPr>
                <w:ilvl w:val="0"/>
                <w:numId w:val="78"/>
              </w:numPr>
              <w:spacing w:after="0" w:line="240" w:lineRule="auto"/>
              <w:jc w:val="both"/>
              <w:rPr>
                <w:noProof/>
              </w:rPr>
            </w:pPr>
            <w:r>
              <w:rPr>
                <w:noProof/>
              </w:rPr>
              <w:t>Estatísticas para DSpace.</w:t>
            </w:r>
          </w:p>
          <w:p w14:paraId="55934D85" w14:textId="6684B0A7" w:rsidR="006C686E" w:rsidRDefault="00B17E8C">
            <w:pPr>
              <w:pStyle w:val="P68B1DB1-Normal26"/>
              <w:numPr>
                <w:ilvl w:val="0"/>
                <w:numId w:val="78"/>
              </w:numPr>
              <w:spacing w:after="0" w:line="240" w:lineRule="auto"/>
              <w:jc w:val="both"/>
              <w:rPr>
                <w:noProof/>
              </w:rPr>
            </w:pPr>
            <w:r>
              <w:rPr>
                <w:noProof/>
              </w:rPr>
              <w:t>SciPROJ.</w:t>
            </w:r>
          </w:p>
        </w:tc>
      </w:tr>
      <w:tr w:rsidR="006C686E" w14:paraId="45D55D6D" w14:textId="77777777" w:rsidTr="006E2673">
        <w:trPr>
          <w:trHeight w:val="67"/>
          <w:jc w:val="center"/>
        </w:trPr>
        <w:tc>
          <w:tcPr>
            <w:tcW w:w="1129" w:type="dxa"/>
            <w:shd w:val="clear" w:color="auto" w:fill="C4EFCE"/>
            <w:vAlign w:val="center"/>
          </w:tcPr>
          <w:p w14:paraId="3898FCC8" w14:textId="77777777" w:rsidR="006C686E" w:rsidRDefault="00B17E8C">
            <w:pPr>
              <w:pStyle w:val="P68B1DB1-Normal25"/>
              <w:spacing w:after="0" w:line="240" w:lineRule="auto"/>
              <w:jc w:val="center"/>
              <w:rPr>
                <w:noProof/>
              </w:rPr>
            </w:pPr>
            <w:r>
              <w:rPr>
                <w:noProof/>
              </w:rPr>
              <w:t>5.36</w:t>
            </w:r>
          </w:p>
        </w:tc>
        <w:tc>
          <w:tcPr>
            <w:tcW w:w="1418" w:type="dxa"/>
            <w:shd w:val="clear" w:color="auto" w:fill="C4EFCE"/>
            <w:vAlign w:val="center"/>
          </w:tcPr>
          <w:p w14:paraId="60264565" w14:textId="77777777" w:rsidR="006C686E" w:rsidRDefault="00B17E8C">
            <w:pPr>
              <w:pStyle w:val="P68B1DB1-Normal26"/>
              <w:spacing w:after="0" w:line="240" w:lineRule="auto"/>
              <w:jc w:val="center"/>
              <w:rPr>
                <w:noProof/>
              </w:rPr>
            </w:pPr>
            <w:r>
              <w:rPr>
                <w:noProof/>
              </w:rPr>
              <w:t>RE-C05-i08</w:t>
            </w:r>
          </w:p>
        </w:tc>
        <w:tc>
          <w:tcPr>
            <w:tcW w:w="1417" w:type="dxa"/>
            <w:shd w:val="clear" w:color="auto" w:fill="C4EFCE"/>
            <w:vAlign w:val="center"/>
          </w:tcPr>
          <w:p w14:paraId="37410B22" w14:textId="77777777" w:rsidR="006C686E" w:rsidRDefault="00B17E8C">
            <w:pPr>
              <w:pStyle w:val="P68B1DB1-Normal26"/>
              <w:spacing w:after="0" w:line="240" w:lineRule="auto"/>
              <w:jc w:val="center"/>
              <w:rPr>
                <w:noProof/>
              </w:rPr>
            </w:pPr>
            <w:r>
              <w:rPr>
                <w:noProof/>
              </w:rPr>
              <w:t>M</w:t>
            </w:r>
          </w:p>
        </w:tc>
        <w:tc>
          <w:tcPr>
            <w:tcW w:w="1134" w:type="dxa"/>
            <w:shd w:val="clear" w:color="auto" w:fill="C4EFCE"/>
            <w:vAlign w:val="center"/>
          </w:tcPr>
          <w:p w14:paraId="5554F037" w14:textId="77777777" w:rsidR="006C686E" w:rsidRDefault="00B17E8C">
            <w:pPr>
              <w:pStyle w:val="P68B1DB1-Normal26"/>
              <w:spacing w:after="0" w:line="240" w:lineRule="auto"/>
              <w:jc w:val="center"/>
              <w:rPr>
                <w:noProof/>
              </w:rPr>
            </w:pPr>
            <w:r>
              <w:rPr>
                <w:noProof/>
              </w:rPr>
              <w:t xml:space="preserve">Projets dans le cadre du programme R&amp;D dans l’administration publique, fonctionnalités d’intelligence artificielle pour les processus de l’administration publique </w:t>
            </w:r>
          </w:p>
        </w:tc>
        <w:tc>
          <w:tcPr>
            <w:tcW w:w="2127" w:type="dxa"/>
            <w:shd w:val="clear" w:color="auto" w:fill="C4EFCE"/>
            <w:vAlign w:val="center"/>
          </w:tcPr>
          <w:p w14:paraId="36905828" w14:textId="77777777" w:rsidR="006C686E" w:rsidRDefault="00B17E8C">
            <w:pPr>
              <w:pStyle w:val="P68B1DB1-Normal26"/>
              <w:spacing w:after="0" w:line="240" w:lineRule="auto"/>
              <w:jc w:val="center"/>
              <w:rPr>
                <w:noProof/>
              </w:rPr>
            </w:pPr>
            <w:r>
              <w:rPr>
                <w:noProof/>
              </w:rPr>
              <w:t>Validation des rapports finaux et disponibilité des fonctionnalités de l’IA</w:t>
            </w:r>
          </w:p>
        </w:tc>
        <w:tc>
          <w:tcPr>
            <w:tcW w:w="992" w:type="dxa"/>
            <w:shd w:val="clear" w:color="auto" w:fill="C4EFCE"/>
            <w:vAlign w:val="center"/>
          </w:tcPr>
          <w:p w14:paraId="5A92B8C4" w14:textId="77777777"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49C726EC" w14:textId="77777777" w:rsidR="006C686E" w:rsidRDefault="006C686E">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782CFEE7" w14:textId="77777777" w:rsidR="006C686E" w:rsidRDefault="006C686E">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713BD595"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1F7DA41A" w14:textId="77777777" w:rsidR="006C686E" w:rsidRDefault="00B17E8C">
            <w:pPr>
              <w:pStyle w:val="P68B1DB1-Normal26"/>
              <w:spacing w:after="0" w:line="240" w:lineRule="auto"/>
              <w:jc w:val="center"/>
              <w:rPr>
                <w:noProof/>
              </w:rPr>
            </w:pPr>
            <w:r>
              <w:rPr>
                <w:noProof/>
              </w:rPr>
              <w:t>2026</w:t>
            </w:r>
          </w:p>
        </w:tc>
        <w:tc>
          <w:tcPr>
            <w:tcW w:w="3898" w:type="dxa"/>
            <w:shd w:val="clear" w:color="auto" w:fill="C4EFCE"/>
            <w:vAlign w:val="center"/>
          </w:tcPr>
          <w:p w14:paraId="320D2D5F" w14:textId="7435369B" w:rsidR="006C686E" w:rsidRDefault="00B17E8C">
            <w:pPr>
              <w:pStyle w:val="P68B1DB1-Normal26"/>
              <w:spacing w:after="0" w:line="240" w:lineRule="auto"/>
              <w:jc w:val="both"/>
              <w:rPr>
                <w:noProof/>
              </w:rPr>
            </w:pPr>
            <w:r>
              <w:rPr>
                <w:noProof/>
              </w:rPr>
              <w:t xml:space="preserve">Évaluation positive par les autorités ou des experts indépendants des rapports finaux d’exécution de 94 projets financés dans le cadre du programme R&amp;D dans l’administration publique (y compris dans des domaines pouvant inclure, sans s’y limiter, l’intelligence artificielle (IA), la cybersécurité et la science des données). </w:t>
            </w:r>
          </w:p>
          <w:p w14:paraId="3E926AA1" w14:textId="77777777" w:rsidR="006C686E" w:rsidRDefault="006C686E">
            <w:pPr>
              <w:spacing w:after="0" w:line="240" w:lineRule="auto"/>
              <w:jc w:val="both"/>
              <w:rPr>
                <w:rFonts w:ascii="Times New Roman" w:hAnsi="Times New Roman" w:cs="Times New Roman"/>
                <w:noProof/>
                <w:sz w:val="16"/>
                <w:szCs w:val="16"/>
              </w:rPr>
            </w:pPr>
          </w:p>
          <w:p w14:paraId="12118985" w14:textId="15500E1B" w:rsidR="006C686E" w:rsidRDefault="00B17E8C">
            <w:pPr>
              <w:pStyle w:val="P68B1DB1-Normal26"/>
              <w:spacing w:after="0" w:line="240" w:lineRule="auto"/>
              <w:jc w:val="both"/>
              <w:rPr>
                <w:noProof/>
              </w:rPr>
            </w:pPr>
            <w:r>
              <w:rPr>
                <w:noProof/>
              </w:rPr>
              <w:t>6 fonctionnalités d’IA mises à disposition pour les processus de l’administration publique.</w:t>
            </w:r>
          </w:p>
        </w:tc>
      </w:tr>
      <w:tr w:rsidR="006C686E" w14:paraId="5323BA3C" w14:textId="77777777" w:rsidTr="006E2673">
        <w:trPr>
          <w:trHeight w:val="67"/>
          <w:jc w:val="center"/>
        </w:trPr>
        <w:tc>
          <w:tcPr>
            <w:tcW w:w="1129" w:type="dxa"/>
            <w:shd w:val="clear" w:color="auto" w:fill="C4EFCE"/>
            <w:vAlign w:val="center"/>
          </w:tcPr>
          <w:p w14:paraId="256DFB96" w14:textId="77777777" w:rsidR="006C686E" w:rsidRDefault="00B17E8C">
            <w:pPr>
              <w:pStyle w:val="P68B1DB1-Normal25"/>
              <w:spacing w:after="0" w:line="240" w:lineRule="auto"/>
              <w:jc w:val="center"/>
              <w:rPr>
                <w:noProof/>
              </w:rPr>
            </w:pPr>
            <w:r>
              <w:rPr>
                <w:noProof/>
              </w:rPr>
              <w:t>5.37</w:t>
            </w:r>
          </w:p>
        </w:tc>
        <w:tc>
          <w:tcPr>
            <w:tcW w:w="1418" w:type="dxa"/>
            <w:shd w:val="clear" w:color="auto" w:fill="C4EFCE"/>
            <w:vAlign w:val="center"/>
          </w:tcPr>
          <w:p w14:paraId="07596CEE" w14:textId="77777777" w:rsidR="006C686E" w:rsidRDefault="00B17E8C">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RE-C05-i08 </w:t>
            </w:r>
          </w:p>
        </w:tc>
        <w:tc>
          <w:tcPr>
            <w:tcW w:w="1417" w:type="dxa"/>
            <w:shd w:val="clear" w:color="auto" w:fill="C4EFCE"/>
            <w:vAlign w:val="center"/>
          </w:tcPr>
          <w:p w14:paraId="0CB4AC39" w14:textId="77777777" w:rsidR="006C686E" w:rsidRDefault="00B17E8C">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M </w:t>
            </w:r>
          </w:p>
        </w:tc>
        <w:tc>
          <w:tcPr>
            <w:tcW w:w="1134" w:type="dxa"/>
            <w:shd w:val="clear" w:color="auto" w:fill="C4EFCE"/>
            <w:vAlign w:val="center"/>
          </w:tcPr>
          <w:p w14:paraId="0A3FBE4F" w14:textId="30FCCC05" w:rsidR="006C686E" w:rsidRDefault="00B17E8C">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Acte notarié relatif à la constitution du Centre National d'Informatique Avancée (CNCA) et à ses statuts</w:t>
            </w:r>
          </w:p>
        </w:tc>
        <w:tc>
          <w:tcPr>
            <w:tcW w:w="2127" w:type="dxa"/>
            <w:shd w:val="clear" w:color="auto" w:fill="C4EFCE"/>
            <w:vAlign w:val="center"/>
          </w:tcPr>
          <w:p w14:paraId="4A7487A2" w14:textId="6D2BB966" w:rsidR="006C686E" w:rsidRDefault="00B17E8C">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Acte notarié relatif à la constitution du Centre National d'Informatique Avancée et à ses statuts</w:t>
            </w:r>
          </w:p>
        </w:tc>
        <w:tc>
          <w:tcPr>
            <w:tcW w:w="992" w:type="dxa"/>
            <w:shd w:val="clear" w:color="auto" w:fill="C4EFCE"/>
            <w:vAlign w:val="center"/>
          </w:tcPr>
          <w:p w14:paraId="73842EC3" w14:textId="279A95DE"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3102D1AC" w14:textId="707439DD" w:rsidR="006C686E" w:rsidRDefault="006C686E">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54327D70" w14:textId="35DCD9C8" w:rsidR="006C686E" w:rsidRDefault="006C686E">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3003163E" w14:textId="749BA94A" w:rsidR="006C686E" w:rsidRDefault="00B17E8C">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T4</w:t>
            </w:r>
          </w:p>
        </w:tc>
        <w:tc>
          <w:tcPr>
            <w:tcW w:w="851" w:type="dxa"/>
            <w:shd w:val="clear" w:color="auto" w:fill="C4EFCE"/>
            <w:vAlign w:val="center"/>
          </w:tcPr>
          <w:p w14:paraId="0179193A" w14:textId="180EC01E" w:rsidR="006C686E" w:rsidRDefault="00B17E8C">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2024</w:t>
            </w:r>
          </w:p>
        </w:tc>
        <w:tc>
          <w:tcPr>
            <w:tcW w:w="3898" w:type="dxa"/>
            <w:shd w:val="clear" w:color="auto" w:fill="C4EFCE"/>
            <w:vAlign w:val="center"/>
          </w:tcPr>
          <w:p w14:paraId="1DC96B3D" w14:textId="77777777" w:rsidR="006C686E" w:rsidRDefault="00B17E8C">
            <w:pPr>
              <w:spacing w:after="0" w:line="240" w:lineRule="auto"/>
              <w:jc w:val="both"/>
              <w:rPr>
                <w:rFonts w:ascii="Times New Roman" w:hAnsi="Times New Roman" w:cs="Times New Roman"/>
                <w:noProof/>
                <w:sz w:val="16"/>
                <w:szCs w:val="16"/>
              </w:rPr>
            </w:pPr>
            <w:r>
              <w:rPr>
                <w:rStyle w:val="normaltextrun"/>
                <w:rFonts w:ascii="Times New Roman" w:hAnsi="Times New Roman" w:cs="Times New Roman"/>
                <w:noProof/>
                <w:sz w:val="16"/>
                <w:szCs w:val="16"/>
              </w:rPr>
              <w:t>Exécution d'un acte notarié relatif à la constitution du Centre National de l'Informatique Avancée (CNCA) et à ses statuts. La CNCA réorganise et centralise les réseaux et centres informatiques portugais existants. </w:t>
            </w:r>
          </w:p>
        </w:tc>
      </w:tr>
      <w:tr w:rsidR="006C686E" w14:paraId="23415957" w14:textId="77777777" w:rsidTr="006E2673">
        <w:trPr>
          <w:trHeight w:val="67"/>
          <w:jc w:val="center"/>
        </w:trPr>
        <w:tc>
          <w:tcPr>
            <w:tcW w:w="1129" w:type="dxa"/>
            <w:shd w:val="clear" w:color="auto" w:fill="C4EFCE"/>
            <w:vAlign w:val="center"/>
          </w:tcPr>
          <w:p w14:paraId="1CAC622F" w14:textId="77777777" w:rsidR="006C686E" w:rsidRDefault="00B17E8C">
            <w:pPr>
              <w:pStyle w:val="P68B1DB1-Normal25"/>
              <w:spacing w:after="0" w:line="240" w:lineRule="auto"/>
              <w:jc w:val="center"/>
              <w:rPr>
                <w:bCs/>
                <w:noProof/>
              </w:rPr>
            </w:pPr>
            <w:r>
              <w:rPr>
                <w:noProof/>
              </w:rPr>
              <w:t>5.38</w:t>
            </w:r>
          </w:p>
        </w:tc>
        <w:tc>
          <w:tcPr>
            <w:tcW w:w="1418" w:type="dxa"/>
            <w:shd w:val="clear" w:color="auto" w:fill="C4EFCE"/>
            <w:vAlign w:val="center"/>
          </w:tcPr>
          <w:p w14:paraId="1C3F60B8" w14:textId="77777777" w:rsidR="006C686E" w:rsidRDefault="00B17E8C">
            <w:pPr>
              <w:pStyle w:val="P68B1DB1-Normal26"/>
              <w:spacing w:after="0" w:line="240" w:lineRule="auto"/>
              <w:jc w:val="center"/>
              <w:rPr>
                <w:noProof/>
              </w:rPr>
            </w:pPr>
            <w:r>
              <w:rPr>
                <w:noProof/>
              </w:rPr>
              <w:t>RE-C05-i08</w:t>
            </w:r>
          </w:p>
        </w:tc>
        <w:tc>
          <w:tcPr>
            <w:tcW w:w="1417" w:type="dxa"/>
            <w:shd w:val="clear" w:color="auto" w:fill="C4EFCE"/>
            <w:vAlign w:val="center"/>
          </w:tcPr>
          <w:p w14:paraId="466E3CCC" w14:textId="77777777" w:rsidR="006C686E" w:rsidRDefault="00B17E8C">
            <w:pPr>
              <w:pStyle w:val="P68B1DB1-Normal26"/>
              <w:spacing w:after="0" w:line="240" w:lineRule="auto"/>
              <w:jc w:val="center"/>
              <w:rPr>
                <w:noProof/>
              </w:rPr>
            </w:pPr>
            <w:r>
              <w:rPr>
                <w:noProof/>
              </w:rPr>
              <w:t>M</w:t>
            </w:r>
          </w:p>
        </w:tc>
        <w:tc>
          <w:tcPr>
            <w:tcW w:w="1134" w:type="dxa"/>
            <w:shd w:val="clear" w:color="auto" w:fill="C4EFCE"/>
            <w:vAlign w:val="center"/>
          </w:tcPr>
          <w:p w14:paraId="0E1F42AB" w14:textId="0B79F167" w:rsidR="006C686E" w:rsidRDefault="00B17E8C">
            <w:pPr>
              <w:pStyle w:val="P68B1DB1-Normal26"/>
              <w:spacing w:after="0" w:line="240" w:lineRule="auto"/>
              <w:jc w:val="center"/>
              <w:rPr>
                <w:noProof/>
              </w:rPr>
            </w:pPr>
            <w:r>
              <w:rPr>
                <w:noProof/>
              </w:rPr>
              <w:t xml:space="preserve">Soutien à l'infrastructure et au centre de données du Centre national d'informatique avancée, contribution financière portugaise au supercalculateur Deucalion, financement du supercalculateur Mare Nostrum 5 et grand modèle linguistique (LLM) en portugais </w:t>
            </w:r>
          </w:p>
        </w:tc>
        <w:tc>
          <w:tcPr>
            <w:tcW w:w="2127" w:type="dxa"/>
            <w:shd w:val="clear" w:color="auto" w:fill="C4EFCE"/>
            <w:vAlign w:val="center"/>
          </w:tcPr>
          <w:p w14:paraId="604D4474" w14:textId="460460E8" w:rsidR="006C686E" w:rsidRDefault="00B17E8C">
            <w:pPr>
              <w:pStyle w:val="P68B1DB1-Normal26"/>
              <w:spacing w:after="0" w:line="240" w:lineRule="auto"/>
              <w:jc w:val="center"/>
              <w:rPr>
                <w:noProof/>
              </w:rPr>
            </w:pPr>
            <w:r>
              <w:rPr>
                <w:noProof/>
              </w:rPr>
              <w:t xml:space="preserve">Soutien à l'infrastructure et au centre de données du Centre national d'informatique avancée, contribution nationale portugaise au supercalculateur Deucalion, financement de Mare Nostrum 5 et grand modèle linguistique (LLM) en portugais </w:t>
            </w:r>
          </w:p>
        </w:tc>
        <w:tc>
          <w:tcPr>
            <w:tcW w:w="992" w:type="dxa"/>
            <w:shd w:val="clear" w:color="auto" w:fill="C4EFCE"/>
            <w:vAlign w:val="center"/>
          </w:tcPr>
          <w:p w14:paraId="0F480809" w14:textId="77777777"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5968F857" w14:textId="77777777" w:rsidR="006C686E" w:rsidRDefault="006C686E">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2B0C0EDA" w14:textId="77777777" w:rsidR="006C686E" w:rsidRDefault="006C686E">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8A29498"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602B4510" w14:textId="77777777" w:rsidR="006C686E" w:rsidRDefault="00B17E8C">
            <w:pPr>
              <w:pStyle w:val="P68B1DB1-Normal26"/>
              <w:spacing w:after="0" w:line="240" w:lineRule="auto"/>
              <w:jc w:val="center"/>
              <w:rPr>
                <w:noProof/>
              </w:rPr>
            </w:pPr>
            <w:r>
              <w:rPr>
                <w:noProof/>
              </w:rPr>
              <w:t>2026</w:t>
            </w:r>
          </w:p>
        </w:tc>
        <w:tc>
          <w:tcPr>
            <w:tcW w:w="3898" w:type="dxa"/>
            <w:shd w:val="clear" w:color="auto" w:fill="C4EFCE"/>
            <w:vAlign w:val="center"/>
          </w:tcPr>
          <w:p w14:paraId="77055957" w14:textId="0447EB62" w:rsidR="006C686E" w:rsidRDefault="00B17E8C">
            <w:pPr>
              <w:pStyle w:val="P68B1DB1-Bodytext1037"/>
              <w:spacing w:line="256" w:lineRule="auto"/>
              <w:rPr>
                <w:rFonts w:ascii="Times New Roman" w:hAnsi="Times New Roman" w:cs="Times New Roman"/>
                <w:noProof/>
              </w:rPr>
            </w:pPr>
            <w:r>
              <w:rPr>
                <w:rFonts w:ascii="Times New Roman" w:hAnsi="Times New Roman" w:cs="Times New Roman"/>
                <w:noProof/>
              </w:rPr>
              <w:t>Construction de l’infrastructure d’appui et du centre de données pour le centre national de calcul avancé, preuve du transfert d’au moins</w:t>
            </w:r>
            <w:r>
              <w:rPr>
                <w:rFonts w:ascii="Times New Roman" w:eastAsia="Calibri" w:hAnsi="Times New Roman" w:cs="Times New Roman"/>
                <w:noProof/>
                <w:kern w:val="0"/>
                <w14:ligatures w14:val="none"/>
              </w:rPr>
              <w:t> </w:t>
            </w:r>
            <w:r>
              <w:rPr>
                <w:rFonts w:ascii="Times New Roman" w:hAnsi="Times New Roman" w:cs="Times New Roman"/>
                <w:noProof/>
              </w:rPr>
              <w:t>4</w:t>
            </w:r>
            <w:r>
              <w:rPr>
                <w:rFonts w:ascii="Times New Roman" w:eastAsia="Calibri" w:hAnsi="Times New Roman" w:cs="Times New Roman"/>
                <w:noProof/>
                <w:kern w:val="0"/>
                <w14:ligatures w14:val="none"/>
              </w:rPr>
              <w:t> </w:t>
            </w:r>
            <w:r>
              <w:rPr>
                <w:rFonts w:ascii="Times New Roman" w:hAnsi="Times New Roman" w:cs="Times New Roman"/>
                <w:noProof/>
              </w:rPr>
              <w:t>032</w:t>
            </w:r>
            <w:r>
              <w:rPr>
                <w:rFonts w:ascii="Times New Roman" w:eastAsia="Calibri" w:hAnsi="Times New Roman" w:cs="Times New Roman"/>
                <w:noProof/>
                <w:kern w:val="0"/>
                <w14:ligatures w14:val="none"/>
              </w:rPr>
              <w:t> </w:t>
            </w:r>
            <w:r>
              <w:rPr>
                <w:rFonts w:ascii="Times New Roman" w:hAnsi="Times New Roman" w:cs="Times New Roman"/>
                <w:noProof/>
              </w:rPr>
              <w:t>000 EUR pour la contribution financière du Portugal au supercalculateur «Deucalion», preuve du transfert de</w:t>
            </w:r>
            <w:r>
              <w:rPr>
                <w:rFonts w:ascii="Times New Roman" w:eastAsia="Calibri" w:hAnsi="Times New Roman" w:cs="Times New Roman"/>
                <w:noProof/>
                <w:kern w:val="0"/>
                <w14:ligatures w14:val="none"/>
              </w:rPr>
              <w:t> </w:t>
            </w:r>
            <w:r>
              <w:rPr>
                <w:rFonts w:ascii="Times New Roman" w:hAnsi="Times New Roman" w:cs="Times New Roman"/>
                <w:noProof/>
              </w:rPr>
              <w:t>12</w:t>
            </w:r>
            <w:r>
              <w:rPr>
                <w:rFonts w:ascii="Times New Roman" w:eastAsia="Calibri" w:hAnsi="Times New Roman" w:cs="Times New Roman"/>
                <w:noProof/>
                <w:kern w:val="0"/>
                <w14:ligatures w14:val="none"/>
              </w:rPr>
              <w:t> </w:t>
            </w:r>
            <w:r>
              <w:rPr>
                <w:rFonts w:ascii="Times New Roman" w:hAnsi="Times New Roman" w:cs="Times New Roman"/>
                <w:noProof/>
              </w:rPr>
              <w:t>000 000 EUR pour le financement de Mare Nostrum 5. Large language model (LLM) en Portugais disponible en ligne.</w:t>
            </w:r>
          </w:p>
        </w:tc>
      </w:tr>
      <w:tr w:rsidR="006C686E" w14:paraId="2EF8960B" w14:textId="77777777" w:rsidTr="006E2673">
        <w:trPr>
          <w:trHeight w:val="67"/>
          <w:jc w:val="center"/>
        </w:trPr>
        <w:tc>
          <w:tcPr>
            <w:tcW w:w="1129" w:type="dxa"/>
            <w:shd w:val="clear" w:color="auto" w:fill="C4EFCE"/>
            <w:vAlign w:val="center"/>
          </w:tcPr>
          <w:p w14:paraId="1D0D2677" w14:textId="77777777" w:rsidR="006C686E" w:rsidRDefault="00B17E8C">
            <w:pPr>
              <w:pStyle w:val="P68B1DB1-Normal25"/>
              <w:spacing w:after="0" w:line="240" w:lineRule="auto"/>
              <w:jc w:val="center"/>
              <w:rPr>
                <w:noProof/>
              </w:rPr>
            </w:pPr>
            <w:r>
              <w:rPr>
                <w:noProof/>
              </w:rPr>
              <w:t>5.39</w:t>
            </w:r>
          </w:p>
        </w:tc>
        <w:tc>
          <w:tcPr>
            <w:tcW w:w="1418" w:type="dxa"/>
            <w:shd w:val="clear" w:color="auto" w:fill="C4EFCE"/>
            <w:vAlign w:val="center"/>
          </w:tcPr>
          <w:p w14:paraId="1C895E20" w14:textId="77777777" w:rsidR="006C686E" w:rsidRDefault="00B17E8C">
            <w:pPr>
              <w:pStyle w:val="P68B1DB1-Normal26"/>
              <w:spacing w:after="0" w:line="240" w:lineRule="auto"/>
              <w:jc w:val="center"/>
              <w:rPr>
                <w:noProof/>
              </w:rPr>
            </w:pPr>
            <w:r>
              <w:rPr>
                <w:noProof/>
              </w:rPr>
              <w:t>RE-C05-i09</w:t>
            </w:r>
          </w:p>
        </w:tc>
        <w:tc>
          <w:tcPr>
            <w:tcW w:w="1417" w:type="dxa"/>
            <w:shd w:val="clear" w:color="auto" w:fill="C4EFCE"/>
            <w:vAlign w:val="center"/>
          </w:tcPr>
          <w:p w14:paraId="5CECC29F" w14:textId="77777777" w:rsidR="006C686E" w:rsidRDefault="00B17E8C">
            <w:pPr>
              <w:pStyle w:val="P68B1DB1-Normal26"/>
              <w:spacing w:after="0" w:line="240" w:lineRule="auto"/>
              <w:jc w:val="center"/>
              <w:rPr>
                <w:noProof/>
              </w:rPr>
            </w:pPr>
            <w:r>
              <w:rPr>
                <w:noProof/>
              </w:rPr>
              <w:t>T</w:t>
            </w:r>
          </w:p>
        </w:tc>
        <w:tc>
          <w:tcPr>
            <w:tcW w:w="1134" w:type="dxa"/>
            <w:shd w:val="clear" w:color="auto" w:fill="C4EFCE"/>
            <w:vAlign w:val="center"/>
          </w:tcPr>
          <w:p w14:paraId="01F3352B" w14:textId="77777777" w:rsidR="006C686E" w:rsidRDefault="00B17E8C">
            <w:pPr>
              <w:pStyle w:val="P68B1DB1-Bodytext1036"/>
              <w:spacing w:line="256" w:lineRule="auto"/>
              <w:jc w:val="center"/>
              <w:rPr>
                <w:noProof/>
              </w:rPr>
            </w:pPr>
            <w:r>
              <w:rPr>
                <w:noProof/>
              </w:rPr>
              <w:t>Conclusion de contrats pour développer de nouveaux produits, procédés ou services dans des domaines stratégiques pertinents (programmes d’innovation).</w:t>
            </w:r>
          </w:p>
        </w:tc>
        <w:tc>
          <w:tcPr>
            <w:tcW w:w="2127" w:type="dxa"/>
            <w:shd w:val="clear" w:color="auto" w:fill="C4EFCE"/>
            <w:vAlign w:val="center"/>
          </w:tcPr>
          <w:p w14:paraId="6A4B5935" w14:textId="77777777"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67AA3500" w14:textId="77777777" w:rsidR="006C686E" w:rsidRDefault="00B17E8C">
            <w:pPr>
              <w:pStyle w:val="P68B1DB1-Normal26"/>
              <w:spacing w:after="0" w:line="240" w:lineRule="auto"/>
              <w:jc w:val="center"/>
              <w:rPr>
                <w:noProof/>
              </w:rPr>
            </w:pPr>
            <w:r>
              <w:rPr>
                <w:noProof/>
              </w:rPr>
              <w:t>Numéro</w:t>
            </w:r>
          </w:p>
        </w:tc>
        <w:tc>
          <w:tcPr>
            <w:tcW w:w="992" w:type="dxa"/>
            <w:shd w:val="clear" w:color="auto" w:fill="C4EFCE"/>
            <w:vAlign w:val="center"/>
          </w:tcPr>
          <w:p w14:paraId="07C01D51" w14:textId="77777777" w:rsidR="006C686E" w:rsidRDefault="00B17E8C">
            <w:pPr>
              <w:pStyle w:val="P68B1DB1-Normal26"/>
              <w:spacing w:after="0" w:line="240" w:lineRule="auto"/>
              <w:jc w:val="center"/>
              <w:rPr>
                <w:noProof/>
              </w:rPr>
            </w:pPr>
            <w:r>
              <w:rPr>
                <w:noProof/>
              </w:rPr>
              <w:t>6</w:t>
            </w:r>
          </w:p>
        </w:tc>
        <w:tc>
          <w:tcPr>
            <w:tcW w:w="1134" w:type="dxa"/>
            <w:shd w:val="clear" w:color="auto" w:fill="C4EFCE"/>
            <w:vAlign w:val="center"/>
          </w:tcPr>
          <w:p w14:paraId="70315782" w14:textId="77777777" w:rsidR="006C686E" w:rsidRDefault="00B17E8C">
            <w:pPr>
              <w:pStyle w:val="P68B1DB1-Normal26"/>
              <w:spacing w:after="0" w:line="240" w:lineRule="auto"/>
              <w:jc w:val="center"/>
              <w:rPr>
                <w:noProof/>
              </w:rPr>
            </w:pPr>
            <w:r>
              <w:rPr>
                <w:noProof/>
              </w:rPr>
              <w:t>12</w:t>
            </w:r>
          </w:p>
        </w:tc>
        <w:tc>
          <w:tcPr>
            <w:tcW w:w="567" w:type="dxa"/>
            <w:shd w:val="clear" w:color="auto" w:fill="C4EFCE"/>
            <w:vAlign w:val="center"/>
          </w:tcPr>
          <w:p w14:paraId="2FF70113"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31F110A4" w14:textId="77777777" w:rsidR="006C686E" w:rsidRDefault="00B17E8C">
            <w:pPr>
              <w:pStyle w:val="P68B1DB1-Normal26"/>
              <w:spacing w:after="0" w:line="240" w:lineRule="auto"/>
              <w:jc w:val="center"/>
              <w:rPr>
                <w:noProof/>
              </w:rPr>
            </w:pPr>
            <w:r>
              <w:rPr>
                <w:noProof/>
              </w:rPr>
              <w:t>2023</w:t>
            </w:r>
          </w:p>
        </w:tc>
        <w:tc>
          <w:tcPr>
            <w:tcW w:w="3898" w:type="dxa"/>
            <w:shd w:val="clear" w:color="auto" w:fill="C4EFCE"/>
            <w:vAlign w:val="center"/>
          </w:tcPr>
          <w:p w14:paraId="08183C26" w14:textId="77777777" w:rsidR="006C686E" w:rsidRDefault="00B17E8C">
            <w:pPr>
              <w:pStyle w:val="P68B1DB1-Bodytext1036"/>
              <w:spacing w:after="0" w:line="256" w:lineRule="auto"/>
              <w:rPr>
                <w:noProof/>
              </w:rPr>
            </w:pPr>
            <w:r>
              <w:rPr>
                <w:noProof/>
              </w:rPr>
              <w:t>Conclusion de six contrats supplémentaires (pactes d'innovation ou projets mobilisateurs) avec des consortiums, qui comprendront:</w:t>
            </w:r>
          </w:p>
          <w:p w14:paraId="24C825BE" w14:textId="77777777" w:rsidR="006C686E" w:rsidRDefault="00B17E8C">
            <w:pPr>
              <w:pStyle w:val="P68B1DB1-Bodytext1036"/>
              <w:spacing w:after="0" w:line="256" w:lineRule="auto"/>
              <w:rPr>
                <w:noProof/>
              </w:rPr>
            </w:pPr>
            <w:r>
              <w:rPr>
                <w:noProof/>
              </w:rPr>
              <w:t>• l'identification des entités constitutives du consortium;</w:t>
            </w:r>
          </w:p>
          <w:p w14:paraId="2D5CBCBF" w14:textId="77777777" w:rsidR="006C686E" w:rsidRDefault="00B17E8C">
            <w:pPr>
              <w:pStyle w:val="P68B1DB1-Bodytext1036"/>
              <w:spacing w:after="0" w:line="256" w:lineRule="auto"/>
              <w:rPr>
                <w:noProof/>
              </w:rPr>
            </w:pPr>
            <w:r>
              <w:rPr>
                <w:noProof/>
              </w:rPr>
              <w:t>• le plan d’entreprise/l’investissement;</w:t>
            </w:r>
          </w:p>
          <w:p w14:paraId="59C1B33E" w14:textId="77777777" w:rsidR="006C686E" w:rsidRDefault="00B17E8C">
            <w:pPr>
              <w:pStyle w:val="P68B1DB1-Bodytext1036"/>
              <w:spacing w:after="0" w:line="256" w:lineRule="auto"/>
              <w:rPr>
                <w:noProof/>
              </w:rPr>
            </w:pPr>
            <w:r>
              <w:rPr>
                <w:noProof/>
              </w:rPr>
              <w:t>• le montant du financement;</w:t>
            </w:r>
          </w:p>
          <w:p w14:paraId="770632C7" w14:textId="77777777" w:rsidR="006C686E" w:rsidRDefault="00B17E8C">
            <w:pPr>
              <w:pStyle w:val="P68B1DB1-Bodytext1036"/>
              <w:spacing w:after="0" w:line="256" w:lineRule="auto"/>
              <w:rPr>
                <w:noProof/>
              </w:rPr>
            </w:pPr>
            <w:r>
              <w:rPr>
                <w:noProof/>
              </w:rPr>
              <w:t>• les objectifs auxquels le bénéficiaire est lié;</w:t>
            </w:r>
          </w:p>
          <w:p w14:paraId="43D6F3A7" w14:textId="77777777" w:rsidR="006C686E" w:rsidRDefault="00B17E8C">
            <w:pPr>
              <w:pStyle w:val="P68B1DB1-Bodytext1036"/>
              <w:spacing w:after="0" w:line="256" w:lineRule="auto"/>
              <w:rPr>
                <w:noProof/>
              </w:rPr>
            </w:pPr>
            <w:r>
              <w:rPr>
                <w:noProof/>
              </w:rPr>
              <w:t xml:space="preserve">• La forme de surveillance. </w:t>
            </w:r>
          </w:p>
          <w:p w14:paraId="284E3525" w14:textId="77777777" w:rsidR="006C686E" w:rsidRDefault="006C686E">
            <w:pPr>
              <w:pStyle w:val="Bodytext10"/>
              <w:spacing w:after="0" w:line="256" w:lineRule="auto"/>
              <w:rPr>
                <w:rFonts w:ascii="Times New Roman" w:hAnsi="Times New Roman" w:cs="Times New Roman"/>
                <w:noProof/>
                <w:sz w:val="16"/>
                <w:szCs w:val="16"/>
              </w:rPr>
            </w:pPr>
          </w:p>
          <w:p w14:paraId="5B59A05C" w14:textId="77777777" w:rsidR="006C686E" w:rsidRDefault="00B17E8C">
            <w:pPr>
              <w:pStyle w:val="P68B1DB1-Bodytext1036"/>
              <w:spacing w:after="0" w:line="256" w:lineRule="auto"/>
              <w:rPr>
                <w:noProof/>
              </w:rPr>
            </w:pPr>
            <w:r>
              <w:rPr>
                <w:noProof/>
              </w:rPr>
              <w:t>Les contrats portent sur un total d'au moins 168 produits, procédés ou services. Le mandat comprend des critères d’éligibilité garantissant que les projets sélectionnés sont conformes aux orientations techniques «Ne pas causer de préjudice important» (2021/C58/01), grâce à l’utilisation d’une liste d’exclusion et à l’exigence de conformité avec la législation environnementale pertinente de l’UE et nationale.</w:t>
            </w:r>
          </w:p>
          <w:p w14:paraId="1869D40C" w14:textId="77777777" w:rsidR="006C686E" w:rsidRDefault="00B17E8C">
            <w:pPr>
              <w:pStyle w:val="P68B1DB1-Normal26"/>
              <w:spacing w:after="0" w:line="240" w:lineRule="auto"/>
              <w:jc w:val="both"/>
              <w:rPr>
                <w:noProof/>
              </w:rPr>
            </w:pPr>
            <w:r>
              <w:rPr>
                <w:noProof/>
              </w:rPr>
              <w:t>Les contrats s’ajoutent aux contrats mis en œuvre dans le document RE-C05-i01.01.</w:t>
            </w:r>
          </w:p>
        </w:tc>
      </w:tr>
      <w:tr w:rsidR="006C686E" w14:paraId="06C69877" w14:textId="77777777" w:rsidTr="006E2673">
        <w:trPr>
          <w:trHeight w:val="67"/>
          <w:jc w:val="center"/>
        </w:trPr>
        <w:tc>
          <w:tcPr>
            <w:tcW w:w="1129" w:type="dxa"/>
            <w:shd w:val="clear" w:color="auto" w:fill="C4EFCE"/>
            <w:vAlign w:val="center"/>
          </w:tcPr>
          <w:p w14:paraId="11A0FAFE" w14:textId="77777777" w:rsidR="006C686E" w:rsidRDefault="00B17E8C">
            <w:pPr>
              <w:pStyle w:val="P68B1DB1-Normal25"/>
              <w:spacing w:after="0" w:line="240" w:lineRule="auto"/>
              <w:jc w:val="center"/>
              <w:rPr>
                <w:noProof/>
              </w:rPr>
            </w:pPr>
            <w:r>
              <w:rPr>
                <w:noProof/>
              </w:rPr>
              <w:t>5.41</w:t>
            </w:r>
          </w:p>
        </w:tc>
        <w:tc>
          <w:tcPr>
            <w:tcW w:w="1418" w:type="dxa"/>
            <w:shd w:val="clear" w:color="auto" w:fill="C4EFCE"/>
            <w:vAlign w:val="center"/>
          </w:tcPr>
          <w:p w14:paraId="67C99154" w14:textId="77777777" w:rsidR="006C686E" w:rsidRDefault="00B17E8C">
            <w:pPr>
              <w:pStyle w:val="P68B1DB1-Normal26"/>
              <w:spacing w:after="0" w:line="240" w:lineRule="auto"/>
              <w:jc w:val="center"/>
              <w:rPr>
                <w:noProof/>
              </w:rPr>
            </w:pPr>
            <w:r>
              <w:rPr>
                <w:noProof/>
              </w:rPr>
              <w:t>RE-C05-i10</w:t>
            </w:r>
          </w:p>
        </w:tc>
        <w:tc>
          <w:tcPr>
            <w:tcW w:w="1417" w:type="dxa"/>
            <w:shd w:val="clear" w:color="auto" w:fill="C4EFCE"/>
            <w:vAlign w:val="center"/>
          </w:tcPr>
          <w:p w14:paraId="3AD9200D" w14:textId="77777777" w:rsidR="006C686E" w:rsidRDefault="00B17E8C">
            <w:pPr>
              <w:pStyle w:val="P68B1DB1-Normal26"/>
              <w:spacing w:after="0" w:line="240" w:lineRule="auto"/>
              <w:jc w:val="center"/>
              <w:rPr>
                <w:noProof/>
              </w:rPr>
            </w:pPr>
            <w:r>
              <w:rPr>
                <w:noProof/>
              </w:rPr>
              <w:t>T</w:t>
            </w:r>
          </w:p>
        </w:tc>
        <w:tc>
          <w:tcPr>
            <w:tcW w:w="1134" w:type="dxa"/>
            <w:shd w:val="clear" w:color="auto" w:fill="C4EFCE"/>
            <w:vAlign w:val="center"/>
          </w:tcPr>
          <w:p w14:paraId="36AF7913" w14:textId="77777777" w:rsidR="006C686E" w:rsidRDefault="00B17E8C">
            <w:pPr>
              <w:pStyle w:val="P68B1DB1-Normal26"/>
              <w:spacing w:after="0" w:line="240" w:lineRule="auto"/>
              <w:jc w:val="center"/>
              <w:rPr>
                <w:noProof/>
              </w:rPr>
            </w:pPr>
            <w:r>
              <w:rPr>
                <w:noProof/>
              </w:rPr>
              <w:t>Conclusion de contrats pour développer de nouveaux produits, procédés ou services dans des domaines stratégiques liés à l’économie à faible intensité de carbone, à la résilience et à l’adaptation au changement climatique.</w:t>
            </w:r>
          </w:p>
        </w:tc>
        <w:tc>
          <w:tcPr>
            <w:tcW w:w="2127" w:type="dxa"/>
            <w:shd w:val="clear" w:color="auto" w:fill="C4EFCE"/>
            <w:vAlign w:val="center"/>
          </w:tcPr>
          <w:p w14:paraId="04C4AC64" w14:textId="77777777" w:rsidR="006C686E" w:rsidRDefault="00B17E8C">
            <w:pPr>
              <w:pStyle w:val="P68B1DB1-Normal26"/>
              <w:spacing w:after="0" w:line="240" w:lineRule="auto"/>
              <w:jc w:val="center"/>
              <w:rPr>
                <w:noProof/>
              </w:rPr>
            </w:pPr>
            <w:r>
              <w:rPr>
                <w:noProof/>
              </w:rPr>
              <w:t xml:space="preserve"> </w:t>
            </w:r>
          </w:p>
        </w:tc>
        <w:tc>
          <w:tcPr>
            <w:tcW w:w="992" w:type="dxa"/>
            <w:shd w:val="clear" w:color="auto" w:fill="C4EFCE"/>
            <w:vAlign w:val="center"/>
          </w:tcPr>
          <w:p w14:paraId="08162DAE" w14:textId="77777777" w:rsidR="006C686E" w:rsidRDefault="00B17E8C">
            <w:pPr>
              <w:pStyle w:val="P68B1DB1-Normal26"/>
              <w:spacing w:after="0" w:line="240" w:lineRule="auto"/>
              <w:jc w:val="center"/>
              <w:rPr>
                <w:noProof/>
              </w:rPr>
            </w:pPr>
            <w:r>
              <w:rPr>
                <w:noProof/>
              </w:rPr>
              <w:t>Numéro</w:t>
            </w:r>
          </w:p>
        </w:tc>
        <w:tc>
          <w:tcPr>
            <w:tcW w:w="992" w:type="dxa"/>
            <w:shd w:val="clear" w:color="auto" w:fill="C4EFCE"/>
            <w:vAlign w:val="center"/>
          </w:tcPr>
          <w:p w14:paraId="55E32C46" w14:textId="77777777" w:rsidR="006C686E" w:rsidRDefault="00B17E8C">
            <w:pPr>
              <w:pStyle w:val="P68B1DB1-Normal26"/>
              <w:spacing w:after="0" w:line="240" w:lineRule="auto"/>
              <w:jc w:val="center"/>
              <w:rPr>
                <w:noProof/>
              </w:rPr>
            </w:pPr>
            <w:r>
              <w:rPr>
                <w:noProof/>
              </w:rPr>
              <w:t>4</w:t>
            </w:r>
          </w:p>
        </w:tc>
        <w:tc>
          <w:tcPr>
            <w:tcW w:w="1134" w:type="dxa"/>
            <w:shd w:val="clear" w:color="auto" w:fill="C4EFCE"/>
            <w:vAlign w:val="center"/>
          </w:tcPr>
          <w:p w14:paraId="07265EE3" w14:textId="77777777" w:rsidR="006C686E" w:rsidRDefault="00B17E8C">
            <w:pPr>
              <w:pStyle w:val="P68B1DB1-Normal26"/>
              <w:spacing w:after="0" w:line="240" w:lineRule="auto"/>
              <w:jc w:val="center"/>
              <w:rPr>
                <w:noProof/>
              </w:rPr>
            </w:pPr>
            <w:r>
              <w:rPr>
                <w:noProof/>
              </w:rPr>
              <w:t>10</w:t>
            </w:r>
          </w:p>
        </w:tc>
        <w:tc>
          <w:tcPr>
            <w:tcW w:w="567" w:type="dxa"/>
            <w:shd w:val="clear" w:color="auto" w:fill="C4EFCE"/>
            <w:vAlign w:val="center"/>
          </w:tcPr>
          <w:p w14:paraId="6612DBB1"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7C82FC19" w14:textId="77777777" w:rsidR="006C686E" w:rsidRDefault="00B17E8C">
            <w:pPr>
              <w:pStyle w:val="P68B1DB1-Normal26"/>
              <w:spacing w:after="0" w:line="240" w:lineRule="auto"/>
              <w:jc w:val="center"/>
              <w:rPr>
                <w:noProof/>
              </w:rPr>
            </w:pPr>
            <w:r>
              <w:rPr>
                <w:noProof/>
              </w:rPr>
              <w:t>2023</w:t>
            </w:r>
          </w:p>
        </w:tc>
        <w:tc>
          <w:tcPr>
            <w:tcW w:w="3898" w:type="dxa"/>
            <w:shd w:val="clear" w:color="auto" w:fill="C4EFCE"/>
            <w:vAlign w:val="center"/>
          </w:tcPr>
          <w:p w14:paraId="480E5360" w14:textId="77777777" w:rsidR="006C686E" w:rsidRDefault="00B17E8C">
            <w:pPr>
              <w:pStyle w:val="P68B1DB1-Bodytext1036"/>
              <w:spacing w:after="0" w:line="256" w:lineRule="auto"/>
              <w:rPr>
                <w:rFonts w:eastAsiaTheme="minorEastAsia"/>
                <w:noProof/>
              </w:rPr>
            </w:pPr>
            <w:r>
              <w:rPr>
                <w:noProof/>
              </w:rPr>
              <w:t xml:space="preserve"> Conclusion de six contrats supplémentaires (pactes d'innovation ou projets mobilisateurs) avec des consortiums, qui comprendront:</w:t>
            </w:r>
          </w:p>
          <w:p w14:paraId="68A1734C" w14:textId="77777777" w:rsidR="006C686E" w:rsidRDefault="00B17E8C">
            <w:pPr>
              <w:pStyle w:val="P68B1DB1-Bodytext1036"/>
              <w:spacing w:after="0" w:line="256" w:lineRule="auto"/>
              <w:rPr>
                <w:noProof/>
              </w:rPr>
            </w:pPr>
            <w:r>
              <w:rPr>
                <w:noProof/>
              </w:rPr>
              <w:t>• l'identification des entités constitutives du consortium;</w:t>
            </w:r>
          </w:p>
          <w:p w14:paraId="14D11A41" w14:textId="77777777" w:rsidR="006C686E" w:rsidRDefault="00B17E8C">
            <w:pPr>
              <w:pStyle w:val="P68B1DB1-Bodytext1036"/>
              <w:spacing w:after="0" w:line="256" w:lineRule="auto"/>
              <w:rPr>
                <w:noProof/>
              </w:rPr>
            </w:pPr>
            <w:r>
              <w:rPr>
                <w:noProof/>
              </w:rPr>
              <w:t>• le plan d’entreprise/l’investissement;</w:t>
            </w:r>
          </w:p>
          <w:p w14:paraId="34E8FBD1" w14:textId="77777777" w:rsidR="006C686E" w:rsidRDefault="00B17E8C">
            <w:pPr>
              <w:pStyle w:val="P68B1DB1-Bodytext1036"/>
              <w:spacing w:after="0" w:line="256" w:lineRule="auto"/>
              <w:rPr>
                <w:noProof/>
              </w:rPr>
            </w:pPr>
            <w:r>
              <w:rPr>
                <w:noProof/>
              </w:rPr>
              <w:t>• le montant du financement;</w:t>
            </w:r>
          </w:p>
          <w:p w14:paraId="69115059" w14:textId="77777777" w:rsidR="006C686E" w:rsidRDefault="00B17E8C">
            <w:pPr>
              <w:pStyle w:val="P68B1DB1-Bodytext1036"/>
              <w:spacing w:after="0" w:line="256" w:lineRule="auto"/>
              <w:rPr>
                <w:noProof/>
              </w:rPr>
            </w:pPr>
            <w:r>
              <w:rPr>
                <w:noProof/>
              </w:rPr>
              <w:t>• les objectifs auxquels le bénéficiaire est lié;</w:t>
            </w:r>
          </w:p>
          <w:p w14:paraId="584454DA" w14:textId="77777777" w:rsidR="006C686E" w:rsidRDefault="00B17E8C">
            <w:pPr>
              <w:pStyle w:val="P68B1DB1-Bodytext1036"/>
              <w:spacing w:after="0" w:line="256" w:lineRule="auto"/>
              <w:rPr>
                <w:noProof/>
              </w:rPr>
            </w:pPr>
            <w:r>
              <w:rPr>
                <w:noProof/>
              </w:rPr>
              <w:t xml:space="preserve">• La forme de surveillance. </w:t>
            </w:r>
          </w:p>
          <w:p w14:paraId="507805F6" w14:textId="77777777" w:rsidR="006C686E" w:rsidRDefault="006C686E">
            <w:pPr>
              <w:pStyle w:val="Bodytext10"/>
              <w:spacing w:after="0" w:line="256" w:lineRule="auto"/>
              <w:rPr>
                <w:rFonts w:ascii="Times New Roman" w:hAnsi="Times New Roman" w:cs="Times New Roman"/>
                <w:noProof/>
                <w:sz w:val="16"/>
                <w:szCs w:val="16"/>
              </w:rPr>
            </w:pPr>
          </w:p>
          <w:p w14:paraId="2789953F" w14:textId="77777777" w:rsidR="006C686E" w:rsidRDefault="00B17E8C">
            <w:pPr>
              <w:pStyle w:val="P68B1DB1-Bodytext1036"/>
              <w:spacing w:after="0" w:line="256" w:lineRule="auto"/>
              <w:rPr>
                <w:noProof/>
              </w:rPr>
            </w:pPr>
            <w:r>
              <w:rPr>
                <w:noProof/>
              </w:rPr>
              <w:t>Les contrats soutiennent un total d’au moins 98 produits, processus ou services et s’alignent sur le domaine d’intervention 022 (Processus de recherche et d’innovation, transfert de technologies et coopération entre entreprises, l’accent étant mis sur l’économie à faible intensité de carbone et la résilience et l’adaptation au changement climatique). Le mandat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p w14:paraId="642F546C" w14:textId="77777777" w:rsidR="006C686E" w:rsidRDefault="00B17E8C">
            <w:pPr>
              <w:pStyle w:val="P68B1DB1-Normal26"/>
              <w:spacing w:after="0" w:line="240" w:lineRule="auto"/>
              <w:jc w:val="both"/>
              <w:rPr>
                <w:noProof/>
              </w:rPr>
            </w:pPr>
            <w:r>
              <w:rPr>
                <w:noProof/>
              </w:rPr>
              <w:t>Les contrats s’ajoutent aux contrats mis en œuvre dans le document RE-C05-i01.02.</w:t>
            </w:r>
          </w:p>
        </w:tc>
      </w:tr>
      <w:tr w:rsidR="006C686E" w14:paraId="660D8839" w14:textId="77777777" w:rsidTr="006E2673">
        <w:trPr>
          <w:trHeight w:val="67"/>
          <w:jc w:val="center"/>
        </w:trPr>
        <w:tc>
          <w:tcPr>
            <w:tcW w:w="1129" w:type="dxa"/>
            <w:shd w:val="clear" w:color="auto" w:fill="C4EFCE"/>
            <w:vAlign w:val="center"/>
          </w:tcPr>
          <w:p w14:paraId="0BD3CFEC" w14:textId="77777777" w:rsidR="006C686E" w:rsidRDefault="00B17E8C">
            <w:pPr>
              <w:pStyle w:val="P68B1DB1-Normal25"/>
              <w:spacing w:after="0" w:line="240" w:lineRule="auto"/>
              <w:jc w:val="center"/>
              <w:rPr>
                <w:noProof/>
              </w:rPr>
            </w:pPr>
            <w:r>
              <w:rPr>
                <w:noProof/>
              </w:rPr>
              <w:t>5.50</w:t>
            </w:r>
          </w:p>
        </w:tc>
        <w:tc>
          <w:tcPr>
            <w:tcW w:w="1418" w:type="dxa"/>
            <w:shd w:val="clear" w:color="auto" w:fill="C4EFCE"/>
            <w:vAlign w:val="center"/>
          </w:tcPr>
          <w:p w14:paraId="57DC372C" w14:textId="77777777" w:rsidR="006C686E" w:rsidRDefault="00B17E8C">
            <w:pPr>
              <w:pStyle w:val="P68B1DB1-Normal26"/>
              <w:spacing w:after="0" w:line="240" w:lineRule="auto"/>
              <w:jc w:val="center"/>
              <w:rPr>
                <w:noProof/>
              </w:rPr>
            </w:pPr>
            <w:r>
              <w:rPr>
                <w:noProof/>
              </w:rPr>
              <w:t>RE-C05-i13</w:t>
            </w:r>
          </w:p>
        </w:tc>
        <w:tc>
          <w:tcPr>
            <w:tcW w:w="1417" w:type="dxa"/>
            <w:shd w:val="clear" w:color="auto" w:fill="C4EFCE"/>
            <w:vAlign w:val="center"/>
          </w:tcPr>
          <w:p w14:paraId="363D73CB" w14:textId="77777777" w:rsidR="006C686E" w:rsidRDefault="00B17E8C">
            <w:pPr>
              <w:pStyle w:val="P68B1DB1-Normal26"/>
              <w:spacing w:after="0" w:line="240" w:lineRule="auto"/>
              <w:jc w:val="center"/>
              <w:rPr>
                <w:noProof/>
              </w:rPr>
            </w:pPr>
            <w:r>
              <w:rPr>
                <w:noProof/>
              </w:rPr>
              <w:t>T</w:t>
            </w:r>
          </w:p>
        </w:tc>
        <w:tc>
          <w:tcPr>
            <w:tcW w:w="1134" w:type="dxa"/>
            <w:shd w:val="clear" w:color="auto" w:fill="C4EFCE"/>
            <w:vAlign w:val="center"/>
          </w:tcPr>
          <w:p w14:paraId="6E90004B" w14:textId="6B84454D" w:rsidR="006C686E" w:rsidRDefault="00B17E8C">
            <w:pPr>
              <w:pStyle w:val="P68B1DB1-Normal26"/>
              <w:spacing w:after="0" w:line="240" w:lineRule="auto"/>
              <w:jc w:val="center"/>
              <w:rPr>
                <w:noProof/>
              </w:rPr>
            </w:pPr>
            <w:r>
              <w:rPr>
                <w:noProof/>
              </w:rPr>
              <w:t>Acquisition d'équipements ou d'outils pour les unités de recherche</w:t>
            </w:r>
          </w:p>
        </w:tc>
        <w:tc>
          <w:tcPr>
            <w:tcW w:w="2127" w:type="dxa"/>
            <w:shd w:val="clear" w:color="auto" w:fill="C4EFCE"/>
            <w:vAlign w:val="center"/>
          </w:tcPr>
          <w:p w14:paraId="25683D60" w14:textId="77777777" w:rsidR="006C686E" w:rsidRDefault="00B17E8C">
            <w:pPr>
              <w:pStyle w:val="P68B1DB1-Normal26"/>
              <w:spacing w:after="0" w:line="240" w:lineRule="auto"/>
              <w:jc w:val="center"/>
              <w:rPr>
                <w:noProof/>
              </w:rPr>
            </w:pPr>
            <w:r>
              <w:rPr>
                <w:noProof/>
              </w:rPr>
              <w:t xml:space="preserve"> </w:t>
            </w:r>
          </w:p>
        </w:tc>
        <w:tc>
          <w:tcPr>
            <w:tcW w:w="992" w:type="dxa"/>
            <w:shd w:val="clear" w:color="auto" w:fill="C4EFCE"/>
            <w:vAlign w:val="center"/>
          </w:tcPr>
          <w:p w14:paraId="2B0756BB" w14:textId="77777777" w:rsidR="006C686E" w:rsidRDefault="00B17E8C">
            <w:pPr>
              <w:pStyle w:val="P68B1DB1-Normal26"/>
              <w:spacing w:after="0" w:line="240" w:lineRule="auto"/>
              <w:jc w:val="center"/>
              <w:rPr>
                <w:noProof/>
              </w:rPr>
            </w:pPr>
            <w:r>
              <w:rPr>
                <w:noProof/>
              </w:rPr>
              <w:t>EUR</w:t>
            </w:r>
          </w:p>
        </w:tc>
        <w:tc>
          <w:tcPr>
            <w:tcW w:w="992" w:type="dxa"/>
            <w:shd w:val="clear" w:color="auto" w:fill="C4EFCE"/>
            <w:vAlign w:val="center"/>
          </w:tcPr>
          <w:p w14:paraId="53970904" w14:textId="77777777" w:rsidR="006C686E" w:rsidRDefault="00B17E8C">
            <w:pPr>
              <w:pStyle w:val="P68B1DB1-Normal26"/>
              <w:spacing w:after="0" w:line="240" w:lineRule="auto"/>
              <w:jc w:val="center"/>
              <w:rPr>
                <w:noProof/>
              </w:rPr>
            </w:pPr>
            <w:r>
              <w:rPr>
                <w:noProof/>
              </w:rPr>
              <w:t>0</w:t>
            </w:r>
          </w:p>
        </w:tc>
        <w:tc>
          <w:tcPr>
            <w:tcW w:w="1134" w:type="dxa"/>
            <w:shd w:val="clear" w:color="auto" w:fill="C4EFCE"/>
            <w:vAlign w:val="center"/>
          </w:tcPr>
          <w:p w14:paraId="6441CA6C" w14:textId="53FD1127" w:rsidR="006C686E" w:rsidRDefault="00B17E8C">
            <w:pPr>
              <w:pStyle w:val="P68B1DB1-Normal26"/>
              <w:spacing w:after="0" w:line="240" w:lineRule="auto"/>
              <w:jc w:val="center"/>
              <w:rPr>
                <w:noProof/>
              </w:rPr>
            </w:pPr>
            <w:r>
              <w:rPr>
                <w:noProof/>
              </w:rPr>
              <w:t xml:space="preserve">144 000 000 </w:t>
            </w:r>
          </w:p>
        </w:tc>
        <w:tc>
          <w:tcPr>
            <w:tcW w:w="567" w:type="dxa"/>
            <w:shd w:val="clear" w:color="auto" w:fill="C4EFCE"/>
            <w:vAlign w:val="center"/>
          </w:tcPr>
          <w:p w14:paraId="4AFF879F"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4802B84D" w14:textId="77777777" w:rsidR="006C686E" w:rsidRDefault="00B17E8C">
            <w:pPr>
              <w:pStyle w:val="P68B1DB1-Normal26"/>
              <w:spacing w:after="0" w:line="240" w:lineRule="auto"/>
              <w:jc w:val="center"/>
              <w:rPr>
                <w:noProof/>
              </w:rPr>
            </w:pPr>
            <w:r>
              <w:rPr>
                <w:noProof/>
              </w:rPr>
              <w:t>2026</w:t>
            </w:r>
          </w:p>
        </w:tc>
        <w:tc>
          <w:tcPr>
            <w:tcW w:w="3898" w:type="dxa"/>
            <w:shd w:val="clear" w:color="auto" w:fill="C4EFCE"/>
            <w:vAlign w:val="center"/>
          </w:tcPr>
          <w:p w14:paraId="2B653E23" w14:textId="5E4CDE98" w:rsidR="006C686E" w:rsidRDefault="00B17E8C">
            <w:pPr>
              <w:pStyle w:val="P68B1DB1-Normal27"/>
              <w:spacing w:after="0" w:line="240" w:lineRule="auto"/>
              <w:jc w:val="both"/>
              <w:rPr>
                <w:rFonts w:ascii="Times New Roman" w:hAnsi="Times New Roman" w:cs="Times New Roman"/>
                <w:noProof/>
              </w:rPr>
            </w:pPr>
            <w:r>
              <w:rPr>
                <w:rFonts w:ascii="Times New Roman" w:hAnsi="Times New Roman" w:cs="Times New Roman"/>
                <w:noProof/>
              </w:rPr>
              <w:t>Évaluation positive par les autorités des rapports finaux d’exécution pour l’acquisition d’équipements ou d’outils, qui peuvent inclure, sans s’y limiter, des systèmes informatiques pour les unités de recherche, pour un montant total de</w:t>
            </w:r>
            <w:r>
              <w:rPr>
                <w:rFonts w:ascii="Times New Roman" w:eastAsia="Calibri" w:hAnsi="Times New Roman" w:cs="Times New Roman"/>
                <w:noProof/>
                <w:kern w:val="0"/>
                <w14:ligatures w14:val="none"/>
              </w:rPr>
              <w:t> </w:t>
            </w:r>
            <w:r>
              <w:rPr>
                <w:rFonts w:ascii="Times New Roman" w:hAnsi="Times New Roman" w:cs="Times New Roman"/>
                <w:noProof/>
              </w:rPr>
              <w:t>144</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w:t>
            </w:r>
          </w:p>
        </w:tc>
      </w:tr>
      <w:tr w:rsidR="006C686E" w14:paraId="123BB8B1" w14:textId="77777777" w:rsidTr="006E2673">
        <w:trPr>
          <w:trHeight w:val="67"/>
          <w:jc w:val="center"/>
        </w:trPr>
        <w:tc>
          <w:tcPr>
            <w:tcW w:w="1129" w:type="dxa"/>
            <w:shd w:val="clear" w:color="auto" w:fill="C4EFCE"/>
            <w:vAlign w:val="center"/>
          </w:tcPr>
          <w:p w14:paraId="302FE5CC" w14:textId="77777777" w:rsidR="006C686E" w:rsidRDefault="00B17E8C">
            <w:pPr>
              <w:pStyle w:val="P68B1DB1-Normal25"/>
              <w:spacing w:after="0" w:line="240" w:lineRule="auto"/>
              <w:jc w:val="center"/>
              <w:rPr>
                <w:noProof/>
              </w:rPr>
            </w:pPr>
            <w:r>
              <w:rPr>
                <w:noProof/>
              </w:rPr>
              <w:t>5.51</w:t>
            </w:r>
          </w:p>
        </w:tc>
        <w:tc>
          <w:tcPr>
            <w:tcW w:w="1418" w:type="dxa"/>
            <w:shd w:val="clear" w:color="auto" w:fill="C4EFCE"/>
            <w:vAlign w:val="center"/>
          </w:tcPr>
          <w:p w14:paraId="388F9CF3" w14:textId="77777777" w:rsidR="006C686E" w:rsidRDefault="00B17E8C">
            <w:pPr>
              <w:pStyle w:val="P68B1DB1-Normal26"/>
              <w:spacing w:after="0" w:line="240" w:lineRule="auto"/>
              <w:jc w:val="center"/>
              <w:rPr>
                <w:noProof/>
              </w:rPr>
            </w:pPr>
            <w:r>
              <w:rPr>
                <w:noProof/>
              </w:rPr>
              <w:t>RE-C05-i14</w:t>
            </w:r>
          </w:p>
        </w:tc>
        <w:tc>
          <w:tcPr>
            <w:tcW w:w="1417" w:type="dxa"/>
            <w:shd w:val="clear" w:color="auto" w:fill="C4EFCE"/>
          </w:tcPr>
          <w:p w14:paraId="7884E7F2" w14:textId="77777777" w:rsidR="006C686E" w:rsidRDefault="00B17E8C">
            <w:pPr>
              <w:pStyle w:val="P68B1DB1-Normal26"/>
              <w:spacing w:after="0" w:line="240" w:lineRule="auto"/>
              <w:jc w:val="center"/>
              <w:rPr>
                <w:noProof/>
              </w:rPr>
            </w:pPr>
            <w:r>
              <w:rPr>
                <w:noProof/>
              </w:rPr>
              <w:t>M</w:t>
            </w:r>
          </w:p>
        </w:tc>
        <w:tc>
          <w:tcPr>
            <w:tcW w:w="1134" w:type="dxa"/>
            <w:shd w:val="clear" w:color="auto" w:fill="C4EFCE"/>
          </w:tcPr>
          <w:p w14:paraId="1DC32EAB" w14:textId="77777777" w:rsidR="006C686E" w:rsidRDefault="00B17E8C">
            <w:pPr>
              <w:pStyle w:val="P68B1DB1-Normal26"/>
              <w:spacing w:after="0" w:line="240" w:lineRule="auto"/>
              <w:jc w:val="center"/>
              <w:rPr>
                <w:noProof/>
              </w:rPr>
            </w:pPr>
            <w:r>
              <w:rPr>
                <w:noProof/>
              </w:rPr>
              <w:t>Accord de mise en œuvre</w:t>
            </w:r>
          </w:p>
        </w:tc>
        <w:tc>
          <w:tcPr>
            <w:tcW w:w="2127" w:type="dxa"/>
            <w:shd w:val="clear" w:color="auto" w:fill="C4EFCE"/>
          </w:tcPr>
          <w:p w14:paraId="63E2246B" w14:textId="77777777" w:rsidR="006C686E" w:rsidRDefault="00B17E8C">
            <w:pPr>
              <w:pStyle w:val="P68B1DB1-Normal26"/>
              <w:spacing w:after="0" w:line="240" w:lineRule="auto"/>
              <w:jc w:val="center"/>
              <w:rPr>
                <w:noProof/>
              </w:rPr>
            </w:pPr>
            <w:r>
              <w:rPr>
                <w:noProof/>
              </w:rPr>
              <w:t>Entrée en vigueur de l'accord de mise en œuvre</w:t>
            </w:r>
          </w:p>
        </w:tc>
        <w:tc>
          <w:tcPr>
            <w:tcW w:w="992" w:type="dxa"/>
            <w:shd w:val="clear" w:color="auto" w:fill="C4EFCE"/>
          </w:tcPr>
          <w:p w14:paraId="759C15F4" w14:textId="77777777" w:rsidR="006C686E" w:rsidRDefault="00B17E8C">
            <w:pPr>
              <w:pStyle w:val="P68B1DB1-Normal26"/>
              <w:spacing w:after="0" w:line="240" w:lineRule="auto"/>
              <w:jc w:val="center"/>
              <w:rPr>
                <w:noProof/>
              </w:rPr>
            </w:pPr>
            <w:r>
              <w:rPr>
                <w:noProof/>
              </w:rPr>
              <w:t xml:space="preserve"> </w:t>
            </w:r>
          </w:p>
        </w:tc>
        <w:tc>
          <w:tcPr>
            <w:tcW w:w="992" w:type="dxa"/>
            <w:shd w:val="clear" w:color="auto" w:fill="C4EFCE"/>
          </w:tcPr>
          <w:p w14:paraId="00031FDD" w14:textId="77777777" w:rsidR="006C686E" w:rsidRDefault="00B17E8C">
            <w:pPr>
              <w:pStyle w:val="P68B1DB1-Normal26"/>
              <w:spacing w:after="0" w:line="240" w:lineRule="auto"/>
              <w:jc w:val="center"/>
              <w:rPr>
                <w:noProof/>
              </w:rPr>
            </w:pPr>
            <w:r>
              <w:rPr>
                <w:noProof/>
              </w:rPr>
              <w:t xml:space="preserve"> </w:t>
            </w:r>
          </w:p>
        </w:tc>
        <w:tc>
          <w:tcPr>
            <w:tcW w:w="1134" w:type="dxa"/>
            <w:shd w:val="clear" w:color="auto" w:fill="C4EFCE"/>
          </w:tcPr>
          <w:p w14:paraId="12EA1C42" w14:textId="77777777" w:rsidR="006C686E" w:rsidRDefault="00B17E8C">
            <w:pPr>
              <w:pStyle w:val="P68B1DB1-Normal26"/>
              <w:spacing w:after="0" w:line="240" w:lineRule="auto"/>
              <w:jc w:val="center"/>
              <w:rPr>
                <w:noProof/>
              </w:rPr>
            </w:pPr>
            <w:r>
              <w:rPr>
                <w:noProof/>
              </w:rPr>
              <w:t xml:space="preserve"> </w:t>
            </w:r>
          </w:p>
        </w:tc>
        <w:tc>
          <w:tcPr>
            <w:tcW w:w="567" w:type="dxa"/>
            <w:shd w:val="clear" w:color="auto" w:fill="C4EFCE"/>
            <w:vAlign w:val="center"/>
          </w:tcPr>
          <w:p w14:paraId="3A4AC195"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60F13BDE" w14:textId="77777777" w:rsidR="006C686E" w:rsidRDefault="00B17E8C">
            <w:pPr>
              <w:pStyle w:val="P68B1DB1-Normal26"/>
              <w:spacing w:after="0" w:line="240" w:lineRule="auto"/>
              <w:jc w:val="center"/>
              <w:rPr>
                <w:noProof/>
              </w:rPr>
            </w:pPr>
            <w:r>
              <w:rPr>
                <w:noProof/>
              </w:rPr>
              <w:t>2025</w:t>
            </w:r>
          </w:p>
        </w:tc>
        <w:tc>
          <w:tcPr>
            <w:tcW w:w="3898" w:type="dxa"/>
            <w:shd w:val="clear" w:color="auto" w:fill="C4EFCE"/>
            <w:vAlign w:val="center"/>
          </w:tcPr>
          <w:p w14:paraId="2192A7CA" w14:textId="77777777" w:rsidR="006C686E" w:rsidRDefault="00B17E8C">
            <w:pPr>
              <w:pStyle w:val="P68B1DB1-Normal26"/>
              <w:spacing w:after="0" w:line="240" w:lineRule="auto"/>
              <w:jc w:val="both"/>
              <w:rPr>
                <w:noProof/>
              </w:rPr>
            </w:pPr>
            <w:r>
              <w:rPr>
                <w:noProof/>
              </w:rPr>
              <w:t>Entrée en vigueur de l'accord de mise en œuvre.</w:t>
            </w:r>
          </w:p>
        </w:tc>
      </w:tr>
      <w:tr w:rsidR="006C686E" w14:paraId="0072319C" w14:textId="77777777" w:rsidTr="006E2673">
        <w:trPr>
          <w:trHeight w:val="67"/>
          <w:jc w:val="center"/>
        </w:trPr>
        <w:tc>
          <w:tcPr>
            <w:tcW w:w="1129" w:type="dxa"/>
            <w:shd w:val="clear" w:color="auto" w:fill="C4EFCE"/>
            <w:vAlign w:val="center"/>
          </w:tcPr>
          <w:p w14:paraId="18291CA5" w14:textId="77777777" w:rsidR="006C686E" w:rsidRDefault="00B17E8C">
            <w:pPr>
              <w:pStyle w:val="P68B1DB1-Normal25"/>
              <w:spacing w:after="0" w:line="240" w:lineRule="auto"/>
              <w:jc w:val="center"/>
              <w:rPr>
                <w:noProof/>
              </w:rPr>
            </w:pPr>
            <w:r>
              <w:rPr>
                <w:noProof/>
              </w:rPr>
              <w:t>5.52</w:t>
            </w:r>
          </w:p>
        </w:tc>
        <w:tc>
          <w:tcPr>
            <w:tcW w:w="1418" w:type="dxa"/>
            <w:shd w:val="clear" w:color="auto" w:fill="C4EFCE"/>
            <w:vAlign w:val="center"/>
          </w:tcPr>
          <w:p w14:paraId="7C3C9E36" w14:textId="77777777" w:rsidR="006C686E" w:rsidRDefault="00B17E8C">
            <w:pPr>
              <w:pStyle w:val="P68B1DB1-Normal26"/>
              <w:spacing w:after="0" w:line="240" w:lineRule="auto"/>
              <w:jc w:val="center"/>
              <w:rPr>
                <w:noProof/>
              </w:rPr>
            </w:pPr>
            <w:r>
              <w:rPr>
                <w:noProof/>
              </w:rPr>
              <w:t>RE-C05-i14</w:t>
            </w:r>
          </w:p>
        </w:tc>
        <w:tc>
          <w:tcPr>
            <w:tcW w:w="1417" w:type="dxa"/>
            <w:shd w:val="clear" w:color="auto" w:fill="C4EFCE"/>
            <w:vAlign w:val="center"/>
          </w:tcPr>
          <w:p w14:paraId="3C8E6744" w14:textId="77777777" w:rsidR="006C686E" w:rsidRDefault="00B17E8C">
            <w:pPr>
              <w:pStyle w:val="P68B1DB1-Normal26"/>
              <w:spacing w:after="0" w:line="240" w:lineRule="auto"/>
              <w:jc w:val="center"/>
              <w:rPr>
                <w:noProof/>
              </w:rPr>
            </w:pPr>
            <w:r>
              <w:rPr>
                <w:noProof/>
              </w:rPr>
              <w:t>T</w:t>
            </w:r>
          </w:p>
        </w:tc>
        <w:tc>
          <w:tcPr>
            <w:tcW w:w="1134" w:type="dxa"/>
            <w:shd w:val="clear" w:color="auto" w:fill="C4EFCE"/>
            <w:vAlign w:val="center"/>
          </w:tcPr>
          <w:p w14:paraId="3E1C7A0A" w14:textId="77777777" w:rsidR="006C686E" w:rsidRDefault="00B17E8C">
            <w:pPr>
              <w:pStyle w:val="P68B1DB1-Normal26"/>
              <w:spacing w:after="0" w:line="240" w:lineRule="auto"/>
              <w:jc w:val="center"/>
              <w:rPr>
                <w:noProof/>
              </w:rPr>
            </w:pPr>
            <w:r>
              <w:rPr>
                <w:noProof/>
              </w:rPr>
              <w:t>Les accords juridiques signés avec les bénéficiaires finaux et le ministère ont achevé l'investissement</w:t>
            </w:r>
          </w:p>
        </w:tc>
        <w:tc>
          <w:tcPr>
            <w:tcW w:w="2127" w:type="dxa"/>
            <w:shd w:val="clear" w:color="auto" w:fill="C4EFCE"/>
            <w:vAlign w:val="center"/>
          </w:tcPr>
          <w:p w14:paraId="65829F68" w14:textId="21D79829"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5F2A4773" w14:textId="77777777" w:rsidR="006C686E" w:rsidRDefault="00B17E8C">
            <w:pPr>
              <w:pStyle w:val="P68B1DB1-Normal26"/>
              <w:spacing w:after="0" w:line="240" w:lineRule="auto"/>
              <w:jc w:val="center"/>
              <w:rPr>
                <w:noProof/>
              </w:rPr>
            </w:pPr>
            <w:r>
              <w:rPr>
                <w:noProof/>
              </w:rPr>
              <w:t>EUR</w:t>
            </w:r>
          </w:p>
        </w:tc>
        <w:tc>
          <w:tcPr>
            <w:tcW w:w="992" w:type="dxa"/>
            <w:shd w:val="clear" w:color="auto" w:fill="C4EFCE"/>
            <w:vAlign w:val="center"/>
          </w:tcPr>
          <w:p w14:paraId="7403EB7A" w14:textId="77777777" w:rsidR="006C686E" w:rsidRDefault="00B17E8C">
            <w:pPr>
              <w:pStyle w:val="P68B1DB1-Normal26"/>
              <w:spacing w:after="0" w:line="240" w:lineRule="auto"/>
              <w:jc w:val="center"/>
              <w:rPr>
                <w:noProof/>
              </w:rPr>
            </w:pPr>
            <w:r>
              <w:rPr>
                <w:noProof/>
              </w:rPr>
              <w:t>0</w:t>
            </w:r>
          </w:p>
        </w:tc>
        <w:tc>
          <w:tcPr>
            <w:tcW w:w="1134" w:type="dxa"/>
            <w:shd w:val="clear" w:color="auto" w:fill="C4EFCE"/>
            <w:vAlign w:val="center"/>
          </w:tcPr>
          <w:p w14:paraId="556DAC51" w14:textId="7A5370B1" w:rsidR="006C686E" w:rsidRDefault="00B17E8C">
            <w:pPr>
              <w:pStyle w:val="P68B1DB1-Normal26"/>
              <w:spacing w:after="0" w:line="240" w:lineRule="auto"/>
              <w:jc w:val="center"/>
              <w:rPr>
                <w:noProof/>
              </w:rPr>
            </w:pPr>
            <w:r>
              <w:rPr>
                <w:noProof/>
              </w:rPr>
              <w:t>1 160 914 218</w:t>
            </w:r>
          </w:p>
        </w:tc>
        <w:tc>
          <w:tcPr>
            <w:tcW w:w="567" w:type="dxa"/>
            <w:shd w:val="clear" w:color="auto" w:fill="C4EFCE"/>
            <w:vAlign w:val="center"/>
          </w:tcPr>
          <w:p w14:paraId="6B788926" w14:textId="77777777" w:rsidR="006C686E" w:rsidRDefault="00B17E8C">
            <w:pPr>
              <w:pStyle w:val="P68B1DB1-Normal26"/>
              <w:spacing w:after="0" w:line="240" w:lineRule="auto"/>
              <w:jc w:val="center"/>
              <w:rPr>
                <w:noProof/>
              </w:rPr>
            </w:pPr>
            <w:r>
              <w:rPr>
                <w:noProof/>
              </w:rPr>
              <w:t>T2</w:t>
            </w:r>
          </w:p>
        </w:tc>
        <w:tc>
          <w:tcPr>
            <w:tcW w:w="851" w:type="dxa"/>
            <w:shd w:val="clear" w:color="auto" w:fill="C4EFCE"/>
            <w:vAlign w:val="center"/>
          </w:tcPr>
          <w:p w14:paraId="0A325BF6" w14:textId="77777777" w:rsidR="006C686E" w:rsidRDefault="00B17E8C">
            <w:pPr>
              <w:pStyle w:val="P68B1DB1-Normal26"/>
              <w:spacing w:after="0" w:line="240" w:lineRule="auto"/>
              <w:jc w:val="center"/>
              <w:rPr>
                <w:noProof/>
              </w:rPr>
            </w:pPr>
            <w:r>
              <w:rPr>
                <w:noProof/>
              </w:rPr>
              <w:t>2026</w:t>
            </w:r>
          </w:p>
        </w:tc>
        <w:tc>
          <w:tcPr>
            <w:tcW w:w="3898" w:type="dxa"/>
            <w:shd w:val="clear" w:color="auto" w:fill="C4EFCE"/>
            <w:vAlign w:val="center"/>
          </w:tcPr>
          <w:p w14:paraId="48FEA83C" w14:textId="448AB0D4" w:rsidR="006C686E" w:rsidRDefault="00B17E8C">
            <w:pPr>
              <w:pStyle w:val="P68B1DB1-Normal26"/>
              <w:spacing w:after="0" w:line="240" w:lineRule="auto"/>
              <w:jc w:val="both"/>
              <w:rPr>
                <w:noProof/>
              </w:rPr>
            </w:pPr>
            <w:r>
              <w:rPr>
                <w:noProof/>
              </w:rPr>
              <w:t>Banco Português de Fomento a conclu des conventions de subvention légales avec les bénéficiaires finaux pour un montant nécessaire à l’utilisation de 100 % de l’investissement de la FRR dans le régime (en tenant compte des frais de gestion). Au moins 20 % de ce financement contribuent aux objectifs climatiques et au moins 45 % aux objectifs numériques, en utilisant la méthodologie figurant aux annexes VI et VII du règlement FRR.</w:t>
            </w:r>
          </w:p>
          <w:p w14:paraId="6C88E4A7" w14:textId="77777777" w:rsidR="006C686E" w:rsidRDefault="006C686E">
            <w:pPr>
              <w:spacing w:after="0" w:line="240" w:lineRule="auto"/>
              <w:jc w:val="both"/>
              <w:rPr>
                <w:rFonts w:ascii="Times New Roman" w:eastAsia="Times New Roman" w:hAnsi="Times New Roman" w:cs="Times New Roman"/>
                <w:noProof/>
                <w:sz w:val="16"/>
                <w:szCs w:val="16"/>
              </w:rPr>
            </w:pPr>
          </w:p>
          <w:p w14:paraId="5AB8D938" w14:textId="097C1CAB" w:rsidR="006C686E" w:rsidRDefault="00B17E8C">
            <w:pPr>
              <w:pStyle w:val="P68B1DB1-Normal26"/>
              <w:spacing w:after="0" w:line="240" w:lineRule="auto"/>
              <w:jc w:val="both"/>
              <w:rPr>
                <w:noProof/>
              </w:rPr>
            </w:pPr>
            <w:r>
              <w:rPr>
                <w:noProof/>
              </w:rPr>
              <w:t>Le Portugal transfère 1 160 914 218 EUR au Banco Português de Fomento pour la facilité.</w:t>
            </w:r>
          </w:p>
        </w:tc>
      </w:tr>
    </w:tbl>
    <w:p w14:paraId="37E5CF3E" w14:textId="77777777" w:rsidR="006C686E" w:rsidRDefault="006C686E">
      <w:pPr>
        <w:spacing w:before="40" w:after="0" w:line="259" w:lineRule="auto"/>
        <w:ind w:left="130" w:firstLine="720"/>
        <w:jc w:val="both"/>
        <w:outlineLvl w:val="2"/>
        <w:rPr>
          <w:rFonts w:ascii="Times New Roman" w:eastAsiaTheme="minorEastAsia" w:hAnsi="Times New Roman" w:cs="Times New Roman"/>
          <w:b/>
          <w:bCs/>
          <w:noProof/>
          <w:u w:val="single"/>
        </w:rPr>
        <w:sectPr w:rsidR="006C686E" w:rsidSect="00C95E00">
          <w:headerReference w:type="even" r:id="rId106"/>
          <w:headerReference w:type="default" r:id="rId107"/>
          <w:footerReference w:type="even" r:id="rId108"/>
          <w:footerReference w:type="default" r:id="rId109"/>
          <w:headerReference w:type="first" r:id="rId110"/>
          <w:footerReference w:type="first" r:id="rId111"/>
          <w:pgSz w:w="16839" w:h="11907" w:orient="landscape"/>
          <w:pgMar w:top="1134" w:right="1418" w:bottom="1134" w:left="1418" w:header="567" w:footer="567" w:gutter="0"/>
          <w:cols w:space="720"/>
          <w:docGrid w:linePitch="360"/>
        </w:sectPr>
      </w:pPr>
    </w:p>
    <w:p w14:paraId="064C3F64" w14:textId="77777777" w:rsidR="006C686E" w:rsidRDefault="00B17E8C">
      <w:pPr>
        <w:pStyle w:val="P68B1DB1-Normal18"/>
        <w:spacing w:before="40" w:after="0" w:line="259" w:lineRule="auto"/>
        <w:ind w:left="130" w:firstLine="720"/>
        <w:jc w:val="both"/>
        <w:outlineLvl w:val="2"/>
        <w:rPr>
          <w:rFonts w:eastAsiaTheme="minorEastAsia" w:cs="Times New Roman"/>
          <w:bCs/>
          <w:noProof/>
        </w:rPr>
      </w:pPr>
      <w:r>
        <w:rPr>
          <w:noProof/>
        </w:rPr>
        <w:t xml:space="preserve">E.3. Description des réformes et des investissements pour le prêt </w:t>
      </w:r>
    </w:p>
    <w:p w14:paraId="3628914E"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Réforme RE-r10: Création et développement de Banco Português de Fomento.</w:t>
      </w:r>
    </w:p>
    <w:p w14:paraId="4D5B3D18" w14:textId="77777777" w:rsidR="006C686E" w:rsidRDefault="00B17E8C">
      <w:pPr>
        <w:pStyle w:val="P68B1DB1-Normal22"/>
        <w:spacing w:before="40" w:after="0" w:line="259" w:lineRule="auto"/>
        <w:jc w:val="both"/>
        <w:rPr>
          <w:rFonts w:eastAsiaTheme="minorEastAsia" w:cs="Times New Roman"/>
          <w:noProof/>
        </w:rPr>
      </w:pPr>
      <w:r>
        <w:rPr>
          <w:noProof/>
        </w:rPr>
        <w:t xml:space="preserve">Les objectifs de la mesure sont de faciliter l’accès au financement des entreprises portugaises en réduisant la complexité des produits de financement des entreprises bénéficiant d’un soutien public et en permettant la réalisation de projets d’intérêt stratégique national. À cette fin, </w:t>
      </w:r>
      <w:r>
        <w:rPr>
          <w:i/>
          <w:noProof/>
        </w:rPr>
        <w:t>Banco Português de Fomento</w:t>
      </w:r>
      <w:r>
        <w:rPr>
          <w:noProof/>
        </w:rPr>
        <w:t xml:space="preserve"> a été créée le 7 septembre 2020 et a commencé à fonctionner en novembre 2020 en tant que banque nationale de développement appartenant à l’État. Outre sa mission essentielle et durable, la banque est une entité clé dans le processus de reprise de l’activité économique après la pandémie de COVID-19, notamment en permettant aux entreprises portugaises de bénéficier des actions stratégiques nationales et européennes de relance. </w:t>
      </w:r>
    </w:p>
    <w:p w14:paraId="4043A0CE" w14:textId="77777777" w:rsidR="006C686E" w:rsidRDefault="00B17E8C">
      <w:pPr>
        <w:pStyle w:val="P68B1DB1-Normal22"/>
        <w:spacing w:before="40" w:after="0" w:line="259" w:lineRule="auto"/>
        <w:jc w:val="both"/>
        <w:rPr>
          <w:rFonts w:eastAsiaTheme="minorEastAsia" w:cs="Times New Roman"/>
          <w:noProof/>
        </w:rPr>
      </w:pPr>
      <w:r>
        <w:rPr>
          <w:noProof/>
        </w:rPr>
        <w:t xml:space="preserve">La réforme consiste en la création légale de </w:t>
      </w:r>
      <w:r>
        <w:rPr>
          <w:i/>
          <w:noProof/>
        </w:rPr>
        <w:t>Banco Português de Fomento</w:t>
      </w:r>
      <w:r>
        <w:rPr>
          <w:noProof/>
        </w:rPr>
        <w:t xml:space="preserve">. </w:t>
      </w:r>
    </w:p>
    <w:p w14:paraId="7D7CC591" w14:textId="2846CF3C" w:rsidR="006C686E" w:rsidRDefault="00B17E8C">
      <w:pPr>
        <w:pStyle w:val="P68B1DB1-Normal22"/>
        <w:spacing w:before="40" w:after="0" w:line="259" w:lineRule="auto"/>
        <w:jc w:val="both"/>
        <w:rPr>
          <w:rFonts w:eastAsiaTheme="minorEastAsia" w:cs="Times New Roman"/>
          <w:noProof/>
        </w:rPr>
      </w:pPr>
      <w:r>
        <w:rPr>
          <w:noProof/>
        </w:rPr>
        <w:t>La mise en œuvre de la réforme a été achevée au 31 décembre 2020.</w:t>
      </w:r>
    </w:p>
    <w:p w14:paraId="36B43780"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 xml:space="preserve">Réforme RE-r13: Développement des marchés de capitaux et promotion de la capitalisation des sociétés non financières </w:t>
      </w:r>
    </w:p>
    <w:p w14:paraId="3AC1EBAA" w14:textId="77777777" w:rsidR="006C686E" w:rsidRDefault="00B17E8C">
      <w:pPr>
        <w:pStyle w:val="P68B1DB1-Normal22"/>
        <w:spacing w:before="40" w:after="0" w:line="259" w:lineRule="auto"/>
        <w:jc w:val="both"/>
        <w:rPr>
          <w:rFonts w:eastAsiaTheme="minorEastAsia" w:cs="Times New Roman"/>
          <w:noProof/>
        </w:rPr>
      </w:pPr>
      <w:r>
        <w:rPr>
          <w:noProof/>
        </w:rPr>
        <w:t xml:space="preserve">Les objectifs de la mesure sont de stimuler le marché des capitaux portugais et de promouvoir la capitalisation des entreprises, en mettant particulièrement l'accent sur les sociétés d'investissement en valeurs mobilières pour le développement de l'économie (SIMFE), les organismes de placement collectif et la révision du code des valeurs mobilières. </w:t>
      </w:r>
    </w:p>
    <w:p w14:paraId="3C7A9B25" w14:textId="77777777" w:rsidR="006C686E" w:rsidRDefault="00B17E8C">
      <w:pPr>
        <w:pStyle w:val="P68B1DB1-Normal22"/>
        <w:spacing w:before="40" w:after="0" w:line="259" w:lineRule="auto"/>
        <w:jc w:val="both"/>
        <w:rPr>
          <w:rFonts w:eastAsiaTheme="minorEastAsia" w:cs="Times New Roman"/>
          <w:noProof/>
        </w:rPr>
      </w:pPr>
      <w:r>
        <w:rPr>
          <w:noProof/>
        </w:rPr>
        <w:t xml:space="preserve">Cette réforme consistera en la révision du cadre juridique existant et en l'adoption de nouvelles lois qui contribueront à créer un environnement plus favorable aux entreprises et fourniront de véritables incitations à l'investissement, à la capitalisation des entreprises et à la consolidation sectorielle. La mise en œuvre de cette réforme comprend les mesures suivantes: </w:t>
      </w:r>
    </w:p>
    <w:p w14:paraId="469EB1BC" w14:textId="77777777" w:rsidR="006C686E" w:rsidRDefault="00B17E8C">
      <w:pPr>
        <w:pStyle w:val="P68B1DB1-Normal22"/>
        <w:keepNext/>
        <w:numPr>
          <w:ilvl w:val="0"/>
          <w:numId w:val="33"/>
        </w:numPr>
        <w:spacing w:before="40" w:line="259" w:lineRule="auto"/>
        <w:contextualSpacing/>
        <w:jc w:val="both"/>
        <w:rPr>
          <w:rFonts w:eastAsiaTheme="minorEastAsia" w:cs="Times New Roman"/>
          <w:noProof/>
        </w:rPr>
      </w:pPr>
      <w:r>
        <w:rPr>
          <w:noProof/>
        </w:rPr>
        <w:t xml:space="preserve">le développement du marché des capitaux; </w:t>
      </w:r>
    </w:p>
    <w:p w14:paraId="51154439" w14:textId="77777777" w:rsidR="006C686E" w:rsidRDefault="00B17E8C">
      <w:pPr>
        <w:pStyle w:val="P68B1DB1-Normal22"/>
        <w:keepNext/>
        <w:numPr>
          <w:ilvl w:val="0"/>
          <w:numId w:val="33"/>
        </w:numPr>
        <w:spacing w:before="40" w:line="259" w:lineRule="auto"/>
        <w:contextualSpacing/>
        <w:jc w:val="both"/>
        <w:rPr>
          <w:rFonts w:eastAsiaTheme="minorEastAsia" w:cs="Times New Roman"/>
          <w:noProof/>
        </w:rPr>
      </w:pPr>
      <w:r>
        <w:rPr>
          <w:noProof/>
        </w:rPr>
        <w:t xml:space="preserve">stimuler les sociétés d'investissement en valeurs mobilières pour le développement de l'économie (SIMFE); </w:t>
      </w:r>
    </w:p>
    <w:p w14:paraId="37E73120" w14:textId="77777777" w:rsidR="006C686E" w:rsidRDefault="00B17E8C">
      <w:pPr>
        <w:pStyle w:val="P68B1DB1-Normal22"/>
        <w:keepNext/>
        <w:numPr>
          <w:ilvl w:val="0"/>
          <w:numId w:val="33"/>
        </w:numPr>
        <w:spacing w:before="40" w:line="259" w:lineRule="auto"/>
        <w:contextualSpacing/>
        <w:jc w:val="both"/>
        <w:rPr>
          <w:rFonts w:eastAsiaTheme="minorEastAsia" w:cs="Times New Roman"/>
          <w:noProof/>
        </w:rPr>
      </w:pPr>
      <w:r>
        <w:rPr>
          <w:noProof/>
        </w:rPr>
        <w:t>simplification réglementaire et administrative;</w:t>
      </w:r>
    </w:p>
    <w:p w14:paraId="3B545A1D" w14:textId="77777777" w:rsidR="006C686E" w:rsidRDefault="00B17E8C">
      <w:pPr>
        <w:pStyle w:val="P68B1DB1-Normal22"/>
        <w:keepNext/>
        <w:numPr>
          <w:ilvl w:val="0"/>
          <w:numId w:val="33"/>
        </w:numPr>
        <w:spacing w:before="40" w:line="259" w:lineRule="auto"/>
        <w:contextualSpacing/>
        <w:jc w:val="both"/>
        <w:rPr>
          <w:rFonts w:eastAsiaTheme="minorEastAsia" w:cs="Times New Roman"/>
          <w:noProof/>
        </w:rPr>
      </w:pPr>
      <w:r>
        <w:rPr>
          <w:noProof/>
        </w:rPr>
        <w:t xml:space="preserve">révision du cadre juridique applicable aux organismes de placement collectif; et </w:t>
      </w:r>
    </w:p>
    <w:p w14:paraId="2E11DAEF" w14:textId="77777777" w:rsidR="006C686E" w:rsidRDefault="00B17E8C">
      <w:pPr>
        <w:pStyle w:val="P68B1DB1-Normal22"/>
        <w:keepNext/>
        <w:numPr>
          <w:ilvl w:val="0"/>
          <w:numId w:val="33"/>
        </w:numPr>
        <w:spacing w:before="40" w:line="259" w:lineRule="auto"/>
        <w:contextualSpacing/>
        <w:jc w:val="both"/>
        <w:rPr>
          <w:rFonts w:eastAsiaTheme="minorEastAsia" w:cs="Times New Roman"/>
          <w:noProof/>
        </w:rPr>
      </w:pPr>
      <w:r>
        <w:rPr>
          <w:noProof/>
        </w:rPr>
        <w:t xml:space="preserve">incitations à la capitalisation (déduction des bénéfices conservés et réinvestis). </w:t>
      </w:r>
    </w:p>
    <w:p w14:paraId="7E08D8D7" w14:textId="02427C40" w:rsidR="006C686E" w:rsidRDefault="00B17E8C">
      <w:pPr>
        <w:pStyle w:val="P68B1DB1-Normal22"/>
        <w:spacing w:before="40" w:after="0" w:line="259" w:lineRule="auto"/>
        <w:jc w:val="both"/>
        <w:rPr>
          <w:rFonts w:eastAsiaTheme="minorEastAsia"/>
          <w:noProof/>
        </w:rPr>
      </w:pPr>
      <w:r>
        <w:rPr>
          <w:noProof/>
        </w:rPr>
        <w:t xml:space="preserve">La mise en œuvre de la réforme est achevée au plus tard le 31 décembre 2023. </w:t>
      </w:r>
    </w:p>
    <w:p w14:paraId="34739E07"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 xml:space="preserve">Investissement RE-C05-i06: Capitalisation des entreprises et résilience financière/Banco Português de Fomento </w:t>
      </w:r>
    </w:p>
    <w:p w14:paraId="52823800" w14:textId="77777777" w:rsidR="006C686E" w:rsidRDefault="00B17E8C">
      <w:pPr>
        <w:pStyle w:val="P68B1DB1-Normal22"/>
        <w:spacing w:before="40" w:after="0" w:line="259" w:lineRule="auto"/>
        <w:jc w:val="both"/>
        <w:rPr>
          <w:noProof/>
        </w:rPr>
      </w:pPr>
      <w:r>
        <w:rPr>
          <w:noProof/>
        </w:rPr>
        <w:t xml:space="preserve">L’objectif de la mesure est de remédier à la sous-capitalisation des entreprises et de simplifier l’accès au financement. </w:t>
      </w:r>
    </w:p>
    <w:p w14:paraId="68AB4073" w14:textId="1FE50C76" w:rsidR="006C686E" w:rsidRDefault="00B17E8C">
      <w:pPr>
        <w:rPr>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investissement consiste en la fourniture d</w:t>
      </w:r>
      <w:r>
        <w:rPr>
          <w:rFonts w:ascii="Times New Roman" w:hAnsi="Times New Roman" w:cs="Times New Roman" w:hint="eastAsia"/>
          <w:noProof/>
        </w:rPr>
        <w:t>’</w:t>
      </w:r>
      <w:r>
        <w:rPr>
          <w:rFonts w:ascii="Times New Roman" w:hAnsi="Times New Roman" w:cs="Times New Roman" w:hint="eastAsia"/>
          <w:noProof/>
        </w:rPr>
        <w:t xml:space="preserve">un coussin de fonds propres de 250 000 000 EUR à Banco </w:t>
      </w:r>
      <w:r>
        <w:rPr>
          <w:rFonts w:ascii="Times New Roman" w:hAnsi="Times New Roman" w:cs="Times New Roman" w:hint="eastAsia"/>
          <w:i/>
          <w:noProof/>
        </w:rPr>
        <w:t>Português de Fomento</w:t>
      </w:r>
      <w:r>
        <w:rPr>
          <w:rFonts w:ascii="Times New Roman" w:hAnsi="Times New Roman" w:cs="Times New Roman"/>
          <w:noProof/>
        </w:rPr>
        <w:t xml:space="preserve"> et d’un instrument géré par</w:t>
      </w:r>
      <w:r>
        <w:rPr>
          <w:noProof/>
        </w:rPr>
        <w:t xml:space="preserve"> </w:t>
      </w:r>
      <w:r>
        <w:rPr>
          <w:rFonts w:ascii="Times New Roman" w:hAnsi="Times New Roman" w:cs="Times New Roman" w:hint="eastAsia"/>
          <w:i/>
          <w:noProof/>
        </w:rPr>
        <w:t>Banco Português de Fomento</w:t>
      </w:r>
      <w:r>
        <w:rPr>
          <w:rFonts w:ascii="Times New Roman" w:hAnsi="Times New Roman" w:cs="Times New Roman" w:hint="eastAsia"/>
          <w:noProof/>
        </w:rPr>
        <w:t xml:space="preserve"> pour investir 1 050 653 000 EUR dans des entreprises viables sous la forme de fonds propres et de quasi-fonds propres.</w:t>
      </w:r>
      <w:r>
        <w:rPr>
          <w:noProof/>
        </w:rPr>
        <w:t xml:space="preserve"> </w:t>
      </w:r>
    </w:p>
    <w:p w14:paraId="0CD45D90"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 xml:space="preserve">Investissement RE-C05-i16: Compartiment des États membres d’InvestEU </w:t>
      </w:r>
    </w:p>
    <w:p w14:paraId="4BCB4457" w14:textId="77777777" w:rsidR="006C686E" w:rsidRDefault="00B17E8C">
      <w:pPr>
        <w:pStyle w:val="P68B1DB1-Normal22"/>
        <w:spacing w:line="240" w:lineRule="auto"/>
        <w:jc w:val="both"/>
        <w:rPr>
          <w:rFonts w:cs="Times New Roman"/>
          <w:noProof/>
        </w:rPr>
      </w:pPr>
      <w:r>
        <w:rPr>
          <w:noProof/>
        </w:rPr>
        <w:t xml:space="preserve">Cette mesure consiste en un investissement public dans le compartiment «États membres» d’InvestEU afin d’encourager l’investissement privé et d’améliorer l’accès au financement pour les PME, les petites entreprises à moyenne capitalisation et les particuliers. La contribution au compartiment «États membres» d’InvestEU est utilisée pour soutenir financièrement la compétitivité des PME, et éventuellement aussi pour soutenir i) les investissements privés des petites entreprises à moyenne capitalisation et des particuliers et ii) la compétitivité des entreprises en particulier (mais pas exclusivement) au moyen d’investissements dans l’innovation, la numérisation et/ou l’écologisation de leurs activités. Ce produit financier fonctionne en fournissant un financement par emprunt directement ou par l'intermédiaire d'intermédiaires au secteur privé. </w:t>
      </w:r>
    </w:p>
    <w:p w14:paraId="50098D2E" w14:textId="77777777" w:rsidR="006C686E" w:rsidRDefault="00B17E8C">
      <w:pPr>
        <w:pStyle w:val="P68B1DB1-Normal22"/>
        <w:spacing w:line="240" w:lineRule="auto"/>
        <w:jc w:val="both"/>
        <w:rPr>
          <w:rFonts w:cs="Times New Roman"/>
          <w:noProof/>
        </w:rPr>
      </w:pPr>
      <w:r>
        <w:rPr>
          <w:noProof/>
        </w:rPr>
        <w:t>Un accord de garantie entre la Commission et le partenaire chargé de la mise en œuvre, sélectionné conformément aux dispositions pertinentes du règlement (UE) 2021/523 du Parlement européen et du Conseil du 24 mars 2021 établissant le programme InvestEU et modifiant le règlement (UE) 2015/1017, entre en vigueur.</w:t>
      </w:r>
    </w:p>
    <w:p w14:paraId="1979F3CE" w14:textId="77777777" w:rsidR="006C686E" w:rsidRDefault="00B17E8C">
      <w:pPr>
        <w:pStyle w:val="P68B1DB1-Normal22"/>
        <w:keepNext/>
        <w:spacing w:line="240" w:lineRule="auto"/>
        <w:jc w:val="both"/>
        <w:rPr>
          <w:rFonts w:cs="Times New Roman"/>
          <w:noProof/>
        </w:rPr>
      </w:pPr>
      <w:r>
        <w:rPr>
          <w:noProof/>
        </w:rPr>
        <w:t>Le Portugal signe avec la Commission européenne une convention de contribution qui comprend:</w:t>
      </w:r>
    </w:p>
    <w:p w14:paraId="768AF45C" w14:textId="77777777" w:rsidR="006C686E" w:rsidRDefault="00B17E8C">
      <w:pPr>
        <w:pStyle w:val="P68B1DB1-ListParagraph33"/>
        <w:numPr>
          <w:ilvl w:val="0"/>
          <w:numId w:val="34"/>
        </w:numPr>
        <w:spacing w:line="240" w:lineRule="auto"/>
        <w:jc w:val="both"/>
        <w:rPr>
          <w:noProof/>
        </w:rPr>
      </w:pPr>
      <w:r>
        <w:rPr>
          <w:noProof/>
        </w:rPr>
        <w:t>Le partenaire de mise en œuvre proposé.</w:t>
      </w:r>
    </w:p>
    <w:p w14:paraId="4BCD550C" w14:textId="77777777" w:rsidR="006C686E" w:rsidRDefault="00B17E8C">
      <w:pPr>
        <w:pStyle w:val="ListParagraph"/>
        <w:numPr>
          <w:ilvl w:val="0"/>
          <w:numId w:val="34"/>
        </w:numPr>
        <w:spacing w:line="240" w:lineRule="auto"/>
        <w:jc w:val="both"/>
        <w:rPr>
          <w:rFonts w:ascii="Times New Roman" w:hAnsi="Times New Roman" w:cs="Times New Roman"/>
          <w:noProof/>
        </w:rPr>
      </w:pPr>
      <w:r>
        <w:rPr>
          <w:rFonts w:ascii="Times New Roman" w:hAnsi="Times New Roman" w:cs="Times New Roman"/>
          <w:noProof/>
        </w:rPr>
        <w:t>L’exigence de conformité avec les orientations techniques DNSH (2023/C111)</w:t>
      </w:r>
      <w:bookmarkStart w:id="12" w:name="_Hlk144131484"/>
      <w:r>
        <w:rPr>
          <w:rFonts w:ascii="Times New Roman" w:hAnsi="Times New Roman" w:cs="Times New Roman"/>
          <w:noProof/>
        </w:rPr>
        <w:t>. Si nécessaire, l'accord de garantie exclut de l'éligibilité la liste suivante d'activités et d'actifs: i) les activités et les actifs liés aux combustibles fossiles, y compris leur utilisation en aval;</w:t>
      </w:r>
      <w:r>
        <w:rPr>
          <w:rStyle w:val="FootnoteReference"/>
          <w:rFonts w:ascii="Times New Roman" w:hAnsi="Times New Roman" w:cs="Times New Roman"/>
          <w:noProof/>
        </w:rPr>
        <w:footnoteReference w:id="19"/>
      </w:r>
      <w:r>
        <w:rPr>
          <w:rFonts w:ascii="Times New Roman" w:hAnsi="Times New Roman" w:cs="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20"/>
      </w:r>
      <w:r>
        <w:rPr>
          <w:rFonts w:ascii="Times New Roman" w:hAnsi="Times New Roman" w:cs="Times New Roman"/>
          <w:noProof/>
        </w:rPr>
        <w:t xml:space="preserve"> iii) les activités et les actifs liés aux décharges de déchets, aux incinérateurs</w:t>
      </w:r>
      <w:r>
        <w:rPr>
          <w:rStyle w:val="FootnoteReference"/>
          <w:rFonts w:ascii="Times New Roman" w:hAnsi="Times New Roman" w:cs="Times New Roman"/>
          <w:noProof/>
        </w:rPr>
        <w:footnoteReference w:id="21"/>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22"/>
      </w:r>
      <w:r>
        <w:rPr>
          <w:rFonts w:ascii="Times New Roman" w:hAnsi="Times New Roman" w:cs="Times New Roman"/>
          <w:noProof/>
        </w:rPr>
        <w:t xml:space="preserve">. </w:t>
      </w:r>
      <w:bookmarkEnd w:id="12"/>
    </w:p>
    <w:p w14:paraId="1F448F4B" w14:textId="77777777" w:rsidR="006C686E" w:rsidRDefault="00B17E8C">
      <w:pPr>
        <w:pStyle w:val="P68B1DB1-ListParagraph33"/>
        <w:numPr>
          <w:ilvl w:val="0"/>
          <w:numId w:val="34"/>
        </w:numPr>
        <w:spacing w:line="240" w:lineRule="auto"/>
        <w:jc w:val="both"/>
        <w:rPr>
          <w:noProof/>
        </w:rPr>
      </w:pPr>
      <w:r>
        <w:rPr>
          <w:noProof/>
        </w:rPr>
        <w:t>Description du système de suivi à utiliser pour rendre compte des fonds mobilisés.</w:t>
      </w:r>
    </w:p>
    <w:p w14:paraId="2439F33C" w14:textId="77777777" w:rsidR="006C686E" w:rsidRDefault="00B17E8C">
      <w:pPr>
        <w:pStyle w:val="P68B1DB1-Normal21"/>
        <w:spacing w:before="240" w:after="0" w:line="259" w:lineRule="auto"/>
        <w:ind w:left="851"/>
        <w:jc w:val="both"/>
        <w:outlineLvl w:val="3"/>
        <w:rPr>
          <w:rFonts w:eastAsiaTheme="minorEastAsia" w:cs="Times New Roman"/>
          <w:noProof/>
        </w:rPr>
      </w:pPr>
      <w:r>
        <w:rPr>
          <w:noProof/>
        </w:rPr>
        <w:t>Investissement RE-C05-i11 - Mise à l'échelle: Mobilisation et agendas verts/alliances pour l'innovation des entreprises (prêts)</w:t>
      </w:r>
    </w:p>
    <w:p w14:paraId="5E35071B" w14:textId="77777777" w:rsidR="006C686E" w:rsidRDefault="00B17E8C">
      <w:pPr>
        <w:pStyle w:val="P68B1DB1-Normal22"/>
        <w:spacing w:after="0"/>
        <w:jc w:val="both"/>
        <w:rPr>
          <w:rFonts w:cs="Times New Roman"/>
          <w:noProof/>
        </w:rPr>
      </w:pPr>
      <w:r>
        <w:rPr>
          <w:noProof/>
        </w:rPr>
        <w:t xml:space="preserve">L’objectif de cet investissement est d’accroître l’investissement RE-C05-i01.01 au titre du volet 5. La mesure consiste à augmenter le nombre de produits, de processus ou de services issus des programmes mobilisateurs et verts/alliances pour l’innovation des entreprises. </w:t>
      </w:r>
    </w:p>
    <w:p w14:paraId="335E8D7F" w14:textId="77777777" w:rsidR="006C686E" w:rsidRDefault="006C686E">
      <w:pPr>
        <w:spacing w:after="0"/>
        <w:jc w:val="both"/>
        <w:rPr>
          <w:rFonts w:ascii="Times New Roman" w:eastAsiaTheme="minorEastAsia" w:hAnsi="Times New Roman" w:cs="Times New Roman"/>
          <w:noProof/>
        </w:rPr>
      </w:pPr>
    </w:p>
    <w:p w14:paraId="4D671030" w14:textId="77777777" w:rsidR="006C686E" w:rsidRDefault="00B17E8C">
      <w:pPr>
        <w:pStyle w:val="P68B1DB1-Normal21"/>
        <w:spacing w:before="240" w:after="0" w:line="259" w:lineRule="auto"/>
        <w:ind w:left="851"/>
        <w:jc w:val="both"/>
        <w:outlineLvl w:val="3"/>
        <w:rPr>
          <w:noProof/>
        </w:rPr>
      </w:pPr>
      <w:r>
        <w:rPr>
          <w:noProof/>
        </w:rPr>
        <w:t>Investissement RP-C05-i12 - Mise à l'échelle: Agendas verts/Alliances pour l’innovation des entreprises (prêts) – Conclusion de contrats</w:t>
      </w:r>
    </w:p>
    <w:p w14:paraId="05E4CD1E" w14:textId="77777777" w:rsidR="006C686E" w:rsidRDefault="00B17E8C">
      <w:pPr>
        <w:pStyle w:val="P68B1DB1-Normal22"/>
        <w:spacing w:after="0"/>
        <w:jc w:val="both"/>
        <w:rPr>
          <w:rFonts w:cs="Times New Roman"/>
          <w:noProof/>
        </w:rPr>
      </w:pPr>
      <w:r>
        <w:rPr>
          <w:noProof/>
        </w:rPr>
        <w:t>L’objectif de cet investissement est d’accroître l’investissement RE-C05-i01.02, au titre du volet 5. La mise à l’échelle de la mesure augmentera le nombre de produits, de processus ou de services issus des programmes écologiques.</w:t>
      </w:r>
    </w:p>
    <w:p w14:paraId="359DBCE9" w14:textId="22AEFBB8" w:rsidR="006C686E" w:rsidRDefault="00B17E8C">
      <w:pPr>
        <w:pStyle w:val="P68B1DB1-Normal22"/>
        <w:spacing w:after="0"/>
        <w:jc w:val="both"/>
        <w:rPr>
          <w:rFonts w:eastAsiaTheme="minorEastAsia" w:cs="Times New Roman"/>
          <w:noProof/>
        </w:rPr>
      </w:pPr>
      <w:r>
        <w:rPr>
          <w:noProof/>
        </w:rPr>
        <w:t xml:space="preserve">La mise en œuvre de l’investissement est achevée au plus tard le 30 septembre 2023. </w:t>
      </w:r>
    </w:p>
    <w:p w14:paraId="7F64F548" w14:textId="77777777" w:rsidR="006C686E" w:rsidRDefault="006C686E">
      <w:pPr>
        <w:keepNext/>
        <w:spacing w:before="40" w:after="0" w:line="259" w:lineRule="auto"/>
        <w:ind w:left="130" w:firstLine="720"/>
        <w:jc w:val="both"/>
        <w:outlineLvl w:val="2"/>
        <w:rPr>
          <w:rFonts w:ascii="Times New Roman" w:eastAsiaTheme="minorEastAsia" w:hAnsi="Times New Roman" w:cs="Times New Roman"/>
          <w:b/>
          <w:bCs/>
          <w:noProof/>
          <w:u w:val="single"/>
        </w:rPr>
        <w:sectPr w:rsidR="006C686E" w:rsidSect="00C95E00">
          <w:headerReference w:type="even" r:id="rId112"/>
          <w:headerReference w:type="default" r:id="rId113"/>
          <w:footerReference w:type="even" r:id="rId114"/>
          <w:footerReference w:type="default" r:id="rId115"/>
          <w:headerReference w:type="first" r:id="rId116"/>
          <w:footerReference w:type="first" r:id="rId117"/>
          <w:pgSz w:w="11907" w:h="16839"/>
          <w:pgMar w:top="1134" w:right="1418" w:bottom="1134" w:left="1418" w:header="567" w:footer="567" w:gutter="0"/>
          <w:cols w:space="720"/>
          <w:docGrid w:linePitch="360"/>
        </w:sectPr>
      </w:pPr>
    </w:p>
    <w:p w14:paraId="5F22C5AA" w14:textId="77777777" w:rsidR="006C686E" w:rsidRDefault="00B17E8C">
      <w:pPr>
        <w:pStyle w:val="P68B1DB1-Normal18"/>
        <w:keepNext/>
        <w:spacing w:before="40" w:after="0" w:line="259" w:lineRule="auto"/>
        <w:ind w:left="130" w:firstLine="12"/>
        <w:jc w:val="center"/>
        <w:outlineLvl w:val="2"/>
        <w:rPr>
          <w:rFonts w:eastAsiaTheme="minorEastAsia" w:cs="Times New Roman"/>
          <w:bCs/>
          <w:noProof/>
        </w:rPr>
      </w:pPr>
      <w:r>
        <w:rPr>
          <w:noProof/>
        </w:rPr>
        <w:t xml:space="preserve">E.4. </w:t>
      </w:r>
      <w:r>
        <w:rPr>
          <w:noProof/>
        </w:rPr>
        <w:tab/>
        <w:t>Étapes, objectifs, indicateurs et calendrier du suivi et de la mise en œuvre du prêt</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1470"/>
        <w:gridCol w:w="1417"/>
        <w:gridCol w:w="851"/>
        <w:gridCol w:w="1339"/>
        <w:gridCol w:w="1071"/>
        <w:gridCol w:w="1026"/>
        <w:gridCol w:w="1418"/>
        <w:gridCol w:w="567"/>
        <w:gridCol w:w="816"/>
        <w:gridCol w:w="4116"/>
      </w:tblGrid>
      <w:tr w:rsidR="006C686E" w14:paraId="614DB865" w14:textId="77777777" w:rsidTr="007E2C4A">
        <w:trPr>
          <w:trHeight w:val="300"/>
          <w:tblHeader/>
          <w:jc w:val="center"/>
        </w:trPr>
        <w:tc>
          <w:tcPr>
            <w:tcW w:w="10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108944B"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47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12DAEE1"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AB6CF1F" w14:textId="670DE456" w:rsidR="006C686E" w:rsidRDefault="00B17E8C">
            <w:pPr>
              <w:pStyle w:val="P68B1DB1-Normal38"/>
              <w:spacing w:after="0" w:line="240" w:lineRule="auto"/>
              <w:jc w:val="center"/>
              <w:rPr>
                <w:rFonts w:eastAsia="Times New Roman"/>
                <w:b/>
                <w:bCs/>
                <w:noProof/>
              </w:rPr>
            </w:pPr>
            <w:r>
              <w:rPr>
                <w:b/>
                <w:noProof/>
              </w:rPr>
              <w:t>Étape/objectif</w:t>
            </w:r>
            <w:r>
              <w:rPr>
                <w:noProof/>
              </w:rPr>
              <w:t xml:space="preserve"> </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34A79C" w14:textId="77777777" w:rsidR="006C686E" w:rsidRDefault="00B17E8C">
            <w:pPr>
              <w:pStyle w:val="P68B1DB1-Normal24"/>
              <w:spacing w:after="0" w:line="240" w:lineRule="auto"/>
              <w:jc w:val="center"/>
              <w:rPr>
                <w:rFonts w:eastAsia="Times New Roman"/>
                <w:bCs/>
                <w:noProof/>
              </w:rPr>
            </w:pPr>
            <w:r>
              <w:rPr>
                <w:noProof/>
              </w:rPr>
              <w:t>Nom</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90EF338"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351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95ACBE"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383"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10E976"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411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D93833"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07B5E772" w14:textId="77777777" w:rsidTr="007E2C4A">
        <w:trPr>
          <w:trHeight w:val="600"/>
          <w:tblHeader/>
          <w:jc w:val="center"/>
        </w:trPr>
        <w:tc>
          <w:tcPr>
            <w:tcW w:w="1077" w:type="dxa"/>
            <w:vMerge/>
            <w:tcBorders>
              <w:top w:val="single" w:sz="4" w:space="0" w:color="auto"/>
              <w:left w:val="single" w:sz="4" w:space="0" w:color="auto"/>
              <w:bottom w:val="single" w:sz="4" w:space="0" w:color="auto"/>
              <w:right w:val="single" w:sz="4" w:space="0" w:color="auto"/>
            </w:tcBorders>
            <w:vAlign w:val="center"/>
            <w:hideMark/>
          </w:tcPr>
          <w:p w14:paraId="7DA7D98C" w14:textId="77777777" w:rsidR="006C686E" w:rsidRDefault="006C686E">
            <w:pPr>
              <w:spacing w:after="0" w:line="240" w:lineRule="auto"/>
              <w:rPr>
                <w:rFonts w:ascii="Times New Roman" w:eastAsia="Times New Roman" w:hAnsi="Times New Roman" w:cs="Times New Roman"/>
                <w:b/>
                <w:bCs/>
                <w:noProof/>
                <w:sz w:val="18"/>
                <w:szCs w:val="18"/>
              </w:rPr>
            </w:pPr>
          </w:p>
        </w:tc>
        <w:tc>
          <w:tcPr>
            <w:tcW w:w="1470" w:type="dxa"/>
            <w:vMerge/>
            <w:tcBorders>
              <w:top w:val="single" w:sz="4" w:space="0" w:color="auto"/>
              <w:left w:val="single" w:sz="4" w:space="0" w:color="auto"/>
              <w:bottom w:val="single" w:sz="4" w:space="0" w:color="auto"/>
              <w:right w:val="single" w:sz="4" w:space="0" w:color="auto"/>
            </w:tcBorders>
            <w:vAlign w:val="center"/>
            <w:hideMark/>
          </w:tcPr>
          <w:p w14:paraId="2B51CE6A" w14:textId="77777777" w:rsidR="006C686E" w:rsidRDefault="006C686E">
            <w:pPr>
              <w:spacing w:after="0" w:line="240" w:lineRule="auto"/>
              <w:rPr>
                <w:rFonts w:ascii="Times New Roman" w:eastAsia="Times New Roman" w:hAnsi="Times New Roman" w:cs="Times New Roman"/>
                <w:b/>
                <w:bCs/>
                <w:noProof/>
                <w:sz w:val="18"/>
                <w:szCs w:val="18"/>
              </w:rPr>
            </w:pPr>
          </w:p>
        </w:tc>
        <w:tc>
          <w:tcPr>
            <w:tcW w:w="1417" w:type="dxa"/>
            <w:vMerge/>
            <w:tcBorders>
              <w:top w:val="single" w:sz="4" w:space="0" w:color="auto"/>
              <w:left w:val="single" w:sz="4" w:space="0" w:color="auto"/>
              <w:bottom w:val="single" w:sz="4" w:space="0" w:color="auto"/>
              <w:right w:val="single" w:sz="4" w:space="0" w:color="auto"/>
            </w:tcBorders>
            <w:noWrap/>
            <w:vAlign w:val="center"/>
            <w:hideMark/>
          </w:tcPr>
          <w:p w14:paraId="7C688A67" w14:textId="77777777" w:rsidR="006C686E" w:rsidRDefault="006C686E">
            <w:pPr>
              <w:spacing w:after="0" w:line="240" w:lineRule="auto"/>
              <w:rPr>
                <w:rFonts w:ascii="Times New Roman" w:eastAsia="Times New Roman" w:hAnsi="Times New Roman" w:cs="Times New Roman"/>
                <w:b/>
                <w:bCs/>
                <w:noProof/>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1927FB6" w14:textId="77777777" w:rsidR="006C686E" w:rsidRDefault="006C686E">
            <w:pPr>
              <w:spacing w:after="0" w:line="240" w:lineRule="auto"/>
              <w:rPr>
                <w:rFonts w:ascii="Times New Roman" w:eastAsia="Times New Roman" w:hAnsi="Times New Roman" w:cs="Times New Roman"/>
                <w:b/>
                <w:bCs/>
                <w:noProof/>
                <w:sz w:val="18"/>
                <w:szCs w:val="18"/>
              </w:rPr>
            </w:pP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7C3A5157" w14:textId="77777777" w:rsidR="006C686E" w:rsidRDefault="006C686E">
            <w:pPr>
              <w:spacing w:after="0" w:line="240" w:lineRule="auto"/>
              <w:rPr>
                <w:rFonts w:ascii="Times New Roman" w:eastAsia="Times New Roman" w:hAnsi="Times New Roman" w:cs="Times New Roman"/>
                <w:b/>
                <w:bCs/>
                <w:noProof/>
                <w:sz w:val="18"/>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44F69D8" w14:textId="77777777" w:rsidR="006C686E" w:rsidRDefault="00B17E8C">
            <w:pPr>
              <w:pStyle w:val="P68B1DB1-Normal24"/>
              <w:spacing w:after="0" w:line="240" w:lineRule="auto"/>
              <w:jc w:val="center"/>
              <w:rPr>
                <w:rFonts w:eastAsia="Times New Roman"/>
                <w:bCs/>
                <w:noProof/>
              </w:rPr>
            </w:pPr>
            <w:r>
              <w:rPr>
                <w:noProof/>
              </w:rPr>
              <w:t>Unité de mesure</w:t>
            </w:r>
          </w:p>
        </w:tc>
        <w:tc>
          <w:tcPr>
            <w:tcW w:w="102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59C6B65"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141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CD0D90E" w14:textId="77777777" w:rsidR="006C686E" w:rsidRDefault="00B17E8C">
            <w:pPr>
              <w:pStyle w:val="P68B1DB1-Normal24"/>
              <w:spacing w:after="0" w:line="240" w:lineRule="auto"/>
              <w:jc w:val="center"/>
              <w:rPr>
                <w:rFonts w:eastAsia="Times New Roman"/>
                <w:bCs/>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323E659" w14:textId="77777777" w:rsidR="006C686E" w:rsidRDefault="00B17E8C">
            <w:pPr>
              <w:pStyle w:val="P68B1DB1-Normal24"/>
              <w:spacing w:after="0" w:line="240" w:lineRule="auto"/>
              <w:jc w:val="center"/>
              <w:rPr>
                <w:rFonts w:eastAsia="Times New Roman"/>
                <w:bCs/>
                <w:noProof/>
              </w:rPr>
            </w:pPr>
            <w:r>
              <w:rPr>
                <w:noProof/>
              </w:rPr>
              <w:t>Q</w:t>
            </w:r>
          </w:p>
        </w:tc>
        <w:tc>
          <w:tcPr>
            <w:tcW w:w="81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348AC57" w14:textId="77777777" w:rsidR="006C686E" w:rsidRDefault="00B17E8C">
            <w:pPr>
              <w:pStyle w:val="P68B1DB1-Normal24"/>
              <w:spacing w:after="0" w:line="240" w:lineRule="auto"/>
              <w:jc w:val="center"/>
              <w:rPr>
                <w:rFonts w:eastAsia="Times New Roman"/>
                <w:bCs/>
                <w:noProof/>
              </w:rPr>
            </w:pPr>
            <w:r>
              <w:rPr>
                <w:noProof/>
              </w:rPr>
              <w:t>Année</w:t>
            </w:r>
          </w:p>
        </w:tc>
        <w:tc>
          <w:tcPr>
            <w:tcW w:w="4116" w:type="dxa"/>
            <w:vMerge/>
            <w:tcBorders>
              <w:top w:val="single" w:sz="4" w:space="0" w:color="auto"/>
              <w:left w:val="single" w:sz="4" w:space="0" w:color="auto"/>
              <w:bottom w:val="single" w:sz="4" w:space="0" w:color="auto"/>
              <w:right w:val="single" w:sz="4" w:space="0" w:color="auto"/>
            </w:tcBorders>
            <w:vAlign w:val="center"/>
            <w:hideMark/>
          </w:tcPr>
          <w:p w14:paraId="06084E71"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4573EAE7" w14:textId="77777777" w:rsidTr="007E2C4A">
        <w:trPr>
          <w:trHeight w:val="509"/>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7CC233" w14:textId="77777777" w:rsidR="006C686E" w:rsidRDefault="00B17E8C">
            <w:pPr>
              <w:pStyle w:val="P68B1DB1-Normal25"/>
              <w:spacing w:after="0" w:line="240" w:lineRule="auto"/>
              <w:jc w:val="center"/>
              <w:rPr>
                <w:rFonts w:eastAsia="Times New Roman"/>
                <w:noProof/>
              </w:rPr>
            </w:pPr>
            <w:r>
              <w:rPr>
                <w:noProof/>
              </w:rPr>
              <w:t>5.23</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330ACD" w14:textId="77777777" w:rsidR="006C686E" w:rsidRDefault="00B17E8C">
            <w:pPr>
              <w:pStyle w:val="P68B1DB1-Normal26"/>
              <w:spacing w:after="0" w:line="240" w:lineRule="auto"/>
              <w:jc w:val="center"/>
              <w:rPr>
                <w:rFonts w:eastAsia="Times New Roman"/>
                <w:noProof/>
              </w:rPr>
            </w:pPr>
            <w:r>
              <w:rPr>
                <w:noProof/>
              </w:rPr>
              <w:t>RE-C05-r10</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322001"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02B5C8" w14:textId="77777777" w:rsidR="006C686E" w:rsidRDefault="00B17E8C">
            <w:pPr>
              <w:pStyle w:val="P68B1DB1-Normal26"/>
              <w:spacing w:after="0" w:line="240" w:lineRule="auto"/>
              <w:jc w:val="center"/>
              <w:rPr>
                <w:rFonts w:eastAsia="Times New Roman"/>
                <w:noProof/>
              </w:rPr>
            </w:pPr>
            <w:r>
              <w:rPr>
                <w:noProof/>
              </w:rPr>
              <w:t xml:space="preserve">Entrée en vigueur du règlement fixant les activités et les statuts de </w:t>
            </w:r>
            <w:r>
              <w:rPr>
                <w:i/>
                <w:noProof/>
              </w:rPr>
              <w:t>Banco Português de Fomento</w:t>
            </w:r>
            <w:r>
              <w:rPr>
                <w:noProof/>
              </w:rPr>
              <w:t xml:space="preserve">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049751" w14:textId="77777777" w:rsidR="006C686E" w:rsidRDefault="00B17E8C">
            <w:pPr>
              <w:pStyle w:val="P68B1DB1-Normal26"/>
              <w:spacing w:after="0" w:line="240" w:lineRule="auto"/>
              <w:jc w:val="center"/>
              <w:rPr>
                <w:rFonts w:eastAsia="Times New Roman"/>
                <w:noProof/>
              </w:rPr>
            </w:pPr>
            <w:r>
              <w:rPr>
                <w:noProof/>
              </w:rPr>
              <w:t>Entrée en vigueur du décret-loi no 63/2020 fixant les activités et les statuts de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2DDA36" w14:textId="77777777" w:rsidR="006C686E" w:rsidRDefault="00B17E8C">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193704" w14:textId="77777777" w:rsidR="006C686E" w:rsidRDefault="00B17E8C">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604F6C"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D3BA34" w14:textId="77777777" w:rsidR="006C686E" w:rsidRDefault="00B17E8C">
            <w:pPr>
              <w:pStyle w:val="P68B1DB1-Normal26"/>
              <w:spacing w:after="0" w:line="240" w:lineRule="auto"/>
              <w:jc w:val="center"/>
              <w:rPr>
                <w:rFonts w:eastAsia="Times New Roman"/>
                <w:noProof/>
              </w:rPr>
            </w:pPr>
            <w:r>
              <w:rPr>
                <w:noProof/>
              </w:rPr>
              <w:t>T4</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9B19CE" w14:textId="77777777" w:rsidR="006C686E" w:rsidRDefault="00B17E8C">
            <w:pPr>
              <w:pStyle w:val="P68B1DB1-Normal26"/>
              <w:spacing w:after="0" w:line="240" w:lineRule="auto"/>
              <w:jc w:val="center"/>
              <w:rPr>
                <w:rFonts w:eastAsia="Times New Roman"/>
                <w:noProof/>
              </w:rPr>
            </w:pPr>
            <w:r>
              <w:rPr>
                <w:noProof/>
              </w:rPr>
              <w:t>2020</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39E787" w14:textId="77777777" w:rsidR="006C686E" w:rsidRDefault="00B17E8C">
            <w:pPr>
              <w:pStyle w:val="P68B1DB1-Normal26"/>
              <w:spacing w:after="0" w:line="240" w:lineRule="auto"/>
              <w:rPr>
                <w:rFonts w:eastAsia="Times New Roman"/>
                <w:noProof/>
              </w:rPr>
            </w:pPr>
            <w:r>
              <w:rPr>
                <w:noProof/>
              </w:rPr>
              <w:t>Publication par le gouvernement de la République portugaise et entrée en vigueur du décret-loi no 63/2020, qui réglemente l’activité et le fonctionnement de BPF et approuve ses statuts.</w:t>
            </w:r>
          </w:p>
        </w:tc>
      </w:tr>
      <w:tr w:rsidR="006C686E" w14:paraId="7F40F48E" w14:textId="77777777" w:rsidTr="007E2C4A">
        <w:trPr>
          <w:trHeight w:val="122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0776FD" w14:textId="77777777" w:rsidR="006C686E" w:rsidRDefault="00B17E8C">
            <w:pPr>
              <w:pStyle w:val="P68B1DB1-Normal25"/>
              <w:spacing w:after="0" w:line="240" w:lineRule="auto"/>
              <w:jc w:val="center"/>
              <w:rPr>
                <w:rFonts w:eastAsia="Times New Roman"/>
                <w:noProof/>
              </w:rPr>
            </w:pPr>
            <w:r>
              <w:rPr>
                <w:noProof/>
              </w:rPr>
              <w:t>5.24</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6C7DEF" w14:textId="77777777" w:rsidR="006C686E" w:rsidRDefault="00B17E8C">
            <w:pPr>
              <w:pStyle w:val="P68B1DB1-Normal26"/>
              <w:spacing w:after="0" w:line="240" w:lineRule="auto"/>
              <w:jc w:val="center"/>
              <w:rPr>
                <w:rFonts w:eastAsia="Times New Roman"/>
                <w:noProof/>
              </w:rPr>
            </w:pPr>
            <w:r>
              <w:rPr>
                <w:noProof/>
              </w:rPr>
              <w:t>RE-C05-r13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28123E"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5094E3" w14:textId="77777777" w:rsidR="006C686E" w:rsidRDefault="00B17E8C">
            <w:pPr>
              <w:pStyle w:val="P68B1DB1-Normal26"/>
              <w:spacing w:after="0" w:line="240" w:lineRule="auto"/>
              <w:jc w:val="center"/>
              <w:rPr>
                <w:rFonts w:eastAsia="Times New Roman"/>
                <w:noProof/>
              </w:rPr>
            </w:pPr>
            <w:r>
              <w:rPr>
                <w:noProof/>
              </w:rPr>
              <w:t xml:space="preserve">Entrée en vigueur de la révision du cadre juridique applicable aux organismes de placement collectif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6CA36D" w14:textId="77777777" w:rsidR="006C686E" w:rsidRDefault="00B17E8C">
            <w:pPr>
              <w:pStyle w:val="P68B1DB1-Normal26"/>
              <w:spacing w:after="0" w:line="240" w:lineRule="auto"/>
              <w:jc w:val="center"/>
              <w:rPr>
                <w:rFonts w:eastAsia="Times New Roman"/>
                <w:noProof/>
              </w:rPr>
            </w:pPr>
            <w:r>
              <w:rPr>
                <w:noProof/>
              </w:rPr>
              <w:t xml:space="preserve">Entrée en vigueur de la révision du cadre juridique applicable aux organismes de placement collectif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C67A12" w14:textId="77777777" w:rsidR="006C686E" w:rsidRDefault="00B17E8C">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45C68D" w14:textId="77777777" w:rsidR="006C686E" w:rsidRDefault="00B17E8C">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DEEA0A"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C53ACD" w14:textId="77777777" w:rsidR="006C686E" w:rsidRDefault="00B17E8C">
            <w:pPr>
              <w:pStyle w:val="P68B1DB1-Normal26"/>
              <w:spacing w:after="0" w:line="240" w:lineRule="auto"/>
              <w:jc w:val="center"/>
              <w:rPr>
                <w:rFonts w:eastAsia="Times New Roman"/>
                <w:noProof/>
              </w:rPr>
            </w:pPr>
            <w:r>
              <w:rPr>
                <w:noProof/>
              </w:rPr>
              <w:t>T3</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6DBB05" w14:textId="77777777" w:rsidR="006C686E" w:rsidRDefault="00B17E8C">
            <w:pPr>
              <w:pStyle w:val="P68B1DB1-Normal26"/>
              <w:spacing w:after="0" w:line="240" w:lineRule="auto"/>
              <w:jc w:val="center"/>
              <w:rPr>
                <w:rFonts w:eastAsia="Times New Roman"/>
                <w:noProof/>
              </w:rPr>
            </w:pPr>
            <w:r>
              <w:rPr>
                <w:noProof/>
              </w:rPr>
              <w:t>2022</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AC5B8C" w14:textId="77777777" w:rsidR="006C686E" w:rsidRDefault="00B17E8C">
            <w:pPr>
              <w:pStyle w:val="P68B1DB1-Normal26"/>
              <w:spacing w:after="0" w:line="240" w:lineRule="auto"/>
              <w:rPr>
                <w:rFonts w:eastAsia="Times New Roman"/>
                <w:noProof/>
              </w:rPr>
            </w:pPr>
            <w:r>
              <w:rPr>
                <w:noProof/>
              </w:rPr>
              <w:t>Entrée en vigueur de la loi, à la suite de l'adoption de la loi par l'Assemblée de la République. Elle réexamine le cadre juridique des organismes de placement collectif en vue d'une simplification réglementaire et administrative.</w:t>
            </w:r>
          </w:p>
        </w:tc>
      </w:tr>
      <w:tr w:rsidR="006C686E" w14:paraId="380AD637" w14:textId="77777777" w:rsidTr="007E2C4A">
        <w:trPr>
          <w:trHeight w:val="10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F2DE99" w14:textId="77777777" w:rsidR="006C686E" w:rsidRDefault="00B17E8C">
            <w:pPr>
              <w:pStyle w:val="P68B1DB1-Normal25"/>
              <w:spacing w:after="0" w:line="240" w:lineRule="auto"/>
              <w:jc w:val="center"/>
              <w:rPr>
                <w:rFonts w:eastAsia="Times New Roman"/>
                <w:noProof/>
              </w:rPr>
            </w:pPr>
            <w:r>
              <w:rPr>
                <w:noProof/>
              </w:rPr>
              <w:t>5.25</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528CE3" w14:textId="77777777" w:rsidR="006C686E" w:rsidRDefault="00B17E8C">
            <w:pPr>
              <w:pStyle w:val="P68B1DB1-Normal26"/>
              <w:spacing w:after="0" w:line="240" w:lineRule="auto"/>
              <w:jc w:val="center"/>
              <w:rPr>
                <w:rFonts w:eastAsia="Times New Roman"/>
                <w:noProof/>
              </w:rPr>
            </w:pPr>
            <w:r>
              <w:rPr>
                <w:noProof/>
              </w:rPr>
              <w:t>RE-C05-r13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F3E3A9"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71CCB1" w14:textId="77777777" w:rsidR="006C686E" w:rsidRDefault="00B17E8C">
            <w:pPr>
              <w:pStyle w:val="P68B1DB1-Normal26"/>
              <w:spacing w:after="0" w:line="240" w:lineRule="auto"/>
              <w:jc w:val="center"/>
              <w:rPr>
                <w:rFonts w:eastAsia="Times New Roman"/>
                <w:noProof/>
              </w:rPr>
            </w:pPr>
            <w:r>
              <w:rPr>
                <w:noProof/>
              </w:rPr>
              <w:t>Entrée en vigueur de la révision de la loi sur le code des valeurs mobilières</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C69DB6" w14:textId="77777777" w:rsidR="006C686E" w:rsidRDefault="00B17E8C">
            <w:pPr>
              <w:pStyle w:val="P68B1DB1-Normal26"/>
              <w:spacing w:after="0" w:line="240" w:lineRule="auto"/>
              <w:jc w:val="center"/>
              <w:rPr>
                <w:rFonts w:eastAsia="Times New Roman"/>
                <w:noProof/>
              </w:rPr>
            </w:pPr>
            <w:r>
              <w:rPr>
                <w:noProof/>
              </w:rPr>
              <w:t xml:space="preserve">Entrée en vigueur de la révision de la loi sur le code des valeurs mobilières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9D08E3" w14:textId="67B67BF1" w:rsidR="006C686E" w:rsidRDefault="006C686E">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6AC808" w14:textId="77777777" w:rsidR="006C686E" w:rsidRDefault="00B17E8C">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888D09"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97599A" w14:textId="77777777" w:rsidR="006C686E" w:rsidRDefault="00B17E8C">
            <w:pPr>
              <w:pStyle w:val="P68B1DB1-Normal26"/>
              <w:spacing w:after="0" w:line="240" w:lineRule="auto"/>
              <w:jc w:val="center"/>
              <w:rPr>
                <w:rFonts w:eastAsia="Times New Roman"/>
                <w:noProof/>
              </w:rPr>
            </w:pPr>
            <w:r>
              <w:rPr>
                <w:noProof/>
              </w:rPr>
              <w:t>T3</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53FC9" w14:textId="77777777" w:rsidR="006C686E" w:rsidRDefault="00B17E8C">
            <w:pPr>
              <w:pStyle w:val="P68B1DB1-Normal26"/>
              <w:spacing w:after="0" w:line="240" w:lineRule="auto"/>
              <w:jc w:val="center"/>
              <w:rPr>
                <w:rFonts w:eastAsia="Times New Roman"/>
                <w:noProof/>
              </w:rPr>
            </w:pPr>
            <w:r>
              <w:rPr>
                <w:noProof/>
              </w:rPr>
              <w:t>2022</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7CEFDE" w14:textId="77777777" w:rsidR="006C686E" w:rsidRDefault="00B17E8C">
            <w:pPr>
              <w:pStyle w:val="P68B1DB1-Normal26"/>
              <w:spacing w:after="0" w:line="240" w:lineRule="auto"/>
              <w:jc w:val="both"/>
              <w:rPr>
                <w:rFonts w:eastAsia="Times New Roman"/>
                <w:noProof/>
              </w:rPr>
            </w:pPr>
            <w:r>
              <w:rPr>
                <w:noProof/>
              </w:rPr>
              <w:t>Entrée en vigueur de la loi, après l'adoption de la loi par l'Assemblée de la République. La révision du code des valeurs mobilières vise à simplifier la réglementation et l’administration afin d’aligner le cadre national sur le droit de l’Union en ce qui concerne l’objectif d’accroître la compétitivité du marché des capitaux portugais.</w:t>
            </w:r>
          </w:p>
        </w:tc>
      </w:tr>
      <w:tr w:rsidR="006C686E" w14:paraId="6D647E5C" w14:textId="77777777" w:rsidTr="007E2C4A">
        <w:trPr>
          <w:trHeight w:val="6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C8C929" w14:textId="77777777" w:rsidR="006C686E" w:rsidRDefault="00B17E8C">
            <w:pPr>
              <w:pStyle w:val="P68B1DB1-Normal25"/>
              <w:spacing w:after="0" w:line="240" w:lineRule="auto"/>
              <w:jc w:val="center"/>
              <w:rPr>
                <w:rFonts w:eastAsia="Times New Roman"/>
                <w:noProof/>
              </w:rPr>
            </w:pPr>
            <w:r>
              <w:rPr>
                <w:noProof/>
              </w:rPr>
              <w:t>5.26</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D9E0D1" w14:textId="77777777" w:rsidR="006C686E" w:rsidRDefault="00B17E8C">
            <w:pPr>
              <w:pStyle w:val="P68B1DB1-Normal26"/>
              <w:spacing w:after="0" w:line="240" w:lineRule="auto"/>
              <w:jc w:val="center"/>
              <w:rPr>
                <w:rFonts w:eastAsia="Times New Roman"/>
                <w:noProof/>
              </w:rPr>
            </w:pPr>
            <w:r>
              <w:rPr>
                <w:noProof/>
              </w:rPr>
              <w:t>RE-C05-r13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92913C"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DA8670" w14:textId="77777777" w:rsidR="006C686E" w:rsidRDefault="00B17E8C">
            <w:pPr>
              <w:pStyle w:val="P68B1DB1-Normal26"/>
              <w:spacing w:after="0" w:line="240" w:lineRule="auto"/>
              <w:jc w:val="center"/>
              <w:rPr>
                <w:rFonts w:eastAsia="Times New Roman"/>
                <w:noProof/>
              </w:rPr>
            </w:pPr>
            <w:r>
              <w:rPr>
                <w:noProof/>
              </w:rPr>
              <w:t xml:space="preserve">Développement des marchés des capitaux — Entrée en vigueur de la législation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642FC9" w14:textId="77777777" w:rsidR="006C686E" w:rsidRDefault="00B17E8C">
            <w:pPr>
              <w:pStyle w:val="P68B1DB1-Normal26"/>
              <w:spacing w:after="0" w:line="240" w:lineRule="auto"/>
              <w:jc w:val="center"/>
              <w:rPr>
                <w:rFonts w:eastAsia="Times New Roman"/>
                <w:noProof/>
              </w:rPr>
            </w:pPr>
            <w:r>
              <w:rPr>
                <w:noProof/>
              </w:rPr>
              <w:t>Entrée en vigueur de la législation relative au développement du marché des capitaux</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89F53C" w14:textId="77777777" w:rsidR="006C686E" w:rsidRDefault="00B17E8C">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91C6A7" w14:textId="77777777" w:rsidR="006C686E" w:rsidRDefault="00B17E8C">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7ED5EC"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E1B619" w14:textId="77777777" w:rsidR="006C686E" w:rsidRDefault="00B17E8C">
            <w:pPr>
              <w:pStyle w:val="P68B1DB1-Normal26"/>
              <w:spacing w:after="0" w:line="240" w:lineRule="auto"/>
              <w:jc w:val="center"/>
              <w:rPr>
                <w:rFonts w:eastAsia="Times New Roman"/>
                <w:noProof/>
              </w:rPr>
            </w:pPr>
            <w:r>
              <w:rPr>
                <w:noProof/>
              </w:rPr>
              <w:t>T4</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139E1F" w14:textId="77777777" w:rsidR="006C686E" w:rsidRDefault="00B17E8C">
            <w:pPr>
              <w:pStyle w:val="P68B1DB1-Normal26"/>
              <w:spacing w:after="0" w:line="240" w:lineRule="auto"/>
              <w:jc w:val="center"/>
              <w:rPr>
                <w:rFonts w:eastAsia="Times New Roman"/>
                <w:noProof/>
              </w:rPr>
            </w:pPr>
            <w:r>
              <w:rPr>
                <w:noProof/>
              </w:rPr>
              <w:t>2023</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5D836" w14:textId="77777777" w:rsidR="006C686E" w:rsidRDefault="00B17E8C">
            <w:pPr>
              <w:pStyle w:val="P68B1DB1-Normal26"/>
              <w:spacing w:after="0" w:line="240" w:lineRule="auto"/>
              <w:jc w:val="both"/>
              <w:rPr>
                <w:rFonts w:eastAsia="Times New Roman"/>
                <w:noProof/>
              </w:rPr>
            </w:pPr>
            <w:r>
              <w:rPr>
                <w:noProof/>
              </w:rPr>
              <w:t>Entrée en vigueur de la législation relative au développement du marché des capitaux. La législation se concentre sur la création d'incitations pour, entre autres, i) l'accès aux fonds propres par l'intermédiaire du marché des capitaux, ii) la création d'un environnement propice à la croissance des entreprises, iii) le financement par l'emprunt sur le marché, iv) la participation des investisseurs.</w:t>
            </w:r>
          </w:p>
        </w:tc>
      </w:tr>
      <w:tr w:rsidR="006C686E" w14:paraId="46CAE670" w14:textId="77777777" w:rsidTr="007E2C4A">
        <w:trPr>
          <w:trHeight w:val="118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07B18" w14:textId="77777777" w:rsidR="006C686E" w:rsidRDefault="00B17E8C">
            <w:pPr>
              <w:pStyle w:val="P68B1DB1-Normal25"/>
              <w:spacing w:after="0" w:line="240" w:lineRule="auto"/>
              <w:jc w:val="center"/>
              <w:rPr>
                <w:rFonts w:eastAsia="Times New Roman"/>
                <w:noProof/>
              </w:rPr>
            </w:pPr>
            <w:r>
              <w:rPr>
                <w:noProof/>
              </w:rPr>
              <w:t>5.27</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8F2250" w14:textId="77777777" w:rsidR="006C686E" w:rsidRDefault="00B17E8C">
            <w:pPr>
              <w:pStyle w:val="P68B1DB1-Normal26"/>
              <w:spacing w:after="0" w:line="240" w:lineRule="auto"/>
              <w:jc w:val="center"/>
              <w:rPr>
                <w:rFonts w:eastAsia="Times New Roman"/>
                <w:noProof/>
              </w:rPr>
            </w:pPr>
            <w:r>
              <w:rPr>
                <w:noProof/>
              </w:rPr>
              <w:t>RE-C05-i06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23FB53"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6D9C0F" w14:textId="77777777" w:rsidR="006C686E" w:rsidRDefault="00B17E8C">
            <w:pPr>
              <w:pStyle w:val="P68B1DB1-Normal26"/>
              <w:spacing w:after="0" w:line="240" w:lineRule="auto"/>
              <w:jc w:val="center"/>
              <w:rPr>
                <w:rFonts w:eastAsia="Times New Roman"/>
                <w:noProof/>
              </w:rPr>
            </w:pPr>
            <w:r>
              <w:rPr>
                <w:noProof/>
              </w:rPr>
              <w:t xml:space="preserve">Entrée en vigueur d'un décret-loi réglementant la mesure de capitalisation de BPF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08C909" w14:textId="77777777" w:rsidR="006C686E" w:rsidRDefault="00B17E8C">
            <w:pPr>
              <w:pStyle w:val="P68B1DB1-Normal26"/>
              <w:spacing w:after="0" w:line="240" w:lineRule="auto"/>
              <w:jc w:val="center"/>
              <w:rPr>
                <w:rFonts w:eastAsia="Times New Roman"/>
                <w:noProof/>
              </w:rPr>
            </w:pPr>
            <w:r>
              <w:rPr>
                <w:noProof/>
              </w:rPr>
              <w:t>Entrée en vigueur d'un décret-loi réglementant la mesure de capitalisation de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153317" w14:textId="77777777" w:rsidR="006C686E" w:rsidRDefault="00B17E8C">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A203D5" w14:textId="6E164734" w:rsidR="006C686E" w:rsidRDefault="006C686E">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79F432"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99F8B4" w14:textId="77777777" w:rsidR="006C686E" w:rsidRDefault="00B17E8C">
            <w:pPr>
              <w:pStyle w:val="P68B1DB1-Normal26"/>
              <w:spacing w:after="0" w:line="240" w:lineRule="auto"/>
              <w:jc w:val="center"/>
              <w:rPr>
                <w:rFonts w:eastAsia="Times New Roman"/>
                <w:noProof/>
              </w:rPr>
            </w:pPr>
            <w:r>
              <w:rPr>
                <w:noProof/>
              </w:rPr>
              <w:t>T3</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E709BA" w14:textId="77777777" w:rsidR="006C686E" w:rsidRDefault="00B17E8C">
            <w:pPr>
              <w:pStyle w:val="P68B1DB1-Normal26"/>
              <w:spacing w:after="0" w:line="240" w:lineRule="auto"/>
              <w:jc w:val="center"/>
              <w:rPr>
                <w:rFonts w:eastAsia="Times New Roman"/>
                <w:noProof/>
              </w:rPr>
            </w:pPr>
            <w:r>
              <w:rPr>
                <w:noProof/>
              </w:rPr>
              <w:t>2021</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6CF39F" w14:textId="24BED421" w:rsidR="006C686E" w:rsidRDefault="00B17E8C">
            <w:pPr>
              <w:pStyle w:val="P68B1DB1-Normal26"/>
              <w:spacing w:after="0" w:line="240" w:lineRule="auto"/>
              <w:jc w:val="both"/>
              <w:rPr>
                <w:rFonts w:eastAsia="Times New Roman"/>
                <w:noProof/>
              </w:rPr>
            </w:pPr>
            <w:r>
              <w:rPr>
                <w:noProof/>
              </w:rPr>
              <w:t>Entrée en vigueur d’un décret-loi réglementant la mesure de capitalisation, établissant la nécessité d’établir une politique d’investissement définissant, entre autres, les critères d’éligibilité et de sélection des entreprises bénéficiaires.</w:t>
            </w:r>
          </w:p>
        </w:tc>
      </w:tr>
      <w:tr w:rsidR="006C686E" w14:paraId="12463B6F" w14:textId="77777777" w:rsidTr="007E2C4A">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F7420F" w14:textId="77777777" w:rsidR="006C686E" w:rsidRDefault="00B17E8C">
            <w:pPr>
              <w:pStyle w:val="P68B1DB1-Normal25"/>
              <w:spacing w:after="0" w:line="240" w:lineRule="auto"/>
              <w:jc w:val="center"/>
              <w:rPr>
                <w:rFonts w:eastAsia="Times New Roman"/>
                <w:bCs/>
                <w:noProof/>
              </w:rPr>
            </w:pPr>
            <w:r>
              <w:rPr>
                <w:noProof/>
              </w:rPr>
              <w:t>5.28</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E1E74" w14:textId="77777777" w:rsidR="006C686E" w:rsidRDefault="00B17E8C">
            <w:pPr>
              <w:pStyle w:val="P68B1DB1-Normal26"/>
              <w:spacing w:after="0" w:line="240" w:lineRule="auto"/>
              <w:jc w:val="center"/>
              <w:rPr>
                <w:rFonts w:eastAsia="Times New Roman"/>
                <w:noProof/>
              </w:rPr>
            </w:pPr>
            <w:r>
              <w:rPr>
                <w:noProof/>
              </w:rPr>
              <w:t>RE-C05-i06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D31C49"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E1A42" w14:textId="77777777" w:rsidR="006C686E" w:rsidRDefault="00B17E8C">
            <w:pPr>
              <w:pStyle w:val="P68B1DB1-Normal26"/>
              <w:spacing w:after="0" w:line="240" w:lineRule="auto"/>
              <w:jc w:val="center"/>
              <w:rPr>
                <w:rFonts w:eastAsia="Times New Roman"/>
                <w:noProof/>
              </w:rPr>
            </w:pPr>
            <w:r>
              <w:rPr>
                <w:noProof/>
              </w:rPr>
              <w:t>Développement de la politique d'investissement (capitalisation) et adoption par le gestionnaire du véhicule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122E2A" w14:textId="77777777" w:rsidR="006C686E" w:rsidRDefault="00B17E8C">
            <w:pPr>
              <w:pStyle w:val="P68B1DB1-Normal26"/>
              <w:spacing w:after="0" w:line="240" w:lineRule="auto"/>
              <w:jc w:val="center"/>
              <w:rPr>
                <w:rFonts w:eastAsia="Times New Roman"/>
                <w:noProof/>
              </w:rPr>
            </w:pPr>
            <w:r>
              <w:rPr>
                <w:noProof/>
              </w:rPr>
              <w:t>Politique d'investissement (capitalisation), développée par BPF et adoptée par le véhicule mis en place pour gérer les participations résultant des instruments financiers mis en œuvre</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81F971" w14:textId="77777777" w:rsidR="006C686E" w:rsidRDefault="00B17E8C">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4B4B60" w14:textId="77777777" w:rsidR="006C686E" w:rsidRDefault="00B17E8C">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978E3A"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37ED35" w14:textId="77777777" w:rsidR="006C686E" w:rsidRDefault="00B17E8C">
            <w:pPr>
              <w:pStyle w:val="P68B1DB1-Normal26"/>
              <w:spacing w:after="0" w:line="240" w:lineRule="auto"/>
              <w:jc w:val="center"/>
              <w:rPr>
                <w:rFonts w:eastAsia="Times New Roman"/>
                <w:noProof/>
              </w:rPr>
            </w:pPr>
            <w:r>
              <w:rPr>
                <w:noProof/>
              </w:rPr>
              <w:t>T3</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93F58D" w14:textId="77777777" w:rsidR="006C686E" w:rsidRDefault="00B17E8C">
            <w:pPr>
              <w:pStyle w:val="P68B1DB1-Normal26"/>
              <w:spacing w:after="0" w:line="240" w:lineRule="auto"/>
              <w:jc w:val="center"/>
              <w:rPr>
                <w:rFonts w:eastAsia="Times New Roman"/>
                <w:noProof/>
              </w:rPr>
            </w:pPr>
            <w:r>
              <w:rPr>
                <w:noProof/>
              </w:rPr>
              <w:t>2021</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400043" w14:textId="2DFB8368" w:rsidR="006C686E" w:rsidRDefault="00B17E8C">
            <w:pPr>
              <w:pStyle w:val="P68B1DB1-Normal26"/>
              <w:spacing w:after="0" w:line="240" w:lineRule="auto"/>
              <w:jc w:val="both"/>
              <w:rPr>
                <w:rFonts w:eastAsia="Times New Roman"/>
                <w:noProof/>
              </w:rPr>
            </w:pPr>
            <w:r>
              <w:rPr>
                <w:noProof/>
              </w:rPr>
              <w:t xml:space="preserve">Développement de la politique d'investissement (capitalisation) et adoption par le gestionnaire du véhicule. La politique d’investissement est élaborée et adoptée par BPF en tant qu’entité gestionnaire du véhicule mis en place pour gérer les participations résultant des instruments financiers mis en œuvre pour soutenir les entreprises sélectionnées en tant que bénéficiaires et détaille les critères de sélection/d’éligibilité des entreprises bénéficiant d’un soutien, en veillant au respect des exigences climatiques et environnementales de la FRR, y compris le respect des orientations techniques DNSH (2021/C58/01) des actifs/activités et/ou entreprises bénéficiant d’un soutien et en précisant les objectifs d’investissement et les rendements ciblés. </w:t>
            </w:r>
          </w:p>
          <w:p w14:paraId="1856BC3F" w14:textId="77777777" w:rsidR="006C686E" w:rsidRDefault="00B17E8C">
            <w:pPr>
              <w:pStyle w:val="P68B1DB1-Normal26"/>
              <w:spacing w:after="0" w:line="240" w:lineRule="auto"/>
              <w:jc w:val="both"/>
              <w:rPr>
                <w:rFonts w:eastAsia="Times New Roman"/>
                <w:noProof/>
              </w:rPr>
            </w:pPr>
            <w:r>
              <w:rPr>
                <w:noProof/>
              </w:rPr>
              <w:t xml:space="preserve">Aux fins du respect des orientations techniques DNSH (2021/C58/01) des entreprises bénéficiant d’un soutien, la politique d’investissement exige: </w:t>
            </w:r>
          </w:p>
          <w:p w14:paraId="52806F50" w14:textId="77777777" w:rsidR="006C686E" w:rsidRDefault="00B17E8C">
            <w:pPr>
              <w:pStyle w:val="P68B1DB1-Normal26"/>
              <w:spacing w:after="0" w:line="240" w:lineRule="auto"/>
              <w:jc w:val="both"/>
              <w:rPr>
                <w:rFonts w:eastAsia="Times New Roman"/>
                <w:noProof/>
              </w:rPr>
            </w:pPr>
            <w:r>
              <w:rPr>
                <w:noProof/>
              </w:rPr>
              <w:t>- l'utilisation de l'évaluation de la durabilité</w:t>
            </w:r>
          </w:p>
          <w:p w14:paraId="243B3345" w14:textId="77777777" w:rsidR="006C686E" w:rsidRDefault="00B17E8C">
            <w:pPr>
              <w:pStyle w:val="P68B1DB1-Normal26"/>
              <w:spacing w:after="0" w:line="240" w:lineRule="auto"/>
              <w:jc w:val="both"/>
              <w:rPr>
                <w:rFonts w:eastAsia="Times New Roman"/>
                <w:noProof/>
              </w:rPr>
            </w:pPr>
            <w:bookmarkStart w:id="13" w:name="_Hlk214266543"/>
            <w:r>
              <w:rPr>
                <w:noProof/>
              </w:rPr>
              <w:t xml:space="preserve">- une liste d'exclusion comprenant les éléments suivants: </w:t>
            </w:r>
          </w:p>
          <w:bookmarkEnd w:id="13"/>
          <w:p w14:paraId="0E2AA46D" w14:textId="77777777" w:rsidR="006C686E" w:rsidRDefault="00B17E8C">
            <w:pPr>
              <w:pStyle w:val="P68B1DB1-Normal26"/>
              <w:spacing w:after="0" w:line="240" w:lineRule="auto"/>
              <w:jc w:val="both"/>
              <w:rPr>
                <w:rFonts w:eastAsia="Times New Roman"/>
                <w:noProof/>
              </w:rPr>
            </w:pPr>
            <w:r>
              <w:rPr>
                <w:noProof/>
              </w:rPr>
              <w:t>Investissements liés aux combustibles fossiles (y compris l’utilisation en aval), à l’exception de la chaleur et de l’électricité à base de gaz naturel conformes aux conditions énoncées à l’annexe III des orientations DNSH</w:t>
            </w:r>
          </w:p>
          <w:p w14:paraId="14F2B295" w14:textId="77777777" w:rsidR="006C686E" w:rsidRDefault="00B17E8C">
            <w:pPr>
              <w:pStyle w:val="P68B1DB1-Normal26"/>
              <w:spacing w:after="0" w:line="240" w:lineRule="auto"/>
              <w:jc w:val="both"/>
              <w:rPr>
                <w:rFonts w:eastAsia="Times New Roman"/>
                <w:noProof/>
              </w:rPr>
            </w:pPr>
            <w:r>
              <w:rPr>
                <w:noProof/>
              </w:rPr>
              <w:t>Activités relevant du SEQE dont les émissions projetées d’équivalent CO2 ne sont pas inférieures aux référentiels pertinents établis pour l’allocation de quotas à titre gratuit.</w:t>
            </w:r>
          </w:p>
          <w:p w14:paraId="3DB9AE75" w14:textId="77777777" w:rsidR="006C686E" w:rsidRDefault="00B17E8C">
            <w:pPr>
              <w:pStyle w:val="P68B1DB1-Normal26"/>
              <w:spacing w:after="0" w:line="240" w:lineRule="auto"/>
              <w:jc w:val="both"/>
              <w:rPr>
                <w:rFonts w:eastAsia="Times New Roman"/>
                <w:noProof/>
              </w:rPr>
            </w:pPr>
            <w:r>
              <w:rPr>
                <w:noProof/>
              </w:rPr>
              <w:t>Investissements dans des installations d'élimination des déchets en décharge, dans des installations de traitement biologique mécanique (MBT) et dans des incinérateurs pour le traitement des déchets. La liste d’exclusion ne s’applique pas aux installations exclusivement consacrées au traitement des déchets dangereux non recyclables; aux installations existantes, lorsque l’investissement vise à accroître l’efficacité énergétique, à capter les gaz d’échappement pour le stockage ou l’utilisation ou à récupérer des matériaux à partir de cendres d’incinération, à condition que ces investissements n’entraînent pas une augmentation de la capacité de traitement des déchets de l’installation ou une prolongation de la durée de vie de l’installation.</w:t>
            </w:r>
          </w:p>
          <w:p w14:paraId="17669E6A" w14:textId="77777777" w:rsidR="006C686E" w:rsidRDefault="00B17E8C">
            <w:pPr>
              <w:pStyle w:val="P68B1DB1-Normal26"/>
              <w:spacing w:after="0" w:line="240" w:lineRule="auto"/>
              <w:jc w:val="both"/>
              <w:rPr>
                <w:rFonts w:eastAsia="Times New Roman"/>
                <w:noProof/>
              </w:rPr>
            </w:pPr>
            <w:r>
              <w:rPr>
                <w:noProof/>
              </w:rPr>
              <w:t>Activités dans lesquelles l'élimination à long terme des déchets peut causer des dommages à long terme à l'environnement (par exemple, déchets nucléaires).</w:t>
            </w:r>
          </w:p>
          <w:p w14:paraId="56D80F2A" w14:textId="77777777" w:rsidR="006C686E" w:rsidRDefault="00B17E8C">
            <w:pPr>
              <w:pStyle w:val="P68B1DB1-Normal26"/>
              <w:spacing w:after="0" w:line="240" w:lineRule="auto"/>
              <w:jc w:val="both"/>
              <w:rPr>
                <w:rFonts w:eastAsia="Times New Roman"/>
                <w:noProof/>
              </w:rPr>
            </w:pPr>
            <w:r>
              <w:rPr>
                <w:noProof/>
              </w:rPr>
              <w:t>R&amp;D&amp;I dédié aux actifs et activités ci-dessus.</w:t>
            </w:r>
          </w:p>
          <w:p w14:paraId="39CAA31D" w14:textId="77777777" w:rsidR="006C686E" w:rsidRDefault="00B17E8C">
            <w:pPr>
              <w:pStyle w:val="P68B1DB1-Normal26"/>
              <w:spacing w:after="0" w:line="240" w:lineRule="auto"/>
              <w:jc w:val="both"/>
              <w:rPr>
                <w:rFonts w:eastAsia="Times New Roman"/>
                <w:noProof/>
              </w:rPr>
            </w:pPr>
            <w:r>
              <w:rPr>
                <w:noProof/>
              </w:rPr>
              <w:t>- des contrôles obligatoires de conformité juridique par l’intermédiaire de BPF et/ou de ses intermédiaires financiers sélectionnés pour les transactions exemptées de l’évaluation de la durabilité;</w:t>
            </w:r>
          </w:p>
          <w:p w14:paraId="2DE055BF" w14:textId="24ED0426" w:rsidR="006C686E" w:rsidRDefault="00B17E8C">
            <w:pPr>
              <w:pStyle w:val="P68B1DB1-Normal26"/>
              <w:spacing w:after="0" w:line="240" w:lineRule="auto"/>
              <w:jc w:val="both"/>
              <w:rPr>
                <w:rFonts w:eastAsia="Times New Roman"/>
                <w:noProof/>
              </w:rPr>
            </w:pPr>
            <w:r>
              <w:rPr>
                <w:noProof/>
              </w:rPr>
              <w:t>les bénéficiaires d’un soutien en fonds propres qui tirent au moins 50 % de leurs recettes des activités énumérées dans la liste d’exclusion afin d’adopter et de publier des plans de transition écologique.</w:t>
            </w:r>
          </w:p>
        </w:tc>
      </w:tr>
      <w:tr w:rsidR="006C686E" w14:paraId="1C74458E" w14:textId="77777777" w:rsidTr="007E2C4A">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B62C9E6" w14:textId="77777777" w:rsidR="006C686E" w:rsidRDefault="00B17E8C">
            <w:pPr>
              <w:pStyle w:val="P68B1DB1-Normal25"/>
              <w:spacing w:after="0" w:line="240" w:lineRule="auto"/>
              <w:jc w:val="center"/>
              <w:rPr>
                <w:rFonts w:eastAsia="Times New Roman"/>
                <w:bCs/>
                <w:noProof/>
              </w:rPr>
            </w:pPr>
            <w:r>
              <w:rPr>
                <w:noProof/>
              </w:rPr>
              <w:t>5.43</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tcPr>
          <w:p w14:paraId="07E8355B" w14:textId="77777777" w:rsidR="006C686E" w:rsidRDefault="00B17E8C">
            <w:pPr>
              <w:pStyle w:val="P68B1DB1-Normal26"/>
              <w:spacing w:after="0" w:line="240" w:lineRule="auto"/>
              <w:jc w:val="center"/>
              <w:rPr>
                <w:rFonts w:eastAsia="Times New Roman"/>
                <w:noProof/>
              </w:rPr>
            </w:pPr>
            <w:r>
              <w:rPr>
                <w:noProof/>
              </w:rPr>
              <w:t>RE-C05-i06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2538B65" w14:textId="77777777" w:rsidR="006C686E" w:rsidRDefault="00B17E8C">
            <w:pPr>
              <w:pStyle w:val="P68B1DB1-Normal26"/>
              <w:spacing w:after="0" w:line="240" w:lineRule="auto"/>
              <w:jc w:val="center"/>
              <w:rPr>
                <w:rFonts w:eastAsia="Times New Roman"/>
                <w:noProof/>
              </w:rPr>
            </w:pPr>
            <w:r>
              <w:rPr>
                <w:noProof/>
              </w:rPr>
              <w:t>T</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A178965" w14:textId="128A11C5"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Livraison par l’instrument de capitalisation d’un montant total de</w:t>
            </w:r>
            <w:r>
              <w:rPr>
                <w:rFonts w:ascii="Times New Roman" w:eastAsia="Calibri" w:hAnsi="Times New Roman" w:cs="Times New Roman"/>
                <w:noProof/>
                <w:kern w:val="0"/>
                <w14:ligatures w14:val="none"/>
              </w:rPr>
              <w:t> </w:t>
            </w:r>
            <w:r>
              <w:rPr>
                <w:rFonts w:ascii="Times New Roman" w:hAnsi="Times New Roman" w:cs="Times New Roman"/>
                <w:noProof/>
              </w:rPr>
              <w:t>650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 à des sociétés non financières établies et/ou opérant au Portugal, sous la forme d’un soutien sous forme de fonds propres et de quasi-fonds propres, conformément à sa politique d’investissement</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43FEAA27" w14:textId="77777777" w:rsidR="006C686E" w:rsidRDefault="00B17E8C">
            <w:pPr>
              <w:pStyle w:val="P68B1DB1-Normal26"/>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1BD2786E" w14:textId="55D87254" w:rsidR="006C686E" w:rsidRDefault="00B17E8C">
            <w:pPr>
              <w:pStyle w:val="P68B1DB1-Normal26"/>
              <w:spacing w:after="0" w:line="240" w:lineRule="auto"/>
              <w:jc w:val="center"/>
              <w:rPr>
                <w:rFonts w:eastAsia="Times New Roman"/>
                <w:noProof/>
              </w:rPr>
            </w:pPr>
            <w:r>
              <w:rPr>
                <w:noProof/>
              </w:rPr>
              <w:t>EUR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462DAC4" w14:textId="77777777" w:rsidR="006C686E" w:rsidRDefault="00B17E8C">
            <w:pPr>
              <w:pStyle w:val="P68B1DB1-Normal26"/>
              <w:spacing w:after="0" w:line="240" w:lineRule="auto"/>
              <w:jc w:val="center"/>
              <w:rPr>
                <w:rFonts w:eastAsia="Times New Roman"/>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F6F83FF" w14:textId="77777777"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44278B9A" w14:textId="77777777" w:rsidR="006C686E" w:rsidRDefault="00B17E8C">
            <w:pPr>
              <w:pStyle w:val="P68B1DB1-Normal26"/>
              <w:spacing w:after="0" w:line="240" w:lineRule="auto"/>
              <w:jc w:val="center"/>
              <w:rPr>
                <w:rFonts w:eastAsia="Times New Roman"/>
                <w:noProof/>
              </w:rPr>
            </w:pPr>
            <w:r>
              <w:rPr>
                <w:noProof/>
              </w:rPr>
              <w:t>T4</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tcPr>
          <w:p w14:paraId="3C23751A" w14:textId="77777777" w:rsidR="006C686E" w:rsidRDefault="00B17E8C">
            <w:pPr>
              <w:pStyle w:val="P68B1DB1-Normal26"/>
              <w:spacing w:after="0" w:line="240" w:lineRule="auto"/>
              <w:jc w:val="center"/>
              <w:rPr>
                <w:rFonts w:eastAsia="Times New Roman"/>
                <w:noProof/>
              </w:rPr>
            </w:pPr>
            <w:r>
              <w:rPr>
                <w:noProof/>
              </w:rPr>
              <w:t>2023</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tcPr>
          <w:p w14:paraId="37503E56" w14:textId="7E63A093" w:rsidR="006C686E" w:rsidRDefault="00B17E8C">
            <w:pPr>
              <w:pStyle w:val="P68B1DB1-Normal27"/>
              <w:spacing w:after="0" w:line="240" w:lineRule="auto"/>
              <w:rPr>
                <w:rFonts w:ascii="Times New Roman" w:eastAsia="Times New Roman" w:hAnsi="Times New Roman" w:cs="Times New Roman"/>
                <w:noProof/>
              </w:rPr>
            </w:pPr>
            <w:r>
              <w:rPr>
                <w:rFonts w:ascii="Times New Roman" w:hAnsi="Times New Roman" w:cs="Times New Roman"/>
                <w:noProof/>
              </w:rPr>
              <w:t>Livraison d’un montant total de</w:t>
            </w:r>
            <w:r>
              <w:rPr>
                <w:rFonts w:ascii="Times New Roman" w:eastAsia="Calibri" w:hAnsi="Times New Roman" w:cs="Times New Roman"/>
                <w:noProof/>
                <w:kern w:val="0"/>
                <w14:ligatures w14:val="none"/>
              </w:rPr>
              <w:t> </w:t>
            </w:r>
            <w:r>
              <w:rPr>
                <w:rFonts w:ascii="Times New Roman" w:hAnsi="Times New Roman" w:cs="Times New Roman"/>
                <w:noProof/>
              </w:rPr>
              <w:t>650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 xml:space="preserve">000 EUR aux sociétés non financières établies et/ou opérant au Portugal dans le cadre d’un soutien sous forme de fonds propres et de quasi-fonds propres, conformément à la politique d’investissement définie précédemment par BPF, y compris les montants versés aux sociétés non financières sous la forme d’investissements directs et ceux alloués aux intermédiaires financiers sous la forme d’investissements indirects. </w:t>
            </w:r>
          </w:p>
        </w:tc>
      </w:tr>
      <w:tr w:rsidR="006C686E" w14:paraId="35539F08" w14:textId="77777777" w:rsidTr="007E2C4A">
        <w:trPr>
          <w:trHeight w:val="19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9D2A09" w14:textId="77777777" w:rsidR="006C686E" w:rsidRDefault="00B17E8C">
            <w:pPr>
              <w:pStyle w:val="P68B1DB1-Normal25"/>
              <w:spacing w:after="0" w:line="240" w:lineRule="auto"/>
              <w:jc w:val="center"/>
              <w:rPr>
                <w:rFonts w:eastAsia="Times New Roman"/>
                <w:bCs/>
                <w:noProof/>
              </w:rPr>
            </w:pPr>
            <w:r>
              <w:rPr>
                <w:noProof/>
              </w:rPr>
              <w:t>5.29</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625FC1" w14:textId="77777777" w:rsidR="006C686E" w:rsidRDefault="00B17E8C">
            <w:pPr>
              <w:pStyle w:val="P68B1DB1-Normal26"/>
              <w:spacing w:after="0" w:line="240" w:lineRule="auto"/>
              <w:jc w:val="center"/>
              <w:rPr>
                <w:rFonts w:eastAsia="Times New Roman"/>
                <w:noProof/>
              </w:rPr>
            </w:pPr>
            <w:r>
              <w:rPr>
                <w:noProof/>
              </w:rPr>
              <w:t>RE-C05-i06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0049B3" w14:textId="77777777" w:rsidR="006C686E" w:rsidRDefault="00B17E8C">
            <w:pPr>
              <w:pStyle w:val="P68B1DB1-Normal26"/>
              <w:spacing w:after="0" w:line="240" w:lineRule="auto"/>
              <w:jc w:val="center"/>
              <w:rPr>
                <w:rFonts w:eastAsia="Times New Roman"/>
                <w:noProof/>
              </w:rPr>
            </w:pPr>
            <w:r>
              <w:rPr>
                <w:noProof/>
              </w:rPr>
              <w:t>T</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184904" w14:textId="3A998A9D" w:rsidR="006C686E" w:rsidRDefault="00B17E8C">
            <w:pPr>
              <w:pStyle w:val="P68B1DB1-Normal26"/>
              <w:spacing w:after="0" w:line="240" w:lineRule="auto"/>
              <w:jc w:val="center"/>
              <w:rPr>
                <w:rFonts w:eastAsia="Times New Roman"/>
                <w:noProof/>
              </w:rPr>
            </w:pPr>
            <w:r>
              <w:rPr>
                <w:noProof/>
              </w:rPr>
              <w:t>Livraison par l’instrument de capitalisation d’un montant total de 1 050 653 000 EUR à des sociétés non financières établies et/ou opérant au Portugal dans le cadre d’un soutien sous forme de fonds propres et de quasi-fonds propres</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B61B5B" w14:textId="77777777" w:rsidR="006C686E" w:rsidRDefault="00B17E8C">
            <w:pPr>
              <w:pStyle w:val="P68B1DB1-Normal26"/>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446A64" w14:textId="77777777" w:rsidR="006C686E" w:rsidRDefault="00B17E8C">
            <w:pPr>
              <w:pStyle w:val="P68B1DB1-Normal26"/>
              <w:spacing w:after="0" w:line="240" w:lineRule="auto"/>
              <w:jc w:val="center"/>
              <w:rPr>
                <w:rFonts w:eastAsia="Times New Roman"/>
                <w:noProof/>
              </w:rPr>
            </w:pPr>
            <w:r>
              <w:rPr>
                <w:noProof/>
              </w:rPr>
              <w:t xml:space="preserve">EUR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B27398" w14:textId="77777777"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094BF5" w14:textId="2E5FDC37" w:rsidR="006C686E" w:rsidRDefault="00B17E8C">
            <w:pPr>
              <w:pStyle w:val="P68B1DB1-Normal26"/>
              <w:spacing w:after="0" w:line="240" w:lineRule="auto"/>
              <w:jc w:val="center"/>
              <w:rPr>
                <w:rFonts w:eastAsia="Times New Roman"/>
                <w:noProof/>
              </w:rPr>
            </w:pPr>
            <w:r>
              <w:rPr>
                <w:noProof/>
              </w:rPr>
              <w:t>1 050 653 000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8B3E99F" w14:textId="058D445D" w:rsidR="006C686E" w:rsidRDefault="00B17E8C">
            <w:pPr>
              <w:pStyle w:val="P68B1DB1-Normal26"/>
              <w:spacing w:after="0" w:line="240" w:lineRule="auto"/>
              <w:jc w:val="center"/>
              <w:rPr>
                <w:rFonts w:eastAsia="Times New Roman"/>
                <w:noProof/>
              </w:rPr>
            </w:pPr>
            <w:r>
              <w:rPr>
                <w:noProof/>
              </w:rPr>
              <w:t>T4</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1636BA" w14:textId="178454DE" w:rsidR="006C686E" w:rsidRDefault="00B17E8C">
            <w:pPr>
              <w:pStyle w:val="P68B1DB1-Normal26"/>
              <w:spacing w:after="0" w:line="240" w:lineRule="auto"/>
              <w:jc w:val="center"/>
              <w:rPr>
                <w:rFonts w:eastAsia="Times New Roman"/>
                <w:noProof/>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2E9D41" w14:textId="43955809" w:rsidR="006C686E" w:rsidRDefault="00B17E8C">
            <w:pPr>
              <w:pStyle w:val="P68B1DB1-Normal26"/>
              <w:spacing w:after="0" w:line="240" w:lineRule="auto"/>
              <w:jc w:val="both"/>
              <w:rPr>
                <w:noProof/>
              </w:rPr>
            </w:pPr>
            <w:r>
              <w:rPr>
                <w:noProof/>
              </w:rPr>
              <w:t xml:space="preserve">Virement d'un montant total de 1 050 653 000 EUR </w:t>
            </w:r>
            <w:r>
              <w:rPr>
                <w:noProof/>
              </w:rPr>
              <w:br/>
              <w:t>aux sociétés non financières établies ou opérant au Portugal sous forme de fonds propres et de quasi-fonds propres, conformément à la politique d’investissement définie précédemment.</w:t>
            </w:r>
          </w:p>
        </w:tc>
      </w:tr>
      <w:tr w:rsidR="006C686E" w14:paraId="2A9C59C3" w14:textId="77777777" w:rsidTr="007E2C4A">
        <w:trPr>
          <w:trHeight w:val="1484"/>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6408B645" w14:textId="77777777" w:rsidR="006C686E" w:rsidRDefault="00B17E8C">
            <w:pPr>
              <w:pStyle w:val="P68B1DB1-Normal25"/>
              <w:spacing w:after="0" w:line="240" w:lineRule="auto"/>
              <w:jc w:val="center"/>
              <w:rPr>
                <w:noProof/>
              </w:rPr>
            </w:pPr>
            <w:r>
              <w:rPr>
                <w:noProof/>
              </w:rPr>
              <w:t>5.48</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tcPr>
          <w:p w14:paraId="3D455008" w14:textId="77777777" w:rsidR="006C686E" w:rsidRDefault="00B17E8C">
            <w:pPr>
              <w:pStyle w:val="P68B1DB1-Normal26"/>
              <w:spacing w:after="0" w:line="240" w:lineRule="auto"/>
              <w:jc w:val="center"/>
              <w:rPr>
                <w:noProof/>
              </w:rPr>
            </w:pPr>
            <w:r>
              <w:rPr>
                <w:noProof/>
              </w:rPr>
              <w:t>RE-C05-i16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271C0A04" w14:textId="77777777" w:rsidR="006C686E" w:rsidRDefault="00B17E8C">
            <w:pPr>
              <w:pStyle w:val="P68B1DB1-Normal26"/>
              <w:spacing w:after="0" w:line="240" w:lineRule="auto"/>
              <w:jc w:val="center"/>
              <w:rPr>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79B8FD63" w14:textId="77777777" w:rsidR="006C686E" w:rsidRDefault="00B17E8C">
            <w:pPr>
              <w:pStyle w:val="P68B1DB1-Normal26"/>
              <w:spacing w:after="0" w:line="240" w:lineRule="auto"/>
              <w:jc w:val="center"/>
              <w:rPr>
                <w:noProof/>
              </w:rPr>
            </w:pPr>
            <w:r>
              <w:rPr>
                <w:noProof/>
              </w:rPr>
              <w:t>Signature de la convention de contribution entre le gouvernement du Portugal et la Commission européenne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48DDB92C" w14:textId="77777777" w:rsidR="006C686E" w:rsidRDefault="00B17E8C">
            <w:pPr>
              <w:pStyle w:val="P68B1DB1-Normal26"/>
              <w:spacing w:after="0" w:line="240" w:lineRule="auto"/>
              <w:jc w:val="center"/>
              <w:rPr>
                <w:noProof/>
              </w:rPr>
            </w:pPr>
            <w:r>
              <w:rPr>
                <w:noProof/>
              </w:rPr>
              <w:t>Signature de l'accord de contribution</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7D15B0B6" w14:textId="77777777" w:rsidR="006C686E" w:rsidRDefault="006C686E">
            <w:pPr>
              <w:spacing w:after="0" w:line="240" w:lineRule="auto"/>
              <w:jc w:val="center"/>
              <w:rPr>
                <w:rFonts w:ascii="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44292D41" w14:textId="77777777" w:rsidR="006C686E" w:rsidRDefault="006C686E">
            <w:pPr>
              <w:spacing w:after="0" w:line="240" w:lineRule="auto"/>
              <w:jc w:val="center"/>
              <w:rPr>
                <w:rFonts w:ascii="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7AB9E942" w14:textId="77777777" w:rsidR="006C686E" w:rsidRDefault="006C686E">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4936703A" w14:textId="77777777" w:rsidR="006C686E" w:rsidRDefault="00B17E8C">
            <w:pPr>
              <w:pStyle w:val="P68B1DB1-Normal26"/>
              <w:spacing w:after="0" w:line="240" w:lineRule="auto"/>
              <w:jc w:val="center"/>
              <w:rPr>
                <w:noProof/>
              </w:rPr>
            </w:pPr>
            <w:r>
              <w:rPr>
                <w:noProof/>
              </w:rPr>
              <w:t>T2</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tcPr>
          <w:p w14:paraId="487C4699" w14:textId="77777777" w:rsidR="006C686E" w:rsidRDefault="00B17E8C">
            <w:pPr>
              <w:pStyle w:val="P68B1DB1-Normal26"/>
              <w:spacing w:after="0" w:line="240" w:lineRule="auto"/>
              <w:jc w:val="center"/>
              <w:rPr>
                <w:noProof/>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tcPr>
          <w:p w14:paraId="62AD3A24" w14:textId="3F9BCFF5" w:rsidR="006C686E" w:rsidRDefault="00B17E8C">
            <w:pPr>
              <w:pStyle w:val="P68B1DB1-Normal27"/>
              <w:spacing w:after="0" w:line="240" w:lineRule="auto"/>
              <w:jc w:val="both"/>
              <w:rPr>
                <w:rFonts w:ascii="Times New Roman" w:hAnsi="Times New Roman" w:cs="Times New Roman"/>
                <w:noProof/>
              </w:rPr>
            </w:pPr>
            <w:r>
              <w:rPr>
                <w:rFonts w:ascii="Times New Roman" w:hAnsi="Times New Roman" w:cs="Times New Roman"/>
                <w:noProof/>
              </w:rPr>
              <w:t>Signature de la convention de contribution entre le gouvernement du Portugal et la Commission européenne pour un montant d’au moins</w:t>
            </w:r>
            <w:r>
              <w:rPr>
                <w:rFonts w:ascii="Times New Roman" w:eastAsia="Calibri" w:hAnsi="Times New Roman" w:cs="Times New Roman"/>
                <w:noProof/>
                <w:kern w:val="0"/>
                <w14:ligatures w14:val="none"/>
              </w:rPr>
              <w:t> </w:t>
            </w:r>
            <w:r>
              <w:rPr>
                <w:rFonts w:ascii="Times New Roman" w:hAnsi="Times New Roman" w:cs="Times New Roman"/>
                <w:noProof/>
              </w:rPr>
              <w:t>450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w:t>
            </w:r>
          </w:p>
        </w:tc>
      </w:tr>
      <w:tr w:rsidR="006C686E" w14:paraId="36A6A7D1" w14:textId="77777777" w:rsidTr="007E2C4A">
        <w:trPr>
          <w:trHeight w:val="1136"/>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4B2C49C8" w14:textId="77777777" w:rsidR="006C686E" w:rsidRDefault="00B17E8C">
            <w:pPr>
              <w:pStyle w:val="P68B1DB1-Normal25"/>
              <w:spacing w:after="0" w:line="240" w:lineRule="auto"/>
              <w:jc w:val="center"/>
              <w:rPr>
                <w:noProof/>
              </w:rPr>
            </w:pPr>
            <w:r>
              <w:rPr>
                <w:noProof/>
              </w:rPr>
              <w:t>5.49</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tcPr>
          <w:p w14:paraId="7D17637B" w14:textId="77777777" w:rsidR="006C686E" w:rsidRDefault="00B17E8C">
            <w:pPr>
              <w:pStyle w:val="P68B1DB1-Normal26"/>
              <w:spacing w:after="0" w:line="240" w:lineRule="auto"/>
              <w:jc w:val="center"/>
              <w:rPr>
                <w:noProof/>
              </w:rPr>
            </w:pPr>
            <w:r>
              <w:rPr>
                <w:noProof/>
              </w:rPr>
              <w:t>RE-C05-i16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550601F" w14:textId="77777777" w:rsidR="006C686E" w:rsidRDefault="00B17E8C">
            <w:pPr>
              <w:pStyle w:val="P68B1DB1-Normal26"/>
              <w:spacing w:after="0" w:line="240" w:lineRule="auto"/>
              <w:jc w:val="center"/>
              <w:rPr>
                <w:noProof/>
              </w:rPr>
            </w:pPr>
            <w:r>
              <w:rPr>
                <w:noProof/>
              </w:rPr>
              <w:t>T</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7784313E" w14:textId="77777777" w:rsidR="006C686E" w:rsidRDefault="00B17E8C">
            <w:pPr>
              <w:pStyle w:val="P68B1DB1-Normal26"/>
              <w:spacing w:after="0" w:line="240" w:lineRule="auto"/>
              <w:jc w:val="center"/>
              <w:rPr>
                <w:noProof/>
              </w:rPr>
            </w:pPr>
            <w:r>
              <w:rPr>
                <w:noProof/>
              </w:rPr>
              <w:t>Opérations de financement ou d’investissement approuvées par le comité d’investissement InvestEU.</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25620944" w14:textId="77777777" w:rsidR="006C686E" w:rsidRDefault="006C686E">
            <w:pPr>
              <w:spacing w:after="0" w:line="240" w:lineRule="auto"/>
              <w:jc w:val="center"/>
              <w:rPr>
                <w:rFonts w:ascii="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3D0A455A" w14:textId="77777777" w:rsidR="006C686E" w:rsidRDefault="00B17E8C">
            <w:pPr>
              <w:pStyle w:val="P68B1DB1-Normal26"/>
              <w:spacing w:after="0" w:line="240" w:lineRule="auto"/>
              <w:jc w:val="center"/>
              <w:rPr>
                <w:noProof/>
              </w:rPr>
            </w:pPr>
            <w:r>
              <w:rPr>
                <w:noProof/>
              </w:rPr>
              <w:t>Pourcentage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4E136AC1" w14:textId="77777777" w:rsidR="006C686E" w:rsidRDefault="00B17E8C">
            <w:pPr>
              <w:pStyle w:val="P68B1DB1-Normal26"/>
              <w:spacing w:after="0" w:line="240" w:lineRule="auto"/>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9F35EE1" w14:textId="77777777" w:rsidR="006C686E" w:rsidRDefault="00B17E8C">
            <w:pPr>
              <w:pStyle w:val="P68B1DB1-Normal26"/>
              <w:spacing w:after="0" w:line="240" w:lineRule="auto"/>
              <w:jc w:val="center"/>
              <w:rPr>
                <w:noProof/>
              </w:rPr>
            </w:pPr>
            <w:r>
              <w:rPr>
                <w:noProof/>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88BC5BD" w14:textId="77777777" w:rsidR="006C686E" w:rsidRDefault="00B17E8C">
            <w:pPr>
              <w:pStyle w:val="P68B1DB1-Normal26"/>
              <w:spacing w:after="0" w:line="240" w:lineRule="auto"/>
              <w:jc w:val="center"/>
              <w:rPr>
                <w:noProof/>
              </w:rPr>
            </w:pPr>
            <w:r>
              <w:rPr>
                <w:noProof/>
              </w:rPr>
              <w:t>T4</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tcPr>
          <w:p w14:paraId="552DC1FE" w14:textId="77777777" w:rsidR="006C686E" w:rsidRDefault="00B17E8C">
            <w:pPr>
              <w:pStyle w:val="P68B1DB1-Normal26"/>
              <w:spacing w:after="0" w:line="240" w:lineRule="auto"/>
              <w:jc w:val="center"/>
              <w:rPr>
                <w:noProof/>
              </w:rPr>
            </w:pPr>
            <w:r>
              <w:rPr>
                <w:noProof/>
              </w:rPr>
              <w:t>2025</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tcPr>
          <w:p w14:paraId="57782169" w14:textId="77777777" w:rsidR="006C686E" w:rsidRDefault="00B17E8C">
            <w:pPr>
              <w:pStyle w:val="P68B1DB1-Normal26"/>
              <w:spacing w:after="0" w:line="240" w:lineRule="auto"/>
              <w:jc w:val="both"/>
              <w:rPr>
                <w:noProof/>
              </w:rPr>
            </w:pPr>
            <w:r>
              <w:rPr>
                <w:noProof/>
              </w:rPr>
              <w:t>Les opérations de financement ou d’investissement représentant 100 % du montant total des ressources de la FRR allouées à l’instrument ont été approuvées par le comité d’investissement InvestEU.</w:t>
            </w:r>
          </w:p>
        </w:tc>
      </w:tr>
      <w:tr w:rsidR="006C686E" w14:paraId="1942D63E" w14:textId="77777777" w:rsidTr="007E2C4A">
        <w:trPr>
          <w:trHeight w:val="141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80BB44" w14:textId="77777777" w:rsidR="006C686E" w:rsidRDefault="00B17E8C">
            <w:pPr>
              <w:pStyle w:val="P68B1DB1-Normal25"/>
              <w:spacing w:after="0" w:line="240" w:lineRule="auto"/>
              <w:jc w:val="center"/>
              <w:rPr>
                <w:rFonts w:eastAsia="Times New Roman"/>
                <w:noProof/>
              </w:rPr>
            </w:pPr>
            <w:r>
              <w:rPr>
                <w:noProof/>
              </w:rPr>
              <w:t>5.30</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9CFE57" w14:textId="77777777" w:rsidR="006C686E" w:rsidRDefault="00B17E8C">
            <w:pPr>
              <w:pStyle w:val="P68B1DB1-Normal26"/>
              <w:spacing w:after="0" w:line="240" w:lineRule="auto"/>
              <w:jc w:val="center"/>
              <w:rPr>
                <w:rFonts w:eastAsia="Times New Roman"/>
                <w:noProof/>
              </w:rPr>
            </w:pPr>
            <w:r>
              <w:rPr>
                <w:noProof/>
              </w:rPr>
              <w:t>RE-C05-i06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D612E5"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9F9303" w14:textId="77777777" w:rsidR="006C686E" w:rsidRDefault="00B17E8C">
            <w:pPr>
              <w:pStyle w:val="P68B1DB1-Normal26"/>
              <w:spacing w:after="0" w:line="240" w:lineRule="auto"/>
              <w:jc w:val="center"/>
              <w:rPr>
                <w:rFonts w:eastAsia="Times New Roman"/>
                <w:noProof/>
              </w:rPr>
            </w:pPr>
            <w:r>
              <w:rPr>
                <w:noProof/>
              </w:rPr>
              <w:t>Notification à la Commission européenne de la réussite de l’évaluation des piliers pour le FBP</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D7C04B" w14:textId="77777777" w:rsidR="006C686E" w:rsidRDefault="00B17E8C">
            <w:pPr>
              <w:pStyle w:val="P68B1DB1-Normal26"/>
              <w:spacing w:after="0" w:line="240" w:lineRule="auto"/>
              <w:jc w:val="center"/>
              <w:rPr>
                <w:rFonts w:eastAsia="Times New Roman"/>
                <w:noProof/>
              </w:rPr>
            </w:pPr>
            <w:r>
              <w:rPr>
                <w:noProof/>
              </w:rPr>
              <w:t>Notification à la Commission européenne de la réussite de l’évaluation des piliers pour le FBP</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F8CDCC" w14:textId="77777777" w:rsidR="006C686E" w:rsidRDefault="00B17E8C">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FBC8B4" w14:textId="77777777" w:rsidR="006C686E" w:rsidRDefault="00B17E8C">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4F60B4"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3DC5E3" w14:textId="77777777" w:rsidR="006C686E" w:rsidRDefault="00B17E8C">
            <w:pPr>
              <w:pStyle w:val="P68B1DB1-Normal26"/>
              <w:spacing w:after="0" w:line="240" w:lineRule="auto"/>
              <w:jc w:val="center"/>
              <w:rPr>
                <w:rFonts w:eastAsia="Times New Roman"/>
                <w:noProof/>
              </w:rPr>
            </w:pPr>
            <w:r>
              <w:rPr>
                <w:noProof/>
              </w:rPr>
              <w:t>T1</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DD6FE7" w14:textId="77777777" w:rsidR="006C686E" w:rsidRDefault="00B17E8C">
            <w:pPr>
              <w:pStyle w:val="P68B1DB1-Normal26"/>
              <w:spacing w:after="0" w:line="240" w:lineRule="auto"/>
              <w:jc w:val="center"/>
              <w:rPr>
                <w:rFonts w:eastAsia="Times New Roman"/>
                <w:noProof/>
              </w:rPr>
            </w:pPr>
            <w:r>
              <w:rPr>
                <w:noProof/>
              </w:rPr>
              <w:t>2022</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1AD3F9" w14:textId="33C4F7B4" w:rsidR="006C686E" w:rsidRDefault="00B17E8C">
            <w:pPr>
              <w:pStyle w:val="P68B1DB1-Normal26"/>
              <w:spacing w:after="0" w:line="240" w:lineRule="auto"/>
              <w:rPr>
                <w:rFonts w:eastAsia="Times New Roman"/>
                <w:noProof/>
              </w:rPr>
            </w:pPr>
            <w:r>
              <w:rPr>
                <w:noProof/>
              </w:rPr>
              <w:t>Notification à la Commission européenne de la réussite de l’évaluation des piliers pour le FBP.</w:t>
            </w:r>
          </w:p>
        </w:tc>
      </w:tr>
      <w:tr w:rsidR="006C686E" w14:paraId="5766B261" w14:textId="77777777" w:rsidTr="007E2C4A">
        <w:trPr>
          <w:trHeight w:val="29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21D9BF" w14:textId="77777777" w:rsidR="006C686E" w:rsidRDefault="00B17E8C">
            <w:pPr>
              <w:pStyle w:val="P68B1DB1-Normal25"/>
              <w:spacing w:after="0" w:line="240" w:lineRule="auto"/>
              <w:jc w:val="center"/>
              <w:rPr>
                <w:rFonts w:eastAsia="Times New Roman"/>
                <w:noProof/>
              </w:rPr>
            </w:pPr>
            <w:r>
              <w:rPr>
                <w:noProof/>
              </w:rPr>
              <w:t>5.31</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AB4A55" w14:textId="77777777" w:rsidR="006C686E" w:rsidRDefault="00B17E8C">
            <w:pPr>
              <w:pStyle w:val="P68B1DB1-Normal26"/>
              <w:spacing w:after="0" w:line="240" w:lineRule="auto"/>
              <w:jc w:val="center"/>
              <w:rPr>
                <w:rFonts w:eastAsia="Times New Roman"/>
                <w:noProof/>
              </w:rPr>
            </w:pPr>
            <w:r>
              <w:rPr>
                <w:noProof/>
              </w:rPr>
              <w:t>RE-C05-i06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4F5F77"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0E4819" w14:textId="77777777" w:rsidR="006C686E" w:rsidRDefault="00B17E8C">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Transfert en capital de 250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 du gouvernement portugais à BPF et adoption de la politique d'investissement pour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F0C845" w14:textId="77777777" w:rsidR="006C686E" w:rsidRDefault="00B17E8C">
            <w:pPr>
              <w:pStyle w:val="P68B1DB1-Normal26"/>
              <w:spacing w:after="0" w:line="240" w:lineRule="auto"/>
              <w:jc w:val="center"/>
              <w:rPr>
                <w:rFonts w:eastAsia="Times New Roman"/>
                <w:noProof/>
              </w:rPr>
            </w:pPr>
            <w:r>
              <w:rPr>
                <w:noProof/>
              </w:rPr>
              <w:t>Augmentation de capital et développement d’une politique d’investissement pour le FBP afin de mettre en œuvre InvestEU, en établissant un ensemble de critères d’éligibilité pour garantir la réalisation des objectifs de la FRR</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3FA2BB" w14:textId="77777777" w:rsidR="006C686E" w:rsidRDefault="00B17E8C">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52CB75" w14:textId="77777777" w:rsidR="006C686E" w:rsidRDefault="00B17E8C">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541427"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961567" w14:textId="77777777" w:rsidR="006C686E" w:rsidRDefault="00B17E8C">
            <w:pPr>
              <w:pStyle w:val="P68B1DB1-Normal26"/>
              <w:spacing w:after="0" w:line="240" w:lineRule="auto"/>
              <w:jc w:val="center"/>
              <w:rPr>
                <w:rFonts w:eastAsia="Times New Roman"/>
                <w:noProof/>
              </w:rPr>
            </w:pPr>
            <w:r>
              <w:rPr>
                <w:noProof/>
              </w:rPr>
              <w:t>T1</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0BFE65D" w14:textId="77777777" w:rsidR="006C686E" w:rsidRDefault="00B17E8C">
            <w:pPr>
              <w:pStyle w:val="P68B1DB1-Normal26"/>
              <w:spacing w:after="0" w:line="240" w:lineRule="auto"/>
              <w:jc w:val="center"/>
              <w:rPr>
                <w:rFonts w:eastAsia="Times New Roman"/>
                <w:noProof/>
              </w:rPr>
            </w:pPr>
            <w:r>
              <w:rPr>
                <w:noProof/>
              </w:rPr>
              <w:t>2022</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F53E60" w14:textId="0FE1AB8E" w:rsidR="006C686E" w:rsidRDefault="00B17E8C">
            <w:pPr>
              <w:pStyle w:val="P68B1DB1-Normal27"/>
              <w:spacing w:after="0" w:line="240" w:lineRule="auto"/>
              <w:jc w:val="both"/>
              <w:rPr>
                <w:rFonts w:ascii="Times New Roman" w:eastAsia="Times New Roman" w:hAnsi="Times New Roman" w:cs="Times New Roman"/>
                <w:noProof/>
              </w:rPr>
            </w:pPr>
            <w:r>
              <w:rPr>
                <w:rFonts w:ascii="Times New Roman" w:hAnsi="Times New Roman" w:cs="Times New Roman"/>
                <w:noProof/>
              </w:rPr>
              <w:t>Transfert de capital de</w:t>
            </w:r>
            <w:r>
              <w:rPr>
                <w:rFonts w:ascii="Times New Roman" w:eastAsia="Calibri" w:hAnsi="Times New Roman" w:cs="Times New Roman"/>
                <w:noProof/>
                <w:kern w:val="0"/>
                <w14:ligatures w14:val="none"/>
              </w:rPr>
              <w:t> </w:t>
            </w:r>
            <w:r>
              <w:rPr>
                <w:rFonts w:ascii="Times New Roman" w:hAnsi="Times New Roman" w:cs="Times New Roman"/>
                <w:noProof/>
              </w:rPr>
              <w:t>250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 du gouvernement portugais à BPF et adoption de la politique d’investissement pour BPF afin de mettre en œuvre InvestEU, établissant un ensemble de critères d’éligibilité conformes aux objectifs de la FRR, y compris le principe consistant à «ne pas causer de préjudice important», dans le cadre de la signature d’un «accord de garantie InvestEU».</w:t>
            </w:r>
          </w:p>
        </w:tc>
      </w:tr>
      <w:tr w:rsidR="006C686E" w14:paraId="071768C8" w14:textId="77777777" w:rsidTr="007E2C4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D61459" w14:textId="77777777" w:rsidR="006C686E" w:rsidRDefault="00B17E8C">
            <w:pPr>
              <w:pStyle w:val="P68B1DB1-Normal25"/>
              <w:spacing w:after="0" w:line="240" w:lineRule="auto"/>
              <w:jc w:val="center"/>
              <w:rPr>
                <w:rFonts w:eastAsia="Times New Roman"/>
                <w:bCs/>
                <w:noProof/>
              </w:rPr>
            </w:pPr>
            <w:r>
              <w:rPr>
                <w:noProof/>
              </w:rPr>
              <w:t>5.32</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D75D65" w14:textId="77777777" w:rsidR="006C686E" w:rsidRDefault="00B17E8C">
            <w:pPr>
              <w:pStyle w:val="P68B1DB1-Normal26"/>
              <w:spacing w:after="0" w:line="240" w:lineRule="auto"/>
              <w:jc w:val="center"/>
              <w:rPr>
                <w:rFonts w:eastAsia="Times New Roman"/>
                <w:noProof/>
              </w:rPr>
            </w:pPr>
            <w:r>
              <w:rPr>
                <w:noProof/>
              </w:rPr>
              <w:t>RE-C05-i06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26B4F9" w14:textId="77777777" w:rsidR="006C686E" w:rsidRDefault="00B17E8C">
            <w:pPr>
              <w:pStyle w:val="P68B1DB1-Normal26"/>
              <w:spacing w:after="0" w:line="240" w:lineRule="auto"/>
              <w:jc w:val="center"/>
              <w:rPr>
                <w:rFonts w:eastAsia="Times New Roman"/>
                <w:noProof/>
              </w:rPr>
            </w:pPr>
            <w:r>
              <w:rPr>
                <w:noProof/>
              </w:rPr>
              <w:t>M</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F980AA" w14:textId="77777777" w:rsidR="006C686E" w:rsidRDefault="00B17E8C">
            <w:pPr>
              <w:pStyle w:val="P68B1DB1-Normal26"/>
              <w:spacing w:after="0" w:line="240" w:lineRule="auto"/>
              <w:jc w:val="center"/>
              <w:rPr>
                <w:rFonts w:eastAsia="Times New Roman"/>
                <w:noProof/>
              </w:rPr>
            </w:pPr>
            <w:r>
              <w:rPr>
                <w:noProof/>
              </w:rPr>
              <w:t>Politiques d'investissement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C9A2D1" w14:textId="77777777" w:rsidR="006C686E" w:rsidRDefault="00B17E8C">
            <w:pPr>
              <w:pStyle w:val="P68B1DB1-Normal26"/>
              <w:spacing w:after="0" w:line="240" w:lineRule="auto"/>
              <w:jc w:val="center"/>
              <w:rPr>
                <w:rFonts w:eastAsia="Times New Roman"/>
                <w:noProof/>
              </w:rPr>
            </w:pPr>
            <w:r>
              <w:rPr>
                <w:noProof/>
              </w:rPr>
              <w:t>Adoption de politiques d'investissement</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60781A71"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A9B5E2E"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3578F197"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D8F077" w14:textId="4A855582" w:rsidR="006C686E" w:rsidRDefault="00B17E8C">
            <w:pPr>
              <w:pStyle w:val="P68B1DB1-Normal26"/>
              <w:spacing w:after="0" w:line="240" w:lineRule="auto"/>
              <w:jc w:val="center"/>
              <w:rPr>
                <w:rFonts w:eastAsia="Times New Roman"/>
                <w:noProof/>
              </w:rPr>
            </w:pPr>
            <w:r>
              <w:rPr>
                <w:noProof/>
              </w:rPr>
              <w:t>T2</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8DF16D" w14:textId="2C89BAB9" w:rsidR="006C686E" w:rsidRDefault="00B17E8C">
            <w:pPr>
              <w:pStyle w:val="P68B1DB1-Normal26"/>
              <w:spacing w:after="0" w:line="240" w:lineRule="auto"/>
              <w:jc w:val="center"/>
              <w:rPr>
                <w:rFonts w:eastAsia="Times New Roman"/>
                <w:noProof/>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4EFCE"/>
            <w:hideMark/>
          </w:tcPr>
          <w:p w14:paraId="7C73C786" w14:textId="77777777" w:rsidR="006C686E" w:rsidRDefault="00B17E8C">
            <w:pPr>
              <w:pStyle w:val="P68B1DB1-Normal15"/>
              <w:spacing w:after="0" w:line="240" w:lineRule="auto"/>
              <w:rPr>
                <w:noProof/>
              </w:rPr>
            </w:pPr>
            <w:r>
              <w:rPr>
                <w:noProof/>
              </w:rPr>
              <w:t>Adoption de politiques d’investissement pour BPF en vue de l’utilisation des fonds propres supplémentaires.</w:t>
            </w:r>
          </w:p>
          <w:p w14:paraId="00BA5339" w14:textId="2325378A" w:rsidR="006C686E" w:rsidRDefault="00B17E8C">
            <w:pPr>
              <w:pStyle w:val="P68B1DB1-Normal15"/>
              <w:spacing w:after="0" w:line="240" w:lineRule="auto"/>
              <w:rPr>
                <w:noProof/>
              </w:rPr>
            </w:pPr>
            <w:r>
              <w:rPr>
                <w:noProof/>
              </w:rPr>
              <w:t>Le Portugal transmet un rapport décrivant les mesures prises par le FBP au plus tard le 30 juin 2026 pour mettre en œuvre les politiques d’investissement, y compris les mesures prises pour la mise en œuvre des produits financiers que les fonds propres supplémentaires devraient initialement soutenir, ainsi que les mesures attendues pour la poursuite de la mise en œuvre de ces produits.</w:t>
            </w:r>
          </w:p>
        </w:tc>
      </w:tr>
      <w:tr w:rsidR="006C686E" w14:paraId="3ABC0681" w14:textId="77777777" w:rsidTr="007E2C4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81B878B" w14:textId="77777777" w:rsidR="006C686E" w:rsidRDefault="00B17E8C">
            <w:pPr>
              <w:pStyle w:val="P68B1DB1-Normal25"/>
              <w:spacing w:after="0" w:line="240" w:lineRule="auto"/>
              <w:jc w:val="center"/>
              <w:rPr>
                <w:rFonts w:eastAsia="Times New Roman"/>
                <w:bCs/>
                <w:noProof/>
              </w:rPr>
            </w:pPr>
            <w:r>
              <w:rPr>
                <w:noProof/>
              </w:rPr>
              <w:t>5.44</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tcPr>
          <w:p w14:paraId="432B9808" w14:textId="77777777" w:rsidR="006C686E" w:rsidRDefault="00B17E8C">
            <w:pPr>
              <w:pStyle w:val="P68B1DB1-Normal26"/>
              <w:spacing w:after="0" w:line="240" w:lineRule="auto"/>
              <w:jc w:val="center"/>
              <w:rPr>
                <w:rFonts w:eastAsia="Times New Roman"/>
                <w:noProof/>
              </w:rPr>
            </w:pPr>
            <w:r>
              <w:rPr>
                <w:noProof/>
              </w:rPr>
              <w:t>RE-C05-i11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A743365" w14:textId="77777777" w:rsidR="006C686E" w:rsidRDefault="00B17E8C">
            <w:pPr>
              <w:pStyle w:val="P68B1DB1-Normal26"/>
              <w:spacing w:after="0" w:line="240" w:lineRule="auto"/>
              <w:jc w:val="center"/>
              <w:rPr>
                <w:rFonts w:eastAsia="Times New Roman"/>
                <w:noProof/>
              </w:rPr>
            </w:pPr>
            <w:r>
              <w:rPr>
                <w:noProof/>
              </w:rPr>
              <w:t>T</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56E4B2F5" w14:textId="77777777" w:rsidR="006C686E" w:rsidRDefault="00B17E8C">
            <w:pPr>
              <w:pStyle w:val="P68B1DB1-Normal26"/>
              <w:spacing w:after="0" w:line="240" w:lineRule="auto"/>
              <w:jc w:val="center"/>
              <w:rPr>
                <w:rFonts w:eastAsia="Times New Roman"/>
                <w:noProof/>
              </w:rPr>
            </w:pPr>
            <w:r>
              <w:rPr>
                <w:noProof/>
              </w:rPr>
              <w:t>Conclusion de contrats pour développer de nouveaux produits, procédés ou services dans des domaines stratégiques pertinents (programmes d’innovation).</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1EB25838"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3AEF0F72" w14:textId="77777777" w:rsidR="006C686E" w:rsidRDefault="00B17E8C">
            <w:pPr>
              <w:pStyle w:val="P68B1DB1-Normal26"/>
              <w:spacing w:after="0" w:line="240" w:lineRule="auto"/>
              <w:jc w:val="center"/>
              <w:rPr>
                <w:rFonts w:eastAsia="Times New Roman"/>
                <w:noProof/>
              </w:rPr>
            </w:pPr>
            <w:r>
              <w:rPr>
                <w:noProof/>
              </w:rPr>
              <w:t>Numéro</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0305D9D" w14:textId="77777777" w:rsidR="006C686E" w:rsidRDefault="00B17E8C">
            <w:pPr>
              <w:pStyle w:val="P68B1DB1-Normal26"/>
              <w:spacing w:after="0" w:line="240" w:lineRule="auto"/>
              <w:jc w:val="center"/>
              <w:rPr>
                <w:rFonts w:eastAsia="Times New Roman"/>
                <w:noProof/>
              </w:rPr>
            </w:pPr>
            <w:r>
              <w:rPr>
                <w:noProof/>
              </w:rPr>
              <w:t>12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A83F14D" w14:textId="77777777" w:rsidR="006C686E" w:rsidRDefault="00B17E8C">
            <w:pPr>
              <w:pStyle w:val="P68B1DB1-Normal26"/>
              <w:spacing w:after="0" w:line="240" w:lineRule="auto"/>
              <w:jc w:val="center"/>
              <w:rPr>
                <w:rFonts w:eastAsia="Times New Roman"/>
                <w:noProof/>
              </w:rPr>
            </w:pPr>
            <w:r>
              <w:rPr>
                <w:noProof/>
              </w:rPr>
              <w:t>28</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12CD09B1" w14:textId="77777777" w:rsidR="006C686E" w:rsidRDefault="00B17E8C">
            <w:pPr>
              <w:pStyle w:val="P68B1DB1-Normal26"/>
              <w:spacing w:after="0" w:line="240" w:lineRule="auto"/>
              <w:jc w:val="center"/>
              <w:rPr>
                <w:rFonts w:eastAsia="Times New Roman"/>
                <w:noProof/>
              </w:rPr>
            </w:pPr>
            <w:r>
              <w:rPr>
                <w:noProof/>
              </w:rPr>
              <w:t>T2</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tcPr>
          <w:p w14:paraId="5EF990AF" w14:textId="77777777" w:rsidR="006C686E" w:rsidRDefault="00B17E8C">
            <w:pPr>
              <w:pStyle w:val="P68B1DB1-Normal26"/>
              <w:spacing w:after="0" w:line="240" w:lineRule="auto"/>
              <w:jc w:val="center"/>
              <w:rPr>
                <w:rFonts w:eastAsia="Times New Roman"/>
                <w:noProof/>
              </w:rPr>
            </w:pPr>
            <w:r>
              <w:rPr>
                <w:noProof/>
              </w:rPr>
              <w:t>2023</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tcPr>
          <w:p w14:paraId="27306B0F" w14:textId="77777777" w:rsidR="006C686E" w:rsidRDefault="00B17E8C">
            <w:pPr>
              <w:pStyle w:val="P68B1DB1-Bodytext1036"/>
              <w:spacing w:after="0"/>
              <w:jc w:val="both"/>
              <w:rPr>
                <w:noProof/>
              </w:rPr>
            </w:pPr>
            <w:r>
              <w:rPr>
                <w:noProof/>
              </w:rPr>
              <w:t>Conclusion de 16 contrats supplémentaires (pactes d'innovation ou projets mobilisateurs) avec des consortiums, qui comprendront:</w:t>
            </w:r>
          </w:p>
          <w:p w14:paraId="0787DDFE" w14:textId="77777777" w:rsidR="006C686E" w:rsidRDefault="00B17E8C">
            <w:pPr>
              <w:pStyle w:val="P68B1DB1-Bodytext1036"/>
              <w:spacing w:after="0"/>
              <w:jc w:val="both"/>
              <w:rPr>
                <w:noProof/>
              </w:rPr>
            </w:pPr>
            <w:r>
              <w:rPr>
                <w:noProof/>
              </w:rPr>
              <w:t>• l'identification des entités constitutives du consortium;</w:t>
            </w:r>
          </w:p>
          <w:p w14:paraId="025C0DF4" w14:textId="77777777" w:rsidR="006C686E" w:rsidRDefault="00B17E8C">
            <w:pPr>
              <w:pStyle w:val="P68B1DB1-Bodytext1036"/>
              <w:spacing w:after="0"/>
              <w:jc w:val="both"/>
              <w:rPr>
                <w:noProof/>
              </w:rPr>
            </w:pPr>
            <w:r>
              <w:rPr>
                <w:noProof/>
              </w:rPr>
              <w:t>• le plan d’entreprise/l’investissement;</w:t>
            </w:r>
          </w:p>
          <w:p w14:paraId="208FF15B" w14:textId="77777777" w:rsidR="006C686E" w:rsidRDefault="00B17E8C">
            <w:pPr>
              <w:pStyle w:val="P68B1DB1-Bodytext1036"/>
              <w:spacing w:after="0"/>
              <w:jc w:val="both"/>
              <w:rPr>
                <w:noProof/>
              </w:rPr>
            </w:pPr>
            <w:r>
              <w:rPr>
                <w:noProof/>
              </w:rPr>
              <w:t>• le montant du financement;</w:t>
            </w:r>
          </w:p>
          <w:p w14:paraId="4D2AEDE0" w14:textId="77777777" w:rsidR="006C686E" w:rsidRDefault="00B17E8C">
            <w:pPr>
              <w:pStyle w:val="P68B1DB1-Bodytext1036"/>
              <w:spacing w:after="0"/>
              <w:jc w:val="both"/>
              <w:rPr>
                <w:noProof/>
              </w:rPr>
            </w:pPr>
            <w:r>
              <w:rPr>
                <w:noProof/>
              </w:rPr>
              <w:t>• les objectifs auxquels le bénéficiaire est lié;</w:t>
            </w:r>
          </w:p>
          <w:p w14:paraId="02F4959A" w14:textId="77777777" w:rsidR="006C686E" w:rsidRDefault="00B17E8C">
            <w:pPr>
              <w:pStyle w:val="P68B1DB1-Bodytext1036"/>
              <w:spacing w:after="0"/>
              <w:jc w:val="both"/>
              <w:rPr>
                <w:noProof/>
              </w:rPr>
            </w:pPr>
            <w:r>
              <w:rPr>
                <w:noProof/>
              </w:rPr>
              <w:t xml:space="preserve">• La forme de surveillance. </w:t>
            </w:r>
          </w:p>
          <w:p w14:paraId="7C1BE5A5" w14:textId="77777777" w:rsidR="006C686E" w:rsidRDefault="00B17E8C">
            <w:pPr>
              <w:pStyle w:val="P68B1DB1-Bodytext1036"/>
              <w:spacing w:after="0"/>
              <w:jc w:val="both"/>
              <w:rPr>
                <w:noProof/>
              </w:rPr>
            </w:pPr>
            <w:r>
              <w:rPr>
                <w:noProof/>
              </w:rPr>
              <w:t>Les contrats doivent soutenir un total d’au moins 446 produits, processus ou services (PPS). Le mandat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p w14:paraId="5545EDB1" w14:textId="77777777" w:rsidR="006C686E" w:rsidRDefault="00B17E8C">
            <w:pPr>
              <w:pStyle w:val="P68B1DB1-Bodytext1036"/>
              <w:spacing w:after="0"/>
              <w:jc w:val="both"/>
              <w:rPr>
                <w:noProof/>
              </w:rPr>
            </w:pPr>
            <w:r>
              <w:rPr>
                <w:noProof/>
              </w:rPr>
              <w:t>Les contrats s’ajoutent aux contrats mis en œuvre dans les documents RE-C05-i01.01 et RE-C05-i09.</w:t>
            </w:r>
          </w:p>
          <w:p w14:paraId="76BC8EB7" w14:textId="77777777" w:rsidR="006C686E" w:rsidRDefault="00B17E8C">
            <w:pPr>
              <w:pStyle w:val="P68B1DB1-Normal26"/>
              <w:spacing w:after="0" w:line="240" w:lineRule="auto"/>
              <w:jc w:val="both"/>
              <w:rPr>
                <w:rFonts w:eastAsia="Times New Roman"/>
                <w:noProof/>
              </w:rPr>
            </w:pPr>
            <w:r>
              <w:rPr>
                <w:noProof/>
              </w:rPr>
              <w:t>Au moins 366 des SPP doivent s’aligner sur le domaine d’intervention 021 (Transfert technologique et coopération entre les entreprises, les centres de recherche et le secteur de l’éducation).</w:t>
            </w:r>
          </w:p>
        </w:tc>
      </w:tr>
      <w:tr w:rsidR="006C686E" w14:paraId="525F364B" w14:textId="77777777" w:rsidTr="007E2C4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5A525ECD" w14:textId="77777777" w:rsidR="006C686E" w:rsidRDefault="00B17E8C">
            <w:pPr>
              <w:pStyle w:val="P68B1DB1-Normal25"/>
              <w:spacing w:after="0" w:line="240" w:lineRule="auto"/>
              <w:jc w:val="center"/>
              <w:rPr>
                <w:rFonts w:eastAsia="Times New Roman"/>
                <w:noProof/>
              </w:rPr>
            </w:pPr>
            <w:r>
              <w:rPr>
                <w:noProof/>
              </w:rPr>
              <w:t>5.45</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tcPr>
          <w:p w14:paraId="250BB371" w14:textId="77777777" w:rsidR="006C686E" w:rsidRDefault="00B17E8C">
            <w:pPr>
              <w:pStyle w:val="P68B1DB1-Normal26"/>
              <w:spacing w:after="0" w:line="240" w:lineRule="auto"/>
              <w:jc w:val="center"/>
              <w:rPr>
                <w:rFonts w:eastAsia="Times New Roman"/>
                <w:noProof/>
              </w:rPr>
            </w:pPr>
            <w:r>
              <w:rPr>
                <w:noProof/>
              </w:rPr>
              <w:t>RE-C05-i11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4CEFCF24" w14:textId="77777777" w:rsidR="006C686E" w:rsidRDefault="00B17E8C">
            <w:pPr>
              <w:pStyle w:val="P68B1DB1-Normal26"/>
              <w:spacing w:after="0" w:line="240" w:lineRule="auto"/>
              <w:jc w:val="center"/>
              <w:rPr>
                <w:rFonts w:eastAsia="Times New Roman"/>
                <w:noProof/>
              </w:rPr>
            </w:pPr>
            <w:r>
              <w:rPr>
                <w:noProof/>
              </w:rPr>
              <w:t>T</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26EA70CC" w14:textId="0178C002" w:rsidR="006C686E" w:rsidRDefault="00B17E8C">
            <w:pPr>
              <w:pStyle w:val="P68B1DB1-Normal26"/>
              <w:spacing w:after="0" w:line="240" w:lineRule="auto"/>
              <w:jc w:val="center"/>
              <w:rPr>
                <w:rFonts w:eastAsia="Times New Roman"/>
                <w:noProof/>
              </w:rPr>
            </w:pPr>
            <w:r>
              <w:rPr>
                <w:noProof/>
              </w:rPr>
              <w:t>Produits, processus ou services.</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AF5F7FD"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19374907" w14:textId="77777777" w:rsidR="006C686E" w:rsidRDefault="00B17E8C">
            <w:pPr>
              <w:pStyle w:val="P68B1DB1-Normal26"/>
              <w:spacing w:after="0" w:line="240" w:lineRule="auto"/>
              <w:jc w:val="center"/>
              <w:rPr>
                <w:rFonts w:eastAsia="Times New Roman"/>
                <w:noProof/>
              </w:rPr>
            </w:pPr>
            <w:r>
              <w:rPr>
                <w:noProof/>
              </w:rPr>
              <w:t>Numéro</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8F95A25" w14:textId="77777777" w:rsidR="006C686E" w:rsidRDefault="00B17E8C">
            <w:pPr>
              <w:pStyle w:val="P68B1DB1-Normal26"/>
              <w:spacing w:after="0" w:line="240" w:lineRule="auto"/>
              <w:jc w:val="center"/>
              <w:rPr>
                <w:rFonts w:eastAsia="Times New Roman"/>
                <w:noProof/>
              </w:rPr>
            </w:pPr>
            <w:r>
              <w:rPr>
                <w:noProof/>
              </w:rPr>
              <w:t>366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11043E06" w14:textId="77777777" w:rsidR="006C686E" w:rsidRDefault="00B17E8C">
            <w:pPr>
              <w:pStyle w:val="P68B1DB1-Normal26"/>
              <w:spacing w:after="0" w:line="240" w:lineRule="auto"/>
              <w:jc w:val="center"/>
              <w:rPr>
                <w:rFonts w:eastAsia="Times New Roman"/>
                <w:noProof/>
              </w:rPr>
            </w:pPr>
            <w:r>
              <w:rPr>
                <w:noProof/>
              </w:rPr>
              <w:t>959</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ACC13F7" w14:textId="77777777" w:rsidR="006C686E" w:rsidRDefault="00B17E8C">
            <w:pPr>
              <w:pStyle w:val="P68B1DB1-Normal26"/>
              <w:spacing w:after="0" w:line="240" w:lineRule="auto"/>
              <w:jc w:val="center"/>
              <w:rPr>
                <w:rFonts w:eastAsia="Times New Roman"/>
                <w:noProof/>
              </w:rPr>
            </w:pPr>
            <w:r>
              <w:rPr>
                <w:noProof/>
              </w:rPr>
              <w:t>T2</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tcPr>
          <w:p w14:paraId="3226D5E1" w14:textId="77777777" w:rsidR="006C686E" w:rsidRDefault="00B17E8C">
            <w:pPr>
              <w:pStyle w:val="P68B1DB1-Normal26"/>
              <w:spacing w:after="0" w:line="240" w:lineRule="auto"/>
              <w:jc w:val="center"/>
              <w:rPr>
                <w:rFonts w:eastAsia="Times New Roman"/>
                <w:noProof/>
              </w:rPr>
            </w:pPr>
            <w:r>
              <w:rPr>
                <w:noProof/>
              </w:rPr>
              <w:t>2026</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tcPr>
          <w:p w14:paraId="16E7E8FD" w14:textId="77777777" w:rsidR="006C686E" w:rsidRDefault="00B17E8C">
            <w:pPr>
              <w:pStyle w:val="P68B1DB1-Normal26"/>
              <w:spacing w:after="0" w:line="240" w:lineRule="auto"/>
              <w:jc w:val="both"/>
              <w:rPr>
                <w:noProof/>
              </w:rPr>
            </w:pPr>
            <w:r>
              <w:rPr>
                <w:noProof/>
              </w:rPr>
              <w:t xml:space="preserve">Évaluation positive par les autorités des rapports finaux d'exécution 593 produits, processus ou services (PPS), résultant des contrats. </w:t>
            </w:r>
          </w:p>
          <w:p w14:paraId="59E1F9FD" w14:textId="18B79507" w:rsidR="006C686E" w:rsidRDefault="00B17E8C">
            <w:pPr>
              <w:pStyle w:val="P68B1DB1-Bodytext1036"/>
              <w:spacing w:after="0"/>
              <w:jc w:val="both"/>
              <w:rPr>
                <w:noProof/>
              </w:rPr>
            </w:pPr>
            <w:r>
              <w:rPr>
                <w:noProof/>
              </w:rPr>
              <w:t xml:space="preserve">Le SPP considéré comme atteignant l’objectif s’ajoute au SPP évalué dans le document RE-C05-i01. </w:t>
            </w:r>
          </w:p>
          <w:p w14:paraId="380C7E8A" w14:textId="426340A0" w:rsidR="006C686E" w:rsidRDefault="00B17E8C">
            <w:pPr>
              <w:pStyle w:val="P68B1DB1-Bodytext1036"/>
              <w:spacing w:after="0"/>
              <w:jc w:val="both"/>
              <w:rPr>
                <w:noProof/>
              </w:rPr>
            </w:pPr>
            <w:r>
              <w:rPr>
                <w:noProof/>
              </w:rPr>
              <w:t>Au moins 366 des SPP doivent s’aligner sur le domaine d’intervention 021 (Transfert technologique et coopération entre les entreprises, les centres de recherche et le secteur de l’éducation).</w:t>
            </w:r>
          </w:p>
        </w:tc>
      </w:tr>
      <w:tr w:rsidR="006C686E" w14:paraId="6DA292FF" w14:textId="77777777" w:rsidTr="007E2C4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9B2C3FF" w14:textId="77777777" w:rsidR="006C686E" w:rsidRDefault="00B17E8C">
            <w:pPr>
              <w:pStyle w:val="P68B1DB1-Normal25"/>
              <w:spacing w:after="0" w:line="240" w:lineRule="auto"/>
              <w:jc w:val="center"/>
              <w:rPr>
                <w:noProof/>
              </w:rPr>
            </w:pPr>
            <w:r>
              <w:rPr>
                <w:noProof/>
              </w:rPr>
              <w:t>5.46</w:t>
            </w:r>
          </w:p>
        </w:tc>
        <w:tc>
          <w:tcPr>
            <w:tcW w:w="1470" w:type="dxa"/>
            <w:tcBorders>
              <w:top w:val="single" w:sz="4" w:space="0" w:color="auto"/>
              <w:left w:val="single" w:sz="4" w:space="0" w:color="auto"/>
              <w:bottom w:val="single" w:sz="4" w:space="0" w:color="auto"/>
              <w:right w:val="single" w:sz="4" w:space="0" w:color="auto"/>
            </w:tcBorders>
            <w:shd w:val="clear" w:color="auto" w:fill="C4EFCE"/>
            <w:vAlign w:val="center"/>
          </w:tcPr>
          <w:p w14:paraId="4A15E4EE" w14:textId="77777777" w:rsidR="006C686E" w:rsidRDefault="00B17E8C">
            <w:pPr>
              <w:pStyle w:val="P68B1DB1-Normal26"/>
              <w:spacing w:after="0" w:line="240" w:lineRule="auto"/>
              <w:jc w:val="center"/>
              <w:rPr>
                <w:noProof/>
              </w:rPr>
            </w:pPr>
            <w:r>
              <w:rPr>
                <w:noProof/>
              </w:rPr>
              <w:t>RE-C05-i12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44FC4964" w14:textId="77777777" w:rsidR="006C686E" w:rsidRDefault="00B17E8C">
            <w:pPr>
              <w:pStyle w:val="P68B1DB1-Normal26"/>
              <w:spacing w:after="0" w:line="240" w:lineRule="auto"/>
              <w:jc w:val="center"/>
              <w:rPr>
                <w:noProof/>
              </w:rPr>
            </w:pPr>
            <w:r>
              <w:rPr>
                <w:noProof/>
              </w:rPr>
              <w:t>T</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1D984D62" w14:textId="77777777" w:rsidR="006C686E" w:rsidRDefault="00B17E8C">
            <w:pPr>
              <w:pStyle w:val="P68B1DB1-Normal26"/>
              <w:spacing w:after="0" w:line="240" w:lineRule="auto"/>
              <w:jc w:val="center"/>
              <w:rPr>
                <w:noProof/>
              </w:rPr>
            </w:pPr>
            <w:r>
              <w:rPr>
                <w:noProof/>
              </w:rPr>
              <w:t>Conclusion de contrats pour développer de nouveaux produits, procédés ou services dans des domaines stratégiques liés à l’économie à faible intensité de carbone, à la résilience et à l’adaptation au changement climatique.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76DD6A16" w14:textId="77777777" w:rsidR="006C686E" w:rsidRDefault="00B17E8C">
            <w:pPr>
              <w:pStyle w:val="P68B1DB1-Normal26"/>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273BC4C1" w14:textId="77777777" w:rsidR="006C686E" w:rsidRDefault="00B17E8C">
            <w:pPr>
              <w:pStyle w:val="P68B1DB1-Normal26"/>
              <w:spacing w:after="0" w:line="240" w:lineRule="auto"/>
              <w:jc w:val="center"/>
              <w:rPr>
                <w:noProof/>
              </w:rPr>
            </w:pPr>
            <w:r>
              <w:rPr>
                <w:noProof/>
              </w:rPr>
              <w:t>Numéro</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3AF7F635" w14:textId="77777777" w:rsidR="006C686E" w:rsidRDefault="00B17E8C">
            <w:pPr>
              <w:pStyle w:val="P68B1DB1-Normal26"/>
              <w:spacing w:after="0" w:line="240" w:lineRule="auto"/>
              <w:jc w:val="center"/>
              <w:rPr>
                <w:noProof/>
              </w:rPr>
            </w:pPr>
            <w:r>
              <w:rPr>
                <w:noProof/>
              </w:rPr>
              <w:t>10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5AD1DC7" w14:textId="77777777" w:rsidR="006C686E" w:rsidRDefault="00B17E8C">
            <w:pPr>
              <w:pStyle w:val="P68B1DB1-Normal26"/>
              <w:spacing w:after="0" w:line="240" w:lineRule="auto"/>
              <w:jc w:val="center"/>
              <w:rPr>
                <w:noProof/>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D5C42EB" w14:textId="77777777" w:rsidR="006C686E" w:rsidRDefault="00B17E8C">
            <w:pPr>
              <w:pStyle w:val="P68B1DB1-Normal26"/>
              <w:spacing w:after="0" w:line="240" w:lineRule="auto"/>
              <w:jc w:val="center"/>
              <w:rPr>
                <w:noProof/>
              </w:rPr>
            </w:pPr>
            <w:r>
              <w:rPr>
                <w:noProof/>
              </w:rPr>
              <w:t>T3</w:t>
            </w:r>
          </w:p>
        </w:tc>
        <w:tc>
          <w:tcPr>
            <w:tcW w:w="816" w:type="dxa"/>
            <w:tcBorders>
              <w:top w:val="single" w:sz="4" w:space="0" w:color="auto"/>
              <w:left w:val="single" w:sz="4" w:space="0" w:color="auto"/>
              <w:bottom w:val="single" w:sz="4" w:space="0" w:color="auto"/>
              <w:right w:val="single" w:sz="4" w:space="0" w:color="auto"/>
            </w:tcBorders>
            <w:shd w:val="clear" w:color="auto" w:fill="C4EFCE"/>
            <w:vAlign w:val="center"/>
          </w:tcPr>
          <w:p w14:paraId="0780133B" w14:textId="77777777" w:rsidR="006C686E" w:rsidRDefault="00B17E8C">
            <w:pPr>
              <w:pStyle w:val="P68B1DB1-Normal26"/>
              <w:spacing w:after="0" w:line="240" w:lineRule="auto"/>
              <w:jc w:val="center"/>
              <w:rPr>
                <w:noProof/>
              </w:rPr>
            </w:pPr>
            <w:r>
              <w:rPr>
                <w:noProof/>
              </w:rPr>
              <w:t>2023</w:t>
            </w:r>
          </w:p>
        </w:tc>
        <w:tc>
          <w:tcPr>
            <w:tcW w:w="4116" w:type="dxa"/>
            <w:tcBorders>
              <w:top w:val="single" w:sz="4" w:space="0" w:color="auto"/>
              <w:left w:val="single" w:sz="4" w:space="0" w:color="auto"/>
              <w:bottom w:val="single" w:sz="4" w:space="0" w:color="auto"/>
              <w:right w:val="single" w:sz="4" w:space="0" w:color="auto"/>
            </w:tcBorders>
            <w:shd w:val="clear" w:color="auto" w:fill="C4EFCE"/>
            <w:vAlign w:val="center"/>
          </w:tcPr>
          <w:p w14:paraId="576E7A9A" w14:textId="77777777" w:rsidR="006C686E" w:rsidRDefault="00B17E8C">
            <w:pPr>
              <w:pStyle w:val="P68B1DB1-Bodytext1036"/>
              <w:spacing w:after="0"/>
              <w:rPr>
                <w:noProof/>
              </w:rPr>
            </w:pPr>
            <w:r>
              <w:rPr>
                <w:noProof/>
              </w:rPr>
              <w:t>Conclusion de dix contrats supplémentaires (pactes d'innovation ou projets mobilisateurs) avec des consortiums, qui comprendront:</w:t>
            </w:r>
          </w:p>
          <w:p w14:paraId="44623A51" w14:textId="77777777" w:rsidR="006C686E" w:rsidRDefault="00B17E8C">
            <w:pPr>
              <w:pStyle w:val="P68B1DB1-Bodytext1036"/>
              <w:spacing w:after="0"/>
              <w:rPr>
                <w:noProof/>
              </w:rPr>
            </w:pPr>
            <w:r>
              <w:rPr>
                <w:noProof/>
              </w:rPr>
              <w:t>• l'identification des entités constitutives du consortium;</w:t>
            </w:r>
          </w:p>
          <w:p w14:paraId="0763FD23" w14:textId="77777777" w:rsidR="006C686E" w:rsidRDefault="00B17E8C">
            <w:pPr>
              <w:pStyle w:val="P68B1DB1-Bodytext1036"/>
              <w:spacing w:after="0"/>
              <w:rPr>
                <w:noProof/>
              </w:rPr>
            </w:pPr>
            <w:r>
              <w:rPr>
                <w:noProof/>
              </w:rPr>
              <w:t>• le plan d’entreprise/l’investissement;</w:t>
            </w:r>
          </w:p>
          <w:p w14:paraId="21F2D4AD" w14:textId="77777777" w:rsidR="006C686E" w:rsidRDefault="00B17E8C">
            <w:pPr>
              <w:pStyle w:val="P68B1DB1-Bodytext1036"/>
              <w:spacing w:after="0"/>
              <w:rPr>
                <w:noProof/>
              </w:rPr>
            </w:pPr>
            <w:r>
              <w:rPr>
                <w:noProof/>
              </w:rPr>
              <w:t>• le montant du financement;</w:t>
            </w:r>
          </w:p>
          <w:p w14:paraId="7BD5A3B8" w14:textId="77777777" w:rsidR="006C686E" w:rsidRDefault="00B17E8C">
            <w:pPr>
              <w:pStyle w:val="P68B1DB1-Bodytext1036"/>
              <w:spacing w:after="0"/>
              <w:rPr>
                <w:noProof/>
              </w:rPr>
            </w:pPr>
            <w:r>
              <w:rPr>
                <w:noProof/>
              </w:rPr>
              <w:t>• les objectifs auxquels le bénéficiaire est lié;</w:t>
            </w:r>
          </w:p>
          <w:p w14:paraId="4DF6D6DC" w14:textId="77777777" w:rsidR="006C686E" w:rsidRDefault="00B17E8C">
            <w:pPr>
              <w:pStyle w:val="P68B1DB1-Bodytext1036"/>
              <w:spacing w:after="0"/>
              <w:rPr>
                <w:noProof/>
              </w:rPr>
            </w:pPr>
            <w:r>
              <w:rPr>
                <w:noProof/>
              </w:rPr>
              <w:t xml:space="preserve">• La forme de surveillance. </w:t>
            </w:r>
          </w:p>
          <w:p w14:paraId="119D8A12" w14:textId="77777777" w:rsidR="006C686E" w:rsidRDefault="00B17E8C">
            <w:pPr>
              <w:pStyle w:val="P68B1DB1-Bodytext1036"/>
              <w:spacing w:after="0"/>
              <w:rPr>
                <w:noProof/>
              </w:rPr>
            </w:pPr>
            <w:r>
              <w:rPr>
                <w:noProof/>
              </w:rPr>
              <w:t xml:space="preserve">Les contrats soutiennent un total d’au moins 147 produits, processus ou services et s’alignent sur le domaine d’intervention 022 (Processus de recherche et d’innovation, transfert de technologies et coopération entre entreprises, l’accent étant mis sur l’économie à faible intensité de carbone et la résilience et l’adaptation au changement climatique). </w:t>
            </w:r>
          </w:p>
          <w:p w14:paraId="63C68757" w14:textId="77777777" w:rsidR="006C686E" w:rsidRDefault="00B17E8C">
            <w:pPr>
              <w:pStyle w:val="P68B1DB1-Bodytext1036"/>
              <w:spacing w:after="0"/>
              <w:rPr>
                <w:noProof/>
              </w:rPr>
            </w:pPr>
            <w:r>
              <w:rPr>
                <w:noProof/>
              </w:rPr>
              <w:t>Le mandat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p w14:paraId="5242F44A" w14:textId="77777777" w:rsidR="006C686E" w:rsidRDefault="00B17E8C">
            <w:pPr>
              <w:pStyle w:val="P68B1DB1-Normal26"/>
              <w:spacing w:after="0" w:line="240" w:lineRule="auto"/>
              <w:jc w:val="both"/>
              <w:rPr>
                <w:noProof/>
              </w:rPr>
            </w:pPr>
            <w:r>
              <w:rPr>
                <w:noProof/>
              </w:rPr>
              <w:t>Les contrats s’ajoutent aux contrats mis en œuvre dans les documents RE-C05-i01.02 et RE-C05-i10.</w:t>
            </w:r>
          </w:p>
        </w:tc>
      </w:tr>
    </w:tbl>
    <w:p w14:paraId="10EE31DB" w14:textId="77777777" w:rsidR="006C686E" w:rsidRDefault="006C686E">
      <w:pPr>
        <w:keepNext/>
        <w:spacing w:before="40" w:after="0"/>
        <w:ind w:left="130" w:firstLine="720"/>
        <w:jc w:val="both"/>
        <w:outlineLvl w:val="1"/>
        <w:rPr>
          <w:rFonts w:ascii="Times New Roman" w:eastAsia="Calibri" w:hAnsi="Times New Roman" w:cs="Times New Roman"/>
          <w:b/>
          <w:noProof/>
          <w:kern w:val="0"/>
          <w:u w:val="single"/>
          <w14:ligatures w14:val="none"/>
        </w:rPr>
        <w:sectPr w:rsidR="006C686E" w:rsidSect="00C95E00">
          <w:headerReference w:type="even" r:id="rId118"/>
          <w:headerReference w:type="default" r:id="rId119"/>
          <w:footerReference w:type="even" r:id="rId120"/>
          <w:footerReference w:type="default" r:id="rId121"/>
          <w:headerReference w:type="first" r:id="rId122"/>
          <w:footerReference w:type="first" r:id="rId123"/>
          <w:pgSz w:w="16839" w:h="11907" w:orient="landscape"/>
          <w:pgMar w:top="1134" w:right="1134" w:bottom="1134" w:left="1134" w:header="567" w:footer="567" w:gutter="0"/>
          <w:cols w:space="720"/>
          <w:docGrid w:linePitch="360"/>
        </w:sectPr>
      </w:pPr>
    </w:p>
    <w:p w14:paraId="732D566B" w14:textId="77777777" w:rsidR="006C686E" w:rsidRDefault="00B17E8C">
      <w:pPr>
        <w:pStyle w:val="P68B1DB1-Normal1"/>
        <w:keepNext/>
        <w:spacing w:after="0" w:line="360" w:lineRule="auto"/>
        <w:ind w:left="130" w:firstLine="720"/>
        <w:jc w:val="both"/>
        <w:outlineLvl w:val="1"/>
        <w:rPr>
          <w:noProof/>
        </w:rPr>
      </w:pPr>
      <w:r>
        <w:rPr>
          <w:noProof/>
        </w:rPr>
        <w:t>F. Élément 6: Qualifications et compétences</w:t>
      </w:r>
    </w:p>
    <w:p w14:paraId="52F1CDB4" w14:textId="4A068B84" w:rsidR="006C686E" w:rsidRDefault="00B17E8C">
      <w:pPr>
        <w:pStyle w:val="P68B1DB1-Normal4"/>
        <w:keepNext/>
        <w:spacing w:before="40" w:after="0"/>
        <w:jc w:val="both"/>
        <w:rPr>
          <w:rFonts w:eastAsia="Times New Roman"/>
          <w:noProof/>
        </w:rPr>
      </w:pPr>
      <w:r>
        <w:rPr>
          <w:noProof/>
        </w:rPr>
        <w:t xml:space="preserve">Au Portugal, 44,5 % de la population âgée de 25 à 64 ans avait un faible niveau d’éducation en 2020, bien au-dessus de la moyenne de l’UE (25,0 %). En outre, la fraction de la population possédant des compétences numériques de base ou n’ayant jamais utilisé l’internet est très élevée. De même, la segmentation du marché du travail et les déséquilibres entre les hommes et les femmes en matière de rémunération et de perspectives de carrière restent élevés par rapport aux normes de l’UE. </w:t>
      </w:r>
    </w:p>
    <w:p w14:paraId="216D5200" w14:textId="77777777" w:rsidR="006C686E" w:rsidRDefault="00B17E8C">
      <w:pPr>
        <w:pStyle w:val="P68B1DB1-Normal4"/>
        <w:keepNext/>
        <w:spacing w:before="40" w:after="0"/>
        <w:jc w:val="both"/>
        <w:rPr>
          <w:rFonts w:eastAsia="Times New Roman"/>
          <w:noProof/>
        </w:rPr>
      </w:pPr>
      <w:r>
        <w:rPr>
          <w:noProof/>
        </w:rPr>
        <w:t xml:space="preserve">Ce volet s’attaque à de multiples défis liés aux niveaux d’éducation et de qualification relativement faibles, à la participation à l’apprentissage tout au long de la vie, à la segmentation du marché du travail, à la suppression des obstacles administratifs dans le domaine des professions hautement réglementées, à la préparation aux défis liés à l’avenir du travail, à l’égalité entre les hommes et les femmes et à l’égalité des chances. </w:t>
      </w:r>
    </w:p>
    <w:p w14:paraId="79EF9B25" w14:textId="77777777" w:rsidR="006C686E" w:rsidRDefault="00B17E8C">
      <w:pPr>
        <w:pStyle w:val="P68B1DB1-Normal4"/>
        <w:keepNext/>
        <w:spacing w:before="40" w:after="0"/>
        <w:jc w:val="both"/>
        <w:rPr>
          <w:rFonts w:eastAsia="Times New Roman"/>
          <w:noProof/>
        </w:rPr>
      </w:pPr>
      <w:r>
        <w:rPr>
          <w:noProof/>
        </w:rPr>
        <w:t xml:space="preserve">Les objectifs du volet sont vastes et englobent la formation et le perfectionnement professionnels, certains goulets d’étranglement dans l’environnement des entreprises, la segmentation du marché du travail, l’équilibre hommes-femmes et l’égalité des chances. En ce qui concerne le potentiel de production, ce volet se concentre sur des mesures visant à relever les faibles niveaux de qualification et à améliorer la participation à l’apprentissage tout au long de la vie grâce à la réforme des systèmes d’enseignement et de formation professionnels (EFP), à favoriser le transfert de connaissances entre les universités/organismes publics de recherche et les entreprises et à réduire les restrictions dans les professions hautement réglementées, tout en renforçant la compétitivité dans la fourniture de services aux entreprises. Le volet présente également des mesures visant à répondre à divers principes du socle européen des droits sociaux, tels que les relations de travail et les droits d’accès des travailleurs ayant des contrats de travail atypiques, le soutien financier visant à promouvoir l’inclusion des chômeurs ayant des emplois permanents de qualité et l’élaboration de la norme portugaise pour un système de gestion de l’égalité des rémunérations. </w:t>
      </w:r>
    </w:p>
    <w:p w14:paraId="781FCFC7" w14:textId="77777777" w:rsidR="006C686E" w:rsidRDefault="00B17E8C">
      <w:pPr>
        <w:pStyle w:val="P68B1DB1-Normal4"/>
        <w:keepNext/>
        <w:spacing w:before="40" w:after="0"/>
        <w:jc w:val="both"/>
        <w:rPr>
          <w:rFonts w:eastAsia="Times New Roman"/>
          <w:noProof/>
        </w:rPr>
      </w:pPr>
      <w:r>
        <w:rPr>
          <w:noProof/>
        </w:rPr>
        <w:t xml:space="preserve">Ce volet est aligné sur les grandes initiatives stratégiques de l’UE, telles que la stratégie européenne en matière de compétences et la recommandation du Conseil intitulée «Parcours de renforcement des compétences: de nouvelles perspectives pour les adultes» (recommandation 2016/C 484/01 du Conseil), la recommandation du Conseil relative à l’EFP en faveur de la compétitivité durable, de l’équité sociale et de la résilience (recommandation 2020/C 417/01 du Conseil), et la garantie renforcée pour la jeunesse, ainsi que les initiatives relatives à l’espace européen de l’éducation et à l’Espace européen de la recherche. </w:t>
      </w:r>
    </w:p>
    <w:p w14:paraId="7772F083" w14:textId="77777777" w:rsidR="006C686E" w:rsidRDefault="00B17E8C">
      <w:pPr>
        <w:pStyle w:val="P68B1DB1-Normal4"/>
        <w:keepNext/>
        <w:spacing w:before="40" w:after="0"/>
        <w:jc w:val="both"/>
        <w:rPr>
          <w:rFonts w:eastAsia="Times New Roman"/>
          <w:noProof/>
        </w:rPr>
      </w:pPr>
      <w:r>
        <w:rPr>
          <w:noProof/>
        </w:rPr>
        <w:t>Ce volet répond aux recommandations par pays visant à prendre toutes les mesures nécessaires pour lutter efficacement contre la pandémie, soutenir l’économie et soutenir la reprise qui s’ensuivra (recommandation par pays no 1 de 2020); adopter des mesures pour remédier à la segmentation du marché du travail (recommandation par pays no 2 de 2019); améliorer le niveau de compétences de la population, en particulier sa culture numérique, notamment en rendant l’apprentissage des adultes plus adapté aux besoins du marché du travail (recommandation par pays no 2 de 2019); augmenter le nombre de diplômés de l’enseignement supérieur, en particulier dans les domaines des sciences et des technologies de l’information (recommandation par pays no 2 de 2019); soutenir l’utilisation des technologies numériques pour garantir l’égalité d’accès à une éducation et à une formation de qualité (recommandation par pays no 2 de 2020); stimuler la compétitivité des entreprises (recommandation par pays no 2 de 2020); mettre l’accent sur la politique économique liée à l’investissement en matière de recherche et d’innovation (recommandation par pays no 3 de 2019); et d’élaborer une feuille de route visant à réduire les restrictions dans les professions hautement réglementées (recommandation par pays no 4 de 2019).</w:t>
      </w:r>
    </w:p>
    <w:p w14:paraId="0F81CF19" w14:textId="77777777" w:rsidR="006C686E" w:rsidRDefault="00B17E8C">
      <w:pPr>
        <w:pStyle w:val="P68B1DB1-Normal4"/>
        <w:keepNext/>
        <w:spacing w:before="40" w:after="0"/>
        <w:jc w:val="both"/>
        <w:rPr>
          <w:rFonts w:eastAsia="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01F2AF27" w14:textId="77777777" w:rsidR="006C686E" w:rsidRDefault="006C686E">
      <w:pPr>
        <w:keepNext/>
        <w:spacing w:before="40" w:after="0"/>
        <w:jc w:val="both"/>
        <w:rPr>
          <w:rFonts w:ascii="Times New Roman" w:eastAsia="Times New Roman" w:hAnsi="Times New Roman" w:cs="Times New Roman"/>
          <w:noProof/>
          <w:kern w:val="0"/>
          <w14:ligatures w14:val="none"/>
        </w:rPr>
        <w:sectPr w:rsidR="006C686E" w:rsidSect="00C95E00">
          <w:headerReference w:type="even" r:id="rId124"/>
          <w:headerReference w:type="default" r:id="rId125"/>
          <w:footerReference w:type="even" r:id="rId126"/>
          <w:footerReference w:type="default" r:id="rId127"/>
          <w:headerReference w:type="first" r:id="rId128"/>
          <w:footerReference w:type="first" r:id="rId129"/>
          <w:pgSz w:w="11907" w:h="16839"/>
          <w:pgMar w:top="1134" w:right="1134" w:bottom="1134" w:left="1134" w:header="567" w:footer="567" w:gutter="0"/>
          <w:cols w:space="720"/>
          <w:docGrid w:linePitch="360"/>
        </w:sectPr>
      </w:pPr>
    </w:p>
    <w:p w14:paraId="56362011" w14:textId="77777777" w:rsidR="006C686E" w:rsidRDefault="00B17E8C">
      <w:pPr>
        <w:pStyle w:val="P68B1DB1-Normal1"/>
        <w:spacing w:before="40" w:after="0"/>
        <w:ind w:left="130" w:firstLine="720"/>
        <w:jc w:val="both"/>
        <w:outlineLvl w:val="2"/>
        <w:rPr>
          <w:rFonts w:eastAsia="Times New Roman"/>
          <w:bCs/>
          <w:i/>
          <w:iCs/>
          <w:noProof/>
        </w:rPr>
      </w:pPr>
      <w:r>
        <w:rPr>
          <w:noProof/>
        </w:rPr>
        <w:t>F.1. Description des réformes et des investissements pour le soutien financier non remboursable</w:t>
      </w:r>
    </w:p>
    <w:p w14:paraId="75790F28" w14:textId="77777777" w:rsidR="006C686E" w:rsidRDefault="00B17E8C">
      <w:pPr>
        <w:pStyle w:val="P68B1DB1-Normal5"/>
        <w:spacing w:before="240" w:after="0"/>
        <w:ind w:left="851"/>
        <w:jc w:val="both"/>
        <w:outlineLvl w:val="3"/>
        <w:rPr>
          <w:rFonts w:eastAsia="Times New Roman"/>
          <w:noProof/>
        </w:rPr>
      </w:pPr>
      <w:r>
        <w:rPr>
          <w:noProof/>
        </w:rPr>
        <w:t>Réforme RE-r14: Réforme de l'enseignement et de la formation professionnels</w:t>
      </w:r>
    </w:p>
    <w:p w14:paraId="4047605A" w14:textId="45259C11" w:rsidR="006C686E" w:rsidRDefault="00B17E8C">
      <w:pPr>
        <w:spacing w:before="40" w:after="0" w:line="240" w:lineRule="auto"/>
        <w:jc w:val="both"/>
        <w:rPr>
          <w:rFonts w:ascii="Times New Roman" w:eastAsia="Calibri" w:hAnsi="Times New Roman" w:cs="Times New Roman"/>
          <w:noProof/>
          <w:kern w:val="0"/>
          <w:sz w:val="16"/>
          <w:szCs w:val="16"/>
          <w14:ligatures w14:val="none"/>
        </w:rPr>
      </w:pPr>
      <w:r>
        <w:rPr>
          <w:rFonts w:ascii="Times New Roman" w:eastAsia="Calibri" w:hAnsi="Times New Roman" w:cs="Times New Roman"/>
          <w:noProof/>
          <w:kern w:val="0"/>
          <w14:ligatures w14:val="none"/>
        </w:rPr>
        <w:t xml:space="preserve">L’objectif de cette réforme est de moderniser les systèmes d’éducation et d’EFP afin d’augmenter </w:t>
      </w:r>
      <w:r>
        <w:rPr>
          <w:rFonts w:ascii="Times New Roman" w:eastAsia="Calibri" w:hAnsi="Times New Roman" w:cs="Times New Roman"/>
          <w:noProof/>
        </w:rPr>
        <w:t xml:space="preserve"> </w:t>
      </w:r>
      <w:r>
        <w:rPr>
          <w:rFonts w:ascii="Times New Roman" w:eastAsia="Calibri" w:hAnsi="Times New Roman" w:cs="Times New Roman"/>
          <w:noProof/>
          <w:kern w:val="0"/>
          <w14:ligatures w14:val="none"/>
        </w:rPr>
        <w:t>les niveaux d’éducation et de qualification et de réduire l’incidence des travailleurs dépourvus de compétences de base et numériques, d’adapter</w:t>
      </w:r>
      <w:r>
        <w:rPr>
          <w:rFonts w:ascii="Times New Roman" w:eastAsiaTheme="minorEastAsia" w:hAnsi="Times New Roman" w:cs="Times New Roman"/>
          <w:noProof/>
        </w:rPr>
        <w:t xml:space="preserve"> l’offre de compétences aux besoins actuels et futurs du marché du travail et d’élargir les possibilités d’éducation, de</w:t>
      </w:r>
      <w:r>
        <w:rPr>
          <w:rFonts w:ascii="Times New Roman" w:eastAsia="Calibri" w:hAnsi="Times New Roman" w:cs="Times New Roman"/>
          <w:noProof/>
          <w:kern w:val="0"/>
          <w14:ligatures w14:val="none"/>
        </w:rPr>
        <w:t xml:space="preserve"> formation et d’apprentissage tout au long de la vie. La réforme consiste en l’approbation de l’offre d’enseignement et de formation professionnels (EFP) à la suite de l’approbation d’une ordonnance exigeant l’utilisation du système d’anticipation des besoins en qualifications (SANQ) dans la planification de l’EFP et la publication d’une circulaire sur la méthodologie de planification de l’offre d’EFP.</w:t>
      </w:r>
    </w:p>
    <w:p w14:paraId="0D48290D" w14:textId="77777777" w:rsidR="006C686E" w:rsidRDefault="00B17E8C">
      <w:pPr>
        <w:pStyle w:val="P68B1DB1-Normal5"/>
        <w:spacing w:before="240" w:after="0"/>
        <w:ind w:left="851"/>
        <w:jc w:val="both"/>
        <w:outlineLvl w:val="3"/>
        <w:rPr>
          <w:rFonts w:eastAsia="Times New Roman"/>
          <w:noProof/>
        </w:rPr>
      </w:pPr>
      <w:r>
        <w:rPr>
          <w:noProof/>
        </w:rPr>
        <w:t>Réforme RE-r15: Réforme de la coopération entre l'enseignement supérieur, l'administration publique et les entreprises</w:t>
      </w:r>
    </w:p>
    <w:p w14:paraId="245B8EB9" w14:textId="77777777" w:rsidR="006C686E" w:rsidRDefault="00B17E8C">
      <w:pPr>
        <w:pStyle w:val="P68B1DB1-Normal4"/>
        <w:spacing w:before="40" w:after="0"/>
        <w:jc w:val="both"/>
        <w:rPr>
          <w:rFonts w:eastAsia="Times New Roman"/>
          <w:noProof/>
        </w:rPr>
      </w:pPr>
      <w:r>
        <w:rPr>
          <w:noProof/>
        </w:rPr>
        <w:t xml:space="preserve">L’objectif de cette réforme est d’encourager les accords de collaboration public-privé dans les programmes d’éducation et de formation afin de répondre aux besoins du marché du travail et de la double transition, y compris le développement de cours de troisième cycle de portée professionnelle (masters professionnels) exclusifs aux étudiants ayant une expérience professionnelle antérieure et l’offre de cours tertiaires de courte durée en polytechnique (connus sous le nom de cours techniques professionnels supérieurs). </w:t>
      </w:r>
    </w:p>
    <w:p w14:paraId="677F0F1E" w14:textId="77777777" w:rsidR="006C686E" w:rsidRDefault="00B17E8C">
      <w:pPr>
        <w:pStyle w:val="P68B1DB1-Normal4"/>
        <w:spacing w:before="40" w:after="0"/>
        <w:jc w:val="both"/>
        <w:rPr>
          <w:rFonts w:eastAsia="Times New Roman"/>
          <w:noProof/>
        </w:rPr>
      </w:pPr>
      <w:r>
        <w:rPr>
          <w:noProof/>
        </w:rPr>
        <w:t>La réforme comprend:</w:t>
      </w:r>
    </w:p>
    <w:p w14:paraId="1073EFC8" w14:textId="77777777" w:rsidR="006C686E" w:rsidRDefault="00B17E8C">
      <w:pPr>
        <w:pStyle w:val="P68B1DB1-Normal4"/>
        <w:numPr>
          <w:ilvl w:val="0"/>
          <w:numId w:val="35"/>
        </w:numPr>
        <w:spacing w:before="40" w:after="200" w:line="276" w:lineRule="auto"/>
        <w:ind w:left="714" w:hanging="357"/>
        <w:contextualSpacing/>
        <w:jc w:val="both"/>
        <w:rPr>
          <w:rFonts w:eastAsia="Times New Roman"/>
          <w:noProof/>
        </w:rPr>
      </w:pPr>
      <w:r>
        <w:rPr>
          <w:noProof/>
        </w:rPr>
        <w:t>un acte législatif créant des concours spéciaux d'admission à l'enseignement supérieur pour les titulaires d'un double enseignement secondaire et de cours artistiques spécialisés;</w:t>
      </w:r>
    </w:p>
    <w:p w14:paraId="4AC28520" w14:textId="77777777" w:rsidR="006C686E" w:rsidRDefault="00B17E8C">
      <w:pPr>
        <w:pStyle w:val="P68B1DB1-Normal4"/>
        <w:numPr>
          <w:ilvl w:val="0"/>
          <w:numId w:val="35"/>
        </w:numPr>
        <w:spacing w:before="40" w:after="200" w:line="276" w:lineRule="auto"/>
        <w:ind w:left="714" w:hanging="357"/>
        <w:contextualSpacing/>
        <w:jc w:val="both"/>
        <w:rPr>
          <w:rFonts w:eastAsia="Times New Roman"/>
          <w:noProof/>
        </w:rPr>
      </w:pPr>
      <w:r>
        <w:rPr>
          <w:noProof/>
        </w:rPr>
        <w:t>la révision du cadre juridique et institutionnel régissant la coopération des établissements d'enseignement supérieur avec l'administration publique et les entreprises, y compris les mesures visant à:</w:t>
      </w:r>
    </w:p>
    <w:p w14:paraId="237A02AE" w14:textId="77777777" w:rsidR="006C686E" w:rsidRDefault="00B17E8C">
      <w:pPr>
        <w:pStyle w:val="P68B1DB1-Normal4"/>
        <w:numPr>
          <w:ilvl w:val="1"/>
          <w:numId w:val="35"/>
        </w:numPr>
        <w:spacing w:before="40" w:after="200" w:line="276" w:lineRule="auto"/>
        <w:contextualSpacing/>
        <w:jc w:val="both"/>
        <w:rPr>
          <w:rFonts w:eastAsia="Times New Roman"/>
          <w:noProof/>
        </w:rPr>
      </w:pPr>
      <w:r>
        <w:rPr>
          <w:noProof/>
        </w:rPr>
        <w:t>favoriser la collaboration interinstitutionnelle entre les établissements d’enseignement supérieur (EES) et les entreprises, attirer les étudiants adultes et élargir la couverture aux régions intérieures;</w:t>
      </w:r>
    </w:p>
    <w:p w14:paraId="1AC58FD3" w14:textId="77777777" w:rsidR="006C686E" w:rsidRDefault="00B17E8C">
      <w:pPr>
        <w:pStyle w:val="P68B1DB1-Normal4"/>
        <w:numPr>
          <w:ilvl w:val="1"/>
          <w:numId w:val="35"/>
        </w:numPr>
        <w:spacing w:before="40" w:after="200" w:line="276" w:lineRule="auto"/>
        <w:contextualSpacing/>
        <w:jc w:val="both"/>
        <w:rPr>
          <w:rFonts w:eastAsia="Times New Roman"/>
          <w:noProof/>
        </w:rPr>
      </w:pPr>
      <w:r>
        <w:rPr>
          <w:noProof/>
        </w:rPr>
        <w:t>des partenariats collaboratifs encourageant une large offre de cours d’enseignement supérieur, y compris des cours de formation de courte durée, des cours de premier cycle, des masters et des doctorats;</w:t>
      </w:r>
    </w:p>
    <w:p w14:paraId="282B577D" w14:textId="77777777" w:rsidR="006C686E" w:rsidRDefault="00B17E8C">
      <w:pPr>
        <w:pStyle w:val="P68B1DB1-Normal4"/>
        <w:numPr>
          <w:ilvl w:val="1"/>
          <w:numId w:val="35"/>
        </w:numPr>
        <w:spacing w:before="40" w:after="200" w:line="276" w:lineRule="auto"/>
        <w:contextualSpacing/>
        <w:jc w:val="both"/>
        <w:rPr>
          <w:rFonts w:eastAsia="Times New Roman"/>
          <w:noProof/>
        </w:rPr>
      </w:pPr>
      <w:r>
        <w:rPr>
          <w:noProof/>
        </w:rPr>
        <w:t>accroître l'offre de cours professionnels de haut niveau de courte durée gérés par des établissements d'enseignement supérieur polytechniques, en étroite coopération avec des entités publiques et privées;</w:t>
      </w:r>
    </w:p>
    <w:p w14:paraId="21C814FA" w14:textId="77777777" w:rsidR="006C686E" w:rsidRDefault="00B17E8C">
      <w:pPr>
        <w:pStyle w:val="P68B1DB1-Normal4"/>
        <w:keepNext/>
        <w:numPr>
          <w:ilvl w:val="1"/>
          <w:numId w:val="35"/>
        </w:numPr>
        <w:spacing w:before="40" w:after="200" w:line="276" w:lineRule="auto"/>
        <w:contextualSpacing/>
        <w:jc w:val="both"/>
        <w:rPr>
          <w:rFonts w:eastAsia="Times New Roman"/>
          <w:noProof/>
        </w:rPr>
      </w:pPr>
      <w:r>
        <w:rPr>
          <w:noProof/>
        </w:rPr>
        <w:t>élargir davantage la base de soutien de l’enseignement supérieur en facilitant l’accès aux établissements d’enseignement supérieur des étudiants du secondaire issus de domaines professionnels et artistiques;</w:t>
      </w:r>
    </w:p>
    <w:p w14:paraId="13D98800" w14:textId="77777777" w:rsidR="006C686E" w:rsidRDefault="00B17E8C">
      <w:pPr>
        <w:pStyle w:val="P68B1DB1-Normal4"/>
        <w:keepNext/>
        <w:numPr>
          <w:ilvl w:val="1"/>
          <w:numId w:val="35"/>
        </w:numPr>
        <w:spacing w:before="40" w:after="200" w:line="276" w:lineRule="auto"/>
        <w:contextualSpacing/>
        <w:jc w:val="both"/>
        <w:rPr>
          <w:rFonts w:eastAsia="Times New Roman"/>
          <w:noProof/>
        </w:rPr>
      </w:pPr>
      <w:r>
        <w:rPr>
          <w:noProof/>
        </w:rPr>
        <w:t>renforcer les inscriptions aux cours d’enseignement supérieur dans les domaines numériques, notamment par l’intermédiaire du programme Portugal Digital InCoDe2030, en étroite coopération avec des entités publiques et privées;</w:t>
      </w:r>
    </w:p>
    <w:p w14:paraId="1B431EED" w14:textId="77777777" w:rsidR="006C686E" w:rsidRDefault="00B17E8C">
      <w:pPr>
        <w:pStyle w:val="P68B1DB1-Normal4"/>
        <w:keepNext/>
        <w:numPr>
          <w:ilvl w:val="1"/>
          <w:numId w:val="35"/>
        </w:numPr>
        <w:spacing w:before="40" w:after="200" w:line="276" w:lineRule="auto"/>
        <w:contextualSpacing/>
        <w:jc w:val="both"/>
        <w:rPr>
          <w:rFonts w:eastAsia="Times New Roman"/>
          <w:noProof/>
        </w:rPr>
      </w:pPr>
      <w:r>
        <w:rPr>
          <w:noProof/>
        </w:rPr>
        <w:t>stimuler la formation modulaire, qui favorise l’apprentissage continu et l’acquisition de nouvelles compétences avec des «microcertifications/microdiplômes», en étroite collaboration avec des entités publiques et privées;</w:t>
      </w:r>
    </w:p>
    <w:p w14:paraId="7906230A" w14:textId="77777777" w:rsidR="006C686E" w:rsidRDefault="00B17E8C">
      <w:pPr>
        <w:pStyle w:val="P68B1DB1-Normal4"/>
        <w:keepNext/>
        <w:numPr>
          <w:ilvl w:val="1"/>
          <w:numId w:val="35"/>
        </w:numPr>
        <w:spacing w:before="40" w:after="200" w:line="276" w:lineRule="auto"/>
        <w:contextualSpacing/>
        <w:jc w:val="both"/>
        <w:rPr>
          <w:rFonts w:eastAsia="Times New Roman"/>
          <w:noProof/>
        </w:rPr>
      </w:pPr>
      <w:r>
        <w:rPr>
          <w:noProof/>
        </w:rPr>
        <w:t>étendre la coopération entre les établissements d'enseignement supérieur, les laboratoires et les centres d'interface technologique;</w:t>
      </w:r>
    </w:p>
    <w:p w14:paraId="7B7B38A1" w14:textId="77777777" w:rsidR="006C686E" w:rsidRDefault="00B17E8C">
      <w:pPr>
        <w:pStyle w:val="P68B1DB1-Normal4"/>
        <w:keepNext/>
        <w:numPr>
          <w:ilvl w:val="1"/>
          <w:numId w:val="36"/>
        </w:numPr>
        <w:spacing w:before="40" w:after="200" w:line="276" w:lineRule="auto"/>
        <w:contextualSpacing/>
        <w:jc w:val="both"/>
        <w:rPr>
          <w:rFonts w:eastAsia="Times New Roman"/>
          <w:noProof/>
        </w:rPr>
      </w:pPr>
      <w:r>
        <w:rPr>
          <w:noProof/>
        </w:rPr>
        <w:t>modification du statut juridique afin de clarifier les conditions dans lesquelles un spécialiste externe peut exercer des fonctions d'enseignement ou de gestion dans les établissements d'enseignement supérieur, afin de promouvoir la mobilité entre le monde universitaire et le monde des affaires; et</w:t>
      </w:r>
    </w:p>
    <w:p w14:paraId="41387E63" w14:textId="77777777" w:rsidR="006C686E" w:rsidRDefault="00B17E8C">
      <w:pPr>
        <w:pStyle w:val="P68B1DB1-Normal4"/>
        <w:keepNext/>
        <w:numPr>
          <w:ilvl w:val="1"/>
          <w:numId w:val="36"/>
        </w:numPr>
        <w:spacing w:before="40" w:after="200" w:line="276" w:lineRule="auto"/>
        <w:contextualSpacing/>
        <w:jc w:val="both"/>
        <w:rPr>
          <w:rFonts w:eastAsia="Times New Roman"/>
          <w:noProof/>
        </w:rPr>
      </w:pPr>
      <w:r>
        <w:rPr>
          <w:noProof/>
        </w:rPr>
        <w:t>renforcer le cadre juridique des consortiums en gestion partagée entre les établissements d'enseignement supérieur et les entreprises.</w:t>
      </w:r>
    </w:p>
    <w:p w14:paraId="2F556638" w14:textId="38313E04" w:rsidR="006C686E" w:rsidRDefault="00B17E8C">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30 juin 2021.</w:t>
      </w:r>
    </w:p>
    <w:p w14:paraId="7A3F4C68" w14:textId="77777777" w:rsidR="006C686E" w:rsidRDefault="00B17E8C">
      <w:pPr>
        <w:pStyle w:val="P68B1DB1-Normal5"/>
        <w:keepNext/>
        <w:spacing w:before="240" w:after="0"/>
        <w:ind w:left="851"/>
        <w:jc w:val="both"/>
        <w:outlineLvl w:val="3"/>
        <w:rPr>
          <w:rFonts w:eastAsia="Times New Roman"/>
          <w:noProof/>
        </w:rPr>
      </w:pPr>
      <w:r>
        <w:rPr>
          <w:noProof/>
        </w:rPr>
        <w:t>Réforme RE-r16: Réduction des restrictions dans les professions hautement réglementées</w:t>
      </w:r>
    </w:p>
    <w:p w14:paraId="6963185B" w14:textId="77777777" w:rsidR="006C686E" w:rsidRDefault="00B17E8C">
      <w:pPr>
        <w:pStyle w:val="P68B1DB1-Normal4"/>
        <w:spacing w:before="40" w:after="0"/>
        <w:jc w:val="both"/>
        <w:rPr>
          <w:rFonts w:eastAsia="Times New Roman"/>
          <w:noProof/>
        </w:rPr>
      </w:pPr>
      <w:r>
        <w:rPr>
          <w:noProof/>
        </w:rPr>
        <w:t xml:space="preserve">L'objectif de cette réforme est de réduire les restrictions dans les professions hautement réglementées, principalement pour favoriser la concurrence dans la fourniture de services aux entreprises. </w:t>
      </w:r>
    </w:p>
    <w:p w14:paraId="19AA4E87" w14:textId="77777777" w:rsidR="006C686E" w:rsidRDefault="00B17E8C">
      <w:pPr>
        <w:pStyle w:val="P68B1DB1-Normal4"/>
        <w:spacing w:before="40" w:after="0"/>
        <w:jc w:val="both"/>
        <w:rPr>
          <w:rFonts w:eastAsia="Times New Roman"/>
          <w:noProof/>
        </w:rPr>
      </w:pPr>
      <w:r>
        <w:rPr>
          <w:noProof/>
        </w:rPr>
        <w:t xml:space="preserve">En 2018, l’OCDE, en coopération avec l’Autorité portugaise de la concurrence (AdC), a procédé à une évaluation d’un nombre limité de professions autoréglementées telles que les avocats, les solicitors, les ingénieurs, les architectes, les auditeurs, les comptables, les économistes, les pharmaciens et les nutritionnistes. À partir de l'évaluation réalisée, une liste de recommandations a été établie. Dans le cadre de cette réforme, le Portugal répondra aux recommandations de l’OCDE et du comité ad hoc. </w:t>
      </w:r>
    </w:p>
    <w:p w14:paraId="359340FF" w14:textId="77777777" w:rsidR="006C686E" w:rsidRDefault="00B17E8C">
      <w:pPr>
        <w:pStyle w:val="P68B1DB1-Normal4"/>
        <w:spacing w:before="40" w:after="0"/>
        <w:jc w:val="both"/>
        <w:rPr>
          <w:rFonts w:eastAsia="Times New Roman"/>
          <w:noProof/>
        </w:rPr>
      </w:pPr>
      <w:r>
        <w:rPr>
          <w:noProof/>
        </w:rPr>
        <w:t xml:space="preserve">La réforme doit au moins: i) séparer les fonctions de réglementation et de représentation dans les associations professionnelles; ii) réduire la liste des activités réservées (l'accès aux activités réservées ne peut être limité qu'à la sauvegarde des intérêts constitutionnels, conformément aux principes de nécessité et de proportionnalité); iii) mettre fin aux restrictions à la propriété et à la gestion des entreprises de services aux entreprises, à condition que les dirigeants respectent le régime juridique de prévention des «conflits d’intérêts»; et iv) autoriser les entreprises de services aux entreprises multidisciplinaires. </w:t>
      </w:r>
    </w:p>
    <w:p w14:paraId="6D315A10" w14:textId="77777777" w:rsidR="006C686E" w:rsidRDefault="00B17E8C">
      <w:pPr>
        <w:pStyle w:val="P68B1DB1-Normal4"/>
        <w:spacing w:before="40" w:after="0"/>
        <w:jc w:val="both"/>
        <w:rPr>
          <w:rFonts w:eastAsia="Times New Roman"/>
          <w:noProof/>
        </w:rPr>
      </w:pPr>
      <w:r>
        <w:rPr>
          <w:noProof/>
        </w:rPr>
        <w:t xml:space="preserve">L’AdC est également chargé de présenter un rapport sur l’efficacité de la nouvelle loi sur les professions réglementées. </w:t>
      </w:r>
    </w:p>
    <w:p w14:paraId="19591971" w14:textId="278B3A4B" w:rsidR="006C686E" w:rsidRDefault="00B17E8C">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décembre 2022.</w:t>
      </w:r>
    </w:p>
    <w:p w14:paraId="0A31C0D2" w14:textId="77777777" w:rsidR="006C686E" w:rsidRDefault="00B17E8C">
      <w:pPr>
        <w:pStyle w:val="P68B1DB1-Normal5"/>
        <w:keepNext/>
        <w:spacing w:before="240" w:after="0"/>
        <w:ind w:left="851"/>
        <w:jc w:val="both"/>
        <w:outlineLvl w:val="3"/>
        <w:rPr>
          <w:rFonts w:eastAsia="Times New Roman"/>
          <w:noProof/>
        </w:rPr>
      </w:pPr>
      <w:r>
        <w:rPr>
          <w:noProof/>
        </w:rPr>
        <w:t>Réforme RE-r17: Programme pour la promotion du travail décent</w:t>
      </w:r>
    </w:p>
    <w:p w14:paraId="31BEF7AE" w14:textId="77777777" w:rsidR="006C686E" w:rsidRDefault="00B17E8C">
      <w:pPr>
        <w:pStyle w:val="P68B1DB1-Normal4"/>
        <w:spacing w:before="40" w:after="0"/>
        <w:jc w:val="both"/>
        <w:rPr>
          <w:rFonts w:eastAsia="Times New Roman"/>
          <w:noProof/>
        </w:rPr>
      </w:pPr>
      <w:r>
        <w:rPr>
          <w:noProof/>
        </w:rPr>
        <w:t>L’objectif de cette réforme est de s’appuyer sur les mesures adoptées ces dernières années (telles que celles relatives à la segmentation du marché du travail et à la promotion de la négociation collective) pour protéger les droits des travailleurs.</w:t>
      </w:r>
    </w:p>
    <w:p w14:paraId="06309B51" w14:textId="77777777" w:rsidR="006C686E" w:rsidRDefault="00B17E8C">
      <w:pPr>
        <w:pStyle w:val="P68B1DB1-Normal4"/>
        <w:spacing w:before="40" w:after="0"/>
        <w:jc w:val="both"/>
        <w:rPr>
          <w:rFonts w:eastAsia="Times New Roman"/>
          <w:noProof/>
        </w:rPr>
      </w:pPr>
      <w:r>
        <w:rPr>
          <w:noProof/>
        </w:rPr>
        <w:t xml:space="preserve">Après la présentation du livre vert sur l’avenir du travail par le gouvernement, cette réforme comprendra un acte législatif visant à réglementer le travail via une plateforme afin de relever les nouveaux défis créés par les relations de travail atypiques, conformément aux principes du socle européen des droits sociaux. Elle renforce la qualité des relations de travail et améliore l'accès aux droits et à la protection sociale. </w:t>
      </w:r>
    </w:p>
    <w:p w14:paraId="11C32262" w14:textId="1FE77EFD" w:rsidR="006C686E" w:rsidRDefault="00B17E8C">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mars 2023.</w:t>
      </w:r>
    </w:p>
    <w:p w14:paraId="060AC6AC" w14:textId="77777777" w:rsidR="006C686E" w:rsidRDefault="00B17E8C">
      <w:pPr>
        <w:pStyle w:val="P68B1DB1-Normal5"/>
        <w:keepNext/>
        <w:spacing w:before="240" w:after="0"/>
        <w:ind w:left="851"/>
        <w:jc w:val="both"/>
        <w:outlineLvl w:val="3"/>
        <w:rPr>
          <w:rFonts w:eastAsia="Times New Roman"/>
          <w:noProof/>
        </w:rPr>
      </w:pPr>
      <w:r>
        <w:rPr>
          <w:noProof/>
        </w:rPr>
        <w:t>Réforme RE-r18: Lutter contre les inégalités entre les femmes et les hommes</w:t>
      </w:r>
    </w:p>
    <w:p w14:paraId="66746962" w14:textId="77777777" w:rsidR="006C686E" w:rsidRDefault="00B17E8C">
      <w:pPr>
        <w:pStyle w:val="P68B1DB1-Normal4"/>
        <w:spacing w:before="40" w:after="0"/>
        <w:jc w:val="both"/>
        <w:rPr>
          <w:noProof/>
        </w:rPr>
      </w:pPr>
      <w:r>
        <w:rPr>
          <w:noProof/>
        </w:rPr>
        <w:t xml:space="preserve">L’objectif de cette réforme est de promouvoir l’égalité entre les femmes et les hommes dans les milieux de travail. </w:t>
      </w:r>
    </w:p>
    <w:p w14:paraId="1AFBB796" w14:textId="79889C9F" w:rsidR="006C686E" w:rsidRDefault="00B17E8C">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réforme consiste en la publication d’une norme qui fournit des lignes directrices aux entreprises pour évaluer leurs politiques de rémunération en ce qui concerne l’égalité entre les hommes et les femmes et en l’entrée en vigueur d’un acte réglementaire attribuant un label aux entreprises présentant un écart de rémunération étroit entre les hommes et les femmes. La mise en œuvre de la réforme est achevée au plus tard</w:t>
      </w:r>
      <w:r>
        <w:rPr>
          <w:rFonts w:ascii="Times New Roman" w:hAnsi="Times New Roman"/>
          <w:noProof/>
        </w:rPr>
        <w:t> </w:t>
      </w:r>
      <w:r>
        <w:rPr>
          <w:rFonts w:ascii="Times New Roman" w:eastAsia="Calibri" w:hAnsi="Times New Roman" w:cs="Times New Roman"/>
          <w:noProof/>
          <w:kern w:val="0"/>
          <w14:ligatures w14:val="none"/>
        </w:rPr>
        <w:t>le 31 décembre 2024.</w:t>
      </w:r>
    </w:p>
    <w:p w14:paraId="45BEA6F2" w14:textId="77777777" w:rsidR="006C686E" w:rsidRDefault="00B17E8C">
      <w:pPr>
        <w:pStyle w:val="P68B1DB1-Normal5"/>
        <w:keepNext/>
        <w:spacing w:before="240" w:after="0"/>
        <w:ind w:left="851"/>
        <w:jc w:val="both"/>
        <w:outlineLvl w:val="3"/>
        <w:rPr>
          <w:rFonts w:eastAsia="Times New Roman"/>
          <w:noProof/>
        </w:rPr>
      </w:pPr>
      <w:r>
        <w:rPr>
          <w:noProof/>
        </w:rPr>
        <w:t>Investissement RE-C06-i01: Modernisation des établissements d'enseignement et de formation professionnels</w:t>
      </w:r>
    </w:p>
    <w:p w14:paraId="3E176742" w14:textId="77777777" w:rsidR="006C686E" w:rsidRDefault="00B17E8C">
      <w:pPr>
        <w:pStyle w:val="P68B1DB1-Normal3"/>
        <w:spacing w:before="40" w:after="0"/>
        <w:jc w:val="both"/>
        <w:rPr>
          <w:noProof/>
          <w:kern w:val="0"/>
          <w14:ligatures w14:val="none"/>
        </w:rPr>
      </w:pPr>
      <w:r>
        <w:rPr>
          <w:noProof/>
          <w:kern w:val="0"/>
          <w14:ligatures w14:val="none"/>
        </w:rPr>
        <w:t>L'objectif de cet investissement est de moderniser l'enseignement professionnel au Portugal.</w:t>
      </w:r>
      <w:r>
        <w:rPr>
          <w:noProof/>
        </w:rPr>
        <w:t xml:space="preserve"> </w:t>
      </w:r>
      <w:r>
        <w:rPr>
          <w:noProof/>
          <w:kern w:val="0"/>
          <w14:ligatures w14:val="none"/>
        </w:rPr>
        <w:t xml:space="preserve"> </w:t>
      </w:r>
    </w:p>
    <w:p w14:paraId="22E1248C" w14:textId="77777777" w:rsidR="006C686E" w:rsidRDefault="00B17E8C">
      <w:pPr>
        <w:pStyle w:val="P68B1DB1-Normal3"/>
        <w:spacing w:before="40" w:after="0"/>
        <w:jc w:val="both"/>
        <w:rPr>
          <w:rFonts w:eastAsia="Times New Roman"/>
          <w:noProof/>
        </w:rPr>
      </w:pPr>
      <w:r>
        <w:rPr>
          <w:noProof/>
          <w:kern w:val="0"/>
          <w14:ligatures w14:val="none"/>
        </w:rPr>
        <w:t xml:space="preserve">Cet investissement consiste en la construction, la rénovation ou l'achat </w:t>
      </w:r>
      <w:r>
        <w:rPr>
          <w:noProof/>
        </w:rPr>
        <w:t>d'équipements pour les centres de technologie spécialisée ou pour les centres de formation du réseau du service public de l'emploi (IEFP) ou pour les écoles du réseau de l'autorité nationale du tourisme (Turismo de Portugal).</w:t>
      </w:r>
      <w:r>
        <w:rPr>
          <w:noProof/>
          <w:kern w:val="0"/>
          <w14:ligatures w14:val="none"/>
        </w:rPr>
        <w:t xml:space="preserve"> </w:t>
      </w:r>
    </w:p>
    <w:p w14:paraId="3243D2F8" w14:textId="77777777" w:rsidR="006C686E" w:rsidRDefault="00B17E8C">
      <w:pPr>
        <w:pStyle w:val="P68B1DB1-Normal5"/>
        <w:keepNext/>
        <w:spacing w:before="240" w:after="0"/>
        <w:ind w:left="851"/>
        <w:jc w:val="both"/>
        <w:outlineLvl w:val="3"/>
        <w:rPr>
          <w:rFonts w:eastAsia="Times New Roman"/>
          <w:noProof/>
        </w:rPr>
      </w:pPr>
      <w:r>
        <w:rPr>
          <w:noProof/>
        </w:rPr>
        <w:t>Investissement RE-C06-i02: Engagement en faveur de l'emploi durable</w:t>
      </w:r>
    </w:p>
    <w:p w14:paraId="6F015233" w14:textId="77777777" w:rsidR="006C686E" w:rsidRDefault="00B17E8C">
      <w:pPr>
        <w:pStyle w:val="P68B1DB1-Normal4"/>
        <w:spacing w:before="120" w:after="0"/>
        <w:jc w:val="both"/>
        <w:rPr>
          <w:noProof/>
        </w:rPr>
      </w:pPr>
      <w:r>
        <w:rPr>
          <w:noProof/>
        </w:rPr>
        <w:t xml:space="preserve">L'investissement vise à réduire l'emploi précaire. </w:t>
      </w:r>
    </w:p>
    <w:p w14:paraId="20BB7420" w14:textId="77777777" w:rsidR="006C686E" w:rsidRDefault="00B17E8C">
      <w:pPr>
        <w:pStyle w:val="P68B1DB1-Normal4"/>
        <w:spacing w:before="120" w:after="0"/>
        <w:jc w:val="both"/>
        <w:rPr>
          <w:noProof/>
        </w:rPr>
      </w:pPr>
      <w:r>
        <w:rPr>
          <w:noProof/>
        </w:rPr>
        <w:t>L’investissement consiste à fournir un soutien dans le cadre de l’initiative relative à l’engagement en faveur de l’emploi durable adoptée par l’arrêté gouvernemental no 38/2022.</w:t>
      </w:r>
    </w:p>
    <w:p w14:paraId="5262C45E" w14:textId="77777777" w:rsidR="006C686E" w:rsidRDefault="00B17E8C">
      <w:pPr>
        <w:pStyle w:val="P68B1DB1-Normal5"/>
        <w:keepNext/>
        <w:spacing w:before="240" w:after="0"/>
        <w:ind w:left="851"/>
        <w:jc w:val="both"/>
        <w:outlineLvl w:val="3"/>
        <w:rPr>
          <w:rFonts w:eastAsia="Times New Roman"/>
          <w:noProof/>
        </w:rPr>
      </w:pPr>
      <w:r>
        <w:rPr>
          <w:noProof/>
        </w:rPr>
        <w:t>Investissement RE-C06-i03: Incitation pour adultes</w:t>
      </w:r>
    </w:p>
    <w:p w14:paraId="321434B3" w14:textId="77777777" w:rsidR="006C686E" w:rsidRDefault="00B17E8C">
      <w:pPr>
        <w:pStyle w:val="P68B1DB1-Normal3"/>
        <w:spacing w:before="40" w:after="0"/>
        <w:jc w:val="both"/>
        <w:rPr>
          <w:noProof/>
          <w:kern w:val="0"/>
          <w14:ligatures w14:val="none"/>
        </w:rPr>
      </w:pPr>
      <w:r>
        <w:rPr>
          <w:noProof/>
          <w:kern w:val="0"/>
          <w14:ligatures w14:val="none"/>
        </w:rPr>
        <w:t xml:space="preserve">L'objectif de cet investissement est d'augmenter les niveaux de qualification  de la population adulte. </w:t>
      </w:r>
    </w:p>
    <w:p w14:paraId="4C3675BE" w14:textId="79831333" w:rsidR="006C686E" w:rsidRDefault="00B17E8C">
      <w:pPr>
        <w:pStyle w:val="P68B1DB1-Normal3"/>
        <w:spacing w:before="40" w:after="0"/>
        <w:jc w:val="both"/>
        <w:rPr>
          <w:rFonts w:eastAsia="Times New Roman"/>
          <w:noProof/>
          <w:kern w:val="0"/>
          <w14:ligatures w14:val="none"/>
        </w:rPr>
      </w:pPr>
      <w:r>
        <w:rPr>
          <w:noProof/>
        </w:rPr>
        <w:t>Cet investissement comprend la participation à des cours de niveaux de base B1, B2, B3 enregistrés dans la plateforme SIGO, des conditions d'acceptation signées pour le financement de la participation à des cours de reconnaissance, de validation et de certification des compétences (RVCC), et la participation à des cours organisés par des établissements d'enseignement supérieur ou des employeurs.</w:t>
      </w:r>
    </w:p>
    <w:p w14:paraId="604FD522" w14:textId="77777777" w:rsidR="006C686E" w:rsidRDefault="00B17E8C">
      <w:pPr>
        <w:pStyle w:val="P68B1DB1-Normal5"/>
        <w:keepNext/>
        <w:spacing w:before="240" w:after="0"/>
        <w:ind w:left="851"/>
        <w:jc w:val="both"/>
        <w:outlineLvl w:val="3"/>
        <w:rPr>
          <w:rFonts w:eastAsia="Times New Roman"/>
          <w:noProof/>
        </w:rPr>
      </w:pPr>
      <w:r>
        <w:rPr>
          <w:noProof/>
        </w:rPr>
        <w:t>Investissement RE-C06-i04: Impulsion de jeunesse – STEAM</w:t>
      </w:r>
    </w:p>
    <w:p w14:paraId="71B074C1" w14:textId="77777777" w:rsidR="006C686E" w:rsidRDefault="00B17E8C">
      <w:pPr>
        <w:pStyle w:val="P68B1DB1-Normal3"/>
        <w:spacing w:before="40" w:after="0"/>
        <w:jc w:val="both"/>
        <w:rPr>
          <w:rFonts w:eastAsia="Times New Roman"/>
          <w:noProof/>
          <w:kern w:val="0"/>
          <w14:ligatures w14:val="none"/>
        </w:rPr>
      </w:pPr>
      <w:r>
        <w:rPr>
          <w:noProof/>
          <w:kern w:val="0"/>
          <w14:ligatures w14:val="none"/>
        </w:rPr>
        <w:t xml:space="preserve">L’objectif de cette mesure est de </w:t>
      </w:r>
      <w:r>
        <w:rPr>
          <w:noProof/>
        </w:rPr>
        <w:t>soutenir les cours</w:t>
      </w:r>
      <w:r>
        <w:rPr>
          <w:noProof/>
          <w:kern w:val="0"/>
          <w14:ligatures w14:val="none"/>
        </w:rPr>
        <w:t xml:space="preserve"> de sciences, de technologie, d’ingénierie, d’arts et de mathématiques (STEAM) et</w:t>
      </w:r>
      <w:r>
        <w:rPr>
          <w:noProof/>
        </w:rPr>
        <w:t xml:space="preserve"> de promouvoir les sciences dans les écoles au Portugal.</w:t>
      </w:r>
    </w:p>
    <w:p w14:paraId="197C168A" w14:textId="77777777" w:rsidR="006C686E" w:rsidRDefault="00B17E8C">
      <w:pPr>
        <w:pStyle w:val="P68B1DB1-Normal3"/>
        <w:spacing w:before="40" w:after="0"/>
        <w:jc w:val="both"/>
        <w:rPr>
          <w:rFonts w:eastAsia="Times New Roman"/>
          <w:noProof/>
          <w:kern w:val="0"/>
          <w14:ligatures w14:val="none"/>
        </w:rPr>
      </w:pPr>
      <w:r>
        <w:rPr>
          <w:noProof/>
          <w:kern w:val="0"/>
          <w14:ligatures w14:val="none"/>
        </w:rPr>
        <w:t>Cet investissement</w:t>
      </w:r>
      <w:r>
        <w:rPr>
          <w:noProof/>
        </w:rPr>
        <w:t xml:space="preserve"> consiste à accréditer ou à enregistrer des cours en STEAM et à soutenir les clubs Ciência Viva. </w:t>
      </w:r>
    </w:p>
    <w:p w14:paraId="48795A83" w14:textId="77777777" w:rsidR="006C686E" w:rsidRDefault="00B17E8C">
      <w:pPr>
        <w:pStyle w:val="P68B1DB1-Normal5"/>
        <w:keepNext/>
        <w:spacing w:before="240" w:after="0"/>
        <w:ind w:left="851"/>
        <w:jc w:val="both"/>
        <w:outlineLvl w:val="3"/>
        <w:rPr>
          <w:rFonts w:eastAsia="Times New Roman"/>
          <w:noProof/>
        </w:rPr>
      </w:pPr>
      <w:r>
        <w:rPr>
          <w:noProof/>
        </w:rPr>
        <w:t>Investissement RE-C06-i05-RAA: Qualification des adultes et apprentissage tout au long de la vie (ARA)</w:t>
      </w:r>
    </w:p>
    <w:p w14:paraId="72923E23" w14:textId="77777777" w:rsidR="006C686E" w:rsidRDefault="00B17E8C">
      <w:pPr>
        <w:pStyle w:val="P68B1DB1-Normal3"/>
        <w:spacing w:before="40" w:after="0"/>
        <w:jc w:val="both"/>
        <w:rPr>
          <w:noProof/>
          <w:kern w:val="0"/>
          <w14:ligatures w14:val="none"/>
        </w:rPr>
      </w:pPr>
      <w:r>
        <w:rPr>
          <w:noProof/>
          <w:kern w:val="0"/>
          <w14:ligatures w14:val="none"/>
        </w:rPr>
        <w:t xml:space="preserve">L'objectif de cette </w:t>
      </w:r>
      <w:r>
        <w:rPr>
          <w:noProof/>
        </w:rPr>
        <w:t xml:space="preserve">mesure </w:t>
      </w:r>
      <w:r>
        <w:rPr>
          <w:noProof/>
          <w:kern w:val="0"/>
          <w14:ligatures w14:val="none"/>
        </w:rPr>
        <w:t xml:space="preserve">est de contribuer à </w:t>
      </w:r>
      <w:r>
        <w:rPr>
          <w:noProof/>
        </w:rPr>
        <w:t xml:space="preserve"> </w:t>
      </w:r>
      <w:r>
        <w:rPr>
          <w:noProof/>
          <w:kern w:val="0"/>
          <w14:ligatures w14:val="none"/>
        </w:rPr>
        <w:t xml:space="preserve">remédier aux </w:t>
      </w:r>
      <w:r>
        <w:rPr>
          <w:noProof/>
        </w:rPr>
        <w:t>faibles</w:t>
      </w:r>
      <w:r>
        <w:rPr>
          <w:noProof/>
          <w:kern w:val="0"/>
          <w14:ligatures w14:val="none"/>
        </w:rPr>
        <w:t xml:space="preserve"> niveaux de qualification dans la région autonome des Açores. </w:t>
      </w:r>
    </w:p>
    <w:p w14:paraId="6F66A9CA" w14:textId="77777777" w:rsidR="006C686E" w:rsidRDefault="00B17E8C">
      <w:pPr>
        <w:pStyle w:val="P68B1DB1-Normal3"/>
        <w:spacing w:before="40" w:after="0"/>
        <w:jc w:val="both"/>
        <w:rPr>
          <w:noProof/>
        </w:rPr>
      </w:pPr>
      <w:r>
        <w:rPr>
          <w:noProof/>
          <w:kern w:val="0"/>
          <w14:ligatures w14:val="none"/>
        </w:rPr>
        <w:t>Cet investissement consiste</w:t>
      </w:r>
      <w:r>
        <w:rPr>
          <w:noProof/>
        </w:rPr>
        <w:t xml:space="preserve"> en la publication d’une liste de soutien aux personnes dans le cadre du programme «Qualifica.Superior» et en la rénovation ou l’achat d’équipements pour les écoles des Açores.</w:t>
      </w:r>
    </w:p>
    <w:p w14:paraId="508CABEF" w14:textId="77777777" w:rsidR="006C686E" w:rsidRDefault="00B17E8C">
      <w:pPr>
        <w:pStyle w:val="P68B1DB1-Normal5"/>
        <w:keepNext/>
        <w:spacing w:before="240" w:after="0"/>
        <w:ind w:left="851"/>
        <w:jc w:val="both"/>
        <w:outlineLvl w:val="3"/>
        <w:rPr>
          <w:rFonts w:eastAsia="Times New Roman"/>
          <w:noProof/>
        </w:rPr>
      </w:pPr>
      <w:r>
        <w:rPr>
          <w:noProof/>
        </w:rPr>
        <w:t>Investissement RE-C06-i06: Capacités en sciences</w:t>
      </w:r>
    </w:p>
    <w:p w14:paraId="3FACCBE9" w14:textId="77777777" w:rsidR="006C686E" w:rsidRDefault="00B17E8C">
      <w:pPr>
        <w:pStyle w:val="P68B1DB1-Normal3"/>
        <w:spacing w:after="0"/>
        <w:jc w:val="both"/>
        <w:rPr>
          <w:noProof/>
        </w:rPr>
      </w:pPr>
      <w:r>
        <w:rPr>
          <w:noProof/>
          <w:kern w:val="0"/>
          <w14:ligatures w14:val="none"/>
        </w:rPr>
        <w:t>Cet investissement vise à encourager la recherche scientifique dans les établissements d’enseignement supérieur.</w:t>
      </w:r>
      <w:r>
        <w:rPr>
          <w:noProof/>
        </w:rPr>
        <w:t xml:space="preserve"> </w:t>
      </w:r>
    </w:p>
    <w:p w14:paraId="63178C8C" w14:textId="77777777" w:rsidR="006C686E" w:rsidRDefault="00B17E8C">
      <w:pPr>
        <w:pStyle w:val="P68B1DB1-Normal3"/>
        <w:spacing w:after="0"/>
        <w:jc w:val="both"/>
        <w:rPr>
          <w:rFonts w:eastAsia="Symbol"/>
          <w:noProof/>
          <w:kern w:val="0"/>
          <w14:ligatures w14:val="none"/>
        </w:rPr>
      </w:pPr>
      <w:r>
        <w:rPr>
          <w:noProof/>
        </w:rPr>
        <w:t>Cet investissement consiste en un soutien financier aux personnes qui entreprennent des activités de recherche et à la mobilité universitaire internationale.</w:t>
      </w:r>
    </w:p>
    <w:p w14:paraId="1977CE13" w14:textId="77777777" w:rsidR="006C686E" w:rsidRDefault="00B17E8C">
      <w:pPr>
        <w:pStyle w:val="P68B1DB1-Normal5"/>
        <w:keepNext/>
        <w:spacing w:before="240" w:after="0"/>
        <w:ind w:left="851"/>
        <w:jc w:val="both"/>
        <w:outlineLvl w:val="3"/>
        <w:rPr>
          <w:noProof/>
        </w:rPr>
      </w:pPr>
      <w:r>
        <w:rPr>
          <w:noProof/>
        </w:rPr>
        <w:t>Investissement RE-C06-i07: Plus d'impulsion numérique</w:t>
      </w:r>
    </w:p>
    <w:p w14:paraId="24296201" w14:textId="77777777" w:rsidR="006C686E" w:rsidRDefault="00B17E8C">
      <w:pPr>
        <w:pStyle w:val="P68B1DB1-Normal3"/>
        <w:spacing w:after="0"/>
        <w:jc w:val="both"/>
        <w:rPr>
          <w:noProof/>
          <w:kern w:val="0"/>
          <w14:ligatures w14:val="none"/>
        </w:rPr>
      </w:pPr>
      <w:r>
        <w:rPr>
          <w:noProof/>
          <w:kern w:val="0"/>
          <w14:ligatures w14:val="none"/>
        </w:rPr>
        <w:t xml:space="preserve">Les objectifs de la mesure sont d’accroître l’attractivité des sciences agraires, </w:t>
      </w:r>
      <w:r>
        <w:rPr>
          <w:noProof/>
        </w:rPr>
        <w:t xml:space="preserve">l’adoption des avancées numériques et technologiques dans les </w:t>
      </w:r>
      <w:r>
        <w:rPr>
          <w:noProof/>
          <w:kern w:val="0"/>
          <w14:ligatures w14:val="none"/>
        </w:rPr>
        <w:t>sciences médicales, la formation aux compétences numériques</w:t>
      </w:r>
      <w:r>
        <w:rPr>
          <w:noProof/>
        </w:rPr>
        <w:t xml:space="preserve"> et</w:t>
      </w:r>
      <w:r>
        <w:rPr>
          <w:noProof/>
          <w:kern w:val="0"/>
          <w14:ligatures w14:val="none"/>
        </w:rPr>
        <w:t xml:space="preserve"> </w:t>
      </w:r>
      <w:r>
        <w:rPr>
          <w:noProof/>
        </w:rPr>
        <w:t>la réduction du décrochage scolaire.</w:t>
      </w:r>
      <w:r>
        <w:rPr>
          <w:noProof/>
          <w:kern w:val="0"/>
          <w14:ligatures w14:val="none"/>
        </w:rPr>
        <w:t xml:space="preserve"> </w:t>
      </w:r>
    </w:p>
    <w:p w14:paraId="62A1958E" w14:textId="77777777" w:rsidR="006C686E" w:rsidRDefault="00B17E8C">
      <w:pPr>
        <w:pStyle w:val="P68B1DB1-Normal3"/>
        <w:spacing w:after="0"/>
        <w:jc w:val="both"/>
        <w:rPr>
          <w:noProof/>
          <w:kern w:val="0"/>
          <w14:ligatures w14:val="none"/>
        </w:rPr>
      </w:pPr>
      <w:r>
        <w:rPr>
          <w:noProof/>
        </w:rPr>
        <w:t>Cet investissement consiste en l’accréditation de cours d’enseignement supérieur en sciences agraires, en une formation aux compétences numériques et en un soutien financier à des entités ou à des projets visant à réduire le décrochage scolaire.</w:t>
      </w:r>
    </w:p>
    <w:p w14:paraId="6BF35694" w14:textId="77777777" w:rsidR="006C686E" w:rsidRDefault="006C686E">
      <w:pPr>
        <w:spacing w:before="40" w:after="0"/>
        <w:jc w:val="both"/>
        <w:rPr>
          <w:rFonts w:ascii="Times New Roman" w:eastAsia="Times New Roman" w:hAnsi="Times New Roman" w:cs="Times New Roman"/>
          <w:noProof/>
          <w:kern w:val="0"/>
          <w14:ligatures w14:val="none"/>
        </w:rPr>
      </w:pPr>
    </w:p>
    <w:p w14:paraId="714D5E7A" w14:textId="77777777" w:rsidR="006C686E" w:rsidRDefault="006C686E">
      <w:pPr>
        <w:spacing w:before="40" w:after="0"/>
        <w:jc w:val="both"/>
        <w:rPr>
          <w:rFonts w:ascii="Times New Roman" w:eastAsia="Times New Roman" w:hAnsi="Times New Roman" w:cs="Times New Roman"/>
          <w:noProof/>
          <w:kern w:val="0"/>
          <w14:ligatures w14:val="none"/>
        </w:rPr>
      </w:pPr>
    </w:p>
    <w:p w14:paraId="402E721F" w14:textId="77777777" w:rsidR="006C686E" w:rsidRDefault="006C686E">
      <w:pPr>
        <w:keepNext/>
        <w:spacing w:before="40" w:after="0"/>
        <w:ind w:left="130" w:firstLine="720"/>
        <w:jc w:val="both"/>
        <w:outlineLvl w:val="2"/>
        <w:rPr>
          <w:rFonts w:ascii="Times New Roman" w:eastAsia="Times New Roman" w:hAnsi="Times New Roman" w:cs="Times New Roman"/>
          <w:b/>
          <w:bCs/>
          <w:noProof/>
          <w:kern w:val="0"/>
          <w:u w:val="single"/>
          <w14:ligatures w14:val="none"/>
        </w:rPr>
        <w:sectPr w:rsidR="006C686E" w:rsidSect="00C95E00">
          <w:headerReference w:type="even" r:id="rId130"/>
          <w:headerReference w:type="default" r:id="rId131"/>
          <w:footerReference w:type="even" r:id="rId132"/>
          <w:footerReference w:type="default" r:id="rId133"/>
          <w:headerReference w:type="first" r:id="rId134"/>
          <w:footerReference w:type="first" r:id="rId135"/>
          <w:pgSz w:w="11907" w:h="16839"/>
          <w:pgMar w:top="1134" w:right="1134" w:bottom="1134" w:left="1134" w:header="567" w:footer="567" w:gutter="0"/>
          <w:cols w:space="720"/>
          <w:docGrid w:linePitch="360"/>
        </w:sectPr>
      </w:pPr>
    </w:p>
    <w:p w14:paraId="50DCD638" w14:textId="77777777" w:rsidR="006C686E" w:rsidRDefault="00B17E8C">
      <w:pPr>
        <w:pStyle w:val="P68B1DB1-Normal1"/>
        <w:keepNext/>
        <w:spacing w:before="40" w:after="120"/>
        <w:ind w:left="130" w:firstLine="12"/>
        <w:jc w:val="center"/>
        <w:outlineLvl w:val="2"/>
        <w:rPr>
          <w:rFonts w:eastAsia="Times New Roman"/>
          <w:bCs/>
          <w:noProof/>
        </w:rPr>
      </w:pPr>
      <w:r>
        <w:rPr>
          <w:noProof/>
        </w:rPr>
        <w:t>F.2. Étapes, cibles, indicateurs et calendrier pour le suivi et la mise en œuvre du soutien financier non remboursable</w:t>
      </w:r>
    </w:p>
    <w:tbl>
      <w:tblPr>
        <w:tblW w:w="15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1504"/>
        <w:gridCol w:w="1559"/>
        <w:gridCol w:w="1134"/>
        <w:gridCol w:w="1417"/>
        <w:gridCol w:w="1276"/>
        <w:gridCol w:w="992"/>
        <w:gridCol w:w="851"/>
        <w:gridCol w:w="567"/>
        <w:gridCol w:w="709"/>
        <w:gridCol w:w="3831"/>
      </w:tblGrid>
      <w:tr w:rsidR="006C686E" w14:paraId="29A44EA5" w14:textId="77777777" w:rsidTr="0024749C">
        <w:trPr>
          <w:trHeight w:val="300"/>
          <w:tblHeader/>
          <w:jc w:val="center"/>
        </w:trPr>
        <w:tc>
          <w:tcPr>
            <w:tcW w:w="118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312FCB5" w14:textId="77777777" w:rsidR="006C686E" w:rsidRDefault="00B17E8C">
            <w:pPr>
              <w:pStyle w:val="P68B1DB1-Normal9"/>
              <w:spacing w:after="0" w:line="240" w:lineRule="auto"/>
              <w:jc w:val="center"/>
              <w:rPr>
                <w:rFonts w:eastAsia="Times New Roman"/>
                <w:bCs/>
                <w:noProof/>
              </w:rPr>
            </w:pPr>
            <w:r>
              <w:rPr>
                <w:noProof/>
              </w:rPr>
              <w:t>Numéro séquentiel</w:t>
            </w:r>
          </w:p>
        </w:tc>
        <w:tc>
          <w:tcPr>
            <w:tcW w:w="15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A7587D7" w14:textId="77777777" w:rsidR="006C686E" w:rsidRDefault="00B17E8C">
            <w:pPr>
              <w:pStyle w:val="P68B1DB1-Normal9"/>
              <w:spacing w:after="0" w:line="240" w:lineRule="auto"/>
              <w:jc w:val="center"/>
              <w:rPr>
                <w:rFonts w:eastAsia="Times New Roman"/>
                <w:bCs/>
                <w:noProof/>
              </w:rPr>
            </w:pPr>
            <w:r>
              <w:rPr>
                <w:noProof/>
              </w:rPr>
              <w:t>Mesure (réforme ou investissement)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9E92603" w14:textId="77777777" w:rsidR="006C686E" w:rsidRDefault="00B17E8C">
            <w:pPr>
              <w:pStyle w:val="P68B1DB1-Normal9"/>
              <w:spacing w:after="0" w:line="240" w:lineRule="auto"/>
              <w:jc w:val="center"/>
              <w:rPr>
                <w:rFonts w:eastAsia="Times New Roman"/>
                <w:bCs/>
                <w:noProof/>
              </w:rPr>
            </w:pPr>
            <w:r>
              <w:rPr>
                <w:noProof/>
              </w:rPr>
              <w:t>Étape/objectif</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6411F1" w14:textId="77777777" w:rsidR="006C686E" w:rsidRDefault="00B17E8C">
            <w:pPr>
              <w:pStyle w:val="P68B1DB1-Normal9"/>
              <w:spacing w:after="0" w:line="240" w:lineRule="auto"/>
              <w:jc w:val="center"/>
              <w:rPr>
                <w:rFonts w:eastAsia="Times New Roman"/>
                <w:bCs/>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A10FDA7" w14:textId="77777777" w:rsidR="006C686E" w:rsidRDefault="00B17E8C">
            <w:pPr>
              <w:pStyle w:val="P68B1DB1-Normal9"/>
              <w:spacing w:after="0" w:line="240" w:lineRule="auto"/>
              <w:jc w:val="center"/>
              <w:rPr>
                <w:rFonts w:eastAsia="Times New Roman"/>
                <w:bCs/>
                <w:noProof/>
              </w:rPr>
            </w:pPr>
            <w:r>
              <w:rPr>
                <w:noProof/>
              </w:rPr>
              <w:t>Indicateurs qualitatifs (pour les jalons)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38DFC4DD" w14:textId="77777777" w:rsidR="006C686E" w:rsidRDefault="00B17E8C">
            <w:pPr>
              <w:pStyle w:val="P68B1DB1-Normal9"/>
              <w:spacing w:after="0" w:line="240" w:lineRule="auto"/>
              <w:jc w:val="center"/>
              <w:rPr>
                <w:rFonts w:eastAsia="Times New Roman"/>
                <w:bCs/>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B9019EA" w14:textId="77777777" w:rsidR="006C686E" w:rsidRDefault="00B17E8C">
            <w:pPr>
              <w:pStyle w:val="P68B1DB1-Normal9"/>
              <w:spacing w:after="0" w:line="240" w:lineRule="auto"/>
              <w:jc w:val="center"/>
              <w:rPr>
                <w:rFonts w:eastAsia="Times New Roman"/>
                <w:bCs/>
                <w:noProof/>
              </w:rPr>
            </w:pPr>
            <w:r>
              <w:rPr>
                <w:noProof/>
              </w:rPr>
              <w:t>Calendrier indicatif d'achèvement</w:t>
            </w:r>
          </w:p>
        </w:tc>
        <w:tc>
          <w:tcPr>
            <w:tcW w:w="383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23F18B9" w14:textId="77777777" w:rsidR="006C686E" w:rsidRDefault="00B17E8C">
            <w:pPr>
              <w:pStyle w:val="P68B1DB1-Normal9"/>
              <w:spacing w:after="0" w:line="240" w:lineRule="auto"/>
              <w:jc w:val="center"/>
              <w:rPr>
                <w:rFonts w:eastAsia="Times New Roman"/>
                <w:bCs/>
                <w:noProof/>
              </w:rPr>
            </w:pPr>
            <w:r>
              <w:rPr>
                <w:noProof/>
              </w:rPr>
              <w:t>Description et définition claire de chaque jalon et cible</w:t>
            </w:r>
          </w:p>
        </w:tc>
      </w:tr>
      <w:tr w:rsidR="006C686E" w14:paraId="37142893" w14:textId="77777777" w:rsidTr="0024749C">
        <w:trPr>
          <w:trHeight w:val="300"/>
          <w:tblHeader/>
          <w:jc w:val="center"/>
        </w:trPr>
        <w:tc>
          <w:tcPr>
            <w:tcW w:w="1185" w:type="dxa"/>
            <w:vMerge/>
            <w:tcBorders>
              <w:top w:val="single" w:sz="4" w:space="0" w:color="auto"/>
              <w:left w:val="single" w:sz="4" w:space="0" w:color="auto"/>
              <w:bottom w:val="single" w:sz="4" w:space="0" w:color="auto"/>
              <w:right w:val="single" w:sz="4" w:space="0" w:color="auto"/>
            </w:tcBorders>
            <w:vAlign w:val="center"/>
            <w:hideMark/>
          </w:tcPr>
          <w:p w14:paraId="1F69D6D3"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3A63300C"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A371C92" w14:textId="77777777" w:rsidR="006C686E" w:rsidRDefault="006C686E">
            <w:pPr>
              <w:spacing w:after="0" w:line="240" w:lineRule="auto"/>
              <w:jc w:val="center"/>
              <w:rPr>
                <w:rFonts w:ascii="Times New Roman" w:eastAsia="Times New Roman" w:hAnsi="Times New Roman" w:cs="Times New Roman"/>
                <w:b/>
                <w:bCs/>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4FC934"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2E6CAA0"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F823FB" w14:textId="77777777" w:rsidR="006C686E" w:rsidRDefault="00B17E8C">
            <w:pPr>
              <w:pStyle w:val="P68B1DB1-Normal9"/>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C893570" w14:textId="77777777" w:rsidR="006C686E" w:rsidRDefault="00B17E8C">
            <w:pPr>
              <w:pStyle w:val="P68B1DB1-Normal9"/>
              <w:spacing w:after="0" w:line="240" w:lineRule="auto"/>
              <w:jc w:val="center"/>
              <w:rPr>
                <w:rFonts w:eastAsia="Times New Roman"/>
                <w:bCs/>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6D4010D" w14:textId="77777777" w:rsidR="006C686E" w:rsidRDefault="00B17E8C">
            <w:pPr>
              <w:pStyle w:val="P68B1DB1-Normal9"/>
              <w:spacing w:after="0" w:line="240" w:lineRule="auto"/>
              <w:jc w:val="center"/>
              <w:rPr>
                <w:rFonts w:eastAsia="Times New Roman"/>
                <w:bCs/>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E3910D5" w14:textId="77777777" w:rsidR="006C686E" w:rsidRDefault="00B17E8C">
            <w:pPr>
              <w:pStyle w:val="P68B1DB1-Normal9"/>
              <w:spacing w:after="0" w:line="240" w:lineRule="auto"/>
              <w:jc w:val="center"/>
              <w:rPr>
                <w:rFonts w:eastAsia="Times New Roman"/>
                <w:bCs/>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E47B5A9" w14:textId="77777777" w:rsidR="006C686E" w:rsidRDefault="00B17E8C">
            <w:pPr>
              <w:pStyle w:val="P68B1DB1-Normal9"/>
              <w:spacing w:after="0" w:line="240" w:lineRule="auto"/>
              <w:jc w:val="center"/>
              <w:rPr>
                <w:rFonts w:eastAsia="Times New Roman"/>
                <w:bCs/>
                <w:noProof/>
              </w:rPr>
            </w:pPr>
            <w:r>
              <w:rPr>
                <w:noProof/>
              </w:rPr>
              <w:t>Année</w:t>
            </w:r>
          </w:p>
        </w:tc>
        <w:tc>
          <w:tcPr>
            <w:tcW w:w="3831" w:type="dxa"/>
            <w:vMerge/>
            <w:tcBorders>
              <w:top w:val="single" w:sz="4" w:space="0" w:color="auto"/>
              <w:left w:val="single" w:sz="4" w:space="0" w:color="auto"/>
              <w:bottom w:val="single" w:sz="4" w:space="0" w:color="auto"/>
              <w:right w:val="single" w:sz="4" w:space="0" w:color="auto"/>
            </w:tcBorders>
            <w:vAlign w:val="center"/>
            <w:hideMark/>
          </w:tcPr>
          <w:p w14:paraId="5010FF04"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r>
      <w:tr w:rsidR="006C686E" w14:paraId="282A9828"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B656D5D" w14:textId="77777777" w:rsidR="006C686E" w:rsidRDefault="00B17E8C">
            <w:pPr>
              <w:pStyle w:val="P68B1DB1-Normal10"/>
              <w:spacing w:after="0" w:line="240" w:lineRule="auto"/>
              <w:jc w:val="center"/>
              <w:rPr>
                <w:rFonts w:eastAsia="Times New Roman"/>
                <w:bCs/>
                <w:noProof/>
              </w:rPr>
            </w:pPr>
            <w:r>
              <w:rPr>
                <w:noProof/>
              </w:rPr>
              <w:t>6.2</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215A16" w14:textId="77777777" w:rsidR="006C686E" w:rsidRDefault="00B17E8C">
            <w:pPr>
              <w:pStyle w:val="P68B1DB1-Normal11"/>
              <w:spacing w:after="0" w:line="240" w:lineRule="auto"/>
              <w:jc w:val="center"/>
              <w:rPr>
                <w:rFonts w:eastAsia="Times New Roman"/>
                <w:noProof/>
              </w:rPr>
            </w:pPr>
            <w:r>
              <w:rPr>
                <w:noProof/>
              </w:rPr>
              <w:t>RE-C06-i01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89B48B" w14:textId="77777777" w:rsidR="006C686E" w:rsidRDefault="00B17E8C">
            <w:pPr>
              <w:pStyle w:val="P68B1DB1-Normal11"/>
              <w:spacing w:after="0" w:line="240" w:lineRule="auto"/>
              <w:jc w:val="center"/>
              <w:rPr>
                <w:rFonts w:eastAsia="Times New Roman"/>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DFF4F6" w14:textId="77777777"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Centres technologiques spécialisés rénovés</w:t>
            </w:r>
            <w:r>
              <w:rPr>
                <w:noProof/>
              </w:rPr>
              <w:t>,</w:t>
            </w:r>
            <w:r>
              <w:rPr>
                <w:noProof/>
                <w:kern w:val="0"/>
                <w14:ligatures w14:val="none"/>
              </w:rPr>
              <w:t xml:space="preserve"> ou construits</w:t>
            </w:r>
            <w:r>
              <w:rPr>
                <w:noProof/>
              </w:rPr>
              <w:t>, ou avec des équipements achetés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C5719C" w14:textId="77777777" w:rsidR="006C686E" w:rsidRDefault="00B17E8C">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A44B69"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EDB789"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A6EC0B" w14:textId="77777777" w:rsidR="006C686E" w:rsidRDefault="00B17E8C">
            <w:pPr>
              <w:pStyle w:val="P68B1DB1-Normal11"/>
              <w:spacing w:after="0" w:line="240" w:lineRule="auto"/>
              <w:jc w:val="center"/>
              <w:rPr>
                <w:rFonts w:eastAsia="Times New Roman"/>
                <w:noProof/>
              </w:rPr>
            </w:pPr>
            <w:r>
              <w:rPr>
                <w:noProof/>
              </w:rPr>
              <w:t>365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BA43B5" w14:textId="64F2F447" w:rsidR="006C686E" w:rsidRDefault="00B17E8C">
            <w:pPr>
              <w:pStyle w:val="P68B1DB1-Normal13"/>
              <w:spacing w:after="0" w:line="240" w:lineRule="auto"/>
              <w:jc w:val="center"/>
              <w:rPr>
                <w:rFonts w:eastAsia="Times New Roman"/>
                <w:noProof/>
                <w:kern w:val="0"/>
                <w14:ligatures w14:val="none"/>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424D6" w14:textId="4DBEEAF7" w:rsidR="006C686E" w:rsidRDefault="00B17E8C">
            <w:pPr>
              <w:pStyle w:val="P68B1DB1-Normal13"/>
              <w:spacing w:after="0" w:line="240" w:lineRule="auto"/>
              <w:jc w:val="center"/>
              <w:rPr>
                <w:rFonts w:eastAsia="Times New Roman"/>
                <w:noProof/>
                <w:kern w:val="0"/>
                <w14:ligatures w14:val="none"/>
              </w:rPr>
            </w:pPr>
            <w:r>
              <w:rPr>
                <w:noProof/>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3E7C11" w14:textId="515BBBCB" w:rsidR="006C686E" w:rsidRDefault="00B17E8C">
            <w:pPr>
              <w:pStyle w:val="P68B1DB1-Normal13"/>
              <w:spacing w:after="0" w:line="240" w:lineRule="auto"/>
              <w:jc w:val="both"/>
              <w:rPr>
                <w:noProof/>
                <w:kern w:val="0"/>
                <w14:ligatures w14:val="none"/>
              </w:rPr>
            </w:pPr>
            <w:r>
              <w:rPr>
                <w:noProof/>
              </w:rPr>
              <w:t>Construction, rénovation ou équipement acheté pour des centres technologiques spécialisés.</w:t>
            </w:r>
          </w:p>
        </w:tc>
      </w:tr>
      <w:tr w:rsidR="006C686E" w14:paraId="5C882CA3"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1BF34D" w14:textId="77777777" w:rsidR="006C686E" w:rsidRDefault="00B17E8C">
            <w:pPr>
              <w:pStyle w:val="P68B1DB1-Normal10"/>
              <w:spacing w:after="0" w:line="240" w:lineRule="auto"/>
              <w:jc w:val="center"/>
              <w:rPr>
                <w:rFonts w:eastAsia="Times New Roman"/>
                <w:bCs/>
                <w:noProof/>
              </w:rPr>
            </w:pPr>
            <w:r>
              <w:rPr>
                <w:noProof/>
              </w:rPr>
              <w:t>6.3</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1905D" w14:textId="77777777" w:rsidR="006C686E" w:rsidRDefault="00B17E8C">
            <w:pPr>
              <w:pStyle w:val="P68B1DB1-Normal11"/>
              <w:spacing w:after="0" w:line="240" w:lineRule="auto"/>
              <w:jc w:val="center"/>
              <w:rPr>
                <w:rFonts w:eastAsia="Times New Roman"/>
                <w:noProof/>
              </w:rPr>
            </w:pPr>
            <w:r>
              <w:rPr>
                <w:noProof/>
              </w:rPr>
              <w:t>RE-C06-i01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1C0CE4" w14:textId="77777777" w:rsidR="006C686E" w:rsidRDefault="00B17E8C">
            <w:pPr>
              <w:pStyle w:val="P68B1DB1-Normal11"/>
              <w:spacing w:after="0" w:line="240" w:lineRule="auto"/>
              <w:jc w:val="center"/>
              <w:rPr>
                <w:rFonts w:eastAsia="Times New Roman"/>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2736C8" w14:textId="77777777" w:rsidR="006C686E" w:rsidRDefault="00B17E8C">
            <w:pPr>
              <w:pStyle w:val="P68B1DB1-Normal11"/>
              <w:spacing w:after="0" w:line="240" w:lineRule="auto"/>
              <w:jc w:val="center"/>
              <w:rPr>
                <w:rFonts w:eastAsia="Times New Roman"/>
                <w:noProof/>
              </w:rPr>
            </w:pPr>
            <w:r>
              <w:rPr>
                <w:noProof/>
              </w:rPr>
              <w:t>Emplacements des centres de formation rénovés, construits ou avec de l'équipement acheté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6D7A17" w14:textId="77777777" w:rsidR="006C686E" w:rsidRDefault="00B17E8C">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F187A4"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ED7CC4"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D82B0B" w14:textId="77777777" w:rsidR="006C686E" w:rsidRDefault="00B17E8C">
            <w:pPr>
              <w:pStyle w:val="P68B1DB1-Normal11"/>
              <w:spacing w:after="0" w:line="240" w:lineRule="auto"/>
              <w:jc w:val="center"/>
              <w:rPr>
                <w:rFonts w:eastAsia="Times New Roman"/>
                <w:noProof/>
              </w:rPr>
            </w:pPr>
            <w:r>
              <w:rPr>
                <w:noProof/>
              </w:rPr>
              <w:t>59</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F8158C"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5F5974" w14:textId="77777777" w:rsidR="006C686E" w:rsidRDefault="00B17E8C">
            <w:pPr>
              <w:pStyle w:val="P68B1DB1-Normal11"/>
              <w:spacing w:after="0" w:line="240" w:lineRule="auto"/>
              <w:jc w:val="center"/>
              <w:rPr>
                <w:rFonts w:eastAsia="Times New Roman"/>
                <w:noProof/>
              </w:rPr>
            </w:pPr>
            <w:r>
              <w:rPr>
                <w:noProof/>
              </w:rPr>
              <w:t>2023</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F77675" w14:textId="77777777" w:rsidR="006C686E" w:rsidRDefault="00B17E8C">
            <w:pPr>
              <w:pStyle w:val="P68B1DB1-Normal11"/>
              <w:spacing w:after="0" w:line="240" w:lineRule="auto"/>
              <w:jc w:val="both"/>
              <w:rPr>
                <w:rFonts w:eastAsia="Times New Roman"/>
                <w:noProof/>
              </w:rPr>
            </w:pPr>
            <w:r>
              <w:rPr>
                <w:noProof/>
              </w:rPr>
              <w:t xml:space="preserve">Nombre de sites de centres de formation professionnelle du réseau des services publics de l’emploi (IEFP) ou du réseau d’écoles de l’autorité nationale du tourisme (Turismo de Portugal) rénovés, construits ou, comme le démontre une </w:t>
            </w:r>
            <w:r>
              <w:rPr>
                <w:i/>
                <w:noProof/>
              </w:rPr>
              <w:t>fatura,</w:t>
            </w:r>
            <w:r>
              <w:rPr>
                <w:noProof/>
              </w:rPr>
              <w:t xml:space="preserve"> équipés de différents types d’équipements achetés à des fins de formation. Les bâtiments neufs ont une demande d’énergie primaire inférieure d’au moins 20 % aux exigences des bâtiments dont la consommation d’énergie est quasi nulle. Les rénovations en matière d’efficacité énergétique permettent, en moyenne, d’atteindre au moins un niveau moyen de rénovation en profondeur tel que défini dans la recommandation (UE) 2019/786 de la Commission sur la rénovation des bâtiments.</w:t>
            </w:r>
          </w:p>
        </w:tc>
      </w:tr>
      <w:tr w:rsidR="006C686E" w14:paraId="6206D1DD"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F2543A7" w14:textId="77777777" w:rsidR="006C686E" w:rsidRDefault="00B17E8C">
            <w:pPr>
              <w:pStyle w:val="P68B1DB1-Normal10"/>
              <w:spacing w:after="0" w:line="240" w:lineRule="auto"/>
              <w:jc w:val="center"/>
              <w:rPr>
                <w:rFonts w:eastAsia="Times New Roman"/>
                <w:bCs/>
                <w:noProof/>
              </w:rPr>
            </w:pPr>
            <w:r>
              <w:rPr>
                <w:noProof/>
              </w:rPr>
              <w:t>6.4</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A140BA" w14:textId="77777777" w:rsidR="006C686E" w:rsidRDefault="00B17E8C">
            <w:pPr>
              <w:pStyle w:val="P68B1DB1-Normal11"/>
              <w:spacing w:after="0" w:line="240" w:lineRule="auto"/>
              <w:jc w:val="center"/>
              <w:rPr>
                <w:rFonts w:eastAsia="Times New Roman"/>
                <w:noProof/>
              </w:rPr>
            </w:pPr>
            <w:r>
              <w:rPr>
                <w:noProof/>
              </w:rPr>
              <w:t>RE-C06-i01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3CD824" w14:textId="77777777" w:rsidR="006C686E" w:rsidRDefault="00B17E8C">
            <w:pPr>
              <w:pStyle w:val="P68B1DB1-Normal11"/>
              <w:spacing w:after="0" w:line="240" w:lineRule="auto"/>
              <w:jc w:val="center"/>
              <w:rPr>
                <w:rFonts w:eastAsia="Times New Roman"/>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3CBC3D" w14:textId="77777777" w:rsidR="006C686E" w:rsidRDefault="00B17E8C">
            <w:pPr>
              <w:pStyle w:val="P68B1DB1-Normal11"/>
              <w:spacing w:after="0" w:line="240" w:lineRule="auto"/>
              <w:jc w:val="center"/>
              <w:rPr>
                <w:rFonts w:eastAsia="Times New Roman"/>
                <w:noProof/>
              </w:rPr>
            </w:pPr>
            <w:r>
              <w:rPr>
                <w:noProof/>
              </w:rPr>
              <w:t>Emplacements des centres de formation rénovés, construits ou avec de l'équipement acheté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0E3DDD" w14:textId="77777777" w:rsidR="006C686E" w:rsidRDefault="00B17E8C">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6808A0"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1FA496" w14:textId="77777777" w:rsidR="006C686E" w:rsidRDefault="00B17E8C">
            <w:pPr>
              <w:pStyle w:val="P68B1DB1-Normal11"/>
              <w:spacing w:after="0" w:line="240" w:lineRule="auto"/>
              <w:jc w:val="center"/>
              <w:rPr>
                <w:rFonts w:eastAsia="Times New Roman"/>
                <w:noProof/>
              </w:rPr>
            </w:pPr>
            <w:r>
              <w:rPr>
                <w:noProof/>
              </w:rPr>
              <w:t>59</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F9ECC1" w14:textId="77777777" w:rsidR="006C686E" w:rsidRDefault="00B17E8C">
            <w:pPr>
              <w:pStyle w:val="P68B1DB1-Normal11"/>
              <w:spacing w:after="0" w:line="240" w:lineRule="auto"/>
              <w:jc w:val="center"/>
              <w:rPr>
                <w:rFonts w:eastAsia="Times New Roman"/>
                <w:noProof/>
              </w:rPr>
            </w:pPr>
            <w:r>
              <w:rPr>
                <w:noProof/>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FC6EEB"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38202A" w14:textId="77777777" w:rsidR="006C686E" w:rsidRDefault="00B17E8C">
            <w:pPr>
              <w:pStyle w:val="P68B1DB1-Normal11"/>
              <w:spacing w:after="0" w:line="240" w:lineRule="auto"/>
              <w:jc w:val="center"/>
              <w:rPr>
                <w:rFonts w:eastAsia="Times New Roman"/>
                <w:noProof/>
              </w:rPr>
            </w:pPr>
            <w:r>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36A93A" w14:textId="469C3B79" w:rsidR="006C686E" w:rsidRDefault="00B17E8C">
            <w:pPr>
              <w:pStyle w:val="P68B1DB1-Normal13"/>
              <w:spacing w:after="0" w:line="240" w:lineRule="auto"/>
              <w:jc w:val="both"/>
              <w:rPr>
                <w:rFonts w:eastAsia="Times New Roman"/>
                <w:noProof/>
              </w:rPr>
            </w:pPr>
            <w:r>
              <w:rPr>
                <w:noProof/>
              </w:rPr>
              <w:t>Rénovation, construction ou achat d'équipements pour les emplacements des centres de</w:t>
            </w:r>
            <w:r>
              <w:rPr>
                <w:noProof/>
                <w:kern w:val="0"/>
                <w14:ligatures w14:val="none"/>
              </w:rPr>
              <w:t xml:space="preserve"> pluie du réseau des services publics de l'emploi (IEFP) ou du réseau d'écoles de l'Autorité nationale du tourisme (Turismo de Portugal). </w:t>
            </w:r>
            <w:r>
              <w:rPr>
                <w:noProof/>
              </w:rPr>
              <w:t xml:space="preserve">L'achat d'équipement </w:t>
            </w:r>
            <w:r>
              <w:rPr>
                <w:noProof/>
                <w:kern w:val="0"/>
                <w14:ligatures w14:val="none"/>
              </w:rPr>
              <w:t>doit être</w:t>
            </w:r>
            <w:r>
              <w:rPr>
                <w:noProof/>
              </w:rPr>
              <w:t xml:space="preserve"> démontré par </w:t>
            </w:r>
            <w:r>
              <w:rPr>
                <w:noProof/>
                <w:kern w:val="0"/>
                <w14:ligatures w14:val="none"/>
              </w:rPr>
              <w:t>des factures.</w:t>
            </w:r>
            <w:r>
              <w:rPr>
                <w:noProof/>
              </w:rPr>
              <w:t xml:space="preserve"> Les bâtiments neufs ont une demande d’énergie primaire inférieure d’au moins 20 % aux exigences des bâtiments dont la consommation d’énergie est quasi nulle. Les rénovations en matière d’efficacité énergétique permettent, en moyenne, d’économiser au moins 30 % d’énergie primaire.</w:t>
            </w:r>
          </w:p>
        </w:tc>
      </w:tr>
      <w:tr w:rsidR="006C686E" w14:paraId="260B8EBB"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AADE32D" w14:textId="77777777" w:rsidR="006C686E" w:rsidRDefault="00B17E8C">
            <w:pPr>
              <w:pStyle w:val="P68B1DB1-Normal10"/>
              <w:spacing w:after="0" w:line="240" w:lineRule="auto"/>
              <w:jc w:val="center"/>
              <w:rPr>
                <w:rFonts w:eastAsia="Times New Roman"/>
                <w:bCs/>
                <w:noProof/>
              </w:rPr>
            </w:pPr>
            <w:r>
              <w:rPr>
                <w:noProof/>
              </w:rPr>
              <w:t>6.5</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F111A9" w14:textId="77777777" w:rsidR="006C686E" w:rsidRDefault="00B17E8C">
            <w:pPr>
              <w:pStyle w:val="P68B1DB1-Normal11"/>
              <w:spacing w:after="0" w:line="240" w:lineRule="auto"/>
              <w:jc w:val="center"/>
              <w:rPr>
                <w:rFonts w:eastAsia="Times New Roman"/>
                <w:noProof/>
              </w:rPr>
            </w:pPr>
            <w:r>
              <w:rPr>
                <w:noProof/>
              </w:rPr>
              <w:t>RE-C06-i02</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3F51D8"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338FF4" w14:textId="77777777" w:rsidR="006C686E" w:rsidRDefault="00B17E8C">
            <w:pPr>
              <w:pStyle w:val="P68B1DB1-Normal11"/>
              <w:spacing w:after="0" w:line="240" w:lineRule="auto"/>
              <w:jc w:val="center"/>
              <w:rPr>
                <w:rFonts w:eastAsia="Times New Roman"/>
                <w:noProof/>
              </w:rPr>
            </w:pPr>
            <w:r>
              <w:rPr>
                <w:noProof/>
              </w:rPr>
              <w:t xml:space="preserve">Soutien aux contrats à durée indéterminée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265E3C" w14:textId="77777777" w:rsidR="006C686E" w:rsidRDefault="00B17E8C">
            <w:pPr>
              <w:pStyle w:val="P68B1DB1-Normal11"/>
              <w:spacing w:after="0" w:line="240" w:lineRule="auto"/>
              <w:jc w:val="center"/>
              <w:rPr>
                <w:rFonts w:eastAsia="Times New Roman"/>
                <w:noProof/>
              </w:rPr>
            </w:pPr>
            <w:r>
              <w:rPr>
                <w:noProof/>
              </w:rPr>
              <w:t xml:space="preserve">Conditions d'acceptation signées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F9C80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7CE45B"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514907"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6B86CF"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1F70F1" w14:textId="77777777" w:rsidR="006C686E" w:rsidRDefault="00B17E8C">
            <w:pPr>
              <w:pStyle w:val="P68B1DB1-Normal11"/>
              <w:spacing w:after="0" w:line="240" w:lineRule="auto"/>
              <w:jc w:val="center"/>
              <w:rPr>
                <w:rFonts w:eastAsia="Times New Roman"/>
                <w:noProof/>
              </w:rPr>
            </w:pPr>
            <w:r>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3C9ACD" w14:textId="77777777" w:rsidR="006C686E" w:rsidRDefault="00B17E8C">
            <w:pPr>
              <w:pStyle w:val="P68B1DB1-Normal12"/>
              <w:spacing w:after="0" w:line="240" w:lineRule="auto"/>
              <w:jc w:val="both"/>
              <w:rPr>
                <w:noProof/>
              </w:rPr>
            </w:pPr>
            <w:r>
              <w:rPr>
                <w:noProof/>
              </w:rPr>
              <w:t>Conditions d’acceptation signées par les employeurs en vertu de l’arrêté gouvernemental no 38/2022 visant à soutenir 30 000 emplois.</w:t>
            </w:r>
          </w:p>
        </w:tc>
      </w:tr>
      <w:tr w:rsidR="006C686E" w14:paraId="4D6DFF36"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46F50E9" w14:textId="77777777" w:rsidR="006C686E" w:rsidRDefault="00B17E8C">
            <w:pPr>
              <w:pStyle w:val="P68B1DB1-Normal10"/>
              <w:spacing w:after="0" w:line="240" w:lineRule="auto"/>
              <w:jc w:val="center"/>
              <w:rPr>
                <w:rFonts w:eastAsia="Times New Roman"/>
                <w:bCs/>
                <w:noProof/>
              </w:rPr>
            </w:pPr>
            <w:r>
              <w:rPr>
                <w:noProof/>
              </w:rPr>
              <w:t>6.6</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7FBE3A" w14:textId="77777777" w:rsidR="006C686E" w:rsidRDefault="00B17E8C">
            <w:pPr>
              <w:pStyle w:val="P68B1DB1-Normal11"/>
              <w:spacing w:after="0" w:line="240" w:lineRule="auto"/>
              <w:jc w:val="center"/>
              <w:rPr>
                <w:rFonts w:eastAsia="Times New Roman"/>
                <w:noProof/>
              </w:rPr>
            </w:pPr>
            <w:r>
              <w:rPr>
                <w:noProof/>
              </w:rPr>
              <w:t>RE-C06-i03</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B1B122" w14:textId="77777777" w:rsidR="006C686E" w:rsidRDefault="00B17E8C">
            <w:pPr>
              <w:pStyle w:val="P68B1DB1-Normal11"/>
              <w:spacing w:after="0" w:line="240" w:lineRule="auto"/>
              <w:jc w:val="center"/>
              <w:rPr>
                <w:rFonts w:eastAsia="Times New Roman"/>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514B5" w14:textId="06D894A3" w:rsidR="006C686E" w:rsidRDefault="00B17E8C">
            <w:pPr>
              <w:pStyle w:val="P68B1DB1-Normal11"/>
              <w:spacing w:after="0" w:line="240" w:lineRule="auto"/>
              <w:jc w:val="center"/>
              <w:rPr>
                <w:rFonts w:eastAsia="Times New Roman"/>
                <w:noProof/>
              </w:rPr>
            </w:pPr>
            <w:r>
              <w:rPr>
                <w:noProof/>
              </w:rPr>
              <w:t xml:space="preserve">Participation à des cours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5835CD" w14:textId="77777777" w:rsidR="006C686E" w:rsidRDefault="00B17E8C">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14CF58"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631C97" w14:textId="77777777" w:rsidR="006C686E" w:rsidRDefault="00B17E8C">
            <w:pPr>
              <w:pStyle w:val="P68B1DB1-Normal11"/>
              <w:spacing w:after="0" w:line="240" w:lineRule="auto"/>
              <w:jc w:val="center"/>
              <w:rPr>
                <w:rFonts w:eastAsia="Times New Roman"/>
                <w:noProof/>
              </w:rPr>
            </w:pPr>
            <w:r>
              <w:rPr>
                <w:noProof/>
              </w:rPr>
              <w:t> 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4C9A7C" w14:textId="77777777" w:rsidR="006C686E" w:rsidRDefault="00B17E8C">
            <w:pPr>
              <w:pStyle w:val="P68B1DB1-Normal11"/>
              <w:spacing w:after="0" w:line="240" w:lineRule="auto"/>
              <w:jc w:val="center"/>
              <w:rPr>
                <w:rFonts w:eastAsia="Times New Roman"/>
                <w:noProof/>
              </w:rPr>
            </w:pPr>
            <w:r>
              <w:rPr>
                <w:noProof/>
              </w:rPr>
              <w:t>145 500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CF416A"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D6C74" w14:textId="77777777" w:rsidR="006C686E" w:rsidRDefault="00B17E8C">
            <w:pPr>
              <w:pStyle w:val="P68B1DB1-Normal11"/>
              <w:spacing w:after="0" w:line="240" w:lineRule="auto"/>
              <w:jc w:val="center"/>
              <w:rPr>
                <w:rFonts w:eastAsia="Times New Roman"/>
                <w:noProof/>
              </w:rPr>
            </w:pPr>
            <w:r>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067C2D" w14:textId="0B0AC512" w:rsidR="006C686E" w:rsidRDefault="00B17E8C">
            <w:pPr>
              <w:pStyle w:val="P68B1DB1-Normal13"/>
              <w:spacing w:after="0" w:line="240" w:lineRule="auto"/>
              <w:jc w:val="both"/>
              <w:rPr>
                <w:noProof/>
                <w:kern w:val="0"/>
                <w14:ligatures w14:val="none"/>
              </w:rPr>
            </w:pPr>
            <w:r>
              <w:rPr>
                <w:noProof/>
              </w:rPr>
              <w:t>Nombre de:</w:t>
            </w:r>
          </w:p>
          <w:p w14:paraId="5FD6A29D" w14:textId="51BAD11E" w:rsidR="006C686E" w:rsidRDefault="00B17E8C">
            <w:pPr>
              <w:pStyle w:val="P68B1DB1-Normal13"/>
              <w:numPr>
                <w:ilvl w:val="0"/>
                <w:numId w:val="37"/>
              </w:numPr>
              <w:spacing w:after="0" w:line="240" w:lineRule="auto"/>
              <w:ind w:left="294" w:hanging="284"/>
              <w:jc w:val="both"/>
              <w:rPr>
                <w:noProof/>
                <w:kern w:val="0"/>
                <w14:ligatures w14:val="none"/>
              </w:rPr>
            </w:pPr>
            <w:r>
              <w:rPr>
                <w:noProof/>
              </w:rPr>
              <w:t>Participations à des cours de niveau de base B1/B2/B3 inscrits à la Plateforme SIGO; ou</w:t>
            </w:r>
          </w:p>
          <w:p w14:paraId="709C36DB" w14:textId="531859FC" w:rsidR="006C686E" w:rsidRDefault="00B17E8C">
            <w:pPr>
              <w:pStyle w:val="P68B1DB1-Normal13"/>
              <w:numPr>
                <w:ilvl w:val="0"/>
                <w:numId w:val="37"/>
              </w:numPr>
              <w:spacing w:after="0" w:line="240" w:lineRule="auto"/>
              <w:ind w:left="294" w:hanging="284"/>
              <w:jc w:val="both"/>
              <w:rPr>
                <w:noProof/>
                <w:kern w:val="0"/>
                <w14:ligatures w14:val="none"/>
              </w:rPr>
            </w:pPr>
            <w:r>
              <w:rPr>
                <w:noProof/>
              </w:rPr>
              <w:t>les participations à des cours organisés par des établissements d’enseignement supérieur ou des employeurs, qui peuvent inclure, sans s’y limiter, des cours de microcertification; ou</w:t>
            </w:r>
          </w:p>
          <w:p w14:paraId="33F15C48" w14:textId="33D94C19" w:rsidR="006C686E" w:rsidRDefault="00B17E8C">
            <w:pPr>
              <w:pStyle w:val="P68B1DB1-Normal13"/>
              <w:numPr>
                <w:ilvl w:val="0"/>
                <w:numId w:val="37"/>
              </w:numPr>
              <w:spacing w:after="0" w:line="240" w:lineRule="auto"/>
              <w:ind w:left="294" w:hanging="284"/>
              <w:jc w:val="both"/>
              <w:rPr>
                <w:noProof/>
              </w:rPr>
            </w:pPr>
            <w:r>
              <w:rPr>
                <w:noProof/>
              </w:rPr>
              <w:t>Conditions d'acceptation signées pour le financement de la participation à la reconnaissance, à la validation et à la certification des compétences (RVCC).</w:t>
            </w:r>
          </w:p>
        </w:tc>
      </w:tr>
      <w:tr w:rsidR="006C686E" w14:paraId="50C27A50"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FE49848" w14:textId="77777777" w:rsidR="006C686E" w:rsidRDefault="00B17E8C">
            <w:pPr>
              <w:pStyle w:val="P68B1DB1-Normal10"/>
              <w:spacing w:after="0" w:line="240" w:lineRule="auto"/>
              <w:jc w:val="center"/>
              <w:rPr>
                <w:rFonts w:eastAsia="Times New Roman"/>
                <w:bCs/>
                <w:noProof/>
              </w:rPr>
            </w:pPr>
            <w:r>
              <w:rPr>
                <w:noProof/>
              </w:rPr>
              <w:t>6.7</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B2B794" w14:textId="77777777" w:rsidR="006C686E" w:rsidRDefault="00B17E8C">
            <w:pPr>
              <w:pStyle w:val="P68B1DB1-Normal11"/>
              <w:spacing w:after="0" w:line="240" w:lineRule="auto"/>
              <w:jc w:val="center"/>
              <w:rPr>
                <w:rFonts w:eastAsia="Times New Roman"/>
                <w:noProof/>
              </w:rPr>
            </w:pPr>
            <w:r>
              <w:rPr>
                <w:noProof/>
              </w:rPr>
              <w:t>RE-C06-i04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9962A" w14:textId="77777777" w:rsidR="006C686E" w:rsidRDefault="00B17E8C">
            <w:pPr>
              <w:pStyle w:val="P68B1DB1-Normal11"/>
              <w:spacing w:after="0" w:line="240" w:lineRule="auto"/>
              <w:jc w:val="center"/>
              <w:rPr>
                <w:rFonts w:eastAsia="Times New Roman"/>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42843A" w14:textId="77777777" w:rsidR="006C686E" w:rsidRDefault="00B17E8C">
            <w:pPr>
              <w:pStyle w:val="P68B1DB1-Normal11"/>
              <w:spacing w:after="0" w:line="240" w:lineRule="auto"/>
              <w:jc w:val="center"/>
              <w:rPr>
                <w:rFonts w:eastAsia="Times New Roman"/>
                <w:noProof/>
              </w:rPr>
            </w:pPr>
            <w:r>
              <w:rPr>
                <w:i/>
                <w:noProof/>
              </w:rPr>
              <w:t>Catégorie: Club Ciência Viva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D77D0A" w14:textId="77777777" w:rsidR="006C686E" w:rsidRDefault="00B17E8C">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E4A58C"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AFDF8C"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1FE916" w14:textId="77777777" w:rsidR="006C686E" w:rsidRDefault="00B17E8C">
            <w:pPr>
              <w:pStyle w:val="P68B1DB1-Normal11"/>
              <w:spacing w:after="0" w:line="240" w:lineRule="auto"/>
              <w:jc w:val="center"/>
              <w:rPr>
                <w:rFonts w:eastAsia="Times New Roman"/>
                <w:noProof/>
              </w:rPr>
            </w:pPr>
            <w:r>
              <w:rPr>
                <w:noProof/>
              </w:rPr>
              <w:t>650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3DA1B1"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1060E" w14:textId="77777777" w:rsidR="006C686E" w:rsidRDefault="00B17E8C">
            <w:pPr>
              <w:pStyle w:val="P68B1DB1-Normal11"/>
              <w:spacing w:after="0" w:line="240" w:lineRule="auto"/>
              <w:jc w:val="center"/>
              <w:rPr>
                <w:rFonts w:eastAsia="Times New Roman"/>
                <w:noProof/>
              </w:rPr>
            </w:pPr>
            <w:r>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01F936" w14:textId="77777777" w:rsidR="006C686E" w:rsidRDefault="00B17E8C">
            <w:pPr>
              <w:pStyle w:val="P68B1DB1-Normal13"/>
              <w:spacing w:after="0" w:line="240" w:lineRule="auto"/>
              <w:jc w:val="both"/>
              <w:rPr>
                <w:rFonts w:eastAsia="Times New Roman"/>
                <w:noProof/>
                <w:kern w:val="0"/>
                <w14:ligatures w14:val="none"/>
              </w:rPr>
            </w:pPr>
            <w:r>
              <w:rPr>
                <w:noProof/>
              </w:rPr>
              <w:t>Conditions d'acceptation signées par les établissements d'enseignement pour le financement des</w:t>
            </w:r>
            <w:r>
              <w:rPr>
                <w:noProof/>
                <w:kern w:val="0"/>
                <w14:ligatures w14:val="none"/>
              </w:rPr>
              <w:t xml:space="preserve"> clubs </w:t>
            </w:r>
            <w:r>
              <w:rPr>
                <w:i/>
                <w:noProof/>
                <w:kern w:val="0"/>
                <w14:ligatures w14:val="none"/>
              </w:rPr>
              <w:t>Ciência Viva.</w:t>
            </w:r>
            <w:r>
              <w:rPr>
                <w:noProof/>
                <w:kern w:val="0"/>
                <w14:ligatures w14:val="none"/>
              </w:rPr>
              <w:t xml:space="preserve"> </w:t>
            </w:r>
          </w:p>
        </w:tc>
      </w:tr>
      <w:tr w:rsidR="006C686E" w14:paraId="13A77CCB"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FDB25E7" w14:textId="77777777" w:rsidR="006C686E" w:rsidRDefault="00B17E8C">
            <w:pPr>
              <w:pStyle w:val="P68B1DB1-Normal10"/>
              <w:spacing w:after="0" w:line="240" w:lineRule="auto"/>
              <w:jc w:val="center"/>
              <w:rPr>
                <w:rFonts w:eastAsia="Times New Roman"/>
                <w:bCs/>
                <w:noProof/>
              </w:rPr>
            </w:pPr>
            <w:r>
              <w:rPr>
                <w:noProof/>
              </w:rPr>
              <w:t>6.9</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49FCC4" w14:textId="77777777" w:rsidR="006C686E" w:rsidRDefault="00B17E8C">
            <w:pPr>
              <w:pStyle w:val="P68B1DB1-Normal11"/>
              <w:spacing w:after="0" w:line="240" w:lineRule="auto"/>
              <w:jc w:val="center"/>
              <w:rPr>
                <w:rFonts w:eastAsia="Times New Roman"/>
                <w:noProof/>
              </w:rPr>
            </w:pPr>
            <w:r>
              <w:rPr>
                <w:noProof/>
              </w:rPr>
              <w:t>RE-C06-i04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72A99F" w14:textId="0C08ABB7" w:rsidR="006C686E" w:rsidRDefault="00B17E8C">
            <w:pPr>
              <w:pStyle w:val="P68B1DB1-Normal13"/>
              <w:spacing w:after="0" w:line="240" w:lineRule="auto"/>
              <w:jc w:val="center"/>
              <w:rPr>
                <w:rFonts w:eastAsia="Times New Roman"/>
                <w:noProof/>
                <w:kern w:val="0"/>
                <w14:ligatures w14:val="none"/>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1F801" w14:textId="58E659A7" w:rsidR="006C686E" w:rsidRDefault="00B17E8C">
            <w:pPr>
              <w:pStyle w:val="P68B1DB1-Normal11"/>
              <w:spacing w:after="0" w:line="240" w:lineRule="auto"/>
              <w:jc w:val="center"/>
              <w:rPr>
                <w:rFonts w:eastAsia="Times New Roman"/>
                <w:noProof/>
              </w:rPr>
            </w:pPr>
            <w:r>
              <w:rPr>
                <w:noProof/>
              </w:rPr>
              <w:t xml:space="preserve">Cours en STEAM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F3FD87" w14:textId="180A3955" w:rsidR="006C686E" w:rsidRDefault="00B17E8C">
            <w:pPr>
              <w:pStyle w:val="P68B1DB1-Normal11"/>
              <w:spacing w:after="0" w:line="240" w:lineRule="auto"/>
              <w:jc w:val="center"/>
              <w:rPr>
                <w:rFonts w:eastAsia="Times New Roman"/>
                <w:noProof/>
              </w:rPr>
            </w:pPr>
            <w:r>
              <w:rPr>
                <w:noProof/>
              </w:rPr>
              <w:t>Accréditation ou enregistrement des cours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52029A" w14:textId="77777777" w:rsidR="006C686E" w:rsidRDefault="00B17E8C">
            <w:pPr>
              <w:pStyle w:val="P68B1DB1-Normal13"/>
              <w:spacing w:after="0" w:line="240" w:lineRule="auto"/>
              <w:jc w:val="center"/>
              <w:rPr>
                <w:rFonts w:eastAsia="Times New Roman"/>
                <w:noProof/>
                <w:kern w:val="0"/>
                <w14:ligatures w14:val="none"/>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3AB0A1" w14:textId="77777777" w:rsidR="006C686E" w:rsidRDefault="00B17E8C">
            <w:pPr>
              <w:pStyle w:val="P68B1DB1-Normal13"/>
              <w:spacing w:after="0" w:line="240" w:lineRule="auto"/>
              <w:jc w:val="center"/>
              <w:rPr>
                <w:rFonts w:eastAsia="Times New Roman"/>
                <w:noProof/>
                <w:kern w:val="0"/>
                <w14:ligatures w14:val="none"/>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96CC6E" w14:textId="77777777" w:rsidR="006C686E" w:rsidRDefault="00B17E8C">
            <w:pPr>
              <w:pStyle w:val="P68B1DB1-Normal13"/>
              <w:spacing w:after="0" w:line="240" w:lineRule="auto"/>
              <w:jc w:val="center"/>
              <w:rPr>
                <w:rFonts w:eastAsia="Times New Roman"/>
                <w:noProof/>
                <w:kern w:val="0"/>
                <w14:ligatures w14:val="none"/>
              </w:rPr>
            </w:pPr>
            <w:r>
              <w:rPr>
                <w:noProof/>
              </w:rPr>
              <w:t>200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2D7DC9" w14:textId="77777777" w:rsidR="006C686E" w:rsidRDefault="00B17E8C">
            <w:pPr>
              <w:pStyle w:val="P68B1DB1-Normal13"/>
              <w:spacing w:after="0" w:line="240" w:lineRule="auto"/>
              <w:jc w:val="center"/>
              <w:rPr>
                <w:rFonts w:eastAsia="Times New Roman"/>
                <w:noProof/>
                <w:kern w:val="0"/>
                <w14:ligatures w14:val="none"/>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3F8275" w14:textId="77777777" w:rsidR="006C686E" w:rsidRDefault="00B17E8C">
            <w:pPr>
              <w:pStyle w:val="P68B1DB1-Normal13"/>
              <w:spacing w:after="0" w:line="240" w:lineRule="auto"/>
              <w:jc w:val="center"/>
              <w:rPr>
                <w:rFonts w:eastAsia="Times New Roman"/>
                <w:noProof/>
                <w:kern w:val="0"/>
                <w14:ligatures w14:val="none"/>
              </w:rPr>
            </w:pPr>
            <w:r>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7C6E7C" w14:textId="77777777" w:rsidR="006C686E" w:rsidRDefault="00B17E8C">
            <w:pPr>
              <w:pStyle w:val="P68B1DB1-Normal13"/>
              <w:spacing w:after="0" w:line="240" w:lineRule="auto"/>
              <w:jc w:val="both"/>
              <w:rPr>
                <w:rFonts w:eastAsia="Times New Roman"/>
                <w:noProof/>
                <w:kern w:val="0"/>
                <w14:ligatures w14:val="none"/>
              </w:rPr>
            </w:pPr>
            <w:r>
              <w:rPr>
                <w:noProof/>
              </w:rPr>
              <w:t xml:space="preserve">Accréditation ou enregistrement de 200 cours d'enseignement </w:t>
            </w:r>
            <w:r>
              <w:rPr>
                <w:noProof/>
                <w:kern w:val="0"/>
                <w14:ligatures w14:val="none"/>
              </w:rPr>
              <w:t xml:space="preserve">supérieur, </w:t>
            </w:r>
            <w:r>
              <w:rPr>
                <w:noProof/>
              </w:rPr>
              <w:t>y compris les baccalauréats et autres cours</w:t>
            </w:r>
            <w:r>
              <w:rPr>
                <w:noProof/>
                <w:kern w:val="0"/>
                <w14:ligatures w14:val="none"/>
              </w:rPr>
              <w:t xml:space="preserve"> en STIAM (sciences, technologie, ingénierie, arts et mathématiques).</w:t>
            </w:r>
          </w:p>
        </w:tc>
      </w:tr>
      <w:tr w:rsidR="006C686E" w14:paraId="0CC2538E" w14:textId="77777777" w:rsidTr="0024749C">
        <w:trPr>
          <w:trHeight w:val="83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B6B2109" w14:textId="77777777" w:rsidR="006C686E" w:rsidRDefault="00B17E8C">
            <w:pPr>
              <w:pStyle w:val="P68B1DB1-Normal10"/>
              <w:spacing w:after="0" w:line="240" w:lineRule="auto"/>
              <w:jc w:val="center"/>
              <w:rPr>
                <w:rFonts w:eastAsia="Times New Roman"/>
                <w:bCs/>
                <w:noProof/>
              </w:rPr>
            </w:pPr>
            <w:r>
              <w:rPr>
                <w:noProof/>
              </w:rPr>
              <w:t>6.10</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F0CF7" w14:textId="77777777" w:rsidR="006C686E" w:rsidRDefault="00B17E8C">
            <w:pPr>
              <w:pStyle w:val="P68B1DB1-Normal11"/>
              <w:spacing w:after="0" w:line="240" w:lineRule="auto"/>
              <w:jc w:val="center"/>
              <w:rPr>
                <w:rFonts w:eastAsia="Times New Roman"/>
                <w:noProof/>
              </w:rPr>
            </w:pPr>
            <w:r>
              <w:rPr>
                <w:noProof/>
              </w:rPr>
              <w:t>RE-C06-i05-RAA</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01507F"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7A0037" w14:textId="77777777" w:rsidR="006C686E" w:rsidRDefault="00B17E8C">
            <w:pPr>
              <w:pStyle w:val="P68B1DB1-Normal13"/>
              <w:spacing w:after="0" w:line="240" w:lineRule="auto"/>
              <w:jc w:val="center"/>
              <w:rPr>
                <w:rFonts w:eastAsia="Times New Roman"/>
                <w:noProof/>
                <w:kern w:val="0"/>
                <w14:ligatures w14:val="none"/>
              </w:rPr>
            </w:pPr>
            <w:r>
              <w:rPr>
                <w:noProof/>
              </w:rPr>
              <w:t>Soutien accordé pour la participation à des études postsecondaires ou supérieures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66FCEB" w14:textId="5B46274D" w:rsidR="006C686E" w:rsidRDefault="00B17E8C">
            <w:pPr>
              <w:pStyle w:val="P68B1DB1-Normal13"/>
              <w:spacing w:after="0" w:line="240" w:lineRule="auto"/>
              <w:jc w:val="center"/>
              <w:rPr>
                <w:rFonts w:eastAsia="Times New Roman"/>
                <w:noProof/>
                <w:kern w:val="0"/>
                <w14:ligatures w14:val="none"/>
              </w:rPr>
            </w:pPr>
            <w:r>
              <w:rPr>
                <w:noProof/>
              </w:rPr>
              <w:t>Publication d'une liste de personnes soutenues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01B36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4BCC1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E129C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0CA3B7"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F176F4" w14:textId="77777777" w:rsidR="006C686E" w:rsidRDefault="00B17E8C">
            <w:pPr>
              <w:pStyle w:val="P68B1DB1-Normal11"/>
              <w:spacing w:after="0" w:line="240" w:lineRule="auto"/>
              <w:jc w:val="center"/>
              <w:rPr>
                <w:rFonts w:eastAsia="Times New Roman"/>
                <w:noProof/>
              </w:rPr>
            </w:pPr>
            <w:r>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6D2F75" w14:textId="77777777" w:rsidR="006C686E" w:rsidRDefault="00B17E8C">
            <w:pPr>
              <w:pStyle w:val="P68B1DB1-Normal13"/>
              <w:spacing w:after="0" w:line="240" w:lineRule="auto"/>
              <w:jc w:val="both"/>
              <w:rPr>
                <w:noProof/>
                <w:kern w:val="0"/>
                <w14:ligatures w14:val="none"/>
              </w:rPr>
            </w:pPr>
            <w:r>
              <w:rPr>
                <w:noProof/>
              </w:rPr>
              <w:t>Publication au Journal officiel des Açores d’une liste d’au moins 953 personnes soutenues dans le cadre du programme «Qualifica.Superior».</w:t>
            </w:r>
          </w:p>
        </w:tc>
      </w:tr>
      <w:tr w:rsidR="006C686E" w14:paraId="37E75617"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60C1CF8" w14:textId="77777777" w:rsidR="006C686E" w:rsidRDefault="00B17E8C">
            <w:pPr>
              <w:pStyle w:val="P68B1DB1-Normal10"/>
              <w:spacing w:after="0" w:line="240" w:lineRule="auto"/>
              <w:jc w:val="center"/>
              <w:rPr>
                <w:rFonts w:eastAsia="Times New Roman"/>
                <w:bCs/>
                <w:noProof/>
              </w:rPr>
            </w:pPr>
            <w:r>
              <w:rPr>
                <w:noProof/>
              </w:rPr>
              <w:t>6.11</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C01A47" w14:textId="77777777" w:rsidR="006C686E" w:rsidRDefault="00B17E8C">
            <w:pPr>
              <w:pStyle w:val="P68B1DB1-Normal11"/>
              <w:spacing w:after="0" w:line="240" w:lineRule="auto"/>
              <w:jc w:val="center"/>
              <w:rPr>
                <w:rFonts w:eastAsia="Times New Roman"/>
                <w:noProof/>
              </w:rPr>
            </w:pPr>
            <w:r>
              <w:rPr>
                <w:noProof/>
              </w:rPr>
              <w:t>RE-C06-i05-RAA</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BCFAE0" w14:textId="77777777" w:rsidR="006C686E" w:rsidRDefault="00B17E8C">
            <w:pPr>
              <w:pStyle w:val="P68B1DB1-Normal11"/>
              <w:spacing w:after="0" w:line="240" w:lineRule="auto"/>
              <w:jc w:val="center"/>
              <w:rPr>
                <w:rFonts w:eastAsia="Times New Roman"/>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11820" w14:textId="77777777" w:rsidR="006C686E" w:rsidRDefault="00B17E8C">
            <w:pPr>
              <w:pStyle w:val="P68B1DB1-Normal13"/>
              <w:spacing w:after="0" w:line="240" w:lineRule="auto"/>
              <w:jc w:val="center"/>
              <w:rPr>
                <w:rFonts w:eastAsia="Times New Roman"/>
                <w:noProof/>
                <w:kern w:val="0"/>
                <w14:ligatures w14:val="none"/>
              </w:rPr>
            </w:pPr>
            <w:r>
              <w:rPr>
                <w:noProof/>
              </w:rPr>
              <w:t xml:space="preserve">Rénovation ou équipement des </w:t>
            </w:r>
            <w:r>
              <w:rPr>
                <w:noProof/>
                <w:kern w:val="0"/>
                <w14:ligatures w14:val="none"/>
              </w:rPr>
              <w:t>écoles de la région autonome des Açores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3758AC" w14:textId="77777777" w:rsidR="006C686E" w:rsidRDefault="00B17E8C">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1782E"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7C514D"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47F9F3" w14:textId="77777777" w:rsidR="006C686E" w:rsidRDefault="00B17E8C">
            <w:pPr>
              <w:pStyle w:val="P68B1DB1-Normal11"/>
              <w:spacing w:after="0" w:line="240" w:lineRule="auto"/>
              <w:jc w:val="center"/>
              <w:rPr>
                <w:rFonts w:eastAsia="Times New Roman"/>
                <w:noProof/>
              </w:rPr>
            </w:pPr>
            <w:r>
              <w:rPr>
                <w:noProof/>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4CA63C"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922629" w14:textId="77777777" w:rsidR="006C686E" w:rsidRDefault="00B17E8C">
            <w:pPr>
              <w:pStyle w:val="P68B1DB1-Normal11"/>
              <w:spacing w:after="0" w:line="240" w:lineRule="auto"/>
              <w:jc w:val="center"/>
              <w:rPr>
                <w:rFonts w:eastAsia="Times New Roman"/>
                <w:noProof/>
              </w:rPr>
            </w:pPr>
            <w:r>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CECEFC" w14:textId="30FAD9F5" w:rsidR="006C686E" w:rsidRDefault="00B17E8C">
            <w:pPr>
              <w:pStyle w:val="P68B1DB1-Normal13"/>
              <w:spacing w:after="0" w:line="240" w:lineRule="auto"/>
              <w:jc w:val="both"/>
              <w:rPr>
                <w:rFonts w:eastAsia="Times New Roman"/>
                <w:noProof/>
                <w:kern w:val="0"/>
                <w14:ligatures w14:val="none"/>
              </w:rPr>
            </w:pPr>
            <w:r>
              <w:rPr>
                <w:noProof/>
              </w:rPr>
              <w:t>Rénovation d'une école et achat d'équipement pour 16 écoles. La rénovation permet de réaliser, en moyenne, au moins 30 % d’économies d’énergie primaire.</w:t>
            </w:r>
          </w:p>
        </w:tc>
      </w:tr>
      <w:tr w:rsidR="006C686E" w14:paraId="299087F8"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DE8134" w14:textId="77777777" w:rsidR="006C686E" w:rsidRDefault="00B17E8C">
            <w:pPr>
              <w:pStyle w:val="P68B1DB1-Normal10"/>
              <w:spacing w:after="0" w:line="240" w:lineRule="auto"/>
              <w:jc w:val="center"/>
              <w:rPr>
                <w:rFonts w:eastAsia="Times New Roman"/>
                <w:bCs/>
                <w:noProof/>
              </w:rPr>
            </w:pPr>
            <w:r>
              <w:rPr>
                <w:noProof/>
              </w:rPr>
              <w:t>6.12</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0F815B" w14:textId="77777777" w:rsidR="006C686E" w:rsidRDefault="00B17E8C">
            <w:pPr>
              <w:pStyle w:val="P68B1DB1-Normal11"/>
              <w:spacing w:after="0" w:line="240" w:lineRule="auto"/>
              <w:jc w:val="center"/>
              <w:rPr>
                <w:rFonts w:eastAsia="Times New Roman"/>
                <w:noProof/>
              </w:rPr>
            </w:pPr>
            <w:r>
              <w:rPr>
                <w:noProof/>
              </w:rPr>
              <w:t>RE-C06-r14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E25540"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D663F" w14:textId="77777777" w:rsidR="006C686E" w:rsidRDefault="00B17E8C">
            <w:pPr>
              <w:pStyle w:val="P68B1DB1-Normal13"/>
              <w:spacing w:after="0" w:line="240" w:lineRule="auto"/>
              <w:jc w:val="center"/>
              <w:rPr>
                <w:noProof/>
                <w:kern w:val="0"/>
                <w14:ligatures w14:val="none"/>
              </w:rPr>
            </w:pPr>
            <w:r>
              <w:rPr>
                <w:noProof/>
              </w:rPr>
              <w:t>Système d'anticipation des besoins en qualifications (SANQ) et offre d'EFP</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84B3E" w14:textId="106AB51E" w:rsidR="006C686E" w:rsidRDefault="00B17E8C">
            <w:pPr>
              <w:pStyle w:val="P68B1DB1-Normal13"/>
              <w:spacing w:after="0" w:line="240" w:lineRule="auto"/>
              <w:jc w:val="center"/>
              <w:rPr>
                <w:rFonts w:eastAsia="Times New Roman"/>
                <w:noProof/>
                <w:kern w:val="0"/>
                <w14:ligatures w14:val="none"/>
              </w:rPr>
            </w:pPr>
            <w:r>
              <w:rPr>
                <w:noProof/>
              </w:rPr>
              <w:t>Approbation des arrêtés et publication de la circulaire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EB4086"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17149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7DE2B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702622"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73A60A" w14:textId="77777777" w:rsidR="006C686E" w:rsidRDefault="00B17E8C">
            <w:pPr>
              <w:pStyle w:val="P68B1DB1-Normal11"/>
              <w:spacing w:after="0" w:line="240" w:lineRule="auto"/>
              <w:jc w:val="center"/>
              <w:rPr>
                <w:rFonts w:eastAsia="Times New Roman"/>
                <w:noProof/>
              </w:rPr>
            </w:pPr>
            <w:r>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2B4481" w14:textId="77777777" w:rsidR="006C686E" w:rsidRDefault="00B17E8C">
            <w:pPr>
              <w:pStyle w:val="P68B1DB1-Normal13"/>
              <w:spacing w:after="0" w:line="240" w:lineRule="auto"/>
              <w:jc w:val="both"/>
              <w:rPr>
                <w:noProof/>
              </w:rPr>
            </w:pPr>
            <w:r>
              <w:rPr>
                <w:noProof/>
              </w:rPr>
              <w:t>i) Approbation de l'offre d'EFP pour l'année scolaire 2025/2026;</w:t>
            </w:r>
          </w:p>
          <w:p w14:paraId="74EFEDCA" w14:textId="3DCAD94D" w:rsidR="006C686E" w:rsidRDefault="00B17E8C">
            <w:pPr>
              <w:pStyle w:val="P68B1DB1-Normal13"/>
              <w:spacing w:after="0" w:line="240" w:lineRule="auto"/>
              <w:jc w:val="both"/>
              <w:rPr>
                <w:noProof/>
              </w:rPr>
            </w:pPr>
            <w:r>
              <w:rPr>
                <w:noProof/>
              </w:rPr>
              <w:t>ii) Approbation de l'ordonnance du Secrétaire d'État adjoint à l'éducation exigeant l'utilisation du Système d'anticipation des besoins en qualifications (SANQ) dans la planification de l'enseignement et de la formation professionnels (EFP); et</w:t>
            </w:r>
          </w:p>
          <w:p w14:paraId="33825200" w14:textId="77777777" w:rsidR="006C686E" w:rsidRDefault="00B17E8C">
            <w:pPr>
              <w:pStyle w:val="P68B1DB1-Normal13"/>
              <w:spacing w:after="0" w:line="240" w:lineRule="auto"/>
              <w:jc w:val="both"/>
              <w:rPr>
                <w:noProof/>
                <w:kern w:val="0"/>
                <w14:ligatures w14:val="none"/>
              </w:rPr>
            </w:pPr>
            <w:r>
              <w:rPr>
                <w:noProof/>
              </w:rPr>
              <w:t>iii) Publication en ligne d'une circulaire sur la méthodologie de planification de l'offre d'EFP.</w:t>
            </w:r>
          </w:p>
        </w:tc>
      </w:tr>
      <w:tr w:rsidR="006C686E" w14:paraId="0A27D5AC"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8BCF0E3" w14:textId="77777777" w:rsidR="006C686E" w:rsidRDefault="00B17E8C">
            <w:pPr>
              <w:pStyle w:val="P68B1DB1-Normal10"/>
              <w:spacing w:after="0" w:line="240" w:lineRule="auto"/>
              <w:jc w:val="center"/>
              <w:rPr>
                <w:rFonts w:eastAsia="Times New Roman"/>
                <w:bCs/>
                <w:noProof/>
              </w:rPr>
            </w:pPr>
            <w:r>
              <w:rPr>
                <w:noProof/>
              </w:rPr>
              <w:t>6.13</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720C5A" w14:textId="77777777" w:rsidR="006C686E" w:rsidRDefault="00B17E8C">
            <w:pPr>
              <w:pStyle w:val="P68B1DB1-Normal11"/>
              <w:spacing w:after="0" w:line="240" w:lineRule="auto"/>
              <w:jc w:val="center"/>
              <w:rPr>
                <w:rFonts w:eastAsia="Times New Roman"/>
                <w:noProof/>
              </w:rPr>
            </w:pPr>
            <w:r>
              <w:rPr>
                <w:noProof/>
              </w:rPr>
              <w:t>RE-C06-r15</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50DB5E"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FC9CF6" w14:textId="77777777" w:rsidR="006C686E" w:rsidRDefault="00B17E8C">
            <w:pPr>
              <w:pStyle w:val="P68B1DB1-Normal11"/>
              <w:spacing w:after="0" w:line="240" w:lineRule="auto"/>
              <w:jc w:val="center"/>
              <w:rPr>
                <w:rFonts w:eastAsia="Times New Roman"/>
                <w:noProof/>
              </w:rPr>
            </w:pPr>
            <w:r>
              <w:rPr>
                <w:noProof/>
              </w:rPr>
              <w:t>Entrée en vigueur de la loi portant création de concours spéciaux d'admission à l'enseignement supérieur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1E4DED" w14:textId="198F5C8D" w:rsidR="006C686E" w:rsidRDefault="00B17E8C">
            <w:pPr>
              <w:pStyle w:val="P68B1DB1-Normal11"/>
              <w:spacing w:after="0" w:line="240" w:lineRule="auto"/>
              <w:jc w:val="center"/>
              <w:rPr>
                <w:rFonts w:eastAsia="Times New Roman"/>
                <w:noProof/>
              </w:rPr>
            </w:pPr>
            <w:r>
              <w:rPr>
                <w:noProof/>
              </w:rPr>
              <w:t xml:space="preserve">Entrée en vigueur de la loi portant création de concours spéciaux d'admission à l'enseignement supérieur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A05EA7"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5C198B"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4C9A0D"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BEB32D"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EC7FA3" w14:textId="77777777" w:rsidR="006C686E" w:rsidRDefault="00B17E8C">
            <w:pPr>
              <w:pStyle w:val="P68B1DB1-Normal11"/>
              <w:spacing w:after="0" w:line="240" w:lineRule="auto"/>
              <w:jc w:val="center"/>
              <w:rPr>
                <w:rFonts w:eastAsia="Times New Roman"/>
                <w:noProof/>
              </w:rPr>
            </w:pPr>
            <w:r>
              <w:rPr>
                <w:noProof/>
              </w:rPr>
              <w:t>2020</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E99C8E" w14:textId="77777777" w:rsidR="006C686E" w:rsidRDefault="00B17E8C">
            <w:pPr>
              <w:pStyle w:val="P68B1DB1-Normal11"/>
              <w:spacing w:after="0" w:line="240" w:lineRule="auto"/>
              <w:jc w:val="both"/>
              <w:rPr>
                <w:rFonts w:eastAsia="Times New Roman"/>
                <w:noProof/>
              </w:rPr>
            </w:pPr>
            <w:r>
              <w:rPr>
                <w:noProof/>
              </w:rPr>
              <w:t>Entrée en vigueur de la loi créant des concours spéciaux d'admission à l'enseignement supérieur pour les étudiants ayant achevé l'enseignement secondaire par des filières professionnelles et des cours artistiques spécialisés.</w:t>
            </w:r>
          </w:p>
        </w:tc>
      </w:tr>
      <w:tr w:rsidR="006C686E" w14:paraId="7BB40668"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53CD20B" w14:textId="77777777" w:rsidR="006C686E" w:rsidRDefault="00B17E8C">
            <w:pPr>
              <w:pStyle w:val="P68B1DB1-Normal10"/>
              <w:spacing w:after="0" w:line="240" w:lineRule="auto"/>
              <w:jc w:val="center"/>
              <w:rPr>
                <w:rFonts w:eastAsia="Times New Roman"/>
                <w:bCs/>
                <w:noProof/>
              </w:rPr>
            </w:pPr>
            <w:r>
              <w:rPr>
                <w:noProof/>
              </w:rPr>
              <w:t>6.14</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52D06D" w14:textId="77777777" w:rsidR="006C686E" w:rsidRDefault="00B17E8C">
            <w:pPr>
              <w:pStyle w:val="P68B1DB1-Normal11"/>
              <w:spacing w:after="0" w:line="240" w:lineRule="auto"/>
              <w:jc w:val="center"/>
              <w:rPr>
                <w:rFonts w:eastAsia="Times New Roman"/>
                <w:noProof/>
              </w:rPr>
            </w:pPr>
            <w:r>
              <w:rPr>
                <w:noProof/>
              </w:rPr>
              <w:t>RE-C06-r15</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2DD08"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B66A6C" w14:textId="77777777" w:rsidR="006C686E" w:rsidRDefault="00B17E8C">
            <w:pPr>
              <w:pStyle w:val="P68B1DB1-Normal11"/>
              <w:spacing w:after="0" w:line="240" w:lineRule="auto"/>
              <w:jc w:val="center"/>
              <w:rPr>
                <w:rFonts w:eastAsia="Times New Roman"/>
                <w:noProof/>
              </w:rPr>
            </w:pPr>
            <w:r>
              <w:rPr>
                <w:noProof/>
              </w:rPr>
              <w:t>Entrée en vigueur du nouveau cadre juridique régissant la coopération des établissements d'enseignement supérieur avec l'administration publique et les entreprises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1DAE70" w14:textId="77777777" w:rsidR="006C686E" w:rsidRDefault="00B17E8C">
            <w:pPr>
              <w:pStyle w:val="P68B1DB1-Normal11"/>
              <w:spacing w:after="0" w:line="240" w:lineRule="auto"/>
              <w:jc w:val="center"/>
              <w:rPr>
                <w:rFonts w:eastAsia="Times New Roman"/>
                <w:noProof/>
              </w:rPr>
            </w:pPr>
            <w:r>
              <w:rPr>
                <w:noProof/>
              </w:rPr>
              <w:t>Entrée en vigueur du nouveau cadre juridique régissant la coopération des établissements d'enseignement supérieur avec l'administration publique et les entreprises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B9EC88" w14:textId="2BDE5335"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B4022F"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C4AAAE"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D4945F"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4D056F" w14:textId="77777777" w:rsidR="006C686E" w:rsidRDefault="00B17E8C">
            <w:pPr>
              <w:pStyle w:val="P68B1DB1-Normal11"/>
              <w:spacing w:after="0" w:line="240" w:lineRule="auto"/>
              <w:jc w:val="center"/>
              <w:rPr>
                <w:rFonts w:eastAsia="Times New Roman"/>
                <w:noProof/>
              </w:rPr>
            </w:pPr>
            <w:r>
              <w:rPr>
                <w:noProof/>
              </w:rPr>
              <w:t>2021</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D65628" w14:textId="77777777" w:rsidR="006C686E" w:rsidRDefault="00B17E8C">
            <w:pPr>
              <w:pStyle w:val="P68B1DB1-Normal11"/>
              <w:spacing w:after="0" w:line="240" w:lineRule="auto"/>
              <w:jc w:val="both"/>
              <w:rPr>
                <w:rFonts w:eastAsia="Times New Roman"/>
                <w:noProof/>
              </w:rPr>
            </w:pPr>
            <w:r>
              <w:rPr>
                <w:noProof/>
              </w:rPr>
              <w:t>Entrée en vigueur du nouveau cadre juridique régissant la coopération des établissements d'enseignement supérieur avec l'administration publique et les entreprises, y compris: i) la création de réseaux collaboratifs d'établissements d'enseignement supérieur en partenariat avec les employeurs, notamment pour promouvoir l'enseignement supérieur initial, les projets d'innovation et les services aux entreprises, ii) la modification du statut juridique afin de clarifier les conditions dans lesquelles un spécialiste externe peut exercer des fonctions d'enseignement ou de gestion dans les établissements d'enseignement supérieur, afin de promouvoir la mobilité entre le monde universitaire et le monde des affaires; iii) le renforcement des consortiums en gestion partagée entre les établissements d'enseignement supérieur et les entreprises.</w:t>
            </w:r>
          </w:p>
        </w:tc>
      </w:tr>
      <w:tr w:rsidR="006C686E" w14:paraId="0E52D5A5"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466C7BB" w14:textId="77777777" w:rsidR="006C686E" w:rsidRDefault="00B17E8C">
            <w:pPr>
              <w:pStyle w:val="P68B1DB1-Normal10"/>
              <w:spacing w:after="0" w:line="240" w:lineRule="auto"/>
              <w:jc w:val="center"/>
              <w:rPr>
                <w:rFonts w:eastAsia="Times New Roman"/>
                <w:bCs/>
                <w:noProof/>
              </w:rPr>
            </w:pPr>
            <w:r>
              <w:rPr>
                <w:noProof/>
              </w:rPr>
              <w:t>6.15</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925D4" w14:textId="77777777" w:rsidR="006C686E" w:rsidRDefault="00B17E8C">
            <w:pPr>
              <w:pStyle w:val="P68B1DB1-Normal11"/>
              <w:spacing w:after="0" w:line="240" w:lineRule="auto"/>
              <w:jc w:val="center"/>
              <w:rPr>
                <w:rFonts w:eastAsia="Times New Roman"/>
                <w:noProof/>
              </w:rPr>
            </w:pPr>
            <w:r>
              <w:rPr>
                <w:noProof/>
              </w:rPr>
              <w:t>RE-C06-r16</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D0824"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2E038D" w14:textId="77777777" w:rsidR="006C686E" w:rsidRDefault="00B17E8C">
            <w:pPr>
              <w:pStyle w:val="P68B1DB1-Normal11"/>
              <w:spacing w:after="0" w:line="240" w:lineRule="auto"/>
              <w:jc w:val="center"/>
              <w:rPr>
                <w:rFonts w:eastAsia="Times New Roman"/>
                <w:noProof/>
              </w:rPr>
            </w:pPr>
            <w:r>
              <w:rPr>
                <w:noProof/>
              </w:rPr>
              <w:t>Entrée en vigueur de la loi sur les professions réglementées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4B1416" w14:textId="77777777" w:rsidR="006C686E" w:rsidRDefault="00B17E8C">
            <w:pPr>
              <w:pStyle w:val="P68B1DB1-Normal11"/>
              <w:spacing w:after="0" w:line="240" w:lineRule="auto"/>
              <w:jc w:val="center"/>
              <w:rPr>
                <w:rFonts w:eastAsia="Times New Roman"/>
                <w:noProof/>
              </w:rPr>
            </w:pPr>
            <w:r>
              <w:rPr>
                <w:noProof/>
              </w:rPr>
              <w:t>Entrée en vigueur de la loi sur les professions réglementées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4E5DF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78B67C"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FD8B64"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D934B9"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87C4B" w14:textId="77777777" w:rsidR="006C686E" w:rsidRDefault="00B17E8C">
            <w:pPr>
              <w:pStyle w:val="P68B1DB1-Normal11"/>
              <w:spacing w:after="0" w:line="240" w:lineRule="auto"/>
              <w:jc w:val="center"/>
              <w:rPr>
                <w:rFonts w:eastAsia="Times New Roman"/>
                <w:noProof/>
              </w:rPr>
            </w:pPr>
            <w:r>
              <w:rPr>
                <w:noProof/>
              </w:rPr>
              <w:t>2022</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50FFA" w14:textId="77777777" w:rsidR="006C686E" w:rsidRDefault="00B17E8C">
            <w:pPr>
              <w:pStyle w:val="P68B1DB1-Normal11"/>
              <w:spacing w:after="0" w:line="240" w:lineRule="auto"/>
              <w:jc w:val="both"/>
              <w:rPr>
                <w:rFonts w:eastAsia="Times New Roman"/>
                <w:noProof/>
              </w:rPr>
            </w:pPr>
            <w:r>
              <w:rPr>
                <w:noProof/>
              </w:rPr>
              <w:t>Entrée en vigueur de la loi visant, entre autres: i) séparer les fonctions de réglementation et de représentation dans les associations professionnelles; ii) réduire la liste des activités réservées. L'accès aux activités ne peut être limité qu'à la sauvegarde des intérêts constitutionnels, conformément aux principes de nécessité et de proportionnalité; iii) mettre fin aux restrictions à la propriété et à la gestion des entreprises de services aux entreprises, à condition que les dirigeants respectent le régime juridique de prévention des «conflits d’intérêts»; et iv) permettre des services multidisciplinaires aux entreprises.</w:t>
            </w:r>
          </w:p>
        </w:tc>
      </w:tr>
      <w:tr w:rsidR="006C686E" w14:paraId="4CDB1AFE"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ADADD08" w14:textId="77777777" w:rsidR="006C686E" w:rsidRDefault="00B17E8C">
            <w:pPr>
              <w:pStyle w:val="P68B1DB1-Normal10"/>
              <w:spacing w:after="0" w:line="240" w:lineRule="auto"/>
              <w:jc w:val="center"/>
              <w:rPr>
                <w:rFonts w:eastAsia="Times New Roman"/>
                <w:bCs/>
                <w:noProof/>
              </w:rPr>
            </w:pPr>
            <w:r>
              <w:rPr>
                <w:noProof/>
              </w:rPr>
              <w:t>6.16</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5E3753" w14:textId="77777777" w:rsidR="006C686E" w:rsidRDefault="00B17E8C">
            <w:pPr>
              <w:pStyle w:val="P68B1DB1-Normal11"/>
              <w:spacing w:after="0" w:line="240" w:lineRule="auto"/>
              <w:jc w:val="center"/>
              <w:rPr>
                <w:rFonts w:eastAsia="Times New Roman"/>
                <w:noProof/>
              </w:rPr>
            </w:pPr>
            <w:r>
              <w:rPr>
                <w:noProof/>
              </w:rPr>
              <w:t>RE-C06-r17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D4691"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08F33A" w14:textId="77777777" w:rsidR="006C686E" w:rsidRDefault="00B17E8C">
            <w:pPr>
              <w:pStyle w:val="P68B1DB1-Normal11"/>
              <w:spacing w:after="0" w:line="240" w:lineRule="auto"/>
              <w:jc w:val="center"/>
              <w:rPr>
                <w:rFonts w:eastAsia="Times New Roman"/>
                <w:noProof/>
              </w:rPr>
            </w:pPr>
            <w:r>
              <w:rPr>
                <w:noProof/>
              </w:rPr>
              <w:t>Entrée en vigueur de la loi régissant le travail via une plateforme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67EE02" w14:textId="77777777" w:rsidR="006C686E" w:rsidRDefault="00B17E8C">
            <w:pPr>
              <w:pStyle w:val="P68B1DB1-Normal11"/>
              <w:spacing w:after="0" w:line="240" w:lineRule="auto"/>
              <w:jc w:val="center"/>
              <w:rPr>
                <w:rFonts w:eastAsia="Times New Roman"/>
                <w:noProof/>
              </w:rPr>
            </w:pPr>
            <w:r>
              <w:rPr>
                <w:noProof/>
              </w:rPr>
              <w:t>Entrée en vigueur de la loi régissant le travail via une plateforme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2298F9"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533E8E"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3ACF7"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5F88B3" w14:textId="77777777" w:rsidR="006C686E" w:rsidRDefault="00B17E8C">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0C165E" w14:textId="77777777" w:rsidR="006C686E" w:rsidRDefault="00B17E8C">
            <w:pPr>
              <w:pStyle w:val="P68B1DB1-Normal11"/>
              <w:spacing w:after="0" w:line="240" w:lineRule="auto"/>
              <w:jc w:val="center"/>
              <w:rPr>
                <w:rFonts w:eastAsia="Times New Roman"/>
                <w:noProof/>
              </w:rPr>
            </w:pPr>
            <w:r>
              <w:rPr>
                <w:noProof/>
              </w:rPr>
              <w:t>2023</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C2D7BD" w14:textId="77777777" w:rsidR="006C686E" w:rsidRDefault="00B17E8C">
            <w:pPr>
              <w:pStyle w:val="P68B1DB1-Normal11"/>
              <w:spacing w:after="0" w:line="240" w:lineRule="auto"/>
              <w:jc w:val="both"/>
              <w:rPr>
                <w:rFonts w:eastAsia="Times New Roman"/>
                <w:noProof/>
              </w:rPr>
            </w:pPr>
            <w:r>
              <w:rPr>
                <w:noProof/>
              </w:rPr>
              <w:t xml:space="preserve">Entrée en vigueur de la loi visant à réglementer le travail via une plateforme afin de relever les nouveaux défis créés par les relations de travail atypiques, conformément aux principes du socle européen des droits sociaux. Elle vise à renforcer les relations de travail et l'accès aux droits. </w:t>
            </w:r>
          </w:p>
        </w:tc>
      </w:tr>
      <w:tr w:rsidR="006C686E" w14:paraId="3B5EEF04"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CA757FF" w14:textId="77777777" w:rsidR="006C686E" w:rsidRDefault="00B17E8C">
            <w:pPr>
              <w:pStyle w:val="P68B1DB1-Normal10"/>
              <w:spacing w:after="0" w:line="240" w:lineRule="auto"/>
              <w:jc w:val="center"/>
              <w:rPr>
                <w:rFonts w:eastAsia="Times New Roman"/>
                <w:bCs/>
                <w:noProof/>
              </w:rPr>
            </w:pPr>
            <w:r>
              <w:rPr>
                <w:noProof/>
              </w:rPr>
              <w:t>6.17</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E77D53" w14:textId="77777777" w:rsidR="006C686E" w:rsidRDefault="00B17E8C">
            <w:pPr>
              <w:pStyle w:val="P68B1DB1-Normal11"/>
              <w:spacing w:after="0" w:line="240" w:lineRule="auto"/>
              <w:jc w:val="center"/>
              <w:rPr>
                <w:rFonts w:eastAsia="Times New Roman"/>
                <w:noProof/>
              </w:rPr>
            </w:pPr>
            <w:r>
              <w:rPr>
                <w:noProof/>
              </w:rPr>
              <w:t>RE-C06-r18</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BF88A8"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EA7503" w14:textId="77777777" w:rsidR="006C686E" w:rsidRDefault="00B17E8C">
            <w:pPr>
              <w:pStyle w:val="P68B1DB1-Normal11"/>
              <w:spacing w:after="0" w:line="240" w:lineRule="auto"/>
              <w:jc w:val="center"/>
              <w:rPr>
                <w:rFonts w:eastAsia="Times New Roman"/>
                <w:noProof/>
              </w:rPr>
            </w:pPr>
            <w:r>
              <w:rPr>
                <w:noProof/>
              </w:rPr>
              <w:t xml:space="preserve">Publication d'une norme pour un système de gestion de l'égalité salariale.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97E828" w14:textId="77777777" w:rsidR="006C686E" w:rsidRDefault="00B17E8C">
            <w:pPr>
              <w:pStyle w:val="P68B1DB1-Normal11"/>
              <w:spacing w:after="0" w:line="240" w:lineRule="auto"/>
              <w:jc w:val="center"/>
              <w:rPr>
                <w:rFonts w:eastAsia="Times New Roman"/>
                <w:noProof/>
              </w:rPr>
            </w:pPr>
            <w:r>
              <w:rPr>
                <w:noProof/>
              </w:rPr>
              <w:t>Publication de la norme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B207DE"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E4B879"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85D838"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C4A326"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B3DB98" w14:textId="77777777" w:rsidR="006C686E" w:rsidRDefault="00B17E8C">
            <w:pPr>
              <w:pStyle w:val="P68B1DB1-Normal11"/>
              <w:spacing w:after="0" w:line="240" w:lineRule="auto"/>
              <w:jc w:val="center"/>
              <w:rPr>
                <w:rFonts w:eastAsia="Times New Roman"/>
                <w:noProof/>
              </w:rPr>
            </w:pPr>
            <w:r>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FC3A8C" w14:textId="77777777" w:rsidR="006C686E" w:rsidRDefault="00B17E8C">
            <w:pPr>
              <w:pStyle w:val="P68B1DB1-Normal11"/>
              <w:spacing w:after="0" w:line="240" w:lineRule="auto"/>
              <w:jc w:val="both"/>
              <w:rPr>
                <w:noProof/>
              </w:rPr>
            </w:pPr>
            <w:r>
              <w:rPr>
                <w:noProof/>
              </w:rPr>
              <w:t xml:space="preserve">Publication d’une norme fournissant des lignes directrices aux entreprises pour évaluer leurs politiques salariales en matière d’égalité entre les hommes et les femmes. </w:t>
            </w:r>
          </w:p>
        </w:tc>
      </w:tr>
      <w:tr w:rsidR="006C686E" w14:paraId="4CEE00BD"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4044458" w14:textId="77777777" w:rsidR="006C686E" w:rsidRDefault="00B17E8C">
            <w:pPr>
              <w:pStyle w:val="P68B1DB1-Normal10"/>
              <w:spacing w:after="0" w:line="240" w:lineRule="auto"/>
              <w:jc w:val="center"/>
              <w:rPr>
                <w:rFonts w:eastAsia="Times New Roman"/>
                <w:bCs/>
                <w:noProof/>
              </w:rPr>
            </w:pPr>
            <w:r>
              <w:rPr>
                <w:noProof/>
              </w:rPr>
              <w:t>6.18</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EC047" w14:textId="77777777" w:rsidR="006C686E" w:rsidRDefault="00B17E8C">
            <w:pPr>
              <w:pStyle w:val="P68B1DB1-Normal11"/>
              <w:spacing w:after="0" w:line="240" w:lineRule="auto"/>
              <w:jc w:val="center"/>
              <w:rPr>
                <w:rFonts w:eastAsia="Times New Roman"/>
                <w:noProof/>
              </w:rPr>
            </w:pPr>
            <w:r>
              <w:rPr>
                <w:noProof/>
              </w:rPr>
              <w:t>RE-C06-r18</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E35B9B" w14:textId="77777777" w:rsidR="006C686E" w:rsidRDefault="00B17E8C">
            <w:pPr>
              <w:pStyle w:val="P68B1DB1-Normal11"/>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3E0DDF" w14:textId="77777777" w:rsidR="006C686E" w:rsidRDefault="00B17E8C">
            <w:pPr>
              <w:pStyle w:val="P68B1DB1-Normal11"/>
              <w:spacing w:after="0" w:line="240" w:lineRule="auto"/>
              <w:jc w:val="center"/>
              <w:rPr>
                <w:rFonts w:eastAsia="Times New Roman"/>
                <w:noProof/>
              </w:rPr>
            </w:pPr>
            <w:r>
              <w:rPr>
                <w:noProof/>
              </w:rPr>
              <w:t xml:space="preserve">Reconnaissance pour les entreprises présentant un écart de rémunération étroit entre les hommes et les femmes.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A6DF35" w14:textId="77777777" w:rsidR="006C686E" w:rsidRDefault="00B17E8C">
            <w:pPr>
              <w:pStyle w:val="P68B1DB1-Normal11"/>
              <w:spacing w:after="0" w:line="240" w:lineRule="auto"/>
              <w:jc w:val="center"/>
              <w:rPr>
                <w:noProof/>
              </w:rPr>
            </w:pPr>
            <w:r>
              <w:rPr>
                <w:noProof/>
              </w:rPr>
              <w:t>Entrée en vigueur d’un acte réglementaire permettant aux entreprises d’obtenir un «label d’égalité salariale»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CDBAC3"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82A1C2"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845DED"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42DC2"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2C2B17" w14:textId="77777777" w:rsidR="006C686E" w:rsidRDefault="00B17E8C">
            <w:pPr>
              <w:pStyle w:val="P68B1DB1-Normal11"/>
              <w:spacing w:after="0" w:line="240" w:lineRule="auto"/>
              <w:jc w:val="center"/>
              <w:rPr>
                <w:rFonts w:eastAsia="Times New Roman"/>
                <w:noProof/>
              </w:rPr>
            </w:pPr>
            <w:r>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DF35C" w14:textId="77777777" w:rsidR="006C686E" w:rsidRDefault="00B17E8C">
            <w:pPr>
              <w:pStyle w:val="P68B1DB1-Normal11"/>
              <w:spacing w:after="0" w:line="240" w:lineRule="auto"/>
              <w:jc w:val="both"/>
              <w:rPr>
                <w:noProof/>
              </w:rPr>
            </w:pPr>
            <w:r>
              <w:rPr>
                <w:noProof/>
              </w:rPr>
              <w:t xml:space="preserve">Entrée en vigueur d’un acte réglementaire attribuant un label aux entreprises présentant un écart de rémunération étroit entre les hommes et les femmes. </w:t>
            </w:r>
          </w:p>
        </w:tc>
      </w:tr>
      <w:tr w:rsidR="006C686E" w14:paraId="5DB1FD1A"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619F374A" w14:textId="77777777" w:rsidR="006C686E" w:rsidRDefault="00B17E8C">
            <w:pPr>
              <w:pStyle w:val="P68B1DB1-Normal10"/>
              <w:spacing w:after="0" w:line="240" w:lineRule="auto"/>
              <w:jc w:val="center"/>
              <w:rPr>
                <w:rFonts w:eastAsia="Times New Roman"/>
                <w:bCs/>
                <w:noProof/>
              </w:rPr>
            </w:pPr>
            <w:r>
              <w:rPr>
                <w:noProof/>
              </w:rPr>
              <w:t>6.19</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18E98D" w14:textId="77777777" w:rsidR="006C686E" w:rsidRDefault="00B17E8C">
            <w:pPr>
              <w:pStyle w:val="P68B1DB1-Normal11"/>
              <w:spacing w:after="0" w:line="240" w:lineRule="auto"/>
              <w:jc w:val="center"/>
              <w:rPr>
                <w:rFonts w:eastAsia="Times New Roman"/>
                <w:noProof/>
              </w:rPr>
            </w:pPr>
            <w:r>
              <w:rPr>
                <w:noProof/>
              </w:rPr>
              <w:t>RE-C06-i06</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C48DA1" w14:textId="77777777" w:rsidR="006C686E" w:rsidRDefault="00B17E8C">
            <w:pPr>
              <w:pStyle w:val="P68B1DB1-Normal11"/>
              <w:spacing w:after="0" w:line="240" w:lineRule="auto"/>
              <w:jc w:val="center"/>
              <w:rPr>
                <w:rFonts w:eastAsia="Times New Roman"/>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7A374D" w14:textId="77777777" w:rsidR="006C686E" w:rsidRDefault="00B17E8C">
            <w:pPr>
              <w:pStyle w:val="P68B1DB1-Normal16"/>
              <w:widowControl w:val="0"/>
              <w:spacing w:after="260" w:line="276" w:lineRule="auto"/>
              <w:jc w:val="center"/>
              <w:rPr>
                <w:noProof/>
              </w:rPr>
            </w:pPr>
            <w:r>
              <w:rPr>
                <w:noProof/>
              </w:rPr>
              <w:t>Contrats de recherche et de mobilité académique internationale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A8485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EBCA09" w14:textId="77777777" w:rsidR="006C686E" w:rsidRDefault="00B17E8C">
            <w:pPr>
              <w:pStyle w:val="P68B1DB1-Normal11"/>
              <w:spacing w:after="0" w:line="240" w:lineRule="auto"/>
              <w:jc w:val="center"/>
              <w:rPr>
                <w:rFonts w:eastAsia="Times New Roman"/>
                <w:noProof/>
              </w:rPr>
            </w:pPr>
            <w:r>
              <w:rPr>
                <w:noProof/>
              </w:rPr>
              <w:t>Nombre de contrats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B276F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8B98D4" w14:textId="77777777" w:rsidR="006C686E" w:rsidRDefault="00B17E8C">
            <w:pPr>
              <w:pStyle w:val="P68B1DB1-Normal11"/>
              <w:spacing w:after="0" w:line="240" w:lineRule="auto"/>
              <w:jc w:val="center"/>
              <w:rPr>
                <w:noProof/>
              </w:rPr>
            </w:pPr>
            <w:r>
              <w:rPr>
                <w:noProof/>
              </w:rPr>
              <w:t>342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7303D0" w14:textId="3EAF536B"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Q</w:t>
            </w:r>
            <w:r>
              <w:rPr>
                <w:noProof/>
              </w:rPr>
              <w:t xml:space="preserve"> 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6613B6" w14:textId="671FF780"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202</w:t>
            </w:r>
            <w:r>
              <w:rPr>
                <w:noProof/>
              </w:rPr>
              <w:t>5</w:t>
            </w:r>
          </w:p>
        </w:tc>
        <w:tc>
          <w:tcPr>
            <w:tcW w:w="3831" w:type="dxa"/>
            <w:tcBorders>
              <w:top w:val="single" w:sz="4" w:space="0" w:color="auto"/>
              <w:left w:val="single" w:sz="4" w:space="0" w:color="auto"/>
              <w:bottom w:val="single" w:sz="4" w:space="0" w:color="auto"/>
              <w:right w:val="single" w:sz="4" w:space="0" w:color="auto"/>
            </w:tcBorders>
            <w:shd w:val="clear" w:color="auto" w:fill="C4EFCE"/>
          </w:tcPr>
          <w:p w14:paraId="770EFC17" w14:textId="20568ECB" w:rsidR="006C686E" w:rsidRDefault="00B17E8C">
            <w:pPr>
              <w:pStyle w:val="P68B1DB1-Normal39"/>
              <w:widowControl w:val="0"/>
              <w:spacing w:after="0" w:line="240" w:lineRule="auto"/>
              <w:jc w:val="both"/>
              <w:rPr>
                <w:noProof/>
                <w:kern w:val="0"/>
                <w14:ligatures w14:val="none"/>
              </w:rPr>
            </w:pPr>
            <w:r>
              <w:rPr>
                <w:noProof/>
                <w:kern w:val="0"/>
                <w14:ligatures w14:val="none"/>
              </w:rPr>
              <w:t>242 contrats signés</w:t>
            </w:r>
            <w:r>
              <w:rPr>
                <w:noProof/>
              </w:rPr>
              <w:t xml:space="preserve"> avec des personnes pour des activités de recherche, dont au moins 230 contrats à durée indéterminée. </w:t>
            </w:r>
          </w:p>
          <w:p w14:paraId="14E9E96E" w14:textId="77777777" w:rsidR="006C686E" w:rsidRDefault="006C686E">
            <w:pPr>
              <w:widowControl w:val="0"/>
              <w:spacing w:after="0" w:line="240" w:lineRule="auto"/>
              <w:jc w:val="both"/>
              <w:rPr>
                <w:rFonts w:ascii="Times New Roman" w:eastAsia="Calibri" w:hAnsi="Times New Roman" w:cs="Times New Roman"/>
                <w:noProof/>
                <w:sz w:val="16"/>
                <w:szCs w:val="16"/>
              </w:rPr>
            </w:pPr>
          </w:p>
          <w:p w14:paraId="40A038DB" w14:textId="0796AB6A" w:rsidR="006C686E" w:rsidRDefault="00B17E8C">
            <w:pPr>
              <w:pStyle w:val="P68B1DB1-Normal39"/>
              <w:widowControl w:val="0"/>
              <w:spacing w:after="0" w:line="240" w:lineRule="auto"/>
              <w:jc w:val="both"/>
              <w:rPr>
                <w:noProof/>
                <w:kern w:val="0"/>
                <w14:ligatures w14:val="none"/>
              </w:rPr>
            </w:pPr>
            <w:r>
              <w:rPr>
                <w:noProof/>
                <w:kern w:val="0"/>
                <w14:ligatures w14:val="none"/>
              </w:rPr>
              <w:t xml:space="preserve">Accords signés </w:t>
            </w:r>
            <w:r>
              <w:rPr>
                <w:noProof/>
              </w:rPr>
              <w:t>pour la mobilité internationale de 100 personnes.</w:t>
            </w:r>
          </w:p>
        </w:tc>
      </w:tr>
      <w:tr w:rsidR="006C686E" w14:paraId="2BF566E2"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1047BC98" w14:textId="17F0935E" w:rsidR="006C686E" w:rsidRDefault="00B17E8C">
            <w:pPr>
              <w:pStyle w:val="P68B1DB1-Normal17"/>
              <w:spacing w:after="0" w:line="240" w:lineRule="auto"/>
              <w:jc w:val="center"/>
              <w:rPr>
                <w:bCs/>
                <w:noProof/>
                <w:kern w:val="0"/>
                <w14:ligatures w14:val="none"/>
              </w:rPr>
            </w:pPr>
            <w:r>
              <w:rPr>
                <w:noProof/>
              </w:rPr>
              <w:t>6.23</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1AC725" w14:textId="77777777" w:rsidR="006C686E" w:rsidRDefault="00B17E8C">
            <w:pPr>
              <w:pStyle w:val="P68B1DB1-Normal11"/>
              <w:spacing w:after="0" w:line="240" w:lineRule="auto"/>
              <w:jc w:val="center"/>
              <w:rPr>
                <w:noProof/>
              </w:rPr>
            </w:pPr>
            <w:r>
              <w:rPr>
                <w:noProof/>
              </w:rPr>
              <w:t>RE-C06-i07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56AB8F" w14:textId="77777777" w:rsidR="006C686E" w:rsidRDefault="00B17E8C">
            <w:pPr>
              <w:pStyle w:val="P68B1DB1-Normal11"/>
              <w:spacing w:after="0" w:line="240" w:lineRule="auto"/>
              <w:jc w:val="center"/>
              <w:rPr>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0073FA" w14:textId="77777777" w:rsidR="006C686E" w:rsidRDefault="00B17E8C">
            <w:pPr>
              <w:pStyle w:val="P68B1DB1-Normal13"/>
              <w:spacing w:after="0" w:line="240" w:lineRule="auto"/>
              <w:jc w:val="center"/>
              <w:rPr>
                <w:noProof/>
                <w:kern w:val="0"/>
                <w14:ligatures w14:val="none"/>
              </w:rPr>
            </w:pPr>
            <w:r>
              <w:rPr>
                <w:noProof/>
              </w:rPr>
              <w:t>Cours sur les sciences agraires et la formation aux compétences numériques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6E0E4B"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7303C" w14:textId="77777777" w:rsidR="006C686E" w:rsidRDefault="00B17E8C">
            <w:pPr>
              <w:pStyle w:val="P68B1DB1-Normal1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72313B"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7908F" w14:textId="77777777" w:rsidR="006C686E" w:rsidRDefault="00B17E8C">
            <w:pPr>
              <w:pStyle w:val="P68B1DB1-Normal13"/>
              <w:spacing w:after="0" w:line="240" w:lineRule="auto"/>
              <w:jc w:val="center"/>
              <w:rPr>
                <w:noProof/>
                <w:kern w:val="0"/>
                <w14:ligatures w14:val="none"/>
              </w:rPr>
            </w:pPr>
            <w:r>
              <w:rPr>
                <w:noProof/>
              </w:rPr>
              <w:t>24</w:t>
            </w:r>
            <w:r>
              <w:rPr>
                <w:noProof/>
                <w:kern w:val="0"/>
                <w14:ligatures w14:val="none"/>
              </w:rPr>
              <w:t xml:space="preserve"> </w:t>
            </w:r>
            <w:r>
              <w:rPr>
                <w:noProof/>
              </w:rPr>
              <w:t>270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D1758C" w14:textId="77777777" w:rsidR="006C686E" w:rsidRDefault="00B17E8C">
            <w:pPr>
              <w:pStyle w:val="P68B1DB1-Normal1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974D28" w14:textId="77777777" w:rsidR="006C686E" w:rsidRDefault="00B17E8C">
            <w:pPr>
              <w:pStyle w:val="P68B1DB1-Normal11"/>
              <w:spacing w:after="0" w:line="240" w:lineRule="auto"/>
              <w:jc w:val="center"/>
              <w:rPr>
                <w:noProof/>
              </w:rPr>
            </w:pPr>
            <w:r>
              <w:rPr>
                <w:noProof/>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2877D472" w14:textId="7B249F2F" w:rsidR="006C686E" w:rsidRDefault="00B17E8C">
            <w:pPr>
              <w:pStyle w:val="P68B1DB1-Normal13"/>
              <w:widowControl w:val="0"/>
              <w:spacing w:after="0" w:line="240" w:lineRule="auto"/>
              <w:jc w:val="both"/>
              <w:rPr>
                <w:noProof/>
              </w:rPr>
            </w:pPr>
            <w:r>
              <w:rPr>
                <w:noProof/>
              </w:rPr>
              <w:t>Publication en ligne de l’accréditation ou de l’enregistrement de 20 cours d’enseignement supérieur en sciences agraires, dont au moins 10 cours comportant des éléments technologiques ou numériques dans les documents d’accréditation ou d’enregistrement.</w:t>
            </w:r>
          </w:p>
          <w:p w14:paraId="181DD5E2" w14:textId="77777777" w:rsidR="006C686E" w:rsidRDefault="006C686E">
            <w:pPr>
              <w:widowControl w:val="0"/>
              <w:spacing w:after="0" w:line="240" w:lineRule="auto"/>
              <w:jc w:val="both"/>
              <w:rPr>
                <w:rFonts w:ascii="Times New Roman" w:eastAsia="Arial" w:hAnsi="Times New Roman" w:cs="Times New Roman"/>
                <w:noProof/>
                <w:sz w:val="16"/>
                <w:szCs w:val="16"/>
              </w:rPr>
            </w:pPr>
          </w:p>
          <w:p w14:paraId="4BA308FB" w14:textId="77777777" w:rsidR="006C686E" w:rsidRDefault="00B17E8C">
            <w:pPr>
              <w:pStyle w:val="P68B1DB1-Normal27"/>
              <w:widowControl w:val="0"/>
              <w:spacing w:after="0" w:line="240" w:lineRule="auto"/>
              <w:jc w:val="both"/>
              <w:rPr>
                <w:rFonts w:ascii="Times New Roman" w:eastAsia="Arial" w:hAnsi="Times New Roman" w:cs="Times New Roman"/>
                <w:noProof/>
              </w:rPr>
            </w:pPr>
            <w:r>
              <w:rPr>
                <w:rFonts w:ascii="Times New Roman" w:eastAsia="Arial" w:hAnsi="Times New Roman" w:cs="Times New Roman"/>
                <w:noProof/>
                <w:kern w:val="0"/>
                <w14:ligatures w14:val="none"/>
              </w:rPr>
              <w:t>24</w:t>
            </w:r>
            <w:r>
              <w:rPr>
                <w:rFonts w:ascii="Times New Roman" w:hAnsi="Times New Roman" w:cs="Times New Roman"/>
                <w:noProof/>
              </w:rPr>
              <w:t xml:space="preserve"> 250 participants à: </w:t>
            </w:r>
          </w:p>
          <w:p w14:paraId="489C62C5" w14:textId="77777777" w:rsidR="006C686E" w:rsidRDefault="00B17E8C">
            <w:pPr>
              <w:pStyle w:val="P68B1DB1-Normal39"/>
              <w:widowControl w:val="0"/>
              <w:spacing w:after="0" w:line="240" w:lineRule="auto"/>
              <w:jc w:val="both"/>
              <w:rPr>
                <w:noProof/>
              </w:rPr>
            </w:pPr>
            <w:r>
              <w:rPr>
                <w:noProof/>
              </w:rPr>
              <w:t>i) Maîtrise en médecine comportant des éléments technologiques ou numériques; ou</w:t>
            </w:r>
          </w:p>
          <w:p w14:paraId="3285F463" w14:textId="77777777" w:rsidR="006C686E" w:rsidRDefault="00B17E8C">
            <w:pPr>
              <w:pStyle w:val="P68B1DB1-Normal39"/>
              <w:widowControl w:val="0"/>
              <w:spacing w:after="0" w:line="240" w:lineRule="auto"/>
              <w:jc w:val="both"/>
              <w:rPr>
                <w:noProof/>
              </w:rPr>
            </w:pPr>
            <w:r>
              <w:rPr>
                <w:noProof/>
              </w:rPr>
              <w:t>ii) des formations ou des cours sur des compétences ou des sujets technologiques ou numériques pour les professionnels de la santé; ou</w:t>
            </w:r>
          </w:p>
          <w:p w14:paraId="11635D0D" w14:textId="0B2AE4C2" w:rsidR="006C686E" w:rsidRDefault="00B17E8C">
            <w:pPr>
              <w:pStyle w:val="P68B1DB1-Normal39"/>
              <w:widowControl w:val="0"/>
              <w:spacing w:after="0" w:line="240" w:lineRule="auto"/>
              <w:jc w:val="both"/>
              <w:rPr>
                <w:noProof/>
              </w:rPr>
            </w:pPr>
            <w:r>
              <w:rPr>
                <w:noProof/>
              </w:rPr>
              <w:t>iii) Cours sur les compétences numériques.</w:t>
            </w:r>
          </w:p>
        </w:tc>
      </w:tr>
      <w:tr w:rsidR="006C686E" w14:paraId="3C92F06E"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0078B78F" w14:textId="77777777" w:rsidR="006C686E" w:rsidRDefault="00B17E8C">
            <w:pPr>
              <w:pStyle w:val="P68B1DB1-Normal10"/>
              <w:spacing w:after="0" w:line="240" w:lineRule="auto"/>
              <w:jc w:val="center"/>
              <w:rPr>
                <w:bCs/>
                <w:noProof/>
              </w:rPr>
            </w:pPr>
            <w:r>
              <w:rPr>
                <w:noProof/>
              </w:rPr>
              <w:t>6.24</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26990E" w14:textId="77777777" w:rsidR="006C686E" w:rsidRDefault="00B17E8C">
            <w:pPr>
              <w:pStyle w:val="P68B1DB1-Normal11"/>
              <w:spacing w:after="0" w:line="240" w:lineRule="auto"/>
              <w:jc w:val="center"/>
              <w:rPr>
                <w:noProof/>
              </w:rPr>
            </w:pPr>
            <w:r>
              <w:rPr>
                <w:noProof/>
              </w:rPr>
              <w:t>RE-C06-i07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CA7918" w14:textId="77777777" w:rsidR="006C686E" w:rsidRDefault="00B17E8C">
            <w:pPr>
              <w:pStyle w:val="P68B1DB1-Normal11"/>
              <w:spacing w:after="0" w:line="240" w:lineRule="auto"/>
              <w:jc w:val="center"/>
              <w:rPr>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9445E1" w14:textId="77777777" w:rsidR="006C686E" w:rsidRDefault="00B17E8C">
            <w:pPr>
              <w:pStyle w:val="P68B1DB1-Normal11"/>
              <w:spacing w:after="0" w:line="240" w:lineRule="auto"/>
              <w:jc w:val="center"/>
              <w:rPr>
                <w:noProof/>
              </w:rPr>
            </w:pPr>
            <w:r>
              <w:rPr>
                <w:noProof/>
              </w:rPr>
              <w:t>Innovation et modernisation pédagogique dans l'enseignement supérieur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4994C0"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DC814D" w14:textId="77777777" w:rsidR="006C686E" w:rsidRDefault="00B17E8C">
            <w:pPr>
              <w:pStyle w:val="P68B1DB1-Normal1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59264A"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1EAB03" w14:textId="77777777" w:rsidR="006C686E" w:rsidRDefault="00B17E8C">
            <w:pPr>
              <w:pStyle w:val="P68B1DB1-Normal11"/>
              <w:spacing w:after="0" w:line="240" w:lineRule="auto"/>
              <w:jc w:val="center"/>
              <w:rPr>
                <w:rFonts w:eastAsia="Times New Roman"/>
                <w:noProof/>
              </w:rPr>
            </w:pPr>
            <w:r>
              <w:rPr>
                <w:noProof/>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9392E3" w14:textId="77777777" w:rsidR="006C686E" w:rsidRDefault="00B17E8C">
            <w:pPr>
              <w:pStyle w:val="P68B1DB1-Normal11"/>
              <w:spacing w:after="0" w:line="240" w:lineRule="auto"/>
              <w:jc w:val="center"/>
              <w:rPr>
                <w:noProof/>
              </w:rPr>
            </w:pPr>
            <w:r>
              <w:rPr>
                <w:noProof/>
              </w:rPr>
              <w:t xml:space="preserve">T4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77717E2" w14:textId="77777777" w:rsidR="006C686E" w:rsidRDefault="00B17E8C">
            <w:pPr>
              <w:pStyle w:val="P68B1DB1-Normal11"/>
              <w:spacing w:after="0" w:line="240" w:lineRule="auto"/>
              <w:jc w:val="center"/>
              <w:rPr>
                <w:noProof/>
              </w:rPr>
            </w:pPr>
            <w:r>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5EDC1809" w14:textId="77777777" w:rsidR="006C686E" w:rsidRDefault="00B17E8C">
            <w:pPr>
              <w:pStyle w:val="P68B1DB1-Normal16"/>
              <w:widowControl w:val="0"/>
              <w:spacing w:after="0" w:line="240" w:lineRule="auto"/>
              <w:jc w:val="both"/>
              <w:rPr>
                <w:noProof/>
              </w:rPr>
            </w:pPr>
            <w:r>
              <w:rPr>
                <w:noProof/>
              </w:rPr>
              <w:t xml:space="preserve">Commandes ou autres documents créant cinq centres d'excellence de l'innovation pédagogique. Décret réglementaire portant création du Conseil national de l'innovation pédagogique dans l'enseignement supérieur. </w:t>
            </w:r>
          </w:p>
        </w:tc>
      </w:tr>
      <w:tr w:rsidR="006C686E" w14:paraId="6A627DB7" w14:textId="77777777" w:rsidTr="0024749C">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6C1E79A9" w14:textId="77777777" w:rsidR="006C686E" w:rsidRDefault="00B17E8C">
            <w:pPr>
              <w:pStyle w:val="P68B1DB1-Normal17"/>
              <w:spacing w:line="240" w:lineRule="auto"/>
              <w:jc w:val="center"/>
              <w:rPr>
                <w:bCs/>
                <w:noProof/>
              </w:rPr>
            </w:pPr>
            <w:r>
              <w:rPr>
                <w:noProof/>
              </w:rPr>
              <w:t>6.25</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2E3018" w14:textId="68B2EFB4" w:rsidR="006C686E" w:rsidRDefault="00B17E8C">
            <w:pPr>
              <w:pStyle w:val="P68B1DB1-Normal13"/>
              <w:spacing w:line="240" w:lineRule="auto"/>
              <w:jc w:val="center"/>
              <w:rPr>
                <w:noProof/>
              </w:rPr>
            </w:pPr>
            <w:r>
              <w:rPr>
                <w:noProof/>
              </w:rPr>
              <w:t>RE-C06-i07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F7F18B" w14:textId="77777777" w:rsidR="006C686E" w:rsidRDefault="00B17E8C">
            <w:pPr>
              <w:pStyle w:val="P68B1DB1-Normal13"/>
              <w:spacing w:line="240" w:lineRule="auto"/>
              <w:jc w:val="center"/>
              <w:rPr>
                <w:noProof/>
              </w:rPr>
            </w:pPr>
            <w:r>
              <w:rPr>
                <w:noProof/>
              </w:rPr>
              <w:t>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FA3FC2" w14:textId="77777777" w:rsidR="006C686E" w:rsidRDefault="00B17E8C">
            <w:pPr>
              <w:pStyle w:val="P68B1DB1-Normal13"/>
              <w:spacing w:line="240" w:lineRule="auto"/>
              <w:jc w:val="center"/>
              <w:rPr>
                <w:noProof/>
              </w:rPr>
            </w:pPr>
            <w:r>
              <w:rPr>
                <w:noProof/>
              </w:rPr>
              <w:t xml:space="preserve">Programmes d'abandon scolaire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6CBC48" w14:textId="77777777" w:rsidR="006C686E" w:rsidRDefault="006C686E">
            <w:pPr>
              <w:spacing w:line="240" w:lineRule="auto"/>
              <w:jc w:val="center"/>
              <w:rPr>
                <w:rFonts w:ascii="Times New Roman" w:eastAsia="Calibri"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8008F3" w14:textId="77777777" w:rsidR="006C686E" w:rsidRDefault="00B17E8C">
            <w:pPr>
              <w:pStyle w:val="P68B1DB1-Normal13"/>
              <w:spacing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E4103F" w14:textId="77777777" w:rsidR="006C686E" w:rsidRDefault="00B17E8C">
            <w:pPr>
              <w:pStyle w:val="P68B1DB1-Normal13"/>
              <w:spacing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4FFCAE" w14:textId="77777777" w:rsidR="006C686E" w:rsidRDefault="00B17E8C">
            <w:pPr>
              <w:pStyle w:val="P68B1DB1-Normal13"/>
              <w:spacing w:line="240" w:lineRule="auto"/>
              <w:jc w:val="center"/>
              <w:rPr>
                <w:noProof/>
              </w:rPr>
            </w:pPr>
            <w:r>
              <w:rPr>
                <w:noProof/>
              </w:rPr>
              <w:t>30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9D771B" w14:textId="77777777" w:rsidR="006C686E" w:rsidRDefault="00B17E8C">
            <w:pPr>
              <w:pStyle w:val="P68B1DB1-Normal13"/>
              <w:spacing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EEFCC2" w14:textId="77777777" w:rsidR="006C686E" w:rsidRDefault="00B17E8C">
            <w:pPr>
              <w:pStyle w:val="P68B1DB1-Normal13"/>
              <w:spacing w:line="240" w:lineRule="auto"/>
              <w:jc w:val="center"/>
              <w:rPr>
                <w:noProof/>
              </w:rPr>
            </w:pPr>
            <w:r>
              <w:rPr>
                <w:noProof/>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6DC99B94" w14:textId="77777777" w:rsidR="006C686E" w:rsidRDefault="00B17E8C">
            <w:pPr>
              <w:pStyle w:val="P68B1DB1-Normal39"/>
              <w:spacing w:line="240" w:lineRule="auto"/>
              <w:jc w:val="both"/>
              <w:rPr>
                <w:noProof/>
              </w:rPr>
            </w:pPr>
            <w:r>
              <w:rPr>
                <w:noProof/>
              </w:rPr>
              <w:t>Accords de programme signés pour le financement d'établissements d'enseignement supérieur ou d'autres entités ou projets visant à réduire le décrochage scolaire.</w:t>
            </w:r>
          </w:p>
        </w:tc>
      </w:tr>
    </w:tbl>
    <w:p w14:paraId="5F7DC68C" w14:textId="77777777" w:rsidR="006C686E" w:rsidRDefault="006C686E">
      <w:pPr>
        <w:rPr>
          <w:noProof/>
        </w:rPr>
      </w:pPr>
    </w:p>
    <w:p w14:paraId="7736C65E" w14:textId="77777777" w:rsidR="006C686E" w:rsidRDefault="006C686E">
      <w:pPr>
        <w:keepNext/>
        <w:spacing w:before="40" w:after="0"/>
        <w:jc w:val="both"/>
        <w:rPr>
          <w:rFonts w:ascii="Times New Roman" w:eastAsia="Times New Roman" w:hAnsi="Times New Roman" w:cs="Times New Roman"/>
          <w:noProof/>
          <w:kern w:val="0"/>
          <w14:ligatures w14:val="none"/>
        </w:rPr>
        <w:sectPr w:rsidR="006C686E" w:rsidSect="00C95E00">
          <w:headerReference w:type="even" r:id="rId136"/>
          <w:headerReference w:type="default" r:id="rId137"/>
          <w:footerReference w:type="even" r:id="rId138"/>
          <w:footerReference w:type="default" r:id="rId139"/>
          <w:headerReference w:type="first" r:id="rId140"/>
          <w:footerReference w:type="first" r:id="rId141"/>
          <w:pgSz w:w="16839" w:h="11907" w:orient="landscape"/>
          <w:pgMar w:top="1134" w:right="1134" w:bottom="1134" w:left="1134" w:header="567" w:footer="567" w:gutter="0"/>
          <w:cols w:space="720"/>
          <w:docGrid w:linePitch="360"/>
        </w:sectPr>
      </w:pPr>
    </w:p>
    <w:p w14:paraId="0B64F85E" w14:textId="77777777" w:rsidR="006C686E" w:rsidRDefault="00B17E8C">
      <w:pPr>
        <w:pStyle w:val="P68B1DB1-Normal1"/>
        <w:spacing w:before="40" w:after="120"/>
        <w:ind w:left="130" w:firstLine="720"/>
        <w:jc w:val="both"/>
        <w:outlineLvl w:val="2"/>
        <w:rPr>
          <w:rFonts w:eastAsia="Times New Roman"/>
          <w:bCs/>
          <w:noProof/>
        </w:rPr>
      </w:pPr>
      <w:r>
        <w:rPr>
          <w:noProof/>
        </w:rPr>
        <w:t>F.3. Description des réformes et des investissements pour le prêt</w:t>
      </w:r>
    </w:p>
    <w:p w14:paraId="3B98D723" w14:textId="77777777" w:rsidR="006C686E" w:rsidRDefault="00B17E8C">
      <w:pPr>
        <w:pStyle w:val="P68B1DB1-Normal7"/>
        <w:keepNext/>
        <w:spacing w:before="40" w:after="0" w:line="276" w:lineRule="auto"/>
        <w:ind w:left="130" w:firstLine="720"/>
        <w:jc w:val="both"/>
        <w:outlineLvl w:val="1"/>
        <w:rPr>
          <w:noProof/>
        </w:rPr>
      </w:pPr>
      <w:r>
        <w:rPr>
          <w:noProof/>
        </w:rPr>
        <w:t>Investissement RE-C06-i09: Écoles nouvelles ou rénovées</w:t>
      </w:r>
    </w:p>
    <w:p w14:paraId="71821AE6" w14:textId="13B221F5" w:rsidR="006C686E" w:rsidRDefault="00B17E8C">
      <w:pPr>
        <w:pStyle w:val="P68B1DB1-Normal3"/>
        <w:spacing w:after="0"/>
        <w:jc w:val="both"/>
        <w:rPr>
          <w:noProof/>
          <w:kern w:val="0"/>
          <w14:ligatures w14:val="none"/>
        </w:rPr>
        <w:sectPr w:rsidR="006C686E" w:rsidSect="00C95E00">
          <w:headerReference w:type="even" r:id="rId142"/>
          <w:headerReference w:type="default" r:id="rId143"/>
          <w:footerReference w:type="even" r:id="rId144"/>
          <w:footerReference w:type="default" r:id="rId145"/>
          <w:headerReference w:type="first" r:id="rId146"/>
          <w:footerReference w:type="first" r:id="rId147"/>
          <w:pgSz w:w="11907" w:h="16839"/>
          <w:pgMar w:top="1134" w:right="1134" w:bottom="1134" w:left="1134" w:header="567" w:footer="567" w:gutter="0"/>
          <w:cols w:space="720"/>
          <w:docGrid w:linePitch="360"/>
        </w:sectPr>
      </w:pPr>
      <w:r>
        <w:rPr>
          <w:noProof/>
          <w:kern w:val="0"/>
          <w14:ligatures w14:val="none"/>
        </w:rPr>
        <w:t>L’objectif de la mesure est de garantir l’égalité d’accès aux écoles. L’investissement consiste</w:t>
      </w:r>
      <w:r>
        <w:rPr>
          <w:noProof/>
        </w:rPr>
        <w:t xml:space="preserve"> en</w:t>
      </w:r>
      <w:r>
        <w:rPr>
          <w:noProof/>
          <w:kern w:val="0"/>
          <w14:ligatures w14:val="none"/>
        </w:rPr>
        <w:t xml:space="preserve"> </w:t>
      </w:r>
      <w:r>
        <w:rPr>
          <w:noProof/>
        </w:rPr>
        <w:t>la construction, la</w:t>
      </w:r>
      <w:r>
        <w:rPr>
          <w:noProof/>
          <w:kern w:val="0"/>
          <w14:ligatures w14:val="none"/>
        </w:rPr>
        <w:t xml:space="preserve"> </w:t>
      </w:r>
      <w:r>
        <w:rPr>
          <w:noProof/>
        </w:rPr>
        <w:t>rénovation</w:t>
      </w:r>
      <w:r>
        <w:rPr>
          <w:noProof/>
          <w:kern w:val="0"/>
          <w14:ligatures w14:val="none"/>
        </w:rPr>
        <w:t xml:space="preserve"> </w:t>
      </w:r>
      <w:r>
        <w:rPr>
          <w:noProof/>
        </w:rPr>
        <w:t xml:space="preserve">ou l’achat d’équipements pour </w:t>
      </w:r>
      <w:r>
        <w:rPr>
          <w:noProof/>
          <w:kern w:val="0"/>
          <w14:ligatures w14:val="none"/>
        </w:rPr>
        <w:t>les écoles</w:t>
      </w:r>
      <w:r>
        <w:rPr>
          <w:noProof/>
        </w:rPr>
        <w:t xml:space="preserve"> et, en outre, en la confirmation par une entité tierce chargée de l’inspection que 121,5 millions d’EUR pour la construction, la rénovation ou l’achat d’équipements pour les écoles ont été exécutés financièrement.</w:t>
      </w:r>
      <w:r>
        <w:rPr>
          <w:noProof/>
          <w:kern w:val="0"/>
          <w14:ligatures w14:val="none"/>
        </w:rPr>
        <w:t xml:space="preserve"> </w:t>
      </w:r>
    </w:p>
    <w:p w14:paraId="274EEACF" w14:textId="77777777" w:rsidR="006C686E" w:rsidRDefault="00B17E8C">
      <w:pPr>
        <w:pStyle w:val="P68B1DB1-Normal1"/>
        <w:spacing w:before="40" w:after="120"/>
        <w:ind w:left="130" w:firstLine="12"/>
        <w:jc w:val="center"/>
        <w:outlineLvl w:val="2"/>
        <w:rPr>
          <w:rFonts w:eastAsia="Times New Roman"/>
          <w:bCs/>
          <w:noProof/>
        </w:rPr>
      </w:pPr>
      <w:r>
        <w:rPr>
          <w:noProof/>
        </w:rPr>
        <w:t>F.4. Étapes, objectifs, indicateurs et calendrier du suivi et de la mise en œuvre du prêt</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1417"/>
        <w:gridCol w:w="1282"/>
        <w:gridCol w:w="1275"/>
        <w:gridCol w:w="987"/>
        <w:gridCol w:w="992"/>
        <w:gridCol w:w="851"/>
        <w:gridCol w:w="567"/>
        <w:gridCol w:w="992"/>
        <w:gridCol w:w="4116"/>
      </w:tblGrid>
      <w:tr w:rsidR="006C686E" w14:paraId="57A9BD01" w14:textId="77777777" w:rsidTr="0024749C">
        <w:trPr>
          <w:trHeight w:val="910"/>
          <w:jc w:val="center"/>
        </w:trPr>
        <w:tc>
          <w:tcPr>
            <w:tcW w:w="1135" w:type="dxa"/>
            <w:vMerge w:val="restart"/>
            <w:shd w:val="clear" w:color="auto" w:fill="BDD6EE"/>
            <w:vAlign w:val="center"/>
            <w:hideMark/>
          </w:tcPr>
          <w:p w14:paraId="1992C76A" w14:textId="77777777" w:rsidR="006C686E" w:rsidRDefault="00B17E8C">
            <w:pPr>
              <w:pStyle w:val="P68B1DB1-Normal9"/>
              <w:spacing w:after="0" w:line="240" w:lineRule="auto"/>
              <w:jc w:val="center"/>
              <w:rPr>
                <w:rFonts w:eastAsia="Times New Roman"/>
                <w:bCs/>
                <w:noProof/>
              </w:rPr>
            </w:pPr>
            <w:r>
              <w:rPr>
                <w:noProof/>
              </w:rPr>
              <w:t>Numéro séquentiel</w:t>
            </w:r>
          </w:p>
        </w:tc>
        <w:tc>
          <w:tcPr>
            <w:tcW w:w="1412" w:type="dxa"/>
            <w:vMerge w:val="restart"/>
            <w:shd w:val="clear" w:color="auto" w:fill="BDD6EE"/>
            <w:vAlign w:val="center"/>
            <w:hideMark/>
          </w:tcPr>
          <w:p w14:paraId="2EF8FA89" w14:textId="77777777" w:rsidR="006C686E" w:rsidRDefault="00B17E8C">
            <w:pPr>
              <w:pStyle w:val="P68B1DB1-Normal9"/>
              <w:spacing w:after="0" w:line="240" w:lineRule="auto"/>
              <w:jc w:val="center"/>
              <w:rPr>
                <w:rFonts w:eastAsia="Times New Roman"/>
                <w:bCs/>
                <w:noProof/>
              </w:rPr>
            </w:pPr>
            <w:r>
              <w:rPr>
                <w:noProof/>
              </w:rPr>
              <w:t>Mesure (réforme ou investissement)</w:t>
            </w:r>
          </w:p>
        </w:tc>
        <w:tc>
          <w:tcPr>
            <w:tcW w:w="1417" w:type="dxa"/>
            <w:vMerge w:val="restart"/>
            <w:shd w:val="clear" w:color="auto" w:fill="BDD6EE"/>
            <w:vAlign w:val="center"/>
            <w:hideMark/>
          </w:tcPr>
          <w:p w14:paraId="20B0291F" w14:textId="77777777" w:rsidR="006C686E" w:rsidRDefault="00B17E8C">
            <w:pPr>
              <w:pStyle w:val="P68B1DB1-Normal9"/>
              <w:spacing w:after="0" w:line="240" w:lineRule="auto"/>
              <w:jc w:val="center"/>
              <w:rPr>
                <w:rFonts w:eastAsia="Times New Roman"/>
                <w:bCs/>
                <w:noProof/>
              </w:rPr>
            </w:pPr>
            <w:r>
              <w:rPr>
                <w:noProof/>
              </w:rPr>
              <w:t>Étape/objectif</w:t>
            </w:r>
          </w:p>
        </w:tc>
        <w:tc>
          <w:tcPr>
            <w:tcW w:w="1282" w:type="dxa"/>
            <w:vMerge w:val="restart"/>
            <w:shd w:val="clear" w:color="auto" w:fill="BDD6EE"/>
            <w:vAlign w:val="center"/>
            <w:hideMark/>
          </w:tcPr>
          <w:p w14:paraId="21264B74" w14:textId="77777777" w:rsidR="006C686E" w:rsidRDefault="00B17E8C">
            <w:pPr>
              <w:pStyle w:val="P68B1DB1-Normal9"/>
              <w:spacing w:after="0" w:line="240" w:lineRule="auto"/>
              <w:jc w:val="center"/>
              <w:rPr>
                <w:rFonts w:eastAsia="Times New Roman"/>
                <w:bCs/>
                <w:noProof/>
              </w:rPr>
            </w:pPr>
            <w:r>
              <w:rPr>
                <w:noProof/>
              </w:rPr>
              <w:t>Nom</w:t>
            </w:r>
          </w:p>
        </w:tc>
        <w:tc>
          <w:tcPr>
            <w:tcW w:w="1275" w:type="dxa"/>
            <w:vMerge w:val="restart"/>
            <w:shd w:val="clear" w:color="auto" w:fill="BDD6EE"/>
            <w:vAlign w:val="center"/>
            <w:hideMark/>
          </w:tcPr>
          <w:p w14:paraId="552955AA" w14:textId="77777777" w:rsidR="006C686E" w:rsidRDefault="00B17E8C">
            <w:pPr>
              <w:pStyle w:val="P68B1DB1-Normal9"/>
              <w:spacing w:after="0" w:line="240" w:lineRule="auto"/>
              <w:jc w:val="center"/>
              <w:rPr>
                <w:rFonts w:eastAsia="Times New Roman"/>
                <w:bCs/>
                <w:noProof/>
              </w:rPr>
            </w:pPr>
            <w:r>
              <w:rPr>
                <w:noProof/>
              </w:rPr>
              <w:t>Indicateurs qualitatifs (pour les jalons)</w:t>
            </w:r>
          </w:p>
        </w:tc>
        <w:tc>
          <w:tcPr>
            <w:tcW w:w="2830" w:type="dxa"/>
            <w:gridSpan w:val="3"/>
            <w:shd w:val="clear" w:color="auto" w:fill="BDD6EE"/>
            <w:vAlign w:val="center"/>
            <w:hideMark/>
          </w:tcPr>
          <w:p w14:paraId="2DC84143" w14:textId="77777777" w:rsidR="006C686E" w:rsidRDefault="00B17E8C">
            <w:pPr>
              <w:pStyle w:val="P68B1DB1-Normal9"/>
              <w:spacing w:after="0" w:line="240" w:lineRule="auto"/>
              <w:jc w:val="center"/>
              <w:rPr>
                <w:rFonts w:eastAsia="Times New Roman"/>
                <w:bCs/>
                <w:noProof/>
              </w:rPr>
            </w:pPr>
            <w:r>
              <w:rPr>
                <w:noProof/>
              </w:rPr>
              <w:t>Indicateurs quantitatifs (pour les objectifs)</w:t>
            </w:r>
          </w:p>
        </w:tc>
        <w:tc>
          <w:tcPr>
            <w:tcW w:w="1559" w:type="dxa"/>
            <w:gridSpan w:val="2"/>
            <w:shd w:val="clear" w:color="auto" w:fill="BDD6EE"/>
            <w:vAlign w:val="center"/>
            <w:hideMark/>
          </w:tcPr>
          <w:p w14:paraId="767C6D65" w14:textId="77777777" w:rsidR="006C686E" w:rsidRDefault="00B17E8C">
            <w:pPr>
              <w:pStyle w:val="P68B1DB1-Normal9"/>
              <w:spacing w:after="0" w:line="240" w:lineRule="auto"/>
              <w:jc w:val="center"/>
              <w:rPr>
                <w:rFonts w:eastAsia="Times New Roman"/>
                <w:bCs/>
                <w:noProof/>
              </w:rPr>
            </w:pPr>
            <w:r>
              <w:rPr>
                <w:noProof/>
              </w:rPr>
              <w:t>Calendrier indicatif d'achèvement</w:t>
            </w:r>
          </w:p>
        </w:tc>
        <w:tc>
          <w:tcPr>
            <w:tcW w:w="4116" w:type="dxa"/>
            <w:vMerge w:val="restart"/>
            <w:shd w:val="clear" w:color="auto" w:fill="BDD6EE"/>
            <w:noWrap/>
            <w:vAlign w:val="center"/>
            <w:hideMark/>
          </w:tcPr>
          <w:p w14:paraId="1E7DB587" w14:textId="77777777" w:rsidR="006C686E" w:rsidRDefault="00B17E8C">
            <w:pPr>
              <w:pStyle w:val="P68B1DB1-Normal9"/>
              <w:spacing w:after="0" w:line="240" w:lineRule="auto"/>
              <w:jc w:val="center"/>
              <w:rPr>
                <w:rFonts w:eastAsia="Times New Roman"/>
                <w:bCs/>
                <w:noProof/>
              </w:rPr>
            </w:pPr>
            <w:r>
              <w:rPr>
                <w:noProof/>
              </w:rPr>
              <w:t>Description et définition claire de chaque jalon et cible</w:t>
            </w:r>
          </w:p>
        </w:tc>
      </w:tr>
      <w:tr w:rsidR="006C686E" w14:paraId="175EED04" w14:textId="77777777" w:rsidTr="0024749C">
        <w:trPr>
          <w:trHeight w:val="470"/>
          <w:jc w:val="center"/>
        </w:trPr>
        <w:tc>
          <w:tcPr>
            <w:tcW w:w="1135" w:type="dxa"/>
            <w:vMerge/>
            <w:vAlign w:val="center"/>
            <w:hideMark/>
          </w:tcPr>
          <w:p w14:paraId="25C4BBB6"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2" w:type="dxa"/>
            <w:vMerge/>
            <w:vAlign w:val="center"/>
            <w:hideMark/>
          </w:tcPr>
          <w:p w14:paraId="0762019F"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vAlign w:val="center"/>
            <w:hideMark/>
          </w:tcPr>
          <w:p w14:paraId="55E4F5B2" w14:textId="77777777" w:rsidR="006C686E" w:rsidRDefault="006C686E">
            <w:pPr>
              <w:spacing w:after="0" w:line="240" w:lineRule="auto"/>
              <w:jc w:val="center"/>
              <w:rPr>
                <w:rFonts w:ascii="Times New Roman" w:eastAsia="Times New Roman" w:hAnsi="Times New Roman" w:cs="Times New Roman"/>
                <w:b/>
                <w:bCs/>
                <w:noProof/>
                <w:kern w:val="0"/>
                <w:sz w:val="18"/>
                <w:szCs w:val="18"/>
                <w14:ligatures w14:val="none"/>
              </w:rPr>
            </w:pPr>
          </w:p>
        </w:tc>
        <w:tc>
          <w:tcPr>
            <w:tcW w:w="1282" w:type="dxa"/>
            <w:vMerge/>
            <w:vAlign w:val="center"/>
            <w:hideMark/>
          </w:tcPr>
          <w:p w14:paraId="4BB28BB3"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275" w:type="dxa"/>
            <w:vMerge/>
            <w:vAlign w:val="center"/>
            <w:hideMark/>
          </w:tcPr>
          <w:p w14:paraId="1BA62A4C"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987" w:type="dxa"/>
            <w:shd w:val="clear" w:color="auto" w:fill="BDD6EE"/>
            <w:vAlign w:val="center"/>
            <w:hideMark/>
          </w:tcPr>
          <w:p w14:paraId="50B15809" w14:textId="77777777" w:rsidR="006C686E" w:rsidRDefault="00B17E8C">
            <w:pPr>
              <w:pStyle w:val="P68B1DB1-Normal9"/>
              <w:spacing w:after="0" w:line="240" w:lineRule="auto"/>
              <w:jc w:val="center"/>
              <w:rPr>
                <w:rFonts w:eastAsia="Times New Roman"/>
                <w:bCs/>
                <w:noProof/>
              </w:rPr>
            </w:pPr>
            <w:r>
              <w:rPr>
                <w:noProof/>
              </w:rPr>
              <w:t>Unité de mesure</w:t>
            </w:r>
          </w:p>
        </w:tc>
        <w:tc>
          <w:tcPr>
            <w:tcW w:w="992" w:type="dxa"/>
            <w:shd w:val="clear" w:color="auto" w:fill="BDD6EE"/>
            <w:vAlign w:val="center"/>
            <w:hideMark/>
          </w:tcPr>
          <w:p w14:paraId="3E8B347A" w14:textId="77777777" w:rsidR="006C686E" w:rsidRDefault="00B17E8C">
            <w:pPr>
              <w:pStyle w:val="P68B1DB1-Normal9"/>
              <w:spacing w:after="0" w:line="240" w:lineRule="auto"/>
              <w:jc w:val="center"/>
              <w:rPr>
                <w:rFonts w:eastAsia="Times New Roman"/>
                <w:bCs/>
                <w:noProof/>
              </w:rPr>
            </w:pPr>
            <w:r>
              <w:rPr>
                <w:noProof/>
              </w:rPr>
              <w:t>Données de référence</w:t>
            </w:r>
          </w:p>
        </w:tc>
        <w:tc>
          <w:tcPr>
            <w:tcW w:w="851" w:type="dxa"/>
            <w:shd w:val="clear" w:color="auto" w:fill="BDD6EE"/>
            <w:vAlign w:val="center"/>
            <w:hideMark/>
          </w:tcPr>
          <w:p w14:paraId="7D68F2AD" w14:textId="77777777" w:rsidR="006C686E" w:rsidRDefault="00B17E8C">
            <w:pPr>
              <w:pStyle w:val="P68B1DB1-Normal9"/>
              <w:spacing w:after="0" w:line="240" w:lineRule="auto"/>
              <w:jc w:val="center"/>
              <w:rPr>
                <w:rFonts w:eastAsia="Times New Roman"/>
                <w:bCs/>
                <w:noProof/>
              </w:rPr>
            </w:pPr>
            <w:r>
              <w:rPr>
                <w:noProof/>
              </w:rPr>
              <w:t>Objectif</w:t>
            </w:r>
          </w:p>
        </w:tc>
        <w:tc>
          <w:tcPr>
            <w:tcW w:w="567" w:type="dxa"/>
            <w:shd w:val="clear" w:color="auto" w:fill="BDD6EE"/>
            <w:vAlign w:val="center"/>
            <w:hideMark/>
          </w:tcPr>
          <w:p w14:paraId="3E32C631" w14:textId="77777777" w:rsidR="006C686E" w:rsidRDefault="00B17E8C">
            <w:pPr>
              <w:pStyle w:val="P68B1DB1-Normal9"/>
              <w:spacing w:after="0" w:line="240" w:lineRule="auto"/>
              <w:jc w:val="center"/>
              <w:rPr>
                <w:rFonts w:eastAsia="Times New Roman"/>
                <w:bCs/>
                <w:noProof/>
              </w:rPr>
            </w:pPr>
            <w:r>
              <w:rPr>
                <w:noProof/>
              </w:rPr>
              <w:t>Q</w:t>
            </w:r>
          </w:p>
        </w:tc>
        <w:tc>
          <w:tcPr>
            <w:tcW w:w="992" w:type="dxa"/>
            <w:shd w:val="clear" w:color="auto" w:fill="BDD6EE"/>
            <w:vAlign w:val="center"/>
            <w:hideMark/>
          </w:tcPr>
          <w:p w14:paraId="3CEA1CA5" w14:textId="77777777" w:rsidR="006C686E" w:rsidRDefault="00B17E8C">
            <w:pPr>
              <w:pStyle w:val="P68B1DB1-Normal9"/>
              <w:spacing w:after="0" w:line="240" w:lineRule="auto"/>
              <w:jc w:val="center"/>
              <w:rPr>
                <w:rFonts w:eastAsia="Times New Roman"/>
                <w:bCs/>
                <w:noProof/>
              </w:rPr>
            </w:pPr>
            <w:r>
              <w:rPr>
                <w:noProof/>
              </w:rPr>
              <w:t>Année</w:t>
            </w:r>
          </w:p>
        </w:tc>
        <w:tc>
          <w:tcPr>
            <w:tcW w:w="4116" w:type="dxa"/>
            <w:vMerge/>
            <w:vAlign w:val="center"/>
            <w:hideMark/>
          </w:tcPr>
          <w:p w14:paraId="7C59AD6B"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r>
      <w:tr w:rsidR="006C686E" w14:paraId="3655E88A" w14:textId="77777777" w:rsidTr="0024749C">
        <w:trPr>
          <w:trHeight w:val="640"/>
          <w:jc w:val="center"/>
        </w:trPr>
        <w:tc>
          <w:tcPr>
            <w:tcW w:w="1135" w:type="dxa"/>
            <w:shd w:val="clear" w:color="auto" w:fill="C5EFCE"/>
            <w:vAlign w:val="center"/>
          </w:tcPr>
          <w:p w14:paraId="2FB771C5" w14:textId="77777777" w:rsidR="006C686E" w:rsidRDefault="00B17E8C">
            <w:pPr>
              <w:pStyle w:val="P68B1DB1-Normal10"/>
              <w:spacing w:after="0" w:line="240" w:lineRule="auto"/>
              <w:jc w:val="center"/>
              <w:rPr>
                <w:bCs/>
                <w:noProof/>
              </w:rPr>
            </w:pPr>
            <w:r>
              <w:rPr>
                <w:noProof/>
              </w:rPr>
              <w:t>6.28</w:t>
            </w:r>
          </w:p>
        </w:tc>
        <w:tc>
          <w:tcPr>
            <w:tcW w:w="1412" w:type="dxa"/>
            <w:shd w:val="clear" w:color="auto" w:fill="C4EFCE"/>
            <w:noWrap/>
            <w:vAlign w:val="center"/>
          </w:tcPr>
          <w:p w14:paraId="2B9458B3" w14:textId="77777777" w:rsidR="006C686E" w:rsidRDefault="00B17E8C">
            <w:pPr>
              <w:pStyle w:val="P68B1DB1-Normal11"/>
              <w:spacing w:after="0" w:line="240" w:lineRule="auto"/>
              <w:jc w:val="center"/>
              <w:rPr>
                <w:noProof/>
              </w:rPr>
            </w:pPr>
            <w:r>
              <w:rPr>
                <w:noProof/>
              </w:rPr>
              <w:t>RE-C06-i09</w:t>
            </w:r>
          </w:p>
        </w:tc>
        <w:tc>
          <w:tcPr>
            <w:tcW w:w="1417" w:type="dxa"/>
            <w:shd w:val="clear" w:color="auto" w:fill="C4EFCE"/>
            <w:noWrap/>
            <w:vAlign w:val="center"/>
          </w:tcPr>
          <w:p w14:paraId="751BA576" w14:textId="77777777" w:rsidR="006C686E" w:rsidRDefault="00B17E8C">
            <w:pPr>
              <w:pStyle w:val="P68B1DB1-Normal11"/>
              <w:spacing w:after="0" w:line="240" w:lineRule="auto"/>
              <w:jc w:val="center"/>
              <w:rPr>
                <w:noProof/>
              </w:rPr>
            </w:pPr>
            <w:r>
              <w:rPr>
                <w:noProof/>
              </w:rPr>
              <w:t>T</w:t>
            </w:r>
          </w:p>
        </w:tc>
        <w:tc>
          <w:tcPr>
            <w:tcW w:w="1282" w:type="dxa"/>
            <w:shd w:val="clear" w:color="auto" w:fill="C4EFCE"/>
            <w:noWrap/>
            <w:vAlign w:val="center"/>
          </w:tcPr>
          <w:p w14:paraId="40A7A949" w14:textId="77777777" w:rsidR="006C686E" w:rsidRDefault="00B17E8C">
            <w:pPr>
              <w:pStyle w:val="P68B1DB1-Normal11"/>
              <w:spacing w:after="0" w:line="240" w:lineRule="auto"/>
              <w:jc w:val="center"/>
              <w:rPr>
                <w:noProof/>
              </w:rPr>
            </w:pPr>
            <w:r>
              <w:rPr>
                <w:noProof/>
              </w:rPr>
              <w:t>Signature des conditions d'acceptation pour le financement de la construction et de la rénovation des écoles publiques</w:t>
            </w:r>
          </w:p>
        </w:tc>
        <w:tc>
          <w:tcPr>
            <w:tcW w:w="1275" w:type="dxa"/>
            <w:shd w:val="clear" w:color="auto" w:fill="C4EFCE"/>
            <w:noWrap/>
            <w:vAlign w:val="center"/>
          </w:tcPr>
          <w:p w14:paraId="7B163473" w14:textId="77777777" w:rsidR="006C686E" w:rsidRDefault="00B17E8C">
            <w:pPr>
              <w:pStyle w:val="P68B1DB1-Normal11"/>
              <w:spacing w:after="0" w:line="240" w:lineRule="auto"/>
              <w:jc w:val="center"/>
              <w:rPr>
                <w:noProof/>
              </w:rPr>
            </w:pPr>
            <w:r>
              <w:rPr>
                <w:noProof/>
              </w:rPr>
              <w:t xml:space="preserve">Contrats signés </w:t>
            </w:r>
          </w:p>
        </w:tc>
        <w:tc>
          <w:tcPr>
            <w:tcW w:w="987" w:type="dxa"/>
            <w:shd w:val="clear" w:color="auto" w:fill="C4EFCE"/>
            <w:noWrap/>
            <w:vAlign w:val="center"/>
          </w:tcPr>
          <w:p w14:paraId="1DE7254D" w14:textId="77777777" w:rsidR="006C686E" w:rsidRDefault="00B17E8C">
            <w:pPr>
              <w:pStyle w:val="P68B1DB1-Normal11"/>
              <w:spacing w:after="0" w:line="240" w:lineRule="auto"/>
              <w:jc w:val="center"/>
              <w:rPr>
                <w:noProof/>
              </w:rPr>
            </w:pPr>
            <w:r>
              <w:rPr>
                <w:noProof/>
              </w:rPr>
              <w:t>Numéro</w:t>
            </w:r>
          </w:p>
        </w:tc>
        <w:tc>
          <w:tcPr>
            <w:tcW w:w="992" w:type="dxa"/>
            <w:shd w:val="clear" w:color="auto" w:fill="C4EFCE"/>
            <w:noWrap/>
            <w:vAlign w:val="center"/>
          </w:tcPr>
          <w:p w14:paraId="478EC8D3" w14:textId="77777777" w:rsidR="006C686E" w:rsidRDefault="00B17E8C">
            <w:pPr>
              <w:pStyle w:val="P68B1DB1-Normal11"/>
              <w:spacing w:after="0" w:line="240" w:lineRule="auto"/>
              <w:jc w:val="center"/>
              <w:rPr>
                <w:noProof/>
              </w:rPr>
            </w:pPr>
            <w:r>
              <w:rPr>
                <w:noProof/>
              </w:rPr>
              <w:t>0</w:t>
            </w:r>
          </w:p>
        </w:tc>
        <w:tc>
          <w:tcPr>
            <w:tcW w:w="851" w:type="dxa"/>
            <w:shd w:val="clear" w:color="auto" w:fill="C4EFCE"/>
            <w:noWrap/>
            <w:vAlign w:val="center"/>
          </w:tcPr>
          <w:p w14:paraId="4BBB15ED" w14:textId="77777777" w:rsidR="006C686E" w:rsidRDefault="00B17E8C">
            <w:pPr>
              <w:pStyle w:val="P68B1DB1-Normal11"/>
              <w:spacing w:after="0" w:line="240" w:lineRule="auto"/>
              <w:jc w:val="center"/>
              <w:rPr>
                <w:noProof/>
              </w:rPr>
            </w:pPr>
            <w:r>
              <w:rPr>
                <w:noProof/>
              </w:rPr>
              <w:t>77</w:t>
            </w:r>
          </w:p>
        </w:tc>
        <w:tc>
          <w:tcPr>
            <w:tcW w:w="567" w:type="dxa"/>
            <w:shd w:val="clear" w:color="auto" w:fill="C4EFCE"/>
            <w:noWrap/>
            <w:vAlign w:val="center"/>
          </w:tcPr>
          <w:p w14:paraId="634505AE" w14:textId="77777777" w:rsidR="006C686E" w:rsidRDefault="00B17E8C">
            <w:pPr>
              <w:pStyle w:val="P68B1DB1-Normal11"/>
              <w:spacing w:after="0" w:line="240" w:lineRule="auto"/>
              <w:jc w:val="center"/>
              <w:rPr>
                <w:noProof/>
              </w:rPr>
            </w:pPr>
            <w:r>
              <w:rPr>
                <w:noProof/>
              </w:rPr>
              <w:t>T2</w:t>
            </w:r>
          </w:p>
        </w:tc>
        <w:tc>
          <w:tcPr>
            <w:tcW w:w="992" w:type="dxa"/>
            <w:shd w:val="clear" w:color="auto" w:fill="C4EFCE"/>
            <w:noWrap/>
            <w:vAlign w:val="center"/>
          </w:tcPr>
          <w:p w14:paraId="69F7C338" w14:textId="77777777" w:rsidR="006C686E" w:rsidRDefault="00B17E8C">
            <w:pPr>
              <w:pStyle w:val="P68B1DB1-Normal11"/>
              <w:spacing w:after="0" w:line="240" w:lineRule="auto"/>
              <w:jc w:val="center"/>
              <w:rPr>
                <w:noProof/>
              </w:rPr>
            </w:pPr>
            <w:r>
              <w:rPr>
                <w:noProof/>
              </w:rPr>
              <w:t>2024</w:t>
            </w:r>
          </w:p>
        </w:tc>
        <w:tc>
          <w:tcPr>
            <w:tcW w:w="4116" w:type="dxa"/>
            <w:shd w:val="clear" w:color="auto" w:fill="C4EFCE"/>
          </w:tcPr>
          <w:p w14:paraId="61092178" w14:textId="0AF4817F" w:rsidR="006C686E" w:rsidRDefault="00B17E8C">
            <w:pPr>
              <w:pStyle w:val="P68B1DB1-Normal16"/>
              <w:widowControl w:val="0"/>
              <w:spacing w:after="0" w:line="240" w:lineRule="auto"/>
              <w:jc w:val="both"/>
              <w:rPr>
                <w:noProof/>
              </w:rPr>
            </w:pPr>
            <w:r>
              <w:rPr>
                <w:noProof/>
              </w:rPr>
              <w:t>Les conditions d'acceptation sont signées par les municipalités pour le financement de la construction ou de la rénovation des 2e</w:t>
            </w:r>
            <w:r>
              <w:rPr>
                <w:noProof/>
                <w:vertAlign w:val="superscript"/>
              </w:rPr>
              <w:t xml:space="preserve"> et</w:t>
            </w:r>
            <w:r>
              <w:rPr>
                <w:noProof/>
              </w:rPr>
              <w:t xml:space="preserve"> 3e cycles et des écoles publiques de l'enseignement secondaire. Le choix des écoles à rénover et du lieu où de nouvelles écoles sont nécessaires est fondé sur une évaluation des besoins.</w:t>
            </w:r>
          </w:p>
        </w:tc>
      </w:tr>
      <w:tr w:rsidR="006C686E" w14:paraId="138B8450" w14:textId="77777777" w:rsidTr="0024749C">
        <w:trPr>
          <w:trHeight w:val="640"/>
          <w:jc w:val="center"/>
        </w:trPr>
        <w:tc>
          <w:tcPr>
            <w:tcW w:w="1135" w:type="dxa"/>
            <w:shd w:val="clear" w:color="auto" w:fill="C5EFCE"/>
            <w:vAlign w:val="center"/>
          </w:tcPr>
          <w:p w14:paraId="18C6B7D9" w14:textId="77777777" w:rsidR="006C686E" w:rsidRDefault="00B17E8C">
            <w:pPr>
              <w:pStyle w:val="P68B1DB1-Normal10"/>
              <w:spacing w:after="0" w:line="240" w:lineRule="auto"/>
              <w:jc w:val="center"/>
              <w:rPr>
                <w:bCs/>
                <w:noProof/>
              </w:rPr>
            </w:pPr>
            <w:r>
              <w:rPr>
                <w:noProof/>
              </w:rPr>
              <w:t>6.29</w:t>
            </w:r>
          </w:p>
        </w:tc>
        <w:tc>
          <w:tcPr>
            <w:tcW w:w="1412" w:type="dxa"/>
            <w:shd w:val="clear" w:color="auto" w:fill="C4EFCE"/>
            <w:noWrap/>
            <w:vAlign w:val="center"/>
          </w:tcPr>
          <w:p w14:paraId="1A87BEC6" w14:textId="77777777" w:rsidR="006C686E" w:rsidRDefault="00B17E8C">
            <w:pPr>
              <w:pStyle w:val="P68B1DB1-Normal11"/>
              <w:spacing w:after="0" w:line="240" w:lineRule="auto"/>
              <w:jc w:val="center"/>
              <w:rPr>
                <w:noProof/>
              </w:rPr>
            </w:pPr>
            <w:r>
              <w:rPr>
                <w:noProof/>
              </w:rPr>
              <w:t>RE-C06-i09</w:t>
            </w:r>
          </w:p>
        </w:tc>
        <w:tc>
          <w:tcPr>
            <w:tcW w:w="1417" w:type="dxa"/>
            <w:shd w:val="clear" w:color="auto" w:fill="C4EFCE"/>
            <w:noWrap/>
            <w:vAlign w:val="center"/>
          </w:tcPr>
          <w:p w14:paraId="64AE7B95" w14:textId="4F42EF14" w:rsidR="006C686E" w:rsidRDefault="00B17E8C">
            <w:pPr>
              <w:pStyle w:val="P68B1DB1-Normal11"/>
              <w:spacing w:after="0" w:line="240" w:lineRule="auto"/>
              <w:jc w:val="center"/>
              <w:rPr>
                <w:noProof/>
              </w:rPr>
            </w:pPr>
            <w:r>
              <w:rPr>
                <w:noProof/>
              </w:rPr>
              <w:t>M</w:t>
            </w:r>
          </w:p>
        </w:tc>
        <w:tc>
          <w:tcPr>
            <w:tcW w:w="1282" w:type="dxa"/>
            <w:shd w:val="clear" w:color="auto" w:fill="C4EFCE"/>
            <w:noWrap/>
            <w:vAlign w:val="center"/>
          </w:tcPr>
          <w:p w14:paraId="14C7F22D" w14:textId="77777777" w:rsidR="006C686E" w:rsidRDefault="00B17E8C">
            <w:pPr>
              <w:pStyle w:val="P68B1DB1-Normal13"/>
              <w:spacing w:after="0" w:line="240" w:lineRule="auto"/>
              <w:jc w:val="center"/>
              <w:rPr>
                <w:noProof/>
                <w:kern w:val="0"/>
                <w14:ligatures w14:val="none"/>
              </w:rPr>
            </w:pPr>
            <w:r>
              <w:rPr>
                <w:noProof/>
                <w:kern w:val="0"/>
                <w14:ligatures w14:val="none"/>
              </w:rPr>
              <w:t>Écoles construites ou rénovées</w:t>
            </w:r>
            <w:r>
              <w:rPr>
                <w:noProof/>
              </w:rPr>
              <w:t xml:space="preserve"> ou achat d'équipement pour les écoles</w:t>
            </w:r>
          </w:p>
        </w:tc>
        <w:tc>
          <w:tcPr>
            <w:tcW w:w="1275" w:type="dxa"/>
            <w:shd w:val="clear" w:color="auto" w:fill="C4EFCE"/>
            <w:noWrap/>
            <w:vAlign w:val="center"/>
          </w:tcPr>
          <w:p w14:paraId="55A2632A" w14:textId="1CB99E5A" w:rsidR="006C686E" w:rsidRDefault="00B17E8C">
            <w:pPr>
              <w:pStyle w:val="P68B1DB1-Normal13"/>
              <w:spacing w:after="0" w:line="240" w:lineRule="auto"/>
              <w:jc w:val="center"/>
              <w:rPr>
                <w:noProof/>
                <w:kern w:val="0"/>
                <w14:ligatures w14:val="none"/>
              </w:rPr>
            </w:pPr>
            <w:r>
              <w:rPr>
                <w:noProof/>
              </w:rPr>
              <w:t>Construction ou rénovation ou achat d'équipement ou exécution financière</w:t>
            </w:r>
          </w:p>
        </w:tc>
        <w:tc>
          <w:tcPr>
            <w:tcW w:w="987" w:type="dxa"/>
            <w:shd w:val="clear" w:color="auto" w:fill="C4EFCE"/>
            <w:noWrap/>
            <w:vAlign w:val="center"/>
          </w:tcPr>
          <w:p w14:paraId="51C332A6" w14:textId="55DAAF7A"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992" w:type="dxa"/>
            <w:shd w:val="clear" w:color="auto" w:fill="C4EFCE"/>
            <w:noWrap/>
            <w:vAlign w:val="center"/>
          </w:tcPr>
          <w:p w14:paraId="487AF5D4" w14:textId="418AB3A9"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851" w:type="dxa"/>
            <w:shd w:val="clear" w:color="auto" w:fill="C4EFCE"/>
            <w:noWrap/>
            <w:vAlign w:val="center"/>
          </w:tcPr>
          <w:p w14:paraId="30359298" w14:textId="011B3A28"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12459D20" w14:textId="77777777" w:rsidR="006C686E" w:rsidRDefault="00B17E8C">
            <w:pPr>
              <w:pStyle w:val="P68B1DB1-Normal11"/>
              <w:spacing w:after="0" w:line="240" w:lineRule="auto"/>
              <w:jc w:val="center"/>
              <w:rPr>
                <w:noProof/>
              </w:rPr>
            </w:pPr>
            <w:r>
              <w:rPr>
                <w:noProof/>
              </w:rPr>
              <w:t>T2</w:t>
            </w:r>
          </w:p>
        </w:tc>
        <w:tc>
          <w:tcPr>
            <w:tcW w:w="992" w:type="dxa"/>
            <w:shd w:val="clear" w:color="auto" w:fill="C4EFCE"/>
            <w:noWrap/>
            <w:vAlign w:val="center"/>
          </w:tcPr>
          <w:p w14:paraId="13A9882E" w14:textId="77777777" w:rsidR="006C686E" w:rsidRDefault="00B17E8C">
            <w:pPr>
              <w:pStyle w:val="P68B1DB1-Normal11"/>
              <w:spacing w:after="0" w:line="240" w:lineRule="auto"/>
              <w:jc w:val="center"/>
              <w:rPr>
                <w:noProof/>
              </w:rPr>
            </w:pPr>
            <w:r>
              <w:rPr>
                <w:noProof/>
              </w:rPr>
              <w:t>2026</w:t>
            </w:r>
          </w:p>
        </w:tc>
        <w:tc>
          <w:tcPr>
            <w:tcW w:w="4116" w:type="dxa"/>
            <w:shd w:val="clear" w:color="auto" w:fill="C4EFCE"/>
          </w:tcPr>
          <w:p w14:paraId="1DAC2173" w14:textId="4F7C33A6" w:rsidR="006C686E" w:rsidRDefault="00B17E8C">
            <w:pPr>
              <w:pStyle w:val="P68B1DB1-Normal39"/>
              <w:widowControl w:val="0"/>
              <w:spacing w:after="0" w:line="240" w:lineRule="auto"/>
              <w:jc w:val="both"/>
              <w:rPr>
                <w:noProof/>
              </w:rPr>
            </w:pPr>
            <w:r>
              <w:rPr>
                <w:noProof/>
              </w:rPr>
              <w:t>Construction, rénovation ou achat d'équipement pour 62</w:t>
            </w:r>
            <w:r>
              <w:rPr>
                <w:noProof/>
                <w:kern w:val="0"/>
                <w14:ligatures w14:val="none"/>
              </w:rPr>
              <w:t xml:space="preserve"> </w:t>
            </w:r>
            <w:r>
              <w:rPr>
                <w:noProof/>
              </w:rPr>
              <w:t>écoles.</w:t>
            </w:r>
          </w:p>
          <w:p w14:paraId="69D9FEFC" w14:textId="68E5586A" w:rsidR="006C686E" w:rsidRDefault="00B17E8C">
            <w:pPr>
              <w:pStyle w:val="P68B1DB1-Normal27"/>
              <w:widowControl w:val="0"/>
              <w:spacing w:after="0" w:line="240" w:lineRule="auto"/>
              <w:jc w:val="both"/>
              <w:rPr>
                <w:rFonts w:ascii="Times New Roman" w:eastAsia="Arial" w:hAnsi="Times New Roman" w:cs="Times New Roman"/>
                <w:noProof/>
              </w:rPr>
            </w:pPr>
            <w:r>
              <w:rPr>
                <w:rFonts w:ascii="Times New Roman" w:hAnsi="Times New Roman" w:cs="Times New Roman"/>
                <w:noProof/>
              </w:rPr>
              <w:t>En outre, confirmation par une entité tierce chargée du contrôle que</w:t>
            </w:r>
            <w:r>
              <w:rPr>
                <w:rFonts w:ascii="Times New Roman" w:eastAsia="Calibri" w:hAnsi="Times New Roman" w:cs="Times New Roman"/>
                <w:noProof/>
                <w:kern w:val="0"/>
                <w14:ligatures w14:val="none"/>
              </w:rPr>
              <w:t> </w:t>
            </w:r>
            <w:r>
              <w:rPr>
                <w:rFonts w:ascii="Times New Roman" w:eastAsia="Arial" w:hAnsi="Times New Roman" w:cs="Times New Roman"/>
                <w:noProof/>
              </w:rPr>
              <w:t>121</w:t>
            </w:r>
            <w:r>
              <w:rPr>
                <w:rFonts w:ascii="Times New Roman" w:eastAsia="Calibri" w:hAnsi="Times New Roman" w:cs="Times New Roman"/>
                <w:noProof/>
                <w:kern w:val="0"/>
                <w14:ligatures w14:val="none"/>
              </w:rPr>
              <w:t> </w:t>
            </w:r>
            <w:r>
              <w:rPr>
                <w:rFonts w:ascii="Times New Roman" w:eastAsia="Arial" w:hAnsi="Times New Roman" w:cs="Times New Roman"/>
                <w:noProof/>
              </w:rPr>
              <w:t>500</w:t>
            </w:r>
            <w:r>
              <w:rPr>
                <w:rFonts w:ascii="Times New Roman" w:eastAsia="Calibri" w:hAnsi="Times New Roman" w:cs="Times New Roman"/>
                <w:noProof/>
                <w:kern w:val="0"/>
                <w14:ligatures w14:val="none"/>
              </w:rPr>
              <w:t> </w:t>
            </w:r>
            <w:r>
              <w:rPr>
                <w:rFonts w:ascii="Times New Roman" w:eastAsia="Arial" w:hAnsi="Times New Roman" w:cs="Times New Roman"/>
                <w:noProof/>
              </w:rPr>
              <w:t xml:space="preserve">000 EUR pour la construction, la rénovation ou l’achat d’équipements pour d’autres écoles ont été exécutés financièrement. </w:t>
            </w:r>
          </w:p>
          <w:p w14:paraId="6B18052D" w14:textId="407542CD" w:rsidR="006C686E" w:rsidRDefault="00B17E8C">
            <w:pPr>
              <w:pStyle w:val="P68B1DB1-Normal39"/>
              <w:widowControl w:val="0"/>
              <w:spacing w:after="0" w:line="240" w:lineRule="auto"/>
              <w:jc w:val="both"/>
              <w:rPr>
                <w:noProof/>
              </w:rPr>
            </w:pPr>
            <w:r>
              <w:rPr>
                <w:noProof/>
              </w:rPr>
              <w:t>Les rénovations en matière d’efficacité énergétique permettent, en moyenne, de réaliser 30 % d’économies d’énergie primaire.</w:t>
            </w:r>
          </w:p>
        </w:tc>
      </w:tr>
    </w:tbl>
    <w:p w14:paraId="6A5FB95E" w14:textId="77777777" w:rsidR="006C686E" w:rsidRDefault="006C686E">
      <w:pPr>
        <w:spacing w:after="200" w:line="276" w:lineRule="auto"/>
        <w:rPr>
          <w:rFonts w:ascii="Calibri" w:eastAsia="Calibri" w:hAnsi="Calibri" w:cs="Times New Roman"/>
          <w:noProof/>
          <w:kern w:val="0"/>
          <w14:ligatures w14:val="none"/>
        </w:rPr>
      </w:pPr>
    </w:p>
    <w:p w14:paraId="75572FD9" w14:textId="77777777" w:rsidR="006C686E" w:rsidRDefault="006C686E">
      <w:pPr>
        <w:keepNext/>
        <w:spacing w:before="40" w:after="0"/>
        <w:jc w:val="both"/>
        <w:outlineLvl w:val="1"/>
        <w:rPr>
          <w:rFonts w:ascii="Times New Roman" w:eastAsia="Times New Roman" w:hAnsi="Times New Roman" w:cs="Times New Roman"/>
          <w:b/>
          <w:bCs/>
          <w:noProof/>
          <w:kern w:val="0"/>
          <w:u w:val="single"/>
          <w14:ligatures w14:val="none"/>
        </w:rPr>
        <w:sectPr w:rsidR="006C686E" w:rsidSect="00C95E00">
          <w:headerReference w:type="even" r:id="rId148"/>
          <w:headerReference w:type="default" r:id="rId149"/>
          <w:footerReference w:type="even" r:id="rId150"/>
          <w:footerReference w:type="default" r:id="rId151"/>
          <w:headerReference w:type="first" r:id="rId152"/>
          <w:footerReference w:type="first" r:id="rId153"/>
          <w:pgSz w:w="16839" w:h="11907" w:orient="landscape"/>
          <w:pgMar w:top="1134" w:right="1134" w:bottom="1134" w:left="1134" w:header="567" w:footer="567" w:gutter="0"/>
          <w:cols w:space="720"/>
          <w:docGrid w:linePitch="360"/>
        </w:sectPr>
      </w:pPr>
    </w:p>
    <w:p w14:paraId="2CD39CD5" w14:textId="77777777" w:rsidR="006C686E" w:rsidRDefault="00B17E8C">
      <w:pPr>
        <w:pStyle w:val="P68B1DB1-Normal18"/>
        <w:keepNext/>
        <w:spacing w:before="40" w:after="0" w:line="259" w:lineRule="auto"/>
        <w:ind w:left="130" w:firstLine="720"/>
        <w:jc w:val="both"/>
        <w:outlineLvl w:val="1"/>
        <w:rPr>
          <w:rFonts w:eastAsiaTheme="minorEastAsia" w:cs="Times New Roman"/>
          <w:bCs/>
          <w:smallCaps/>
          <w:noProof/>
        </w:rPr>
      </w:pPr>
      <w:r>
        <w:rPr>
          <w:noProof/>
        </w:rPr>
        <w:t xml:space="preserve">G. Élément 7: Infrastructures </w:t>
      </w:r>
    </w:p>
    <w:p w14:paraId="4D345ABD" w14:textId="77777777" w:rsidR="006C686E" w:rsidRDefault="00B17E8C">
      <w:pPr>
        <w:pStyle w:val="P68B1DB1-Normal22"/>
        <w:keepNext/>
        <w:spacing w:before="40" w:after="0" w:line="259" w:lineRule="auto"/>
        <w:jc w:val="both"/>
        <w:rPr>
          <w:rFonts w:eastAsiaTheme="minorEastAsia" w:cs="Times New Roman"/>
          <w:noProof/>
        </w:rPr>
      </w:pPr>
      <w:r>
        <w:rPr>
          <w:noProof/>
        </w:rPr>
        <w:t>Ce</w:t>
      </w:r>
      <w:r>
        <w:rPr>
          <w:i/>
          <w:noProof/>
        </w:rPr>
        <w:t xml:space="preserve"> </w:t>
      </w:r>
      <w:r>
        <w:rPr>
          <w:noProof/>
        </w:rPr>
        <w:t>volet du plan portugais pour la reprise et la résilience</w:t>
      </w:r>
      <w:r>
        <w:rPr>
          <w:i/>
          <w:noProof/>
        </w:rPr>
        <w:t xml:space="preserve"> </w:t>
      </w:r>
      <w:r>
        <w:rPr>
          <w:noProof/>
        </w:rPr>
        <w:t xml:space="preserve">relève le défi de la faible cohésion territoriale et de la faible compétitivité des entreprises dans les régions intérieures causées par des liaisons inadéquates avec le réseau routier. Cela entraîne des coûts contextuels pour les entreprises, tels que les coûts de transport dus à une faible connectivité routière ou à la difficulté d’attirer du personnel qualifié. Un autre défi est la nécessité de réduire les émissions dans le secteur des transports et dans les parcs d'activités. </w:t>
      </w:r>
    </w:p>
    <w:p w14:paraId="6C89E9D0"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Les objectifs du volet sont d'accroître la cohésion territoriale et d'améliorer la compétitivité afin de promouvoir le développement économique des régions intérieures. Par le déploiement de bornes de recharge, elle vise à promouvoir la décarbonation du transport routier. </w:t>
      </w:r>
    </w:p>
    <w:p w14:paraId="01DBB2A6"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À cette fin, le volet vise à rendre les parcs d’affaires plus durables et plus numériques et à leur fournir un meilleur accès au réseau routier. Elle vise également à améliorer la connectivité du transport routier en élargissant le réseau routier, par exemple en remédiant aux chaînons manquants, y compris aux Açores, et en fournissant quatre liaisons transfrontalières. L’accélération de l’expansion du réseau de bornes de recharge pour véhicules électriques accessibles au public devrait contribuer à réduire l’empreinte carbone du secteur du transport routier au Portugal et à le rendre plus durable. Cet investissement est une mesure d’accompagnement pour l’expansion de l’infrastructure routière, conformément aux orientations techniques DNSH de la Commission (2021/C58/01). </w:t>
      </w:r>
    </w:p>
    <w:p w14:paraId="646134F0" w14:textId="77777777" w:rsidR="006C686E" w:rsidRDefault="00B17E8C">
      <w:pPr>
        <w:pStyle w:val="P68B1DB1-Normal22"/>
        <w:keepNext/>
        <w:spacing w:before="40" w:after="0" w:line="259" w:lineRule="auto"/>
        <w:jc w:val="both"/>
        <w:rPr>
          <w:rFonts w:eastAsiaTheme="minorEastAsia" w:cs="Times New Roman"/>
          <w:noProof/>
        </w:rPr>
      </w:pPr>
      <w:r>
        <w:rPr>
          <w:noProof/>
        </w:rPr>
        <w:t>Le volet soutient la mise en œuvre de la recommandation par pays visant à concentrer les investissements sur la transition écologique, en tenant compte des disparités régionales (recommandation par pays no 3 de 2019 et recommandation par pays no 3 de 2020), et le soutien à l’utilisation des technologies numériques pour stimuler la compétitivité des entreprises (recommandation par pays no 2 de 2020).</w:t>
      </w:r>
    </w:p>
    <w:p w14:paraId="0038C298"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1C8DFED0" w14:textId="77777777" w:rsidR="006C686E" w:rsidRDefault="006C686E">
      <w:pPr>
        <w:keepNext/>
        <w:spacing w:before="40" w:after="0" w:line="259" w:lineRule="auto"/>
        <w:jc w:val="both"/>
        <w:rPr>
          <w:rFonts w:ascii="Times New Roman" w:eastAsiaTheme="minorEastAsia" w:hAnsi="Times New Roman" w:cs="Times New Roman"/>
          <w:noProof/>
        </w:rPr>
      </w:pPr>
    </w:p>
    <w:p w14:paraId="0E7530E2" w14:textId="77777777" w:rsidR="006C686E" w:rsidRDefault="00B17E8C">
      <w:pPr>
        <w:keepNext/>
        <w:spacing w:before="40" w:after="0" w:line="259" w:lineRule="auto"/>
        <w:ind w:left="130" w:firstLine="720"/>
        <w:jc w:val="both"/>
        <w:outlineLvl w:val="2"/>
        <w:rPr>
          <w:rFonts w:ascii="Times New Roman" w:eastAsiaTheme="minorEastAsia" w:hAnsi="Times New Roman" w:cs="Times New Roman"/>
          <w:b/>
          <w:bCs/>
          <w:i/>
          <w:iCs/>
          <w:noProof/>
          <w:u w:val="single"/>
        </w:rPr>
      </w:pPr>
      <w:r>
        <w:rPr>
          <w:rFonts w:ascii="Times New Roman" w:hAnsi="Times New Roman"/>
          <w:b/>
          <w:noProof/>
          <w:u w:val="single"/>
        </w:rPr>
        <w:t xml:space="preserve">G.1. </w:t>
      </w:r>
      <w:r>
        <w:rPr>
          <w:noProof/>
        </w:rPr>
        <w:t xml:space="preserve"> </w:t>
      </w:r>
      <w:r>
        <w:rPr>
          <w:rFonts w:ascii="Times New Roman" w:hAnsi="Times New Roman"/>
          <w:b/>
          <w:noProof/>
          <w:u w:val="single"/>
        </w:rPr>
        <w:t>Description des réformes et des investissements pour le soutien financier non remboursable</w:t>
      </w:r>
    </w:p>
    <w:p w14:paraId="40E0FC42"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RE-C07-i00: Extension du réseau de recharge des véhicules électriques</w:t>
      </w:r>
    </w:p>
    <w:p w14:paraId="123A459F"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L’objectif de la mesure est de faire progresser la décarbonation du transport routier grâce à la mobilité électrique. </w:t>
      </w:r>
    </w:p>
    <w:p w14:paraId="608DAFD7" w14:textId="611898B0" w:rsidR="006C686E" w:rsidRDefault="00B17E8C">
      <w:pPr>
        <w:pStyle w:val="P68B1DB1-Normal22"/>
        <w:keepNext/>
        <w:spacing w:before="40" w:after="0" w:line="259" w:lineRule="auto"/>
        <w:jc w:val="both"/>
        <w:rPr>
          <w:i/>
          <w:iCs/>
          <w:noProof/>
        </w:rPr>
      </w:pPr>
      <w:r>
        <w:rPr>
          <w:noProof/>
        </w:rPr>
        <w:t>L’investissement consiste à faire en sorte que 15 000 points de recharge soient accessibles au Portugal.</w:t>
      </w:r>
    </w:p>
    <w:p w14:paraId="369FA518" w14:textId="77777777" w:rsidR="006C686E" w:rsidRDefault="00B17E8C">
      <w:pPr>
        <w:pStyle w:val="P68B1DB1-Normal23"/>
        <w:keepNext/>
        <w:spacing w:before="40" w:after="0" w:line="259" w:lineRule="auto"/>
        <w:jc w:val="both"/>
        <w:rPr>
          <w:noProof/>
        </w:rPr>
      </w:pPr>
      <w:r>
        <w:rPr>
          <w:noProof/>
        </w:rPr>
        <w:t>La réalisation des cibles 7.1, 7.2 et 7.3 est nécessaire pour garantir la conformité de l’investissement avec les exigences DNSH.</w:t>
      </w:r>
    </w:p>
    <w:p w14:paraId="258D6954"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RE-C07-i01: Zones d’accueil des entreprises – Sélection</w:t>
      </w:r>
    </w:p>
    <w:p w14:paraId="3D0E8CAA" w14:textId="77777777" w:rsidR="006C686E" w:rsidRDefault="00B17E8C">
      <w:pPr>
        <w:pStyle w:val="P68B1DB1-Normal22"/>
        <w:keepNext/>
        <w:spacing w:before="40" w:after="0" w:line="259" w:lineRule="auto"/>
        <w:jc w:val="both"/>
        <w:rPr>
          <w:rFonts w:eastAsiaTheme="minorEastAsia" w:cs="Times New Roman"/>
          <w:noProof/>
        </w:rPr>
      </w:pPr>
      <w:r>
        <w:rPr>
          <w:noProof/>
        </w:rPr>
        <w:t>L’objectif de la mesure est de moderniser les zones d’accueil des entreprises, qui sont des terrains aménagés pour accueillir des bureaux, des usines et d’autres entreprises. La modernisation des parcs d’entreprises est également considérée comme un besoin d’investissement dans le plan national d’infrastructures du Portugal pour 2030 (PNI 2030).</w:t>
      </w:r>
    </w:p>
    <w:p w14:paraId="723724BB"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L’investissement consiste en des interventions dans des parcs d’entreprises sélectionnés qui comprennent la promotion de systèmes de production et de stockage d’énergie renouvelable, des interventions pilotes visant à améliorer la stabilité énergétique, l’installation de stations de recharge électrique et d’hydrogène, une couverture 5G renforcée et des mesures actives de prévention des incendies. Ces interventions en faveur de la durabilité environnementale et de la numérisation sont menées dans dix zones d’accueil des entreprises, choisies dans le cadre d’un appel d’offres public. </w:t>
      </w:r>
    </w:p>
    <w:p w14:paraId="48890502"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RE-C07-i02: Liaisons manquantes et renforcement de la capacité du réseau</w:t>
      </w:r>
    </w:p>
    <w:p w14:paraId="4B91E6EE"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L’objectif de la mesure est de remédier aux «liens manquants» dans le réseau routier. </w:t>
      </w:r>
    </w:p>
    <w:p w14:paraId="3755240F" w14:textId="77777777" w:rsidR="006C686E" w:rsidRDefault="00B17E8C">
      <w:pPr>
        <w:pStyle w:val="P68B1DB1-Normal22"/>
        <w:keepLines/>
        <w:spacing w:before="40" w:after="0" w:line="259" w:lineRule="auto"/>
        <w:jc w:val="both"/>
        <w:rPr>
          <w:rFonts w:eastAsiaTheme="minorEastAsia" w:cs="Times New Roman"/>
          <w:noProof/>
        </w:rPr>
      </w:pPr>
      <w:r>
        <w:rPr>
          <w:noProof/>
        </w:rPr>
        <w:t xml:space="preserve">L'investissement consiste en la construction ou la rénovation de 111 kilomètres au total à partir d'une ou plusieurs des routes énumérées ci-dessous: </w:t>
      </w:r>
    </w:p>
    <w:p w14:paraId="585526FE"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EN14 : interface route/rail à Trofa / Santana, y compris un nouveau pont sur la rivière Ave; </w:t>
      </w:r>
    </w:p>
    <w:p w14:paraId="55C5CC6B"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EN14 : Maia (Via Diagonal) / interface route/rail à Trofa; </w:t>
      </w:r>
    </w:p>
    <w:p w14:paraId="203FFF29"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EN4 : contournement d'Atalaia; </w:t>
      </w:r>
    </w:p>
    <w:p w14:paraId="522C9D03"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IC35 : Penafiel (EN15) / Rans; </w:t>
      </w:r>
    </w:p>
    <w:p w14:paraId="1490631F"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IC35 : Rans / Entre-os Rios; </w:t>
      </w:r>
    </w:p>
    <w:p w14:paraId="02374660"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IP2 : contournement est d'Évora; </w:t>
      </w:r>
    </w:p>
    <w:p w14:paraId="1D938780"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Liaison entre Baião et le pont Ermida; </w:t>
      </w:r>
    </w:p>
    <w:p w14:paraId="3FC1FCF0"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Axe routier Aveiro – Águeda; </w:t>
      </w:r>
    </w:p>
    <w:p w14:paraId="10115FF4"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EN344 : km 67 à km 75 – Pampilhosa da Serra; </w:t>
      </w:r>
    </w:p>
    <w:p w14:paraId="059AC22D"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EN 125 : contournement de l’est d’Olhão; </w:t>
      </w:r>
    </w:p>
    <w:p w14:paraId="1D17E41C"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IC2 (EN1): Meirinhas (km 136) /Pombal (km 148); </w:t>
      </w:r>
    </w:p>
    <w:p w14:paraId="3896BCA5"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IP8 (EN121): Ferreira do Alentejo /Beja, y compris le contournement de Beringel; </w:t>
      </w:r>
    </w:p>
    <w:p w14:paraId="09CFE1CF" w14:textId="77777777" w:rsidR="006C686E" w:rsidRDefault="00B17E8C">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IP8 (EN259): Sta. Margarida do Sado/Ferreira do Alentejo, y compris le contournement de Figueira de Cavaleiros; </w:t>
      </w:r>
    </w:p>
    <w:p w14:paraId="071669D7" w14:textId="77777777" w:rsidR="006C686E" w:rsidRDefault="00B17E8C">
      <w:pPr>
        <w:pStyle w:val="P68B1DB1-Normal22"/>
        <w:keepNext/>
        <w:numPr>
          <w:ilvl w:val="0"/>
          <w:numId w:val="38"/>
        </w:numPr>
        <w:spacing w:before="40" w:line="259" w:lineRule="auto"/>
        <w:contextualSpacing/>
        <w:jc w:val="both"/>
        <w:rPr>
          <w:rFonts w:eastAsiaTheme="minorEastAsia" w:cs="Times New Roman"/>
          <w:noProof/>
        </w:rPr>
      </w:pPr>
      <w:r>
        <w:rPr>
          <w:noProof/>
        </w:rPr>
        <w:t xml:space="preserve">IP8 (A26): Augmentation de la capacité de connexion entre Sines et A2; </w:t>
      </w:r>
    </w:p>
    <w:p w14:paraId="01E713F5" w14:textId="77777777" w:rsidR="006C686E" w:rsidRDefault="00B17E8C">
      <w:pPr>
        <w:pStyle w:val="P68B1DB1-Normal22"/>
        <w:keepNext/>
        <w:numPr>
          <w:ilvl w:val="0"/>
          <w:numId w:val="38"/>
        </w:numPr>
        <w:spacing w:before="40" w:line="259" w:lineRule="auto"/>
        <w:contextualSpacing/>
        <w:jc w:val="both"/>
        <w:rPr>
          <w:rFonts w:eastAsiaTheme="minorEastAsia" w:cs="Times New Roman"/>
          <w:noProof/>
        </w:rPr>
      </w:pPr>
      <w:r>
        <w:rPr>
          <w:noProof/>
        </w:rPr>
        <w:t xml:space="preserve">EN211 - Contournement de Quintã/Mesquinhata. </w:t>
      </w:r>
    </w:p>
    <w:p w14:paraId="18F54FFC" w14:textId="77777777" w:rsidR="006C686E" w:rsidRDefault="006C686E">
      <w:pPr>
        <w:keepNext/>
        <w:spacing w:before="40" w:after="0" w:line="259" w:lineRule="auto"/>
        <w:jc w:val="both"/>
        <w:rPr>
          <w:rFonts w:ascii="Times New Roman" w:hAnsi="Times New Roman"/>
          <w:noProof/>
        </w:rPr>
      </w:pPr>
    </w:p>
    <w:p w14:paraId="160A2FF2" w14:textId="77777777" w:rsidR="006C686E" w:rsidRDefault="00B17E8C">
      <w:pPr>
        <w:pStyle w:val="P68B1DB1-Normal21"/>
        <w:keepNext/>
        <w:spacing w:before="40" w:after="0" w:line="259" w:lineRule="auto"/>
        <w:jc w:val="both"/>
        <w:rPr>
          <w:rFonts w:eastAsiaTheme="minorEastAsia" w:cs="Times New Roman"/>
          <w:noProof/>
        </w:rPr>
      </w:pPr>
      <w:r>
        <w:rPr>
          <w:noProof/>
        </w:rPr>
        <w:t>Investissement RE-C07-i05-RAA: Circuits logistiques — Réseau régional des Açores</w:t>
      </w:r>
    </w:p>
    <w:p w14:paraId="1FDE26A4" w14:textId="77777777" w:rsidR="006C686E" w:rsidRDefault="00B17E8C">
      <w:pPr>
        <w:pStyle w:val="P68B1DB1-Normal22"/>
        <w:keepNext/>
        <w:spacing w:before="40" w:after="0" w:line="259" w:lineRule="auto"/>
        <w:jc w:val="both"/>
        <w:rPr>
          <w:noProof/>
        </w:rPr>
      </w:pPr>
      <w:r>
        <w:rPr>
          <w:noProof/>
        </w:rPr>
        <w:t xml:space="preserve">L’objectif de la mesure est d’étendre et de rénover les infrastructures routières aux Açores. </w:t>
      </w:r>
    </w:p>
    <w:p w14:paraId="287D1F3F" w14:textId="77777777" w:rsidR="006C686E" w:rsidRDefault="00B17E8C">
      <w:pPr>
        <w:pStyle w:val="P68B1DB1-Normal22"/>
        <w:keepNext/>
        <w:spacing w:before="40" w:after="0" w:line="259" w:lineRule="auto"/>
        <w:jc w:val="both"/>
        <w:rPr>
          <w:rFonts w:eastAsiaTheme="minorEastAsia" w:cs="Times New Roman"/>
          <w:noProof/>
        </w:rPr>
      </w:pPr>
      <w:r>
        <w:rPr>
          <w:noProof/>
        </w:rPr>
        <w:t>L'investissement consiste en la construction ou la rénovation de 34 kilomètres au total à partir d'une ou plusieurs des routes énumérées ci-dessous:</w:t>
      </w:r>
    </w:p>
    <w:p w14:paraId="63247A2B" w14:textId="77777777" w:rsidR="006C686E" w:rsidRDefault="00B17E8C">
      <w:pPr>
        <w:pStyle w:val="P68B1DB1-Normal22"/>
        <w:keepNext/>
        <w:numPr>
          <w:ilvl w:val="0"/>
          <w:numId w:val="39"/>
        </w:numPr>
        <w:spacing w:before="40" w:line="259" w:lineRule="auto"/>
        <w:contextualSpacing/>
        <w:jc w:val="both"/>
        <w:rPr>
          <w:rFonts w:eastAsiaTheme="minorEastAsia" w:cs="Times New Roman"/>
          <w:noProof/>
        </w:rPr>
      </w:pPr>
      <w:r>
        <w:rPr>
          <w:noProof/>
        </w:rPr>
        <w:t>Ilha de Santa Maria</w:t>
      </w:r>
    </w:p>
    <w:p w14:paraId="096FAC00"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Contournement de Vila do Porto</w:t>
      </w:r>
    </w:p>
    <w:p w14:paraId="1C263074" w14:textId="77777777" w:rsidR="006C686E" w:rsidRDefault="00B17E8C">
      <w:pPr>
        <w:pStyle w:val="P68B1DB1-Normal22"/>
        <w:keepNext/>
        <w:numPr>
          <w:ilvl w:val="0"/>
          <w:numId w:val="39"/>
        </w:numPr>
        <w:spacing w:before="40" w:line="259" w:lineRule="auto"/>
        <w:contextualSpacing/>
        <w:jc w:val="both"/>
        <w:rPr>
          <w:rFonts w:eastAsiaTheme="minorEastAsia" w:cs="Times New Roman"/>
          <w:noProof/>
        </w:rPr>
      </w:pPr>
      <w:r>
        <w:rPr>
          <w:noProof/>
        </w:rPr>
        <w:t>Ilha de São Miguel</w:t>
      </w:r>
    </w:p>
    <w:p w14:paraId="001D8B51"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Fours / Povoação – 1ère étape: Contournement des fours</w:t>
      </w:r>
    </w:p>
    <w:p w14:paraId="0876463F"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Contournement de Capelas</w:t>
      </w:r>
    </w:p>
    <w:p w14:paraId="3C718B9F"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Contournement de São Roque</w:t>
      </w:r>
    </w:p>
    <w:p w14:paraId="6B062579"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Contournement du portail de Vento</w:t>
      </w:r>
    </w:p>
    <w:p w14:paraId="65D871E4" w14:textId="77777777" w:rsidR="006C686E" w:rsidRDefault="00B17E8C">
      <w:pPr>
        <w:pStyle w:val="P68B1DB1-Normal22"/>
        <w:keepNext/>
        <w:numPr>
          <w:ilvl w:val="0"/>
          <w:numId w:val="39"/>
        </w:numPr>
        <w:spacing w:before="40" w:line="259" w:lineRule="auto"/>
        <w:contextualSpacing/>
        <w:jc w:val="both"/>
        <w:rPr>
          <w:rFonts w:eastAsiaTheme="minorEastAsia" w:cs="Times New Roman"/>
          <w:noProof/>
        </w:rPr>
      </w:pPr>
      <w:r>
        <w:rPr>
          <w:noProof/>
        </w:rPr>
        <w:t>Ilha Terceira</w:t>
      </w:r>
    </w:p>
    <w:p w14:paraId="3B961710"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Connexion entre Via Vitorino Nemésio et Angra Circular</w:t>
      </w:r>
    </w:p>
    <w:p w14:paraId="07FF957C" w14:textId="77777777" w:rsidR="006C686E" w:rsidRDefault="00B17E8C">
      <w:pPr>
        <w:pStyle w:val="P68B1DB1-Normal22"/>
        <w:keepNext/>
        <w:numPr>
          <w:ilvl w:val="0"/>
          <w:numId w:val="39"/>
        </w:numPr>
        <w:spacing w:before="40" w:line="259" w:lineRule="auto"/>
        <w:contextualSpacing/>
        <w:jc w:val="both"/>
        <w:rPr>
          <w:rFonts w:eastAsiaTheme="minorEastAsia" w:cs="Times New Roman"/>
          <w:noProof/>
        </w:rPr>
      </w:pPr>
      <w:r>
        <w:rPr>
          <w:noProof/>
        </w:rPr>
        <w:t>Ilha Graciosa</w:t>
      </w:r>
    </w:p>
    <w:p w14:paraId="73167343"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Connexion entre E.R. 3-2ª et E.R. 4-2ª</w:t>
      </w:r>
    </w:p>
    <w:p w14:paraId="3F50BA8A" w14:textId="77777777" w:rsidR="006C686E" w:rsidRDefault="00B17E8C">
      <w:pPr>
        <w:pStyle w:val="P68B1DB1-Normal22"/>
        <w:keepNext/>
        <w:numPr>
          <w:ilvl w:val="0"/>
          <w:numId w:val="39"/>
        </w:numPr>
        <w:spacing w:before="40" w:line="259" w:lineRule="auto"/>
        <w:contextualSpacing/>
        <w:jc w:val="both"/>
        <w:rPr>
          <w:rFonts w:eastAsiaTheme="minorEastAsia" w:cs="Times New Roman"/>
          <w:noProof/>
        </w:rPr>
      </w:pPr>
      <w:r>
        <w:rPr>
          <w:noProof/>
        </w:rPr>
        <w:t>Ilha de São Jorge</w:t>
      </w:r>
    </w:p>
    <w:p w14:paraId="17111AE0"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Connexion nord-sud</w:t>
      </w:r>
    </w:p>
    <w:p w14:paraId="0640B595" w14:textId="77777777" w:rsidR="006C686E" w:rsidRDefault="00B17E8C">
      <w:pPr>
        <w:pStyle w:val="P68B1DB1-Normal22"/>
        <w:keepNext/>
        <w:numPr>
          <w:ilvl w:val="0"/>
          <w:numId w:val="39"/>
        </w:numPr>
        <w:spacing w:before="40" w:line="259" w:lineRule="auto"/>
        <w:contextualSpacing/>
        <w:jc w:val="both"/>
        <w:rPr>
          <w:rFonts w:eastAsiaTheme="minorEastAsia" w:cs="Times New Roman"/>
          <w:noProof/>
        </w:rPr>
      </w:pPr>
      <w:r>
        <w:rPr>
          <w:noProof/>
        </w:rPr>
        <w:t xml:space="preserve">Ilha do Pico </w:t>
      </w:r>
    </w:p>
    <w:p w14:paraId="7B82BD10" w14:textId="77777777" w:rsidR="006C686E" w:rsidRDefault="00B17E8C">
      <w:pPr>
        <w:pStyle w:val="P68B1DB1-Normal22"/>
        <w:keepNext/>
        <w:numPr>
          <w:ilvl w:val="1"/>
          <w:numId w:val="39"/>
        </w:numPr>
        <w:spacing w:before="40" w:line="259" w:lineRule="auto"/>
        <w:contextualSpacing/>
        <w:jc w:val="both"/>
        <w:rPr>
          <w:rFonts w:eastAsiaTheme="minorEastAsia" w:cs="Times New Roman"/>
          <w:noProof/>
        </w:rPr>
      </w:pPr>
      <w:r>
        <w:rPr>
          <w:noProof/>
        </w:rPr>
        <w:t>Route circulaire vers Vila da Madalena</w:t>
      </w:r>
    </w:p>
    <w:p w14:paraId="619C07E5" w14:textId="77777777" w:rsidR="006C686E" w:rsidRDefault="00B17E8C">
      <w:pPr>
        <w:pStyle w:val="P68B1DB1-Normal22"/>
        <w:keepNext/>
        <w:numPr>
          <w:ilvl w:val="0"/>
          <w:numId w:val="39"/>
        </w:numPr>
        <w:spacing w:before="40" w:line="259" w:lineRule="auto"/>
        <w:contextualSpacing/>
        <w:jc w:val="both"/>
        <w:rPr>
          <w:rFonts w:eastAsiaTheme="minorEastAsia" w:cs="Times New Roman"/>
          <w:noProof/>
        </w:rPr>
      </w:pPr>
      <w:r>
        <w:rPr>
          <w:noProof/>
        </w:rPr>
        <w:t>Ilha do Faial</w:t>
      </w:r>
    </w:p>
    <w:p w14:paraId="39E7CA69" w14:textId="77777777" w:rsidR="006C686E" w:rsidRDefault="00B17E8C">
      <w:pPr>
        <w:pStyle w:val="P68B1DB1-Normal22"/>
        <w:keepNext/>
        <w:numPr>
          <w:ilvl w:val="1"/>
          <w:numId w:val="39"/>
        </w:numPr>
        <w:spacing w:before="40" w:line="259" w:lineRule="auto"/>
        <w:contextualSpacing/>
        <w:jc w:val="both"/>
        <w:rPr>
          <w:noProof/>
        </w:rPr>
      </w:pPr>
      <w:r>
        <w:rPr>
          <w:noProof/>
        </w:rPr>
        <w:t>2ème</w:t>
      </w:r>
      <w:r>
        <w:rPr>
          <w:noProof/>
          <w:vertAlign w:val="superscript"/>
        </w:rPr>
        <w:t xml:space="preserve"> étape</w:t>
      </w:r>
      <w:r>
        <w:rPr>
          <w:noProof/>
        </w:rPr>
        <w:t xml:space="preserve"> du contournement de la Cidade da Horta</w:t>
      </w:r>
    </w:p>
    <w:p w14:paraId="0C4CFF68" w14:textId="77777777" w:rsidR="006C686E" w:rsidRDefault="006C686E">
      <w:pPr>
        <w:rPr>
          <w:rFonts w:ascii="Times New Roman" w:hAnsi="Times New Roman"/>
          <w:noProof/>
        </w:rPr>
        <w:sectPr w:rsidR="006C686E" w:rsidSect="00C95E00">
          <w:headerReference w:type="even" r:id="rId154"/>
          <w:headerReference w:type="default" r:id="rId155"/>
          <w:footerReference w:type="even" r:id="rId156"/>
          <w:footerReference w:type="default" r:id="rId157"/>
          <w:headerReference w:type="first" r:id="rId158"/>
          <w:footerReference w:type="first" r:id="rId159"/>
          <w:pgSz w:w="11907" w:h="16839"/>
          <w:pgMar w:top="1418" w:right="1134" w:bottom="1418" w:left="1134" w:header="567" w:footer="567" w:gutter="0"/>
          <w:cols w:space="720"/>
          <w:docGrid w:linePitch="360"/>
        </w:sectPr>
      </w:pPr>
    </w:p>
    <w:p w14:paraId="679740E8" w14:textId="77777777" w:rsidR="006C686E" w:rsidRDefault="00B17E8C">
      <w:pPr>
        <w:pStyle w:val="P68B1DB1-Normal18"/>
        <w:keepNext/>
        <w:spacing w:before="40" w:after="120" w:line="259" w:lineRule="auto"/>
        <w:ind w:left="130" w:firstLine="720"/>
        <w:jc w:val="both"/>
        <w:outlineLvl w:val="2"/>
        <w:rPr>
          <w:rFonts w:eastAsiaTheme="minorEastAsia" w:cs="Times New Roman"/>
          <w:bCs/>
          <w:noProof/>
        </w:rPr>
      </w:pPr>
      <w:r>
        <w:rPr>
          <w:noProof/>
        </w:rPr>
        <w:t xml:space="preserve">G.2. </w:t>
      </w:r>
      <w:r>
        <w:rPr>
          <w:noProof/>
        </w:rPr>
        <w:tab/>
        <w:t>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1134"/>
        <w:gridCol w:w="1565"/>
        <w:gridCol w:w="1275"/>
        <w:gridCol w:w="993"/>
        <w:gridCol w:w="992"/>
        <w:gridCol w:w="987"/>
        <w:gridCol w:w="567"/>
        <w:gridCol w:w="850"/>
        <w:gridCol w:w="3549"/>
      </w:tblGrid>
      <w:tr w:rsidR="006C686E" w14:paraId="370E944F" w14:textId="77777777" w:rsidTr="0024749C">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0A1F799"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A47C6D"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1464540" w14:textId="77777777" w:rsidR="006C686E" w:rsidRDefault="00B17E8C">
            <w:pPr>
              <w:pStyle w:val="P68B1DB1-Normal24"/>
              <w:spacing w:after="0" w:line="240" w:lineRule="auto"/>
              <w:jc w:val="center"/>
              <w:rPr>
                <w:rFonts w:eastAsia="Times New Roman"/>
                <w:bCs/>
                <w:noProof/>
              </w:rPr>
            </w:pPr>
            <w:r>
              <w:rPr>
                <w:noProof/>
              </w:rPr>
              <w:t>Étape/cible</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FDB986C" w14:textId="77777777" w:rsidR="006C686E" w:rsidRDefault="00B17E8C">
            <w:pPr>
              <w:pStyle w:val="P68B1DB1-Normal24"/>
              <w:spacing w:after="0" w:line="240" w:lineRule="auto"/>
              <w:jc w:val="center"/>
              <w:rPr>
                <w:rFonts w:eastAsia="Times New Roman"/>
                <w:bCs/>
                <w:noProof/>
              </w:rPr>
            </w:pPr>
            <w:r>
              <w:rPr>
                <w:noProof/>
              </w:rPr>
              <w:t>Nom</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673177C"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297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3858EF5A"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46E31A8C"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354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7E584F"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19C7ECBD" w14:textId="77777777" w:rsidTr="0024749C">
        <w:trPr>
          <w:trHeight w:val="47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55C6AB9" w14:textId="77777777" w:rsidR="006C686E" w:rsidRDefault="006C686E">
            <w:pPr>
              <w:spacing w:after="0" w:line="240" w:lineRule="auto"/>
              <w:rPr>
                <w:rFonts w:ascii="Times New Roman" w:eastAsia="Times New Roman" w:hAnsi="Times New Roman" w:cs="Times New Roman"/>
                <w:b/>
                <w:bCs/>
                <w:noProof/>
                <w:sz w:val="18"/>
                <w:szCs w:val="18"/>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57714C0" w14:textId="77777777" w:rsidR="006C686E" w:rsidRDefault="006C686E">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463BF8C"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14:paraId="41B847BC" w14:textId="77777777" w:rsidR="006C686E" w:rsidRDefault="006C686E">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A4C406" w14:textId="77777777" w:rsidR="006C686E" w:rsidRDefault="006C686E">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D00F405" w14:textId="77777777" w:rsidR="006C686E" w:rsidRDefault="00B17E8C">
            <w:pPr>
              <w:pStyle w:val="P68B1DB1-Normal24"/>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89E357E"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9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876D5CE" w14:textId="77777777" w:rsidR="006C686E" w:rsidRDefault="00B17E8C">
            <w:pPr>
              <w:pStyle w:val="P68B1DB1-Normal24"/>
              <w:spacing w:after="0" w:line="240" w:lineRule="auto"/>
              <w:jc w:val="center"/>
              <w:rPr>
                <w:rFonts w:eastAsia="Times New Roman"/>
                <w:bCs/>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1F4E7B2" w14:textId="77777777" w:rsidR="006C686E" w:rsidRDefault="00B17E8C">
            <w:pPr>
              <w:pStyle w:val="P68B1DB1-Normal24"/>
              <w:spacing w:after="0" w:line="240" w:lineRule="auto"/>
              <w:jc w:val="center"/>
              <w:rPr>
                <w:rFonts w:eastAsia="Times New Roman"/>
                <w:bCs/>
                <w:noProof/>
              </w:rPr>
            </w:pPr>
            <w:r>
              <w:rPr>
                <w:noProof/>
              </w:rPr>
              <w:t>Q</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B6989C8" w14:textId="77777777" w:rsidR="006C686E" w:rsidRDefault="00B17E8C">
            <w:pPr>
              <w:pStyle w:val="P68B1DB1-Normal24"/>
              <w:spacing w:after="0" w:line="240" w:lineRule="auto"/>
              <w:jc w:val="center"/>
              <w:rPr>
                <w:rFonts w:eastAsia="Times New Roman"/>
                <w:bCs/>
                <w:noProof/>
              </w:rPr>
            </w:pPr>
            <w:r>
              <w:rPr>
                <w:noProof/>
              </w:rPr>
              <w:t>Année</w:t>
            </w:r>
          </w:p>
        </w:tc>
        <w:tc>
          <w:tcPr>
            <w:tcW w:w="3549" w:type="dxa"/>
            <w:vMerge/>
            <w:tcBorders>
              <w:top w:val="single" w:sz="4" w:space="0" w:color="auto"/>
              <w:left w:val="single" w:sz="4" w:space="0" w:color="auto"/>
              <w:bottom w:val="single" w:sz="4" w:space="0" w:color="auto"/>
              <w:right w:val="single" w:sz="4" w:space="0" w:color="auto"/>
            </w:tcBorders>
            <w:vAlign w:val="center"/>
            <w:hideMark/>
          </w:tcPr>
          <w:p w14:paraId="5AD789A2"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4CFB19C2" w14:textId="77777777" w:rsidTr="0024749C">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D1BCD1" w14:textId="77777777" w:rsidR="006C686E" w:rsidRDefault="00B17E8C">
            <w:pPr>
              <w:pStyle w:val="P68B1DB1-Normal25"/>
              <w:spacing w:after="0" w:line="240" w:lineRule="auto"/>
              <w:jc w:val="center"/>
              <w:rPr>
                <w:rFonts w:eastAsia="Times New Roman"/>
                <w:bCs/>
                <w:noProof/>
              </w:rPr>
            </w:pPr>
            <w:r>
              <w:rPr>
                <w:noProof/>
              </w:rPr>
              <w:t>7.1</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457391" w14:textId="77777777" w:rsidR="006C686E" w:rsidRDefault="00B17E8C">
            <w:pPr>
              <w:pStyle w:val="P68B1DB1-Normal26"/>
              <w:spacing w:after="0" w:line="240" w:lineRule="auto"/>
              <w:jc w:val="center"/>
              <w:rPr>
                <w:rFonts w:eastAsia="Times New Roman"/>
                <w:noProof/>
              </w:rPr>
            </w:pPr>
            <w:r>
              <w:rPr>
                <w:noProof/>
              </w:rPr>
              <w:t>RE-C07-i00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6F731E" w14:textId="77777777" w:rsidR="006C686E" w:rsidRDefault="00B17E8C">
            <w:pPr>
              <w:pStyle w:val="P68B1DB1-Normal26"/>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A0200A" w14:textId="77777777" w:rsidR="006C686E" w:rsidRDefault="00B17E8C">
            <w:pPr>
              <w:pStyle w:val="P68B1DB1-Normal26"/>
              <w:spacing w:after="0" w:line="240" w:lineRule="auto"/>
              <w:jc w:val="center"/>
              <w:rPr>
                <w:rFonts w:eastAsia="Times New Roman"/>
                <w:noProof/>
              </w:rPr>
            </w:pPr>
            <w:r>
              <w:rPr>
                <w:noProof/>
              </w:rPr>
              <w:t>Points de recharge pour véhicules électriques accessibles au public</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F9E6D1" w14:textId="08ED75DA"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18A8D6" w14:textId="77777777" w:rsidR="006C686E" w:rsidRDefault="00B17E8C">
            <w:pPr>
              <w:pStyle w:val="P68B1DB1-Normal26"/>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11C31A" w14:textId="77777777" w:rsidR="006C686E" w:rsidRDefault="00B17E8C">
            <w:pPr>
              <w:pStyle w:val="P68B1DB1-Normal26"/>
              <w:spacing w:after="0" w:line="240" w:lineRule="auto"/>
              <w:jc w:val="center"/>
              <w:rPr>
                <w:rFonts w:eastAsia="Times New Roman"/>
                <w:noProof/>
              </w:rPr>
            </w:pPr>
            <w:r>
              <w:rPr>
                <w:noProof/>
              </w:rPr>
              <w:t>3 520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76A07A" w14:textId="77777777" w:rsidR="006C686E" w:rsidRDefault="00B17E8C">
            <w:pPr>
              <w:pStyle w:val="P68B1DB1-Normal26"/>
              <w:spacing w:after="0" w:line="240" w:lineRule="auto"/>
              <w:jc w:val="center"/>
              <w:rPr>
                <w:rFonts w:eastAsia="Times New Roman"/>
                <w:noProof/>
              </w:rPr>
            </w:pPr>
            <w:r>
              <w:rPr>
                <w:noProof/>
              </w:rPr>
              <w:t>5 250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F72EAE" w14:textId="77777777" w:rsidR="006C686E" w:rsidRDefault="00B17E8C">
            <w:pPr>
              <w:pStyle w:val="P68B1DB1-Normal26"/>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C69230" w14:textId="77777777" w:rsidR="006C686E" w:rsidRDefault="00B17E8C">
            <w:pPr>
              <w:pStyle w:val="P68B1DB1-Normal26"/>
              <w:spacing w:after="0" w:line="240" w:lineRule="auto"/>
              <w:jc w:val="center"/>
              <w:rPr>
                <w:rFonts w:eastAsia="Times New Roman"/>
                <w:noProof/>
              </w:rPr>
            </w:pPr>
            <w:r>
              <w:rPr>
                <w:noProof/>
              </w:rPr>
              <w:t>2022</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E3387E" w14:textId="5393C840" w:rsidR="006C686E" w:rsidRDefault="00B17E8C">
            <w:pPr>
              <w:pStyle w:val="P68B1DB1-Normal26"/>
              <w:spacing w:after="0" w:line="240" w:lineRule="auto"/>
              <w:jc w:val="both"/>
              <w:rPr>
                <w:rFonts w:eastAsia="Times New Roman"/>
                <w:noProof/>
              </w:rPr>
            </w:pPr>
            <w:r>
              <w:rPr>
                <w:noProof/>
              </w:rPr>
              <w:t>Nombre de points de recharge ouverts au public pour les véhicules électriques (par rapport au niveau de référence du quatrième trimestre 2021).</w:t>
            </w:r>
          </w:p>
        </w:tc>
      </w:tr>
      <w:tr w:rsidR="006C686E" w14:paraId="12357059" w14:textId="77777777" w:rsidTr="0024749C">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17F51A" w14:textId="77777777" w:rsidR="006C686E" w:rsidRDefault="00B17E8C">
            <w:pPr>
              <w:pStyle w:val="P68B1DB1-Normal25"/>
              <w:spacing w:after="0" w:line="240" w:lineRule="auto"/>
              <w:jc w:val="center"/>
              <w:rPr>
                <w:rFonts w:eastAsia="Times New Roman"/>
                <w:bCs/>
                <w:noProof/>
              </w:rPr>
            </w:pPr>
            <w:r>
              <w:rPr>
                <w:noProof/>
              </w:rPr>
              <w:t>7.2</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22C72E" w14:textId="77777777" w:rsidR="006C686E" w:rsidRDefault="00B17E8C">
            <w:pPr>
              <w:pStyle w:val="P68B1DB1-Normal26"/>
              <w:spacing w:after="0" w:line="240" w:lineRule="auto"/>
              <w:jc w:val="center"/>
              <w:rPr>
                <w:rFonts w:eastAsia="Times New Roman"/>
                <w:noProof/>
              </w:rPr>
            </w:pPr>
            <w:r>
              <w:rPr>
                <w:noProof/>
              </w:rPr>
              <w:t>RE-C07-i00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3FF64C" w14:textId="77777777" w:rsidR="006C686E" w:rsidRDefault="00B17E8C">
            <w:pPr>
              <w:pStyle w:val="P68B1DB1-Normal26"/>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D87922" w14:textId="77777777" w:rsidR="006C686E" w:rsidRDefault="00B17E8C">
            <w:pPr>
              <w:pStyle w:val="P68B1DB1-Normal26"/>
              <w:spacing w:after="0" w:line="240" w:lineRule="auto"/>
              <w:jc w:val="center"/>
              <w:rPr>
                <w:rFonts w:eastAsia="Times New Roman"/>
                <w:noProof/>
              </w:rPr>
            </w:pPr>
            <w:r>
              <w:rPr>
                <w:noProof/>
              </w:rPr>
              <w:t>Points de recharge pour véhicules électriques accessibles au public</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ABD7AE" w14:textId="18CEE9DD"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E0F3E" w14:textId="77777777" w:rsidR="006C686E" w:rsidRDefault="00B17E8C">
            <w:pPr>
              <w:pStyle w:val="P68B1DB1-Normal26"/>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B9FFB" w14:textId="77777777" w:rsidR="006C686E" w:rsidRDefault="00B17E8C">
            <w:pPr>
              <w:pStyle w:val="P68B1DB1-Normal26"/>
              <w:spacing w:after="0" w:line="240" w:lineRule="auto"/>
              <w:jc w:val="center"/>
              <w:rPr>
                <w:rFonts w:eastAsia="Times New Roman"/>
                <w:noProof/>
              </w:rPr>
            </w:pPr>
            <w:r>
              <w:rPr>
                <w:noProof/>
              </w:rPr>
              <w:t>5 250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52D95" w14:textId="77777777" w:rsidR="006C686E" w:rsidRDefault="00B17E8C">
            <w:pPr>
              <w:pStyle w:val="P68B1DB1-Normal26"/>
              <w:spacing w:after="0" w:line="240" w:lineRule="auto"/>
              <w:jc w:val="center"/>
              <w:rPr>
                <w:rFonts w:eastAsia="Times New Roman"/>
                <w:noProof/>
              </w:rPr>
            </w:pPr>
            <w:r>
              <w:rPr>
                <w:noProof/>
              </w:rPr>
              <w:t>10 450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429F52" w14:textId="77777777" w:rsidR="006C686E" w:rsidRDefault="00B17E8C">
            <w:pPr>
              <w:pStyle w:val="P68B1DB1-Normal26"/>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E6DFBC" w14:textId="77777777" w:rsidR="006C686E" w:rsidRDefault="00B17E8C">
            <w:pPr>
              <w:pStyle w:val="P68B1DB1-Normal26"/>
              <w:spacing w:after="0" w:line="240" w:lineRule="auto"/>
              <w:jc w:val="center"/>
              <w:rPr>
                <w:rFonts w:eastAsia="Times New Roman"/>
                <w:noProof/>
              </w:rPr>
            </w:pPr>
            <w:r>
              <w:rPr>
                <w:noProof/>
              </w:rPr>
              <w:t>2024</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220C10" w14:textId="67761172" w:rsidR="006C686E" w:rsidRDefault="00B17E8C">
            <w:pPr>
              <w:pStyle w:val="P68B1DB1-Normal26"/>
              <w:spacing w:after="0" w:line="240" w:lineRule="auto"/>
              <w:jc w:val="both"/>
              <w:rPr>
                <w:rFonts w:eastAsia="Times New Roman"/>
                <w:noProof/>
              </w:rPr>
            </w:pPr>
            <w:r>
              <w:rPr>
                <w:noProof/>
              </w:rPr>
              <w:t>Nombre de points de recharge accessibles pour les véhicules électriques.</w:t>
            </w:r>
          </w:p>
        </w:tc>
      </w:tr>
      <w:tr w:rsidR="006C686E" w14:paraId="486C587E" w14:textId="77777777" w:rsidTr="0024749C">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23B218" w14:textId="77777777" w:rsidR="006C686E" w:rsidRDefault="00B17E8C">
            <w:pPr>
              <w:pStyle w:val="P68B1DB1-Normal25"/>
              <w:spacing w:after="0" w:line="240" w:lineRule="auto"/>
              <w:jc w:val="center"/>
              <w:rPr>
                <w:rFonts w:eastAsia="Times New Roman"/>
                <w:bCs/>
                <w:noProof/>
              </w:rPr>
            </w:pPr>
            <w:r>
              <w:rPr>
                <w:noProof/>
              </w:rPr>
              <w:t>7.3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7404B2" w14:textId="77777777" w:rsidR="006C686E" w:rsidRDefault="00B17E8C">
            <w:pPr>
              <w:pStyle w:val="P68B1DB1-Normal26"/>
              <w:spacing w:after="0" w:line="240" w:lineRule="auto"/>
              <w:jc w:val="center"/>
              <w:rPr>
                <w:rFonts w:eastAsia="Times New Roman"/>
                <w:noProof/>
              </w:rPr>
            </w:pPr>
            <w:r>
              <w:rPr>
                <w:noProof/>
              </w:rPr>
              <w:t>RE-C07-i00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E4E4D0" w14:textId="77777777" w:rsidR="006C686E" w:rsidRDefault="00B17E8C">
            <w:pPr>
              <w:pStyle w:val="P68B1DB1-Normal26"/>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2ACDFA" w14:textId="77777777" w:rsidR="006C686E" w:rsidRDefault="00B17E8C">
            <w:pPr>
              <w:pStyle w:val="P68B1DB1-Normal26"/>
              <w:spacing w:after="0" w:line="240" w:lineRule="auto"/>
              <w:jc w:val="center"/>
              <w:rPr>
                <w:rFonts w:eastAsia="Times New Roman"/>
                <w:noProof/>
              </w:rPr>
            </w:pPr>
            <w:r>
              <w:rPr>
                <w:noProof/>
              </w:rPr>
              <w:t>Points de recharge pour véhicules électriques accessibles au public</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2CB9DA" w14:textId="54EE8991"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E2A55C" w14:textId="77777777" w:rsidR="006C686E" w:rsidRDefault="00B17E8C">
            <w:pPr>
              <w:pStyle w:val="P68B1DB1-Normal26"/>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EE60A3" w14:textId="77777777" w:rsidR="006C686E" w:rsidRDefault="00B17E8C">
            <w:pPr>
              <w:pStyle w:val="P68B1DB1-Normal26"/>
              <w:spacing w:after="0" w:line="240" w:lineRule="auto"/>
              <w:jc w:val="center"/>
              <w:rPr>
                <w:rFonts w:eastAsia="Times New Roman"/>
                <w:noProof/>
              </w:rPr>
            </w:pPr>
            <w:r>
              <w:rPr>
                <w:noProof/>
              </w:rPr>
              <w:t>10 450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FE191D" w14:textId="77777777" w:rsidR="006C686E" w:rsidRDefault="00B17E8C">
            <w:pPr>
              <w:pStyle w:val="P68B1DB1-Normal26"/>
              <w:spacing w:after="0" w:line="240" w:lineRule="auto"/>
              <w:jc w:val="center"/>
              <w:rPr>
                <w:rFonts w:eastAsia="Times New Roman"/>
                <w:noProof/>
              </w:rPr>
            </w:pPr>
            <w:r>
              <w:rPr>
                <w:noProof/>
              </w:rPr>
              <w:t>15 000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166DD0" w14:textId="4C69CA18" w:rsidR="006C686E" w:rsidRDefault="00B17E8C">
            <w:pPr>
              <w:pStyle w:val="P68B1DB1-Normal26"/>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7F9D34" w14:textId="117AD443" w:rsidR="006C686E" w:rsidRDefault="00B17E8C">
            <w:pPr>
              <w:pStyle w:val="P68B1DB1-Normal26"/>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BEA928" w14:textId="37882638" w:rsidR="006C686E" w:rsidRDefault="00B17E8C">
            <w:pPr>
              <w:pStyle w:val="P68B1DB1-Normal26"/>
              <w:spacing w:after="0" w:line="240" w:lineRule="auto"/>
              <w:jc w:val="both"/>
              <w:rPr>
                <w:rFonts w:eastAsia="Times New Roman"/>
                <w:noProof/>
              </w:rPr>
            </w:pPr>
            <w:r>
              <w:rPr>
                <w:noProof/>
              </w:rPr>
              <w:t>Nombre de points de recharge accessibles pour les véhicules électriques.</w:t>
            </w:r>
          </w:p>
        </w:tc>
      </w:tr>
      <w:tr w:rsidR="006C686E" w14:paraId="1D9F698F" w14:textId="77777777" w:rsidTr="0024749C">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8BC85D" w14:textId="77777777" w:rsidR="006C686E" w:rsidRDefault="00B17E8C">
            <w:pPr>
              <w:pStyle w:val="P68B1DB1-Normal25"/>
              <w:spacing w:after="0" w:line="240" w:lineRule="auto"/>
              <w:jc w:val="center"/>
              <w:rPr>
                <w:rFonts w:eastAsia="Times New Roman"/>
                <w:bCs/>
                <w:noProof/>
              </w:rPr>
            </w:pPr>
            <w:r>
              <w:rPr>
                <w:noProof/>
              </w:rPr>
              <w:t>7.4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929BE3" w14:textId="77777777" w:rsidR="006C686E" w:rsidRDefault="00B17E8C">
            <w:pPr>
              <w:pStyle w:val="P68B1DB1-Normal26"/>
              <w:spacing w:after="0" w:line="240" w:lineRule="auto"/>
              <w:jc w:val="center"/>
              <w:rPr>
                <w:rFonts w:eastAsia="Times New Roman"/>
                <w:noProof/>
              </w:rPr>
            </w:pPr>
            <w:r>
              <w:rPr>
                <w:noProof/>
              </w:rPr>
              <w:t>RE-C07-i01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730FF0" w14:textId="77777777" w:rsidR="006C686E" w:rsidRDefault="00B17E8C">
            <w:pPr>
              <w:pStyle w:val="P68B1DB1-Normal26"/>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370DB3" w14:textId="77777777" w:rsidR="006C686E" w:rsidRDefault="00B17E8C">
            <w:pPr>
              <w:pStyle w:val="P68B1DB1-Normal26"/>
              <w:spacing w:after="0" w:line="240" w:lineRule="auto"/>
              <w:jc w:val="center"/>
              <w:rPr>
                <w:rFonts w:eastAsia="Times New Roman"/>
                <w:noProof/>
              </w:rPr>
            </w:pPr>
            <w:r>
              <w:rPr>
                <w:noProof/>
              </w:rPr>
              <w:t>Sélection de zones d’accueil des entreprises pour les interventions visant à améliorer la durabilité environnementale et la numérisation</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158FFB" w14:textId="77777777" w:rsidR="006C686E" w:rsidRDefault="00B17E8C">
            <w:pPr>
              <w:pStyle w:val="P68B1DB1-Normal26"/>
              <w:spacing w:after="0" w:line="240" w:lineRule="auto"/>
              <w:jc w:val="center"/>
              <w:rPr>
                <w:rFonts w:eastAsia="Times New Roman"/>
                <w:noProof/>
              </w:rPr>
            </w:pPr>
            <w:r>
              <w:rPr>
                <w:noProof/>
              </w:rPr>
              <w:t>Signature d'un protocole public confirmant la sélection des zones d'accueil des entreprises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413EB7" w14:textId="0E29884E"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0FC49A" w14:textId="1C44958A" w:rsidR="006C686E" w:rsidRDefault="006C686E">
            <w:pPr>
              <w:spacing w:after="0" w:line="240" w:lineRule="auto"/>
              <w:jc w:val="center"/>
              <w:rPr>
                <w:rFonts w:ascii="Times New Roman" w:eastAsia="Times New Roman" w:hAnsi="Times New Roman" w:cs="Times New Roman"/>
                <w:noProof/>
                <w:sz w:val="16"/>
                <w:szCs w:val="16"/>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F624C8" w14:textId="5E20680D"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EDE884" w14:textId="77777777" w:rsidR="006C686E" w:rsidRDefault="00B17E8C">
            <w:pPr>
              <w:pStyle w:val="P68B1DB1-Normal26"/>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FE0451" w14:textId="77777777" w:rsidR="006C686E" w:rsidRDefault="00B17E8C">
            <w:pPr>
              <w:pStyle w:val="P68B1DB1-Normal26"/>
              <w:spacing w:after="0" w:line="240" w:lineRule="auto"/>
              <w:jc w:val="center"/>
              <w:rPr>
                <w:rFonts w:eastAsia="Times New Roman"/>
                <w:noProof/>
              </w:rPr>
            </w:pPr>
            <w:r>
              <w:rPr>
                <w:noProof/>
              </w:rPr>
              <w:t>2021</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F874A2" w14:textId="77777777" w:rsidR="006C686E" w:rsidRDefault="00B17E8C">
            <w:pPr>
              <w:pStyle w:val="P68B1DB1-Normal26"/>
              <w:spacing w:after="0" w:line="240" w:lineRule="auto"/>
              <w:jc w:val="both"/>
              <w:rPr>
                <w:rFonts w:eastAsia="Times New Roman"/>
                <w:noProof/>
              </w:rPr>
            </w:pPr>
            <w:r>
              <w:rPr>
                <w:noProof/>
              </w:rPr>
              <w:t xml:space="preserve">Les zones d’accueil des entreprises sont sélectionnées dans le cadre d’une procédure d’appel d’offres. Un protocole public signé est soumis à la Commission, confirmant que la sélection des zones d’accueil des entreprises est terminée et identifiant les zones d’accueil des entreprises sélectionnées. </w:t>
            </w:r>
          </w:p>
        </w:tc>
      </w:tr>
      <w:tr w:rsidR="006C686E" w14:paraId="68A4B18F" w14:textId="77777777" w:rsidTr="0024749C">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A14C6C" w14:textId="77777777" w:rsidR="006C686E" w:rsidRDefault="00B17E8C">
            <w:pPr>
              <w:pStyle w:val="P68B1DB1-Normal25"/>
              <w:spacing w:after="0" w:line="240" w:lineRule="auto"/>
              <w:jc w:val="center"/>
              <w:rPr>
                <w:rFonts w:eastAsia="Times New Roman"/>
                <w:bCs/>
                <w:noProof/>
              </w:rPr>
            </w:pPr>
            <w:r>
              <w:rPr>
                <w:noProof/>
              </w:rPr>
              <w:t>7.6</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FD8AEC" w14:textId="77777777" w:rsidR="006C686E" w:rsidRDefault="00B17E8C">
            <w:pPr>
              <w:pStyle w:val="P68B1DB1-Normal26"/>
              <w:spacing w:after="0" w:line="240" w:lineRule="auto"/>
              <w:jc w:val="center"/>
              <w:rPr>
                <w:rFonts w:eastAsia="Times New Roman"/>
                <w:noProof/>
              </w:rPr>
            </w:pPr>
            <w:r>
              <w:rPr>
                <w:noProof/>
              </w:rPr>
              <w:t>RE-C07-i02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C768B6" w14:textId="77777777" w:rsidR="006C686E" w:rsidRDefault="00B17E8C">
            <w:pPr>
              <w:pStyle w:val="P68B1DB1-Normal26"/>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08D3F4" w14:textId="77777777" w:rsidR="006C686E" w:rsidRDefault="00B17E8C">
            <w:pPr>
              <w:pStyle w:val="P68B1DB1-Normal26"/>
              <w:spacing w:after="0" w:line="240" w:lineRule="auto"/>
              <w:jc w:val="center"/>
              <w:rPr>
                <w:rFonts w:eastAsia="Times New Roman"/>
                <w:noProof/>
              </w:rPr>
            </w:pPr>
            <w:r>
              <w:rPr>
                <w:noProof/>
              </w:rPr>
              <w:t>Contrat signé pour 1 projet routier</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B7F636" w14:textId="77777777" w:rsidR="006C686E" w:rsidRDefault="00B17E8C">
            <w:pPr>
              <w:pStyle w:val="P68B1DB1-Normal26"/>
              <w:spacing w:after="0" w:line="240" w:lineRule="auto"/>
              <w:jc w:val="center"/>
              <w:rPr>
                <w:rFonts w:eastAsia="Times New Roman"/>
                <w:noProof/>
              </w:rPr>
            </w:pPr>
            <w:r>
              <w:rPr>
                <w:noProof/>
              </w:rPr>
              <w:t>Contrat signé avec le contractant pour le projet routier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6D1C6F" w14:textId="7C42780E"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8853F" w14:textId="5524B50C" w:rsidR="006C686E" w:rsidRDefault="006C686E">
            <w:pPr>
              <w:spacing w:after="0" w:line="240" w:lineRule="auto"/>
              <w:jc w:val="center"/>
              <w:rPr>
                <w:rFonts w:ascii="Times New Roman" w:eastAsia="Times New Roman" w:hAnsi="Times New Roman" w:cs="Times New Roman"/>
                <w:noProof/>
                <w:sz w:val="16"/>
                <w:szCs w:val="16"/>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4CA132" w14:textId="6A5EE283"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D0D6CE" w14:textId="77777777" w:rsidR="006C686E" w:rsidRDefault="00B17E8C">
            <w:pPr>
              <w:pStyle w:val="P68B1DB1-Normal26"/>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CD55EE" w14:textId="77777777" w:rsidR="006C686E" w:rsidRDefault="00B17E8C">
            <w:pPr>
              <w:pStyle w:val="P68B1DB1-Normal26"/>
              <w:spacing w:after="0" w:line="240" w:lineRule="auto"/>
              <w:jc w:val="center"/>
              <w:rPr>
                <w:rFonts w:eastAsia="Times New Roman"/>
                <w:noProof/>
              </w:rPr>
            </w:pPr>
            <w:r>
              <w:rPr>
                <w:noProof/>
              </w:rPr>
              <w:t>2021</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66750A" w14:textId="77777777" w:rsidR="006C686E" w:rsidRDefault="00B17E8C">
            <w:pPr>
              <w:pStyle w:val="P68B1DB1-Normal26"/>
              <w:spacing w:after="0" w:line="240" w:lineRule="auto"/>
              <w:jc w:val="both"/>
              <w:rPr>
                <w:rFonts w:eastAsia="Times New Roman"/>
                <w:noProof/>
              </w:rPr>
            </w:pPr>
            <w:r>
              <w:rPr>
                <w:noProof/>
              </w:rPr>
              <w:t>Signature par les parties du document régissant leurs obligations relatives à l’exécution des travaux, à la suite d’une procédure d’appel d’offres public.</w:t>
            </w:r>
          </w:p>
        </w:tc>
      </w:tr>
      <w:tr w:rsidR="006C686E" w14:paraId="2E555EDA" w14:textId="77777777" w:rsidTr="0024749C">
        <w:trPr>
          <w:trHeight w:val="9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3CAC3E" w14:textId="77777777" w:rsidR="006C686E" w:rsidRDefault="00B17E8C">
            <w:pPr>
              <w:pStyle w:val="P68B1DB1-Normal25"/>
              <w:spacing w:after="0" w:line="240" w:lineRule="auto"/>
              <w:jc w:val="center"/>
              <w:rPr>
                <w:rFonts w:eastAsia="Times New Roman"/>
                <w:bCs/>
                <w:noProof/>
              </w:rPr>
            </w:pPr>
            <w:r>
              <w:rPr>
                <w:noProof/>
              </w:rPr>
              <w:t>7.7</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A89293" w14:textId="77777777" w:rsidR="006C686E" w:rsidRDefault="00B17E8C">
            <w:pPr>
              <w:pStyle w:val="P68B1DB1-Normal26"/>
              <w:spacing w:after="0" w:line="240" w:lineRule="auto"/>
              <w:jc w:val="center"/>
              <w:rPr>
                <w:rFonts w:eastAsia="Times New Roman"/>
                <w:noProof/>
              </w:rPr>
            </w:pPr>
            <w:r>
              <w:rPr>
                <w:noProof/>
              </w:rPr>
              <w:t>RE-C07-i02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0BF940" w14:textId="77777777" w:rsidR="006C686E" w:rsidRDefault="00B17E8C">
            <w:pPr>
              <w:pStyle w:val="P68B1DB1-Normal26"/>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660303" w14:textId="77777777" w:rsidR="006C686E" w:rsidRDefault="00B17E8C">
            <w:pPr>
              <w:pStyle w:val="P68B1DB1-Normal26"/>
              <w:spacing w:after="0" w:line="240" w:lineRule="auto"/>
              <w:jc w:val="center"/>
              <w:rPr>
                <w:rFonts w:eastAsia="Times New Roman"/>
                <w:noProof/>
              </w:rPr>
            </w:pPr>
            <w:r>
              <w:rPr>
                <w:noProof/>
              </w:rPr>
              <w:t>Contrat signé pour 2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E601C" w14:textId="77777777" w:rsidR="006C686E" w:rsidRDefault="00B17E8C">
            <w:pPr>
              <w:pStyle w:val="P68B1DB1-Normal26"/>
              <w:spacing w:after="0" w:line="240" w:lineRule="auto"/>
              <w:jc w:val="center"/>
              <w:rPr>
                <w:rFonts w:eastAsia="Times New Roman"/>
                <w:noProof/>
              </w:rPr>
            </w:pPr>
            <w:r>
              <w:rPr>
                <w:noProof/>
              </w:rPr>
              <w:t>Contrat signé avec le contractant pour les projets routiers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09D9BB" w14:textId="7D377516"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F2A051" w14:textId="56184C64" w:rsidR="006C686E" w:rsidRDefault="006C686E">
            <w:pPr>
              <w:spacing w:after="0" w:line="240" w:lineRule="auto"/>
              <w:jc w:val="center"/>
              <w:rPr>
                <w:rFonts w:ascii="Times New Roman" w:eastAsia="Times New Roman" w:hAnsi="Times New Roman" w:cs="Times New Roman"/>
                <w:noProof/>
                <w:sz w:val="16"/>
                <w:szCs w:val="16"/>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AFD24E7" w14:textId="1D04A41A"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7DBE2F" w14:textId="77777777" w:rsidR="006C686E" w:rsidRDefault="00B17E8C">
            <w:pPr>
              <w:pStyle w:val="P68B1DB1-Normal26"/>
              <w:spacing w:after="0" w:line="240" w:lineRule="auto"/>
              <w:jc w:val="center"/>
              <w:rPr>
                <w:rFonts w:eastAsia="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F5EC1C" w14:textId="77777777" w:rsidR="006C686E" w:rsidRDefault="00B17E8C">
            <w:pPr>
              <w:pStyle w:val="P68B1DB1-Normal26"/>
              <w:spacing w:after="0" w:line="240" w:lineRule="auto"/>
              <w:jc w:val="center"/>
              <w:rPr>
                <w:rFonts w:eastAsia="Times New Roman"/>
                <w:noProof/>
              </w:rPr>
            </w:pPr>
            <w:r>
              <w:rPr>
                <w:noProof/>
              </w:rPr>
              <w:t>2022</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6FE29D" w14:textId="77777777" w:rsidR="006C686E" w:rsidRDefault="00B17E8C">
            <w:pPr>
              <w:pStyle w:val="P68B1DB1-Normal26"/>
              <w:spacing w:after="0" w:line="240" w:lineRule="auto"/>
              <w:jc w:val="both"/>
              <w:rPr>
                <w:rFonts w:eastAsia="Times New Roman"/>
                <w:noProof/>
              </w:rPr>
            </w:pPr>
            <w:r>
              <w:rPr>
                <w:noProof/>
              </w:rPr>
              <w:t>Signature par les parties du document régissant leurs obligations relatives à l’exécution des travaux, à la suite d’une procédure d’appel d’offres public.</w:t>
            </w:r>
          </w:p>
        </w:tc>
      </w:tr>
      <w:tr w:rsidR="006C686E" w14:paraId="0F702DAA" w14:textId="77777777" w:rsidTr="0024749C">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24A56B" w14:textId="77777777" w:rsidR="006C686E" w:rsidRDefault="00B17E8C">
            <w:pPr>
              <w:pStyle w:val="P68B1DB1-Normal25"/>
              <w:spacing w:after="0" w:line="240" w:lineRule="auto"/>
              <w:jc w:val="center"/>
              <w:rPr>
                <w:rFonts w:eastAsia="Times New Roman"/>
                <w:bCs/>
                <w:noProof/>
              </w:rPr>
            </w:pPr>
            <w:r>
              <w:rPr>
                <w:noProof/>
              </w:rPr>
              <w:t>7.8</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EAB3A4" w14:textId="77777777" w:rsidR="006C686E" w:rsidRDefault="00B17E8C">
            <w:pPr>
              <w:pStyle w:val="P68B1DB1-Normal26"/>
              <w:spacing w:after="0" w:line="240" w:lineRule="auto"/>
              <w:jc w:val="center"/>
              <w:rPr>
                <w:rFonts w:eastAsia="Times New Roman"/>
                <w:noProof/>
              </w:rPr>
            </w:pPr>
            <w:r>
              <w:rPr>
                <w:noProof/>
              </w:rPr>
              <w:t>RE-C07-i02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FA7623" w14:textId="77777777" w:rsidR="006C686E" w:rsidRDefault="00B17E8C">
            <w:pPr>
              <w:pStyle w:val="P68B1DB1-Normal26"/>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31B91" w14:textId="77777777" w:rsidR="006C686E" w:rsidRDefault="00B17E8C">
            <w:pPr>
              <w:pStyle w:val="P68B1DB1-Normal26"/>
              <w:spacing w:after="0" w:line="240" w:lineRule="auto"/>
              <w:jc w:val="center"/>
              <w:rPr>
                <w:rFonts w:eastAsia="Times New Roman"/>
                <w:noProof/>
              </w:rPr>
            </w:pPr>
            <w:r>
              <w:rPr>
                <w:noProof/>
              </w:rPr>
              <w:t>Routes construites ou rénovées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57773"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142E4D" w14:textId="77777777" w:rsidR="006C686E" w:rsidRDefault="00B17E8C">
            <w:pPr>
              <w:pStyle w:val="P68B1DB1-Normal26"/>
              <w:spacing w:after="0" w:line="240" w:lineRule="auto"/>
              <w:jc w:val="center"/>
              <w:rPr>
                <w:rFonts w:eastAsia="Times New Roman"/>
                <w:noProof/>
              </w:rPr>
            </w:pPr>
            <w:r>
              <w:rPr>
                <w:noProof/>
              </w:rPr>
              <w:t>kilomètres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410A4E" w14:textId="77777777" w:rsidR="006C686E" w:rsidRDefault="00B17E8C">
            <w:pPr>
              <w:pStyle w:val="P68B1DB1-Normal26"/>
              <w:spacing w:after="0" w:line="240" w:lineRule="auto"/>
              <w:jc w:val="center"/>
              <w:rPr>
                <w:rFonts w:eastAsia="Times New Roman"/>
                <w:noProof/>
              </w:rPr>
            </w:pPr>
            <w:r>
              <w:rPr>
                <w:noProof/>
              </w:rPr>
              <w:t>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350D01" w14:textId="77777777" w:rsidR="006C686E" w:rsidRDefault="00B17E8C">
            <w:pPr>
              <w:pStyle w:val="P68B1DB1-Normal26"/>
              <w:spacing w:after="0" w:line="240" w:lineRule="auto"/>
              <w:jc w:val="center"/>
              <w:rPr>
                <w:rFonts w:eastAsia="Times New Roman"/>
                <w:noProof/>
              </w:rPr>
            </w:pPr>
            <w:r>
              <w:rPr>
                <w:noProof/>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40C1D3" w14:textId="302DC424" w:rsidR="006C686E" w:rsidRDefault="00B17E8C">
            <w:pPr>
              <w:pStyle w:val="P68B1DB1-Normal26"/>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5862B1" w14:textId="66CA5C96" w:rsidR="006C686E" w:rsidRDefault="00B17E8C">
            <w:pPr>
              <w:pStyle w:val="P68B1DB1-Normal26"/>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4580F0" w14:textId="23AC6ECB" w:rsidR="006C686E" w:rsidRDefault="00B17E8C">
            <w:pPr>
              <w:pStyle w:val="P68B1DB1-Normal26"/>
              <w:spacing w:after="0" w:line="240" w:lineRule="auto"/>
              <w:jc w:val="both"/>
              <w:rPr>
                <w:rFonts w:eastAsia="Times New Roman"/>
                <w:noProof/>
              </w:rPr>
            </w:pPr>
            <w:r>
              <w:rPr>
                <w:noProof/>
              </w:rPr>
              <w:t>Km de routes construites ou rénovées.</w:t>
            </w:r>
          </w:p>
        </w:tc>
      </w:tr>
      <w:tr w:rsidR="006C686E" w14:paraId="0512B019" w14:textId="77777777" w:rsidTr="0024749C">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948841" w14:textId="77777777" w:rsidR="006C686E" w:rsidRDefault="00B17E8C">
            <w:pPr>
              <w:pStyle w:val="P68B1DB1-Normal25"/>
              <w:spacing w:after="0" w:line="240" w:lineRule="auto"/>
              <w:jc w:val="center"/>
              <w:rPr>
                <w:rFonts w:eastAsia="Times New Roman"/>
                <w:bCs/>
                <w:noProof/>
              </w:rPr>
            </w:pPr>
            <w:r>
              <w:rPr>
                <w:noProof/>
              </w:rPr>
              <w:t>7.13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3C19FB" w14:textId="77777777" w:rsidR="006C686E" w:rsidRDefault="00B17E8C">
            <w:pPr>
              <w:pStyle w:val="P68B1DB1-Normal26"/>
              <w:spacing w:after="0" w:line="240" w:lineRule="auto"/>
              <w:jc w:val="center"/>
              <w:rPr>
                <w:rFonts w:eastAsia="Times New Roman"/>
                <w:noProof/>
              </w:rPr>
            </w:pPr>
            <w:r>
              <w:rPr>
                <w:noProof/>
              </w:rPr>
              <w:t>RE-C07-i05-RAA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BD6907" w14:textId="77777777" w:rsidR="006C686E" w:rsidRDefault="00B17E8C">
            <w:pPr>
              <w:pStyle w:val="P68B1DB1-Normal26"/>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73303E" w14:textId="77777777" w:rsidR="006C686E" w:rsidRDefault="00B17E8C">
            <w:pPr>
              <w:pStyle w:val="P68B1DB1-Normal26"/>
              <w:spacing w:after="0" w:line="240" w:lineRule="auto"/>
              <w:jc w:val="center"/>
              <w:rPr>
                <w:rFonts w:eastAsia="Times New Roman"/>
                <w:noProof/>
              </w:rPr>
            </w:pPr>
            <w:r>
              <w:rPr>
                <w:noProof/>
              </w:rPr>
              <w:t>Contrat signé pour 2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0EC0A6" w14:textId="77777777" w:rsidR="006C686E" w:rsidRDefault="00B17E8C">
            <w:pPr>
              <w:pStyle w:val="P68B1DB1-Normal26"/>
              <w:spacing w:after="0" w:line="240" w:lineRule="auto"/>
              <w:jc w:val="center"/>
              <w:rPr>
                <w:rFonts w:eastAsia="Times New Roman"/>
                <w:noProof/>
              </w:rPr>
            </w:pPr>
            <w:r>
              <w:rPr>
                <w:noProof/>
              </w:rPr>
              <w:t xml:space="preserve">Contrat signé avec le contractant pour les projets routiers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01592D"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C6E806" w14:textId="77777777" w:rsidR="006C686E" w:rsidRDefault="00B17E8C">
            <w:pPr>
              <w:pStyle w:val="P68B1DB1-Normal26"/>
              <w:spacing w:after="0" w:line="240" w:lineRule="auto"/>
              <w:jc w:val="center"/>
              <w:rPr>
                <w:rFonts w:eastAsia="Times New Roman"/>
                <w:noProof/>
              </w:rPr>
            </w:pPr>
            <w:r>
              <w:rPr>
                <w:noProof/>
              </w:rPr>
              <w:t xml:space="preserve">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BFD088" w14:textId="77777777" w:rsidR="006C686E" w:rsidRDefault="00B17E8C">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AFE942" w14:textId="77777777" w:rsidR="006C686E" w:rsidRDefault="00B17E8C">
            <w:pPr>
              <w:pStyle w:val="P68B1DB1-Normal26"/>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943DBA" w14:textId="77777777" w:rsidR="006C686E" w:rsidRDefault="00B17E8C">
            <w:pPr>
              <w:pStyle w:val="P68B1DB1-Normal26"/>
              <w:spacing w:after="0" w:line="240" w:lineRule="auto"/>
              <w:jc w:val="center"/>
              <w:rPr>
                <w:rFonts w:eastAsia="Times New Roman"/>
                <w:noProof/>
              </w:rPr>
            </w:pPr>
            <w:r>
              <w:rPr>
                <w:noProof/>
              </w:rPr>
              <w:t>2021</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10DD9D" w14:textId="77777777" w:rsidR="006C686E" w:rsidRDefault="00B17E8C">
            <w:pPr>
              <w:pStyle w:val="P68B1DB1-Normal26"/>
              <w:spacing w:after="0" w:line="240" w:lineRule="auto"/>
              <w:jc w:val="both"/>
              <w:rPr>
                <w:rFonts w:eastAsia="Times New Roman"/>
                <w:noProof/>
              </w:rPr>
            </w:pPr>
            <w:r>
              <w:rPr>
                <w:noProof/>
              </w:rPr>
              <w:t>Signature par les parties du document régissant leurs obligations relatives à l’exécution des travaux, à un prix, à la suite d’une procédure d’appel d’offres public.</w:t>
            </w:r>
          </w:p>
        </w:tc>
      </w:tr>
      <w:tr w:rsidR="006C686E" w14:paraId="3C94BC64" w14:textId="77777777" w:rsidTr="0024749C">
        <w:trPr>
          <w:trHeight w:val="40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FA5D50" w14:textId="77777777" w:rsidR="006C686E" w:rsidRDefault="00B17E8C">
            <w:pPr>
              <w:pStyle w:val="P68B1DB1-Normal25"/>
              <w:spacing w:after="0" w:line="240" w:lineRule="auto"/>
              <w:jc w:val="center"/>
              <w:rPr>
                <w:rFonts w:eastAsia="Times New Roman"/>
                <w:noProof/>
              </w:rPr>
            </w:pPr>
            <w:r>
              <w:rPr>
                <w:noProof/>
              </w:rPr>
              <w:t>7.14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AA2AC" w14:textId="77777777" w:rsidR="006C686E" w:rsidRDefault="00B17E8C">
            <w:pPr>
              <w:pStyle w:val="P68B1DB1-Normal26"/>
              <w:spacing w:after="0" w:line="240" w:lineRule="auto"/>
              <w:jc w:val="center"/>
              <w:rPr>
                <w:rFonts w:eastAsia="Times New Roman"/>
                <w:noProof/>
              </w:rPr>
            </w:pPr>
            <w:r>
              <w:rPr>
                <w:noProof/>
              </w:rPr>
              <w:t>RE-C07-i05-RAA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F8DCF" w14:textId="77777777" w:rsidR="006C686E" w:rsidRDefault="00B17E8C">
            <w:pPr>
              <w:pStyle w:val="P68B1DB1-Normal26"/>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0FF247" w14:textId="77777777" w:rsidR="006C686E" w:rsidRDefault="00B17E8C">
            <w:pPr>
              <w:pStyle w:val="P68B1DB1-Normal26"/>
              <w:spacing w:after="0" w:line="240" w:lineRule="auto"/>
              <w:jc w:val="center"/>
              <w:rPr>
                <w:rFonts w:eastAsia="Times New Roman"/>
                <w:noProof/>
              </w:rPr>
            </w:pPr>
            <w:r>
              <w:rPr>
                <w:noProof/>
              </w:rPr>
              <w:t>Contrat signé pour au moins 8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CE4A7D" w14:textId="77777777" w:rsidR="006C686E" w:rsidRDefault="00B17E8C">
            <w:pPr>
              <w:pStyle w:val="P68B1DB1-Normal26"/>
              <w:spacing w:after="0" w:line="240" w:lineRule="auto"/>
              <w:jc w:val="center"/>
              <w:rPr>
                <w:rFonts w:eastAsia="Times New Roman"/>
                <w:noProof/>
              </w:rPr>
            </w:pPr>
            <w:r>
              <w:rPr>
                <w:noProof/>
              </w:rPr>
              <w:t xml:space="preserve">Contrat signé avec le contractant des projets routiers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0C55D4" w14:textId="77777777" w:rsidR="006C686E" w:rsidRDefault="00B17E8C">
            <w:pPr>
              <w:pStyle w:val="P68B1DB1-Normal26"/>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459D9A" w14:textId="77777777" w:rsidR="006C686E" w:rsidRDefault="00B17E8C">
            <w:pPr>
              <w:pStyle w:val="P68B1DB1-Normal26"/>
              <w:spacing w:after="0" w:line="240" w:lineRule="auto"/>
              <w:jc w:val="center"/>
              <w:rPr>
                <w:rFonts w:eastAsia="Times New Roman"/>
                <w:noProof/>
              </w:rPr>
            </w:pPr>
            <w:r>
              <w:rPr>
                <w:noProof/>
              </w:rPr>
              <w:t xml:space="preserve">2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BBF2E3" w14:textId="77777777" w:rsidR="006C686E" w:rsidRDefault="00B17E8C">
            <w:pPr>
              <w:pStyle w:val="P68B1DB1-Normal26"/>
              <w:spacing w:after="0" w:line="240" w:lineRule="auto"/>
              <w:jc w:val="center"/>
              <w:rPr>
                <w:rFonts w:eastAsia="Times New Roman"/>
                <w:noProof/>
              </w:rPr>
            </w:pPr>
            <w:r>
              <w:rPr>
                <w:noProof/>
              </w:rPr>
              <w:t xml:space="preserve">8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61D56B" w14:textId="77777777" w:rsidR="006C686E" w:rsidRDefault="00B17E8C">
            <w:pPr>
              <w:pStyle w:val="P68B1DB1-Normal26"/>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453386" w14:textId="77777777" w:rsidR="006C686E" w:rsidRDefault="00B17E8C">
            <w:pPr>
              <w:pStyle w:val="P68B1DB1-Normal26"/>
              <w:spacing w:after="0" w:line="240" w:lineRule="auto"/>
              <w:jc w:val="center"/>
              <w:rPr>
                <w:rFonts w:eastAsia="Times New Roman"/>
                <w:noProof/>
              </w:rPr>
            </w:pPr>
            <w:r>
              <w:rPr>
                <w:noProof/>
              </w:rPr>
              <w:t>2023</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D68AB9" w14:textId="77777777" w:rsidR="006C686E" w:rsidRDefault="00B17E8C">
            <w:pPr>
              <w:pStyle w:val="P68B1DB1-Normal26"/>
              <w:spacing w:after="0" w:line="240" w:lineRule="auto"/>
              <w:jc w:val="both"/>
              <w:rPr>
                <w:rFonts w:eastAsia="Times New Roman"/>
                <w:noProof/>
              </w:rPr>
            </w:pPr>
            <w:r>
              <w:rPr>
                <w:noProof/>
              </w:rPr>
              <w:t xml:space="preserve">Signature par les parties du document régissant leurs obligations relatives à l’exécution des travaux, à un prix, à la suite d’une procédure d’appel d’offres public. </w:t>
            </w:r>
          </w:p>
        </w:tc>
      </w:tr>
      <w:tr w:rsidR="006C686E" w14:paraId="7AC31B7D" w14:textId="77777777" w:rsidTr="0024749C">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0C125C" w14:textId="77777777" w:rsidR="006C686E" w:rsidRDefault="00B17E8C">
            <w:pPr>
              <w:pStyle w:val="P68B1DB1-Normal25"/>
              <w:spacing w:after="0" w:line="240" w:lineRule="auto"/>
              <w:jc w:val="center"/>
              <w:rPr>
                <w:rFonts w:eastAsia="Times New Roman"/>
                <w:bCs/>
                <w:noProof/>
              </w:rPr>
            </w:pPr>
            <w:r>
              <w:rPr>
                <w:noProof/>
              </w:rPr>
              <w:t>7.15</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291895" w14:textId="77777777" w:rsidR="006C686E" w:rsidRDefault="00B17E8C">
            <w:pPr>
              <w:pStyle w:val="P68B1DB1-Normal26"/>
              <w:spacing w:after="0" w:line="240" w:lineRule="auto"/>
              <w:jc w:val="center"/>
              <w:rPr>
                <w:rFonts w:eastAsia="Times New Roman"/>
                <w:noProof/>
              </w:rPr>
            </w:pPr>
            <w:r>
              <w:rPr>
                <w:noProof/>
              </w:rPr>
              <w:t>RE-C07-i05-RAA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A0D8B5" w14:textId="77777777" w:rsidR="006C686E" w:rsidRDefault="00B17E8C">
            <w:pPr>
              <w:pStyle w:val="P68B1DB1-Normal26"/>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A663A8" w14:textId="77777777" w:rsidR="006C686E" w:rsidRDefault="00B17E8C">
            <w:pPr>
              <w:pStyle w:val="P68B1DB1-Normal26"/>
              <w:spacing w:after="0" w:line="240" w:lineRule="auto"/>
              <w:jc w:val="center"/>
              <w:rPr>
                <w:rFonts w:eastAsia="Times New Roman"/>
                <w:noProof/>
              </w:rPr>
            </w:pPr>
            <w:r>
              <w:rPr>
                <w:noProof/>
              </w:rPr>
              <w:t>Routes construites ou rénovées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49FDF1"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A0058E" w14:textId="77777777" w:rsidR="006C686E" w:rsidRDefault="00B17E8C">
            <w:pPr>
              <w:pStyle w:val="P68B1DB1-Normal26"/>
              <w:spacing w:after="0" w:line="240" w:lineRule="auto"/>
              <w:jc w:val="center"/>
              <w:rPr>
                <w:rFonts w:eastAsia="Times New Roman"/>
                <w:noProof/>
              </w:rPr>
            </w:pPr>
            <w:r>
              <w:rPr>
                <w:noProof/>
              </w:rPr>
              <w:t>kilomètres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01EDED" w14:textId="77777777" w:rsidR="006C686E" w:rsidRDefault="00B17E8C">
            <w:pPr>
              <w:pStyle w:val="P68B1DB1-Normal26"/>
              <w:spacing w:after="0" w:line="240" w:lineRule="auto"/>
              <w:jc w:val="center"/>
              <w:rPr>
                <w:rFonts w:eastAsia="Times New Roman"/>
                <w:noProof/>
              </w:rPr>
            </w:pPr>
            <w:r>
              <w:rPr>
                <w:noProof/>
              </w:rPr>
              <w:t>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119908" w14:textId="77777777" w:rsidR="006C686E" w:rsidRDefault="00B17E8C">
            <w:pPr>
              <w:pStyle w:val="P68B1DB1-Normal26"/>
              <w:spacing w:after="0" w:line="240" w:lineRule="auto"/>
              <w:jc w:val="center"/>
              <w:rPr>
                <w:rFonts w:eastAsia="Times New Roman"/>
                <w:noProof/>
              </w:rPr>
            </w:pPr>
            <w:r>
              <w:rPr>
                <w:noProof/>
              </w:rPr>
              <w:t>34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288C03" w14:textId="77777777" w:rsidR="006C686E" w:rsidRDefault="00B17E8C">
            <w:pPr>
              <w:pStyle w:val="P68B1DB1-Normal26"/>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0538F" w14:textId="77777777" w:rsidR="006C686E" w:rsidRDefault="00B17E8C">
            <w:pPr>
              <w:pStyle w:val="P68B1DB1-Normal26"/>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4FC19A" w14:textId="29232D5A" w:rsidR="006C686E" w:rsidRDefault="00B17E8C">
            <w:pPr>
              <w:pStyle w:val="P68B1DB1-Normal26"/>
              <w:spacing w:after="0" w:line="240" w:lineRule="auto"/>
              <w:jc w:val="both"/>
              <w:rPr>
                <w:rFonts w:eastAsia="Times New Roman"/>
                <w:noProof/>
              </w:rPr>
            </w:pPr>
            <w:r>
              <w:rPr>
                <w:noProof/>
              </w:rPr>
              <w:t xml:space="preserve">Km de routes construites ou rénovées. </w:t>
            </w:r>
          </w:p>
        </w:tc>
      </w:tr>
    </w:tbl>
    <w:p w14:paraId="2A0295DA" w14:textId="77777777" w:rsidR="006C686E" w:rsidRDefault="006C686E">
      <w:pPr>
        <w:keepNext/>
        <w:spacing w:before="40" w:after="0" w:line="259" w:lineRule="auto"/>
        <w:ind w:left="130" w:firstLine="720"/>
        <w:jc w:val="both"/>
        <w:outlineLvl w:val="2"/>
        <w:rPr>
          <w:rFonts w:ascii="Times New Roman" w:eastAsiaTheme="minorEastAsia" w:hAnsi="Times New Roman" w:cs="Times New Roman"/>
          <w:b/>
          <w:noProof/>
          <w:szCs w:val="26"/>
          <w:u w:val="single"/>
        </w:rPr>
        <w:sectPr w:rsidR="006C686E" w:rsidSect="00C95E00">
          <w:headerReference w:type="even" r:id="rId160"/>
          <w:headerReference w:type="default" r:id="rId161"/>
          <w:footerReference w:type="even" r:id="rId162"/>
          <w:footerReference w:type="default" r:id="rId163"/>
          <w:headerReference w:type="first" r:id="rId164"/>
          <w:footerReference w:type="first" r:id="rId165"/>
          <w:pgSz w:w="16839" w:h="11907" w:orient="landscape"/>
          <w:pgMar w:top="1134" w:right="1418" w:bottom="1134" w:left="1418" w:header="567" w:footer="567" w:gutter="0"/>
          <w:cols w:space="720"/>
          <w:docGrid w:linePitch="360"/>
        </w:sectPr>
      </w:pPr>
    </w:p>
    <w:p w14:paraId="403BA762" w14:textId="77777777" w:rsidR="006C686E" w:rsidRDefault="00B17E8C">
      <w:pPr>
        <w:pStyle w:val="P68B1DB1-Normal18"/>
        <w:keepNext/>
        <w:spacing w:before="40" w:after="120" w:line="259" w:lineRule="auto"/>
        <w:ind w:left="130" w:firstLine="720"/>
        <w:jc w:val="both"/>
        <w:outlineLvl w:val="2"/>
        <w:rPr>
          <w:noProof/>
        </w:rPr>
      </w:pPr>
      <w:r>
        <w:rPr>
          <w:noProof/>
        </w:rPr>
        <w:t>G.3. Description des réformes et des investissements pour le prêt</w:t>
      </w:r>
    </w:p>
    <w:p w14:paraId="4B91369D"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RE-C07-i06: Zones de réception d'affaires</w:t>
      </w:r>
    </w:p>
    <w:p w14:paraId="1CE900FA" w14:textId="77777777" w:rsidR="006C686E" w:rsidRDefault="00B17E8C">
      <w:pPr>
        <w:pStyle w:val="P68B1DB1-Normal22"/>
        <w:keepNext/>
        <w:spacing w:before="40" w:after="0" w:line="259" w:lineRule="auto"/>
        <w:jc w:val="both"/>
        <w:rPr>
          <w:noProof/>
        </w:rPr>
      </w:pPr>
      <w:r>
        <w:rPr>
          <w:noProof/>
        </w:rPr>
        <w:t xml:space="preserve">L’objectif de la mesure est de moderniser les zones d’accueil des entreprises. </w:t>
      </w:r>
    </w:p>
    <w:p w14:paraId="31D7256D"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L’investissement consiste en des interventions en faveur de la durabilité environnementale et de la numérisation dans huit des zones d’accueil des entreprises sélectionnées dans le cadre de l’investissement C07-i01. </w:t>
      </w:r>
    </w:p>
    <w:p w14:paraId="25C39FB0" w14:textId="77777777" w:rsidR="006C686E" w:rsidRDefault="00B17E8C">
      <w:pPr>
        <w:pStyle w:val="P68B1DB1-Normal21"/>
        <w:keepNext/>
        <w:spacing w:before="240" w:after="0" w:line="259" w:lineRule="auto"/>
        <w:ind w:left="851"/>
        <w:jc w:val="both"/>
        <w:outlineLvl w:val="3"/>
        <w:rPr>
          <w:rFonts w:eastAsiaTheme="minorEastAsia" w:cs="Times New Roman"/>
          <w:noProof/>
        </w:rPr>
      </w:pPr>
      <w:r>
        <w:rPr>
          <w:noProof/>
        </w:rPr>
        <w:t>Investissement RE-C07-i03: Liaisons transfrontalières et accessibilité des espaces d’accueil des entreprises</w:t>
      </w:r>
    </w:p>
    <w:p w14:paraId="5CD1FBA7"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Les objectifs de la mesure sont de favoriser la mobilité transfrontalière et d’accroître la connectivité du réseau routier des zones d’accueil des entreprises. </w:t>
      </w:r>
    </w:p>
    <w:p w14:paraId="7EB011E7" w14:textId="77777777" w:rsidR="006C686E" w:rsidRDefault="006C686E">
      <w:pPr>
        <w:keepNext/>
        <w:spacing w:before="40" w:after="0" w:line="259" w:lineRule="auto"/>
        <w:jc w:val="both"/>
        <w:rPr>
          <w:rFonts w:ascii="Times New Roman" w:eastAsiaTheme="minorEastAsia" w:hAnsi="Times New Roman" w:cs="Times New Roman"/>
          <w:noProof/>
        </w:rPr>
      </w:pPr>
    </w:p>
    <w:p w14:paraId="43ABBBC3" w14:textId="77777777" w:rsidR="006C686E" w:rsidRDefault="00B17E8C">
      <w:pPr>
        <w:pStyle w:val="P68B1DB1-Normal22"/>
        <w:keepNext/>
        <w:spacing w:before="40" w:after="0" w:line="259" w:lineRule="auto"/>
        <w:jc w:val="both"/>
        <w:rPr>
          <w:rFonts w:eastAsiaTheme="minorEastAsia" w:cs="Times New Roman"/>
          <w:noProof/>
        </w:rPr>
      </w:pPr>
      <w:r>
        <w:rPr>
          <w:noProof/>
        </w:rPr>
        <w:t>L'investissement consiste en la construction ou la rénovation de 72 kilomètres au total à partir d'une ou plusieurs des routes énumérées ci-dessous:</w:t>
      </w:r>
    </w:p>
    <w:p w14:paraId="2E4EF099" w14:textId="77777777" w:rsidR="006C686E" w:rsidRDefault="00B17E8C">
      <w:pPr>
        <w:pStyle w:val="P68B1DB1-Normal22"/>
        <w:keepNext/>
        <w:numPr>
          <w:ilvl w:val="0"/>
          <w:numId w:val="40"/>
        </w:numPr>
        <w:spacing w:before="40" w:line="259" w:lineRule="auto"/>
        <w:contextualSpacing/>
        <w:jc w:val="both"/>
        <w:rPr>
          <w:rFonts w:eastAsiaTheme="minorEastAsia" w:cs="Times New Roman"/>
          <w:noProof/>
        </w:rPr>
      </w:pPr>
      <w:r>
        <w:rPr>
          <w:noProof/>
        </w:rPr>
        <w:t>EN103 : Vinhais / Bragança;</w:t>
      </w:r>
    </w:p>
    <w:p w14:paraId="2570DF5F" w14:textId="77777777" w:rsidR="006C686E" w:rsidRDefault="00B17E8C">
      <w:pPr>
        <w:pStyle w:val="P68B1DB1-Normal22"/>
        <w:keepNext/>
        <w:numPr>
          <w:ilvl w:val="0"/>
          <w:numId w:val="40"/>
        </w:numPr>
        <w:spacing w:before="40" w:line="259" w:lineRule="auto"/>
        <w:contextualSpacing/>
        <w:jc w:val="both"/>
        <w:rPr>
          <w:rFonts w:eastAsiaTheme="minorEastAsia" w:cs="Times New Roman"/>
          <w:noProof/>
        </w:rPr>
      </w:pPr>
      <w:r>
        <w:rPr>
          <w:noProof/>
        </w:rPr>
        <w:t>Lien de Bragança à Puebla de Sanabria (Espagne);</w:t>
      </w:r>
    </w:p>
    <w:p w14:paraId="7636056B" w14:textId="77777777" w:rsidR="006C686E" w:rsidRDefault="00B17E8C">
      <w:pPr>
        <w:pStyle w:val="P68B1DB1-Normal22"/>
        <w:keepNext/>
        <w:numPr>
          <w:ilvl w:val="0"/>
          <w:numId w:val="40"/>
        </w:numPr>
        <w:spacing w:before="40" w:line="259" w:lineRule="auto"/>
        <w:contextualSpacing/>
        <w:jc w:val="both"/>
        <w:rPr>
          <w:rFonts w:eastAsiaTheme="minorEastAsia" w:cs="Times New Roman"/>
          <w:noProof/>
        </w:rPr>
      </w:pPr>
      <w:r>
        <w:rPr>
          <w:noProof/>
        </w:rPr>
        <w:t>Pont international sur la rivière Sever;</w:t>
      </w:r>
    </w:p>
    <w:p w14:paraId="117AC5C5" w14:textId="77777777" w:rsidR="006C686E" w:rsidRDefault="00B17E8C">
      <w:pPr>
        <w:pStyle w:val="P68B1DB1-Normal22"/>
        <w:keepNext/>
        <w:numPr>
          <w:ilvl w:val="0"/>
          <w:numId w:val="40"/>
        </w:numPr>
        <w:spacing w:before="40" w:line="259" w:lineRule="auto"/>
        <w:contextualSpacing/>
        <w:jc w:val="both"/>
        <w:rPr>
          <w:rFonts w:eastAsiaTheme="minorEastAsia" w:cs="Times New Roman"/>
          <w:noProof/>
        </w:rPr>
      </w:pPr>
      <w:r>
        <w:rPr>
          <w:noProof/>
        </w:rPr>
        <w:t>Pont Alcoutim – Saluncar de Guadiana (Espagne).</w:t>
      </w:r>
    </w:p>
    <w:p w14:paraId="2E01DF9F"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Connexion au parc industriel de Mundão; </w:t>
      </w:r>
    </w:p>
    <w:p w14:paraId="18ECB46D"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Accessibilité à la zone industrielle de Riachos; </w:t>
      </w:r>
    </w:p>
    <w:p w14:paraId="4BD26F05"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Accès de l'IC8 (Ansião) au parc d'activités de Camporês; </w:t>
      </w:r>
    </w:p>
    <w:p w14:paraId="62FA0036"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EN10-4 : Setúbal/ Mitrena; </w:t>
      </w:r>
    </w:p>
    <w:p w14:paraId="2BE6F8F3"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Connexion au parc industriel de Fontiscos et réhabilitation du nœud Ermida (Santo Tirso); </w:t>
      </w:r>
    </w:p>
    <w:p w14:paraId="56E95A3E"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Connexion de l'A8 au parc industriel de Palhagueiras à Torres Vedras; </w:t>
      </w:r>
    </w:p>
    <w:p w14:paraId="5137DFCD"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Connexion de l'A11 à la zone industrielle de Cabeça de Porca (Felgueiras);</w:t>
      </w:r>
    </w:p>
    <w:p w14:paraId="6791AF29"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Connexion de la EN114 à la zone industrielle de Rio Maior; </w:t>
      </w:r>
    </w:p>
    <w:p w14:paraId="5AF9A31E"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Accès à la zone d'affaires de Lavagueiras (Castelo de Paiva); </w:t>
      </w:r>
    </w:p>
    <w:p w14:paraId="35F38CF7"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Accessibilité à la zone industrielle de Campo Maior;</w:t>
      </w:r>
    </w:p>
    <w:p w14:paraId="5B73BC1E"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contournement EN248 (Arruda dos Vinhos); </w:t>
      </w:r>
    </w:p>
    <w:p w14:paraId="0204A351"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Contournement d'Aljustrel - Accès à la zone minière et à la zone d'implantation commerciale; </w:t>
      </w:r>
    </w:p>
    <w:p w14:paraId="06FA1ACB"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Via do Tâmega de la rocade EN210 (Celorico de Basto); </w:t>
      </w:r>
    </w:p>
    <w:p w14:paraId="43E29259"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Connexion de l'IC2 au parc industriel de Casarão; </w:t>
      </w:r>
    </w:p>
    <w:p w14:paraId="66153E6E"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Nouvelle traversée de Rio Lima entre EN203 - Deocriste et EN202 - Nogueira; </w:t>
      </w:r>
    </w:p>
    <w:p w14:paraId="5808F846"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rond-point EN246 pour l'accès à la zone industrielle de Portalegre; </w:t>
      </w:r>
    </w:p>
    <w:p w14:paraId="6B296800"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 xml:space="preserve">Accès à Avepark – Parc scientifique et technologique de Taipas (Guimarães); </w:t>
      </w:r>
    </w:p>
    <w:p w14:paraId="2E87A849" w14:textId="77777777" w:rsidR="006C686E" w:rsidRDefault="00B17E8C">
      <w:pPr>
        <w:pStyle w:val="P68B1DB1-Normal22"/>
        <w:keepNext/>
        <w:numPr>
          <w:ilvl w:val="0"/>
          <w:numId w:val="41"/>
        </w:numPr>
        <w:spacing w:before="40" w:line="259" w:lineRule="auto"/>
        <w:contextualSpacing/>
        <w:jc w:val="both"/>
        <w:rPr>
          <w:rFonts w:eastAsiaTheme="minorEastAsia" w:cs="Times New Roman"/>
          <w:noProof/>
        </w:rPr>
      </w:pPr>
      <w:r>
        <w:rPr>
          <w:noProof/>
        </w:rPr>
        <w:t>Accès à la zone industrielle de Vale do Neiva au nœud A28.</w:t>
      </w:r>
    </w:p>
    <w:p w14:paraId="254FBBBB" w14:textId="77777777" w:rsidR="006C686E" w:rsidRDefault="00B17E8C">
      <w:pPr>
        <w:tabs>
          <w:tab w:val="left" w:pos="8950"/>
        </w:tabs>
        <w:rPr>
          <w:rFonts w:ascii="Times New Roman" w:eastAsiaTheme="minorEastAsia" w:hAnsi="Times New Roman" w:cs="Times New Roman"/>
          <w:noProof/>
        </w:rPr>
      </w:pPr>
      <w:r>
        <w:rPr>
          <w:noProof/>
        </w:rPr>
        <w:tab/>
      </w:r>
    </w:p>
    <w:p w14:paraId="7EE1CC26" w14:textId="77777777" w:rsidR="006C686E" w:rsidRDefault="006C686E">
      <w:pPr>
        <w:rPr>
          <w:rFonts w:ascii="Times New Roman" w:eastAsiaTheme="minorEastAsia" w:hAnsi="Times New Roman" w:cs="Times New Roman"/>
          <w:noProof/>
        </w:rPr>
      </w:pPr>
    </w:p>
    <w:p w14:paraId="3761B821" w14:textId="77777777" w:rsidR="006C686E" w:rsidRDefault="006C686E">
      <w:pPr>
        <w:rPr>
          <w:rFonts w:ascii="Times New Roman" w:eastAsiaTheme="minorEastAsia" w:hAnsi="Times New Roman" w:cs="Times New Roman"/>
          <w:noProof/>
        </w:rPr>
        <w:sectPr w:rsidR="006C686E" w:rsidSect="00C95E00">
          <w:headerReference w:type="even" r:id="rId166"/>
          <w:headerReference w:type="default" r:id="rId167"/>
          <w:footerReference w:type="even" r:id="rId168"/>
          <w:footerReference w:type="default" r:id="rId169"/>
          <w:headerReference w:type="first" r:id="rId170"/>
          <w:footerReference w:type="first" r:id="rId171"/>
          <w:pgSz w:w="11907" w:h="16839" w:code="9"/>
          <w:pgMar w:top="1134" w:right="1418" w:bottom="1134" w:left="1418" w:header="567" w:footer="567" w:gutter="0"/>
          <w:cols w:space="720"/>
          <w:docGrid w:linePitch="360"/>
        </w:sectPr>
      </w:pPr>
    </w:p>
    <w:p w14:paraId="3AE19A3D" w14:textId="77777777" w:rsidR="006C686E" w:rsidRDefault="00B17E8C">
      <w:pPr>
        <w:pStyle w:val="P68B1DB1-Normal18"/>
        <w:spacing w:before="40" w:after="0" w:line="259" w:lineRule="auto"/>
        <w:ind w:left="130" w:firstLine="12"/>
        <w:jc w:val="center"/>
        <w:outlineLvl w:val="2"/>
        <w:rPr>
          <w:rFonts w:eastAsiaTheme="minorEastAsia" w:cs="Times New Roman"/>
          <w:bCs/>
          <w:noProof/>
        </w:rPr>
      </w:pPr>
      <w:r>
        <w:rPr>
          <w:noProof/>
        </w:rPr>
        <w:t>G.4. Étapes, objectifs, indicateurs et calendrier du suivi et de la mise en œuvre du prêt</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275"/>
        <w:gridCol w:w="993"/>
        <w:gridCol w:w="992"/>
        <w:gridCol w:w="879"/>
        <w:gridCol w:w="397"/>
        <w:gridCol w:w="879"/>
        <w:gridCol w:w="3798"/>
      </w:tblGrid>
      <w:tr w:rsidR="006C686E" w14:paraId="3EE20C80" w14:textId="77777777" w:rsidTr="0024749C">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2E8C052"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626F4DD"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F8C8B6A" w14:textId="77777777" w:rsidR="006C686E" w:rsidRDefault="00B17E8C">
            <w:pPr>
              <w:pStyle w:val="P68B1DB1-Normal24"/>
              <w:spacing w:after="0" w:line="240" w:lineRule="auto"/>
              <w:jc w:val="center"/>
              <w:rPr>
                <w:rFonts w:eastAsia="Times New Roman"/>
                <w:bCs/>
                <w:noProof/>
              </w:rPr>
            </w:pPr>
            <w:r>
              <w:rPr>
                <w:noProof/>
              </w:rPr>
              <w:t>Étape/cible</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DCD4622" w14:textId="77777777" w:rsidR="006C686E" w:rsidRDefault="00B17E8C">
            <w:pPr>
              <w:pStyle w:val="P68B1DB1-Normal24"/>
              <w:spacing w:after="0" w:line="240" w:lineRule="auto"/>
              <w:jc w:val="center"/>
              <w:rPr>
                <w:rFonts w:eastAsia="Times New Roman"/>
                <w:bCs/>
                <w:noProof/>
              </w:rPr>
            </w:pPr>
            <w:r>
              <w:rPr>
                <w:noProof/>
              </w:rPr>
              <w:t>Nom</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7088475"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286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CCE4AF5"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11E534D"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379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36E7097"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7D21F942" w14:textId="77777777" w:rsidTr="0024749C">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1065FF5" w14:textId="77777777" w:rsidR="006C686E" w:rsidRDefault="006C686E">
            <w:pPr>
              <w:spacing w:after="0" w:line="240" w:lineRule="auto"/>
              <w:rPr>
                <w:rFonts w:ascii="Times New Roman" w:eastAsia="Times New Roman" w:hAnsi="Times New Roman" w:cs="Times New Roman"/>
                <w:b/>
                <w:bCs/>
                <w:noProof/>
                <w:sz w:val="18"/>
                <w:szCs w:val="18"/>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6C9BD8DF" w14:textId="77777777" w:rsidR="006C686E" w:rsidRDefault="006C686E">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DBDCEC"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5AB71D21" w14:textId="77777777" w:rsidR="006C686E" w:rsidRDefault="006C686E">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DE55B32" w14:textId="77777777" w:rsidR="006C686E" w:rsidRDefault="006C686E">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2E86FB2" w14:textId="77777777" w:rsidR="006C686E" w:rsidRDefault="00B17E8C">
            <w:pPr>
              <w:pStyle w:val="P68B1DB1-Normal24"/>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A11D408"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90024FA" w14:textId="77777777" w:rsidR="006C686E" w:rsidRDefault="00B17E8C">
            <w:pPr>
              <w:pStyle w:val="P68B1DB1-Normal24"/>
              <w:spacing w:after="0" w:line="240" w:lineRule="auto"/>
              <w:jc w:val="center"/>
              <w:rPr>
                <w:rFonts w:eastAsia="Times New Roman"/>
                <w:bCs/>
                <w:noProof/>
              </w:rPr>
            </w:pPr>
            <w:r>
              <w:rPr>
                <w:noProof/>
              </w:rPr>
              <w:t>Objectif</w:t>
            </w:r>
          </w:p>
        </w:tc>
        <w:tc>
          <w:tcPr>
            <w:tcW w:w="39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5975E25" w14:textId="77777777" w:rsidR="006C686E" w:rsidRDefault="00B17E8C">
            <w:pPr>
              <w:pStyle w:val="P68B1DB1-Normal24"/>
              <w:spacing w:after="0" w:line="240" w:lineRule="auto"/>
              <w:jc w:val="center"/>
              <w:rPr>
                <w:rFonts w:eastAsia="Times New Roman"/>
                <w:bCs/>
                <w:noProof/>
              </w:rPr>
            </w:pPr>
            <w:r>
              <w:rPr>
                <w:noProof/>
              </w:rPr>
              <w:t>Q</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B036452" w14:textId="77777777" w:rsidR="006C686E" w:rsidRDefault="00B17E8C">
            <w:pPr>
              <w:pStyle w:val="P68B1DB1-Normal24"/>
              <w:spacing w:after="0" w:line="240" w:lineRule="auto"/>
              <w:jc w:val="center"/>
              <w:rPr>
                <w:rFonts w:eastAsia="Times New Roman"/>
                <w:bCs/>
                <w:noProof/>
              </w:rPr>
            </w:pPr>
            <w:r>
              <w:rPr>
                <w:noProof/>
              </w:rPr>
              <w:t>Année</w:t>
            </w:r>
          </w:p>
        </w:tc>
        <w:tc>
          <w:tcPr>
            <w:tcW w:w="3798" w:type="dxa"/>
            <w:vMerge/>
            <w:tcBorders>
              <w:top w:val="single" w:sz="4" w:space="0" w:color="auto"/>
              <w:left w:val="single" w:sz="4" w:space="0" w:color="auto"/>
              <w:bottom w:val="single" w:sz="4" w:space="0" w:color="auto"/>
              <w:right w:val="single" w:sz="4" w:space="0" w:color="auto"/>
            </w:tcBorders>
            <w:vAlign w:val="center"/>
            <w:hideMark/>
          </w:tcPr>
          <w:p w14:paraId="6C2C5E13"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3F4E7A75" w14:textId="77777777" w:rsidTr="0024749C">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1B644AA5" w14:textId="77777777" w:rsidR="006C686E" w:rsidRDefault="00B17E8C">
            <w:pPr>
              <w:pStyle w:val="P68B1DB1-Normal25"/>
              <w:spacing w:after="0" w:line="240" w:lineRule="auto"/>
              <w:jc w:val="center"/>
              <w:rPr>
                <w:noProof/>
              </w:rPr>
            </w:pPr>
            <w:r>
              <w:rPr>
                <w:noProof/>
              </w:rPr>
              <w:t>7.5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90648B" w14:textId="77777777" w:rsidR="006C686E" w:rsidRDefault="00B17E8C">
            <w:pPr>
              <w:pStyle w:val="P68B1DB1-Normal26"/>
              <w:spacing w:after="0" w:line="240" w:lineRule="auto"/>
              <w:jc w:val="center"/>
              <w:rPr>
                <w:noProof/>
              </w:rPr>
            </w:pPr>
            <w:r>
              <w:rPr>
                <w:noProof/>
              </w:rPr>
              <w:t>RE-C07-i06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6E2913" w14:textId="77777777"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2A8C0D" w14:textId="77777777" w:rsidR="006C686E" w:rsidRDefault="00B17E8C">
            <w:pPr>
              <w:pStyle w:val="P68B1DB1-Normal26"/>
              <w:spacing w:after="0" w:line="240" w:lineRule="auto"/>
              <w:jc w:val="center"/>
              <w:rPr>
                <w:noProof/>
              </w:rPr>
            </w:pPr>
            <w:r>
              <w:rPr>
                <w:noProof/>
              </w:rPr>
              <w:t xml:space="preserve">Interventions dans des zones d'accueil d'entreprises sélectionnées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74BB9DE" w14:textId="77777777" w:rsidR="006C686E" w:rsidRDefault="00B17E8C">
            <w:pPr>
              <w:pStyle w:val="P68B1DB1-Normal26"/>
              <w:spacing w:after="0" w:line="240" w:lineRule="auto"/>
              <w:jc w:val="center"/>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26701C" w14:textId="77777777" w:rsidR="006C686E" w:rsidRDefault="00B17E8C">
            <w:pPr>
              <w:pStyle w:val="P68B1DB1-Normal26"/>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7C2AE" w14:textId="77777777" w:rsidR="006C686E" w:rsidRDefault="00B17E8C">
            <w:pPr>
              <w:pStyle w:val="P68B1DB1-Normal26"/>
              <w:spacing w:after="0" w:line="240" w:lineRule="auto"/>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E46541" w14:textId="77777777" w:rsidR="006C686E" w:rsidRDefault="00B17E8C">
            <w:pPr>
              <w:pStyle w:val="P68B1DB1-Normal26"/>
              <w:spacing w:after="0" w:line="240" w:lineRule="auto"/>
              <w:jc w:val="center"/>
              <w:rPr>
                <w:noProof/>
              </w:rPr>
            </w:pPr>
            <w:r>
              <w:rPr>
                <w:noProof/>
              </w:rPr>
              <w:t>8</w:t>
            </w:r>
          </w:p>
        </w:tc>
        <w:tc>
          <w:tcPr>
            <w:tcW w:w="39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B0D3280" w14:textId="66C4B5D7" w:rsidR="006C686E" w:rsidRDefault="00B17E8C">
            <w:pPr>
              <w:pStyle w:val="P68B1DB1-Normal26"/>
              <w:spacing w:after="0" w:line="240" w:lineRule="auto"/>
              <w:jc w:val="center"/>
              <w:rPr>
                <w:noProof/>
              </w:rPr>
            </w:pPr>
            <w:r>
              <w:rPr>
                <w:noProof/>
              </w:rPr>
              <w:t>T2</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5721B5" w14:textId="2380D98A" w:rsidR="006C686E" w:rsidRDefault="00B17E8C">
            <w:pPr>
              <w:pStyle w:val="P68B1DB1-Normal26"/>
              <w:spacing w:after="0" w:line="240" w:lineRule="auto"/>
              <w:jc w:val="center"/>
              <w:rPr>
                <w:noProof/>
              </w:rPr>
            </w:pPr>
            <w:r>
              <w:rPr>
                <w:noProof/>
              </w:rPr>
              <w:t>2026</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1DB4E1FD" w14:textId="20126CC5" w:rsidR="006C686E" w:rsidRDefault="00B17E8C">
            <w:pPr>
              <w:pStyle w:val="P68B1DB1-Normal26"/>
              <w:spacing w:after="0" w:line="240" w:lineRule="auto"/>
              <w:jc w:val="both"/>
              <w:rPr>
                <w:noProof/>
              </w:rPr>
            </w:pPr>
            <w:r>
              <w:rPr>
                <w:noProof/>
              </w:rPr>
              <w:t>Huit contrats de travail pour des espaces d'accueil d'entreprises ont été exécutés.</w:t>
            </w:r>
          </w:p>
        </w:tc>
      </w:tr>
      <w:tr w:rsidR="006C686E" w14:paraId="67FA43D3" w14:textId="77777777" w:rsidTr="0024749C">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BCA249" w14:textId="77777777" w:rsidR="006C686E" w:rsidRDefault="00B17E8C">
            <w:pPr>
              <w:pStyle w:val="P68B1DB1-Normal25"/>
              <w:spacing w:after="0" w:line="240" w:lineRule="auto"/>
              <w:jc w:val="center"/>
              <w:rPr>
                <w:rFonts w:eastAsia="Times New Roman"/>
                <w:bCs/>
                <w:noProof/>
              </w:rPr>
            </w:pPr>
            <w:r>
              <w:rPr>
                <w:noProof/>
              </w:rPr>
              <w:t>7.9</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AA4CF" w14:textId="77777777" w:rsidR="006C686E" w:rsidRDefault="00B17E8C">
            <w:pPr>
              <w:pStyle w:val="P68B1DB1-Normal26"/>
              <w:spacing w:after="0" w:line="240" w:lineRule="auto"/>
              <w:jc w:val="center"/>
              <w:rPr>
                <w:rFonts w:eastAsia="Times New Roman"/>
                <w:noProof/>
              </w:rPr>
            </w:pPr>
            <w:r>
              <w:rPr>
                <w:noProof/>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816E51" w14:textId="77777777" w:rsidR="006C686E" w:rsidRDefault="00B17E8C">
            <w:pPr>
              <w:pStyle w:val="P68B1DB1-Normal26"/>
              <w:spacing w:after="0" w:line="240" w:lineRule="auto"/>
              <w:jc w:val="center"/>
              <w:rPr>
                <w:rFonts w:eastAsia="Times New Roman"/>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720074" w14:textId="77777777" w:rsidR="006C686E" w:rsidRDefault="00B17E8C">
            <w:pPr>
              <w:pStyle w:val="P68B1DB1-Normal26"/>
              <w:spacing w:after="0" w:line="240" w:lineRule="auto"/>
              <w:jc w:val="center"/>
              <w:rPr>
                <w:rFonts w:eastAsia="Times New Roman"/>
                <w:noProof/>
              </w:rPr>
            </w:pPr>
            <w:r>
              <w:rPr>
                <w:noProof/>
              </w:rPr>
              <w:t>Achèvement de la première évaluation des incidences sur l'environnement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8832B1" w14:textId="77777777" w:rsidR="006C686E" w:rsidRDefault="00B17E8C">
            <w:pPr>
              <w:pStyle w:val="P68B1DB1-Normal26"/>
              <w:spacing w:after="0" w:line="240" w:lineRule="auto"/>
              <w:jc w:val="center"/>
              <w:rPr>
                <w:rFonts w:eastAsia="Times New Roman"/>
                <w:noProof/>
              </w:rPr>
            </w:pPr>
            <w:r>
              <w:rPr>
                <w:noProof/>
              </w:rPr>
              <w:t>Achèvement de l'évaluation des incidences sur l'environnement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0D6DE5" w14:textId="6C072A94"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3DA982" w14:textId="4E213BFD" w:rsidR="006C686E" w:rsidRDefault="006C686E">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9CA65D" w14:textId="10A2BC5F" w:rsidR="006C686E" w:rsidRDefault="006C686E">
            <w:pPr>
              <w:spacing w:after="0" w:line="240" w:lineRule="auto"/>
              <w:jc w:val="center"/>
              <w:rPr>
                <w:rFonts w:ascii="Times New Roman" w:eastAsia="Times New Roman" w:hAnsi="Times New Roman" w:cs="Times New Roman"/>
                <w:noProof/>
                <w:sz w:val="16"/>
                <w:szCs w:val="16"/>
              </w:rPr>
            </w:pPr>
          </w:p>
        </w:tc>
        <w:tc>
          <w:tcPr>
            <w:tcW w:w="39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A6F1DC" w14:textId="77777777" w:rsidR="006C686E" w:rsidRDefault="00B17E8C">
            <w:pPr>
              <w:pStyle w:val="P68B1DB1-Normal26"/>
              <w:spacing w:after="0" w:line="240" w:lineRule="auto"/>
              <w:jc w:val="center"/>
              <w:rPr>
                <w:rFonts w:eastAsia="Times New Roman"/>
                <w:noProof/>
              </w:rPr>
            </w:pPr>
            <w:r>
              <w:rPr>
                <w:noProof/>
              </w:rPr>
              <w:t>T3</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967FA" w14:textId="77777777" w:rsidR="006C686E" w:rsidRDefault="00B17E8C">
            <w:pPr>
              <w:pStyle w:val="P68B1DB1-Normal26"/>
              <w:spacing w:after="0" w:line="240" w:lineRule="auto"/>
              <w:jc w:val="center"/>
              <w:rPr>
                <w:rFonts w:eastAsia="Times New Roman"/>
                <w:noProof/>
              </w:rPr>
            </w:pPr>
            <w:r>
              <w:rPr>
                <w:noProof/>
              </w:rPr>
              <w:t>2022</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36D79C" w14:textId="77777777" w:rsidR="006C686E" w:rsidRDefault="00B17E8C">
            <w:pPr>
              <w:pStyle w:val="P68B1DB1-Normal26"/>
              <w:spacing w:after="0" w:line="240" w:lineRule="auto"/>
              <w:jc w:val="both"/>
              <w:rPr>
                <w:rFonts w:eastAsia="Times New Roman"/>
                <w:noProof/>
              </w:rPr>
            </w:pPr>
            <w:r>
              <w:rPr>
                <w:noProof/>
              </w:rPr>
              <w:t>L'évaluation des incidences sur l'environnement d'un projet routier a été achevée.</w:t>
            </w:r>
          </w:p>
        </w:tc>
      </w:tr>
      <w:tr w:rsidR="006C686E" w14:paraId="6BD8201F" w14:textId="77777777" w:rsidTr="0024749C">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8F2C9" w14:textId="77777777" w:rsidR="006C686E" w:rsidRDefault="00B17E8C">
            <w:pPr>
              <w:pStyle w:val="P68B1DB1-Normal25"/>
              <w:spacing w:after="0" w:line="240" w:lineRule="auto"/>
              <w:jc w:val="center"/>
              <w:rPr>
                <w:rFonts w:eastAsia="Times New Roman"/>
                <w:bCs/>
                <w:noProof/>
              </w:rPr>
            </w:pPr>
            <w:r>
              <w:rPr>
                <w:noProof/>
              </w:rPr>
              <w:t>7.10</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56C988" w14:textId="77777777" w:rsidR="006C686E" w:rsidRDefault="00B17E8C">
            <w:pPr>
              <w:pStyle w:val="P68B1DB1-Normal26"/>
              <w:spacing w:after="0" w:line="240" w:lineRule="auto"/>
              <w:jc w:val="center"/>
              <w:rPr>
                <w:rFonts w:eastAsia="Times New Roman"/>
                <w:noProof/>
              </w:rPr>
            </w:pPr>
            <w:r>
              <w:rPr>
                <w:noProof/>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E4F4F" w14:textId="77777777" w:rsidR="006C686E" w:rsidRDefault="00B17E8C">
            <w:pPr>
              <w:pStyle w:val="P68B1DB1-Normal26"/>
              <w:spacing w:after="0" w:line="240" w:lineRule="auto"/>
              <w:jc w:val="center"/>
              <w:rPr>
                <w:rFonts w:eastAsia="Times New Roman"/>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B54890" w14:textId="77777777" w:rsidR="006C686E" w:rsidRDefault="00B17E8C">
            <w:pPr>
              <w:pStyle w:val="P68B1DB1-Normal26"/>
              <w:spacing w:after="0" w:line="240" w:lineRule="auto"/>
              <w:jc w:val="center"/>
              <w:rPr>
                <w:rFonts w:eastAsia="Times New Roman"/>
                <w:noProof/>
              </w:rPr>
            </w:pPr>
            <w:r>
              <w:rPr>
                <w:noProof/>
              </w:rPr>
              <w:t>Routes construites ou rénovées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ADA55D" w14:textId="7D2F0A15"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ADAD97" w14:textId="77777777" w:rsidR="006C686E" w:rsidRDefault="00B17E8C">
            <w:pPr>
              <w:pStyle w:val="P68B1DB1-Normal26"/>
              <w:spacing w:after="0" w:line="240" w:lineRule="auto"/>
              <w:jc w:val="center"/>
              <w:rPr>
                <w:rFonts w:eastAsia="Times New Roman"/>
                <w:noProof/>
              </w:rPr>
            </w:pPr>
            <w:r>
              <w:rPr>
                <w:noProof/>
              </w:rPr>
              <w:t>kilomètres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E9344D" w14:textId="77777777" w:rsidR="006C686E" w:rsidRDefault="00B17E8C">
            <w:pPr>
              <w:pStyle w:val="P68B1DB1-Normal26"/>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883B86" w14:textId="77777777" w:rsidR="006C686E" w:rsidRDefault="00B17E8C">
            <w:pPr>
              <w:pStyle w:val="P68B1DB1-Normal26"/>
              <w:spacing w:after="0" w:line="240" w:lineRule="auto"/>
              <w:jc w:val="center"/>
              <w:rPr>
                <w:rFonts w:eastAsia="Times New Roman"/>
                <w:noProof/>
              </w:rPr>
            </w:pPr>
            <w:r>
              <w:rPr>
                <w:noProof/>
              </w:rPr>
              <w:t>72</w:t>
            </w:r>
          </w:p>
        </w:tc>
        <w:tc>
          <w:tcPr>
            <w:tcW w:w="39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605D73" w14:textId="77777777" w:rsidR="006C686E" w:rsidRDefault="00B17E8C">
            <w:pPr>
              <w:pStyle w:val="P68B1DB1-Normal26"/>
              <w:spacing w:after="0" w:line="240" w:lineRule="auto"/>
              <w:jc w:val="center"/>
              <w:rPr>
                <w:rFonts w:eastAsia="Times New Roman"/>
                <w:noProof/>
              </w:rPr>
            </w:pPr>
            <w:r>
              <w:rPr>
                <w:noProof/>
              </w:rPr>
              <w:t>T4</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EDA91E" w14:textId="77777777" w:rsidR="006C686E" w:rsidRDefault="00B17E8C">
            <w:pPr>
              <w:pStyle w:val="P68B1DB1-Normal26"/>
              <w:spacing w:after="0" w:line="240" w:lineRule="auto"/>
              <w:jc w:val="center"/>
              <w:rPr>
                <w:rFonts w:eastAsia="Times New Roman"/>
                <w:noProof/>
              </w:rPr>
            </w:pPr>
            <w:r>
              <w:rPr>
                <w:noProof/>
              </w:rPr>
              <w:t>2025</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71B275" w14:textId="6BABA91F" w:rsidR="006C686E" w:rsidRDefault="00B17E8C">
            <w:pPr>
              <w:pStyle w:val="P68B1DB1-Normal26"/>
              <w:spacing w:after="0" w:line="240" w:lineRule="auto"/>
              <w:jc w:val="both"/>
              <w:rPr>
                <w:noProof/>
              </w:rPr>
            </w:pPr>
            <w:r>
              <w:rPr>
                <w:noProof/>
              </w:rPr>
              <w:t>Km de routes construites ou rénovées.</w:t>
            </w:r>
          </w:p>
        </w:tc>
      </w:tr>
      <w:tr w:rsidR="006C686E" w14:paraId="559A1889" w14:textId="77777777" w:rsidTr="0024749C">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55471C" w14:textId="77777777" w:rsidR="006C686E" w:rsidRDefault="00B17E8C">
            <w:pPr>
              <w:pStyle w:val="P68B1DB1-Normal25"/>
              <w:spacing w:after="0" w:line="240" w:lineRule="auto"/>
              <w:jc w:val="center"/>
              <w:rPr>
                <w:rFonts w:eastAsia="Times New Roman"/>
                <w:bCs/>
                <w:noProof/>
              </w:rPr>
            </w:pPr>
            <w:r>
              <w:rPr>
                <w:noProof/>
              </w:rPr>
              <w:t>7.11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95F522" w14:textId="77777777" w:rsidR="006C686E" w:rsidRDefault="00B17E8C">
            <w:pPr>
              <w:pStyle w:val="P68B1DB1-Normal26"/>
              <w:spacing w:after="0" w:line="240" w:lineRule="auto"/>
              <w:jc w:val="center"/>
              <w:rPr>
                <w:rFonts w:eastAsia="Times New Roman"/>
                <w:noProof/>
              </w:rPr>
            </w:pPr>
            <w:r>
              <w:rPr>
                <w:noProof/>
              </w:rPr>
              <w:t>RE-C07-i04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E9EBC6" w14:textId="77777777" w:rsidR="006C686E" w:rsidRDefault="00B17E8C">
            <w:pPr>
              <w:pStyle w:val="P68B1DB1-Normal26"/>
              <w:spacing w:after="0" w:line="240" w:lineRule="auto"/>
              <w:jc w:val="center"/>
              <w:rPr>
                <w:rFonts w:eastAsia="Times New Roman"/>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06DD46" w14:textId="77777777" w:rsidR="006C686E" w:rsidRDefault="00B17E8C">
            <w:pPr>
              <w:pStyle w:val="P68B1DB1-Normal26"/>
              <w:spacing w:after="0" w:line="240" w:lineRule="auto"/>
              <w:jc w:val="center"/>
              <w:rPr>
                <w:rFonts w:eastAsia="Times New Roman"/>
                <w:noProof/>
              </w:rPr>
            </w:pPr>
            <w:r>
              <w:rPr>
                <w:noProof/>
              </w:rPr>
              <w:t>Signature d'un contrat pour 10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63B82C" w14:textId="77777777" w:rsidR="006C686E" w:rsidRDefault="00B17E8C">
            <w:pPr>
              <w:pStyle w:val="P68B1DB1-Normal26"/>
              <w:spacing w:after="0" w:line="240" w:lineRule="auto"/>
              <w:jc w:val="center"/>
              <w:rPr>
                <w:rFonts w:eastAsia="Times New Roman"/>
                <w:noProof/>
              </w:rPr>
            </w:pPr>
            <w:r>
              <w:rPr>
                <w:noProof/>
              </w:rPr>
              <w:t>Contrat signé avec le contractant pour les projets routiers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9D3F7D" w14:textId="7EBBF31E"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99472C" w14:textId="21380F9E" w:rsidR="006C686E" w:rsidRDefault="006C686E">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4C35A2" w14:textId="69F96F84" w:rsidR="006C686E" w:rsidRDefault="006C686E">
            <w:pPr>
              <w:spacing w:after="0" w:line="240" w:lineRule="auto"/>
              <w:jc w:val="center"/>
              <w:rPr>
                <w:rFonts w:ascii="Times New Roman" w:eastAsia="Times New Roman" w:hAnsi="Times New Roman" w:cs="Times New Roman"/>
                <w:noProof/>
                <w:sz w:val="16"/>
                <w:szCs w:val="16"/>
              </w:rPr>
            </w:pPr>
          </w:p>
        </w:tc>
        <w:tc>
          <w:tcPr>
            <w:tcW w:w="39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B248BE" w14:textId="77777777" w:rsidR="006C686E" w:rsidRDefault="00B17E8C">
            <w:pPr>
              <w:pStyle w:val="P68B1DB1-Normal26"/>
              <w:spacing w:after="0" w:line="240" w:lineRule="auto"/>
              <w:jc w:val="center"/>
              <w:rPr>
                <w:rFonts w:eastAsia="Times New Roman"/>
                <w:noProof/>
              </w:rPr>
            </w:pPr>
            <w:r>
              <w:rPr>
                <w:noProof/>
              </w:rPr>
              <w:t>T2</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9D600A" w14:textId="77777777" w:rsidR="006C686E" w:rsidRDefault="00B17E8C">
            <w:pPr>
              <w:pStyle w:val="P68B1DB1-Normal26"/>
              <w:spacing w:after="0" w:line="240" w:lineRule="auto"/>
              <w:jc w:val="center"/>
              <w:rPr>
                <w:rFonts w:eastAsia="Times New Roman"/>
                <w:noProof/>
              </w:rPr>
            </w:pPr>
            <w:r>
              <w:rPr>
                <w:noProof/>
              </w:rPr>
              <w:t>2023</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7A3041" w14:textId="77777777" w:rsidR="006C686E" w:rsidRDefault="00B17E8C">
            <w:pPr>
              <w:pStyle w:val="P68B1DB1-Normal26"/>
              <w:spacing w:after="0" w:line="240" w:lineRule="auto"/>
              <w:jc w:val="both"/>
              <w:rPr>
                <w:rFonts w:eastAsia="Times New Roman"/>
                <w:noProof/>
              </w:rPr>
            </w:pPr>
            <w:r>
              <w:rPr>
                <w:noProof/>
              </w:rPr>
              <w:t>Signature par les parties du document régissant leurs obligations relatives à l’exécution des travaux, à un prix, à la suite d’une procédure d’appel d’offres public.</w:t>
            </w:r>
          </w:p>
        </w:tc>
      </w:tr>
    </w:tbl>
    <w:p w14:paraId="13AC2154" w14:textId="77777777" w:rsidR="006C686E" w:rsidRDefault="006C686E">
      <w:pPr>
        <w:rPr>
          <w:rFonts w:ascii="Times New Roman" w:eastAsiaTheme="minorEastAsia" w:hAnsi="Times New Roman" w:cs="Times New Roman"/>
          <w:noProof/>
        </w:rPr>
        <w:sectPr w:rsidR="006C686E" w:rsidSect="00C95E00">
          <w:headerReference w:type="even" r:id="rId172"/>
          <w:headerReference w:type="default" r:id="rId173"/>
          <w:footerReference w:type="even" r:id="rId174"/>
          <w:footerReference w:type="default" r:id="rId175"/>
          <w:headerReference w:type="first" r:id="rId176"/>
          <w:footerReference w:type="first" r:id="rId177"/>
          <w:pgSz w:w="16839" w:h="11907" w:orient="landscape"/>
          <w:pgMar w:top="1134" w:right="1134" w:bottom="1134" w:left="1134" w:header="567" w:footer="567" w:gutter="0"/>
          <w:cols w:space="720"/>
          <w:docGrid w:linePitch="360"/>
        </w:sectPr>
      </w:pPr>
    </w:p>
    <w:p w14:paraId="4D875A06" w14:textId="77777777" w:rsidR="006C686E" w:rsidRDefault="00B17E8C">
      <w:pPr>
        <w:pStyle w:val="P68B1DB1-Normal1"/>
        <w:keepNext/>
        <w:spacing w:before="40" w:after="0"/>
        <w:ind w:left="130" w:firstLine="720"/>
        <w:jc w:val="both"/>
        <w:outlineLvl w:val="1"/>
        <w:rPr>
          <w:rFonts w:eastAsia="Times New Roman"/>
          <w:bCs/>
          <w:noProof/>
        </w:rPr>
      </w:pPr>
      <w:r>
        <w:rPr>
          <w:noProof/>
        </w:rPr>
        <w:t>H. Élément 8: Forêts</w:t>
      </w:r>
    </w:p>
    <w:p w14:paraId="5C956F18" w14:textId="77777777" w:rsidR="006C686E" w:rsidRDefault="00B17E8C">
      <w:pPr>
        <w:pStyle w:val="P68B1DB1-Normal4"/>
        <w:keepNext/>
        <w:spacing w:before="40" w:after="0"/>
        <w:jc w:val="both"/>
        <w:rPr>
          <w:rFonts w:eastAsia="Times New Roman"/>
          <w:noProof/>
        </w:rPr>
      </w:pPr>
      <w:r>
        <w:rPr>
          <w:noProof/>
        </w:rPr>
        <w:t xml:space="preserve">Ce volet vise à relever les défis suivants: le déclin socio-économique et démographique dans les zones rurales, l’existence de vastes zones sans gestion active pour prévenir les incendies ou protéger la biodiversité et la forte fragmentation de la propriété privée des terres. L'exode de la population vers les grands centres urbains et le vieillissement progressif de la population rurale ont conduit à l'abandon des territoires ruraux et des secteurs économiques primaires traditionnels. Cela a conduit à l'expansion progressive des zones forestières, non planifiées et non gérées et avec une forte concentration de charge de carburant. Ces zones sont fortement exposées au danger des incendies ruraux, qui peuvent entraîner la perte de vies humaines, des dommages considérables aux terres et aux biens et la destruction des forêts et des biens et services qu'elles produisent. Le Portugal est le pays du sud de l'Europe avec la plus grande part de zones brûlées dans les territoires ruraux et le plus grand nombre moyen d'incendies. Selon le système européen d’information sur les incendies de forêt (EFFIS), environ 169 000 hectares ont été brûlés en moyenne par an entre 2015 et 2019. </w:t>
      </w:r>
    </w:p>
    <w:p w14:paraId="6BD3E088" w14:textId="77777777" w:rsidR="006C686E" w:rsidRDefault="00B17E8C">
      <w:pPr>
        <w:pStyle w:val="P68B1DB1-Normal4"/>
        <w:keepNext/>
        <w:spacing w:before="40" w:after="0"/>
        <w:jc w:val="both"/>
        <w:rPr>
          <w:rFonts w:eastAsia="Times New Roman"/>
          <w:noProof/>
        </w:rPr>
      </w:pPr>
      <w:r>
        <w:rPr>
          <w:noProof/>
        </w:rPr>
        <w:t xml:space="preserve">Les objectifs de ce volet sont les suivants: </w:t>
      </w:r>
    </w:p>
    <w:p w14:paraId="3A59A210" w14:textId="77777777" w:rsidR="006C686E" w:rsidRDefault="00B17E8C">
      <w:pPr>
        <w:pStyle w:val="P68B1DB1-Normal4"/>
        <w:keepNext/>
        <w:numPr>
          <w:ilvl w:val="0"/>
          <w:numId w:val="39"/>
        </w:numPr>
        <w:spacing w:before="40" w:after="200" w:line="276" w:lineRule="auto"/>
        <w:contextualSpacing/>
        <w:jc w:val="both"/>
        <w:rPr>
          <w:rFonts w:eastAsia="Times New Roman"/>
          <w:noProof/>
        </w:rPr>
      </w:pPr>
      <w:r>
        <w:rPr>
          <w:noProof/>
        </w:rPr>
        <w:t xml:space="preserve">promouvoir la planification et la gestion actives des terres agricoles et forestières vulnérables et à haute valeur environnementale; </w:t>
      </w:r>
    </w:p>
    <w:p w14:paraId="1BAB25F1" w14:textId="77777777" w:rsidR="006C686E" w:rsidRDefault="00B17E8C">
      <w:pPr>
        <w:pStyle w:val="P68B1DB1-Normal4"/>
        <w:keepNext/>
        <w:numPr>
          <w:ilvl w:val="0"/>
          <w:numId w:val="39"/>
        </w:numPr>
        <w:spacing w:before="40" w:after="200" w:line="276" w:lineRule="auto"/>
        <w:contextualSpacing/>
        <w:jc w:val="both"/>
        <w:rPr>
          <w:rFonts w:eastAsia="Times New Roman"/>
          <w:noProof/>
        </w:rPr>
      </w:pPr>
      <w:r>
        <w:rPr>
          <w:noProof/>
        </w:rPr>
        <w:t xml:space="preserve">protéger la biodiversité en soutenant la restauration des écosystèmes agricoles et forestiers, en particulier dans les zones brûlées; </w:t>
      </w:r>
    </w:p>
    <w:p w14:paraId="0FDB5822" w14:textId="77777777" w:rsidR="006C686E" w:rsidRDefault="00B17E8C">
      <w:pPr>
        <w:pStyle w:val="P68B1DB1-Normal4"/>
        <w:keepNext/>
        <w:numPr>
          <w:ilvl w:val="0"/>
          <w:numId w:val="39"/>
        </w:numPr>
        <w:spacing w:before="40" w:after="200" w:line="276" w:lineRule="auto"/>
        <w:contextualSpacing/>
        <w:jc w:val="both"/>
        <w:rPr>
          <w:rFonts w:eastAsia="Times New Roman"/>
          <w:noProof/>
        </w:rPr>
      </w:pPr>
      <w:r>
        <w:rPr>
          <w:noProof/>
        </w:rPr>
        <w:t xml:space="preserve">contribuer à la cohésion territoriale et à la création d'emplois en revitalisant les activités économiques des territoires ruraux; et </w:t>
      </w:r>
    </w:p>
    <w:p w14:paraId="6CD0D210" w14:textId="77777777" w:rsidR="006C686E" w:rsidRDefault="00B17E8C">
      <w:pPr>
        <w:pStyle w:val="P68B1DB1-Normal4"/>
        <w:keepNext/>
        <w:numPr>
          <w:ilvl w:val="0"/>
          <w:numId w:val="39"/>
        </w:numPr>
        <w:spacing w:before="40" w:after="200" w:line="276" w:lineRule="auto"/>
        <w:contextualSpacing/>
        <w:jc w:val="both"/>
        <w:rPr>
          <w:rFonts w:eastAsia="Times New Roman"/>
          <w:noProof/>
        </w:rPr>
      </w:pPr>
      <w:r>
        <w:rPr>
          <w:noProof/>
        </w:rPr>
        <w:t>accroître la résilience de ces territoires en réduisant les risques d’incendie grâce à une prévention efficace et efficiente des incendies et, en cas d’incendie, en réduisant les dommages grâce à une lutte efficace et efficiente contre les incendies.</w:t>
      </w:r>
    </w:p>
    <w:p w14:paraId="2217951E" w14:textId="77777777" w:rsidR="006C686E" w:rsidRDefault="00B17E8C">
      <w:pPr>
        <w:pStyle w:val="P68B1DB1-Normal4"/>
        <w:keepNext/>
        <w:spacing w:before="40" w:after="0"/>
        <w:jc w:val="both"/>
        <w:rPr>
          <w:rFonts w:eastAsia="Times New Roman"/>
          <w:noProof/>
        </w:rPr>
      </w:pPr>
      <w:r>
        <w:rPr>
          <w:noProof/>
        </w:rPr>
        <w:t>Ce volet contribue à la mise en œuvre de la recommandation par pays relative à l’amélioration de la qualité des finances publiques en donnant la priorité aux dépenses propices à la croissance (recommandation par pays no 1 de 2019). Les dépenses publiques liées à la mise à niveau du registre des propriétés rurales favoriseraient leur gestion adéquate et, éventuellement, rendraient l'activité économique plus dynamique dans les zones rurales. En outre, le volet apporte une contribution importante à la mise en œuvre des recommandations par pays visant à concentrer les investissements sur la transition écologique et numérique, en tenant compte des disparités régionales (recommandation par pays no 3 de 2019 et recommandation par pays no 3 de 2020).</w:t>
      </w:r>
    </w:p>
    <w:p w14:paraId="7DC0698D" w14:textId="77777777" w:rsidR="006C686E" w:rsidRDefault="00B17E8C">
      <w:pPr>
        <w:pStyle w:val="P68B1DB1-Normal4"/>
        <w:keepNext/>
        <w:spacing w:before="40" w:after="0"/>
        <w:jc w:val="both"/>
        <w:rPr>
          <w:rFonts w:eastAsia="Times New Roman"/>
          <w:noProof/>
        </w:rPr>
      </w:pPr>
      <w:r>
        <w:rPr>
          <w:noProof/>
        </w:rPr>
        <w:t>Ce volet devrait contribuer à la fois aux transitions écologique et numérique. En ce qui concerne la dimension verte, le volet contribue directement à l’adaptation au changement climatique dans la mesure où il vise à accroître la résilience des territoires ruraux aux incendies. En outre, la gestion active et durable de ces territoires contribue à la prévention de l'érosion des sols, à la lutte contre les espèces envahissantes et les ravageurs et à la séquestration du carbone par les forêts. Enfin, en ce qui concerne la dimension numérique, les mesures prévues pour le système de cadastre de propriété foncière, le système de surveillance de l’occupation des sols (SMOS), y compris le LiDAR (détection et télémétrie de la lumière) et l’imagerie satellitaire à haute résolution, sont mises en évidence dans la mesure où elles promeuvent l’administration en ligne et les services publics numériques.</w:t>
      </w:r>
    </w:p>
    <w:p w14:paraId="599E3544" w14:textId="77777777" w:rsidR="006C686E" w:rsidRDefault="00B17E8C">
      <w:pPr>
        <w:pStyle w:val="P68B1DB1-Normal4"/>
        <w:keepNext/>
        <w:spacing w:before="40" w:after="0"/>
        <w:jc w:val="both"/>
        <w:rPr>
          <w:rFonts w:eastAsia="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256E5309" w14:textId="77777777" w:rsidR="006C686E" w:rsidRDefault="006C686E">
      <w:pPr>
        <w:keepNext/>
        <w:spacing w:before="40" w:after="0"/>
        <w:jc w:val="both"/>
        <w:rPr>
          <w:rFonts w:ascii="Times New Roman" w:eastAsia="Times New Roman" w:hAnsi="Times New Roman" w:cs="Times New Roman"/>
          <w:noProof/>
          <w:kern w:val="0"/>
          <w14:ligatures w14:val="none"/>
        </w:rPr>
      </w:pPr>
    </w:p>
    <w:p w14:paraId="1474583D" w14:textId="77777777" w:rsidR="006C686E" w:rsidRDefault="00B17E8C">
      <w:pPr>
        <w:pStyle w:val="P68B1DB1-Normal1"/>
        <w:keepNext/>
        <w:spacing w:before="40" w:after="0"/>
        <w:ind w:left="130" w:firstLine="720"/>
        <w:jc w:val="both"/>
        <w:outlineLvl w:val="2"/>
        <w:rPr>
          <w:rFonts w:eastAsia="Times New Roman"/>
          <w:bCs/>
          <w:noProof/>
        </w:rPr>
      </w:pPr>
      <w:r>
        <w:rPr>
          <w:noProof/>
        </w:rPr>
        <w:t>H.1. Description des réformes et des investissements pour le soutien financier non remboursable</w:t>
      </w:r>
    </w:p>
    <w:p w14:paraId="4E69D914" w14:textId="77777777" w:rsidR="006C686E" w:rsidRDefault="00B17E8C">
      <w:pPr>
        <w:pStyle w:val="P68B1DB1-Normal5"/>
        <w:keepNext/>
        <w:spacing w:before="240" w:after="0"/>
        <w:ind w:left="851"/>
        <w:jc w:val="both"/>
        <w:outlineLvl w:val="3"/>
        <w:rPr>
          <w:rFonts w:eastAsia="Times New Roman"/>
          <w:noProof/>
        </w:rPr>
      </w:pPr>
      <w:r>
        <w:rPr>
          <w:noProof/>
        </w:rPr>
        <w:t xml:space="preserve">Réforme RE-r19: Transformation du paysage dans les zones forestières vulnérables </w:t>
      </w:r>
    </w:p>
    <w:p w14:paraId="4DB9A197" w14:textId="77777777" w:rsidR="006C686E" w:rsidRDefault="00B17E8C">
      <w:pPr>
        <w:pStyle w:val="P68B1DB1-Normal4"/>
        <w:keepNext/>
        <w:spacing w:before="40" w:after="0"/>
        <w:jc w:val="both"/>
        <w:rPr>
          <w:rFonts w:eastAsia="Times New Roman"/>
          <w:noProof/>
        </w:rPr>
      </w:pPr>
      <w:r>
        <w:rPr>
          <w:noProof/>
        </w:rPr>
        <w:t xml:space="preserve">L’objectif de cette mesure est de transformer le paysage des territoires forestiers vulnérables avec de vastes zones de monocultures non gérées et des risques élevés d’incendies, afin de prévenir les incendies ruraux et d’accroître la résilience climatique et économique. </w:t>
      </w:r>
    </w:p>
    <w:p w14:paraId="65790913" w14:textId="77777777" w:rsidR="006C686E" w:rsidRDefault="00B17E8C">
      <w:pPr>
        <w:pStyle w:val="P68B1DB1-Normal4"/>
        <w:keepNext/>
        <w:spacing w:before="40" w:after="0"/>
        <w:jc w:val="both"/>
        <w:rPr>
          <w:rFonts w:eastAsia="Times New Roman"/>
          <w:noProof/>
        </w:rPr>
      </w:pPr>
      <w:r>
        <w:rPr>
          <w:noProof/>
        </w:rPr>
        <w:t xml:space="preserve">Cette réforme sera mise en œuvre au moyen de l’investissement RE-C08-i01 (Transformation du paysage dans les zones forestières vulnérables). La réforme se compose de quatre mesures qui se complètent et sont décrites ci-dessous: </w:t>
      </w:r>
    </w:p>
    <w:p w14:paraId="6F5E1B54" w14:textId="77777777" w:rsidR="006C686E" w:rsidRDefault="00B17E8C">
      <w:pPr>
        <w:pStyle w:val="P68B1DB1-Normal4"/>
        <w:keepNext/>
        <w:numPr>
          <w:ilvl w:val="0"/>
          <w:numId w:val="42"/>
        </w:numPr>
        <w:spacing w:before="40" w:after="200" w:line="276" w:lineRule="auto"/>
        <w:contextualSpacing/>
        <w:jc w:val="both"/>
        <w:rPr>
          <w:rFonts w:eastAsia="Times New Roman"/>
          <w:noProof/>
        </w:rPr>
      </w:pPr>
      <w:r>
        <w:rPr>
          <w:noProof/>
        </w:rPr>
        <w:t xml:space="preserve">les programmes de planification et de gestion (PRGP); </w:t>
      </w:r>
    </w:p>
    <w:p w14:paraId="084B6845" w14:textId="77777777" w:rsidR="006C686E" w:rsidRDefault="00B17E8C">
      <w:pPr>
        <w:pStyle w:val="P68B1DB1-Normal4"/>
        <w:keepNext/>
        <w:numPr>
          <w:ilvl w:val="0"/>
          <w:numId w:val="42"/>
        </w:numPr>
        <w:spacing w:before="40" w:after="200" w:line="276" w:lineRule="auto"/>
        <w:contextualSpacing/>
        <w:jc w:val="both"/>
        <w:rPr>
          <w:rFonts w:eastAsia="Times New Roman"/>
          <w:noProof/>
        </w:rPr>
      </w:pPr>
      <w:r>
        <w:rPr>
          <w:noProof/>
        </w:rPr>
        <w:t>la zone de gestion intégrée du paysage (AIGP);</w:t>
      </w:r>
    </w:p>
    <w:p w14:paraId="4FEBD131" w14:textId="77777777" w:rsidR="006C686E" w:rsidRDefault="00B17E8C">
      <w:pPr>
        <w:pStyle w:val="P68B1DB1-Normal4"/>
        <w:keepNext/>
        <w:numPr>
          <w:ilvl w:val="0"/>
          <w:numId w:val="42"/>
        </w:numPr>
        <w:spacing w:before="40" w:after="200" w:line="276" w:lineRule="auto"/>
        <w:contextualSpacing/>
        <w:jc w:val="both"/>
        <w:rPr>
          <w:rFonts w:eastAsia="Times New Roman"/>
          <w:noProof/>
        </w:rPr>
      </w:pPr>
      <w:r>
        <w:rPr>
          <w:noProof/>
        </w:rPr>
        <w:t xml:space="preserve">un programme intégré de soutien aux villages ruraux situés dans les territoires forestiers (communauté villageoise); et </w:t>
      </w:r>
    </w:p>
    <w:p w14:paraId="24C5327F" w14:textId="77777777" w:rsidR="006C686E" w:rsidRDefault="00B17E8C">
      <w:pPr>
        <w:pStyle w:val="P68B1DB1-Normal4"/>
        <w:keepNext/>
        <w:numPr>
          <w:ilvl w:val="0"/>
          <w:numId w:val="42"/>
        </w:numPr>
        <w:spacing w:before="40" w:after="200" w:line="276" w:lineRule="auto"/>
        <w:contextualSpacing/>
        <w:jc w:val="both"/>
        <w:rPr>
          <w:rFonts w:eastAsia="Times New Roman"/>
          <w:noProof/>
        </w:rPr>
      </w:pPr>
      <w:r>
        <w:rPr>
          <w:noProof/>
        </w:rPr>
        <w:t xml:space="preserve">le programme </w:t>
      </w:r>
      <w:r>
        <w:rPr>
          <w:i/>
          <w:noProof/>
        </w:rPr>
        <w:t>Emparcelar para Ordenar.</w:t>
      </w:r>
      <w:r>
        <w:rPr>
          <w:noProof/>
        </w:rPr>
        <w:t xml:space="preserve"> </w:t>
      </w:r>
    </w:p>
    <w:p w14:paraId="3C2F08FB" w14:textId="77777777" w:rsidR="006C686E" w:rsidRDefault="00B17E8C">
      <w:pPr>
        <w:pStyle w:val="P68B1DB1-Normal4"/>
        <w:keepNext/>
        <w:spacing w:before="40" w:after="0"/>
        <w:jc w:val="both"/>
        <w:rPr>
          <w:rFonts w:eastAsia="Times New Roman"/>
          <w:noProof/>
        </w:rPr>
      </w:pPr>
      <w:r>
        <w:rPr>
          <w:noProof/>
        </w:rPr>
        <w:t>La réforme s'appuie et soutient le Programme</w:t>
      </w:r>
      <w:r>
        <w:rPr>
          <w:i/>
          <w:noProof/>
        </w:rPr>
        <w:t xml:space="preserve"> de transformation du paysage (Programa de Transformação da Paisagem</w:t>
      </w:r>
      <w:r>
        <w:rPr>
          <w:noProof/>
        </w:rPr>
        <w:t xml:space="preserve"> - PTP) avec le cadre juridique nécessaire. Ce cadre juridique comprend au moins la législation relative à la conversion des paysages au moyen de programmes de planification et de gestion du paysage (PRGP) et de zones de gestion intégrée du paysage (AIGP), la législation visant à approuver la délimitation des territoires vulnérables auxquels les programmes de planification et de gestion du paysage et les zones de gestion intégrée du paysage peuvent s’appliquer, et la législation relative à l’occupation obligatoire des terres rurales dans les zones forestières.</w:t>
      </w:r>
    </w:p>
    <w:p w14:paraId="73784CAA" w14:textId="178CC43C" w:rsidR="006C686E" w:rsidRDefault="00B17E8C">
      <w:pPr>
        <w:keepNext/>
        <w:spacing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30  septembre 2021.</w:t>
      </w:r>
    </w:p>
    <w:p w14:paraId="6921FA89" w14:textId="77777777" w:rsidR="006C686E" w:rsidRDefault="00B17E8C">
      <w:pPr>
        <w:pStyle w:val="P68B1DB1-Normal5"/>
        <w:keepNext/>
        <w:spacing w:before="240" w:after="0"/>
        <w:ind w:left="851"/>
        <w:jc w:val="both"/>
        <w:outlineLvl w:val="3"/>
        <w:rPr>
          <w:rFonts w:eastAsia="Times New Roman"/>
          <w:noProof/>
        </w:rPr>
      </w:pPr>
      <w:r>
        <w:rPr>
          <w:noProof/>
        </w:rPr>
        <w:t>Réforme RE-r20: Réorganisation du système d'enregistrement des biens fonciers et du système de surveillance de l'occupation des sols</w:t>
      </w:r>
    </w:p>
    <w:p w14:paraId="57953F72" w14:textId="77777777" w:rsidR="006C686E" w:rsidRDefault="00B17E8C">
      <w:pPr>
        <w:pStyle w:val="P68B1DB1-Normal4"/>
        <w:keepNext/>
        <w:spacing w:before="40" w:after="0"/>
        <w:jc w:val="both"/>
        <w:rPr>
          <w:rFonts w:eastAsia="Times New Roman"/>
          <w:noProof/>
        </w:rPr>
      </w:pPr>
      <w:r>
        <w:rPr>
          <w:noProof/>
        </w:rPr>
        <w:t>L’objectif de cette mesure est de remédier à l’absence d’un registre foncier multifonctionnel grâce à l’introduction et au développement d’un système d’identification et de vérification des limites de la propriété foncière et à l’enregistrement ultérieur de la propriété foncière. Cela permettra d’avoir une vision cohérente, actualisée et globale du territoire, qui renforcera la valeur des terres pour leurs propriétaires et permettra à l’État d’élaborer des politiques publiques concrètes, durables et multisectorielles.</w:t>
      </w:r>
    </w:p>
    <w:p w14:paraId="13AFE4EA" w14:textId="77777777" w:rsidR="006C686E" w:rsidRDefault="00B17E8C">
      <w:pPr>
        <w:pStyle w:val="P68B1DB1-Normal4"/>
        <w:keepNext/>
        <w:spacing w:before="40" w:after="0"/>
        <w:jc w:val="both"/>
        <w:rPr>
          <w:rFonts w:eastAsia="Times New Roman"/>
          <w:noProof/>
        </w:rPr>
      </w:pPr>
      <w:r>
        <w:rPr>
          <w:noProof/>
        </w:rPr>
        <w:t>La réforme comprend la mise en service du système de surveillance de l’occupation des sols (SMOS) et le développement de la plateforme BUPi (registre foncier numérique), un compteur physique et virtuel contenant des informations géoréférencées sur les propriétés, qui regroupe les informations nécessaires à leur enregistrement et facilite l’interaction des citoyens avec l’administration publique dans le cadre du registre foncier. La réforme établit également le cadre juridique nécessaire pour rendre opérationnel l’investissement RE-C08-i02: Registre foncier rural et système de surveillance de l'occupation des sols. La réforme comprend:</w:t>
      </w:r>
    </w:p>
    <w:p w14:paraId="5DED9915" w14:textId="77777777" w:rsidR="006C686E" w:rsidRDefault="00B17E8C">
      <w:pPr>
        <w:pStyle w:val="P68B1DB1-Normal4"/>
        <w:keepNext/>
        <w:numPr>
          <w:ilvl w:val="0"/>
          <w:numId w:val="43"/>
        </w:numPr>
        <w:spacing w:before="40" w:after="200" w:line="276" w:lineRule="auto"/>
        <w:contextualSpacing/>
        <w:jc w:val="both"/>
        <w:rPr>
          <w:rFonts w:eastAsia="Times New Roman"/>
          <w:noProof/>
        </w:rPr>
      </w:pPr>
      <w:r>
        <w:rPr>
          <w:noProof/>
        </w:rPr>
        <w:t xml:space="preserve">l’adoption d’une loi établissant la structure de mission pour l’expansion du système d’information cadastrale simplifié, une entité publique chargée de surveiller l’expansion du système d’information cadastrale national simplifié et le développement de la plateforme BUPi; </w:t>
      </w:r>
    </w:p>
    <w:p w14:paraId="7F169DAE" w14:textId="77777777" w:rsidR="006C686E" w:rsidRDefault="00B17E8C">
      <w:pPr>
        <w:pStyle w:val="P68B1DB1-Normal4"/>
        <w:keepNext/>
        <w:numPr>
          <w:ilvl w:val="0"/>
          <w:numId w:val="43"/>
        </w:numPr>
        <w:spacing w:before="40" w:after="200" w:line="276" w:lineRule="auto"/>
        <w:contextualSpacing/>
        <w:jc w:val="both"/>
        <w:rPr>
          <w:rFonts w:eastAsia="Times New Roman"/>
          <w:noProof/>
        </w:rPr>
      </w:pPr>
      <w:r>
        <w:rPr>
          <w:noProof/>
        </w:rPr>
        <w:t xml:space="preserve">l'adoption d'un acte portant création du système de fonctionnement et de financement du modèle d'organisation et de développement du système d'information cadastrale simplifié; </w:t>
      </w:r>
    </w:p>
    <w:p w14:paraId="21AC215C" w14:textId="77777777" w:rsidR="006C686E" w:rsidRDefault="00B17E8C">
      <w:pPr>
        <w:pStyle w:val="P68B1DB1-Normal4"/>
        <w:keepNext/>
        <w:numPr>
          <w:ilvl w:val="0"/>
          <w:numId w:val="43"/>
        </w:numPr>
        <w:spacing w:before="40" w:after="200" w:line="276" w:lineRule="auto"/>
        <w:contextualSpacing/>
        <w:jc w:val="both"/>
        <w:rPr>
          <w:rFonts w:eastAsia="Times New Roman"/>
          <w:noProof/>
        </w:rPr>
      </w:pPr>
      <w:r>
        <w:rPr>
          <w:noProof/>
        </w:rPr>
        <w:t>l’adoption d’une loi approuvant le régime juridique du cadastre, établissant le système national d’information cadastrale, articulé avec le système simplifié d’information cadastrale et consacrant la charte cadastrale en tant que carte nationale des terres cadastrales;</w:t>
      </w:r>
    </w:p>
    <w:p w14:paraId="638897B8" w14:textId="77777777" w:rsidR="006C686E" w:rsidRDefault="00B17E8C">
      <w:pPr>
        <w:pStyle w:val="P68B1DB1-Normal29"/>
        <w:keepNext/>
        <w:numPr>
          <w:ilvl w:val="0"/>
          <w:numId w:val="43"/>
        </w:numPr>
        <w:spacing w:before="40" w:after="200" w:line="276" w:lineRule="auto"/>
        <w:contextualSpacing/>
        <w:jc w:val="both"/>
        <w:rPr>
          <w:rFonts w:eastAsia="Times New Roman"/>
          <w:noProof/>
        </w:rPr>
      </w:pPr>
      <w:r>
        <w:rPr>
          <w:noProof/>
        </w:rPr>
        <w:t>l’adoption d’un acte juridique modifiant le décret réglementaire no 9-A/2017 du 3 novembre</w:t>
      </w:r>
      <w:r>
        <w:rPr>
          <w:noProof/>
        </w:rPr>
        <w:footnoteReference w:id="23"/>
      </w:r>
      <w:r>
        <w:rPr>
          <w:noProof/>
        </w:rPr>
        <w:t xml:space="preserve"> qui clarifie le fonctionnement du système d’information cadastrale simplifié et de la plateforme BUPi, en adoptant des mesures pour l’identification immédiate de la structure des terres et de la propriété des terres agricoles et mixtes; et</w:t>
      </w:r>
    </w:p>
    <w:p w14:paraId="0A314AC2" w14:textId="77777777" w:rsidR="006C686E" w:rsidRDefault="00B17E8C">
      <w:pPr>
        <w:pStyle w:val="P68B1DB1-Normal4"/>
        <w:keepNext/>
        <w:numPr>
          <w:ilvl w:val="0"/>
          <w:numId w:val="43"/>
        </w:numPr>
        <w:spacing w:before="40" w:after="200" w:line="276" w:lineRule="auto"/>
        <w:contextualSpacing/>
        <w:jc w:val="both"/>
        <w:rPr>
          <w:rFonts w:eastAsia="Times New Roman"/>
          <w:noProof/>
        </w:rPr>
      </w:pPr>
      <w:r>
        <w:rPr>
          <w:noProof/>
        </w:rPr>
        <w:t>l’élaboration d’une proposition de loi établissant un système extraordinaire d’enregistrement des terres rurales et modifiant le code du registre foncier (CRP).</w:t>
      </w:r>
    </w:p>
    <w:p w14:paraId="200DB0F2" w14:textId="5030A356" w:rsidR="006C686E" w:rsidRDefault="00B17E8C">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décembre 2022.</w:t>
      </w:r>
    </w:p>
    <w:p w14:paraId="4849FDCB" w14:textId="77777777" w:rsidR="006C686E" w:rsidRDefault="00B17E8C">
      <w:pPr>
        <w:pStyle w:val="P68B1DB1-Normal5"/>
        <w:keepNext/>
        <w:spacing w:before="240" w:after="0"/>
        <w:ind w:left="851"/>
        <w:jc w:val="both"/>
        <w:outlineLvl w:val="3"/>
        <w:rPr>
          <w:rFonts w:eastAsia="Times New Roman"/>
          <w:noProof/>
        </w:rPr>
      </w:pPr>
      <w:r>
        <w:rPr>
          <w:noProof/>
        </w:rPr>
        <w:t>Réforme RE-r21: Prévention et lutte contre les incendies en milieu rural</w:t>
      </w:r>
    </w:p>
    <w:p w14:paraId="599A3255" w14:textId="77777777" w:rsidR="006C686E" w:rsidRDefault="00B17E8C">
      <w:pPr>
        <w:pStyle w:val="P68B1DB1-Normal4"/>
        <w:keepNext/>
        <w:spacing w:before="40" w:after="0"/>
        <w:jc w:val="both"/>
        <w:rPr>
          <w:rFonts w:eastAsia="Times New Roman"/>
          <w:noProof/>
        </w:rPr>
      </w:pPr>
      <w:r>
        <w:rPr>
          <w:noProof/>
        </w:rPr>
        <w:t xml:space="preserve">Les objectifs de cette mesure sont d’accroître la prévention et d’améliorer la lutte contre les incendies en milieu rural par la création d’un réseau primaire de pauses de gestion du carburant et le renforcement des entités chargées de la gestion et de la protection contre les incendies en milieu rural. </w:t>
      </w:r>
    </w:p>
    <w:p w14:paraId="0B89BBB4" w14:textId="07A67095" w:rsidR="006C686E" w:rsidRDefault="00B17E8C">
      <w:pPr>
        <w:pStyle w:val="P68B1DB1-Normal4"/>
        <w:keepNext/>
        <w:spacing w:before="40" w:after="0"/>
        <w:jc w:val="both"/>
        <w:rPr>
          <w:rFonts w:eastAsia="Times New Roman"/>
          <w:noProof/>
        </w:rPr>
      </w:pPr>
      <w:r>
        <w:rPr>
          <w:noProof/>
        </w:rPr>
        <w:t>La réforme se compose des éléments suivants:</w:t>
      </w:r>
    </w:p>
    <w:p w14:paraId="3DF28D2E" w14:textId="77777777" w:rsidR="006C686E" w:rsidRDefault="00B17E8C">
      <w:pPr>
        <w:pStyle w:val="P68B1DB1-Normal4"/>
        <w:keepNext/>
        <w:numPr>
          <w:ilvl w:val="0"/>
          <w:numId w:val="43"/>
        </w:numPr>
        <w:spacing w:before="40" w:after="200" w:line="276" w:lineRule="auto"/>
        <w:contextualSpacing/>
        <w:jc w:val="both"/>
        <w:rPr>
          <w:rFonts w:eastAsia="Times New Roman"/>
          <w:noProof/>
        </w:rPr>
      </w:pPr>
      <w:r>
        <w:rPr>
          <w:noProof/>
        </w:rPr>
        <w:t xml:space="preserve">adoption d’une loi approuvant le plan national de gestion intégrée des incendies ruraux (PNGIFR); </w:t>
      </w:r>
    </w:p>
    <w:p w14:paraId="1D1EFEAC" w14:textId="77777777" w:rsidR="006C686E" w:rsidRDefault="00B17E8C">
      <w:pPr>
        <w:pStyle w:val="P68B1DB1-Normal4"/>
        <w:keepNext/>
        <w:numPr>
          <w:ilvl w:val="0"/>
          <w:numId w:val="43"/>
        </w:numPr>
        <w:spacing w:before="40" w:after="200" w:line="276" w:lineRule="auto"/>
        <w:contextualSpacing/>
        <w:jc w:val="both"/>
        <w:rPr>
          <w:rFonts w:eastAsia="Times New Roman"/>
          <w:noProof/>
        </w:rPr>
      </w:pPr>
      <w:r>
        <w:rPr>
          <w:noProof/>
        </w:rPr>
        <w:t xml:space="preserve">l'adoption d'une loi sur la mise en place du système de gestion intégrée des incendies en milieu rural (SIGIFR); et </w:t>
      </w:r>
    </w:p>
    <w:p w14:paraId="491CC19C" w14:textId="77777777" w:rsidR="006C686E" w:rsidRDefault="00B17E8C">
      <w:pPr>
        <w:pStyle w:val="P68B1DB1-Normal4"/>
        <w:keepNext/>
        <w:numPr>
          <w:ilvl w:val="0"/>
          <w:numId w:val="43"/>
        </w:numPr>
        <w:spacing w:before="40" w:after="200" w:line="276" w:lineRule="auto"/>
        <w:contextualSpacing/>
        <w:jc w:val="both"/>
        <w:rPr>
          <w:rFonts w:eastAsia="Times New Roman"/>
          <w:noProof/>
        </w:rPr>
      </w:pPr>
      <w:r>
        <w:rPr>
          <w:noProof/>
        </w:rPr>
        <w:t xml:space="preserve">adoption d’une loi approuvant le programme d’action national du plan national de gestion intégrée des incendies ruraux. </w:t>
      </w:r>
    </w:p>
    <w:p w14:paraId="6F3C4F31" w14:textId="77777777" w:rsidR="006C686E" w:rsidRDefault="00B17E8C">
      <w:pPr>
        <w:pStyle w:val="P68B1DB1-Normal4"/>
        <w:keepNext/>
        <w:spacing w:before="40" w:after="0"/>
        <w:jc w:val="both"/>
        <w:rPr>
          <w:rFonts w:eastAsia="Times New Roman"/>
          <w:noProof/>
        </w:rPr>
      </w:pPr>
      <w:r>
        <w:rPr>
          <w:noProof/>
        </w:rPr>
        <w:t xml:space="preserve">Le système de gestion intégrée des incendies en milieu rural (SIGIFR) fournit, au niveau national, des macropolitiques et des orientations stratégiques qui contribuent à réduire le risque d’incendies en milieu rural et à modifier le comportement des propriétaires, des utilisateurs et des bénéficiaires directs et indirects du territoire rural. Le système définit des modèles de coordination interministérielle, en délimitant les compétences et le champ d’action de chaque entité au sein du SIGIFR, avec une plus grande responsabilisation des différents acteurs du processus décisionnel. Il définit un modèle de gouvernance, de suivi et d'évaluation, qui contribue à l'amélioration continue des politiques et programmes publics. </w:t>
      </w:r>
    </w:p>
    <w:p w14:paraId="77B6FC9D" w14:textId="77777777" w:rsidR="006C686E" w:rsidRDefault="00B17E8C">
      <w:pPr>
        <w:pStyle w:val="P68B1DB1-Normal4"/>
        <w:keepNext/>
        <w:spacing w:before="40" w:after="0"/>
        <w:jc w:val="both"/>
        <w:rPr>
          <w:noProof/>
        </w:rPr>
      </w:pPr>
      <w:r>
        <w:rPr>
          <w:noProof/>
        </w:rPr>
        <w:t>Un système d’information sur les incendies en milieu rural est mis en place afin d’agréger et de diffuser toutes les informations techniques pertinentes provenant du SIGIFR. En outre, elle définit un modèle fondé sur la prévention et la minimisation des risques, soit par des activités de sensibilisation, soit par la mise en place de réseaux régionaux de défense, dans lesquels la gestion du carburant joue un rôle de premier plan dans le régime de sanctions.</w:t>
      </w:r>
    </w:p>
    <w:p w14:paraId="42060FF1" w14:textId="77777777" w:rsidR="006C686E" w:rsidRDefault="006C686E">
      <w:pPr>
        <w:keepNext/>
        <w:spacing w:before="40" w:after="0"/>
        <w:jc w:val="both"/>
        <w:rPr>
          <w:rFonts w:ascii="Times New Roman" w:eastAsia="Times New Roman" w:hAnsi="Times New Roman" w:cs="Times New Roman"/>
          <w:noProof/>
          <w:kern w:val="0"/>
          <w14:ligatures w14:val="none"/>
        </w:rPr>
      </w:pPr>
    </w:p>
    <w:p w14:paraId="7D9E6298" w14:textId="3F1E90E6" w:rsidR="006C686E" w:rsidRDefault="00B17E8C">
      <w:pPr>
        <w:keepNext/>
        <w:spacing w:before="40" w:after="0"/>
        <w:jc w:val="both"/>
        <w:rPr>
          <w:rFonts w:ascii="Times New Roman" w:eastAsia="Calibri" w:hAnsi="Times New Roman" w:cs="Times New Roman"/>
          <w:noProof/>
          <w:kern w:val="0"/>
          <w14:ligatures w14:val="none"/>
        </w:rPr>
        <w:sectPr w:rsidR="006C686E" w:rsidSect="00C95E00">
          <w:headerReference w:type="even" r:id="rId178"/>
          <w:headerReference w:type="default" r:id="rId179"/>
          <w:footerReference w:type="even" r:id="rId180"/>
          <w:footerReference w:type="default" r:id="rId181"/>
          <w:headerReference w:type="first" r:id="rId182"/>
          <w:footerReference w:type="first" r:id="rId183"/>
          <w:pgSz w:w="11907" w:h="16839"/>
          <w:pgMar w:top="1134" w:right="1134" w:bottom="1134" w:left="1134" w:header="567" w:footer="567" w:gutter="0"/>
          <w:cols w:space="720"/>
          <w:docGrid w:linePitch="360"/>
        </w:sectPr>
      </w:pPr>
      <w:r>
        <w:rPr>
          <w:rFonts w:ascii="Times New Roman" w:eastAsia="Calibri" w:hAnsi="Times New Roman" w:cs="Times New Roman"/>
          <w:noProof/>
          <w:kern w:val="0"/>
          <w14:ligatures w14:val="none"/>
        </w:rPr>
        <w:t>La mise en œuvre de la réforme est achevée au plus tard le 30 septembre 2021.</w:t>
      </w:r>
    </w:p>
    <w:p w14:paraId="40395D73" w14:textId="77777777" w:rsidR="006C686E" w:rsidRDefault="00B17E8C">
      <w:pPr>
        <w:pStyle w:val="P68B1DB1-Normal5"/>
        <w:keepNext/>
        <w:spacing w:before="240" w:after="0"/>
        <w:ind w:left="851"/>
        <w:jc w:val="both"/>
        <w:outlineLvl w:val="3"/>
        <w:rPr>
          <w:rFonts w:eastAsia="Times New Roman"/>
          <w:noProof/>
        </w:rPr>
      </w:pPr>
      <w:r>
        <w:rPr>
          <w:noProof/>
        </w:rPr>
        <w:t>Investissement RE-C08-i01: Transformation du paysage dans les zones forestières vulnérables</w:t>
      </w:r>
    </w:p>
    <w:p w14:paraId="73C2E4E8" w14:textId="77777777" w:rsidR="006C686E" w:rsidRDefault="00B17E8C">
      <w:pPr>
        <w:pStyle w:val="P68B1DB1-Normal4"/>
        <w:keepNext/>
        <w:spacing w:before="40" w:after="0"/>
        <w:jc w:val="both"/>
        <w:rPr>
          <w:noProof/>
        </w:rPr>
      </w:pPr>
      <w:r>
        <w:rPr>
          <w:noProof/>
        </w:rPr>
        <w:t xml:space="preserve">L’objectif de cet investissement est d’accroître la résilience des territoires vulnérables aux incendies ruraux et à la perte de biodiversité. </w:t>
      </w:r>
    </w:p>
    <w:p w14:paraId="16D49A36" w14:textId="12A99EB3"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L’investissement comprend </w:t>
      </w:r>
      <w:r>
        <w:rPr>
          <w:noProof/>
        </w:rPr>
        <w:t>l’approbation de programmes de planification et de gestion du paysage, la publication d’opérations de gestion intégrée du paysage (OIGP), des projets de gestion du carburant et le programme «Emparcelar para Ordenar».</w:t>
      </w:r>
    </w:p>
    <w:p w14:paraId="752CBBE4" w14:textId="77777777" w:rsidR="006C686E" w:rsidRDefault="00B17E8C">
      <w:pPr>
        <w:pStyle w:val="P68B1DB1-Normal5"/>
        <w:keepNext/>
        <w:spacing w:before="240" w:after="0"/>
        <w:ind w:left="851"/>
        <w:jc w:val="both"/>
        <w:outlineLvl w:val="3"/>
        <w:rPr>
          <w:rFonts w:eastAsia="Times New Roman"/>
          <w:noProof/>
        </w:rPr>
      </w:pPr>
      <w:r>
        <w:rPr>
          <w:noProof/>
        </w:rPr>
        <w:t>Investissement RE-C08-i02: Registre foncier rural et système de surveillance de l'occupation des sols</w:t>
      </w:r>
    </w:p>
    <w:p w14:paraId="50311576" w14:textId="77777777" w:rsidR="006C686E" w:rsidRDefault="00B17E8C">
      <w:pPr>
        <w:pStyle w:val="P68B1DB1-Normal4"/>
        <w:keepNext/>
        <w:spacing w:before="40" w:after="0"/>
        <w:jc w:val="both"/>
        <w:rPr>
          <w:rFonts w:eastAsia="Times New Roman"/>
          <w:noProof/>
        </w:rPr>
      </w:pPr>
      <w:r>
        <w:rPr>
          <w:noProof/>
        </w:rPr>
        <w:t>L'objectif de cet investissement est de fournir à l'État portugais une</w:t>
      </w:r>
      <w:r>
        <w:rPr>
          <w:noProof/>
          <w:bdr w:val="none" w:sz="0" w:space="0" w:color="auto" w:frame="1"/>
        </w:rPr>
        <w:t xml:space="preserve"> base de connaissances routières du territoire, en particulier en ce qui concerne le type et les limites des propriétés rurales. </w:t>
      </w:r>
    </w:p>
    <w:p w14:paraId="06111E9F" w14:textId="1739B309" w:rsidR="006C686E" w:rsidRDefault="00B17E8C">
      <w:pPr>
        <w:pStyle w:val="P68B1DB1-Normal3"/>
        <w:keepNext/>
        <w:spacing w:before="40" w:after="0"/>
        <w:jc w:val="both"/>
        <w:rPr>
          <w:rFonts w:eastAsia="Times New Roman"/>
          <w:noProof/>
          <w:kern w:val="0"/>
          <w14:ligatures w14:val="none"/>
        </w:rPr>
      </w:pPr>
      <w:r>
        <w:rPr>
          <w:noProof/>
          <w:kern w:val="0"/>
          <w14:ligatures w14:val="none"/>
        </w:rPr>
        <w:t>Cet investissement se compose</w:t>
      </w:r>
      <w:r>
        <w:rPr>
          <w:noProof/>
        </w:rPr>
        <w:t xml:space="preserve"> d'un</w:t>
      </w:r>
      <w:r>
        <w:rPr>
          <w:noProof/>
          <w:kern w:val="0"/>
          <w14:ligatures w14:val="none"/>
        </w:rPr>
        <w:t xml:space="preserve">  </w:t>
      </w:r>
      <w:r>
        <w:rPr>
          <w:noProof/>
        </w:rPr>
        <w:t xml:space="preserve">registre foncier rural </w:t>
      </w:r>
      <w:r>
        <w:rPr>
          <w:noProof/>
          <w:kern w:val="0"/>
          <w14:ligatures w14:val="none"/>
        </w:rPr>
        <w:t xml:space="preserve">et </w:t>
      </w:r>
      <w:r>
        <w:rPr>
          <w:noProof/>
        </w:rPr>
        <w:t>d'un</w:t>
      </w:r>
      <w:r>
        <w:rPr>
          <w:noProof/>
          <w:kern w:val="0"/>
          <w14:ligatures w14:val="none"/>
        </w:rPr>
        <w:t xml:space="preserve"> système de surveillance.   </w:t>
      </w:r>
    </w:p>
    <w:p w14:paraId="59D06991" w14:textId="77777777" w:rsidR="006C686E" w:rsidRDefault="00B17E8C">
      <w:pPr>
        <w:pStyle w:val="P68B1DB1-Normal5"/>
        <w:keepNext/>
        <w:spacing w:before="240" w:after="0"/>
        <w:ind w:left="851"/>
        <w:jc w:val="both"/>
        <w:outlineLvl w:val="3"/>
        <w:rPr>
          <w:rFonts w:eastAsia="Times New Roman"/>
          <w:noProof/>
        </w:rPr>
      </w:pPr>
      <w:r>
        <w:rPr>
          <w:noProof/>
        </w:rPr>
        <w:t>Investissement RE-C08-i03: Pauses de gestion du carburant — réseau primaire</w:t>
      </w:r>
    </w:p>
    <w:p w14:paraId="2B6EB52C"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L'objectif de cet </w:t>
      </w:r>
      <w:r>
        <w:rPr>
          <w:noProof/>
        </w:rPr>
        <w:t xml:space="preserve">investissement </w:t>
      </w:r>
      <w:r>
        <w:rPr>
          <w:noProof/>
          <w:kern w:val="0"/>
          <w14:ligatures w14:val="none"/>
        </w:rPr>
        <w:t xml:space="preserve">est </w:t>
      </w:r>
      <w:r>
        <w:rPr>
          <w:noProof/>
        </w:rPr>
        <w:t xml:space="preserve">de prévenir et de combattre les incendies ruraux par des discontinuités horizontales dans le paysage. </w:t>
      </w:r>
    </w:p>
    <w:p w14:paraId="51291620" w14:textId="1B962EDF" w:rsidR="006C686E" w:rsidRDefault="00B17E8C">
      <w:pPr>
        <w:pStyle w:val="P68B1DB1-Normal3"/>
        <w:keepNext/>
        <w:spacing w:before="40" w:after="0"/>
        <w:jc w:val="both"/>
        <w:rPr>
          <w:rFonts w:eastAsia="Times New Roman"/>
          <w:noProof/>
          <w:kern w:val="0"/>
          <w14:ligatures w14:val="none"/>
        </w:rPr>
      </w:pPr>
      <w:r>
        <w:rPr>
          <w:noProof/>
          <w:kern w:val="0"/>
          <w14:ligatures w14:val="none"/>
        </w:rPr>
        <w:t>L'investissement</w:t>
      </w:r>
      <w:r>
        <w:rPr>
          <w:noProof/>
        </w:rPr>
        <w:t xml:space="preserve"> consiste en des pauses de gestion du carburant dans la végétation.</w:t>
      </w:r>
    </w:p>
    <w:p w14:paraId="3042ABDB" w14:textId="77777777" w:rsidR="006C686E" w:rsidRDefault="00B17E8C">
      <w:pPr>
        <w:pStyle w:val="P68B1DB1-Normal5"/>
        <w:keepNext/>
        <w:spacing w:before="240" w:after="0"/>
        <w:ind w:left="851"/>
        <w:jc w:val="both"/>
        <w:outlineLvl w:val="3"/>
        <w:rPr>
          <w:rFonts w:eastAsia="Times New Roman"/>
          <w:noProof/>
        </w:rPr>
      </w:pPr>
      <w:r>
        <w:rPr>
          <w:noProof/>
        </w:rPr>
        <w:t>Investissement RE-C08-i04: Moyens de prévention et de lutte contre les incendies en milieu rural</w:t>
      </w:r>
    </w:p>
    <w:p w14:paraId="08C7CF6C" w14:textId="77777777" w:rsidR="006C686E" w:rsidRDefault="00B17E8C">
      <w:pPr>
        <w:pStyle w:val="P68B1DB1-Normal4"/>
        <w:keepNext/>
        <w:spacing w:before="40" w:after="0"/>
        <w:jc w:val="both"/>
        <w:rPr>
          <w:rFonts w:eastAsia="Times New Roman"/>
          <w:noProof/>
        </w:rPr>
      </w:pPr>
      <w:r>
        <w:rPr>
          <w:noProof/>
        </w:rPr>
        <w:t xml:space="preserve">L'objectif de cet investissement est de prévenir et de combattre les incendies en milieu rural. </w:t>
      </w:r>
    </w:p>
    <w:p w14:paraId="746D140F"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Cet investissement consiste en l'achat d'équipements, de </w:t>
      </w:r>
      <w:r>
        <w:rPr>
          <w:noProof/>
        </w:rPr>
        <w:t xml:space="preserve">véhicules et d'hélicoptères. </w:t>
      </w:r>
    </w:p>
    <w:p w14:paraId="17A77BA3" w14:textId="77777777" w:rsidR="006C686E" w:rsidRDefault="00B17E8C">
      <w:pPr>
        <w:pStyle w:val="P68B1DB1-Normal5"/>
        <w:keepNext/>
        <w:spacing w:before="240" w:after="0"/>
        <w:ind w:left="851"/>
        <w:jc w:val="both"/>
        <w:outlineLvl w:val="3"/>
        <w:rPr>
          <w:rFonts w:eastAsia="Times New Roman"/>
          <w:noProof/>
        </w:rPr>
      </w:pPr>
      <w:r>
        <w:rPr>
          <w:noProof/>
        </w:rPr>
        <w:t>Investissement RE-C08-i05: Plus de programmes forestiers</w:t>
      </w:r>
    </w:p>
    <w:p w14:paraId="0F3EDD2E" w14:textId="021EC563" w:rsidR="006C686E" w:rsidRDefault="00B17E8C">
      <w:pPr>
        <w:pStyle w:val="P68B1DB1-Normal4"/>
        <w:keepNext/>
        <w:spacing w:before="40" w:after="0"/>
        <w:jc w:val="both"/>
        <w:rPr>
          <w:noProof/>
        </w:rPr>
      </w:pPr>
      <w:r>
        <w:rPr>
          <w:noProof/>
        </w:rPr>
        <w:t xml:space="preserve">L’objectif de cet investissement est de moderniser le système de prévention et de lutte contre les incendies, de renforcer la gestion des forêts et de soutenir la santé des végétaux et des animaux dans le secteur forestier. </w:t>
      </w:r>
    </w:p>
    <w:p w14:paraId="79B7F3B1" w14:textId="77777777" w:rsidR="006C686E" w:rsidRDefault="00B17E8C">
      <w:pPr>
        <w:pStyle w:val="P68B1DB1-Normal4"/>
        <w:keepNext/>
        <w:spacing w:before="40" w:after="0"/>
        <w:jc w:val="both"/>
        <w:rPr>
          <w:rFonts w:eastAsia="Times New Roman"/>
          <w:noProof/>
        </w:rPr>
      </w:pPr>
      <w:r>
        <w:rPr>
          <w:noProof/>
        </w:rPr>
        <w:t>Cet investissement consiste en une formation, de l'équipement et des infrastructures pour soutenir la prévention et la gestion des incendies de forêt.</w:t>
      </w:r>
    </w:p>
    <w:p w14:paraId="210CC02B"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sectPr w:rsidR="006C686E" w:rsidSect="00C95E00">
          <w:headerReference w:type="even" r:id="rId184"/>
          <w:headerReference w:type="default" r:id="rId185"/>
          <w:footerReference w:type="even" r:id="rId186"/>
          <w:footerReference w:type="default" r:id="rId187"/>
          <w:headerReference w:type="first" r:id="rId188"/>
          <w:footerReference w:type="first" r:id="rId189"/>
          <w:pgSz w:w="11907" w:h="16839"/>
          <w:pgMar w:top="1134" w:right="1134" w:bottom="1134" w:left="1134" w:header="567" w:footer="567" w:gutter="0"/>
          <w:cols w:space="720"/>
          <w:docGrid w:linePitch="360"/>
        </w:sectPr>
      </w:pPr>
    </w:p>
    <w:p w14:paraId="0134F6A2" w14:textId="77777777" w:rsidR="006C686E" w:rsidRDefault="00B17E8C">
      <w:pPr>
        <w:pStyle w:val="P68B1DB1-Normal1"/>
        <w:keepNext/>
        <w:spacing w:before="40" w:after="0"/>
        <w:ind w:left="130" w:firstLine="720"/>
        <w:jc w:val="both"/>
        <w:outlineLvl w:val="2"/>
        <w:rPr>
          <w:rFonts w:eastAsia="Times New Roman"/>
          <w:bCs/>
          <w:noProof/>
        </w:rPr>
      </w:pPr>
      <w:r>
        <w:rPr>
          <w:noProof/>
        </w:rPr>
        <w:t>H.2. 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490"/>
        <w:gridCol w:w="992"/>
        <w:gridCol w:w="1316"/>
        <w:gridCol w:w="1377"/>
        <w:gridCol w:w="993"/>
        <w:gridCol w:w="992"/>
        <w:gridCol w:w="999"/>
        <w:gridCol w:w="629"/>
        <w:gridCol w:w="782"/>
        <w:gridCol w:w="3832"/>
      </w:tblGrid>
      <w:tr w:rsidR="006C686E" w14:paraId="31DED969" w14:textId="77777777" w:rsidTr="0024749C">
        <w:trPr>
          <w:trHeight w:val="910"/>
          <w:tblHeader/>
          <w:jc w:val="center"/>
        </w:trPr>
        <w:tc>
          <w:tcPr>
            <w:tcW w:w="105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C83ACEC" w14:textId="2D2CE865" w:rsidR="006C686E" w:rsidRDefault="00B17E8C">
            <w:pPr>
              <w:pStyle w:val="P68B1DB1-Normal9"/>
              <w:spacing w:after="0" w:line="240" w:lineRule="auto"/>
              <w:jc w:val="center"/>
              <w:rPr>
                <w:rFonts w:eastAsia="Times New Roman"/>
                <w:bCs/>
                <w:noProof/>
              </w:rPr>
            </w:pPr>
            <w:r>
              <w:rPr>
                <w:noProof/>
              </w:rPr>
              <w:t>Numéro séquentiel</w:t>
            </w:r>
          </w:p>
        </w:tc>
        <w:tc>
          <w:tcPr>
            <w:tcW w:w="149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28D9800" w14:textId="77777777" w:rsidR="006C686E" w:rsidRDefault="00B17E8C">
            <w:pPr>
              <w:pStyle w:val="P68B1DB1-Normal9"/>
              <w:spacing w:after="0" w:line="240" w:lineRule="auto"/>
              <w:jc w:val="center"/>
              <w:rPr>
                <w:rFonts w:eastAsia="Times New Roman"/>
                <w:bCs/>
                <w:noProof/>
              </w:rPr>
            </w:pPr>
            <w:r>
              <w:rPr>
                <w:noProof/>
              </w:rPr>
              <w:t>Mesure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D0D0FAA" w14:textId="77777777" w:rsidR="006C686E" w:rsidRDefault="00B17E8C">
            <w:pPr>
              <w:pStyle w:val="P68B1DB1-Normal9"/>
              <w:spacing w:after="0" w:line="240" w:lineRule="auto"/>
              <w:jc w:val="center"/>
              <w:rPr>
                <w:rFonts w:eastAsia="Times New Roman"/>
                <w:bCs/>
                <w:noProof/>
              </w:rPr>
            </w:pPr>
            <w:r>
              <w:rPr>
                <w:noProof/>
              </w:rPr>
              <w:t>Étape-/ Objectif</w:t>
            </w:r>
          </w:p>
        </w:tc>
        <w:tc>
          <w:tcPr>
            <w:tcW w:w="131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91EDA86" w14:textId="77777777" w:rsidR="006C686E" w:rsidRDefault="00B17E8C">
            <w:pPr>
              <w:pStyle w:val="P68B1DB1-Normal9"/>
              <w:spacing w:after="0" w:line="240" w:lineRule="auto"/>
              <w:jc w:val="center"/>
              <w:rPr>
                <w:rFonts w:eastAsia="Times New Roman"/>
                <w:bCs/>
                <w:noProof/>
              </w:rPr>
            </w:pPr>
            <w:r>
              <w:rPr>
                <w:noProof/>
              </w:rPr>
              <w:t>Nom</w:t>
            </w:r>
          </w:p>
        </w:tc>
        <w:tc>
          <w:tcPr>
            <w:tcW w:w="13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FB24AEE" w14:textId="77777777" w:rsidR="006C686E" w:rsidRDefault="00B17E8C">
            <w:pPr>
              <w:pStyle w:val="P68B1DB1-Normal9"/>
              <w:spacing w:after="0" w:line="240" w:lineRule="auto"/>
              <w:jc w:val="center"/>
              <w:rPr>
                <w:rFonts w:eastAsia="Times New Roman"/>
                <w:bCs/>
                <w:noProof/>
              </w:rPr>
            </w:pPr>
            <w:r>
              <w:rPr>
                <w:noProof/>
              </w:rPr>
              <w:t>Indicateurs qualitatifs (pour les jalons)</w:t>
            </w:r>
          </w:p>
        </w:tc>
        <w:tc>
          <w:tcPr>
            <w:tcW w:w="298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65F156DD" w14:textId="77777777" w:rsidR="006C686E" w:rsidRDefault="00B17E8C">
            <w:pPr>
              <w:pStyle w:val="P68B1DB1-Normal9"/>
              <w:spacing w:after="0" w:line="240" w:lineRule="auto"/>
              <w:jc w:val="center"/>
              <w:rPr>
                <w:rFonts w:eastAsia="Times New Roman"/>
                <w:bCs/>
                <w:noProof/>
              </w:rPr>
            </w:pPr>
            <w:r>
              <w:rPr>
                <w:noProof/>
              </w:rPr>
              <w:t>Indicateurs quantitatifs (pour les objectifs)</w:t>
            </w:r>
          </w:p>
        </w:tc>
        <w:tc>
          <w:tcPr>
            <w:tcW w:w="141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69E4448" w14:textId="77777777" w:rsidR="006C686E" w:rsidRDefault="00B17E8C">
            <w:pPr>
              <w:pStyle w:val="P68B1DB1-Normal9"/>
              <w:spacing w:after="0" w:line="240" w:lineRule="auto"/>
              <w:jc w:val="center"/>
              <w:rPr>
                <w:rFonts w:eastAsia="Times New Roman"/>
                <w:bCs/>
                <w:noProof/>
              </w:rPr>
            </w:pPr>
            <w:r>
              <w:rPr>
                <w:noProof/>
              </w:rPr>
              <w:t>Calendrier indicatif d'achèvement</w:t>
            </w:r>
          </w:p>
        </w:tc>
        <w:tc>
          <w:tcPr>
            <w:tcW w:w="383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0AE82DB" w14:textId="77777777" w:rsidR="006C686E" w:rsidRDefault="00B17E8C">
            <w:pPr>
              <w:pStyle w:val="P68B1DB1-Normal9"/>
              <w:spacing w:after="0" w:line="240" w:lineRule="auto"/>
              <w:jc w:val="center"/>
              <w:rPr>
                <w:rFonts w:eastAsia="Times New Roman"/>
                <w:bCs/>
                <w:noProof/>
              </w:rPr>
            </w:pPr>
            <w:r>
              <w:rPr>
                <w:noProof/>
              </w:rPr>
              <w:t>Description et définition claire de chaque jalon et cible</w:t>
            </w:r>
          </w:p>
        </w:tc>
      </w:tr>
      <w:tr w:rsidR="006C686E" w14:paraId="263D340B" w14:textId="77777777" w:rsidTr="0024749C">
        <w:trPr>
          <w:trHeight w:val="470"/>
          <w:tblHeader/>
          <w:jc w:val="center"/>
        </w:trPr>
        <w:tc>
          <w:tcPr>
            <w:tcW w:w="1057" w:type="dxa"/>
            <w:vMerge/>
            <w:tcBorders>
              <w:top w:val="single" w:sz="4" w:space="0" w:color="auto"/>
              <w:left w:val="single" w:sz="4" w:space="0" w:color="auto"/>
              <w:bottom w:val="single" w:sz="4" w:space="0" w:color="auto"/>
              <w:right w:val="single" w:sz="4" w:space="0" w:color="auto"/>
            </w:tcBorders>
            <w:vAlign w:val="center"/>
            <w:hideMark/>
          </w:tcPr>
          <w:p w14:paraId="4D47606B"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464AC974"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E1F4626" w14:textId="77777777" w:rsidR="006C686E" w:rsidRDefault="006C686E">
            <w:pPr>
              <w:spacing w:after="0" w:line="240" w:lineRule="auto"/>
              <w:jc w:val="center"/>
              <w:rPr>
                <w:rFonts w:ascii="Times New Roman" w:eastAsia="Times New Roman" w:hAnsi="Times New Roman" w:cs="Times New Roman"/>
                <w:b/>
                <w:bCs/>
                <w:noProof/>
                <w:kern w:val="0"/>
                <w:sz w:val="18"/>
                <w:szCs w:val="18"/>
                <w14:ligatures w14:val="none"/>
              </w:rPr>
            </w:pPr>
          </w:p>
        </w:tc>
        <w:tc>
          <w:tcPr>
            <w:tcW w:w="1316" w:type="dxa"/>
            <w:vMerge/>
            <w:tcBorders>
              <w:top w:val="single" w:sz="4" w:space="0" w:color="auto"/>
              <w:left w:val="single" w:sz="4" w:space="0" w:color="auto"/>
              <w:bottom w:val="single" w:sz="4" w:space="0" w:color="auto"/>
              <w:right w:val="single" w:sz="4" w:space="0" w:color="auto"/>
            </w:tcBorders>
            <w:vAlign w:val="center"/>
            <w:hideMark/>
          </w:tcPr>
          <w:p w14:paraId="50D305EE"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4A976B67" w14:textId="77777777" w:rsidR="006C686E" w:rsidRDefault="006C686E">
            <w:pPr>
              <w:spacing w:after="0" w:line="240" w:lineRule="auto"/>
              <w:rPr>
                <w:rFonts w:ascii="Times New Roman" w:eastAsia="Times New Roman" w:hAnsi="Times New Roman" w:cs="Times New Roman"/>
                <w:b/>
                <w:bCs/>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E00367F" w14:textId="77777777" w:rsidR="006C686E" w:rsidRDefault="00B17E8C">
            <w:pPr>
              <w:pStyle w:val="P68B1DB1-Normal9"/>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9376513" w14:textId="77777777" w:rsidR="006C686E" w:rsidRDefault="00B17E8C">
            <w:pPr>
              <w:pStyle w:val="P68B1DB1-Normal9"/>
              <w:spacing w:after="0" w:line="240" w:lineRule="auto"/>
              <w:jc w:val="center"/>
              <w:rPr>
                <w:rFonts w:eastAsia="Times New Roman"/>
                <w:bCs/>
                <w:noProof/>
              </w:rPr>
            </w:pPr>
            <w:r>
              <w:rPr>
                <w:noProof/>
              </w:rPr>
              <w:t>Données de référence</w:t>
            </w:r>
          </w:p>
        </w:tc>
        <w:tc>
          <w:tcPr>
            <w:tcW w:w="9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D2D79EC" w14:textId="77777777" w:rsidR="006C686E" w:rsidRDefault="00B17E8C">
            <w:pPr>
              <w:pStyle w:val="P68B1DB1-Normal9"/>
              <w:spacing w:after="0" w:line="240" w:lineRule="auto"/>
              <w:jc w:val="center"/>
              <w:rPr>
                <w:rFonts w:eastAsia="Times New Roman"/>
                <w:bCs/>
                <w:noProof/>
              </w:rPr>
            </w:pPr>
            <w:r>
              <w:rPr>
                <w:noProof/>
              </w:rPr>
              <w:t>Objectif</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4AB1B6B" w14:textId="77777777" w:rsidR="006C686E" w:rsidRDefault="00B17E8C">
            <w:pPr>
              <w:pStyle w:val="P68B1DB1-Normal9"/>
              <w:spacing w:after="0" w:line="240" w:lineRule="auto"/>
              <w:jc w:val="center"/>
              <w:rPr>
                <w:rFonts w:eastAsia="Times New Roman"/>
                <w:bCs/>
                <w:noProof/>
              </w:rPr>
            </w:pPr>
            <w:r>
              <w:rPr>
                <w:noProof/>
              </w:rPr>
              <w:t>Q</w:t>
            </w:r>
          </w:p>
        </w:tc>
        <w:tc>
          <w:tcPr>
            <w:tcW w:w="78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34792B2" w14:textId="77777777" w:rsidR="006C686E" w:rsidRDefault="00B17E8C">
            <w:pPr>
              <w:pStyle w:val="P68B1DB1-Normal9"/>
              <w:spacing w:after="0" w:line="240" w:lineRule="auto"/>
              <w:jc w:val="center"/>
              <w:rPr>
                <w:rFonts w:eastAsia="Times New Roman"/>
                <w:bCs/>
                <w:noProof/>
              </w:rPr>
            </w:pPr>
            <w:r>
              <w:rPr>
                <w:noProof/>
              </w:rPr>
              <w:t>Année</w:t>
            </w:r>
          </w:p>
        </w:tc>
        <w:tc>
          <w:tcPr>
            <w:tcW w:w="3832" w:type="dxa"/>
            <w:vMerge/>
            <w:tcBorders>
              <w:top w:val="single" w:sz="4" w:space="0" w:color="auto"/>
              <w:left w:val="single" w:sz="4" w:space="0" w:color="auto"/>
              <w:bottom w:val="single" w:sz="4" w:space="0" w:color="auto"/>
              <w:right w:val="single" w:sz="4" w:space="0" w:color="auto"/>
            </w:tcBorders>
            <w:vAlign w:val="center"/>
            <w:hideMark/>
          </w:tcPr>
          <w:p w14:paraId="6BD35A54"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r>
      <w:tr w:rsidR="006C686E" w14:paraId="0240A0AA" w14:textId="77777777" w:rsidTr="0024749C">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024737" w14:textId="77777777" w:rsidR="006C686E" w:rsidRDefault="00B17E8C">
            <w:pPr>
              <w:pStyle w:val="P68B1DB1-Normal10"/>
              <w:spacing w:after="0" w:line="240" w:lineRule="auto"/>
              <w:jc w:val="center"/>
              <w:rPr>
                <w:rFonts w:eastAsia="Times New Roman"/>
                <w:bCs/>
                <w:noProof/>
              </w:rPr>
            </w:pPr>
            <w:r>
              <w:rPr>
                <w:noProof/>
              </w:rPr>
              <w:t>8.1</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2CBD2" w14:textId="77777777" w:rsidR="006C686E" w:rsidRDefault="00B17E8C">
            <w:pPr>
              <w:pStyle w:val="P68B1DB1-Normal11"/>
              <w:spacing w:after="0" w:line="240" w:lineRule="auto"/>
              <w:jc w:val="center"/>
              <w:rPr>
                <w:rFonts w:eastAsia="Times New Roman"/>
                <w:noProof/>
              </w:rPr>
            </w:pPr>
            <w:r>
              <w:rPr>
                <w:noProof/>
              </w:rPr>
              <w:t>RE-C08-i01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1EBAA"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BAB154" w14:textId="77777777" w:rsidR="006C686E" w:rsidRDefault="00B17E8C">
            <w:pPr>
              <w:pStyle w:val="P68B1DB1-Normal11"/>
              <w:spacing w:after="0" w:line="240" w:lineRule="auto"/>
              <w:jc w:val="center"/>
              <w:rPr>
                <w:rFonts w:eastAsia="Times New Roman"/>
                <w:noProof/>
              </w:rPr>
            </w:pPr>
            <w:r>
              <w:rPr>
                <w:noProof/>
              </w:rPr>
              <w:t xml:space="preserve">Approbation des programmes de planification et de gestion du paysage (PRGP)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318B74" w14:textId="1039F606"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FB3DD"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640424"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FFD7A3" w14:textId="77777777" w:rsidR="006C686E" w:rsidRDefault="00B17E8C">
            <w:pPr>
              <w:pStyle w:val="P68B1DB1-Normal11"/>
              <w:spacing w:after="0" w:line="240" w:lineRule="auto"/>
              <w:jc w:val="center"/>
              <w:rPr>
                <w:rFonts w:eastAsia="Times New Roman"/>
                <w:noProof/>
              </w:rPr>
            </w:pPr>
            <w:r>
              <w:rPr>
                <w:noProof/>
              </w:rPr>
              <w:t>20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0033AD" w14:textId="77777777" w:rsidR="006C686E" w:rsidRDefault="00B17E8C">
            <w:pPr>
              <w:pStyle w:val="P68B1DB1-Normal11"/>
              <w:spacing w:after="0" w:line="240" w:lineRule="auto"/>
              <w:jc w:val="center"/>
              <w:rPr>
                <w:rFonts w:eastAsia="Times New Roman"/>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CB34D1" w14:textId="77777777" w:rsidR="006C686E" w:rsidRDefault="00B17E8C">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B5EC8C" w14:textId="05426BE0" w:rsidR="006C686E" w:rsidRDefault="00B17E8C">
            <w:pPr>
              <w:pStyle w:val="P68B1DB1-Normal11"/>
              <w:spacing w:after="0" w:line="240" w:lineRule="auto"/>
              <w:rPr>
                <w:rFonts w:eastAsia="Times New Roman"/>
                <w:noProof/>
              </w:rPr>
            </w:pPr>
            <w:r>
              <w:rPr>
                <w:noProof/>
              </w:rPr>
              <w:t>Entrée en vigueur d'actes juridiques visant à approuver 20 programmes d'aménagement et de gestion du paysage (PRGP).</w:t>
            </w:r>
          </w:p>
        </w:tc>
      </w:tr>
      <w:tr w:rsidR="006C686E" w14:paraId="79C621AD" w14:textId="77777777" w:rsidTr="0024749C">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603928" w14:textId="77777777" w:rsidR="006C686E" w:rsidRDefault="00B17E8C">
            <w:pPr>
              <w:pStyle w:val="P68B1DB1-Normal10"/>
              <w:spacing w:after="0" w:line="240" w:lineRule="auto"/>
              <w:jc w:val="center"/>
              <w:rPr>
                <w:rFonts w:eastAsia="Times New Roman"/>
                <w:bCs/>
                <w:noProof/>
              </w:rPr>
            </w:pPr>
            <w:r>
              <w:rPr>
                <w:noProof/>
              </w:rPr>
              <w:t>8.2</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7D6B21" w14:textId="77777777" w:rsidR="006C686E" w:rsidRDefault="00B17E8C">
            <w:pPr>
              <w:pStyle w:val="P68B1DB1-Normal11"/>
              <w:spacing w:after="0" w:line="240" w:lineRule="auto"/>
              <w:jc w:val="center"/>
              <w:rPr>
                <w:rFonts w:eastAsia="Times New Roman"/>
                <w:noProof/>
              </w:rPr>
            </w:pPr>
            <w:r>
              <w:rPr>
                <w:noProof/>
              </w:rPr>
              <w:t>RE-C08-i01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83B948"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67C3DE" w14:textId="77777777" w:rsidR="006C686E" w:rsidRDefault="00B17E8C">
            <w:pPr>
              <w:pStyle w:val="P68B1DB1-Normal11"/>
              <w:spacing w:after="0" w:line="240" w:lineRule="auto"/>
              <w:jc w:val="center"/>
              <w:rPr>
                <w:rFonts w:eastAsia="Times New Roman"/>
                <w:noProof/>
              </w:rPr>
            </w:pPr>
            <w:r>
              <w:rPr>
                <w:noProof/>
              </w:rPr>
              <w:t>Publication des Opérations de Gestion Intégrée du Paysage (OIGP) dans le Diário da Republica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1E4C8" w14:textId="1A9FF21D"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428AEB" w14:textId="77777777" w:rsidR="006C686E" w:rsidRDefault="00B17E8C">
            <w:pPr>
              <w:pStyle w:val="P68B1DB1-Normal11"/>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D85767"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DD1D4" w14:textId="77777777" w:rsidR="006C686E" w:rsidRDefault="00B17E8C">
            <w:pPr>
              <w:pStyle w:val="P68B1DB1-Normal11"/>
              <w:spacing w:after="0" w:line="240" w:lineRule="auto"/>
              <w:jc w:val="center"/>
              <w:rPr>
                <w:rFonts w:eastAsia="Times New Roman"/>
                <w:noProof/>
              </w:rPr>
            </w:pPr>
            <w:r>
              <w:rPr>
                <w:noProof/>
              </w:rPr>
              <w:t>60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876976" w14:textId="77777777" w:rsidR="006C686E" w:rsidRDefault="00B17E8C">
            <w:pPr>
              <w:pStyle w:val="P68B1DB1-Normal11"/>
              <w:spacing w:after="0" w:line="240" w:lineRule="auto"/>
              <w:jc w:val="center"/>
              <w:rPr>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E5BD98" w14:textId="77777777" w:rsidR="006C686E" w:rsidRDefault="00B17E8C">
            <w:pPr>
              <w:pStyle w:val="P68B1DB1-Normal11"/>
              <w:spacing w:after="0" w:line="240" w:lineRule="auto"/>
              <w:jc w:val="center"/>
              <w:rPr>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A72F16" w14:textId="77777777" w:rsidR="006C686E" w:rsidRDefault="00B17E8C">
            <w:pPr>
              <w:pStyle w:val="P68B1DB1-Normal11"/>
              <w:spacing w:after="0" w:line="240" w:lineRule="auto"/>
              <w:rPr>
                <w:rFonts w:eastAsia="Times New Roman"/>
                <w:noProof/>
              </w:rPr>
            </w:pPr>
            <w:r>
              <w:rPr>
                <w:noProof/>
              </w:rPr>
              <w:t>Approbation et publication au Diário da Republica de 60 opérations de gestion intégrée du paysage (OIGP). Les OIGP définissent les actions de gestion des terres et des forêts et les ressources financières.</w:t>
            </w:r>
          </w:p>
        </w:tc>
      </w:tr>
      <w:tr w:rsidR="006C686E" w14:paraId="2F0DC690" w14:textId="77777777" w:rsidTr="0024749C">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4106DD03" w14:textId="77777777" w:rsidR="006C686E" w:rsidRDefault="00B17E8C">
            <w:pPr>
              <w:pStyle w:val="P68B1DB1-Normal10"/>
              <w:spacing w:after="0" w:line="240" w:lineRule="auto"/>
              <w:jc w:val="center"/>
              <w:rPr>
                <w:rFonts w:eastAsia="Times New Roman"/>
                <w:bCs/>
                <w:noProof/>
              </w:rPr>
            </w:pPr>
            <w:r>
              <w:rPr>
                <w:noProof/>
              </w:rPr>
              <w:t>8.3</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599CF9" w14:textId="77777777" w:rsidR="006C686E" w:rsidRDefault="00B17E8C">
            <w:pPr>
              <w:pStyle w:val="P68B1DB1-Normal11"/>
              <w:spacing w:after="0" w:line="240" w:lineRule="auto"/>
              <w:jc w:val="center"/>
              <w:rPr>
                <w:rFonts w:eastAsia="Times New Roman"/>
                <w:noProof/>
              </w:rPr>
            </w:pPr>
            <w:r>
              <w:rPr>
                <w:noProof/>
              </w:rPr>
              <w:t>RE-C08-i01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E7D0F9"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48DC77" w14:textId="77777777" w:rsidR="006C686E" w:rsidRDefault="00B17E8C">
            <w:pPr>
              <w:pStyle w:val="P68B1DB1-Normal11"/>
              <w:spacing w:after="0" w:line="240" w:lineRule="auto"/>
              <w:jc w:val="center"/>
              <w:rPr>
                <w:rFonts w:eastAsia="Times New Roman"/>
                <w:noProof/>
              </w:rPr>
            </w:pPr>
            <w:r>
              <w:rPr>
                <w:noProof/>
              </w:rPr>
              <w:t>Projets de gestion des carburants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3E8C6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9C6C8F"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FD8571"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F4F6AC" w14:textId="77777777" w:rsidR="006C686E" w:rsidRDefault="00B17E8C">
            <w:pPr>
              <w:pStyle w:val="P68B1DB1-Normal11"/>
              <w:spacing w:after="0" w:line="240" w:lineRule="auto"/>
              <w:jc w:val="center"/>
              <w:rPr>
                <w:rFonts w:eastAsia="Times New Roman"/>
                <w:noProof/>
              </w:rPr>
            </w:pPr>
            <w:r>
              <w:rPr>
                <w:noProof/>
              </w:rPr>
              <w:t>600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A80E48" w14:textId="77777777" w:rsidR="006C686E" w:rsidRDefault="00B17E8C">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38CC46" w14:textId="77777777" w:rsidR="006C686E" w:rsidRDefault="00B17E8C">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tcPr>
          <w:p w14:paraId="4E019DC1" w14:textId="5813D58C" w:rsidR="006C686E" w:rsidRDefault="00B17E8C">
            <w:pPr>
              <w:pStyle w:val="P68B1DB1-Normal27"/>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Signature de 600 contrats entre le Fonds pour l’environnement et les bénéficiaires de projets dans le cadre du programme de soutien intégré «Condominio de </w:t>
            </w:r>
            <w:r>
              <w:rPr>
                <w:rFonts w:ascii="Times New Roman" w:hAnsi="Times New Roman" w:cs="Times New Roman"/>
                <w:noProof/>
              </w:rPr>
              <w:t>Aldeia» pour les villages situés dans les zones forestières.</w:t>
            </w:r>
          </w:p>
        </w:tc>
      </w:tr>
      <w:tr w:rsidR="006C686E" w14:paraId="429E9928" w14:textId="77777777" w:rsidTr="0024749C">
        <w:trPr>
          <w:trHeight w:val="107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8746CC" w14:textId="77777777" w:rsidR="006C686E" w:rsidRDefault="00B17E8C">
            <w:pPr>
              <w:pStyle w:val="P68B1DB1-Normal10"/>
              <w:spacing w:after="200" w:line="240" w:lineRule="auto"/>
              <w:jc w:val="center"/>
              <w:rPr>
                <w:rFonts w:eastAsia="Times New Roman"/>
                <w:bCs/>
                <w:noProof/>
              </w:rPr>
            </w:pPr>
            <w:r>
              <w:rPr>
                <w:noProof/>
              </w:rPr>
              <w:t>8.20</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B3DAB2" w14:textId="7DE3762A" w:rsidR="006C686E" w:rsidRDefault="00B17E8C">
            <w:pPr>
              <w:pStyle w:val="P68B1DB1-Normal11"/>
              <w:spacing w:after="200" w:line="240" w:lineRule="auto"/>
              <w:jc w:val="center"/>
              <w:rPr>
                <w:rFonts w:eastAsia="Times New Roman"/>
                <w:noProof/>
              </w:rPr>
            </w:pPr>
            <w:r>
              <w:rPr>
                <w:noProof/>
              </w:rPr>
              <w:t>RE-C08-i01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D9CFA9" w14:textId="77777777" w:rsidR="006C686E" w:rsidRDefault="00B17E8C">
            <w:pPr>
              <w:pStyle w:val="P68B1DB1-Normal11"/>
              <w:spacing w:after="20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003692" w14:textId="77777777" w:rsidR="006C686E" w:rsidRDefault="00B17E8C">
            <w:pPr>
              <w:pStyle w:val="P68B1DB1-Normal13"/>
              <w:spacing w:after="200" w:line="240" w:lineRule="auto"/>
              <w:jc w:val="center"/>
              <w:rPr>
                <w:rFonts w:eastAsia="Times New Roman"/>
                <w:noProof/>
                <w:kern w:val="0"/>
                <w14:ligatures w14:val="none"/>
              </w:rPr>
            </w:pPr>
            <w:r>
              <w:rPr>
                <w:noProof/>
                <w:kern w:val="0"/>
                <w14:ligatures w14:val="none"/>
              </w:rPr>
              <w:t>Programme « Emparcelar para Ordenar</w:t>
            </w:r>
            <w:r>
              <w:rPr>
                <w:noProof/>
              </w:rPr>
              <w: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3A7761" w14:textId="77777777" w:rsidR="006C686E" w:rsidRDefault="00B17E8C">
            <w:pPr>
              <w:pStyle w:val="P68B1DB1-Normal12"/>
              <w:spacing w:after="200" w:line="240" w:lineRule="auto"/>
              <w:jc w:val="center"/>
              <w:rPr>
                <w:noProof/>
              </w:rPr>
            </w:pPr>
            <w:r>
              <w:rPr>
                <w:noProof/>
              </w:rPr>
              <w:t>Disposition de l’acte juridique indiquant l’entrée en vigueur de l’acte juridique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026CED" w14:textId="77777777" w:rsidR="006C686E" w:rsidRDefault="006C686E">
            <w:pPr>
              <w:spacing w:after="20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198BC7" w14:textId="77777777" w:rsidR="006C686E" w:rsidRDefault="006C686E">
            <w:pPr>
              <w:spacing w:after="20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142D4E" w14:textId="77777777" w:rsidR="006C686E" w:rsidRDefault="006C686E">
            <w:pPr>
              <w:spacing w:after="20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AE546" w14:textId="77777777" w:rsidR="006C686E" w:rsidRDefault="00B17E8C">
            <w:pPr>
              <w:pStyle w:val="P68B1DB1-Normal11"/>
              <w:spacing w:after="200" w:line="240" w:lineRule="auto"/>
              <w:jc w:val="center"/>
              <w:rPr>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DA8366" w14:textId="77777777" w:rsidR="006C686E" w:rsidRDefault="00B17E8C">
            <w:pPr>
              <w:pStyle w:val="P68B1DB1-Normal11"/>
              <w:spacing w:after="200" w:line="240" w:lineRule="auto"/>
              <w:jc w:val="center"/>
              <w:rPr>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EFB924" w14:textId="0BF44476" w:rsidR="006C686E" w:rsidRDefault="00B17E8C">
            <w:pPr>
              <w:pStyle w:val="P68B1DB1-Normal13"/>
              <w:spacing w:after="200" w:line="240" w:lineRule="auto"/>
              <w:rPr>
                <w:rFonts w:eastAsia="Times New Roman"/>
                <w:noProof/>
                <w:kern w:val="0"/>
                <w14:ligatures w14:val="none"/>
              </w:rPr>
            </w:pPr>
            <w:r>
              <w:rPr>
                <w:noProof/>
              </w:rPr>
              <w:t xml:space="preserve">Entrée en vigueur d’un acte juridique portant création </w:t>
            </w:r>
            <w:r>
              <w:rPr>
                <w:noProof/>
                <w:kern w:val="0"/>
                <w14:ligatures w14:val="none"/>
              </w:rPr>
              <w:t>du programme «Emparcelar para Ordenar».</w:t>
            </w:r>
          </w:p>
        </w:tc>
      </w:tr>
      <w:tr w:rsidR="006C686E" w14:paraId="2050E93D" w14:textId="77777777" w:rsidTr="0024749C">
        <w:trPr>
          <w:trHeight w:val="1393"/>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666FC4" w14:textId="77777777" w:rsidR="006C686E" w:rsidRDefault="00B17E8C">
            <w:pPr>
              <w:pStyle w:val="P68B1DB1-Normal10"/>
              <w:spacing w:after="0" w:line="240" w:lineRule="auto"/>
              <w:jc w:val="center"/>
              <w:rPr>
                <w:rFonts w:eastAsia="Times New Roman"/>
                <w:bCs/>
                <w:noProof/>
              </w:rPr>
            </w:pPr>
            <w:r>
              <w:rPr>
                <w:noProof/>
              </w:rPr>
              <w:t>8.4</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DAA30B" w14:textId="77777777" w:rsidR="006C686E" w:rsidRDefault="00B17E8C">
            <w:pPr>
              <w:pStyle w:val="P68B1DB1-Normal11"/>
              <w:spacing w:after="0" w:line="240" w:lineRule="auto"/>
              <w:jc w:val="center"/>
              <w:rPr>
                <w:rFonts w:eastAsia="Times New Roman"/>
                <w:noProof/>
              </w:rPr>
            </w:pPr>
            <w:r>
              <w:rPr>
                <w:noProof/>
              </w:rPr>
              <w:t>RE-C08-i02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ADCBF7"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769CF2" w14:textId="77777777" w:rsidR="006C686E" w:rsidRDefault="00B17E8C">
            <w:pPr>
              <w:pStyle w:val="P68B1DB1-Normal11"/>
              <w:spacing w:after="0" w:line="240" w:lineRule="auto"/>
              <w:jc w:val="center"/>
              <w:rPr>
                <w:rFonts w:eastAsia="Times New Roman"/>
                <w:noProof/>
              </w:rPr>
            </w:pPr>
            <w:r>
              <w:rPr>
                <w:noProof/>
              </w:rPr>
              <w:t>Vers une plateforme BUPi 2.0</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6FBE10" w14:textId="77777777" w:rsidR="006C686E" w:rsidRDefault="00B17E8C">
            <w:pPr>
              <w:pStyle w:val="P68B1DB1-Normal11"/>
              <w:spacing w:after="0" w:line="240" w:lineRule="auto"/>
              <w:jc w:val="center"/>
              <w:rPr>
                <w:rFonts w:eastAsia="Times New Roman"/>
                <w:noProof/>
              </w:rPr>
            </w:pPr>
            <w:r>
              <w:rPr>
                <w:noProof/>
              </w:rPr>
              <w:t>Entrée en production de la plateforme BUPi 2.0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DB56F5" w14:textId="6FF459E0"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A3EB78" w14:textId="34F32C39"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8D14BE" w14:textId="0C28D80B"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616EB4" w14:textId="77777777" w:rsidR="006C686E" w:rsidRDefault="00B17E8C">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E0B348" w14:textId="77777777" w:rsidR="006C686E" w:rsidRDefault="00B17E8C">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4A7401" w14:textId="77777777" w:rsidR="006C686E" w:rsidRDefault="00B17E8C">
            <w:pPr>
              <w:pStyle w:val="P68B1DB1-Normal11"/>
              <w:spacing w:after="0" w:line="240" w:lineRule="auto"/>
              <w:jc w:val="both"/>
              <w:rPr>
                <w:rFonts w:eastAsia="Times New Roman"/>
                <w:noProof/>
              </w:rPr>
            </w:pPr>
            <w:r>
              <w:rPr>
                <w:noProof/>
              </w:rPr>
              <w:t xml:space="preserve">Fourniture de la plateforme BUPi 2.0 basée sur le cloud, qui permettra de mettre à niveau et d’étendre les fonctionnalités déjà existantes dans le cadre du projet pilote BUPi. BUPi 2.0 garantit la couverture au niveau national et l’interopérabilité des différents systèmes actuellement gérés par différentes autorités, y compris les autorités fiscales et douanières. BUPi 2.0 doit permettre la mise en œuvre progressive de numéros d’identification uniques des biens immobiliers (NIP). </w:t>
            </w:r>
          </w:p>
        </w:tc>
      </w:tr>
      <w:tr w:rsidR="006C686E" w14:paraId="024B1736" w14:textId="77777777" w:rsidTr="0024749C">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108D56" w14:textId="77777777" w:rsidR="006C686E" w:rsidRDefault="00B17E8C">
            <w:pPr>
              <w:pStyle w:val="P68B1DB1-Normal10"/>
              <w:spacing w:after="0" w:line="240" w:lineRule="auto"/>
              <w:jc w:val="center"/>
              <w:rPr>
                <w:rFonts w:eastAsia="Times New Roman"/>
                <w:bCs/>
                <w:noProof/>
              </w:rPr>
            </w:pPr>
            <w:r>
              <w:rPr>
                <w:noProof/>
              </w:rPr>
              <w:t>8.5</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0B148B" w14:textId="77777777" w:rsidR="006C686E" w:rsidRDefault="00B17E8C">
            <w:pPr>
              <w:pStyle w:val="P68B1DB1-Normal11"/>
              <w:spacing w:after="0" w:line="240" w:lineRule="auto"/>
              <w:jc w:val="center"/>
              <w:rPr>
                <w:rFonts w:eastAsia="Times New Roman"/>
                <w:noProof/>
              </w:rPr>
            </w:pPr>
            <w:r>
              <w:rPr>
                <w:noProof/>
              </w:rPr>
              <w:t>RE-C08-i02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1FD0B1"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95F8FC" w14:textId="77777777" w:rsidR="006C686E" w:rsidRDefault="00B17E8C">
            <w:pPr>
              <w:pStyle w:val="P68B1DB1-Normal11"/>
              <w:spacing w:after="0" w:line="240" w:lineRule="auto"/>
              <w:jc w:val="center"/>
              <w:rPr>
                <w:rFonts w:eastAsia="Times New Roman"/>
                <w:noProof/>
              </w:rPr>
            </w:pPr>
            <w:r>
              <w:rPr>
                <w:noProof/>
              </w:rPr>
              <w:t xml:space="preserve">Formation sur BUPi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7D977E"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297C3D"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90043B"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FF1DA2" w14:textId="77777777" w:rsidR="006C686E" w:rsidRDefault="00B17E8C">
            <w:pPr>
              <w:pStyle w:val="P68B1DB1-Normal11"/>
              <w:spacing w:after="0" w:line="240" w:lineRule="auto"/>
              <w:jc w:val="center"/>
              <w:rPr>
                <w:rFonts w:eastAsia="Times New Roman"/>
                <w:noProof/>
              </w:rPr>
            </w:pPr>
            <w:r>
              <w:rPr>
                <w:noProof/>
              </w:rPr>
              <w:t>10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208D4B" w14:textId="77777777" w:rsidR="006C686E" w:rsidRDefault="00B17E8C">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D94DFC" w14:textId="77777777" w:rsidR="006C686E" w:rsidRDefault="00B17E8C">
            <w:pPr>
              <w:pStyle w:val="P68B1DB1-Normal11"/>
              <w:spacing w:after="0" w:line="240" w:lineRule="auto"/>
              <w:jc w:val="center"/>
              <w:rPr>
                <w:rFonts w:eastAsia="Times New Roman"/>
                <w:noProof/>
              </w:rPr>
            </w:pPr>
            <w:r>
              <w:rPr>
                <w:noProof/>
              </w:rPr>
              <w:t>2023</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91B149" w14:textId="77777777" w:rsidR="006C686E" w:rsidRDefault="00B17E8C">
            <w:pPr>
              <w:pStyle w:val="P68B1DB1-Normal11"/>
              <w:spacing w:after="0" w:line="240" w:lineRule="auto"/>
              <w:jc w:val="both"/>
              <w:rPr>
                <w:rFonts w:eastAsia="Times New Roman"/>
                <w:noProof/>
              </w:rPr>
            </w:pPr>
            <w:r>
              <w:rPr>
                <w:noProof/>
              </w:rPr>
              <w:t xml:space="preserve">Nombre de formations trimestrielles relatives au BUPi dispensées aux techniciens qualifiés au niveau national qui effectuent des procédures de représentation graphique (RGG), au personnel de l’Institut des registres et des notaires (IRN), aux agents de l’administration fiscale, aux techniciens du cadastre et aux techniciens de la direction générale du territoire et aux agents du cadastre. </w:t>
            </w:r>
          </w:p>
        </w:tc>
      </w:tr>
      <w:tr w:rsidR="006C686E" w14:paraId="09D6314C" w14:textId="77777777" w:rsidTr="0024749C">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C6365B" w14:textId="77777777" w:rsidR="006C686E" w:rsidRDefault="00B17E8C">
            <w:pPr>
              <w:pStyle w:val="P68B1DB1-Normal10"/>
              <w:spacing w:after="0" w:line="240" w:lineRule="auto"/>
              <w:jc w:val="center"/>
              <w:rPr>
                <w:rFonts w:eastAsia="Times New Roman"/>
                <w:bCs/>
                <w:noProof/>
              </w:rPr>
            </w:pPr>
            <w:r>
              <w:rPr>
                <w:noProof/>
              </w:rPr>
              <w:t>8.6</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1FFC54" w14:textId="77777777" w:rsidR="006C686E" w:rsidRDefault="00B17E8C">
            <w:pPr>
              <w:pStyle w:val="P68B1DB1-Normal11"/>
              <w:spacing w:after="0" w:line="240" w:lineRule="auto"/>
              <w:jc w:val="center"/>
              <w:rPr>
                <w:rFonts w:eastAsia="Times New Roman"/>
                <w:noProof/>
              </w:rPr>
            </w:pPr>
            <w:r>
              <w:rPr>
                <w:noProof/>
              </w:rPr>
              <w:t>RE-C08-i02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2006FF"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B92E70" w14:textId="77777777" w:rsidR="006C686E" w:rsidRDefault="00B17E8C">
            <w:pPr>
              <w:pStyle w:val="P68B1DB1-Normal11"/>
              <w:spacing w:after="0" w:line="240" w:lineRule="auto"/>
              <w:jc w:val="center"/>
              <w:rPr>
                <w:rFonts w:eastAsia="Times New Roman"/>
                <w:noProof/>
              </w:rPr>
            </w:pPr>
            <w:r>
              <w:rPr>
                <w:noProof/>
              </w:rPr>
              <w:t>Cartographie de référence pour le système de surveillance de l’occupation des sols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377BAC" w14:textId="77777777" w:rsidR="006C686E" w:rsidRDefault="00B17E8C">
            <w:pPr>
              <w:pStyle w:val="P68B1DB1-Normal11"/>
              <w:spacing w:after="0" w:line="240" w:lineRule="auto"/>
              <w:jc w:val="center"/>
              <w:rPr>
                <w:rFonts w:eastAsia="Times New Roman"/>
                <w:noProof/>
              </w:rPr>
            </w:pPr>
            <w:r>
              <w:rPr>
                <w:noProof/>
              </w:rPr>
              <w:t>Cartographie de référence pour le système de surveillance de l’occupation des sols (SMOS) disponible en ligne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02810"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5DB898" w14:textId="77777777" w:rsidR="006C686E" w:rsidRDefault="00B17E8C">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7F5D56" w14:textId="77777777" w:rsidR="006C686E" w:rsidRDefault="00B17E8C">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C75F8" w14:textId="10E6231A" w:rsidR="006C686E" w:rsidRDefault="00B17E8C">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B6AF7D" w14:textId="30E27BD0" w:rsidR="006C686E" w:rsidRDefault="00B17E8C">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774D1D" w14:textId="60C593CB"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Cartographie des référentiels pour le Système de surveillance de l'occupation des sols (SMOS) </w:t>
            </w:r>
            <w:r>
              <w:rPr>
                <w:noProof/>
              </w:rPr>
              <w:t>disponible en ligne.</w:t>
            </w:r>
          </w:p>
        </w:tc>
      </w:tr>
      <w:tr w:rsidR="006C686E" w14:paraId="18767C0D" w14:textId="77777777" w:rsidTr="0024749C">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2DE954" w14:textId="77777777" w:rsidR="006C686E" w:rsidRDefault="00B17E8C">
            <w:pPr>
              <w:pStyle w:val="P68B1DB1-Normal10"/>
              <w:spacing w:after="0" w:line="240" w:lineRule="auto"/>
              <w:jc w:val="center"/>
              <w:rPr>
                <w:rFonts w:eastAsia="Times New Roman"/>
                <w:bCs/>
                <w:noProof/>
              </w:rPr>
            </w:pPr>
            <w:r>
              <w:rPr>
                <w:noProof/>
              </w:rPr>
              <w:t>8.7</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5D289C" w14:textId="77777777" w:rsidR="006C686E" w:rsidRDefault="00B17E8C">
            <w:pPr>
              <w:pStyle w:val="P68B1DB1-Normal11"/>
              <w:spacing w:after="0" w:line="240" w:lineRule="auto"/>
              <w:jc w:val="center"/>
              <w:rPr>
                <w:rFonts w:eastAsia="Times New Roman"/>
                <w:noProof/>
              </w:rPr>
            </w:pPr>
            <w:r>
              <w:rPr>
                <w:noProof/>
              </w:rPr>
              <w:t>RE-C08-i03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EBD47F"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43CE4C" w14:textId="77777777" w:rsidR="006C686E" w:rsidRDefault="00B17E8C">
            <w:pPr>
              <w:pStyle w:val="P68B1DB1-Normal11"/>
              <w:spacing w:after="0" w:line="240" w:lineRule="auto"/>
              <w:jc w:val="center"/>
              <w:rPr>
                <w:rFonts w:eastAsia="Times New Roman"/>
                <w:noProof/>
              </w:rPr>
            </w:pPr>
            <w:r>
              <w:rPr>
                <w:noProof/>
              </w:rPr>
              <w:t>Publication du contrat relatif au réseau de structuration des ruptures de la gestion primaire du carburant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4E225B" w14:textId="77777777" w:rsidR="006C686E" w:rsidRDefault="00B17E8C">
            <w:pPr>
              <w:pStyle w:val="P68B1DB1-Normal11"/>
              <w:spacing w:after="0" w:line="240" w:lineRule="auto"/>
              <w:jc w:val="center"/>
              <w:rPr>
                <w:rFonts w:eastAsia="Times New Roman"/>
                <w:noProof/>
              </w:rPr>
            </w:pPr>
            <w:r>
              <w:rPr>
                <w:noProof/>
              </w:rPr>
              <w:t xml:space="preserve">Publication du contrat de réseau de structuration des ruptures de la gestion primaire du carburant (RPFGC) dans BASE.gov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88FADE"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0CC939" w14:textId="77777777" w:rsidR="006C686E" w:rsidRDefault="00B17E8C">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9080D9" w14:textId="77777777" w:rsidR="006C686E" w:rsidRDefault="00B17E8C">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BE976" w14:textId="77777777" w:rsidR="006C686E" w:rsidRDefault="00B17E8C">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282B9C" w14:textId="77777777" w:rsidR="006C686E" w:rsidRDefault="00B17E8C">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1DCE0C" w14:textId="77777777" w:rsidR="006C686E" w:rsidRDefault="00B17E8C">
            <w:pPr>
              <w:pStyle w:val="P68B1DB1-Normal11"/>
              <w:spacing w:after="0" w:line="240" w:lineRule="auto"/>
              <w:jc w:val="both"/>
              <w:rPr>
                <w:rFonts w:eastAsia="Times New Roman"/>
                <w:noProof/>
              </w:rPr>
            </w:pPr>
            <w:r>
              <w:rPr>
                <w:noProof/>
              </w:rPr>
              <w:t xml:space="preserve">Attribution par l’autorité compétente du contrat pour la mise en œuvre du réseau de structuration des ruptures de gestion du combustible primaire (RPFGC) afin de créer des discontinuités horizontales dans le paysage pour isoler les foyers d’incendie. </w:t>
            </w:r>
          </w:p>
        </w:tc>
      </w:tr>
      <w:tr w:rsidR="006C686E" w14:paraId="6C965B91" w14:textId="77777777" w:rsidTr="0024749C">
        <w:trPr>
          <w:trHeight w:val="57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81C276" w14:textId="77777777" w:rsidR="006C686E" w:rsidRDefault="00B17E8C">
            <w:pPr>
              <w:pStyle w:val="P68B1DB1-Normal10"/>
              <w:spacing w:after="0" w:line="240" w:lineRule="auto"/>
              <w:jc w:val="center"/>
              <w:rPr>
                <w:rFonts w:eastAsia="Times New Roman"/>
                <w:bCs/>
                <w:noProof/>
              </w:rPr>
            </w:pPr>
            <w:r>
              <w:rPr>
                <w:noProof/>
              </w:rPr>
              <w:t>8.8</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0DE422" w14:textId="77777777" w:rsidR="006C686E" w:rsidRDefault="00B17E8C">
            <w:pPr>
              <w:pStyle w:val="P68B1DB1-Normal11"/>
              <w:spacing w:after="0" w:line="240" w:lineRule="auto"/>
              <w:jc w:val="center"/>
              <w:rPr>
                <w:rFonts w:eastAsia="Times New Roman"/>
                <w:noProof/>
              </w:rPr>
            </w:pPr>
            <w:r>
              <w:rPr>
                <w:noProof/>
              </w:rPr>
              <w:t>RE-C08-i03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F5E031"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68A99" w14:textId="77777777" w:rsidR="006C686E" w:rsidRDefault="00B17E8C">
            <w:pPr>
              <w:pStyle w:val="P68B1DB1-Normal11"/>
              <w:spacing w:after="0" w:line="240" w:lineRule="auto"/>
              <w:jc w:val="center"/>
              <w:rPr>
                <w:rFonts w:eastAsia="Times New Roman"/>
                <w:noProof/>
              </w:rPr>
            </w:pPr>
            <w:r>
              <w:rPr>
                <w:noProof/>
              </w:rPr>
              <w:t>Zone d'assouplissement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1FDE68"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A418EC" w14:textId="77777777" w:rsidR="006C686E" w:rsidRDefault="00B17E8C">
            <w:pPr>
              <w:pStyle w:val="P68B1DB1-Normal11"/>
              <w:spacing w:after="0" w:line="240" w:lineRule="auto"/>
              <w:jc w:val="center"/>
              <w:rPr>
                <w:rFonts w:eastAsia="Times New Roman"/>
                <w:noProof/>
              </w:rPr>
            </w:pPr>
            <w:r>
              <w:rPr>
                <w:noProof/>
              </w:rPr>
              <w:t>ha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5CC0BF" w14:textId="12756749"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B1CE6" w14:textId="77777777" w:rsidR="006C686E" w:rsidRDefault="00B17E8C">
            <w:pPr>
              <w:pStyle w:val="P68B1DB1-Normal11"/>
              <w:spacing w:after="0" w:line="240" w:lineRule="auto"/>
              <w:jc w:val="center"/>
              <w:rPr>
                <w:rFonts w:eastAsia="Times New Roman"/>
                <w:noProof/>
              </w:rPr>
            </w:pPr>
            <w:r>
              <w:rPr>
                <w:noProof/>
              </w:rPr>
              <w:t>21 727</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70A8A2" w14:textId="77777777" w:rsidR="006C686E" w:rsidRDefault="00B17E8C">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01F2BE" w14:textId="77777777" w:rsidR="006C686E" w:rsidRDefault="00B17E8C">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CA3D16" w14:textId="1424C467" w:rsidR="006C686E" w:rsidRDefault="00B17E8C">
            <w:pPr>
              <w:pStyle w:val="P68B1DB1-Normal13"/>
              <w:spacing w:after="0" w:line="240" w:lineRule="auto"/>
              <w:jc w:val="both"/>
              <w:rPr>
                <w:rFonts w:eastAsia="Times New Roman"/>
                <w:noProof/>
                <w:kern w:val="0"/>
                <w14:ligatures w14:val="none"/>
              </w:rPr>
            </w:pPr>
            <w:r>
              <w:rPr>
                <w:noProof/>
              </w:rPr>
              <w:t>Publication dans le Diário da República d'arrêtés déclarant d'utilité publique concernant l'établissement de servitudes administratives couvrant un total de 21 727 hectares.</w:t>
            </w:r>
          </w:p>
        </w:tc>
      </w:tr>
      <w:tr w:rsidR="006C686E" w14:paraId="0C16929F" w14:textId="77777777" w:rsidTr="0024749C">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43BD10" w14:textId="77777777" w:rsidR="006C686E" w:rsidRDefault="00B17E8C">
            <w:pPr>
              <w:pStyle w:val="P68B1DB1-Normal10"/>
              <w:spacing w:after="0" w:line="240" w:lineRule="auto"/>
              <w:jc w:val="center"/>
              <w:rPr>
                <w:rFonts w:eastAsia="Times New Roman"/>
                <w:bCs/>
                <w:noProof/>
              </w:rPr>
            </w:pPr>
            <w:r>
              <w:rPr>
                <w:noProof/>
              </w:rPr>
              <w:t>8.9</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B90486" w14:textId="77777777" w:rsidR="006C686E" w:rsidRDefault="00B17E8C">
            <w:pPr>
              <w:pStyle w:val="P68B1DB1-Normal11"/>
              <w:spacing w:after="0" w:line="240" w:lineRule="auto"/>
              <w:jc w:val="center"/>
              <w:rPr>
                <w:rFonts w:eastAsia="Times New Roman"/>
                <w:noProof/>
              </w:rPr>
            </w:pPr>
            <w:r>
              <w:rPr>
                <w:noProof/>
              </w:rPr>
              <w:t>RE-C08-i03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EF703C"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B16252" w14:textId="77777777" w:rsidR="006C686E" w:rsidRDefault="00B17E8C">
            <w:pPr>
              <w:pStyle w:val="P68B1DB1-Normal11"/>
              <w:spacing w:after="0" w:line="240" w:lineRule="auto"/>
              <w:jc w:val="center"/>
              <w:rPr>
                <w:rFonts w:eastAsia="Times New Roman"/>
                <w:noProof/>
              </w:rPr>
            </w:pPr>
            <w:r>
              <w:rPr>
                <w:noProof/>
              </w:rPr>
              <w:t>Réseau de structuration des ruptures de la gestion du carburant primaire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15CA4C"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FE654E" w14:textId="77777777" w:rsidR="006C686E" w:rsidRDefault="00B17E8C">
            <w:pPr>
              <w:pStyle w:val="P68B1DB1-Normal11"/>
              <w:spacing w:after="0" w:line="240" w:lineRule="auto"/>
              <w:jc w:val="center"/>
              <w:rPr>
                <w:noProof/>
              </w:rPr>
            </w:pPr>
            <w:r>
              <w:rPr>
                <w:noProof/>
              </w:rPr>
              <w:t xml:space="preserve">ha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8134CF" w14:textId="3D0825D9"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D3AA03" w14:textId="77777777" w:rsidR="006C686E" w:rsidRDefault="00B17E8C">
            <w:pPr>
              <w:pStyle w:val="P68B1DB1-Normal11"/>
              <w:spacing w:after="0" w:line="240" w:lineRule="auto"/>
              <w:jc w:val="center"/>
              <w:rPr>
                <w:noProof/>
              </w:rPr>
            </w:pPr>
            <w:r>
              <w:rPr>
                <w:noProof/>
              </w:rPr>
              <w:t xml:space="preserve">21 000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2E1380" w14:textId="77777777" w:rsidR="006C686E" w:rsidRDefault="00B17E8C">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AEEA3F" w14:textId="77777777" w:rsidR="006C686E" w:rsidRDefault="00B17E8C">
            <w:pPr>
              <w:pStyle w:val="P68B1DB1-Normal11"/>
              <w:spacing w:after="0" w:line="240" w:lineRule="auto"/>
              <w:jc w:val="center"/>
              <w:rPr>
                <w:rFonts w:eastAsia="Times New Roman"/>
                <w:noProof/>
              </w:rPr>
            </w:pPr>
            <w:r>
              <w:rPr>
                <w:noProof/>
              </w:rPr>
              <w:t>2026</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5D3712" w14:textId="50EE4B24" w:rsidR="006C686E" w:rsidRDefault="00B17E8C">
            <w:pPr>
              <w:pStyle w:val="P68B1DB1-Normal13"/>
              <w:spacing w:after="0" w:line="240" w:lineRule="auto"/>
              <w:jc w:val="both"/>
              <w:rPr>
                <w:rFonts w:eastAsia="Times New Roman"/>
                <w:noProof/>
                <w:kern w:val="0"/>
                <w14:ligatures w14:val="none"/>
              </w:rPr>
            </w:pPr>
            <w:r>
              <w:rPr>
                <w:noProof/>
              </w:rPr>
              <w:t xml:space="preserve">Installation </w:t>
            </w:r>
            <w:r>
              <w:rPr>
                <w:noProof/>
                <w:kern w:val="0"/>
                <w14:ligatures w14:val="none"/>
              </w:rPr>
              <w:t xml:space="preserve">de </w:t>
            </w:r>
            <w:r>
              <w:rPr>
                <w:noProof/>
              </w:rPr>
              <w:t xml:space="preserve">21 000 hectares de tronçons </w:t>
            </w:r>
            <w:r>
              <w:rPr>
                <w:noProof/>
                <w:kern w:val="0"/>
                <w14:ligatures w14:val="none"/>
              </w:rPr>
              <w:t xml:space="preserve">du réseau primaire de pauses de gestion du carburant (RPFGC). </w:t>
            </w:r>
          </w:p>
        </w:tc>
      </w:tr>
      <w:tr w:rsidR="006C686E" w14:paraId="0D8FDA08" w14:textId="77777777" w:rsidTr="0024749C">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039283" w14:textId="77777777" w:rsidR="006C686E" w:rsidRDefault="00B17E8C">
            <w:pPr>
              <w:pStyle w:val="P68B1DB1-Normal10"/>
              <w:spacing w:after="0" w:line="240" w:lineRule="auto"/>
              <w:jc w:val="center"/>
              <w:rPr>
                <w:rFonts w:eastAsia="Times New Roman"/>
                <w:bCs/>
                <w:noProof/>
              </w:rPr>
            </w:pPr>
            <w:r>
              <w:rPr>
                <w:noProof/>
              </w:rPr>
              <w:t>8.10</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880A1" w14:textId="77777777" w:rsidR="006C686E" w:rsidRDefault="00B17E8C">
            <w:pPr>
              <w:pStyle w:val="P68B1DB1-Normal11"/>
              <w:spacing w:after="0" w:line="240" w:lineRule="auto"/>
              <w:jc w:val="center"/>
              <w:rPr>
                <w:rFonts w:eastAsia="Times New Roman"/>
                <w:noProof/>
              </w:rPr>
            </w:pPr>
            <w:r>
              <w:rPr>
                <w:noProof/>
              </w:rPr>
              <w:t>RE-C08-i04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0BA6E9"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0F0D64" w14:textId="77777777" w:rsidR="006C686E" w:rsidRDefault="00B17E8C">
            <w:pPr>
              <w:pStyle w:val="P68B1DB1-Normal11"/>
              <w:spacing w:after="0" w:line="240" w:lineRule="auto"/>
              <w:jc w:val="center"/>
              <w:rPr>
                <w:rFonts w:eastAsia="Times New Roman"/>
                <w:noProof/>
              </w:rPr>
            </w:pPr>
            <w:r>
              <w:rPr>
                <w:noProof/>
              </w:rPr>
              <w:t>Livraison de véhicules, machines et équipements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817984"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1F7BAB"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D82A3D" w14:textId="7CA0D6DC"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D914D8" w14:textId="77777777" w:rsidR="006C686E" w:rsidRDefault="00B17E8C">
            <w:pPr>
              <w:pStyle w:val="P68B1DB1-Normal11"/>
              <w:spacing w:after="0" w:line="240" w:lineRule="auto"/>
              <w:jc w:val="center"/>
              <w:rPr>
                <w:rFonts w:eastAsia="Times New Roman"/>
                <w:noProof/>
              </w:rPr>
            </w:pPr>
            <w:r>
              <w:rPr>
                <w:noProof/>
              </w:rPr>
              <w:t>179</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015C29" w14:textId="77777777" w:rsidR="006C686E" w:rsidRDefault="00B17E8C">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398BDA" w14:textId="77777777" w:rsidR="006C686E" w:rsidRDefault="00B17E8C">
            <w:pPr>
              <w:pStyle w:val="P68B1DB1-Normal11"/>
              <w:spacing w:after="0" w:line="240" w:lineRule="auto"/>
              <w:jc w:val="center"/>
              <w:rPr>
                <w:rFonts w:eastAsia="Times New Roman"/>
                <w:noProof/>
              </w:rPr>
            </w:pPr>
            <w:r>
              <w:rPr>
                <w:noProof/>
              </w:rPr>
              <w:t>2023</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B706E2" w14:textId="77777777" w:rsidR="006C686E" w:rsidRDefault="00B17E8C">
            <w:pPr>
              <w:pStyle w:val="P68B1DB1-Normal11"/>
              <w:spacing w:after="0" w:line="240" w:lineRule="auto"/>
              <w:jc w:val="both"/>
              <w:rPr>
                <w:rFonts w:eastAsia="Times New Roman"/>
                <w:noProof/>
              </w:rPr>
            </w:pPr>
            <w:r>
              <w:rPr>
                <w:noProof/>
              </w:rPr>
              <w:t>Livraison de véhicules, machines et équipements de lutte contre l'incendie et de prévention des incendies après confirmation qu'ils répondent aux spécifications techniques et autres exigences contractuelles, conformément à la procédure d'appel d'offres.</w:t>
            </w:r>
          </w:p>
        </w:tc>
      </w:tr>
      <w:tr w:rsidR="006C686E" w14:paraId="7599263B" w14:textId="77777777" w:rsidTr="0024749C">
        <w:trPr>
          <w:trHeight w:val="11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AC14C9" w14:textId="77777777" w:rsidR="006C686E" w:rsidRDefault="00B17E8C">
            <w:pPr>
              <w:pStyle w:val="P68B1DB1-Normal10"/>
              <w:spacing w:after="0" w:line="240" w:lineRule="auto"/>
              <w:jc w:val="center"/>
              <w:rPr>
                <w:rFonts w:eastAsia="Times New Roman"/>
                <w:bCs/>
                <w:noProof/>
              </w:rPr>
            </w:pPr>
            <w:r>
              <w:rPr>
                <w:noProof/>
              </w:rPr>
              <w:t>8.11</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A63F7A" w14:textId="77777777" w:rsidR="006C686E" w:rsidRDefault="00B17E8C">
            <w:pPr>
              <w:pStyle w:val="P68B1DB1-Normal11"/>
              <w:spacing w:after="0" w:line="240" w:lineRule="auto"/>
              <w:jc w:val="center"/>
              <w:rPr>
                <w:rFonts w:eastAsia="Times New Roman"/>
                <w:noProof/>
              </w:rPr>
            </w:pPr>
            <w:r>
              <w:rPr>
                <w:noProof/>
              </w:rPr>
              <w:t>RE-C08-i04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DE3111"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0D3BDB" w14:textId="77777777" w:rsidR="006C686E" w:rsidRDefault="00B17E8C">
            <w:pPr>
              <w:pStyle w:val="P68B1DB1-Normal11"/>
              <w:spacing w:after="0" w:line="240" w:lineRule="auto"/>
              <w:jc w:val="center"/>
              <w:rPr>
                <w:rFonts w:eastAsia="Times New Roman"/>
                <w:noProof/>
              </w:rPr>
            </w:pPr>
            <w:r>
              <w:rPr>
                <w:noProof/>
              </w:rPr>
              <w:t>Achat d'hélicoptères de pompiers légers et moyens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E22DE"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4C5E1C"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C3529B"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44D681" w14:textId="77777777" w:rsidR="006C686E" w:rsidRDefault="00B17E8C">
            <w:pPr>
              <w:pStyle w:val="P68B1DB1-Normal11"/>
              <w:spacing w:after="0" w:line="240" w:lineRule="auto"/>
              <w:jc w:val="center"/>
              <w:rPr>
                <w:noProof/>
              </w:rPr>
            </w:pPr>
            <w:r>
              <w:rPr>
                <w:noProof/>
              </w:rPr>
              <w:t>11</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E5F6AB" w14:textId="77777777" w:rsidR="006C686E" w:rsidRDefault="00B17E8C">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34D5DC" w14:textId="77777777" w:rsidR="006C686E" w:rsidRDefault="00B17E8C">
            <w:pPr>
              <w:pStyle w:val="P68B1DB1-Normal11"/>
              <w:spacing w:after="0" w:line="240" w:lineRule="auto"/>
              <w:jc w:val="center"/>
              <w:rPr>
                <w:rFonts w:eastAsia="Times New Roman"/>
                <w:noProof/>
              </w:rPr>
            </w:pPr>
            <w:r>
              <w:rPr>
                <w:noProof/>
              </w:rPr>
              <w:t>2026</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FD4DA9" w14:textId="7080B175" w:rsidR="006C686E" w:rsidRDefault="00B17E8C">
            <w:pPr>
              <w:pStyle w:val="P68B1DB1-Normal13"/>
              <w:spacing w:after="0" w:line="240" w:lineRule="auto"/>
              <w:jc w:val="both"/>
              <w:rPr>
                <w:rFonts w:eastAsia="Times New Roman"/>
                <w:noProof/>
                <w:kern w:val="0"/>
                <w14:ligatures w14:val="none"/>
              </w:rPr>
            </w:pPr>
            <w:r>
              <w:rPr>
                <w:noProof/>
              </w:rPr>
              <w:t xml:space="preserve">Achat </w:t>
            </w:r>
            <w:r>
              <w:rPr>
                <w:noProof/>
                <w:kern w:val="0"/>
                <w14:ligatures w14:val="none"/>
              </w:rPr>
              <w:t>de deux hélicoptères de pompiers légers et de neuf hélicoptères de pompiers moyens.</w:t>
            </w:r>
          </w:p>
        </w:tc>
      </w:tr>
      <w:tr w:rsidR="006C686E" w14:paraId="28558DD8" w14:textId="77777777" w:rsidTr="0024749C">
        <w:trPr>
          <w:trHeight w:val="1602"/>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5C9D79" w14:textId="77777777" w:rsidR="006C686E" w:rsidRDefault="00B17E8C">
            <w:pPr>
              <w:pStyle w:val="P68B1DB1-Normal10"/>
              <w:spacing w:after="0" w:line="240" w:lineRule="auto"/>
              <w:jc w:val="center"/>
              <w:rPr>
                <w:rFonts w:eastAsia="Times New Roman"/>
                <w:bCs/>
                <w:noProof/>
              </w:rPr>
            </w:pPr>
            <w:r>
              <w:rPr>
                <w:noProof/>
              </w:rPr>
              <w:t>8.12</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11DE21" w14:textId="77777777" w:rsidR="006C686E" w:rsidRDefault="00B17E8C">
            <w:pPr>
              <w:pStyle w:val="P68B1DB1-Normal11"/>
              <w:spacing w:after="0" w:line="240" w:lineRule="auto"/>
              <w:jc w:val="center"/>
              <w:rPr>
                <w:rFonts w:eastAsia="Times New Roman"/>
                <w:noProof/>
              </w:rPr>
            </w:pPr>
            <w:r>
              <w:rPr>
                <w:noProof/>
              </w:rPr>
              <w:t>RE-C08-i04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39A84"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CB7D9E" w14:textId="77777777" w:rsidR="006C686E" w:rsidRDefault="00B17E8C">
            <w:pPr>
              <w:pStyle w:val="P68B1DB1-Normal11"/>
              <w:spacing w:after="0" w:line="240" w:lineRule="auto"/>
              <w:jc w:val="center"/>
              <w:rPr>
                <w:rFonts w:eastAsia="Times New Roman"/>
                <w:noProof/>
              </w:rPr>
            </w:pPr>
            <w:r>
              <w:rPr>
                <w:noProof/>
              </w:rPr>
              <w:t xml:space="preserve">Installation de radars à double polarisation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9ECAB2"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D306A0"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B1FAA0"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87F14" w14:textId="77777777" w:rsidR="006C686E" w:rsidRDefault="00B17E8C">
            <w:pPr>
              <w:pStyle w:val="P68B1DB1-Normal11"/>
              <w:spacing w:after="0" w:line="240" w:lineRule="auto"/>
              <w:jc w:val="center"/>
              <w:rPr>
                <w:rFonts w:eastAsia="Times New Roman"/>
                <w:noProof/>
              </w:rPr>
            </w:pPr>
            <w:r>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5FE986" w14:textId="77777777" w:rsidR="006C686E" w:rsidRDefault="00B17E8C">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8E898E" w14:textId="77777777" w:rsidR="006C686E" w:rsidRDefault="00B17E8C">
            <w:pPr>
              <w:pStyle w:val="P68B1DB1-Normal11"/>
              <w:spacing w:after="0" w:line="240" w:lineRule="auto"/>
              <w:jc w:val="center"/>
              <w:rPr>
                <w:rFonts w:eastAsia="Times New Roman"/>
                <w:noProof/>
              </w:rPr>
            </w:pPr>
            <w:r>
              <w:rPr>
                <w:noProof/>
              </w:rPr>
              <w:t>2023</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3FD831" w14:textId="77777777" w:rsidR="006C686E" w:rsidRDefault="00B17E8C">
            <w:pPr>
              <w:pStyle w:val="P68B1DB1-Normal11"/>
              <w:spacing w:after="0" w:line="240" w:lineRule="auto"/>
              <w:jc w:val="both"/>
              <w:rPr>
                <w:rFonts w:eastAsia="Times New Roman"/>
                <w:noProof/>
              </w:rPr>
            </w:pPr>
            <w:r>
              <w:rPr>
                <w:noProof/>
              </w:rPr>
              <w:t>Installation de deux radars à double polarisation avec le système informatique et d'archivage nécessaire, deux détecteurs de foudre et deux stations météorologiques. Installation terminée après confirmation qu'ils correspondent aux spécifications techniques et autres exigences contractuelles.</w:t>
            </w:r>
          </w:p>
        </w:tc>
      </w:tr>
      <w:tr w:rsidR="006C686E" w14:paraId="5455847B" w14:textId="77777777" w:rsidTr="0024749C">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2F5A3A" w14:textId="77777777" w:rsidR="006C686E" w:rsidRDefault="00B17E8C">
            <w:pPr>
              <w:pStyle w:val="P68B1DB1-Normal10"/>
              <w:spacing w:after="0" w:line="240" w:lineRule="auto"/>
              <w:jc w:val="center"/>
              <w:rPr>
                <w:rFonts w:eastAsia="Times New Roman"/>
                <w:bCs/>
                <w:noProof/>
              </w:rPr>
            </w:pPr>
            <w:r>
              <w:rPr>
                <w:noProof/>
              </w:rPr>
              <w:t>8.13</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A55D34" w14:textId="77777777" w:rsidR="006C686E" w:rsidRDefault="00B17E8C">
            <w:pPr>
              <w:pStyle w:val="P68B1DB1-Normal11"/>
              <w:spacing w:after="0" w:line="240" w:lineRule="auto"/>
              <w:jc w:val="center"/>
              <w:rPr>
                <w:rFonts w:eastAsia="Times New Roman"/>
                <w:noProof/>
              </w:rPr>
            </w:pPr>
            <w:r>
              <w:rPr>
                <w:noProof/>
              </w:rPr>
              <w:t>RE-C08-i05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F570BA"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F26B6F" w14:textId="77777777" w:rsidR="006C686E" w:rsidRDefault="00B17E8C">
            <w:pPr>
              <w:pStyle w:val="P68B1DB1-Normal11"/>
              <w:spacing w:after="0" w:line="240" w:lineRule="auto"/>
              <w:jc w:val="center"/>
              <w:rPr>
                <w:noProof/>
              </w:rPr>
            </w:pPr>
            <w:r>
              <w:rPr>
                <w:noProof/>
              </w:rPr>
              <w:t xml:space="preserve">Formation, équipement et véhicules pour (ANEPC, GNR et sapeurs-pompiers)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4F52"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C0005D"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DAC81F"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3C5363" w14:textId="77777777" w:rsidR="006C686E" w:rsidRDefault="00B17E8C">
            <w:pPr>
              <w:pStyle w:val="P68B1DB1-Normal11"/>
              <w:spacing w:after="0" w:line="240" w:lineRule="auto"/>
              <w:jc w:val="center"/>
              <w:rPr>
                <w:rFonts w:eastAsia="Times New Roman"/>
                <w:noProof/>
              </w:rPr>
            </w:pPr>
            <w:r>
              <w:rPr>
                <w:noProof/>
              </w:rPr>
              <w:t>62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57B5D6" w14:textId="77777777" w:rsidR="006C686E" w:rsidRDefault="00B17E8C">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E7A769" w14:textId="77777777" w:rsidR="006C686E" w:rsidRDefault="00B17E8C">
            <w:pPr>
              <w:pStyle w:val="P68B1DB1-Normal11"/>
              <w:spacing w:after="0" w:line="240" w:lineRule="auto"/>
              <w:jc w:val="center"/>
              <w:rPr>
                <w:rFonts w:eastAsia="Times New Roman"/>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0E4ABA" w14:textId="415FBEBE" w:rsidR="006C686E" w:rsidRDefault="00B17E8C">
            <w:pPr>
              <w:pStyle w:val="P68B1DB1-Normal11"/>
              <w:spacing w:after="0" w:line="240" w:lineRule="auto"/>
              <w:jc w:val="both"/>
              <w:rPr>
                <w:rFonts w:eastAsia="Times New Roman"/>
                <w:noProof/>
              </w:rPr>
            </w:pPr>
            <w:r>
              <w:rPr>
                <w:noProof/>
              </w:rPr>
              <w:t>Formation ou livraison de véhicules ou livraison d'équipements pour 62 entités de l'AMI (ANEPC, GNR et sapeurs-pompiers).</w:t>
            </w:r>
          </w:p>
        </w:tc>
      </w:tr>
      <w:tr w:rsidR="006C686E" w14:paraId="6189C1B1" w14:textId="77777777" w:rsidTr="0024749C">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C84463" w14:textId="77777777" w:rsidR="006C686E" w:rsidRDefault="00B17E8C">
            <w:pPr>
              <w:pStyle w:val="P68B1DB1-Normal10"/>
              <w:spacing w:after="0" w:line="240" w:lineRule="auto"/>
              <w:jc w:val="center"/>
              <w:rPr>
                <w:rFonts w:eastAsia="Times New Roman"/>
                <w:bCs/>
                <w:noProof/>
              </w:rPr>
            </w:pPr>
            <w:r>
              <w:rPr>
                <w:noProof/>
              </w:rPr>
              <w:t>8.14</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F484C5" w14:textId="77777777" w:rsidR="006C686E" w:rsidRDefault="00B17E8C">
            <w:pPr>
              <w:pStyle w:val="P68B1DB1-Normal11"/>
              <w:spacing w:after="0" w:line="240" w:lineRule="auto"/>
              <w:jc w:val="center"/>
              <w:rPr>
                <w:rFonts w:eastAsia="Times New Roman"/>
                <w:noProof/>
              </w:rPr>
            </w:pPr>
            <w:r>
              <w:rPr>
                <w:noProof/>
              </w:rPr>
              <w:t>RE-C08-i05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66EAD" w14:textId="77777777" w:rsidR="006C686E" w:rsidRDefault="00B17E8C">
            <w:pPr>
              <w:pStyle w:val="P68B1DB1-Normal11"/>
              <w:spacing w:after="0" w:line="240" w:lineRule="auto"/>
              <w:jc w:val="center"/>
              <w:rPr>
                <w:rFonts w:eastAsia="Times New Roman"/>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20DF73" w14:textId="77777777" w:rsidR="006C686E" w:rsidRDefault="00B17E8C">
            <w:pPr>
              <w:pStyle w:val="P68B1DB1-Normal11"/>
              <w:spacing w:after="0" w:line="240" w:lineRule="auto"/>
              <w:jc w:val="center"/>
              <w:rPr>
                <w:rFonts w:eastAsia="Times New Roman"/>
                <w:noProof/>
              </w:rPr>
            </w:pPr>
            <w:r>
              <w:rPr>
                <w:noProof/>
              </w:rPr>
              <w:t>Création de structures régionales et sous-régionales de l'Autorité nationale d'urgence et de protection civile (ANEPC)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2941AC"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C97047"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E512F4" w14:textId="77777777" w:rsidR="006C686E" w:rsidRDefault="00B17E8C">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151F91" w14:textId="77777777" w:rsidR="006C686E" w:rsidRDefault="00B17E8C">
            <w:pPr>
              <w:pStyle w:val="P68B1DB1-Normal11"/>
              <w:spacing w:after="0" w:line="240" w:lineRule="auto"/>
              <w:jc w:val="center"/>
              <w:rPr>
                <w:rFonts w:eastAsia="Times New Roman"/>
                <w:noProof/>
              </w:rPr>
            </w:pPr>
            <w:r>
              <w:rPr>
                <w:noProof/>
              </w:rPr>
              <w:t>6</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68BA25" w14:textId="77777777" w:rsidR="006C686E" w:rsidRDefault="00B17E8C">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B9E752" w14:textId="77777777" w:rsidR="006C686E" w:rsidRDefault="00B17E8C">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EC1260" w14:textId="52086C3E" w:rsidR="006C686E" w:rsidRDefault="00B17E8C">
            <w:pPr>
              <w:pStyle w:val="P68B1DB1-Normal11"/>
              <w:spacing w:after="0" w:line="240" w:lineRule="auto"/>
              <w:jc w:val="both"/>
              <w:rPr>
                <w:rFonts w:eastAsia="Times New Roman"/>
                <w:noProof/>
              </w:rPr>
            </w:pPr>
            <w:r>
              <w:rPr>
                <w:noProof/>
              </w:rPr>
              <w:t>Mise en service de deux commandements régionaux et de quatre commandements sous-régionaux d’urgence et de protection civile (tels que définis dans le décret-loi no 45/2019 du 1er avril 2019).</w:t>
            </w:r>
          </w:p>
        </w:tc>
      </w:tr>
      <w:tr w:rsidR="006C686E" w14:paraId="4D5A700F" w14:textId="77777777" w:rsidTr="0024749C">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7CD894D0" w14:textId="77777777" w:rsidR="006C686E" w:rsidRDefault="00B17E8C">
            <w:pPr>
              <w:pStyle w:val="P68B1DB1-Normal10"/>
              <w:spacing w:after="0" w:line="240" w:lineRule="auto"/>
              <w:jc w:val="center"/>
              <w:rPr>
                <w:rFonts w:eastAsia="Times New Roman"/>
                <w:bCs/>
                <w:noProof/>
              </w:rPr>
            </w:pPr>
            <w:r>
              <w:rPr>
                <w:noProof/>
              </w:rPr>
              <w:t>8.21</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D1F6E3" w14:textId="77777777" w:rsidR="006C686E" w:rsidRDefault="00B17E8C">
            <w:pPr>
              <w:pStyle w:val="P68B1DB1-Normal11"/>
              <w:spacing w:after="0" w:line="240" w:lineRule="auto"/>
              <w:jc w:val="center"/>
              <w:rPr>
                <w:rFonts w:eastAsia="Times New Roman"/>
                <w:noProof/>
              </w:rPr>
            </w:pPr>
            <w:r>
              <w:rPr>
                <w:noProof/>
              </w:rPr>
              <w:t>RE-C08-i05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F917BD"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108D1E" w14:textId="77777777" w:rsidR="006C686E" w:rsidRDefault="00B17E8C">
            <w:pPr>
              <w:pStyle w:val="P68B1DB1-Normal11"/>
              <w:spacing w:after="0" w:line="240" w:lineRule="auto"/>
              <w:jc w:val="center"/>
              <w:rPr>
                <w:rFonts w:eastAsia="Times New Roman"/>
                <w:noProof/>
              </w:rPr>
            </w:pPr>
            <w:r>
              <w:rPr>
                <w:noProof/>
              </w:rPr>
              <w:t>Développement d'une campagne de sensibilisation pour prévenir les comportements à risque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02A179" w14:textId="77777777" w:rsidR="006C686E" w:rsidRDefault="00B17E8C">
            <w:pPr>
              <w:pStyle w:val="P68B1DB1-Normal11"/>
              <w:spacing w:after="0" w:line="240" w:lineRule="auto"/>
              <w:jc w:val="center"/>
              <w:rPr>
                <w:rFonts w:eastAsia="Times New Roman"/>
                <w:noProof/>
              </w:rPr>
            </w:pPr>
            <w:r>
              <w:rPr>
                <w:noProof/>
              </w:rPr>
              <w:t>Développement d'une campagne de sensibilisation</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F9762D"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37604E"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7686D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2100A4" w14:textId="77777777" w:rsidR="006C686E" w:rsidRDefault="00B17E8C">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224F25" w14:textId="77777777" w:rsidR="006C686E" w:rsidRDefault="00B17E8C">
            <w:pPr>
              <w:pStyle w:val="P68B1DB1-Normal11"/>
              <w:spacing w:after="0" w:line="240" w:lineRule="auto"/>
              <w:jc w:val="center"/>
              <w:rPr>
                <w:rFonts w:eastAsia="Times New Roman"/>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tcPr>
          <w:p w14:paraId="0A4327CC" w14:textId="282D714C" w:rsidR="006C686E" w:rsidRDefault="00B17E8C">
            <w:pPr>
              <w:pStyle w:val="P68B1DB1-Normal11"/>
              <w:spacing w:after="0" w:line="240" w:lineRule="auto"/>
              <w:jc w:val="both"/>
              <w:rPr>
                <w:rFonts w:eastAsia="Times New Roman"/>
                <w:noProof/>
              </w:rPr>
            </w:pPr>
            <w:r>
              <w:rPr>
                <w:noProof/>
              </w:rPr>
              <w:t>Développement d’une campagne de sensibilisation et d’information dans le cadre des programmes «Secure Village» et «Safe People» afin de prévenir les comportements à risque au sein de la population.</w:t>
            </w:r>
          </w:p>
        </w:tc>
      </w:tr>
      <w:tr w:rsidR="006C686E" w14:paraId="2BB2A4E2" w14:textId="77777777" w:rsidTr="0024749C">
        <w:trPr>
          <w:trHeight w:val="5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89DD12" w14:textId="77777777" w:rsidR="006C686E" w:rsidRDefault="00B17E8C">
            <w:pPr>
              <w:pStyle w:val="P68B1DB1-Normal10"/>
              <w:spacing w:after="0" w:line="240" w:lineRule="auto"/>
              <w:jc w:val="center"/>
              <w:rPr>
                <w:rFonts w:eastAsia="Times New Roman"/>
                <w:bCs/>
                <w:noProof/>
              </w:rPr>
            </w:pPr>
            <w:r>
              <w:rPr>
                <w:noProof/>
              </w:rPr>
              <w:t>8.15</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F2CB6A" w14:textId="77777777" w:rsidR="006C686E" w:rsidRDefault="00B17E8C">
            <w:pPr>
              <w:pStyle w:val="P68B1DB1-Normal11"/>
              <w:spacing w:after="0" w:line="240" w:lineRule="auto"/>
              <w:jc w:val="center"/>
              <w:rPr>
                <w:rFonts w:eastAsia="Times New Roman"/>
                <w:noProof/>
              </w:rPr>
            </w:pPr>
            <w:r>
              <w:rPr>
                <w:noProof/>
              </w:rPr>
              <w:t>RE-C08-i05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726D1C"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D0AF93" w14:textId="77777777" w:rsidR="006C686E" w:rsidRDefault="00B17E8C">
            <w:pPr>
              <w:pStyle w:val="P68B1DB1-Normal11"/>
              <w:spacing w:after="0" w:line="240" w:lineRule="auto"/>
              <w:jc w:val="center"/>
              <w:rPr>
                <w:rFonts w:eastAsia="Times New Roman"/>
                <w:noProof/>
              </w:rPr>
            </w:pPr>
            <w:r>
              <w:rPr>
                <w:noProof/>
              </w:rPr>
              <w:t>Publication du rapport initial par l'Institut pour la conservation de la nature et des forêts, I.P.</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EC8388" w14:textId="77777777" w:rsidR="006C686E" w:rsidRDefault="00B17E8C">
            <w:pPr>
              <w:pStyle w:val="P68B1DB1-Normal11"/>
              <w:spacing w:after="0" w:line="240" w:lineRule="auto"/>
              <w:jc w:val="center"/>
              <w:rPr>
                <w:rFonts w:eastAsia="Times New Roman"/>
                <w:noProof/>
              </w:rPr>
            </w:pPr>
            <w:r>
              <w:rPr>
                <w:noProof/>
              </w:rPr>
              <w:t>Publication d’un rapport sur les contrats-programmes entre l’Institut pour la conservation de la nature et des forêts, I.P. et les organisations de propriétaires forestiers (OPF) et les centres de compétences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7EA5D0"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ABF93F" w14:textId="77777777" w:rsidR="006C686E" w:rsidRDefault="00B17E8C">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85DA2E" w14:textId="77777777" w:rsidR="006C686E" w:rsidRDefault="00B17E8C">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0FC697" w14:textId="77777777" w:rsidR="006C686E" w:rsidRDefault="00B17E8C">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426B50" w14:textId="77777777" w:rsidR="006C686E" w:rsidRDefault="00B17E8C">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1BE1CF" w14:textId="77777777" w:rsidR="006C686E" w:rsidRDefault="00B17E8C">
            <w:pPr>
              <w:pStyle w:val="P68B1DB1-Normal11"/>
              <w:spacing w:after="0" w:line="240" w:lineRule="auto"/>
              <w:jc w:val="both"/>
              <w:rPr>
                <w:rFonts w:eastAsia="Times New Roman"/>
                <w:noProof/>
              </w:rPr>
            </w:pPr>
            <w:r>
              <w:rPr>
                <w:noProof/>
              </w:rPr>
              <w:t>Le rapport fournit des détails sur les contrats de programme entre l’Institut pour la conservation de la nature et des forêts, I.P. et les organisations de propriétaires forestiers (OPF) et les centres de compétences, y compris des informations sur les objectifs et cibles à atteindre chaque année. À la suite du rapport initial, la mise en œuvre et l’état d’avancement des contrats de programme sont publiés chaque semestre.</w:t>
            </w:r>
          </w:p>
        </w:tc>
      </w:tr>
      <w:tr w:rsidR="006C686E" w14:paraId="4AA5292D" w14:textId="77777777" w:rsidTr="0024749C">
        <w:trPr>
          <w:trHeight w:val="30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6C2E0A" w14:textId="77777777" w:rsidR="006C686E" w:rsidRDefault="00B17E8C">
            <w:pPr>
              <w:pStyle w:val="P68B1DB1-Normal10"/>
              <w:spacing w:after="200" w:line="240" w:lineRule="auto"/>
              <w:jc w:val="center"/>
              <w:rPr>
                <w:bCs/>
                <w:noProof/>
              </w:rPr>
            </w:pPr>
            <w:r>
              <w:rPr>
                <w:noProof/>
              </w:rPr>
              <w:t>8.22</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D0FCC" w14:textId="0015D631" w:rsidR="006C686E" w:rsidRDefault="00B17E8C">
            <w:pPr>
              <w:pStyle w:val="P68B1DB1-Normal11"/>
              <w:spacing w:after="0" w:line="240" w:lineRule="auto"/>
              <w:jc w:val="center"/>
              <w:rPr>
                <w:noProof/>
              </w:rPr>
            </w:pPr>
            <w:r>
              <w:rPr>
                <w:noProof/>
              </w:rPr>
              <w:t>RE-C08-i05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53DE5A" w14:textId="77777777" w:rsidR="006C686E" w:rsidRDefault="00B17E8C">
            <w:pPr>
              <w:pStyle w:val="P68B1DB1-Normal11"/>
              <w:spacing w:after="200" w:line="240" w:lineRule="auto"/>
              <w:jc w:val="center"/>
              <w:rPr>
                <w:noProof/>
              </w:rPr>
            </w:pPr>
            <w:r>
              <w:rPr>
                <w:noProof/>
              </w:rPr>
              <w:t>T</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85E2FB" w14:textId="77777777" w:rsidR="006C686E" w:rsidRDefault="00B17E8C">
            <w:pPr>
              <w:pStyle w:val="P68B1DB1-Normal11"/>
              <w:spacing w:after="200" w:line="240" w:lineRule="auto"/>
              <w:jc w:val="center"/>
              <w:rPr>
                <w:noProof/>
              </w:rPr>
            </w:pPr>
            <w:r>
              <w:rPr>
                <w:noProof/>
              </w:rPr>
              <w:t>Achat de matériel de gestion forestière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61B18B" w14:textId="77777777" w:rsidR="006C686E" w:rsidRDefault="006C686E">
            <w:pPr>
              <w:spacing w:after="20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E4ECB9" w14:textId="77777777" w:rsidR="006C686E" w:rsidRDefault="00B17E8C">
            <w:pPr>
              <w:pStyle w:val="P68B1DB1-Normal11"/>
              <w:spacing w:after="20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A5D23" w14:textId="77777777" w:rsidR="006C686E" w:rsidRDefault="00B17E8C">
            <w:pPr>
              <w:pStyle w:val="P68B1DB1-Normal11"/>
              <w:spacing w:after="200" w:line="240" w:lineRule="auto"/>
              <w:jc w:val="center"/>
              <w:rPr>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B3B8B8" w14:textId="2805DA11" w:rsidR="006C686E" w:rsidRDefault="00B17E8C">
            <w:pPr>
              <w:pStyle w:val="P68B1DB1-Normal13"/>
              <w:spacing w:after="200" w:line="240" w:lineRule="auto"/>
              <w:jc w:val="center"/>
              <w:rPr>
                <w:noProof/>
                <w:kern w:val="0"/>
                <w14:ligatures w14:val="none"/>
              </w:rPr>
            </w:pPr>
            <w:r>
              <w:rPr>
                <w:noProof/>
                <w:kern w:val="0"/>
                <w14:ligatures w14:val="none"/>
              </w:rPr>
              <w:t xml:space="preserve">22 </w:t>
            </w:r>
            <w:r>
              <w:rPr>
                <w:noProof/>
              </w:rPr>
              <w:t>650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C23CBD" w14:textId="77777777" w:rsidR="006C686E" w:rsidRDefault="00B17E8C">
            <w:pPr>
              <w:pStyle w:val="P68B1DB1-Normal11"/>
              <w:spacing w:after="200" w:line="240" w:lineRule="auto"/>
              <w:jc w:val="center"/>
              <w:rPr>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A10CF5" w14:textId="77777777" w:rsidR="006C686E" w:rsidRDefault="00B17E8C">
            <w:pPr>
              <w:pStyle w:val="P68B1DB1-Normal11"/>
              <w:spacing w:after="200" w:line="240" w:lineRule="auto"/>
              <w:jc w:val="center"/>
              <w:rPr>
                <w:noProof/>
              </w:rPr>
            </w:pPr>
            <w:r>
              <w:rPr>
                <w:noProof/>
              </w:rPr>
              <w:t>2026</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7AD4DF" w14:textId="77777777" w:rsidR="006C686E" w:rsidRDefault="00B17E8C">
            <w:pPr>
              <w:pStyle w:val="P68B1DB1-Normal11"/>
              <w:spacing w:after="0" w:line="276" w:lineRule="auto"/>
              <w:jc w:val="both"/>
              <w:rPr>
                <w:rFonts w:eastAsia="Times New Roman"/>
                <w:noProof/>
              </w:rPr>
            </w:pPr>
            <w:r>
              <w:rPr>
                <w:noProof/>
              </w:rPr>
              <w:t xml:space="preserve">Achat de 2 000 pièges intelligents. </w:t>
            </w:r>
          </w:p>
          <w:p w14:paraId="60451586" w14:textId="4EECD2CF" w:rsidR="006C686E" w:rsidRDefault="00B17E8C">
            <w:pPr>
              <w:pStyle w:val="P68B1DB1-Normal13"/>
              <w:spacing w:after="0" w:line="276" w:lineRule="auto"/>
              <w:jc w:val="both"/>
              <w:rPr>
                <w:rFonts w:eastAsia="Times New Roman"/>
                <w:noProof/>
                <w:kern w:val="0"/>
                <w14:ligatures w14:val="none"/>
              </w:rPr>
            </w:pPr>
            <w:r>
              <w:rPr>
                <w:noProof/>
                <w:kern w:val="0"/>
                <w14:ligatures w14:val="none"/>
              </w:rPr>
              <w:t xml:space="preserve">Achat de </w:t>
            </w:r>
            <w:r>
              <w:rPr>
                <w:noProof/>
              </w:rPr>
              <w:t xml:space="preserve">650 </w:t>
            </w:r>
            <w:r>
              <w:rPr>
                <w:noProof/>
                <w:kern w:val="0"/>
                <w14:ligatures w14:val="none"/>
              </w:rPr>
              <w:t>équipements pour la gestion forestière.</w:t>
            </w:r>
          </w:p>
          <w:p w14:paraId="1D406666" w14:textId="77F41485" w:rsidR="006C686E" w:rsidRDefault="00B17E8C">
            <w:pPr>
              <w:pStyle w:val="P68B1DB1-Normal11"/>
              <w:spacing w:after="0" w:line="276" w:lineRule="auto"/>
              <w:jc w:val="both"/>
              <w:rPr>
                <w:rFonts w:eastAsia="Times New Roman"/>
                <w:noProof/>
              </w:rPr>
            </w:pPr>
            <w:r>
              <w:rPr>
                <w:noProof/>
              </w:rPr>
              <w:t>Achat de 20 000 kits pièges.</w:t>
            </w:r>
          </w:p>
        </w:tc>
      </w:tr>
      <w:tr w:rsidR="006C686E" w14:paraId="4E15CD06" w14:textId="77777777" w:rsidTr="0024749C">
        <w:trPr>
          <w:trHeight w:val="8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29802F" w14:textId="77777777" w:rsidR="006C686E" w:rsidRDefault="00B17E8C">
            <w:pPr>
              <w:pStyle w:val="P68B1DB1-Normal10"/>
              <w:spacing w:after="0" w:line="240" w:lineRule="auto"/>
              <w:jc w:val="center"/>
              <w:rPr>
                <w:rFonts w:eastAsia="Times New Roman"/>
                <w:bCs/>
                <w:noProof/>
              </w:rPr>
            </w:pPr>
            <w:r>
              <w:rPr>
                <w:noProof/>
              </w:rPr>
              <w:t>8.17</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2766EF" w14:textId="77777777" w:rsidR="006C686E" w:rsidRDefault="00B17E8C">
            <w:pPr>
              <w:pStyle w:val="P68B1DB1-Normal11"/>
              <w:spacing w:after="0" w:line="240" w:lineRule="auto"/>
              <w:jc w:val="center"/>
              <w:rPr>
                <w:rFonts w:eastAsia="Times New Roman"/>
                <w:noProof/>
              </w:rPr>
            </w:pPr>
            <w:r>
              <w:rPr>
                <w:noProof/>
              </w:rPr>
              <w:t>RE-C08-r19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A4D331"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46B5B9" w14:textId="77777777" w:rsidR="006C686E" w:rsidRDefault="00B17E8C">
            <w:pPr>
              <w:pStyle w:val="P68B1DB1-Normal11"/>
              <w:spacing w:after="0" w:line="240" w:lineRule="auto"/>
              <w:jc w:val="center"/>
              <w:rPr>
                <w:rFonts w:eastAsia="Times New Roman"/>
                <w:noProof/>
              </w:rPr>
            </w:pPr>
            <w:r>
              <w:rPr>
                <w:noProof/>
              </w:rPr>
              <w:t xml:space="preserve">Cadre juridique relatif à l'occupation obligatoire des terres rurales dans les zones forestières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B65985" w14:textId="77777777" w:rsidR="006C686E" w:rsidRDefault="00B17E8C">
            <w:pPr>
              <w:pStyle w:val="P68B1DB1-Normal11"/>
              <w:spacing w:after="0" w:line="240" w:lineRule="auto"/>
              <w:jc w:val="center"/>
              <w:rPr>
                <w:rFonts w:eastAsia="Times New Roman"/>
                <w:noProof/>
              </w:rPr>
            </w:pPr>
            <w:r>
              <w:rPr>
                <w:noProof/>
              </w:rPr>
              <w:t>Entrée en vigueur du cadre juridique relatif à l'occupation obligatoire des terres rurales dans les zones forestières.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94F896"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119850" w14:textId="77777777" w:rsidR="006C686E" w:rsidRDefault="00B17E8C">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0D1ECA" w14:textId="77777777" w:rsidR="006C686E" w:rsidRDefault="00B17E8C">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62EA2C" w14:textId="77777777" w:rsidR="006C686E" w:rsidRDefault="00B17E8C">
            <w:pPr>
              <w:pStyle w:val="P68B1DB1-Normal11"/>
              <w:spacing w:after="0" w:line="240" w:lineRule="auto"/>
              <w:jc w:val="center"/>
              <w:rPr>
                <w:rFonts w:eastAsia="Times New Roman"/>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BE7C12" w14:textId="77777777" w:rsidR="006C686E" w:rsidRDefault="00B17E8C">
            <w:pPr>
              <w:pStyle w:val="P68B1DB1-Normal11"/>
              <w:spacing w:after="0" w:line="240" w:lineRule="auto"/>
              <w:jc w:val="center"/>
              <w:rPr>
                <w:rFonts w:eastAsia="Times New Roman"/>
                <w:noProof/>
              </w:rPr>
            </w:pPr>
            <w:r>
              <w:rPr>
                <w:noProof/>
              </w:rPr>
              <w:t>2021</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AA6919" w14:textId="77777777" w:rsidR="006C686E" w:rsidRDefault="00B17E8C">
            <w:pPr>
              <w:pStyle w:val="P68B1DB1-Normal11"/>
              <w:spacing w:after="0" w:line="240" w:lineRule="auto"/>
              <w:jc w:val="both"/>
              <w:rPr>
                <w:rFonts w:eastAsia="Times New Roman"/>
                <w:noProof/>
              </w:rPr>
            </w:pPr>
            <w:r>
              <w:rPr>
                <w:noProof/>
              </w:rPr>
              <w:t xml:space="preserve">Entrée en vigueur du cadre juridique mettant en œuvre la tenure obligatoire des terres rurales dans les zones forestières. La location obligatoire est appliquée exclusivement si les propriétaires fonciers n'expriment pas leur engagement à exécuter les actions définies dans l'opération de gestion intégrée du paysage (OIGP) définie pour la zone de gestion intégrée du paysage (AIGP) dans le but de localiser leur propriété. </w:t>
            </w:r>
          </w:p>
          <w:p w14:paraId="268EC484" w14:textId="7260443A" w:rsidR="006C686E" w:rsidRDefault="00B17E8C">
            <w:pPr>
              <w:pStyle w:val="P68B1DB1-Normal11"/>
              <w:spacing w:after="0" w:line="240" w:lineRule="auto"/>
              <w:jc w:val="both"/>
              <w:rPr>
                <w:rFonts w:eastAsia="Times New Roman"/>
                <w:noProof/>
              </w:rPr>
            </w:pPr>
            <w:r>
              <w:rPr>
                <w:noProof/>
              </w:rPr>
              <w:t>Le projet de loi no 68/2020 du 5 novembre autorise le gouvernement à modifier la loi no 31/2014 du 30 mai (établit les bases générales de la politique publique en matière d’aménagement du territoire, d’urbanisme et d’aménagement du territoire, afin d’approuver le régime juridique de l’occupation obligatoire.</w:t>
            </w:r>
          </w:p>
        </w:tc>
      </w:tr>
      <w:tr w:rsidR="006C686E" w14:paraId="75B0A900" w14:textId="77777777" w:rsidTr="0024749C">
        <w:trPr>
          <w:trHeight w:val="129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674D8D" w14:textId="77777777" w:rsidR="006C686E" w:rsidRDefault="00B17E8C">
            <w:pPr>
              <w:pStyle w:val="P68B1DB1-Normal10"/>
              <w:spacing w:after="0" w:line="240" w:lineRule="auto"/>
              <w:jc w:val="center"/>
              <w:rPr>
                <w:rFonts w:eastAsia="Times New Roman"/>
                <w:bCs/>
                <w:noProof/>
              </w:rPr>
            </w:pPr>
            <w:r>
              <w:rPr>
                <w:noProof/>
              </w:rPr>
              <w:t>8.18</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16E30D" w14:textId="77777777" w:rsidR="006C686E" w:rsidRDefault="00B17E8C">
            <w:pPr>
              <w:pStyle w:val="P68B1DB1-Normal11"/>
              <w:spacing w:after="0" w:line="240" w:lineRule="auto"/>
              <w:jc w:val="center"/>
              <w:rPr>
                <w:rFonts w:eastAsia="Times New Roman"/>
                <w:noProof/>
              </w:rPr>
            </w:pPr>
            <w:r>
              <w:rPr>
                <w:noProof/>
              </w:rPr>
              <w:t>RE-C08-r20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158D8"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8A1841" w14:textId="77777777" w:rsidR="006C686E" w:rsidRDefault="00B17E8C">
            <w:pPr>
              <w:pStyle w:val="P68B1DB1-Normal11"/>
              <w:spacing w:after="0" w:line="240" w:lineRule="auto"/>
              <w:jc w:val="center"/>
              <w:rPr>
                <w:rFonts w:eastAsia="Times New Roman"/>
                <w:noProof/>
              </w:rPr>
            </w:pPr>
            <w:r>
              <w:rPr>
                <w:noProof/>
              </w:rPr>
              <w:t>Système de surveillance de l'occupation des sols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D161E2" w14:textId="77777777" w:rsidR="006C686E" w:rsidRDefault="00B17E8C">
            <w:pPr>
              <w:pStyle w:val="P68B1DB1-Normal11"/>
              <w:spacing w:after="0" w:line="240" w:lineRule="auto"/>
              <w:jc w:val="center"/>
              <w:rPr>
                <w:rFonts w:eastAsia="Times New Roman"/>
                <w:noProof/>
              </w:rPr>
            </w:pPr>
            <w:r>
              <w:rPr>
                <w:noProof/>
              </w:rPr>
              <w:t>Mise en service du système de surveillance de l'occupation des sols (SMOS)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50700"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0A540F" w14:textId="77777777" w:rsidR="006C686E" w:rsidRDefault="00B17E8C">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477ABF" w14:textId="77777777" w:rsidR="006C686E" w:rsidRDefault="00B17E8C">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3CCD2D" w14:textId="77777777" w:rsidR="006C686E" w:rsidRDefault="00B17E8C">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97FE61" w14:textId="77777777" w:rsidR="006C686E" w:rsidRDefault="00B17E8C">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2206B093" w14:textId="77777777" w:rsidR="006C686E" w:rsidRDefault="00B17E8C">
            <w:pPr>
              <w:pStyle w:val="P68B1DB1-Normal11"/>
              <w:spacing w:after="0" w:line="240" w:lineRule="auto"/>
              <w:jc w:val="both"/>
              <w:rPr>
                <w:rFonts w:eastAsia="Times New Roman"/>
                <w:noProof/>
              </w:rPr>
            </w:pPr>
            <w:r>
              <w:rPr>
                <w:noProof/>
              </w:rPr>
              <w:t xml:space="preserve">Mise en service du Système de surveillance de la couverture terrestre (SMOS), qui englobe la couverture LiDAR, le modèle numérique du terrain, le modèle des cultures et de la végétation, les cartes des cultures et de la végétation, les cartes de la couverture terrestre et la couverture d'images satellitaires. </w:t>
            </w:r>
          </w:p>
        </w:tc>
      </w:tr>
      <w:tr w:rsidR="006C686E" w14:paraId="1CE7EBAE" w14:textId="77777777" w:rsidTr="0024749C">
        <w:trPr>
          <w:trHeight w:val="3977"/>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506EA5" w14:textId="77777777" w:rsidR="006C686E" w:rsidRDefault="00B17E8C">
            <w:pPr>
              <w:pStyle w:val="P68B1DB1-Normal10"/>
              <w:spacing w:after="0" w:line="240" w:lineRule="auto"/>
              <w:jc w:val="center"/>
              <w:rPr>
                <w:rFonts w:eastAsia="Times New Roman"/>
                <w:bCs/>
                <w:noProof/>
              </w:rPr>
            </w:pPr>
            <w:r>
              <w:rPr>
                <w:noProof/>
              </w:rPr>
              <w:t>8.19</w:t>
            </w:r>
          </w:p>
        </w:tc>
        <w:tc>
          <w:tcPr>
            <w:tcW w:w="149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B17D58" w14:textId="77777777" w:rsidR="006C686E" w:rsidRDefault="00B17E8C">
            <w:pPr>
              <w:pStyle w:val="P68B1DB1-Normal11"/>
              <w:spacing w:after="0" w:line="240" w:lineRule="auto"/>
              <w:jc w:val="center"/>
              <w:rPr>
                <w:rFonts w:eastAsia="Times New Roman"/>
                <w:noProof/>
              </w:rPr>
            </w:pPr>
            <w:r>
              <w:rPr>
                <w:noProof/>
              </w:rPr>
              <w:t>RE-C08-r21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2264CC" w14:textId="77777777" w:rsidR="006C686E" w:rsidRDefault="00B17E8C">
            <w:pPr>
              <w:pStyle w:val="P68B1DB1-Normal11"/>
              <w:spacing w:after="0" w:line="240" w:lineRule="auto"/>
              <w:jc w:val="center"/>
              <w:rPr>
                <w:rFonts w:eastAsia="Times New Roman"/>
                <w:noProof/>
              </w:rPr>
            </w:pPr>
            <w:r>
              <w:rPr>
                <w:noProof/>
              </w:rPr>
              <w:t>M</w:t>
            </w:r>
          </w:p>
        </w:tc>
        <w:tc>
          <w:tcPr>
            <w:tcW w:w="131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81B90D" w14:textId="77777777" w:rsidR="006C686E" w:rsidRDefault="00B17E8C">
            <w:pPr>
              <w:pStyle w:val="P68B1DB1-Normal11"/>
              <w:spacing w:after="0" w:line="240" w:lineRule="auto"/>
              <w:jc w:val="center"/>
              <w:rPr>
                <w:rFonts w:eastAsia="Times New Roman"/>
                <w:noProof/>
              </w:rPr>
            </w:pPr>
            <w:r>
              <w:rPr>
                <w:noProof/>
              </w:rPr>
              <w:t>Loi sur la mise en place du système de gestion intégrée des incendies en milieu rural (SGIFR)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A52AD9" w14:textId="77777777" w:rsidR="006C686E" w:rsidRDefault="00B17E8C">
            <w:pPr>
              <w:pStyle w:val="P68B1DB1-Normal11"/>
              <w:spacing w:after="0" w:line="240" w:lineRule="auto"/>
              <w:jc w:val="center"/>
              <w:rPr>
                <w:rFonts w:eastAsia="Times New Roman"/>
                <w:noProof/>
              </w:rPr>
            </w:pPr>
            <w:r>
              <w:rPr>
                <w:noProof/>
              </w:rPr>
              <w:t>Entrée en vigueur de la loi établissant le système de gestion intégrée des incendies en milieu rural (SIGIFR) et fixant ses règles de fonctionnement.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699BE0" w14:textId="5EF77D2A"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8DC06E" w14:textId="11254C94"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1C36EC" w14:textId="77777777" w:rsidR="006C686E" w:rsidRDefault="00B17E8C">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73B20E" w14:textId="77777777" w:rsidR="006C686E" w:rsidRDefault="00B17E8C">
            <w:pPr>
              <w:pStyle w:val="P68B1DB1-Normal11"/>
              <w:spacing w:after="0" w:line="240" w:lineRule="auto"/>
              <w:jc w:val="center"/>
              <w:rPr>
                <w:rFonts w:eastAsia="Times New Roman"/>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82B75F" w14:textId="77777777" w:rsidR="006C686E" w:rsidRDefault="00B17E8C">
            <w:pPr>
              <w:pStyle w:val="P68B1DB1-Normal11"/>
              <w:spacing w:after="0" w:line="240" w:lineRule="auto"/>
              <w:jc w:val="center"/>
              <w:rPr>
                <w:rFonts w:eastAsia="Times New Roman"/>
                <w:noProof/>
              </w:rPr>
            </w:pPr>
            <w:r>
              <w:rPr>
                <w:noProof/>
              </w:rPr>
              <w:t>2021</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C1B41F" w14:textId="77777777" w:rsidR="006C686E" w:rsidRDefault="00B17E8C">
            <w:pPr>
              <w:pStyle w:val="P68B1DB1-Normal11"/>
              <w:spacing w:after="0" w:line="240" w:lineRule="auto"/>
              <w:jc w:val="both"/>
              <w:rPr>
                <w:rFonts w:eastAsia="Times New Roman"/>
                <w:noProof/>
              </w:rPr>
            </w:pPr>
            <w:r>
              <w:rPr>
                <w:noProof/>
              </w:rPr>
              <w:t xml:space="preserve">Le système de gestion intégrée des incendies ruraux (SGIFR) fournit, au niveau national, des macropolitiques et des orientations stratégiques qui contribuent à réduire le risque d’incendies ruraux et à modifier le comportement des propriétaires, des utilisateurs et des bénéficiaires directs et indirects du territoire rural. Le système définit des modèles de coordination interministérielle, délimitant les compétences et le champ d'action de chaque entité au sein du SIGIFR. </w:t>
            </w:r>
          </w:p>
          <w:p w14:paraId="7127BF6F" w14:textId="77777777" w:rsidR="006C686E" w:rsidRDefault="00B17E8C">
            <w:pPr>
              <w:pStyle w:val="P68B1DB1-Normal11"/>
              <w:spacing w:after="0" w:line="240" w:lineRule="auto"/>
              <w:jc w:val="both"/>
              <w:rPr>
                <w:rFonts w:eastAsia="Times New Roman"/>
                <w:noProof/>
              </w:rPr>
            </w:pPr>
            <w:r>
              <w:rPr>
                <w:noProof/>
              </w:rPr>
              <w:t>Il définit le contenu des différents outils de planification intégrée de la gestion des incendies en milieu rural aux niveaux national, régional, sous-régional et municipal. Un système d’information sur les incendies en milieu rural est mis en place afin d’agréger et de diffuser toutes les informations techniques pertinentes provenant du SIGIFR et il existe un engagement clair à définir un modèle fondé sur la prévention et la minimisation des risques, soit par des activités de sensibilisation, soit par la mise en place de réseaux régionaux de défense, dans lesquels la gestion du carburant joue un rôle de premier plan dans le régime de sanctions. Enfin, il définit un modèle de gouvernance, de suivi et d'évaluation, qui contribue à l'amélioration continue des politiques et programmes publics.</w:t>
            </w:r>
          </w:p>
        </w:tc>
      </w:tr>
    </w:tbl>
    <w:p w14:paraId="08492A7C"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p w14:paraId="79EF9A54" w14:textId="77777777" w:rsidR="006C686E" w:rsidRDefault="006C686E">
      <w:pPr>
        <w:keepNext/>
        <w:spacing w:before="40" w:after="0"/>
        <w:ind w:left="130" w:firstLine="720"/>
        <w:jc w:val="both"/>
        <w:outlineLvl w:val="1"/>
        <w:rPr>
          <w:rFonts w:ascii="Times New Roman" w:hAnsi="Times New Roman"/>
          <w:b/>
          <w:noProof/>
          <w:u w:val="single"/>
        </w:rPr>
        <w:sectPr w:rsidR="006C686E" w:rsidSect="00C95E00">
          <w:headerReference w:type="even" r:id="rId190"/>
          <w:headerReference w:type="default" r:id="rId191"/>
          <w:footerReference w:type="even" r:id="rId192"/>
          <w:footerReference w:type="default" r:id="rId193"/>
          <w:headerReference w:type="first" r:id="rId194"/>
          <w:footerReference w:type="first" r:id="rId195"/>
          <w:pgSz w:w="16839" w:h="11907" w:orient="landscape"/>
          <w:pgMar w:top="1418" w:right="1134" w:bottom="1418" w:left="1134" w:header="567" w:footer="567" w:gutter="0"/>
          <w:cols w:space="720"/>
          <w:docGrid w:linePitch="360"/>
        </w:sectPr>
      </w:pPr>
    </w:p>
    <w:p w14:paraId="78008D10" w14:textId="77777777" w:rsidR="006C686E" w:rsidRDefault="00B17E8C">
      <w:pPr>
        <w:pStyle w:val="P68B1DB1-Normal18"/>
        <w:keepNext/>
        <w:spacing w:before="40" w:after="0"/>
        <w:ind w:left="130" w:firstLine="720"/>
        <w:jc w:val="both"/>
        <w:outlineLvl w:val="1"/>
        <w:rPr>
          <w:rFonts w:eastAsiaTheme="minorEastAsia" w:cs="Times New Roman"/>
          <w:bCs/>
          <w:noProof/>
        </w:rPr>
      </w:pPr>
      <w:r>
        <w:rPr>
          <w:noProof/>
        </w:rPr>
        <w:t>I. Élément 9: Gestion de l'eau</w:t>
      </w:r>
    </w:p>
    <w:p w14:paraId="48308517" w14:textId="77777777" w:rsidR="006C686E" w:rsidRDefault="00B17E8C">
      <w:pPr>
        <w:pStyle w:val="P68B1DB1-Normal22"/>
        <w:keepNext/>
        <w:spacing w:before="40" w:after="0"/>
        <w:jc w:val="both"/>
        <w:rPr>
          <w:rFonts w:eastAsiaTheme="minorEastAsia" w:cs="Times New Roman"/>
          <w:i/>
          <w:iCs/>
          <w:noProof/>
        </w:rPr>
      </w:pPr>
      <w:r>
        <w:rPr>
          <w:noProof/>
        </w:rPr>
        <w:t>Ce volet vise à relever les défis suivants: faire face à la forte pression exercée sur les systèmes de stockage assurant l’approvisionnement en eau et améliorer l’efficacité de l’eau afin de contrer les contraintes imposées par la diminution annuelle attendue des précipitations, l’augmentation de la fréquence des sécheresses, la saisonnalité et l’augmentation des fuites d’eau.</w:t>
      </w:r>
    </w:p>
    <w:p w14:paraId="086E9AF3" w14:textId="77777777" w:rsidR="006C686E" w:rsidRDefault="00B17E8C">
      <w:pPr>
        <w:pStyle w:val="P68B1DB1-Normal22"/>
        <w:keepNext/>
        <w:spacing w:before="40" w:after="0"/>
        <w:jc w:val="both"/>
        <w:rPr>
          <w:rFonts w:eastAsiaTheme="minorEastAsia" w:cs="Times New Roman"/>
          <w:noProof/>
        </w:rPr>
      </w:pPr>
      <w:r>
        <w:rPr>
          <w:noProof/>
        </w:rPr>
        <w:t xml:space="preserve">Les objectifs du volet sont d’atténuer la pénurie d’eau et de garantir la résilience des régions qui connaissent le plus grand problème de sécheresse et qui ont un besoin critique d’intervention efficace pour assurer l’approvisionnement en eau en Algarve et à Madère. </w:t>
      </w:r>
    </w:p>
    <w:p w14:paraId="163B1CB8" w14:textId="77777777" w:rsidR="006C686E" w:rsidRDefault="00B17E8C">
      <w:pPr>
        <w:pStyle w:val="P68B1DB1-Normal22"/>
        <w:keepNext/>
        <w:spacing w:before="40" w:after="0"/>
        <w:jc w:val="both"/>
        <w:rPr>
          <w:rFonts w:eastAsiaTheme="minorEastAsia" w:cs="Times New Roman"/>
          <w:noProof/>
        </w:rPr>
      </w:pPr>
      <w:r>
        <w:rPr>
          <w:noProof/>
        </w:rPr>
        <w:t>Une plus grande résilience de l'eau est d'une importance capitale pour le développement de ces régions, ce qui représente également une condition obligatoire pour le tourisme et les écosystèmes (en particulier en Algarve et à Madère), l'agriculture (Madère) et pour faire face aux pressions combinées des pics des besoins d'irrigation et de la consommation humaine (Madère).</w:t>
      </w:r>
    </w:p>
    <w:p w14:paraId="74C97A69" w14:textId="77777777" w:rsidR="006C686E" w:rsidRDefault="00B17E8C">
      <w:pPr>
        <w:pStyle w:val="P68B1DB1-Normal22"/>
        <w:keepNext/>
        <w:spacing w:before="40" w:after="0"/>
        <w:jc w:val="both"/>
        <w:rPr>
          <w:noProof/>
        </w:rPr>
      </w:pPr>
      <w:r>
        <w:rPr>
          <w:noProof/>
        </w:rPr>
        <w:t xml:space="preserve">Ce volet contribue à la mise en œuvre de la recommandation par pays sur les investissements dans la transition climatique (recommandation par pays no 3 de 2020). </w:t>
      </w:r>
    </w:p>
    <w:p w14:paraId="7069F77E" w14:textId="77777777" w:rsidR="006C686E" w:rsidRDefault="006C686E">
      <w:pPr>
        <w:keepNext/>
        <w:spacing w:before="40" w:after="0"/>
        <w:jc w:val="both"/>
        <w:rPr>
          <w:rFonts w:ascii="Times New Roman" w:eastAsiaTheme="minorEastAsia" w:hAnsi="Times New Roman" w:cs="Times New Roman"/>
          <w:noProof/>
        </w:rPr>
      </w:pPr>
    </w:p>
    <w:p w14:paraId="2C48859A" w14:textId="77777777" w:rsidR="006C686E" w:rsidRDefault="00B17E8C">
      <w:pPr>
        <w:pStyle w:val="P68B1DB1-Normal18"/>
        <w:keepNext/>
        <w:spacing w:before="40" w:after="0"/>
        <w:ind w:left="130" w:firstLine="720"/>
        <w:jc w:val="both"/>
        <w:outlineLvl w:val="2"/>
        <w:rPr>
          <w:rFonts w:eastAsiaTheme="minorEastAsia" w:cs="Times New Roman"/>
          <w:bCs/>
          <w:noProof/>
        </w:rPr>
      </w:pPr>
      <w:r>
        <w:rPr>
          <w:noProof/>
        </w:rPr>
        <w:t xml:space="preserve">I.1. </w:t>
      </w:r>
      <w:r>
        <w:rPr>
          <w:noProof/>
        </w:rPr>
        <w:tab/>
        <w:t>Description des réformes et des investissements pour le soutien financier non remboursable</w:t>
      </w:r>
    </w:p>
    <w:p w14:paraId="753A1CEA" w14:textId="77777777" w:rsidR="006C686E" w:rsidRDefault="00B17E8C">
      <w:pPr>
        <w:pStyle w:val="P68B1DB1-Normal21"/>
        <w:keepNext/>
        <w:spacing w:before="240" w:after="0"/>
        <w:ind w:left="851"/>
        <w:jc w:val="both"/>
        <w:outlineLvl w:val="3"/>
        <w:rPr>
          <w:rFonts w:eastAsiaTheme="minorEastAsia" w:cs="Times New Roman"/>
          <w:noProof/>
        </w:rPr>
      </w:pPr>
      <w:r>
        <w:rPr>
          <w:noProof/>
        </w:rPr>
        <w:t>Investissement RE-C09-i01: Plan Régional d'Efficacité Eau de l'Algarve</w:t>
      </w:r>
    </w:p>
    <w:p w14:paraId="51743125" w14:textId="7D0CF408" w:rsidR="006C686E" w:rsidRDefault="00B17E8C">
      <w:pPr>
        <w:pStyle w:val="P68B1DB1-Normal22"/>
        <w:keepNext/>
        <w:spacing w:before="40" w:after="0"/>
        <w:jc w:val="both"/>
        <w:rPr>
          <w:rFonts w:eastAsiaTheme="minorEastAsia" w:cs="Times New Roman"/>
          <w:noProof/>
        </w:rPr>
      </w:pPr>
      <w:bookmarkStart w:id="14" w:name="_Hlk212825150"/>
      <w:r>
        <w:rPr>
          <w:noProof/>
        </w:rPr>
        <w:t>L'objectif de cet investissement est</w:t>
      </w:r>
      <w:bookmarkEnd w:id="14"/>
      <w:r>
        <w:rPr>
          <w:noProof/>
        </w:rPr>
        <w:t xml:space="preserve"> de répondre à la pénurie d'eau en Algarve. L'investissement consiste en la construction de piézomètres dans les masses d'eau souterraine de l'Algarve, des interventions liées à la réduction des pertes d'eau dans le secteur urbain de l'Algarve, la </w:t>
      </w:r>
      <w:bookmarkStart w:id="15" w:name="_Hlk212825226"/>
      <w:r>
        <w:rPr>
          <w:noProof/>
        </w:rPr>
        <w:t xml:space="preserve">construction </w:t>
      </w:r>
      <w:bookmarkEnd w:id="15"/>
      <w:r>
        <w:rPr>
          <w:noProof/>
        </w:rPr>
        <w:t xml:space="preserve">d'installations de traitement des eaux usées en vue de leur réutilisation et la construction d'usines de traitement des eaux, d'une station de pompage et d'un château d'eau. </w:t>
      </w:r>
    </w:p>
    <w:p w14:paraId="718E4742" w14:textId="77777777" w:rsidR="006C686E" w:rsidRDefault="00B17E8C">
      <w:pPr>
        <w:pStyle w:val="P68B1DB1-Normal21"/>
        <w:spacing w:before="240"/>
        <w:ind w:left="851"/>
        <w:jc w:val="both"/>
        <w:outlineLvl w:val="3"/>
        <w:rPr>
          <w:noProof/>
        </w:rPr>
      </w:pPr>
      <w:r>
        <w:rPr>
          <w:noProof/>
        </w:rPr>
        <w:t>Investissement RE-C09-i03-RAM: Plan pour l'efficacité de l'eau et les systèmes d'approvisionnement et d'irrigation de Madère</w:t>
      </w:r>
    </w:p>
    <w:p w14:paraId="7A50A19D" w14:textId="77777777" w:rsidR="006C686E" w:rsidRDefault="00B17E8C">
      <w:pPr>
        <w:pStyle w:val="P68B1DB1-Normal22"/>
        <w:spacing w:before="40" w:after="0"/>
        <w:jc w:val="both"/>
        <w:rPr>
          <w:noProof/>
        </w:rPr>
      </w:pPr>
      <w:r>
        <w:rPr>
          <w:noProof/>
        </w:rPr>
        <w:t xml:space="preserve">L'objectif de cet investissement est d'accroître la résilience des ressources en eau sur les îles de Madère et de Porto Santo. </w:t>
      </w:r>
    </w:p>
    <w:p w14:paraId="025500F2" w14:textId="7CC2276E" w:rsidR="006C686E" w:rsidRDefault="00B17E8C">
      <w:pPr>
        <w:pStyle w:val="P68B1DB1-Normal22"/>
        <w:spacing w:before="40" w:after="0"/>
        <w:jc w:val="both"/>
        <w:rPr>
          <w:rFonts w:eastAsiaTheme="minorEastAsia" w:cs="Times New Roman"/>
          <w:noProof/>
        </w:rPr>
      </w:pPr>
      <w:r>
        <w:rPr>
          <w:noProof/>
        </w:rPr>
        <w:t>L'investissement consiste en la construction, la rénovation ou l'installation d'infrastructures hydrauliques, de pipelines, d'un canal, de réservoirs, de stations de pompage et d'un forage.</w:t>
      </w:r>
    </w:p>
    <w:p w14:paraId="1211EF9A" w14:textId="77777777" w:rsidR="006C686E" w:rsidRDefault="00B17E8C">
      <w:pPr>
        <w:pStyle w:val="P68B1DB1-Normal21"/>
        <w:spacing w:before="240" w:after="0"/>
        <w:ind w:left="851"/>
        <w:jc w:val="both"/>
        <w:outlineLvl w:val="3"/>
        <w:rPr>
          <w:rFonts w:cs="Times New Roman"/>
          <w:noProof/>
        </w:rPr>
      </w:pPr>
      <w:r>
        <w:rPr>
          <w:noProof/>
        </w:rPr>
        <w:t xml:space="preserve">Investissement RE-C09-i05: Parc photovoltaïque d'Alqueva </w:t>
      </w:r>
    </w:p>
    <w:p w14:paraId="55219674" w14:textId="77777777" w:rsidR="006C686E" w:rsidRDefault="00B17E8C">
      <w:pPr>
        <w:pStyle w:val="P68B1DB1-Normal22"/>
        <w:spacing w:before="40" w:after="0"/>
        <w:jc w:val="both"/>
        <w:rPr>
          <w:noProof/>
        </w:rPr>
      </w:pPr>
      <w:r>
        <w:rPr>
          <w:noProof/>
        </w:rPr>
        <w:t xml:space="preserve">L’objectif de cette mesure est de réduire les coûts de l’électricité et de progresser vers la décarbonation du barrage d’Alqueva. </w:t>
      </w:r>
    </w:p>
    <w:p w14:paraId="0495B0C4" w14:textId="77777777" w:rsidR="006C686E" w:rsidRDefault="00B17E8C">
      <w:pPr>
        <w:pStyle w:val="P68B1DB1-Normal22"/>
        <w:spacing w:before="40" w:after="0"/>
        <w:jc w:val="both"/>
        <w:rPr>
          <w:noProof/>
        </w:rPr>
      </w:pPr>
      <w:r>
        <w:rPr>
          <w:noProof/>
        </w:rPr>
        <w:t xml:space="preserve">L'investissement consistera en l'installation d'une capacité photovoltaïque sur le lac du barrage d'Alqueva. </w:t>
      </w:r>
    </w:p>
    <w:p w14:paraId="7DAB13C2" w14:textId="77777777" w:rsidR="006C686E" w:rsidRDefault="006C686E">
      <w:pPr>
        <w:spacing w:before="40" w:after="0"/>
        <w:jc w:val="both"/>
        <w:rPr>
          <w:rFonts w:ascii="Times New Roman" w:hAnsi="Times New Roman"/>
          <w:noProof/>
        </w:rPr>
      </w:pPr>
    </w:p>
    <w:p w14:paraId="27220166" w14:textId="77777777" w:rsidR="006C686E" w:rsidRDefault="006C686E">
      <w:pPr>
        <w:spacing w:before="40" w:after="0"/>
        <w:jc w:val="both"/>
        <w:rPr>
          <w:rFonts w:ascii="Times New Roman" w:hAnsi="Times New Roman"/>
          <w:noProof/>
        </w:rPr>
        <w:sectPr w:rsidR="006C686E" w:rsidSect="00C95E00">
          <w:headerReference w:type="even" r:id="rId196"/>
          <w:headerReference w:type="default" r:id="rId197"/>
          <w:footerReference w:type="even" r:id="rId198"/>
          <w:footerReference w:type="default" r:id="rId199"/>
          <w:headerReference w:type="first" r:id="rId200"/>
          <w:footerReference w:type="first" r:id="rId201"/>
          <w:pgSz w:w="11907" w:h="16839"/>
          <w:pgMar w:top="1134" w:right="1134" w:bottom="1134" w:left="1134" w:header="567" w:footer="567" w:gutter="0"/>
          <w:cols w:space="720"/>
          <w:docGrid w:linePitch="360"/>
        </w:sectPr>
      </w:pPr>
    </w:p>
    <w:p w14:paraId="5E9C6CB6" w14:textId="77777777" w:rsidR="006C686E" w:rsidRDefault="00B17E8C">
      <w:pPr>
        <w:pStyle w:val="P68B1DB1-Normal18"/>
        <w:keepNext/>
        <w:spacing w:before="40" w:after="0"/>
        <w:ind w:left="130" w:firstLine="12"/>
        <w:jc w:val="center"/>
        <w:outlineLvl w:val="2"/>
        <w:rPr>
          <w:noProof/>
        </w:rPr>
      </w:pPr>
      <w:r>
        <w:rPr>
          <w:noProof/>
        </w:rPr>
        <w:t>I.2. 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1134"/>
        <w:gridCol w:w="1423"/>
        <w:gridCol w:w="1275"/>
        <w:gridCol w:w="993"/>
        <w:gridCol w:w="992"/>
        <w:gridCol w:w="987"/>
        <w:gridCol w:w="567"/>
        <w:gridCol w:w="850"/>
        <w:gridCol w:w="3549"/>
      </w:tblGrid>
      <w:tr w:rsidR="006C686E" w14:paraId="584345DC" w14:textId="77777777" w:rsidTr="0024749C">
        <w:trPr>
          <w:trHeight w:val="1080"/>
          <w:tblHeader/>
          <w:jc w:val="center"/>
        </w:trPr>
        <w:tc>
          <w:tcPr>
            <w:tcW w:w="1135" w:type="dxa"/>
            <w:vMerge w:val="restart"/>
            <w:shd w:val="clear" w:color="auto" w:fill="BDD6EE"/>
            <w:vAlign w:val="center"/>
            <w:hideMark/>
          </w:tcPr>
          <w:p w14:paraId="320366F9"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554" w:type="dxa"/>
            <w:vMerge w:val="restart"/>
            <w:shd w:val="clear" w:color="auto" w:fill="BDD6EE"/>
            <w:noWrap/>
            <w:vAlign w:val="center"/>
            <w:hideMark/>
          </w:tcPr>
          <w:p w14:paraId="479224AA"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134" w:type="dxa"/>
            <w:vMerge w:val="restart"/>
            <w:shd w:val="clear" w:color="auto" w:fill="BDD6EE"/>
            <w:noWrap/>
            <w:vAlign w:val="center"/>
            <w:hideMark/>
          </w:tcPr>
          <w:p w14:paraId="4C956F2A" w14:textId="27556B23" w:rsidR="006C686E" w:rsidRDefault="00B17E8C">
            <w:pPr>
              <w:pStyle w:val="P68B1DB1-Normal24"/>
              <w:spacing w:after="0" w:line="240" w:lineRule="auto"/>
              <w:jc w:val="center"/>
              <w:rPr>
                <w:rFonts w:eastAsia="Times New Roman"/>
                <w:bCs/>
                <w:noProof/>
              </w:rPr>
            </w:pPr>
            <w:r>
              <w:rPr>
                <w:noProof/>
              </w:rPr>
              <w:t>Étape/cible</w:t>
            </w:r>
          </w:p>
        </w:tc>
        <w:tc>
          <w:tcPr>
            <w:tcW w:w="1423" w:type="dxa"/>
            <w:vMerge w:val="restart"/>
            <w:shd w:val="clear" w:color="auto" w:fill="BDD6EE"/>
            <w:noWrap/>
            <w:vAlign w:val="center"/>
            <w:hideMark/>
          </w:tcPr>
          <w:p w14:paraId="1BD67D32" w14:textId="77777777" w:rsidR="006C686E" w:rsidRDefault="00B17E8C">
            <w:pPr>
              <w:pStyle w:val="P68B1DB1-Normal24"/>
              <w:spacing w:after="0" w:line="240" w:lineRule="auto"/>
              <w:jc w:val="center"/>
              <w:rPr>
                <w:rFonts w:eastAsia="Times New Roman"/>
                <w:bCs/>
                <w:noProof/>
              </w:rPr>
            </w:pPr>
            <w:r>
              <w:rPr>
                <w:noProof/>
              </w:rPr>
              <w:t>Nom</w:t>
            </w:r>
          </w:p>
        </w:tc>
        <w:tc>
          <w:tcPr>
            <w:tcW w:w="1275" w:type="dxa"/>
            <w:vMerge w:val="restart"/>
            <w:shd w:val="clear" w:color="auto" w:fill="BDD6EE"/>
            <w:noWrap/>
            <w:vAlign w:val="center"/>
            <w:hideMark/>
          </w:tcPr>
          <w:p w14:paraId="0E8D9FF7"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2972" w:type="dxa"/>
            <w:gridSpan w:val="3"/>
            <w:shd w:val="clear" w:color="auto" w:fill="BDD6EE"/>
            <w:noWrap/>
            <w:vAlign w:val="center"/>
            <w:hideMark/>
          </w:tcPr>
          <w:p w14:paraId="6A3E6E11"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417" w:type="dxa"/>
            <w:gridSpan w:val="2"/>
            <w:shd w:val="clear" w:color="auto" w:fill="BDD6EE"/>
            <w:noWrap/>
            <w:vAlign w:val="center"/>
            <w:hideMark/>
          </w:tcPr>
          <w:p w14:paraId="781169E0" w14:textId="77777777" w:rsidR="006C686E" w:rsidRDefault="00B17E8C">
            <w:pPr>
              <w:pStyle w:val="P68B1DB1-Normal24"/>
              <w:spacing w:after="0" w:line="240" w:lineRule="auto"/>
              <w:jc w:val="center"/>
              <w:rPr>
                <w:rFonts w:eastAsia="Times New Roman"/>
                <w:bCs/>
                <w:noProof/>
              </w:rPr>
            </w:pPr>
            <w:r>
              <w:rPr>
                <w:noProof/>
              </w:rPr>
              <w:t>Calendrier d'achèvement</w:t>
            </w:r>
          </w:p>
        </w:tc>
        <w:tc>
          <w:tcPr>
            <w:tcW w:w="3549" w:type="dxa"/>
            <w:vMerge w:val="restart"/>
            <w:shd w:val="clear" w:color="auto" w:fill="BDD6EE"/>
            <w:vAlign w:val="center"/>
            <w:hideMark/>
          </w:tcPr>
          <w:p w14:paraId="4F179F33"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7D74A133" w14:textId="77777777" w:rsidTr="0024749C">
        <w:trPr>
          <w:trHeight w:val="300"/>
          <w:tblHeader/>
          <w:jc w:val="center"/>
        </w:trPr>
        <w:tc>
          <w:tcPr>
            <w:tcW w:w="1135" w:type="dxa"/>
            <w:vMerge/>
            <w:vAlign w:val="center"/>
            <w:hideMark/>
          </w:tcPr>
          <w:p w14:paraId="27DBFD10" w14:textId="77777777" w:rsidR="006C686E" w:rsidRDefault="006C686E">
            <w:pPr>
              <w:spacing w:after="0" w:line="240" w:lineRule="auto"/>
              <w:rPr>
                <w:rFonts w:ascii="Times New Roman" w:eastAsia="Times New Roman" w:hAnsi="Times New Roman" w:cs="Times New Roman"/>
                <w:b/>
                <w:bCs/>
                <w:noProof/>
                <w:sz w:val="18"/>
                <w:szCs w:val="18"/>
              </w:rPr>
            </w:pPr>
          </w:p>
        </w:tc>
        <w:tc>
          <w:tcPr>
            <w:tcW w:w="1554" w:type="dxa"/>
            <w:vMerge/>
            <w:vAlign w:val="center"/>
            <w:hideMark/>
          </w:tcPr>
          <w:p w14:paraId="3D88171E" w14:textId="77777777" w:rsidR="006C686E" w:rsidRDefault="006C686E">
            <w:pPr>
              <w:spacing w:after="0" w:line="240" w:lineRule="auto"/>
              <w:rPr>
                <w:rFonts w:ascii="Times New Roman" w:eastAsia="Times New Roman" w:hAnsi="Times New Roman" w:cs="Times New Roman"/>
                <w:b/>
                <w:bCs/>
                <w:noProof/>
                <w:sz w:val="18"/>
                <w:szCs w:val="18"/>
              </w:rPr>
            </w:pPr>
          </w:p>
        </w:tc>
        <w:tc>
          <w:tcPr>
            <w:tcW w:w="1134" w:type="dxa"/>
            <w:vMerge/>
            <w:noWrap/>
            <w:vAlign w:val="center"/>
            <w:hideMark/>
          </w:tcPr>
          <w:p w14:paraId="28EBBE9B"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1423" w:type="dxa"/>
            <w:vMerge/>
            <w:vAlign w:val="center"/>
            <w:hideMark/>
          </w:tcPr>
          <w:p w14:paraId="76FBF894" w14:textId="77777777" w:rsidR="006C686E" w:rsidRDefault="006C686E">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3B7C2F6A" w14:textId="77777777" w:rsidR="006C686E" w:rsidRDefault="006C686E">
            <w:pPr>
              <w:spacing w:after="0" w:line="240" w:lineRule="auto"/>
              <w:rPr>
                <w:rFonts w:ascii="Times New Roman" w:eastAsia="Times New Roman" w:hAnsi="Times New Roman" w:cs="Times New Roman"/>
                <w:b/>
                <w:bCs/>
                <w:noProof/>
                <w:sz w:val="18"/>
                <w:szCs w:val="18"/>
              </w:rPr>
            </w:pPr>
          </w:p>
        </w:tc>
        <w:tc>
          <w:tcPr>
            <w:tcW w:w="993" w:type="dxa"/>
            <w:shd w:val="clear" w:color="auto" w:fill="BDD6EE"/>
            <w:noWrap/>
            <w:vAlign w:val="center"/>
            <w:hideMark/>
          </w:tcPr>
          <w:p w14:paraId="2633D3D8" w14:textId="77777777" w:rsidR="006C686E" w:rsidRDefault="00B17E8C">
            <w:pPr>
              <w:pStyle w:val="P68B1DB1-Normal24"/>
              <w:spacing w:after="0" w:line="240" w:lineRule="auto"/>
              <w:jc w:val="center"/>
              <w:rPr>
                <w:rFonts w:eastAsia="Times New Roman"/>
                <w:bCs/>
                <w:noProof/>
              </w:rPr>
            </w:pPr>
            <w:r>
              <w:rPr>
                <w:noProof/>
              </w:rPr>
              <w:t>Unité de mesure</w:t>
            </w:r>
          </w:p>
        </w:tc>
        <w:tc>
          <w:tcPr>
            <w:tcW w:w="992" w:type="dxa"/>
            <w:shd w:val="clear" w:color="auto" w:fill="BDD6EE"/>
            <w:noWrap/>
            <w:vAlign w:val="center"/>
            <w:hideMark/>
          </w:tcPr>
          <w:p w14:paraId="2D52D33F"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987" w:type="dxa"/>
            <w:shd w:val="clear" w:color="auto" w:fill="BDD6EE"/>
            <w:noWrap/>
            <w:vAlign w:val="center"/>
            <w:hideMark/>
          </w:tcPr>
          <w:p w14:paraId="5D7EE031" w14:textId="77777777" w:rsidR="006C686E" w:rsidRDefault="00B17E8C">
            <w:pPr>
              <w:pStyle w:val="P68B1DB1-Normal24"/>
              <w:spacing w:after="0" w:line="240" w:lineRule="auto"/>
              <w:jc w:val="center"/>
              <w:rPr>
                <w:rFonts w:eastAsia="Times New Roman"/>
                <w:bCs/>
                <w:noProof/>
              </w:rPr>
            </w:pPr>
            <w:r>
              <w:rPr>
                <w:noProof/>
              </w:rPr>
              <w:t>Objectif</w:t>
            </w:r>
          </w:p>
        </w:tc>
        <w:tc>
          <w:tcPr>
            <w:tcW w:w="567" w:type="dxa"/>
            <w:shd w:val="clear" w:color="auto" w:fill="BDD6EE"/>
            <w:noWrap/>
            <w:vAlign w:val="center"/>
            <w:hideMark/>
          </w:tcPr>
          <w:p w14:paraId="676B9C81" w14:textId="77777777" w:rsidR="006C686E" w:rsidRDefault="00B17E8C">
            <w:pPr>
              <w:pStyle w:val="P68B1DB1-Normal24"/>
              <w:spacing w:after="0" w:line="240" w:lineRule="auto"/>
              <w:jc w:val="center"/>
              <w:rPr>
                <w:rFonts w:eastAsia="Times New Roman"/>
                <w:bCs/>
                <w:noProof/>
              </w:rPr>
            </w:pPr>
            <w:r>
              <w:rPr>
                <w:noProof/>
              </w:rPr>
              <w:t>Q</w:t>
            </w:r>
          </w:p>
        </w:tc>
        <w:tc>
          <w:tcPr>
            <w:tcW w:w="850" w:type="dxa"/>
            <w:shd w:val="clear" w:color="auto" w:fill="BDD6EE"/>
            <w:noWrap/>
            <w:vAlign w:val="center"/>
            <w:hideMark/>
          </w:tcPr>
          <w:p w14:paraId="265FDF80" w14:textId="77777777" w:rsidR="006C686E" w:rsidRDefault="00B17E8C">
            <w:pPr>
              <w:pStyle w:val="P68B1DB1-Normal24"/>
              <w:spacing w:after="0" w:line="240" w:lineRule="auto"/>
              <w:jc w:val="center"/>
              <w:rPr>
                <w:rFonts w:eastAsia="Times New Roman"/>
                <w:bCs/>
                <w:noProof/>
              </w:rPr>
            </w:pPr>
            <w:r>
              <w:rPr>
                <w:noProof/>
              </w:rPr>
              <w:t>Année</w:t>
            </w:r>
          </w:p>
        </w:tc>
        <w:tc>
          <w:tcPr>
            <w:tcW w:w="3549" w:type="dxa"/>
            <w:vMerge/>
            <w:vAlign w:val="center"/>
            <w:hideMark/>
          </w:tcPr>
          <w:p w14:paraId="470DF4C9"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42725A34" w14:textId="77777777" w:rsidTr="0024749C">
        <w:trPr>
          <w:trHeight w:val="445"/>
          <w:jc w:val="center"/>
        </w:trPr>
        <w:tc>
          <w:tcPr>
            <w:tcW w:w="1135" w:type="dxa"/>
            <w:shd w:val="clear" w:color="auto" w:fill="C5EFCE"/>
            <w:noWrap/>
            <w:vAlign w:val="center"/>
            <w:hideMark/>
          </w:tcPr>
          <w:p w14:paraId="7E592E17" w14:textId="77777777" w:rsidR="006C686E" w:rsidRDefault="00B17E8C">
            <w:pPr>
              <w:pStyle w:val="P68B1DB1-Normal25"/>
              <w:spacing w:after="0" w:line="240" w:lineRule="auto"/>
              <w:jc w:val="center"/>
              <w:rPr>
                <w:rFonts w:eastAsia="Times New Roman"/>
                <w:bCs/>
                <w:noProof/>
              </w:rPr>
            </w:pPr>
            <w:r>
              <w:rPr>
                <w:noProof/>
              </w:rPr>
              <w:t>9.1</w:t>
            </w:r>
          </w:p>
        </w:tc>
        <w:tc>
          <w:tcPr>
            <w:tcW w:w="1554" w:type="dxa"/>
            <w:shd w:val="clear" w:color="auto" w:fill="C4EFCE"/>
            <w:noWrap/>
            <w:vAlign w:val="center"/>
            <w:hideMark/>
          </w:tcPr>
          <w:p w14:paraId="3E4A1F44" w14:textId="77777777" w:rsidR="006C686E" w:rsidRDefault="00B17E8C">
            <w:pPr>
              <w:pStyle w:val="P68B1DB1-Normal26"/>
              <w:spacing w:after="0" w:line="240" w:lineRule="auto"/>
              <w:jc w:val="center"/>
              <w:rPr>
                <w:rFonts w:eastAsia="Times New Roman"/>
                <w:noProof/>
              </w:rPr>
            </w:pPr>
            <w:r>
              <w:rPr>
                <w:noProof/>
              </w:rPr>
              <w:t>RE-C09-i01</w:t>
            </w:r>
          </w:p>
        </w:tc>
        <w:tc>
          <w:tcPr>
            <w:tcW w:w="1134" w:type="dxa"/>
            <w:shd w:val="clear" w:color="auto" w:fill="C4EFCE"/>
            <w:noWrap/>
            <w:vAlign w:val="center"/>
            <w:hideMark/>
          </w:tcPr>
          <w:p w14:paraId="3C9E57BC" w14:textId="77777777" w:rsidR="006C686E" w:rsidRDefault="00B17E8C">
            <w:pPr>
              <w:pStyle w:val="P68B1DB1-Normal26"/>
              <w:spacing w:after="0" w:line="240" w:lineRule="auto"/>
              <w:jc w:val="center"/>
              <w:rPr>
                <w:rFonts w:eastAsia="Times New Roman"/>
                <w:noProof/>
              </w:rPr>
            </w:pPr>
            <w:r>
              <w:rPr>
                <w:noProof/>
              </w:rPr>
              <w:t>T</w:t>
            </w:r>
          </w:p>
        </w:tc>
        <w:tc>
          <w:tcPr>
            <w:tcW w:w="1423" w:type="dxa"/>
            <w:shd w:val="clear" w:color="auto" w:fill="C4EFCE"/>
            <w:noWrap/>
            <w:vAlign w:val="center"/>
            <w:hideMark/>
          </w:tcPr>
          <w:p w14:paraId="21988D95" w14:textId="77777777" w:rsidR="006C686E" w:rsidRDefault="00B17E8C">
            <w:pPr>
              <w:pStyle w:val="P68B1DB1-Normal26"/>
              <w:spacing w:after="0" w:line="240" w:lineRule="auto"/>
              <w:jc w:val="center"/>
              <w:rPr>
                <w:rFonts w:eastAsia="Times New Roman"/>
                <w:noProof/>
              </w:rPr>
            </w:pPr>
            <w:r>
              <w:rPr>
                <w:noProof/>
              </w:rPr>
              <w:t>Construction de piézomètres (SM3)</w:t>
            </w:r>
          </w:p>
        </w:tc>
        <w:tc>
          <w:tcPr>
            <w:tcW w:w="1275" w:type="dxa"/>
            <w:shd w:val="clear" w:color="auto" w:fill="C4EFCE"/>
            <w:noWrap/>
            <w:vAlign w:val="center"/>
            <w:hideMark/>
          </w:tcPr>
          <w:p w14:paraId="747C4F23"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5FF4F2E4"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5316F45C" w14:textId="77777777" w:rsidR="006C686E" w:rsidRDefault="00B17E8C">
            <w:pPr>
              <w:pStyle w:val="P68B1DB1-Normal26"/>
              <w:spacing w:after="0" w:line="240" w:lineRule="auto"/>
              <w:jc w:val="center"/>
              <w:rPr>
                <w:rFonts w:eastAsia="Times New Roman"/>
                <w:noProof/>
              </w:rPr>
            </w:pPr>
            <w:r>
              <w:rPr>
                <w:noProof/>
              </w:rPr>
              <w:t>0</w:t>
            </w:r>
          </w:p>
        </w:tc>
        <w:tc>
          <w:tcPr>
            <w:tcW w:w="987" w:type="dxa"/>
            <w:shd w:val="clear" w:color="auto" w:fill="C4EFCE"/>
            <w:noWrap/>
            <w:vAlign w:val="center"/>
            <w:hideMark/>
          </w:tcPr>
          <w:p w14:paraId="32A95DF7" w14:textId="77777777" w:rsidR="006C686E" w:rsidRDefault="00B17E8C">
            <w:pPr>
              <w:pStyle w:val="P68B1DB1-Normal26"/>
              <w:spacing w:after="0" w:line="240" w:lineRule="auto"/>
              <w:jc w:val="center"/>
              <w:rPr>
                <w:rFonts w:eastAsia="Times New Roman"/>
                <w:noProof/>
              </w:rPr>
            </w:pPr>
            <w:r>
              <w:rPr>
                <w:noProof/>
              </w:rPr>
              <w:t>50</w:t>
            </w:r>
          </w:p>
        </w:tc>
        <w:tc>
          <w:tcPr>
            <w:tcW w:w="567" w:type="dxa"/>
            <w:shd w:val="clear" w:color="auto" w:fill="C4EFCE"/>
            <w:noWrap/>
            <w:vAlign w:val="center"/>
            <w:hideMark/>
          </w:tcPr>
          <w:p w14:paraId="26869FD4" w14:textId="77777777" w:rsidR="006C686E" w:rsidRDefault="00B17E8C">
            <w:pPr>
              <w:pStyle w:val="P68B1DB1-Normal26"/>
              <w:spacing w:after="0" w:line="240" w:lineRule="auto"/>
              <w:jc w:val="center"/>
              <w:rPr>
                <w:rFonts w:eastAsia="Times New Roman"/>
                <w:noProof/>
              </w:rPr>
            </w:pPr>
            <w:r>
              <w:rPr>
                <w:noProof/>
              </w:rPr>
              <w:t>T2</w:t>
            </w:r>
          </w:p>
        </w:tc>
        <w:tc>
          <w:tcPr>
            <w:tcW w:w="850" w:type="dxa"/>
            <w:shd w:val="clear" w:color="auto" w:fill="C4EFCE"/>
            <w:noWrap/>
            <w:vAlign w:val="center"/>
            <w:hideMark/>
          </w:tcPr>
          <w:p w14:paraId="15AE4C5A" w14:textId="77777777" w:rsidR="006C686E" w:rsidRDefault="00B17E8C">
            <w:pPr>
              <w:pStyle w:val="P68B1DB1-Normal26"/>
              <w:spacing w:after="0" w:line="240" w:lineRule="auto"/>
              <w:jc w:val="center"/>
              <w:rPr>
                <w:rFonts w:eastAsia="Times New Roman"/>
                <w:noProof/>
              </w:rPr>
            </w:pPr>
            <w:r>
              <w:rPr>
                <w:noProof/>
              </w:rPr>
              <w:t>2025</w:t>
            </w:r>
          </w:p>
        </w:tc>
        <w:tc>
          <w:tcPr>
            <w:tcW w:w="3549" w:type="dxa"/>
            <w:shd w:val="clear" w:color="auto" w:fill="C4EFCE"/>
            <w:hideMark/>
          </w:tcPr>
          <w:p w14:paraId="5AB3E558" w14:textId="77777777" w:rsidR="006C686E" w:rsidRDefault="00B17E8C">
            <w:pPr>
              <w:pStyle w:val="P68B1DB1-Normal26"/>
              <w:spacing w:after="0" w:line="240" w:lineRule="auto"/>
              <w:rPr>
                <w:rFonts w:eastAsia="Times New Roman"/>
                <w:noProof/>
              </w:rPr>
            </w:pPr>
            <w:r>
              <w:rPr>
                <w:noProof/>
              </w:rPr>
              <w:t xml:space="preserve">Construction de piézomètres dans les nappes phréatiques de l'Algarve. </w:t>
            </w:r>
          </w:p>
        </w:tc>
      </w:tr>
      <w:tr w:rsidR="006C686E" w14:paraId="624E8FC2" w14:textId="77777777" w:rsidTr="0024749C">
        <w:trPr>
          <w:trHeight w:val="5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FB52AF" w14:textId="77777777" w:rsidR="006C686E" w:rsidRDefault="00B17E8C">
            <w:pPr>
              <w:pStyle w:val="P68B1DB1-Normal25"/>
              <w:spacing w:after="0" w:line="240" w:lineRule="auto"/>
              <w:jc w:val="center"/>
              <w:rPr>
                <w:rFonts w:eastAsia="Times New Roman"/>
                <w:bCs/>
                <w:noProof/>
              </w:rPr>
            </w:pPr>
            <w:r>
              <w:rPr>
                <w:noProof/>
              </w:rPr>
              <w:t>9.2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9FDC97" w14:textId="77777777" w:rsidR="006C686E" w:rsidRDefault="00B17E8C">
            <w:pPr>
              <w:pStyle w:val="P68B1DB1-Normal26"/>
              <w:spacing w:after="0" w:line="240" w:lineRule="auto"/>
              <w:jc w:val="center"/>
              <w:rPr>
                <w:rFonts w:eastAsia="Times New Roman"/>
                <w:noProof/>
              </w:rPr>
            </w:pPr>
            <w:r>
              <w:rPr>
                <w:noProof/>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DE5E99" w14:textId="3F6FA49E" w:rsidR="006C686E" w:rsidRDefault="00B17E8C">
            <w:pPr>
              <w:pStyle w:val="P68B1DB1-Normal26"/>
              <w:spacing w:after="0" w:line="240" w:lineRule="auto"/>
              <w:jc w:val="center"/>
              <w:rPr>
                <w:rFonts w:eastAsia="Times New Roman"/>
                <w:noProof/>
              </w:rPr>
            </w:pPr>
            <w:r>
              <w:rPr>
                <w:noProof/>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E01A4D" w14:textId="390B0C67" w:rsidR="006C686E" w:rsidRDefault="00B17E8C">
            <w:pPr>
              <w:pStyle w:val="P68B1DB1-Normal26"/>
              <w:spacing w:after="0" w:line="240" w:lineRule="auto"/>
              <w:jc w:val="center"/>
              <w:rPr>
                <w:rFonts w:eastAsia="Times New Roman"/>
                <w:noProof/>
              </w:rPr>
            </w:pPr>
            <w:r>
              <w:rPr>
                <w:noProof/>
              </w:rPr>
              <w:t>Interventions sur les réseaux d'eau (SM1)</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5DEC97" w14:textId="77E79E6F"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4A36EB" w14:textId="64381692" w:rsidR="006C686E" w:rsidRDefault="00B17E8C">
            <w:pPr>
              <w:pStyle w:val="P68B1DB1-Normal15"/>
              <w:spacing w:after="0" w:line="240" w:lineRule="auto"/>
              <w:jc w:val="center"/>
              <w:rPr>
                <w:noProof/>
              </w:rPr>
            </w:pPr>
            <w:r>
              <w:rPr>
                <w:noProof/>
              </w:rPr>
              <w:t>kilomètres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29BBF2" w14:textId="0E533011" w:rsidR="006C686E" w:rsidRDefault="00B17E8C">
            <w:pPr>
              <w:pStyle w:val="P68B1DB1-Normal15"/>
              <w:spacing w:after="0" w:line="240" w:lineRule="auto"/>
              <w:jc w:val="center"/>
              <w:rPr>
                <w:noProof/>
              </w:rPr>
            </w:pPr>
            <w:r>
              <w:rPr>
                <w:noProof/>
              </w:rPr>
              <w:t>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1C2662" w14:textId="47A27019" w:rsidR="006C686E" w:rsidRDefault="00B17E8C">
            <w:pPr>
              <w:pStyle w:val="P68B1DB1-Normal15"/>
              <w:spacing w:after="0" w:line="240" w:lineRule="auto"/>
              <w:jc w:val="center"/>
              <w:rPr>
                <w:noProof/>
              </w:rPr>
            </w:pPr>
            <w:r>
              <w:rPr>
                <w:noProof/>
              </w:rPr>
              <w:t>125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F92D8E" w14:textId="77777777" w:rsidR="006C686E" w:rsidRDefault="00B17E8C">
            <w:pPr>
              <w:pStyle w:val="P68B1DB1-Normal26"/>
              <w:spacing w:after="0" w:line="240" w:lineRule="auto"/>
              <w:jc w:val="center"/>
              <w:rPr>
                <w:rFonts w:eastAsia="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558405" w14:textId="77777777" w:rsidR="006C686E" w:rsidRDefault="00B17E8C">
            <w:pPr>
              <w:pStyle w:val="P68B1DB1-Normal26"/>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46B67FB8" w14:textId="62ED63B8" w:rsidR="006C686E" w:rsidRDefault="00B17E8C">
            <w:pPr>
              <w:pStyle w:val="P68B1DB1-Normal26"/>
              <w:spacing w:after="0" w:line="240" w:lineRule="auto"/>
              <w:rPr>
                <w:rFonts w:eastAsia="Times New Roman"/>
                <w:noProof/>
              </w:rPr>
            </w:pPr>
            <w:r>
              <w:rPr>
                <w:noProof/>
              </w:rPr>
              <w:t xml:space="preserve">Au moins 125 km de réseaux d'eau faisant l'objet d'interventions. </w:t>
            </w:r>
          </w:p>
        </w:tc>
      </w:tr>
      <w:tr w:rsidR="006C686E" w14:paraId="68B32CD4" w14:textId="77777777" w:rsidTr="0024749C">
        <w:trPr>
          <w:trHeight w:val="1365"/>
          <w:jc w:val="center"/>
        </w:trPr>
        <w:tc>
          <w:tcPr>
            <w:tcW w:w="1135" w:type="dxa"/>
            <w:tcBorders>
              <w:top w:val="single" w:sz="4" w:space="0" w:color="auto"/>
              <w:left w:val="single" w:sz="4" w:space="0" w:color="auto"/>
              <w:bottom w:val="single" w:sz="4" w:space="0" w:color="auto"/>
              <w:right w:val="single" w:sz="4" w:space="0" w:color="auto"/>
            </w:tcBorders>
            <w:shd w:val="clear" w:color="auto" w:fill="C5EFCE"/>
            <w:noWrap/>
            <w:vAlign w:val="center"/>
            <w:hideMark/>
          </w:tcPr>
          <w:p w14:paraId="7AEDDE1D" w14:textId="77777777" w:rsidR="006C686E" w:rsidRDefault="00B17E8C">
            <w:pPr>
              <w:pStyle w:val="P68B1DB1-Normal25"/>
              <w:spacing w:after="0" w:line="240" w:lineRule="auto"/>
              <w:jc w:val="center"/>
              <w:rPr>
                <w:rFonts w:eastAsia="Times New Roman"/>
                <w:bCs/>
                <w:noProof/>
              </w:rPr>
            </w:pPr>
            <w:r>
              <w:rPr>
                <w:noProof/>
              </w:rPr>
              <w:t>9.3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6EFA2C" w14:textId="77777777" w:rsidR="006C686E" w:rsidRDefault="00B17E8C">
            <w:pPr>
              <w:pStyle w:val="P68B1DB1-Normal26"/>
              <w:spacing w:after="0" w:line="240" w:lineRule="auto"/>
              <w:jc w:val="center"/>
              <w:rPr>
                <w:rFonts w:eastAsia="Times New Roman"/>
                <w:noProof/>
              </w:rPr>
            </w:pPr>
            <w:r>
              <w:rPr>
                <w:noProof/>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80125F" w14:textId="77777777" w:rsidR="006C686E" w:rsidRDefault="00B17E8C">
            <w:pPr>
              <w:pStyle w:val="P68B1DB1-Normal26"/>
              <w:spacing w:after="0" w:line="240" w:lineRule="auto"/>
              <w:jc w:val="center"/>
              <w:rPr>
                <w:rFonts w:eastAsia="Times New Roman"/>
                <w:noProof/>
              </w:rPr>
            </w:pPr>
            <w:r>
              <w:rPr>
                <w:noProof/>
              </w:rPr>
              <w:t>M</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4D9CAE" w14:textId="77777777" w:rsidR="006C686E" w:rsidRDefault="00B17E8C">
            <w:pPr>
              <w:pStyle w:val="P68B1DB1-Normal26"/>
              <w:spacing w:after="0" w:line="240" w:lineRule="auto"/>
              <w:jc w:val="center"/>
              <w:rPr>
                <w:rFonts w:eastAsia="Times New Roman"/>
                <w:noProof/>
              </w:rPr>
            </w:pPr>
            <w:r>
              <w:rPr>
                <w:noProof/>
              </w:rPr>
              <w:t>Modernisation de la superficie des terres (SM2)</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8094B4" w14:textId="77777777" w:rsidR="006C686E" w:rsidRDefault="00B17E8C">
            <w:pPr>
              <w:pStyle w:val="P68B1DB1-Normal15"/>
              <w:spacing w:after="0" w:line="240" w:lineRule="auto"/>
              <w:jc w:val="center"/>
              <w:rPr>
                <w:noProof/>
              </w:rPr>
            </w:pPr>
            <w:r>
              <w:rPr>
                <w:noProof/>
              </w:rPr>
              <w:t>Contrats exécutés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D5A0E5"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8A536C"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AF3518"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94B1E9" w14:textId="77777777" w:rsidR="006C686E" w:rsidRDefault="00B17E8C">
            <w:pPr>
              <w:pStyle w:val="P68B1DB1-Normal26"/>
              <w:spacing w:after="0" w:line="240" w:lineRule="auto"/>
              <w:jc w:val="center"/>
              <w:rPr>
                <w:rFonts w:eastAsia="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7A0977" w14:textId="77777777" w:rsidR="006C686E" w:rsidRDefault="00B17E8C">
            <w:pPr>
              <w:pStyle w:val="P68B1DB1-Normal26"/>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4FCA018E" w14:textId="77777777" w:rsidR="006C686E" w:rsidRDefault="00B17E8C">
            <w:pPr>
              <w:pStyle w:val="P68B1DB1-Normal26"/>
              <w:spacing w:after="0" w:line="240" w:lineRule="auto"/>
              <w:rPr>
                <w:noProof/>
              </w:rPr>
            </w:pPr>
            <w:r>
              <w:rPr>
                <w:noProof/>
              </w:rPr>
              <w:t xml:space="preserve">Contrats exécutés pour </w:t>
            </w:r>
          </w:p>
          <w:p w14:paraId="13AA90EF" w14:textId="77777777" w:rsidR="006C686E" w:rsidRDefault="00B17E8C">
            <w:pPr>
              <w:pStyle w:val="P68B1DB1-ListParagraph35"/>
              <w:keepNext/>
              <w:numPr>
                <w:ilvl w:val="0"/>
                <w:numId w:val="44"/>
              </w:numPr>
              <w:spacing w:after="0" w:line="240" w:lineRule="auto"/>
              <w:jc w:val="both"/>
              <w:rPr>
                <w:rFonts w:eastAsia="Times New Roman"/>
                <w:noProof/>
              </w:rPr>
            </w:pPr>
            <w:r>
              <w:rPr>
                <w:noProof/>
              </w:rPr>
              <w:t>Systèmes de distribution d'eau</w:t>
            </w:r>
          </w:p>
          <w:p w14:paraId="1186ED54" w14:textId="77777777" w:rsidR="006C686E" w:rsidRDefault="00B17E8C">
            <w:pPr>
              <w:pStyle w:val="P68B1DB1-ListParagraph35"/>
              <w:keepNext/>
              <w:numPr>
                <w:ilvl w:val="0"/>
                <w:numId w:val="44"/>
              </w:numPr>
              <w:spacing w:after="0" w:line="240" w:lineRule="auto"/>
              <w:jc w:val="both"/>
              <w:rPr>
                <w:rFonts w:eastAsia="Times New Roman"/>
                <w:noProof/>
              </w:rPr>
            </w:pPr>
            <w:r>
              <w:rPr>
                <w:noProof/>
              </w:rPr>
              <w:t xml:space="preserve">Systèmes de télédétection et de contrôle de la consommation; </w:t>
            </w:r>
          </w:p>
          <w:p w14:paraId="004B7474" w14:textId="77777777" w:rsidR="006C686E" w:rsidRDefault="00B17E8C">
            <w:pPr>
              <w:pStyle w:val="P68B1DB1-ListParagraph35"/>
              <w:keepNext/>
              <w:numPr>
                <w:ilvl w:val="0"/>
                <w:numId w:val="44"/>
              </w:numPr>
              <w:spacing w:after="0" w:line="240" w:lineRule="auto"/>
              <w:jc w:val="both"/>
              <w:rPr>
                <w:rFonts w:eastAsia="Times New Roman"/>
                <w:noProof/>
              </w:rPr>
            </w:pPr>
            <w:r>
              <w:rPr>
                <w:noProof/>
              </w:rPr>
              <w:t xml:space="preserve">Systèmes de détection des fuites dans les installations hydroagricoles collectives; </w:t>
            </w:r>
          </w:p>
          <w:p w14:paraId="69BF3DCF" w14:textId="6893577A" w:rsidR="006C686E" w:rsidRDefault="00B17E8C">
            <w:pPr>
              <w:pStyle w:val="P68B1DB1-Normal27"/>
              <w:keepNext/>
              <w:spacing w:after="0" w:line="240" w:lineRule="auto"/>
              <w:jc w:val="both"/>
              <w:rPr>
                <w:rFonts w:ascii="Times New Roman" w:eastAsia="Times New Roman" w:hAnsi="Times New Roman" w:cs="Times New Roman"/>
                <w:noProof/>
              </w:rPr>
            </w:pPr>
            <w:r>
              <w:rPr>
                <w:rFonts w:ascii="Times New Roman" w:eastAsia="Times New Roman" w:hAnsi="Times New Roman" w:cs="Times New Roman"/>
                <w:noProof/>
              </w:rPr>
              <w:t>couvrant au moins 10</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300 ha de superficie.</w:t>
            </w:r>
          </w:p>
        </w:tc>
      </w:tr>
      <w:tr w:rsidR="006C686E" w14:paraId="446AB646" w14:textId="77777777" w:rsidTr="0024749C">
        <w:trPr>
          <w:trHeight w:val="836"/>
          <w:jc w:val="center"/>
        </w:trPr>
        <w:tc>
          <w:tcPr>
            <w:tcW w:w="1135" w:type="dxa"/>
            <w:shd w:val="clear" w:color="auto" w:fill="C5EFCE"/>
            <w:noWrap/>
            <w:vAlign w:val="center"/>
            <w:hideMark/>
          </w:tcPr>
          <w:p w14:paraId="3CCBA831" w14:textId="77777777" w:rsidR="006C686E" w:rsidRDefault="00B17E8C">
            <w:pPr>
              <w:pStyle w:val="P68B1DB1-Normal25"/>
              <w:spacing w:after="0" w:line="240" w:lineRule="auto"/>
              <w:jc w:val="center"/>
              <w:rPr>
                <w:rFonts w:eastAsia="Times New Roman"/>
                <w:bCs/>
                <w:noProof/>
              </w:rPr>
            </w:pPr>
            <w:r>
              <w:rPr>
                <w:noProof/>
              </w:rPr>
              <w:t>9.4</w:t>
            </w:r>
          </w:p>
        </w:tc>
        <w:tc>
          <w:tcPr>
            <w:tcW w:w="1554" w:type="dxa"/>
            <w:shd w:val="clear" w:color="auto" w:fill="C4EFCE"/>
            <w:noWrap/>
            <w:vAlign w:val="center"/>
            <w:hideMark/>
          </w:tcPr>
          <w:p w14:paraId="6C003E35" w14:textId="77777777" w:rsidR="006C686E" w:rsidRDefault="00B17E8C">
            <w:pPr>
              <w:pStyle w:val="P68B1DB1-Normal26"/>
              <w:spacing w:after="0" w:line="240" w:lineRule="auto"/>
              <w:jc w:val="center"/>
              <w:rPr>
                <w:rFonts w:eastAsia="Times New Roman"/>
                <w:noProof/>
              </w:rPr>
            </w:pPr>
            <w:r>
              <w:rPr>
                <w:noProof/>
              </w:rPr>
              <w:t>RE-C09-i01</w:t>
            </w:r>
          </w:p>
        </w:tc>
        <w:tc>
          <w:tcPr>
            <w:tcW w:w="1134" w:type="dxa"/>
            <w:shd w:val="clear" w:color="auto" w:fill="C4EFCE"/>
            <w:noWrap/>
            <w:vAlign w:val="center"/>
            <w:hideMark/>
          </w:tcPr>
          <w:p w14:paraId="605F725C" w14:textId="77777777" w:rsidR="006C686E" w:rsidRDefault="00B17E8C">
            <w:pPr>
              <w:pStyle w:val="P68B1DB1-Normal26"/>
              <w:spacing w:after="0" w:line="240" w:lineRule="auto"/>
              <w:jc w:val="center"/>
              <w:rPr>
                <w:rFonts w:eastAsia="Times New Roman"/>
                <w:noProof/>
              </w:rPr>
            </w:pPr>
            <w:r>
              <w:rPr>
                <w:noProof/>
              </w:rPr>
              <w:t>T</w:t>
            </w:r>
          </w:p>
        </w:tc>
        <w:tc>
          <w:tcPr>
            <w:tcW w:w="1423" w:type="dxa"/>
            <w:shd w:val="clear" w:color="auto" w:fill="C4EFCE"/>
            <w:noWrap/>
            <w:vAlign w:val="center"/>
            <w:hideMark/>
          </w:tcPr>
          <w:p w14:paraId="48B31E0B" w14:textId="77777777" w:rsidR="006C686E" w:rsidRDefault="00B17E8C">
            <w:pPr>
              <w:pStyle w:val="P68B1DB1-Normal26"/>
              <w:spacing w:after="0" w:line="240" w:lineRule="auto"/>
              <w:jc w:val="center"/>
              <w:rPr>
                <w:rFonts w:eastAsia="Times New Roman"/>
                <w:noProof/>
              </w:rPr>
            </w:pPr>
            <w:r>
              <w:rPr>
                <w:noProof/>
              </w:rPr>
              <w:t>Construction d'installations pour le traitement de la réutilisation des eaux usées (SM4)</w:t>
            </w:r>
          </w:p>
        </w:tc>
        <w:tc>
          <w:tcPr>
            <w:tcW w:w="1275" w:type="dxa"/>
            <w:shd w:val="clear" w:color="auto" w:fill="C4EFCE"/>
            <w:noWrap/>
            <w:vAlign w:val="center"/>
            <w:hideMark/>
          </w:tcPr>
          <w:p w14:paraId="1A94780C"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4CCE14FD"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19080355" w14:textId="77777777" w:rsidR="006C686E" w:rsidRDefault="00B17E8C">
            <w:pPr>
              <w:pStyle w:val="P68B1DB1-Normal26"/>
              <w:spacing w:after="0" w:line="240" w:lineRule="auto"/>
              <w:jc w:val="center"/>
              <w:rPr>
                <w:rFonts w:eastAsia="Times New Roman"/>
                <w:noProof/>
              </w:rPr>
            </w:pPr>
            <w:r>
              <w:rPr>
                <w:noProof/>
              </w:rPr>
              <w:t>0</w:t>
            </w:r>
          </w:p>
        </w:tc>
        <w:tc>
          <w:tcPr>
            <w:tcW w:w="987" w:type="dxa"/>
            <w:shd w:val="clear" w:color="auto" w:fill="C4EFCE"/>
            <w:noWrap/>
            <w:vAlign w:val="center"/>
            <w:hideMark/>
          </w:tcPr>
          <w:p w14:paraId="63748A0D" w14:textId="77777777" w:rsidR="006C686E" w:rsidRDefault="00B17E8C">
            <w:pPr>
              <w:pStyle w:val="P68B1DB1-Normal26"/>
              <w:spacing w:after="0" w:line="240" w:lineRule="auto"/>
              <w:jc w:val="center"/>
              <w:rPr>
                <w:rFonts w:eastAsia="Times New Roman"/>
                <w:noProof/>
              </w:rPr>
            </w:pPr>
            <w:r>
              <w:rPr>
                <w:noProof/>
              </w:rPr>
              <w:t>4</w:t>
            </w:r>
          </w:p>
        </w:tc>
        <w:tc>
          <w:tcPr>
            <w:tcW w:w="567" w:type="dxa"/>
            <w:shd w:val="clear" w:color="auto" w:fill="C4EFCE"/>
            <w:noWrap/>
            <w:vAlign w:val="center"/>
            <w:hideMark/>
          </w:tcPr>
          <w:p w14:paraId="08E0FB14" w14:textId="77777777" w:rsidR="006C686E" w:rsidRDefault="00B17E8C">
            <w:pPr>
              <w:pStyle w:val="P68B1DB1-Normal26"/>
              <w:spacing w:after="0" w:line="240" w:lineRule="auto"/>
              <w:jc w:val="center"/>
              <w:rPr>
                <w:rFonts w:eastAsia="Times New Roman"/>
                <w:noProof/>
              </w:rPr>
            </w:pPr>
            <w:r>
              <w:rPr>
                <w:noProof/>
              </w:rPr>
              <w:t>T1</w:t>
            </w:r>
          </w:p>
        </w:tc>
        <w:tc>
          <w:tcPr>
            <w:tcW w:w="850" w:type="dxa"/>
            <w:shd w:val="clear" w:color="auto" w:fill="C4EFCE"/>
            <w:noWrap/>
            <w:vAlign w:val="center"/>
            <w:hideMark/>
          </w:tcPr>
          <w:p w14:paraId="3A0CE663" w14:textId="77777777" w:rsidR="006C686E" w:rsidRDefault="00B17E8C">
            <w:pPr>
              <w:pStyle w:val="P68B1DB1-Normal26"/>
              <w:spacing w:after="0" w:line="240" w:lineRule="auto"/>
              <w:jc w:val="center"/>
              <w:rPr>
                <w:rFonts w:eastAsia="Times New Roman"/>
                <w:noProof/>
              </w:rPr>
            </w:pPr>
            <w:r>
              <w:rPr>
                <w:noProof/>
              </w:rPr>
              <w:t>2026</w:t>
            </w:r>
          </w:p>
        </w:tc>
        <w:tc>
          <w:tcPr>
            <w:tcW w:w="3549" w:type="dxa"/>
            <w:shd w:val="clear" w:color="auto" w:fill="C4EFCE"/>
            <w:hideMark/>
          </w:tcPr>
          <w:p w14:paraId="1BEF3FAE" w14:textId="77777777" w:rsidR="006C686E" w:rsidRDefault="00B17E8C">
            <w:pPr>
              <w:pStyle w:val="P68B1DB1-Normal26"/>
              <w:spacing w:after="0" w:line="240" w:lineRule="auto"/>
              <w:rPr>
                <w:rFonts w:eastAsia="Times New Roman"/>
                <w:noProof/>
              </w:rPr>
            </w:pPr>
            <w:r>
              <w:rPr>
                <w:noProof/>
              </w:rPr>
              <w:t xml:space="preserve">Construction d'installations de traitement de la réutilisation des eaux usées dans au moins 4 stations d'épuration des eaux usées. </w:t>
            </w:r>
          </w:p>
        </w:tc>
      </w:tr>
      <w:tr w:rsidR="006C686E" w14:paraId="7C47917F" w14:textId="77777777" w:rsidTr="0024749C">
        <w:trPr>
          <w:trHeight w:val="827"/>
          <w:jc w:val="center"/>
        </w:trPr>
        <w:tc>
          <w:tcPr>
            <w:tcW w:w="1135" w:type="dxa"/>
            <w:shd w:val="clear" w:color="auto" w:fill="C4EFCE"/>
            <w:noWrap/>
            <w:vAlign w:val="center"/>
          </w:tcPr>
          <w:p w14:paraId="4CDF80E2" w14:textId="77777777" w:rsidR="006C686E" w:rsidRDefault="00B17E8C">
            <w:pPr>
              <w:pStyle w:val="P68B1DB1-Normal25"/>
              <w:spacing w:after="0" w:line="240" w:lineRule="auto"/>
              <w:jc w:val="center"/>
              <w:rPr>
                <w:noProof/>
              </w:rPr>
            </w:pPr>
            <w:r>
              <w:rPr>
                <w:noProof/>
              </w:rPr>
              <w:t>9.15</w:t>
            </w:r>
          </w:p>
        </w:tc>
        <w:tc>
          <w:tcPr>
            <w:tcW w:w="1554" w:type="dxa"/>
            <w:shd w:val="clear" w:color="auto" w:fill="C4EFCE"/>
            <w:noWrap/>
            <w:vAlign w:val="center"/>
          </w:tcPr>
          <w:p w14:paraId="356035B2" w14:textId="77777777" w:rsidR="006C686E" w:rsidRDefault="00B17E8C">
            <w:pPr>
              <w:pStyle w:val="P68B1DB1-Normal26"/>
              <w:spacing w:after="0" w:line="240" w:lineRule="auto"/>
              <w:jc w:val="center"/>
              <w:rPr>
                <w:noProof/>
              </w:rPr>
            </w:pPr>
            <w:r>
              <w:rPr>
                <w:noProof/>
              </w:rPr>
              <w:t>RE-C09-i01</w:t>
            </w:r>
          </w:p>
        </w:tc>
        <w:tc>
          <w:tcPr>
            <w:tcW w:w="1134" w:type="dxa"/>
            <w:shd w:val="clear" w:color="auto" w:fill="C4EFCE"/>
            <w:noWrap/>
            <w:vAlign w:val="center"/>
          </w:tcPr>
          <w:p w14:paraId="46F8AE1A" w14:textId="77777777" w:rsidR="006C686E" w:rsidRDefault="00B17E8C">
            <w:pPr>
              <w:pStyle w:val="P68B1DB1-Normal26"/>
              <w:spacing w:after="0" w:line="240" w:lineRule="auto"/>
              <w:jc w:val="center"/>
              <w:rPr>
                <w:noProof/>
              </w:rPr>
            </w:pPr>
            <w:r>
              <w:rPr>
                <w:noProof/>
              </w:rPr>
              <w:t>M</w:t>
            </w:r>
          </w:p>
        </w:tc>
        <w:tc>
          <w:tcPr>
            <w:tcW w:w="1423" w:type="dxa"/>
            <w:shd w:val="clear" w:color="auto" w:fill="C4EFCE"/>
            <w:noWrap/>
            <w:vAlign w:val="center"/>
          </w:tcPr>
          <w:p w14:paraId="4D3BFD60" w14:textId="3FFAF613" w:rsidR="006C686E" w:rsidRDefault="00B17E8C">
            <w:pPr>
              <w:pStyle w:val="P68B1DB1-Normal26"/>
              <w:spacing w:after="0" w:line="240" w:lineRule="auto"/>
              <w:jc w:val="center"/>
              <w:rPr>
                <w:rFonts w:eastAsia="Times New Roman"/>
                <w:noProof/>
              </w:rPr>
            </w:pPr>
            <w:r>
              <w:rPr>
                <w:noProof/>
              </w:rPr>
              <w:t>Construction d'infrastructures hydrauliques</w:t>
            </w:r>
          </w:p>
        </w:tc>
        <w:tc>
          <w:tcPr>
            <w:tcW w:w="1275" w:type="dxa"/>
            <w:shd w:val="clear" w:color="auto" w:fill="C4EFCE"/>
            <w:noWrap/>
            <w:vAlign w:val="center"/>
          </w:tcPr>
          <w:p w14:paraId="1174353A" w14:textId="247E1D35" w:rsidR="006C686E" w:rsidRDefault="00B17E8C">
            <w:pPr>
              <w:pStyle w:val="P68B1DB1-Normal26"/>
              <w:spacing w:after="0" w:line="240" w:lineRule="auto"/>
              <w:jc w:val="center"/>
              <w:rPr>
                <w:rFonts w:eastAsia="Times New Roman"/>
                <w:noProof/>
              </w:rPr>
            </w:pPr>
            <w:r>
              <w:rPr>
                <w:noProof/>
              </w:rPr>
              <w:t>Construction d'infrastructures hydrauliques</w:t>
            </w:r>
          </w:p>
        </w:tc>
        <w:tc>
          <w:tcPr>
            <w:tcW w:w="993" w:type="dxa"/>
            <w:shd w:val="clear" w:color="auto" w:fill="C4EFCE"/>
            <w:noWrap/>
            <w:vAlign w:val="center"/>
          </w:tcPr>
          <w:p w14:paraId="322AB462" w14:textId="77777777" w:rsidR="006C686E" w:rsidRDefault="006C686E">
            <w:pPr>
              <w:spacing w:after="0" w:line="240" w:lineRule="auto"/>
              <w:jc w:val="center"/>
              <w:rPr>
                <w:rFonts w:ascii="Times New Roman" w:hAnsi="Times New Roman" w:cs="Times New Roman"/>
                <w:noProof/>
                <w:sz w:val="16"/>
                <w:szCs w:val="16"/>
              </w:rPr>
            </w:pPr>
          </w:p>
        </w:tc>
        <w:tc>
          <w:tcPr>
            <w:tcW w:w="992" w:type="dxa"/>
            <w:shd w:val="clear" w:color="auto" w:fill="C4EFCE"/>
            <w:noWrap/>
            <w:vAlign w:val="center"/>
          </w:tcPr>
          <w:p w14:paraId="2B56E3ED" w14:textId="77777777" w:rsidR="006C686E" w:rsidRDefault="006C686E">
            <w:pPr>
              <w:spacing w:after="0" w:line="240" w:lineRule="auto"/>
              <w:jc w:val="center"/>
              <w:rPr>
                <w:rFonts w:ascii="Times New Roman" w:hAnsi="Times New Roman" w:cs="Times New Roman"/>
                <w:noProof/>
                <w:sz w:val="16"/>
                <w:szCs w:val="16"/>
              </w:rPr>
            </w:pPr>
          </w:p>
        </w:tc>
        <w:tc>
          <w:tcPr>
            <w:tcW w:w="987" w:type="dxa"/>
            <w:shd w:val="clear" w:color="auto" w:fill="C4EFCE"/>
            <w:noWrap/>
            <w:vAlign w:val="center"/>
          </w:tcPr>
          <w:p w14:paraId="3F72CA26" w14:textId="77777777" w:rsidR="006C686E" w:rsidRDefault="006C686E">
            <w:pPr>
              <w:spacing w:after="0" w:line="240" w:lineRule="auto"/>
              <w:jc w:val="center"/>
              <w:rPr>
                <w:rFonts w:ascii="Times New Roman" w:hAnsi="Times New Roman" w:cs="Times New Roman"/>
                <w:noProof/>
                <w:sz w:val="16"/>
                <w:szCs w:val="16"/>
              </w:rPr>
            </w:pPr>
          </w:p>
        </w:tc>
        <w:tc>
          <w:tcPr>
            <w:tcW w:w="567" w:type="dxa"/>
            <w:shd w:val="clear" w:color="auto" w:fill="C4EFCE"/>
            <w:noWrap/>
            <w:vAlign w:val="center"/>
          </w:tcPr>
          <w:p w14:paraId="31C1DF7C" w14:textId="77777777" w:rsidR="006C686E" w:rsidRDefault="00B17E8C">
            <w:pPr>
              <w:pStyle w:val="P68B1DB1-Normal26"/>
              <w:spacing w:after="0" w:line="240" w:lineRule="auto"/>
              <w:jc w:val="center"/>
              <w:rPr>
                <w:noProof/>
              </w:rPr>
            </w:pPr>
            <w:r>
              <w:rPr>
                <w:noProof/>
              </w:rPr>
              <w:t>T2</w:t>
            </w:r>
          </w:p>
        </w:tc>
        <w:tc>
          <w:tcPr>
            <w:tcW w:w="850" w:type="dxa"/>
            <w:shd w:val="clear" w:color="auto" w:fill="C4EFCE"/>
            <w:noWrap/>
            <w:vAlign w:val="center"/>
          </w:tcPr>
          <w:p w14:paraId="75A75D0E" w14:textId="77777777" w:rsidR="006C686E" w:rsidRDefault="00B17E8C">
            <w:pPr>
              <w:pStyle w:val="P68B1DB1-Normal26"/>
              <w:spacing w:after="0" w:line="240" w:lineRule="auto"/>
              <w:jc w:val="center"/>
              <w:rPr>
                <w:noProof/>
              </w:rPr>
            </w:pPr>
            <w:r>
              <w:rPr>
                <w:noProof/>
              </w:rPr>
              <w:t>2026</w:t>
            </w:r>
          </w:p>
        </w:tc>
        <w:tc>
          <w:tcPr>
            <w:tcW w:w="3549" w:type="dxa"/>
            <w:shd w:val="clear" w:color="auto" w:fill="C4EFCE"/>
          </w:tcPr>
          <w:p w14:paraId="7E468CD2" w14:textId="2D6A6607" w:rsidR="006C686E" w:rsidRDefault="00B17E8C">
            <w:pPr>
              <w:pStyle w:val="P68B1DB1-Normal26"/>
              <w:spacing w:after="0"/>
              <w:rPr>
                <w:noProof/>
              </w:rPr>
            </w:pPr>
            <w:r>
              <w:rPr>
                <w:noProof/>
              </w:rPr>
              <w:t>Construction de:</w:t>
            </w:r>
          </w:p>
          <w:p w14:paraId="4CE0CBB4" w14:textId="4817634F" w:rsidR="006C686E" w:rsidRDefault="00B17E8C">
            <w:pPr>
              <w:pStyle w:val="P68B1DB1-ListParagraph35"/>
              <w:numPr>
                <w:ilvl w:val="0"/>
                <w:numId w:val="76"/>
              </w:numPr>
              <w:rPr>
                <w:noProof/>
              </w:rPr>
            </w:pPr>
            <w:r>
              <w:rPr>
                <w:noProof/>
              </w:rPr>
              <w:t>Station de pompage de Cascalho</w:t>
            </w:r>
          </w:p>
          <w:p w14:paraId="4F0282A6" w14:textId="77777777" w:rsidR="006C686E" w:rsidRDefault="00B17E8C">
            <w:pPr>
              <w:pStyle w:val="P68B1DB1-ListParagraph35"/>
              <w:numPr>
                <w:ilvl w:val="0"/>
                <w:numId w:val="76"/>
              </w:numPr>
              <w:rPr>
                <w:noProof/>
              </w:rPr>
            </w:pPr>
            <w:r>
              <w:rPr>
                <w:noProof/>
              </w:rPr>
              <w:t>Tour d'eau de Cascalho</w:t>
            </w:r>
          </w:p>
          <w:p w14:paraId="4046F63A" w14:textId="77777777" w:rsidR="006C686E" w:rsidRDefault="00B17E8C">
            <w:pPr>
              <w:pStyle w:val="P68B1DB1-ListParagraph35"/>
              <w:numPr>
                <w:ilvl w:val="0"/>
                <w:numId w:val="76"/>
              </w:numPr>
              <w:rPr>
                <w:noProof/>
              </w:rPr>
            </w:pPr>
            <w:r>
              <w:rPr>
                <w:noProof/>
              </w:rPr>
              <w:t>Main du tronc de l'Est</w:t>
            </w:r>
          </w:p>
          <w:p w14:paraId="388BB497" w14:textId="77777777" w:rsidR="006C686E" w:rsidRDefault="00B17E8C">
            <w:pPr>
              <w:pStyle w:val="P68B1DB1-ListParagraph35"/>
              <w:numPr>
                <w:ilvl w:val="0"/>
                <w:numId w:val="76"/>
              </w:numPr>
              <w:rPr>
                <w:noProof/>
              </w:rPr>
            </w:pPr>
            <w:r>
              <w:rPr>
                <w:noProof/>
              </w:rPr>
              <w:t>Usine de traitement de l'eau de Tavira</w:t>
            </w:r>
          </w:p>
          <w:p w14:paraId="30A9C717" w14:textId="15ECC933" w:rsidR="006C686E" w:rsidRDefault="00B17E8C">
            <w:pPr>
              <w:pStyle w:val="P68B1DB1-ListParagraph35"/>
              <w:numPr>
                <w:ilvl w:val="0"/>
                <w:numId w:val="76"/>
              </w:numPr>
              <w:rPr>
                <w:noProof/>
              </w:rPr>
            </w:pPr>
            <w:r>
              <w:rPr>
                <w:noProof/>
              </w:rPr>
              <w:t>Station de traitement de l'eau d'Alcantarilha</w:t>
            </w:r>
          </w:p>
        </w:tc>
      </w:tr>
      <w:tr w:rsidR="006C686E" w14:paraId="0892DE10" w14:textId="77777777" w:rsidTr="0024749C">
        <w:trPr>
          <w:trHeight w:val="1272"/>
          <w:jc w:val="center"/>
        </w:trPr>
        <w:tc>
          <w:tcPr>
            <w:tcW w:w="1135" w:type="dxa"/>
            <w:shd w:val="clear" w:color="auto" w:fill="C4EFCE"/>
            <w:noWrap/>
            <w:vAlign w:val="center"/>
            <w:hideMark/>
          </w:tcPr>
          <w:p w14:paraId="60A5B4AA" w14:textId="77777777" w:rsidR="006C686E" w:rsidRDefault="00B17E8C">
            <w:pPr>
              <w:pStyle w:val="P68B1DB1-Normal25"/>
              <w:spacing w:after="0" w:line="240" w:lineRule="auto"/>
              <w:jc w:val="center"/>
              <w:rPr>
                <w:rFonts w:eastAsia="Times New Roman"/>
                <w:bCs/>
                <w:noProof/>
              </w:rPr>
            </w:pPr>
            <w:r>
              <w:rPr>
                <w:noProof/>
              </w:rPr>
              <w:t>9.13</w:t>
            </w:r>
          </w:p>
        </w:tc>
        <w:tc>
          <w:tcPr>
            <w:tcW w:w="1554" w:type="dxa"/>
            <w:shd w:val="clear" w:color="auto" w:fill="C4EFCE"/>
            <w:noWrap/>
            <w:vAlign w:val="center"/>
            <w:hideMark/>
          </w:tcPr>
          <w:p w14:paraId="5010BD97" w14:textId="77777777" w:rsidR="006C686E" w:rsidRDefault="00B17E8C">
            <w:pPr>
              <w:pStyle w:val="P68B1DB1-Normal26"/>
              <w:spacing w:after="0" w:line="240" w:lineRule="auto"/>
              <w:jc w:val="center"/>
              <w:rPr>
                <w:rFonts w:eastAsia="Times New Roman"/>
                <w:noProof/>
              </w:rPr>
            </w:pPr>
            <w:r>
              <w:rPr>
                <w:noProof/>
              </w:rPr>
              <w:t>RE-C09-i03-RAM</w:t>
            </w:r>
          </w:p>
        </w:tc>
        <w:tc>
          <w:tcPr>
            <w:tcW w:w="1134" w:type="dxa"/>
            <w:shd w:val="clear" w:color="auto" w:fill="C4EFCE"/>
            <w:noWrap/>
            <w:vAlign w:val="center"/>
            <w:hideMark/>
          </w:tcPr>
          <w:p w14:paraId="2D462FE9" w14:textId="77777777" w:rsidR="006C686E" w:rsidRDefault="00B17E8C">
            <w:pPr>
              <w:pStyle w:val="P68B1DB1-Normal26"/>
              <w:spacing w:after="0" w:line="240" w:lineRule="auto"/>
              <w:jc w:val="center"/>
              <w:rPr>
                <w:rFonts w:eastAsia="Times New Roman"/>
                <w:noProof/>
              </w:rPr>
            </w:pPr>
            <w:r>
              <w:rPr>
                <w:noProof/>
              </w:rPr>
              <w:t>T</w:t>
            </w:r>
          </w:p>
        </w:tc>
        <w:tc>
          <w:tcPr>
            <w:tcW w:w="1423" w:type="dxa"/>
            <w:shd w:val="clear" w:color="auto" w:fill="C4EFCE"/>
            <w:noWrap/>
            <w:vAlign w:val="center"/>
            <w:hideMark/>
          </w:tcPr>
          <w:p w14:paraId="78A8C041" w14:textId="4038E977" w:rsidR="006C686E" w:rsidRDefault="00B17E8C">
            <w:pPr>
              <w:pStyle w:val="P68B1DB1-Normal26"/>
              <w:spacing w:after="0" w:line="240" w:lineRule="auto"/>
              <w:jc w:val="center"/>
              <w:rPr>
                <w:rFonts w:eastAsia="Times New Roman"/>
                <w:noProof/>
              </w:rPr>
            </w:pPr>
            <w:r>
              <w:rPr>
                <w:noProof/>
              </w:rPr>
              <w:t xml:space="preserve">Construction, rénovation ou installation d'infrastructures hydrauliques </w:t>
            </w:r>
          </w:p>
        </w:tc>
        <w:tc>
          <w:tcPr>
            <w:tcW w:w="1275" w:type="dxa"/>
            <w:shd w:val="clear" w:color="auto" w:fill="C4EFCE"/>
            <w:noWrap/>
            <w:vAlign w:val="center"/>
            <w:hideMark/>
          </w:tcPr>
          <w:p w14:paraId="7CE469CE"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61BC0F20" w14:textId="77777777" w:rsidR="006C686E" w:rsidRDefault="00B17E8C">
            <w:pPr>
              <w:pStyle w:val="P68B1DB1-Normal26"/>
              <w:spacing w:after="0" w:line="240" w:lineRule="auto"/>
              <w:jc w:val="center"/>
              <w:rPr>
                <w:rFonts w:eastAsia="Times New Roman"/>
                <w:noProof/>
              </w:rPr>
            </w:pPr>
            <w:r>
              <w:rPr>
                <w:noProof/>
              </w:rPr>
              <w:t>hm3</w:t>
            </w:r>
          </w:p>
        </w:tc>
        <w:tc>
          <w:tcPr>
            <w:tcW w:w="992" w:type="dxa"/>
            <w:shd w:val="clear" w:color="auto" w:fill="C4EFCE"/>
            <w:noWrap/>
            <w:vAlign w:val="center"/>
            <w:hideMark/>
          </w:tcPr>
          <w:p w14:paraId="069D323E" w14:textId="77777777" w:rsidR="006C686E" w:rsidRDefault="00B17E8C">
            <w:pPr>
              <w:pStyle w:val="P68B1DB1-Normal26"/>
              <w:spacing w:after="0" w:line="240" w:lineRule="auto"/>
              <w:jc w:val="center"/>
              <w:rPr>
                <w:rFonts w:eastAsia="Times New Roman"/>
                <w:noProof/>
              </w:rPr>
            </w:pPr>
            <w:r>
              <w:rPr>
                <w:noProof/>
              </w:rPr>
              <w:t>0</w:t>
            </w:r>
          </w:p>
        </w:tc>
        <w:tc>
          <w:tcPr>
            <w:tcW w:w="987" w:type="dxa"/>
            <w:shd w:val="clear" w:color="auto" w:fill="C4EFCE"/>
            <w:noWrap/>
            <w:vAlign w:val="center"/>
            <w:hideMark/>
          </w:tcPr>
          <w:p w14:paraId="579D326A" w14:textId="0E7FC9F7" w:rsidR="006C686E" w:rsidRDefault="00B17E8C">
            <w:pPr>
              <w:pStyle w:val="P68B1DB1-Normal26"/>
              <w:spacing w:after="0" w:line="240" w:lineRule="auto"/>
              <w:jc w:val="center"/>
              <w:rPr>
                <w:rFonts w:eastAsia="Times New Roman"/>
                <w:noProof/>
              </w:rPr>
            </w:pPr>
            <w:r>
              <w:rPr>
                <w:noProof/>
              </w:rPr>
              <w:t>4.7</w:t>
            </w:r>
          </w:p>
        </w:tc>
        <w:tc>
          <w:tcPr>
            <w:tcW w:w="567" w:type="dxa"/>
            <w:shd w:val="clear" w:color="auto" w:fill="C4EFCE"/>
            <w:noWrap/>
            <w:vAlign w:val="center"/>
            <w:hideMark/>
          </w:tcPr>
          <w:p w14:paraId="44A3E7B2" w14:textId="77777777" w:rsidR="006C686E" w:rsidRDefault="00B17E8C">
            <w:pPr>
              <w:pStyle w:val="P68B1DB1-Normal26"/>
              <w:spacing w:after="0" w:line="240" w:lineRule="auto"/>
              <w:jc w:val="center"/>
              <w:rPr>
                <w:rFonts w:eastAsia="Times New Roman"/>
                <w:noProof/>
              </w:rPr>
            </w:pPr>
            <w:r>
              <w:rPr>
                <w:noProof/>
              </w:rPr>
              <w:t>T4</w:t>
            </w:r>
          </w:p>
        </w:tc>
        <w:tc>
          <w:tcPr>
            <w:tcW w:w="850" w:type="dxa"/>
            <w:shd w:val="clear" w:color="auto" w:fill="C4EFCE"/>
            <w:noWrap/>
            <w:vAlign w:val="center"/>
            <w:hideMark/>
          </w:tcPr>
          <w:p w14:paraId="5EFC73AD" w14:textId="77777777" w:rsidR="006C686E" w:rsidRDefault="00B17E8C">
            <w:pPr>
              <w:pStyle w:val="P68B1DB1-Normal26"/>
              <w:spacing w:after="0" w:line="240" w:lineRule="auto"/>
              <w:jc w:val="center"/>
              <w:rPr>
                <w:rFonts w:eastAsia="Times New Roman"/>
                <w:noProof/>
              </w:rPr>
            </w:pPr>
            <w:r>
              <w:rPr>
                <w:noProof/>
              </w:rPr>
              <w:t>2025</w:t>
            </w:r>
          </w:p>
        </w:tc>
        <w:tc>
          <w:tcPr>
            <w:tcW w:w="3549" w:type="dxa"/>
            <w:shd w:val="clear" w:color="auto" w:fill="C4EFCE"/>
            <w:hideMark/>
          </w:tcPr>
          <w:p w14:paraId="15EE8FCA" w14:textId="29FF3FA2" w:rsidR="006C686E" w:rsidRDefault="00B17E8C">
            <w:pPr>
              <w:pStyle w:val="P68B1DB1-Normal26"/>
              <w:spacing w:after="0" w:line="240" w:lineRule="auto"/>
              <w:rPr>
                <w:noProof/>
              </w:rPr>
            </w:pPr>
            <w:r>
              <w:rPr>
                <w:noProof/>
              </w:rPr>
              <w:t>Construction, rénovation ou installation:</w:t>
            </w:r>
          </w:p>
          <w:p w14:paraId="7C0EE6FC" w14:textId="62D2DB04" w:rsidR="006C686E" w:rsidRDefault="00B17E8C">
            <w:pPr>
              <w:pStyle w:val="P68B1DB1-Normal26"/>
              <w:spacing w:after="0" w:line="240" w:lineRule="auto"/>
              <w:ind w:left="174"/>
              <w:rPr>
                <w:noProof/>
              </w:rPr>
            </w:pPr>
            <w:r>
              <w:rPr>
                <w:noProof/>
              </w:rPr>
              <w:t>52,85 km d'infrastructures hydrauliques;</w:t>
            </w:r>
          </w:p>
          <w:p w14:paraId="62C05100" w14:textId="4E290A62" w:rsidR="006C686E" w:rsidRDefault="00B17E8C">
            <w:pPr>
              <w:pStyle w:val="P68B1DB1-Normal26"/>
              <w:spacing w:after="0" w:line="240" w:lineRule="auto"/>
              <w:ind w:left="174"/>
              <w:rPr>
                <w:noProof/>
              </w:rPr>
            </w:pPr>
            <w:r>
              <w:rPr>
                <w:noProof/>
              </w:rPr>
              <w:t>- les pipelines;</w:t>
            </w:r>
          </w:p>
          <w:p w14:paraId="4AB23996" w14:textId="0A12683B" w:rsidR="006C686E" w:rsidRDefault="00B17E8C">
            <w:pPr>
              <w:pStyle w:val="P68B1DB1-Normal26"/>
              <w:spacing w:after="0" w:line="240" w:lineRule="auto"/>
              <w:ind w:left="174"/>
              <w:rPr>
                <w:noProof/>
              </w:rPr>
            </w:pPr>
            <w:r>
              <w:rPr>
                <w:noProof/>
              </w:rPr>
              <w:t>- réservoirs;</w:t>
            </w:r>
          </w:p>
          <w:p w14:paraId="29B298F8" w14:textId="01762A92" w:rsidR="006C686E" w:rsidRDefault="00B17E8C">
            <w:pPr>
              <w:pStyle w:val="P68B1DB1-Normal26"/>
              <w:spacing w:after="0" w:line="240" w:lineRule="auto"/>
              <w:ind w:left="174"/>
              <w:rPr>
                <w:noProof/>
              </w:rPr>
            </w:pPr>
            <w:r>
              <w:rPr>
                <w:noProof/>
              </w:rPr>
              <w:t xml:space="preserve"> - stations de pompage;</w:t>
            </w:r>
          </w:p>
          <w:p w14:paraId="0DFB6F59" w14:textId="4A44E98D" w:rsidR="006C686E" w:rsidRDefault="00B17E8C">
            <w:pPr>
              <w:pStyle w:val="P68B1DB1-Normal26"/>
              <w:spacing w:after="0" w:line="240" w:lineRule="auto"/>
              <w:ind w:left="174"/>
              <w:rPr>
                <w:noProof/>
              </w:rPr>
            </w:pPr>
            <w:r>
              <w:rPr>
                <w:noProof/>
              </w:rPr>
              <w:t>- un canal</w:t>
            </w:r>
          </w:p>
          <w:p w14:paraId="32581C37" w14:textId="77777777" w:rsidR="006C686E" w:rsidRDefault="00B17E8C">
            <w:pPr>
              <w:pStyle w:val="P68B1DB1-Normal26"/>
              <w:spacing w:after="0" w:line="240" w:lineRule="auto"/>
              <w:ind w:left="174"/>
              <w:rPr>
                <w:noProof/>
              </w:rPr>
            </w:pPr>
            <w:r>
              <w:rPr>
                <w:noProof/>
              </w:rPr>
              <w:t>- un forage</w:t>
            </w:r>
          </w:p>
          <w:p w14:paraId="793F32F5" w14:textId="12FBDDEE" w:rsidR="006C686E" w:rsidRDefault="00B17E8C">
            <w:pPr>
              <w:pStyle w:val="P68B1DB1-Normal26"/>
              <w:spacing w:after="0" w:line="240" w:lineRule="auto"/>
              <w:rPr>
                <w:noProof/>
              </w:rPr>
            </w:pPr>
            <w:r>
              <w:rPr>
                <w:noProof/>
              </w:rPr>
              <w:t>pour un volume de 4,7 hm3.</w:t>
            </w:r>
          </w:p>
        </w:tc>
      </w:tr>
      <w:tr w:rsidR="006C686E" w14:paraId="2482E813" w14:textId="77777777" w:rsidTr="0024749C">
        <w:trPr>
          <w:trHeight w:val="563"/>
          <w:jc w:val="center"/>
        </w:trPr>
        <w:tc>
          <w:tcPr>
            <w:tcW w:w="1135" w:type="dxa"/>
            <w:shd w:val="clear" w:color="auto" w:fill="C4EFCE"/>
            <w:noWrap/>
            <w:vAlign w:val="center"/>
          </w:tcPr>
          <w:p w14:paraId="055DC570" w14:textId="77777777" w:rsidR="006C686E" w:rsidRDefault="00B17E8C">
            <w:pPr>
              <w:pStyle w:val="P68B1DB1-Normal25"/>
              <w:spacing w:after="0" w:line="240" w:lineRule="auto"/>
              <w:jc w:val="center"/>
              <w:rPr>
                <w:noProof/>
              </w:rPr>
            </w:pPr>
            <w:r>
              <w:rPr>
                <w:noProof/>
              </w:rPr>
              <w:t>9.14</w:t>
            </w:r>
          </w:p>
        </w:tc>
        <w:tc>
          <w:tcPr>
            <w:tcW w:w="1554" w:type="dxa"/>
            <w:shd w:val="clear" w:color="auto" w:fill="C4EFCE"/>
            <w:noWrap/>
            <w:vAlign w:val="center"/>
          </w:tcPr>
          <w:p w14:paraId="796C00F2" w14:textId="77777777" w:rsidR="006C686E" w:rsidRDefault="00B17E8C">
            <w:pPr>
              <w:pStyle w:val="P68B1DB1-Normal26"/>
              <w:spacing w:after="0" w:line="240" w:lineRule="auto"/>
              <w:jc w:val="center"/>
              <w:rPr>
                <w:noProof/>
              </w:rPr>
            </w:pPr>
            <w:r>
              <w:rPr>
                <w:noProof/>
              </w:rPr>
              <w:t>RE-C09-i05</w:t>
            </w:r>
          </w:p>
        </w:tc>
        <w:tc>
          <w:tcPr>
            <w:tcW w:w="1134" w:type="dxa"/>
            <w:shd w:val="clear" w:color="auto" w:fill="C4EFCE"/>
            <w:noWrap/>
            <w:vAlign w:val="center"/>
          </w:tcPr>
          <w:p w14:paraId="3F6D4B03" w14:textId="77777777" w:rsidR="006C686E" w:rsidRDefault="00B17E8C">
            <w:pPr>
              <w:pStyle w:val="P68B1DB1-Normal26"/>
              <w:spacing w:after="0" w:line="240" w:lineRule="auto"/>
              <w:jc w:val="center"/>
              <w:rPr>
                <w:noProof/>
              </w:rPr>
            </w:pPr>
            <w:r>
              <w:rPr>
                <w:noProof/>
              </w:rPr>
              <w:t>T</w:t>
            </w:r>
          </w:p>
        </w:tc>
        <w:tc>
          <w:tcPr>
            <w:tcW w:w="1423" w:type="dxa"/>
            <w:shd w:val="clear" w:color="auto" w:fill="C4EFCE"/>
            <w:noWrap/>
            <w:vAlign w:val="center"/>
          </w:tcPr>
          <w:p w14:paraId="5EE378BF" w14:textId="77777777" w:rsidR="006C686E" w:rsidRDefault="00B17E8C">
            <w:pPr>
              <w:pStyle w:val="P68B1DB1-Normal26"/>
              <w:spacing w:after="0" w:line="240" w:lineRule="auto"/>
              <w:jc w:val="center"/>
              <w:rPr>
                <w:rFonts w:eastAsia="Times New Roman"/>
                <w:noProof/>
              </w:rPr>
            </w:pPr>
            <w:r>
              <w:rPr>
                <w:noProof/>
              </w:rPr>
              <w:t>Installation d'une capacité d'électricité photovoltaïque sur le lac du barrage d'Alqueva</w:t>
            </w:r>
          </w:p>
        </w:tc>
        <w:tc>
          <w:tcPr>
            <w:tcW w:w="1275" w:type="dxa"/>
            <w:shd w:val="clear" w:color="auto" w:fill="C4EFCE"/>
            <w:noWrap/>
            <w:vAlign w:val="center"/>
          </w:tcPr>
          <w:p w14:paraId="579C1C3D"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tcPr>
          <w:p w14:paraId="1AF43CBC" w14:textId="77777777" w:rsidR="006C686E" w:rsidRDefault="00B17E8C">
            <w:pPr>
              <w:pStyle w:val="P68B1DB1-Normal26"/>
              <w:spacing w:after="0" w:line="240" w:lineRule="auto"/>
              <w:jc w:val="center"/>
              <w:rPr>
                <w:noProof/>
              </w:rPr>
            </w:pPr>
            <w:r>
              <w:rPr>
                <w:noProof/>
              </w:rPr>
              <w:t>MW</w:t>
            </w:r>
          </w:p>
        </w:tc>
        <w:tc>
          <w:tcPr>
            <w:tcW w:w="992" w:type="dxa"/>
            <w:shd w:val="clear" w:color="auto" w:fill="C4EFCE"/>
            <w:noWrap/>
            <w:vAlign w:val="center"/>
          </w:tcPr>
          <w:p w14:paraId="26CAB358" w14:textId="77777777" w:rsidR="006C686E" w:rsidRDefault="00B17E8C">
            <w:pPr>
              <w:pStyle w:val="P68B1DB1-Normal26"/>
              <w:spacing w:after="0" w:line="240" w:lineRule="auto"/>
              <w:jc w:val="center"/>
              <w:rPr>
                <w:noProof/>
              </w:rPr>
            </w:pPr>
            <w:r>
              <w:rPr>
                <w:noProof/>
              </w:rPr>
              <w:t>0</w:t>
            </w:r>
          </w:p>
        </w:tc>
        <w:tc>
          <w:tcPr>
            <w:tcW w:w="987" w:type="dxa"/>
            <w:shd w:val="clear" w:color="auto" w:fill="C4EFCE"/>
            <w:noWrap/>
            <w:vAlign w:val="center"/>
          </w:tcPr>
          <w:p w14:paraId="494EEF8A" w14:textId="77777777" w:rsidR="006C686E" w:rsidRDefault="00B17E8C">
            <w:pPr>
              <w:pStyle w:val="P68B1DB1-Normal26"/>
              <w:spacing w:after="0" w:line="240" w:lineRule="auto"/>
              <w:jc w:val="center"/>
              <w:rPr>
                <w:noProof/>
              </w:rPr>
            </w:pPr>
            <w:r>
              <w:rPr>
                <w:noProof/>
              </w:rPr>
              <w:t>43</w:t>
            </w:r>
          </w:p>
        </w:tc>
        <w:tc>
          <w:tcPr>
            <w:tcW w:w="567" w:type="dxa"/>
            <w:shd w:val="clear" w:color="auto" w:fill="C4EFCE"/>
            <w:noWrap/>
            <w:vAlign w:val="center"/>
          </w:tcPr>
          <w:p w14:paraId="7448604A" w14:textId="77777777" w:rsidR="006C686E" w:rsidRDefault="00B17E8C">
            <w:pPr>
              <w:pStyle w:val="P68B1DB1-Normal26"/>
              <w:spacing w:after="0" w:line="240" w:lineRule="auto"/>
              <w:jc w:val="center"/>
              <w:rPr>
                <w:noProof/>
              </w:rPr>
            </w:pPr>
            <w:r>
              <w:rPr>
                <w:noProof/>
              </w:rPr>
              <w:t>T2</w:t>
            </w:r>
          </w:p>
        </w:tc>
        <w:tc>
          <w:tcPr>
            <w:tcW w:w="850" w:type="dxa"/>
            <w:shd w:val="clear" w:color="auto" w:fill="C4EFCE"/>
            <w:noWrap/>
            <w:vAlign w:val="center"/>
          </w:tcPr>
          <w:p w14:paraId="17A2EAF3" w14:textId="77777777" w:rsidR="006C686E" w:rsidRDefault="00B17E8C">
            <w:pPr>
              <w:pStyle w:val="P68B1DB1-Normal26"/>
              <w:spacing w:after="0" w:line="240" w:lineRule="auto"/>
              <w:jc w:val="center"/>
              <w:rPr>
                <w:noProof/>
              </w:rPr>
            </w:pPr>
            <w:r>
              <w:rPr>
                <w:noProof/>
              </w:rPr>
              <w:t>2026</w:t>
            </w:r>
          </w:p>
        </w:tc>
        <w:tc>
          <w:tcPr>
            <w:tcW w:w="3549" w:type="dxa"/>
            <w:shd w:val="clear" w:color="auto" w:fill="C4EFCE"/>
          </w:tcPr>
          <w:p w14:paraId="3411A8BB" w14:textId="6E51870C" w:rsidR="006C686E" w:rsidRDefault="00B17E8C">
            <w:pPr>
              <w:pStyle w:val="P68B1DB1-Normal26"/>
              <w:spacing w:after="0" w:line="240" w:lineRule="auto"/>
              <w:textAlignment w:val="baseline"/>
              <w:rPr>
                <w:rFonts w:eastAsia="Times New Roman"/>
                <w:noProof/>
              </w:rPr>
            </w:pPr>
            <w:r>
              <w:rPr>
                <w:noProof/>
              </w:rPr>
              <w:t>Installation de 43 MW d'électricité photovoltaïque sur le lac du barrage d'Alqueva.</w:t>
            </w:r>
          </w:p>
        </w:tc>
      </w:tr>
    </w:tbl>
    <w:p w14:paraId="4D0DE815" w14:textId="77777777" w:rsidR="006C686E" w:rsidRDefault="006C686E">
      <w:pPr>
        <w:keepNext/>
        <w:spacing w:before="40" w:after="0"/>
        <w:jc w:val="both"/>
        <w:rPr>
          <w:rFonts w:ascii="Times New Roman" w:eastAsia="Times New Roman" w:hAnsi="Times New Roman" w:cs="Times New Roman"/>
          <w:noProof/>
          <w:kern w:val="0"/>
          <w:szCs w:val="26"/>
          <w14:ligatures w14:val="none"/>
        </w:rPr>
      </w:pPr>
    </w:p>
    <w:p w14:paraId="298D5CE6" w14:textId="77777777" w:rsidR="006C686E" w:rsidRDefault="006C686E">
      <w:pPr>
        <w:keepNext/>
        <w:spacing w:before="40" w:after="0"/>
        <w:jc w:val="both"/>
        <w:rPr>
          <w:rFonts w:ascii="Times New Roman" w:eastAsia="Times New Roman" w:hAnsi="Times New Roman" w:cs="Times New Roman"/>
          <w:noProof/>
          <w:kern w:val="0"/>
          <w:szCs w:val="26"/>
          <w14:ligatures w14:val="none"/>
        </w:rPr>
        <w:sectPr w:rsidR="006C686E" w:rsidSect="00C95E00">
          <w:headerReference w:type="even" r:id="rId202"/>
          <w:headerReference w:type="default" r:id="rId203"/>
          <w:footerReference w:type="even" r:id="rId204"/>
          <w:footerReference w:type="default" r:id="rId205"/>
          <w:headerReference w:type="first" r:id="rId206"/>
          <w:footerReference w:type="first" r:id="rId207"/>
          <w:pgSz w:w="16839" w:h="11907" w:orient="landscape"/>
          <w:pgMar w:top="1134" w:right="1134" w:bottom="1134" w:left="1134" w:header="567" w:footer="567" w:gutter="0"/>
          <w:cols w:space="720"/>
          <w:docGrid w:linePitch="360"/>
        </w:sectPr>
      </w:pPr>
    </w:p>
    <w:p w14:paraId="2F31B348" w14:textId="77777777" w:rsidR="006C686E" w:rsidRDefault="00B17E8C">
      <w:pPr>
        <w:pStyle w:val="P68B1DB1-Normal1"/>
        <w:keepNext/>
        <w:spacing w:before="40" w:after="0"/>
        <w:ind w:left="130" w:firstLine="720"/>
        <w:jc w:val="both"/>
        <w:outlineLvl w:val="1"/>
        <w:rPr>
          <w:rFonts w:eastAsia="Times New Roman"/>
          <w:bCs/>
          <w:noProof/>
        </w:rPr>
      </w:pPr>
      <w:r>
        <w:rPr>
          <w:noProof/>
        </w:rPr>
        <w:t>J. Élément 10: Mer</w:t>
      </w:r>
    </w:p>
    <w:p w14:paraId="20B78ED3" w14:textId="77777777" w:rsidR="006C686E" w:rsidRDefault="00B17E8C">
      <w:pPr>
        <w:pStyle w:val="P68B1DB1-Normal4"/>
        <w:keepNext/>
        <w:spacing w:before="40" w:after="0"/>
        <w:jc w:val="both"/>
        <w:rPr>
          <w:rFonts w:eastAsia="Times New Roman"/>
          <w:noProof/>
        </w:rPr>
      </w:pPr>
      <w:r>
        <w:rPr>
          <w:noProof/>
        </w:rPr>
        <w:t>Le volet aborde le défi consistant à ouvrir la voie à une économie maritime plus compétitive, plus cohérente, plus inclusive et, en outre, plus décarbonée et plus durable, un domaine dans lequel le Portugal dispose d’un fort potentiel. Le volet contribue à saisir les possibilités découlant des transitions climatique et numérique dans l’économie de la mer. L'objectif de ce volet est de soutenir la réalisation des objectifs nationaux liés au potentiel productif de l'économie maritime. Ce volet vise en particulier à garantir la durabilité et la compétitivité du système commercial lié à la mer. En outre, le volet a pour ambition de lutter, au moins en partie, contre la pauvreté dans les communautés côtières, tout en garantissant un territoire compétitif et cohérent dans un contexte d’adaptation aux transitions climatique et numérique, en mettant notamment l’accent sur les compétences pertinentes pour les secteurs maritimes. La composante contribue également à préserver la valeur des services de l’écosystème océanique.</w:t>
      </w:r>
    </w:p>
    <w:p w14:paraId="3CEEFAF0" w14:textId="77777777" w:rsidR="006C686E" w:rsidRDefault="00B17E8C">
      <w:pPr>
        <w:pStyle w:val="P68B1DB1-Normal4"/>
        <w:keepNext/>
        <w:spacing w:before="40" w:after="0"/>
        <w:jc w:val="both"/>
        <w:rPr>
          <w:rFonts w:eastAsia="Times New Roman"/>
          <w:noProof/>
        </w:rPr>
      </w:pPr>
      <w:r>
        <w:rPr>
          <w:noProof/>
        </w:rPr>
        <w:t xml:space="preserve">Le volet soutient la mise en œuvre des recommandations par pays visant à axer la politique économique liée aux investissements sur les ports et sur l’innovation (recommandation par pays no 3 de 2019) et à concentrer les investissements sur la transition écologique (recommandation par pays no 3 de 2020). En outre, le volet contribue à la mise en œuvre de la recommandation par pays relative à l’amélioration du niveau de compétences de la population (recommandation par pays no 2 de 2020). </w:t>
      </w:r>
    </w:p>
    <w:p w14:paraId="371D8B33" w14:textId="77777777" w:rsidR="006C686E" w:rsidRDefault="00B17E8C">
      <w:pPr>
        <w:pStyle w:val="P68B1DB1-Normal4"/>
        <w:keepNext/>
        <w:spacing w:before="40" w:after="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0371FE58"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p w14:paraId="47372F24" w14:textId="77777777" w:rsidR="006C686E" w:rsidRDefault="00B17E8C">
      <w:pPr>
        <w:pStyle w:val="P68B1DB1-Normal1"/>
        <w:keepNext/>
        <w:spacing w:before="40" w:after="0"/>
        <w:ind w:left="130" w:firstLine="720"/>
        <w:jc w:val="both"/>
        <w:outlineLvl w:val="2"/>
        <w:rPr>
          <w:rFonts w:eastAsia="Times New Roman"/>
          <w:bCs/>
          <w:noProof/>
        </w:rPr>
      </w:pPr>
      <w:r>
        <w:rPr>
          <w:noProof/>
        </w:rPr>
        <w:t>J.1. Description des réformes et des investissements pour le soutien financier non remboursable</w:t>
      </w:r>
    </w:p>
    <w:p w14:paraId="2B184242" w14:textId="77777777" w:rsidR="006C686E" w:rsidRDefault="00B17E8C">
      <w:pPr>
        <w:pStyle w:val="P68B1DB1-Normal5"/>
        <w:keepNext/>
        <w:spacing w:before="240" w:after="0"/>
        <w:ind w:left="851"/>
        <w:jc w:val="both"/>
        <w:outlineLvl w:val="3"/>
        <w:rPr>
          <w:rFonts w:eastAsia="Times New Roman"/>
          <w:noProof/>
        </w:rPr>
      </w:pPr>
      <w:r>
        <w:rPr>
          <w:noProof/>
        </w:rPr>
        <w:t xml:space="preserve">Réforme TC-r23: Réforme de l'écosystème des infrastructures de l'économie bleue. </w:t>
      </w:r>
    </w:p>
    <w:p w14:paraId="5CB2B112" w14:textId="77777777" w:rsidR="006C686E" w:rsidRDefault="00B17E8C">
      <w:pPr>
        <w:pStyle w:val="P68B1DB1-Normal4"/>
        <w:keepNext/>
        <w:spacing w:before="40" w:after="0"/>
        <w:jc w:val="both"/>
        <w:rPr>
          <w:rFonts w:eastAsia="Times New Roman"/>
          <w:noProof/>
        </w:rPr>
      </w:pPr>
      <w:r>
        <w:rPr>
          <w:noProof/>
        </w:rPr>
        <w:t xml:space="preserve">L’objectif de cette réforme est de réviser la législation relative au réseau de pôles technologiques portuaires (approuvée par le Conseil des ministres en 2017), par laquelle le Portugal vise à renforcer les activités économiques liées à la mer, en créant des opportunités commerciales, de nouveaux emplois, en soutenant les exportations, en soutenant la croissance du transport maritime et en promouvant l’exploitation durable du potentiel maritime. La réforme étend le réseau de pôles technologiques portuaires à d’autres zones ayant accès à la mer et fixe de nouveaux objectifs, tels que le renforcement de la capacité de financement de l’économie de la mer au moyen d’un Fonds bleu révisé, le soutien à l’utilisation de l’océan pour améliorer la résilience afin d’atténuer le changement climatique, la promotion du développement des compétences liées à l’économie de la mer et à la double transition et le renforcement du soutien public à l’innovation pour le développement durable de l’économie de la mer. </w:t>
      </w:r>
    </w:p>
    <w:p w14:paraId="4E3FEA3D" w14:textId="77777777" w:rsidR="006C686E" w:rsidRDefault="00B17E8C">
      <w:pPr>
        <w:pStyle w:val="P68B1DB1-Normal4"/>
        <w:keepNext/>
        <w:spacing w:before="40" w:after="0"/>
        <w:jc w:val="both"/>
        <w:rPr>
          <w:rFonts w:eastAsia="Times New Roman"/>
          <w:noProof/>
        </w:rPr>
      </w:pPr>
      <w:r>
        <w:rPr>
          <w:noProof/>
        </w:rPr>
        <w:t xml:space="preserve">La réforme établit le modèle de gouvernance d’un nouveau pôle bleu, qui devrait être un moteur du transfert de technologie entre les différents acteurs de la chaîne de valeur d’une nouvelle économie maritime plus résiliente et durable, dont l’incidence est censée être durable et significative sur le changement de paradigme en faveur d’un développement économique intelligent, durable et inclusif des secteurs concernés. </w:t>
      </w:r>
    </w:p>
    <w:p w14:paraId="0509F2D1" w14:textId="6A4E4AC2" w:rsidR="006C686E" w:rsidRDefault="00B17E8C">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décembre 2021.</w:t>
      </w:r>
    </w:p>
    <w:p w14:paraId="69B4E86E" w14:textId="77777777" w:rsidR="006C686E" w:rsidRDefault="00B17E8C">
      <w:pPr>
        <w:pStyle w:val="P68B1DB1-Normal5"/>
        <w:keepNext/>
        <w:keepLines/>
        <w:spacing w:before="240" w:after="0"/>
        <w:ind w:left="851"/>
        <w:jc w:val="both"/>
        <w:outlineLvl w:val="3"/>
        <w:rPr>
          <w:rFonts w:eastAsia="Times New Roman"/>
          <w:noProof/>
        </w:rPr>
      </w:pPr>
      <w:bookmarkStart w:id="16" w:name="_Hlk67034111"/>
      <w:r>
        <w:rPr>
          <w:noProof/>
        </w:rPr>
        <w:t>Investissement TC-C10-i01: Blue Hub, Réseau d'infrastructures pour l'économie bleue</w:t>
      </w:r>
      <w:bookmarkEnd w:id="16"/>
    </w:p>
    <w:p w14:paraId="5C45C01E" w14:textId="77777777" w:rsidR="006C686E" w:rsidRDefault="00B17E8C">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L'objectif de cet investissement est d'étendre</w:t>
      </w:r>
      <w:r>
        <w:rPr>
          <w:rFonts w:ascii="Times New Roman" w:eastAsia="Calibri" w:hAnsi="Times New Roman" w:cs="Times New Roman"/>
          <w:noProof/>
        </w:rPr>
        <w:t xml:space="preserve"> le</w:t>
      </w:r>
      <w:r>
        <w:rPr>
          <w:rFonts w:ascii="Times New Roman" w:eastAsia="Calibri" w:hAnsi="Times New Roman" w:cs="Times New Roman"/>
          <w:noProof/>
          <w:kern w:val="0"/>
          <w14:ligatures w14:val="none"/>
        </w:rPr>
        <w:t xml:space="preserve"> réseau d'infrastructures pour l'économie bleue à travers le pays et de </w:t>
      </w:r>
      <w:r>
        <w:rPr>
          <w:rFonts w:ascii="Times New Roman" w:eastAsia="Calibri" w:hAnsi="Times New Roman" w:cs="Times New Roman"/>
          <w:noProof/>
        </w:rPr>
        <w:t xml:space="preserve">soutenir </w:t>
      </w:r>
      <w:r>
        <w:rPr>
          <w:rFonts w:ascii="Times New Roman" w:eastAsia="Calibri" w:hAnsi="Times New Roman" w:cs="Times New Roman"/>
          <w:noProof/>
          <w:kern w:val="0"/>
          <w14:ligatures w14:val="none"/>
        </w:rPr>
        <w:t xml:space="preserve">la </w:t>
      </w:r>
      <w:r>
        <w:rPr>
          <w:rFonts w:ascii="Times New Roman" w:hAnsi="Times New Roman" w:cs="Times New Roman"/>
          <w:noProof/>
        </w:rPr>
        <w:t xml:space="preserve">R&amp;D de l'économie bleue </w:t>
      </w:r>
      <w:r>
        <w:rPr>
          <w:rFonts w:ascii="Times New Roman" w:eastAsia="Calibri" w:hAnsi="Times New Roman" w:cs="Times New Roman"/>
          <w:noProof/>
          <w:kern w:val="0"/>
          <w14:ligatures w14:val="none"/>
        </w:rPr>
        <w:t xml:space="preserve"> à travers des pôles bleus (zones de développement des affaires dans les ports).</w:t>
      </w:r>
    </w:p>
    <w:p w14:paraId="7AE817E9" w14:textId="2C9BAFBB" w:rsidR="006C686E" w:rsidRDefault="00B17E8C">
      <w:pPr>
        <w:pStyle w:val="P68B1DB1-Normal3"/>
        <w:keepNext/>
        <w:spacing w:before="40" w:after="0"/>
        <w:jc w:val="both"/>
        <w:rPr>
          <w:rFonts w:eastAsia="Times New Roman"/>
          <w:noProof/>
        </w:rPr>
      </w:pPr>
      <w:r>
        <w:rPr>
          <w:noProof/>
          <w:kern w:val="0"/>
          <w14:ligatures w14:val="none"/>
        </w:rPr>
        <w:t xml:space="preserve">L’investissement consiste </w:t>
      </w:r>
      <w:r>
        <w:rPr>
          <w:noProof/>
        </w:rPr>
        <w:t>en la</w:t>
      </w:r>
      <w:r>
        <w:rPr>
          <w:noProof/>
          <w:kern w:val="0"/>
          <w14:ligatures w14:val="none"/>
        </w:rPr>
        <w:t xml:space="preserve"> construction ou  la rénovation de pôles bleus, ainsi que </w:t>
      </w:r>
      <w:r>
        <w:rPr>
          <w:noProof/>
        </w:rPr>
        <w:t>de l’école</w:t>
      </w:r>
      <w:r>
        <w:rPr>
          <w:noProof/>
          <w:kern w:val="0"/>
          <w14:ligatures w14:val="none"/>
        </w:rPr>
        <w:t xml:space="preserve"> Blue Hub.</w:t>
      </w:r>
    </w:p>
    <w:p w14:paraId="34EA3DC1" w14:textId="77777777" w:rsidR="006C686E" w:rsidRDefault="00B17E8C">
      <w:pPr>
        <w:pStyle w:val="P68B1DB1-Normal5"/>
        <w:keepNext/>
        <w:spacing w:before="240" w:after="0"/>
        <w:ind w:left="851"/>
        <w:jc w:val="both"/>
        <w:outlineLvl w:val="3"/>
        <w:rPr>
          <w:rFonts w:eastAsia="Times New Roman"/>
          <w:noProof/>
        </w:rPr>
      </w:pPr>
      <w:r>
        <w:rPr>
          <w:noProof/>
        </w:rPr>
        <w:t>Investissement TC-C10-i02: Transition écologique et numérique et sécurité dans le secteur de la pêche</w:t>
      </w:r>
    </w:p>
    <w:p w14:paraId="194FF58C" w14:textId="77777777" w:rsidR="006C686E" w:rsidRDefault="00B17E8C">
      <w:pPr>
        <w:pStyle w:val="P68B1DB1-Normal4"/>
        <w:keepNext/>
        <w:spacing w:before="40" w:after="0"/>
        <w:jc w:val="both"/>
        <w:rPr>
          <w:rFonts w:eastAsia="Times New Roman"/>
          <w:noProof/>
        </w:rPr>
      </w:pPr>
      <w:r>
        <w:rPr>
          <w:noProof/>
        </w:rPr>
        <w:t>L’objectif de cet investissement est de</w:t>
      </w:r>
      <w:r>
        <w:rPr>
          <w:b/>
          <w:noProof/>
        </w:rPr>
        <w:t xml:space="preserve"> </w:t>
      </w:r>
      <w:r>
        <w:rPr>
          <w:noProof/>
        </w:rPr>
        <w:t xml:space="preserve">soutenir le financement de projets visant la modernisation des processus, la réduction de l’empreinte carbone et l’économie circulaire de l’industrie et des organisations de la pêche. </w:t>
      </w:r>
    </w:p>
    <w:p w14:paraId="2B8BCCEF" w14:textId="77777777" w:rsidR="006C686E" w:rsidRDefault="00B17E8C">
      <w:pPr>
        <w:pStyle w:val="P68B1DB1-Normal4"/>
        <w:keepNext/>
        <w:spacing w:before="40" w:after="0"/>
        <w:jc w:val="both"/>
        <w:rPr>
          <w:rFonts w:eastAsia="Times New Roman"/>
          <w:noProof/>
        </w:rPr>
      </w:pPr>
      <w:r>
        <w:rPr>
          <w:noProof/>
        </w:rPr>
        <w:t xml:space="preserve">L'investissement consiste en des projets dans le secteur de la pêche. </w:t>
      </w:r>
    </w:p>
    <w:p w14:paraId="7CCAADE1" w14:textId="0C0A2472" w:rsidR="006C686E" w:rsidRDefault="00B17E8C">
      <w:pPr>
        <w:pStyle w:val="P68B1DB1-Normal5"/>
        <w:keepNext/>
        <w:spacing w:before="240" w:after="0"/>
        <w:ind w:left="851"/>
        <w:jc w:val="both"/>
        <w:outlineLvl w:val="3"/>
        <w:rPr>
          <w:rFonts w:eastAsia="Times New Roman"/>
          <w:noProof/>
        </w:rPr>
      </w:pPr>
      <w:r>
        <w:rPr>
          <w:noProof/>
        </w:rPr>
        <w:t>Investissement TC-C10-i03: Centre des opérations de défense de l'Atlantique et plate-forme navale</w:t>
      </w:r>
    </w:p>
    <w:p w14:paraId="59074EE0" w14:textId="52EBA4F9" w:rsidR="006C686E" w:rsidRDefault="00B17E8C">
      <w:pPr>
        <w:pStyle w:val="P68B1DB1-Normal4"/>
        <w:keepNext/>
        <w:spacing w:before="40" w:after="0"/>
        <w:jc w:val="both"/>
        <w:rPr>
          <w:rFonts w:eastAsia="Times New Roman"/>
          <w:noProof/>
        </w:rPr>
      </w:pPr>
      <w:r>
        <w:rPr>
          <w:noProof/>
        </w:rPr>
        <w:t>L'objectif de cet investissement est de soutenir la recherche et la surveillance marines.</w:t>
      </w:r>
    </w:p>
    <w:p w14:paraId="0869BEAC" w14:textId="6B90E93E"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L'investissement s'articule </w:t>
      </w:r>
      <w:r>
        <w:rPr>
          <w:noProof/>
        </w:rPr>
        <w:t xml:space="preserve">autour de 3 piliers: </w:t>
      </w:r>
      <w:r>
        <w:rPr>
          <w:noProof/>
          <w:kern w:val="0"/>
          <w14:ligatures w14:val="none"/>
        </w:rPr>
        <w:t>Pilier I – construction de la plateforme navale polyvalente; Pilier II – construction du centre d’opérations; et pilier III — Académie Alfeite Arsenal (Académie 4.0).</w:t>
      </w:r>
    </w:p>
    <w:p w14:paraId="2D41B4D5" w14:textId="48B6CD72" w:rsidR="006C686E" w:rsidRDefault="00B17E8C">
      <w:pPr>
        <w:pStyle w:val="P68B1DB1-Normal5"/>
        <w:keepNext/>
        <w:spacing w:before="240" w:after="0"/>
        <w:ind w:left="851"/>
        <w:jc w:val="both"/>
        <w:outlineLvl w:val="3"/>
        <w:rPr>
          <w:rFonts w:eastAsia="Times New Roman"/>
          <w:noProof/>
        </w:rPr>
      </w:pPr>
      <w:r>
        <w:rPr>
          <w:noProof/>
        </w:rPr>
        <w:t xml:space="preserve">Investissement TC-C10-i04-RAA: «Cluster do Mar dos Açores» </w:t>
      </w:r>
    </w:p>
    <w:p w14:paraId="4CC31835" w14:textId="77777777" w:rsidR="006C686E" w:rsidRDefault="00B17E8C">
      <w:pPr>
        <w:pStyle w:val="P68B1DB1-Normal4"/>
        <w:keepNext/>
        <w:spacing w:before="40" w:after="0"/>
        <w:jc w:val="both"/>
        <w:rPr>
          <w:noProof/>
        </w:rPr>
      </w:pPr>
      <w:r>
        <w:rPr>
          <w:noProof/>
        </w:rPr>
        <w:t xml:space="preserve">L’objectif de cet investissement est de moderniser l’infrastructure fixe et mobile de la recherche en sciences marines dans la région autonome des Açores. </w:t>
      </w:r>
    </w:p>
    <w:p w14:paraId="7384985F" w14:textId="77777777" w:rsidR="006C686E" w:rsidRDefault="00B17E8C">
      <w:pPr>
        <w:pStyle w:val="P68B1DB1-Normal4"/>
        <w:keepNext/>
        <w:spacing w:before="240" w:after="0"/>
        <w:jc w:val="both"/>
        <w:outlineLvl w:val="3"/>
        <w:rPr>
          <w:noProof/>
        </w:rPr>
      </w:pPr>
      <w:r>
        <w:rPr>
          <w:noProof/>
        </w:rPr>
        <w:t xml:space="preserve">L'investissement consiste en la livraison d'un navire de recherche, l'acquisition de deux modules et la construction d'un centre expérimental de recherche et développement (MARTEC). </w:t>
      </w:r>
    </w:p>
    <w:p w14:paraId="40D65CAA" w14:textId="77777777" w:rsidR="006C686E" w:rsidRDefault="00B17E8C">
      <w:pPr>
        <w:pStyle w:val="P68B1DB1-Normal5"/>
        <w:keepNext/>
        <w:spacing w:before="240" w:after="0"/>
        <w:ind w:left="851"/>
        <w:jc w:val="both"/>
        <w:outlineLvl w:val="3"/>
        <w:rPr>
          <w:rFonts w:ascii="Calibri" w:hAnsi="Calibri"/>
          <w:b/>
          <w:bCs/>
          <w:noProof/>
        </w:rPr>
      </w:pPr>
      <w:r>
        <w:rPr>
          <w:noProof/>
        </w:rPr>
        <w:t>Investissement TC-C10-i05-RAA: Transition énergétique, numérisation et réduction de l’incidence environnementale dans le secteur de la pêche et de l’aquaculture</w:t>
      </w:r>
    </w:p>
    <w:p w14:paraId="7AADABD0" w14:textId="77777777" w:rsidR="006C686E" w:rsidRDefault="00B17E8C">
      <w:pPr>
        <w:pStyle w:val="P68B1DB1-Normal4"/>
        <w:spacing w:before="40" w:after="0"/>
        <w:jc w:val="both"/>
        <w:rPr>
          <w:noProof/>
        </w:rPr>
      </w:pPr>
      <w:r>
        <w:rPr>
          <w:noProof/>
        </w:rPr>
        <w:t xml:space="preserve">L’objectif de cet investissement est de soutenir la transition énergétique, la numérisation et la réduction de l’impact environnemental dans le secteur de la pêche et de l’aquaculture dans la région autonome des Açores. </w:t>
      </w:r>
    </w:p>
    <w:p w14:paraId="73A54465" w14:textId="77777777" w:rsidR="006C686E" w:rsidRDefault="00B17E8C">
      <w:pPr>
        <w:pStyle w:val="P68B1DB1-Normal4"/>
        <w:spacing w:before="40" w:after="0"/>
        <w:jc w:val="both"/>
        <w:rPr>
          <w:noProof/>
        </w:rPr>
      </w:pPr>
      <w:r>
        <w:rPr>
          <w:noProof/>
        </w:rPr>
        <w:t xml:space="preserve">L'investissement consiste en l'achat d'équipements pour la pêche et les navires de pêche. </w:t>
      </w:r>
    </w:p>
    <w:p w14:paraId="263DBE05" w14:textId="77777777" w:rsidR="006C686E" w:rsidRDefault="00B17E8C">
      <w:pPr>
        <w:pStyle w:val="P68B1DB1-Normal7"/>
        <w:keepNext/>
        <w:spacing w:before="120" w:after="0" w:line="276" w:lineRule="auto"/>
        <w:ind w:left="130" w:firstLine="720"/>
        <w:jc w:val="both"/>
        <w:outlineLvl w:val="1"/>
        <w:rPr>
          <w:noProof/>
        </w:rPr>
      </w:pPr>
      <w:r>
        <w:rPr>
          <w:noProof/>
        </w:rPr>
        <w:t>Investissement TC-C10-i06-RAM: Technologies océaniques</w:t>
      </w:r>
    </w:p>
    <w:p w14:paraId="29AF8BE0" w14:textId="77777777" w:rsidR="006C686E" w:rsidRDefault="00B17E8C">
      <w:pPr>
        <w:pStyle w:val="P68B1DB1-Normal4"/>
        <w:spacing w:before="40" w:after="0"/>
        <w:jc w:val="both"/>
        <w:rPr>
          <w:noProof/>
        </w:rPr>
      </w:pPr>
      <w:r>
        <w:rPr>
          <w:noProof/>
        </w:rPr>
        <w:t xml:space="preserve">L’objectif de cet investissement est de soutenir la recherche en sciences marines dans la région autonome de Madère. </w:t>
      </w:r>
    </w:p>
    <w:p w14:paraId="4E95E3D8" w14:textId="558E50CD" w:rsidR="006C686E" w:rsidRDefault="00B17E8C">
      <w:pPr>
        <w:pStyle w:val="P68B1DB1-Normal3"/>
        <w:spacing w:before="40" w:after="0"/>
        <w:jc w:val="both"/>
        <w:rPr>
          <w:rFonts w:eastAsia="@MS Mincho"/>
          <w:noProof/>
          <w:kern w:val="0"/>
          <w14:ligatures w14:val="none"/>
        </w:rPr>
      </w:pPr>
      <w:r>
        <w:rPr>
          <w:noProof/>
          <w:kern w:val="0"/>
          <w14:ligatures w14:val="none"/>
        </w:rPr>
        <w:t xml:space="preserve">L'investissement consiste </w:t>
      </w:r>
      <w:r>
        <w:rPr>
          <w:noProof/>
        </w:rPr>
        <w:t>en</w:t>
      </w:r>
      <w:r>
        <w:rPr>
          <w:noProof/>
          <w:kern w:val="0"/>
          <w14:ligatures w14:val="none"/>
        </w:rPr>
        <w:t xml:space="preserve"> la </w:t>
      </w:r>
      <w:r>
        <w:rPr>
          <w:noProof/>
        </w:rPr>
        <w:t xml:space="preserve">livraison </w:t>
      </w:r>
      <w:r>
        <w:rPr>
          <w:noProof/>
          <w:kern w:val="0"/>
          <w14:ligatures w14:val="none"/>
        </w:rPr>
        <w:t>d'un navire de recherche</w:t>
      </w:r>
      <w:r>
        <w:rPr>
          <w:noProof/>
        </w:rPr>
        <w:t xml:space="preserve"> et</w:t>
      </w:r>
      <w:r>
        <w:rPr>
          <w:noProof/>
          <w:kern w:val="0"/>
          <w14:ligatures w14:val="none"/>
        </w:rPr>
        <w:t xml:space="preserve"> la </w:t>
      </w:r>
      <w:r>
        <w:rPr>
          <w:noProof/>
        </w:rPr>
        <w:t xml:space="preserve">livraison </w:t>
      </w:r>
      <w:r>
        <w:rPr>
          <w:noProof/>
          <w:kern w:val="0"/>
          <w14:ligatures w14:val="none"/>
        </w:rPr>
        <w:t xml:space="preserve">de trois véhicules autonomes sans pilote. </w:t>
      </w:r>
    </w:p>
    <w:p w14:paraId="05142571" w14:textId="77777777" w:rsidR="006C686E" w:rsidRDefault="006C686E">
      <w:pPr>
        <w:spacing w:before="40" w:after="0"/>
        <w:jc w:val="both"/>
        <w:rPr>
          <w:rFonts w:ascii="Times New Roman" w:eastAsia="Calibri" w:hAnsi="Times New Roman" w:cs="Times New Roman"/>
          <w:noProof/>
          <w:kern w:val="0"/>
          <w14:ligatures w14:val="none"/>
        </w:rPr>
      </w:pPr>
    </w:p>
    <w:p w14:paraId="70ED244F" w14:textId="77777777" w:rsidR="006C686E" w:rsidRDefault="006C686E">
      <w:pPr>
        <w:spacing w:before="40" w:after="0"/>
        <w:jc w:val="both"/>
        <w:rPr>
          <w:rFonts w:ascii="Times New Roman" w:eastAsia="Calibri" w:hAnsi="Times New Roman" w:cs="Times New Roman"/>
          <w:noProof/>
          <w:kern w:val="0"/>
          <w14:ligatures w14:val="none"/>
        </w:rPr>
        <w:sectPr w:rsidR="006C686E" w:rsidSect="00C95E00">
          <w:headerReference w:type="even" r:id="rId208"/>
          <w:headerReference w:type="default" r:id="rId209"/>
          <w:footerReference w:type="even" r:id="rId210"/>
          <w:footerReference w:type="default" r:id="rId211"/>
          <w:headerReference w:type="first" r:id="rId212"/>
          <w:footerReference w:type="first" r:id="rId213"/>
          <w:pgSz w:w="11907" w:h="16839"/>
          <w:pgMar w:top="1134" w:right="1418" w:bottom="1134" w:left="1418" w:header="567" w:footer="567" w:gutter="0"/>
          <w:cols w:space="720"/>
          <w:docGrid w:linePitch="360"/>
        </w:sectPr>
      </w:pPr>
    </w:p>
    <w:p w14:paraId="7E785325" w14:textId="691AB0B2" w:rsidR="006C686E" w:rsidRDefault="00B17E8C">
      <w:pPr>
        <w:pStyle w:val="P68B1DB1-Normal1"/>
        <w:keepNext/>
        <w:spacing w:after="0" w:line="240" w:lineRule="auto"/>
        <w:ind w:left="170"/>
        <w:jc w:val="center"/>
        <w:rPr>
          <w:noProof/>
        </w:rPr>
      </w:pPr>
      <w:r>
        <w:rPr>
          <w:noProof/>
        </w:rPr>
        <w:t>J.2. Étapes, cibles, indicateurs et calendrier pour le suivi et la mise en œuvre du soutien financier non remboursable</w:t>
      </w:r>
    </w:p>
    <w:tbl>
      <w:tblPr>
        <w:tblStyle w:val="TableGrid1"/>
        <w:tblpPr w:leftFromText="180" w:rightFromText="180" w:vertAnchor="text" w:horzAnchor="margin" w:tblpXSpec="center" w:tblpY="886"/>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424"/>
        <w:gridCol w:w="1417"/>
        <w:gridCol w:w="1492"/>
        <w:gridCol w:w="1420"/>
        <w:gridCol w:w="1008"/>
        <w:gridCol w:w="952"/>
        <w:gridCol w:w="940"/>
        <w:gridCol w:w="425"/>
        <w:gridCol w:w="1134"/>
        <w:gridCol w:w="3226"/>
      </w:tblGrid>
      <w:tr w:rsidR="006C686E" w14:paraId="51856F62" w14:textId="77777777" w:rsidTr="0024749C">
        <w:trPr>
          <w:trHeight w:val="752"/>
          <w:tblHeader/>
          <w:jc w:val="center"/>
        </w:trPr>
        <w:tc>
          <w:tcPr>
            <w:tcW w:w="112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39B93487" w14:textId="77777777" w:rsidR="006C686E" w:rsidRDefault="00B17E8C">
            <w:pPr>
              <w:pStyle w:val="P68B1DB1-Normal40"/>
              <w:keepNext/>
              <w:spacing w:before="40"/>
              <w:jc w:val="center"/>
              <w:rPr>
                <w:noProof/>
              </w:rPr>
            </w:pPr>
            <w:r>
              <w:rPr>
                <w:noProof/>
              </w:rPr>
              <w:t>Numéro séquentiel</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11210267" w14:textId="77777777" w:rsidR="006C686E" w:rsidRDefault="00B17E8C">
            <w:pPr>
              <w:pStyle w:val="P68B1DB1-Normal40"/>
              <w:keepNext/>
              <w:spacing w:before="40"/>
              <w:jc w:val="center"/>
              <w:rPr>
                <w:noProof/>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3A65D75A" w14:textId="77777777" w:rsidR="006C686E" w:rsidRDefault="00B17E8C">
            <w:pPr>
              <w:pStyle w:val="P68B1DB1-Normal40"/>
              <w:keepNext/>
              <w:spacing w:before="40"/>
              <w:jc w:val="center"/>
              <w:rPr>
                <w:noProof/>
              </w:rPr>
            </w:pPr>
            <w:r>
              <w:rPr>
                <w:noProof/>
              </w:rPr>
              <w:t>Étape/objectif</w:t>
            </w:r>
          </w:p>
        </w:tc>
        <w:tc>
          <w:tcPr>
            <w:tcW w:w="149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7003586E" w14:textId="77777777" w:rsidR="006C686E" w:rsidRDefault="00B17E8C">
            <w:pPr>
              <w:pStyle w:val="P68B1DB1-Normal40"/>
              <w:keepNext/>
              <w:spacing w:before="40"/>
              <w:jc w:val="center"/>
              <w:rPr>
                <w:noProof/>
              </w:rPr>
            </w:pPr>
            <w:r>
              <w:rPr>
                <w:noProof/>
              </w:rPr>
              <w:t>Nom</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4B6471C4" w14:textId="77777777" w:rsidR="006C686E" w:rsidRDefault="00B17E8C">
            <w:pPr>
              <w:pStyle w:val="P68B1DB1-Normal40"/>
              <w:keepNext/>
              <w:spacing w:before="40"/>
              <w:jc w:val="center"/>
              <w:outlineLvl w:val="2"/>
              <w:rPr>
                <w:noProof/>
                <w:u w:val="single"/>
              </w:rPr>
            </w:pPr>
            <w:r>
              <w:rPr>
                <w:noProof/>
              </w:rPr>
              <w:t>Indicateurs qualitatifs (pour les jalons)</w:t>
            </w:r>
          </w:p>
        </w:tc>
        <w:tc>
          <w:tcPr>
            <w:tcW w:w="2900"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676D4524" w14:textId="77777777" w:rsidR="006C686E" w:rsidRDefault="00B17E8C">
            <w:pPr>
              <w:pStyle w:val="P68B1DB1-Normal40"/>
              <w:keepNext/>
              <w:spacing w:before="40"/>
              <w:jc w:val="center"/>
              <w:outlineLvl w:val="2"/>
              <w:rPr>
                <w:noProof/>
                <w:u w:val="single"/>
              </w:rPr>
            </w:pPr>
            <w:r>
              <w:rPr>
                <w:noProof/>
              </w:rPr>
              <w:t>Indicateurs quantitatifs (pour les objectifs)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66026738" w14:textId="77777777" w:rsidR="006C686E" w:rsidRDefault="00B17E8C">
            <w:pPr>
              <w:pStyle w:val="P68B1DB1-Normal40"/>
              <w:keepNext/>
              <w:spacing w:before="40"/>
              <w:jc w:val="center"/>
              <w:outlineLvl w:val="2"/>
              <w:rPr>
                <w:noProof/>
                <w:u w:val="single"/>
              </w:rPr>
            </w:pPr>
            <w:r>
              <w:rPr>
                <w:noProof/>
              </w:rPr>
              <w:t>Calendrier indicatif d'achèvement</w:t>
            </w:r>
          </w:p>
        </w:tc>
        <w:tc>
          <w:tcPr>
            <w:tcW w:w="3226"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53EB3D4" w14:textId="77777777" w:rsidR="006C686E" w:rsidRDefault="00B17E8C">
            <w:pPr>
              <w:pStyle w:val="P68B1DB1-Normal40"/>
              <w:keepNext/>
              <w:spacing w:before="40"/>
              <w:jc w:val="center"/>
              <w:outlineLvl w:val="2"/>
              <w:rPr>
                <w:noProof/>
                <w:u w:val="single"/>
              </w:rPr>
            </w:pPr>
            <w:r>
              <w:rPr>
                <w:noProof/>
              </w:rPr>
              <w:t>Description et définition claire de chaque jalon et cible</w:t>
            </w:r>
          </w:p>
        </w:tc>
      </w:tr>
      <w:tr w:rsidR="006C686E" w14:paraId="1659396E" w14:textId="77777777" w:rsidTr="0024749C">
        <w:trPr>
          <w:jc w:val="center"/>
        </w:trPr>
        <w:tc>
          <w:tcPr>
            <w:tcW w:w="1123" w:type="dxa"/>
            <w:vMerge/>
            <w:tcBorders>
              <w:top w:val="single" w:sz="4" w:space="0" w:color="auto"/>
              <w:left w:val="single" w:sz="4" w:space="0" w:color="auto"/>
              <w:bottom w:val="single" w:sz="4" w:space="0" w:color="auto"/>
              <w:right w:val="single" w:sz="4" w:space="0" w:color="auto"/>
            </w:tcBorders>
            <w:vAlign w:val="center"/>
          </w:tcPr>
          <w:p w14:paraId="070ED241" w14:textId="77777777" w:rsidR="006C686E" w:rsidRDefault="006C686E">
            <w:pPr>
              <w:keepNext/>
              <w:spacing w:before="40"/>
              <w:jc w:val="center"/>
              <w:outlineLvl w:val="2"/>
              <w:rPr>
                <w:rFonts w:ascii="Times New Roman" w:eastAsia="Calibri" w:hAnsi="Times New Roman" w:cs="Times New Roman"/>
                <w:b/>
                <w:noProof/>
                <w:sz w:val="18"/>
                <w:szCs w:val="18"/>
                <w:u w:val="single"/>
                <w14:ligatures w14:val="none"/>
              </w:rPr>
            </w:pPr>
          </w:p>
        </w:tc>
        <w:tc>
          <w:tcPr>
            <w:tcW w:w="1424" w:type="dxa"/>
            <w:vMerge/>
            <w:tcBorders>
              <w:top w:val="single" w:sz="4" w:space="0" w:color="auto"/>
              <w:left w:val="single" w:sz="4" w:space="0" w:color="auto"/>
              <w:bottom w:val="single" w:sz="4" w:space="0" w:color="auto"/>
              <w:right w:val="single" w:sz="4" w:space="0" w:color="auto"/>
            </w:tcBorders>
            <w:vAlign w:val="center"/>
          </w:tcPr>
          <w:p w14:paraId="5EA4BE4F" w14:textId="77777777" w:rsidR="006C686E" w:rsidRDefault="006C686E">
            <w:pPr>
              <w:keepNext/>
              <w:spacing w:before="40"/>
              <w:jc w:val="center"/>
              <w:outlineLvl w:val="2"/>
              <w:rPr>
                <w:rFonts w:ascii="Times New Roman" w:eastAsia="Calibri" w:hAnsi="Times New Roman" w:cs="Times New Roman"/>
                <w:b/>
                <w:noProof/>
                <w:sz w:val="18"/>
                <w:szCs w:val="18"/>
                <w:u w:val="single"/>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7125CD77" w14:textId="77777777" w:rsidR="006C686E" w:rsidRDefault="006C686E">
            <w:pPr>
              <w:keepNext/>
              <w:spacing w:before="40"/>
              <w:jc w:val="center"/>
              <w:outlineLvl w:val="2"/>
              <w:rPr>
                <w:rFonts w:ascii="Times New Roman" w:eastAsia="Calibri" w:hAnsi="Times New Roman" w:cs="Times New Roman"/>
                <w:b/>
                <w:noProof/>
                <w:sz w:val="18"/>
                <w:szCs w:val="18"/>
                <w:u w:val="single"/>
                <w14:ligatures w14:val="none"/>
              </w:rPr>
            </w:pPr>
          </w:p>
        </w:tc>
        <w:tc>
          <w:tcPr>
            <w:tcW w:w="1492" w:type="dxa"/>
            <w:vMerge/>
            <w:tcBorders>
              <w:top w:val="single" w:sz="4" w:space="0" w:color="auto"/>
              <w:left w:val="single" w:sz="4" w:space="0" w:color="auto"/>
              <w:bottom w:val="single" w:sz="4" w:space="0" w:color="auto"/>
              <w:right w:val="single" w:sz="4" w:space="0" w:color="auto"/>
            </w:tcBorders>
            <w:vAlign w:val="center"/>
          </w:tcPr>
          <w:p w14:paraId="5248363B" w14:textId="77777777" w:rsidR="006C686E" w:rsidRDefault="006C686E">
            <w:pPr>
              <w:keepNext/>
              <w:spacing w:before="40"/>
              <w:jc w:val="center"/>
              <w:outlineLvl w:val="2"/>
              <w:rPr>
                <w:rFonts w:ascii="Times New Roman" w:eastAsia="Calibri" w:hAnsi="Times New Roman" w:cs="Times New Roman"/>
                <w:b/>
                <w:noProof/>
                <w:sz w:val="18"/>
                <w:szCs w:val="18"/>
                <w:u w:val="single"/>
                <w14:ligatures w14:val="none"/>
              </w:rPr>
            </w:pPr>
          </w:p>
        </w:tc>
        <w:tc>
          <w:tcPr>
            <w:tcW w:w="1420" w:type="dxa"/>
            <w:vMerge/>
            <w:tcBorders>
              <w:top w:val="single" w:sz="4" w:space="0" w:color="auto"/>
              <w:left w:val="single" w:sz="4" w:space="0" w:color="auto"/>
              <w:bottom w:val="single" w:sz="4" w:space="0" w:color="auto"/>
              <w:right w:val="single" w:sz="4" w:space="0" w:color="auto"/>
            </w:tcBorders>
            <w:vAlign w:val="center"/>
          </w:tcPr>
          <w:p w14:paraId="375553C5" w14:textId="77777777" w:rsidR="006C686E" w:rsidRDefault="006C686E">
            <w:pPr>
              <w:keepNext/>
              <w:spacing w:before="40"/>
              <w:jc w:val="center"/>
              <w:outlineLvl w:val="2"/>
              <w:rPr>
                <w:rFonts w:ascii="Times New Roman" w:eastAsia="Calibri" w:hAnsi="Times New Roman" w:cs="Times New Roman"/>
                <w:b/>
                <w:noProof/>
                <w:sz w:val="18"/>
                <w:szCs w:val="18"/>
                <w:u w:val="single"/>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6D9F1"/>
            <w:vAlign w:val="center"/>
          </w:tcPr>
          <w:p w14:paraId="5F7B7A57" w14:textId="77777777" w:rsidR="006C686E" w:rsidRDefault="00B17E8C">
            <w:pPr>
              <w:pStyle w:val="P68B1DB1-Normal40"/>
              <w:keepNext/>
              <w:spacing w:before="40"/>
              <w:jc w:val="center"/>
              <w:outlineLvl w:val="2"/>
              <w:rPr>
                <w:noProof/>
                <w:u w:val="single"/>
              </w:rPr>
            </w:pPr>
            <w:r>
              <w:rPr>
                <w:noProof/>
              </w:rPr>
              <w:t>Unité de mesure</w:t>
            </w:r>
          </w:p>
        </w:tc>
        <w:tc>
          <w:tcPr>
            <w:tcW w:w="952" w:type="dxa"/>
            <w:tcBorders>
              <w:top w:val="single" w:sz="4" w:space="0" w:color="auto"/>
              <w:left w:val="single" w:sz="4" w:space="0" w:color="auto"/>
              <w:bottom w:val="single" w:sz="4" w:space="0" w:color="auto"/>
              <w:right w:val="single" w:sz="4" w:space="0" w:color="auto"/>
            </w:tcBorders>
            <w:shd w:val="clear" w:color="auto" w:fill="C6D9F1"/>
            <w:vAlign w:val="center"/>
          </w:tcPr>
          <w:p w14:paraId="1F114A47" w14:textId="77777777" w:rsidR="006C686E" w:rsidRDefault="00B17E8C">
            <w:pPr>
              <w:pStyle w:val="P68B1DB1-Normal40"/>
              <w:keepNext/>
              <w:spacing w:before="40"/>
              <w:jc w:val="center"/>
              <w:outlineLvl w:val="2"/>
              <w:rPr>
                <w:noProof/>
                <w:u w:val="single"/>
              </w:rPr>
            </w:pPr>
            <w:r>
              <w:rPr>
                <w:noProof/>
              </w:rPr>
              <w:t>Données de référence</w:t>
            </w:r>
          </w:p>
        </w:tc>
        <w:tc>
          <w:tcPr>
            <w:tcW w:w="940" w:type="dxa"/>
            <w:tcBorders>
              <w:top w:val="single" w:sz="4" w:space="0" w:color="auto"/>
              <w:left w:val="single" w:sz="4" w:space="0" w:color="auto"/>
              <w:bottom w:val="single" w:sz="4" w:space="0" w:color="auto"/>
              <w:right w:val="single" w:sz="4" w:space="0" w:color="auto"/>
            </w:tcBorders>
            <w:shd w:val="clear" w:color="auto" w:fill="C6D9F1"/>
            <w:vAlign w:val="center"/>
          </w:tcPr>
          <w:p w14:paraId="755B4421" w14:textId="77777777" w:rsidR="006C686E" w:rsidRDefault="00B17E8C">
            <w:pPr>
              <w:pStyle w:val="P68B1DB1-Normal40"/>
              <w:keepNext/>
              <w:spacing w:before="40"/>
              <w:jc w:val="center"/>
              <w:outlineLvl w:val="2"/>
              <w:rPr>
                <w:noProof/>
                <w:u w:val="single"/>
              </w:rPr>
            </w:pPr>
            <w:r>
              <w:rPr>
                <w:noProof/>
              </w:rPr>
              <w:t>Objectif</w:t>
            </w:r>
          </w:p>
        </w:tc>
        <w:tc>
          <w:tcPr>
            <w:tcW w:w="425" w:type="dxa"/>
            <w:tcBorders>
              <w:top w:val="single" w:sz="4" w:space="0" w:color="auto"/>
              <w:left w:val="single" w:sz="4" w:space="0" w:color="auto"/>
              <w:bottom w:val="single" w:sz="4" w:space="0" w:color="auto"/>
              <w:right w:val="single" w:sz="4" w:space="0" w:color="auto"/>
            </w:tcBorders>
            <w:shd w:val="clear" w:color="auto" w:fill="C6D9F1"/>
            <w:vAlign w:val="center"/>
          </w:tcPr>
          <w:p w14:paraId="4951AAFC" w14:textId="77777777" w:rsidR="006C686E" w:rsidRDefault="00B17E8C">
            <w:pPr>
              <w:pStyle w:val="P68B1DB1-Normal40"/>
              <w:keepNext/>
              <w:spacing w:before="40"/>
              <w:jc w:val="center"/>
              <w:outlineLvl w:val="2"/>
              <w:rPr>
                <w:noProof/>
                <w:u w:val="single"/>
              </w:rPr>
            </w:pPr>
            <w:r>
              <w:rPr>
                <w:noProof/>
              </w:rPr>
              <w:t>Q</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5D196F45" w14:textId="77777777" w:rsidR="006C686E" w:rsidRDefault="00B17E8C">
            <w:pPr>
              <w:pStyle w:val="P68B1DB1-Normal40"/>
              <w:keepNext/>
              <w:spacing w:before="40"/>
              <w:jc w:val="center"/>
              <w:outlineLvl w:val="2"/>
              <w:rPr>
                <w:noProof/>
                <w:u w:val="single"/>
              </w:rPr>
            </w:pPr>
            <w:r>
              <w:rPr>
                <w:noProof/>
              </w:rPr>
              <w:t>Année</w:t>
            </w:r>
          </w:p>
        </w:tc>
        <w:tc>
          <w:tcPr>
            <w:tcW w:w="3226" w:type="dxa"/>
            <w:vMerge/>
            <w:tcBorders>
              <w:top w:val="single" w:sz="4" w:space="0" w:color="auto"/>
              <w:left w:val="single" w:sz="4" w:space="0" w:color="auto"/>
              <w:bottom w:val="single" w:sz="4" w:space="0" w:color="auto"/>
              <w:right w:val="single" w:sz="4" w:space="0" w:color="auto"/>
            </w:tcBorders>
          </w:tcPr>
          <w:p w14:paraId="33CE8F38" w14:textId="77777777" w:rsidR="006C686E" w:rsidRDefault="006C686E">
            <w:pPr>
              <w:keepNext/>
              <w:spacing w:before="40"/>
              <w:jc w:val="both"/>
              <w:outlineLvl w:val="2"/>
              <w:rPr>
                <w:rFonts w:ascii="Times New Roman" w:eastAsia="Calibri" w:hAnsi="Times New Roman" w:cs="Times New Roman"/>
                <w:b/>
                <w:noProof/>
                <w:sz w:val="16"/>
                <w:szCs w:val="16"/>
                <w:u w:val="single"/>
                <w14:ligatures w14:val="none"/>
              </w:rPr>
            </w:pPr>
          </w:p>
        </w:tc>
      </w:tr>
      <w:tr w:rsidR="006C686E" w14:paraId="0CCEC5FD"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7FCDB84" w14:textId="77777777" w:rsidR="006C686E" w:rsidRDefault="00B17E8C">
            <w:pPr>
              <w:pStyle w:val="P68B1DB1-Normal41"/>
              <w:keepNext/>
              <w:spacing w:before="40"/>
              <w:jc w:val="center"/>
              <w:outlineLvl w:val="2"/>
              <w:rPr>
                <w:bCs/>
                <w:noProof/>
                <w:u w:val="single"/>
              </w:rPr>
            </w:pPr>
            <w:r>
              <w:rPr>
                <w:noProof/>
              </w:rPr>
              <w:t>10.1</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3A7E5DC0" w14:textId="77777777" w:rsidR="006C686E" w:rsidRDefault="00B17E8C">
            <w:pPr>
              <w:pStyle w:val="P68B1DB1-Normal42"/>
              <w:keepNext/>
              <w:spacing w:before="40"/>
              <w:jc w:val="center"/>
              <w:outlineLvl w:val="2"/>
              <w:rPr>
                <w:b/>
                <w:noProof/>
                <w:u w:val="single"/>
              </w:rPr>
            </w:pPr>
            <w:r>
              <w:rPr>
                <w:noProof/>
              </w:rPr>
              <w:t>TC-C10-r23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1CDF5FE6" w14:textId="77777777" w:rsidR="006C686E" w:rsidRDefault="00B17E8C">
            <w:pPr>
              <w:pStyle w:val="P68B1DB1-Normal42"/>
              <w:keepNext/>
              <w:spacing w:before="40"/>
              <w:jc w:val="center"/>
              <w:outlineLvl w:val="2"/>
              <w:rPr>
                <w:b/>
                <w:noProof/>
                <w:u w:val="single"/>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406EC988" w14:textId="77777777" w:rsidR="006C686E" w:rsidRDefault="00B17E8C">
            <w:pPr>
              <w:pStyle w:val="P68B1DB1-Normal42"/>
              <w:keepNext/>
              <w:spacing w:before="40"/>
              <w:jc w:val="center"/>
              <w:outlineLvl w:val="2"/>
              <w:rPr>
                <w:b/>
                <w:noProof/>
                <w:u w:val="single"/>
              </w:rPr>
            </w:pPr>
            <w:r>
              <w:rPr>
                <w:noProof/>
              </w:rPr>
              <w:t>Entrée en vigueur de la révision des lois du ministère de la mer relatives au renforcement de la capacité de financement de l’économie et de l’innovation maritimes par l’intermédiaire du Fonds bleu</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5362B1D" w14:textId="77777777" w:rsidR="006C686E" w:rsidRDefault="00B17E8C">
            <w:pPr>
              <w:pStyle w:val="P68B1DB1-Normal42"/>
              <w:keepNext/>
              <w:spacing w:before="40"/>
              <w:jc w:val="center"/>
              <w:outlineLvl w:val="2"/>
              <w:rPr>
                <w:b/>
                <w:noProof/>
                <w:u w:val="single"/>
              </w:rPr>
            </w:pPr>
            <w:r>
              <w:rPr>
                <w:noProof/>
              </w:rPr>
              <w:t>Entrée en vigueur des lois révisées du ministère de la mer relatives au renforcement de la capacité de financement de l’économie et de l’innovation maritimes par l’intermédiaire du Fonds bleu</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A20E707" w14:textId="70C65449" w:rsidR="006C686E" w:rsidRDefault="006C686E">
            <w:pPr>
              <w:keepNext/>
              <w:spacing w:before="40"/>
              <w:jc w:val="center"/>
              <w:outlineLvl w:val="2"/>
              <w:rPr>
                <w:rFonts w:ascii="Times New Roman" w:eastAsia="Calibri" w:hAnsi="Times New Roman" w:cs="Times New Roman"/>
                <w:b/>
                <w:noProof/>
                <w:sz w:val="16"/>
                <w:szCs w:val="16"/>
                <w:u w:val="singl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B4BDC2D" w14:textId="039C5FE5" w:rsidR="006C686E" w:rsidRDefault="006C686E">
            <w:pPr>
              <w:keepNext/>
              <w:spacing w:before="40"/>
              <w:jc w:val="center"/>
              <w:outlineLvl w:val="2"/>
              <w:rPr>
                <w:rFonts w:ascii="Times New Roman" w:eastAsia="Calibri" w:hAnsi="Times New Roman" w:cs="Times New Roman"/>
                <w:b/>
                <w:noProof/>
                <w:sz w:val="16"/>
                <w:szCs w:val="16"/>
                <w:u w:val="single"/>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484A5BA6" w14:textId="211792E9" w:rsidR="006C686E" w:rsidRDefault="006C686E">
            <w:pPr>
              <w:keepNext/>
              <w:spacing w:before="40"/>
              <w:jc w:val="center"/>
              <w:outlineLvl w:val="2"/>
              <w:rPr>
                <w:rFonts w:ascii="Times New Roman" w:eastAsia="Calibri" w:hAnsi="Times New Roman" w:cs="Times New Roman"/>
                <w:b/>
                <w:noProof/>
                <w:sz w:val="16"/>
                <w:szCs w:val="16"/>
                <w:u w:val="single"/>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67AADD13" w14:textId="77777777" w:rsidR="006C686E" w:rsidRDefault="00B17E8C">
            <w:pPr>
              <w:pStyle w:val="P68B1DB1-Normal42"/>
              <w:keepNext/>
              <w:spacing w:before="40"/>
              <w:jc w:val="center"/>
              <w:outlineLvl w:val="2"/>
              <w:rPr>
                <w:b/>
                <w:noProof/>
                <w:u w:val="single"/>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20EFFFB7" w14:textId="77777777" w:rsidR="006C686E" w:rsidRDefault="00B17E8C">
            <w:pPr>
              <w:pStyle w:val="P68B1DB1-Normal42"/>
              <w:keepNext/>
              <w:spacing w:before="40"/>
              <w:jc w:val="center"/>
              <w:outlineLvl w:val="2"/>
              <w:rPr>
                <w:b/>
                <w:noProof/>
                <w:u w:val="single"/>
              </w:rPr>
            </w:pPr>
            <w:r>
              <w:rPr>
                <w:noProof/>
              </w:rPr>
              <w:t>2021</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3231D2D8" w14:textId="77777777" w:rsidR="006C686E" w:rsidRDefault="00B17E8C">
            <w:pPr>
              <w:pStyle w:val="P68B1DB1-Normal42"/>
              <w:keepNext/>
              <w:spacing w:before="40"/>
              <w:jc w:val="both"/>
              <w:rPr>
                <w:rFonts w:eastAsia="Times New Roman"/>
                <w:noProof/>
              </w:rPr>
            </w:pPr>
            <w:r>
              <w:rPr>
                <w:noProof/>
              </w:rPr>
              <w:t xml:space="preserve">Les actes suivants sont révisés: </w:t>
            </w:r>
          </w:p>
          <w:p w14:paraId="3C726742" w14:textId="77777777" w:rsidR="006C686E" w:rsidRDefault="00B17E8C">
            <w:pPr>
              <w:pStyle w:val="P68B1DB1-ListParagraph43"/>
              <w:keepNext/>
              <w:numPr>
                <w:ilvl w:val="0"/>
                <w:numId w:val="45"/>
              </w:numPr>
              <w:spacing w:before="40"/>
              <w:ind w:left="310" w:hanging="310"/>
              <w:jc w:val="both"/>
              <w:rPr>
                <w:rFonts w:eastAsia="Times New Roman"/>
                <w:noProof/>
              </w:rPr>
            </w:pPr>
            <w:r>
              <w:rPr>
                <w:noProof/>
              </w:rPr>
              <w:t xml:space="preserve">décret-loi no 16/2016 du 9 mars; </w:t>
            </w:r>
          </w:p>
          <w:p w14:paraId="0BF03110" w14:textId="77777777" w:rsidR="006C686E" w:rsidRDefault="00B17E8C">
            <w:pPr>
              <w:pStyle w:val="P68B1DB1-ListParagraph43"/>
              <w:keepNext/>
              <w:numPr>
                <w:ilvl w:val="0"/>
                <w:numId w:val="45"/>
              </w:numPr>
              <w:spacing w:before="40"/>
              <w:ind w:left="310" w:hanging="310"/>
              <w:jc w:val="both"/>
              <w:rPr>
                <w:rFonts w:eastAsia="Times New Roman"/>
                <w:noProof/>
              </w:rPr>
            </w:pPr>
            <w:r>
              <w:rPr>
                <w:noProof/>
              </w:rPr>
              <w:t xml:space="preserve">Ordonnance n° 343/2016 du 30 décembre ; </w:t>
            </w:r>
          </w:p>
          <w:p w14:paraId="1896DD60" w14:textId="77777777" w:rsidR="006C686E" w:rsidRDefault="00B17E8C">
            <w:pPr>
              <w:pStyle w:val="P68B1DB1-ListParagraph43"/>
              <w:keepNext/>
              <w:numPr>
                <w:ilvl w:val="0"/>
                <w:numId w:val="45"/>
              </w:numPr>
              <w:spacing w:before="40"/>
              <w:ind w:left="310" w:hanging="310"/>
              <w:jc w:val="both"/>
              <w:rPr>
                <w:rFonts w:eastAsia="Times New Roman"/>
                <w:noProof/>
              </w:rPr>
            </w:pPr>
            <w:r>
              <w:rPr>
                <w:noProof/>
              </w:rPr>
              <w:t xml:space="preserve">Résolution du Conseil des ministres no 175/2017. </w:t>
            </w:r>
          </w:p>
          <w:p w14:paraId="6EB765F1" w14:textId="61EF4B81" w:rsidR="006C686E" w:rsidRDefault="00B17E8C">
            <w:pPr>
              <w:pStyle w:val="P68B1DB1-Normal42"/>
              <w:keepNext/>
              <w:spacing w:before="40"/>
              <w:jc w:val="both"/>
              <w:outlineLvl w:val="2"/>
              <w:rPr>
                <w:b/>
                <w:noProof/>
                <w:u w:val="single"/>
              </w:rPr>
            </w:pPr>
            <w:r>
              <w:rPr>
                <w:noProof/>
              </w:rPr>
              <w:t>La révision de ces actes consiste en une mise à jour de la stratégie du réseau de pôles technologiques portuaires élargissant son champ d’application à la décarbonation de l’économie maritime; la révision et l’adaptation du mode biologique et opérationnel du Fonds bleu afin de l’adapter à la gestion des investissements dans le volet; création du modèle de gouvernance du pôle.</w:t>
            </w:r>
          </w:p>
        </w:tc>
      </w:tr>
      <w:tr w:rsidR="006C686E" w14:paraId="10955342"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38E4310" w14:textId="77777777" w:rsidR="006C686E" w:rsidRDefault="00B17E8C">
            <w:pPr>
              <w:pStyle w:val="P68B1DB1-Normal41"/>
              <w:keepNext/>
              <w:spacing w:before="40"/>
              <w:jc w:val="center"/>
              <w:outlineLvl w:val="2"/>
              <w:rPr>
                <w:bCs/>
                <w:noProof/>
                <w:u w:val="single"/>
              </w:rPr>
            </w:pPr>
            <w:r>
              <w:rPr>
                <w:noProof/>
              </w:rPr>
              <w:t>10.3</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33AFB9F2" w14:textId="77777777" w:rsidR="006C686E" w:rsidRDefault="00B17E8C">
            <w:pPr>
              <w:pStyle w:val="P68B1DB1-Normal42"/>
              <w:keepNext/>
              <w:spacing w:before="40"/>
              <w:jc w:val="center"/>
              <w:outlineLvl w:val="2"/>
              <w:rPr>
                <w:b/>
                <w:noProof/>
                <w:u w:val="single"/>
              </w:rPr>
            </w:pPr>
            <w:r>
              <w:rPr>
                <w:noProof/>
              </w:rPr>
              <w:t>TC-C10-i01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77D3993" w14:textId="77777777" w:rsidR="006C686E" w:rsidRDefault="00B17E8C">
            <w:pPr>
              <w:pStyle w:val="P68B1DB1-Normal42"/>
              <w:keepNext/>
              <w:spacing w:before="40"/>
              <w:jc w:val="center"/>
              <w:outlineLvl w:val="2"/>
              <w:rPr>
                <w:b/>
                <w:bCs/>
                <w:noProof/>
                <w:u w:val="single"/>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1A16B33E" w14:textId="3E1F7654" w:rsidR="006C686E" w:rsidRDefault="00B17E8C">
            <w:pPr>
              <w:pStyle w:val="P68B1DB1-Normal13"/>
              <w:keepNext/>
              <w:spacing w:before="40"/>
              <w:jc w:val="center"/>
              <w:outlineLvl w:val="2"/>
              <w:rPr>
                <w:b/>
                <w:bCs/>
                <w:noProof/>
                <w:u w:val="single"/>
                <w14:ligatures w14:val="none"/>
              </w:rPr>
            </w:pPr>
            <w:r>
              <w:rPr>
                <w:noProof/>
                <w14:ligatures w14:val="none"/>
              </w:rPr>
              <w:t>Pôles Blue Hub et</w:t>
            </w:r>
            <w:r>
              <w:rPr>
                <w:noProof/>
              </w:rPr>
              <w:t xml:space="preserve"> écoles Blue Hub</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3E7084B" w14:textId="77777777" w:rsidR="006C686E" w:rsidRDefault="00B17E8C">
            <w:pPr>
              <w:pStyle w:val="P68B1DB1-Normal13"/>
              <w:keepNext/>
              <w:spacing w:before="40"/>
              <w:jc w:val="center"/>
              <w:outlineLvl w:val="2"/>
              <w:rPr>
                <w:b/>
                <w:bCs/>
                <w:noProof/>
                <w:u w:val="single"/>
                <w14:ligatures w14:val="none"/>
              </w:rPr>
            </w:pPr>
            <w:r>
              <w:rPr>
                <w:noProof/>
              </w:rPr>
              <w:t>Pôles Blue Hub &amp; École Blue Hub</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01361CFC" w14:textId="206BA965" w:rsidR="006C686E" w:rsidRDefault="006C686E">
            <w:pPr>
              <w:keepNext/>
              <w:spacing w:before="40"/>
              <w:jc w:val="center"/>
              <w:outlineLvl w:val="2"/>
              <w:rPr>
                <w:rFonts w:ascii="Times New Roman" w:eastAsia="Calibri" w:hAnsi="Times New Roman" w:cs="Times New Roman"/>
                <w:b/>
                <w:bCs/>
                <w:noProof/>
                <w:sz w:val="16"/>
                <w:szCs w:val="16"/>
                <w:u w:val="singl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402AD37" w14:textId="77777777" w:rsidR="006C686E" w:rsidRDefault="006C686E">
            <w:pPr>
              <w:keepNext/>
              <w:spacing w:before="40"/>
              <w:jc w:val="center"/>
              <w:outlineLvl w:val="2"/>
              <w:rPr>
                <w:rFonts w:ascii="Times New Roman" w:eastAsia="Calibri" w:hAnsi="Times New Roman" w:cs="Times New Roman"/>
                <w:b/>
                <w:bCs/>
                <w:noProof/>
                <w:sz w:val="16"/>
                <w:szCs w:val="16"/>
                <w:u w:val="single"/>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45BBDD44" w14:textId="77777777" w:rsidR="006C686E" w:rsidRDefault="006C686E">
            <w:pPr>
              <w:keepNext/>
              <w:spacing w:before="40"/>
              <w:jc w:val="center"/>
              <w:outlineLvl w:val="2"/>
              <w:rPr>
                <w:rFonts w:ascii="Times New Roman" w:eastAsia="Calibri" w:hAnsi="Times New Roman" w:cs="Times New Roman"/>
                <w:b/>
                <w:bCs/>
                <w:noProof/>
                <w:sz w:val="16"/>
                <w:szCs w:val="16"/>
                <w:u w:val="single"/>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53244737" w14:textId="77777777" w:rsidR="006C686E" w:rsidRDefault="00B17E8C">
            <w:pPr>
              <w:pStyle w:val="P68B1DB1-Normal42"/>
              <w:keepNext/>
              <w:spacing w:before="40"/>
              <w:jc w:val="center"/>
              <w:outlineLvl w:val="2"/>
              <w:rPr>
                <w:b/>
                <w:noProof/>
                <w:u w:val="single"/>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31CCF27B" w14:textId="77777777" w:rsidR="006C686E" w:rsidRDefault="00B17E8C">
            <w:pPr>
              <w:pStyle w:val="P68B1DB1-Normal42"/>
              <w:keepNext/>
              <w:spacing w:before="40"/>
              <w:jc w:val="center"/>
              <w:outlineLvl w:val="2"/>
              <w:rPr>
                <w:b/>
                <w:noProof/>
                <w:u w:val="single"/>
              </w:rPr>
            </w:pPr>
            <w:r>
              <w:rPr>
                <w:noProof/>
              </w:rPr>
              <w:t>2026</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14ED8CD8" w14:textId="7F5907A9" w:rsidR="006C686E" w:rsidRDefault="00B17E8C">
            <w:pPr>
              <w:pStyle w:val="P68B1DB1-Normal13"/>
              <w:keepNext/>
              <w:spacing w:before="40"/>
              <w:jc w:val="both"/>
              <w:rPr>
                <w:noProof/>
              </w:rPr>
            </w:pPr>
            <w:r>
              <w:rPr>
                <w:noProof/>
              </w:rPr>
              <w:t xml:space="preserve">Construction du Smart Ocean Peniche Hub, Leixões I et du hub de l'Algarve. Rénovation du hub d'Aveiro. </w:t>
            </w:r>
          </w:p>
          <w:p w14:paraId="6CD5BB84" w14:textId="580B4FA1" w:rsidR="006C686E" w:rsidRDefault="00B17E8C">
            <w:pPr>
              <w:pStyle w:val="P68B1DB1-Normal13"/>
              <w:keepNext/>
              <w:spacing w:before="40"/>
              <w:jc w:val="both"/>
              <w:rPr>
                <w:noProof/>
              </w:rPr>
            </w:pPr>
            <w:r>
              <w:rPr>
                <w:noProof/>
              </w:rPr>
              <w:t>Achat d’équipements pour un montant total de 23 530 580 EUR pour les pôles suivants:</w:t>
            </w:r>
          </w:p>
          <w:p w14:paraId="2A967CB8" w14:textId="77777777" w:rsidR="006C686E" w:rsidRDefault="00B17E8C">
            <w:pPr>
              <w:pStyle w:val="P68B1DB1-ListParagraph44"/>
              <w:keepNext/>
              <w:numPr>
                <w:ilvl w:val="0"/>
                <w:numId w:val="80"/>
              </w:numPr>
              <w:spacing w:before="40"/>
              <w:ind w:left="390"/>
              <w:jc w:val="both"/>
              <w:rPr>
                <w:noProof/>
              </w:rPr>
            </w:pPr>
            <w:r>
              <w:rPr>
                <w:noProof/>
              </w:rPr>
              <w:t>Escola Superior Náutica Infante D. Henrique (ENIDH)</w:t>
            </w:r>
          </w:p>
          <w:p w14:paraId="6A3B5F0E" w14:textId="3C965401" w:rsidR="006C686E" w:rsidRDefault="00B17E8C">
            <w:pPr>
              <w:pStyle w:val="P68B1DB1-ListParagraph44"/>
              <w:keepNext/>
              <w:numPr>
                <w:ilvl w:val="0"/>
                <w:numId w:val="80"/>
              </w:numPr>
              <w:spacing w:before="40"/>
              <w:ind w:left="390"/>
              <w:jc w:val="both"/>
              <w:rPr>
                <w:noProof/>
              </w:rPr>
            </w:pPr>
            <w:r>
              <w:rPr>
                <w:noProof/>
              </w:rPr>
              <w:t>Centro de Formação Profissional das Pescas e do Mar (Pour-MAR)</w:t>
            </w:r>
          </w:p>
          <w:p w14:paraId="02BA8F7B" w14:textId="0D5EE2C4" w:rsidR="006C686E" w:rsidRDefault="00B17E8C">
            <w:pPr>
              <w:pStyle w:val="P68B1DB1-ListParagraph44"/>
              <w:keepNext/>
              <w:numPr>
                <w:ilvl w:val="0"/>
                <w:numId w:val="80"/>
              </w:numPr>
              <w:spacing w:before="40"/>
              <w:ind w:left="390"/>
              <w:jc w:val="both"/>
              <w:rPr>
                <w:noProof/>
              </w:rPr>
            </w:pPr>
            <w:r>
              <w:rPr>
                <w:noProof/>
              </w:rPr>
              <w:t xml:space="preserve">Pôle IPMA/Sea Oeiras </w:t>
            </w:r>
          </w:p>
          <w:p w14:paraId="4A1F0AAB" w14:textId="77777777" w:rsidR="006C686E" w:rsidRDefault="00B17E8C">
            <w:pPr>
              <w:pStyle w:val="P68B1DB1-ListParagraph44"/>
              <w:keepNext/>
              <w:numPr>
                <w:ilvl w:val="0"/>
                <w:numId w:val="80"/>
              </w:numPr>
              <w:spacing w:before="40"/>
              <w:ind w:left="390"/>
              <w:jc w:val="both"/>
              <w:rPr>
                <w:noProof/>
              </w:rPr>
            </w:pPr>
            <w:r>
              <w:rPr>
                <w:noProof/>
              </w:rPr>
              <w:t>Hub d'Aveiro</w:t>
            </w:r>
          </w:p>
          <w:p w14:paraId="23E929AD" w14:textId="77777777" w:rsidR="006C686E" w:rsidRDefault="00B17E8C">
            <w:pPr>
              <w:pStyle w:val="P68B1DB1-ListParagraph44"/>
              <w:keepNext/>
              <w:numPr>
                <w:ilvl w:val="0"/>
                <w:numId w:val="80"/>
              </w:numPr>
              <w:spacing w:before="40"/>
              <w:ind w:left="390"/>
              <w:jc w:val="both"/>
              <w:rPr>
                <w:noProof/>
              </w:rPr>
            </w:pPr>
            <w:r>
              <w:rPr>
                <w:noProof/>
              </w:rPr>
              <w:t>Leixões Ier</w:t>
            </w:r>
          </w:p>
          <w:p w14:paraId="42F09D60" w14:textId="77777777" w:rsidR="006C686E" w:rsidRDefault="00B17E8C">
            <w:pPr>
              <w:pStyle w:val="P68B1DB1-ListParagraph44"/>
              <w:keepNext/>
              <w:numPr>
                <w:ilvl w:val="0"/>
                <w:numId w:val="80"/>
              </w:numPr>
              <w:spacing w:before="40"/>
              <w:ind w:left="390"/>
              <w:jc w:val="both"/>
              <w:rPr>
                <w:noProof/>
              </w:rPr>
            </w:pPr>
            <w:r>
              <w:rPr>
                <w:noProof/>
              </w:rPr>
              <w:t>Porto Hub</w:t>
            </w:r>
          </w:p>
          <w:p w14:paraId="23D24950" w14:textId="77777777" w:rsidR="006C686E" w:rsidRDefault="00B17E8C">
            <w:pPr>
              <w:pStyle w:val="P68B1DB1-ListParagraph44"/>
              <w:keepNext/>
              <w:numPr>
                <w:ilvl w:val="0"/>
                <w:numId w:val="80"/>
              </w:numPr>
              <w:spacing w:before="40"/>
              <w:ind w:left="390"/>
              <w:jc w:val="both"/>
              <w:rPr>
                <w:noProof/>
              </w:rPr>
            </w:pPr>
            <w:r>
              <w:rPr>
                <w:noProof/>
              </w:rPr>
              <w:t>Leixões II</w:t>
            </w:r>
          </w:p>
          <w:p w14:paraId="555348F2" w14:textId="77777777" w:rsidR="006C686E" w:rsidRDefault="00B17E8C">
            <w:pPr>
              <w:pStyle w:val="P68B1DB1-ListParagraph44"/>
              <w:keepNext/>
              <w:numPr>
                <w:ilvl w:val="0"/>
                <w:numId w:val="80"/>
              </w:numPr>
              <w:spacing w:before="40"/>
              <w:ind w:left="390"/>
              <w:jc w:val="both"/>
              <w:rPr>
                <w:noProof/>
              </w:rPr>
            </w:pPr>
            <w:r>
              <w:rPr>
                <w:noProof/>
              </w:rPr>
              <w:t>Hub de l'Algarve</w:t>
            </w:r>
          </w:p>
          <w:p w14:paraId="0ACDB494" w14:textId="39A15368" w:rsidR="006C686E" w:rsidRDefault="00B17E8C">
            <w:pPr>
              <w:pStyle w:val="P68B1DB1-ListParagraph44"/>
              <w:keepNext/>
              <w:numPr>
                <w:ilvl w:val="0"/>
                <w:numId w:val="80"/>
              </w:numPr>
              <w:spacing w:before="40"/>
              <w:ind w:left="390"/>
              <w:jc w:val="both"/>
              <w:rPr>
                <w:noProof/>
              </w:rPr>
            </w:pPr>
            <w:r>
              <w:rPr>
                <w:noProof/>
              </w:rPr>
              <w:t>Smart Ocean Peniche Hub</w:t>
            </w:r>
          </w:p>
        </w:tc>
      </w:tr>
      <w:tr w:rsidR="006C686E" w14:paraId="6DEC15F0"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4BA7B503" w14:textId="77777777" w:rsidR="006C686E" w:rsidRDefault="00B17E8C">
            <w:pPr>
              <w:pStyle w:val="P68B1DB1-Normal41"/>
              <w:keepNext/>
              <w:spacing w:before="40"/>
              <w:jc w:val="center"/>
              <w:outlineLvl w:val="2"/>
              <w:rPr>
                <w:bCs/>
                <w:noProof/>
                <w:u w:val="single"/>
              </w:rPr>
            </w:pPr>
            <w:r>
              <w:rPr>
                <w:noProof/>
              </w:rPr>
              <w:t>10.4</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7BD80A1B" w14:textId="77777777" w:rsidR="006C686E" w:rsidRDefault="00B17E8C">
            <w:pPr>
              <w:pStyle w:val="P68B1DB1-Normal42"/>
              <w:keepNext/>
              <w:spacing w:before="40"/>
              <w:jc w:val="center"/>
              <w:outlineLvl w:val="2"/>
              <w:rPr>
                <w:b/>
                <w:noProof/>
                <w:u w:val="single"/>
              </w:rPr>
            </w:pPr>
            <w:r>
              <w:rPr>
                <w:noProof/>
              </w:rPr>
              <w:t>TC-C10-i02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2A089BBB" w14:textId="77777777" w:rsidR="006C686E" w:rsidRDefault="00B17E8C">
            <w:pPr>
              <w:pStyle w:val="P68B1DB1-Normal42"/>
              <w:keepNext/>
              <w:spacing w:before="40"/>
              <w:jc w:val="center"/>
              <w:outlineLvl w:val="2"/>
              <w:rPr>
                <w:b/>
                <w:noProof/>
                <w:u w:val="single"/>
              </w:rPr>
            </w:pPr>
            <w:r>
              <w:rPr>
                <w:noProof/>
              </w:rPr>
              <w:t>T</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274B1A65" w14:textId="080707C8" w:rsidR="006C686E" w:rsidRDefault="00B17E8C">
            <w:pPr>
              <w:pStyle w:val="P68B1DB1-Normal42"/>
              <w:keepNext/>
              <w:spacing w:before="40"/>
              <w:jc w:val="center"/>
              <w:outlineLvl w:val="2"/>
              <w:rPr>
                <w:b/>
                <w:noProof/>
                <w:u w:val="single"/>
              </w:rPr>
            </w:pPr>
            <w:r>
              <w:rPr>
                <w:noProof/>
              </w:rPr>
              <w:t>Approbation des rapports finaux</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74056C8" w14:textId="05E6A3BC" w:rsidR="006C686E" w:rsidRDefault="006C686E">
            <w:pPr>
              <w:keepNext/>
              <w:spacing w:before="40"/>
              <w:jc w:val="center"/>
              <w:outlineLvl w:val="2"/>
              <w:rPr>
                <w:rFonts w:ascii="Times New Roman" w:eastAsia="Calibri" w:hAnsi="Times New Roman" w:cs="Times New Roman"/>
                <w:b/>
                <w:noProof/>
                <w:sz w:val="16"/>
                <w:szCs w:val="16"/>
                <w:u w:val="single"/>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4A4DF213" w14:textId="5D4E5CBC" w:rsidR="006C686E" w:rsidRDefault="00B17E8C">
            <w:pPr>
              <w:pStyle w:val="P68B1DB1-Normal42"/>
              <w:keepNext/>
              <w:spacing w:before="40"/>
              <w:jc w:val="center"/>
              <w:outlineLvl w:val="2"/>
              <w:rPr>
                <w:b/>
                <w:noProof/>
                <w:u w:val="single"/>
              </w:rPr>
            </w:pPr>
            <w:r>
              <w:rPr>
                <w:noProof/>
              </w:rPr>
              <w:t>Numéro</w:t>
            </w: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B4C9E51" w14:textId="77777777" w:rsidR="006C686E" w:rsidRDefault="00B17E8C">
            <w:pPr>
              <w:pStyle w:val="P68B1DB1-Normal42"/>
              <w:keepNext/>
              <w:spacing w:before="40"/>
              <w:jc w:val="center"/>
              <w:outlineLvl w:val="2"/>
              <w:rPr>
                <w:b/>
                <w:noProof/>
                <w:u w:val="single"/>
              </w:rPr>
            </w:pPr>
            <w:r>
              <w:rPr>
                <w:noProof/>
              </w:rPr>
              <w:t>0</w:t>
            </w: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356253FB" w14:textId="067C0603" w:rsidR="006C686E" w:rsidRDefault="00B17E8C">
            <w:pPr>
              <w:pStyle w:val="P68B1DB1-Normal42"/>
              <w:keepNext/>
              <w:spacing w:before="40"/>
              <w:jc w:val="center"/>
              <w:outlineLvl w:val="2"/>
              <w:rPr>
                <w:b/>
                <w:noProof/>
                <w:u w:val="single"/>
              </w:rPr>
            </w:pPr>
            <w:r>
              <w:rPr>
                <w:noProof/>
              </w:rPr>
              <w:t>73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183C93C3" w14:textId="5EFF431B" w:rsidR="006C686E" w:rsidRDefault="00B17E8C">
            <w:pPr>
              <w:pStyle w:val="P68B1DB1-Normal42"/>
              <w:keepNext/>
              <w:spacing w:before="40"/>
              <w:jc w:val="center"/>
              <w:outlineLvl w:val="2"/>
              <w:rPr>
                <w:b/>
                <w:noProof/>
                <w:u w:val="single"/>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66FD4F91" w14:textId="01BE4E7C" w:rsidR="006C686E" w:rsidRDefault="00B17E8C">
            <w:pPr>
              <w:pStyle w:val="P68B1DB1-Normal42"/>
              <w:keepNext/>
              <w:spacing w:before="40"/>
              <w:jc w:val="center"/>
              <w:outlineLvl w:val="2"/>
              <w:rPr>
                <w:b/>
                <w:noProof/>
                <w:u w:val="single"/>
              </w:rPr>
            </w:pPr>
            <w:r>
              <w:rPr>
                <w:noProof/>
              </w:rPr>
              <w:t>2026</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1EE26291" w14:textId="27F47272" w:rsidR="006C686E" w:rsidRDefault="00B17E8C">
            <w:pPr>
              <w:pStyle w:val="P68B1DB1-Normal13"/>
              <w:keepNext/>
              <w:spacing w:before="40"/>
              <w:jc w:val="both"/>
              <w:outlineLvl w:val="2"/>
              <w:rPr>
                <w:b/>
                <w:bCs/>
                <w:noProof/>
                <w:u w:val="single"/>
                <w14:ligatures w14:val="none"/>
              </w:rPr>
            </w:pPr>
            <w:r>
              <w:rPr>
                <w:noProof/>
                <w14:ligatures w14:val="none"/>
              </w:rPr>
              <w:t>Approbation</w:t>
            </w:r>
            <w:r>
              <w:rPr>
                <w:noProof/>
              </w:rPr>
              <w:t xml:space="preserve"> par les autorités</w:t>
            </w:r>
            <w:r>
              <w:rPr>
                <w:noProof/>
                <w14:ligatures w14:val="none"/>
              </w:rPr>
              <w:t xml:space="preserve"> des rapports finaux</w:t>
            </w:r>
            <w:r>
              <w:rPr>
                <w:noProof/>
              </w:rPr>
              <w:t xml:space="preserve"> pour 73</w:t>
            </w:r>
            <w:r>
              <w:rPr>
                <w:noProof/>
                <w14:ligatures w14:val="none"/>
              </w:rPr>
              <w:t xml:space="preserve"> projets dans </w:t>
            </w:r>
            <w:r>
              <w:rPr>
                <w:noProof/>
              </w:rPr>
              <w:t>le secteur de la pêche dans les domaines de l’efficacité énergétique, de la sécurité des navires ou de la numérisation.</w:t>
            </w:r>
          </w:p>
        </w:tc>
      </w:tr>
      <w:tr w:rsidR="006C686E" w14:paraId="5F387518"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0AF2DA5" w14:textId="1050AA9F" w:rsidR="006C686E" w:rsidRDefault="00B17E8C">
            <w:pPr>
              <w:pStyle w:val="P68B1DB1-Normal41"/>
              <w:keepNext/>
              <w:spacing w:before="40"/>
              <w:jc w:val="center"/>
              <w:outlineLvl w:val="2"/>
              <w:rPr>
                <w:bCs/>
                <w:noProof/>
              </w:rPr>
            </w:pPr>
            <w:r>
              <w:rPr>
                <w:noProof/>
              </w:rPr>
              <w:t>10.5</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B77129F" w14:textId="01AE492B" w:rsidR="006C686E" w:rsidRDefault="00B17E8C">
            <w:pPr>
              <w:pStyle w:val="P68B1DB1-Normal42"/>
              <w:keepNext/>
              <w:spacing w:before="40"/>
              <w:jc w:val="center"/>
              <w:outlineLvl w:val="2"/>
              <w:rPr>
                <w:noProof/>
              </w:rPr>
            </w:pPr>
            <w:r>
              <w:rPr>
                <w:noProof/>
              </w:rPr>
              <w:t>TC-C10-i03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2122504" w14:textId="16399AF7"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3D2300B1" w14:textId="3AFAACE1" w:rsidR="006C686E" w:rsidRDefault="00B17E8C">
            <w:pPr>
              <w:pStyle w:val="P68B1DB1-Normal42"/>
              <w:keepNext/>
              <w:spacing w:before="40"/>
              <w:jc w:val="center"/>
              <w:outlineLvl w:val="2"/>
              <w:rPr>
                <w:noProof/>
              </w:rPr>
            </w:pPr>
            <w:r>
              <w:rPr>
                <w:noProof/>
              </w:rPr>
              <w:t>Signature du contrat pour la « Plate-forme navale multifonctionnelle » et le « Centre des opérations »</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2DE520F" w14:textId="3DC71898" w:rsidR="006C686E" w:rsidRDefault="00B17E8C">
            <w:pPr>
              <w:pStyle w:val="P68B1DB1-Normal42"/>
              <w:keepNext/>
              <w:spacing w:before="40"/>
              <w:jc w:val="center"/>
              <w:outlineLvl w:val="2"/>
              <w:rPr>
                <w:noProof/>
              </w:rPr>
            </w:pPr>
            <w:r>
              <w:rPr>
                <w:noProof/>
              </w:rPr>
              <w:t>Signature du contrat pour la « Plate-forme navale multifonctionnelle » et le « Centre des opérations »</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25FEAF11" w14:textId="2248785B"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68ED9B3" w14:textId="513E0FA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21426D30" w14:textId="54EB564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C639705" w14:textId="51289BC5" w:rsidR="006C686E" w:rsidRDefault="00B17E8C">
            <w:pPr>
              <w:pStyle w:val="P68B1DB1-Normal42"/>
              <w:keepNext/>
              <w:spacing w:before="40"/>
              <w:jc w:val="center"/>
              <w:outlineLvl w:val="2"/>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63A5405B" w14:textId="1DECA245" w:rsidR="006C686E" w:rsidRDefault="00B17E8C">
            <w:pPr>
              <w:pStyle w:val="P68B1DB1-Normal42"/>
              <w:keepNext/>
              <w:spacing w:before="40"/>
              <w:jc w:val="center"/>
              <w:outlineLvl w:val="2"/>
              <w:rPr>
                <w:noProof/>
              </w:rPr>
            </w:pPr>
            <w:r>
              <w:rPr>
                <w:noProof/>
              </w:rPr>
              <w:t>2023</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1A19F268" w14:textId="77777777" w:rsidR="006C686E" w:rsidRDefault="00B17E8C">
            <w:pPr>
              <w:pStyle w:val="P68B1DB1-Normal13"/>
              <w:keepNext/>
              <w:spacing w:before="40"/>
              <w:jc w:val="both"/>
              <w:rPr>
                <w:rFonts w:eastAsia="Times New Roman"/>
                <w:noProof/>
                <w14:ligatures w14:val="none"/>
              </w:rPr>
            </w:pPr>
            <w:r>
              <w:rPr>
                <w:noProof/>
              </w:rPr>
              <w:t xml:space="preserve">Signature du contrat de construction à la suite du lancement du ou des appels d’offres publics — Piliers I et II: </w:t>
            </w:r>
          </w:p>
          <w:p w14:paraId="7075423D" w14:textId="77777777" w:rsidR="006C686E" w:rsidRDefault="00B17E8C">
            <w:pPr>
              <w:pStyle w:val="P68B1DB1-Normal13"/>
              <w:keepNext/>
              <w:spacing w:before="40"/>
              <w:jc w:val="both"/>
              <w:rPr>
                <w:rFonts w:eastAsia="Times New Roman"/>
                <w:noProof/>
                <w14:ligatures w14:val="none"/>
              </w:rPr>
            </w:pPr>
            <w:r>
              <w:rPr>
                <w:noProof/>
              </w:rPr>
              <w:t xml:space="preserve">Pilier I — Plateforme navale multifonctionnelle, </w:t>
            </w:r>
          </w:p>
          <w:p w14:paraId="5D7B22C8" w14:textId="77777777" w:rsidR="006C686E" w:rsidRDefault="00B17E8C">
            <w:pPr>
              <w:pStyle w:val="P68B1DB1-Normal13"/>
              <w:keepNext/>
              <w:spacing w:before="40"/>
              <w:jc w:val="both"/>
              <w:rPr>
                <w:rFonts w:eastAsia="Times New Roman"/>
                <w:noProof/>
                <w14:ligatures w14:val="none"/>
              </w:rPr>
            </w:pPr>
            <w:r>
              <w:rPr>
                <w:noProof/>
              </w:rPr>
              <w:t>Il comprend la construction d'une plate-forme navale multifonctionnelle d'environ 100 mètres avec positionnement automatique de niveau dynamique, système intégré de gestion de plate-forme, pont de commandement et centre d'opérations, système de positionnement acoustique sous-marin, baie pour le lancement de sous-marins et / ou le débarquement de systèmes autonomes, grues, héliport, entre autres),</w:t>
            </w:r>
          </w:p>
          <w:p w14:paraId="57F23FFA" w14:textId="77777777" w:rsidR="006C686E" w:rsidRDefault="00B17E8C">
            <w:pPr>
              <w:pStyle w:val="P68B1DB1-Normal13"/>
              <w:keepNext/>
              <w:spacing w:before="40"/>
              <w:jc w:val="both"/>
              <w:rPr>
                <w:rFonts w:eastAsia="Times New Roman"/>
                <w:noProof/>
                <w14:ligatures w14:val="none"/>
              </w:rPr>
            </w:pPr>
            <w:r>
              <w:rPr>
                <w:noProof/>
              </w:rPr>
              <w:t>Comprend également la capacité de faire fonctionner des véhicules jusqu’à 6 000 mètres de profondeur, le stationnement de véhicules de surface autonomes et des moyens navals supplémentaires (y compris des véhicules de surface océaniques autonomes, des véhicules sous-marins autonomes, des véhicules aériens autonomes, des drones).</w:t>
            </w:r>
          </w:p>
          <w:p w14:paraId="038D3430" w14:textId="77777777" w:rsidR="006C686E" w:rsidRDefault="00B17E8C">
            <w:pPr>
              <w:pStyle w:val="P68B1DB1-Normal13"/>
              <w:keepNext/>
              <w:spacing w:before="40"/>
              <w:jc w:val="both"/>
              <w:rPr>
                <w:rFonts w:eastAsia="Times New Roman"/>
                <w:noProof/>
                <w14:ligatures w14:val="none"/>
              </w:rPr>
            </w:pPr>
            <w:r>
              <w:rPr>
                <w:noProof/>
              </w:rPr>
              <w:t>Pilier II — Centre des opérations</w:t>
            </w:r>
          </w:p>
          <w:p w14:paraId="55A2BCF9" w14:textId="5B17CB29" w:rsidR="006C686E" w:rsidRDefault="00B17E8C">
            <w:pPr>
              <w:pStyle w:val="P68B1DB1-Normal39"/>
              <w:keepNext/>
              <w:spacing w:before="40"/>
              <w:jc w:val="both"/>
              <w:outlineLvl w:val="2"/>
              <w:rPr>
                <w:rFonts w:eastAsia="Calibri"/>
                <w:noProof/>
                <w14:ligatures w14:val="none"/>
              </w:rPr>
            </w:pPr>
            <w:r>
              <w:rPr>
                <w:noProof/>
              </w:rPr>
              <w:t>Il comprend la rénovation des bâtiments et des structures existants, des installations pour les systèmes informatiques et de communication pour le centre d'opérations et le réseau de laboratoires, des systèmes de calcul et de stockage d'informations à haute performance, des systèmes de communication (y compris les systèmes VSAT (Very-Small Aperture Terminal) Televison Receive Only (TVRO) et des systèmes d'interopérabilité avec d'autres systèmes navals, le développement de logiciels et des systèmes immersifs.</w:t>
            </w:r>
          </w:p>
        </w:tc>
      </w:tr>
      <w:tr w:rsidR="006C686E" w14:paraId="7FA728ED"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2EBB5D7A" w14:textId="3AD9C6CD" w:rsidR="006C686E" w:rsidRDefault="00B17E8C">
            <w:pPr>
              <w:pStyle w:val="P68B1DB1-Normal41"/>
              <w:keepNext/>
              <w:spacing w:before="40"/>
              <w:jc w:val="center"/>
              <w:outlineLvl w:val="2"/>
              <w:rPr>
                <w:bCs/>
                <w:noProof/>
              </w:rPr>
            </w:pPr>
            <w:r>
              <w:rPr>
                <w:noProof/>
              </w:rPr>
              <w:t>10.6</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64FDD714" w14:textId="4FAC7752" w:rsidR="006C686E" w:rsidRDefault="00B17E8C">
            <w:pPr>
              <w:pStyle w:val="P68B1DB1-Normal42"/>
              <w:keepNext/>
              <w:spacing w:before="40"/>
              <w:jc w:val="center"/>
              <w:outlineLvl w:val="2"/>
              <w:rPr>
                <w:noProof/>
              </w:rPr>
            </w:pPr>
            <w:r>
              <w:rPr>
                <w:noProof/>
              </w:rPr>
              <w:t>TC-C10-i03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930F839" w14:textId="266A5E41"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66AF9A5E" w14:textId="59AEB8CE" w:rsidR="006C686E" w:rsidRDefault="00B17E8C">
            <w:pPr>
              <w:pStyle w:val="P68B1DB1-Normal42"/>
              <w:keepNext/>
              <w:spacing w:before="40"/>
              <w:jc w:val="center"/>
              <w:outlineLvl w:val="2"/>
              <w:rPr>
                <w:noProof/>
              </w:rPr>
            </w:pPr>
            <w:r>
              <w:rPr>
                <w:noProof/>
              </w:rPr>
              <w:t>Finalisation de l'Académie Alfeite Arsenal</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9C1E522" w14:textId="7C241379" w:rsidR="006C686E" w:rsidRDefault="00B17E8C">
            <w:pPr>
              <w:pStyle w:val="P68B1DB1-Normal42"/>
              <w:keepNext/>
              <w:spacing w:before="40"/>
              <w:jc w:val="center"/>
              <w:outlineLvl w:val="2"/>
              <w:rPr>
                <w:noProof/>
              </w:rPr>
            </w:pPr>
            <w:r>
              <w:rPr>
                <w:noProof/>
              </w:rPr>
              <w:t>Finalisation de l'Académie Alfeite Arsenal</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1E803327" w14:textId="6359CF1D"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73724ED" w14:textId="076B65E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5990760E" w14:textId="3E3104A4"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160DEEC0" w14:textId="67565532" w:rsidR="006C686E" w:rsidRDefault="00B17E8C">
            <w:pPr>
              <w:pStyle w:val="P68B1DB1-Normal42"/>
              <w:keepNext/>
              <w:spacing w:before="40"/>
              <w:jc w:val="center"/>
              <w:outlineLvl w:val="2"/>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2F8CF24D" w14:textId="760F3EFF" w:rsidR="006C686E" w:rsidRDefault="00B17E8C">
            <w:pPr>
              <w:pStyle w:val="P68B1DB1-Normal42"/>
              <w:keepNext/>
              <w:spacing w:before="40"/>
              <w:jc w:val="center"/>
              <w:outlineLvl w:val="2"/>
              <w:rPr>
                <w:noProof/>
              </w:rPr>
            </w:pPr>
            <w:r>
              <w:rPr>
                <w:noProof/>
              </w:rPr>
              <w:t>2023</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41F0A2B0" w14:textId="77777777" w:rsidR="006C686E" w:rsidRDefault="00B17E8C">
            <w:pPr>
              <w:pStyle w:val="P68B1DB1-Normal13"/>
              <w:keepNext/>
              <w:spacing w:before="40"/>
              <w:jc w:val="both"/>
              <w:rPr>
                <w:rFonts w:eastAsia="Times New Roman"/>
                <w:noProof/>
                <w14:ligatures w14:val="none"/>
              </w:rPr>
            </w:pPr>
            <w:r>
              <w:rPr>
                <w:noProof/>
              </w:rPr>
              <w:t>L'infrastructure de l'école de l'Académie Alfeite Arsenal est modernisée et l'école est autorisée à dispenser des formations.</w:t>
            </w:r>
          </w:p>
          <w:p w14:paraId="4D383070" w14:textId="002AC310" w:rsidR="006C686E" w:rsidRDefault="00B17E8C">
            <w:pPr>
              <w:pStyle w:val="P68B1DB1-Normal39"/>
              <w:keepNext/>
              <w:spacing w:before="40"/>
              <w:jc w:val="both"/>
              <w:outlineLvl w:val="2"/>
              <w:rPr>
                <w:rFonts w:eastAsia="Calibri"/>
                <w:noProof/>
                <w14:ligatures w14:val="none"/>
              </w:rPr>
            </w:pPr>
            <w:r>
              <w:rPr>
                <w:noProof/>
              </w:rPr>
              <w:t>L'investissement comprend également le diagnostic des besoins de formation, le développement de cours de formation et la fourniture de premiers cours de formation.</w:t>
            </w:r>
          </w:p>
        </w:tc>
      </w:tr>
      <w:tr w:rsidR="006C686E" w14:paraId="2F47809C"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6A9CEE77" w14:textId="18B3F096" w:rsidR="006C686E" w:rsidRDefault="00B17E8C">
            <w:pPr>
              <w:pStyle w:val="P68B1DB1-Normal41"/>
              <w:keepNext/>
              <w:spacing w:before="40"/>
              <w:jc w:val="center"/>
              <w:outlineLvl w:val="2"/>
              <w:rPr>
                <w:bCs/>
                <w:noProof/>
              </w:rPr>
            </w:pPr>
            <w:r>
              <w:rPr>
                <w:noProof/>
              </w:rPr>
              <w:t>10.7</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21754E6F" w14:textId="4A2160D1" w:rsidR="006C686E" w:rsidRDefault="00B17E8C">
            <w:pPr>
              <w:pStyle w:val="P68B1DB1-Normal42"/>
              <w:keepNext/>
              <w:spacing w:before="40"/>
              <w:jc w:val="center"/>
              <w:outlineLvl w:val="2"/>
              <w:rPr>
                <w:noProof/>
              </w:rPr>
            </w:pPr>
            <w:r>
              <w:rPr>
                <w:noProof/>
              </w:rPr>
              <w:t>TC-C10-i03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2C4EADD3" w14:textId="7D8BFFD9"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616F45A7" w14:textId="7EE3246F" w:rsidR="006C686E" w:rsidRDefault="00B17E8C">
            <w:pPr>
              <w:pStyle w:val="P68B1DB1-Normal42"/>
              <w:keepNext/>
              <w:spacing w:before="40"/>
              <w:jc w:val="center"/>
              <w:outlineLvl w:val="2"/>
              <w:rPr>
                <w:noProof/>
              </w:rPr>
            </w:pPr>
            <w:r>
              <w:rPr>
                <w:noProof/>
              </w:rPr>
              <w:t>Construction de la «plateforme navale multifonctionnelle» et du «centre des opérations»</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4CFF4E2" w14:textId="6AF9B939" w:rsidR="006C686E" w:rsidRDefault="00B17E8C">
            <w:pPr>
              <w:pStyle w:val="P68B1DB1-Normal13"/>
              <w:keepNext/>
              <w:spacing w:before="40"/>
              <w:jc w:val="center"/>
              <w:outlineLvl w:val="2"/>
              <w:rPr>
                <w:noProof/>
                <w14:ligatures w14:val="none"/>
              </w:rPr>
            </w:pPr>
            <w:r>
              <w:rPr>
                <w:noProof/>
              </w:rPr>
              <w:t>Construction</w:t>
            </w:r>
            <w:r>
              <w:rPr>
                <w:noProof/>
                <w14:ligatures w14:val="none"/>
              </w:rPr>
              <w:t xml:space="preserve"> de la «plateforme navale multifonctionnelle» et du «centre des opérations»</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8F23414" w14:textId="798BEA7B"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EC4C306" w14:textId="07AF67E6"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1D7A9C44" w14:textId="6F3195BA"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3C9A370" w14:textId="0B33A74C" w:rsidR="006C686E" w:rsidRDefault="00B17E8C">
            <w:pPr>
              <w:pStyle w:val="P68B1DB1-Normal42"/>
              <w:keepNext/>
              <w:spacing w:before="40"/>
              <w:jc w:val="center"/>
              <w:outlineLvl w:val="2"/>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698FC525" w14:textId="57A5BB31" w:rsidR="006C686E" w:rsidRDefault="00B17E8C">
            <w:pPr>
              <w:pStyle w:val="P68B1DB1-Normal42"/>
              <w:keepNext/>
              <w:spacing w:before="40"/>
              <w:jc w:val="center"/>
              <w:outlineLvl w:val="2"/>
              <w:rPr>
                <w:noProof/>
              </w:rPr>
            </w:pPr>
            <w:r>
              <w:rPr>
                <w:noProof/>
              </w:rPr>
              <w:t>2026</w:t>
            </w:r>
          </w:p>
        </w:tc>
        <w:tc>
          <w:tcPr>
            <w:tcW w:w="3226" w:type="dxa"/>
            <w:tcBorders>
              <w:top w:val="single" w:sz="4" w:space="0" w:color="auto"/>
              <w:left w:val="single" w:sz="4" w:space="0" w:color="auto"/>
              <w:bottom w:val="single" w:sz="4" w:space="0" w:color="auto"/>
              <w:right w:val="single" w:sz="4" w:space="0" w:color="auto"/>
            </w:tcBorders>
            <w:shd w:val="clear" w:color="auto" w:fill="C4EFCE"/>
          </w:tcPr>
          <w:p w14:paraId="4B8B04E4" w14:textId="67D745B2" w:rsidR="006C686E" w:rsidRDefault="00B17E8C">
            <w:pPr>
              <w:pStyle w:val="P68B1DB1-Normal45"/>
              <w:keepNext/>
              <w:spacing w:before="40"/>
              <w:jc w:val="both"/>
              <w:outlineLvl w:val="2"/>
              <w:rPr>
                <w:rFonts w:eastAsia="Calibri"/>
                <w:noProof/>
              </w:rPr>
            </w:pPr>
            <w:r>
              <w:rPr>
                <w:noProof/>
              </w:rPr>
              <w:t>Construction de la «plateforme navale multifonctionnelle» et du «centre des opérations».</w:t>
            </w:r>
          </w:p>
        </w:tc>
      </w:tr>
      <w:tr w:rsidR="006C686E" w14:paraId="0B6DA2D0"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15127A0C" w14:textId="77777777" w:rsidR="006C686E" w:rsidRDefault="00B17E8C">
            <w:pPr>
              <w:pStyle w:val="P68B1DB1-Normal41"/>
              <w:keepNext/>
              <w:spacing w:before="40"/>
              <w:jc w:val="center"/>
              <w:outlineLvl w:val="2"/>
              <w:rPr>
                <w:bCs/>
                <w:noProof/>
                <w:u w:val="single"/>
              </w:rPr>
            </w:pPr>
            <w:r>
              <w:rPr>
                <w:noProof/>
              </w:rPr>
              <w:t>10.8</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0E0DA88" w14:textId="77777777" w:rsidR="006C686E" w:rsidRDefault="00B17E8C">
            <w:pPr>
              <w:pStyle w:val="P68B1DB1-Normal42"/>
              <w:keepNext/>
              <w:spacing w:before="40"/>
              <w:jc w:val="center"/>
              <w:outlineLvl w:val="2"/>
              <w:rPr>
                <w:b/>
                <w:noProof/>
                <w:u w:val="single"/>
              </w:rPr>
            </w:pPr>
            <w:r>
              <w:rPr>
                <w:noProof/>
              </w:rPr>
              <w:t>TC-C10-i04-RAA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4D2C4169" w14:textId="77777777" w:rsidR="006C686E" w:rsidRDefault="00B17E8C">
            <w:pPr>
              <w:pStyle w:val="P68B1DB1-Normal42"/>
              <w:keepNext/>
              <w:spacing w:before="40"/>
              <w:jc w:val="center"/>
              <w:outlineLvl w:val="2"/>
              <w:rPr>
                <w:b/>
                <w:noProof/>
                <w:u w:val="single"/>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35D64737" w14:textId="77777777" w:rsidR="006C686E" w:rsidRDefault="00B17E8C">
            <w:pPr>
              <w:pStyle w:val="P68B1DB1-Normal42"/>
              <w:keepNext/>
              <w:spacing w:before="40"/>
              <w:jc w:val="center"/>
              <w:outlineLvl w:val="2"/>
              <w:rPr>
                <w:b/>
                <w:noProof/>
                <w:u w:val="single"/>
              </w:rPr>
            </w:pPr>
            <w:r>
              <w:rPr>
                <w:noProof/>
              </w:rPr>
              <w:t>Début du contrat de travaux publics pour le centre technique MARTEC</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876E7C3" w14:textId="77777777" w:rsidR="006C686E" w:rsidRDefault="00B17E8C">
            <w:pPr>
              <w:pStyle w:val="P68B1DB1-Normal42"/>
              <w:keepNext/>
              <w:spacing w:before="40"/>
              <w:jc w:val="center"/>
              <w:outlineLvl w:val="2"/>
              <w:rPr>
                <w:b/>
                <w:noProof/>
                <w:u w:val="single"/>
              </w:rPr>
            </w:pPr>
            <w:r>
              <w:rPr>
                <w:noProof/>
              </w:rPr>
              <w:t>Début des travaux de construction du centre technique MARTEC</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04A61B6E" w14:textId="5C4A0318" w:rsidR="006C686E" w:rsidRDefault="006C686E">
            <w:pPr>
              <w:keepNext/>
              <w:spacing w:before="40"/>
              <w:jc w:val="center"/>
              <w:outlineLvl w:val="2"/>
              <w:rPr>
                <w:rFonts w:ascii="Times New Roman" w:eastAsia="Calibri" w:hAnsi="Times New Roman" w:cs="Times New Roman"/>
                <w:b/>
                <w:noProof/>
                <w:sz w:val="16"/>
                <w:szCs w:val="16"/>
                <w:u w:val="singl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7376FA8A" w14:textId="1E6599BF" w:rsidR="006C686E" w:rsidRDefault="006C686E">
            <w:pPr>
              <w:keepNext/>
              <w:spacing w:before="40"/>
              <w:jc w:val="center"/>
              <w:outlineLvl w:val="2"/>
              <w:rPr>
                <w:rFonts w:ascii="Times New Roman" w:eastAsia="Calibri" w:hAnsi="Times New Roman" w:cs="Times New Roman"/>
                <w:b/>
                <w:noProof/>
                <w:sz w:val="16"/>
                <w:szCs w:val="16"/>
                <w:u w:val="single"/>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36766716" w14:textId="3AC7E8B0" w:rsidR="006C686E" w:rsidRDefault="006C686E">
            <w:pPr>
              <w:keepNext/>
              <w:spacing w:before="40"/>
              <w:jc w:val="center"/>
              <w:outlineLvl w:val="2"/>
              <w:rPr>
                <w:rFonts w:ascii="Times New Roman" w:eastAsia="Calibri" w:hAnsi="Times New Roman" w:cs="Times New Roman"/>
                <w:b/>
                <w:noProof/>
                <w:sz w:val="16"/>
                <w:szCs w:val="16"/>
                <w:u w:val="single"/>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775D80A5" w14:textId="77777777" w:rsidR="006C686E" w:rsidRDefault="00B17E8C">
            <w:pPr>
              <w:pStyle w:val="P68B1DB1-Normal42"/>
              <w:keepNext/>
              <w:spacing w:before="40"/>
              <w:jc w:val="center"/>
              <w:outlineLvl w:val="2"/>
              <w:rPr>
                <w:b/>
                <w:noProof/>
                <w:u w:val="single"/>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91D28FC" w14:textId="77777777" w:rsidR="006C686E" w:rsidRDefault="00B17E8C">
            <w:pPr>
              <w:pStyle w:val="P68B1DB1-Normal42"/>
              <w:keepNext/>
              <w:spacing w:before="40"/>
              <w:jc w:val="center"/>
              <w:outlineLvl w:val="2"/>
              <w:rPr>
                <w:b/>
                <w:noProof/>
                <w:u w:val="single"/>
              </w:rPr>
            </w:pPr>
            <w:r>
              <w:rPr>
                <w:noProof/>
              </w:rPr>
              <w:t>2023</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4EBA2CE1" w14:textId="77777777" w:rsidR="006C686E" w:rsidRDefault="00B17E8C">
            <w:pPr>
              <w:pStyle w:val="P68B1DB1-Normal42"/>
              <w:keepNext/>
              <w:spacing w:before="40"/>
              <w:jc w:val="both"/>
              <w:rPr>
                <w:rFonts w:eastAsia="Times New Roman"/>
                <w:noProof/>
              </w:rPr>
            </w:pPr>
            <w:r>
              <w:rPr>
                <w:noProof/>
              </w:rPr>
              <w:t xml:space="preserve">Début des travaux de construction de l'infrastructure du Technopolo MARTEC (y compris l'achat de terrains et la démolition des infrastructures existantes) sur l'île de Faial dans le cadre du centre d'expérimentation et de développement lié à la mer des Açores. </w:t>
            </w:r>
          </w:p>
          <w:p w14:paraId="57588BB4" w14:textId="77777777" w:rsidR="006C686E" w:rsidRDefault="00B17E8C">
            <w:pPr>
              <w:pStyle w:val="P68B1DB1-Normal42"/>
              <w:keepNext/>
              <w:spacing w:before="40"/>
              <w:jc w:val="both"/>
              <w:rPr>
                <w:rFonts w:eastAsia="Times New Roman"/>
                <w:noProof/>
              </w:rPr>
            </w:pPr>
            <w:r>
              <w:rPr>
                <w:noProof/>
              </w:rPr>
              <w:t>Il comprend un incubateur bleu (d'au moins 6 500 m²), un centre d'aquaculture (d'au moins 2 000 m²) et des équipements pour l'incubateur bleu et le centre d'aquaculture.</w:t>
            </w:r>
          </w:p>
          <w:p w14:paraId="7AF45BAB" w14:textId="77777777" w:rsidR="006C686E" w:rsidRDefault="00B17E8C">
            <w:pPr>
              <w:pStyle w:val="P68B1DB1-Normal42"/>
              <w:keepNext/>
              <w:spacing w:before="40"/>
              <w:jc w:val="both"/>
              <w:outlineLvl w:val="2"/>
              <w:rPr>
                <w:b/>
                <w:noProof/>
                <w:u w:val="single"/>
              </w:rPr>
            </w:pPr>
            <w:r>
              <w:rPr>
                <w:noProof/>
              </w:rPr>
              <w:t>Les bâtiments neufs ont une demande d’énergie primaire inférieure d’au moins 20 % aux exigences des bâtiments dont la consommation d’énergie est quasi nulle.</w:t>
            </w:r>
          </w:p>
        </w:tc>
      </w:tr>
      <w:tr w:rsidR="006C686E" w14:paraId="10382FF1" w14:textId="77777777" w:rsidTr="0024749C">
        <w:trPr>
          <w:trHeight w:val="540"/>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80BCA6D" w14:textId="77777777" w:rsidR="006C686E" w:rsidRDefault="00B17E8C">
            <w:pPr>
              <w:pStyle w:val="P68B1DB1-Normal41"/>
              <w:keepNext/>
              <w:spacing w:before="40"/>
              <w:jc w:val="center"/>
              <w:outlineLvl w:val="2"/>
              <w:rPr>
                <w:bCs/>
                <w:noProof/>
              </w:rPr>
            </w:pPr>
            <w:r>
              <w:rPr>
                <w:noProof/>
              </w:rPr>
              <w:t>10.9</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4761684D" w14:textId="77777777" w:rsidR="006C686E" w:rsidRDefault="00B17E8C">
            <w:pPr>
              <w:pStyle w:val="P68B1DB1-Normal42"/>
              <w:keepNext/>
              <w:spacing w:before="40"/>
              <w:jc w:val="center"/>
              <w:outlineLvl w:val="2"/>
              <w:rPr>
                <w:noProof/>
              </w:rPr>
            </w:pPr>
            <w:r>
              <w:rPr>
                <w:noProof/>
              </w:rPr>
              <w:t>TC-C10-i04-RAA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EEB2E5B" w14:textId="77777777"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1F5E57D7" w14:textId="10C237E2" w:rsidR="006C686E" w:rsidRDefault="00B17E8C">
            <w:pPr>
              <w:pStyle w:val="P68B1DB1-Normal42"/>
              <w:keepNext/>
              <w:spacing w:before="40"/>
              <w:jc w:val="center"/>
              <w:outlineLvl w:val="2"/>
              <w:rPr>
                <w:noProof/>
              </w:rPr>
            </w:pPr>
            <w:r>
              <w:rPr>
                <w:noProof/>
              </w:rPr>
              <w:t>Livraison d'un navire de recherche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15C9379" w14:textId="0F0C014C" w:rsidR="006C686E" w:rsidRDefault="00B17E8C">
            <w:pPr>
              <w:pStyle w:val="P68B1DB1-Normal42"/>
              <w:keepNext/>
              <w:spacing w:before="40"/>
              <w:jc w:val="center"/>
              <w:outlineLvl w:val="2"/>
              <w:rPr>
                <w:noProof/>
              </w:rPr>
            </w:pPr>
            <w:r>
              <w:rPr>
                <w:noProof/>
              </w:rPr>
              <w:t>Livraison</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57923D8E" w14:textId="22367989"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0505E0F" w14:textId="1EE14F31"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463532DA" w14:textId="44A7DD26"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1ECA107" w14:textId="77777777" w:rsidR="006C686E" w:rsidRDefault="00B17E8C">
            <w:pPr>
              <w:pStyle w:val="P68B1DB1-Normal42"/>
              <w:keepNext/>
              <w:spacing w:before="40"/>
              <w:jc w:val="center"/>
              <w:outlineLvl w:val="2"/>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6DEA361F" w14:textId="77777777" w:rsidR="006C686E" w:rsidRDefault="00B17E8C">
            <w:pPr>
              <w:pStyle w:val="P68B1DB1-Normal42"/>
              <w:keepNext/>
              <w:spacing w:before="40"/>
              <w:jc w:val="center"/>
              <w:outlineLvl w:val="2"/>
              <w:rPr>
                <w:noProof/>
              </w:rPr>
            </w:pPr>
            <w:r>
              <w:rPr>
                <w:noProof/>
              </w:rPr>
              <w:t>2026</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4D2B4663" w14:textId="66C2A054" w:rsidR="006C686E" w:rsidRDefault="00B17E8C">
            <w:pPr>
              <w:pStyle w:val="P68B1DB1-Normal27"/>
              <w:keepNext/>
              <w:spacing w:before="40"/>
              <w:jc w:val="both"/>
              <w:rPr>
                <w:rFonts w:ascii="Times New Roman" w:eastAsia="Calibri" w:hAnsi="Times New Roman" w:cs="Times New Roman"/>
                <w:noProof/>
                <w14:ligatures w14:val="none"/>
              </w:rPr>
            </w:pPr>
            <w:r>
              <w:rPr>
                <w:rFonts w:ascii="Times New Roman" w:eastAsia="Calibri" w:hAnsi="Times New Roman" w:cs="Times New Roman"/>
                <w:noProof/>
                <w14:ligatures w14:val="none"/>
              </w:rPr>
              <w:t>Livraison d'un navire de recherche avec</w:t>
            </w:r>
            <w:r>
              <w:rPr>
                <w:rFonts w:ascii="Times New Roman" w:eastAsia="Calibri" w:hAnsi="Times New Roman" w:cs="Times New Roman"/>
                <w:noProof/>
              </w:rPr>
              <w:t xml:space="preserve"> </w:t>
            </w:r>
            <w:r>
              <w:rPr>
                <w:rFonts w:ascii="Times New Roman" w:eastAsia="Calibri" w:hAnsi="Times New Roman" w:cs="Times New Roman"/>
                <w:noProof/>
                <w14:ligatures w14:val="none"/>
              </w:rPr>
              <w:t>un</w:t>
            </w:r>
            <w:r>
              <w:rPr>
                <w:rFonts w:ascii="Times New Roman" w:eastAsia="Calibri" w:hAnsi="Times New Roman" w:cs="Times New Roman"/>
                <w:noProof/>
              </w:rPr>
              <w:t xml:space="preserve"> système</w:t>
            </w:r>
            <w:r>
              <w:rPr>
                <w:rFonts w:ascii="Times New Roman" w:hAnsi="Times New Roman" w:cs="Times New Roman"/>
                <w:noProof/>
                <w14:ligatures w14:val="none"/>
              </w:rPr>
              <w:t xml:space="preserve"> d'équipements électroniques acoustiques scientifiques </w:t>
            </w:r>
            <w:r>
              <w:rPr>
                <w:rFonts w:ascii="Times New Roman" w:eastAsia="Calibri" w:hAnsi="Times New Roman" w:cs="Times New Roman"/>
                <w:noProof/>
              </w:rPr>
              <w:t>et 2 modules: un véhicule à eau télécommandé (ROV) et un module d'équipement de chalutage.</w:t>
            </w:r>
          </w:p>
        </w:tc>
      </w:tr>
      <w:tr w:rsidR="006C686E" w14:paraId="6C61DA08"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5693DA36" w14:textId="77777777" w:rsidR="006C686E" w:rsidRDefault="00B17E8C">
            <w:pPr>
              <w:pStyle w:val="P68B1DB1-Normal41"/>
              <w:keepNext/>
              <w:spacing w:before="40"/>
              <w:jc w:val="center"/>
              <w:outlineLvl w:val="2"/>
              <w:rPr>
                <w:noProof/>
              </w:rPr>
            </w:pPr>
            <w:r>
              <w:rPr>
                <w:noProof/>
              </w:rPr>
              <w:t>10.10</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1272329" w14:textId="77777777" w:rsidR="006C686E" w:rsidRDefault="00B17E8C">
            <w:pPr>
              <w:pStyle w:val="P68B1DB1-Normal42"/>
              <w:keepNext/>
              <w:spacing w:before="40"/>
              <w:jc w:val="center"/>
              <w:outlineLvl w:val="2"/>
              <w:rPr>
                <w:noProof/>
              </w:rPr>
            </w:pPr>
            <w:r>
              <w:rPr>
                <w:noProof/>
              </w:rPr>
              <w:t>TC-C10-i04-RAA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557C91B1" w14:textId="77777777"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26EE1D2D" w14:textId="57B76B01" w:rsidR="006C686E" w:rsidRDefault="00B17E8C">
            <w:pPr>
              <w:pStyle w:val="P68B1DB1-Normal13"/>
              <w:keepNext/>
              <w:spacing w:before="40"/>
              <w:jc w:val="center"/>
              <w:outlineLvl w:val="2"/>
              <w:rPr>
                <w:noProof/>
                <w14:ligatures w14:val="none"/>
              </w:rPr>
            </w:pPr>
            <w:r>
              <w:rPr>
                <w:noProof/>
              </w:rPr>
              <w:t>Construction</w:t>
            </w:r>
            <w:r>
              <w:rPr>
                <w:noProof/>
                <w14:ligatures w14:val="none"/>
              </w:rPr>
              <w:t xml:space="preserve"> d'un </w:t>
            </w:r>
            <w:r>
              <w:rPr>
                <w:noProof/>
              </w:rPr>
              <w:t xml:space="preserve"> </w:t>
            </w:r>
            <w:r>
              <w:rPr>
                <w:noProof/>
                <w14:ligatures w14:val="none"/>
              </w:rPr>
              <w:t>centre de recherche et développement (MARTEC)</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7E21F8B" w14:textId="77777777" w:rsidR="006C686E" w:rsidRDefault="00B17E8C">
            <w:pPr>
              <w:pStyle w:val="P68B1DB1-Normal42"/>
              <w:keepNext/>
              <w:spacing w:before="40"/>
              <w:jc w:val="center"/>
              <w:outlineLvl w:val="2"/>
              <w:rPr>
                <w:noProof/>
              </w:rPr>
            </w:pPr>
            <w:r>
              <w:rPr>
                <w:noProof/>
              </w:rPr>
              <w:t>Construction de MARTEC</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58E0C2F4" w14:textId="76DBC62E" w:rsidR="006C686E" w:rsidRDefault="006C686E">
            <w:pPr>
              <w:keepNext/>
              <w:spacing w:before="40"/>
              <w:jc w:val="center"/>
              <w:rPr>
                <w:rFonts w:ascii="Times New Roman" w:eastAsia="Calibri" w:hAnsi="Times New Roman" w:cs="Times New Roman"/>
                <w:noProof/>
                <w:sz w:val="16"/>
                <w:szCs w:val="16"/>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41A3F1F8" w14:textId="684EC892"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49867D14" w14:textId="31717E9A"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477934C4" w14:textId="77777777" w:rsidR="006C686E" w:rsidRDefault="00B17E8C">
            <w:pPr>
              <w:pStyle w:val="P68B1DB1-Normal42"/>
              <w:keepNext/>
              <w:spacing w:before="40"/>
              <w:jc w:val="center"/>
              <w:outlineLvl w:val="2"/>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FEA2E81" w14:textId="77777777" w:rsidR="006C686E" w:rsidRDefault="00B17E8C">
            <w:pPr>
              <w:pStyle w:val="P68B1DB1-Normal42"/>
              <w:keepNext/>
              <w:spacing w:before="40"/>
              <w:jc w:val="center"/>
              <w:outlineLvl w:val="2"/>
              <w:rPr>
                <w:noProof/>
              </w:rPr>
            </w:pPr>
            <w:r>
              <w:rPr>
                <w:noProof/>
              </w:rPr>
              <w:t>2026</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2606C289" w14:textId="177EF0AF" w:rsidR="006C686E" w:rsidRDefault="00B17E8C">
            <w:pPr>
              <w:pStyle w:val="P68B1DB1-Normal13"/>
              <w:keepNext/>
              <w:spacing w:before="40"/>
              <w:jc w:val="both"/>
              <w:rPr>
                <w:noProof/>
                <w14:ligatures w14:val="none"/>
              </w:rPr>
            </w:pPr>
            <w:r>
              <w:rPr>
                <w:noProof/>
              </w:rPr>
              <w:t>Construction</w:t>
            </w:r>
            <w:r>
              <w:rPr>
                <w:noProof/>
                <w14:ligatures w14:val="none"/>
              </w:rPr>
              <w:t xml:space="preserve"> d'un </w:t>
            </w:r>
            <w:r>
              <w:rPr>
                <w:noProof/>
              </w:rPr>
              <w:t xml:space="preserve"> </w:t>
            </w:r>
            <w:r>
              <w:rPr>
                <w:noProof/>
                <w14:ligatures w14:val="none"/>
              </w:rPr>
              <w:t>centre de recherche et développement</w:t>
            </w:r>
            <w:r>
              <w:rPr>
                <w:noProof/>
              </w:rPr>
              <w:t xml:space="preserve"> (MARTEC).</w:t>
            </w:r>
          </w:p>
        </w:tc>
      </w:tr>
      <w:tr w:rsidR="006C686E" w14:paraId="615776B1"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0F66410" w14:textId="77777777" w:rsidR="006C686E" w:rsidRDefault="00B17E8C">
            <w:pPr>
              <w:pStyle w:val="P68B1DB1-Normal41"/>
              <w:keepNext/>
              <w:spacing w:before="40"/>
              <w:jc w:val="center"/>
              <w:outlineLvl w:val="2"/>
              <w:rPr>
                <w:bCs/>
                <w:noProof/>
              </w:rPr>
            </w:pPr>
            <w:r>
              <w:rPr>
                <w:noProof/>
              </w:rPr>
              <w:t>10.12</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76976BC" w14:textId="77777777" w:rsidR="006C686E" w:rsidRDefault="00B17E8C">
            <w:pPr>
              <w:pStyle w:val="P68B1DB1-Normal42"/>
              <w:keepNext/>
              <w:spacing w:before="40"/>
              <w:jc w:val="center"/>
              <w:outlineLvl w:val="2"/>
              <w:rPr>
                <w:noProof/>
              </w:rPr>
            </w:pPr>
            <w:r>
              <w:rPr>
                <w:noProof/>
              </w:rPr>
              <w:t>TC-C10-i05-RAA</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73FCB142" w14:textId="77777777"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402927B3" w14:textId="3290D8FC" w:rsidR="006C686E" w:rsidRDefault="00B17E8C">
            <w:pPr>
              <w:pStyle w:val="P68B1DB1-Normal42"/>
              <w:keepNext/>
              <w:spacing w:before="40"/>
              <w:jc w:val="center"/>
              <w:outlineLvl w:val="2"/>
              <w:rPr>
                <w:noProof/>
              </w:rPr>
            </w:pPr>
            <w:r>
              <w:rPr>
                <w:noProof/>
              </w:rPr>
              <w:t>Achat d'équipements pour soutenir l'activité de pêche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5E4E3DC" w14:textId="77777777" w:rsidR="006C686E" w:rsidRDefault="00B17E8C">
            <w:pPr>
              <w:pStyle w:val="P68B1DB1-Normal13"/>
              <w:keepNext/>
              <w:spacing w:before="40"/>
              <w:jc w:val="center"/>
              <w:outlineLvl w:val="2"/>
              <w:rPr>
                <w:noProof/>
                <w14:ligatures w14:val="none"/>
              </w:rPr>
            </w:pPr>
            <w:r>
              <w:rPr>
                <w:noProof/>
              </w:rPr>
              <w:t>Achat de matériel</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9061CA1"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A851EAF"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1FF70362"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624977FA" w14:textId="77777777" w:rsidR="006C686E" w:rsidRDefault="00B17E8C">
            <w:pPr>
              <w:pStyle w:val="P68B1DB1-Normal42"/>
              <w:keepNext/>
              <w:spacing w:before="40"/>
              <w:jc w:val="center"/>
              <w:outlineLvl w:val="2"/>
              <w:rPr>
                <w:noProof/>
              </w:rPr>
            </w:pPr>
            <w:r>
              <w:rPr>
                <w:noProof/>
              </w:rPr>
              <w:t>T1</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378CA68F" w14:textId="77777777" w:rsidR="006C686E" w:rsidRDefault="00B17E8C">
            <w:pPr>
              <w:pStyle w:val="P68B1DB1-Normal42"/>
              <w:keepNext/>
              <w:spacing w:before="40"/>
              <w:jc w:val="center"/>
              <w:outlineLvl w:val="2"/>
              <w:rPr>
                <w:noProof/>
              </w:rPr>
            </w:pPr>
            <w:r>
              <w:rPr>
                <w:noProof/>
              </w:rPr>
              <w:t>2026</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5B1F7850" w14:textId="4AA115F1" w:rsidR="006C686E" w:rsidRDefault="00B17E8C">
            <w:pPr>
              <w:pStyle w:val="P68B1DB1-Normal13"/>
              <w:keepNext/>
              <w:jc w:val="both"/>
              <w:rPr>
                <w:noProof/>
              </w:rPr>
            </w:pPr>
            <w:r>
              <w:rPr>
                <w:noProof/>
              </w:rPr>
              <w:t>Achat d’équipements pour soutenir l’activité de pêche à hauteur d’au moins 4 500 000 EUR.</w:t>
            </w:r>
          </w:p>
        </w:tc>
      </w:tr>
      <w:tr w:rsidR="006C686E" w14:paraId="49ACB43C"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3715823" w14:textId="77777777" w:rsidR="006C686E" w:rsidRDefault="00B17E8C">
            <w:pPr>
              <w:pStyle w:val="P68B1DB1-Normal41"/>
              <w:keepNext/>
              <w:spacing w:before="40"/>
              <w:jc w:val="center"/>
              <w:outlineLvl w:val="2"/>
              <w:rPr>
                <w:bCs/>
                <w:noProof/>
              </w:rPr>
            </w:pPr>
            <w:r>
              <w:rPr>
                <w:noProof/>
              </w:rPr>
              <w:t>10.13</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E4F2FDF" w14:textId="77777777" w:rsidR="006C686E" w:rsidRDefault="00B17E8C">
            <w:pPr>
              <w:pStyle w:val="P68B1DB1-Normal42"/>
              <w:keepNext/>
              <w:spacing w:before="40"/>
              <w:jc w:val="center"/>
              <w:outlineLvl w:val="2"/>
              <w:rPr>
                <w:noProof/>
              </w:rPr>
            </w:pPr>
            <w:r>
              <w:rPr>
                <w:noProof/>
              </w:rPr>
              <w:t>TC-C10-i06-RAM</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1EEC7347" w14:textId="77777777"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700F2888" w14:textId="77777777" w:rsidR="006C686E" w:rsidRDefault="00B17E8C">
            <w:pPr>
              <w:pStyle w:val="P68B1DB1-Normal42"/>
              <w:keepNext/>
              <w:spacing w:before="40"/>
              <w:jc w:val="center"/>
              <w:outlineLvl w:val="2"/>
              <w:rPr>
                <w:noProof/>
              </w:rPr>
            </w:pPr>
            <w:r>
              <w:rPr>
                <w:noProof/>
              </w:rPr>
              <w:t>Signature du contrat pour un navire de recherche polyvalent</w:t>
            </w:r>
          </w:p>
        </w:tc>
        <w:tc>
          <w:tcPr>
            <w:tcW w:w="1420" w:type="dxa"/>
            <w:tcBorders>
              <w:top w:val="single" w:sz="4" w:space="0" w:color="auto"/>
              <w:left w:val="single" w:sz="4" w:space="0" w:color="auto"/>
              <w:bottom w:val="single" w:sz="4" w:space="0" w:color="auto"/>
              <w:right w:val="single" w:sz="4" w:space="0" w:color="auto"/>
            </w:tcBorders>
            <w:shd w:val="clear" w:color="auto" w:fill="C4EFCE"/>
          </w:tcPr>
          <w:p w14:paraId="1092DD06" w14:textId="77777777" w:rsidR="006C686E" w:rsidRDefault="00B17E8C">
            <w:pPr>
              <w:pStyle w:val="P68B1DB1-Normal42"/>
              <w:keepNext/>
              <w:spacing w:before="40"/>
              <w:jc w:val="center"/>
              <w:outlineLvl w:val="2"/>
              <w:rPr>
                <w:noProof/>
              </w:rPr>
            </w:pPr>
            <w:r>
              <w:rPr>
                <w:noProof/>
              </w:rPr>
              <w:t>Signature du contrat pour un navire de recherche polyvalent</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6D35ED25"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48D78699"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0F5373A0"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F878503" w14:textId="77777777" w:rsidR="006C686E" w:rsidRDefault="00B17E8C">
            <w:pPr>
              <w:pStyle w:val="P68B1DB1-Normal42"/>
              <w:keepNext/>
              <w:spacing w:before="40"/>
              <w:jc w:val="center"/>
              <w:outlineLvl w:val="2"/>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D068D4B" w14:textId="77777777" w:rsidR="006C686E" w:rsidRDefault="00B17E8C">
            <w:pPr>
              <w:pStyle w:val="P68B1DB1-Normal42"/>
              <w:keepNext/>
              <w:spacing w:before="40"/>
              <w:jc w:val="center"/>
              <w:outlineLvl w:val="2"/>
              <w:rPr>
                <w:noProof/>
              </w:rPr>
            </w:pPr>
            <w:r>
              <w:rPr>
                <w:noProof/>
              </w:rPr>
              <w:t>2024</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5F6761D7" w14:textId="77777777" w:rsidR="006C686E" w:rsidRDefault="00B17E8C">
            <w:pPr>
              <w:pStyle w:val="P68B1DB1-Normal45"/>
              <w:widowControl w:val="0"/>
              <w:jc w:val="both"/>
              <w:rPr>
                <w:noProof/>
              </w:rPr>
            </w:pPr>
            <w:r>
              <w:rPr>
                <w:noProof/>
              </w:rPr>
              <w:t>Signature du contrat de construction d'un navire de recherche polyvalent.</w:t>
            </w:r>
          </w:p>
          <w:p w14:paraId="1C216F04" w14:textId="77777777" w:rsidR="006C686E" w:rsidRDefault="00B17E8C">
            <w:pPr>
              <w:pStyle w:val="P68B1DB1-Normal42"/>
              <w:keepNext/>
              <w:spacing w:before="40"/>
              <w:jc w:val="both"/>
              <w:rPr>
                <w:noProof/>
              </w:rPr>
            </w:pPr>
            <w:r>
              <w:rPr>
                <w:noProof/>
              </w:rPr>
              <w:t>Le contrat exige l’application de la condition consistant à «ne pas causer de préjudice important» énoncée dans la description de la mesure.</w:t>
            </w:r>
          </w:p>
        </w:tc>
      </w:tr>
      <w:tr w:rsidR="006C686E" w14:paraId="005A19E3"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18B3C17" w14:textId="77777777" w:rsidR="006C686E" w:rsidRDefault="00B17E8C">
            <w:pPr>
              <w:pStyle w:val="P68B1DB1-Normal41"/>
              <w:keepNext/>
              <w:spacing w:before="40"/>
              <w:jc w:val="center"/>
              <w:outlineLvl w:val="2"/>
              <w:rPr>
                <w:noProof/>
              </w:rPr>
            </w:pPr>
            <w:r>
              <w:rPr>
                <w:noProof/>
              </w:rPr>
              <w:t>10.14</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58CED1C" w14:textId="77777777" w:rsidR="006C686E" w:rsidRDefault="00B17E8C">
            <w:pPr>
              <w:pStyle w:val="P68B1DB1-Normal42"/>
              <w:keepNext/>
              <w:spacing w:before="40"/>
              <w:jc w:val="center"/>
              <w:outlineLvl w:val="2"/>
              <w:rPr>
                <w:noProof/>
              </w:rPr>
            </w:pPr>
            <w:r>
              <w:rPr>
                <w:noProof/>
              </w:rPr>
              <w:t>TC-C10-i06-RAM</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1A713234" w14:textId="77777777" w:rsidR="006C686E" w:rsidRDefault="00B17E8C">
            <w:pPr>
              <w:pStyle w:val="P68B1DB1-Normal42"/>
              <w:keepNext/>
              <w:spacing w:before="40"/>
              <w:jc w:val="center"/>
              <w:outlineLvl w:val="2"/>
              <w:rPr>
                <w:noProof/>
              </w:rPr>
            </w:pPr>
            <w:r>
              <w:rPr>
                <w:noProof/>
              </w:rPr>
              <w:t>M</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039FAA78" w14:textId="5E21EAB1" w:rsidR="006C686E" w:rsidRDefault="00B17E8C">
            <w:pPr>
              <w:pStyle w:val="P68B1DB1-Normal42"/>
              <w:keepNext/>
              <w:spacing w:before="40"/>
              <w:jc w:val="center"/>
              <w:outlineLvl w:val="2"/>
              <w:rPr>
                <w:noProof/>
              </w:rPr>
            </w:pPr>
            <w:r>
              <w:rPr>
                <w:noProof/>
              </w:rPr>
              <w:t>Construction d'un navire de recherche et livraison de véhicules</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F5B6C34" w14:textId="5A9A694B" w:rsidR="006C686E" w:rsidRDefault="00B17E8C">
            <w:pPr>
              <w:pStyle w:val="P68B1DB1-Normal42"/>
              <w:keepNext/>
              <w:spacing w:before="40"/>
              <w:jc w:val="center"/>
              <w:outlineLvl w:val="2"/>
              <w:rPr>
                <w:noProof/>
              </w:rPr>
            </w:pPr>
            <w:r>
              <w:rPr>
                <w:noProof/>
              </w:rPr>
              <w:t>Construction et livraison</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1152B99F"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DA7BB1D"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16C223C6"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30E32D69" w14:textId="77777777" w:rsidR="006C686E" w:rsidRDefault="00B17E8C">
            <w:pPr>
              <w:pStyle w:val="P68B1DB1-Normal42"/>
              <w:keepNext/>
              <w:spacing w:before="40"/>
              <w:jc w:val="center"/>
              <w:outlineLvl w:val="2"/>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1651DDC1" w14:textId="77777777" w:rsidR="006C686E" w:rsidRDefault="00B17E8C">
            <w:pPr>
              <w:pStyle w:val="P68B1DB1-Normal42"/>
              <w:keepNext/>
              <w:spacing w:before="40"/>
              <w:jc w:val="center"/>
              <w:outlineLvl w:val="2"/>
              <w:rPr>
                <w:noProof/>
              </w:rPr>
            </w:pPr>
            <w:r>
              <w:rPr>
                <w:noProof/>
              </w:rPr>
              <w:t>2026</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5DB4E8F6" w14:textId="35D3DCAD" w:rsidR="006C686E" w:rsidRDefault="00B17E8C">
            <w:pPr>
              <w:pStyle w:val="P68B1DB1-Normal13"/>
              <w:keepNext/>
              <w:spacing w:before="40"/>
              <w:jc w:val="both"/>
              <w:rPr>
                <w:noProof/>
                <w14:ligatures w14:val="none"/>
              </w:rPr>
            </w:pPr>
            <w:r>
              <w:rPr>
                <w:noProof/>
              </w:rPr>
              <w:t>Construction d'un navire de recherche et livraison de deux véhicules autonomes sans pilote (AUV). Un AUV doit atteindre 1 000 m de profondeur et l’autre 6</w:t>
            </w:r>
            <w:r>
              <w:rPr>
                <w:noProof/>
                <w14:ligatures w14:val="none"/>
              </w:rPr>
              <w:t> </w:t>
            </w:r>
            <w:r>
              <w:rPr>
                <w:noProof/>
              </w:rPr>
              <w:t>000 m</w:t>
            </w:r>
            <w:r>
              <w:rPr>
                <w:noProof/>
                <w14:ligatures w14:val="none"/>
              </w:rPr>
              <w:t xml:space="preserve"> de profondeur.</w:t>
            </w:r>
          </w:p>
        </w:tc>
      </w:tr>
      <w:tr w:rsidR="006C686E" w14:paraId="6F649B8E" w14:textId="77777777" w:rsidTr="0024749C">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1B9FB7E3" w14:textId="77777777" w:rsidR="006C686E" w:rsidRDefault="00B17E8C">
            <w:pPr>
              <w:pStyle w:val="P68B1DB1-Normal41"/>
              <w:keepNext/>
              <w:spacing w:before="40"/>
              <w:jc w:val="center"/>
              <w:outlineLvl w:val="2"/>
              <w:rPr>
                <w:bCs/>
                <w:noProof/>
              </w:rPr>
            </w:pPr>
            <w:r>
              <w:rPr>
                <w:noProof/>
              </w:rPr>
              <w:t>10.15</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95E4F90" w14:textId="77777777" w:rsidR="006C686E" w:rsidRDefault="00B17E8C">
            <w:pPr>
              <w:pStyle w:val="P68B1DB1-Normal42"/>
              <w:keepNext/>
              <w:spacing w:before="40"/>
              <w:jc w:val="center"/>
              <w:outlineLvl w:val="2"/>
              <w:rPr>
                <w:noProof/>
              </w:rPr>
            </w:pPr>
            <w:r>
              <w:rPr>
                <w:noProof/>
              </w:rPr>
              <w:t>TC-C10-i06-RAM</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121F3636" w14:textId="77777777" w:rsidR="006C686E" w:rsidRDefault="00B17E8C">
            <w:pPr>
              <w:pStyle w:val="P68B1DB1-Normal42"/>
              <w:keepNext/>
              <w:spacing w:before="40"/>
              <w:jc w:val="center"/>
              <w:outlineLvl w:val="2"/>
              <w:rPr>
                <w:noProof/>
              </w:rPr>
            </w:pPr>
            <w:r>
              <w:rPr>
                <w:noProof/>
              </w:rPr>
              <w:t>T</w:t>
            </w:r>
          </w:p>
        </w:tc>
        <w:tc>
          <w:tcPr>
            <w:tcW w:w="1492" w:type="dxa"/>
            <w:tcBorders>
              <w:top w:val="single" w:sz="4" w:space="0" w:color="auto"/>
              <w:left w:val="single" w:sz="4" w:space="0" w:color="auto"/>
              <w:bottom w:val="single" w:sz="4" w:space="0" w:color="auto"/>
              <w:right w:val="single" w:sz="4" w:space="0" w:color="auto"/>
            </w:tcBorders>
            <w:shd w:val="clear" w:color="auto" w:fill="C4EFCE"/>
            <w:vAlign w:val="center"/>
          </w:tcPr>
          <w:p w14:paraId="526F6280" w14:textId="77777777" w:rsidR="006C686E" w:rsidRDefault="00B17E8C">
            <w:pPr>
              <w:pStyle w:val="P68B1DB1-Normal42"/>
              <w:keepNext/>
              <w:spacing w:before="40"/>
              <w:jc w:val="center"/>
              <w:outlineLvl w:val="2"/>
              <w:rPr>
                <w:noProof/>
              </w:rPr>
            </w:pPr>
            <w:r>
              <w:rPr>
                <w:noProof/>
              </w:rPr>
              <w:t>Livraison d'un véhicule autonome sans pilote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6229AC6" w14:textId="77777777" w:rsidR="006C686E" w:rsidRDefault="006C686E">
            <w:pPr>
              <w:keepNext/>
              <w:spacing w:before="40"/>
              <w:jc w:val="center"/>
              <w:outlineLvl w:val="2"/>
              <w:rPr>
                <w:rFonts w:ascii="Times New Roman" w:eastAsia="Calibri" w:hAnsi="Times New Roman" w:cs="Times New Roman"/>
                <w:noProof/>
                <w:sz w:val="16"/>
                <w:szCs w:val="16"/>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48986257" w14:textId="77777777" w:rsidR="006C686E" w:rsidRDefault="00B17E8C">
            <w:pPr>
              <w:pStyle w:val="P68B1DB1-Normal42"/>
              <w:keepNext/>
              <w:spacing w:before="40"/>
              <w:jc w:val="center"/>
              <w:outlineLvl w:val="2"/>
              <w:rPr>
                <w:noProof/>
              </w:rPr>
            </w:pPr>
            <w:r>
              <w:rPr>
                <w:noProof/>
              </w:rPr>
              <w:t>Numéro</w:t>
            </w: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901773A" w14:textId="77777777" w:rsidR="006C686E" w:rsidRDefault="00B17E8C">
            <w:pPr>
              <w:pStyle w:val="P68B1DB1-Normal42"/>
              <w:keepNext/>
              <w:spacing w:before="40"/>
              <w:jc w:val="center"/>
              <w:outlineLvl w:val="2"/>
              <w:rPr>
                <w:noProof/>
              </w:rPr>
            </w:pPr>
            <w:r>
              <w:rPr>
                <w:noProof/>
              </w:rPr>
              <w:t>0</w:t>
            </w:r>
          </w:p>
        </w:tc>
        <w:tc>
          <w:tcPr>
            <w:tcW w:w="940" w:type="dxa"/>
            <w:tcBorders>
              <w:top w:val="single" w:sz="4" w:space="0" w:color="auto"/>
              <w:left w:val="single" w:sz="4" w:space="0" w:color="auto"/>
              <w:bottom w:val="single" w:sz="4" w:space="0" w:color="auto"/>
              <w:right w:val="single" w:sz="4" w:space="0" w:color="auto"/>
            </w:tcBorders>
            <w:shd w:val="clear" w:color="auto" w:fill="C4EFCE"/>
            <w:vAlign w:val="center"/>
          </w:tcPr>
          <w:p w14:paraId="6847BAD1" w14:textId="77777777" w:rsidR="006C686E" w:rsidRDefault="00B17E8C">
            <w:pPr>
              <w:pStyle w:val="P68B1DB1-Normal42"/>
              <w:keepNext/>
              <w:spacing w:before="40"/>
              <w:jc w:val="center"/>
              <w:outlineLvl w:val="2"/>
              <w:rPr>
                <w:noProof/>
              </w:rPr>
            </w:pPr>
            <w:r>
              <w:rPr>
                <w:noProof/>
              </w:rPr>
              <w:t>1</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22D6E075" w14:textId="77777777" w:rsidR="006C686E" w:rsidRDefault="00B17E8C">
            <w:pPr>
              <w:pStyle w:val="P68B1DB1-Normal42"/>
              <w:keepNext/>
              <w:spacing w:before="40"/>
              <w:jc w:val="center"/>
              <w:outlineLvl w:val="2"/>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286DBE00" w14:textId="77777777" w:rsidR="006C686E" w:rsidRDefault="00B17E8C">
            <w:pPr>
              <w:pStyle w:val="P68B1DB1-Normal42"/>
              <w:keepNext/>
              <w:spacing w:before="40"/>
              <w:jc w:val="center"/>
              <w:outlineLvl w:val="2"/>
              <w:rPr>
                <w:noProof/>
              </w:rPr>
            </w:pPr>
            <w:r>
              <w:rPr>
                <w:noProof/>
              </w:rPr>
              <w:t>2024</w:t>
            </w:r>
          </w:p>
        </w:tc>
        <w:tc>
          <w:tcPr>
            <w:tcW w:w="3226" w:type="dxa"/>
            <w:tcBorders>
              <w:top w:val="single" w:sz="4" w:space="0" w:color="auto"/>
              <w:left w:val="single" w:sz="4" w:space="0" w:color="auto"/>
              <w:bottom w:val="single" w:sz="4" w:space="0" w:color="auto"/>
              <w:right w:val="single" w:sz="4" w:space="0" w:color="auto"/>
            </w:tcBorders>
            <w:shd w:val="clear" w:color="auto" w:fill="C4EFCE"/>
            <w:vAlign w:val="center"/>
          </w:tcPr>
          <w:p w14:paraId="151EC325" w14:textId="77777777" w:rsidR="006C686E" w:rsidRDefault="00B17E8C">
            <w:pPr>
              <w:pStyle w:val="P68B1DB1-Normal45"/>
              <w:widowControl w:val="0"/>
              <w:jc w:val="both"/>
              <w:rPr>
                <w:noProof/>
              </w:rPr>
            </w:pPr>
            <w:r>
              <w:rPr>
                <w:noProof/>
              </w:rPr>
              <w:t xml:space="preserve">Livraison d'un véhicule autonome sans pilote: </w:t>
            </w:r>
          </w:p>
          <w:p w14:paraId="58311E4F" w14:textId="77777777" w:rsidR="006C686E" w:rsidRDefault="00B17E8C">
            <w:pPr>
              <w:pStyle w:val="P68B1DB1-Normal45"/>
              <w:numPr>
                <w:ilvl w:val="0"/>
                <w:numId w:val="46"/>
              </w:numPr>
              <w:jc w:val="both"/>
              <w:rPr>
                <w:noProof/>
              </w:rPr>
            </w:pPr>
            <w:r>
              <w:rPr>
                <w:noProof/>
              </w:rPr>
              <w:t>Véhicule autonome de surface (USV)</w:t>
            </w:r>
          </w:p>
        </w:tc>
      </w:tr>
    </w:tbl>
    <w:p w14:paraId="01B09525" w14:textId="77777777" w:rsidR="006C686E" w:rsidRDefault="006C686E">
      <w:pPr>
        <w:spacing w:after="200" w:line="276" w:lineRule="auto"/>
        <w:rPr>
          <w:rFonts w:ascii="Calibri" w:eastAsia="Calibri" w:hAnsi="Calibri" w:cs="Times New Roman"/>
          <w:noProof/>
          <w:kern w:val="0"/>
          <w14:ligatures w14:val="none"/>
        </w:rPr>
      </w:pPr>
    </w:p>
    <w:p w14:paraId="6E5657F9" w14:textId="77777777" w:rsidR="006C686E" w:rsidRDefault="006C686E">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6C686E" w:rsidSect="00C95E00">
          <w:headerReference w:type="even" r:id="rId214"/>
          <w:headerReference w:type="default" r:id="rId215"/>
          <w:footerReference w:type="even" r:id="rId216"/>
          <w:footerReference w:type="default" r:id="rId217"/>
          <w:headerReference w:type="first" r:id="rId218"/>
          <w:footerReference w:type="first" r:id="rId219"/>
          <w:pgSz w:w="16839" w:h="11907" w:orient="landscape"/>
          <w:pgMar w:top="1134" w:right="1134" w:bottom="1134" w:left="1134" w:header="567" w:footer="567" w:gutter="0"/>
          <w:cols w:space="720"/>
          <w:docGrid w:linePitch="360"/>
        </w:sectPr>
      </w:pPr>
    </w:p>
    <w:p w14:paraId="0179D9C2" w14:textId="77777777" w:rsidR="006C686E" w:rsidRDefault="00B17E8C">
      <w:pPr>
        <w:pStyle w:val="P68B1DB1-Normal1"/>
        <w:spacing w:before="40" w:after="0"/>
        <w:ind w:left="130" w:firstLine="720"/>
        <w:jc w:val="both"/>
        <w:outlineLvl w:val="2"/>
        <w:rPr>
          <w:rFonts w:eastAsia="Times New Roman"/>
          <w:bCs/>
          <w:noProof/>
        </w:rPr>
      </w:pPr>
      <w:r>
        <w:rPr>
          <w:noProof/>
        </w:rPr>
        <w:t>J.3. Description des réformes et des investissements pour le prêt</w:t>
      </w:r>
    </w:p>
    <w:p w14:paraId="4DADEC25" w14:textId="77777777" w:rsidR="006C686E" w:rsidRDefault="00B17E8C">
      <w:pPr>
        <w:pStyle w:val="P68B1DB1-Normal5"/>
        <w:keepNext/>
        <w:spacing w:before="240" w:after="0"/>
        <w:ind w:left="851"/>
        <w:jc w:val="both"/>
        <w:outlineLvl w:val="3"/>
        <w:rPr>
          <w:rFonts w:eastAsia="Times New Roman"/>
          <w:noProof/>
        </w:rPr>
      </w:pPr>
      <w:r>
        <w:rPr>
          <w:noProof/>
        </w:rPr>
        <w:t xml:space="preserve">Investissement TC-C10-i07: Expédition verte </w:t>
      </w:r>
    </w:p>
    <w:p w14:paraId="24492CBF" w14:textId="77777777" w:rsidR="006C686E" w:rsidRDefault="00B17E8C">
      <w:pPr>
        <w:pStyle w:val="P68B1DB1-Normal4"/>
        <w:spacing w:before="40" w:after="0"/>
        <w:jc w:val="both"/>
        <w:rPr>
          <w:noProof/>
        </w:rPr>
      </w:pPr>
      <w:r>
        <w:rPr>
          <w:noProof/>
        </w:rPr>
        <w:t xml:space="preserve">L’objectif de la mesure est d’accélérer la transition énergétique du transport maritime de marchandises et de passagers. </w:t>
      </w:r>
    </w:p>
    <w:p w14:paraId="2646650B" w14:textId="1BC5B563" w:rsidR="006C686E" w:rsidRDefault="00B17E8C">
      <w:pPr>
        <w:pStyle w:val="P68B1DB1-Normal3"/>
        <w:spacing w:before="40" w:after="0"/>
        <w:jc w:val="both"/>
        <w:rPr>
          <w:noProof/>
          <w:kern w:val="0"/>
          <w14:ligatures w14:val="none"/>
        </w:rPr>
      </w:pPr>
      <w:r>
        <w:rPr>
          <w:noProof/>
          <w:kern w:val="0"/>
          <w14:ligatures w14:val="none"/>
        </w:rPr>
        <w:t xml:space="preserve">L'investissement consiste </w:t>
      </w:r>
      <w:r>
        <w:rPr>
          <w:noProof/>
        </w:rPr>
        <w:t>à</w:t>
      </w:r>
      <w:r>
        <w:rPr>
          <w:noProof/>
          <w:kern w:val="0"/>
          <w14:ligatures w14:val="none"/>
        </w:rPr>
        <w:t xml:space="preserve"> </w:t>
      </w:r>
      <w:r>
        <w:rPr>
          <w:noProof/>
        </w:rPr>
        <w:t xml:space="preserve">soutenir des </w:t>
      </w:r>
      <w:r>
        <w:rPr>
          <w:noProof/>
          <w:kern w:val="0"/>
          <w14:ligatures w14:val="none"/>
        </w:rPr>
        <w:t xml:space="preserve">interventions en faveur de l'efficacité énergétique pour les navires de transport de marchandises et de passagers. </w:t>
      </w:r>
    </w:p>
    <w:p w14:paraId="759F1FAC" w14:textId="77777777" w:rsidR="006C686E" w:rsidRDefault="006C686E">
      <w:pPr>
        <w:keepNext/>
        <w:spacing w:before="40" w:after="0"/>
        <w:jc w:val="both"/>
        <w:rPr>
          <w:rFonts w:ascii="Times New Roman" w:eastAsia="Times New Roman" w:hAnsi="Times New Roman" w:cs="Times New Roman"/>
          <w:noProof/>
          <w:kern w:val="0"/>
          <w14:ligatures w14:val="none"/>
        </w:rPr>
        <w:sectPr w:rsidR="006C686E" w:rsidSect="00C95E00">
          <w:headerReference w:type="even" r:id="rId220"/>
          <w:headerReference w:type="default" r:id="rId221"/>
          <w:footerReference w:type="even" r:id="rId222"/>
          <w:footerReference w:type="default" r:id="rId223"/>
          <w:headerReference w:type="first" r:id="rId224"/>
          <w:footerReference w:type="first" r:id="rId225"/>
          <w:pgSz w:w="11907" w:h="16839"/>
          <w:pgMar w:top="1134" w:right="1134" w:bottom="1134" w:left="1134" w:header="567" w:footer="567" w:gutter="0"/>
          <w:cols w:space="720"/>
          <w:docGrid w:linePitch="360"/>
        </w:sectPr>
      </w:pPr>
    </w:p>
    <w:p w14:paraId="748F1107" w14:textId="77777777" w:rsidR="006C686E" w:rsidRDefault="00B17E8C">
      <w:pPr>
        <w:pStyle w:val="P68B1DB1-Normal1"/>
        <w:keepNext/>
        <w:keepLines/>
        <w:spacing w:before="40" w:after="0"/>
        <w:ind w:left="130" w:firstLine="12"/>
        <w:jc w:val="center"/>
        <w:outlineLvl w:val="2"/>
        <w:rPr>
          <w:noProof/>
        </w:rPr>
      </w:pPr>
      <w:r>
        <w:rPr>
          <w:noProof/>
        </w:rPr>
        <w:t>J.4. Étapes, objectifs, indicateurs et calendrier du suivi et de la mise en œuvre du prêt</w:t>
      </w:r>
    </w:p>
    <w:tbl>
      <w:tblPr>
        <w:tblpPr w:leftFromText="180" w:rightFromText="180" w:vertAnchor="page" w:horzAnchor="margin" w:tblpXSpec="center" w:tblpY="1601"/>
        <w:tblW w:w="15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446"/>
        <w:gridCol w:w="881"/>
        <w:gridCol w:w="1640"/>
        <w:gridCol w:w="1231"/>
        <w:gridCol w:w="962"/>
        <w:gridCol w:w="961"/>
        <w:gridCol w:w="987"/>
        <w:gridCol w:w="709"/>
        <w:gridCol w:w="709"/>
        <w:gridCol w:w="4746"/>
      </w:tblGrid>
      <w:tr w:rsidR="006C686E" w14:paraId="01D768EE" w14:textId="77777777" w:rsidTr="0024749C">
        <w:trPr>
          <w:trHeight w:val="910"/>
          <w:tblHeader/>
          <w:jc w:val="center"/>
        </w:trPr>
        <w:tc>
          <w:tcPr>
            <w:tcW w:w="1101" w:type="dxa"/>
            <w:vMerge w:val="restart"/>
            <w:shd w:val="clear" w:color="auto" w:fill="BDD6EE"/>
            <w:vAlign w:val="center"/>
            <w:hideMark/>
          </w:tcPr>
          <w:p w14:paraId="2F8D2A03" w14:textId="77777777" w:rsidR="006C686E" w:rsidRDefault="00B17E8C">
            <w:pPr>
              <w:pStyle w:val="P68B1DB1-Normal9"/>
              <w:keepNext/>
              <w:spacing w:before="40" w:after="0" w:line="240" w:lineRule="auto"/>
              <w:jc w:val="center"/>
              <w:rPr>
                <w:rFonts w:eastAsia="Times New Roman"/>
                <w:bCs/>
                <w:noProof/>
              </w:rPr>
            </w:pPr>
            <w:r>
              <w:rPr>
                <w:noProof/>
              </w:rPr>
              <w:t>Numéro séquentiel</w:t>
            </w:r>
          </w:p>
        </w:tc>
        <w:tc>
          <w:tcPr>
            <w:tcW w:w="1446" w:type="dxa"/>
            <w:vMerge w:val="restart"/>
            <w:shd w:val="clear" w:color="auto" w:fill="BDD6EE"/>
            <w:vAlign w:val="center"/>
            <w:hideMark/>
          </w:tcPr>
          <w:p w14:paraId="5591814A" w14:textId="77777777" w:rsidR="006C686E" w:rsidRDefault="00B17E8C">
            <w:pPr>
              <w:pStyle w:val="P68B1DB1-Normal9"/>
              <w:keepNext/>
              <w:spacing w:before="40" w:after="0" w:line="240" w:lineRule="auto"/>
              <w:jc w:val="center"/>
              <w:rPr>
                <w:rFonts w:eastAsia="Times New Roman"/>
                <w:bCs/>
                <w:noProof/>
              </w:rPr>
            </w:pPr>
            <w:r>
              <w:rPr>
                <w:noProof/>
              </w:rPr>
              <w:t>Mesure (réforme ou investissement)</w:t>
            </w:r>
          </w:p>
        </w:tc>
        <w:tc>
          <w:tcPr>
            <w:tcW w:w="881" w:type="dxa"/>
            <w:vMerge w:val="restart"/>
            <w:shd w:val="clear" w:color="auto" w:fill="BDD6EE"/>
            <w:vAlign w:val="center"/>
            <w:hideMark/>
          </w:tcPr>
          <w:p w14:paraId="4A19E9AB" w14:textId="77777777" w:rsidR="006C686E" w:rsidRDefault="00B17E8C">
            <w:pPr>
              <w:pStyle w:val="P68B1DB1-Normal9"/>
              <w:keepNext/>
              <w:spacing w:before="40" w:after="0" w:line="240" w:lineRule="auto"/>
              <w:jc w:val="center"/>
              <w:rPr>
                <w:rFonts w:eastAsia="Times New Roman"/>
                <w:bCs/>
                <w:noProof/>
              </w:rPr>
            </w:pPr>
            <w:r>
              <w:rPr>
                <w:noProof/>
              </w:rPr>
              <w:t>Étape/objectif</w:t>
            </w:r>
          </w:p>
        </w:tc>
        <w:tc>
          <w:tcPr>
            <w:tcW w:w="1640" w:type="dxa"/>
            <w:vMerge w:val="restart"/>
            <w:shd w:val="clear" w:color="auto" w:fill="BDD6EE"/>
            <w:vAlign w:val="center"/>
            <w:hideMark/>
          </w:tcPr>
          <w:p w14:paraId="5F2633A4" w14:textId="77777777" w:rsidR="006C686E" w:rsidRDefault="00B17E8C">
            <w:pPr>
              <w:pStyle w:val="P68B1DB1-Normal9"/>
              <w:keepNext/>
              <w:spacing w:before="40" w:after="0" w:line="240" w:lineRule="auto"/>
              <w:jc w:val="center"/>
              <w:rPr>
                <w:rFonts w:eastAsia="Times New Roman"/>
                <w:bCs/>
                <w:noProof/>
              </w:rPr>
            </w:pPr>
            <w:r>
              <w:rPr>
                <w:noProof/>
              </w:rPr>
              <w:t>Nom</w:t>
            </w:r>
          </w:p>
        </w:tc>
        <w:tc>
          <w:tcPr>
            <w:tcW w:w="1231" w:type="dxa"/>
            <w:vMerge w:val="restart"/>
            <w:shd w:val="clear" w:color="auto" w:fill="BDD6EE"/>
            <w:vAlign w:val="center"/>
            <w:hideMark/>
          </w:tcPr>
          <w:p w14:paraId="5797F158" w14:textId="77777777" w:rsidR="006C686E" w:rsidRDefault="00B17E8C">
            <w:pPr>
              <w:pStyle w:val="P68B1DB1-Normal9"/>
              <w:keepNext/>
              <w:spacing w:before="40" w:after="0" w:line="240" w:lineRule="auto"/>
              <w:jc w:val="center"/>
              <w:rPr>
                <w:rFonts w:eastAsia="Times New Roman"/>
                <w:bCs/>
                <w:noProof/>
              </w:rPr>
            </w:pPr>
            <w:r>
              <w:rPr>
                <w:noProof/>
              </w:rPr>
              <w:t>Indicateurs qualitatifs (pour les jalons)</w:t>
            </w:r>
          </w:p>
        </w:tc>
        <w:tc>
          <w:tcPr>
            <w:tcW w:w="2910" w:type="dxa"/>
            <w:gridSpan w:val="3"/>
            <w:tcBorders>
              <w:bottom w:val="single" w:sz="4" w:space="0" w:color="auto"/>
            </w:tcBorders>
            <w:shd w:val="clear" w:color="auto" w:fill="BDD6EE"/>
            <w:vAlign w:val="center"/>
            <w:hideMark/>
          </w:tcPr>
          <w:p w14:paraId="7B12A3D8" w14:textId="77777777" w:rsidR="006C686E" w:rsidRDefault="00B17E8C">
            <w:pPr>
              <w:pStyle w:val="P68B1DB1-Normal9"/>
              <w:keepNext/>
              <w:spacing w:before="40" w:after="0" w:line="240" w:lineRule="auto"/>
              <w:jc w:val="center"/>
              <w:rPr>
                <w:rFonts w:eastAsia="Times New Roman"/>
                <w:bCs/>
                <w:noProof/>
              </w:rPr>
            </w:pPr>
            <w:r>
              <w:rPr>
                <w:noProof/>
              </w:rPr>
              <w:t>Indicateurs quantitatifs (pour les objectifs)</w:t>
            </w:r>
          </w:p>
        </w:tc>
        <w:tc>
          <w:tcPr>
            <w:tcW w:w="1418" w:type="dxa"/>
            <w:gridSpan w:val="2"/>
            <w:tcBorders>
              <w:bottom w:val="single" w:sz="4" w:space="0" w:color="auto"/>
            </w:tcBorders>
            <w:shd w:val="clear" w:color="auto" w:fill="BDD6EE"/>
            <w:vAlign w:val="center"/>
            <w:hideMark/>
          </w:tcPr>
          <w:p w14:paraId="15247E5F" w14:textId="77777777" w:rsidR="006C686E" w:rsidRDefault="00B17E8C">
            <w:pPr>
              <w:pStyle w:val="P68B1DB1-Normal9"/>
              <w:keepNext/>
              <w:spacing w:before="40" w:after="0" w:line="240" w:lineRule="auto"/>
              <w:jc w:val="center"/>
              <w:rPr>
                <w:rFonts w:eastAsia="Times New Roman"/>
                <w:bCs/>
                <w:noProof/>
              </w:rPr>
            </w:pPr>
            <w:r>
              <w:rPr>
                <w:noProof/>
              </w:rPr>
              <w:t>Calendrier indicatif d'achèvement</w:t>
            </w:r>
          </w:p>
        </w:tc>
        <w:tc>
          <w:tcPr>
            <w:tcW w:w="4746" w:type="dxa"/>
            <w:vMerge w:val="restart"/>
            <w:shd w:val="clear" w:color="auto" w:fill="BDD6EE"/>
            <w:vAlign w:val="center"/>
            <w:hideMark/>
          </w:tcPr>
          <w:p w14:paraId="3410C161" w14:textId="77777777" w:rsidR="006C686E" w:rsidRDefault="00B17E8C">
            <w:pPr>
              <w:pStyle w:val="P68B1DB1-Normal9"/>
              <w:keepNext/>
              <w:spacing w:before="40" w:after="0" w:line="240" w:lineRule="auto"/>
              <w:jc w:val="center"/>
              <w:rPr>
                <w:rFonts w:eastAsia="Times New Roman"/>
                <w:bCs/>
                <w:noProof/>
              </w:rPr>
            </w:pPr>
            <w:r>
              <w:rPr>
                <w:noProof/>
              </w:rPr>
              <w:t>Description et définition claire de chaque jalon et cible</w:t>
            </w:r>
          </w:p>
        </w:tc>
      </w:tr>
      <w:tr w:rsidR="006C686E" w14:paraId="41548FC9" w14:textId="77777777" w:rsidTr="0024749C">
        <w:trPr>
          <w:trHeight w:val="470"/>
          <w:tblHeader/>
          <w:jc w:val="center"/>
        </w:trPr>
        <w:tc>
          <w:tcPr>
            <w:tcW w:w="1101" w:type="dxa"/>
            <w:vMerge/>
            <w:vAlign w:val="center"/>
            <w:hideMark/>
          </w:tcPr>
          <w:p w14:paraId="3FE118E6" w14:textId="77777777" w:rsidR="006C686E" w:rsidRDefault="006C686E">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446" w:type="dxa"/>
            <w:vMerge/>
            <w:vAlign w:val="center"/>
            <w:hideMark/>
          </w:tcPr>
          <w:p w14:paraId="3985105D" w14:textId="77777777" w:rsidR="006C686E" w:rsidRDefault="006C686E">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881" w:type="dxa"/>
            <w:vMerge/>
            <w:vAlign w:val="center"/>
            <w:hideMark/>
          </w:tcPr>
          <w:p w14:paraId="40D1A457" w14:textId="77777777" w:rsidR="006C686E" w:rsidRDefault="006C686E">
            <w:pPr>
              <w:keepNext/>
              <w:spacing w:before="40" w:after="0" w:line="240" w:lineRule="auto"/>
              <w:jc w:val="center"/>
              <w:rPr>
                <w:rFonts w:ascii="Times New Roman" w:eastAsia="Times New Roman" w:hAnsi="Times New Roman" w:cs="Times New Roman"/>
                <w:b/>
                <w:bCs/>
                <w:noProof/>
                <w:kern w:val="0"/>
                <w:sz w:val="18"/>
                <w:szCs w:val="18"/>
                <w14:ligatures w14:val="none"/>
              </w:rPr>
            </w:pPr>
          </w:p>
        </w:tc>
        <w:tc>
          <w:tcPr>
            <w:tcW w:w="1640" w:type="dxa"/>
            <w:vMerge/>
            <w:vAlign w:val="center"/>
            <w:hideMark/>
          </w:tcPr>
          <w:p w14:paraId="459A6E4E" w14:textId="77777777" w:rsidR="006C686E" w:rsidRDefault="006C686E">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tcBorders>
              <w:right w:val="single" w:sz="4" w:space="0" w:color="auto"/>
            </w:tcBorders>
            <w:vAlign w:val="center"/>
            <w:hideMark/>
          </w:tcPr>
          <w:p w14:paraId="508671DD" w14:textId="77777777" w:rsidR="006C686E" w:rsidRDefault="006C686E">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0CB08B8" w14:textId="77777777" w:rsidR="006C686E" w:rsidRDefault="00B17E8C">
            <w:pPr>
              <w:pStyle w:val="P68B1DB1-Normal9"/>
              <w:keepNext/>
              <w:spacing w:before="40" w:after="0" w:line="240" w:lineRule="auto"/>
              <w:jc w:val="center"/>
              <w:rPr>
                <w:rFonts w:eastAsia="Times New Roman"/>
                <w:bCs/>
                <w:noProof/>
              </w:rPr>
            </w:pPr>
            <w:r>
              <w:rPr>
                <w:noProof/>
              </w:rPr>
              <w:t>Unité de mesure</w:t>
            </w:r>
          </w:p>
        </w:tc>
        <w:tc>
          <w:tcPr>
            <w:tcW w:w="9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81A6818" w14:textId="77777777" w:rsidR="006C686E" w:rsidRDefault="00B17E8C">
            <w:pPr>
              <w:pStyle w:val="P68B1DB1-Normal9"/>
              <w:keepNext/>
              <w:spacing w:before="40" w:after="0" w:line="240" w:lineRule="auto"/>
              <w:jc w:val="center"/>
              <w:rPr>
                <w:rFonts w:eastAsia="Times New Roman"/>
                <w:bCs/>
                <w:noProof/>
              </w:rPr>
            </w:pPr>
            <w:r>
              <w:rPr>
                <w:noProof/>
              </w:rPr>
              <w:t>Données de référence</w:t>
            </w:r>
          </w:p>
        </w:tc>
        <w:tc>
          <w:tcPr>
            <w:tcW w:w="9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8180DC0" w14:textId="77777777" w:rsidR="006C686E" w:rsidRDefault="00B17E8C">
            <w:pPr>
              <w:pStyle w:val="P68B1DB1-Normal9"/>
              <w:keepNext/>
              <w:spacing w:before="40" w:after="0" w:line="240" w:lineRule="auto"/>
              <w:jc w:val="center"/>
              <w:rPr>
                <w:rFonts w:eastAsia="Times New Roman"/>
                <w:bCs/>
                <w:noProof/>
              </w:rPr>
            </w:pPr>
            <w:r>
              <w:rPr>
                <w:noProof/>
              </w:rPr>
              <w:t>Objectif</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DD45EF5" w14:textId="77777777" w:rsidR="006C686E" w:rsidRDefault="00B17E8C">
            <w:pPr>
              <w:pStyle w:val="P68B1DB1-Normal9"/>
              <w:keepNext/>
              <w:spacing w:before="40" w:after="0" w:line="240" w:lineRule="auto"/>
              <w:jc w:val="center"/>
              <w:rPr>
                <w:rFonts w:eastAsia="Times New Roman"/>
                <w:bCs/>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74BBF89" w14:textId="77777777" w:rsidR="006C686E" w:rsidRDefault="00B17E8C">
            <w:pPr>
              <w:pStyle w:val="P68B1DB1-Normal9"/>
              <w:keepNext/>
              <w:spacing w:before="40" w:after="0" w:line="240" w:lineRule="auto"/>
              <w:jc w:val="center"/>
              <w:rPr>
                <w:rFonts w:eastAsia="Times New Roman"/>
                <w:bCs/>
                <w:noProof/>
              </w:rPr>
            </w:pPr>
            <w:r>
              <w:rPr>
                <w:noProof/>
              </w:rPr>
              <w:t>Année</w:t>
            </w:r>
          </w:p>
        </w:tc>
        <w:tc>
          <w:tcPr>
            <w:tcW w:w="4746" w:type="dxa"/>
            <w:vMerge/>
            <w:tcBorders>
              <w:left w:val="single" w:sz="4" w:space="0" w:color="auto"/>
            </w:tcBorders>
            <w:vAlign w:val="center"/>
            <w:hideMark/>
          </w:tcPr>
          <w:p w14:paraId="6FFFBF23" w14:textId="77777777" w:rsidR="006C686E" w:rsidRDefault="006C686E">
            <w:pPr>
              <w:keepNext/>
              <w:spacing w:before="40" w:after="0" w:line="240" w:lineRule="auto"/>
              <w:jc w:val="both"/>
              <w:rPr>
                <w:rFonts w:ascii="Times New Roman" w:eastAsia="Times New Roman" w:hAnsi="Times New Roman" w:cs="Times New Roman"/>
                <w:b/>
                <w:noProof/>
                <w:kern w:val="0"/>
                <w:sz w:val="16"/>
                <w:szCs w:val="16"/>
                <w14:ligatures w14:val="none"/>
              </w:rPr>
            </w:pPr>
          </w:p>
        </w:tc>
      </w:tr>
      <w:tr w:rsidR="006C686E" w14:paraId="53DB04EC" w14:textId="77777777" w:rsidTr="0024749C">
        <w:trPr>
          <w:trHeight w:val="61"/>
          <w:jc w:val="center"/>
        </w:trPr>
        <w:tc>
          <w:tcPr>
            <w:tcW w:w="1101" w:type="dxa"/>
            <w:shd w:val="clear" w:color="auto" w:fill="C4EFCE"/>
            <w:vAlign w:val="center"/>
          </w:tcPr>
          <w:p w14:paraId="549A1FFF" w14:textId="77777777" w:rsidR="006C686E" w:rsidRDefault="00B17E8C">
            <w:pPr>
              <w:pStyle w:val="P68B1DB1-Normal10"/>
              <w:keepNext/>
              <w:spacing w:before="40" w:after="0" w:line="240" w:lineRule="auto"/>
              <w:jc w:val="center"/>
              <w:rPr>
                <w:bCs/>
                <w:noProof/>
              </w:rPr>
            </w:pPr>
            <w:r>
              <w:rPr>
                <w:noProof/>
              </w:rPr>
              <w:t>10.17</w:t>
            </w:r>
          </w:p>
        </w:tc>
        <w:tc>
          <w:tcPr>
            <w:tcW w:w="1446" w:type="dxa"/>
            <w:shd w:val="clear" w:color="auto" w:fill="C4EFCE"/>
            <w:noWrap/>
            <w:vAlign w:val="center"/>
          </w:tcPr>
          <w:p w14:paraId="37CA6AA1" w14:textId="77777777" w:rsidR="006C686E" w:rsidRDefault="00B17E8C">
            <w:pPr>
              <w:pStyle w:val="P68B1DB1-Normal11"/>
              <w:keepNext/>
              <w:spacing w:before="40" w:after="0" w:line="240" w:lineRule="auto"/>
              <w:jc w:val="center"/>
              <w:rPr>
                <w:rFonts w:eastAsia="Times New Roman"/>
                <w:noProof/>
              </w:rPr>
            </w:pPr>
            <w:r>
              <w:rPr>
                <w:noProof/>
              </w:rPr>
              <w:t>TC-C10-i07</w:t>
            </w:r>
          </w:p>
        </w:tc>
        <w:tc>
          <w:tcPr>
            <w:tcW w:w="881" w:type="dxa"/>
            <w:shd w:val="clear" w:color="auto" w:fill="C4EFCE"/>
            <w:noWrap/>
            <w:vAlign w:val="center"/>
          </w:tcPr>
          <w:p w14:paraId="6B697907" w14:textId="77777777" w:rsidR="006C686E" w:rsidRDefault="00B17E8C">
            <w:pPr>
              <w:pStyle w:val="P68B1DB1-Normal11"/>
              <w:keepNext/>
              <w:spacing w:before="40" w:after="0" w:line="240" w:lineRule="auto"/>
              <w:jc w:val="center"/>
              <w:rPr>
                <w:rFonts w:eastAsia="Times New Roman"/>
                <w:noProof/>
              </w:rPr>
            </w:pPr>
            <w:r>
              <w:rPr>
                <w:noProof/>
              </w:rPr>
              <w:t>M</w:t>
            </w:r>
          </w:p>
        </w:tc>
        <w:tc>
          <w:tcPr>
            <w:tcW w:w="1640" w:type="dxa"/>
            <w:shd w:val="clear" w:color="auto" w:fill="C4EFCE"/>
            <w:noWrap/>
            <w:vAlign w:val="center"/>
          </w:tcPr>
          <w:p w14:paraId="4854F9E1" w14:textId="77777777" w:rsidR="006C686E" w:rsidRDefault="00B17E8C">
            <w:pPr>
              <w:pStyle w:val="P68B1DB1-Normal11"/>
              <w:keepNext/>
              <w:spacing w:before="40" w:after="0" w:line="240" w:lineRule="auto"/>
              <w:jc w:val="center"/>
              <w:rPr>
                <w:rFonts w:eastAsia="Times New Roman"/>
                <w:noProof/>
              </w:rPr>
            </w:pPr>
            <w:r>
              <w:rPr>
                <w:noProof/>
              </w:rPr>
              <w:t>Lancement de l’appel d’offres pour la décarbonation des navires</w:t>
            </w:r>
          </w:p>
        </w:tc>
        <w:tc>
          <w:tcPr>
            <w:tcW w:w="1231" w:type="dxa"/>
            <w:tcBorders>
              <w:right w:val="single" w:sz="4" w:space="0" w:color="auto"/>
            </w:tcBorders>
            <w:shd w:val="clear" w:color="auto" w:fill="C4EFCE"/>
            <w:noWrap/>
            <w:vAlign w:val="center"/>
          </w:tcPr>
          <w:p w14:paraId="7F02FBC9" w14:textId="77777777" w:rsidR="006C686E" w:rsidRDefault="00B17E8C">
            <w:pPr>
              <w:pStyle w:val="P68B1DB1-Normal11"/>
              <w:keepNext/>
              <w:spacing w:before="40" w:after="0" w:line="240" w:lineRule="auto"/>
              <w:jc w:val="center"/>
              <w:rPr>
                <w:rFonts w:eastAsia="Times New Roman"/>
                <w:noProof/>
              </w:rPr>
            </w:pPr>
            <w:r>
              <w:rPr>
                <w:noProof/>
              </w:rPr>
              <w:t>Lancement de l’appel d’offres pour la décarbonation des navires</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824010" w14:textId="77777777" w:rsidR="006C686E" w:rsidRDefault="00B17E8C">
            <w:pPr>
              <w:pStyle w:val="P68B1DB1-Normal11"/>
              <w:keepNext/>
              <w:spacing w:before="40" w:after="0" w:line="240" w:lineRule="auto"/>
              <w:jc w:val="center"/>
              <w:rPr>
                <w:rFonts w:eastAsia="Times New Roman"/>
                <w:noProof/>
              </w:rPr>
            </w:pPr>
            <w:r>
              <w:rPr>
                <w:noProof/>
              </w:rPr>
              <w:t xml:space="preserve"> </w:t>
            </w: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E06AF9" w14:textId="77777777" w:rsidR="006C686E" w:rsidRDefault="00B17E8C">
            <w:pPr>
              <w:pStyle w:val="P68B1DB1-Normal11"/>
              <w:keepNext/>
              <w:spacing w:before="40" w:after="0" w:line="240" w:lineRule="auto"/>
              <w:jc w:val="center"/>
              <w:rPr>
                <w:rFonts w:eastAsia="Times New Roman"/>
                <w:noProof/>
              </w:rPr>
            </w:pPr>
            <w:r>
              <w:rPr>
                <w:noProof/>
              </w:rPr>
              <w:t xml:space="preserve">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749F09" w14:textId="77777777" w:rsidR="006C686E" w:rsidRDefault="00B17E8C">
            <w:pPr>
              <w:pStyle w:val="P68B1DB1-Normal11"/>
              <w:keepNext/>
              <w:spacing w:before="40"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05E82C" w14:textId="77777777" w:rsidR="006C686E" w:rsidRDefault="00B17E8C">
            <w:pPr>
              <w:pStyle w:val="P68B1DB1-Normal11"/>
              <w:keepNext/>
              <w:spacing w:before="40" w:after="0" w:line="240" w:lineRule="auto"/>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A8B9E7" w14:textId="77777777" w:rsidR="006C686E" w:rsidRDefault="00B17E8C">
            <w:pPr>
              <w:pStyle w:val="P68B1DB1-Normal11"/>
              <w:keepNext/>
              <w:spacing w:before="40" w:after="0" w:line="240" w:lineRule="auto"/>
              <w:jc w:val="center"/>
              <w:rPr>
                <w:rFonts w:eastAsia="Times New Roman"/>
                <w:noProof/>
              </w:rPr>
            </w:pPr>
            <w:r>
              <w:rPr>
                <w:noProof/>
              </w:rPr>
              <w:t>2023</w:t>
            </w:r>
          </w:p>
        </w:tc>
        <w:tc>
          <w:tcPr>
            <w:tcW w:w="4746" w:type="dxa"/>
            <w:tcBorders>
              <w:left w:val="single" w:sz="4" w:space="0" w:color="auto"/>
            </w:tcBorders>
            <w:shd w:val="clear" w:color="auto" w:fill="C4EFCE"/>
          </w:tcPr>
          <w:p w14:paraId="34F08532" w14:textId="77777777" w:rsidR="006C686E" w:rsidRDefault="00B17E8C">
            <w:pPr>
              <w:pStyle w:val="P68B1DB1-Normal16"/>
              <w:widowControl w:val="0"/>
              <w:spacing w:before="40" w:after="0" w:line="240" w:lineRule="auto"/>
              <w:jc w:val="both"/>
              <w:rPr>
                <w:noProof/>
              </w:rPr>
            </w:pPr>
            <w:r>
              <w:rPr>
                <w:noProof/>
              </w:rPr>
              <w:t>Lancement d’un appel d’offres pour la décarbonation de dix navires de transport maritime de marchandises et de passagers dont au moins 70 % des navires dépassent 5 000 tonneaux de jauge brute (GT).</w:t>
            </w:r>
          </w:p>
          <w:p w14:paraId="0A32A470" w14:textId="77777777" w:rsidR="006C686E" w:rsidRDefault="00B17E8C">
            <w:pPr>
              <w:pStyle w:val="P68B1DB1-Normal16"/>
              <w:widowControl w:val="0"/>
              <w:spacing w:before="40" w:after="0" w:line="240" w:lineRule="auto"/>
              <w:jc w:val="both"/>
              <w:rPr>
                <w:rFonts w:eastAsia="@MS Mincho"/>
                <w:noProof/>
              </w:rPr>
            </w:pPr>
            <w:r>
              <w:rPr>
                <w:noProof/>
              </w:rPr>
              <w:t>Le cahier des charges comprend des critères d’éligibilité garantissant que les projets sélectionnés sont conformes aux orientations techniques «Ne pas causer de préjudice important» (2021/C58/01) et contribuent à une réduction d’au moins 10 % de la consommation de carburant du navire, exprimée en grammes de carburant par tonne de port en lourd et par mille nautique, conformément aux exigences énoncées dans la description de la mesure. Elle comprend également l'obligation de se conformer à la législation environnementale de l'UE et des États membres.</w:t>
            </w:r>
          </w:p>
        </w:tc>
      </w:tr>
      <w:tr w:rsidR="006C686E" w14:paraId="0D98AC4C" w14:textId="77777777" w:rsidTr="0024749C">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4EFCE"/>
            <w:vAlign w:val="center"/>
          </w:tcPr>
          <w:p w14:paraId="1458C055" w14:textId="77777777" w:rsidR="006C686E" w:rsidRDefault="00B17E8C">
            <w:pPr>
              <w:pStyle w:val="P68B1DB1-Normal10"/>
              <w:keepNext/>
              <w:spacing w:after="0" w:line="240" w:lineRule="auto"/>
              <w:jc w:val="center"/>
              <w:rPr>
                <w:noProof/>
              </w:rPr>
            </w:pPr>
            <w:r>
              <w:rPr>
                <w:noProof/>
              </w:rPr>
              <w:t>10.18</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D73441" w14:textId="77777777" w:rsidR="006C686E" w:rsidRDefault="00B17E8C">
            <w:pPr>
              <w:pStyle w:val="P68B1DB1-Normal16"/>
              <w:widowControl w:val="0"/>
              <w:spacing w:after="0" w:line="276" w:lineRule="auto"/>
              <w:jc w:val="center"/>
              <w:rPr>
                <w:noProof/>
              </w:rPr>
            </w:pPr>
            <w:r>
              <w:rPr>
                <w:noProof/>
              </w:rPr>
              <w:t>TC-C10-i07</w:t>
            </w:r>
          </w:p>
        </w:tc>
        <w:tc>
          <w:tcPr>
            <w:tcW w:w="8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FC5E01" w14:textId="7AD5B8DE" w:rsidR="006C686E" w:rsidRDefault="00B17E8C">
            <w:pPr>
              <w:pStyle w:val="P68B1DB1-Normal13"/>
              <w:keepNext/>
              <w:spacing w:after="0" w:line="240" w:lineRule="auto"/>
              <w:jc w:val="center"/>
              <w:rPr>
                <w:rFonts w:eastAsia="Times New Roman"/>
                <w:noProof/>
                <w:kern w:val="0"/>
                <w14:ligatures w14:val="none"/>
              </w:rPr>
            </w:pPr>
            <w:r>
              <w:rPr>
                <w:noProof/>
              </w:rPr>
              <w:t>M</w:t>
            </w:r>
          </w:p>
        </w:tc>
        <w:tc>
          <w:tcPr>
            <w:tcW w:w="164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AF35A3" w14:textId="5F68703F" w:rsidR="006C686E" w:rsidRDefault="00B17E8C">
            <w:pPr>
              <w:pStyle w:val="P68B1DB1-Normal13"/>
              <w:keepNext/>
              <w:spacing w:after="0" w:line="240" w:lineRule="auto"/>
              <w:jc w:val="center"/>
              <w:rPr>
                <w:noProof/>
              </w:rPr>
            </w:pPr>
            <w:r>
              <w:rPr>
                <w:noProof/>
              </w:rPr>
              <w:t>Paiements pour les appels d'offres lancés par l'IAPMEI</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A99000" w14:textId="5B46AE1D" w:rsidR="006C686E" w:rsidRDefault="00B17E8C">
            <w:pPr>
              <w:pStyle w:val="P68B1DB1-Normal13"/>
              <w:keepNext/>
              <w:spacing w:after="0" w:line="240" w:lineRule="auto"/>
              <w:jc w:val="center"/>
              <w:rPr>
                <w:rFonts w:eastAsia="Times New Roman"/>
                <w:noProof/>
                <w:kern w:val="0"/>
                <w14:ligatures w14:val="none"/>
              </w:rPr>
            </w:pPr>
            <w:r>
              <w:rPr>
                <w:noProof/>
              </w:rPr>
              <w:t>Paiements pour les appels d'offres lancés par l'IAPMEI</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06050D" w14:textId="77777777" w:rsidR="006C686E" w:rsidRDefault="006C686E">
            <w:pPr>
              <w:keepNext/>
              <w:spacing w:after="0" w:line="240" w:lineRule="auto"/>
              <w:jc w:val="center"/>
              <w:rPr>
                <w:rFonts w:ascii="Times New Roman" w:eastAsia="Times New Roman" w:hAnsi="Times New Roman" w:cs="Times New Roman"/>
                <w:noProof/>
                <w:kern w:val="0"/>
                <w:sz w:val="16"/>
                <w:szCs w:val="16"/>
                <w14:ligatures w14:val="none"/>
              </w:rPr>
            </w:pP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FC8E47" w14:textId="77777777" w:rsidR="006C686E" w:rsidRDefault="006C686E">
            <w:pPr>
              <w:keepNext/>
              <w:spacing w:after="0" w:line="240" w:lineRule="auto"/>
              <w:jc w:val="center"/>
              <w:rPr>
                <w:rFonts w:ascii="Times New Roman" w:eastAsia="Times New Roman" w:hAnsi="Times New Roman" w:cs="Times New Roman"/>
                <w:noProof/>
                <w:kern w:val="0"/>
                <w:sz w:val="16"/>
                <w:szCs w:val="16"/>
                <w14:ligatures w14:val="none"/>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EB095D" w14:textId="77777777" w:rsidR="006C686E" w:rsidRDefault="006C686E">
            <w:pPr>
              <w:keepNext/>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D3313D" w14:textId="77777777" w:rsidR="006C686E" w:rsidRDefault="00B17E8C">
            <w:pPr>
              <w:pStyle w:val="P68B1DB1-Normal11"/>
              <w:keepNext/>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14E620" w14:textId="77777777" w:rsidR="006C686E" w:rsidRDefault="00B17E8C">
            <w:pPr>
              <w:pStyle w:val="P68B1DB1-Normal11"/>
              <w:keepNext/>
              <w:spacing w:after="0" w:line="240" w:lineRule="auto"/>
              <w:jc w:val="center"/>
              <w:rPr>
                <w:rFonts w:eastAsia="Times New Roman"/>
                <w:noProof/>
              </w:rPr>
            </w:pPr>
            <w:r>
              <w:rPr>
                <w:noProof/>
              </w:rPr>
              <w:t>2026</w:t>
            </w:r>
          </w:p>
        </w:tc>
        <w:tc>
          <w:tcPr>
            <w:tcW w:w="4746" w:type="dxa"/>
            <w:tcBorders>
              <w:top w:val="single" w:sz="4" w:space="0" w:color="auto"/>
              <w:left w:val="single" w:sz="4" w:space="0" w:color="auto"/>
              <w:bottom w:val="single" w:sz="4" w:space="0" w:color="auto"/>
              <w:right w:val="single" w:sz="4" w:space="0" w:color="auto"/>
            </w:tcBorders>
            <w:shd w:val="clear" w:color="auto" w:fill="C4EFCE"/>
          </w:tcPr>
          <w:p w14:paraId="39CD21DB" w14:textId="561DC513" w:rsidR="006C686E" w:rsidRDefault="00B17E8C">
            <w:pPr>
              <w:pStyle w:val="P68B1DB1-Normal27"/>
              <w:widowControl w:val="0"/>
              <w:spacing w:before="40" w:after="0" w:line="240" w:lineRule="auto"/>
              <w:jc w:val="both"/>
              <w:rPr>
                <w:rFonts w:ascii="Times New Roman" w:hAnsi="Times New Roman" w:cs="Times New Roman"/>
                <w:noProof/>
                <w:kern w:val="0"/>
                <w14:ligatures w14:val="none"/>
              </w:rPr>
            </w:pPr>
            <w:r>
              <w:rPr>
                <w:rFonts w:ascii="Times New Roman" w:hAnsi="Times New Roman" w:cs="Times New Roman"/>
                <w:noProof/>
              </w:rPr>
              <w:t>Un</w:t>
            </w:r>
            <w:r>
              <w:rPr>
                <w:rFonts w:ascii="Times New Roman" w:eastAsia="Arial" w:hAnsi="Times New Roman" w:cs="Times New Roman"/>
                <w:noProof/>
              </w:rPr>
              <w:t xml:space="preserve"> montant d’au moins</w:t>
            </w:r>
            <w:r>
              <w:rPr>
                <w:rFonts w:ascii="Times New Roman" w:eastAsia="Arial" w:hAnsi="Times New Roman" w:cs="Times New Roman"/>
                <w:noProof/>
                <w:kern w:val="0"/>
                <w14:ligatures w14:val="none"/>
              </w:rPr>
              <w:t> </w:t>
            </w:r>
            <w:r>
              <w:rPr>
                <w:rFonts w:ascii="Times New Roman" w:eastAsia="Arial" w:hAnsi="Times New Roman" w:cs="Times New Roman"/>
                <w:noProof/>
              </w:rPr>
              <w:t>32</w:t>
            </w:r>
            <w:r>
              <w:rPr>
                <w:rFonts w:ascii="Times New Roman" w:eastAsia="Arial" w:hAnsi="Times New Roman" w:cs="Times New Roman"/>
                <w:noProof/>
                <w:kern w:val="0"/>
                <w14:ligatures w14:val="none"/>
              </w:rPr>
              <w:t> </w:t>
            </w:r>
            <w:r>
              <w:rPr>
                <w:rFonts w:ascii="Times New Roman" w:eastAsia="Arial" w:hAnsi="Times New Roman" w:cs="Times New Roman"/>
                <w:noProof/>
              </w:rPr>
              <w:t>040 </w:t>
            </w:r>
            <w:r>
              <w:rPr>
                <w:rFonts w:ascii="Times New Roman" w:eastAsia="Arial" w:hAnsi="Times New Roman" w:cs="Times New Roman"/>
                <w:noProof/>
                <w:kern w:val="0"/>
                <w14:ligatures w14:val="none"/>
              </w:rPr>
              <w:t xml:space="preserve">000 </w:t>
            </w:r>
            <w:r>
              <w:rPr>
                <w:rFonts w:ascii="Times New Roman" w:eastAsia="Arial" w:hAnsi="Times New Roman" w:cs="Times New Roman"/>
                <w:noProof/>
              </w:rPr>
              <w:t xml:space="preserve">EUR est versé pour les appels d’offres nos 01/C10-i07/2024, 02/C10-i07/2025 et 03/C10-i07/2025, lancés par l’IAPMEI. </w:t>
            </w:r>
          </w:p>
        </w:tc>
      </w:tr>
    </w:tbl>
    <w:p w14:paraId="35169C01" w14:textId="77777777" w:rsidR="006C686E" w:rsidRDefault="006C686E">
      <w:pPr>
        <w:keepNext/>
        <w:spacing w:before="40" w:after="0"/>
        <w:jc w:val="both"/>
        <w:rPr>
          <w:rFonts w:ascii="Times New Roman" w:eastAsia="Times New Roman" w:hAnsi="Times New Roman" w:cs="Times New Roman"/>
          <w:noProof/>
          <w:kern w:val="0"/>
          <w14:ligatures w14:val="none"/>
        </w:rPr>
        <w:sectPr w:rsidR="006C686E" w:rsidSect="00C95E00">
          <w:headerReference w:type="even" r:id="rId226"/>
          <w:headerReference w:type="default" r:id="rId227"/>
          <w:footerReference w:type="even" r:id="rId228"/>
          <w:footerReference w:type="default" r:id="rId229"/>
          <w:headerReference w:type="first" r:id="rId230"/>
          <w:footerReference w:type="first" r:id="rId231"/>
          <w:pgSz w:w="16839" w:h="11907" w:orient="landscape"/>
          <w:pgMar w:top="1134" w:right="1134" w:bottom="1134" w:left="1134" w:header="567" w:footer="567" w:gutter="0"/>
          <w:cols w:space="720"/>
          <w:docGrid w:linePitch="360"/>
        </w:sectPr>
      </w:pPr>
    </w:p>
    <w:p w14:paraId="3F6B9546" w14:textId="77777777" w:rsidR="006C686E" w:rsidRDefault="00B17E8C">
      <w:pPr>
        <w:pStyle w:val="P68B1DB1-Normal1"/>
        <w:keepNext/>
        <w:spacing w:before="40" w:after="0"/>
        <w:ind w:left="130" w:firstLine="720"/>
        <w:jc w:val="both"/>
        <w:outlineLvl w:val="1"/>
        <w:rPr>
          <w:rFonts w:eastAsia="Times New Roman"/>
          <w:bCs/>
          <w:noProof/>
        </w:rPr>
      </w:pPr>
      <w:r>
        <w:rPr>
          <w:noProof/>
        </w:rPr>
        <w:t>K. Élément 11: Décarbonation de l’industrie</w:t>
      </w:r>
    </w:p>
    <w:p w14:paraId="1D4A8023" w14:textId="77777777" w:rsidR="006C686E" w:rsidRDefault="00B17E8C">
      <w:pPr>
        <w:pStyle w:val="P68B1DB1-Normal4"/>
        <w:keepNext/>
        <w:spacing w:before="40" w:after="0"/>
        <w:jc w:val="both"/>
        <w:rPr>
          <w:rFonts w:eastAsia="Times New Roman"/>
          <w:noProof/>
        </w:rPr>
      </w:pPr>
      <w:r>
        <w:rPr>
          <w:noProof/>
        </w:rPr>
        <w:t xml:space="preserve">Le volet du plan portugais pour la reprise et la résilience aborde le défi de la contribution de l’industrie et des processus industriels à la réalisation des objectifs de neutralité carbone, tels qu’identifiés dans la feuille de route pour la neutralité carbone à l’horizon 2050 et dans le plan national en matière d’énergie et de climat à l’horizon 2030. Cela nécessite une transformation structurelle, basée sur la reconfiguration de l'activité industrielle, les changements dans les processus de production et la manière dont les ressources sont utilisées. </w:t>
      </w:r>
    </w:p>
    <w:p w14:paraId="4E229329" w14:textId="77777777" w:rsidR="006C686E" w:rsidRDefault="00B17E8C">
      <w:pPr>
        <w:pStyle w:val="P68B1DB1-Normal4"/>
        <w:keepNext/>
        <w:spacing w:before="40" w:after="0"/>
        <w:jc w:val="both"/>
        <w:rPr>
          <w:rFonts w:eastAsia="Times New Roman"/>
          <w:noProof/>
        </w:rPr>
      </w:pPr>
      <w:r>
        <w:rPr>
          <w:noProof/>
        </w:rPr>
        <w:t>La mesure de ce volet vise à promouvoir la décarbonation, l’efficacité énergétique et l’utilisation efficace des ressources, ainsi que l’utilisation de sources d’énergie alternatives dans les processus industriels. Les projets à soutenir seront également liés aux nouvelles technologies, à l'innovation et à la numérisation de l'industrie, en recherchant une plus grande efficacité dans les différents processus de production et d'organisation.</w:t>
      </w:r>
    </w:p>
    <w:p w14:paraId="1F745A92" w14:textId="77777777" w:rsidR="006C686E" w:rsidRDefault="00B17E8C">
      <w:pPr>
        <w:pStyle w:val="P68B1DB1-Normal4"/>
        <w:keepNext/>
        <w:spacing w:before="40" w:after="0"/>
        <w:jc w:val="both"/>
        <w:rPr>
          <w:rFonts w:eastAsia="Times New Roman"/>
          <w:noProof/>
        </w:rPr>
      </w:pPr>
      <w:r>
        <w:rPr>
          <w:noProof/>
        </w:rPr>
        <w:t>Ce volet contribue à la transition climatique de l’industrie portugaise et soutient sa compétitivité. Elle contribue à donner suite aux recommandations par pays concernant les investissements dans la transition écologique, en particulier la production et l’utilisation propres et efficaces de l’énergie (recommandation par pays no 3 de 2020) et les investissements dans la recherche et l’innovation (recommandations par pays no 3 de 2019 et 2020).</w:t>
      </w:r>
    </w:p>
    <w:p w14:paraId="4DC3623D"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p w14:paraId="5B9C97C6" w14:textId="77777777" w:rsidR="006C686E" w:rsidRDefault="00B17E8C">
      <w:pPr>
        <w:pStyle w:val="P68B1DB1-Normal1"/>
        <w:keepNext/>
        <w:spacing w:before="40" w:after="0"/>
        <w:ind w:left="130" w:firstLine="720"/>
        <w:jc w:val="both"/>
        <w:outlineLvl w:val="1"/>
        <w:rPr>
          <w:rFonts w:eastAsia="Times New Roman"/>
          <w:bCs/>
          <w:noProof/>
        </w:rPr>
      </w:pPr>
      <w:r>
        <w:rPr>
          <w:noProof/>
        </w:rPr>
        <w:t>K.1. Description des réformes et des investissements pour le soutien financier non remboursable</w:t>
      </w:r>
    </w:p>
    <w:p w14:paraId="21776A10" w14:textId="77777777" w:rsidR="006C686E" w:rsidRDefault="00B17E8C">
      <w:pPr>
        <w:pStyle w:val="P68B1DB1-Normal5"/>
        <w:keepNext/>
        <w:spacing w:before="240" w:after="0"/>
        <w:ind w:left="851"/>
        <w:jc w:val="both"/>
        <w:outlineLvl w:val="2"/>
        <w:rPr>
          <w:rFonts w:eastAsia="Times New Roman"/>
          <w:noProof/>
        </w:rPr>
      </w:pPr>
      <w:r>
        <w:rPr>
          <w:noProof/>
        </w:rPr>
        <w:t>Investissement TC-C11-i01: Décarbonation de l’industrie</w:t>
      </w:r>
    </w:p>
    <w:p w14:paraId="7D2CA733" w14:textId="77777777" w:rsidR="006C686E" w:rsidRDefault="00B17E8C">
      <w:pPr>
        <w:pStyle w:val="P68B1DB1-Normal4"/>
        <w:keepNext/>
        <w:spacing w:before="40" w:after="0"/>
        <w:jc w:val="both"/>
        <w:rPr>
          <w:noProof/>
        </w:rPr>
      </w:pPr>
      <w:r>
        <w:rPr>
          <w:noProof/>
        </w:rPr>
        <w:t>L’objectif de cette mesure est de soutenir la décarbonation de l’industrie.</w:t>
      </w:r>
    </w:p>
    <w:p w14:paraId="351742FE" w14:textId="77777777" w:rsidR="006C686E" w:rsidRDefault="00B17E8C">
      <w:pPr>
        <w:pStyle w:val="P68B1DB1-Normal4"/>
        <w:keepNext/>
        <w:spacing w:before="40" w:after="0"/>
        <w:jc w:val="both"/>
        <w:rPr>
          <w:rFonts w:eastAsia="Times New Roman"/>
          <w:noProof/>
        </w:rPr>
      </w:pPr>
      <w:r>
        <w:rPr>
          <w:noProof/>
        </w:rPr>
        <w:t xml:space="preserve">Cet investissement consiste en un soutien financier à des projets de décarbonation dans les industries. </w:t>
      </w:r>
    </w:p>
    <w:p w14:paraId="5871E0AA"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sectPr w:rsidR="006C686E" w:rsidSect="00C95E00">
          <w:headerReference w:type="even" r:id="rId232"/>
          <w:headerReference w:type="default" r:id="rId233"/>
          <w:footerReference w:type="even" r:id="rId234"/>
          <w:footerReference w:type="default" r:id="rId235"/>
          <w:headerReference w:type="first" r:id="rId236"/>
          <w:footerReference w:type="first" r:id="rId237"/>
          <w:pgSz w:w="11907" w:h="16839"/>
          <w:pgMar w:top="1134" w:right="1418" w:bottom="1134" w:left="1418" w:header="567" w:footer="567" w:gutter="0"/>
          <w:cols w:space="720"/>
          <w:docGrid w:linePitch="360"/>
        </w:sectPr>
      </w:pPr>
    </w:p>
    <w:p w14:paraId="4EA609AC" w14:textId="252C2ACD" w:rsidR="006C686E" w:rsidRDefault="00B17E8C">
      <w:pPr>
        <w:pStyle w:val="P68B1DB1-Normal1"/>
        <w:keepNext/>
        <w:spacing w:before="40" w:after="0"/>
        <w:ind w:left="130" w:firstLine="12"/>
        <w:jc w:val="center"/>
        <w:outlineLvl w:val="1"/>
        <w:rPr>
          <w:rFonts w:eastAsia="Times New Roman"/>
          <w:bCs/>
          <w:noProof/>
        </w:rPr>
      </w:pPr>
      <w:r>
        <w:rPr>
          <w:noProof/>
        </w:rPr>
        <w:t xml:space="preserve">K.2. </w:t>
      </w:r>
      <w:r>
        <w:rPr>
          <w:noProof/>
        </w:rPr>
        <w:tab/>
        <w:t>Étapes, cibles, indicateurs et calendrier pour le suivi et la mise en œuvre du soutien financier non remboursable</w:t>
      </w:r>
    </w:p>
    <w:tbl>
      <w:tblPr>
        <w:tblpPr w:leftFromText="180" w:rightFromText="180" w:vertAnchor="text" w:tblpX="-176" w:tblpY="1"/>
        <w:tblOverlap w:val="neve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856"/>
        <w:gridCol w:w="1701"/>
        <w:gridCol w:w="1275"/>
        <w:gridCol w:w="993"/>
        <w:gridCol w:w="992"/>
        <w:gridCol w:w="987"/>
        <w:gridCol w:w="425"/>
        <w:gridCol w:w="992"/>
        <w:gridCol w:w="3549"/>
      </w:tblGrid>
      <w:tr w:rsidR="006C686E" w14:paraId="7DF856C8" w14:textId="77777777" w:rsidTr="0024749C">
        <w:trPr>
          <w:trHeight w:val="910"/>
          <w:tblHeader/>
        </w:trPr>
        <w:tc>
          <w:tcPr>
            <w:tcW w:w="1135" w:type="dxa"/>
            <w:vMerge w:val="restart"/>
            <w:shd w:val="clear" w:color="auto" w:fill="BDD6EE"/>
            <w:vAlign w:val="center"/>
            <w:hideMark/>
          </w:tcPr>
          <w:p w14:paraId="52CDEED7" w14:textId="77777777" w:rsidR="006C686E" w:rsidRDefault="00B17E8C">
            <w:pPr>
              <w:pStyle w:val="P68B1DB1-Normal9"/>
              <w:spacing w:after="0" w:line="240" w:lineRule="auto"/>
              <w:jc w:val="center"/>
              <w:rPr>
                <w:rFonts w:eastAsia="Times New Roman"/>
                <w:bCs/>
                <w:noProof/>
              </w:rPr>
            </w:pPr>
            <w:r>
              <w:rPr>
                <w:noProof/>
              </w:rPr>
              <w:t>Numéro séquentiel</w:t>
            </w:r>
          </w:p>
        </w:tc>
        <w:tc>
          <w:tcPr>
            <w:tcW w:w="1554" w:type="dxa"/>
            <w:vMerge w:val="restart"/>
            <w:shd w:val="clear" w:color="auto" w:fill="BDD6EE"/>
            <w:vAlign w:val="center"/>
            <w:hideMark/>
          </w:tcPr>
          <w:p w14:paraId="41508266" w14:textId="77777777" w:rsidR="006C686E" w:rsidRDefault="00B17E8C">
            <w:pPr>
              <w:pStyle w:val="P68B1DB1-Normal9"/>
              <w:spacing w:after="0" w:line="240" w:lineRule="auto"/>
              <w:jc w:val="center"/>
              <w:rPr>
                <w:rFonts w:eastAsia="Times New Roman"/>
                <w:bCs/>
                <w:noProof/>
              </w:rPr>
            </w:pPr>
            <w:r>
              <w:rPr>
                <w:noProof/>
              </w:rPr>
              <w:t>Mesure (réforme ou investissement)</w:t>
            </w:r>
          </w:p>
        </w:tc>
        <w:tc>
          <w:tcPr>
            <w:tcW w:w="856" w:type="dxa"/>
            <w:vMerge w:val="restart"/>
            <w:shd w:val="clear" w:color="auto" w:fill="BDD6EE"/>
            <w:vAlign w:val="center"/>
            <w:hideMark/>
          </w:tcPr>
          <w:p w14:paraId="59A057F9" w14:textId="2B8003CF" w:rsidR="006C686E" w:rsidRDefault="00B17E8C">
            <w:pPr>
              <w:pStyle w:val="P68B1DB1-Normal31"/>
              <w:spacing w:after="0" w:line="240" w:lineRule="auto"/>
              <w:jc w:val="center"/>
              <w:rPr>
                <w:rFonts w:eastAsia="Times New Roman"/>
                <w:b/>
                <w:bCs/>
                <w:noProof/>
              </w:rPr>
            </w:pPr>
            <w:r>
              <w:rPr>
                <w:b/>
                <w:noProof/>
              </w:rPr>
              <w:t>Étape/</w:t>
            </w:r>
            <w:r>
              <w:rPr>
                <w:noProof/>
              </w:rPr>
              <w:br/>
            </w:r>
            <w:r>
              <w:rPr>
                <w:b/>
                <w:noProof/>
              </w:rPr>
              <w:t>Objectif</w:t>
            </w:r>
          </w:p>
        </w:tc>
        <w:tc>
          <w:tcPr>
            <w:tcW w:w="1701" w:type="dxa"/>
            <w:vMerge w:val="restart"/>
            <w:shd w:val="clear" w:color="auto" w:fill="BDD6EE"/>
            <w:vAlign w:val="center"/>
            <w:hideMark/>
          </w:tcPr>
          <w:p w14:paraId="775BC452" w14:textId="77777777" w:rsidR="006C686E" w:rsidRDefault="00B17E8C">
            <w:pPr>
              <w:pStyle w:val="P68B1DB1-Normal9"/>
              <w:spacing w:after="0" w:line="240" w:lineRule="auto"/>
              <w:jc w:val="center"/>
              <w:rPr>
                <w:rFonts w:eastAsia="Times New Roman"/>
                <w:bCs/>
                <w:noProof/>
              </w:rPr>
            </w:pPr>
            <w:r>
              <w:rPr>
                <w:noProof/>
              </w:rPr>
              <w:t>Nom</w:t>
            </w:r>
          </w:p>
        </w:tc>
        <w:tc>
          <w:tcPr>
            <w:tcW w:w="1275" w:type="dxa"/>
            <w:vMerge w:val="restart"/>
            <w:shd w:val="clear" w:color="auto" w:fill="BDD6EE"/>
            <w:vAlign w:val="center"/>
            <w:hideMark/>
          </w:tcPr>
          <w:p w14:paraId="168767F7" w14:textId="77777777" w:rsidR="006C686E" w:rsidRDefault="00B17E8C">
            <w:pPr>
              <w:pStyle w:val="P68B1DB1-Normal9"/>
              <w:spacing w:after="0" w:line="240" w:lineRule="auto"/>
              <w:jc w:val="center"/>
              <w:rPr>
                <w:rFonts w:eastAsia="Times New Roman"/>
                <w:bCs/>
                <w:noProof/>
              </w:rPr>
            </w:pPr>
            <w:r>
              <w:rPr>
                <w:noProof/>
              </w:rPr>
              <w:t>Indicateurs qualitatifs (pour les jalons)</w:t>
            </w:r>
          </w:p>
        </w:tc>
        <w:tc>
          <w:tcPr>
            <w:tcW w:w="2972" w:type="dxa"/>
            <w:gridSpan w:val="3"/>
            <w:shd w:val="clear" w:color="auto" w:fill="BDD6EE"/>
            <w:vAlign w:val="center"/>
            <w:hideMark/>
          </w:tcPr>
          <w:p w14:paraId="63AC310A" w14:textId="77777777" w:rsidR="006C686E" w:rsidRDefault="00B17E8C">
            <w:pPr>
              <w:pStyle w:val="P68B1DB1-Normal9"/>
              <w:spacing w:after="0" w:line="240" w:lineRule="auto"/>
              <w:jc w:val="center"/>
              <w:rPr>
                <w:rFonts w:eastAsia="Times New Roman"/>
                <w:bCs/>
                <w:noProof/>
              </w:rPr>
            </w:pPr>
            <w:r>
              <w:rPr>
                <w:noProof/>
              </w:rPr>
              <w:t>Indicateurs quantitatifs (pour les objectifs)</w:t>
            </w:r>
          </w:p>
        </w:tc>
        <w:tc>
          <w:tcPr>
            <w:tcW w:w="1417" w:type="dxa"/>
            <w:gridSpan w:val="2"/>
            <w:shd w:val="clear" w:color="auto" w:fill="BDD6EE"/>
            <w:vAlign w:val="center"/>
            <w:hideMark/>
          </w:tcPr>
          <w:p w14:paraId="5FE24351" w14:textId="77777777" w:rsidR="006C686E" w:rsidRDefault="00B17E8C">
            <w:pPr>
              <w:pStyle w:val="P68B1DB1-Normal9"/>
              <w:spacing w:after="0" w:line="240" w:lineRule="auto"/>
              <w:jc w:val="center"/>
              <w:rPr>
                <w:rFonts w:eastAsia="Times New Roman"/>
                <w:bCs/>
                <w:noProof/>
              </w:rPr>
            </w:pPr>
            <w:r>
              <w:rPr>
                <w:noProof/>
              </w:rPr>
              <w:t>Calendrier indicatif d'achèvement</w:t>
            </w:r>
          </w:p>
        </w:tc>
        <w:tc>
          <w:tcPr>
            <w:tcW w:w="3549" w:type="dxa"/>
            <w:vMerge w:val="restart"/>
            <w:shd w:val="clear" w:color="auto" w:fill="BDD6EE"/>
            <w:vAlign w:val="center"/>
            <w:hideMark/>
          </w:tcPr>
          <w:p w14:paraId="063D6FD8" w14:textId="77777777" w:rsidR="006C686E" w:rsidRDefault="00B17E8C">
            <w:pPr>
              <w:pStyle w:val="P68B1DB1-Normal9"/>
              <w:spacing w:after="0" w:line="240" w:lineRule="auto"/>
              <w:jc w:val="center"/>
              <w:rPr>
                <w:rFonts w:eastAsia="Times New Roman"/>
                <w:bCs/>
                <w:noProof/>
              </w:rPr>
            </w:pPr>
            <w:r>
              <w:rPr>
                <w:noProof/>
              </w:rPr>
              <w:t>Description et définition claire de chaque jalon et cible</w:t>
            </w:r>
          </w:p>
        </w:tc>
      </w:tr>
      <w:tr w:rsidR="006C686E" w14:paraId="654A4C9E" w14:textId="77777777" w:rsidTr="0024749C">
        <w:trPr>
          <w:trHeight w:val="470"/>
          <w:tblHeader/>
        </w:trPr>
        <w:tc>
          <w:tcPr>
            <w:tcW w:w="1135" w:type="dxa"/>
            <w:vMerge/>
            <w:vAlign w:val="center"/>
            <w:hideMark/>
          </w:tcPr>
          <w:p w14:paraId="3B262207"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c>
          <w:tcPr>
            <w:tcW w:w="1554" w:type="dxa"/>
            <w:vMerge/>
            <w:vAlign w:val="center"/>
            <w:hideMark/>
          </w:tcPr>
          <w:p w14:paraId="40F44B9F"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c>
          <w:tcPr>
            <w:tcW w:w="856" w:type="dxa"/>
            <w:vMerge/>
            <w:vAlign w:val="center"/>
            <w:hideMark/>
          </w:tcPr>
          <w:p w14:paraId="7705EDDF" w14:textId="77777777" w:rsidR="006C686E" w:rsidRDefault="006C686E">
            <w:pPr>
              <w:spacing w:after="0" w:line="240" w:lineRule="auto"/>
              <w:jc w:val="center"/>
              <w:rPr>
                <w:rFonts w:ascii="Times New Roman" w:eastAsia="Times New Roman" w:hAnsi="Times New Roman" w:cs="Times New Roman"/>
                <w:b/>
                <w:bCs/>
                <w:noProof/>
                <w:kern w:val="0"/>
                <w:sz w:val="16"/>
                <w:szCs w:val="16"/>
                <w14:ligatures w14:val="none"/>
              </w:rPr>
            </w:pPr>
          </w:p>
        </w:tc>
        <w:tc>
          <w:tcPr>
            <w:tcW w:w="1701" w:type="dxa"/>
            <w:vMerge/>
            <w:vAlign w:val="center"/>
            <w:hideMark/>
          </w:tcPr>
          <w:p w14:paraId="39837F6B"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c>
          <w:tcPr>
            <w:tcW w:w="1275" w:type="dxa"/>
            <w:vMerge/>
            <w:vAlign w:val="center"/>
            <w:hideMark/>
          </w:tcPr>
          <w:p w14:paraId="04BC0C02"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c>
          <w:tcPr>
            <w:tcW w:w="993" w:type="dxa"/>
            <w:shd w:val="clear" w:color="auto" w:fill="BDD6EE"/>
            <w:vAlign w:val="center"/>
            <w:hideMark/>
          </w:tcPr>
          <w:p w14:paraId="3D255DED" w14:textId="77777777" w:rsidR="006C686E" w:rsidRDefault="00B17E8C">
            <w:pPr>
              <w:pStyle w:val="P68B1DB1-Normal9"/>
              <w:spacing w:after="0" w:line="240" w:lineRule="auto"/>
              <w:jc w:val="center"/>
              <w:rPr>
                <w:rFonts w:eastAsia="Times New Roman"/>
                <w:bCs/>
                <w:noProof/>
              </w:rPr>
            </w:pPr>
            <w:r>
              <w:rPr>
                <w:noProof/>
              </w:rPr>
              <w:t>Unité de mesure</w:t>
            </w:r>
          </w:p>
        </w:tc>
        <w:tc>
          <w:tcPr>
            <w:tcW w:w="992" w:type="dxa"/>
            <w:shd w:val="clear" w:color="auto" w:fill="BDD6EE"/>
            <w:vAlign w:val="center"/>
            <w:hideMark/>
          </w:tcPr>
          <w:p w14:paraId="5D912596" w14:textId="77777777" w:rsidR="006C686E" w:rsidRDefault="00B17E8C">
            <w:pPr>
              <w:pStyle w:val="P68B1DB1-Normal9"/>
              <w:spacing w:after="0" w:line="240" w:lineRule="auto"/>
              <w:jc w:val="center"/>
              <w:rPr>
                <w:rFonts w:eastAsia="Times New Roman"/>
                <w:bCs/>
                <w:noProof/>
              </w:rPr>
            </w:pPr>
            <w:r>
              <w:rPr>
                <w:noProof/>
              </w:rPr>
              <w:t>Données de référence</w:t>
            </w:r>
          </w:p>
        </w:tc>
        <w:tc>
          <w:tcPr>
            <w:tcW w:w="987" w:type="dxa"/>
            <w:shd w:val="clear" w:color="auto" w:fill="BDD6EE"/>
            <w:vAlign w:val="center"/>
            <w:hideMark/>
          </w:tcPr>
          <w:p w14:paraId="245BD930" w14:textId="77777777" w:rsidR="006C686E" w:rsidRDefault="00B17E8C">
            <w:pPr>
              <w:pStyle w:val="P68B1DB1-Normal9"/>
              <w:spacing w:after="0" w:line="240" w:lineRule="auto"/>
              <w:jc w:val="center"/>
              <w:rPr>
                <w:rFonts w:eastAsia="Times New Roman"/>
                <w:bCs/>
                <w:noProof/>
              </w:rPr>
            </w:pPr>
            <w:r>
              <w:rPr>
                <w:noProof/>
              </w:rPr>
              <w:t>Objectif</w:t>
            </w:r>
          </w:p>
        </w:tc>
        <w:tc>
          <w:tcPr>
            <w:tcW w:w="425" w:type="dxa"/>
            <w:shd w:val="clear" w:color="auto" w:fill="BDD6EE"/>
            <w:vAlign w:val="center"/>
            <w:hideMark/>
          </w:tcPr>
          <w:p w14:paraId="72A7DD47" w14:textId="77777777" w:rsidR="006C686E" w:rsidRDefault="00B17E8C">
            <w:pPr>
              <w:pStyle w:val="P68B1DB1-Normal9"/>
              <w:spacing w:after="0" w:line="240" w:lineRule="auto"/>
              <w:jc w:val="center"/>
              <w:rPr>
                <w:rFonts w:eastAsia="Times New Roman"/>
                <w:bCs/>
                <w:noProof/>
              </w:rPr>
            </w:pPr>
            <w:r>
              <w:rPr>
                <w:noProof/>
              </w:rPr>
              <w:t>Q</w:t>
            </w:r>
          </w:p>
        </w:tc>
        <w:tc>
          <w:tcPr>
            <w:tcW w:w="992" w:type="dxa"/>
            <w:shd w:val="clear" w:color="auto" w:fill="BDD6EE"/>
            <w:vAlign w:val="center"/>
            <w:hideMark/>
          </w:tcPr>
          <w:p w14:paraId="2CE0DAA4" w14:textId="77777777" w:rsidR="006C686E" w:rsidRDefault="00B17E8C">
            <w:pPr>
              <w:pStyle w:val="P68B1DB1-Normal9"/>
              <w:spacing w:after="0" w:line="240" w:lineRule="auto"/>
              <w:jc w:val="center"/>
              <w:rPr>
                <w:rFonts w:eastAsia="Times New Roman"/>
                <w:bCs/>
                <w:noProof/>
              </w:rPr>
            </w:pPr>
            <w:r>
              <w:rPr>
                <w:noProof/>
              </w:rPr>
              <w:t>Année</w:t>
            </w:r>
          </w:p>
        </w:tc>
        <w:tc>
          <w:tcPr>
            <w:tcW w:w="3549" w:type="dxa"/>
            <w:vMerge/>
            <w:vAlign w:val="center"/>
            <w:hideMark/>
          </w:tcPr>
          <w:p w14:paraId="49308425" w14:textId="77777777" w:rsidR="006C686E" w:rsidRDefault="006C686E">
            <w:pPr>
              <w:spacing w:after="0" w:line="240" w:lineRule="auto"/>
              <w:rPr>
                <w:rFonts w:ascii="Times New Roman" w:eastAsia="Times New Roman" w:hAnsi="Times New Roman" w:cs="Times New Roman"/>
                <w:b/>
                <w:bCs/>
                <w:noProof/>
                <w:kern w:val="0"/>
                <w:sz w:val="16"/>
                <w:szCs w:val="16"/>
                <w14:ligatures w14:val="none"/>
              </w:rPr>
            </w:pPr>
          </w:p>
        </w:tc>
      </w:tr>
      <w:tr w:rsidR="006C686E" w14:paraId="6399BACD" w14:textId="77777777" w:rsidTr="0024749C">
        <w:trPr>
          <w:trHeight w:val="630"/>
        </w:trPr>
        <w:tc>
          <w:tcPr>
            <w:tcW w:w="1135" w:type="dxa"/>
            <w:shd w:val="clear" w:color="auto" w:fill="C4EFCE"/>
            <w:vAlign w:val="center"/>
            <w:hideMark/>
          </w:tcPr>
          <w:p w14:paraId="6E6A26AF" w14:textId="77777777" w:rsidR="006C686E" w:rsidRDefault="00B17E8C">
            <w:pPr>
              <w:pStyle w:val="P68B1DB1-Normal10"/>
              <w:spacing w:after="0" w:line="240" w:lineRule="auto"/>
              <w:jc w:val="center"/>
              <w:rPr>
                <w:rFonts w:eastAsia="Times New Roman"/>
                <w:bCs/>
                <w:noProof/>
              </w:rPr>
            </w:pPr>
            <w:r>
              <w:rPr>
                <w:noProof/>
              </w:rPr>
              <w:t>11.1</w:t>
            </w:r>
          </w:p>
        </w:tc>
        <w:tc>
          <w:tcPr>
            <w:tcW w:w="1554" w:type="dxa"/>
            <w:shd w:val="clear" w:color="auto" w:fill="C4EFCE"/>
            <w:noWrap/>
            <w:vAlign w:val="center"/>
            <w:hideMark/>
          </w:tcPr>
          <w:p w14:paraId="795AE6E1" w14:textId="77777777" w:rsidR="006C686E" w:rsidRDefault="00B17E8C">
            <w:pPr>
              <w:pStyle w:val="P68B1DB1-Normal11"/>
              <w:spacing w:after="0" w:line="240" w:lineRule="auto"/>
              <w:jc w:val="center"/>
              <w:rPr>
                <w:rFonts w:eastAsia="Times New Roman"/>
                <w:noProof/>
              </w:rPr>
            </w:pPr>
            <w:r>
              <w:rPr>
                <w:noProof/>
              </w:rPr>
              <w:t>TC-C11-i01</w:t>
            </w:r>
          </w:p>
        </w:tc>
        <w:tc>
          <w:tcPr>
            <w:tcW w:w="856" w:type="dxa"/>
            <w:shd w:val="clear" w:color="auto" w:fill="C4EFCE"/>
            <w:noWrap/>
            <w:vAlign w:val="center"/>
            <w:hideMark/>
          </w:tcPr>
          <w:p w14:paraId="2F5847BD" w14:textId="77777777" w:rsidR="006C686E" w:rsidRDefault="00B17E8C">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68C4FD31" w14:textId="77777777" w:rsidR="006C686E" w:rsidRDefault="00B17E8C">
            <w:pPr>
              <w:pStyle w:val="P68B1DB1-Normal11"/>
              <w:spacing w:after="0" w:line="240" w:lineRule="auto"/>
              <w:jc w:val="center"/>
              <w:rPr>
                <w:rFonts w:eastAsia="Times New Roman"/>
                <w:noProof/>
              </w:rPr>
            </w:pPr>
            <w:r>
              <w:rPr>
                <w:noProof/>
              </w:rPr>
              <w:t xml:space="preserve">Premier appel d’offres pour des projets de décarbonation industrielle </w:t>
            </w:r>
          </w:p>
        </w:tc>
        <w:tc>
          <w:tcPr>
            <w:tcW w:w="1275" w:type="dxa"/>
            <w:shd w:val="clear" w:color="auto" w:fill="C4EFCE"/>
            <w:noWrap/>
            <w:vAlign w:val="center"/>
            <w:hideMark/>
          </w:tcPr>
          <w:p w14:paraId="68323157" w14:textId="77777777" w:rsidR="006C686E" w:rsidRDefault="00B17E8C">
            <w:pPr>
              <w:pStyle w:val="P68B1DB1-Normal11"/>
              <w:spacing w:after="0" w:line="240" w:lineRule="auto"/>
              <w:jc w:val="center"/>
              <w:rPr>
                <w:rFonts w:eastAsia="Times New Roman"/>
                <w:noProof/>
              </w:rPr>
            </w:pPr>
            <w:r>
              <w:rPr>
                <w:noProof/>
              </w:rPr>
              <w:t>Ouverture du premier appel d'offres</w:t>
            </w:r>
          </w:p>
        </w:tc>
        <w:tc>
          <w:tcPr>
            <w:tcW w:w="993" w:type="dxa"/>
            <w:shd w:val="clear" w:color="auto" w:fill="C4EFCE"/>
            <w:noWrap/>
            <w:vAlign w:val="center"/>
            <w:hideMark/>
          </w:tcPr>
          <w:p w14:paraId="689BD010"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3C89E083" w14:textId="77777777" w:rsidR="006C686E" w:rsidRDefault="00B17E8C">
            <w:pPr>
              <w:pStyle w:val="P68B1DB1-Normal11"/>
              <w:spacing w:after="0" w:line="240" w:lineRule="auto"/>
              <w:jc w:val="center"/>
              <w:rPr>
                <w:rFonts w:eastAsia="Times New Roman"/>
                <w:noProof/>
              </w:rPr>
            </w:pPr>
            <w:r>
              <w:rPr>
                <w:noProof/>
              </w:rPr>
              <w:t xml:space="preserve"> </w:t>
            </w:r>
          </w:p>
        </w:tc>
        <w:tc>
          <w:tcPr>
            <w:tcW w:w="987" w:type="dxa"/>
            <w:shd w:val="clear" w:color="auto" w:fill="C4EFCE"/>
            <w:noWrap/>
            <w:vAlign w:val="center"/>
            <w:hideMark/>
          </w:tcPr>
          <w:p w14:paraId="1076CE3F" w14:textId="77777777" w:rsidR="006C686E" w:rsidRDefault="00B17E8C">
            <w:pPr>
              <w:pStyle w:val="P68B1DB1-Normal11"/>
              <w:spacing w:after="0" w:line="240" w:lineRule="auto"/>
              <w:jc w:val="center"/>
              <w:rPr>
                <w:rFonts w:eastAsia="Times New Roman"/>
                <w:noProof/>
              </w:rPr>
            </w:pPr>
            <w:r>
              <w:rPr>
                <w:noProof/>
              </w:rPr>
              <w:t xml:space="preserve"> </w:t>
            </w:r>
          </w:p>
        </w:tc>
        <w:tc>
          <w:tcPr>
            <w:tcW w:w="425" w:type="dxa"/>
            <w:shd w:val="clear" w:color="auto" w:fill="C4EFCE"/>
            <w:noWrap/>
            <w:vAlign w:val="center"/>
            <w:hideMark/>
          </w:tcPr>
          <w:p w14:paraId="38D2F365" w14:textId="77777777" w:rsidR="006C686E" w:rsidRDefault="00B17E8C">
            <w:pPr>
              <w:pStyle w:val="P68B1DB1-Normal11"/>
              <w:spacing w:after="0" w:line="240" w:lineRule="auto"/>
              <w:jc w:val="center"/>
              <w:rPr>
                <w:rFonts w:eastAsia="Times New Roman"/>
                <w:noProof/>
              </w:rPr>
            </w:pPr>
            <w:r>
              <w:rPr>
                <w:noProof/>
              </w:rPr>
              <w:t>T4</w:t>
            </w:r>
          </w:p>
        </w:tc>
        <w:tc>
          <w:tcPr>
            <w:tcW w:w="992" w:type="dxa"/>
            <w:shd w:val="clear" w:color="auto" w:fill="C4EFCE"/>
            <w:noWrap/>
            <w:vAlign w:val="center"/>
            <w:hideMark/>
          </w:tcPr>
          <w:p w14:paraId="0FD03F7D" w14:textId="77777777" w:rsidR="006C686E" w:rsidRDefault="00B17E8C">
            <w:pPr>
              <w:pStyle w:val="P68B1DB1-Normal11"/>
              <w:spacing w:after="0" w:line="240" w:lineRule="auto"/>
              <w:jc w:val="center"/>
              <w:rPr>
                <w:rFonts w:eastAsia="Times New Roman"/>
                <w:noProof/>
              </w:rPr>
            </w:pPr>
            <w:r>
              <w:rPr>
                <w:noProof/>
              </w:rPr>
              <w:t>2021</w:t>
            </w:r>
          </w:p>
        </w:tc>
        <w:tc>
          <w:tcPr>
            <w:tcW w:w="3549" w:type="dxa"/>
            <w:shd w:val="clear" w:color="auto" w:fill="C4EFCE"/>
            <w:vAlign w:val="center"/>
            <w:hideMark/>
          </w:tcPr>
          <w:p w14:paraId="43205110" w14:textId="77777777" w:rsidR="006C686E" w:rsidRDefault="00B17E8C">
            <w:pPr>
              <w:pStyle w:val="P68B1DB1-Normal11"/>
              <w:spacing w:after="0" w:line="240" w:lineRule="auto"/>
              <w:jc w:val="both"/>
              <w:rPr>
                <w:rFonts w:eastAsia="Times New Roman"/>
                <w:noProof/>
              </w:rPr>
            </w:pPr>
            <w:r>
              <w:rPr>
                <w:noProof/>
              </w:rPr>
              <w:t xml:space="preserve">Ouverture du premier appel à propositions pour des projets de décarbonation industrielle portant sur au moins un des domaines suivants: procédés et technologies à faibles émissions de carbone; l'adoption de mesures d'efficacité énergétique; l'intégration des énergies renouvelables et le stockage de l'énergie; et l’autonomisation des entreprises. </w:t>
            </w:r>
          </w:p>
          <w:p w14:paraId="49D2A48F" w14:textId="77777777" w:rsidR="006C686E" w:rsidRDefault="00B17E8C">
            <w:pPr>
              <w:pStyle w:val="P68B1DB1-Normal11"/>
              <w:spacing w:after="0" w:line="240" w:lineRule="auto"/>
              <w:jc w:val="both"/>
              <w:rPr>
                <w:rFonts w:eastAsia="Times New Roman"/>
                <w:noProof/>
              </w:rPr>
            </w:pPr>
            <w:r>
              <w:rPr>
                <w:noProof/>
              </w:rPr>
              <w:t xml:space="preserve">Le mandat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w:t>
            </w:r>
          </w:p>
          <w:p w14:paraId="30FFE24F" w14:textId="77777777" w:rsidR="006C686E" w:rsidRDefault="00B17E8C">
            <w:pPr>
              <w:pStyle w:val="P68B1DB1-Normal11"/>
              <w:spacing w:after="0" w:line="240" w:lineRule="auto"/>
              <w:jc w:val="both"/>
              <w:rPr>
                <w:rFonts w:eastAsia="Times New Roman"/>
                <w:noProof/>
              </w:rPr>
            </w:pPr>
            <w:r>
              <w:rPr>
                <w:noProof/>
              </w:rPr>
              <w:t>Cet appel d’offres garantit une réduction moyenne de 30 % des émissions directes et indirectes de gaz à effet de serre pour les installations industrielles bénéficiant d’un soutien pour des projets correspondant au domaine d’intervention 024ter. Les projets présentant l’efficacité de décarbonation la plus élevée sont soutenus en priorité.</w:t>
            </w:r>
          </w:p>
        </w:tc>
      </w:tr>
      <w:tr w:rsidR="006C686E" w14:paraId="6D6AF2CB" w14:textId="77777777" w:rsidTr="0024749C">
        <w:trPr>
          <w:trHeight w:val="630"/>
        </w:trPr>
        <w:tc>
          <w:tcPr>
            <w:tcW w:w="1135" w:type="dxa"/>
            <w:shd w:val="clear" w:color="auto" w:fill="C4EFCE"/>
            <w:vAlign w:val="center"/>
            <w:hideMark/>
          </w:tcPr>
          <w:p w14:paraId="1BA03CF7" w14:textId="77777777" w:rsidR="006C686E" w:rsidRDefault="00B17E8C">
            <w:pPr>
              <w:pStyle w:val="P68B1DB1-Normal10"/>
              <w:spacing w:after="0" w:line="240" w:lineRule="auto"/>
              <w:jc w:val="center"/>
              <w:rPr>
                <w:rFonts w:eastAsia="Times New Roman"/>
                <w:bCs/>
                <w:noProof/>
              </w:rPr>
            </w:pPr>
            <w:r>
              <w:rPr>
                <w:noProof/>
              </w:rPr>
              <w:t>11.2</w:t>
            </w:r>
          </w:p>
        </w:tc>
        <w:tc>
          <w:tcPr>
            <w:tcW w:w="1554" w:type="dxa"/>
            <w:shd w:val="clear" w:color="auto" w:fill="C4EFCE"/>
            <w:noWrap/>
            <w:vAlign w:val="center"/>
            <w:hideMark/>
          </w:tcPr>
          <w:p w14:paraId="6D4F982F" w14:textId="77777777" w:rsidR="006C686E" w:rsidRDefault="00B17E8C">
            <w:pPr>
              <w:pStyle w:val="P68B1DB1-Normal11"/>
              <w:spacing w:after="0" w:line="240" w:lineRule="auto"/>
              <w:jc w:val="center"/>
              <w:rPr>
                <w:rFonts w:eastAsia="Times New Roman"/>
                <w:noProof/>
              </w:rPr>
            </w:pPr>
            <w:r>
              <w:rPr>
                <w:noProof/>
              </w:rPr>
              <w:t>TC-C11-i01</w:t>
            </w:r>
          </w:p>
        </w:tc>
        <w:tc>
          <w:tcPr>
            <w:tcW w:w="856" w:type="dxa"/>
            <w:shd w:val="clear" w:color="auto" w:fill="C4EFCE"/>
            <w:noWrap/>
            <w:vAlign w:val="center"/>
            <w:hideMark/>
          </w:tcPr>
          <w:p w14:paraId="218E35B7" w14:textId="77777777" w:rsidR="006C686E" w:rsidRDefault="00B17E8C">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67AF8405" w14:textId="77777777" w:rsidR="006C686E" w:rsidRDefault="00B17E8C">
            <w:pPr>
              <w:pStyle w:val="P68B1DB1-Normal11"/>
              <w:spacing w:after="0" w:line="240" w:lineRule="auto"/>
              <w:jc w:val="center"/>
              <w:rPr>
                <w:rFonts w:eastAsia="Times New Roman"/>
                <w:noProof/>
              </w:rPr>
            </w:pPr>
            <w:r>
              <w:rPr>
                <w:noProof/>
              </w:rPr>
              <w:t>Signature des contrats octroyant un soutien financier</w:t>
            </w:r>
          </w:p>
        </w:tc>
        <w:tc>
          <w:tcPr>
            <w:tcW w:w="1275" w:type="dxa"/>
            <w:shd w:val="clear" w:color="auto" w:fill="C4EFCE"/>
            <w:noWrap/>
            <w:vAlign w:val="center"/>
            <w:hideMark/>
          </w:tcPr>
          <w:p w14:paraId="5368AC26" w14:textId="77777777" w:rsidR="006C686E" w:rsidRDefault="00B17E8C">
            <w:pPr>
              <w:pStyle w:val="P68B1DB1-Normal11"/>
              <w:spacing w:after="0" w:line="240" w:lineRule="auto"/>
              <w:jc w:val="center"/>
              <w:rPr>
                <w:rFonts w:eastAsia="Times New Roman"/>
                <w:noProof/>
              </w:rPr>
            </w:pPr>
            <w:r>
              <w:rPr>
                <w:noProof/>
              </w:rPr>
              <w:t>Signature des contrats octroyant un soutien financier</w:t>
            </w:r>
          </w:p>
        </w:tc>
        <w:tc>
          <w:tcPr>
            <w:tcW w:w="993" w:type="dxa"/>
            <w:shd w:val="clear" w:color="auto" w:fill="C4EFCE"/>
            <w:noWrap/>
            <w:vAlign w:val="center"/>
            <w:hideMark/>
          </w:tcPr>
          <w:p w14:paraId="71A12311"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4DCB2748" w14:textId="572CC174"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87" w:type="dxa"/>
            <w:shd w:val="clear" w:color="auto" w:fill="C4EFCE"/>
            <w:noWrap/>
            <w:vAlign w:val="center"/>
          </w:tcPr>
          <w:p w14:paraId="05AEC269" w14:textId="0A7C21E3"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5" w:type="dxa"/>
            <w:shd w:val="clear" w:color="auto" w:fill="C4EFCE"/>
            <w:noWrap/>
            <w:vAlign w:val="center"/>
            <w:hideMark/>
          </w:tcPr>
          <w:p w14:paraId="1C64F40A" w14:textId="77777777" w:rsidR="006C686E" w:rsidRDefault="00B17E8C">
            <w:pPr>
              <w:pStyle w:val="P68B1DB1-Normal11"/>
              <w:spacing w:after="0" w:line="240" w:lineRule="auto"/>
              <w:jc w:val="center"/>
              <w:rPr>
                <w:rFonts w:eastAsia="Times New Roman"/>
                <w:noProof/>
              </w:rPr>
            </w:pPr>
            <w:r>
              <w:rPr>
                <w:noProof/>
              </w:rPr>
              <w:t>T4</w:t>
            </w:r>
          </w:p>
        </w:tc>
        <w:tc>
          <w:tcPr>
            <w:tcW w:w="992" w:type="dxa"/>
            <w:shd w:val="clear" w:color="auto" w:fill="C4EFCE"/>
            <w:noWrap/>
            <w:vAlign w:val="center"/>
            <w:hideMark/>
          </w:tcPr>
          <w:p w14:paraId="67F2D875" w14:textId="77777777" w:rsidR="006C686E" w:rsidRDefault="00B17E8C">
            <w:pPr>
              <w:pStyle w:val="P68B1DB1-Normal11"/>
              <w:spacing w:after="0" w:line="240" w:lineRule="auto"/>
              <w:jc w:val="center"/>
              <w:rPr>
                <w:rFonts w:eastAsia="Times New Roman"/>
                <w:noProof/>
              </w:rPr>
            </w:pPr>
            <w:r>
              <w:rPr>
                <w:noProof/>
              </w:rPr>
              <w:t>2023</w:t>
            </w:r>
          </w:p>
        </w:tc>
        <w:tc>
          <w:tcPr>
            <w:tcW w:w="3549" w:type="dxa"/>
            <w:shd w:val="clear" w:color="auto" w:fill="C4EFCE"/>
            <w:vAlign w:val="center"/>
            <w:hideMark/>
          </w:tcPr>
          <w:p w14:paraId="6A66DC83" w14:textId="743E49AB" w:rsidR="006C686E" w:rsidRDefault="00B17E8C">
            <w:pPr>
              <w:pStyle w:val="P68B1DB1-Normal11"/>
              <w:spacing w:after="0" w:line="240" w:lineRule="auto"/>
              <w:jc w:val="both"/>
              <w:rPr>
                <w:rFonts w:eastAsia="Times New Roman"/>
                <w:noProof/>
              </w:rPr>
            </w:pPr>
            <w:r>
              <w:rPr>
                <w:noProof/>
              </w:rPr>
              <w:t xml:space="preserve">Au moins 383 000 000 EUR octroyés pour des projets de décarbonation industrielle portant sur au moins l’un des domaines suivants: procédés et technologies à faibles émissions de carbone; l'adoption de mesures d'efficacité énergétique; l'intégration des énergies renouvelables et le stockage de l'énergie; et l’autonomisation des entreprises. </w:t>
            </w:r>
          </w:p>
          <w:p w14:paraId="07268FE5" w14:textId="77777777" w:rsidR="006C686E" w:rsidRDefault="00B17E8C">
            <w:pPr>
              <w:pStyle w:val="P68B1DB1-Normal11"/>
              <w:spacing w:after="0" w:line="240" w:lineRule="auto"/>
              <w:jc w:val="both"/>
              <w:rPr>
                <w:rFonts w:eastAsia="Times New Roman"/>
                <w:noProof/>
              </w:rPr>
            </w:pPr>
            <w:r>
              <w:rPr>
                <w:noProof/>
              </w:rPr>
              <w:t>L’attribution des marchés aux projets sélectionnés dans le cadre des appels à propositions concurrentiels mentionnés au jalon ci-dessus garantit le respect des orientations techniques «Ne pas causer de préjudice important» (2021/C58/01) grâce à l’utilisation d’une liste d’exclusion et à l’exigence de conformité avec la législation environnementale pertinente de l’UE et nationale.</w:t>
            </w:r>
          </w:p>
        </w:tc>
      </w:tr>
      <w:tr w:rsidR="006C686E" w14:paraId="73DFC44D" w14:textId="77777777" w:rsidTr="0024749C">
        <w:trPr>
          <w:trHeight w:val="886"/>
        </w:trPr>
        <w:tc>
          <w:tcPr>
            <w:tcW w:w="1135" w:type="dxa"/>
            <w:shd w:val="clear" w:color="auto" w:fill="C4EFCE"/>
            <w:vAlign w:val="center"/>
            <w:hideMark/>
          </w:tcPr>
          <w:p w14:paraId="3AF15533" w14:textId="77777777" w:rsidR="006C686E" w:rsidRDefault="00B17E8C">
            <w:pPr>
              <w:pStyle w:val="P68B1DB1-Normal10"/>
              <w:spacing w:after="0" w:line="240" w:lineRule="auto"/>
              <w:jc w:val="center"/>
              <w:rPr>
                <w:rFonts w:eastAsia="Times New Roman"/>
                <w:bCs/>
                <w:noProof/>
              </w:rPr>
            </w:pPr>
            <w:r>
              <w:rPr>
                <w:noProof/>
              </w:rPr>
              <w:t>11.3</w:t>
            </w:r>
          </w:p>
        </w:tc>
        <w:tc>
          <w:tcPr>
            <w:tcW w:w="1554" w:type="dxa"/>
            <w:shd w:val="clear" w:color="auto" w:fill="C4EFCE"/>
            <w:noWrap/>
            <w:vAlign w:val="center"/>
            <w:hideMark/>
          </w:tcPr>
          <w:p w14:paraId="575E5E51" w14:textId="77777777" w:rsidR="006C686E" w:rsidRDefault="00B17E8C">
            <w:pPr>
              <w:pStyle w:val="P68B1DB1-Normal11"/>
              <w:spacing w:after="0" w:line="240" w:lineRule="auto"/>
              <w:jc w:val="center"/>
              <w:rPr>
                <w:rFonts w:eastAsia="Times New Roman"/>
                <w:noProof/>
              </w:rPr>
            </w:pPr>
            <w:r>
              <w:rPr>
                <w:noProof/>
              </w:rPr>
              <w:t>TC-C11-i01</w:t>
            </w:r>
          </w:p>
        </w:tc>
        <w:tc>
          <w:tcPr>
            <w:tcW w:w="856" w:type="dxa"/>
            <w:shd w:val="clear" w:color="auto" w:fill="C4EFCE"/>
            <w:noWrap/>
            <w:vAlign w:val="center"/>
            <w:hideMark/>
          </w:tcPr>
          <w:p w14:paraId="5A552CA1" w14:textId="77777777" w:rsidR="006C686E" w:rsidRDefault="00B17E8C">
            <w:pPr>
              <w:pStyle w:val="P68B1DB1-Normal11"/>
              <w:spacing w:after="0" w:line="240" w:lineRule="auto"/>
              <w:jc w:val="center"/>
              <w:rPr>
                <w:rFonts w:eastAsia="Times New Roman"/>
                <w:noProof/>
              </w:rPr>
            </w:pPr>
            <w:r>
              <w:rPr>
                <w:noProof/>
              </w:rPr>
              <w:t>T</w:t>
            </w:r>
          </w:p>
        </w:tc>
        <w:tc>
          <w:tcPr>
            <w:tcW w:w="1701" w:type="dxa"/>
            <w:shd w:val="clear" w:color="auto" w:fill="C4EFCE"/>
            <w:noWrap/>
            <w:vAlign w:val="center"/>
            <w:hideMark/>
          </w:tcPr>
          <w:p w14:paraId="109E0936" w14:textId="77777777" w:rsidR="006C686E" w:rsidRDefault="00B17E8C">
            <w:pPr>
              <w:pStyle w:val="P68B1DB1-Normal11"/>
              <w:spacing w:after="0" w:line="240" w:lineRule="auto"/>
              <w:jc w:val="center"/>
              <w:rPr>
                <w:rFonts w:eastAsia="Times New Roman"/>
                <w:noProof/>
              </w:rPr>
            </w:pPr>
            <w:r>
              <w:rPr>
                <w:noProof/>
              </w:rPr>
              <w:t>Soutien financier</w:t>
            </w:r>
          </w:p>
        </w:tc>
        <w:tc>
          <w:tcPr>
            <w:tcW w:w="1275" w:type="dxa"/>
            <w:shd w:val="clear" w:color="auto" w:fill="C4EFCE"/>
            <w:noWrap/>
            <w:vAlign w:val="center"/>
            <w:hideMark/>
          </w:tcPr>
          <w:p w14:paraId="19D4259A" w14:textId="77777777" w:rsidR="006C686E" w:rsidRDefault="00B17E8C">
            <w:pPr>
              <w:pStyle w:val="P68B1DB1-Normal11"/>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7AB33545" w14:textId="77777777" w:rsidR="006C686E" w:rsidRDefault="00B17E8C">
            <w:pPr>
              <w:pStyle w:val="P68B1DB1-Normal11"/>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480F9E56" w14:textId="77777777" w:rsidR="006C686E" w:rsidRDefault="00B17E8C">
            <w:pPr>
              <w:pStyle w:val="P68B1DB1-Normal11"/>
              <w:spacing w:after="0" w:line="240" w:lineRule="auto"/>
              <w:jc w:val="center"/>
              <w:rPr>
                <w:rFonts w:eastAsia="Times New Roman"/>
                <w:noProof/>
              </w:rPr>
            </w:pPr>
            <w:r>
              <w:rPr>
                <w:noProof/>
              </w:rPr>
              <w:t>0</w:t>
            </w:r>
          </w:p>
        </w:tc>
        <w:tc>
          <w:tcPr>
            <w:tcW w:w="987" w:type="dxa"/>
            <w:shd w:val="clear" w:color="auto" w:fill="C4EFCE"/>
            <w:noWrap/>
            <w:vAlign w:val="center"/>
            <w:hideMark/>
          </w:tcPr>
          <w:p w14:paraId="1A3A3644" w14:textId="77777777" w:rsidR="006C686E" w:rsidRDefault="00B17E8C">
            <w:pPr>
              <w:pStyle w:val="P68B1DB1-Normal11"/>
              <w:spacing w:after="0" w:line="240" w:lineRule="auto"/>
              <w:jc w:val="center"/>
              <w:rPr>
                <w:rFonts w:eastAsia="Times New Roman"/>
                <w:noProof/>
              </w:rPr>
            </w:pPr>
            <w:r>
              <w:rPr>
                <w:noProof/>
              </w:rPr>
              <w:t>310</w:t>
            </w:r>
          </w:p>
        </w:tc>
        <w:tc>
          <w:tcPr>
            <w:tcW w:w="425" w:type="dxa"/>
            <w:shd w:val="clear" w:color="auto" w:fill="C4EFCE"/>
            <w:noWrap/>
            <w:vAlign w:val="center"/>
            <w:hideMark/>
          </w:tcPr>
          <w:p w14:paraId="46408D31" w14:textId="77777777" w:rsidR="006C686E" w:rsidRDefault="00B17E8C">
            <w:pPr>
              <w:pStyle w:val="P68B1DB1-Normal11"/>
              <w:spacing w:after="0" w:line="240" w:lineRule="auto"/>
              <w:jc w:val="center"/>
              <w:rPr>
                <w:rFonts w:eastAsia="Times New Roman"/>
                <w:noProof/>
              </w:rPr>
            </w:pPr>
            <w:r>
              <w:rPr>
                <w:noProof/>
              </w:rPr>
              <w:t>T2</w:t>
            </w:r>
          </w:p>
        </w:tc>
        <w:tc>
          <w:tcPr>
            <w:tcW w:w="992" w:type="dxa"/>
            <w:shd w:val="clear" w:color="auto" w:fill="C4EFCE"/>
            <w:noWrap/>
            <w:vAlign w:val="center"/>
            <w:hideMark/>
          </w:tcPr>
          <w:p w14:paraId="35757D5F" w14:textId="77777777" w:rsidR="006C686E" w:rsidRDefault="00B17E8C">
            <w:pPr>
              <w:pStyle w:val="P68B1DB1-Normal11"/>
              <w:spacing w:after="0" w:line="240" w:lineRule="auto"/>
              <w:jc w:val="center"/>
              <w:rPr>
                <w:rFonts w:eastAsia="Times New Roman"/>
                <w:noProof/>
              </w:rPr>
            </w:pPr>
            <w:r>
              <w:rPr>
                <w:noProof/>
              </w:rPr>
              <w:t>2025</w:t>
            </w:r>
          </w:p>
        </w:tc>
        <w:tc>
          <w:tcPr>
            <w:tcW w:w="3549" w:type="dxa"/>
            <w:shd w:val="clear" w:color="auto" w:fill="C4EFCE"/>
            <w:vAlign w:val="center"/>
            <w:hideMark/>
          </w:tcPr>
          <w:p w14:paraId="775786EA" w14:textId="77777777" w:rsidR="006C686E" w:rsidRDefault="00B17E8C">
            <w:pPr>
              <w:pStyle w:val="P68B1DB1-Normal11"/>
              <w:spacing w:after="0" w:line="240" w:lineRule="auto"/>
              <w:jc w:val="both"/>
              <w:rPr>
                <w:rFonts w:eastAsia="Times New Roman"/>
                <w:noProof/>
              </w:rPr>
            </w:pPr>
            <w:r>
              <w:rPr>
                <w:noProof/>
              </w:rPr>
              <w:t>Nombre de projets ayant bénéficié d’un soutien financier au titre de cette mesure.</w:t>
            </w:r>
          </w:p>
        </w:tc>
      </w:tr>
    </w:tbl>
    <w:p w14:paraId="6A7AC391" w14:textId="77777777" w:rsidR="006C686E" w:rsidRDefault="006C686E">
      <w:pPr>
        <w:keepNext/>
        <w:spacing w:before="40" w:after="0"/>
        <w:jc w:val="both"/>
        <w:outlineLvl w:val="1"/>
        <w:rPr>
          <w:rFonts w:ascii="Times New Roman" w:eastAsia="Times New Roman" w:hAnsi="Times New Roman" w:cs="Times New Roman"/>
          <w:bCs/>
          <w:noProof/>
          <w:kern w:val="0"/>
          <w:szCs w:val="26"/>
          <w:u w:val="single"/>
          <w14:ligatures w14:val="none"/>
        </w:rPr>
        <w:sectPr w:rsidR="006C686E" w:rsidSect="00C95E00">
          <w:headerReference w:type="even" r:id="rId238"/>
          <w:headerReference w:type="default" r:id="rId239"/>
          <w:footerReference w:type="even" r:id="rId240"/>
          <w:footerReference w:type="default" r:id="rId241"/>
          <w:headerReference w:type="first" r:id="rId242"/>
          <w:footerReference w:type="first" r:id="rId243"/>
          <w:pgSz w:w="16839" w:h="11907" w:orient="landscape"/>
          <w:pgMar w:top="1134" w:right="1134" w:bottom="1134" w:left="1134" w:header="567" w:footer="567" w:gutter="0"/>
          <w:cols w:space="720"/>
          <w:docGrid w:linePitch="360"/>
        </w:sectPr>
      </w:pPr>
    </w:p>
    <w:p w14:paraId="02AD8CC9" w14:textId="77777777" w:rsidR="006C686E" w:rsidRDefault="00B17E8C">
      <w:pPr>
        <w:pStyle w:val="P68B1DB1-Normal18"/>
        <w:spacing w:before="40" w:after="0" w:line="259" w:lineRule="auto"/>
        <w:ind w:left="130" w:firstLine="720"/>
        <w:jc w:val="both"/>
        <w:outlineLvl w:val="1"/>
        <w:rPr>
          <w:rFonts w:eastAsiaTheme="minorEastAsia" w:cs="Times New Roman"/>
          <w:bCs/>
          <w:noProof/>
        </w:rPr>
      </w:pPr>
      <w:r>
        <w:rPr>
          <w:noProof/>
        </w:rPr>
        <w:t>L. Élément 12: Bioéconomie</w:t>
      </w:r>
    </w:p>
    <w:p w14:paraId="56FEBF34" w14:textId="77777777" w:rsidR="006C686E" w:rsidRDefault="00B17E8C">
      <w:pPr>
        <w:pStyle w:val="P68B1DB1-Normal22"/>
        <w:spacing w:before="40" w:after="0" w:line="259" w:lineRule="auto"/>
        <w:jc w:val="both"/>
        <w:rPr>
          <w:rFonts w:eastAsiaTheme="minorEastAsia" w:cs="Times New Roman"/>
          <w:noProof/>
        </w:rPr>
      </w:pPr>
      <w:r>
        <w:rPr>
          <w:noProof/>
        </w:rPr>
        <w:t xml:space="preserve">Ce volet relève le défi du développement d’une bioéconomie viable, durable, circulaire et compétitive. Une telle transition devrait soutenir la modernisation et la consolidation de l’industrie en créant de nouvelles chaînes de valeur et des processus industriels plus écologiques. </w:t>
      </w:r>
    </w:p>
    <w:p w14:paraId="05FA12FA" w14:textId="3150CD43" w:rsidR="006C686E" w:rsidRDefault="00B17E8C">
      <w:pPr>
        <w:pStyle w:val="P68B1DB1-Normal22"/>
        <w:spacing w:before="40" w:after="0" w:line="259" w:lineRule="auto"/>
        <w:jc w:val="both"/>
        <w:rPr>
          <w:rFonts w:eastAsiaTheme="minorEastAsia" w:cs="Times New Roman"/>
          <w:noProof/>
        </w:rPr>
      </w:pPr>
      <w:r>
        <w:rPr>
          <w:noProof/>
        </w:rPr>
        <w:t>L'objectif de ce volet est de promouvoir et d'accélérer le développement de produits à haute valeur ajoutée à partir de ressources biologiques comme alternative aux matériaux d'origine fossile.</w:t>
      </w:r>
    </w:p>
    <w:p w14:paraId="65B6A635" w14:textId="77777777" w:rsidR="006C686E" w:rsidRDefault="00B17E8C">
      <w:pPr>
        <w:pStyle w:val="P68B1DB1-Normal22"/>
        <w:spacing w:before="40" w:after="0" w:line="259" w:lineRule="auto"/>
        <w:jc w:val="both"/>
        <w:rPr>
          <w:noProof/>
        </w:rPr>
      </w:pPr>
      <w:r>
        <w:rPr>
          <w:noProof/>
        </w:rPr>
        <w:t xml:space="preserve">Les mesures de ce volet visent à soutenir les changements structurels liés à cette transition et contribuent à relever les défis mondiaux et locaux actuels, notamment le changement climatique, la réduction de la dépendance à l’égard des ressources fossiles et le développement durable. Trois secteurs (textiles et vêtements, chaussures et résine naturelle) doivent être spécifiquement soutenus pour le développement de bioproduits et pour une utilisation plus efficace des ressources. </w:t>
      </w:r>
    </w:p>
    <w:p w14:paraId="2B133199" w14:textId="77777777" w:rsidR="006C686E" w:rsidRDefault="00B17E8C">
      <w:pPr>
        <w:pStyle w:val="P68B1DB1-Normal22"/>
        <w:spacing w:before="40" w:after="0" w:line="259" w:lineRule="auto"/>
        <w:jc w:val="both"/>
        <w:rPr>
          <w:rFonts w:eastAsiaTheme="minorEastAsia" w:cs="Times New Roman"/>
          <w:noProof/>
        </w:rPr>
      </w:pPr>
      <w:r>
        <w:rPr>
          <w:noProof/>
        </w:rPr>
        <w:t xml:space="preserve">Le volet soutient la mise en œuvre des recommandations par pays concernant les investissements dans la transition écologique, en particulier dans la production et l’utilisation propres et efficaces de l’énergie (recommandation par pays no 3 de 2020), dans la recherche et l’innovation (recommandations par pays no 3 de 2019 et 2020) et dans la transition vers une économie circulaire, notamment en renforçant la prévention, le recyclage et la réutilisation des déchets afin de les détourner des décharges et des incinérateurs (recommandation par pays no 3 de 2022 et 2023). </w:t>
      </w:r>
    </w:p>
    <w:p w14:paraId="1A62751B" w14:textId="77777777" w:rsidR="006C686E" w:rsidRDefault="00B17E8C">
      <w:pPr>
        <w:pStyle w:val="P68B1DB1-Normal22"/>
        <w:spacing w:before="40" w:after="0" w:line="259" w:lineRule="auto"/>
        <w:jc w:val="both"/>
        <w:rPr>
          <w:rFonts w:eastAsiaTheme="minorEastAsia"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4E333AF7" w14:textId="77777777" w:rsidR="006C686E" w:rsidRDefault="006C686E">
      <w:pPr>
        <w:spacing w:before="40" w:after="0" w:line="259" w:lineRule="auto"/>
        <w:jc w:val="both"/>
        <w:rPr>
          <w:rFonts w:ascii="Times New Roman" w:eastAsiaTheme="minorEastAsia" w:hAnsi="Times New Roman" w:cs="Times New Roman"/>
          <w:noProof/>
        </w:rPr>
      </w:pPr>
    </w:p>
    <w:p w14:paraId="1E69EB60" w14:textId="77777777" w:rsidR="006C686E" w:rsidRDefault="00B17E8C">
      <w:pPr>
        <w:pStyle w:val="P68B1DB1-Normal18"/>
        <w:spacing w:before="40" w:after="0" w:line="259" w:lineRule="auto"/>
        <w:ind w:left="130" w:firstLine="720"/>
        <w:jc w:val="both"/>
        <w:outlineLvl w:val="1"/>
        <w:rPr>
          <w:rFonts w:eastAsiaTheme="minorEastAsia" w:cs="Times New Roman"/>
          <w:bCs/>
          <w:noProof/>
        </w:rPr>
      </w:pPr>
      <w:r>
        <w:rPr>
          <w:noProof/>
        </w:rPr>
        <w:t>L.1. Description des réformes et des investissements pour le soutien financier non remboursable</w:t>
      </w:r>
    </w:p>
    <w:p w14:paraId="60778CF4" w14:textId="77777777" w:rsidR="006C686E" w:rsidRDefault="00B17E8C">
      <w:pPr>
        <w:pStyle w:val="P68B1DB1-Normal21"/>
        <w:spacing w:before="240" w:after="0" w:line="259" w:lineRule="auto"/>
        <w:ind w:left="851"/>
        <w:jc w:val="both"/>
        <w:outlineLvl w:val="2"/>
        <w:rPr>
          <w:rFonts w:eastAsiaTheme="minorEastAsia" w:cs="Times New Roman"/>
          <w:noProof/>
        </w:rPr>
      </w:pPr>
      <w:r>
        <w:rPr>
          <w:noProof/>
        </w:rPr>
        <w:t>Réforme TC-r25: Bioéconomie durable</w:t>
      </w:r>
    </w:p>
    <w:p w14:paraId="656746A1" w14:textId="77777777" w:rsidR="006C686E" w:rsidRDefault="00B17E8C">
      <w:pPr>
        <w:pStyle w:val="P68B1DB1-Normal22"/>
        <w:spacing w:before="40" w:after="0" w:line="259" w:lineRule="auto"/>
        <w:jc w:val="both"/>
        <w:rPr>
          <w:rFonts w:eastAsiaTheme="minorEastAsia" w:cs="Times New Roman"/>
          <w:noProof/>
        </w:rPr>
      </w:pPr>
      <w:r>
        <w:rPr>
          <w:noProof/>
        </w:rPr>
        <w:t>L'objectif de la réforme est de promouvoir et d'encourager la conservation et l'utilisation efficace des ressources biologiques. La réforme s’inscrit dans le plan d’action du Portugal pour une bioéconomie durable, qui fait l’objet d’une consultation publique et sert de cadre stratégique pour le développement durable national. Dans le cadre des efforts visant à promouvoir la bioéconomie, le Portugal évalue également les incitations fiscales susceptibles de renforcer la substitution des ressources naturelles non renouvelables par d’autres ressources biosourcées.</w:t>
      </w:r>
    </w:p>
    <w:p w14:paraId="460D6E19" w14:textId="77777777" w:rsidR="006C686E" w:rsidRDefault="00B17E8C">
      <w:pPr>
        <w:pStyle w:val="P68B1DB1-Normal22"/>
        <w:spacing w:before="40" w:after="0" w:line="259" w:lineRule="auto"/>
        <w:jc w:val="both"/>
        <w:rPr>
          <w:rFonts w:eastAsiaTheme="minorEastAsia" w:cs="Times New Roman"/>
          <w:noProof/>
        </w:rPr>
      </w:pPr>
      <w:r>
        <w:rPr>
          <w:noProof/>
        </w:rPr>
        <w:t xml:space="preserve">La réforme consistera en un nouveau système général de gestion des déchets (RGGR) et en l’inclusion de critères pour l’achat de bioproduits durables dans la révision de la stratégie nationale pour les marchés publics écologiques. Cette réforme vise à lever les principaux obstacles et contraintes identifiés dans la valorisation des ressources biologiques pour le développement d’une bio-industrie durable et circulaire, dans le respect du principe de la cascade. </w:t>
      </w:r>
    </w:p>
    <w:p w14:paraId="0C45863C" w14:textId="77777777" w:rsidR="006C686E" w:rsidRDefault="00B17E8C">
      <w:pPr>
        <w:pStyle w:val="P68B1DB1-Normal22"/>
        <w:spacing w:before="40" w:after="0" w:line="259" w:lineRule="auto"/>
        <w:jc w:val="both"/>
        <w:rPr>
          <w:rFonts w:eastAsiaTheme="minorEastAsia" w:cs="Times New Roman"/>
          <w:noProof/>
        </w:rPr>
      </w:pPr>
      <w:r>
        <w:rPr>
          <w:noProof/>
        </w:rPr>
        <w:t>La mise en œuvre du nouveau système général de gestion des déchets supprime au moins les contraintes liées à l’utilisation de sous-produits ou de déchets pour de nouveaux produits en simplifiant les procédures de classification des substances ou objets en tant que sous-produits, y compris en provenance d’autres pays de l’UE. Le nouveau système général de gestion des déchets a été adopté en décembre 2020.</w:t>
      </w:r>
    </w:p>
    <w:p w14:paraId="623B5468" w14:textId="77777777" w:rsidR="006C686E" w:rsidRDefault="00B17E8C">
      <w:pPr>
        <w:pStyle w:val="P68B1DB1-Normal22"/>
        <w:spacing w:before="40" w:after="0" w:line="259" w:lineRule="auto"/>
        <w:jc w:val="both"/>
        <w:rPr>
          <w:rFonts w:eastAsiaTheme="minorEastAsia" w:cs="Times New Roman"/>
          <w:noProof/>
        </w:rPr>
      </w:pPr>
      <w:r>
        <w:rPr>
          <w:noProof/>
        </w:rPr>
        <w:t xml:space="preserve">La stratégie nationale pour des marchés publics écologiques est révisée afin d’inclure au moins des critères écologiques obligatoires liés à l’achat de services et de produits (notamment dans le domaine de la construction), intégrant des bioproduits durables. </w:t>
      </w:r>
    </w:p>
    <w:p w14:paraId="192204DB" w14:textId="77777777" w:rsidR="006C686E" w:rsidRDefault="00B17E8C">
      <w:pPr>
        <w:pStyle w:val="P68B1DB1-Normal22"/>
        <w:keepNext/>
        <w:spacing w:before="40" w:after="0" w:line="259" w:lineRule="auto"/>
        <w:jc w:val="both"/>
        <w:rPr>
          <w:rFonts w:eastAsiaTheme="minorEastAsia" w:cs="Times New Roman"/>
          <w:noProof/>
        </w:rPr>
      </w:pPr>
      <w:r>
        <w:rPr>
          <w:noProof/>
        </w:rPr>
        <w:t>La mise en œuvre de la réforme est achevée au plus tard le 30 septembre 2022.</w:t>
      </w:r>
    </w:p>
    <w:p w14:paraId="49210EB0" w14:textId="77777777" w:rsidR="006C686E" w:rsidRDefault="00B17E8C">
      <w:pPr>
        <w:pStyle w:val="P68B1DB1-Normal21"/>
        <w:keepNext/>
        <w:spacing w:before="240" w:after="0" w:line="259" w:lineRule="auto"/>
        <w:ind w:left="851"/>
        <w:jc w:val="both"/>
        <w:outlineLvl w:val="2"/>
        <w:rPr>
          <w:rFonts w:eastAsiaTheme="minorEastAsia" w:cs="Times New Roman"/>
          <w:noProof/>
        </w:rPr>
      </w:pPr>
      <w:r>
        <w:rPr>
          <w:noProof/>
        </w:rPr>
        <w:t>Investissement TC-C12-i01: Bioéconomie</w:t>
      </w:r>
    </w:p>
    <w:p w14:paraId="143D5A92"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L’objectif de l’investissement est de soutenir la bioéconomie. </w:t>
      </w:r>
    </w:p>
    <w:p w14:paraId="6DF2AB5F" w14:textId="35264D02" w:rsidR="006C686E" w:rsidRDefault="00B17E8C">
      <w:pPr>
        <w:pStyle w:val="P68B1DB1-Normal22"/>
        <w:keepNext/>
        <w:spacing w:before="40" w:after="0" w:line="259" w:lineRule="auto"/>
        <w:jc w:val="both"/>
        <w:rPr>
          <w:noProof/>
        </w:rPr>
      </w:pPr>
      <w:r>
        <w:rPr>
          <w:noProof/>
        </w:rPr>
        <w:t>L'investissement consiste en des produits de bioéconomie et des procédés pilotes industriels dans les secteurs du textile, de la chaussure et de la résine naturelle.</w:t>
      </w:r>
    </w:p>
    <w:p w14:paraId="11A55FB0" w14:textId="7256D041" w:rsidR="006C686E" w:rsidRDefault="00B17E8C">
      <w:pPr>
        <w:pStyle w:val="P68B1DB1-Normal21"/>
        <w:keepNext/>
        <w:spacing w:before="240" w:after="0" w:line="259" w:lineRule="auto"/>
        <w:ind w:left="851"/>
        <w:jc w:val="both"/>
        <w:outlineLvl w:val="2"/>
        <w:rPr>
          <w:rFonts w:eastAsiaTheme="minorEastAsia" w:cs="Times New Roman"/>
          <w:noProof/>
        </w:rPr>
      </w:pPr>
      <w:r>
        <w:rPr>
          <w:noProof/>
        </w:rPr>
        <w:t>Réforme TC-C12-r39: Économie circulaire et gestion des déchets</w:t>
      </w:r>
    </w:p>
    <w:p w14:paraId="1054A64D" w14:textId="07803624" w:rsidR="006C686E" w:rsidRDefault="00B17E8C">
      <w:pPr>
        <w:pStyle w:val="P68B1DB1-Normal22"/>
        <w:spacing w:beforeLines="40" w:before="96" w:after="0" w:line="22" w:lineRule="atLeast"/>
        <w:jc w:val="both"/>
        <w:rPr>
          <w:noProof/>
        </w:rPr>
      </w:pPr>
      <w:r>
        <w:rPr>
          <w:noProof/>
        </w:rPr>
        <w:t>La réforme vise à soutenir la gestion des déchets et l’économie circulaire.</w:t>
      </w:r>
    </w:p>
    <w:p w14:paraId="1A7C96C4" w14:textId="77777777" w:rsidR="006C686E" w:rsidRDefault="00B17E8C">
      <w:pPr>
        <w:pStyle w:val="P68B1DB1-Normal22"/>
        <w:spacing w:beforeLines="40" w:before="96" w:after="0" w:line="22" w:lineRule="atLeast"/>
        <w:jc w:val="both"/>
        <w:rPr>
          <w:noProof/>
        </w:rPr>
      </w:pPr>
      <w:r>
        <w:rPr>
          <w:noProof/>
        </w:rPr>
        <w:t>La réforme consiste en des règles révisées d’écomodulation à utiliser par les producteurs, un régime d’incitation pour les bouteilles non réutilisables et un régime de reprise pour les déchets électriques et électroniques.</w:t>
      </w:r>
      <w:r>
        <w:rPr>
          <w:noProof/>
        </w:rPr>
        <w:br/>
      </w:r>
    </w:p>
    <w:p w14:paraId="38B098EC" w14:textId="77777777" w:rsidR="006C686E" w:rsidRDefault="00B17E8C">
      <w:pPr>
        <w:pStyle w:val="P68B1DB1-Normal21"/>
        <w:keepNext/>
        <w:spacing w:before="240" w:after="0" w:line="259" w:lineRule="auto"/>
        <w:ind w:left="851"/>
        <w:jc w:val="both"/>
        <w:outlineLvl w:val="2"/>
        <w:rPr>
          <w:rFonts w:eastAsiaTheme="minorEastAsia" w:cs="Times New Roman"/>
          <w:noProof/>
        </w:rPr>
      </w:pPr>
      <w:r>
        <w:rPr>
          <w:noProof/>
        </w:rPr>
        <w:t>Investissement TC-C12-i02: Recyclage et valorisation des déchets</w:t>
      </w:r>
    </w:p>
    <w:p w14:paraId="6D5A1B76" w14:textId="77777777" w:rsidR="006C686E" w:rsidRDefault="00B17E8C">
      <w:pPr>
        <w:pStyle w:val="P68B1DB1-Normal22"/>
        <w:keepNext/>
        <w:spacing w:before="40" w:after="0" w:line="259" w:lineRule="auto"/>
        <w:jc w:val="both"/>
        <w:rPr>
          <w:rFonts w:eastAsiaTheme="minorEastAsia" w:cs="Times New Roman"/>
          <w:noProof/>
        </w:rPr>
      </w:pPr>
      <w:r>
        <w:rPr>
          <w:noProof/>
        </w:rPr>
        <w:t>L’investissement vise à accroître les capacités de collecte, de réutilisation, de recyclage et de valorisation des déchets au Portugal.</w:t>
      </w:r>
    </w:p>
    <w:p w14:paraId="34DC754E" w14:textId="73A6D846" w:rsidR="006C686E" w:rsidRDefault="00B17E8C">
      <w:pPr>
        <w:pStyle w:val="P68B1DB1-Normal22"/>
        <w:keepNext/>
        <w:spacing w:before="40" w:after="0" w:line="259" w:lineRule="auto"/>
        <w:jc w:val="both"/>
        <w:rPr>
          <w:rFonts w:eastAsiaTheme="minorEastAsia" w:cs="Times New Roman"/>
          <w:noProof/>
        </w:rPr>
      </w:pPr>
      <w:r>
        <w:rPr>
          <w:noProof/>
        </w:rPr>
        <w:t xml:space="preserve">L'investissement consiste en la livraison d'équipements pour la collecte des déchets, l'installation d'équipements pour le tri des déchets, l'installation d'équipements pour le traitement des eaux usées, ainsi que la construction d'une unité de tri des emballages. </w:t>
      </w:r>
    </w:p>
    <w:p w14:paraId="3C7BEE03" w14:textId="77777777" w:rsidR="006C686E" w:rsidRDefault="006C686E">
      <w:pPr>
        <w:keepNext/>
        <w:spacing w:before="40" w:after="0" w:line="259" w:lineRule="auto"/>
        <w:jc w:val="both"/>
        <w:rPr>
          <w:rFonts w:ascii="Times New Roman" w:eastAsiaTheme="minorEastAsia" w:hAnsi="Times New Roman" w:cs="Times New Roman"/>
          <w:noProof/>
        </w:rPr>
        <w:sectPr w:rsidR="006C686E" w:rsidSect="00C95E00">
          <w:headerReference w:type="even" r:id="rId244"/>
          <w:headerReference w:type="default" r:id="rId245"/>
          <w:footerReference w:type="even" r:id="rId246"/>
          <w:footerReference w:type="default" r:id="rId247"/>
          <w:headerReference w:type="first" r:id="rId248"/>
          <w:footerReference w:type="first" r:id="rId249"/>
          <w:pgSz w:w="11907" w:h="16839"/>
          <w:pgMar w:top="1134" w:right="1418" w:bottom="1134" w:left="1418" w:header="567" w:footer="567" w:gutter="0"/>
          <w:cols w:space="720"/>
          <w:docGrid w:linePitch="360"/>
        </w:sectPr>
      </w:pPr>
    </w:p>
    <w:p w14:paraId="7966AB9F" w14:textId="77777777" w:rsidR="006C686E" w:rsidRDefault="00B17E8C">
      <w:pPr>
        <w:pStyle w:val="P68B1DB1-Normal18"/>
        <w:keepNext/>
        <w:spacing w:before="40" w:after="0" w:line="259" w:lineRule="auto"/>
        <w:jc w:val="center"/>
        <w:rPr>
          <w:rFonts w:eastAsiaTheme="minorEastAsia" w:cs="Times New Roman"/>
          <w:noProof/>
        </w:rPr>
      </w:pPr>
      <w:r>
        <w:rPr>
          <w:noProof/>
        </w:rPr>
        <w:t xml:space="preserve">L.2. </w:t>
      </w:r>
      <w:r>
        <w:rPr>
          <w:noProof/>
        </w:rPr>
        <w:tab/>
        <w:t>Étapes, cibles, indicateurs et calendrier pour le suivi et la mise en œuvre du soutien financier non remboursable</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417"/>
        <w:gridCol w:w="1418"/>
        <w:gridCol w:w="992"/>
        <w:gridCol w:w="1530"/>
        <w:gridCol w:w="993"/>
        <w:gridCol w:w="1021"/>
        <w:gridCol w:w="850"/>
        <w:gridCol w:w="425"/>
        <w:gridCol w:w="851"/>
        <w:gridCol w:w="3798"/>
      </w:tblGrid>
      <w:tr w:rsidR="006C686E" w14:paraId="3FE4B7FC" w14:textId="77777777" w:rsidTr="0024749C">
        <w:trPr>
          <w:trHeight w:val="910"/>
          <w:tblHead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2D2FE5A"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374ABD2"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DF06B22" w14:textId="77777777" w:rsidR="006C686E" w:rsidRDefault="00B17E8C">
            <w:pPr>
              <w:pStyle w:val="P68B1DB1-Normal24"/>
              <w:spacing w:after="0" w:line="240" w:lineRule="auto"/>
              <w:jc w:val="center"/>
              <w:rPr>
                <w:rFonts w:eastAsia="Times New Roman"/>
                <w:bCs/>
                <w:noProof/>
              </w:rPr>
            </w:pPr>
            <w:r>
              <w:rPr>
                <w:noProof/>
              </w:rPr>
              <w:t>Étape/objectif</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B4ADB02" w14:textId="77777777" w:rsidR="006C686E" w:rsidRDefault="00B17E8C">
            <w:pPr>
              <w:pStyle w:val="P68B1DB1-Normal24"/>
              <w:spacing w:after="0" w:line="240" w:lineRule="auto"/>
              <w:jc w:val="center"/>
              <w:rPr>
                <w:rFonts w:eastAsia="Times New Roman"/>
                <w:bCs/>
                <w:noProof/>
              </w:rPr>
            </w:pPr>
            <w:r>
              <w:rPr>
                <w:noProof/>
              </w:rPr>
              <w:t>Nom</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1C0A588"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286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769B2905"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981A41F"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379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D82041E"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328D3F00" w14:textId="77777777" w:rsidTr="0024749C">
        <w:trPr>
          <w:trHeight w:val="470"/>
          <w:tblHead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44730428" w14:textId="77777777" w:rsidR="006C686E" w:rsidRDefault="006C686E">
            <w:pPr>
              <w:spacing w:after="0" w:line="240" w:lineRule="auto"/>
              <w:rPr>
                <w:rFonts w:ascii="Times New Roman" w:eastAsia="Times New Roman" w:hAnsi="Times New Roman" w:cs="Times New Roman"/>
                <w:b/>
                <w:bCs/>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B73428F"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CD1B20"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A9676C9"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5957E6E4"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C41ABEC" w14:textId="77777777" w:rsidR="006C686E" w:rsidRDefault="00B17E8C">
            <w:pPr>
              <w:pStyle w:val="P68B1DB1-Normal24"/>
              <w:spacing w:after="0" w:line="240" w:lineRule="auto"/>
              <w:jc w:val="center"/>
              <w:rPr>
                <w:rFonts w:eastAsia="Times New Roman"/>
                <w:bCs/>
                <w:noProof/>
              </w:rPr>
            </w:pPr>
            <w:r>
              <w:rPr>
                <w:noProof/>
              </w:rPr>
              <w:t>Unité de mesure</w:t>
            </w:r>
          </w:p>
        </w:tc>
        <w:tc>
          <w:tcPr>
            <w:tcW w:w="102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E6D3036"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DDF594A" w14:textId="77777777" w:rsidR="006C686E" w:rsidRDefault="00B17E8C">
            <w:pPr>
              <w:pStyle w:val="P68B1DB1-Normal24"/>
              <w:spacing w:after="0" w:line="240" w:lineRule="auto"/>
              <w:jc w:val="center"/>
              <w:rPr>
                <w:rFonts w:eastAsia="Times New Roman"/>
                <w:bCs/>
                <w:noProof/>
              </w:rPr>
            </w:pPr>
            <w:r>
              <w:rPr>
                <w:noProof/>
              </w:rPr>
              <w:t>Objectif</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C714545" w14:textId="77777777" w:rsidR="006C686E" w:rsidRDefault="00B17E8C">
            <w:pPr>
              <w:pStyle w:val="P68B1DB1-Normal24"/>
              <w:spacing w:after="0" w:line="240" w:lineRule="auto"/>
              <w:jc w:val="center"/>
              <w:rPr>
                <w:rFonts w:eastAsia="Times New Roman"/>
                <w:bCs/>
                <w:noProof/>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07B5CA9" w14:textId="77777777" w:rsidR="006C686E" w:rsidRDefault="00B17E8C">
            <w:pPr>
              <w:pStyle w:val="P68B1DB1-Normal24"/>
              <w:spacing w:after="0" w:line="240" w:lineRule="auto"/>
              <w:jc w:val="center"/>
              <w:rPr>
                <w:rFonts w:eastAsia="Times New Roman"/>
                <w:bCs/>
                <w:noProof/>
              </w:rPr>
            </w:pPr>
            <w:r>
              <w:rPr>
                <w:noProof/>
              </w:rPr>
              <w:t>Année</w:t>
            </w:r>
          </w:p>
        </w:tc>
        <w:tc>
          <w:tcPr>
            <w:tcW w:w="3798" w:type="dxa"/>
            <w:vMerge/>
            <w:tcBorders>
              <w:top w:val="single" w:sz="4" w:space="0" w:color="auto"/>
              <w:left w:val="single" w:sz="4" w:space="0" w:color="auto"/>
              <w:bottom w:val="single" w:sz="4" w:space="0" w:color="auto"/>
              <w:right w:val="single" w:sz="4" w:space="0" w:color="auto"/>
            </w:tcBorders>
            <w:vAlign w:val="center"/>
            <w:hideMark/>
          </w:tcPr>
          <w:p w14:paraId="179E64C9"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5F99E552" w14:textId="77777777" w:rsidTr="0024749C">
        <w:trPr>
          <w:trHeight w:val="42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FB6A905" w14:textId="77777777" w:rsidR="006C686E" w:rsidRDefault="00B17E8C">
            <w:pPr>
              <w:pStyle w:val="P68B1DB1-Normal25"/>
              <w:spacing w:after="0" w:line="240" w:lineRule="auto"/>
              <w:jc w:val="center"/>
              <w:rPr>
                <w:rFonts w:eastAsia="Times New Roman"/>
                <w:bCs/>
                <w:noProof/>
              </w:rPr>
            </w:pPr>
            <w:r>
              <w:rPr>
                <w:noProof/>
              </w:rPr>
              <w:t>12.1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7F07FC" w14:textId="77777777" w:rsidR="006C686E" w:rsidRDefault="00B17E8C">
            <w:pPr>
              <w:pStyle w:val="P68B1DB1-Normal26"/>
              <w:spacing w:after="0" w:line="240" w:lineRule="auto"/>
              <w:jc w:val="center"/>
              <w:rPr>
                <w:rFonts w:eastAsia="Times New Roman"/>
                <w:noProof/>
              </w:rPr>
            </w:pPr>
            <w:r>
              <w:rPr>
                <w:noProof/>
              </w:rPr>
              <w:t>TC-C12-i01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6224A4" w14:textId="77777777" w:rsidR="006C686E" w:rsidRDefault="00B17E8C">
            <w:pPr>
              <w:pStyle w:val="P68B1DB1-Normal26"/>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4761A" w14:textId="41D3DC29" w:rsidR="006C686E" w:rsidRDefault="00B17E8C">
            <w:pPr>
              <w:pStyle w:val="P68B1DB1-Normal26"/>
              <w:spacing w:after="0" w:line="240" w:lineRule="auto"/>
              <w:jc w:val="center"/>
              <w:rPr>
                <w:rFonts w:eastAsia="Times New Roman"/>
                <w:noProof/>
              </w:rPr>
            </w:pPr>
            <w:r>
              <w:rPr>
                <w:noProof/>
              </w:rPr>
              <w:t>Signature du protocole 2021 du programme «Resineiros Vigilantes»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3AB12" w14:textId="7E17314F" w:rsidR="006C686E" w:rsidRDefault="00B17E8C">
            <w:pPr>
              <w:pStyle w:val="P68B1DB1-Normal26"/>
              <w:spacing w:after="0" w:line="240" w:lineRule="auto"/>
              <w:jc w:val="center"/>
              <w:rPr>
                <w:rFonts w:eastAsia="Times New Roman"/>
                <w:noProof/>
              </w:rPr>
            </w:pPr>
            <w:r>
              <w:rPr>
                <w:noProof/>
              </w:rPr>
              <w:t>Signature du protocole 2021 du programme «Resineiros Vigilantes»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56B365" w14:textId="39C7A303"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2D0C12" w14:textId="3AC57BBA"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34FB56" w14:textId="45285142"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AE231" w14:textId="77777777" w:rsidR="006C686E" w:rsidRDefault="00B17E8C">
            <w:pPr>
              <w:pStyle w:val="P68B1DB1-Normal26"/>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4445E" w14:textId="77777777" w:rsidR="006C686E" w:rsidRDefault="00B17E8C">
            <w:pPr>
              <w:pStyle w:val="P68B1DB1-Normal26"/>
              <w:spacing w:after="0" w:line="240" w:lineRule="auto"/>
              <w:jc w:val="center"/>
              <w:rPr>
                <w:rFonts w:eastAsia="Times New Roman"/>
                <w:noProof/>
              </w:rPr>
            </w:pPr>
            <w:r>
              <w:rPr>
                <w:noProof/>
              </w:rPr>
              <w:t>2021</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001FD0CC" w14:textId="77777777" w:rsidR="006C686E" w:rsidRDefault="00B17E8C">
            <w:pPr>
              <w:pStyle w:val="P68B1DB1-Normal26"/>
              <w:spacing w:after="0" w:line="240" w:lineRule="auto"/>
              <w:jc w:val="both"/>
              <w:rPr>
                <w:rFonts w:eastAsia="Times New Roman"/>
                <w:noProof/>
              </w:rPr>
            </w:pPr>
            <w:r>
              <w:rPr>
                <w:noProof/>
              </w:rPr>
              <w:t>Conclusion du protocole entre l'Institut pour la conservation de la nature et des forêts, I.P. et l'association professionnelle nationale des producteurs de résine (Resipinus) pour la surveillance et la détection des incendies ruraux.</w:t>
            </w:r>
          </w:p>
        </w:tc>
      </w:tr>
      <w:tr w:rsidR="006C686E" w14:paraId="173FC9E0" w14:textId="77777777" w:rsidTr="0024749C">
        <w:trPr>
          <w:trHeight w:val="106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DFF5202" w14:textId="77777777" w:rsidR="006C686E" w:rsidRDefault="00B17E8C">
            <w:pPr>
              <w:pStyle w:val="P68B1DB1-Normal25"/>
              <w:spacing w:after="0" w:line="240" w:lineRule="auto"/>
              <w:jc w:val="center"/>
              <w:rPr>
                <w:rFonts w:eastAsia="Times New Roman"/>
                <w:bCs/>
                <w:noProof/>
              </w:rPr>
            </w:pPr>
            <w:r>
              <w:rPr>
                <w:noProof/>
              </w:rPr>
              <w:t>12.2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6F9E913" w14:textId="77777777" w:rsidR="006C686E" w:rsidRDefault="00B17E8C">
            <w:pPr>
              <w:pStyle w:val="P68B1DB1-Normal26"/>
              <w:spacing w:after="0" w:line="240" w:lineRule="auto"/>
              <w:jc w:val="center"/>
              <w:rPr>
                <w:rFonts w:eastAsia="Times New Roman"/>
                <w:noProof/>
              </w:rPr>
            </w:pPr>
            <w:r>
              <w:rPr>
                <w:noProof/>
              </w:rPr>
              <w:t>TC-C12-i01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6F4948" w14:textId="77777777" w:rsidR="006C686E" w:rsidRDefault="00B17E8C">
            <w:pPr>
              <w:pStyle w:val="P68B1DB1-Normal26"/>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5B1EA8" w14:textId="77777777" w:rsidR="006C686E" w:rsidRDefault="00B17E8C">
            <w:pPr>
              <w:pStyle w:val="P68B1DB1-Normal26"/>
              <w:spacing w:after="0" w:line="240" w:lineRule="auto"/>
              <w:jc w:val="center"/>
              <w:rPr>
                <w:rFonts w:eastAsia="Times New Roman"/>
                <w:noProof/>
              </w:rPr>
            </w:pPr>
            <w:r>
              <w:rPr>
                <w:noProof/>
              </w:rPr>
              <w:t>Approbation des projets soumis par les consortiums pour le développement de nouveaux produits, technologies et procédés bioéconomiques dans les secteurs du textile et de l’habillement, de la chaussure et de la résine naturelle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B3E227" w14:textId="77777777" w:rsidR="006C686E" w:rsidRDefault="00B17E8C">
            <w:pPr>
              <w:pStyle w:val="P68B1DB1-Normal26"/>
              <w:spacing w:after="0" w:line="240" w:lineRule="auto"/>
              <w:jc w:val="center"/>
              <w:rPr>
                <w:rFonts w:eastAsia="Times New Roman"/>
                <w:noProof/>
              </w:rPr>
            </w:pPr>
            <w:r>
              <w:rPr>
                <w:noProof/>
              </w:rPr>
              <w:t>Approbation des projets de développement de nouveaux produits, technologies et procédés bioéconomiques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F7EB2D" w14:textId="36C21DC7"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0604AC" w14:textId="4FFD3C1A"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EE26E9" w14:textId="40F77EFF"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5765C1" w14:textId="77777777" w:rsidR="006C686E" w:rsidRDefault="00B17E8C">
            <w:pPr>
              <w:pStyle w:val="P68B1DB1-Normal26"/>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E75DEE" w14:textId="77777777" w:rsidR="006C686E" w:rsidRDefault="00B17E8C">
            <w:pPr>
              <w:pStyle w:val="P68B1DB1-Normal26"/>
              <w:spacing w:after="0" w:line="240" w:lineRule="auto"/>
              <w:jc w:val="center"/>
              <w:rPr>
                <w:rFonts w:eastAsia="Times New Roman"/>
                <w:noProof/>
              </w:rPr>
            </w:pPr>
            <w:r>
              <w:rPr>
                <w:noProof/>
              </w:rPr>
              <w:t>2022</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010B2B83" w14:textId="77777777" w:rsidR="006C686E" w:rsidRDefault="00B17E8C">
            <w:pPr>
              <w:pStyle w:val="P68B1DB1-Normal26"/>
              <w:keepNext/>
              <w:spacing w:before="40" w:after="0" w:line="240" w:lineRule="auto"/>
              <w:jc w:val="both"/>
              <w:rPr>
                <w:rFonts w:eastAsia="Times New Roman"/>
                <w:noProof/>
              </w:rPr>
            </w:pPr>
            <w:r>
              <w:rPr>
                <w:noProof/>
              </w:rPr>
              <w:t xml:space="preserve">Approbation par le comité de sélection des projets soumis par les consortiums pour le développement de nouveaux produits, technologies et procédés bioéconomiques dans les secteurs du textile et de l’habillement, de la chaussure et de la résine naturelle. </w:t>
            </w:r>
          </w:p>
          <w:p w14:paraId="2490EEFA" w14:textId="77777777" w:rsidR="006C686E" w:rsidRDefault="00B17E8C">
            <w:pPr>
              <w:pStyle w:val="P68B1DB1-Normal26"/>
              <w:keepNext/>
              <w:spacing w:before="40" w:after="0" w:line="240" w:lineRule="auto"/>
              <w:jc w:val="both"/>
              <w:rPr>
                <w:rFonts w:eastAsia="Times New Roman"/>
                <w:noProof/>
              </w:rPr>
            </w:pPr>
            <w:r>
              <w:rPr>
                <w:noProof/>
              </w:rPr>
              <w:t xml:space="preserve">Les projets présentés par les consortiums en vue d'un soutien relèvent de l'un des programmes suivants: «Promouvoir une bioéconomie durable et circulaire dans le secteur du textile et de l’habillement», «Promouvoir une bioéconomie durable et circulaire dans le secteur de la chaussure» et «Promouvoir et valoriser la résine naturelle». </w:t>
            </w:r>
          </w:p>
          <w:p w14:paraId="672CA1A3" w14:textId="77777777" w:rsidR="006C686E" w:rsidRDefault="00B17E8C">
            <w:pPr>
              <w:pStyle w:val="P68B1DB1-Normal26"/>
              <w:keepNext/>
              <w:spacing w:before="40" w:after="0" w:line="240" w:lineRule="auto"/>
              <w:jc w:val="both"/>
              <w:rPr>
                <w:rFonts w:eastAsia="Times New Roman"/>
                <w:noProof/>
              </w:rPr>
            </w:pPr>
            <w:r>
              <w:rPr>
                <w:noProof/>
              </w:rPr>
              <w:t xml:space="preserve">Ils mettent l’accent sur une économie à faible intensité de carbone, la résilience et l’adaptation au changement climatique par l’application de solutions technologiques propres, de solutions de substitution à faible incidence et l’utilisation des meilleures techniques disponibles. Les critères de sélection des projets exigent que tous les projets de R&amp;I soutenus garantissent une réduction des émissions directes et indirectes de carbone. </w:t>
            </w:r>
          </w:p>
          <w:p w14:paraId="3641D972" w14:textId="77777777" w:rsidR="006C686E" w:rsidRDefault="00B17E8C">
            <w:pPr>
              <w:pStyle w:val="P68B1DB1-Normal26"/>
              <w:spacing w:after="0" w:line="240" w:lineRule="auto"/>
              <w:jc w:val="both"/>
              <w:rPr>
                <w:rFonts w:eastAsia="Times New Roman"/>
                <w:noProof/>
              </w:rPr>
            </w:pPr>
            <w:r>
              <w:rPr>
                <w:noProof/>
              </w:rPr>
              <w:t>Les projets sélectionnés doivent être conformes aux orientations techniques «Ne pas causer de préjudice important» (2021/C58/01) grâce à l’utilisation d’une liste d’exclusion et à l’exigence de conformité avec la législation environnementale pertinente de l’UE et nationale.</w:t>
            </w:r>
          </w:p>
        </w:tc>
      </w:tr>
      <w:tr w:rsidR="006C686E" w14:paraId="320969D9" w14:textId="77777777" w:rsidTr="0024749C">
        <w:trPr>
          <w:trHeight w:val="64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5305997" w14:textId="77777777" w:rsidR="006C686E" w:rsidRDefault="00B17E8C">
            <w:pPr>
              <w:pStyle w:val="P68B1DB1-Normal25"/>
              <w:spacing w:after="0" w:line="240" w:lineRule="auto"/>
              <w:jc w:val="center"/>
              <w:rPr>
                <w:rFonts w:eastAsia="Times New Roman"/>
                <w:bCs/>
                <w:noProof/>
              </w:rPr>
            </w:pPr>
            <w:r>
              <w:rPr>
                <w:noProof/>
              </w:rPr>
              <w:t>12.3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E9A6B6" w14:textId="77777777" w:rsidR="006C686E" w:rsidRDefault="00B17E8C">
            <w:pPr>
              <w:pStyle w:val="P68B1DB1-Normal26"/>
              <w:spacing w:after="0" w:line="240" w:lineRule="auto"/>
              <w:jc w:val="center"/>
              <w:rPr>
                <w:rFonts w:eastAsia="Times New Roman"/>
                <w:noProof/>
              </w:rPr>
            </w:pPr>
            <w:r>
              <w:rPr>
                <w:noProof/>
              </w:rPr>
              <w:t>TC-C12-i01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D5813" w14:textId="77777777" w:rsidR="006C686E" w:rsidRDefault="00B17E8C">
            <w:pPr>
              <w:pStyle w:val="P68B1DB1-Normal26"/>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18C770" w14:textId="77B1F692" w:rsidR="006C686E" w:rsidRDefault="00B17E8C">
            <w:pPr>
              <w:pStyle w:val="P68B1DB1-Normal26"/>
              <w:spacing w:after="0" w:line="240" w:lineRule="auto"/>
              <w:jc w:val="center"/>
              <w:rPr>
                <w:rFonts w:eastAsia="Times New Roman"/>
                <w:noProof/>
              </w:rPr>
            </w:pPr>
            <w:r>
              <w:rPr>
                <w:noProof/>
              </w:rPr>
              <w:t>Produits et processus pilotes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A7FB2A" w14:textId="77777777" w:rsidR="006C686E" w:rsidRDefault="00B17E8C">
            <w:pPr>
              <w:pStyle w:val="P68B1DB1-Normal26"/>
              <w:spacing w:after="0" w:line="240" w:lineRule="auto"/>
              <w:jc w:val="center"/>
              <w:rPr>
                <w:rFonts w:eastAsia="Times New Roman"/>
                <w:noProof/>
              </w:rPr>
            </w:pPr>
            <w:r>
              <w:rPr>
                <w:noProof/>
              </w:rPr>
              <w:t>Évaluation positive de l'Agence portugaise pour l'environnement (APA)</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5B4E41" w14:textId="71CFD666"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D5DED7" w14:textId="4D60F81F"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D2C609" w14:textId="1C1B9ADA"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03F85A" w14:textId="77777777" w:rsidR="006C686E" w:rsidRDefault="00B17E8C">
            <w:pPr>
              <w:pStyle w:val="P68B1DB1-Normal26"/>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5B4732" w14:textId="77777777" w:rsidR="006C686E" w:rsidRDefault="00B17E8C">
            <w:pPr>
              <w:pStyle w:val="P68B1DB1-Normal26"/>
              <w:spacing w:after="0" w:line="240" w:lineRule="auto"/>
              <w:jc w:val="center"/>
              <w:rPr>
                <w:rFonts w:eastAsia="Times New Roman"/>
                <w:noProof/>
              </w:rPr>
            </w:pPr>
            <w:r>
              <w:rPr>
                <w:noProof/>
              </w:rPr>
              <w:t>2025</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61C73357" w14:textId="1B36AAD9" w:rsidR="006C686E" w:rsidRDefault="00B17E8C">
            <w:pPr>
              <w:pStyle w:val="P68B1DB1-Normal13"/>
              <w:spacing w:after="0" w:line="240" w:lineRule="auto"/>
              <w:jc w:val="both"/>
              <w:rPr>
                <w:noProof/>
              </w:rPr>
            </w:pPr>
            <w:r>
              <w:rPr>
                <w:noProof/>
              </w:rPr>
              <w:t>Évaluation positive par l'Agence portugaise pour l'environnement (APA) des rapports fournis par les consortiums concernant 10 produits et 5 processus pilotes industriels.</w:t>
            </w:r>
          </w:p>
        </w:tc>
      </w:tr>
      <w:tr w:rsidR="006C686E" w14:paraId="0EB87C46" w14:textId="77777777" w:rsidTr="0024749C">
        <w:trPr>
          <w:trHeight w:val="42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E2E6A1F" w14:textId="77777777" w:rsidR="006C686E" w:rsidRDefault="00B17E8C">
            <w:pPr>
              <w:pStyle w:val="P68B1DB1-Normal25"/>
              <w:spacing w:after="0" w:line="240" w:lineRule="auto"/>
              <w:jc w:val="center"/>
              <w:rPr>
                <w:rFonts w:eastAsia="Times New Roman"/>
                <w:bCs/>
                <w:noProof/>
              </w:rPr>
            </w:pPr>
            <w:r>
              <w:rPr>
                <w:noProof/>
              </w:rPr>
              <w:t>12.5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A9FB42" w14:textId="77777777" w:rsidR="006C686E" w:rsidRDefault="00B17E8C">
            <w:pPr>
              <w:pStyle w:val="P68B1DB1-Normal26"/>
              <w:spacing w:after="0" w:line="240" w:lineRule="auto"/>
              <w:jc w:val="center"/>
              <w:rPr>
                <w:rFonts w:eastAsia="Times New Roman"/>
                <w:noProof/>
              </w:rPr>
            </w:pPr>
            <w:r>
              <w:rPr>
                <w:noProof/>
              </w:rPr>
              <w:t>TC-C12-r25</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18DE35" w14:textId="77777777" w:rsidR="006C686E" w:rsidRDefault="00B17E8C">
            <w:pPr>
              <w:pStyle w:val="P68B1DB1-Normal26"/>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1158D1" w14:textId="77777777" w:rsidR="006C686E" w:rsidRDefault="00B17E8C">
            <w:pPr>
              <w:pStyle w:val="P68B1DB1-Normal26"/>
              <w:spacing w:after="0" w:line="240" w:lineRule="auto"/>
              <w:jc w:val="center"/>
              <w:rPr>
                <w:rFonts w:eastAsia="Times New Roman"/>
                <w:noProof/>
              </w:rPr>
            </w:pPr>
            <w:r>
              <w:rPr>
                <w:noProof/>
              </w:rPr>
              <w:t>Entrée en vigueur du nouveau régime général de gestion des déchets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89214B" w14:textId="77777777" w:rsidR="006C686E" w:rsidRDefault="00B17E8C">
            <w:pPr>
              <w:pStyle w:val="P68B1DB1-Normal26"/>
              <w:spacing w:after="0" w:line="240" w:lineRule="auto"/>
              <w:jc w:val="center"/>
              <w:rPr>
                <w:rFonts w:eastAsia="Times New Roman"/>
                <w:noProof/>
              </w:rPr>
            </w:pPr>
            <w:r>
              <w:rPr>
                <w:noProof/>
              </w:rPr>
              <w:t>Entrée en vigueur du nouveau régime général de gestion des déchets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CF0C26" w14:textId="6A104BA6"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11AF5E" w14:textId="0E3310D3"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81B7BD" w14:textId="5819293F"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72B18A" w14:textId="77777777" w:rsidR="006C686E" w:rsidRDefault="00B17E8C">
            <w:pPr>
              <w:pStyle w:val="P68B1DB1-Normal26"/>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11D9D7" w14:textId="77777777" w:rsidR="006C686E" w:rsidRDefault="00B17E8C">
            <w:pPr>
              <w:pStyle w:val="P68B1DB1-Normal26"/>
              <w:spacing w:after="0" w:line="240" w:lineRule="auto"/>
              <w:jc w:val="center"/>
              <w:rPr>
                <w:rFonts w:eastAsia="Times New Roman"/>
                <w:noProof/>
              </w:rPr>
            </w:pPr>
            <w:r>
              <w:rPr>
                <w:noProof/>
              </w:rPr>
              <w:t>2021</w:t>
            </w:r>
          </w:p>
        </w:tc>
        <w:tc>
          <w:tcPr>
            <w:tcW w:w="3798" w:type="dxa"/>
            <w:tcBorders>
              <w:top w:val="single" w:sz="4" w:space="0" w:color="auto"/>
              <w:left w:val="single" w:sz="4" w:space="0" w:color="auto"/>
              <w:bottom w:val="single" w:sz="4" w:space="0" w:color="auto"/>
              <w:right w:val="single" w:sz="4" w:space="0" w:color="auto"/>
            </w:tcBorders>
            <w:shd w:val="clear" w:color="auto" w:fill="C4EFCE"/>
          </w:tcPr>
          <w:p w14:paraId="1DDEFDBA" w14:textId="77777777" w:rsidR="006C686E" w:rsidRDefault="00B17E8C">
            <w:pPr>
              <w:pStyle w:val="P68B1DB1-Normal26"/>
              <w:spacing w:after="0" w:line="240" w:lineRule="auto"/>
              <w:jc w:val="both"/>
              <w:rPr>
                <w:rFonts w:eastAsia="Times New Roman"/>
                <w:noProof/>
              </w:rPr>
            </w:pPr>
            <w:r>
              <w:rPr>
                <w:noProof/>
              </w:rPr>
              <w:t>Entrée en vigueur du nouveau système général de gestion des déchets (RGGR) qui simplifie le processus administratif et réduit les coûts associés à l'utilisation des sous-produits.</w:t>
            </w:r>
          </w:p>
        </w:tc>
      </w:tr>
      <w:tr w:rsidR="006C686E" w14:paraId="0861B031" w14:textId="77777777" w:rsidTr="0024749C">
        <w:trPr>
          <w:trHeight w:val="63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68449A4" w14:textId="77777777" w:rsidR="006C686E" w:rsidRDefault="00B17E8C">
            <w:pPr>
              <w:pStyle w:val="P68B1DB1-Normal25"/>
              <w:spacing w:after="0" w:line="240" w:lineRule="auto"/>
              <w:jc w:val="center"/>
              <w:rPr>
                <w:rFonts w:eastAsia="Times New Roman"/>
                <w:bCs/>
                <w:noProof/>
              </w:rPr>
            </w:pPr>
            <w:r>
              <w:rPr>
                <w:noProof/>
              </w:rPr>
              <w:t>12.6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0A0BF8" w14:textId="77777777" w:rsidR="006C686E" w:rsidRDefault="00B17E8C">
            <w:pPr>
              <w:pStyle w:val="P68B1DB1-Normal26"/>
              <w:spacing w:after="0" w:line="240" w:lineRule="auto"/>
              <w:jc w:val="center"/>
              <w:rPr>
                <w:rFonts w:eastAsia="Times New Roman"/>
                <w:noProof/>
              </w:rPr>
            </w:pPr>
            <w:r>
              <w:rPr>
                <w:noProof/>
              </w:rPr>
              <w:t>TC-C12-r25</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79F872" w14:textId="77777777" w:rsidR="006C686E" w:rsidRDefault="00B17E8C">
            <w:pPr>
              <w:pStyle w:val="P68B1DB1-Normal26"/>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3CEE9B" w14:textId="014D2B8A" w:rsidR="006C686E" w:rsidRDefault="00B17E8C">
            <w:pPr>
              <w:pStyle w:val="P68B1DB1-Normal26"/>
              <w:spacing w:after="0" w:line="240" w:lineRule="auto"/>
              <w:jc w:val="center"/>
              <w:rPr>
                <w:rFonts w:eastAsia="Times New Roman"/>
                <w:noProof/>
              </w:rPr>
            </w:pPr>
            <w:r>
              <w:rPr>
                <w:noProof/>
              </w:rPr>
              <w:t>Entrée en vigueur de la stratégie nationale révisée pour les marchés publics écologiques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9A64D6" w14:textId="5ACB8DFC" w:rsidR="006C686E" w:rsidRDefault="00B17E8C">
            <w:pPr>
              <w:pStyle w:val="P68B1DB1-Normal26"/>
              <w:spacing w:after="0" w:line="240" w:lineRule="auto"/>
              <w:jc w:val="center"/>
              <w:rPr>
                <w:rFonts w:eastAsia="Times New Roman"/>
                <w:noProof/>
              </w:rPr>
            </w:pPr>
            <w:r>
              <w:rPr>
                <w:noProof/>
              </w:rPr>
              <w:t>Entrée en vigueur de la stratégie nationale révisée pour les marchés publics écologiques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1B25E1" w14:textId="5850315F"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891529" w14:textId="17830166"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FD9971" w14:textId="17D97183"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F44BD5" w14:textId="77777777" w:rsidR="006C686E" w:rsidRDefault="00B17E8C">
            <w:pPr>
              <w:pStyle w:val="P68B1DB1-Normal26"/>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0E04AB" w14:textId="77777777" w:rsidR="006C686E" w:rsidRDefault="00B17E8C">
            <w:pPr>
              <w:pStyle w:val="P68B1DB1-Normal26"/>
              <w:spacing w:after="0" w:line="240" w:lineRule="auto"/>
              <w:jc w:val="center"/>
              <w:rPr>
                <w:rFonts w:eastAsia="Times New Roman"/>
                <w:noProof/>
              </w:rPr>
            </w:pPr>
            <w:r>
              <w:rPr>
                <w:noProof/>
              </w:rPr>
              <w:t>2022</w:t>
            </w:r>
          </w:p>
        </w:tc>
        <w:tc>
          <w:tcPr>
            <w:tcW w:w="3798" w:type="dxa"/>
            <w:tcBorders>
              <w:top w:val="single" w:sz="4" w:space="0" w:color="auto"/>
              <w:left w:val="single" w:sz="4" w:space="0" w:color="auto"/>
              <w:bottom w:val="single" w:sz="4" w:space="0" w:color="auto"/>
              <w:right w:val="single" w:sz="4" w:space="0" w:color="auto"/>
            </w:tcBorders>
            <w:shd w:val="clear" w:color="auto" w:fill="C4EFCE"/>
          </w:tcPr>
          <w:p w14:paraId="6BD5E93D" w14:textId="77777777" w:rsidR="006C686E" w:rsidRDefault="00B17E8C">
            <w:pPr>
              <w:pStyle w:val="P68B1DB1-Normal26"/>
              <w:spacing w:after="0" w:line="240" w:lineRule="auto"/>
              <w:jc w:val="both"/>
              <w:rPr>
                <w:rFonts w:eastAsia="Times New Roman"/>
                <w:noProof/>
              </w:rPr>
            </w:pPr>
            <w:r>
              <w:rPr>
                <w:noProof/>
              </w:rPr>
              <w:t>Entrée en vigueur de la stratégie nationale révisée pour les marchés publics écologiques, qui précise les critères écologiques liés à l’achat de services et de produits intégrant des biomatériaux durables, y compris par l’introduction de critères écologiques obligatoires.</w:t>
            </w:r>
          </w:p>
        </w:tc>
      </w:tr>
      <w:tr w:rsidR="006C686E" w14:paraId="48697C12" w14:textId="77777777" w:rsidTr="0024749C">
        <w:trPr>
          <w:trHeight w:val="63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6B0F1FD" w14:textId="77777777" w:rsidR="006C686E" w:rsidRDefault="00B17E8C">
            <w:pPr>
              <w:pStyle w:val="P68B1DB1-Normal25"/>
              <w:spacing w:after="0" w:line="240" w:lineRule="auto"/>
              <w:jc w:val="center"/>
              <w:rPr>
                <w:rFonts w:eastAsia="Times New Roman"/>
                <w:bCs/>
                <w:noProof/>
              </w:rPr>
            </w:pPr>
            <w:r>
              <w:rPr>
                <w:noProof/>
              </w:rPr>
              <w:t>12.7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403480" w14:textId="77777777" w:rsidR="006C686E" w:rsidRDefault="00B17E8C">
            <w:pPr>
              <w:pStyle w:val="P68B1DB1-Normal26"/>
              <w:spacing w:after="0" w:line="240" w:lineRule="auto"/>
              <w:jc w:val="center"/>
              <w:rPr>
                <w:rFonts w:eastAsia="Times New Roman"/>
                <w:noProof/>
              </w:rPr>
            </w:pPr>
            <w:r>
              <w:rPr>
                <w:noProof/>
              </w:rPr>
              <w:t>TC-C12-r39</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2AF82D" w14:textId="77777777" w:rsidR="006C686E" w:rsidRDefault="00B17E8C">
            <w:pPr>
              <w:pStyle w:val="P68B1DB1-Normal26"/>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7FC2EB" w14:textId="77777777" w:rsidR="006C686E" w:rsidRDefault="00B17E8C">
            <w:pPr>
              <w:pStyle w:val="P68B1DB1-Normal26"/>
              <w:spacing w:after="0" w:line="240" w:lineRule="auto"/>
              <w:jc w:val="center"/>
              <w:rPr>
                <w:rFonts w:eastAsia="Times New Roman"/>
                <w:noProof/>
              </w:rPr>
            </w:pPr>
            <w:r>
              <w:rPr>
                <w:noProof/>
              </w:rPr>
              <w:t>Entrée en vigueur de la définition harmonisée des critères d'écomodulation</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6592C7" w14:textId="77777777" w:rsidR="006C686E" w:rsidRDefault="00B17E8C">
            <w:pPr>
              <w:pStyle w:val="P68B1DB1-Normal26"/>
              <w:spacing w:after="0" w:line="240" w:lineRule="auto"/>
              <w:jc w:val="center"/>
              <w:rPr>
                <w:rFonts w:eastAsia="Times New Roman"/>
                <w:noProof/>
              </w:rPr>
            </w:pPr>
            <w:r>
              <w:rPr>
                <w:noProof/>
              </w:rPr>
              <w:t>Disposition de l’acte juridique indiquant l’entrée en vigueur de la définition harmonisée des critères d’écomodulation</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BCBB3A"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677F3B"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88C822"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72A80E" w14:textId="77777777" w:rsidR="006C686E" w:rsidRDefault="00B17E8C">
            <w:pPr>
              <w:pStyle w:val="P68B1DB1-Normal26"/>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A5E38C" w14:textId="77777777" w:rsidR="006C686E" w:rsidRDefault="00B17E8C">
            <w:pPr>
              <w:pStyle w:val="P68B1DB1-Normal26"/>
              <w:spacing w:after="0" w:line="240" w:lineRule="auto"/>
              <w:jc w:val="center"/>
              <w:rPr>
                <w:rFonts w:eastAsia="Times New Roman"/>
                <w:noProof/>
              </w:rPr>
            </w:pPr>
            <w:r>
              <w:rPr>
                <w:noProof/>
              </w:rPr>
              <w:t>2023</w:t>
            </w:r>
          </w:p>
        </w:tc>
        <w:tc>
          <w:tcPr>
            <w:tcW w:w="3798" w:type="dxa"/>
            <w:tcBorders>
              <w:top w:val="single" w:sz="4" w:space="0" w:color="auto"/>
              <w:left w:val="single" w:sz="4" w:space="0" w:color="auto"/>
              <w:bottom w:val="single" w:sz="4" w:space="0" w:color="auto"/>
              <w:right w:val="single" w:sz="4" w:space="0" w:color="auto"/>
            </w:tcBorders>
            <w:shd w:val="clear" w:color="auto" w:fill="C4EFCE"/>
          </w:tcPr>
          <w:p w14:paraId="7B17501E" w14:textId="77777777" w:rsidR="006C686E" w:rsidRDefault="00B17E8C">
            <w:pPr>
              <w:pStyle w:val="P68B1DB1-Normal26"/>
              <w:spacing w:after="0" w:line="240" w:lineRule="auto"/>
              <w:jc w:val="both"/>
              <w:rPr>
                <w:rFonts w:eastAsia="Times New Roman"/>
                <w:noProof/>
              </w:rPr>
            </w:pPr>
            <w:r>
              <w:rPr>
                <w:noProof/>
              </w:rPr>
              <w:t>Entrée en vigueur d’un acte juridique établissant une définition harmonisée et obligatoire des critères d’écomodulation des avantages financiers dans les systèmes intégrés relevant de la responsabilité élargie des producteurs. Les nouveaux avantages financiers s'appliqueront le 01/01/2026 après la fin de la période de transition nécessaire pour que les producteurs adaptent leurs modèles aux nouveaux critères d'écomodulation.</w:t>
            </w:r>
          </w:p>
        </w:tc>
      </w:tr>
      <w:tr w:rsidR="006C686E" w14:paraId="568D1A9A" w14:textId="77777777" w:rsidTr="0024749C">
        <w:trPr>
          <w:trHeight w:val="1393"/>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1C98B0B" w14:textId="77777777" w:rsidR="006C686E" w:rsidRDefault="00B17E8C">
            <w:pPr>
              <w:pStyle w:val="P68B1DB1-Normal25"/>
              <w:spacing w:after="0" w:line="240" w:lineRule="auto"/>
              <w:jc w:val="center"/>
              <w:rPr>
                <w:rFonts w:eastAsia="Times New Roman"/>
                <w:bCs/>
                <w:noProof/>
              </w:rPr>
            </w:pPr>
            <w:r>
              <w:rPr>
                <w:noProof/>
              </w:rPr>
              <w:t>12.8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E7E9ED" w14:textId="77777777" w:rsidR="006C686E" w:rsidRDefault="00B17E8C">
            <w:pPr>
              <w:pStyle w:val="P68B1DB1-Normal26"/>
              <w:spacing w:after="0" w:line="240" w:lineRule="auto"/>
              <w:jc w:val="center"/>
              <w:rPr>
                <w:rFonts w:eastAsia="Times New Roman"/>
                <w:noProof/>
              </w:rPr>
            </w:pPr>
            <w:r>
              <w:rPr>
                <w:noProof/>
              </w:rPr>
              <w:t>TC-C12-r39</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062D80" w14:textId="77777777" w:rsidR="006C686E" w:rsidRDefault="00B17E8C">
            <w:pPr>
              <w:pStyle w:val="P68B1DB1-Normal26"/>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0C397B" w14:textId="77777777" w:rsidR="006C686E" w:rsidRDefault="00B17E8C">
            <w:pPr>
              <w:pStyle w:val="P68B1DB1-Normal26"/>
              <w:spacing w:after="0" w:line="240" w:lineRule="auto"/>
              <w:jc w:val="center"/>
              <w:rPr>
                <w:rFonts w:eastAsia="Times New Roman"/>
                <w:noProof/>
              </w:rPr>
            </w:pPr>
            <w:r>
              <w:rPr>
                <w:noProof/>
              </w:rPr>
              <w:t>Régime d’incitation à la récupération (système de dépôt et de remboursement) pour les bouteilles en plastique non réutilisables, les métaux ferreux et l’aluminium</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05DD13" w14:textId="4E12DC88" w:rsidR="006C686E" w:rsidRDefault="00B17E8C">
            <w:pPr>
              <w:pStyle w:val="P68B1DB1-Normal26"/>
              <w:spacing w:after="0" w:line="240" w:lineRule="auto"/>
              <w:jc w:val="center"/>
              <w:rPr>
                <w:rFonts w:eastAsia="Times New Roman"/>
                <w:noProof/>
              </w:rPr>
            </w:pPr>
            <w:r>
              <w:rPr>
                <w:noProof/>
              </w:rPr>
              <w:t>Mise en service du système de consigne et de remboursement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FF275A"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956E81"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BD174B"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335636" w14:textId="77777777" w:rsidR="006C686E" w:rsidRDefault="00B17E8C">
            <w:pPr>
              <w:pStyle w:val="P68B1DB1-Normal26"/>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7F37C7" w14:textId="77777777" w:rsidR="006C686E" w:rsidRDefault="00B17E8C">
            <w:pPr>
              <w:pStyle w:val="P68B1DB1-Normal26"/>
              <w:spacing w:after="0" w:line="240" w:lineRule="auto"/>
              <w:jc w:val="center"/>
              <w:rPr>
                <w:rFonts w:eastAsia="Times New Roman"/>
                <w:noProof/>
              </w:rPr>
            </w:pPr>
            <w:r>
              <w:rPr>
                <w:noProof/>
              </w:rPr>
              <w:t>2023</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648B7ED2" w14:textId="77777777" w:rsidR="006C686E" w:rsidRDefault="00B17E8C">
            <w:pPr>
              <w:pStyle w:val="P68B1DB1-Normal26"/>
              <w:spacing w:after="0" w:line="240" w:lineRule="auto"/>
              <w:rPr>
                <w:rFonts w:eastAsia="Times New Roman"/>
                <w:noProof/>
              </w:rPr>
            </w:pPr>
            <w:r>
              <w:rPr>
                <w:noProof/>
              </w:rPr>
              <w:t>Un système de consigne et de restitution entre en vigueur et s'applique aux bouteilles en plastique non réutilisables, aux métaux ferreux et à l'aluminium.</w:t>
            </w:r>
          </w:p>
        </w:tc>
      </w:tr>
      <w:tr w:rsidR="006C686E" w14:paraId="6584CA5B" w14:textId="77777777" w:rsidTr="0024749C">
        <w:trPr>
          <w:trHeight w:val="1258"/>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E425764" w14:textId="77777777" w:rsidR="006C686E" w:rsidRDefault="00B17E8C">
            <w:pPr>
              <w:pStyle w:val="P68B1DB1-Normal25"/>
              <w:spacing w:after="0" w:line="240" w:lineRule="auto"/>
              <w:jc w:val="center"/>
              <w:rPr>
                <w:bCs/>
                <w:noProof/>
              </w:rPr>
            </w:pPr>
            <w:r>
              <w:rPr>
                <w:noProof/>
              </w:rPr>
              <w:t>12.9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1F822D" w14:textId="77777777" w:rsidR="006C686E" w:rsidRDefault="00B17E8C">
            <w:pPr>
              <w:pStyle w:val="P68B1DB1-Normal26"/>
              <w:spacing w:after="0" w:line="240" w:lineRule="auto"/>
              <w:jc w:val="center"/>
              <w:rPr>
                <w:noProof/>
              </w:rPr>
            </w:pPr>
            <w:r>
              <w:rPr>
                <w:noProof/>
              </w:rPr>
              <w:t>TC-C12-r39</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D1D317" w14:textId="77777777" w:rsidR="006C686E" w:rsidRDefault="00B17E8C">
            <w:pPr>
              <w:pStyle w:val="P68B1DB1-Normal26"/>
              <w:spacing w:after="0" w:line="240" w:lineRule="auto"/>
              <w:jc w:val="center"/>
              <w:rPr>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59BCB8F" w14:textId="088C0136" w:rsidR="006C686E" w:rsidRDefault="00B17E8C">
            <w:pPr>
              <w:pStyle w:val="P68B1DB1-Normal26"/>
              <w:spacing w:after="0" w:line="240" w:lineRule="auto"/>
              <w:jc w:val="center"/>
              <w:rPr>
                <w:noProof/>
              </w:rPr>
            </w:pPr>
            <w:r>
              <w:rPr>
                <w:noProof/>
              </w:rPr>
              <w:t>Système de reprise des déchets électriques et électroniques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DCFB41" w14:textId="72A85804" w:rsidR="006C686E" w:rsidRDefault="00B17E8C">
            <w:pPr>
              <w:pStyle w:val="P68B1DB1-Normal26"/>
              <w:spacing w:after="0" w:line="240" w:lineRule="auto"/>
              <w:jc w:val="center"/>
              <w:rPr>
                <w:noProof/>
              </w:rPr>
            </w:pPr>
            <w:r>
              <w:rPr>
                <w:noProof/>
              </w:rPr>
              <w:t>Disposition de l’acte juridique indiquant l’entrée en vigueur de l’acte juridique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9F98F8"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BC5051"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61EE66"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0370A8" w14:textId="77777777" w:rsidR="006C686E" w:rsidRDefault="00B17E8C">
            <w:pPr>
              <w:pStyle w:val="P68B1DB1-Normal26"/>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05C050" w14:textId="77777777" w:rsidR="006C686E" w:rsidRDefault="00B17E8C">
            <w:pPr>
              <w:pStyle w:val="P68B1DB1-Normal26"/>
              <w:spacing w:after="0" w:line="240" w:lineRule="auto"/>
              <w:jc w:val="center"/>
              <w:rPr>
                <w:noProof/>
              </w:rPr>
            </w:pPr>
            <w:r>
              <w:rPr>
                <w:noProof/>
              </w:rPr>
              <w:t>2025</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42AF98C6" w14:textId="2C003A46" w:rsidR="006C686E" w:rsidRDefault="00B17E8C">
            <w:pPr>
              <w:pStyle w:val="P68B1DB1-Normal26"/>
              <w:spacing w:after="0" w:line="240" w:lineRule="auto"/>
              <w:rPr>
                <w:noProof/>
              </w:rPr>
            </w:pPr>
            <w:r>
              <w:rPr>
                <w:noProof/>
              </w:rPr>
              <w:t>Entrée en vigueur d’un acte juridique fixant le cadre d’un système de reprise des déchets électriques et électroniques.</w:t>
            </w:r>
          </w:p>
        </w:tc>
      </w:tr>
      <w:tr w:rsidR="006C686E" w14:paraId="6488A09F" w14:textId="77777777" w:rsidTr="0024749C">
        <w:trPr>
          <w:trHeight w:val="992"/>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253EA83" w14:textId="77777777" w:rsidR="006C686E" w:rsidRDefault="00B17E8C">
            <w:pPr>
              <w:pStyle w:val="P68B1DB1-Normal25"/>
              <w:spacing w:line="240" w:lineRule="auto"/>
              <w:jc w:val="center"/>
              <w:rPr>
                <w:bCs/>
                <w:noProof/>
              </w:rPr>
            </w:pPr>
            <w:r>
              <w:rPr>
                <w:noProof/>
              </w:rPr>
              <w:t>12.10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587B2E" w14:textId="77777777" w:rsidR="006C686E" w:rsidRDefault="00B17E8C">
            <w:pPr>
              <w:pStyle w:val="P68B1DB1-Normal26"/>
              <w:spacing w:line="240" w:lineRule="auto"/>
              <w:jc w:val="center"/>
              <w:rPr>
                <w:noProof/>
              </w:rPr>
            </w:pPr>
            <w:r>
              <w:rPr>
                <w:noProof/>
              </w:rPr>
              <w:t>TC-C12-i02</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7A7A83" w14:textId="1B44F9B6" w:rsidR="006C686E" w:rsidRDefault="00B17E8C">
            <w:pPr>
              <w:pStyle w:val="P68B1DB1-Normal26"/>
              <w:spacing w:line="240" w:lineRule="auto"/>
              <w:jc w:val="center"/>
              <w:rPr>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BAD585" w14:textId="402C7B68" w:rsidR="006C686E" w:rsidRDefault="00B17E8C">
            <w:pPr>
              <w:pStyle w:val="P68B1DB1-Normal26"/>
              <w:spacing w:line="240" w:lineRule="auto"/>
              <w:jc w:val="center"/>
              <w:rPr>
                <w:i/>
                <w:iCs/>
                <w:noProof/>
              </w:rPr>
            </w:pPr>
            <w:r>
              <w:rPr>
                <w:noProof/>
              </w:rPr>
              <w:t>Capacité de gestion des déchets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9E38AA" w14:textId="44A31B08" w:rsidR="006C686E" w:rsidRDefault="00B17E8C">
            <w:pPr>
              <w:pStyle w:val="P68B1DB1-Normal26"/>
              <w:spacing w:line="240" w:lineRule="auto"/>
              <w:jc w:val="center"/>
              <w:rPr>
                <w:noProof/>
              </w:rPr>
            </w:pPr>
            <w:r>
              <w:rPr>
                <w:noProof/>
              </w:rPr>
              <w:t>Infrastructures de gestion des déchets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F0BA6F" w14:textId="058718C8" w:rsidR="006C686E" w:rsidRDefault="006C686E">
            <w:pPr>
              <w:spacing w:line="240" w:lineRule="auto"/>
              <w:jc w:val="center"/>
              <w:rPr>
                <w:rFonts w:ascii="Times New Roman" w:eastAsia="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2D04A5" w14:textId="2ACE5586" w:rsidR="006C686E" w:rsidRDefault="006C686E">
            <w:pPr>
              <w:spacing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18235B" w14:textId="48B3B73E" w:rsidR="006C686E" w:rsidRDefault="006C686E">
            <w:pPr>
              <w:spacing w:line="240" w:lineRule="auto"/>
              <w:jc w:val="center"/>
              <w:rPr>
                <w:rFonts w:ascii="Times New Roman" w:eastAsia="Times New Roman" w:hAnsi="Times New Roman" w:cs="Times New Roman"/>
                <w:noProof/>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1125BC" w14:textId="77777777" w:rsidR="006C686E" w:rsidRDefault="00B17E8C">
            <w:pPr>
              <w:pStyle w:val="P68B1DB1-Normal26"/>
              <w:spacing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E188AB" w14:textId="77777777" w:rsidR="006C686E" w:rsidRDefault="00B17E8C">
            <w:pPr>
              <w:pStyle w:val="P68B1DB1-Normal26"/>
              <w:spacing w:line="240" w:lineRule="auto"/>
              <w:jc w:val="center"/>
              <w:rPr>
                <w:noProof/>
              </w:rPr>
            </w:pPr>
            <w:r>
              <w:rPr>
                <w:noProof/>
              </w:rPr>
              <w:t>2025</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1B4C98A5" w14:textId="61BEA284" w:rsidR="006C686E" w:rsidRDefault="00B17E8C">
            <w:pPr>
              <w:pStyle w:val="P68B1DB1-Normal26"/>
              <w:spacing w:line="240" w:lineRule="auto"/>
              <w:jc w:val="both"/>
              <w:rPr>
                <w:noProof/>
              </w:rPr>
            </w:pPr>
            <w:r>
              <w:rPr>
                <w:noProof/>
              </w:rPr>
              <w:t>a) installation d'équipements pour l'automatisation et l'optimisation d'une ligne de tri pour les emballages plastiques et métalliques, b) construction d'une unité de tri des emballages, c) livraison de conteneurs de tri et d) installation d'équipements pour le traitement des eaux usées.</w:t>
            </w:r>
          </w:p>
        </w:tc>
      </w:tr>
    </w:tbl>
    <w:p w14:paraId="1FB784DD" w14:textId="77777777" w:rsidR="006C686E" w:rsidRDefault="00B17E8C">
      <w:pPr>
        <w:pStyle w:val="P68B1DB1-Normal46"/>
        <w:tabs>
          <w:tab w:val="center" w:pos="7285"/>
        </w:tabs>
        <w:rPr>
          <w:noProof/>
        </w:rPr>
        <w:sectPr w:rsidR="006C686E" w:rsidSect="00C95E00">
          <w:headerReference w:type="even" r:id="rId250"/>
          <w:headerReference w:type="default" r:id="rId251"/>
          <w:footerReference w:type="even" r:id="rId252"/>
          <w:footerReference w:type="default" r:id="rId253"/>
          <w:headerReference w:type="first" r:id="rId254"/>
          <w:footerReference w:type="first" r:id="rId255"/>
          <w:pgSz w:w="16839" w:h="11907" w:orient="landscape"/>
          <w:pgMar w:top="1134" w:right="1134" w:bottom="1134" w:left="1134" w:header="567" w:footer="567" w:gutter="0"/>
          <w:cols w:space="720"/>
          <w:docGrid w:linePitch="360"/>
        </w:sectPr>
      </w:pPr>
      <w:r>
        <w:rPr>
          <w:noProof/>
        </w:rPr>
        <w:tab/>
      </w:r>
    </w:p>
    <w:p w14:paraId="27541C08" w14:textId="77777777" w:rsidR="006C686E" w:rsidRDefault="00B17E8C">
      <w:pPr>
        <w:pStyle w:val="P68B1DB1-Normal1"/>
        <w:keepNext/>
        <w:spacing w:before="40" w:after="0"/>
        <w:ind w:left="130" w:firstLine="720"/>
        <w:jc w:val="both"/>
        <w:outlineLvl w:val="1"/>
        <w:rPr>
          <w:rFonts w:eastAsia="Times New Roman"/>
          <w:smallCaps/>
          <w:noProof/>
        </w:rPr>
      </w:pPr>
      <w:r>
        <w:rPr>
          <w:noProof/>
        </w:rPr>
        <w:t>M.</w:t>
      </w:r>
      <w:r>
        <w:rPr>
          <w:smallCaps/>
          <w:noProof/>
        </w:rPr>
        <w:t xml:space="preserve"> COMPOSANT 1</w:t>
      </w:r>
      <w:r>
        <w:rPr>
          <w:noProof/>
        </w:rPr>
        <w:t xml:space="preserve"> 3</w:t>
      </w:r>
      <w:r>
        <w:rPr>
          <w:smallCaps/>
          <w:noProof/>
        </w:rPr>
        <w:t xml:space="preserve">: </w:t>
      </w:r>
      <w:r>
        <w:rPr>
          <w:noProof/>
        </w:rPr>
        <w:t>Efficacité énergétique dans les bâtiments</w:t>
      </w:r>
    </w:p>
    <w:p w14:paraId="60C4226A" w14:textId="77777777" w:rsidR="006C686E" w:rsidRDefault="00B17E8C">
      <w:pPr>
        <w:pStyle w:val="P68B1DB1-Normal4"/>
        <w:keepNext/>
        <w:spacing w:beforeLines="40" w:before="96" w:after="0" w:line="22" w:lineRule="atLeast"/>
        <w:jc w:val="both"/>
        <w:rPr>
          <w:rFonts w:eastAsia="Times New Roman"/>
          <w:noProof/>
        </w:rPr>
      </w:pPr>
      <w:r>
        <w:rPr>
          <w:noProof/>
        </w:rPr>
        <w:t xml:space="preserve">Ce volet vise à relever les défis suivants. Le secteur résidentiel représente 18 % de la consommation d'énergie et le secteur des services 14 % de plus. Les bâtiments jouent donc un rôle important pour que le Portugal atteigne ses objectifs de neutralité carbone. Les mesures prises dans ce domaine, et en particulier dans le segment résidentiel, peuvent également contribuer à atténuer la précarité énergétique, qui reste une préoccupation importante au Portugal, le pourcentage de ménages incapables de garder leur logement suffisamment au chaud s’établissant à 19 % en 2019. Le Portugal s’est engagé à parvenir à la neutralité carbone d’ici à 2050 et doit donc promouvoir la </w:t>
      </w:r>
      <w:r>
        <w:rPr>
          <w:noProof/>
          <w:shd w:val="clear" w:color="auto" w:fill="FFFFFF"/>
        </w:rPr>
        <w:t xml:space="preserve">décarbonation de son parc immobilier, </w:t>
      </w:r>
      <w:r>
        <w:rPr>
          <w:noProof/>
        </w:rPr>
        <w:t>tout en améliorant les conditions de logement (confort intérieur et qualité) et l’accessibilité financière. Cet objectif est atteint en augmentant la performance énergétique des bâtiments, en combinant l’efficacité énergétique et les énergies renouvelables avec l’électrification, et en ciblant en particulier les ménages à faible revenu pour lutter contre la précarité énergétique.</w:t>
      </w:r>
    </w:p>
    <w:p w14:paraId="5F692F99" w14:textId="77777777" w:rsidR="006C686E" w:rsidRDefault="00B17E8C">
      <w:pPr>
        <w:pStyle w:val="P68B1DB1-Normal4"/>
        <w:widowControl w:val="0"/>
        <w:spacing w:beforeLines="40" w:before="96" w:after="161" w:line="22" w:lineRule="atLeast"/>
        <w:jc w:val="both"/>
        <w:rPr>
          <w:noProof/>
        </w:rPr>
      </w:pPr>
      <w:r>
        <w:rPr>
          <w:noProof/>
        </w:rPr>
        <w:t>Un certain nombre de «défaillances du marché» sont recensées et correspondent à un certain nombre de problèmes qui tendent à retarder la transformation du parc immobilier et l’exploitation des économies d’énergie potentielles, tels que:</w:t>
      </w:r>
    </w:p>
    <w:p w14:paraId="6153DA6B" w14:textId="77777777" w:rsidR="006C686E" w:rsidRDefault="00B17E8C">
      <w:pPr>
        <w:pStyle w:val="P68B1DB1-Normal4"/>
        <w:keepNext/>
        <w:widowControl w:val="0"/>
        <w:numPr>
          <w:ilvl w:val="0"/>
          <w:numId w:val="47"/>
        </w:numPr>
        <w:spacing w:beforeLines="40" w:before="96" w:after="161" w:line="22" w:lineRule="atLeast"/>
        <w:jc w:val="both"/>
        <w:rPr>
          <w:noProof/>
        </w:rPr>
      </w:pPr>
      <w:r>
        <w:rPr>
          <w:noProof/>
        </w:rPr>
        <w:t>le manque de compréhension de la consommation d’énergie et des économies potentielles;</w:t>
      </w:r>
    </w:p>
    <w:p w14:paraId="68EF32E7" w14:textId="77777777" w:rsidR="006C686E" w:rsidRDefault="00B17E8C">
      <w:pPr>
        <w:pStyle w:val="P68B1DB1-Normal4"/>
        <w:keepNext/>
        <w:widowControl w:val="0"/>
        <w:numPr>
          <w:ilvl w:val="0"/>
          <w:numId w:val="47"/>
        </w:numPr>
        <w:spacing w:beforeLines="40" w:before="96" w:after="161" w:line="22" w:lineRule="atLeast"/>
        <w:jc w:val="both"/>
        <w:rPr>
          <w:noProof/>
        </w:rPr>
      </w:pPr>
      <w:r>
        <w:rPr>
          <w:noProof/>
        </w:rPr>
        <w:t>une activité limitée de rénovation et de construction dans un contexte post-crise financière;</w:t>
      </w:r>
    </w:p>
    <w:p w14:paraId="3B80C7AC" w14:textId="77777777" w:rsidR="006C686E" w:rsidRDefault="00B17E8C">
      <w:pPr>
        <w:pStyle w:val="P68B1DB1-Normal4"/>
        <w:keepNext/>
        <w:widowControl w:val="0"/>
        <w:numPr>
          <w:ilvl w:val="0"/>
          <w:numId w:val="47"/>
        </w:numPr>
        <w:spacing w:beforeLines="40" w:before="96" w:after="161" w:line="22" w:lineRule="atLeast"/>
        <w:jc w:val="both"/>
        <w:rPr>
          <w:noProof/>
        </w:rPr>
      </w:pPr>
      <w:r>
        <w:rPr>
          <w:noProof/>
        </w:rPr>
        <w:t>manque de produits de financement attrayants;</w:t>
      </w:r>
    </w:p>
    <w:p w14:paraId="5678DFB5" w14:textId="77777777" w:rsidR="006C686E" w:rsidRDefault="00B17E8C">
      <w:pPr>
        <w:pStyle w:val="P68B1DB1-Normal4"/>
        <w:keepNext/>
        <w:widowControl w:val="0"/>
        <w:numPr>
          <w:ilvl w:val="0"/>
          <w:numId w:val="47"/>
        </w:numPr>
        <w:spacing w:beforeLines="40" w:before="96" w:after="161" w:line="22" w:lineRule="atLeast"/>
        <w:jc w:val="both"/>
        <w:rPr>
          <w:noProof/>
        </w:rPr>
      </w:pPr>
      <w:r>
        <w:rPr>
          <w:noProof/>
        </w:rPr>
        <w:t>des informations limitées sur le parc immobilier; et</w:t>
      </w:r>
    </w:p>
    <w:p w14:paraId="762B14DE" w14:textId="77777777" w:rsidR="006C686E" w:rsidRDefault="00B17E8C">
      <w:pPr>
        <w:pStyle w:val="P68B1DB1-Normal4"/>
        <w:keepNext/>
        <w:widowControl w:val="0"/>
        <w:numPr>
          <w:ilvl w:val="0"/>
          <w:numId w:val="47"/>
        </w:numPr>
        <w:spacing w:beforeLines="40" w:before="96" w:after="161" w:line="22" w:lineRule="atLeast"/>
        <w:jc w:val="both"/>
        <w:rPr>
          <w:noProof/>
        </w:rPr>
      </w:pPr>
      <w:r>
        <w:rPr>
          <w:noProof/>
        </w:rPr>
        <w:t>adoption limitée de technologies efficaces et intelligentes.</w:t>
      </w:r>
    </w:p>
    <w:p w14:paraId="6DCC7AFD" w14:textId="77777777" w:rsidR="006C686E" w:rsidRDefault="00B17E8C">
      <w:pPr>
        <w:pStyle w:val="P68B1DB1-Normal4"/>
        <w:spacing w:beforeLines="40" w:before="96" w:after="0" w:line="22" w:lineRule="atLeast"/>
        <w:jc w:val="both"/>
        <w:rPr>
          <w:rFonts w:eastAsia="Times New Roman"/>
          <w:noProof/>
        </w:rPr>
      </w:pPr>
      <w:r>
        <w:rPr>
          <w:noProof/>
        </w:rPr>
        <w:t xml:space="preserve">Les objectifs du volet sont de rénover les bâtiments publics et privés afin d’améliorer leur performance énergétique et leur confort, tout en réduisant la facture énergétique et la dépendance énergétique du pays, les émissions de gaz à effet de serre et la dépendance énergétique, d’atténuer la précarité énergétique et d’intégrer les sources d’énergie renouvelables dans l’environnement bâti. Cela devrait apporter de nombreux avantages sociaux, environnementaux et économiques aux citoyens et aux entreprises, tels que la création d'emplois locaux et la réduction de la pollution atmosphérique. </w:t>
      </w:r>
    </w:p>
    <w:p w14:paraId="58971CF1" w14:textId="77777777" w:rsidR="006C686E" w:rsidRDefault="00B17E8C">
      <w:pPr>
        <w:pStyle w:val="P68B1DB1-Normal4"/>
        <w:spacing w:beforeLines="40" w:before="96" w:after="0" w:line="22" w:lineRule="atLeast"/>
        <w:jc w:val="both"/>
        <w:rPr>
          <w:rFonts w:eastAsia="Times New Roman"/>
          <w:noProof/>
        </w:rPr>
      </w:pPr>
      <w:r>
        <w:rPr>
          <w:noProof/>
        </w:rPr>
        <w:t xml:space="preserve">Le volet soutient la mise en œuvre de la recommandation par pays relative aux investissements dans la transition climatique, en particulier en ce qui concerne la production et l’utilisation propres et efficaces de l’énergie (recommandation par pays no 3 de 2020). Elle est liée à l’initiative phare «Rénover» et fait également partie de la transition écologique. </w:t>
      </w:r>
    </w:p>
    <w:p w14:paraId="383E2C15" w14:textId="77777777" w:rsidR="006C686E" w:rsidRDefault="00B17E8C">
      <w:pPr>
        <w:pStyle w:val="P68B1DB1-Normal4"/>
        <w:spacing w:beforeLines="40" w:before="96" w:after="0" w:line="22" w:lineRule="atLeast"/>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442DF600" w14:textId="77777777" w:rsidR="006C686E" w:rsidRDefault="006C686E">
      <w:pPr>
        <w:spacing w:beforeLines="40" w:before="96" w:after="0" w:line="22" w:lineRule="atLeast"/>
        <w:jc w:val="both"/>
        <w:rPr>
          <w:rFonts w:ascii="Times New Roman" w:eastAsia="Times New Roman" w:hAnsi="Times New Roman" w:cs="Times New Roman"/>
          <w:noProof/>
          <w:kern w:val="0"/>
          <w14:ligatures w14:val="none"/>
        </w:rPr>
      </w:pPr>
    </w:p>
    <w:p w14:paraId="324325B5" w14:textId="77777777" w:rsidR="006C686E" w:rsidRDefault="00B17E8C">
      <w:pPr>
        <w:pStyle w:val="P68B1DB1-Normal1"/>
        <w:spacing w:before="40" w:after="0"/>
        <w:ind w:left="130" w:firstLine="720"/>
        <w:jc w:val="both"/>
        <w:outlineLvl w:val="1"/>
        <w:rPr>
          <w:rFonts w:eastAsia="Times New Roman"/>
          <w:noProof/>
        </w:rPr>
      </w:pPr>
      <w:r>
        <w:rPr>
          <w:noProof/>
        </w:rPr>
        <w:t>M.1. Description des réformes et des investissements pour le soutien financier non remboursable</w:t>
      </w:r>
    </w:p>
    <w:p w14:paraId="550A6413" w14:textId="7C24DFE2" w:rsidR="006C686E" w:rsidRDefault="00B17E8C">
      <w:pPr>
        <w:pStyle w:val="P68B1DB1-Normal5"/>
        <w:spacing w:before="240" w:after="0" w:line="240" w:lineRule="auto"/>
        <w:ind w:left="851"/>
        <w:jc w:val="both"/>
        <w:outlineLvl w:val="2"/>
        <w:rPr>
          <w:rFonts w:eastAsia="Times New Roman"/>
          <w:noProof/>
        </w:rPr>
      </w:pPr>
      <w:r>
        <w:rPr>
          <w:noProof/>
        </w:rPr>
        <w:t>Investissement TC-C13-i01: Efficacité énergétique dans les bâtiments résidentiels</w:t>
      </w:r>
    </w:p>
    <w:p w14:paraId="0AAE0625" w14:textId="03DF3FD0" w:rsidR="006C686E" w:rsidRDefault="00B17E8C">
      <w:pPr>
        <w:pStyle w:val="P68B1DB1-Normal3"/>
        <w:keepNext/>
        <w:spacing w:before="40" w:after="0"/>
        <w:jc w:val="both"/>
        <w:rPr>
          <w:rFonts w:eastAsia="Times New Roman"/>
          <w:noProof/>
        </w:rPr>
      </w:pPr>
      <w:r>
        <w:rPr>
          <w:noProof/>
          <w:kern w:val="0"/>
          <w14:ligatures w14:val="none"/>
        </w:rPr>
        <w:t xml:space="preserve">Les objectifs de cet investissement sont d’accroître </w:t>
      </w:r>
      <w:r>
        <w:rPr>
          <w:noProof/>
        </w:rPr>
        <w:t xml:space="preserve"> </w:t>
      </w:r>
      <w:r>
        <w:rPr>
          <w:noProof/>
          <w:kern w:val="0"/>
          <w14:ligatures w14:val="none"/>
        </w:rPr>
        <w:t>l’efficacité</w:t>
      </w:r>
      <w:r>
        <w:rPr>
          <w:noProof/>
          <w:kern w:val="0"/>
          <w:shd w:val="clear" w:color="auto" w:fill="FFFFFF"/>
          <w14:ligatures w14:val="none"/>
        </w:rPr>
        <w:t xml:space="preserve"> énergétique</w:t>
      </w:r>
      <w:r>
        <w:rPr>
          <w:noProof/>
          <w:kern w:val="0"/>
          <w14:ligatures w14:val="none"/>
        </w:rPr>
        <w:t xml:space="preserve"> </w:t>
      </w:r>
      <w:r>
        <w:rPr>
          <w:noProof/>
        </w:rPr>
        <w:t xml:space="preserve"> </w:t>
      </w:r>
      <w:r>
        <w:rPr>
          <w:noProof/>
          <w:kern w:val="0"/>
          <w:shd w:val="clear" w:color="auto" w:fill="FFFFFF"/>
          <w14:ligatures w14:val="none"/>
        </w:rPr>
        <w:t>des bâtiments résidentiels privés</w:t>
      </w:r>
      <w:r>
        <w:rPr>
          <w:noProof/>
          <w:kern w:val="0"/>
          <w14:ligatures w14:val="none"/>
        </w:rPr>
        <w:t xml:space="preserve"> et de lutter contre la précarité énergétique. L’investissement consiste en des mesures d’efficacité énergétique dans les bâtiments résidentiels.</w:t>
      </w:r>
    </w:p>
    <w:p w14:paraId="512E79BB" w14:textId="77777777" w:rsidR="006C686E" w:rsidRDefault="00B17E8C">
      <w:pPr>
        <w:pStyle w:val="P68B1DB1-Normal4"/>
        <w:rPr>
          <w:noProof/>
        </w:rPr>
      </w:pPr>
      <w:r>
        <w:rPr>
          <w:noProof/>
        </w:rPr>
        <w:br w:type="page"/>
      </w:r>
    </w:p>
    <w:p w14:paraId="7F00CEED" w14:textId="77777777" w:rsidR="006C686E" w:rsidRDefault="006C686E">
      <w:pPr>
        <w:keepNext/>
        <w:spacing w:before="40"/>
        <w:contextualSpacing/>
        <w:jc w:val="both"/>
        <w:rPr>
          <w:rFonts w:ascii="Times New Roman" w:eastAsia="Calibri" w:hAnsi="Times New Roman" w:cs="Times New Roman"/>
          <w:noProof/>
          <w:kern w:val="0"/>
          <w14:ligatures w14:val="none"/>
        </w:rPr>
      </w:pPr>
    </w:p>
    <w:p w14:paraId="5D0F4BB0" w14:textId="3A69D696" w:rsidR="006C686E" w:rsidRDefault="00B17E8C">
      <w:pPr>
        <w:pStyle w:val="P68B1DB1-Normal47"/>
        <w:spacing w:before="240" w:after="0" w:line="240" w:lineRule="auto"/>
        <w:ind w:left="851"/>
        <w:jc w:val="both"/>
        <w:outlineLvl w:val="2"/>
        <w:rPr>
          <w:rFonts w:eastAsia="Times New Roman"/>
          <w:noProof/>
          <w:kern w:val="0"/>
          <w14:ligatures w14:val="none"/>
        </w:rPr>
      </w:pPr>
      <w:r>
        <w:rPr>
          <w:noProof/>
          <w:kern w:val="0"/>
          <w14:ligatures w14:val="none"/>
        </w:rPr>
        <w:t>Investissement TC-C13-i02: Efficacité énergétique dans les bâtiments gouvernementaux ou les bâtiments publics</w:t>
      </w:r>
    </w:p>
    <w:p w14:paraId="2ED786DD" w14:textId="29573753" w:rsidR="006C686E" w:rsidRDefault="00B17E8C">
      <w:pPr>
        <w:keepNext/>
        <w:spacing w:before="40" w:after="200" w:line="240" w:lineRule="auto"/>
        <w:ind w:left="360"/>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L'objectif de cet investissement est d'accroître l'efficacité</w:t>
      </w:r>
      <w:r>
        <w:rPr>
          <w:rFonts w:ascii="Times New Roman" w:eastAsia="Calibri" w:hAnsi="Times New Roman" w:cs="Times New Roman"/>
          <w:noProof/>
          <w:kern w:val="0"/>
          <w:shd w:val="clear" w:color="auto" w:fill="FFFFFF"/>
          <w14:ligatures w14:val="none"/>
        </w:rPr>
        <w:t xml:space="preserve"> énergétique</w:t>
      </w:r>
      <w:r>
        <w:rPr>
          <w:rFonts w:ascii="Times New Roman" w:eastAsia="Calibri" w:hAnsi="Times New Roman" w:cs="Times New Roman"/>
          <w:noProof/>
        </w:rPr>
        <w:t xml:space="preserve"> des </w:t>
      </w:r>
      <w:r>
        <w:rPr>
          <w:rFonts w:ascii="Times New Roman" w:eastAsia="Calibri" w:hAnsi="Times New Roman" w:cs="Times New Roman"/>
          <w:noProof/>
          <w:kern w:val="0"/>
          <w:shd w:val="clear" w:color="auto" w:fill="FFFFFF"/>
          <w14:ligatures w14:val="none"/>
        </w:rPr>
        <w:t>bâtiments gouvernementaux</w:t>
      </w:r>
      <w:r>
        <w:rPr>
          <w:rFonts w:ascii="Times New Roman" w:eastAsia="Calibri" w:hAnsi="Times New Roman" w:cs="Times New Roman"/>
          <w:noProof/>
        </w:rPr>
        <w:t xml:space="preserve"> ou publics.</w:t>
      </w:r>
      <w:r>
        <w:rPr>
          <w:rFonts w:ascii="Times New Roman" w:eastAsia="Calibri" w:hAnsi="Times New Roman" w:cs="Times New Roman"/>
          <w:noProof/>
          <w:kern w:val="0"/>
          <w14:ligatures w14:val="none"/>
        </w:rPr>
        <w:t xml:space="preserve"> </w:t>
      </w:r>
      <w:r>
        <w:rPr>
          <w:rFonts w:ascii="Times New Roman" w:eastAsia="Times New Roman" w:hAnsi="Times New Roman" w:cs="Times New Roman"/>
          <w:noProof/>
          <w:color w:val="000000" w:themeColor="text1"/>
        </w:rPr>
        <w:t>L’investissement consiste en des rénovations visant à améliorer l’efficacité énergétique des bâtiments publics ou des bâtiments publics.</w:t>
      </w:r>
      <w:r>
        <w:rPr>
          <w:rFonts w:ascii="Times New Roman" w:eastAsia="Times New Roman" w:hAnsi="Times New Roman" w:cs="Times New Roman"/>
          <w:noProof/>
        </w:rPr>
        <w:t xml:space="preserve"> </w:t>
      </w:r>
    </w:p>
    <w:p w14:paraId="1D5DA3A7" w14:textId="77777777" w:rsidR="006C686E" w:rsidRDefault="006C686E">
      <w:pPr>
        <w:keepNext/>
        <w:spacing w:before="40" w:after="0"/>
        <w:jc w:val="both"/>
        <w:rPr>
          <w:rFonts w:ascii="Times New Roman" w:eastAsia="Times New Roman" w:hAnsi="Times New Roman" w:cs="Times New Roman"/>
          <w:noProof/>
          <w:kern w:val="0"/>
          <w14:ligatures w14:val="none"/>
        </w:rPr>
      </w:pPr>
    </w:p>
    <w:p w14:paraId="2C5C0F91" w14:textId="61F129A7" w:rsidR="006C686E" w:rsidRDefault="00B17E8C">
      <w:pPr>
        <w:pStyle w:val="P68B1DB1-Normal47"/>
        <w:spacing w:before="240" w:after="0" w:line="240" w:lineRule="auto"/>
        <w:ind w:left="851"/>
        <w:jc w:val="both"/>
        <w:outlineLvl w:val="2"/>
        <w:rPr>
          <w:rFonts w:eastAsia="Times New Roman"/>
          <w:noProof/>
          <w:kern w:val="0"/>
          <w14:ligatures w14:val="none"/>
        </w:rPr>
      </w:pPr>
      <w:r>
        <w:rPr>
          <w:noProof/>
          <w:kern w:val="0"/>
          <w14:ligatures w14:val="none"/>
        </w:rPr>
        <w:t xml:space="preserve">Investissement </w:t>
      </w:r>
      <w:r>
        <w:rPr>
          <w:noProof/>
        </w:rPr>
        <w:t>TC-C13-i03: Efficacité énergétique des bâtiments utilisés par le secteur des services</w:t>
      </w:r>
    </w:p>
    <w:p w14:paraId="62CDF59B" w14:textId="269FB215" w:rsidR="006C686E" w:rsidRDefault="00B17E8C">
      <w:pPr>
        <w:spacing w:before="40" w:after="0" w:line="240" w:lineRule="auto"/>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L'objectif de cet investissement est d'accroître l'efficacité </w:t>
      </w:r>
      <w:r>
        <w:rPr>
          <w:rFonts w:ascii="Times New Roman" w:eastAsia="Calibri" w:hAnsi="Times New Roman" w:cs="Times New Roman"/>
          <w:noProof/>
          <w:kern w:val="0"/>
          <w:shd w:val="clear" w:color="auto" w:fill="FFFFFF"/>
          <w14:ligatures w14:val="none"/>
        </w:rPr>
        <w:t xml:space="preserve">énergétique des bâtiments utilisés par le secteur des services. </w:t>
      </w:r>
      <w:r>
        <w:rPr>
          <w:rFonts w:ascii="Times New Roman" w:eastAsia="Times New Roman" w:hAnsi="Times New Roman" w:cs="Times New Roman"/>
          <w:noProof/>
          <w:color w:val="000000" w:themeColor="text1"/>
        </w:rPr>
        <w:t>Cet investissement consiste en des rénovations d'efficacité énergétique de bâtiments de services.</w:t>
      </w:r>
    </w:p>
    <w:p w14:paraId="12542389" w14:textId="77777777" w:rsidR="006C686E" w:rsidRDefault="006C686E">
      <w:pPr>
        <w:spacing w:before="40" w:after="0" w:line="240" w:lineRule="auto"/>
        <w:jc w:val="both"/>
        <w:rPr>
          <w:rFonts w:ascii="Times New Roman" w:eastAsia="Times New Roman" w:hAnsi="Times New Roman" w:cs="Times New Roman"/>
          <w:noProof/>
          <w:kern w:val="0"/>
          <w14:ligatures w14:val="none"/>
        </w:rPr>
      </w:pPr>
    </w:p>
    <w:p w14:paraId="40E40BA5" w14:textId="77777777" w:rsidR="006C686E" w:rsidRDefault="006C686E">
      <w:pPr>
        <w:spacing w:before="40" w:after="0" w:line="240" w:lineRule="auto"/>
        <w:jc w:val="both"/>
        <w:rPr>
          <w:rFonts w:ascii="Times New Roman" w:eastAsia="Times New Roman" w:hAnsi="Times New Roman" w:cs="Times New Roman"/>
          <w:noProof/>
          <w:kern w:val="0"/>
          <w14:ligatures w14:val="none"/>
        </w:rPr>
        <w:sectPr w:rsidR="006C686E" w:rsidSect="00C95E00">
          <w:headerReference w:type="even" r:id="rId256"/>
          <w:headerReference w:type="default" r:id="rId257"/>
          <w:footerReference w:type="even" r:id="rId258"/>
          <w:footerReference w:type="default" r:id="rId259"/>
          <w:headerReference w:type="first" r:id="rId260"/>
          <w:footerReference w:type="first" r:id="rId261"/>
          <w:pgSz w:w="11907" w:h="16839"/>
          <w:pgMar w:top="1134" w:right="1134" w:bottom="1134" w:left="1134" w:header="567" w:footer="567" w:gutter="0"/>
          <w:cols w:space="720"/>
          <w:docGrid w:linePitch="360"/>
        </w:sectPr>
      </w:pPr>
    </w:p>
    <w:p w14:paraId="079FA0B9" w14:textId="77777777" w:rsidR="006C686E" w:rsidRDefault="00B17E8C">
      <w:pPr>
        <w:pStyle w:val="P68B1DB1-Normal1"/>
        <w:spacing w:before="40" w:after="0"/>
        <w:ind w:left="130" w:firstLine="12"/>
        <w:jc w:val="center"/>
        <w:outlineLvl w:val="1"/>
        <w:rPr>
          <w:rFonts w:eastAsia="Times New Roman"/>
          <w:noProof/>
        </w:rPr>
      </w:pPr>
      <w:r>
        <w:rPr>
          <w:noProof/>
        </w:rPr>
        <w:t>M.2. Étapes, cibles, indicateurs et calendrier pour le suivi et la mise en œuvre du soutien financier non remboursable</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418"/>
        <w:gridCol w:w="1247"/>
        <w:gridCol w:w="1162"/>
        <w:gridCol w:w="1106"/>
        <w:gridCol w:w="879"/>
        <w:gridCol w:w="1134"/>
        <w:gridCol w:w="567"/>
        <w:gridCol w:w="709"/>
        <w:gridCol w:w="3656"/>
      </w:tblGrid>
      <w:tr w:rsidR="006C686E" w14:paraId="0F790203" w14:textId="77777777" w:rsidTr="00A66BC8">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BDD6392" w14:textId="77777777" w:rsidR="006C686E" w:rsidRDefault="00B17E8C">
            <w:pPr>
              <w:pStyle w:val="P68B1DB1-Normal9"/>
              <w:spacing w:after="0" w:line="240" w:lineRule="auto"/>
              <w:jc w:val="center"/>
              <w:rPr>
                <w:rFonts w:eastAsia="Times New Roman"/>
                <w:noProof/>
              </w:rPr>
            </w:pPr>
            <w:bookmarkStart w:id="17" w:name="_Hlk176517501"/>
            <w:r>
              <w:rPr>
                <w:noProof/>
              </w:rPr>
              <w:t>Numéro séquentiel</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7419F38"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B86169C" w14:textId="77777777" w:rsidR="006C686E" w:rsidRDefault="00B17E8C">
            <w:pPr>
              <w:pStyle w:val="P68B1DB1-Normal9"/>
              <w:spacing w:after="0" w:line="240" w:lineRule="auto"/>
              <w:jc w:val="center"/>
              <w:rPr>
                <w:rFonts w:eastAsia="Times New Roman"/>
                <w:noProof/>
              </w:rPr>
            </w:pPr>
            <w:r>
              <w:rPr>
                <w:noProof/>
              </w:rPr>
              <w:t>Étape/objectif</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21E54C2" w14:textId="77777777" w:rsidR="006C686E" w:rsidRDefault="00B17E8C">
            <w:pPr>
              <w:pStyle w:val="P68B1DB1-Normal9"/>
              <w:spacing w:after="0" w:line="240" w:lineRule="auto"/>
              <w:jc w:val="center"/>
              <w:rPr>
                <w:rFonts w:eastAsia="Times New Roman"/>
                <w:noProof/>
              </w:rPr>
            </w:pPr>
            <w:r>
              <w:rPr>
                <w:noProof/>
              </w:rPr>
              <w:t>Nom</w:t>
            </w:r>
          </w:p>
        </w:tc>
        <w:tc>
          <w:tcPr>
            <w:tcW w:w="116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A67A82"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DB69383"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5045CA9A"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365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7A50C3"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3E4BC6A7" w14:textId="77777777" w:rsidTr="00A66BC8">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04EF745"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6070E529"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6144097"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31FED3DF"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162" w:type="dxa"/>
            <w:vMerge/>
            <w:tcBorders>
              <w:top w:val="single" w:sz="4" w:space="0" w:color="auto"/>
              <w:left w:val="single" w:sz="4" w:space="0" w:color="auto"/>
              <w:bottom w:val="single" w:sz="4" w:space="0" w:color="auto"/>
              <w:right w:val="single" w:sz="4" w:space="0" w:color="auto"/>
            </w:tcBorders>
            <w:vAlign w:val="center"/>
            <w:hideMark/>
          </w:tcPr>
          <w:p w14:paraId="1812E4E3"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10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E387E5" w14:textId="77777777" w:rsidR="006C686E" w:rsidRDefault="00B17E8C">
            <w:pPr>
              <w:pStyle w:val="P68B1DB1-Normal9"/>
              <w:spacing w:after="0" w:line="240" w:lineRule="auto"/>
              <w:jc w:val="center"/>
              <w:rPr>
                <w:rFonts w:eastAsia="Times New Roman"/>
                <w:noProof/>
              </w:rPr>
            </w:pPr>
            <w:r>
              <w:rPr>
                <w:noProof/>
              </w:rPr>
              <w:t>Unité de mesure</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EE13534" w14:textId="77777777" w:rsidR="006C686E" w:rsidRDefault="00B17E8C">
            <w:pPr>
              <w:pStyle w:val="P68B1DB1-Normal9"/>
              <w:spacing w:after="0" w:line="240" w:lineRule="auto"/>
              <w:jc w:val="center"/>
              <w:rPr>
                <w:rFonts w:eastAsia="Times New Roman"/>
                <w:noProof/>
              </w:rPr>
            </w:pPr>
            <w:r>
              <w:rPr>
                <w:noProof/>
              </w:rPr>
              <w:t>Données de r</w:t>
            </w:r>
            <w:r w:rsidRPr="00A66BC8">
              <w:rPr>
                <w:noProof/>
                <w:sz w:val="16"/>
                <w:szCs w:val="16"/>
              </w:rPr>
              <w:t>éférence</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0C30401" w14:textId="77777777" w:rsidR="006C686E" w:rsidRDefault="00B17E8C">
            <w:pPr>
              <w:pStyle w:val="P68B1DB1-Normal9"/>
              <w:spacing w:after="0" w:line="240" w:lineRule="auto"/>
              <w:jc w:val="center"/>
              <w:rPr>
                <w:rFonts w:eastAsia="Times New Roman"/>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47D545B" w14:textId="77777777" w:rsidR="006C686E" w:rsidRDefault="00B17E8C">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1A1786" w14:textId="77777777" w:rsidR="006C686E" w:rsidRDefault="00B17E8C">
            <w:pPr>
              <w:pStyle w:val="P68B1DB1-Normal9"/>
              <w:spacing w:after="0" w:line="240" w:lineRule="auto"/>
              <w:jc w:val="center"/>
              <w:rPr>
                <w:rFonts w:eastAsia="Times New Roman"/>
                <w:noProof/>
              </w:rPr>
            </w:pPr>
            <w:r>
              <w:rPr>
                <w:noProof/>
              </w:rPr>
              <w:t>Année</w:t>
            </w:r>
          </w:p>
        </w:tc>
        <w:tc>
          <w:tcPr>
            <w:tcW w:w="3656" w:type="dxa"/>
            <w:vMerge/>
            <w:tcBorders>
              <w:top w:val="single" w:sz="4" w:space="0" w:color="auto"/>
              <w:left w:val="single" w:sz="4" w:space="0" w:color="auto"/>
              <w:bottom w:val="single" w:sz="4" w:space="0" w:color="auto"/>
              <w:right w:val="single" w:sz="4" w:space="0" w:color="auto"/>
            </w:tcBorders>
            <w:vAlign w:val="center"/>
            <w:hideMark/>
          </w:tcPr>
          <w:p w14:paraId="6F056DA2"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3A9F4A1B" w14:textId="77777777" w:rsidTr="00A66BC8">
        <w:trPr>
          <w:trHeight w:val="1771"/>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10D699" w14:textId="77777777" w:rsidR="006C686E" w:rsidRDefault="00B17E8C">
            <w:pPr>
              <w:pStyle w:val="P68B1DB1-Normal10"/>
              <w:spacing w:after="0" w:line="240" w:lineRule="auto"/>
              <w:jc w:val="center"/>
              <w:rPr>
                <w:rFonts w:eastAsia="Times New Roman"/>
                <w:noProof/>
              </w:rPr>
            </w:pPr>
            <w:r>
              <w:rPr>
                <w:noProof/>
              </w:rPr>
              <w:t>13.1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0594EF" w14:textId="77777777" w:rsidR="006C686E" w:rsidRDefault="00B17E8C">
            <w:pPr>
              <w:pStyle w:val="P68B1DB1-Normal11"/>
              <w:spacing w:after="0" w:line="240" w:lineRule="auto"/>
              <w:jc w:val="center"/>
              <w:rPr>
                <w:rFonts w:eastAsia="Times New Roman"/>
                <w:noProof/>
              </w:rPr>
            </w:pPr>
            <w:r>
              <w:rPr>
                <w:noProof/>
              </w:rPr>
              <w:t>TC-C13-i01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2F5749" w14:textId="77777777" w:rsidR="006C686E" w:rsidRDefault="00B17E8C">
            <w:pPr>
              <w:pStyle w:val="P68B1DB1-Normal11"/>
              <w:spacing w:after="0" w:line="240" w:lineRule="auto"/>
              <w:jc w:val="center"/>
              <w:rPr>
                <w:rFonts w:eastAsia="Times New Roman"/>
                <w:noProof/>
              </w:rPr>
            </w:pPr>
            <w:r>
              <w:rPr>
                <w:noProof/>
              </w:rPr>
              <w:t>T</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3469C8" w14:textId="77777777" w:rsidR="006C686E" w:rsidRDefault="00B17E8C">
            <w:pPr>
              <w:pStyle w:val="P68B1DB1-Normal11"/>
              <w:spacing w:after="0" w:line="240" w:lineRule="auto"/>
              <w:jc w:val="center"/>
              <w:rPr>
                <w:rFonts w:eastAsia="Times New Roman"/>
                <w:noProof/>
              </w:rPr>
            </w:pPr>
            <w:r>
              <w:rPr>
                <w:noProof/>
              </w:rPr>
              <w:t>Amélioration de l'efficacité énergétique des bâtiments résidentiels privés</w:t>
            </w:r>
          </w:p>
        </w:tc>
        <w:tc>
          <w:tcPr>
            <w:tcW w:w="11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CAE477" w14:textId="347F9D66"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1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AB75A9" w14:textId="77777777" w:rsidR="006C686E" w:rsidRDefault="00B17E8C">
            <w:pPr>
              <w:pStyle w:val="P68B1DB1-Normal11"/>
              <w:spacing w:after="0" w:line="240" w:lineRule="auto"/>
              <w:jc w:val="center"/>
              <w:rPr>
                <w:rFonts w:eastAsia="Times New Roman"/>
                <w:noProof/>
                <w:vertAlign w:val="superscript"/>
              </w:rPr>
            </w:pPr>
            <w:r>
              <w:rPr>
                <w:noProof/>
              </w:rPr>
              <w:t>Numéro</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CD925C"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4B595" w14:textId="77777777" w:rsidR="006C686E" w:rsidRDefault="00B17E8C">
            <w:pPr>
              <w:pStyle w:val="P68B1DB1-Normal11"/>
              <w:spacing w:after="0" w:line="240" w:lineRule="auto"/>
              <w:jc w:val="center"/>
              <w:rPr>
                <w:rFonts w:eastAsia="Times New Roman"/>
                <w:noProof/>
              </w:rPr>
            </w:pPr>
            <w:r>
              <w:rPr>
                <w:noProof/>
              </w:rPr>
              <w:t>45 000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66D21E"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97C38F" w14:textId="77777777" w:rsidR="006C686E" w:rsidRDefault="00B17E8C">
            <w:pPr>
              <w:pStyle w:val="P68B1DB1-Normal11"/>
              <w:spacing w:after="0" w:line="240" w:lineRule="auto"/>
              <w:jc w:val="center"/>
              <w:rPr>
                <w:rFonts w:eastAsia="Times New Roman"/>
                <w:noProof/>
              </w:rPr>
            </w:pPr>
            <w:r>
              <w:rPr>
                <w:noProof/>
              </w:rPr>
              <w:t>2024</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C92DA8" w14:textId="77777777" w:rsidR="006C686E" w:rsidRDefault="00B17E8C">
            <w:pPr>
              <w:pStyle w:val="P68B1DB1-Normal11"/>
              <w:spacing w:after="560" w:line="240" w:lineRule="auto"/>
              <w:jc w:val="both"/>
              <w:rPr>
                <w:noProof/>
              </w:rPr>
            </w:pPr>
            <w:r>
              <w:rPr>
                <w:noProof/>
              </w:rPr>
              <w:t>Nombre de logements équipés d’équipements d’efficacité énergétique achetés réalisant, en moyenne, au moins une rénovation de moyenne profondeur au sens de la recommandation (UE) 2019/786 de la Commission sur la rénovation des bâtiments.</w:t>
            </w:r>
          </w:p>
          <w:p w14:paraId="70850860" w14:textId="70DB0E86" w:rsidR="006C686E" w:rsidRDefault="00B17E8C">
            <w:pPr>
              <w:pStyle w:val="P68B1DB1-Normal11"/>
              <w:spacing w:after="560" w:line="240" w:lineRule="auto"/>
              <w:jc w:val="both"/>
              <w:rPr>
                <w:rFonts w:eastAsia="Times New Roman"/>
                <w:noProof/>
              </w:rPr>
            </w:pPr>
            <w:r>
              <w:rPr>
                <w:noProof/>
              </w:rPr>
              <w:t>35 MW de capacité de production d’énergie renouvelable (par exemple, panneaux photovoltaïques et batteries) installés.</w:t>
            </w:r>
          </w:p>
        </w:tc>
      </w:tr>
      <w:tr w:rsidR="006C686E" w14:paraId="0172DFB4" w14:textId="77777777" w:rsidTr="00A66BC8">
        <w:trPr>
          <w:trHeight w:val="106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EAB1C6" w14:textId="2516C834" w:rsidR="006C686E" w:rsidRDefault="00B17E8C">
            <w:pPr>
              <w:pStyle w:val="P68B1DB1-Normal10"/>
              <w:spacing w:after="0" w:line="240" w:lineRule="auto"/>
              <w:jc w:val="center"/>
              <w:rPr>
                <w:rFonts w:eastAsia="Times New Roman"/>
                <w:noProof/>
              </w:rPr>
            </w:pPr>
            <w:r>
              <w:rPr>
                <w:noProof/>
              </w:rPr>
              <w:t>13.3</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B2A2BD" w14:textId="77777777" w:rsidR="006C686E" w:rsidRDefault="00B17E8C">
            <w:pPr>
              <w:pStyle w:val="P68B1DB1-Normal11"/>
              <w:spacing w:after="0" w:line="240" w:lineRule="auto"/>
              <w:jc w:val="center"/>
              <w:rPr>
                <w:rFonts w:eastAsia="Times New Roman"/>
                <w:noProof/>
              </w:rPr>
            </w:pPr>
            <w:r>
              <w:rPr>
                <w:noProof/>
              </w:rPr>
              <w:t>TC-C13-i01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1A1422" w14:textId="77777777" w:rsidR="006C686E" w:rsidRDefault="00B17E8C">
            <w:pPr>
              <w:pStyle w:val="P68B1DB1-Normal11"/>
              <w:spacing w:after="0" w:line="240" w:lineRule="auto"/>
              <w:jc w:val="center"/>
              <w:rPr>
                <w:rFonts w:eastAsia="Times New Roman"/>
                <w:noProof/>
              </w:rPr>
            </w:pPr>
            <w:r>
              <w:rPr>
                <w:noProof/>
              </w:rPr>
              <w:t>T</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8356A3" w14:textId="3120057F" w:rsidR="006C686E" w:rsidRDefault="00B17E8C">
            <w:pPr>
              <w:pStyle w:val="P68B1DB1-Normal11"/>
              <w:spacing w:after="0" w:line="240" w:lineRule="auto"/>
              <w:jc w:val="center"/>
              <w:rPr>
                <w:rFonts w:eastAsia="Times New Roman"/>
                <w:noProof/>
              </w:rPr>
            </w:pPr>
            <w:r>
              <w:rPr>
                <w:noProof/>
              </w:rPr>
              <w:t>« Bons d’efficacité » payés</w:t>
            </w:r>
          </w:p>
        </w:tc>
        <w:tc>
          <w:tcPr>
            <w:tcW w:w="11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F6F7A" w14:textId="1EC617BE"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1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846102" w14:textId="77777777" w:rsidR="006C686E" w:rsidRDefault="00B17E8C">
            <w:pPr>
              <w:pStyle w:val="P68B1DB1-Normal11"/>
              <w:spacing w:after="0" w:line="240" w:lineRule="auto"/>
              <w:jc w:val="center"/>
              <w:rPr>
                <w:rFonts w:eastAsia="Times New Roman"/>
                <w:noProof/>
              </w:rPr>
            </w:pPr>
            <w:r>
              <w:rPr>
                <w:noProof/>
              </w:rPr>
              <w:t>Numéro</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8A3A5B"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ED8A7B" w14:textId="09F8B0FB" w:rsidR="006C686E" w:rsidRDefault="00B17E8C">
            <w:pPr>
              <w:pStyle w:val="P68B1DB1-Normal11"/>
              <w:spacing w:after="0" w:line="240" w:lineRule="auto"/>
              <w:jc w:val="center"/>
              <w:rPr>
                <w:rFonts w:eastAsia="Times New Roman"/>
                <w:noProof/>
              </w:rPr>
            </w:pPr>
            <w:r>
              <w:rPr>
                <w:noProof/>
              </w:rPr>
              <w:t>20 000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E646DB"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3925E9" w14:textId="77777777" w:rsidR="006C686E" w:rsidRDefault="00B17E8C">
            <w:pPr>
              <w:pStyle w:val="P68B1DB1-Normal11"/>
              <w:spacing w:after="0" w:line="240" w:lineRule="auto"/>
              <w:jc w:val="center"/>
              <w:rPr>
                <w:rFonts w:eastAsia="Times New Roman"/>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703A22" w14:textId="577F86DA" w:rsidR="006C686E" w:rsidRDefault="00B17E8C">
            <w:pPr>
              <w:pStyle w:val="P68B1DB1-Normal13"/>
              <w:spacing w:after="0" w:line="240" w:lineRule="auto"/>
              <w:jc w:val="both"/>
              <w:rPr>
                <w:noProof/>
                <w:kern w:val="0"/>
                <w14:ligatures w14:val="none"/>
              </w:rPr>
            </w:pPr>
            <w:r>
              <w:rPr>
                <w:noProof/>
                <w:kern w:val="0"/>
                <w14:ligatures w14:val="none"/>
              </w:rPr>
              <w:t xml:space="preserve">Nombre de bons versés aux fournisseurs dans le cadre du </w:t>
            </w:r>
            <w:r>
              <w:rPr>
                <w:noProof/>
                <w:color w:val="000000" w:themeColor="text1"/>
              </w:rPr>
              <w:t>programme «Vale Eficiência».</w:t>
            </w:r>
          </w:p>
        </w:tc>
      </w:tr>
      <w:tr w:rsidR="006C686E" w14:paraId="66C851C7" w14:textId="77777777" w:rsidTr="00A66BC8">
        <w:trPr>
          <w:trHeight w:val="42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80E63F" w14:textId="18EFBCAB" w:rsidR="006C686E" w:rsidRDefault="00B17E8C">
            <w:pPr>
              <w:pStyle w:val="P68B1DB1-Normal10"/>
              <w:spacing w:after="0" w:line="240" w:lineRule="auto"/>
              <w:jc w:val="center"/>
              <w:rPr>
                <w:rFonts w:eastAsia="Times New Roman"/>
                <w:noProof/>
              </w:rPr>
            </w:pPr>
            <w:r>
              <w:rPr>
                <w:noProof/>
              </w:rPr>
              <w:t>13.5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0DCE9C" w14:textId="77777777" w:rsidR="006C686E" w:rsidRDefault="00B17E8C">
            <w:pPr>
              <w:pStyle w:val="P68B1DB1-Normal11"/>
              <w:spacing w:after="0" w:line="240" w:lineRule="auto"/>
              <w:jc w:val="center"/>
              <w:rPr>
                <w:rFonts w:eastAsia="Times New Roman"/>
                <w:noProof/>
              </w:rPr>
            </w:pPr>
            <w:r>
              <w:rPr>
                <w:noProof/>
              </w:rPr>
              <w:t>TC-C13-i02</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BC1AB3" w14:textId="77777777" w:rsidR="006C686E" w:rsidRDefault="00B17E8C">
            <w:pPr>
              <w:pStyle w:val="P68B1DB1-Normal11"/>
              <w:spacing w:after="0" w:line="240" w:lineRule="auto"/>
              <w:jc w:val="center"/>
              <w:rPr>
                <w:rFonts w:eastAsia="Times New Roman"/>
                <w:noProof/>
              </w:rPr>
            </w:pPr>
            <w:r>
              <w:rPr>
                <w:noProof/>
              </w:rPr>
              <w:t>T</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5931AD" w14:textId="16FC50CC"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Rénovation de l'efficacité énergétique des bâtiments gouvernementaux</w:t>
            </w:r>
            <w:r>
              <w:rPr>
                <w:noProof/>
              </w:rPr>
              <w:t xml:space="preserve"> ou des bâtiments publics</w:t>
            </w:r>
          </w:p>
        </w:tc>
        <w:tc>
          <w:tcPr>
            <w:tcW w:w="11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D37C02" w14:textId="308984A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1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49417B" w14:textId="77777777" w:rsidR="006C686E" w:rsidRDefault="00B17E8C">
            <w:pPr>
              <w:pStyle w:val="P68B1DB1-Normal11"/>
              <w:spacing w:after="0" w:line="240" w:lineRule="auto"/>
              <w:jc w:val="center"/>
              <w:rPr>
                <w:rFonts w:eastAsia="Times New Roman"/>
                <w:noProof/>
              </w:rPr>
            </w:pPr>
            <w:r>
              <w:rPr>
                <w:noProof/>
              </w:rPr>
              <w:t>m²</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61BC9D" w14:textId="77777777"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8D9DF6" w14:textId="34E5B888" w:rsidR="006C686E" w:rsidRDefault="00B17E8C">
            <w:pPr>
              <w:pStyle w:val="P68B1DB1-Normal13"/>
              <w:spacing w:after="0" w:line="240" w:lineRule="auto"/>
              <w:jc w:val="center"/>
              <w:rPr>
                <w:rFonts w:eastAsia="Times New Roman"/>
                <w:noProof/>
                <w:kern w:val="0"/>
                <w14:ligatures w14:val="none"/>
              </w:rPr>
            </w:pPr>
            <w:r>
              <w:rPr>
                <w:noProof/>
              </w:rPr>
              <w:t>920</w:t>
            </w:r>
            <w:r>
              <w:rPr>
                <w:noProof/>
                <w:kern w:val="0"/>
                <w14:ligatures w14:val="none"/>
              </w:rPr>
              <w:t xml:space="preserve"> </w:t>
            </w:r>
            <w:r>
              <w:rPr>
                <w:noProof/>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F1D8C8" w14:textId="61B7400B"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165882" w14:textId="4E20DDA8" w:rsidR="006C686E" w:rsidRDefault="00B17E8C">
            <w:pPr>
              <w:pStyle w:val="P68B1DB1-Normal11"/>
              <w:spacing w:after="0" w:line="240" w:lineRule="auto"/>
              <w:jc w:val="center"/>
              <w:rPr>
                <w:rFonts w:eastAsia="Times New Roman"/>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4E43C6" w14:textId="7BACCC74" w:rsidR="006C686E" w:rsidRDefault="00B17E8C">
            <w:pPr>
              <w:pStyle w:val="P68B1DB1-Normal13"/>
              <w:spacing w:after="0" w:line="240" w:lineRule="auto"/>
              <w:jc w:val="both"/>
              <w:rPr>
                <w:noProof/>
                <w:kern w:val="0"/>
                <w14:ligatures w14:val="none"/>
              </w:rPr>
            </w:pPr>
            <w:r>
              <w:rPr>
                <w:noProof/>
              </w:rPr>
              <w:t>920</w:t>
            </w:r>
            <w:r>
              <w:rPr>
                <w:noProof/>
                <w:kern w:val="0"/>
                <w14:ligatures w14:val="none"/>
              </w:rPr>
              <w:t> </w:t>
            </w:r>
            <w:r>
              <w:rPr>
                <w:noProof/>
              </w:rPr>
              <w:t>000</w:t>
            </w:r>
            <w:r>
              <w:rPr>
                <w:noProof/>
                <w:kern w:val="0"/>
                <w14:ligatures w14:val="none"/>
              </w:rPr>
              <w:t xml:space="preserve"> m² </w:t>
            </w:r>
            <w:r>
              <w:rPr>
                <w:noProof/>
              </w:rPr>
              <w:t xml:space="preserve">de </w:t>
            </w:r>
            <w:r>
              <w:rPr>
                <w:noProof/>
                <w:kern w:val="0"/>
                <w14:ligatures w14:val="none"/>
              </w:rPr>
              <w:t>rénovations d'efficacité énergétique.</w:t>
            </w:r>
            <w:r>
              <w:rPr>
                <w:noProof/>
              </w:rPr>
              <w:t xml:space="preserve"> Les rénovations en matière d’efficacité énergétique permettent d’atteindre, en moyenne, au moins 30 % de la réduction énergétique primaire estimée.</w:t>
            </w:r>
          </w:p>
          <w:p w14:paraId="378AE6E3" w14:textId="06FEBAE4" w:rsidR="006C686E" w:rsidRDefault="00B17E8C">
            <w:pPr>
              <w:pStyle w:val="P68B1DB1-Normal11"/>
              <w:spacing w:after="0" w:line="240" w:lineRule="auto"/>
              <w:jc w:val="both"/>
              <w:rPr>
                <w:rFonts w:eastAsia="Times New Roman"/>
                <w:noProof/>
              </w:rPr>
            </w:pPr>
            <w:r>
              <w:rPr>
                <w:noProof/>
              </w:rPr>
              <w:t>28 MW/MWp de capacité de production d'énergie renouvelable installée.</w:t>
            </w:r>
          </w:p>
        </w:tc>
      </w:tr>
      <w:tr w:rsidR="006C686E" w14:paraId="5A23C367" w14:textId="7EE14526" w:rsidTr="00A66BC8">
        <w:trPr>
          <w:trHeight w:val="63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F62BCA" w14:textId="2570ED03" w:rsidR="006C686E" w:rsidRDefault="00B17E8C">
            <w:pPr>
              <w:pStyle w:val="P68B1DB1-Normal10"/>
              <w:spacing w:after="0" w:line="240" w:lineRule="auto"/>
              <w:jc w:val="center"/>
              <w:rPr>
                <w:rFonts w:eastAsia="Times New Roman"/>
                <w:noProof/>
              </w:rPr>
            </w:pPr>
            <w:r>
              <w:rPr>
                <w:noProof/>
              </w:rPr>
              <w:t>13.8</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FABED2" w14:textId="7E7A7DF1" w:rsidR="006C686E" w:rsidRDefault="00B17E8C">
            <w:pPr>
              <w:pStyle w:val="P68B1DB1-Normal11"/>
              <w:spacing w:after="0" w:line="240" w:lineRule="auto"/>
              <w:jc w:val="center"/>
              <w:rPr>
                <w:rFonts w:eastAsia="Times New Roman"/>
                <w:noProof/>
              </w:rPr>
            </w:pPr>
            <w:r>
              <w:rPr>
                <w:noProof/>
              </w:rPr>
              <w:t>TC-C13-i03</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776158" w14:textId="7554619D" w:rsidR="006C686E" w:rsidRDefault="00B17E8C">
            <w:pPr>
              <w:pStyle w:val="P68B1DB1-Normal13"/>
              <w:spacing w:after="0" w:line="240" w:lineRule="auto"/>
              <w:jc w:val="center"/>
              <w:rPr>
                <w:rFonts w:eastAsia="Times New Roman"/>
                <w:noProof/>
                <w:kern w:val="0"/>
                <w14:ligatures w14:val="none"/>
              </w:rPr>
            </w:pPr>
            <w:r>
              <w:rPr>
                <w:noProof/>
              </w:rPr>
              <w:t>T</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DE4BC2" w14:textId="636D034B" w:rsidR="006C686E" w:rsidRDefault="00B17E8C">
            <w:pPr>
              <w:pStyle w:val="P68B1DB1-Normal11"/>
              <w:spacing w:after="0" w:line="240" w:lineRule="auto"/>
              <w:jc w:val="center"/>
              <w:rPr>
                <w:rFonts w:eastAsia="Times New Roman"/>
                <w:noProof/>
              </w:rPr>
            </w:pPr>
            <w:r>
              <w:rPr>
                <w:noProof/>
              </w:rPr>
              <w:t>Rénovation de l'efficacité énergétique des bâtiments de services</w:t>
            </w:r>
          </w:p>
        </w:tc>
        <w:tc>
          <w:tcPr>
            <w:tcW w:w="11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0CFC57" w14:textId="26B2D01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1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39452F" w14:textId="4875734D" w:rsidR="006C686E" w:rsidRDefault="00B17E8C">
            <w:pPr>
              <w:pStyle w:val="P68B1DB1-Normal11"/>
              <w:spacing w:after="0" w:line="240" w:lineRule="auto"/>
              <w:jc w:val="center"/>
              <w:rPr>
                <w:rFonts w:eastAsia="Times New Roman"/>
                <w:noProof/>
              </w:rPr>
            </w:pPr>
            <w:r>
              <w:rPr>
                <w:noProof/>
              </w:rPr>
              <w:t>m²</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200306" w14:textId="7AB849A2" w:rsidR="006C686E" w:rsidRDefault="00B17E8C">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21040E" w14:textId="6BE4F965" w:rsidR="006C686E" w:rsidRDefault="00B17E8C">
            <w:pPr>
              <w:pStyle w:val="P68B1DB1-Normal11"/>
              <w:spacing w:after="0" w:line="240" w:lineRule="auto"/>
              <w:jc w:val="center"/>
              <w:rPr>
                <w:rFonts w:eastAsia="Times New Roman"/>
                <w:noProof/>
              </w:rPr>
            </w:pPr>
            <w:r>
              <w:rPr>
                <w:noProof/>
              </w:rPr>
              <w:t>800 000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A53EC4" w14:textId="2E533DB3"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65A916" w14:textId="4A72B51F" w:rsidR="006C686E" w:rsidRDefault="00B17E8C">
            <w:pPr>
              <w:pStyle w:val="P68B1DB1-Normal11"/>
              <w:spacing w:after="0" w:line="240" w:lineRule="auto"/>
              <w:jc w:val="center"/>
              <w:rPr>
                <w:rFonts w:eastAsia="Times New Roman"/>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014A090" w14:textId="4AC1B503" w:rsidR="006C686E" w:rsidRDefault="00B17E8C">
            <w:pPr>
              <w:pStyle w:val="P68B1DB1-Normal13"/>
              <w:spacing w:after="0" w:line="240" w:lineRule="auto"/>
              <w:jc w:val="both"/>
              <w:rPr>
                <w:noProof/>
                <w:kern w:val="0"/>
                <w14:ligatures w14:val="none"/>
              </w:rPr>
            </w:pPr>
            <w:r>
              <w:rPr>
                <w:noProof/>
                <w:kern w:val="0"/>
                <w14:ligatures w14:val="none"/>
              </w:rPr>
              <w:t>800 000m² de rénovations d'efficacité énergétique dans les bâtiments de service.</w:t>
            </w:r>
            <w:r>
              <w:rPr>
                <w:noProof/>
              </w:rPr>
              <w:t xml:space="preserve"> Les rénovations en matière d’efficacité énergétique permettent d’atteindre, en moyenne, au moins 30 % de la réduction énergétique primaire estimée.</w:t>
            </w:r>
          </w:p>
          <w:p w14:paraId="5260798C" w14:textId="714857DB" w:rsidR="006C686E" w:rsidRDefault="00B17E8C">
            <w:pPr>
              <w:pStyle w:val="P68B1DB1-Normal11"/>
              <w:spacing w:after="0" w:line="240" w:lineRule="auto"/>
              <w:jc w:val="both"/>
              <w:rPr>
                <w:rFonts w:eastAsia="Times New Roman"/>
                <w:noProof/>
              </w:rPr>
            </w:pPr>
            <w:r>
              <w:rPr>
                <w:noProof/>
              </w:rPr>
              <w:t xml:space="preserve">22 MW/MWp de capacité de production d'énergie renouvelable installée. </w:t>
            </w:r>
          </w:p>
        </w:tc>
      </w:tr>
      <w:bookmarkEnd w:id="17"/>
    </w:tbl>
    <w:p w14:paraId="290C3490" w14:textId="77777777" w:rsidR="006C686E" w:rsidRDefault="006C686E">
      <w:pPr>
        <w:spacing w:before="40" w:after="0" w:line="259" w:lineRule="auto"/>
        <w:jc w:val="both"/>
        <w:outlineLvl w:val="1"/>
        <w:rPr>
          <w:rFonts w:ascii="Times New Roman" w:hAnsi="Times New Roman"/>
          <w:b/>
          <w:noProof/>
          <w:u w:val="single"/>
        </w:rPr>
        <w:sectPr w:rsidR="006C686E" w:rsidSect="00C95E00">
          <w:headerReference w:type="even" r:id="rId262"/>
          <w:headerReference w:type="default" r:id="rId263"/>
          <w:footerReference w:type="even" r:id="rId264"/>
          <w:footerReference w:type="default" r:id="rId265"/>
          <w:headerReference w:type="first" r:id="rId266"/>
          <w:footerReference w:type="first" r:id="rId267"/>
          <w:pgSz w:w="16839" w:h="11907" w:orient="landscape"/>
          <w:pgMar w:top="1134" w:right="1134" w:bottom="1134" w:left="1134" w:header="567" w:footer="567" w:gutter="0"/>
          <w:cols w:space="720"/>
          <w:docGrid w:linePitch="360"/>
        </w:sectPr>
      </w:pPr>
    </w:p>
    <w:p w14:paraId="5449529A" w14:textId="77777777" w:rsidR="006C686E" w:rsidRDefault="00B17E8C">
      <w:pPr>
        <w:pStyle w:val="P68B1DB1-Normal18"/>
        <w:spacing w:before="40" w:after="0" w:line="259" w:lineRule="auto"/>
        <w:ind w:left="130" w:firstLine="720"/>
        <w:jc w:val="both"/>
        <w:outlineLvl w:val="1"/>
        <w:rPr>
          <w:rFonts w:eastAsiaTheme="minorEastAsia" w:cs="Times New Roman"/>
          <w:bCs/>
          <w:noProof/>
        </w:rPr>
      </w:pPr>
      <w:bookmarkStart w:id="18" w:name="_Hlk213433923"/>
      <w:r>
        <w:rPr>
          <w:noProof/>
        </w:rPr>
        <w:t xml:space="preserve">N. Élément 14: </w:t>
      </w:r>
      <w:bookmarkStart w:id="19" w:name="_Hlk229405924"/>
      <w:r>
        <w:rPr>
          <w:noProof/>
        </w:rPr>
        <w:t>Hydrogène et énergies renouvelables</w:t>
      </w:r>
      <w:bookmarkEnd w:id="19"/>
    </w:p>
    <w:p w14:paraId="1BF2B311" w14:textId="77777777" w:rsidR="006C686E" w:rsidRDefault="00B17E8C">
      <w:pPr>
        <w:pStyle w:val="P68B1DB1-Normal22"/>
        <w:spacing w:before="40" w:after="0" w:line="259" w:lineRule="auto"/>
        <w:jc w:val="both"/>
        <w:rPr>
          <w:rFonts w:eastAsiaTheme="minorEastAsia" w:cs="Times New Roman"/>
          <w:noProof/>
        </w:rPr>
      </w:pPr>
      <w:r>
        <w:rPr>
          <w:noProof/>
        </w:rPr>
        <w:t>Le Portugal s'est engagé à atteindre la neutralité carbone d'ici 2050, positionnant le pays parmi ceux qui prennent la tête de la lutte contre le changement climatique dans le cadre de l'accord de Paris. La feuille de route pour la neutralité carbone à l’horizon 2050 (RNC 2050) fixe comme objectifs de décarbonation une réduction des émissions de plus de 85 % par rapport aux émissions de 2005 et une capacité de séquestration du carbone de 13 000 000 tonnes. Ce volet s’attaque aux secteurs dits «difficiles à réduire» en promouvant le déploiement de l’hydrogène renouvelable.</w:t>
      </w:r>
    </w:p>
    <w:p w14:paraId="48CC53D7" w14:textId="77777777" w:rsidR="006C686E" w:rsidRDefault="00B17E8C">
      <w:pPr>
        <w:pStyle w:val="P68B1DB1-Normal22"/>
        <w:spacing w:before="40" w:after="0" w:line="259" w:lineRule="auto"/>
        <w:jc w:val="both"/>
        <w:rPr>
          <w:rFonts w:eastAsiaTheme="minorEastAsia" w:cs="Times New Roman"/>
          <w:noProof/>
        </w:rPr>
      </w:pPr>
      <w:r>
        <w:rPr>
          <w:noProof/>
        </w:rPr>
        <w:t>Les objectifs du volet sont de promouvoir la transition énergétique et la décarbonation de l’industrie et des transports en mettant fortement l’accent sur la production d’hydrogène renouvelable et d’autres gaz renouvelables. Dans le cas des régions autonomes, l’accent est mis sur le déploiement des énergies renouvelables (géothermie, éolienne, photovoltaïque et hydroélectrique) et le stockage. Cette composante est essentielle pour réduire la dépendance énergétique nationale grâce à la production d’énergie à partir de sources locales, améliorer la balance commerciale et renforcer la résilience de l’économie nationale.</w:t>
      </w:r>
    </w:p>
    <w:p w14:paraId="61B92F94" w14:textId="77777777" w:rsidR="006C686E" w:rsidRDefault="00B17E8C">
      <w:pPr>
        <w:pStyle w:val="P68B1DB1-Normal22"/>
        <w:spacing w:before="40" w:after="0" w:line="259" w:lineRule="auto"/>
        <w:jc w:val="both"/>
        <w:rPr>
          <w:rFonts w:eastAsiaTheme="minorEastAsia" w:cs="Times New Roman"/>
          <w:noProof/>
        </w:rPr>
      </w:pPr>
      <w:r>
        <w:rPr>
          <w:noProof/>
        </w:rPr>
        <w:t>Le volet soutient la mise en œuvre de la recommandation par pays visant à concentrer les investissements sur la transition climatique, en mettant l’accent sur la production d’énergie renouvelable (recommandation par pays no 3 de 2019 et 2020).</w:t>
      </w:r>
    </w:p>
    <w:p w14:paraId="18631DC1" w14:textId="77777777" w:rsidR="006C686E" w:rsidRDefault="00B17E8C">
      <w:pPr>
        <w:pStyle w:val="P68B1DB1-Normal22"/>
        <w:keepNext/>
        <w:spacing w:before="40" w:after="0" w:line="259"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2D79388D" w14:textId="77777777" w:rsidR="006C686E" w:rsidRDefault="006C686E">
      <w:pPr>
        <w:keepNext/>
        <w:spacing w:before="40" w:after="0" w:line="259" w:lineRule="auto"/>
        <w:jc w:val="both"/>
        <w:rPr>
          <w:rFonts w:ascii="Times New Roman" w:eastAsiaTheme="minorEastAsia" w:hAnsi="Times New Roman" w:cs="Times New Roman"/>
          <w:noProof/>
        </w:rPr>
      </w:pPr>
    </w:p>
    <w:p w14:paraId="1E7B3EFC" w14:textId="77777777" w:rsidR="006C686E" w:rsidRDefault="00B17E8C">
      <w:pPr>
        <w:pStyle w:val="P68B1DB1-Normal18"/>
        <w:spacing w:before="40" w:after="0" w:line="259" w:lineRule="auto"/>
        <w:ind w:left="130" w:firstLine="720"/>
        <w:jc w:val="both"/>
        <w:outlineLvl w:val="1"/>
        <w:rPr>
          <w:rFonts w:eastAsiaTheme="minorEastAsia" w:cs="Times New Roman"/>
          <w:bCs/>
          <w:noProof/>
        </w:rPr>
      </w:pPr>
      <w:r>
        <w:rPr>
          <w:noProof/>
        </w:rPr>
        <w:t>N.1. Description des réformes et des investissements pour le soutien financier non remboursable</w:t>
      </w:r>
    </w:p>
    <w:p w14:paraId="792C0124" w14:textId="77777777" w:rsidR="006C686E" w:rsidRDefault="00B17E8C">
      <w:pPr>
        <w:pStyle w:val="P68B1DB1-Normal21"/>
        <w:spacing w:before="240" w:after="0" w:line="259" w:lineRule="auto"/>
        <w:ind w:left="851"/>
        <w:jc w:val="both"/>
        <w:outlineLvl w:val="2"/>
        <w:rPr>
          <w:rFonts w:eastAsiaTheme="minorEastAsia" w:cs="Times New Roman"/>
          <w:noProof/>
        </w:rPr>
      </w:pPr>
      <w:r>
        <w:rPr>
          <w:noProof/>
        </w:rPr>
        <w:t>Réforme TC-r29: Stratégie nationale de l’hydrogène (EN-H2)</w:t>
      </w:r>
    </w:p>
    <w:p w14:paraId="2834B9BE" w14:textId="77777777" w:rsidR="006C686E" w:rsidRDefault="00B17E8C">
      <w:pPr>
        <w:pStyle w:val="P68B1DB1-Normal22"/>
        <w:spacing w:before="40" w:after="0" w:line="259" w:lineRule="auto"/>
        <w:jc w:val="both"/>
        <w:rPr>
          <w:rFonts w:eastAsiaTheme="minorEastAsia" w:cs="Times New Roman"/>
          <w:noProof/>
        </w:rPr>
      </w:pPr>
      <w:r>
        <w:rPr>
          <w:noProof/>
        </w:rPr>
        <w:t>L’objectif de la mesure est d’introduire un élément d’incitation et de stabilité pour le secteur de l’énergie, en promouvant l’introduction progressive de l’hydrogène renouvelable en tant que pilier durable d’une stratégie plus globale de transition vers une économie décarbonée. Cette stratégie définit le rôle actuel et futur de l’hydrogène dans le système énergétique et propose un ensemble de mesures et d’objectifs pour l’incorporation de l’hydrogène dans les différents secteurs de l’économie. Il s’agit notamment de créer les conditions nécessaires à ce changement, notamment en ce qui concerne la législation et la réglementation, la sécurité, les normes, l’innovation et le développement, ainsi que le financement. La mesure vise à ce que le règlement modifié du réseau national de transport de gaz et le règlement du réseau national de distribution de gaz soient approuvés par la direction générale de l’énergie et de la géologie. Le règlement modifié permet d’établir les conditions de raccordement aux infrastructures de transport de gaz, en particulier pour l’injection de gaz d’origine renouvelable, y compris l’hydrogène renouvelable et les gaz à faible teneur en carbone, ainsi que de fixer les pourcentages minimal et maximal d’injection de ces gaz dans les réseaux. En outre, le règlement modifié comprend les révisions nécessaires des normes techniques qui garantissent la qualité du service et l’utilisation sûre de ces infrastructures pour tous les utilisateurs.</w:t>
      </w:r>
    </w:p>
    <w:p w14:paraId="09C664A6" w14:textId="1240B39C" w:rsidR="006C686E" w:rsidRDefault="00B17E8C">
      <w:pPr>
        <w:pStyle w:val="P68B1DB1-Normal22"/>
        <w:spacing w:before="40" w:after="0" w:line="259" w:lineRule="auto"/>
        <w:jc w:val="both"/>
        <w:rPr>
          <w:rFonts w:eastAsiaTheme="minorEastAsia" w:cs="Times New Roman"/>
          <w:noProof/>
        </w:rPr>
      </w:pPr>
      <w:r>
        <w:rPr>
          <w:noProof/>
        </w:rPr>
        <w:t>La mise en œuvre de la réforme est achevée au plus tard le 30 septembre 2021.</w:t>
      </w:r>
    </w:p>
    <w:p w14:paraId="4E9FF9C8" w14:textId="77777777" w:rsidR="006C686E" w:rsidRDefault="00B17E8C">
      <w:pPr>
        <w:pStyle w:val="P68B1DB1-Normal21"/>
        <w:spacing w:before="240" w:after="0" w:line="259" w:lineRule="auto"/>
        <w:ind w:left="851"/>
        <w:jc w:val="both"/>
        <w:outlineLvl w:val="2"/>
        <w:rPr>
          <w:rFonts w:eastAsiaTheme="minorEastAsia" w:cs="Times New Roman"/>
          <w:noProof/>
        </w:rPr>
      </w:pPr>
      <w:r>
        <w:rPr>
          <w:noProof/>
        </w:rPr>
        <w:t>Investissement TC-C14-i02-RAM: Potentialisation d'électricité renouvelable dans l'archipel de Madère</w:t>
      </w:r>
    </w:p>
    <w:p w14:paraId="6A3E4B9D" w14:textId="77777777" w:rsidR="006C686E" w:rsidRDefault="00B17E8C">
      <w:pPr>
        <w:pStyle w:val="P68B1DB1-Normal22"/>
        <w:tabs>
          <w:tab w:val="left" w:pos="7530"/>
        </w:tabs>
        <w:spacing w:before="40" w:after="0" w:line="259" w:lineRule="auto"/>
        <w:jc w:val="both"/>
        <w:rPr>
          <w:noProof/>
        </w:rPr>
      </w:pPr>
      <w:r>
        <w:rPr>
          <w:noProof/>
        </w:rPr>
        <w:t xml:space="preserve">L’objectif de la mesure est de soutenir la production, le stockage, le transport et la distribution d’énergie renouvelable. </w:t>
      </w:r>
    </w:p>
    <w:p w14:paraId="72E7BDB1" w14:textId="77777777" w:rsidR="006C686E" w:rsidRDefault="00B17E8C">
      <w:pPr>
        <w:tabs>
          <w:tab w:val="left" w:pos="7530"/>
        </w:tabs>
        <w:spacing w:before="40" w:after="0" w:line="259" w:lineRule="auto"/>
        <w:jc w:val="both"/>
        <w:rPr>
          <w:rFonts w:ascii="Times New Roman" w:eastAsiaTheme="minorEastAsia" w:hAnsi="Times New Roman" w:cs="Times New Roman"/>
          <w:noProof/>
        </w:rPr>
      </w:pPr>
      <w:r>
        <w:rPr>
          <w:rFonts w:ascii="Times New Roman" w:hAnsi="Times New Roman"/>
          <w:noProof/>
        </w:rPr>
        <w:t xml:space="preserve">L'investissement consiste en: </w:t>
      </w:r>
      <w:r>
        <w:rPr>
          <w:noProof/>
        </w:rPr>
        <w:tab/>
      </w:r>
    </w:p>
    <w:p w14:paraId="3F653293" w14:textId="77777777" w:rsidR="006C686E" w:rsidRDefault="00B17E8C">
      <w:pPr>
        <w:pStyle w:val="P68B1DB1-Normal22"/>
        <w:keepNext/>
        <w:numPr>
          <w:ilvl w:val="0"/>
          <w:numId w:val="48"/>
        </w:numPr>
        <w:spacing w:before="40" w:line="259" w:lineRule="auto"/>
        <w:contextualSpacing/>
        <w:jc w:val="both"/>
        <w:rPr>
          <w:noProof/>
        </w:rPr>
      </w:pPr>
      <w:r>
        <w:rPr>
          <w:noProof/>
        </w:rPr>
        <w:t>Rénovation de la centrale hydroélectrique de Serra de Água et augmentation de la capacité installée;</w:t>
      </w:r>
    </w:p>
    <w:p w14:paraId="2852143C" w14:textId="77777777" w:rsidR="006C686E" w:rsidRDefault="00B17E8C">
      <w:pPr>
        <w:pStyle w:val="P68B1DB1-Normal22"/>
        <w:keepNext/>
        <w:numPr>
          <w:ilvl w:val="0"/>
          <w:numId w:val="48"/>
        </w:numPr>
        <w:spacing w:before="40" w:line="259" w:lineRule="auto"/>
        <w:contextualSpacing/>
        <w:jc w:val="both"/>
        <w:rPr>
          <w:rFonts w:eastAsiaTheme="minorEastAsia" w:cs="Times New Roman"/>
          <w:noProof/>
        </w:rPr>
      </w:pPr>
      <w:r>
        <w:rPr>
          <w:noProof/>
        </w:rPr>
        <w:t>Rénovation de la centrale hydroélectrique de Calheta I;</w:t>
      </w:r>
    </w:p>
    <w:p w14:paraId="6FDF0BAC" w14:textId="77777777" w:rsidR="006C686E" w:rsidRDefault="00B17E8C">
      <w:pPr>
        <w:pStyle w:val="P68B1DB1-Normal22"/>
        <w:keepNext/>
        <w:numPr>
          <w:ilvl w:val="0"/>
          <w:numId w:val="48"/>
        </w:numPr>
        <w:spacing w:before="40" w:line="259" w:lineRule="auto"/>
        <w:contextualSpacing/>
        <w:jc w:val="both"/>
        <w:rPr>
          <w:rFonts w:eastAsiaTheme="minorEastAsia" w:cs="Times New Roman"/>
          <w:noProof/>
        </w:rPr>
      </w:pPr>
      <w:r>
        <w:rPr>
          <w:noProof/>
        </w:rPr>
        <w:t>Installation de systèmes de stockage de batteries;</w:t>
      </w:r>
    </w:p>
    <w:p w14:paraId="5ACFC96F" w14:textId="77777777" w:rsidR="006C686E" w:rsidRDefault="00B17E8C">
      <w:pPr>
        <w:pStyle w:val="P68B1DB1-Normal22"/>
        <w:keepNext/>
        <w:numPr>
          <w:ilvl w:val="0"/>
          <w:numId w:val="48"/>
        </w:numPr>
        <w:spacing w:before="40" w:line="259" w:lineRule="auto"/>
        <w:contextualSpacing/>
        <w:jc w:val="both"/>
        <w:rPr>
          <w:noProof/>
        </w:rPr>
      </w:pPr>
      <w:r>
        <w:rPr>
          <w:noProof/>
        </w:rPr>
        <w:t>Construction et intégration d'un compensateur synchrone;</w:t>
      </w:r>
    </w:p>
    <w:p w14:paraId="706F7C37" w14:textId="77777777" w:rsidR="006C686E" w:rsidRDefault="00B17E8C">
      <w:pPr>
        <w:pStyle w:val="P68B1DB1-Normal22"/>
        <w:keepNext/>
        <w:numPr>
          <w:ilvl w:val="0"/>
          <w:numId w:val="48"/>
        </w:numPr>
        <w:spacing w:before="40" w:line="259" w:lineRule="auto"/>
        <w:contextualSpacing/>
        <w:jc w:val="both"/>
        <w:rPr>
          <w:rFonts w:eastAsiaTheme="minorEastAsia" w:cs="Times New Roman"/>
          <w:noProof/>
        </w:rPr>
      </w:pPr>
      <w:r>
        <w:rPr>
          <w:noProof/>
        </w:rPr>
        <w:t>Installation de compteurs intelligents;</w:t>
      </w:r>
    </w:p>
    <w:p w14:paraId="7FFD4276" w14:textId="77777777" w:rsidR="006C686E" w:rsidRDefault="00B17E8C">
      <w:pPr>
        <w:pStyle w:val="P68B1DB1-Normal22"/>
        <w:keepNext/>
        <w:numPr>
          <w:ilvl w:val="0"/>
          <w:numId w:val="48"/>
        </w:numPr>
        <w:spacing w:before="40" w:line="259" w:lineRule="auto"/>
        <w:contextualSpacing/>
        <w:jc w:val="both"/>
        <w:rPr>
          <w:rFonts w:eastAsiaTheme="minorEastAsia" w:cs="Times New Roman"/>
          <w:noProof/>
        </w:rPr>
      </w:pPr>
      <w:r>
        <w:rPr>
          <w:noProof/>
        </w:rPr>
        <w:t>Rénovation de la centrale hydroélectrique de Socorridos.</w:t>
      </w:r>
    </w:p>
    <w:p w14:paraId="31EBAC11" w14:textId="77777777" w:rsidR="006C686E" w:rsidRDefault="00B17E8C">
      <w:pPr>
        <w:pStyle w:val="P68B1DB1-Normal21"/>
        <w:spacing w:before="240" w:after="0" w:line="259" w:lineRule="auto"/>
        <w:ind w:left="851"/>
        <w:jc w:val="both"/>
        <w:outlineLvl w:val="2"/>
        <w:rPr>
          <w:rFonts w:eastAsiaTheme="minorEastAsia" w:cs="Times New Roman"/>
          <w:noProof/>
        </w:rPr>
      </w:pPr>
      <w:r>
        <w:rPr>
          <w:noProof/>
        </w:rPr>
        <w:t>Investissement TC-C14-i03-RAA: Transition énergétique aux Açores</w:t>
      </w:r>
    </w:p>
    <w:p w14:paraId="3934E41D" w14:textId="77777777" w:rsidR="006C686E" w:rsidRDefault="00B17E8C">
      <w:pPr>
        <w:pStyle w:val="P68B1DB1-Normal22"/>
        <w:spacing w:before="40" w:after="0" w:line="259" w:lineRule="auto"/>
        <w:jc w:val="both"/>
        <w:rPr>
          <w:rFonts w:eastAsiaTheme="minorEastAsia" w:cs="Times New Roman"/>
          <w:noProof/>
        </w:rPr>
      </w:pPr>
      <w:r>
        <w:rPr>
          <w:noProof/>
        </w:rPr>
        <w:t xml:space="preserve">L’objectif de la mesure est d’accroître la capacité des Açores en matière d’énergies renouvelables. </w:t>
      </w:r>
    </w:p>
    <w:p w14:paraId="3D200181" w14:textId="77777777" w:rsidR="006C686E" w:rsidRDefault="00B17E8C">
      <w:pPr>
        <w:pStyle w:val="P68B1DB1-Normal22"/>
        <w:spacing w:before="40" w:after="0" w:line="259" w:lineRule="auto"/>
        <w:jc w:val="both"/>
        <w:rPr>
          <w:noProof/>
        </w:rPr>
      </w:pPr>
      <w:r>
        <w:rPr>
          <w:noProof/>
        </w:rPr>
        <w:t>L'investissement consiste en:</w:t>
      </w:r>
    </w:p>
    <w:p w14:paraId="0FE68AF5" w14:textId="77777777" w:rsidR="006C686E" w:rsidRDefault="00B17E8C">
      <w:pPr>
        <w:pStyle w:val="P68B1DB1-Normal22"/>
        <w:keepNext/>
        <w:numPr>
          <w:ilvl w:val="0"/>
          <w:numId w:val="48"/>
        </w:numPr>
        <w:spacing w:before="40" w:line="259" w:lineRule="auto"/>
        <w:contextualSpacing/>
        <w:jc w:val="both"/>
        <w:rPr>
          <w:rFonts w:eastAsiaTheme="minorEastAsia" w:cs="Times New Roman"/>
          <w:noProof/>
        </w:rPr>
      </w:pPr>
      <w:r>
        <w:rPr>
          <w:noProof/>
        </w:rPr>
        <w:t>Installation et rénovation de la capacité géothermique;</w:t>
      </w:r>
    </w:p>
    <w:p w14:paraId="1A6D8B5C" w14:textId="77777777" w:rsidR="006C686E" w:rsidRDefault="00B17E8C">
      <w:pPr>
        <w:pStyle w:val="P68B1DB1-Normal22"/>
        <w:keepNext/>
        <w:numPr>
          <w:ilvl w:val="0"/>
          <w:numId w:val="48"/>
        </w:numPr>
        <w:spacing w:before="40" w:line="259" w:lineRule="auto"/>
        <w:contextualSpacing/>
        <w:jc w:val="both"/>
        <w:rPr>
          <w:rFonts w:eastAsiaTheme="minorEastAsia" w:cs="Times New Roman"/>
          <w:noProof/>
        </w:rPr>
      </w:pPr>
      <w:r>
        <w:rPr>
          <w:noProof/>
        </w:rPr>
        <w:t>Installation de la capacité d'énergie éolienne et solaire;</w:t>
      </w:r>
    </w:p>
    <w:p w14:paraId="7787FE4B" w14:textId="77777777" w:rsidR="006C686E" w:rsidRDefault="00B17E8C">
      <w:pPr>
        <w:pStyle w:val="P68B1DB1-Normal22"/>
        <w:keepNext/>
        <w:numPr>
          <w:ilvl w:val="0"/>
          <w:numId w:val="48"/>
        </w:numPr>
        <w:spacing w:before="40" w:line="259" w:lineRule="auto"/>
        <w:contextualSpacing/>
        <w:jc w:val="both"/>
        <w:rPr>
          <w:rFonts w:eastAsiaTheme="minorEastAsia" w:cs="Times New Roman"/>
          <w:noProof/>
        </w:rPr>
      </w:pPr>
      <w:r>
        <w:rPr>
          <w:noProof/>
        </w:rPr>
        <w:t>Installation d'unités d'électricité photovoltaïque.</w:t>
      </w:r>
    </w:p>
    <w:p w14:paraId="37337417" w14:textId="77777777" w:rsidR="006C686E" w:rsidRDefault="006C686E">
      <w:pPr>
        <w:keepNext/>
        <w:spacing w:before="40" w:line="259" w:lineRule="auto"/>
        <w:contextualSpacing/>
        <w:jc w:val="both"/>
        <w:rPr>
          <w:rFonts w:ascii="Times New Roman" w:hAnsi="Times New Roman"/>
          <w:noProof/>
        </w:rPr>
      </w:pPr>
    </w:p>
    <w:p w14:paraId="4BF95F1C" w14:textId="0D9FE88F" w:rsidR="006C686E" w:rsidRDefault="00B17E8C">
      <w:pPr>
        <w:pStyle w:val="P68B1DB1-Normal21"/>
        <w:spacing w:before="240" w:after="0" w:line="259" w:lineRule="auto"/>
        <w:ind w:left="851"/>
        <w:jc w:val="both"/>
        <w:outlineLvl w:val="2"/>
        <w:rPr>
          <w:rFonts w:eastAsiaTheme="minorEastAsia" w:cs="Times New Roman"/>
          <w:noProof/>
        </w:rPr>
      </w:pPr>
      <w:r>
        <w:rPr>
          <w:noProof/>
        </w:rPr>
        <w:t xml:space="preserve">Investissement TC-C14-i04: Régime </w:t>
      </w:r>
      <w:bookmarkStart w:id="20" w:name="_Hlk229405895"/>
      <w:r>
        <w:rPr>
          <w:noProof/>
        </w:rPr>
        <w:t>de subventions pour l'hydrogène et les gaz renouvelables</w:t>
      </w:r>
      <w:bookmarkEnd w:id="20"/>
    </w:p>
    <w:p w14:paraId="12F20E59" w14:textId="77777777" w:rsidR="006C686E" w:rsidRDefault="00B17E8C">
      <w:pPr>
        <w:pStyle w:val="P68B1DB1-Normal22"/>
        <w:spacing w:line="240" w:lineRule="auto"/>
        <w:jc w:val="both"/>
        <w:rPr>
          <w:rFonts w:cs="Times New Roman"/>
          <w:noProof/>
        </w:rPr>
      </w:pPr>
      <w:r>
        <w:rPr>
          <w:noProof/>
        </w:rPr>
        <w:t>Cette mesure consiste en un investissement public dans un régime de subventions afin d'encourager l'investissement privé et d'améliorer l'accès au financement dans le secteur de l'énergie et les industries et services connexes de ´s Portugal. Le régime fonctionne en octroyant des subventions non remboursables directement au secteur privé.</w:t>
      </w:r>
    </w:p>
    <w:p w14:paraId="6B1D3563" w14:textId="77777777" w:rsidR="006C686E" w:rsidRDefault="00B17E8C">
      <w:pPr>
        <w:spacing w:line="240" w:lineRule="auto"/>
        <w:jc w:val="both"/>
        <w:rPr>
          <w:rFonts w:ascii="Times New Roman" w:hAnsi="Times New Roman" w:cs="Times New Roman"/>
          <w:noProof/>
        </w:rPr>
      </w:pPr>
      <w:r>
        <w:rPr>
          <w:rFonts w:ascii="Times New Roman" w:hAnsi="Times New Roman"/>
          <w:noProof/>
        </w:rPr>
        <w:t>Le système est géré par l’Agence pour le climat («Agência</w:t>
      </w:r>
      <w:r>
        <w:rPr>
          <w:rFonts w:ascii="Times New Roman" w:hAnsi="Times New Roman" w:cs="Times New Roman"/>
          <w:i/>
          <w:noProof/>
        </w:rPr>
        <w:t xml:space="preserve"> para o Clima»)</w:t>
      </w:r>
      <w:r>
        <w:rPr>
          <w:rFonts w:ascii="Times New Roman" w:hAnsi="Times New Roman" w:cs="Times New Roman"/>
          <w:noProof/>
        </w:rPr>
        <w:t xml:space="preserve"> en tant que partenaire chargé de la mise en œuvre. Le système comprend les éléments suivants:</w:t>
      </w:r>
    </w:p>
    <w:p w14:paraId="5A95F4A0" w14:textId="77777777" w:rsidR="006C686E" w:rsidRDefault="00B17E8C">
      <w:pPr>
        <w:pStyle w:val="P68B1DB1-ListParagraph33"/>
        <w:keepNext/>
        <w:numPr>
          <w:ilvl w:val="0"/>
          <w:numId w:val="27"/>
        </w:numPr>
        <w:spacing w:after="0" w:line="240" w:lineRule="auto"/>
        <w:jc w:val="both"/>
        <w:rPr>
          <w:noProof/>
        </w:rPr>
      </w:pPr>
      <w:r>
        <w:rPr>
          <w:noProof/>
        </w:rPr>
        <w:t>Les projets visent à produire des gaz renouvelables, en utilisant de l’énergie produite exclusivement à partir de sources d’énergie renouvelables, conformément à la directive sur les énergies renouvelables (2018/2001/UE) et à ses actes délégués.</w:t>
      </w:r>
    </w:p>
    <w:p w14:paraId="45D67A10" w14:textId="77777777" w:rsidR="006C686E" w:rsidRDefault="00B17E8C">
      <w:pPr>
        <w:pStyle w:val="P68B1DB1-ListParagraph33"/>
        <w:keepNext/>
        <w:numPr>
          <w:ilvl w:val="0"/>
          <w:numId w:val="27"/>
        </w:numPr>
        <w:spacing w:after="0" w:line="240" w:lineRule="auto"/>
        <w:jc w:val="both"/>
        <w:rPr>
          <w:noProof/>
        </w:rPr>
      </w:pPr>
      <w:r>
        <w:rPr>
          <w:noProof/>
        </w:rPr>
        <w:t>La liste des activités pouvant bénéficier d’un soutien consiste en des actions visant à favoriser la production de gaz renouvelables. Les activités complémentaires de stockage, de transport et de distribution de gaz renouvelables strictement liées à la viabilité technique et économique sont également éligibles.</w:t>
      </w:r>
    </w:p>
    <w:p w14:paraId="50158CC8" w14:textId="77777777" w:rsidR="006C686E" w:rsidRDefault="00B17E8C">
      <w:pPr>
        <w:pStyle w:val="P68B1DB1-ListParagraph33"/>
        <w:spacing w:line="240" w:lineRule="auto"/>
        <w:rPr>
          <w:noProof/>
        </w:rPr>
      </w:pPr>
      <w:r>
        <w:rPr>
          <w:noProof/>
        </w:rPr>
        <w:t xml:space="preserve"> </w:t>
      </w:r>
    </w:p>
    <w:p w14:paraId="65C6ADBE" w14:textId="77777777" w:rsidR="006C686E" w:rsidRDefault="00B17E8C">
      <w:pPr>
        <w:pStyle w:val="P68B1DB1-Normal34"/>
        <w:spacing w:line="240" w:lineRule="auto"/>
        <w:jc w:val="both"/>
        <w:rPr>
          <w:noProof/>
        </w:rPr>
      </w:pPr>
      <w:r>
        <w:rPr>
          <w:noProof/>
        </w:rPr>
        <w:t>Afin de mettre en œuvre l’investissement dans le régime, le Portugal et l’Agence pour le climat («Agência</w:t>
      </w:r>
      <w:r>
        <w:rPr>
          <w:i/>
          <w:noProof/>
        </w:rPr>
        <w:t xml:space="preserve"> para o Clima»)</w:t>
      </w:r>
      <w:r>
        <w:rPr>
          <w:noProof/>
        </w:rPr>
        <w:t xml:space="preserve"> signent un accord de mise en œuvre ou un ou plusieurs actes juridiques entrent en vigueur qui comprennent le contenu suivant:</w:t>
      </w:r>
    </w:p>
    <w:p w14:paraId="7E642A9F" w14:textId="184EA971" w:rsidR="006C686E" w:rsidRDefault="00B17E8C">
      <w:pPr>
        <w:pStyle w:val="LegalNumPar"/>
        <w:keepNext w:val="0"/>
        <w:numPr>
          <w:ilvl w:val="0"/>
          <w:numId w:val="49"/>
        </w:numPr>
        <w:spacing w:before="0" w:after="160" w:line="259" w:lineRule="auto"/>
        <w:rPr>
          <w:noProof/>
        </w:rPr>
      </w:pPr>
      <w:r>
        <w:rPr>
          <w:noProof/>
        </w:rPr>
        <w:t>Description du processus décisionnel du régime:</w:t>
      </w:r>
      <w:r>
        <w:rPr>
          <w:i/>
          <w:noProof/>
        </w:rPr>
        <w:t xml:space="preserve"> </w:t>
      </w:r>
    </w:p>
    <w:p w14:paraId="1204511B" w14:textId="788C8AD0" w:rsidR="006C686E" w:rsidRDefault="00B17E8C">
      <w:pPr>
        <w:pStyle w:val="LegalNumPar"/>
        <w:keepNext w:val="0"/>
        <w:numPr>
          <w:ilvl w:val="1"/>
          <w:numId w:val="49"/>
        </w:numPr>
        <w:spacing w:before="0" w:after="160" w:line="259" w:lineRule="auto"/>
        <w:rPr>
          <w:noProof/>
        </w:rPr>
      </w:pPr>
      <w:r>
        <w:rPr>
          <w:noProof/>
        </w:rPr>
        <w:t>L’évaluation des demandes et la sélection des bénéficiaires à inclure dans la décision finale d’attribution du régime «Sistema de Incentivos de Apoio à Produção de Hidrogénio Renovável e Outros Gases Renováveis» sont effectuées par des experts techniques. La décision finale d’attribution du régime «Sistema de Incentivos de Apoio à Produção de Hidrogénio Renovável e Outros Gases Renováveis» est limitée à l’approbation (sans modifications) ou à l’exercice d’un droit de veto sur une décision d’attribution proposée par le comité d’investissement ou l’organe directeur équivalent concerné qui est indépendant du gouvernement.</w:t>
      </w:r>
    </w:p>
    <w:p w14:paraId="30D31FDF" w14:textId="68901BCA" w:rsidR="006C686E" w:rsidRDefault="00B17E8C">
      <w:pPr>
        <w:pStyle w:val="LegalNumPar"/>
        <w:keepNext w:val="0"/>
        <w:numPr>
          <w:ilvl w:val="1"/>
          <w:numId w:val="49"/>
        </w:numPr>
        <w:spacing w:before="0" w:after="160" w:line="259" w:lineRule="auto"/>
        <w:rPr>
          <w:noProof/>
        </w:rPr>
      </w:pPr>
      <w:r>
        <w:rPr>
          <w:noProof/>
        </w:rPr>
        <w:t>La décision finale d'attribution du régime «Sistema de Incentivo às Empresas «Promoção do Hidrogénio Renovável e de Outros Gases Renováveis ― Medida Reforçada» est prise par un comité d'investissement ou un autre organe directeur équivalent compétent et approuvée à la majorité des voix des membres indépendants du gouvernement portugais.</w:t>
      </w:r>
    </w:p>
    <w:p w14:paraId="4AA82EAF" w14:textId="77777777" w:rsidR="006C686E" w:rsidRDefault="00B17E8C">
      <w:pPr>
        <w:pStyle w:val="LegalNumPar"/>
        <w:keepNext w:val="0"/>
        <w:numPr>
          <w:ilvl w:val="0"/>
          <w:numId w:val="49"/>
        </w:numPr>
        <w:spacing w:before="0" w:after="160" w:line="259" w:lineRule="auto"/>
        <w:rPr>
          <w:noProof/>
        </w:rPr>
      </w:pPr>
      <w:r>
        <w:rPr>
          <w:noProof/>
        </w:rPr>
        <w:t>Principales exigences du régime de subventions associé,</w:t>
      </w:r>
      <w:r>
        <w:rPr>
          <w:b/>
          <w:noProof/>
        </w:rPr>
        <w:t xml:space="preserve"> </w:t>
      </w:r>
      <w:r>
        <w:rPr>
          <w:noProof/>
        </w:rPr>
        <w:t>qui comprennent:</w:t>
      </w:r>
    </w:p>
    <w:p w14:paraId="3113BA0E" w14:textId="77777777" w:rsidR="006C686E" w:rsidRDefault="00B17E8C">
      <w:pPr>
        <w:pStyle w:val="LegalNumPar2"/>
        <w:keepNext w:val="0"/>
        <w:numPr>
          <w:ilvl w:val="0"/>
          <w:numId w:val="50"/>
        </w:numPr>
        <w:spacing w:before="0" w:after="160" w:line="259" w:lineRule="auto"/>
        <w:rPr>
          <w:noProof/>
        </w:rPr>
      </w:pPr>
      <w:r>
        <w:rPr>
          <w:noProof/>
        </w:rPr>
        <w:t xml:space="preserve">Description des subventions octroyées et des bénéficiaires finaux éligibles. </w:t>
      </w:r>
    </w:p>
    <w:p w14:paraId="5CD573B1" w14:textId="77777777" w:rsidR="006C686E" w:rsidRDefault="00B17E8C">
      <w:pPr>
        <w:pStyle w:val="LegalNumPar2"/>
        <w:keepNext w:val="0"/>
        <w:numPr>
          <w:ilvl w:val="0"/>
          <w:numId w:val="50"/>
        </w:numPr>
        <w:spacing w:before="0" w:after="160" w:line="259" w:lineRule="auto"/>
        <w:rPr>
          <w:noProof/>
        </w:rPr>
      </w:pPr>
      <w:r>
        <w:rPr>
          <w:noProof/>
        </w:rPr>
        <w:t>L’exigence selon laquelle tous les investissements soutenus sont économiquement viables</w:t>
      </w:r>
      <w:r>
        <w:rPr>
          <w:b/>
          <w:noProof/>
        </w:rPr>
        <w:t>.</w:t>
      </w:r>
    </w:p>
    <w:p w14:paraId="03C42785" w14:textId="77777777" w:rsidR="006C686E" w:rsidRDefault="00B17E8C">
      <w:pPr>
        <w:pStyle w:val="LegalNumPar2"/>
        <w:keepNext w:val="0"/>
        <w:numPr>
          <w:ilvl w:val="0"/>
          <w:numId w:val="50"/>
        </w:numPr>
        <w:spacing w:before="0" w:after="160" w:line="259" w:lineRule="auto"/>
        <w:rPr>
          <w:noProof/>
        </w:rPr>
      </w:pPr>
      <w:r>
        <w:rPr>
          <w:noProof/>
        </w:rPr>
        <w:t>L’obligation de respecter le principe consistant à «ne pas causer de préjudice important» (DNSH) tel qu’énoncé dans les orientations techniques DNSH (2021/C58/01). En particulier, le régime de subventions exclut de l’éligibilité la liste suivante d’activités et d’actifs: (i) les activités et les actifs liés aux combustibles fossiles, y compris l’utilisation en aval</w:t>
      </w:r>
      <w:r>
        <w:rPr>
          <w:noProof/>
        </w:rPr>
        <w:footnoteReference w:id="24"/>
      </w:r>
      <w:r>
        <w:rPr>
          <w:noProof/>
        </w:rPr>
        <w:t>, (ii) les activités et les actifs relevant du système d’échange de quotas d’émission de l’UE (SEQE) permettant d’atteindre des émissions de gaz à effet de serre prévues qui ne sont pas inférieures aux référentiels pertinents</w:t>
      </w:r>
      <w:r>
        <w:rPr>
          <w:noProof/>
        </w:rPr>
        <w:footnoteReference w:id="25"/>
      </w:r>
      <w:r>
        <w:rPr>
          <w:noProof/>
        </w:rPr>
        <w:t>, (iii) les activités et les actifs liés aux décharges de déchets, aux incinérateurs</w:t>
      </w:r>
      <w:r>
        <w:rPr>
          <w:rStyle w:val="FootnoteReference"/>
          <w:noProof/>
        </w:rPr>
        <w:footnoteReference w:id="26"/>
      </w:r>
      <w:r>
        <w:rPr>
          <w:noProof/>
        </w:rPr>
        <w:t xml:space="preserve"> et aux usines de traitement biologique mécanique</w:t>
      </w:r>
      <w:r>
        <w:rPr>
          <w:rStyle w:val="FootnoteReference"/>
          <w:noProof/>
        </w:rPr>
        <w:footnoteReference w:id="27"/>
      </w:r>
      <w:r>
        <w:rPr>
          <w:noProof/>
        </w:rPr>
        <w:t xml:space="preserve">. </w:t>
      </w:r>
    </w:p>
    <w:p w14:paraId="172CC11B" w14:textId="77777777" w:rsidR="006C686E" w:rsidRDefault="00B17E8C">
      <w:pPr>
        <w:pStyle w:val="LegalNumPar2"/>
        <w:keepNext w:val="0"/>
        <w:numPr>
          <w:ilvl w:val="0"/>
          <w:numId w:val="50"/>
        </w:numPr>
        <w:spacing w:before="0" w:after="160" w:line="259" w:lineRule="auto"/>
        <w:rPr>
          <w:bCs/>
          <w:noProof/>
        </w:rPr>
      </w:pPr>
      <w:r>
        <w:rPr>
          <w:noProof/>
        </w:rPr>
        <w:t>L’exigence selon laquelle les bénéficiaires finaux de la facilité ne reçoivent pas de soutien d’autres instruments de l’Union pour couvrir le même coût.</w:t>
      </w:r>
    </w:p>
    <w:p w14:paraId="2ABFB052" w14:textId="7B8709B8" w:rsidR="006C686E" w:rsidRDefault="00B17E8C">
      <w:pPr>
        <w:pStyle w:val="LegalNumPar"/>
        <w:keepNext w:val="0"/>
        <w:numPr>
          <w:ilvl w:val="0"/>
          <w:numId w:val="49"/>
        </w:numPr>
        <w:spacing w:before="0" w:after="160" w:line="259" w:lineRule="auto"/>
        <w:rPr>
          <w:noProof/>
        </w:rPr>
      </w:pPr>
      <w:r>
        <w:rPr>
          <w:noProof/>
        </w:rPr>
        <w:t>Le montant couvert par l’accord de mise en œuvre et/ou les actes juridiques, la structure des redevances pour le partenaire chargé de la mise en œuvre et l’obligation d’utiliser tout produit inutilisé du régime, y compris au-delà de 2026, aux mêmes fins stratégiques.</w:t>
      </w:r>
    </w:p>
    <w:p w14:paraId="0F29EFDE" w14:textId="77777777" w:rsidR="006C686E" w:rsidRDefault="00B17E8C">
      <w:pPr>
        <w:pStyle w:val="LegalNumPar"/>
        <w:keepNext w:val="0"/>
        <w:numPr>
          <w:ilvl w:val="0"/>
          <w:numId w:val="49"/>
        </w:numPr>
        <w:spacing w:before="0" w:after="160" w:line="259" w:lineRule="auto"/>
        <w:rPr>
          <w:noProof/>
        </w:rPr>
      </w:pPr>
      <w:r>
        <w:rPr>
          <w:noProof/>
        </w:rPr>
        <w:t>Exigences en matière de surveillance, d'audit et de contrôle, y compris:</w:t>
      </w:r>
    </w:p>
    <w:p w14:paraId="56E3DB88" w14:textId="77777777" w:rsidR="006C686E" w:rsidRDefault="00B17E8C">
      <w:pPr>
        <w:pStyle w:val="P68B1DB1-Normal34"/>
        <w:numPr>
          <w:ilvl w:val="1"/>
          <w:numId w:val="51"/>
        </w:numPr>
        <w:spacing w:line="240" w:lineRule="auto"/>
        <w:jc w:val="both"/>
        <w:rPr>
          <w:noProof/>
        </w:rPr>
      </w:pPr>
      <w:r>
        <w:rPr>
          <w:noProof/>
        </w:rPr>
        <w:t>Description du système de suivi de l’Agence pour le climat pour rendre compte des subventions mobilisées.</w:t>
      </w:r>
    </w:p>
    <w:p w14:paraId="7E69DFF9" w14:textId="77777777" w:rsidR="006C686E" w:rsidRDefault="00B17E8C">
      <w:pPr>
        <w:pStyle w:val="P68B1DB1-Normal34"/>
        <w:numPr>
          <w:ilvl w:val="1"/>
          <w:numId w:val="51"/>
        </w:numPr>
        <w:spacing w:line="259" w:lineRule="auto"/>
        <w:jc w:val="both"/>
        <w:rPr>
          <w:noProof/>
        </w:rPr>
      </w:pPr>
      <w:r>
        <w:rPr>
          <w:noProof/>
        </w:rPr>
        <w:t xml:space="preserve">Description des procédures de l’Agence pour le climat qui garantiront la prévention, la détection et la correction de la fraude, de la corruption et des conflits d’intérêts. </w:t>
      </w:r>
    </w:p>
    <w:p w14:paraId="3EC23F0E" w14:textId="77777777" w:rsidR="006C686E" w:rsidRDefault="00B17E8C">
      <w:pPr>
        <w:pStyle w:val="P68B1DB1-Normal34"/>
        <w:numPr>
          <w:ilvl w:val="1"/>
          <w:numId w:val="51"/>
        </w:numPr>
        <w:spacing w:line="259" w:lineRule="auto"/>
        <w:jc w:val="both"/>
        <w:rPr>
          <w:noProof/>
        </w:rPr>
      </w:pPr>
      <w:r>
        <w:rPr>
          <w:noProof/>
        </w:rPr>
        <w:t>L’obligation de vérifier l’éligibilité de chaque opération conformément aux exigences énoncées dans l’accord de mise en œuvre ou dans le ou les actes juridiques établissant le régime avant de s’engager à financer une opération.</w:t>
      </w:r>
    </w:p>
    <w:p w14:paraId="3CF9CFA2" w14:textId="38D5CDD4" w:rsidR="006C686E" w:rsidRDefault="00B17E8C">
      <w:pPr>
        <w:pStyle w:val="P68B1DB1-Normal34"/>
        <w:numPr>
          <w:ilvl w:val="1"/>
          <w:numId w:val="51"/>
        </w:numPr>
        <w:spacing w:line="240" w:lineRule="auto"/>
        <w:jc w:val="both"/>
        <w:rPr>
          <w:noProof/>
        </w:rPr>
      </w:pPr>
      <w:r>
        <w:rPr>
          <w:noProof/>
        </w:rPr>
        <w:t xml:space="preserve">L’obligation de réaliser des audits ex post fondés sur les risques conformément à un plan d’audit de l’Agence pour le climat.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 la convention de mise en œuvre applicable ou du ou des actes juridiques établissant le régime de subventions. </w:t>
      </w:r>
    </w:p>
    <w:p w14:paraId="569F41A2" w14:textId="5E68B5BF" w:rsidR="006C686E" w:rsidRDefault="00B17E8C">
      <w:pPr>
        <w:pStyle w:val="ListParagraph"/>
        <w:keepNext/>
        <w:numPr>
          <w:ilvl w:val="0"/>
          <w:numId w:val="49"/>
        </w:numPr>
        <w:spacing w:line="276" w:lineRule="auto"/>
        <w:jc w:val="both"/>
        <w:rPr>
          <w:rFonts w:ascii="Times New Roman" w:hAnsi="Times New Roman" w:cs="Times New Roman"/>
          <w:noProof/>
        </w:rPr>
      </w:pPr>
      <w:r>
        <w:rPr>
          <w:rFonts w:ascii="Times New Roman" w:hAnsi="Times New Roman"/>
          <w:noProof/>
        </w:rPr>
        <w:t>Exigences applicables aux investissements climatiques réalisés par le partenaire chargé de la mise en œuvre: au moins 214 090 000 EUR de l’investissement de la FRR dans la facilité contribuent à la réalisation des objectifs en matière de changement climatique conformément à l’annexe VI du règlement FRR.</w:t>
      </w:r>
      <w:r>
        <w:rPr>
          <w:rStyle w:val="FootnoteReference"/>
          <w:rFonts w:ascii="Times New Roman" w:hAnsi="Times New Roman" w:cs="Times New Roman"/>
          <w:noProof/>
        </w:rPr>
        <w:footnoteReference w:id="28"/>
      </w:r>
    </w:p>
    <w:p w14:paraId="36A5BE24" w14:textId="77777777" w:rsidR="006C686E" w:rsidRDefault="006C686E">
      <w:pPr>
        <w:pStyle w:val="ListParagraph"/>
        <w:rPr>
          <w:noProof/>
        </w:rPr>
      </w:pPr>
    </w:p>
    <w:p w14:paraId="0F7C4033" w14:textId="77777777" w:rsidR="006C686E" w:rsidRDefault="006C686E">
      <w:pPr>
        <w:keepNext/>
        <w:spacing w:before="40" w:line="259" w:lineRule="auto"/>
        <w:contextualSpacing/>
        <w:jc w:val="both"/>
        <w:rPr>
          <w:rFonts w:ascii="Times New Roman" w:eastAsiaTheme="minorEastAsia" w:hAnsi="Times New Roman" w:cs="Times New Roman"/>
          <w:noProof/>
        </w:rPr>
      </w:pPr>
    </w:p>
    <w:p w14:paraId="2CB7A531" w14:textId="77777777" w:rsidR="006C686E" w:rsidRDefault="006C686E">
      <w:pPr>
        <w:spacing w:before="40" w:after="0" w:line="259" w:lineRule="auto"/>
        <w:jc w:val="both"/>
        <w:rPr>
          <w:rFonts w:ascii="Times New Roman" w:eastAsiaTheme="minorEastAsia" w:hAnsi="Times New Roman" w:cs="Times New Roman"/>
          <w:bCs/>
          <w:noProof/>
          <w:szCs w:val="26"/>
        </w:rPr>
        <w:sectPr w:rsidR="006C686E" w:rsidSect="00C95E00">
          <w:headerReference w:type="even" r:id="rId268"/>
          <w:headerReference w:type="default" r:id="rId269"/>
          <w:footerReference w:type="even" r:id="rId270"/>
          <w:footerReference w:type="default" r:id="rId271"/>
          <w:headerReference w:type="first" r:id="rId272"/>
          <w:footerReference w:type="first" r:id="rId273"/>
          <w:pgSz w:w="11907" w:h="16839"/>
          <w:pgMar w:top="1134" w:right="1134" w:bottom="1134" w:left="1134" w:header="567" w:footer="567" w:gutter="0"/>
          <w:cols w:space="720"/>
          <w:docGrid w:linePitch="360"/>
        </w:sectPr>
      </w:pPr>
    </w:p>
    <w:p w14:paraId="1C491947" w14:textId="77777777" w:rsidR="006C686E" w:rsidRDefault="00B17E8C">
      <w:pPr>
        <w:pStyle w:val="P68B1DB1-Normal18"/>
        <w:spacing w:before="40" w:after="0" w:line="259" w:lineRule="auto"/>
        <w:ind w:left="130" w:firstLine="12"/>
        <w:jc w:val="center"/>
        <w:outlineLvl w:val="1"/>
        <w:rPr>
          <w:noProof/>
        </w:rPr>
      </w:pPr>
      <w:r>
        <w:rPr>
          <w:noProof/>
        </w:rPr>
        <w:t>N.2. Étapes, cibles, indicateurs et calendrier pour le suivi et la mise en œuvre du soutien financier non remboursable</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304"/>
        <w:gridCol w:w="992"/>
        <w:gridCol w:w="964"/>
        <w:gridCol w:w="1021"/>
        <w:gridCol w:w="567"/>
        <w:gridCol w:w="709"/>
        <w:gridCol w:w="3656"/>
      </w:tblGrid>
      <w:tr w:rsidR="006C686E" w14:paraId="4FB30F4D" w14:textId="77777777" w:rsidTr="00A66BC8">
        <w:trPr>
          <w:trHeight w:val="30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DCE1F4F" w14:textId="77777777" w:rsidR="006C686E" w:rsidRDefault="00B17E8C">
            <w:pPr>
              <w:pStyle w:val="P68B1DB1-Normal24"/>
              <w:spacing w:after="0" w:line="240" w:lineRule="auto"/>
              <w:jc w:val="center"/>
              <w:rPr>
                <w:noProof/>
              </w:rPr>
            </w:pPr>
            <w:r>
              <w:rPr>
                <w:noProof/>
              </w:rPr>
              <w:t>Numéro séquentiel</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793DF76" w14:textId="77777777" w:rsidR="006C686E" w:rsidRDefault="00B17E8C">
            <w:pPr>
              <w:pStyle w:val="P68B1DB1-Normal24"/>
              <w:spacing w:after="0" w:line="240" w:lineRule="auto"/>
              <w:jc w:val="center"/>
              <w:rPr>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EF06976" w14:textId="77777777" w:rsidR="006C686E" w:rsidRDefault="00B17E8C">
            <w:pPr>
              <w:pStyle w:val="P68B1DB1-Normal24"/>
              <w:spacing w:after="0" w:line="240" w:lineRule="auto"/>
              <w:jc w:val="center"/>
              <w:rPr>
                <w:noProof/>
              </w:rPr>
            </w:pPr>
            <w:r>
              <w:rPr>
                <w:noProof/>
              </w:rPr>
              <w:t>Étape/</w:t>
            </w:r>
          </w:p>
          <w:p w14:paraId="180ACB88" w14:textId="77777777" w:rsidR="006C686E" w:rsidRDefault="00B17E8C">
            <w:pPr>
              <w:pStyle w:val="P68B1DB1-Normal24"/>
              <w:spacing w:after="0" w:line="240" w:lineRule="auto"/>
              <w:jc w:val="center"/>
              <w:rPr>
                <w:noProof/>
              </w:rPr>
            </w:pPr>
            <w:r>
              <w:rPr>
                <w:noProof/>
              </w:rPr>
              <w:t>Objectif</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12ED707" w14:textId="77777777" w:rsidR="006C686E" w:rsidRDefault="00B17E8C">
            <w:pPr>
              <w:pStyle w:val="P68B1DB1-Normal24"/>
              <w:spacing w:after="0" w:line="240" w:lineRule="auto"/>
              <w:jc w:val="center"/>
              <w:rPr>
                <w:noProof/>
              </w:rPr>
            </w:pPr>
            <w:r>
              <w:rPr>
                <w:noProof/>
              </w:rPr>
              <w:t>Nom</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CFC1158" w14:textId="77777777" w:rsidR="006C686E" w:rsidRDefault="00B17E8C">
            <w:pPr>
              <w:pStyle w:val="P68B1DB1-Normal24"/>
              <w:spacing w:after="0" w:line="240" w:lineRule="auto"/>
              <w:jc w:val="center"/>
              <w:rPr>
                <w:noProof/>
              </w:rPr>
            </w:pPr>
            <w:r>
              <w:rPr>
                <w:noProof/>
              </w:rPr>
              <w:t>Indicateurs qualitatifs (pour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D3222BA" w14:textId="77777777" w:rsidR="006C686E" w:rsidRDefault="00B17E8C">
            <w:pPr>
              <w:pStyle w:val="P68B1DB1-Normal24"/>
              <w:spacing w:after="0" w:line="240" w:lineRule="auto"/>
              <w:jc w:val="center"/>
              <w:rPr>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676B1787" w14:textId="77777777" w:rsidR="006C686E" w:rsidRDefault="00B17E8C">
            <w:pPr>
              <w:pStyle w:val="P68B1DB1-Normal24"/>
              <w:spacing w:after="0" w:line="240" w:lineRule="auto"/>
              <w:jc w:val="center"/>
              <w:rPr>
                <w:noProof/>
              </w:rPr>
            </w:pPr>
            <w:r>
              <w:rPr>
                <w:noProof/>
              </w:rPr>
              <w:t>Calendrier indicatif d'achèvement</w:t>
            </w:r>
          </w:p>
        </w:tc>
        <w:tc>
          <w:tcPr>
            <w:tcW w:w="365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2728DB5" w14:textId="77777777" w:rsidR="006C686E" w:rsidRDefault="00B17E8C">
            <w:pPr>
              <w:pStyle w:val="P68B1DB1-Normal24"/>
              <w:spacing w:after="0" w:line="240" w:lineRule="auto"/>
              <w:jc w:val="center"/>
              <w:rPr>
                <w:noProof/>
              </w:rPr>
            </w:pPr>
            <w:r>
              <w:rPr>
                <w:noProof/>
              </w:rPr>
              <w:t>Description et définition claire de chaque jalon et cible</w:t>
            </w:r>
          </w:p>
        </w:tc>
      </w:tr>
      <w:tr w:rsidR="006C686E" w14:paraId="6CCF1BA1" w14:textId="77777777" w:rsidTr="00A66BC8">
        <w:trPr>
          <w:trHeight w:val="30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35EDFCE" w14:textId="77777777" w:rsidR="006C686E" w:rsidRDefault="006C686E">
            <w:pPr>
              <w:spacing w:after="0" w:line="240" w:lineRule="auto"/>
              <w:rPr>
                <w:rFonts w:ascii="Times New Roman" w:hAnsi="Times New Roman" w:cs="Times New Roman"/>
                <w:b/>
                <w:noProof/>
                <w:sz w:val="18"/>
                <w:szCs w:val="18"/>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09BCABB8" w14:textId="77777777" w:rsidR="006C686E" w:rsidRDefault="006C686E">
            <w:pPr>
              <w:spacing w:after="0" w:line="240" w:lineRule="auto"/>
              <w:rPr>
                <w:rFonts w:ascii="Times New Roman" w:hAnsi="Times New Roman" w:cs="Times New Roman"/>
                <w:b/>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146911" w14:textId="77777777" w:rsidR="006C686E" w:rsidRDefault="006C686E">
            <w:pPr>
              <w:spacing w:after="0" w:line="240" w:lineRule="auto"/>
              <w:jc w:val="center"/>
              <w:rPr>
                <w:rFonts w:ascii="Times New Roman" w:hAnsi="Times New Roman" w:cs="Times New Roman"/>
                <w:b/>
                <w:noProof/>
                <w:sz w:val="18"/>
                <w:szCs w:val="18"/>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780F85FE" w14:textId="77777777" w:rsidR="006C686E" w:rsidRDefault="006C686E">
            <w:pPr>
              <w:spacing w:after="0" w:line="240" w:lineRule="auto"/>
              <w:rPr>
                <w:rFonts w:ascii="Times New Roman" w:hAnsi="Times New Roman" w:cs="Times New Roman"/>
                <w:b/>
                <w:noProof/>
                <w:sz w:val="18"/>
                <w:szCs w:val="18"/>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069452CB" w14:textId="77777777" w:rsidR="006C686E" w:rsidRDefault="006C686E">
            <w:pPr>
              <w:spacing w:after="0" w:line="240" w:lineRule="auto"/>
              <w:rPr>
                <w:rFonts w:ascii="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338F06B" w14:textId="77777777" w:rsidR="006C686E" w:rsidRDefault="00B17E8C">
            <w:pPr>
              <w:pStyle w:val="P68B1DB1-Normal24"/>
              <w:spacing w:after="0" w:line="240" w:lineRule="auto"/>
              <w:jc w:val="center"/>
              <w:rPr>
                <w:noProof/>
              </w:rPr>
            </w:pPr>
            <w:r>
              <w:rPr>
                <w:noProof/>
              </w:rPr>
              <w:t>Unité de mesure</w:t>
            </w:r>
          </w:p>
        </w:tc>
        <w:tc>
          <w:tcPr>
            <w:tcW w:w="96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A6BF4F7" w14:textId="77777777" w:rsidR="006C686E" w:rsidRDefault="00B17E8C">
            <w:pPr>
              <w:pStyle w:val="P68B1DB1-Normal24"/>
              <w:spacing w:after="0" w:line="240" w:lineRule="auto"/>
              <w:jc w:val="center"/>
              <w:rPr>
                <w:noProof/>
              </w:rPr>
            </w:pPr>
            <w:r>
              <w:rPr>
                <w:noProof/>
              </w:rPr>
              <w:t>Données de référence</w:t>
            </w:r>
          </w:p>
        </w:tc>
        <w:tc>
          <w:tcPr>
            <w:tcW w:w="102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A17522" w14:textId="77777777" w:rsidR="006C686E" w:rsidRDefault="00B17E8C">
            <w:pPr>
              <w:pStyle w:val="P68B1DB1-Normal24"/>
              <w:spacing w:after="0" w:line="240" w:lineRule="auto"/>
              <w:jc w:val="center"/>
              <w:rPr>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F177C2E" w14:textId="77777777" w:rsidR="006C686E" w:rsidRDefault="00B17E8C">
            <w:pPr>
              <w:pStyle w:val="P68B1DB1-Normal24"/>
              <w:spacing w:after="0" w:line="240" w:lineRule="auto"/>
              <w:jc w:val="center"/>
              <w:rPr>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303E0F4" w14:textId="77777777" w:rsidR="006C686E" w:rsidRDefault="00B17E8C">
            <w:pPr>
              <w:pStyle w:val="P68B1DB1-Normal24"/>
              <w:spacing w:after="0" w:line="240" w:lineRule="auto"/>
              <w:jc w:val="center"/>
              <w:rPr>
                <w:noProof/>
              </w:rPr>
            </w:pPr>
            <w:r>
              <w:rPr>
                <w:noProof/>
              </w:rPr>
              <w:t>Année</w:t>
            </w:r>
          </w:p>
        </w:tc>
        <w:tc>
          <w:tcPr>
            <w:tcW w:w="3656" w:type="dxa"/>
            <w:vMerge/>
            <w:tcBorders>
              <w:top w:val="single" w:sz="4" w:space="0" w:color="auto"/>
              <w:left w:val="single" w:sz="4" w:space="0" w:color="auto"/>
              <w:bottom w:val="single" w:sz="4" w:space="0" w:color="auto"/>
              <w:right w:val="single" w:sz="4" w:space="0" w:color="auto"/>
            </w:tcBorders>
            <w:vAlign w:val="center"/>
            <w:hideMark/>
          </w:tcPr>
          <w:p w14:paraId="06D9CE61" w14:textId="77777777" w:rsidR="006C686E" w:rsidRDefault="006C686E">
            <w:pPr>
              <w:spacing w:after="0" w:line="240" w:lineRule="auto"/>
              <w:rPr>
                <w:rFonts w:ascii="Times New Roman" w:hAnsi="Times New Roman" w:cs="Times New Roman"/>
                <w:b/>
                <w:noProof/>
                <w:sz w:val="16"/>
                <w:szCs w:val="16"/>
              </w:rPr>
            </w:pPr>
          </w:p>
        </w:tc>
      </w:tr>
      <w:tr w:rsidR="006C686E" w14:paraId="1A441422"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063D8C3" w14:textId="77777777" w:rsidR="006C686E" w:rsidRDefault="00B17E8C">
            <w:pPr>
              <w:pStyle w:val="P68B1DB1-Normal25"/>
              <w:spacing w:after="0" w:line="240" w:lineRule="auto"/>
              <w:jc w:val="center"/>
              <w:rPr>
                <w:noProof/>
              </w:rPr>
            </w:pPr>
            <w:r>
              <w:rPr>
                <w:noProof/>
              </w:rPr>
              <w:t>14.1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7F929E" w14:textId="77777777" w:rsidR="006C686E" w:rsidRDefault="00B17E8C">
            <w:pPr>
              <w:pStyle w:val="P68B1DB1-Normal26"/>
              <w:spacing w:after="0" w:line="240" w:lineRule="auto"/>
              <w:jc w:val="center"/>
              <w:rPr>
                <w:noProof/>
              </w:rPr>
            </w:pPr>
            <w:r>
              <w:rPr>
                <w:noProof/>
              </w:rPr>
              <w:t>TC-C14-r29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28B92D" w14:textId="77777777" w:rsidR="006C686E" w:rsidRDefault="00B17E8C">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54BDE7" w14:textId="77777777" w:rsidR="006C686E" w:rsidRDefault="00B17E8C">
            <w:pPr>
              <w:pStyle w:val="P68B1DB1-Normal26"/>
              <w:spacing w:after="0" w:line="240" w:lineRule="auto"/>
              <w:jc w:val="center"/>
              <w:rPr>
                <w:noProof/>
              </w:rPr>
            </w:pPr>
            <w:r>
              <w:rPr>
                <w:noProof/>
              </w:rPr>
              <w:t>Entrée en vigueur du règlement relatif au réseau national de transport de gaz et du règlement relatif au réseau national de distribution de gaz</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6167F" w14:textId="77777777" w:rsidR="006C686E" w:rsidRDefault="00B17E8C">
            <w:pPr>
              <w:pStyle w:val="P68B1DB1-Normal26"/>
              <w:spacing w:after="0" w:line="240" w:lineRule="auto"/>
              <w:jc w:val="center"/>
              <w:rPr>
                <w:noProof/>
              </w:rPr>
            </w:pPr>
            <w:r>
              <w:rPr>
                <w:noProof/>
              </w:rPr>
              <w:t>Entrée en vigueur du règlement relatif au réseau national de transport de gaz et du règlement relatif au réseau national de distribution de gaz</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99B5DD" w14:textId="77777777" w:rsidR="006C686E" w:rsidRDefault="00B17E8C">
            <w:pPr>
              <w:pStyle w:val="P68B1DB1-Normal26"/>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E2D42D" w14:textId="77777777" w:rsidR="006C686E" w:rsidRDefault="00B17E8C">
            <w:pPr>
              <w:pStyle w:val="P68B1DB1-Normal26"/>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F2839D" w14:textId="77777777" w:rsidR="006C686E" w:rsidRDefault="00B17E8C">
            <w:pPr>
              <w:pStyle w:val="P68B1DB1-Normal26"/>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AFD987" w14:textId="77777777" w:rsidR="006C686E" w:rsidRDefault="00B17E8C">
            <w:pPr>
              <w:pStyle w:val="P68B1DB1-Normal26"/>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38F26C" w14:textId="77777777" w:rsidR="006C686E" w:rsidRDefault="00B17E8C">
            <w:pPr>
              <w:pStyle w:val="P68B1DB1-Normal26"/>
              <w:spacing w:after="0" w:line="240" w:lineRule="auto"/>
              <w:jc w:val="center"/>
              <w:rPr>
                <w:noProof/>
              </w:rPr>
            </w:pPr>
            <w:r>
              <w:rPr>
                <w:noProof/>
              </w:rPr>
              <w:t>2021</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B90607" w14:textId="77777777" w:rsidR="006C686E" w:rsidRDefault="00B17E8C">
            <w:pPr>
              <w:pStyle w:val="P68B1DB1-Normal26"/>
              <w:spacing w:after="0" w:line="240" w:lineRule="auto"/>
              <w:jc w:val="both"/>
              <w:rPr>
                <w:noProof/>
              </w:rPr>
            </w:pPr>
            <w:r>
              <w:rPr>
                <w:noProof/>
              </w:rPr>
              <w:t xml:space="preserve">Entrée en vigueur du règlement modifié du réseau national de transport de gaz et du règlement du réseau national de distribution de gaz. Les modifications du règlement du réseau national de transport de gaz et du règlement du réseau national de distribution de gaz sont approuvées par la direction générale de l’énergie et de la géologie. </w:t>
            </w:r>
          </w:p>
          <w:p w14:paraId="6F2930DA" w14:textId="77777777" w:rsidR="006C686E" w:rsidRDefault="00B17E8C">
            <w:pPr>
              <w:pStyle w:val="P68B1DB1-Normal26"/>
              <w:spacing w:after="0" w:line="240" w:lineRule="auto"/>
              <w:jc w:val="both"/>
              <w:rPr>
                <w:noProof/>
              </w:rPr>
            </w:pPr>
            <w:r>
              <w:rPr>
                <w:noProof/>
              </w:rPr>
              <w:t>Les règlements permettent d’établir les conditions de raccordement aux infrastructures de transport de gaz, en particulier pour l’injection de gaz d’origine renouvelable, y compris l’hydrogène renouvelable, ainsi que de fixer les pourcentages minimal et maximal d’injection de ces gaz dans les réseaux. En outre, elles comprennent les révisions nécessaires des normes techniques qui garantissent la qualité du service et l’utilisation sûre de ces infrastructures pour tous les utilisateurs.</w:t>
            </w:r>
          </w:p>
        </w:tc>
      </w:tr>
      <w:tr w:rsidR="006C686E" w14:paraId="10BD4CA8"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40C5166C" w14:textId="1D1C5770" w:rsidR="006C686E" w:rsidRDefault="00B17E8C">
            <w:pPr>
              <w:pStyle w:val="P68B1DB1-Normal25"/>
              <w:spacing w:after="0" w:line="240" w:lineRule="auto"/>
              <w:jc w:val="center"/>
              <w:rPr>
                <w:noProof/>
              </w:rPr>
            </w:pPr>
            <w:r>
              <w:rPr>
                <w:noProof/>
              </w:rPr>
              <w:t>14.16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F9FE4E" w14:textId="4BBFF7C9" w:rsidR="006C686E" w:rsidRDefault="00B17E8C">
            <w:pPr>
              <w:pStyle w:val="P68B1DB1-Normal26"/>
              <w:spacing w:after="0" w:line="240" w:lineRule="auto"/>
              <w:jc w:val="center"/>
              <w:rPr>
                <w:noProof/>
              </w:rPr>
            </w:pPr>
            <w:r>
              <w:rPr>
                <w:noProof/>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9DE4B6" w14:textId="56B95013" w:rsidR="006C686E" w:rsidRDefault="00B17E8C">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5BBC96" w14:textId="58A906C8" w:rsidR="006C686E" w:rsidRDefault="00B17E8C">
            <w:pPr>
              <w:pStyle w:val="P68B1DB1-Normal15"/>
              <w:spacing w:after="0" w:line="240" w:lineRule="auto"/>
              <w:jc w:val="center"/>
              <w:rPr>
                <w:noProof/>
              </w:rPr>
            </w:pPr>
            <w:r>
              <w:rPr>
                <w:noProof/>
              </w:rPr>
              <w:t>Accord d’exécution ou acte(s) juridique(s)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565E8F3F" w14:textId="37CF5959" w:rsidR="006C686E" w:rsidRDefault="00B17E8C">
            <w:pPr>
              <w:pStyle w:val="P68B1DB1-Normal15"/>
              <w:spacing w:after="0" w:line="240" w:lineRule="auto"/>
              <w:jc w:val="center"/>
              <w:rPr>
                <w:noProof/>
              </w:rPr>
            </w:pPr>
            <w:r>
              <w:rPr>
                <w:noProof/>
              </w:rPr>
              <w:t>Entrée en vigueur de l’accord d’exécution ou du ou des actes juridiques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AA4C0A" w14:textId="245E18FA" w:rsidR="006C686E" w:rsidRDefault="00B17E8C">
            <w:pPr>
              <w:pStyle w:val="P68B1DB1-Normal26"/>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33E18B" w14:textId="5F8D4818" w:rsidR="006C686E" w:rsidRDefault="00B17E8C">
            <w:pPr>
              <w:pStyle w:val="P68B1DB1-Normal26"/>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605708" w14:textId="6FA3F485" w:rsidR="006C686E" w:rsidRDefault="00B17E8C">
            <w:pPr>
              <w:pStyle w:val="P68B1DB1-Normal26"/>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796F5" w14:textId="173E762B" w:rsidR="006C686E" w:rsidRDefault="00B17E8C">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673907" w14:textId="31A590FE" w:rsidR="006C686E" w:rsidRDefault="00B17E8C">
            <w:pPr>
              <w:pStyle w:val="P68B1DB1-Normal26"/>
              <w:spacing w:after="0" w:line="240" w:lineRule="auto"/>
              <w:jc w:val="center"/>
              <w:rPr>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tcPr>
          <w:p w14:paraId="67039D7A" w14:textId="3212F6C7" w:rsidR="006C686E" w:rsidRDefault="00B17E8C">
            <w:pPr>
              <w:pStyle w:val="P68B1DB1-Normal15"/>
              <w:spacing w:after="0" w:line="240" w:lineRule="auto"/>
              <w:rPr>
                <w:noProof/>
              </w:rPr>
            </w:pPr>
            <w:r>
              <w:rPr>
                <w:noProof/>
              </w:rPr>
              <w:t>Entrée en vigueur de l’accord d’exécution ou du ou des actes juridiques.</w:t>
            </w:r>
          </w:p>
        </w:tc>
      </w:tr>
      <w:tr w:rsidR="006C686E" w14:paraId="0FB14C7D"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49327BC2" w14:textId="26992EAF" w:rsidR="006C686E" w:rsidRDefault="00B17E8C">
            <w:pPr>
              <w:pStyle w:val="P68B1DB1-Normal25"/>
              <w:spacing w:after="0" w:line="240" w:lineRule="auto"/>
              <w:jc w:val="center"/>
              <w:rPr>
                <w:noProof/>
              </w:rPr>
            </w:pPr>
            <w:r>
              <w:rPr>
                <w:noProof/>
              </w:rPr>
              <w:t>14.17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C29A31" w14:textId="4A80CB91" w:rsidR="006C686E" w:rsidRDefault="00B17E8C">
            <w:pPr>
              <w:pStyle w:val="P68B1DB1-Normal26"/>
              <w:spacing w:after="0" w:line="240" w:lineRule="auto"/>
              <w:jc w:val="center"/>
              <w:rPr>
                <w:noProof/>
              </w:rPr>
            </w:pPr>
            <w:r>
              <w:rPr>
                <w:noProof/>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A2260A" w14:textId="4A0E43A1"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9A181C" w14:textId="15ED4F48" w:rsidR="006C686E" w:rsidRDefault="00B17E8C">
            <w:pPr>
              <w:pStyle w:val="P68B1DB1-Normal15"/>
              <w:spacing w:after="0" w:line="240" w:lineRule="auto"/>
              <w:jc w:val="center"/>
              <w:rPr>
                <w:noProof/>
              </w:rPr>
            </w:pPr>
            <w:r>
              <w:rPr>
                <w:noProof/>
              </w:rPr>
              <w:t>Signature d’accords juridiques avec les bénéficiaires finaux et achèvement de l’investissement par le ministère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719BD923" w14:textId="4C073115" w:rsidR="006C686E" w:rsidRDefault="006C686E">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E6144C" w14:textId="5EE5D169" w:rsidR="006C686E" w:rsidRDefault="00B17E8C">
            <w:pPr>
              <w:pStyle w:val="P68B1DB1-Normal15"/>
              <w:spacing w:after="0" w:line="240" w:lineRule="auto"/>
              <w:jc w:val="center"/>
              <w:rPr>
                <w:noProof/>
              </w:rPr>
            </w:pPr>
            <w:r>
              <w:rPr>
                <w:noProof/>
              </w:rPr>
              <w:t>Pourcentage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A54F65" w14:textId="6A3C846B" w:rsidR="006C686E" w:rsidRDefault="00B17E8C">
            <w:pPr>
              <w:pStyle w:val="P68B1DB1-Normal26"/>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E3C0D8" w14:textId="53E7363C" w:rsidR="006C686E" w:rsidRDefault="00B17E8C">
            <w:pPr>
              <w:pStyle w:val="P68B1DB1-Normal15"/>
              <w:spacing w:after="0" w:line="240" w:lineRule="auto"/>
              <w:jc w:val="center"/>
              <w:rPr>
                <w:noProof/>
              </w:rPr>
            </w:pPr>
            <w:r>
              <w:rPr>
                <w:noProof/>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69DF35" w14:textId="0C1E0EA2" w:rsidR="006C686E" w:rsidRDefault="00B17E8C">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A4CBB2" w14:textId="78241951" w:rsidR="006C686E" w:rsidRDefault="00B17E8C">
            <w:pPr>
              <w:pStyle w:val="P68B1DB1-Normal26"/>
              <w:spacing w:after="0" w:line="240" w:lineRule="auto"/>
              <w:jc w:val="center"/>
              <w:rPr>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tcPr>
          <w:p w14:paraId="60274487" w14:textId="1BEC28AC" w:rsidR="006C686E" w:rsidRDefault="00B17E8C">
            <w:pPr>
              <w:pStyle w:val="P68B1DB1-Normal26"/>
              <w:spacing w:after="0" w:line="240" w:lineRule="auto"/>
              <w:jc w:val="both"/>
              <w:rPr>
                <w:noProof/>
              </w:rPr>
            </w:pPr>
            <w:r>
              <w:rPr>
                <w:noProof/>
              </w:rPr>
              <w:t xml:space="preserve">L’Agence pour le climat a conclu des conventions de financement légales avec les bénéficiaires finaux pour un montant nécessaire à l’utilisation de 100 % de l’investissement de la FRR dans le régime. </w:t>
            </w:r>
          </w:p>
          <w:p w14:paraId="5D7CD937" w14:textId="4DE105DB" w:rsidR="006C686E" w:rsidRDefault="006C686E">
            <w:pPr>
              <w:spacing w:after="0" w:line="240" w:lineRule="auto"/>
              <w:jc w:val="both"/>
              <w:rPr>
                <w:rFonts w:ascii="Times New Roman" w:hAnsi="Times New Roman" w:cs="Times New Roman"/>
                <w:noProof/>
                <w:sz w:val="16"/>
                <w:szCs w:val="16"/>
              </w:rPr>
            </w:pPr>
          </w:p>
          <w:p w14:paraId="4CFF120F" w14:textId="77777777" w:rsidR="006C686E" w:rsidRDefault="00B17E8C">
            <w:pPr>
              <w:pStyle w:val="P68B1DB1-Normal26"/>
              <w:spacing w:after="0" w:line="240" w:lineRule="auto"/>
              <w:rPr>
                <w:noProof/>
              </w:rPr>
            </w:pPr>
            <w:r>
              <w:rPr>
                <w:noProof/>
              </w:rPr>
              <w:t>Le Portugal transfère 266 940 000 EUR à l’Agence pour le climat pour le programme.</w:t>
            </w:r>
          </w:p>
          <w:p w14:paraId="5F1B6817" w14:textId="77777777" w:rsidR="006C686E" w:rsidRDefault="006C686E">
            <w:pPr>
              <w:spacing w:after="0" w:line="240" w:lineRule="auto"/>
              <w:rPr>
                <w:rFonts w:ascii="Times New Roman" w:hAnsi="Times New Roman" w:cs="Times New Roman"/>
                <w:noProof/>
                <w:sz w:val="16"/>
                <w:szCs w:val="16"/>
              </w:rPr>
            </w:pPr>
          </w:p>
          <w:p w14:paraId="19A5FB95" w14:textId="0ABBFE32" w:rsidR="006C686E" w:rsidRDefault="00B17E8C">
            <w:pPr>
              <w:pStyle w:val="P68B1DB1-Normal26"/>
              <w:spacing w:after="0" w:line="240" w:lineRule="auto"/>
              <w:jc w:val="both"/>
              <w:rPr>
                <w:noProof/>
              </w:rPr>
            </w:pPr>
            <w:r>
              <w:rPr>
                <w:noProof/>
              </w:rPr>
              <w:t>Au moins 80,2 % de ce financement contribuent à la réalisation des objectifs climatiques en utilisant la méthode figurant à l’annexe VI du règlement FRR.</w:t>
            </w:r>
          </w:p>
        </w:tc>
      </w:tr>
      <w:tr w:rsidR="006C686E" w14:paraId="46E6B8F8"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D00438" w14:textId="77777777" w:rsidR="006C686E" w:rsidRDefault="00B17E8C">
            <w:pPr>
              <w:pStyle w:val="P68B1DB1-Normal25"/>
              <w:spacing w:after="0" w:line="240" w:lineRule="auto"/>
              <w:jc w:val="center"/>
              <w:rPr>
                <w:noProof/>
              </w:rPr>
            </w:pPr>
            <w:r>
              <w:rPr>
                <w:noProof/>
              </w:rPr>
              <w:t>14.4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EA3A6" w14:textId="77777777" w:rsidR="006C686E" w:rsidRDefault="00B17E8C">
            <w:pPr>
              <w:pStyle w:val="P68B1DB1-Normal26"/>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18DFD6" w14:textId="77777777" w:rsidR="006C686E" w:rsidRDefault="00B17E8C">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4FE7FC" w14:textId="77777777" w:rsidR="006C686E" w:rsidRDefault="00B17E8C">
            <w:pPr>
              <w:pStyle w:val="P68B1DB1-Normal26"/>
              <w:spacing w:after="0" w:line="240" w:lineRule="auto"/>
              <w:jc w:val="center"/>
              <w:rPr>
                <w:noProof/>
              </w:rPr>
            </w:pPr>
            <w:r>
              <w:rPr>
                <w:noProof/>
              </w:rPr>
              <w:t xml:space="preserve">Construction et intégration d'un compensateur synchrone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83A72F" w14:textId="77777777" w:rsidR="006C686E" w:rsidRDefault="00B17E8C">
            <w:pPr>
              <w:pStyle w:val="P68B1DB1-Normal26"/>
              <w:spacing w:after="0" w:line="240" w:lineRule="auto"/>
              <w:jc w:val="center"/>
              <w:rPr>
                <w:noProof/>
              </w:rPr>
            </w:pPr>
            <w:r>
              <w:rPr>
                <w:noProof/>
              </w:rPr>
              <w:t>Construction et intégration d'un compensateur synchrone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B17AA1" w14:textId="77777777" w:rsidR="006C686E" w:rsidRDefault="00B17E8C">
            <w:pPr>
              <w:pStyle w:val="P68B1DB1-Normal26"/>
              <w:spacing w:after="0" w:line="240" w:lineRule="auto"/>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BA7A69" w14:textId="77777777" w:rsidR="006C686E" w:rsidRDefault="00B17E8C">
            <w:pPr>
              <w:pStyle w:val="P68B1DB1-Normal26"/>
              <w:spacing w:after="0" w:line="240" w:lineRule="auto"/>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F6D4CD" w14:textId="77777777" w:rsidR="006C686E" w:rsidRDefault="00B17E8C">
            <w:pPr>
              <w:pStyle w:val="P68B1DB1-Normal26"/>
              <w:spacing w:after="0" w:line="240" w:lineRule="auto"/>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4EA153" w14:textId="77777777" w:rsidR="006C686E" w:rsidRDefault="00B17E8C">
            <w:pPr>
              <w:pStyle w:val="P68B1DB1-Normal26"/>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8FD9B9" w14:textId="77777777" w:rsidR="006C686E" w:rsidRDefault="00B17E8C">
            <w:pPr>
              <w:pStyle w:val="P68B1DB1-Normal26"/>
              <w:spacing w:after="0" w:line="240" w:lineRule="auto"/>
              <w:jc w:val="center"/>
              <w:rPr>
                <w:noProof/>
              </w:rPr>
            </w:pPr>
            <w:r>
              <w:rPr>
                <w:noProof/>
              </w:rPr>
              <w:t>2024</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A06F9E" w14:textId="77777777" w:rsidR="006C686E" w:rsidRDefault="00B17E8C">
            <w:pPr>
              <w:pStyle w:val="P68B1DB1-Normal26"/>
              <w:spacing w:after="0" w:line="240" w:lineRule="auto"/>
              <w:jc w:val="both"/>
              <w:rPr>
                <w:noProof/>
              </w:rPr>
            </w:pPr>
            <w:r>
              <w:rPr>
                <w:noProof/>
              </w:rPr>
              <w:t>Construction et intégration d'un compensateur synchrone d'au moins 15 MVA.</w:t>
            </w:r>
          </w:p>
        </w:tc>
      </w:tr>
      <w:tr w:rsidR="006C686E" w14:paraId="77A9B76B"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52E141" w14:textId="77777777" w:rsidR="006C686E" w:rsidRDefault="00B17E8C">
            <w:pPr>
              <w:pStyle w:val="P68B1DB1-Normal25"/>
              <w:spacing w:after="0" w:line="240" w:lineRule="auto"/>
              <w:jc w:val="center"/>
              <w:rPr>
                <w:noProof/>
              </w:rPr>
            </w:pPr>
            <w:r>
              <w:rPr>
                <w:noProof/>
              </w:rPr>
              <w:t>14.5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984851" w14:textId="77777777" w:rsidR="006C686E" w:rsidRDefault="00B17E8C">
            <w:pPr>
              <w:pStyle w:val="P68B1DB1-Normal26"/>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1B0CC4" w14:textId="77777777"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C57DAB" w14:textId="77777777" w:rsidR="006C686E" w:rsidRDefault="00B17E8C">
            <w:pPr>
              <w:pStyle w:val="P68B1DB1-Normal26"/>
              <w:spacing w:after="0" w:line="240" w:lineRule="auto"/>
              <w:jc w:val="center"/>
              <w:rPr>
                <w:noProof/>
              </w:rPr>
            </w:pPr>
            <w:r>
              <w:rPr>
                <w:noProof/>
              </w:rPr>
              <w:t>Capacité de production hydroélectrique supplémentaire installée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72C104" w14:textId="77777777" w:rsidR="006C686E" w:rsidRDefault="00B17E8C">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63A3A0" w14:textId="77777777" w:rsidR="006C686E" w:rsidRDefault="00B17E8C">
            <w:pPr>
              <w:pStyle w:val="P68B1DB1-Normal26"/>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8FD8E" w14:textId="77777777" w:rsidR="006C686E" w:rsidRDefault="00B17E8C">
            <w:pPr>
              <w:pStyle w:val="P68B1DB1-Normal26"/>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73EE8D" w14:textId="77777777" w:rsidR="006C686E" w:rsidRDefault="00B17E8C">
            <w:pPr>
              <w:pStyle w:val="P68B1DB1-Normal26"/>
              <w:spacing w:after="0" w:line="240" w:lineRule="auto"/>
              <w:jc w:val="center"/>
              <w:rPr>
                <w:noProof/>
              </w:rPr>
            </w:pPr>
            <w:r>
              <w:rPr>
                <w:noProof/>
              </w:rPr>
              <w:t>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37961" w14:textId="77777777" w:rsidR="006C686E" w:rsidRDefault="00B17E8C">
            <w:pPr>
              <w:pStyle w:val="P68B1DB1-Normal26"/>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A45621" w14:textId="77777777" w:rsidR="006C686E" w:rsidRDefault="00B17E8C">
            <w:pPr>
              <w:pStyle w:val="P68B1DB1-Normal26"/>
              <w:spacing w:after="0" w:line="240" w:lineRule="auto"/>
              <w:jc w:val="center"/>
              <w:rPr>
                <w:noProof/>
              </w:rPr>
            </w:pPr>
            <w:r>
              <w:rPr>
                <w:noProof/>
              </w:rPr>
              <w:t>2024</w:t>
            </w:r>
          </w:p>
        </w:tc>
        <w:tc>
          <w:tcPr>
            <w:tcW w:w="3656" w:type="dxa"/>
            <w:tcBorders>
              <w:top w:val="single" w:sz="4" w:space="0" w:color="auto"/>
              <w:left w:val="single" w:sz="4" w:space="0" w:color="auto"/>
              <w:bottom w:val="single" w:sz="4" w:space="0" w:color="auto"/>
              <w:right w:val="single" w:sz="4" w:space="0" w:color="auto"/>
            </w:tcBorders>
            <w:shd w:val="clear" w:color="auto" w:fill="C4EFCE"/>
            <w:hideMark/>
          </w:tcPr>
          <w:p w14:paraId="6F890C4C" w14:textId="77777777" w:rsidR="006C686E" w:rsidRDefault="00B17E8C">
            <w:pPr>
              <w:pStyle w:val="P68B1DB1-Normal26"/>
              <w:spacing w:after="0" w:line="240" w:lineRule="auto"/>
              <w:jc w:val="both"/>
              <w:rPr>
                <w:noProof/>
              </w:rPr>
            </w:pPr>
            <w:r>
              <w:rPr>
                <w:noProof/>
              </w:rPr>
              <w:t xml:space="preserve">Augmentation de la puissance installée de la centrale hydroélectrique rénovée de Serra de Água. </w:t>
            </w:r>
          </w:p>
        </w:tc>
      </w:tr>
      <w:tr w:rsidR="006C686E" w14:paraId="5D744753"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EE6ECB" w14:textId="77777777" w:rsidR="006C686E" w:rsidRDefault="00B17E8C">
            <w:pPr>
              <w:pStyle w:val="P68B1DB1-Normal25"/>
              <w:spacing w:after="0" w:line="240" w:lineRule="auto"/>
              <w:jc w:val="center"/>
              <w:rPr>
                <w:noProof/>
              </w:rPr>
            </w:pPr>
            <w:r>
              <w:rPr>
                <w:noProof/>
              </w:rPr>
              <w:t>14.6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1D4362" w14:textId="77777777" w:rsidR="006C686E" w:rsidRDefault="00B17E8C">
            <w:pPr>
              <w:pStyle w:val="P68B1DB1-Normal26"/>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EADB7" w14:textId="77777777"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B1848" w14:textId="77777777" w:rsidR="006C686E" w:rsidRDefault="00B17E8C">
            <w:pPr>
              <w:pStyle w:val="P68B1DB1-Normal26"/>
              <w:spacing w:after="0" w:line="240" w:lineRule="auto"/>
              <w:jc w:val="center"/>
              <w:rPr>
                <w:noProof/>
              </w:rPr>
            </w:pPr>
            <w:r>
              <w:rPr>
                <w:noProof/>
              </w:rPr>
              <w:t>Rénovation de la capacité de production hydroélectrique installée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EF2A9E" w14:textId="77777777" w:rsidR="006C686E" w:rsidRDefault="00B17E8C">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42CC89" w14:textId="77777777" w:rsidR="006C686E" w:rsidRDefault="00B17E8C">
            <w:pPr>
              <w:pStyle w:val="P68B1DB1-Normal26"/>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AD7525" w14:textId="77777777" w:rsidR="006C686E" w:rsidRDefault="00B17E8C">
            <w:pPr>
              <w:pStyle w:val="P68B1DB1-Normal26"/>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73C9F5" w14:textId="77777777" w:rsidR="006C686E" w:rsidRDefault="00B17E8C">
            <w:pPr>
              <w:pStyle w:val="P68B1DB1-Normal26"/>
              <w:spacing w:after="0" w:line="240" w:lineRule="auto"/>
              <w:jc w:val="center"/>
              <w:rPr>
                <w:noProof/>
              </w:rPr>
            </w:pPr>
            <w:r>
              <w:rPr>
                <w:noProof/>
              </w:rPr>
              <w:t>6,2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179AB8" w14:textId="77777777" w:rsidR="006C686E" w:rsidRDefault="00B17E8C">
            <w:pPr>
              <w:pStyle w:val="P68B1DB1-Normal26"/>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9728BC" w14:textId="77777777" w:rsidR="006C686E" w:rsidRDefault="00B17E8C">
            <w:pPr>
              <w:pStyle w:val="P68B1DB1-Normal26"/>
              <w:spacing w:after="0" w:line="240" w:lineRule="auto"/>
              <w:jc w:val="center"/>
              <w:rPr>
                <w:noProof/>
              </w:rPr>
            </w:pPr>
            <w:r>
              <w:rPr>
                <w:noProof/>
              </w:rPr>
              <w:t>2024</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028E5D" w14:textId="77777777" w:rsidR="006C686E" w:rsidRDefault="00B17E8C">
            <w:pPr>
              <w:pStyle w:val="P68B1DB1-Normal26"/>
              <w:spacing w:after="0" w:line="240" w:lineRule="auto"/>
              <w:jc w:val="both"/>
              <w:rPr>
                <w:noProof/>
              </w:rPr>
            </w:pPr>
            <w:r>
              <w:rPr>
                <w:noProof/>
              </w:rPr>
              <w:t xml:space="preserve">Rénovation des centrales hydroélectriques suivantes: </w:t>
            </w:r>
          </w:p>
          <w:p w14:paraId="4A1C5D00" w14:textId="77777777" w:rsidR="006C686E" w:rsidRDefault="00B17E8C">
            <w:pPr>
              <w:pStyle w:val="P68B1DB1-Normal26"/>
              <w:spacing w:after="0" w:line="240" w:lineRule="auto"/>
              <w:jc w:val="both"/>
              <w:rPr>
                <w:noProof/>
              </w:rPr>
            </w:pPr>
            <w:r>
              <w:rPr>
                <w:noProof/>
              </w:rPr>
              <w:t xml:space="preserve">Centrale hydroélectrique de Serra de Água: 5,2 MW de puissance installée existante. </w:t>
            </w:r>
          </w:p>
          <w:p w14:paraId="3D28B353" w14:textId="77777777" w:rsidR="006C686E" w:rsidRDefault="00B17E8C">
            <w:pPr>
              <w:pStyle w:val="P68B1DB1-Normal26"/>
              <w:spacing w:after="0" w:line="240" w:lineRule="auto"/>
              <w:jc w:val="both"/>
              <w:rPr>
                <w:noProof/>
              </w:rPr>
            </w:pPr>
            <w:r>
              <w:rPr>
                <w:noProof/>
              </w:rPr>
              <w:t>Centrale hydroélectrique de Calheta I: 1 MW de capacité installée existante.</w:t>
            </w:r>
          </w:p>
        </w:tc>
      </w:tr>
      <w:tr w:rsidR="006C686E" w14:paraId="6AFA8EA1"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E122A1" w14:textId="77777777" w:rsidR="006C686E" w:rsidRDefault="00B17E8C">
            <w:pPr>
              <w:pStyle w:val="P68B1DB1-Normal25"/>
              <w:spacing w:after="0" w:line="240" w:lineRule="auto"/>
              <w:jc w:val="center"/>
              <w:rPr>
                <w:noProof/>
              </w:rPr>
            </w:pPr>
            <w:r>
              <w:rPr>
                <w:noProof/>
              </w:rPr>
              <w:t>14.7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FA4E68" w14:textId="77777777" w:rsidR="006C686E" w:rsidRDefault="00B17E8C">
            <w:pPr>
              <w:pStyle w:val="P68B1DB1-Normal26"/>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9ED668" w14:textId="77777777"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41977" w14:textId="77777777" w:rsidR="006C686E" w:rsidRDefault="00B17E8C">
            <w:pPr>
              <w:pStyle w:val="P68B1DB1-Normal26"/>
              <w:spacing w:after="0" w:line="240" w:lineRule="auto"/>
              <w:jc w:val="center"/>
              <w:rPr>
                <w:noProof/>
              </w:rPr>
            </w:pPr>
            <w:r>
              <w:rPr>
                <w:noProof/>
              </w:rPr>
              <w:t>Installation de la capacité de stockage de la batterie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A1C139" w14:textId="77777777" w:rsidR="006C686E" w:rsidRDefault="006C686E">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7E7D20" w14:textId="77777777" w:rsidR="006C686E" w:rsidRDefault="00B17E8C">
            <w:pPr>
              <w:pStyle w:val="P68B1DB1-Normal26"/>
              <w:spacing w:after="0" w:line="240" w:lineRule="auto"/>
              <w:jc w:val="center"/>
              <w:rPr>
                <w:noProof/>
              </w:rPr>
            </w:pPr>
            <w:r>
              <w:rPr>
                <w:noProof/>
              </w:rPr>
              <w:t>MWh</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931129" w14:textId="77777777" w:rsidR="006C686E" w:rsidRDefault="00B17E8C">
            <w:pPr>
              <w:pStyle w:val="P68B1DB1-Normal26"/>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06383E" w14:textId="77777777" w:rsidR="006C686E" w:rsidRDefault="00B17E8C">
            <w:pPr>
              <w:pStyle w:val="P68B1DB1-Normal26"/>
              <w:spacing w:after="0" w:line="240" w:lineRule="auto"/>
              <w:jc w:val="center"/>
              <w:rPr>
                <w:noProof/>
              </w:rPr>
            </w:pPr>
            <w:r>
              <w:rPr>
                <w:noProof/>
              </w:rPr>
              <w:t>33.8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A8A760" w14:textId="77777777" w:rsidR="006C686E" w:rsidRDefault="00B17E8C">
            <w:pPr>
              <w:pStyle w:val="P68B1DB1-Normal26"/>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29C34E" w14:textId="77777777" w:rsidR="006C686E" w:rsidRDefault="00B17E8C">
            <w:pPr>
              <w:pStyle w:val="P68B1DB1-Normal26"/>
              <w:spacing w:after="0" w:line="240" w:lineRule="auto"/>
              <w:jc w:val="center"/>
              <w:rPr>
                <w:noProof/>
              </w:rPr>
            </w:pPr>
            <w:r>
              <w:rPr>
                <w:noProof/>
              </w:rPr>
              <w:t>2025</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A98FB3" w14:textId="1D2AD7F5" w:rsidR="006C686E" w:rsidRDefault="00B17E8C">
            <w:pPr>
              <w:pStyle w:val="P68B1DB1-Normal26"/>
              <w:spacing w:after="0" w:line="240" w:lineRule="auto"/>
              <w:jc w:val="both"/>
              <w:rPr>
                <w:noProof/>
              </w:rPr>
            </w:pPr>
            <w:r>
              <w:rPr>
                <w:noProof/>
              </w:rPr>
              <w:t xml:space="preserve">Installation de la capacité de stockage de la batterie. </w:t>
            </w:r>
          </w:p>
        </w:tc>
      </w:tr>
      <w:tr w:rsidR="006C686E" w14:paraId="60BD71D9"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3EB711" w14:textId="77777777" w:rsidR="006C686E" w:rsidRDefault="00B17E8C">
            <w:pPr>
              <w:pStyle w:val="P68B1DB1-Normal25"/>
              <w:spacing w:after="0" w:line="240" w:lineRule="auto"/>
              <w:jc w:val="center"/>
              <w:rPr>
                <w:noProof/>
              </w:rPr>
            </w:pPr>
            <w:r>
              <w:rPr>
                <w:noProof/>
              </w:rPr>
              <w:t>14.9</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01D553" w14:textId="77777777" w:rsidR="006C686E" w:rsidRDefault="00B17E8C">
            <w:pPr>
              <w:pStyle w:val="P68B1DB1-Normal26"/>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61BC4C" w14:textId="77777777" w:rsidR="006C686E" w:rsidRDefault="00B17E8C">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81A613" w14:textId="77777777" w:rsidR="006C686E" w:rsidRDefault="00B17E8C">
            <w:pPr>
              <w:pStyle w:val="P68B1DB1-Normal26"/>
              <w:spacing w:after="0" w:line="240" w:lineRule="auto"/>
              <w:jc w:val="center"/>
              <w:rPr>
                <w:noProof/>
              </w:rPr>
            </w:pPr>
            <w:r>
              <w:rPr>
                <w:noProof/>
              </w:rPr>
              <w:t xml:space="preserve">Installation de compteurs intelligents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CCE11E" w14:textId="77777777" w:rsidR="006C686E" w:rsidRDefault="00B17E8C">
            <w:pPr>
              <w:pStyle w:val="P68B1DB1-Normal26"/>
              <w:spacing w:after="0" w:line="240" w:lineRule="auto"/>
              <w:jc w:val="center"/>
              <w:rPr>
                <w:noProof/>
              </w:rPr>
            </w:pPr>
            <w:r>
              <w:rPr>
                <w:noProof/>
              </w:rPr>
              <w:t>Preuve d'installation</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E54146" w14:textId="77777777" w:rsidR="006C686E" w:rsidRDefault="006C686E">
            <w:pPr>
              <w:spacing w:after="0" w:line="240" w:lineRule="auto"/>
              <w:jc w:val="center"/>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05DA31" w14:textId="77777777" w:rsidR="006C686E" w:rsidRDefault="006C686E">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9079BE" w14:textId="77777777" w:rsidR="006C686E" w:rsidRDefault="006C686E">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9B5640" w14:textId="77777777" w:rsidR="006C686E" w:rsidRDefault="00B17E8C">
            <w:pPr>
              <w:pStyle w:val="P68B1DB1-Normal26"/>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48A220" w14:textId="77777777" w:rsidR="006C686E" w:rsidRDefault="00B17E8C">
            <w:pPr>
              <w:pStyle w:val="P68B1DB1-Normal26"/>
              <w:spacing w:after="0" w:line="240" w:lineRule="auto"/>
              <w:jc w:val="center"/>
              <w:rPr>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808D66" w14:textId="24AE2ACF" w:rsidR="006C686E" w:rsidRDefault="00B17E8C">
            <w:pPr>
              <w:pStyle w:val="P68B1DB1-Normal26"/>
              <w:spacing w:after="0" w:line="240" w:lineRule="auto"/>
              <w:jc w:val="both"/>
              <w:rPr>
                <w:noProof/>
              </w:rPr>
            </w:pPr>
            <w:r>
              <w:rPr>
                <w:noProof/>
              </w:rPr>
              <w:t xml:space="preserve">Preuve de l'installation </w:t>
            </w:r>
            <w:r>
              <w:rPr>
                <w:noProof/>
                <w:kern w:val="0"/>
                <w14:ligatures w14:val="none"/>
              </w:rPr>
              <w:t xml:space="preserve">d'au </w:t>
            </w:r>
            <w:r>
              <w:rPr>
                <w:noProof/>
              </w:rPr>
              <w:t>moins 130 000 compteurs intelligents.</w:t>
            </w:r>
          </w:p>
        </w:tc>
      </w:tr>
      <w:tr w:rsidR="006C686E" w14:paraId="6C21325D"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5EC56BF8" w14:textId="77777777" w:rsidR="006C686E" w:rsidRDefault="00B17E8C">
            <w:pPr>
              <w:pStyle w:val="P68B1DB1-Normal25"/>
              <w:spacing w:after="0" w:line="240" w:lineRule="auto"/>
              <w:jc w:val="center"/>
              <w:rPr>
                <w:noProof/>
              </w:rPr>
            </w:pPr>
            <w:r>
              <w:rPr>
                <w:noProof/>
              </w:rPr>
              <w:t>14.15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CBF6A3" w14:textId="77777777" w:rsidR="006C686E" w:rsidRDefault="00B17E8C">
            <w:pPr>
              <w:pStyle w:val="P68B1DB1-Normal26"/>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C1BA7B" w14:textId="77777777" w:rsidR="006C686E" w:rsidRDefault="00B17E8C">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1BF6C5" w14:textId="77777777" w:rsidR="006C686E" w:rsidRDefault="00B17E8C">
            <w:pPr>
              <w:pStyle w:val="P68B1DB1-Normal26"/>
              <w:spacing w:after="0" w:line="240" w:lineRule="auto"/>
              <w:jc w:val="center"/>
              <w:rPr>
                <w:noProof/>
              </w:rPr>
            </w:pPr>
            <w:r>
              <w:rPr>
                <w:noProof/>
              </w:rPr>
              <w:t xml:space="preserve">Rénovation de la centrale hydroélectrique de Socorridos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D6C798" w14:textId="77777777" w:rsidR="006C686E" w:rsidRDefault="00B17E8C">
            <w:pPr>
              <w:pStyle w:val="P68B1DB1-Normal26"/>
              <w:spacing w:after="0" w:line="240" w:lineRule="auto"/>
              <w:jc w:val="center"/>
              <w:rPr>
                <w:noProof/>
              </w:rPr>
            </w:pPr>
            <w:r>
              <w:rPr>
                <w:noProof/>
              </w:rPr>
              <w:t>Rénovation de la centrale hydroélectrique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B3FEDE" w14:textId="77777777" w:rsidR="006C686E" w:rsidRDefault="006C686E">
            <w:pPr>
              <w:spacing w:after="0" w:line="240" w:lineRule="auto"/>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454CCF" w14:textId="77777777" w:rsidR="006C686E" w:rsidRDefault="006C686E">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A089F4" w14:textId="77777777" w:rsidR="006C686E" w:rsidRDefault="006C686E">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D90692" w14:textId="77777777" w:rsidR="006C686E" w:rsidRDefault="00B17E8C">
            <w:pPr>
              <w:pStyle w:val="P68B1DB1-Normal26"/>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DDD9F7" w14:textId="77777777" w:rsidR="006C686E" w:rsidRDefault="00B17E8C">
            <w:pPr>
              <w:pStyle w:val="P68B1DB1-Normal26"/>
              <w:spacing w:after="0" w:line="240" w:lineRule="auto"/>
              <w:jc w:val="center"/>
              <w:rPr>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tcPr>
          <w:p w14:paraId="2CFFCB26" w14:textId="1E2BB925" w:rsidR="006C686E" w:rsidRDefault="00B17E8C">
            <w:pPr>
              <w:pStyle w:val="P68B1DB1-Normal26"/>
              <w:spacing w:after="0" w:line="240" w:lineRule="auto"/>
              <w:jc w:val="both"/>
              <w:rPr>
                <w:noProof/>
              </w:rPr>
            </w:pPr>
            <w:r>
              <w:rPr>
                <w:noProof/>
              </w:rPr>
              <w:t xml:space="preserve">Rénovation de la centrale hydroélectrique de Socorridos, comprenant la fourniture, l'installation et la mise en service d'équipements et de systèmes. </w:t>
            </w:r>
          </w:p>
        </w:tc>
      </w:tr>
      <w:tr w:rsidR="006C686E" w14:paraId="65A1C55D"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961784" w14:textId="77777777" w:rsidR="006C686E" w:rsidRDefault="00B17E8C">
            <w:pPr>
              <w:pStyle w:val="P68B1DB1-Normal25"/>
              <w:spacing w:after="0" w:line="240" w:lineRule="auto"/>
              <w:jc w:val="center"/>
              <w:rPr>
                <w:noProof/>
              </w:rPr>
            </w:pPr>
            <w:r>
              <w:rPr>
                <w:noProof/>
              </w:rPr>
              <w:t>14.11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10F500" w14:textId="77777777" w:rsidR="006C686E" w:rsidRDefault="00B17E8C">
            <w:pPr>
              <w:pStyle w:val="P68B1DB1-Normal26"/>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93D6DF" w14:textId="77777777"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A6E2A1" w14:textId="77777777" w:rsidR="006C686E" w:rsidRDefault="00B17E8C">
            <w:pPr>
              <w:pStyle w:val="P68B1DB1-Normal26"/>
              <w:spacing w:after="0" w:line="240" w:lineRule="auto"/>
              <w:jc w:val="center"/>
              <w:rPr>
                <w:noProof/>
              </w:rPr>
            </w:pPr>
            <w:r>
              <w:rPr>
                <w:noProof/>
              </w:rPr>
              <w:t>Installation de capacités de production géothermique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512E79" w14:textId="77777777" w:rsidR="006C686E" w:rsidRDefault="00B17E8C">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0DF0D" w14:textId="77777777" w:rsidR="006C686E" w:rsidRDefault="00B17E8C">
            <w:pPr>
              <w:pStyle w:val="P68B1DB1-Normal26"/>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29E2BE" w14:textId="77777777" w:rsidR="006C686E" w:rsidRDefault="00B17E8C">
            <w:pPr>
              <w:pStyle w:val="P68B1DB1-Normal26"/>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EC77E1" w14:textId="77777777" w:rsidR="006C686E" w:rsidRDefault="00B17E8C">
            <w:pPr>
              <w:pStyle w:val="P68B1DB1-Normal26"/>
              <w:spacing w:after="0" w:line="240" w:lineRule="auto"/>
              <w:jc w:val="center"/>
              <w:rPr>
                <w:noProof/>
              </w:rPr>
            </w:pPr>
            <w:r>
              <w:rPr>
                <w:noProof/>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BFB8F2" w14:textId="77777777" w:rsidR="006C686E" w:rsidRDefault="00B17E8C">
            <w:pPr>
              <w:pStyle w:val="P68B1DB1-Normal26"/>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26FD53" w14:textId="77777777" w:rsidR="006C686E" w:rsidRDefault="00B17E8C">
            <w:pPr>
              <w:pStyle w:val="P68B1DB1-Normal26"/>
              <w:spacing w:after="0" w:line="240" w:lineRule="auto"/>
              <w:jc w:val="center"/>
              <w:rPr>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D111B8" w14:textId="5A3319C0" w:rsidR="006C686E" w:rsidRDefault="00B17E8C">
            <w:pPr>
              <w:pStyle w:val="P68B1DB1-Normal26"/>
              <w:spacing w:after="0" w:line="240" w:lineRule="auto"/>
              <w:jc w:val="both"/>
              <w:rPr>
                <w:noProof/>
              </w:rPr>
            </w:pPr>
            <w:r>
              <w:rPr>
                <w:noProof/>
              </w:rPr>
              <w:t xml:space="preserve">Installation de 17 MW d'unités de production dans des centrales géothermiques </w:t>
            </w:r>
          </w:p>
        </w:tc>
      </w:tr>
      <w:tr w:rsidR="006C686E" w14:paraId="527D21F7"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1D7501" w14:textId="77777777" w:rsidR="006C686E" w:rsidRDefault="00B17E8C">
            <w:pPr>
              <w:pStyle w:val="P68B1DB1-Normal25"/>
              <w:spacing w:after="0" w:line="240" w:lineRule="auto"/>
              <w:jc w:val="center"/>
              <w:rPr>
                <w:noProof/>
              </w:rPr>
            </w:pPr>
            <w:r>
              <w:rPr>
                <w:noProof/>
              </w:rPr>
              <w:t>14.12</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1E5047" w14:textId="77777777" w:rsidR="006C686E" w:rsidRDefault="00B17E8C">
            <w:pPr>
              <w:pStyle w:val="P68B1DB1-Normal26"/>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FA6E03" w14:textId="77777777"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5B481A" w14:textId="044A125B" w:rsidR="006C686E" w:rsidRDefault="00B17E8C">
            <w:pPr>
              <w:pStyle w:val="P68B1DB1-Normal26"/>
              <w:spacing w:after="0" w:line="240" w:lineRule="auto"/>
              <w:jc w:val="center"/>
              <w:rPr>
                <w:noProof/>
              </w:rPr>
            </w:pPr>
            <w:r>
              <w:rPr>
                <w:noProof/>
              </w:rPr>
              <w:t>Production supplémentaire d'électricité renouvelable à Corvo</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E9CD35" w14:textId="77777777" w:rsidR="006C686E" w:rsidRDefault="00B17E8C">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25A33" w14:textId="77777777" w:rsidR="006C686E" w:rsidRDefault="00B17E8C">
            <w:pPr>
              <w:pStyle w:val="P68B1DB1-Normal26"/>
              <w:spacing w:after="0" w:line="240" w:lineRule="auto"/>
              <w:jc w:val="center"/>
              <w:rPr>
                <w:noProof/>
              </w:rPr>
            </w:pPr>
            <w:r>
              <w:rPr>
                <w:noProof/>
              </w:rPr>
              <w:t>kW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B1863" w14:textId="77777777" w:rsidR="006C686E" w:rsidRDefault="00B17E8C">
            <w:pPr>
              <w:pStyle w:val="P68B1DB1-Normal26"/>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E38134" w14:textId="77777777" w:rsidR="006C686E" w:rsidRDefault="00B17E8C">
            <w:pPr>
              <w:pStyle w:val="P68B1DB1-Normal26"/>
              <w:spacing w:after="0" w:line="240" w:lineRule="auto"/>
              <w:jc w:val="center"/>
              <w:rPr>
                <w:noProof/>
              </w:rPr>
            </w:pPr>
            <w:r>
              <w:rPr>
                <w:noProof/>
              </w:rPr>
              <w:t>850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E08FAA" w14:textId="77777777" w:rsidR="006C686E" w:rsidRDefault="00B17E8C">
            <w:pPr>
              <w:pStyle w:val="P68B1DB1-Normal26"/>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F45C8D" w14:textId="77777777" w:rsidR="006C686E" w:rsidRDefault="00B17E8C">
            <w:pPr>
              <w:pStyle w:val="P68B1DB1-Normal26"/>
              <w:spacing w:after="0" w:line="240" w:lineRule="auto"/>
              <w:jc w:val="center"/>
              <w:rPr>
                <w:noProof/>
              </w:rPr>
            </w:pPr>
            <w:r>
              <w:rPr>
                <w:noProof/>
              </w:rPr>
              <w:t>2024</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28F675E" w14:textId="77777777" w:rsidR="006C686E" w:rsidRDefault="00B17E8C">
            <w:pPr>
              <w:pStyle w:val="P68B1DB1-Normal26"/>
              <w:spacing w:after="0" w:line="240" w:lineRule="auto"/>
              <w:jc w:val="both"/>
              <w:rPr>
                <w:noProof/>
              </w:rPr>
            </w:pPr>
            <w:r>
              <w:rPr>
                <w:noProof/>
              </w:rPr>
              <w:t>Augmenter la capacité installée pour produire de l'électricité à partir de sources renouvelables sur l'île de Corvo grâce à l'installation d'un parc photovoltaïque et d'un parc éolien.</w:t>
            </w:r>
          </w:p>
        </w:tc>
      </w:tr>
      <w:tr w:rsidR="006C686E" w14:paraId="4CAE8368" w14:textId="77777777" w:rsidTr="00A66BC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8CF001" w14:textId="49174A75" w:rsidR="006C686E" w:rsidRDefault="00B17E8C">
            <w:pPr>
              <w:pStyle w:val="P68B1DB1-Normal25"/>
              <w:spacing w:after="0" w:line="240" w:lineRule="auto"/>
              <w:jc w:val="center"/>
              <w:rPr>
                <w:noProof/>
              </w:rPr>
            </w:pPr>
            <w:r>
              <w:rPr>
                <w:noProof/>
              </w:rPr>
              <w:t>14.14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E016BA" w14:textId="77777777" w:rsidR="006C686E" w:rsidRDefault="00B17E8C">
            <w:pPr>
              <w:pStyle w:val="P68B1DB1-Normal26"/>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D4B888" w14:textId="77777777" w:rsidR="006C686E" w:rsidRDefault="00B17E8C">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B826E1" w14:textId="77777777" w:rsidR="006C686E" w:rsidRDefault="00B17E8C">
            <w:pPr>
              <w:pStyle w:val="P68B1DB1-Normal26"/>
              <w:spacing w:after="0" w:line="240" w:lineRule="auto"/>
              <w:jc w:val="center"/>
              <w:rPr>
                <w:noProof/>
              </w:rPr>
            </w:pPr>
            <w:r>
              <w:rPr>
                <w:noProof/>
              </w:rPr>
              <w:t>Installation d'unités photovoltaïques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847C1" w14:textId="77777777" w:rsidR="006C686E" w:rsidRDefault="00B17E8C">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A56B91" w14:textId="2F540FD3" w:rsidR="006C686E" w:rsidRDefault="00B17E8C">
            <w:pPr>
              <w:pStyle w:val="P68B1DB1-Normal26"/>
              <w:spacing w:after="0" w:line="240" w:lineRule="auto"/>
              <w:jc w:val="center"/>
              <w:rPr>
                <w:noProof/>
              </w:rPr>
            </w:pPr>
            <w:r>
              <w:rPr>
                <w:noProof/>
              </w:rPr>
              <w:t>MW/MWp</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1C52D8" w14:textId="77777777" w:rsidR="006C686E" w:rsidRDefault="00B17E8C">
            <w:pPr>
              <w:pStyle w:val="P68B1DB1-Normal26"/>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A31904" w14:textId="77777777" w:rsidR="006C686E" w:rsidRDefault="00B17E8C">
            <w:pPr>
              <w:pStyle w:val="P68B1DB1-Normal26"/>
              <w:spacing w:after="0" w:line="240" w:lineRule="auto"/>
              <w:jc w:val="center"/>
              <w:rPr>
                <w:noProof/>
              </w:rPr>
            </w:pPr>
            <w:r>
              <w:rPr>
                <w:noProof/>
              </w:rPr>
              <w:t>38,2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035B56" w14:textId="77777777" w:rsidR="006C686E" w:rsidRDefault="00B17E8C">
            <w:pPr>
              <w:pStyle w:val="P68B1DB1-Normal26"/>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D3C484" w14:textId="77777777" w:rsidR="006C686E" w:rsidRDefault="00B17E8C">
            <w:pPr>
              <w:pStyle w:val="P68B1DB1-Normal26"/>
              <w:spacing w:after="0" w:line="240" w:lineRule="auto"/>
              <w:jc w:val="center"/>
              <w:rPr>
                <w:noProof/>
              </w:rPr>
            </w:pPr>
            <w:r>
              <w:rPr>
                <w:noProof/>
              </w:rPr>
              <w:t>2026</w:t>
            </w:r>
          </w:p>
        </w:tc>
        <w:tc>
          <w:tcPr>
            <w:tcW w:w="365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26C05D" w14:textId="756FC43F" w:rsidR="006C686E" w:rsidRDefault="00B17E8C">
            <w:pPr>
              <w:pStyle w:val="P68B1DB1-Normal26"/>
              <w:spacing w:after="0" w:line="240" w:lineRule="auto"/>
              <w:jc w:val="both"/>
              <w:rPr>
                <w:noProof/>
              </w:rPr>
            </w:pPr>
            <w:r>
              <w:rPr>
                <w:noProof/>
              </w:rPr>
              <w:t>Installation d'unités photovoltaïques.</w:t>
            </w:r>
          </w:p>
        </w:tc>
      </w:tr>
    </w:tbl>
    <w:p w14:paraId="5DF3FB88" w14:textId="77777777" w:rsidR="006C686E" w:rsidRDefault="006C686E">
      <w:pPr>
        <w:keepNext/>
        <w:spacing w:before="40" w:after="0"/>
        <w:ind w:left="130" w:firstLine="720"/>
        <w:jc w:val="both"/>
        <w:outlineLvl w:val="1"/>
        <w:rPr>
          <w:rFonts w:ascii="Times New Roman" w:eastAsia="Calibri" w:hAnsi="Times New Roman" w:cs="Times New Roman"/>
          <w:b/>
          <w:noProof/>
          <w:kern w:val="0"/>
          <w:u w:val="single"/>
          <w14:ligatures w14:val="none"/>
        </w:rPr>
        <w:sectPr w:rsidR="006C686E" w:rsidSect="00C95E00">
          <w:headerReference w:type="even" r:id="rId274"/>
          <w:headerReference w:type="default" r:id="rId275"/>
          <w:footerReference w:type="even" r:id="rId276"/>
          <w:footerReference w:type="default" r:id="rId277"/>
          <w:headerReference w:type="first" r:id="rId278"/>
          <w:footerReference w:type="first" r:id="rId279"/>
          <w:pgSz w:w="16839" w:h="11907" w:orient="landscape"/>
          <w:pgMar w:top="1134" w:right="1134" w:bottom="1134" w:left="1134" w:header="567" w:footer="567" w:gutter="0"/>
          <w:cols w:space="720"/>
          <w:docGrid w:linePitch="360"/>
        </w:sectPr>
      </w:pPr>
    </w:p>
    <w:bookmarkEnd w:id="18"/>
    <w:p w14:paraId="0E3CEAE6" w14:textId="77777777" w:rsidR="006C686E" w:rsidRDefault="00B17E8C">
      <w:pPr>
        <w:pStyle w:val="P68B1DB1-Normal1"/>
        <w:keepNext/>
        <w:spacing w:before="40" w:after="0"/>
        <w:ind w:left="130" w:firstLine="720"/>
        <w:jc w:val="both"/>
        <w:outlineLvl w:val="1"/>
        <w:rPr>
          <w:rFonts w:eastAsia="Times New Roman"/>
          <w:smallCaps/>
          <w:noProof/>
        </w:rPr>
      </w:pPr>
      <w:r>
        <w:rPr>
          <w:noProof/>
        </w:rPr>
        <w:t>O</w:t>
      </w:r>
      <w:r>
        <w:rPr>
          <w:smallCaps/>
          <w:noProof/>
        </w:rPr>
        <w:t xml:space="preserve">. </w:t>
      </w:r>
      <w:r>
        <w:rPr>
          <w:noProof/>
        </w:rPr>
        <w:t>COMPOSANT</w:t>
      </w:r>
      <w:r>
        <w:rPr>
          <w:smallCaps/>
          <w:noProof/>
        </w:rPr>
        <w:t xml:space="preserve"> 1</w:t>
      </w:r>
      <w:r>
        <w:rPr>
          <w:noProof/>
        </w:rPr>
        <w:t xml:space="preserve"> 5</w:t>
      </w:r>
      <w:r>
        <w:rPr>
          <w:smallCaps/>
          <w:noProof/>
        </w:rPr>
        <w:t>:</w:t>
      </w:r>
      <w:r>
        <w:rPr>
          <w:noProof/>
        </w:rPr>
        <w:t xml:space="preserve"> Mobilité durable </w:t>
      </w:r>
    </w:p>
    <w:p w14:paraId="520C36C5" w14:textId="77777777" w:rsidR="006C686E" w:rsidRDefault="00B17E8C">
      <w:pPr>
        <w:pStyle w:val="P68B1DB1-Normal4"/>
        <w:spacing w:before="40" w:after="0"/>
        <w:jc w:val="both"/>
        <w:rPr>
          <w:rFonts w:eastAsia="Times New Roman"/>
          <w:noProof/>
        </w:rPr>
      </w:pPr>
      <w:r>
        <w:rPr>
          <w:noProof/>
        </w:rPr>
        <w:t>Ce volet du plan portugais pour la reprise et la résilience répond à plusieurs défis du secteur des transports: la nécessité de réduire les émissions de gaz à effet de serre et de polluants, la nécessité de réduire la dépendance à l’égard d’une voiture particulière et la nécessité de garantir une meilleure cohésion sociale dans les zones urbaines.</w:t>
      </w:r>
    </w:p>
    <w:p w14:paraId="399E0CC4" w14:textId="40105FCD" w:rsidR="006C686E" w:rsidRDefault="00B17E8C">
      <w:pPr>
        <w:pStyle w:val="P68B1DB1-Normal4"/>
        <w:spacing w:before="40" w:after="0"/>
        <w:jc w:val="both"/>
        <w:rPr>
          <w:rFonts w:eastAsia="Times New Roman"/>
          <w:noProof/>
        </w:rPr>
      </w:pPr>
      <w:r>
        <w:rPr>
          <w:noProof/>
        </w:rPr>
        <w:t xml:space="preserve">L'objectif de ce volet est de réduire les émissions et d'améliorer les transports publics en élargissant le réseau, en le rendant plus accessible et en renforçant les capacités de planification des transports publics. Cela devrait conduire à un plus grand nombre d’utilisateurs des transports publics, encourager le transfert modal de la voiture privée vers les transports publics et promouvoir de meilleures capacités de gestion et de planification des transports. À cette fin, ce volet consiste en des réformes et des investissements qui promeuvent les transports publics durables grâce à l’extension du métro de Porto, à un système de transport rapide par autobus à Porto et à l’achat d’autobus à émissions nulles pour les transports publics. </w:t>
      </w:r>
    </w:p>
    <w:p w14:paraId="7F5C95F0" w14:textId="77777777" w:rsidR="006C686E" w:rsidRDefault="00B17E8C">
      <w:pPr>
        <w:pStyle w:val="P68B1DB1-Normal4"/>
        <w:spacing w:before="40" w:after="0"/>
        <w:jc w:val="both"/>
        <w:rPr>
          <w:rFonts w:eastAsia="Times New Roman"/>
          <w:noProof/>
        </w:rPr>
      </w:pPr>
      <w:r>
        <w:rPr>
          <w:noProof/>
        </w:rPr>
        <w:t>Ce volet contribue à la mise en œuvre de la recommandation par pays visant à concentrer les investissements sur la transition écologique (recommandation par pays no 3 de 2020).</w:t>
      </w:r>
    </w:p>
    <w:p w14:paraId="1DF1171E" w14:textId="77777777" w:rsidR="006C686E" w:rsidRDefault="00B17E8C">
      <w:pPr>
        <w:pStyle w:val="P68B1DB1-Normal4"/>
        <w:spacing w:before="40" w:after="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4510A859" w14:textId="77777777" w:rsidR="006C686E" w:rsidRDefault="006C686E">
      <w:pPr>
        <w:spacing w:before="40" w:after="0"/>
        <w:jc w:val="both"/>
        <w:rPr>
          <w:rFonts w:ascii="Times New Roman" w:eastAsia="Times New Roman" w:hAnsi="Times New Roman" w:cs="Times New Roman"/>
          <w:noProof/>
          <w:kern w:val="0"/>
          <w:szCs w:val="26"/>
          <w14:ligatures w14:val="none"/>
        </w:rPr>
      </w:pPr>
    </w:p>
    <w:p w14:paraId="2B173EFE" w14:textId="77777777" w:rsidR="006C686E" w:rsidRDefault="00B17E8C">
      <w:pPr>
        <w:pStyle w:val="P68B1DB1-Normal1"/>
        <w:spacing w:before="40" w:after="0"/>
        <w:ind w:left="130" w:firstLine="720"/>
        <w:jc w:val="both"/>
        <w:outlineLvl w:val="1"/>
        <w:rPr>
          <w:rFonts w:eastAsia="Times New Roman"/>
          <w:i/>
          <w:noProof/>
        </w:rPr>
      </w:pPr>
      <w:r>
        <w:rPr>
          <w:noProof/>
        </w:rPr>
        <w:t xml:space="preserve">O.1. </w:t>
      </w:r>
      <w:r>
        <w:rPr>
          <w:noProof/>
        </w:rPr>
        <w:tab/>
        <w:t>Description des réformes et des investissements pour le soutien financier non remboursable</w:t>
      </w:r>
    </w:p>
    <w:p w14:paraId="35D855E3" w14:textId="77777777" w:rsidR="006C686E" w:rsidRDefault="00B17E8C">
      <w:pPr>
        <w:pStyle w:val="P68B1DB1-Normal5"/>
        <w:spacing w:before="240" w:after="0"/>
        <w:ind w:left="851"/>
        <w:jc w:val="both"/>
        <w:outlineLvl w:val="2"/>
        <w:rPr>
          <w:rFonts w:eastAsia="Times New Roman"/>
          <w:noProof/>
        </w:rPr>
      </w:pPr>
      <w:r>
        <w:rPr>
          <w:noProof/>
        </w:rPr>
        <w:t xml:space="preserve">Réforme TC-r30: Réforme de l'écosystème des transports </w:t>
      </w:r>
    </w:p>
    <w:p w14:paraId="4763C779" w14:textId="77777777" w:rsidR="006C686E" w:rsidRDefault="00B17E8C">
      <w:pPr>
        <w:pStyle w:val="P68B1DB1-Normal4"/>
        <w:spacing w:before="40" w:after="0"/>
        <w:jc w:val="both"/>
        <w:rPr>
          <w:rFonts w:eastAsia="Times New Roman"/>
          <w:noProof/>
        </w:rPr>
      </w:pPr>
      <w:r>
        <w:rPr>
          <w:noProof/>
        </w:rPr>
        <w:t>L’objectif de la réforme est de renforcer les autorités chargées des transports publics, leurs capacités et leurs compétences et, partant, d’accroître leur capacité à mieux planifier les systèmes de transport qu’elles gèrent et à améliorer l’utilisation des transports publics. La réforme soutiendra les autorités de gestion des transports dans toutes les zones métropolitaines (AM) et les communautés intercommunales (CIM). Elle améliore les conditions d’accès aux transports publics par la mise en œuvre de programmes de réduction des tarifs (Programa</w:t>
      </w:r>
      <w:r>
        <w:rPr>
          <w:i/>
          <w:noProof/>
        </w:rPr>
        <w:t xml:space="preserve"> de Apoio à Redução do Tarifário dos Transportes Públicos,</w:t>
      </w:r>
      <w:r>
        <w:rPr>
          <w:noProof/>
        </w:rPr>
        <w:t xml:space="preserve"> PART) et</w:t>
      </w:r>
      <w:r>
        <w:rPr>
          <w:i/>
          <w:noProof/>
        </w:rPr>
        <w:t xml:space="preserve"> de services de transport de meilleure qualité et plus respectueux du climat (Programa de Apoio à Densificação e Reforço da Oferta de Transporte Público,</w:t>
      </w:r>
      <w:r>
        <w:rPr>
          <w:noProof/>
        </w:rPr>
        <w:t xml:space="preserve"> PROTransP) en adoptant une législation et en mettant en œuvre des mesures fiscales en faveur des usagers des transports publics, telles que la déduction fiscale de la taxe sur la valeur ajoutée associée à l’achat de titres de transport publics mensuels.</w:t>
      </w:r>
    </w:p>
    <w:p w14:paraId="59E836E9" w14:textId="12C15155" w:rsidR="006C686E" w:rsidRDefault="00B17E8C">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décembre 2023.</w:t>
      </w:r>
    </w:p>
    <w:p w14:paraId="5DBFD504" w14:textId="77777777" w:rsidR="006C686E" w:rsidRDefault="00B17E8C">
      <w:pPr>
        <w:pStyle w:val="P68B1DB1-Normal5"/>
        <w:keepNext/>
        <w:spacing w:before="240" w:after="0"/>
        <w:ind w:left="851"/>
        <w:jc w:val="both"/>
        <w:outlineLvl w:val="2"/>
        <w:rPr>
          <w:noProof/>
        </w:rPr>
      </w:pPr>
      <w:r>
        <w:rPr>
          <w:noProof/>
        </w:rPr>
        <w:t>Investissement TC-C15-i02: Extension du réseau de métro de Porto — Casa da Música-Santo Ovídio, phase de passation de marchés</w:t>
      </w:r>
    </w:p>
    <w:p w14:paraId="235BE7B3" w14:textId="77777777" w:rsidR="006C686E" w:rsidRDefault="00B17E8C">
      <w:pPr>
        <w:pStyle w:val="P68B1DB1-Normal4"/>
        <w:keepNext/>
        <w:spacing w:before="40" w:after="0"/>
        <w:jc w:val="both"/>
        <w:rPr>
          <w:rFonts w:eastAsia="Times New Roman"/>
          <w:noProof/>
        </w:rPr>
      </w:pPr>
      <w:r>
        <w:rPr>
          <w:noProof/>
        </w:rPr>
        <w:t>L’objectif de la mesure est d’accroître l’attractivité des transports publics à Porto et d’attirer davantage d’utilisateurs. Il vise à étendre la couverture territoriale du réseau de métro et à résoudre les problèmes de congestion de l’axe Porto – Vila Nova de Gaia.</w:t>
      </w:r>
    </w:p>
    <w:p w14:paraId="17D4916D" w14:textId="77777777" w:rsidR="006C686E" w:rsidRDefault="00B17E8C">
      <w:pPr>
        <w:pStyle w:val="P68B1DB1-Normal4"/>
        <w:keepNext/>
        <w:spacing w:before="40" w:after="0"/>
        <w:jc w:val="both"/>
        <w:rPr>
          <w:noProof/>
        </w:rPr>
      </w:pPr>
      <w:r>
        <w:rPr>
          <w:noProof/>
        </w:rPr>
        <w:t>L’investissement consistera en une extension du réseau de métro à Porto par la construction d’une nouvelle ligne à double voie de 6,74 km avec 8 nouvelles stations entre Boavista/Casa da Música à Porto et une nouvelle station à construire à Santo Ovídio (interface avec la ligne Amarela) à Vila Nova de Gaia.</w:t>
      </w:r>
    </w:p>
    <w:p w14:paraId="50DBBC71" w14:textId="77777777" w:rsidR="006C686E" w:rsidRDefault="00B17E8C">
      <w:pPr>
        <w:pStyle w:val="P68B1DB1-Normal5"/>
        <w:keepNext/>
        <w:spacing w:before="240" w:after="0"/>
        <w:ind w:left="851"/>
        <w:jc w:val="both"/>
        <w:outlineLvl w:val="2"/>
        <w:rPr>
          <w:rFonts w:eastAsia="Times New Roman"/>
          <w:noProof/>
        </w:rPr>
      </w:pPr>
      <w:r>
        <w:rPr>
          <w:noProof/>
        </w:rPr>
        <w:t xml:space="preserve">Investissement TC-C15-i04: Bus Rapid Transit Boavista – Império </w:t>
      </w:r>
    </w:p>
    <w:p w14:paraId="18D91D96" w14:textId="77777777" w:rsidR="006C686E" w:rsidRDefault="00B17E8C">
      <w:pPr>
        <w:pStyle w:val="P68B1DB1-Normal4"/>
        <w:keepNext/>
        <w:spacing w:before="40" w:after="0"/>
        <w:jc w:val="both"/>
        <w:rPr>
          <w:rFonts w:eastAsia="Times New Roman"/>
          <w:noProof/>
        </w:rPr>
      </w:pPr>
      <w:r>
        <w:rPr>
          <w:noProof/>
        </w:rPr>
        <w:t xml:space="preserve">L’objectif de la mesure est d’accroître l’attractivité des transports publics à Porto. </w:t>
      </w:r>
    </w:p>
    <w:p w14:paraId="5C50B17F" w14:textId="77777777" w:rsidR="006C686E" w:rsidRDefault="00B17E8C">
      <w:pPr>
        <w:pStyle w:val="P68B1DB1-Normal4"/>
        <w:keepNext/>
        <w:spacing w:before="40" w:after="0"/>
        <w:jc w:val="both"/>
        <w:rPr>
          <w:rFonts w:eastAsia="Times New Roman"/>
          <w:noProof/>
        </w:rPr>
      </w:pPr>
      <w:r>
        <w:rPr>
          <w:noProof/>
        </w:rPr>
        <w:t>Cet investissement consiste en un nouveau système de transport rapide par autobus entre la Praça do Império et la Praça Mouzinho de Albuquerque à Porto.</w:t>
      </w:r>
    </w:p>
    <w:p w14:paraId="1EB64335" w14:textId="77777777" w:rsidR="006C686E" w:rsidRDefault="00B17E8C">
      <w:pPr>
        <w:pStyle w:val="P68B1DB1-Normal5"/>
        <w:keepNext/>
        <w:spacing w:before="240" w:after="0"/>
        <w:ind w:left="851"/>
        <w:jc w:val="both"/>
        <w:outlineLvl w:val="2"/>
        <w:rPr>
          <w:rFonts w:eastAsia="Times New Roman"/>
          <w:noProof/>
        </w:rPr>
      </w:pPr>
      <w:r>
        <w:rPr>
          <w:noProof/>
        </w:rPr>
        <w:t>Investissement TC-C15-i05: Décarbonation des transports publics</w:t>
      </w:r>
    </w:p>
    <w:p w14:paraId="513D1B93" w14:textId="77777777" w:rsidR="006C686E" w:rsidRDefault="00B17E8C">
      <w:pPr>
        <w:pStyle w:val="P68B1DB1-Normal4"/>
        <w:keepNext/>
        <w:spacing w:before="40" w:after="0"/>
        <w:jc w:val="both"/>
        <w:rPr>
          <w:rFonts w:eastAsia="Times New Roman"/>
          <w:noProof/>
        </w:rPr>
      </w:pPr>
      <w:r>
        <w:rPr>
          <w:noProof/>
        </w:rPr>
        <w:t xml:space="preserve">L’objectif de la mesure est de renouveler et de décarboner la flotte de transports publics au Portugal grâce à la mise à disposition d’autobus à émissions nulles. </w:t>
      </w:r>
    </w:p>
    <w:p w14:paraId="3057AFA5" w14:textId="77777777" w:rsidR="006C686E" w:rsidRDefault="00B17E8C">
      <w:pPr>
        <w:pStyle w:val="P68B1DB1-Normal4"/>
        <w:keepNext/>
        <w:spacing w:before="40" w:after="0"/>
        <w:jc w:val="both"/>
        <w:rPr>
          <w:rFonts w:eastAsia="Times New Roman"/>
          <w:noProof/>
        </w:rPr>
      </w:pPr>
      <w:r>
        <w:rPr>
          <w:noProof/>
        </w:rPr>
        <w:t xml:space="preserve">L’investissement consiste en un soutien financier à l’achat de 145 bus à émissions nulles (électriques ou à hydrogène) pour les transports publics et les infrastructures de recharge pour leur exploitation. L’aide est fournie sous la forme d’une subvention non remboursable de la différence entre les coûts d’achat d’un bus à émissions nulles (électrique ou à hydrogène) et d’un véhicule équivalent diesel (EURO VI). Les autobus sont utilisés pour la fourniture de services publics de transport de voyageurs dans le cadre de contrats de service public dans les zones métropolitaines de Lisbonne et de Porto. </w:t>
      </w:r>
    </w:p>
    <w:p w14:paraId="2EFA0D3B" w14:textId="1AB34790" w:rsidR="006C686E" w:rsidRDefault="00B17E8C">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l’investissement est achevée au plus tard le 31 décembre 2023.</w:t>
      </w:r>
    </w:p>
    <w:p w14:paraId="49DA646E" w14:textId="77777777" w:rsidR="006C686E" w:rsidRDefault="00B17E8C">
      <w:pPr>
        <w:pStyle w:val="P68B1DB1-Normal5"/>
        <w:keepNext/>
        <w:spacing w:before="240" w:after="0"/>
        <w:ind w:left="851"/>
        <w:jc w:val="both"/>
        <w:outlineLvl w:val="2"/>
        <w:rPr>
          <w:rFonts w:eastAsia="Times New Roman"/>
          <w:noProof/>
        </w:rPr>
      </w:pPr>
      <w:r>
        <w:rPr>
          <w:noProof/>
        </w:rPr>
        <w:t>Investissement TC-C15-i06: Numérisation du transport ferroviaire</w:t>
      </w:r>
    </w:p>
    <w:p w14:paraId="5A4B9B30" w14:textId="3C5AEA7D" w:rsidR="006C686E" w:rsidRDefault="00B17E8C">
      <w:pPr>
        <w:pStyle w:val="P68B1DB1-Normal3"/>
        <w:spacing w:after="0" w:line="240" w:lineRule="auto"/>
        <w:jc w:val="both"/>
        <w:rPr>
          <w:noProof/>
          <w:kern w:val="0"/>
          <w14:ligatures w14:val="none"/>
        </w:rPr>
      </w:pPr>
      <w:r>
        <w:rPr>
          <w:noProof/>
          <w:kern w:val="0"/>
          <w14:ligatures w14:val="none"/>
        </w:rPr>
        <w:t xml:space="preserve">L'objectif </w:t>
      </w:r>
      <w:r>
        <w:rPr>
          <w:noProof/>
        </w:rPr>
        <w:t xml:space="preserve"> </w:t>
      </w:r>
      <w:r>
        <w:rPr>
          <w:noProof/>
          <w:kern w:val="0"/>
          <w14:ligatures w14:val="none"/>
        </w:rPr>
        <w:t xml:space="preserve">de cet investissement est de rendre la ligne nord du réseau ferroviaire national (RFN) compatible avec la nouvelle ligne ferroviaire à grande vitesse (LAV). L'investissement consiste </w:t>
      </w:r>
      <w:r>
        <w:rPr>
          <w:noProof/>
        </w:rPr>
        <w:t>en</w:t>
      </w:r>
      <w:r>
        <w:rPr>
          <w:noProof/>
          <w:kern w:val="0"/>
          <w14:ligatures w14:val="none"/>
        </w:rPr>
        <w:t xml:space="preserve"> l'installation de systèmes de signalisation électronique,</w:t>
      </w:r>
      <w:r>
        <w:rPr>
          <w:noProof/>
        </w:rPr>
        <w:t xml:space="preserve"> </w:t>
      </w:r>
      <w:r>
        <w:rPr>
          <w:noProof/>
          <w:kern w:val="0"/>
          <w14:ligatures w14:val="none"/>
        </w:rPr>
        <w:t xml:space="preserve"> la </w:t>
      </w:r>
      <w:r>
        <w:rPr>
          <w:noProof/>
        </w:rPr>
        <w:t xml:space="preserve">construction d'un </w:t>
      </w:r>
      <w:r>
        <w:rPr>
          <w:noProof/>
          <w:kern w:val="0"/>
          <w14:ligatures w14:val="none"/>
        </w:rPr>
        <w:t>module de transmission spécifique (STM)</w:t>
      </w:r>
      <w:r>
        <w:rPr>
          <w:noProof/>
        </w:rPr>
        <w:t xml:space="preserve"> et l'achat d'équipements, de services ou de travaux de construction.</w:t>
      </w:r>
    </w:p>
    <w:p w14:paraId="218D685D" w14:textId="77777777" w:rsidR="006C686E" w:rsidRDefault="006C686E">
      <w:pPr>
        <w:spacing w:before="40" w:after="0"/>
        <w:jc w:val="both"/>
        <w:rPr>
          <w:rFonts w:ascii="Times New Roman" w:eastAsia="Calibri" w:hAnsi="Times New Roman" w:cs="Times New Roman"/>
          <w:noProof/>
          <w:kern w:val="0"/>
          <w14:ligatures w14:val="none"/>
        </w:rPr>
      </w:pPr>
    </w:p>
    <w:p w14:paraId="48E98F27" w14:textId="77777777" w:rsidR="006C686E" w:rsidRDefault="006C686E">
      <w:pPr>
        <w:spacing w:before="40" w:after="0"/>
        <w:jc w:val="both"/>
        <w:rPr>
          <w:rFonts w:ascii="Times New Roman" w:eastAsia="Calibri" w:hAnsi="Times New Roman" w:cs="Times New Roman"/>
          <w:noProof/>
          <w:kern w:val="0"/>
          <w14:ligatures w14:val="none"/>
        </w:rPr>
        <w:sectPr w:rsidR="006C686E" w:rsidSect="00C95E00">
          <w:headerReference w:type="even" r:id="rId280"/>
          <w:headerReference w:type="default" r:id="rId281"/>
          <w:footerReference w:type="even" r:id="rId282"/>
          <w:footerReference w:type="default" r:id="rId283"/>
          <w:headerReference w:type="first" r:id="rId284"/>
          <w:footerReference w:type="first" r:id="rId285"/>
          <w:pgSz w:w="11907" w:h="16839"/>
          <w:pgMar w:top="1134" w:right="1134" w:bottom="1134" w:left="1134" w:header="567" w:footer="567" w:gutter="0"/>
          <w:cols w:space="720"/>
          <w:docGrid w:linePitch="360"/>
        </w:sectPr>
      </w:pPr>
    </w:p>
    <w:p w14:paraId="15075D1C" w14:textId="77777777" w:rsidR="006C686E" w:rsidRDefault="00B17E8C">
      <w:pPr>
        <w:pStyle w:val="P68B1DB1-Normal1"/>
        <w:keepNext/>
        <w:spacing w:before="40" w:after="0"/>
        <w:ind w:left="130" w:firstLine="12"/>
        <w:jc w:val="center"/>
        <w:outlineLvl w:val="1"/>
        <w:rPr>
          <w:rFonts w:eastAsia="Times New Roman"/>
          <w:noProof/>
        </w:rPr>
      </w:pPr>
      <w:r>
        <w:rPr>
          <w:noProof/>
        </w:rPr>
        <w:t xml:space="preserve">O.2. </w:t>
      </w:r>
      <w:r>
        <w:rPr>
          <w:noProof/>
        </w:rPr>
        <w:tab/>
        <w:t>Étapes, cibles, indicateurs et calendrier pour le suivi et la mise en œuvre du soutien financier non remboursable</w:t>
      </w:r>
    </w:p>
    <w:tbl>
      <w:tblPr>
        <w:tblW w:w="151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446"/>
        <w:gridCol w:w="1418"/>
        <w:gridCol w:w="708"/>
        <w:gridCol w:w="1956"/>
        <w:gridCol w:w="993"/>
        <w:gridCol w:w="992"/>
        <w:gridCol w:w="879"/>
        <w:gridCol w:w="397"/>
        <w:gridCol w:w="879"/>
        <w:gridCol w:w="4224"/>
      </w:tblGrid>
      <w:tr w:rsidR="006C686E" w14:paraId="38808703" w14:textId="77777777" w:rsidTr="00A66BC8">
        <w:trPr>
          <w:trHeight w:val="910"/>
          <w:tblHeader/>
        </w:trPr>
        <w:tc>
          <w:tcPr>
            <w:tcW w:w="1248" w:type="dxa"/>
            <w:vMerge w:val="restart"/>
            <w:shd w:val="clear" w:color="auto" w:fill="BDD6EE"/>
            <w:vAlign w:val="center"/>
            <w:hideMark/>
          </w:tcPr>
          <w:p w14:paraId="49DFCF25" w14:textId="77777777" w:rsidR="006C686E" w:rsidRDefault="00B17E8C">
            <w:pPr>
              <w:pStyle w:val="P68B1DB1-Normal9"/>
              <w:spacing w:after="0" w:line="240" w:lineRule="auto"/>
              <w:jc w:val="center"/>
              <w:rPr>
                <w:rFonts w:eastAsia="Times New Roman"/>
                <w:noProof/>
              </w:rPr>
            </w:pPr>
            <w:r>
              <w:rPr>
                <w:noProof/>
              </w:rPr>
              <w:t>Numéro séquentiel</w:t>
            </w:r>
          </w:p>
        </w:tc>
        <w:tc>
          <w:tcPr>
            <w:tcW w:w="1446" w:type="dxa"/>
            <w:vMerge w:val="restart"/>
            <w:shd w:val="clear" w:color="auto" w:fill="BDD6EE"/>
            <w:vAlign w:val="center"/>
            <w:hideMark/>
          </w:tcPr>
          <w:p w14:paraId="2A1AA638"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418" w:type="dxa"/>
            <w:vMerge w:val="restart"/>
            <w:shd w:val="clear" w:color="auto" w:fill="BDD6EE"/>
            <w:vAlign w:val="center"/>
            <w:hideMark/>
          </w:tcPr>
          <w:p w14:paraId="5B677BC6" w14:textId="77777777" w:rsidR="006C686E" w:rsidRDefault="00B17E8C">
            <w:pPr>
              <w:pStyle w:val="P68B1DB1-Normal9"/>
              <w:spacing w:after="0" w:line="240" w:lineRule="auto"/>
              <w:jc w:val="center"/>
              <w:rPr>
                <w:rFonts w:eastAsia="Times New Roman"/>
                <w:noProof/>
              </w:rPr>
            </w:pPr>
            <w:r>
              <w:rPr>
                <w:noProof/>
              </w:rPr>
              <w:t>Étape/objectif</w:t>
            </w:r>
          </w:p>
        </w:tc>
        <w:tc>
          <w:tcPr>
            <w:tcW w:w="708" w:type="dxa"/>
            <w:vMerge w:val="restart"/>
            <w:shd w:val="clear" w:color="auto" w:fill="BDD6EE"/>
            <w:vAlign w:val="center"/>
            <w:hideMark/>
          </w:tcPr>
          <w:p w14:paraId="2C043512" w14:textId="77777777" w:rsidR="006C686E" w:rsidRDefault="00B17E8C">
            <w:pPr>
              <w:pStyle w:val="P68B1DB1-Normal9"/>
              <w:spacing w:after="0" w:line="240" w:lineRule="auto"/>
              <w:jc w:val="center"/>
              <w:rPr>
                <w:rFonts w:eastAsia="Times New Roman"/>
                <w:noProof/>
              </w:rPr>
            </w:pPr>
            <w:r>
              <w:rPr>
                <w:noProof/>
              </w:rPr>
              <w:t>Nom</w:t>
            </w:r>
          </w:p>
        </w:tc>
        <w:tc>
          <w:tcPr>
            <w:tcW w:w="1956" w:type="dxa"/>
            <w:vMerge w:val="restart"/>
            <w:shd w:val="clear" w:color="auto" w:fill="BDD6EE"/>
            <w:vAlign w:val="center"/>
            <w:hideMark/>
          </w:tcPr>
          <w:p w14:paraId="3874BAB9"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2864" w:type="dxa"/>
            <w:gridSpan w:val="3"/>
            <w:shd w:val="clear" w:color="auto" w:fill="BDD6EE"/>
            <w:vAlign w:val="center"/>
            <w:hideMark/>
          </w:tcPr>
          <w:p w14:paraId="712C141C"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276" w:type="dxa"/>
            <w:gridSpan w:val="2"/>
            <w:shd w:val="clear" w:color="auto" w:fill="BDD6EE"/>
            <w:vAlign w:val="center"/>
            <w:hideMark/>
          </w:tcPr>
          <w:p w14:paraId="430C6C42"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4224" w:type="dxa"/>
            <w:vMerge w:val="restart"/>
            <w:shd w:val="clear" w:color="auto" w:fill="BDD6EE"/>
            <w:vAlign w:val="center"/>
            <w:hideMark/>
          </w:tcPr>
          <w:p w14:paraId="4EA20401"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35D06FE2" w14:textId="77777777" w:rsidTr="00A66BC8">
        <w:trPr>
          <w:trHeight w:val="470"/>
          <w:tblHeader/>
        </w:trPr>
        <w:tc>
          <w:tcPr>
            <w:tcW w:w="1248" w:type="dxa"/>
            <w:vMerge/>
            <w:vAlign w:val="center"/>
            <w:hideMark/>
          </w:tcPr>
          <w:p w14:paraId="35C8401A"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46" w:type="dxa"/>
            <w:vMerge/>
            <w:vAlign w:val="center"/>
            <w:hideMark/>
          </w:tcPr>
          <w:p w14:paraId="5E500042"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3E26C383"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708" w:type="dxa"/>
            <w:vMerge/>
            <w:vAlign w:val="center"/>
            <w:hideMark/>
          </w:tcPr>
          <w:p w14:paraId="702742C4"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956" w:type="dxa"/>
            <w:vMerge/>
            <w:vAlign w:val="center"/>
            <w:hideMark/>
          </w:tcPr>
          <w:p w14:paraId="2D3952AA"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B25082C" w14:textId="77777777" w:rsidR="006C686E" w:rsidRDefault="00B17E8C">
            <w:pPr>
              <w:pStyle w:val="P68B1DB1-Normal9"/>
              <w:spacing w:after="0" w:line="240" w:lineRule="auto"/>
              <w:jc w:val="center"/>
              <w:rPr>
                <w:rFonts w:eastAsia="Times New Roman"/>
                <w:noProof/>
              </w:rPr>
            </w:pPr>
            <w:r>
              <w:rPr>
                <w:noProof/>
              </w:rPr>
              <w:t>Unité de mesure</w:t>
            </w:r>
          </w:p>
        </w:tc>
        <w:tc>
          <w:tcPr>
            <w:tcW w:w="992" w:type="dxa"/>
            <w:shd w:val="clear" w:color="auto" w:fill="BDD6EE"/>
            <w:vAlign w:val="center"/>
            <w:hideMark/>
          </w:tcPr>
          <w:p w14:paraId="26B72D3E" w14:textId="77777777" w:rsidR="006C686E" w:rsidRDefault="00B17E8C">
            <w:pPr>
              <w:pStyle w:val="P68B1DB1-Normal9"/>
              <w:spacing w:after="0" w:line="240" w:lineRule="auto"/>
              <w:jc w:val="center"/>
              <w:rPr>
                <w:rFonts w:eastAsia="Times New Roman"/>
                <w:noProof/>
              </w:rPr>
            </w:pPr>
            <w:r>
              <w:rPr>
                <w:noProof/>
              </w:rPr>
              <w:t>Données de référence</w:t>
            </w:r>
          </w:p>
        </w:tc>
        <w:tc>
          <w:tcPr>
            <w:tcW w:w="879" w:type="dxa"/>
            <w:shd w:val="clear" w:color="auto" w:fill="BDD6EE"/>
            <w:vAlign w:val="center"/>
            <w:hideMark/>
          </w:tcPr>
          <w:p w14:paraId="5C4F7246" w14:textId="77777777" w:rsidR="006C686E" w:rsidRDefault="00B17E8C">
            <w:pPr>
              <w:pStyle w:val="P68B1DB1-Normal9"/>
              <w:spacing w:after="0" w:line="240" w:lineRule="auto"/>
              <w:jc w:val="center"/>
              <w:rPr>
                <w:rFonts w:eastAsia="Times New Roman"/>
                <w:noProof/>
              </w:rPr>
            </w:pPr>
            <w:r>
              <w:rPr>
                <w:noProof/>
              </w:rPr>
              <w:t>Objectif</w:t>
            </w:r>
          </w:p>
        </w:tc>
        <w:tc>
          <w:tcPr>
            <w:tcW w:w="397" w:type="dxa"/>
            <w:shd w:val="clear" w:color="auto" w:fill="BDD6EE"/>
            <w:vAlign w:val="center"/>
            <w:hideMark/>
          </w:tcPr>
          <w:p w14:paraId="6EDFBD98" w14:textId="77777777" w:rsidR="006C686E" w:rsidRDefault="00B17E8C">
            <w:pPr>
              <w:pStyle w:val="P68B1DB1-Normal9"/>
              <w:spacing w:after="0" w:line="240" w:lineRule="auto"/>
              <w:jc w:val="center"/>
              <w:rPr>
                <w:rFonts w:eastAsia="Times New Roman"/>
                <w:noProof/>
              </w:rPr>
            </w:pPr>
            <w:r>
              <w:rPr>
                <w:noProof/>
              </w:rPr>
              <w:t>Q</w:t>
            </w:r>
          </w:p>
        </w:tc>
        <w:tc>
          <w:tcPr>
            <w:tcW w:w="879" w:type="dxa"/>
            <w:shd w:val="clear" w:color="auto" w:fill="BDD6EE"/>
            <w:vAlign w:val="center"/>
            <w:hideMark/>
          </w:tcPr>
          <w:p w14:paraId="18796C14" w14:textId="77777777" w:rsidR="006C686E" w:rsidRDefault="00B17E8C">
            <w:pPr>
              <w:pStyle w:val="P68B1DB1-Normal9"/>
              <w:spacing w:after="0" w:line="240" w:lineRule="auto"/>
              <w:jc w:val="center"/>
              <w:rPr>
                <w:rFonts w:eastAsia="Times New Roman"/>
                <w:noProof/>
              </w:rPr>
            </w:pPr>
            <w:r>
              <w:rPr>
                <w:noProof/>
              </w:rPr>
              <w:t>Année</w:t>
            </w:r>
          </w:p>
        </w:tc>
        <w:tc>
          <w:tcPr>
            <w:tcW w:w="4224" w:type="dxa"/>
            <w:vMerge/>
            <w:vAlign w:val="center"/>
            <w:hideMark/>
          </w:tcPr>
          <w:p w14:paraId="0533F87C"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0B8E64A2" w14:textId="77777777" w:rsidTr="00A66BC8">
        <w:trPr>
          <w:trHeight w:val="850"/>
        </w:trPr>
        <w:tc>
          <w:tcPr>
            <w:tcW w:w="1248" w:type="dxa"/>
            <w:shd w:val="clear" w:color="auto" w:fill="C4EFCE"/>
            <w:vAlign w:val="center"/>
            <w:hideMark/>
          </w:tcPr>
          <w:p w14:paraId="518D75EF" w14:textId="77777777" w:rsidR="006C686E" w:rsidRDefault="00B17E8C">
            <w:pPr>
              <w:pStyle w:val="P68B1DB1-Normal10"/>
              <w:spacing w:after="0" w:line="240" w:lineRule="auto"/>
              <w:jc w:val="center"/>
              <w:rPr>
                <w:rFonts w:eastAsia="Times New Roman"/>
                <w:bCs/>
                <w:noProof/>
              </w:rPr>
            </w:pPr>
            <w:r>
              <w:rPr>
                <w:noProof/>
              </w:rPr>
              <w:t>15.4</w:t>
            </w:r>
          </w:p>
        </w:tc>
        <w:tc>
          <w:tcPr>
            <w:tcW w:w="1446" w:type="dxa"/>
            <w:shd w:val="clear" w:color="auto" w:fill="C4EFCE"/>
            <w:noWrap/>
            <w:vAlign w:val="center"/>
            <w:hideMark/>
          </w:tcPr>
          <w:p w14:paraId="3AF22C7D" w14:textId="77777777" w:rsidR="006C686E" w:rsidRDefault="00B17E8C">
            <w:pPr>
              <w:pStyle w:val="P68B1DB1-Normal11"/>
              <w:spacing w:after="0" w:line="240" w:lineRule="auto"/>
              <w:jc w:val="center"/>
              <w:rPr>
                <w:rFonts w:eastAsia="Times New Roman"/>
                <w:noProof/>
              </w:rPr>
            </w:pPr>
            <w:r>
              <w:rPr>
                <w:noProof/>
              </w:rPr>
              <w:t>TC-C15-i02</w:t>
            </w:r>
          </w:p>
        </w:tc>
        <w:tc>
          <w:tcPr>
            <w:tcW w:w="1418" w:type="dxa"/>
            <w:shd w:val="clear" w:color="auto" w:fill="C4EFCE"/>
            <w:noWrap/>
            <w:vAlign w:val="center"/>
            <w:hideMark/>
          </w:tcPr>
          <w:p w14:paraId="77A18901" w14:textId="77777777" w:rsidR="006C686E" w:rsidRDefault="00B17E8C">
            <w:pPr>
              <w:pStyle w:val="P68B1DB1-Normal11"/>
              <w:spacing w:after="0" w:line="240" w:lineRule="auto"/>
              <w:jc w:val="center"/>
              <w:rPr>
                <w:rFonts w:eastAsia="Times New Roman"/>
                <w:noProof/>
              </w:rPr>
            </w:pPr>
            <w:r>
              <w:rPr>
                <w:noProof/>
              </w:rPr>
              <w:t>M</w:t>
            </w:r>
          </w:p>
        </w:tc>
        <w:tc>
          <w:tcPr>
            <w:tcW w:w="708" w:type="dxa"/>
            <w:shd w:val="clear" w:color="auto" w:fill="C4EFCE"/>
            <w:noWrap/>
            <w:vAlign w:val="center"/>
            <w:hideMark/>
          </w:tcPr>
          <w:p w14:paraId="0B11E427" w14:textId="77777777" w:rsidR="006C686E" w:rsidRDefault="00B17E8C">
            <w:pPr>
              <w:pStyle w:val="P68B1DB1-Normal11"/>
              <w:spacing w:after="0" w:line="240" w:lineRule="auto"/>
              <w:jc w:val="center"/>
              <w:rPr>
                <w:rFonts w:eastAsia="Times New Roman"/>
                <w:noProof/>
              </w:rPr>
            </w:pPr>
            <w:r>
              <w:rPr>
                <w:noProof/>
              </w:rPr>
              <w:t>Signature du contrat d'extension du réseau de métro de Porto</w:t>
            </w:r>
          </w:p>
        </w:tc>
        <w:tc>
          <w:tcPr>
            <w:tcW w:w="1956" w:type="dxa"/>
            <w:shd w:val="clear" w:color="auto" w:fill="C4EFCE"/>
            <w:noWrap/>
            <w:vAlign w:val="center"/>
            <w:hideMark/>
          </w:tcPr>
          <w:p w14:paraId="486A5827" w14:textId="77777777" w:rsidR="006C686E" w:rsidRDefault="00B17E8C">
            <w:pPr>
              <w:pStyle w:val="P68B1DB1-Normal11"/>
              <w:spacing w:after="0" w:line="240" w:lineRule="auto"/>
              <w:jc w:val="center"/>
              <w:rPr>
                <w:rFonts w:eastAsia="Times New Roman"/>
                <w:noProof/>
              </w:rPr>
            </w:pPr>
            <w:r>
              <w:rPr>
                <w:noProof/>
              </w:rPr>
              <w:t>Signature du contrat d'extension du réseau de métro de Porto</w:t>
            </w:r>
          </w:p>
        </w:tc>
        <w:tc>
          <w:tcPr>
            <w:tcW w:w="993" w:type="dxa"/>
            <w:shd w:val="clear" w:color="auto" w:fill="C4EFCE"/>
            <w:noWrap/>
            <w:vAlign w:val="center"/>
            <w:hideMark/>
          </w:tcPr>
          <w:p w14:paraId="32C49B8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3B90195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shd w:val="clear" w:color="auto" w:fill="C4EFCE"/>
            <w:noWrap/>
            <w:vAlign w:val="center"/>
            <w:hideMark/>
          </w:tcPr>
          <w:p w14:paraId="2229AD8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397" w:type="dxa"/>
            <w:shd w:val="clear" w:color="auto" w:fill="C4EFCE"/>
            <w:noWrap/>
            <w:vAlign w:val="center"/>
            <w:hideMark/>
          </w:tcPr>
          <w:p w14:paraId="33F3A682" w14:textId="77777777" w:rsidR="006C686E" w:rsidRDefault="00B17E8C">
            <w:pPr>
              <w:pStyle w:val="P68B1DB1-Normal11"/>
              <w:spacing w:after="0" w:line="240" w:lineRule="auto"/>
              <w:jc w:val="center"/>
              <w:rPr>
                <w:rFonts w:eastAsia="Times New Roman"/>
                <w:noProof/>
              </w:rPr>
            </w:pPr>
            <w:r>
              <w:rPr>
                <w:noProof/>
              </w:rPr>
              <w:t>T4</w:t>
            </w:r>
          </w:p>
        </w:tc>
        <w:tc>
          <w:tcPr>
            <w:tcW w:w="879" w:type="dxa"/>
            <w:shd w:val="clear" w:color="auto" w:fill="C4EFCE"/>
            <w:noWrap/>
            <w:vAlign w:val="center"/>
            <w:hideMark/>
          </w:tcPr>
          <w:p w14:paraId="25478A1E" w14:textId="77777777" w:rsidR="006C686E" w:rsidRDefault="00B17E8C">
            <w:pPr>
              <w:pStyle w:val="P68B1DB1-Normal11"/>
              <w:spacing w:after="0" w:line="240" w:lineRule="auto"/>
              <w:jc w:val="center"/>
              <w:rPr>
                <w:rFonts w:eastAsia="Times New Roman"/>
                <w:noProof/>
              </w:rPr>
            </w:pPr>
            <w:r>
              <w:rPr>
                <w:noProof/>
              </w:rPr>
              <w:t>2023</w:t>
            </w:r>
          </w:p>
        </w:tc>
        <w:tc>
          <w:tcPr>
            <w:tcW w:w="4224" w:type="dxa"/>
            <w:shd w:val="clear" w:color="auto" w:fill="C4EFCE"/>
            <w:vAlign w:val="center"/>
            <w:hideMark/>
          </w:tcPr>
          <w:p w14:paraId="448A5FEA" w14:textId="77777777" w:rsidR="006C686E" w:rsidRDefault="00B17E8C">
            <w:pPr>
              <w:pStyle w:val="P68B1DB1-Normal11"/>
              <w:spacing w:after="0" w:line="240" w:lineRule="auto"/>
              <w:jc w:val="both"/>
              <w:rPr>
                <w:rFonts w:eastAsia="Times New Roman"/>
                <w:noProof/>
              </w:rPr>
            </w:pPr>
            <w:r>
              <w:rPr>
                <w:noProof/>
              </w:rPr>
              <w:t xml:space="preserve">Signature du contrat de mise en œuvre du projet entre les pouvoirs publics et le contractant sélectionné dans le cadre d’une procédure d’appel d’offres. L'objet du contrat est l'extension du réseau de métro de Porto (Casa da Música-Santo Ovídio). </w:t>
            </w:r>
          </w:p>
        </w:tc>
      </w:tr>
      <w:tr w:rsidR="006C686E" w14:paraId="02450684" w14:textId="77777777" w:rsidTr="00A66BC8">
        <w:trPr>
          <w:trHeight w:val="2052"/>
        </w:trPr>
        <w:tc>
          <w:tcPr>
            <w:tcW w:w="1248" w:type="dxa"/>
            <w:shd w:val="clear" w:color="auto" w:fill="C4EFCE"/>
            <w:vAlign w:val="center"/>
            <w:hideMark/>
          </w:tcPr>
          <w:p w14:paraId="70B75F69" w14:textId="77777777" w:rsidR="006C686E" w:rsidRDefault="00B17E8C">
            <w:pPr>
              <w:pStyle w:val="P68B1DB1-Normal10"/>
              <w:spacing w:after="0" w:line="240" w:lineRule="auto"/>
              <w:jc w:val="center"/>
              <w:rPr>
                <w:rFonts w:eastAsia="Times New Roman"/>
                <w:bCs/>
                <w:noProof/>
              </w:rPr>
            </w:pPr>
            <w:r>
              <w:rPr>
                <w:noProof/>
              </w:rPr>
              <w:t>15.10</w:t>
            </w:r>
          </w:p>
        </w:tc>
        <w:tc>
          <w:tcPr>
            <w:tcW w:w="1446" w:type="dxa"/>
            <w:shd w:val="clear" w:color="auto" w:fill="C4EFCE"/>
            <w:noWrap/>
            <w:vAlign w:val="center"/>
            <w:hideMark/>
          </w:tcPr>
          <w:p w14:paraId="45D420B3" w14:textId="77777777" w:rsidR="006C686E" w:rsidRDefault="00B17E8C">
            <w:pPr>
              <w:pStyle w:val="P68B1DB1-Normal11"/>
              <w:spacing w:after="0" w:line="240" w:lineRule="auto"/>
              <w:jc w:val="center"/>
              <w:rPr>
                <w:rFonts w:eastAsia="Times New Roman"/>
                <w:noProof/>
              </w:rPr>
            </w:pPr>
            <w:r>
              <w:rPr>
                <w:noProof/>
              </w:rPr>
              <w:t>TC-C15-i04</w:t>
            </w:r>
          </w:p>
        </w:tc>
        <w:tc>
          <w:tcPr>
            <w:tcW w:w="1418" w:type="dxa"/>
            <w:shd w:val="clear" w:color="auto" w:fill="C4EFCE"/>
            <w:noWrap/>
            <w:vAlign w:val="center"/>
            <w:hideMark/>
          </w:tcPr>
          <w:p w14:paraId="75F7600C" w14:textId="77777777" w:rsidR="006C686E" w:rsidRDefault="00B17E8C">
            <w:pPr>
              <w:pStyle w:val="P68B1DB1-Normal11"/>
              <w:spacing w:after="0" w:line="240" w:lineRule="auto"/>
              <w:jc w:val="center"/>
              <w:rPr>
                <w:rFonts w:eastAsia="Times New Roman"/>
                <w:noProof/>
              </w:rPr>
            </w:pPr>
            <w:r>
              <w:rPr>
                <w:noProof/>
              </w:rPr>
              <w:t>M</w:t>
            </w:r>
          </w:p>
        </w:tc>
        <w:tc>
          <w:tcPr>
            <w:tcW w:w="708" w:type="dxa"/>
            <w:shd w:val="clear" w:color="auto" w:fill="C4EFCE"/>
            <w:noWrap/>
            <w:vAlign w:val="center"/>
            <w:hideMark/>
          </w:tcPr>
          <w:p w14:paraId="2E2C9137" w14:textId="77777777" w:rsidR="006C686E" w:rsidRDefault="00B17E8C">
            <w:pPr>
              <w:pStyle w:val="P68B1DB1-Normal11"/>
              <w:spacing w:after="0" w:line="240" w:lineRule="auto"/>
              <w:jc w:val="center"/>
              <w:rPr>
                <w:rFonts w:eastAsia="Times New Roman"/>
                <w:noProof/>
              </w:rPr>
            </w:pPr>
            <w:r>
              <w:rPr>
                <w:noProof/>
              </w:rPr>
              <w:t>Signature du contrat pour la construction d'une ligne de Bus Rapid Transit entre la Praça do Império et la Praça Albuquerque Mouzinho à Porto</w:t>
            </w:r>
          </w:p>
        </w:tc>
        <w:tc>
          <w:tcPr>
            <w:tcW w:w="1956" w:type="dxa"/>
            <w:shd w:val="clear" w:color="auto" w:fill="C4EFCE"/>
            <w:noWrap/>
            <w:vAlign w:val="center"/>
            <w:hideMark/>
          </w:tcPr>
          <w:p w14:paraId="7ECBB156" w14:textId="77777777" w:rsidR="006C686E" w:rsidRDefault="00B17E8C">
            <w:pPr>
              <w:pStyle w:val="P68B1DB1-Normal11"/>
              <w:spacing w:after="0" w:line="240" w:lineRule="auto"/>
              <w:jc w:val="center"/>
              <w:rPr>
                <w:rFonts w:eastAsia="Times New Roman"/>
                <w:noProof/>
              </w:rPr>
            </w:pPr>
            <w:r>
              <w:rPr>
                <w:noProof/>
              </w:rPr>
              <w:t>Signature du contrat pour la construction d'une ligne de transport rapide par autobus entre la Praça do Império et la Praça Albuquerque Mouzinho à Porto</w:t>
            </w:r>
          </w:p>
        </w:tc>
        <w:tc>
          <w:tcPr>
            <w:tcW w:w="993" w:type="dxa"/>
            <w:shd w:val="clear" w:color="auto" w:fill="C4EFCE"/>
            <w:noWrap/>
            <w:vAlign w:val="center"/>
            <w:hideMark/>
          </w:tcPr>
          <w:p w14:paraId="675F1F9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474B945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shd w:val="clear" w:color="auto" w:fill="C4EFCE"/>
            <w:noWrap/>
            <w:vAlign w:val="center"/>
            <w:hideMark/>
          </w:tcPr>
          <w:p w14:paraId="39866EB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397" w:type="dxa"/>
            <w:shd w:val="clear" w:color="auto" w:fill="C4EFCE"/>
            <w:noWrap/>
            <w:vAlign w:val="center"/>
            <w:hideMark/>
          </w:tcPr>
          <w:p w14:paraId="755293FC" w14:textId="77777777" w:rsidR="006C686E" w:rsidRDefault="00B17E8C">
            <w:pPr>
              <w:pStyle w:val="P68B1DB1-Normal11"/>
              <w:spacing w:after="0" w:line="240" w:lineRule="auto"/>
              <w:jc w:val="center"/>
              <w:rPr>
                <w:rFonts w:eastAsia="Times New Roman"/>
                <w:noProof/>
              </w:rPr>
            </w:pPr>
            <w:r>
              <w:rPr>
                <w:noProof/>
              </w:rPr>
              <w:t>T1</w:t>
            </w:r>
          </w:p>
        </w:tc>
        <w:tc>
          <w:tcPr>
            <w:tcW w:w="879" w:type="dxa"/>
            <w:shd w:val="clear" w:color="auto" w:fill="C4EFCE"/>
            <w:noWrap/>
            <w:vAlign w:val="center"/>
            <w:hideMark/>
          </w:tcPr>
          <w:p w14:paraId="7C041025" w14:textId="77777777" w:rsidR="006C686E" w:rsidRDefault="00B17E8C">
            <w:pPr>
              <w:pStyle w:val="P68B1DB1-Normal11"/>
              <w:spacing w:after="0" w:line="240" w:lineRule="auto"/>
              <w:jc w:val="center"/>
              <w:rPr>
                <w:rFonts w:eastAsia="Times New Roman"/>
                <w:noProof/>
              </w:rPr>
            </w:pPr>
            <w:r>
              <w:rPr>
                <w:noProof/>
              </w:rPr>
              <w:t>2022</w:t>
            </w:r>
          </w:p>
        </w:tc>
        <w:tc>
          <w:tcPr>
            <w:tcW w:w="4224" w:type="dxa"/>
            <w:shd w:val="clear" w:color="auto" w:fill="C4EFCE"/>
            <w:vAlign w:val="center"/>
            <w:hideMark/>
          </w:tcPr>
          <w:p w14:paraId="42EC6755" w14:textId="77777777" w:rsidR="006C686E" w:rsidRDefault="00B17E8C">
            <w:pPr>
              <w:pStyle w:val="P68B1DB1-Normal11"/>
              <w:spacing w:after="0" w:line="240" w:lineRule="auto"/>
              <w:jc w:val="both"/>
              <w:rPr>
                <w:rFonts w:eastAsia="Times New Roman"/>
                <w:noProof/>
              </w:rPr>
            </w:pPr>
            <w:r>
              <w:rPr>
                <w:noProof/>
              </w:rPr>
              <w:t xml:space="preserve">Signature du contrat de mise en œuvre du projet entre les pouvoirs publics et le contractant sélectionné dans le cadre d’une procédure d’appel d’offres. L'objet du contrat est la construction d'une ligne de bus rapide reliant la Praça do Império à la Praça Albuquerque Mouzinho à Porto. </w:t>
            </w:r>
          </w:p>
        </w:tc>
      </w:tr>
      <w:tr w:rsidR="006C686E" w14:paraId="7C5FF5AF" w14:textId="77777777" w:rsidTr="00A66BC8">
        <w:trPr>
          <w:trHeight w:val="640"/>
        </w:trPr>
        <w:tc>
          <w:tcPr>
            <w:tcW w:w="1248" w:type="dxa"/>
            <w:shd w:val="clear" w:color="auto" w:fill="C4EFCE"/>
            <w:vAlign w:val="center"/>
            <w:hideMark/>
          </w:tcPr>
          <w:p w14:paraId="2D17B93D" w14:textId="77777777" w:rsidR="006C686E" w:rsidRDefault="00B17E8C">
            <w:pPr>
              <w:pStyle w:val="P68B1DB1-Normal10"/>
              <w:spacing w:after="0" w:line="240" w:lineRule="auto"/>
              <w:jc w:val="center"/>
              <w:rPr>
                <w:rFonts w:eastAsia="Times New Roman"/>
                <w:noProof/>
              </w:rPr>
            </w:pPr>
            <w:r>
              <w:rPr>
                <w:noProof/>
              </w:rPr>
              <w:t>15.11</w:t>
            </w:r>
          </w:p>
        </w:tc>
        <w:tc>
          <w:tcPr>
            <w:tcW w:w="1446" w:type="dxa"/>
            <w:shd w:val="clear" w:color="auto" w:fill="C4EFCE"/>
            <w:noWrap/>
            <w:vAlign w:val="center"/>
            <w:hideMark/>
          </w:tcPr>
          <w:p w14:paraId="022A375A" w14:textId="77777777" w:rsidR="006C686E" w:rsidRDefault="00B17E8C">
            <w:pPr>
              <w:pStyle w:val="P68B1DB1-Normal11"/>
              <w:spacing w:after="0" w:line="240" w:lineRule="auto"/>
              <w:jc w:val="center"/>
              <w:rPr>
                <w:rFonts w:eastAsia="Times New Roman"/>
                <w:noProof/>
              </w:rPr>
            </w:pPr>
            <w:r>
              <w:rPr>
                <w:noProof/>
              </w:rPr>
              <w:t>TC-C15-i04</w:t>
            </w:r>
          </w:p>
        </w:tc>
        <w:tc>
          <w:tcPr>
            <w:tcW w:w="1418" w:type="dxa"/>
            <w:shd w:val="clear" w:color="auto" w:fill="C4EFCE"/>
            <w:noWrap/>
            <w:vAlign w:val="center"/>
            <w:hideMark/>
          </w:tcPr>
          <w:p w14:paraId="289A282D" w14:textId="77777777" w:rsidR="006C686E" w:rsidRDefault="00B17E8C">
            <w:pPr>
              <w:pStyle w:val="P68B1DB1-Normal11"/>
              <w:spacing w:after="0" w:line="240" w:lineRule="auto"/>
              <w:jc w:val="center"/>
              <w:rPr>
                <w:rFonts w:eastAsia="Times New Roman"/>
                <w:noProof/>
              </w:rPr>
            </w:pPr>
            <w:r>
              <w:rPr>
                <w:noProof/>
              </w:rPr>
              <w:t>M</w:t>
            </w:r>
          </w:p>
        </w:tc>
        <w:tc>
          <w:tcPr>
            <w:tcW w:w="708" w:type="dxa"/>
            <w:shd w:val="clear" w:color="auto" w:fill="C4EFCE"/>
            <w:noWrap/>
            <w:vAlign w:val="center"/>
            <w:hideMark/>
          </w:tcPr>
          <w:p w14:paraId="3D040DD5" w14:textId="77777777" w:rsidR="006C686E" w:rsidRDefault="00B17E8C">
            <w:pPr>
              <w:pStyle w:val="P68B1DB1-Normal11"/>
              <w:spacing w:after="0" w:line="240" w:lineRule="auto"/>
              <w:jc w:val="center"/>
              <w:rPr>
                <w:rFonts w:eastAsia="Times New Roman"/>
                <w:noProof/>
              </w:rPr>
            </w:pPr>
            <w:r>
              <w:rPr>
                <w:noProof/>
              </w:rPr>
              <w:t xml:space="preserve">Construction d'une ligne de bus rapide entre Praça do Império et Praça Albuquerque Mouzinho à Porto </w:t>
            </w:r>
          </w:p>
        </w:tc>
        <w:tc>
          <w:tcPr>
            <w:tcW w:w="1956" w:type="dxa"/>
            <w:shd w:val="clear" w:color="auto" w:fill="C4EFCE"/>
            <w:noWrap/>
            <w:vAlign w:val="center"/>
            <w:hideMark/>
          </w:tcPr>
          <w:p w14:paraId="5F9379CC" w14:textId="77777777" w:rsidR="006C686E" w:rsidRDefault="00B17E8C">
            <w:pPr>
              <w:pStyle w:val="P68B1DB1-Normal15"/>
              <w:spacing w:after="0" w:line="240" w:lineRule="auto"/>
              <w:jc w:val="center"/>
              <w:rPr>
                <w:noProof/>
                <w:kern w:val="0"/>
                <w14:ligatures w14:val="none"/>
              </w:rPr>
            </w:pPr>
            <w:r>
              <w:rPr>
                <w:noProof/>
              </w:rPr>
              <w:t>Construction d'une ligne de transport rapide par autobus et livraison d'autobus</w:t>
            </w:r>
          </w:p>
        </w:tc>
        <w:tc>
          <w:tcPr>
            <w:tcW w:w="993" w:type="dxa"/>
            <w:shd w:val="clear" w:color="auto" w:fill="C4EFCE"/>
            <w:noWrap/>
            <w:vAlign w:val="center"/>
            <w:hideMark/>
          </w:tcPr>
          <w:p w14:paraId="37B463A6"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1E5F974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shd w:val="clear" w:color="auto" w:fill="C4EFCE"/>
            <w:noWrap/>
            <w:vAlign w:val="center"/>
            <w:hideMark/>
          </w:tcPr>
          <w:p w14:paraId="543BF6BB"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397" w:type="dxa"/>
            <w:shd w:val="clear" w:color="auto" w:fill="C4EFCE"/>
            <w:noWrap/>
            <w:vAlign w:val="center"/>
            <w:hideMark/>
          </w:tcPr>
          <w:p w14:paraId="1B753FA6" w14:textId="77777777" w:rsidR="006C686E" w:rsidRDefault="00B17E8C">
            <w:pPr>
              <w:pStyle w:val="P68B1DB1-Normal11"/>
              <w:spacing w:after="0" w:line="240" w:lineRule="auto"/>
              <w:jc w:val="center"/>
              <w:rPr>
                <w:rFonts w:eastAsia="Times New Roman"/>
                <w:noProof/>
              </w:rPr>
            </w:pPr>
            <w:r>
              <w:rPr>
                <w:noProof/>
              </w:rPr>
              <w:t>T2</w:t>
            </w:r>
          </w:p>
        </w:tc>
        <w:tc>
          <w:tcPr>
            <w:tcW w:w="879" w:type="dxa"/>
            <w:shd w:val="clear" w:color="auto" w:fill="C4EFCE"/>
            <w:noWrap/>
            <w:vAlign w:val="center"/>
            <w:hideMark/>
          </w:tcPr>
          <w:p w14:paraId="7C17835D" w14:textId="77777777" w:rsidR="006C686E" w:rsidRDefault="00B17E8C">
            <w:pPr>
              <w:pStyle w:val="P68B1DB1-Normal11"/>
              <w:spacing w:after="0" w:line="240" w:lineRule="auto"/>
              <w:jc w:val="center"/>
              <w:rPr>
                <w:rFonts w:eastAsia="Times New Roman"/>
                <w:noProof/>
              </w:rPr>
            </w:pPr>
            <w:r>
              <w:rPr>
                <w:noProof/>
              </w:rPr>
              <w:t>2025</w:t>
            </w:r>
          </w:p>
        </w:tc>
        <w:tc>
          <w:tcPr>
            <w:tcW w:w="4224" w:type="dxa"/>
            <w:shd w:val="clear" w:color="auto" w:fill="C4EFCE"/>
            <w:vAlign w:val="center"/>
            <w:hideMark/>
          </w:tcPr>
          <w:p w14:paraId="2D17929A" w14:textId="77777777"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Construction de la ligne de bus rapide reliant Praça do Império à Praça Albuquerque Mouzinho à Porto. </w:t>
            </w:r>
            <w:r>
              <w:rPr>
                <w:noProof/>
              </w:rPr>
              <w:t>Livraison de 11 bus à émissions nulles (électriques ou à hydrogène).</w:t>
            </w:r>
          </w:p>
        </w:tc>
      </w:tr>
      <w:tr w:rsidR="006C686E" w14:paraId="4F917F95" w14:textId="77777777" w:rsidTr="00A66BC8">
        <w:trPr>
          <w:trHeight w:val="1871"/>
        </w:trPr>
        <w:tc>
          <w:tcPr>
            <w:tcW w:w="1248" w:type="dxa"/>
            <w:shd w:val="clear" w:color="auto" w:fill="C4EFCE"/>
            <w:vAlign w:val="center"/>
            <w:hideMark/>
          </w:tcPr>
          <w:p w14:paraId="08612F51" w14:textId="77777777" w:rsidR="006C686E" w:rsidRDefault="00B17E8C">
            <w:pPr>
              <w:pStyle w:val="P68B1DB1-Normal10"/>
              <w:spacing w:after="0" w:line="240" w:lineRule="auto"/>
              <w:jc w:val="center"/>
              <w:rPr>
                <w:rFonts w:eastAsia="Times New Roman"/>
                <w:bCs/>
                <w:noProof/>
              </w:rPr>
            </w:pPr>
            <w:r>
              <w:rPr>
                <w:noProof/>
              </w:rPr>
              <w:t>15.12</w:t>
            </w:r>
          </w:p>
        </w:tc>
        <w:tc>
          <w:tcPr>
            <w:tcW w:w="1446" w:type="dxa"/>
            <w:shd w:val="clear" w:color="auto" w:fill="C4EFCE"/>
            <w:noWrap/>
            <w:vAlign w:val="center"/>
            <w:hideMark/>
          </w:tcPr>
          <w:p w14:paraId="1360E9E8" w14:textId="77777777" w:rsidR="006C686E" w:rsidRDefault="00B17E8C">
            <w:pPr>
              <w:pStyle w:val="P68B1DB1-Normal11"/>
              <w:spacing w:after="0" w:line="240" w:lineRule="auto"/>
              <w:jc w:val="center"/>
              <w:rPr>
                <w:rFonts w:eastAsia="Times New Roman"/>
                <w:noProof/>
              </w:rPr>
            </w:pPr>
            <w:r>
              <w:rPr>
                <w:noProof/>
              </w:rPr>
              <w:t>TC-C15-i05</w:t>
            </w:r>
          </w:p>
        </w:tc>
        <w:tc>
          <w:tcPr>
            <w:tcW w:w="1418" w:type="dxa"/>
            <w:shd w:val="clear" w:color="auto" w:fill="C4EFCE"/>
            <w:noWrap/>
            <w:vAlign w:val="center"/>
            <w:hideMark/>
          </w:tcPr>
          <w:p w14:paraId="07FA1498" w14:textId="77777777" w:rsidR="006C686E" w:rsidRDefault="00B17E8C">
            <w:pPr>
              <w:pStyle w:val="P68B1DB1-Normal11"/>
              <w:spacing w:after="0" w:line="240" w:lineRule="auto"/>
              <w:jc w:val="center"/>
              <w:rPr>
                <w:rFonts w:eastAsia="Times New Roman"/>
                <w:noProof/>
              </w:rPr>
            </w:pPr>
            <w:r>
              <w:rPr>
                <w:noProof/>
              </w:rPr>
              <w:t>M</w:t>
            </w:r>
          </w:p>
        </w:tc>
        <w:tc>
          <w:tcPr>
            <w:tcW w:w="708" w:type="dxa"/>
            <w:shd w:val="clear" w:color="auto" w:fill="C4EFCE"/>
            <w:noWrap/>
            <w:vAlign w:val="center"/>
            <w:hideMark/>
          </w:tcPr>
          <w:p w14:paraId="1FF4BE3F" w14:textId="77777777" w:rsidR="006C686E" w:rsidRDefault="00B17E8C">
            <w:pPr>
              <w:pStyle w:val="P68B1DB1-Normal11"/>
              <w:spacing w:after="0" w:line="240" w:lineRule="auto"/>
              <w:jc w:val="center"/>
              <w:rPr>
                <w:rFonts w:eastAsia="Times New Roman"/>
                <w:noProof/>
              </w:rPr>
            </w:pPr>
            <w:r>
              <w:rPr>
                <w:noProof/>
              </w:rPr>
              <w:t>Contrat signé pour l’achat d’autobus propres dans le cadre du programme de décarbonation des transports publics</w:t>
            </w:r>
          </w:p>
        </w:tc>
        <w:tc>
          <w:tcPr>
            <w:tcW w:w="1956" w:type="dxa"/>
            <w:shd w:val="clear" w:color="auto" w:fill="C4EFCE"/>
            <w:noWrap/>
            <w:vAlign w:val="center"/>
            <w:hideMark/>
          </w:tcPr>
          <w:p w14:paraId="0B33451E" w14:textId="77777777" w:rsidR="006C686E" w:rsidRDefault="00B17E8C">
            <w:pPr>
              <w:pStyle w:val="P68B1DB1-Normal11"/>
              <w:spacing w:after="0" w:line="240" w:lineRule="auto"/>
              <w:jc w:val="center"/>
              <w:rPr>
                <w:rFonts w:eastAsia="Times New Roman"/>
                <w:noProof/>
              </w:rPr>
            </w:pPr>
            <w:r>
              <w:rPr>
                <w:noProof/>
              </w:rPr>
              <w:t>Signature d’un contrat pour l’achat de 145 autobus propres dans le cadre du programme de décarbonation des transports publics</w:t>
            </w:r>
          </w:p>
        </w:tc>
        <w:tc>
          <w:tcPr>
            <w:tcW w:w="993" w:type="dxa"/>
            <w:shd w:val="clear" w:color="auto" w:fill="C4EFCE"/>
            <w:noWrap/>
            <w:vAlign w:val="center"/>
            <w:hideMark/>
          </w:tcPr>
          <w:p w14:paraId="48EF354A"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1BDC23DD"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shd w:val="clear" w:color="auto" w:fill="C4EFCE"/>
            <w:noWrap/>
            <w:vAlign w:val="center"/>
            <w:hideMark/>
          </w:tcPr>
          <w:p w14:paraId="67588FCD"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397" w:type="dxa"/>
            <w:shd w:val="clear" w:color="auto" w:fill="C4EFCE"/>
            <w:noWrap/>
            <w:vAlign w:val="center"/>
            <w:hideMark/>
          </w:tcPr>
          <w:p w14:paraId="4B91A65B" w14:textId="77777777" w:rsidR="006C686E" w:rsidRDefault="00B17E8C">
            <w:pPr>
              <w:pStyle w:val="P68B1DB1-Normal11"/>
              <w:spacing w:after="0" w:line="240" w:lineRule="auto"/>
              <w:jc w:val="center"/>
              <w:rPr>
                <w:rFonts w:eastAsia="Times New Roman"/>
                <w:noProof/>
              </w:rPr>
            </w:pPr>
            <w:r>
              <w:rPr>
                <w:noProof/>
              </w:rPr>
              <w:t>T3</w:t>
            </w:r>
          </w:p>
        </w:tc>
        <w:tc>
          <w:tcPr>
            <w:tcW w:w="879" w:type="dxa"/>
            <w:shd w:val="clear" w:color="auto" w:fill="C4EFCE"/>
            <w:noWrap/>
            <w:vAlign w:val="center"/>
            <w:hideMark/>
          </w:tcPr>
          <w:p w14:paraId="2DA7C6B4" w14:textId="77777777" w:rsidR="006C686E" w:rsidRDefault="00B17E8C">
            <w:pPr>
              <w:pStyle w:val="P68B1DB1-Normal11"/>
              <w:spacing w:after="0" w:line="240" w:lineRule="auto"/>
              <w:jc w:val="center"/>
              <w:rPr>
                <w:rFonts w:eastAsia="Times New Roman"/>
                <w:noProof/>
              </w:rPr>
            </w:pPr>
            <w:r>
              <w:rPr>
                <w:noProof/>
              </w:rPr>
              <w:t>2022</w:t>
            </w:r>
          </w:p>
        </w:tc>
        <w:tc>
          <w:tcPr>
            <w:tcW w:w="4224" w:type="dxa"/>
            <w:shd w:val="clear" w:color="auto" w:fill="C4EFCE"/>
            <w:vAlign w:val="center"/>
          </w:tcPr>
          <w:p w14:paraId="187EB279" w14:textId="77777777" w:rsidR="006C686E" w:rsidRDefault="00B17E8C">
            <w:pPr>
              <w:pStyle w:val="P68B1DB1-Normal11"/>
              <w:spacing w:after="0" w:line="240" w:lineRule="auto"/>
              <w:jc w:val="both"/>
              <w:rPr>
                <w:rFonts w:eastAsia="Times New Roman"/>
                <w:noProof/>
              </w:rPr>
            </w:pPr>
            <w:r>
              <w:rPr>
                <w:noProof/>
              </w:rPr>
              <w:t>Signature du contrat entre les bénéficiaires et l’entité gestionnaire, sur la base d’une procédure d’appel d’offres concurrentielle, donnant l’engagement d’acheter les nouveaux bus à émissions nulles (électriques ou à hydrogène).</w:t>
            </w:r>
          </w:p>
        </w:tc>
      </w:tr>
      <w:tr w:rsidR="006C686E" w14:paraId="19C90493" w14:textId="77777777" w:rsidTr="00A66BC8">
        <w:trPr>
          <w:trHeight w:val="510"/>
        </w:trPr>
        <w:tc>
          <w:tcPr>
            <w:tcW w:w="1248" w:type="dxa"/>
            <w:shd w:val="clear" w:color="auto" w:fill="C4EFCE"/>
            <w:vAlign w:val="center"/>
            <w:hideMark/>
          </w:tcPr>
          <w:p w14:paraId="1BD856BD" w14:textId="77777777" w:rsidR="006C686E" w:rsidRDefault="00B17E8C">
            <w:pPr>
              <w:pStyle w:val="P68B1DB1-Normal10"/>
              <w:spacing w:after="0" w:line="240" w:lineRule="auto"/>
              <w:jc w:val="center"/>
              <w:rPr>
                <w:rFonts w:eastAsia="Times New Roman"/>
                <w:bCs/>
                <w:noProof/>
              </w:rPr>
            </w:pPr>
            <w:r>
              <w:rPr>
                <w:noProof/>
              </w:rPr>
              <w:t>15.13</w:t>
            </w:r>
          </w:p>
        </w:tc>
        <w:tc>
          <w:tcPr>
            <w:tcW w:w="1446" w:type="dxa"/>
            <w:shd w:val="clear" w:color="auto" w:fill="C4EFCE"/>
            <w:noWrap/>
            <w:vAlign w:val="center"/>
            <w:hideMark/>
          </w:tcPr>
          <w:p w14:paraId="558461CE" w14:textId="77777777" w:rsidR="006C686E" w:rsidRDefault="00B17E8C">
            <w:pPr>
              <w:pStyle w:val="P68B1DB1-Normal11"/>
              <w:spacing w:after="0" w:line="240" w:lineRule="auto"/>
              <w:jc w:val="center"/>
              <w:rPr>
                <w:rFonts w:eastAsia="Times New Roman"/>
                <w:noProof/>
              </w:rPr>
            </w:pPr>
            <w:r>
              <w:rPr>
                <w:noProof/>
              </w:rPr>
              <w:t>TC-C15-i05</w:t>
            </w:r>
          </w:p>
        </w:tc>
        <w:tc>
          <w:tcPr>
            <w:tcW w:w="1418" w:type="dxa"/>
            <w:shd w:val="clear" w:color="auto" w:fill="C4EFCE"/>
            <w:noWrap/>
            <w:vAlign w:val="center"/>
            <w:hideMark/>
          </w:tcPr>
          <w:p w14:paraId="52A9112C" w14:textId="77777777" w:rsidR="006C686E" w:rsidRDefault="00B17E8C">
            <w:pPr>
              <w:pStyle w:val="P68B1DB1-Normal11"/>
              <w:spacing w:after="0" w:line="240" w:lineRule="auto"/>
              <w:jc w:val="center"/>
              <w:rPr>
                <w:rFonts w:eastAsia="Times New Roman"/>
                <w:noProof/>
              </w:rPr>
            </w:pPr>
            <w:r>
              <w:rPr>
                <w:noProof/>
              </w:rPr>
              <w:t>T</w:t>
            </w:r>
          </w:p>
        </w:tc>
        <w:tc>
          <w:tcPr>
            <w:tcW w:w="708" w:type="dxa"/>
            <w:shd w:val="clear" w:color="auto" w:fill="C4EFCE"/>
            <w:noWrap/>
            <w:vAlign w:val="center"/>
            <w:hideMark/>
          </w:tcPr>
          <w:p w14:paraId="3B04B00F" w14:textId="77777777" w:rsidR="006C686E" w:rsidRDefault="00B17E8C">
            <w:pPr>
              <w:pStyle w:val="P68B1DB1-Normal11"/>
              <w:spacing w:after="0" w:line="240" w:lineRule="auto"/>
              <w:jc w:val="center"/>
              <w:rPr>
                <w:rFonts w:eastAsia="Times New Roman"/>
                <w:noProof/>
              </w:rPr>
            </w:pPr>
            <w:r>
              <w:rPr>
                <w:noProof/>
              </w:rPr>
              <w:t>Achat de nouveaux bus à émissions nulles (électriques ou à hydrogène) utilisés pour les transports publics</w:t>
            </w:r>
          </w:p>
        </w:tc>
        <w:tc>
          <w:tcPr>
            <w:tcW w:w="1956" w:type="dxa"/>
            <w:shd w:val="clear" w:color="auto" w:fill="C4EFCE"/>
            <w:noWrap/>
            <w:vAlign w:val="center"/>
            <w:hideMark/>
          </w:tcPr>
          <w:p w14:paraId="3DE2F89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hideMark/>
          </w:tcPr>
          <w:p w14:paraId="47672A65" w14:textId="206E2BC2" w:rsidR="006C686E" w:rsidRDefault="00B17E8C">
            <w:pPr>
              <w:pStyle w:val="P68B1DB1-Normal11"/>
              <w:spacing w:after="0" w:line="240" w:lineRule="auto"/>
              <w:jc w:val="center"/>
              <w:rPr>
                <w:noProof/>
              </w:rPr>
            </w:pPr>
            <w:r>
              <w:rPr>
                <w:noProof/>
              </w:rPr>
              <w:t>Numéro</w:t>
            </w:r>
          </w:p>
        </w:tc>
        <w:tc>
          <w:tcPr>
            <w:tcW w:w="992" w:type="dxa"/>
            <w:shd w:val="clear" w:color="auto" w:fill="C4EFCE"/>
            <w:noWrap/>
            <w:vAlign w:val="center"/>
            <w:hideMark/>
          </w:tcPr>
          <w:p w14:paraId="5BD23C5B" w14:textId="77777777" w:rsidR="006C686E" w:rsidRDefault="00B17E8C">
            <w:pPr>
              <w:pStyle w:val="P68B1DB1-Normal11"/>
              <w:spacing w:after="0" w:line="240" w:lineRule="auto"/>
              <w:jc w:val="center"/>
              <w:rPr>
                <w:rFonts w:eastAsia="Times New Roman"/>
                <w:noProof/>
              </w:rPr>
            </w:pPr>
            <w:r>
              <w:rPr>
                <w:noProof/>
              </w:rPr>
              <w:t>0</w:t>
            </w:r>
          </w:p>
        </w:tc>
        <w:tc>
          <w:tcPr>
            <w:tcW w:w="879" w:type="dxa"/>
            <w:shd w:val="clear" w:color="auto" w:fill="C4EFCE"/>
            <w:noWrap/>
            <w:vAlign w:val="center"/>
            <w:hideMark/>
          </w:tcPr>
          <w:p w14:paraId="2B625CD5" w14:textId="77777777" w:rsidR="006C686E" w:rsidRDefault="00B17E8C">
            <w:pPr>
              <w:pStyle w:val="P68B1DB1-Normal11"/>
              <w:spacing w:after="0" w:line="240" w:lineRule="auto"/>
              <w:jc w:val="center"/>
              <w:rPr>
                <w:rFonts w:eastAsia="Times New Roman"/>
                <w:noProof/>
              </w:rPr>
            </w:pPr>
            <w:r>
              <w:rPr>
                <w:noProof/>
              </w:rPr>
              <w:t>145</w:t>
            </w:r>
          </w:p>
        </w:tc>
        <w:tc>
          <w:tcPr>
            <w:tcW w:w="397" w:type="dxa"/>
            <w:shd w:val="clear" w:color="auto" w:fill="C4EFCE"/>
            <w:noWrap/>
            <w:vAlign w:val="center"/>
            <w:hideMark/>
          </w:tcPr>
          <w:p w14:paraId="77900ED3" w14:textId="77777777" w:rsidR="006C686E" w:rsidRDefault="00B17E8C">
            <w:pPr>
              <w:pStyle w:val="P68B1DB1-Normal11"/>
              <w:spacing w:after="0" w:line="240" w:lineRule="auto"/>
              <w:jc w:val="center"/>
              <w:rPr>
                <w:rFonts w:eastAsia="Times New Roman"/>
                <w:noProof/>
              </w:rPr>
            </w:pPr>
            <w:r>
              <w:rPr>
                <w:noProof/>
              </w:rPr>
              <w:t>T4</w:t>
            </w:r>
          </w:p>
        </w:tc>
        <w:tc>
          <w:tcPr>
            <w:tcW w:w="879" w:type="dxa"/>
            <w:shd w:val="clear" w:color="auto" w:fill="C4EFCE"/>
            <w:noWrap/>
            <w:vAlign w:val="center"/>
            <w:hideMark/>
          </w:tcPr>
          <w:p w14:paraId="6C959E60" w14:textId="77777777" w:rsidR="006C686E" w:rsidRDefault="00B17E8C">
            <w:pPr>
              <w:pStyle w:val="P68B1DB1-Normal11"/>
              <w:spacing w:after="0" w:line="240" w:lineRule="auto"/>
              <w:jc w:val="center"/>
              <w:rPr>
                <w:rFonts w:eastAsia="Times New Roman"/>
                <w:noProof/>
              </w:rPr>
            </w:pPr>
            <w:r>
              <w:rPr>
                <w:noProof/>
              </w:rPr>
              <w:t>2023</w:t>
            </w:r>
          </w:p>
        </w:tc>
        <w:tc>
          <w:tcPr>
            <w:tcW w:w="4224" w:type="dxa"/>
            <w:shd w:val="clear" w:color="auto" w:fill="C4EFCE"/>
            <w:vAlign w:val="center"/>
            <w:hideMark/>
          </w:tcPr>
          <w:p w14:paraId="42E9AE1A" w14:textId="77777777" w:rsidR="006C686E" w:rsidRDefault="00B17E8C">
            <w:pPr>
              <w:pStyle w:val="P68B1DB1-Normal11"/>
              <w:spacing w:after="0" w:line="240" w:lineRule="auto"/>
              <w:jc w:val="both"/>
              <w:rPr>
                <w:rFonts w:eastAsia="Times New Roman"/>
                <w:noProof/>
              </w:rPr>
            </w:pPr>
            <w:r>
              <w:rPr>
                <w:noProof/>
              </w:rPr>
              <w:t>Nombre de nouveaux bus à émissions nulles (électriques ou à hydrogène) achetés et prêts à être exploités pour la fourniture de services de transport public de voyageurs dans les zones métropolitaines de Lisbonne et de Porto.</w:t>
            </w:r>
          </w:p>
        </w:tc>
      </w:tr>
      <w:tr w:rsidR="006C686E" w14:paraId="1C76A25B" w14:textId="77777777" w:rsidTr="00A66BC8">
        <w:trPr>
          <w:trHeight w:val="430"/>
        </w:trPr>
        <w:tc>
          <w:tcPr>
            <w:tcW w:w="1248" w:type="dxa"/>
            <w:shd w:val="clear" w:color="auto" w:fill="C4EFCE"/>
            <w:vAlign w:val="center"/>
            <w:hideMark/>
          </w:tcPr>
          <w:p w14:paraId="4FC128CF" w14:textId="77777777" w:rsidR="006C686E" w:rsidRDefault="00B17E8C">
            <w:pPr>
              <w:pStyle w:val="P68B1DB1-Normal10"/>
              <w:spacing w:after="0" w:line="240" w:lineRule="auto"/>
              <w:jc w:val="center"/>
              <w:rPr>
                <w:rFonts w:eastAsia="Times New Roman"/>
                <w:bCs/>
                <w:noProof/>
              </w:rPr>
            </w:pPr>
            <w:r>
              <w:rPr>
                <w:noProof/>
              </w:rPr>
              <w:t>15.14</w:t>
            </w:r>
          </w:p>
        </w:tc>
        <w:tc>
          <w:tcPr>
            <w:tcW w:w="1446" w:type="dxa"/>
            <w:shd w:val="clear" w:color="auto" w:fill="C4EFCE"/>
            <w:noWrap/>
            <w:vAlign w:val="center"/>
            <w:hideMark/>
          </w:tcPr>
          <w:p w14:paraId="404769E3" w14:textId="77777777" w:rsidR="006C686E" w:rsidRDefault="00B17E8C">
            <w:pPr>
              <w:pStyle w:val="P68B1DB1-Normal11"/>
              <w:spacing w:after="0" w:line="240" w:lineRule="auto"/>
              <w:jc w:val="center"/>
              <w:rPr>
                <w:rFonts w:eastAsia="Times New Roman"/>
                <w:noProof/>
              </w:rPr>
            </w:pPr>
            <w:r>
              <w:rPr>
                <w:noProof/>
              </w:rPr>
              <w:t>TC-C15-r30</w:t>
            </w:r>
          </w:p>
        </w:tc>
        <w:tc>
          <w:tcPr>
            <w:tcW w:w="1418" w:type="dxa"/>
            <w:shd w:val="clear" w:color="auto" w:fill="C4EFCE"/>
            <w:noWrap/>
            <w:vAlign w:val="center"/>
            <w:hideMark/>
          </w:tcPr>
          <w:p w14:paraId="0EB5F765" w14:textId="77777777" w:rsidR="006C686E" w:rsidRDefault="00B17E8C">
            <w:pPr>
              <w:pStyle w:val="P68B1DB1-Normal11"/>
              <w:spacing w:after="0" w:line="240" w:lineRule="auto"/>
              <w:jc w:val="center"/>
              <w:rPr>
                <w:rFonts w:eastAsia="Times New Roman"/>
                <w:noProof/>
              </w:rPr>
            </w:pPr>
            <w:r>
              <w:rPr>
                <w:noProof/>
              </w:rPr>
              <w:t>M</w:t>
            </w:r>
          </w:p>
        </w:tc>
        <w:tc>
          <w:tcPr>
            <w:tcW w:w="708" w:type="dxa"/>
            <w:shd w:val="clear" w:color="auto" w:fill="C4EFCE"/>
            <w:noWrap/>
            <w:vAlign w:val="center"/>
            <w:hideMark/>
          </w:tcPr>
          <w:p w14:paraId="75E08D91" w14:textId="77777777" w:rsidR="006C686E" w:rsidRDefault="00B17E8C">
            <w:pPr>
              <w:pStyle w:val="P68B1DB1-Normal48"/>
              <w:spacing w:after="0" w:line="240" w:lineRule="auto"/>
              <w:jc w:val="center"/>
              <w:rPr>
                <w:rFonts w:eastAsia="Times New Roman"/>
                <w:noProof/>
              </w:rPr>
            </w:pPr>
            <w:r>
              <w:rPr>
                <w:noProof/>
              </w:rPr>
              <w:t>Entrée en vigueur de la législation visant à améliorer les conditions d'accès aux transports publics</w:t>
            </w:r>
          </w:p>
        </w:tc>
        <w:tc>
          <w:tcPr>
            <w:tcW w:w="1956" w:type="dxa"/>
            <w:shd w:val="clear" w:color="auto" w:fill="C4EFCE"/>
            <w:noWrap/>
            <w:vAlign w:val="center"/>
            <w:hideMark/>
          </w:tcPr>
          <w:p w14:paraId="42A3F680" w14:textId="77777777" w:rsidR="006C686E" w:rsidRDefault="00B17E8C">
            <w:pPr>
              <w:pStyle w:val="P68B1DB1-Normal11"/>
              <w:spacing w:after="0" w:line="240" w:lineRule="auto"/>
              <w:jc w:val="center"/>
              <w:rPr>
                <w:rFonts w:eastAsia="Times New Roman"/>
                <w:noProof/>
              </w:rPr>
            </w:pPr>
            <w:r>
              <w:rPr>
                <w:noProof/>
              </w:rPr>
              <w:t>Disposition de la législation indiquant l'entrée en vigueur de la législation</w:t>
            </w:r>
          </w:p>
        </w:tc>
        <w:tc>
          <w:tcPr>
            <w:tcW w:w="993" w:type="dxa"/>
            <w:shd w:val="clear" w:color="auto" w:fill="C4EFCE"/>
            <w:noWrap/>
            <w:vAlign w:val="center"/>
          </w:tcPr>
          <w:p w14:paraId="27346C0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21215F7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shd w:val="clear" w:color="auto" w:fill="C4EFCE"/>
            <w:noWrap/>
            <w:vAlign w:val="center"/>
          </w:tcPr>
          <w:p w14:paraId="185791E0"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397" w:type="dxa"/>
            <w:shd w:val="clear" w:color="auto" w:fill="C4EFCE"/>
            <w:noWrap/>
            <w:vAlign w:val="center"/>
            <w:hideMark/>
          </w:tcPr>
          <w:p w14:paraId="728402B5" w14:textId="77777777" w:rsidR="006C686E" w:rsidRDefault="00B17E8C">
            <w:pPr>
              <w:pStyle w:val="P68B1DB1-Normal11"/>
              <w:spacing w:after="0" w:line="240" w:lineRule="auto"/>
              <w:jc w:val="center"/>
              <w:rPr>
                <w:rFonts w:eastAsia="Times New Roman"/>
                <w:noProof/>
              </w:rPr>
            </w:pPr>
            <w:r>
              <w:rPr>
                <w:noProof/>
              </w:rPr>
              <w:t>T4</w:t>
            </w:r>
          </w:p>
        </w:tc>
        <w:tc>
          <w:tcPr>
            <w:tcW w:w="879" w:type="dxa"/>
            <w:shd w:val="clear" w:color="auto" w:fill="C4EFCE"/>
            <w:noWrap/>
            <w:vAlign w:val="center"/>
            <w:hideMark/>
          </w:tcPr>
          <w:p w14:paraId="4D68CCC5" w14:textId="77777777" w:rsidR="006C686E" w:rsidRDefault="00B17E8C">
            <w:pPr>
              <w:pStyle w:val="P68B1DB1-Normal11"/>
              <w:spacing w:after="0" w:line="240" w:lineRule="auto"/>
              <w:jc w:val="center"/>
              <w:rPr>
                <w:rFonts w:eastAsia="Times New Roman"/>
                <w:noProof/>
              </w:rPr>
            </w:pPr>
            <w:r>
              <w:rPr>
                <w:noProof/>
              </w:rPr>
              <w:t>2023</w:t>
            </w:r>
          </w:p>
        </w:tc>
        <w:tc>
          <w:tcPr>
            <w:tcW w:w="4224" w:type="dxa"/>
            <w:shd w:val="clear" w:color="auto" w:fill="C4EFCE"/>
            <w:vAlign w:val="center"/>
            <w:hideMark/>
          </w:tcPr>
          <w:p w14:paraId="48847483" w14:textId="77777777" w:rsidR="006C686E" w:rsidRDefault="00B17E8C">
            <w:pPr>
              <w:pStyle w:val="P68B1DB1-Normal48"/>
              <w:spacing w:after="0" w:line="240" w:lineRule="auto"/>
              <w:jc w:val="both"/>
              <w:rPr>
                <w:rFonts w:eastAsia="Times New Roman"/>
                <w:noProof/>
              </w:rPr>
            </w:pPr>
            <w:r>
              <w:rPr>
                <w:noProof/>
              </w:rPr>
              <w:t xml:space="preserve">Entrée en vigueur de la législation visant à améliorer les conditions d’accès aux transports publics par la mise en œuvre de programmes de réduction des tarifs (Programa de Apoio à Redução do Tarifário dos Transportes Públicos, PART) et de services de transport de meilleure qualité et plus respectueux du climat (Programa de Apoio à Densificação e Reforço da Oferta de Transporte Público, PROTransP). La législation devrait prévoir un soutien pour les deux régions métropolitaines et les 21 communautés intermunicipales. </w:t>
            </w:r>
          </w:p>
        </w:tc>
      </w:tr>
      <w:tr w:rsidR="006C686E" w14:paraId="3050FB37" w14:textId="77777777" w:rsidTr="00A66BC8">
        <w:trPr>
          <w:trHeight w:val="430"/>
        </w:trPr>
        <w:tc>
          <w:tcPr>
            <w:tcW w:w="1248" w:type="dxa"/>
            <w:shd w:val="clear" w:color="auto" w:fill="C4EFCE"/>
            <w:vAlign w:val="center"/>
          </w:tcPr>
          <w:p w14:paraId="0E3F2B98" w14:textId="77777777" w:rsidR="006C686E" w:rsidRDefault="00B17E8C">
            <w:pPr>
              <w:pStyle w:val="P68B1DB1-Normal10"/>
              <w:spacing w:after="0" w:line="240" w:lineRule="auto"/>
              <w:jc w:val="center"/>
              <w:rPr>
                <w:rFonts w:eastAsia="Times New Roman"/>
                <w:bCs/>
                <w:noProof/>
              </w:rPr>
            </w:pPr>
            <w:r>
              <w:rPr>
                <w:noProof/>
              </w:rPr>
              <w:t>15.15</w:t>
            </w:r>
          </w:p>
        </w:tc>
        <w:tc>
          <w:tcPr>
            <w:tcW w:w="1446" w:type="dxa"/>
            <w:shd w:val="clear" w:color="auto" w:fill="C4EFCE"/>
            <w:noWrap/>
            <w:vAlign w:val="center"/>
          </w:tcPr>
          <w:p w14:paraId="287811FB" w14:textId="77777777" w:rsidR="006C686E" w:rsidRDefault="00B17E8C">
            <w:pPr>
              <w:pStyle w:val="P68B1DB1-Normal11"/>
              <w:spacing w:after="0" w:line="240" w:lineRule="auto"/>
              <w:jc w:val="center"/>
              <w:rPr>
                <w:rFonts w:eastAsia="Times New Roman"/>
                <w:noProof/>
              </w:rPr>
            </w:pPr>
            <w:r>
              <w:rPr>
                <w:noProof/>
              </w:rPr>
              <w:t>TC-C15-i06</w:t>
            </w:r>
          </w:p>
        </w:tc>
        <w:tc>
          <w:tcPr>
            <w:tcW w:w="1418" w:type="dxa"/>
            <w:shd w:val="clear" w:color="auto" w:fill="C4EFCE"/>
            <w:noWrap/>
            <w:vAlign w:val="center"/>
          </w:tcPr>
          <w:p w14:paraId="215680A9" w14:textId="77777777" w:rsidR="006C686E" w:rsidRDefault="00B17E8C">
            <w:pPr>
              <w:pStyle w:val="P68B1DB1-Normal11"/>
              <w:spacing w:after="0" w:line="240" w:lineRule="auto"/>
              <w:jc w:val="center"/>
              <w:rPr>
                <w:rFonts w:eastAsia="Times New Roman"/>
                <w:noProof/>
              </w:rPr>
            </w:pPr>
            <w:r>
              <w:rPr>
                <w:noProof/>
              </w:rPr>
              <w:t>M</w:t>
            </w:r>
          </w:p>
        </w:tc>
        <w:tc>
          <w:tcPr>
            <w:tcW w:w="708" w:type="dxa"/>
            <w:shd w:val="clear" w:color="auto" w:fill="C4EFCE"/>
            <w:noWrap/>
            <w:vAlign w:val="center"/>
          </w:tcPr>
          <w:p w14:paraId="0E9288E6" w14:textId="77777777" w:rsidR="006C686E" w:rsidRDefault="00B17E8C">
            <w:pPr>
              <w:pStyle w:val="P68B1DB1-Normal11"/>
              <w:spacing w:after="0" w:line="240" w:lineRule="auto"/>
              <w:jc w:val="center"/>
              <w:rPr>
                <w:rFonts w:eastAsia="Times New Roman"/>
                <w:noProof/>
              </w:rPr>
            </w:pPr>
            <w:r>
              <w:rPr>
                <w:noProof/>
              </w:rPr>
              <w:t>Signature du contrat pour les systèmes de signalisation électronique</w:t>
            </w:r>
          </w:p>
        </w:tc>
        <w:tc>
          <w:tcPr>
            <w:tcW w:w="1956" w:type="dxa"/>
            <w:shd w:val="clear" w:color="auto" w:fill="C4EFCE"/>
            <w:noWrap/>
            <w:vAlign w:val="center"/>
          </w:tcPr>
          <w:p w14:paraId="269A8732" w14:textId="77777777" w:rsidR="006C686E" w:rsidRDefault="00B17E8C">
            <w:pPr>
              <w:pStyle w:val="P68B1DB1-Normal11"/>
              <w:spacing w:after="0" w:line="240" w:lineRule="auto"/>
              <w:jc w:val="center"/>
              <w:rPr>
                <w:rFonts w:eastAsia="Times New Roman"/>
                <w:noProof/>
              </w:rPr>
            </w:pPr>
            <w:r>
              <w:rPr>
                <w:noProof/>
              </w:rPr>
              <w:t>Signature du contrat et publication sur un portail dédié</w:t>
            </w:r>
          </w:p>
        </w:tc>
        <w:tc>
          <w:tcPr>
            <w:tcW w:w="993" w:type="dxa"/>
            <w:shd w:val="clear" w:color="auto" w:fill="C4EFCE"/>
            <w:noWrap/>
            <w:vAlign w:val="center"/>
          </w:tcPr>
          <w:p w14:paraId="1141400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F418B6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79" w:type="dxa"/>
            <w:shd w:val="clear" w:color="auto" w:fill="C4EFCE"/>
            <w:noWrap/>
            <w:vAlign w:val="center"/>
          </w:tcPr>
          <w:p w14:paraId="608EDAB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397" w:type="dxa"/>
            <w:shd w:val="clear" w:color="auto" w:fill="C4EFCE"/>
            <w:noWrap/>
            <w:vAlign w:val="center"/>
          </w:tcPr>
          <w:p w14:paraId="6369A3ED" w14:textId="77777777" w:rsidR="006C686E" w:rsidRDefault="00B17E8C">
            <w:pPr>
              <w:pStyle w:val="P68B1DB1-Normal11"/>
              <w:spacing w:after="0" w:line="240" w:lineRule="auto"/>
              <w:jc w:val="center"/>
              <w:rPr>
                <w:rFonts w:eastAsia="Times New Roman"/>
                <w:noProof/>
              </w:rPr>
            </w:pPr>
            <w:r>
              <w:rPr>
                <w:noProof/>
              </w:rPr>
              <w:t>T2</w:t>
            </w:r>
          </w:p>
        </w:tc>
        <w:tc>
          <w:tcPr>
            <w:tcW w:w="879" w:type="dxa"/>
            <w:shd w:val="clear" w:color="auto" w:fill="C4EFCE"/>
            <w:noWrap/>
            <w:vAlign w:val="center"/>
          </w:tcPr>
          <w:p w14:paraId="66C2A831" w14:textId="77777777" w:rsidR="006C686E" w:rsidRDefault="00B17E8C">
            <w:pPr>
              <w:pStyle w:val="P68B1DB1-Normal11"/>
              <w:spacing w:after="0" w:line="240" w:lineRule="auto"/>
              <w:jc w:val="center"/>
              <w:rPr>
                <w:rFonts w:eastAsia="Times New Roman"/>
                <w:noProof/>
              </w:rPr>
            </w:pPr>
            <w:r>
              <w:rPr>
                <w:noProof/>
              </w:rPr>
              <w:t>2024</w:t>
            </w:r>
          </w:p>
        </w:tc>
        <w:tc>
          <w:tcPr>
            <w:tcW w:w="4224" w:type="dxa"/>
            <w:shd w:val="clear" w:color="auto" w:fill="C4EFCE"/>
            <w:vAlign w:val="center"/>
          </w:tcPr>
          <w:p w14:paraId="54BB4B9F" w14:textId="77777777" w:rsidR="006C686E" w:rsidRDefault="00B17E8C">
            <w:pPr>
              <w:pStyle w:val="P68B1DB1-Normal11"/>
              <w:spacing w:after="0" w:line="240" w:lineRule="auto"/>
              <w:jc w:val="both"/>
              <w:rPr>
                <w:rFonts w:eastAsia="Times New Roman"/>
                <w:noProof/>
              </w:rPr>
            </w:pPr>
            <w:r>
              <w:rPr>
                <w:noProof/>
              </w:rPr>
              <w:t xml:space="preserve">Signature du contrat de mise en œuvre du projet pour le remplacement des systèmes de signalisation électronique entre Infraestruturas de Portugal et le contractant. </w:t>
            </w:r>
          </w:p>
        </w:tc>
      </w:tr>
      <w:tr w:rsidR="006C686E" w14:paraId="2676ECAD" w14:textId="77777777" w:rsidTr="00A66BC8">
        <w:trPr>
          <w:trHeight w:val="430"/>
        </w:trPr>
        <w:tc>
          <w:tcPr>
            <w:tcW w:w="1248" w:type="dxa"/>
            <w:shd w:val="clear" w:color="auto" w:fill="C4EFCE"/>
            <w:vAlign w:val="center"/>
          </w:tcPr>
          <w:p w14:paraId="2DC22866" w14:textId="77777777" w:rsidR="006C686E" w:rsidRDefault="00B17E8C">
            <w:pPr>
              <w:pStyle w:val="P68B1DB1-Normal10"/>
              <w:spacing w:after="0" w:line="240" w:lineRule="auto"/>
              <w:jc w:val="center"/>
              <w:rPr>
                <w:rFonts w:eastAsia="Times New Roman"/>
                <w:noProof/>
              </w:rPr>
            </w:pPr>
            <w:r>
              <w:rPr>
                <w:noProof/>
              </w:rPr>
              <w:t>15.16</w:t>
            </w:r>
          </w:p>
        </w:tc>
        <w:tc>
          <w:tcPr>
            <w:tcW w:w="1446" w:type="dxa"/>
            <w:shd w:val="clear" w:color="auto" w:fill="C4EFCE"/>
            <w:noWrap/>
            <w:vAlign w:val="center"/>
          </w:tcPr>
          <w:p w14:paraId="0C94AC78" w14:textId="77777777" w:rsidR="006C686E" w:rsidRDefault="00B17E8C">
            <w:pPr>
              <w:pStyle w:val="P68B1DB1-Normal11"/>
              <w:spacing w:after="0" w:line="240" w:lineRule="auto"/>
              <w:jc w:val="center"/>
              <w:rPr>
                <w:rFonts w:eastAsia="Times New Roman"/>
                <w:noProof/>
              </w:rPr>
            </w:pPr>
            <w:r>
              <w:rPr>
                <w:noProof/>
              </w:rPr>
              <w:t>TC-C15-i06</w:t>
            </w:r>
          </w:p>
        </w:tc>
        <w:tc>
          <w:tcPr>
            <w:tcW w:w="1418" w:type="dxa"/>
            <w:shd w:val="clear" w:color="auto" w:fill="C4EFCE"/>
            <w:noWrap/>
            <w:vAlign w:val="center"/>
          </w:tcPr>
          <w:p w14:paraId="3EA94226" w14:textId="77777777" w:rsidR="006C686E" w:rsidRDefault="00B17E8C">
            <w:pPr>
              <w:pStyle w:val="P68B1DB1-Normal11"/>
              <w:spacing w:after="0" w:line="240" w:lineRule="auto"/>
              <w:jc w:val="center"/>
              <w:rPr>
                <w:rFonts w:eastAsia="Times New Roman"/>
                <w:noProof/>
              </w:rPr>
            </w:pPr>
            <w:r>
              <w:rPr>
                <w:noProof/>
              </w:rPr>
              <w:t>T</w:t>
            </w:r>
          </w:p>
        </w:tc>
        <w:tc>
          <w:tcPr>
            <w:tcW w:w="708" w:type="dxa"/>
            <w:shd w:val="clear" w:color="auto" w:fill="C4EFCE"/>
            <w:noWrap/>
            <w:vAlign w:val="center"/>
          </w:tcPr>
          <w:p w14:paraId="7E5B7B60" w14:textId="06E28F29" w:rsidR="006C686E" w:rsidRDefault="00B17E8C">
            <w:pPr>
              <w:pStyle w:val="P68B1DB1-Normal11"/>
              <w:spacing w:after="0" w:line="240" w:lineRule="auto"/>
              <w:jc w:val="center"/>
              <w:rPr>
                <w:rFonts w:eastAsia="Times New Roman"/>
                <w:noProof/>
              </w:rPr>
            </w:pPr>
            <w:r>
              <w:rPr>
                <w:noProof/>
              </w:rPr>
              <w:t xml:space="preserve">Lignes ferroviaires équipées de systèmes de signalisation électronique </w:t>
            </w:r>
          </w:p>
        </w:tc>
        <w:tc>
          <w:tcPr>
            <w:tcW w:w="1956" w:type="dxa"/>
            <w:shd w:val="clear" w:color="auto" w:fill="C4EFCE"/>
            <w:noWrap/>
            <w:vAlign w:val="center"/>
          </w:tcPr>
          <w:p w14:paraId="16990E5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tcPr>
          <w:p w14:paraId="08C7A17B" w14:textId="77777777" w:rsidR="006C686E" w:rsidRDefault="00B17E8C">
            <w:pPr>
              <w:pStyle w:val="P68B1DB1-Normal11"/>
              <w:spacing w:after="0" w:line="240" w:lineRule="auto"/>
              <w:jc w:val="center"/>
              <w:rPr>
                <w:rFonts w:eastAsia="Times New Roman"/>
                <w:noProof/>
              </w:rPr>
            </w:pPr>
            <w:r>
              <w:rPr>
                <w:noProof/>
              </w:rPr>
              <w:t>kilomètres</w:t>
            </w:r>
          </w:p>
        </w:tc>
        <w:tc>
          <w:tcPr>
            <w:tcW w:w="992" w:type="dxa"/>
            <w:shd w:val="clear" w:color="auto" w:fill="C4EFCE"/>
            <w:noWrap/>
            <w:vAlign w:val="center"/>
          </w:tcPr>
          <w:p w14:paraId="6D8AB3E9" w14:textId="77777777" w:rsidR="006C686E" w:rsidRDefault="00B17E8C">
            <w:pPr>
              <w:pStyle w:val="P68B1DB1-Normal11"/>
              <w:spacing w:after="0" w:line="240" w:lineRule="auto"/>
              <w:jc w:val="center"/>
              <w:rPr>
                <w:rFonts w:eastAsia="Times New Roman"/>
                <w:noProof/>
              </w:rPr>
            </w:pPr>
            <w:r>
              <w:rPr>
                <w:noProof/>
              </w:rPr>
              <w:t>0</w:t>
            </w:r>
          </w:p>
        </w:tc>
        <w:tc>
          <w:tcPr>
            <w:tcW w:w="879" w:type="dxa"/>
            <w:shd w:val="clear" w:color="auto" w:fill="C4EFCE"/>
            <w:noWrap/>
            <w:vAlign w:val="center"/>
          </w:tcPr>
          <w:p w14:paraId="7D24F5BD" w14:textId="77777777" w:rsidR="006C686E" w:rsidRDefault="00B17E8C">
            <w:pPr>
              <w:pStyle w:val="P68B1DB1-Normal11"/>
              <w:spacing w:after="0" w:line="240" w:lineRule="auto"/>
              <w:jc w:val="center"/>
              <w:rPr>
                <w:rFonts w:eastAsia="Times New Roman"/>
                <w:noProof/>
              </w:rPr>
            </w:pPr>
            <w:r>
              <w:rPr>
                <w:noProof/>
              </w:rPr>
              <w:t>20</w:t>
            </w:r>
          </w:p>
        </w:tc>
        <w:tc>
          <w:tcPr>
            <w:tcW w:w="397" w:type="dxa"/>
            <w:shd w:val="clear" w:color="auto" w:fill="C4EFCE"/>
            <w:noWrap/>
            <w:vAlign w:val="center"/>
          </w:tcPr>
          <w:p w14:paraId="0DF45CDB" w14:textId="77777777" w:rsidR="006C686E" w:rsidRDefault="00B17E8C">
            <w:pPr>
              <w:pStyle w:val="P68B1DB1-Normal11"/>
              <w:spacing w:after="0" w:line="240" w:lineRule="auto"/>
              <w:jc w:val="center"/>
              <w:rPr>
                <w:rFonts w:eastAsia="Times New Roman"/>
                <w:noProof/>
              </w:rPr>
            </w:pPr>
            <w:r>
              <w:rPr>
                <w:noProof/>
              </w:rPr>
              <w:t>T2</w:t>
            </w:r>
          </w:p>
        </w:tc>
        <w:tc>
          <w:tcPr>
            <w:tcW w:w="879" w:type="dxa"/>
            <w:shd w:val="clear" w:color="auto" w:fill="C4EFCE"/>
            <w:noWrap/>
            <w:vAlign w:val="center"/>
          </w:tcPr>
          <w:p w14:paraId="729B0783" w14:textId="77777777" w:rsidR="006C686E" w:rsidRDefault="00B17E8C">
            <w:pPr>
              <w:pStyle w:val="P68B1DB1-Normal11"/>
              <w:spacing w:after="0" w:line="240" w:lineRule="auto"/>
              <w:jc w:val="center"/>
              <w:rPr>
                <w:rFonts w:eastAsia="Times New Roman"/>
                <w:noProof/>
              </w:rPr>
            </w:pPr>
            <w:r>
              <w:rPr>
                <w:noProof/>
              </w:rPr>
              <w:t>2026</w:t>
            </w:r>
          </w:p>
        </w:tc>
        <w:tc>
          <w:tcPr>
            <w:tcW w:w="4224" w:type="dxa"/>
            <w:shd w:val="clear" w:color="auto" w:fill="C4EFCE"/>
            <w:vAlign w:val="center"/>
          </w:tcPr>
          <w:p w14:paraId="407C1125" w14:textId="3C9AD1E4" w:rsidR="006C686E" w:rsidRDefault="00B17E8C">
            <w:pPr>
              <w:pStyle w:val="P68B1DB1-Normal13"/>
              <w:spacing w:after="0" w:line="240" w:lineRule="auto"/>
              <w:jc w:val="both"/>
              <w:rPr>
                <w:noProof/>
                <w:kern w:val="0"/>
                <w14:ligatures w14:val="none"/>
              </w:rPr>
            </w:pPr>
            <w:r>
              <w:rPr>
                <w:noProof/>
                <w:kern w:val="0"/>
                <w14:ligatures w14:val="none"/>
              </w:rPr>
              <w:t xml:space="preserve">Longueur des lignes ferroviaires équipées de </w:t>
            </w:r>
            <w:r>
              <w:rPr>
                <w:noProof/>
              </w:rPr>
              <w:t>systèmes de signalisation électronique installées dans la zone métropolitaine de Lisbonne.</w:t>
            </w:r>
          </w:p>
          <w:p w14:paraId="72AA8949" w14:textId="77777777" w:rsidR="006C686E" w:rsidRDefault="00B17E8C">
            <w:pPr>
              <w:pStyle w:val="P68B1DB1-Normal13"/>
              <w:spacing w:after="0" w:line="240" w:lineRule="auto"/>
              <w:jc w:val="both"/>
              <w:rPr>
                <w:noProof/>
                <w:kern w:val="0"/>
                <w14:ligatures w14:val="none"/>
              </w:rPr>
            </w:pPr>
            <w:r>
              <w:rPr>
                <w:noProof/>
                <w:kern w:val="0"/>
                <w14:ligatures w14:val="none"/>
              </w:rPr>
              <w:t xml:space="preserve">Prototype d’un module de transmission spécifique (STM) construit et installé sur au moins un </w:t>
            </w:r>
            <w:r>
              <w:rPr>
                <w:noProof/>
              </w:rPr>
              <w:t>train.</w:t>
            </w:r>
          </w:p>
          <w:p w14:paraId="1361B55A" w14:textId="0754E084" w:rsidR="006C686E" w:rsidRDefault="00B17E8C">
            <w:pPr>
              <w:pStyle w:val="P68B1DB1-Normal13"/>
              <w:spacing w:after="0" w:line="240" w:lineRule="auto"/>
              <w:jc w:val="both"/>
              <w:rPr>
                <w:noProof/>
                <w:kern w:val="0"/>
                <w14:ligatures w14:val="none"/>
              </w:rPr>
            </w:pPr>
            <w:r>
              <w:rPr>
                <w:noProof/>
                <w:kern w:val="0"/>
                <w14:ligatures w14:val="none"/>
              </w:rPr>
              <w:t>Achat d’équipements, de services ou de travaux de construction pour une exécution budgétaire d’au moins 24 6 00 000 EUR.</w:t>
            </w:r>
          </w:p>
        </w:tc>
      </w:tr>
    </w:tbl>
    <w:p w14:paraId="3B627E6B" w14:textId="77777777" w:rsidR="006C686E" w:rsidRDefault="006C686E">
      <w:pPr>
        <w:keepNext/>
        <w:spacing w:before="40" w:after="0"/>
        <w:jc w:val="both"/>
        <w:rPr>
          <w:rFonts w:ascii="Times New Roman" w:eastAsia="Times New Roman" w:hAnsi="Times New Roman" w:cs="Times New Roman"/>
          <w:noProof/>
          <w:kern w:val="0"/>
          <w14:ligatures w14:val="none"/>
        </w:rPr>
        <w:sectPr w:rsidR="006C686E" w:rsidSect="00C95E00">
          <w:headerReference w:type="even" r:id="rId286"/>
          <w:headerReference w:type="default" r:id="rId287"/>
          <w:footerReference w:type="even" r:id="rId288"/>
          <w:footerReference w:type="default" r:id="rId289"/>
          <w:headerReference w:type="first" r:id="rId290"/>
          <w:footerReference w:type="first" r:id="rId291"/>
          <w:pgSz w:w="16839" w:h="11907" w:orient="landscape"/>
          <w:pgMar w:top="1134" w:right="1134" w:bottom="1134" w:left="1134" w:header="567" w:footer="567" w:gutter="0"/>
          <w:cols w:space="720"/>
          <w:docGrid w:linePitch="360"/>
        </w:sectPr>
      </w:pPr>
    </w:p>
    <w:p w14:paraId="4C9892FB" w14:textId="77777777" w:rsidR="006C686E" w:rsidRDefault="00B17E8C">
      <w:pPr>
        <w:pStyle w:val="P68B1DB1-Normal1"/>
        <w:keepNext/>
        <w:spacing w:before="40" w:after="0"/>
        <w:ind w:left="130" w:firstLine="720"/>
        <w:jc w:val="both"/>
        <w:outlineLvl w:val="1"/>
        <w:rPr>
          <w:rFonts w:eastAsia="Times New Roman"/>
          <w:noProof/>
        </w:rPr>
      </w:pPr>
      <w:r>
        <w:rPr>
          <w:noProof/>
        </w:rPr>
        <w:t>O.3. Description des réformes et des investissements pour le prêt</w:t>
      </w:r>
    </w:p>
    <w:p w14:paraId="30456D7B" w14:textId="77777777" w:rsidR="006C686E" w:rsidRDefault="00B17E8C">
      <w:pPr>
        <w:pStyle w:val="P68B1DB1-Normal5"/>
        <w:keepNext/>
        <w:spacing w:before="240" w:after="0"/>
        <w:ind w:left="851"/>
        <w:jc w:val="both"/>
        <w:outlineLvl w:val="2"/>
        <w:rPr>
          <w:rFonts w:eastAsia="Times New Roman"/>
          <w:noProof/>
        </w:rPr>
      </w:pPr>
      <w:r>
        <w:rPr>
          <w:noProof/>
        </w:rPr>
        <w:t>Investissement TC-C15-i08: Construction de l’extension du réseau de métro de Porto — Casa da Música-Santo Ovídio, phase de construction</w:t>
      </w:r>
    </w:p>
    <w:p w14:paraId="7285DC5A" w14:textId="77777777" w:rsidR="006C686E" w:rsidRDefault="00B17E8C">
      <w:pPr>
        <w:pStyle w:val="P68B1DB1-Normal3"/>
        <w:keepNext/>
        <w:widowControl w:val="0"/>
        <w:spacing w:before="40" w:after="0"/>
        <w:jc w:val="both"/>
        <w:rPr>
          <w:noProof/>
        </w:rPr>
      </w:pPr>
      <w:r>
        <w:rPr>
          <w:noProof/>
        </w:rPr>
        <w:t xml:space="preserve">L'objectif de cet investissement est d'étendre le réseau de métro de Porto. </w:t>
      </w:r>
    </w:p>
    <w:p w14:paraId="14634C47" w14:textId="7F560C65" w:rsidR="006C686E" w:rsidRDefault="00B17E8C">
      <w:pPr>
        <w:pStyle w:val="P68B1DB1-Normal3"/>
        <w:keepNext/>
        <w:widowControl w:val="0"/>
        <w:spacing w:before="40" w:after="0"/>
        <w:jc w:val="both"/>
        <w:rPr>
          <w:noProof/>
        </w:rPr>
      </w:pPr>
      <w:r>
        <w:rPr>
          <w:noProof/>
        </w:rPr>
        <w:t xml:space="preserve">L’investissement consiste en l’exécution financière de la construction d’une partie de l’extension du réseau de métro de Porto entre Boavista/Casa da Música à Porto et Santo Ovídio à Vila Nova de Gaia. </w:t>
      </w:r>
    </w:p>
    <w:p w14:paraId="407202B4" w14:textId="77777777" w:rsidR="006C686E" w:rsidRDefault="006C686E">
      <w:pPr>
        <w:keepNext/>
        <w:spacing w:before="40" w:after="0"/>
        <w:jc w:val="both"/>
        <w:outlineLvl w:val="1"/>
        <w:rPr>
          <w:rFonts w:ascii="Times New Roman" w:eastAsia="Times New Roman" w:hAnsi="Times New Roman" w:cs="Times New Roman"/>
          <w:b/>
          <w:noProof/>
          <w:kern w:val="0"/>
          <w:u w:val="single"/>
          <w14:ligatures w14:val="none"/>
        </w:rPr>
        <w:sectPr w:rsidR="006C686E" w:rsidSect="00C95E00">
          <w:headerReference w:type="even" r:id="rId292"/>
          <w:headerReference w:type="default" r:id="rId293"/>
          <w:footerReference w:type="even" r:id="rId294"/>
          <w:footerReference w:type="default" r:id="rId295"/>
          <w:headerReference w:type="first" r:id="rId296"/>
          <w:footerReference w:type="first" r:id="rId297"/>
          <w:pgSz w:w="11907" w:h="16839"/>
          <w:pgMar w:top="1134" w:right="1134" w:bottom="1134" w:left="1134" w:header="567" w:footer="567" w:gutter="0"/>
          <w:cols w:space="720"/>
          <w:docGrid w:linePitch="360"/>
        </w:sectPr>
      </w:pPr>
    </w:p>
    <w:p w14:paraId="70DE9518" w14:textId="77777777" w:rsidR="006C686E" w:rsidRDefault="00B17E8C">
      <w:pPr>
        <w:pStyle w:val="P68B1DB1-Normal1"/>
        <w:keepNext/>
        <w:spacing w:before="40" w:after="0"/>
        <w:ind w:left="130" w:firstLine="12"/>
        <w:jc w:val="center"/>
        <w:outlineLvl w:val="1"/>
        <w:rPr>
          <w:rFonts w:eastAsia="Times New Roman"/>
          <w:noProof/>
        </w:rPr>
      </w:pPr>
      <w:r>
        <w:rPr>
          <w:noProof/>
        </w:rPr>
        <w:t>O.4. Étapes, objectifs, indicateurs et calendrier du suivi et de la mise en œuvre du prêt</w:t>
      </w: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1417"/>
        <w:gridCol w:w="851"/>
        <w:gridCol w:w="1134"/>
        <w:gridCol w:w="992"/>
        <w:gridCol w:w="992"/>
        <w:gridCol w:w="1424"/>
        <w:gridCol w:w="567"/>
        <w:gridCol w:w="844"/>
        <w:gridCol w:w="4259"/>
      </w:tblGrid>
      <w:tr w:rsidR="006C686E" w14:paraId="64D4E375" w14:textId="77777777" w:rsidTr="00A66BC8">
        <w:trPr>
          <w:trHeight w:val="910"/>
          <w:tblHeader/>
          <w:jc w:val="center"/>
        </w:trPr>
        <w:tc>
          <w:tcPr>
            <w:tcW w:w="1135" w:type="dxa"/>
            <w:vMerge w:val="restart"/>
            <w:shd w:val="clear" w:color="auto" w:fill="BDD6EE"/>
            <w:vAlign w:val="center"/>
            <w:hideMark/>
          </w:tcPr>
          <w:p w14:paraId="03BC6DCC" w14:textId="77777777" w:rsidR="006C686E" w:rsidRDefault="00B17E8C">
            <w:pPr>
              <w:pStyle w:val="P68B1DB1-Normal9"/>
              <w:spacing w:after="0" w:line="240" w:lineRule="auto"/>
              <w:jc w:val="center"/>
              <w:rPr>
                <w:rFonts w:eastAsia="Times New Roman"/>
                <w:noProof/>
              </w:rPr>
            </w:pPr>
            <w:r>
              <w:rPr>
                <w:noProof/>
              </w:rPr>
              <w:t>Numéro séquentiel</w:t>
            </w:r>
          </w:p>
        </w:tc>
        <w:tc>
          <w:tcPr>
            <w:tcW w:w="1412" w:type="dxa"/>
            <w:vMerge w:val="restart"/>
            <w:shd w:val="clear" w:color="auto" w:fill="BDD6EE"/>
            <w:vAlign w:val="center"/>
            <w:hideMark/>
          </w:tcPr>
          <w:p w14:paraId="6ECCDAE9"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417" w:type="dxa"/>
            <w:vMerge w:val="restart"/>
            <w:shd w:val="clear" w:color="auto" w:fill="BDD6EE"/>
            <w:vAlign w:val="center"/>
            <w:hideMark/>
          </w:tcPr>
          <w:p w14:paraId="43F71880" w14:textId="77777777" w:rsidR="006C686E" w:rsidRDefault="00B17E8C">
            <w:pPr>
              <w:pStyle w:val="P68B1DB1-Normal9"/>
              <w:spacing w:after="0" w:line="240" w:lineRule="auto"/>
              <w:jc w:val="center"/>
              <w:rPr>
                <w:rFonts w:eastAsia="Times New Roman"/>
                <w:noProof/>
              </w:rPr>
            </w:pPr>
            <w:r>
              <w:rPr>
                <w:noProof/>
              </w:rPr>
              <w:t>Étape/objectif</w:t>
            </w:r>
          </w:p>
        </w:tc>
        <w:tc>
          <w:tcPr>
            <w:tcW w:w="851" w:type="dxa"/>
            <w:vMerge w:val="restart"/>
            <w:shd w:val="clear" w:color="auto" w:fill="BDD6EE"/>
            <w:vAlign w:val="center"/>
            <w:hideMark/>
          </w:tcPr>
          <w:p w14:paraId="7973CA14" w14:textId="77777777" w:rsidR="006C686E" w:rsidRDefault="00B17E8C">
            <w:pPr>
              <w:pStyle w:val="P68B1DB1-Normal9"/>
              <w:spacing w:after="0" w:line="240" w:lineRule="auto"/>
              <w:jc w:val="center"/>
              <w:rPr>
                <w:rFonts w:eastAsia="Times New Roman"/>
                <w:noProof/>
              </w:rPr>
            </w:pPr>
            <w:r>
              <w:rPr>
                <w:noProof/>
              </w:rPr>
              <w:t>Nom</w:t>
            </w:r>
          </w:p>
        </w:tc>
        <w:tc>
          <w:tcPr>
            <w:tcW w:w="1134" w:type="dxa"/>
            <w:vMerge w:val="restart"/>
            <w:shd w:val="clear" w:color="auto" w:fill="BDD6EE"/>
            <w:vAlign w:val="center"/>
            <w:hideMark/>
          </w:tcPr>
          <w:p w14:paraId="6A1C4A76"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3408" w:type="dxa"/>
            <w:gridSpan w:val="3"/>
            <w:shd w:val="clear" w:color="auto" w:fill="BDD6EE"/>
            <w:vAlign w:val="center"/>
            <w:hideMark/>
          </w:tcPr>
          <w:p w14:paraId="5A6191F8"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411" w:type="dxa"/>
            <w:gridSpan w:val="2"/>
            <w:shd w:val="clear" w:color="auto" w:fill="BDD6EE"/>
            <w:vAlign w:val="center"/>
            <w:hideMark/>
          </w:tcPr>
          <w:p w14:paraId="6C29AFA8"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4259" w:type="dxa"/>
            <w:vMerge w:val="restart"/>
            <w:shd w:val="clear" w:color="auto" w:fill="BDD6EE"/>
            <w:vAlign w:val="center"/>
            <w:hideMark/>
          </w:tcPr>
          <w:p w14:paraId="1644B4B3"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0BFE249D" w14:textId="77777777" w:rsidTr="00A66BC8">
        <w:trPr>
          <w:trHeight w:val="470"/>
          <w:tblHeader/>
          <w:jc w:val="center"/>
        </w:trPr>
        <w:tc>
          <w:tcPr>
            <w:tcW w:w="1135" w:type="dxa"/>
            <w:vMerge/>
            <w:vAlign w:val="center"/>
            <w:hideMark/>
          </w:tcPr>
          <w:p w14:paraId="5626F4B1"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2" w:type="dxa"/>
            <w:vMerge/>
            <w:vAlign w:val="center"/>
            <w:hideMark/>
          </w:tcPr>
          <w:p w14:paraId="2F860770"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43D8250F"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851" w:type="dxa"/>
            <w:vMerge/>
            <w:vAlign w:val="center"/>
            <w:hideMark/>
          </w:tcPr>
          <w:p w14:paraId="56129454"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21D1393A"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992" w:type="dxa"/>
            <w:shd w:val="clear" w:color="auto" w:fill="BDD6EE"/>
            <w:vAlign w:val="center"/>
            <w:hideMark/>
          </w:tcPr>
          <w:p w14:paraId="728D3052" w14:textId="77777777" w:rsidR="006C686E" w:rsidRDefault="00B17E8C">
            <w:pPr>
              <w:pStyle w:val="P68B1DB1-Normal9"/>
              <w:spacing w:after="0" w:line="240" w:lineRule="auto"/>
              <w:jc w:val="center"/>
              <w:rPr>
                <w:rFonts w:eastAsia="Times New Roman"/>
                <w:noProof/>
              </w:rPr>
            </w:pPr>
            <w:r>
              <w:rPr>
                <w:noProof/>
              </w:rPr>
              <w:t>Unité de mesure</w:t>
            </w:r>
          </w:p>
        </w:tc>
        <w:tc>
          <w:tcPr>
            <w:tcW w:w="992" w:type="dxa"/>
            <w:shd w:val="clear" w:color="auto" w:fill="BDD6EE"/>
            <w:vAlign w:val="center"/>
            <w:hideMark/>
          </w:tcPr>
          <w:p w14:paraId="2D83BA38" w14:textId="77777777" w:rsidR="006C686E" w:rsidRDefault="00B17E8C">
            <w:pPr>
              <w:pStyle w:val="P68B1DB1-Normal9"/>
              <w:spacing w:after="0" w:line="240" w:lineRule="auto"/>
              <w:jc w:val="center"/>
              <w:rPr>
                <w:rFonts w:eastAsia="Times New Roman"/>
                <w:noProof/>
              </w:rPr>
            </w:pPr>
            <w:r>
              <w:rPr>
                <w:noProof/>
              </w:rPr>
              <w:t>Données de référence</w:t>
            </w:r>
          </w:p>
        </w:tc>
        <w:tc>
          <w:tcPr>
            <w:tcW w:w="1424" w:type="dxa"/>
            <w:shd w:val="clear" w:color="auto" w:fill="BDD6EE"/>
            <w:vAlign w:val="center"/>
            <w:hideMark/>
          </w:tcPr>
          <w:p w14:paraId="318BB6B5" w14:textId="77777777" w:rsidR="006C686E" w:rsidRDefault="00B17E8C">
            <w:pPr>
              <w:pStyle w:val="P68B1DB1-Normal9"/>
              <w:spacing w:after="0" w:line="240" w:lineRule="auto"/>
              <w:jc w:val="center"/>
              <w:rPr>
                <w:rFonts w:eastAsia="Times New Roman"/>
                <w:noProof/>
              </w:rPr>
            </w:pPr>
            <w:r>
              <w:rPr>
                <w:noProof/>
              </w:rPr>
              <w:t>Objectif</w:t>
            </w:r>
          </w:p>
        </w:tc>
        <w:tc>
          <w:tcPr>
            <w:tcW w:w="567" w:type="dxa"/>
            <w:shd w:val="clear" w:color="auto" w:fill="BDD6EE"/>
            <w:vAlign w:val="center"/>
            <w:hideMark/>
          </w:tcPr>
          <w:p w14:paraId="57ED18B7" w14:textId="77777777" w:rsidR="006C686E" w:rsidRDefault="00B17E8C">
            <w:pPr>
              <w:pStyle w:val="P68B1DB1-Normal9"/>
              <w:spacing w:after="0" w:line="240" w:lineRule="auto"/>
              <w:jc w:val="center"/>
              <w:rPr>
                <w:rFonts w:eastAsia="Times New Roman"/>
                <w:noProof/>
              </w:rPr>
            </w:pPr>
            <w:r>
              <w:rPr>
                <w:noProof/>
              </w:rPr>
              <w:t>Q</w:t>
            </w:r>
          </w:p>
        </w:tc>
        <w:tc>
          <w:tcPr>
            <w:tcW w:w="844" w:type="dxa"/>
            <w:shd w:val="clear" w:color="auto" w:fill="BDD6EE"/>
            <w:vAlign w:val="center"/>
            <w:hideMark/>
          </w:tcPr>
          <w:p w14:paraId="3DDA11F3" w14:textId="77777777" w:rsidR="006C686E" w:rsidRDefault="00B17E8C">
            <w:pPr>
              <w:pStyle w:val="P68B1DB1-Normal9"/>
              <w:spacing w:after="0" w:line="240" w:lineRule="auto"/>
              <w:jc w:val="center"/>
              <w:rPr>
                <w:rFonts w:eastAsia="Times New Roman"/>
                <w:noProof/>
              </w:rPr>
            </w:pPr>
            <w:r>
              <w:rPr>
                <w:noProof/>
              </w:rPr>
              <w:t>Année</w:t>
            </w:r>
          </w:p>
        </w:tc>
        <w:tc>
          <w:tcPr>
            <w:tcW w:w="4259" w:type="dxa"/>
            <w:vMerge/>
            <w:vAlign w:val="center"/>
            <w:hideMark/>
          </w:tcPr>
          <w:p w14:paraId="71EF7F93"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01B1A32B" w14:textId="77777777" w:rsidTr="00A66BC8">
        <w:trPr>
          <w:trHeight w:val="1833"/>
          <w:jc w:val="center"/>
        </w:trPr>
        <w:tc>
          <w:tcPr>
            <w:tcW w:w="1135" w:type="dxa"/>
            <w:shd w:val="clear" w:color="auto" w:fill="C4EFCE"/>
            <w:vAlign w:val="center"/>
          </w:tcPr>
          <w:p w14:paraId="2FCF5867" w14:textId="4C1C44D6" w:rsidR="006C686E" w:rsidRDefault="00B17E8C">
            <w:pPr>
              <w:pStyle w:val="P68B1DB1-Normal17"/>
              <w:spacing w:after="0" w:line="240" w:lineRule="auto"/>
              <w:jc w:val="center"/>
              <w:rPr>
                <w:bCs/>
                <w:noProof/>
                <w:kern w:val="0"/>
                <w14:ligatures w14:val="none"/>
              </w:rPr>
            </w:pPr>
            <w:r>
              <w:rPr>
                <w:noProof/>
              </w:rPr>
              <w:t>15.6</w:t>
            </w:r>
          </w:p>
        </w:tc>
        <w:tc>
          <w:tcPr>
            <w:tcW w:w="1412" w:type="dxa"/>
            <w:shd w:val="clear" w:color="auto" w:fill="C4EFCE"/>
            <w:noWrap/>
            <w:vAlign w:val="center"/>
          </w:tcPr>
          <w:p w14:paraId="407F3831" w14:textId="77777777" w:rsidR="006C686E" w:rsidRDefault="00B17E8C">
            <w:pPr>
              <w:pStyle w:val="P68B1DB1-Normal11"/>
              <w:spacing w:after="0" w:line="240" w:lineRule="auto"/>
              <w:jc w:val="center"/>
              <w:rPr>
                <w:noProof/>
              </w:rPr>
            </w:pPr>
            <w:r>
              <w:rPr>
                <w:noProof/>
              </w:rPr>
              <w:t>TC-C15-i08</w:t>
            </w:r>
          </w:p>
        </w:tc>
        <w:tc>
          <w:tcPr>
            <w:tcW w:w="1417" w:type="dxa"/>
            <w:shd w:val="clear" w:color="auto" w:fill="C4EFCE"/>
            <w:noWrap/>
            <w:vAlign w:val="center"/>
          </w:tcPr>
          <w:p w14:paraId="6B9B824B" w14:textId="73AA073A" w:rsidR="006C686E" w:rsidRDefault="00B17E8C">
            <w:pPr>
              <w:pStyle w:val="P68B1DB1-Normal13"/>
              <w:spacing w:after="0" w:line="240" w:lineRule="auto"/>
              <w:jc w:val="center"/>
              <w:rPr>
                <w:noProof/>
              </w:rPr>
            </w:pPr>
            <w:r>
              <w:rPr>
                <w:noProof/>
              </w:rPr>
              <w:t>T</w:t>
            </w:r>
          </w:p>
        </w:tc>
        <w:tc>
          <w:tcPr>
            <w:tcW w:w="851" w:type="dxa"/>
            <w:shd w:val="clear" w:color="auto" w:fill="C4EFCE"/>
            <w:noWrap/>
            <w:vAlign w:val="center"/>
          </w:tcPr>
          <w:p w14:paraId="47E276EC" w14:textId="2690C15C" w:rsidR="006C686E" w:rsidRDefault="00B17E8C">
            <w:pPr>
              <w:pStyle w:val="P68B1DB1-Normal11"/>
              <w:spacing w:after="0" w:line="240" w:lineRule="auto"/>
              <w:jc w:val="center"/>
              <w:rPr>
                <w:noProof/>
              </w:rPr>
            </w:pPr>
            <w:r>
              <w:rPr>
                <w:noProof/>
              </w:rPr>
              <w:t xml:space="preserve">Exécution financière </w:t>
            </w:r>
          </w:p>
        </w:tc>
        <w:tc>
          <w:tcPr>
            <w:tcW w:w="1134" w:type="dxa"/>
            <w:shd w:val="clear" w:color="auto" w:fill="C4EFCE"/>
            <w:noWrap/>
            <w:vAlign w:val="center"/>
          </w:tcPr>
          <w:p w14:paraId="55F9295A"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52B457EE" w14:textId="1A56BCD1" w:rsidR="006C686E" w:rsidRDefault="00B17E8C">
            <w:pPr>
              <w:pStyle w:val="P68B1DB1-Normal13"/>
              <w:spacing w:after="0" w:line="240" w:lineRule="auto"/>
              <w:jc w:val="center"/>
              <w:rPr>
                <w:noProof/>
                <w:kern w:val="0"/>
                <w14:ligatures w14:val="none"/>
              </w:rPr>
            </w:pPr>
            <w:r>
              <w:rPr>
                <w:noProof/>
              </w:rPr>
              <w:t>EUR</w:t>
            </w:r>
          </w:p>
        </w:tc>
        <w:tc>
          <w:tcPr>
            <w:tcW w:w="992" w:type="dxa"/>
            <w:shd w:val="clear" w:color="auto" w:fill="C4EFCE"/>
            <w:noWrap/>
            <w:vAlign w:val="center"/>
          </w:tcPr>
          <w:p w14:paraId="6B9E376D" w14:textId="77777777" w:rsidR="006C686E" w:rsidRDefault="00B17E8C">
            <w:pPr>
              <w:pStyle w:val="P68B1DB1-Normal13"/>
              <w:spacing w:after="0" w:line="240" w:lineRule="auto"/>
              <w:jc w:val="center"/>
              <w:rPr>
                <w:noProof/>
                <w:kern w:val="0"/>
                <w14:ligatures w14:val="none"/>
              </w:rPr>
            </w:pPr>
            <w:r>
              <w:rPr>
                <w:noProof/>
              </w:rPr>
              <w:t>0</w:t>
            </w:r>
          </w:p>
        </w:tc>
        <w:tc>
          <w:tcPr>
            <w:tcW w:w="1424" w:type="dxa"/>
            <w:shd w:val="clear" w:color="auto" w:fill="C4EFCE"/>
            <w:noWrap/>
            <w:vAlign w:val="center"/>
          </w:tcPr>
          <w:p w14:paraId="2FC13501" w14:textId="67810E47" w:rsidR="006C686E" w:rsidRDefault="00B17E8C">
            <w:pPr>
              <w:pStyle w:val="P68B1DB1-Normal13"/>
              <w:spacing w:after="0" w:line="240" w:lineRule="auto"/>
              <w:jc w:val="center"/>
              <w:rPr>
                <w:noProof/>
                <w:kern w:val="0"/>
                <w14:ligatures w14:val="none"/>
              </w:rPr>
            </w:pPr>
            <w:r>
              <w:rPr>
                <w:noProof/>
              </w:rPr>
              <w:t>239 850 000</w:t>
            </w:r>
          </w:p>
        </w:tc>
        <w:tc>
          <w:tcPr>
            <w:tcW w:w="567" w:type="dxa"/>
            <w:shd w:val="clear" w:color="auto" w:fill="C4EFCE"/>
            <w:noWrap/>
            <w:vAlign w:val="center"/>
          </w:tcPr>
          <w:p w14:paraId="221B2A20" w14:textId="77777777" w:rsidR="006C686E" w:rsidRDefault="00B17E8C">
            <w:pPr>
              <w:pStyle w:val="P68B1DB1-Normal11"/>
              <w:spacing w:after="0" w:line="240" w:lineRule="auto"/>
              <w:jc w:val="center"/>
              <w:rPr>
                <w:noProof/>
              </w:rPr>
            </w:pPr>
            <w:r>
              <w:rPr>
                <w:noProof/>
              </w:rPr>
              <w:t>T2</w:t>
            </w:r>
          </w:p>
        </w:tc>
        <w:tc>
          <w:tcPr>
            <w:tcW w:w="844" w:type="dxa"/>
            <w:shd w:val="clear" w:color="auto" w:fill="C4EFCE"/>
            <w:noWrap/>
            <w:vAlign w:val="center"/>
          </w:tcPr>
          <w:p w14:paraId="072BE166" w14:textId="77777777" w:rsidR="006C686E" w:rsidRDefault="00B17E8C">
            <w:pPr>
              <w:pStyle w:val="P68B1DB1-Normal11"/>
              <w:spacing w:after="0" w:line="240" w:lineRule="auto"/>
              <w:jc w:val="center"/>
              <w:rPr>
                <w:noProof/>
              </w:rPr>
            </w:pPr>
            <w:r>
              <w:rPr>
                <w:noProof/>
              </w:rPr>
              <w:t>2026</w:t>
            </w:r>
          </w:p>
        </w:tc>
        <w:tc>
          <w:tcPr>
            <w:tcW w:w="4259" w:type="dxa"/>
            <w:shd w:val="clear" w:color="auto" w:fill="C4EFCE"/>
            <w:vAlign w:val="center"/>
          </w:tcPr>
          <w:p w14:paraId="3972BC61" w14:textId="364441A1" w:rsidR="006C686E" w:rsidRDefault="00B17E8C">
            <w:pPr>
              <w:pStyle w:val="P68B1DB1-Normal26"/>
              <w:spacing w:after="0" w:line="240" w:lineRule="auto"/>
              <w:jc w:val="both"/>
              <w:rPr>
                <w:rFonts w:eastAsia="Calibri"/>
                <w:noProof/>
                <w:kern w:val="0"/>
                <w14:ligatures w14:val="none"/>
              </w:rPr>
            </w:pPr>
            <w:r>
              <w:rPr>
                <w:noProof/>
              </w:rPr>
              <w:t>Confirmation par une entité tierce chargée du contrôle qu’au moins 239 850 000 EUR pour la construction de l’extension d’une partie du réseau du métro de Porto ont été exécutés financièrement.</w:t>
            </w:r>
          </w:p>
        </w:tc>
      </w:tr>
    </w:tbl>
    <w:p w14:paraId="16CD5881" w14:textId="77777777" w:rsidR="006C686E" w:rsidRDefault="006C686E">
      <w:pPr>
        <w:spacing w:after="200" w:line="276" w:lineRule="auto"/>
        <w:rPr>
          <w:rFonts w:ascii="Calibri" w:eastAsia="Calibri" w:hAnsi="Calibri" w:cs="Times New Roman"/>
          <w:noProof/>
          <w:kern w:val="0"/>
          <w14:ligatures w14:val="none"/>
        </w:rPr>
      </w:pPr>
    </w:p>
    <w:p w14:paraId="5EC902F6" w14:textId="77777777" w:rsidR="006C686E" w:rsidRDefault="006C686E">
      <w:pPr>
        <w:spacing w:after="200" w:line="276" w:lineRule="auto"/>
        <w:rPr>
          <w:rFonts w:ascii="Calibri" w:eastAsia="Calibri" w:hAnsi="Calibri" w:cs="Times New Roman"/>
          <w:noProof/>
          <w:kern w:val="0"/>
          <w14:ligatures w14:val="none"/>
        </w:rPr>
      </w:pPr>
    </w:p>
    <w:p w14:paraId="60838DC1" w14:textId="77777777" w:rsidR="006C686E" w:rsidRDefault="006C686E">
      <w:pPr>
        <w:keepNext/>
        <w:spacing w:before="40" w:after="0"/>
        <w:jc w:val="both"/>
        <w:outlineLvl w:val="1"/>
        <w:rPr>
          <w:rFonts w:ascii="Times New Roman" w:eastAsia="Times New Roman" w:hAnsi="Times New Roman" w:cs="Times New Roman"/>
          <w:b/>
          <w:noProof/>
          <w:kern w:val="0"/>
          <w:u w:val="single"/>
          <w14:ligatures w14:val="none"/>
        </w:rPr>
        <w:sectPr w:rsidR="006C686E" w:rsidSect="00C95E00">
          <w:headerReference w:type="even" r:id="rId298"/>
          <w:headerReference w:type="default" r:id="rId299"/>
          <w:footerReference w:type="even" r:id="rId300"/>
          <w:footerReference w:type="default" r:id="rId301"/>
          <w:headerReference w:type="first" r:id="rId302"/>
          <w:footerReference w:type="first" r:id="rId303"/>
          <w:pgSz w:w="16839" w:h="11907" w:orient="landscape"/>
          <w:pgMar w:top="1134" w:right="1134" w:bottom="1134" w:left="1134" w:header="567" w:footer="567" w:gutter="0"/>
          <w:cols w:space="720"/>
          <w:docGrid w:linePitch="360"/>
        </w:sectPr>
      </w:pPr>
    </w:p>
    <w:p w14:paraId="31E1FEA7" w14:textId="2ECA2E1A" w:rsidR="006C686E" w:rsidRDefault="00B17E8C">
      <w:pPr>
        <w:pStyle w:val="P68B1DB1-Normal1"/>
        <w:keepNext/>
        <w:spacing w:before="40" w:after="0"/>
        <w:ind w:left="130" w:firstLine="720"/>
        <w:jc w:val="both"/>
        <w:outlineLvl w:val="1"/>
        <w:rPr>
          <w:rFonts w:eastAsia="Times New Roman"/>
          <w:noProof/>
        </w:rPr>
      </w:pPr>
      <w:r>
        <w:rPr>
          <w:noProof/>
        </w:rPr>
        <w:t>P. ÉLÉMENT 16: Entreprises 4.0</w:t>
      </w:r>
    </w:p>
    <w:p w14:paraId="45F328D4" w14:textId="77777777" w:rsidR="006C686E" w:rsidRDefault="00B17E8C">
      <w:pPr>
        <w:pStyle w:val="P68B1DB1-Normal4"/>
        <w:keepNext/>
        <w:spacing w:before="40" w:after="0"/>
        <w:jc w:val="both"/>
        <w:rPr>
          <w:rFonts w:eastAsia="Times New Roman"/>
          <w:noProof/>
        </w:rPr>
      </w:pPr>
      <w:r>
        <w:rPr>
          <w:noProof/>
        </w:rPr>
        <w:t>Ce volet répond aux défis liés à la faible numérisation des entreprises. Selon les résultats de l’indice relatif à l’économie et à la société numériques (DESI 2020), le Portugal se classe 19e</w:t>
      </w:r>
      <w:r>
        <w:rPr>
          <w:noProof/>
          <w:vertAlign w:val="superscript"/>
        </w:rPr>
        <w:t xml:space="preserve"> dans</w:t>
      </w:r>
      <w:r>
        <w:rPr>
          <w:noProof/>
        </w:rPr>
        <w:t xml:space="preserve"> l’UE et en dessous de la moyenne de l’UE. Les dimensions les plus fragiles dans le cas du Portugal sont celles du «capital humain» et de l’«utilisation des services internet» et certaines dimensions de l’«intégration des technologies numériques», qui reflètent toutes les limitations de la capacité et des performances numériques des entreprises. </w:t>
      </w:r>
    </w:p>
    <w:p w14:paraId="1C7236E4" w14:textId="77777777" w:rsidR="006C686E" w:rsidRDefault="00B17E8C">
      <w:pPr>
        <w:pStyle w:val="P68B1DB1-Normal4"/>
        <w:keepNext/>
        <w:spacing w:before="40" w:after="0"/>
        <w:jc w:val="both"/>
        <w:rPr>
          <w:rFonts w:eastAsia="Times New Roman"/>
          <w:noProof/>
        </w:rPr>
      </w:pPr>
      <w:r>
        <w:rPr>
          <w:noProof/>
        </w:rPr>
        <w:t>Les objectifs du volet sont de cibler le secteur des entreprises, en particulier les PME et leurs salariés, avec des investissements visant à accélérer la transition numérique complétés par le renforcement des compétences numériques de la main-d’œuvre employée. Les investissements prévoient les actions suivantes:</w:t>
      </w:r>
    </w:p>
    <w:p w14:paraId="64B0958E" w14:textId="77777777" w:rsidR="006C686E" w:rsidRDefault="00B17E8C">
      <w:pPr>
        <w:pStyle w:val="P68B1DB1-Normal4"/>
        <w:keepNext/>
        <w:numPr>
          <w:ilvl w:val="0"/>
          <w:numId w:val="52"/>
        </w:numPr>
        <w:spacing w:before="40" w:after="200" w:line="276" w:lineRule="auto"/>
        <w:contextualSpacing/>
        <w:jc w:val="both"/>
        <w:rPr>
          <w:rFonts w:eastAsia="Times New Roman"/>
          <w:noProof/>
        </w:rPr>
      </w:pPr>
      <w:r>
        <w:rPr>
          <w:noProof/>
        </w:rPr>
        <w:t>le renforcement des compétences numériques des salariés et de la population en âge de travailler;</w:t>
      </w:r>
    </w:p>
    <w:p w14:paraId="6566426C" w14:textId="77777777" w:rsidR="006C686E" w:rsidRDefault="00B17E8C">
      <w:pPr>
        <w:pStyle w:val="P68B1DB1-Normal4"/>
        <w:keepNext/>
        <w:numPr>
          <w:ilvl w:val="0"/>
          <w:numId w:val="52"/>
        </w:numPr>
        <w:spacing w:before="40" w:after="200" w:line="276" w:lineRule="auto"/>
        <w:contextualSpacing/>
        <w:jc w:val="both"/>
        <w:rPr>
          <w:rFonts w:eastAsia="Times New Roman"/>
          <w:noProof/>
        </w:rPr>
      </w:pPr>
      <w:r>
        <w:rPr>
          <w:noProof/>
        </w:rPr>
        <w:t>la modernisation du modèle économique des entreprises ainsi que de leurs processus de production, y compris la numérisation des flux de travail tels que la gestion des entreprises, les produits innovants et la facturation;</w:t>
      </w:r>
    </w:p>
    <w:p w14:paraId="1F0F2146" w14:textId="77777777" w:rsidR="006C686E" w:rsidRDefault="00B17E8C">
      <w:pPr>
        <w:pStyle w:val="P68B1DB1-Normal4"/>
        <w:keepNext/>
        <w:numPr>
          <w:ilvl w:val="0"/>
          <w:numId w:val="52"/>
        </w:numPr>
        <w:spacing w:before="40" w:after="200" w:line="276" w:lineRule="auto"/>
        <w:contextualSpacing/>
        <w:jc w:val="both"/>
        <w:rPr>
          <w:rFonts w:eastAsia="Times New Roman"/>
          <w:noProof/>
        </w:rPr>
      </w:pPr>
      <w:r>
        <w:rPr>
          <w:noProof/>
        </w:rPr>
        <w:t>Création de nouveaux canaux de marketing numérique pour les produits et services;</w:t>
      </w:r>
    </w:p>
    <w:p w14:paraId="227C2D75" w14:textId="77777777" w:rsidR="006C686E" w:rsidRDefault="00B17E8C">
      <w:pPr>
        <w:pStyle w:val="P68B1DB1-Normal4"/>
        <w:keepNext/>
        <w:numPr>
          <w:ilvl w:val="0"/>
          <w:numId w:val="52"/>
        </w:numPr>
        <w:spacing w:before="40" w:after="200" w:line="276" w:lineRule="auto"/>
        <w:contextualSpacing/>
        <w:jc w:val="both"/>
        <w:rPr>
          <w:rFonts w:eastAsia="Times New Roman"/>
          <w:noProof/>
        </w:rPr>
      </w:pPr>
      <w:r>
        <w:rPr>
          <w:noProof/>
        </w:rPr>
        <w:t>Innovation et intégration des technologies numériques avancées dans le modèle économique des entreprises; et</w:t>
      </w:r>
    </w:p>
    <w:p w14:paraId="10E8AFBB" w14:textId="77777777" w:rsidR="006C686E" w:rsidRDefault="00B17E8C">
      <w:pPr>
        <w:pStyle w:val="P68B1DB1-Normal4"/>
        <w:keepNext/>
        <w:numPr>
          <w:ilvl w:val="0"/>
          <w:numId w:val="52"/>
        </w:numPr>
        <w:spacing w:before="40" w:after="200" w:line="276" w:lineRule="auto"/>
        <w:contextualSpacing/>
        <w:jc w:val="both"/>
        <w:rPr>
          <w:rFonts w:eastAsia="Times New Roman"/>
          <w:noProof/>
        </w:rPr>
      </w:pPr>
      <w:r>
        <w:rPr>
          <w:noProof/>
        </w:rPr>
        <w:t>Favoriser l’entrepreneuriat fondé sur le numérique.</w:t>
      </w:r>
    </w:p>
    <w:p w14:paraId="49AA64B0" w14:textId="77777777" w:rsidR="006C686E" w:rsidRDefault="00B17E8C">
      <w:pPr>
        <w:pStyle w:val="P68B1DB1-Normal4"/>
        <w:spacing w:after="0" w:line="240" w:lineRule="auto"/>
        <w:ind w:left="60"/>
        <w:jc w:val="both"/>
        <w:textAlignment w:val="baseline"/>
        <w:rPr>
          <w:rFonts w:eastAsia="Times New Roman"/>
          <w:noProof/>
        </w:rPr>
      </w:pPr>
      <w:r>
        <w:rPr>
          <w:noProof/>
        </w:rPr>
        <w:t>Le volet soutient la mise en œuvre des recommandations par pays relatives au soutien à l’utilisation des technologies numériques, afin de garantir l’égalité d’accès à une éducation et à une formation de qualité, de stimuler la compétitivité des entreprises, de soutenir l’emploi et de donner la priorité aux mesures visant à préserver l’emploi (recommandation par pays no 2 2020). Le volet soutient également la mise en œuvre des recommandations par pays visant à améliorer le niveau de compétences de la population, en particulier sa culture numérique, y compris en rendant l’apprentissage des adultes plus adapté aux besoins du marché du travail (recommandation par pays no 2 de 2019) et à concentrer les investissements sur la transition numérique (recommandation par pays no 3 de 2020).</w:t>
      </w:r>
    </w:p>
    <w:p w14:paraId="28E57FEB" w14:textId="77777777" w:rsidR="006C686E" w:rsidRDefault="00B17E8C">
      <w:pPr>
        <w:pStyle w:val="P68B1DB1-Normal4"/>
        <w:spacing w:after="0" w:line="240" w:lineRule="auto"/>
        <w:ind w:left="60"/>
        <w:jc w:val="both"/>
        <w:textAlignment w:val="baseline"/>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076914E5" w14:textId="77777777" w:rsidR="006C686E" w:rsidRDefault="006C686E">
      <w:pPr>
        <w:spacing w:after="200" w:line="276" w:lineRule="auto"/>
        <w:rPr>
          <w:rFonts w:ascii="Calibri" w:eastAsia="Calibri" w:hAnsi="Calibri" w:cs="Times New Roman"/>
          <w:noProof/>
          <w:kern w:val="0"/>
          <w14:ligatures w14:val="none"/>
        </w:rPr>
      </w:pPr>
    </w:p>
    <w:p w14:paraId="65534358" w14:textId="77777777" w:rsidR="006C686E" w:rsidRDefault="00B17E8C">
      <w:pPr>
        <w:pStyle w:val="P68B1DB1-Normal1"/>
        <w:spacing w:before="40" w:after="0"/>
        <w:ind w:left="130" w:firstLine="720"/>
        <w:jc w:val="both"/>
        <w:outlineLvl w:val="1"/>
        <w:rPr>
          <w:rFonts w:eastAsia="Times New Roman"/>
          <w:noProof/>
        </w:rPr>
      </w:pPr>
      <w:r>
        <w:rPr>
          <w:noProof/>
        </w:rPr>
        <w:t>P.1. Description des réformes et des investissements pour le soutien financier non remboursable</w:t>
      </w:r>
    </w:p>
    <w:p w14:paraId="464B82FA" w14:textId="77777777" w:rsidR="006C686E" w:rsidRDefault="00B17E8C">
      <w:pPr>
        <w:pStyle w:val="P68B1DB1-Normal5"/>
        <w:spacing w:before="240" w:after="0"/>
        <w:ind w:left="851"/>
        <w:jc w:val="both"/>
        <w:outlineLvl w:val="2"/>
        <w:rPr>
          <w:rFonts w:eastAsia="Times New Roman"/>
          <w:noProof/>
        </w:rPr>
      </w:pPr>
      <w:r>
        <w:rPr>
          <w:noProof/>
        </w:rPr>
        <w:t>Réforme TD-r31: Transition numérique de l'environnement des entreprises</w:t>
      </w:r>
    </w:p>
    <w:p w14:paraId="59EC7BE6" w14:textId="77777777" w:rsidR="006C686E" w:rsidRDefault="00B17E8C">
      <w:pPr>
        <w:pStyle w:val="P68B1DB1-Normal4"/>
        <w:spacing w:before="40" w:after="0"/>
        <w:jc w:val="both"/>
        <w:rPr>
          <w:rFonts w:eastAsia="Times New Roman"/>
          <w:noProof/>
        </w:rPr>
      </w:pPr>
      <w:r>
        <w:rPr>
          <w:noProof/>
        </w:rPr>
        <w:t xml:space="preserve">Les objectifs de la mesure sont de renforcer la croissance de l’environnement des entreprises afin de le rendre numériquement plus compétitif et plus résilient dans le contexte économique et social mondial actuel. Cette réforme s’inscrit dans le cadre plus large du plan d’action pour la transition numérique (PATD) que le Portugal a adopté en avril 2020. </w:t>
      </w:r>
    </w:p>
    <w:p w14:paraId="605A008B" w14:textId="77777777" w:rsidR="006C686E" w:rsidRDefault="00B17E8C">
      <w:pPr>
        <w:pStyle w:val="P68B1DB1-Normal4"/>
        <w:spacing w:before="40" w:after="0"/>
        <w:jc w:val="both"/>
        <w:rPr>
          <w:rFonts w:eastAsia="Times New Roman"/>
          <w:noProof/>
        </w:rPr>
      </w:pPr>
      <w:r>
        <w:rPr>
          <w:noProof/>
        </w:rPr>
        <w:t>La réforme comprend les éléments suivants:</w:t>
      </w:r>
    </w:p>
    <w:p w14:paraId="77D3B41A" w14:textId="77777777" w:rsidR="006C686E" w:rsidRDefault="00B17E8C">
      <w:pPr>
        <w:pStyle w:val="P68B1DB1-Normal4"/>
        <w:numPr>
          <w:ilvl w:val="0"/>
          <w:numId w:val="52"/>
        </w:numPr>
        <w:spacing w:before="40" w:after="200" w:line="276" w:lineRule="auto"/>
        <w:ind w:left="714" w:hanging="357"/>
        <w:contextualSpacing/>
        <w:jc w:val="both"/>
        <w:rPr>
          <w:rFonts w:eastAsia="Times New Roman"/>
          <w:noProof/>
        </w:rPr>
      </w:pPr>
      <w:r>
        <w:rPr>
          <w:noProof/>
        </w:rPr>
        <w:t>Examen du contenu formateur inclus dans le catalogue national des certifications, en particulier en ce qui concerne les compétences numériques à utiliser dans un contexte professionnel. Ce renouvellement s'aligne sur les derniers développements technologiques et les besoins les plus pressants des entreprises de divers secteurs économiques. À cette fin, de nouveaux parcours de formation et des formations de courte durée peuvent être mis à disposition à partir de 2021.</w:t>
      </w:r>
    </w:p>
    <w:p w14:paraId="0FB140F6" w14:textId="77777777" w:rsidR="006C686E" w:rsidRDefault="00B17E8C">
      <w:pPr>
        <w:pStyle w:val="P68B1DB1-Normal4"/>
        <w:numPr>
          <w:ilvl w:val="0"/>
          <w:numId w:val="52"/>
        </w:numPr>
        <w:spacing w:before="40" w:after="200" w:line="276" w:lineRule="auto"/>
        <w:ind w:left="714" w:hanging="357"/>
        <w:contextualSpacing/>
        <w:jc w:val="both"/>
        <w:rPr>
          <w:rFonts w:eastAsia="Times New Roman"/>
          <w:noProof/>
        </w:rPr>
      </w:pPr>
      <w:r>
        <w:rPr>
          <w:noProof/>
        </w:rPr>
        <w:t>Établir le cadre juridique et réglementaire nécessaire à la création de scellés numériques dans les domaines de la cybersécurité, de la protection de la vie privée, de la durabilité et de la facilité d’utilisation. Ce cadre et la promotion de la confiance numérique sont une condition préalable à la mise en œuvre de l’investissement en faveur des labels numériques prévu dans ce volet.</w:t>
      </w:r>
    </w:p>
    <w:p w14:paraId="1E15C60E" w14:textId="77777777" w:rsidR="006C686E" w:rsidRDefault="00B17E8C">
      <w:pPr>
        <w:pStyle w:val="P68B1DB1-Normal4"/>
        <w:spacing w:before="40" w:after="0"/>
        <w:jc w:val="both"/>
        <w:rPr>
          <w:rFonts w:eastAsia="Times New Roman"/>
          <w:noProof/>
        </w:rPr>
      </w:pPr>
      <w:r>
        <w:rPr>
          <w:noProof/>
        </w:rPr>
        <w:t xml:space="preserve">La mise en œuvre de la réforme est achevée au plus tard le 31 mars 2022. </w:t>
      </w:r>
    </w:p>
    <w:p w14:paraId="445BD2C3" w14:textId="77777777" w:rsidR="006C686E" w:rsidRDefault="00B17E8C">
      <w:pPr>
        <w:pStyle w:val="P68B1DB1-Normal5"/>
        <w:spacing w:before="240" w:after="0"/>
        <w:ind w:left="851"/>
        <w:jc w:val="both"/>
        <w:outlineLvl w:val="2"/>
        <w:rPr>
          <w:rFonts w:eastAsia="Times New Roman"/>
          <w:noProof/>
        </w:rPr>
      </w:pPr>
      <w:r>
        <w:rPr>
          <w:noProof/>
        </w:rPr>
        <w:t>Investissement TD-C16-i01: Autonomisation numérique des entreprises</w:t>
      </w:r>
    </w:p>
    <w:p w14:paraId="11B16E37" w14:textId="77777777" w:rsidR="006C686E" w:rsidRDefault="00B17E8C">
      <w:pPr>
        <w:pStyle w:val="P68B1DB1-Normal4"/>
        <w:spacing w:before="40" w:after="0"/>
        <w:jc w:val="both"/>
        <w:rPr>
          <w:rFonts w:eastAsia="Times New Roman"/>
          <w:noProof/>
        </w:rPr>
      </w:pPr>
      <w:r>
        <w:rPr>
          <w:noProof/>
        </w:rPr>
        <w:t>L’objectif de la mesure est d’accroître les compétences numériques de la population.</w:t>
      </w:r>
      <w:r>
        <w:rPr>
          <w:strike/>
          <w:noProof/>
          <w:u w:val="single"/>
        </w:rPr>
        <w:t xml:space="preserve"> </w:t>
      </w:r>
    </w:p>
    <w:p w14:paraId="5EDDF29E" w14:textId="77777777" w:rsidR="006C686E" w:rsidRDefault="00B17E8C">
      <w:pPr>
        <w:pStyle w:val="P68B1DB1-Normal3"/>
        <w:spacing w:before="40" w:after="0"/>
        <w:jc w:val="both"/>
        <w:rPr>
          <w:rFonts w:eastAsia="Times New Roman"/>
          <w:noProof/>
        </w:rPr>
      </w:pPr>
      <w:r>
        <w:rPr>
          <w:noProof/>
          <w:kern w:val="0"/>
          <w14:ligatures w14:val="none"/>
        </w:rPr>
        <w:t xml:space="preserve">L’investissement consiste </w:t>
      </w:r>
      <w:r>
        <w:rPr>
          <w:noProof/>
        </w:rPr>
        <w:t xml:space="preserve">en </w:t>
      </w:r>
      <w:r>
        <w:rPr>
          <w:noProof/>
          <w:kern w:val="0"/>
          <w14:ligatures w14:val="none"/>
        </w:rPr>
        <w:t xml:space="preserve">deux programmes de formation </w:t>
      </w:r>
      <w:r>
        <w:rPr>
          <w:noProof/>
        </w:rPr>
        <w:t>aux</w:t>
      </w:r>
      <w:r>
        <w:rPr>
          <w:noProof/>
          <w:kern w:val="0"/>
          <w14:ligatures w14:val="none"/>
        </w:rPr>
        <w:t xml:space="preserve"> compétences numériques:</w:t>
      </w:r>
      <w:r>
        <w:rPr>
          <w:noProof/>
        </w:rPr>
        <w:t xml:space="preserve"> </w:t>
      </w:r>
    </w:p>
    <w:p w14:paraId="03B191E9" w14:textId="77777777" w:rsidR="006C686E" w:rsidRDefault="00B17E8C">
      <w:pPr>
        <w:pStyle w:val="P68B1DB1-Normal3"/>
        <w:keepNext/>
        <w:spacing w:before="40" w:after="200" w:line="276" w:lineRule="auto"/>
        <w:contextualSpacing/>
        <w:jc w:val="both"/>
        <w:rPr>
          <w:rFonts w:eastAsia="Times New Roman"/>
          <w:noProof/>
        </w:rPr>
      </w:pPr>
      <w:r>
        <w:rPr>
          <w:noProof/>
        </w:rPr>
        <w:t xml:space="preserve"> – la </w:t>
      </w:r>
      <w:r>
        <w:rPr>
          <w:noProof/>
          <w:kern w:val="0"/>
          <w14:ligatures w14:val="none"/>
        </w:rPr>
        <w:t>Portugal Digital</w:t>
      </w:r>
      <w:r>
        <w:rPr>
          <w:noProof/>
        </w:rPr>
        <w:t xml:space="preserve"> Academy, une plateforme en ligne proposant des cours numériques;</w:t>
      </w:r>
    </w:p>
    <w:p w14:paraId="4E374A72" w14:textId="77777777" w:rsidR="006C686E" w:rsidRDefault="00B17E8C">
      <w:pPr>
        <w:pStyle w:val="P68B1DB1-Normal3"/>
        <w:keepNext/>
        <w:spacing w:before="40" w:after="200" w:line="276" w:lineRule="auto"/>
        <w:contextualSpacing/>
        <w:jc w:val="both"/>
        <w:rPr>
          <w:noProof/>
          <w:kern w:val="0"/>
          <w14:ligatures w14:val="none"/>
        </w:rPr>
      </w:pPr>
      <w:r>
        <w:rPr>
          <w:noProof/>
        </w:rPr>
        <w:t xml:space="preserve"> – le </w:t>
      </w:r>
      <w:r>
        <w:rPr>
          <w:noProof/>
          <w:kern w:val="0"/>
          <w14:ligatures w14:val="none"/>
        </w:rPr>
        <w:t>programme Emploi + numérique, un programme de formation aux compétences numériques.</w:t>
      </w:r>
    </w:p>
    <w:p w14:paraId="3A2FD719" w14:textId="77777777" w:rsidR="006C686E" w:rsidRDefault="006C686E">
      <w:pPr>
        <w:keepNext/>
        <w:spacing w:before="40" w:after="200" w:line="276" w:lineRule="auto"/>
        <w:contextualSpacing/>
        <w:jc w:val="both"/>
        <w:rPr>
          <w:rFonts w:ascii="Times New Roman" w:eastAsia="Times New Roman" w:hAnsi="Times New Roman" w:cs="Times New Roman"/>
          <w:noProof/>
          <w:kern w:val="0"/>
          <w14:ligatures w14:val="none"/>
        </w:rPr>
      </w:pPr>
    </w:p>
    <w:p w14:paraId="585BB232" w14:textId="77777777" w:rsidR="006C686E" w:rsidRDefault="00B17E8C">
      <w:pPr>
        <w:pStyle w:val="P68B1DB1-Normal5"/>
        <w:spacing w:before="240" w:after="0"/>
        <w:ind w:left="851"/>
        <w:jc w:val="both"/>
        <w:outlineLvl w:val="2"/>
        <w:rPr>
          <w:rFonts w:eastAsia="Times New Roman"/>
          <w:noProof/>
        </w:rPr>
      </w:pPr>
      <w:r>
        <w:rPr>
          <w:noProof/>
        </w:rPr>
        <w:t>Investissement TD-C16-i02: Transition numérique des entreprises</w:t>
      </w:r>
    </w:p>
    <w:p w14:paraId="50D01961" w14:textId="52652E03" w:rsidR="006C686E" w:rsidRDefault="00B17E8C">
      <w:pPr>
        <w:pStyle w:val="P68B1DB1-Normal4"/>
        <w:spacing w:before="40" w:after="0"/>
        <w:jc w:val="both"/>
        <w:rPr>
          <w:rFonts w:eastAsia="Times New Roman"/>
          <w:noProof/>
        </w:rPr>
      </w:pPr>
      <w:r>
        <w:rPr>
          <w:noProof/>
        </w:rPr>
        <w:t>L’objectif de la mesure est de contribuer à la transformation des modèles économiques des PME portugaises et à leur numérisation.</w:t>
      </w:r>
    </w:p>
    <w:p w14:paraId="5A6A89AF" w14:textId="7A84B243" w:rsidR="006C686E" w:rsidRDefault="00B17E8C">
      <w:pPr>
        <w:pStyle w:val="P68B1DB1-Normal3"/>
        <w:spacing w:before="40" w:after="0"/>
        <w:jc w:val="both"/>
        <w:rPr>
          <w:noProof/>
          <w:kern w:val="0"/>
          <w14:ligatures w14:val="none"/>
        </w:rPr>
      </w:pPr>
      <w:r>
        <w:rPr>
          <w:noProof/>
          <w:kern w:val="0"/>
          <w14:ligatures w14:val="none"/>
        </w:rPr>
        <w:t xml:space="preserve">L’investissement consiste </w:t>
      </w:r>
      <w:r>
        <w:rPr>
          <w:noProof/>
        </w:rPr>
        <w:t xml:space="preserve">à soutenir le réseau national de bancs d’essai et divers programmes de soutien à la numérisation des entités. </w:t>
      </w:r>
    </w:p>
    <w:p w14:paraId="4430EA8C" w14:textId="77777777" w:rsidR="006C686E" w:rsidRDefault="006C686E">
      <w:pPr>
        <w:keepNext/>
        <w:spacing w:before="40" w:after="200" w:line="276" w:lineRule="auto"/>
        <w:ind w:left="720"/>
        <w:contextualSpacing/>
        <w:jc w:val="both"/>
        <w:rPr>
          <w:rFonts w:ascii="Times New Roman" w:eastAsia="Times New Roman" w:hAnsi="Times New Roman" w:cs="Times New Roman"/>
          <w:noProof/>
          <w:kern w:val="0"/>
          <w14:ligatures w14:val="none"/>
        </w:rPr>
      </w:pPr>
    </w:p>
    <w:p w14:paraId="23A2CCE3" w14:textId="77777777" w:rsidR="006C686E" w:rsidRDefault="00B17E8C">
      <w:pPr>
        <w:pStyle w:val="P68B1DB1-Normal5"/>
        <w:spacing w:before="240" w:after="0"/>
        <w:ind w:left="851"/>
        <w:jc w:val="both"/>
        <w:outlineLvl w:val="2"/>
        <w:rPr>
          <w:rFonts w:eastAsia="Times New Roman"/>
          <w:noProof/>
        </w:rPr>
      </w:pPr>
      <w:r>
        <w:rPr>
          <w:noProof/>
        </w:rPr>
        <w:t>Investissement TD-C16-i03: catalyseur de la transition numérique des entreprises</w:t>
      </w:r>
    </w:p>
    <w:p w14:paraId="379AD3A4" w14:textId="77777777" w:rsidR="006C686E" w:rsidRDefault="00B17E8C">
      <w:pPr>
        <w:pStyle w:val="P68B1DB1-Normal4"/>
        <w:spacing w:before="40" w:after="0"/>
        <w:jc w:val="both"/>
        <w:rPr>
          <w:rFonts w:eastAsia="Times New Roman"/>
          <w:noProof/>
        </w:rPr>
      </w:pPr>
      <w:r>
        <w:rPr>
          <w:noProof/>
        </w:rPr>
        <w:t>L’objectif de la mesure est de contribuer à la transition numérique et environnementale de la société et des entreprises.</w:t>
      </w:r>
    </w:p>
    <w:p w14:paraId="49B616BD" w14:textId="77777777" w:rsidR="006C686E" w:rsidRDefault="00B17E8C">
      <w:pPr>
        <w:pStyle w:val="P68B1DB1-Normal3"/>
        <w:spacing w:before="40" w:after="0"/>
        <w:jc w:val="both"/>
        <w:rPr>
          <w:rFonts w:eastAsia="Times New Roman"/>
          <w:noProof/>
          <w:kern w:val="0"/>
          <w14:ligatures w14:val="none"/>
        </w:rPr>
      </w:pPr>
      <w:r>
        <w:rPr>
          <w:noProof/>
          <w:kern w:val="0"/>
          <w14:ligatures w14:val="none"/>
        </w:rPr>
        <w:t>L'investissement consiste en trois actions:</w:t>
      </w:r>
    </w:p>
    <w:p w14:paraId="69933A88" w14:textId="77777777" w:rsidR="006C686E" w:rsidRDefault="00B17E8C">
      <w:pPr>
        <w:pStyle w:val="P68B1DB1-Normal4"/>
        <w:keepNext/>
        <w:numPr>
          <w:ilvl w:val="0"/>
          <w:numId w:val="53"/>
        </w:numPr>
        <w:spacing w:before="40" w:after="200" w:line="276" w:lineRule="auto"/>
        <w:contextualSpacing/>
        <w:jc w:val="both"/>
        <w:rPr>
          <w:rFonts w:eastAsia="Times New Roman"/>
          <w:noProof/>
        </w:rPr>
      </w:pPr>
      <w:r>
        <w:rPr>
          <w:noProof/>
        </w:rPr>
        <w:t>«Dématérialisation de la facturation»;</w:t>
      </w:r>
    </w:p>
    <w:p w14:paraId="5039667F" w14:textId="77777777" w:rsidR="006C686E" w:rsidRDefault="00B17E8C">
      <w:pPr>
        <w:pStyle w:val="P68B1DB1-Normal4"/>
        <w:keepNext/>
        <w:numPr>
          <w:ilvl w:val="0"/>
          <w:numId w:val="53"/>
        </w:numPr>
        <w:spacing w:before="40" w:after="200" w:line="276" w:lineRule="auto"/>
        <w:contextualSpacing/>
        <w:jc w:val="both"/>
        <w:rPr>
          <w:rFonts w:eastAsia="Times New Roman"/>
          <w:noProof/>
        </w:rPr>
      </w:pPr>
      <w:r>
        <w:rPr>
          <w:noProof/>
        </w:rPr>
        <w:t>«Sceaux de certification de cybersécurité, de respect de la vie privée, d’utilisabilité et de durabilité» pour certifier les services numériques;</w:t>
      </w:r>
    </w:p>
    <w:p w14:paraId="451DEFFA" w14:textId="77777777" w:rsidR="006C686E" w:rsidRDefault="00B17E8C">
      <w:pPr>
        <w:pStyle w:val="P68B1DB1-Normal4"/>
        <w:keepNext/>
        <w:numPr>
          <w:ilvl w:val="0"/>
          <w:numId w:val="53"/>
        </w:numPr>
        <w:spacing w:before="40" w:after="200" w:line="276" w:lineRule="auto"/>
        <w:contextualSpacing/>
        <w:jc w:val="both"/>
        <w:rPr>
          <w:noProof/>
        </w:rPr>
      </w:pPr>
      <w:r>
        <w:rPr>
          <w:noProof/>
        </w:rPr>
        <w:t>«Pôles d’innovation numérique (PID)». La FRR prend en charge une partie des coûts de cet investissement. Cet investissement peut également bénéficier d’un soutien d’autres programmes ou instruments de l’Union pour des coûts qui ne sont pas soutenus par la FRR.</w:t>
      </w:r>
    </w:p>
    <w:p w14:paraId="288C1B7E" w14:textId="77777777" w:rsidR="006C686E" w:rsidRDefault="006C686E">
      <w:pPr>
        <w:keepNext/>
        <w:spacing w:before="40" w:after="200" w:line="276" w:lineRule="auto"/>
        <w:ind w:left="776"/>
        <w:contextualSpacing/>
        <w:jc w:val="both"/>
        <w:rPr>
          <w:rFonts w:ascii="Times New Roman" w:eastAsia="Calibri" w:hAnsi="Times New Roman" w:cs="Times New Roman"/>
          <w:noProof/>
          <w:kern w:val="0"/>
          <w14:ligatures w14:val="none"/>
        </w:rPr>
      </w:pPr>
    </w:p>
    <w:p w14:paraId="22078A2A" w14:textId="77777777" w:rsidR="006C686E" w:rsidRDefault="00B17E8C">
      <w:pPr>
        <w:pStyle w:val="P68B1DB1-Normal5"/>
        <w:spacing w:before="240" w:after="0"/>
        <w:ind w:left="851"/>
        <w:jc w:val="both"/>
        <w:outlineLvl w:val="2"/>
        <w:rPr>
          <w:rFonts w:eastAsia="Times New Roman"/>
          <w:noProof/>
        </w:rPr>
      </w:pPr>
      <w:r>
        <w:rPr>
          <w:noProof/>
        </w:rPr>
        <w:t>Investissement TD-C16-i04: Industrie 4.0</w:t>
      </w:r>
    </w:p>
    <w:p w14:paraId="0592CFCE" w14:textId="5DBCD9A9" w:rsidR="006C686E" w:rsidRDefault="00B17E8C">
      <w:pPr>
        <w:pStyle w:val="P68B1DB1-Normal4"/>
        <w:spacing w:after="0" w:line="276" w:lineRule="auto"/>
        <w:jc w:val="both"/>
        <w:rPr>
          <w:noProof/>
        </w:rPr>
      </w:pPr>
      <w:r>
        <w:rPr>
          <w:noProof/>
        </w:rPr>
        <w:t>L’objectif de la mesure est de soutenir la recherche industrielle et de favoriser la transformation numérique des entreprises.</w:t>
      </w:r>
    </w:p>
    <w:p w14:paraId="6C3AB773" w14:textId="77777777" w:rsidR="006C686E" w:rsidRDefault="00B17E8C">
      <w:pPr>
        <w:pStyle w:val="P68B1DB1-Normal4"/>
        <w:spacing w:after="0" w:line="276" w:lineRule="auto"/>
        <w:jc w:val="both"/>
        <w:rPr>
          <w:noProof/>
        </w:rPr>
      </w:pPr>
      <w:r>
        <w:rPr>
          <w:noProof/>
        </w:rPr>
        <w:t xml:space="preserve">Cet investissement consiste en des projets «Industrie 4.0». </w:t>
      </w:r>
    </w:p>
    <w:p w14:paraId="239C97A9" w14:textId="77777777" w:rsidR="006C686E" w:rsidRDefault="00B17E8C">
      <w:pPr>
        <w:pStyle w:val="P68B1DB1-Normal5"/>
        <w:spacing w:before="240" w:after="0"/>
        <w:ind w:left="851"/>
        <w:jc w:val="both"/>
        <w:outlineLvl w:val="2"/>
        <w:rPr>
          <w:noProof/>
        </w:rPr>
      </w:pPr>
      <w:r>
        <w:rPr>
          <w:noProof/>
        </w:rPr>
        <w:t>Investissement TD-C16-i05-RAA: Capacité numérique et transformation des entreprises aux Açores</w:t>
      </w:r>
    </w:p>
    <w:p w14:paraId="497302FD" w14:textId="123BB1E6" w:rsidR="006C686E" w:rsidRDefault="00B17E8C">
      <w:pPr>
        <w:pStyle w:val="P68B1DB1-Normal4"/>
        <w:spacing w:before="40" w:after="0" w:line="22" w:lineRule="atLeast"/>
        <w:jc w:val="both"/>
        <w:rPr>
          <w:noProof/>
        </w:rPr>
      </w:pPr>
      <w:r>
        <w:rPr>
          <w:noProof/>
        </w:rPr>
        <w:t xml:space="preserve">L’objectif de la mesure est de soutenir la transition numérique des entreprises des Açores. </w:t>
      </w:r>
    </w:p>
    <w:p w14:paraId="5C468085" w14:textId="2C9C5400" w:rsidR="006C686E" w:rsidRDefault="00B17E8C">
      <w:pPr>
        <w:pStyle w:val="P68B1DB1-Normal3"/>
        <w:spacing w:before="40" w:after="0" w:line="22" w:lineRule="atLeast"/>
        <w:jc w:val="both"/>
        <w:rPr>
          <w:noProof/>
          <w:kern w:val="0"/>
          <w14:ligatures w14:val="none"/>
        </w:rPr>
      </w:pPr>
      <w:r>
        <w:rPr>
          <w:noProof/>
        </w:rPr>
        <w:t>L’investissement consiste dans le programme «Capacité numérique et transformation des entreprises aux Açores».</w:t>
      </w:r>
    </w:p>
    <w:p w14:paraId="17BD5BA4" w14:textId="77777777" w:rsidR="006C686E" w:rsidRDefault="00B17E8C">
      <w:pPr>
        <w:pStyle w:val="P68B1DB1-Normal5"/>
        <w:spacing w:before="240" w:after="0"/>
        <w:ind w:left="851"/>
        <w:jc w:val="both"/>
        <w:outlineLvl w:val="2"/>
        <w:rPr>
          <w:noProof/>
        </w:rPr>
      </w:pPr>
      <w:r>
        <w:rPr>
          <w:noProof/>
        </w:rPr>
        <w:t>Investissement TD-C16-i06-RAM: Entreprise 4.0</w:t>
      </w:r>
    </w:p>
    <w:p w14:paraId="56715694" w14:textId="77777777" w:rsidR="006C686E" w:rsidRDefault="00B17E8C">
      <w:pPr>
        <w:pStyle w:val="P68B1DB1-Normal4"/>
        <w:spacing w:before="40" w:after="0" w:line="22" w:lineRule="atLeast"/>
        <w:jc w:val="both"/>
        <w:rPr>
          <w:noProof/>
        </w:rPr>
      </w:pPr>
      <w:r>
        <w:rPr>
          <w:noProof/>
        </w:rPr>
        <w:t xml:space="preserve">L’objectif de la mesure est de contribuer à la transformation des modèles économiques des PME de la région autonome de Madère. </w:t>
      </w:r>
    </w:p>
    <w:p w14:paraId="551347DA" w14:textId="77777777" w:rsidR="006C686E" w:rsidRDefault="00B17E8C">
      <w:pPr>
        <w:pStyle w:val="P68B1DB1-Normal3"/>
        <w:spacing w:before="40" w:after="0"/>
        <w:jc w:val="both"/>
        <w:rPr>
          <w:rFonts w:eastAsia="Times New Roman"/>
          <w:noProof/>
          <w:kern w:val="0"/>
          <w14:ligatures w14:val="none"/>
        </w:rPr>
      </w:pPr>
      <w:r>
        <w:rPr>
          <w:noProof/>
          <w:kern w:val="0"/>
          <w14:ligatures w14:val="none"/>
        </w:rPr>
        <w:t xml:space="preserve">L’investissement </w:t>
      </w:r>
      <w:r>
        <w:rPr>
          <w:noProof/>
        </w:rPr>
        <w:t>consiste en des projets «Digital+».</w:t>
      </w:r>
    </w:p>
    <w:p w14:paraId="5FB85919" w14:textId="77777777" w:rsidR="006C686E" w:rsidRDefault="006C686E">
      <w:pPr>
        <w:spacing w:before="40" w:after="0"/>
        <w:jc w:val="both"/>
        <w:rPr>
          <w:rFonts w:ascii="Times New Roman" w:eastAsia="Times New Roman" w:hAnsi="Times New Roman" w:cs="Times New Roman"/>
          <w:noProof/>
          <w:kern w:val="0"/>
          <w14:ligatures w14:val="none"/>
        </w:rPr>
        <w:sectPr w:rsidR="006C686E" w:rsidSect="00C95E00">
          <w:headerReference w:type="even" r:id="rId304"/>
          <w:headerReference w:type="default" r:id="rId305"/>
          <w:footerReference w:type="even" r:id="rId306"/>
          <w:footerReference w:type="default" r:id="rId307"/>
          <w:headerReference w:type="first" r:id="rId308"/>
          <w:footerReference w:type="first" r:id="rId309"/>
          <w:pgSz w:w="11907" w:h="16839"/>
          <w:pgMar w:top="1134" w:right="1134" w:bottom="1134" w:left="1134" w:header="567" w:footer="567" w:gutter="0"/>
          <w:cols w:space="720"/>
          <w:docGrid w:linePitch="360"/>
        </w:sectPr>
      </w:pPr>
    </w:p>
    <w:p w14:paraId="3E3F0B4B" w14:textId="77777777" w:rsidR="006C686E" w:rsidRDefault="00B17E8C">
      <w:pPr>
        <w:pStyle w:val="P68B1DB1-Normal1"/>
        <w:spacing w:before="40" w:after="0"/>
        <w:ind w:left="130" w:firstLine="12"/>
        <w:jc w:val="center"/>
        <w:outlineLvl w:val="1"/>
        <w:rPr>
          <w:rFonts w:eastAsia="Times New Roman"/>
          <w:noProof/>
        </w:rPr>
      </w:pPr>
      <w:r>
        <w:rPr>
          <w:noProof/>
        </w:rPr>
        <w:t>P.2. Étapes, cibles, indicateurs et calendrier pour le suivi et la mise en œuvre du soutien financier non remboursable</w:t>
      </w:r>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464"/>
        <w:gridCol w:w="1134"/>
        <w:gridCol w:w="1559"/>
        <w:gridCol w:w="1418"/>
        <w:gridCol w:w="992"/>
        <w:gridCol w:w="992"/>
        <w:gridCol w:w="851"/>
        <w:gridCol w:w="567"/>
        <w:gridCol w:w="709"/>
        <w:gridCol w:w="3969"/>
      </w:tblGrid>
      <w:tr w:rsidR="006C686E" w14:paraId="61880B32" w14:textId="77777777" w:rsidTr="00A66BC8">
        <w:trPr>
          <w:trHeight w:val="910"/>
          <w:tblHeader/>
        </w:trPr>
        <w:tc>
          <w:tcPr>
            <w:tcW w:w="11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5CABC50" w14:textId="77777777" w:rsidR="006C686E" w:rsidRDefault="00B17E8C">
            <w:pPr>
              <w:pStyle w:val="P68B1DB1-Normal9"/>
              <w:spacing w:after="0" w:line="240" w:lineRule="auto"/>
              <w:jc w:val="center"/>
              <w:rPr>
                <w:rFonts w:eastAsia="Times New Roman"/>
                <w:noProof/>
              </w:rPr>
            </w:pPr>
            <w:r>
              <w:rPr>
                <w:noProof/>
              </w:rPr>
              <w:t>Numéro séquentiel</w:t>
            </w:r>
          </w:p>
        </w:tc>
        <w:tc>
          <w:tcPr>
            <w:tcW w:w="14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DA710B1"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355FBE4" w14:textId="046FC7E0" w:rsidR="006C686E" w:rsidRDefault="00B17E8C">
            <w:pPr>
              <w:pStyle w:val="P68B1DB1-Normal9"/>
              <w:spacing w:after="0" w:line="240" w:lineRule="auto"/>
              <w:jc w:val="center"/>
              <w:rPr>
                <w:rFonts w:eastAsia="Times New Roman"/>
                <w:noProof/>
              </w:rPr>
            </w:pPr>
            <w:r>
              <w:rPr>
                <w:noProof/>
              </w:rPr>
              <w:t>Étape/cible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4AD20B7" w14:textId="77777777" w:rsidR="006C686E" w:rsidRDefault="00B17E8C">
            <w:pPr>
              <w:pStyle w:val="P68B1DB1-Normal9"/>
              <w:spacing w:after="0" w:line="240" w:lineRule="auto"/>
              <w:jc w:val="center"/>
              <w:rPr>
                <w:rFonts w:eastAsia="Times New Roman"/>
                <w:noProof/>
              </w:rPr>
            </w:pPr>
            <w:r>
              <w:rPr>
                <w:noProof/>
              </w:rPr>
              <w:t>Nom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0CCB984"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48F5B6CC"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157292A5"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7707D69"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2495B411" w14:textId="77777777" w:rsidTr="00A66BC8">
        <w:trPr>
          <w:trHeight w:val="470"/>
          <w:tblHeader/>
        </w:trPr>
        <w:tc>
          <w:tcPr>
            <w:tcW w:w="1117" w:type="dxa"/>
            <w:vMerge/>
            <w:tcBorders>
              <w:top w:val="single" w:sz="4" w:space="0" w:color="auto"/>
              <w:left w:val="single" w:sz="4" w:space="0" w:color="auto"/>
              <w:bottom w:val="single" w:sz="4" w:space="0" w:color="auto"/>
              <w:right w:val="single" w:sz="4" w:space="0" w:color="auto"/>
            </w:tcBorders>
            <w:vAlign w:val="center"/>
            <w:hideMark/>
          </w:tcPr>
          <w:p w14:paraId="3B226624"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64" w:type="dxa"/>
            <w:vMerge/>
            <w:tcBorders>
              <w:top w:val="single" w:sz="4" w:space="0" w:color="auto"/>
              <w:left w:val="single" w:sz="4" w:space="0" w:color="auto"/>
              <w:bottom w:val="single" w:sz="4" w:space="0" w:color="auto"/>
              <w:right w:val="single" w:sz="4" w:space="0" w:color="auto"/>
            </w:tcBorders>
            <w:vAlign w:val="center"/>
            <w:hideMark/>
          </w:tcPr>
          <w:p w14:paraId="31B538EA"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0552794"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DDBFF94"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BE8AE0D"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86A0808" w14:textId="77777777" w:rsidR="006C686E" w:rsidRDefault="00B17E8C">
            <w:pPr>
              <w:pStyle w:val="P68B1DB1-Normal9"/>
              <w:spacing w:after="0" w:line="240" w:lineRule="auto"/>
              <w:jc w:val="center"/>
              <w:rPr>
                <w:rFonts w:eastAsia="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6C2F68A" w14:textId="77777777" w:rsidR="006C686E" w:rsidRDefault="00B17E8C">
            <w:pPr>
              <w:pStyle w:val="P68B1DB1-Normal9"/>
              <w:spacing w:after="0" w:line="240" w:lineRule="auto"/>
              <w:jc w:val="center"/>
              <w:rPr>
                <w:rFonts w:eastAsia="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07911F5" w14:textId="77777777" w:rsidR="006C686E" w:rsidRDefault="00B17E8C">
            <w:pPr>
              <w:pStyle w:val="P68B1DB1-Normal9"/>
              <w:spacing w:after="0" w:line="240" w:lineRule="auto"/>
              <w:jc w:val="center"/>
              <w:rPr>
                <w:rFonts w:eastAsia="Times New Roman"/>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FB2A75E" w14:textId="77777777" w:rsidR="006C686E" w:rsidRDefault="00B17E8C">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3CB7FEF" w14:textId="77777777" w:rsidR="006C686E" w:rsidRDefault="00B17E8C">
            <w:pPr>
              <w:pStyle w:val="P68B1DB1-Normal9"/>
              <w:spacing w:after="0" w:line="240" w:lineRule="auto"/>
              <w:jc w:val="center"/>
              <w:rPr>
                <w:rFonts w:eastAsia="Times New Roman"/>
                <w:noProof/>
              </w:rPr>
            </w:pPr>
            <w:r>
              <w:rPr>
                <w:noProof/>
              </w:rPr>
              <w:t>Année</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0F7FC44"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0763D6DA" w14:textId="77777777" w:rsidTr="00A66BC8">
        <w:trPr>
          <w:trHeight w:val="148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E29B137" w14:textId="77777777" w:rsidR="006C686E" w:rsidRDefault="00B17E8C">
            <w:pPr>
              <w:pStyle w:val="P68B1DB1-Normal10"/>
              <w:spacing w:after="0" w:line="240" w:lineRule="auto"/>
              <w:jc w:val="center"/>
              <w:rPr>
                <w:rFonts w:eastAsia="Times New Roman"/>
                <w:noProof/>
              </w:rPr>
            </w:pPr>
            <w:r>
              <w:rPr>
                <w:noProof/>
              </w:rPr>
              <w:t>16.1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8057EF" w14:textId="77777777" w:rsidR="006C686E" w:rsidRDefault="00B17E8C">
            <w:pPr>
              <w:pStyle w:val="P68B1DB1-Normal11"/>
              <w:spacing w:after="0" w:line="240" w:lineRule="auto"/>
              <w:jc w:val="center"/>
              <w:rPr>
                <w:rFonts w:eastAsia="Times New Roman"/>
                <w:noProof/>
              </w:rPr>
            </w:pPr>
            <w:r>
              <w:rPr>
                <w:noProof/>
              </w:rPr>
              <w:t>TD-C16-r31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BA3435" w14:textId="77777777" w:rsidR="006C686E" w:rsidRDefault="00B17E8C">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719A91" w14:textId="77777777" w:rsidR="006C686E" w:rsidRDefault="00B17E8C">
            <w:pPr>
              <w:pStyle w:val="P68B1DB1-Normal11"/>
              <w:spacing w:after="0" w:line="240" w:lineRule="auto"/>
              <w:jc w:val="center"/>
              <w:rPr>
                <w:rFonts w:eastAsia="Times New Roman"/>
                <w:noProof/>
              </w:rPr>
            </w:pPr>
            <w:r>
              <w:rPr>
                <w:noProof/>
              </w:rPr>
              <w:t>Entrée en vigueur de la révision du contenu de la formation figurant dans le catalogue national des certifications en ce qui concerne les modules relatifs au domaine des compétences numériques et la législation ou la réglementation relative à la création de signatures et de cachets numériques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4360D4" w14:textId="77777777" w:rsidR="006C686E" w:rsidRDefault="00B17E8C">
            <w:pPr>
              <w:pStyle w:val="P68B1DB1-Normal11"/>
              <w:spacing w:after="0" w:line="240" w:lineRule="auto"/>
              <w:jc w:val="center"/>
              <w:rPr>
                <w:rFonts w:eastAsia="Times New Roman"/>
                <w:noProof/>
              </w:rPr>
            </w:pPr>
            <w:r>
              <w:rPr>
                <w:noProof/>
              </w:rPr>
              <w:t>Entrée en vigueur de la révision du contenu de la formation figurant dans le catalogue national des certifications en ce qui concerne les modules relatifs au domaine des compétences numériques et la législation ou la réglementation relative à la création de signatures et de cachets numériques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E668AE"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4A9B04"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29A256"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459012" w14:textId="77777777" w:rsidR="006C686E" w:rsidRDefault="00B17E8C">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B50E5B" w14:textId="77777777" w:rsidR="006C686E" w:rsidRDefault="00B17E8C">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7EF490CC" w14:textId="77777777" w:rsidR="006C686E" w:rsidRDefault="00B17E8C">
            <w:pPr>
              <w:pStyle w:val="P68B1DB1-Normal11"/>
              <w:spacing w:after="0" w:line="240" w:lineRule="auto"/>
              <w:rPr>
                <w:rFonts w:eastAsia="Times New Roman"/>
                <w:noProof/>
              </w:rPr>
            </w:pPr>
            <w:r>
              <w:rPr>
                <w:noProof/>
              </w:rPr>
              <w:t>Entrée en vigueur de la législation ou de la réglementation suivante: (1) Révision du contenu de la formation professionnelle et éducative inclus dans le catalogue national des certifications dans le domaine des compétences numériques, à savoir des modules de formation liés aux technologies et aux outils, afin de développer les compétences principalement nécessaires dans le contexte professionnel sur la base d'un diagnostic d'anticipation des compétences. (2) Législation ou réglementation nécessaire à la création de signatures et de cachets numériques dans les domaines de la cybersécurité, de la protection de la vie privée, de la durabilité et de la facilité d'utilisation. La création de ce cadre juridique et la promotion de la confiance numérique sont une condition de la mise en œuvre de l’investissement en faveur des scellés numériques prévu dans ce volet.</w:t>
            </w:r>
          </w:p>
        </w:tc>
      </w:tr>
      <w:tr w:rsidR="006C686E" w14:paraId="4113F513" w14:textId="77777777" w:rsidTr="00A66BC8">
        <w:trPr>
          <w:trHeight w:val="63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361CAC" w14:textId="77777777" w:rsidR="006C686E" w:rsidRDefault="00B17E8C">
            <w:pPr>
              <w:pStyle w:val="P68B1DB1-Normal10"/>
              <w:spacing w:after="0" w:line="240" w:lineRule="auto"/>
              <w:jc w:val="center"/>
              <w:rPr>
                <w:rFonts w:eastAsia="Times New Roman"/>
                <w:noProof/>
              </w:rPr>
            </w:pPr>
            <w:r>
              <w:rPr>
                <w:noProof/>
              </w:rPr>
              <w:t>16.2</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F6C428" w14:textId="77777777" w:rsidR="006C686E" w:rsidRDefault="00B17E8C">
            <w:pPr>
              <w:pStyle w:val="P68B1DB1-Normal11"/>
              <w:spacing w:after="0" w:line="240" w:lineRule="auto"/>
              <w:jc w:val="center"/>
              <w:rPr>
                <w:rFonts w:eastAsia="Times New Roman"/>
                <w:noProof/>
              </w:rPr>
            </w:pPr>
            <w:r>
              <w:rPr>
                <w:noProof/>
              </w:rPr>
              <w:t>TD-C16-i01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D00BEC" w14:textId="77777777" w:rsidR="006C686E" w:rsidRDefault="00B17E8C">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662AF5" w14:textId="77777777" w:rsidR="006C686E" w:rsidRDefault="00B17E8C">
            <w:pPr>
              <w:pStyle w:val="P68B1DB1-Normal11"/>
              <w:spacing w:after="0" w:line="240" w:lineRule="auto"/>
              <w:jc w:val="center"/>
              <w:rPr>
                <w:rFonts w:eastAsia="Times New Roman"/>
                <w:noProof/>
              </w:rPr>
            </w:pPr>
            <w:r>
              <w:rPr>
                <w:noProof/>
              </w:rPr>
              <w:t xml:space="preserve">Début de l'Académie numérique du Portugal et des programmes Emploi + Numérique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8AEB1E" w14:textId="77777777" w:rsidR="006C686E" w:rsidRDefault="00B17E8C">
            <w:pPr>
              <w:pStyle w:val="P68B1DB1-Normal11"/>
              <w:spacing w:after="0" w:line="240" w:lineRule="auto"/>
              <w:jc w:val="center"/>
              <w:rPr>
                <w:rFonts w:eastAsia="Times New Roman"/>
                <w:noProof/>
              </w:rPr>
            </w:pPr>
            <w:r>
              <w:rPr>
                <w:noProof/>
              </w:rPr>
              <w:t>Début de l'Académie numérique du Portugal et des programmes Emploi + Numérique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6AD03D" w14:textId="77777777" w:rsidR="006C686E" w:rsidRDefault="00B17E8C">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C39531"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3F5B42"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9CC060" w14:textId="77777777" w:rsidR="006C686E" w:rsidRDefault="00B17E8C">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8D1511" w14:textId="77777777" w:rsidR="006C686E" w:rsidRDefault="00B17E8C">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6E001F" w14:textId="77777777" w:rsidR="006C686E" w:rsidRDefault="00B17E8C">
            <w:pPr>
              <w:pStyle w:val="P68B1DB1-Normal11"/>
              <w:spacing w:after="0" w:line="240" w:lineRule="auto"/>
              <w:jc w:val="both"/>
              <w:rPr>
                <w:rFonts w:eastAsia="Times New Roman"/>
                <w:noProof/>
              </w:rPr>
            </w:pPr>
            <w:r>
              <w:rPr>
                <w:noProof/>
              </w:rPr>
              <w:t xml:space="preserve">Portugal Digital Academy — (1) La plateforme en ligne est opérationnelle et accessible par ses utilisateurs, (2) des procédures de diagnostic sont définies pour évaluer les recommandations en matière de compétences numériques pour les stagiaires et définir les cours de formation personnalisés dont ils ont besoin, et la première série de formations en ligne est lancée et est accessible aux stagiaires. </w:t>
            </w:r>
          </w:p>
          <w:p w14:paraId="3E078206" w14:textId="77777777" w:rsidR="006C686E" w:rsidRDefault="00B17E8C">
            <w:pPr>
              <w:pStyle w:val="P68B1DB1-Normal11"/>
              <w:spacing w:after="0" w:line="240" w:lineRule="auto"/>
              <w:jc w:val="both"/>
              <w:rPr>
                <w:rFonts w:eastAsia="Times New Roman"/>
                <w:noProof/>
              </w:rPr>
            </w:pPr>
            <w:r>
              <w:rPr>
                <w:noProof/>
              </w:rPr>
              <w:t>Emploi + numérique — 1) les secteurs économiques à cibler sont identifiés et leurs principaux défis numériques à relever par les cours sont définis; 2) les partenaires et les parties prenantes pour la mise en œuvre du programme sont identifiés; (3) le programme de formation est lancé et la formation en ligne, en présentiel ou mixte est lancée .</w:t>
            </w:r>
          </w:p>
        </w:tc>
      </w:tr>
      <w:tr w:rsidR="006C686E" w14:paraId="1BAA7015" w14:textId="77777777" w:rsidTr="00A66BC8">
        <w:trPr>
          <w:trHeight w:val="6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5ADAC06" w14:textId="77777777" w:rsidR="006C686E" w:rsidRDefault="00B17E8C">
            <w:pPr>
              <w:pStyle w:val="P68B1DB1-Normal10"/>
              <w:spacing w:after="0" w:line="240" w:lineRule="auto"/>
              <w:jc w:val="center"/>
              <w:rPr>
                <w:rFonts w:eastAsia="Times New Roman"/>
                <w:noProof/>
              </w:rPr>
            </w:pPr>
            <w:r>
              <w:rPr>
                <w:noProof/>
              </w:rPr>
              <w:t>16.3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AD3F04" w14:textId="77777777" w:rsidR="006C686E" w:rsidRDefault="00B17E8C">
            <w:pPr>
              <w:pStyle w:val="P68B1DB1-Normal11"/>
              <w:spacing w:after="0" w:line="240" w:lineRule="auto"/>
              <w:jc w:val="center"/>
              <w:rPr>
                <w:rFonts w:eastAsia="Times New Roman"/>
                <w:noProof/>
              </w:rPr>
            </w:pPr>
            <w:r>
              <w:rPr>
                <w:noProof/>
              </w:rPr>
              <w:t>TD-C16-i01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75851"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E3E96D" w14:textId="77777777" w:rsidR="006C686E" w:rsidRDefault="00B17E8C">
            <w:pPr>
              <w:pStyle w:val="P68B1DB1-Normal11"/>
              <w:spacing w:after="0" w:line="240" w:lineRule="auto"/>
              <w:jc w:val="center"/>
              <w:rPr>
                <w:rFonts w:eastAsia="Times New Roman"/>
                <w:noProof/>
              </w:rPr>
            </w:pPr>
            <w:r>
              <w:rPr>
                <w:noProof/>
              </w:rPr>
              <w:t xml:space="preserve">Emploi+Formation numérique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ED7C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29F88A"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30A5E4"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58FAE9" w14:textId="77777777" w:rsidR="006C686E" w:rsidRDefault="00B17E8C">
            <w:pPr>
              <w:pStyle w:val="P68B1DB1-Normal11"/>
              <w:spacing w:after="0" w:line="240" w:lineRule="auto"/>
              <w:jc w:val="center"/>
              <w:rPr>
                <w:rFonts w:eastAsia="Times New Roman"/>
                <w:noProof/>
              </w:rPr>
            </w:pPr>
            <w:r>
              <w:rPr>
                <w:noProof/>
              </w:rPr>
              <w:t>225 000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9EA9BD"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E2A37B" w14:textId="77777777" w:rsidR="006C686E" w:rsidRDefault="00B17E8C">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A68E36" w14:textId="77777777" w:rsidR="006C686E" w:rsidRDefault="00B17E8C">
            <w:pPr>
              <w:pStyle w:val="P68B1DB1-Normal13"/>
              <w:spacing w:after="0" w:line="240" w:lineRule="auto"/>
              <w:jc w:val="both"/>
              <w:rPr>
                <w:rFonts w:eastAsia="Times New Roman"/>
                <w:noProof/>
                <w:kern w:val="0"/>
                <w14:ligatures w14:val="none"/>
              </w:rPr>
            </w:pPr>
            <w:r>
              <w:rPr>
                <w:noProof/>
                <w:kern w:val="0"/>
                <w14:ligatures w14:val="none"/>
              </w:rPr>
              <w:t>Nombre de</w:t>
            </w:r>
            <w:r>
              <w:rPr>
                <w:noProof/>
              </w:rPr>
              <w:t xml:space="preserve"> participations à des modules de formation certifiés dans</w:t>
            </w:r>
            <w:r>
              <w:rPr>
                <w:noProof/>
                <w:kern w:val="0"/>
                <w14:ligatures w14:val="none"/>
              </w:rPr>
              <w:t xml:space="preserve"> le cadre du programme Emploi+Numérique. </w:t>
            </w:r>
          </w:p>
        </w:tc>
      </w:tr>
      <w:tr w:rsidR="006C686E" w14:paraId="4B1E3F72" w14:textId="77777777" w:rsidTr="00A66BC8">
        <w:trPr>
          <w:trHeight w:val="735"/>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49A8D86" w14:textId="77777777" w:rsidR="006C686E" w:rsidRDefault="00B17E8C">
            <w:pPr>
              <w:pStyle w:val="P68B1DB1-Normal10"/>
              <w:spacing w:after="0" w:line="240" w:lineRule="auto"/>
              <w:jc w:val="center"/>
              <w:rPr>
                <w:rFonts w:eastAsia="Times New Roman"/>
                <w:noProof/>
              </w:rPr>
            </w:pPr>
            <w:r>
              <w:rPr>
                <w:noProof/>
              </w:rPr>
              <w:t>16.4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343AD9" w14:textId="77777777" w:rsidR="006C686E" w:rsidRDefault="00B17E8C">
            <w:pPr>
              <w:pStyle w:val="P68B1DB1-Normal11"/>
              <w:spacing w:after="0" w:line="240" w:lineRule="auto"/>
              <w:jc w:val="center"/>
              <w:rPr>
                <w:rFonts w:eastAsia="Times New Roman"/>
                <w:noProof/>
              </w:rPr>
            </w:pPr>
            <w:r>
              <w:rPr>
                <w:noProof/>
              </w:rPr>
              <w:t>TD-C16-i01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289B3"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295CF6" w14:textId="77777777" w:rsidR="006C686E" w:rsidRDefault="00B17E8C">
            <w:pPr>
              <w:pStyle w:val="P68B1DB1-Normal11"/>
              <w:spacing w:after="0" w:line="240" w:lineRule="auto"/>
              <w:jc w:val="center"/>
              <w:rPr>
                <w:rFonts w:eastAsia="Times New Roman"/>
                <w:noProof/>
              </w:rPr>
            </w:pPr>
            <w:r>
              <w:rPr>
                <w:noProof/>
              </w:rPr>
              <w:t>MOOCs de l'Académie numérique du Portugal</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02767"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5472B0"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C07C5D"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6FDEFE" w14:textId="77777777" w:rsidR="006C686E" w:rsidRDefault="00B17E8C">
            <w:pPr>
              <w:pStyle w:val="P68B1DB1-Normal11"/>
              <w:spacing w:after="0" w:line="240" w:lineRule="auto"/>
              <w:jc w:val="center"/>
              <w:rPr>
                <w:rFonts w:eastAsia="Times New Roman"/>
                <w:noProof/>
              </w:rPr>
            </w:pPr>
            <w:r>
              <w:rPr>
                <w:noProof/>
              </w:rPr>
              <w:t>30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CA7CA2"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1C1BD5" w14:textId="77777777" w:rsidR="006C686E" w:rsidRDefault="00B17E8C">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649112" w14:textId="77777777" w:rsidR="006C686E" w:rsidRDefault="00B17E8C">
            <w:pPr>
              <w:pStyle w:val="P68B1DB1-Normal11"/>
              <w:spacing w:after="0" w:line="240" w:lineRule="auto"/>
              <w:jc w:val="both"/>
              <w:rPr>
                <w:rFonts w:eastAsia="Times New Roman"/>
                <w:noProof/>
              </w:rPr>
            </w:pPr>
            <w:r>
              <w:rPr>
                <w:noProof/>
              </w:rPr>
              <w:t>30 nouveaux cours en ligne ouverts à tous (MOOC) seront mis à disposition par l’intermédiaire de la Portugal Digital Academy.</w:t>
            </w:r>
          </w:p>
        </w:tc>
      </w:tr>
      <w:tr w:rsidR="006C686E" w14:paraId="0023CA10" w14:textId="77777777" w:rsidTr="00A66BC8">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274E56F" w14:textId="77777777" w:rsidR="006C686E" w:rsidRDefault="00B17E8C">
            <w:pPr>
              <w:pStyle w:val="P68B1DB1-Normal10"/>
              <w:spacing w:after="0" w:line="240" w:lineRule="auto"/>
              <w:jc w:val="center"/>
              <w:rPr>
                <w:rFonts w:eastAsia="Times New Roman"/>
                <w:noProof/>
              </w:rPr>
            </w:pPr>
            <w:r>
              <w:rPr>
                <w:noProof/>
              </w:rPr>
              <w:t>16.6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2B82E" w14:textId="77777777" w:rsidR="006C686E" w:rsidRDefault="00B17E8C">
            <w:pPr>
              <w:pStyle w:val="P68B1DB1-Normal11"/>
              <w:spacing w:after="0" w:line="240" w:lineRule="auto"/>
              <w:jc w:val="center"/>
              <w:rPr>
                <w:rFonts w:eastAsia="Times New Roman"/>
                <w:noProof/>
              </w:rPr>
            </w:pPr>
            <w:r>
              <w:rPr>
                <w:noProof/>
              </w:rPr>
              <w:t>TD-C16-i02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B082EB"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9B52C8" w14:textId="77777777" w:rsidR="006C686E" w:rsidRDefault="00B17E8C">
            <w:pPr>
              <w:pStyle w:val="P68B1DB1-Normal11"/>
              <w:spacing w:after="0" w:line="240" w:lineRule="auto"/>
              <w:jc w:val="center"/>
              <w:rPr>
                <w:rFonts w:eastAsia="Times New Roman"/>
                <w:noProof/>
              </w:rPr>
            </w:pPr>
            <w:r>
              <w:rPr>
                <w:noProof/>
              </w:rPr>
              <w:t xml:space="preserve">Soutien au réseau national de bancs d'essai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C37B3B"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5B3F3B" w14:textId="77777777" w:rsidR="006C686E" w:rsidRDefault="00B17E8C">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58822"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94680E" w14:textId="77777777" w:rsidR="006C686E" w:rsidRDefault="00B17E8C">
            <w:pPr>
              <w:pStyle w:val="P68B1DB1-Normal11"/>
              <w:spacing w:after="0" w:line="240" w:lineRule="auto"/>
              <w:jc w:val="center"/>
              <w:rPr>
                <w:rFonts w:eastAsia="Times New Roman"/>
                <w:noProof/>
                <w:color w:val="000000"/>
              </w:rPr>
            </w:pPr>
            <w:r>
              <w:rPr>
                <w:noProof/>
              </w:rPr>
              <w:t>30 000 000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68A38C"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57101F" w14:textId="77777777" w:rsidR="006C686E" w:rsidRDefault="00B17E8C">
            <w:pPr>
              <w:pStyle w:val="P68B1DB1-Normal11"/>
              <w:spacing w:after="0" w:line="240" w:lineRule="auto"/>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974AF8" w14:textId="4D214284" w:rsidR="006C686E" w:rsidRDefault="00B17E8C">
            <w:pPr>
              <w:pStyle w:val="P68B1DB1-Normal11"/>
              <w:spacing w:after="0" w:line="240" w:lineRule="auto"/>
              <w:jc w:val="both"/>
              <w:rPr>
                <w:noProof/>
              </w:rPr>
            </w:pPr>
            <w:r>
              <w:rPr>
                <w:noProof/>
              </w:rPr>
              <w:t>Au moins 30 000 000 EUR sont versés aux bancs d’essai du réseau national de bancs d’essai. Les montants fournis par d’autres programmes ou instruments de l’Union ne sont pas comptabilisés dans ce montant.</w:t>
            </w:r>
          </w:p>
        </w:tc>
      </w:tr>
      <w:tr w:rsidR="006C686E" w14:paraId="6D6BE5FE" w14:textId="77777777" w:rsidTr="00A66BC8">
        <w:trPr>
          <w:trHeight w:val="9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80B839A" w14:textId="77777777" w:rsidR="006C686E" w:rsidRDefault="00B17E8C">
            <w:pPr>
              <w:pStyle w:val="P68B1DB1-Normal10"/>
              <w:spacing w:after="0" w:line="240" w:lineRule="auto"/>
              <w:jc w:val="center"/>
              <w:rPr>
                <w:rFonts w:eastAsia="Times New Roman"/>
                <w:noProof/>
              </w:rPr>
            </w:pPr>
            <w:r>
              <w:rPr>
                <w:noProof/>
              </w:rPr>
              <w:t>16.7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C4A933" w14:textId="77777777" w:rsidR="006C686E" w:rsidRDefault="00B17E8C">
            <w:pPr>
              <w:pStyle w:val="P68B1DB1-Normal11"/>
              <w:spacing w:after="0" w:line="240" w:lineRule="auto"/>
              <w:jc w:val="center"/>
              <w:rPr>
                <w:rFonts w:eastAsia="Times New Roman"/>
                <w:noProof/>
              </w:rPr>
            </w:pPr>
            <w:r>
              <w:rPr>
                <w:noProof/>
              </w:rPr>
              <w:t>TD-C16-i02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9BF44D"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F801AB" w14:textId="77777777" w:rsidR="006C686E" w:rsidRDefault="00B17E8C">
            <w:pPr>
              <w:pStyle w:val="P68B1DB1-Normal11"/>
              <w:spacing w:after="0" w:line="240" w:lineRule="auto"/>
              <w:jc w:val="center"/>
              <w:rPr>
                <w:rFonts w:eastAsia="Times New Roman"/>
                <w:noProof/>
              </w:rPr>
            </w:pPr>
            <w:r>
              <w:rPr>
                <w:noProof/>
              </w:rPr>
              <w:t>Lits d'essai sélectionnés pour le Réseau national des lits d'essai</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64D2D7" w14:textId="77777777" w:rsidR="006C686E" w:rsidRDefault="00B17E8C">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95427"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1E320A" w14:textId="7F874C54"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726340" w14:textId="77777777" w:rsidR="006C686E" w:rsidRDefault="00B17E8C">
            <w:pPr>
              <w:pStyle w:val="P68B1DB1-Normal11"/>
              <w:spacing w:after="0" w:line="240" w:lineRule="auto"/>
              <w:jc w:val="center"/>
              <w:rPr>
                <w:rFonts w:eastAsia="Times New Roman"/>
                <w:noProof/>
              </w:rPr>
            </w:pPr>
            <w:r>
              <w:rPr>
                <w:noProof/>
              </w:rPr>
              <w:t>30 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56823E" w14:textId="77777777" w:rsidR="006C686E" w:rsidRDefault="00B17E8C">
            <w:pPr>
              <w:pStyle w:val="P68B1DB1-Normal11"/>
              <w:spacing w:after="0" w:line="240" w:lineRule="auto"/>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8CF3EE4" w14:textId="77777777" w:rsidR="006C686E" w:rsidRDefault="00B17E8C">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C9DC6" w14:textId="77777777" w:rsidR="006C686E" w:rsidRDefault="00B17E8C">
            <w:pPr>
              <w:pStyle w:val="P68B1DB1-Normal11"/>
              <w:spacing w:after="0" w:line="240" w:lineRule="auto"/>
              <w:jc w:val="both"/>
              <w:rPr>
                <w:rFonts w:eastAsia="Times New Roman"/>
                <w:noProof/>
              </w:rPr>
            </w:pPr>
            <w:r>
              <w:rPr>
                <w:noProof/>
              </w:rPr>
              <w:t xml:space="preserve">Nombre de bancs d'essai sélectionnés pour être installés avec l'équipement nécessaire pour permettre le développement et l'essai de produits pilotes dans le réseau national de bancs d'essai. La couverture des secteurs industriels, ainsi que de leurs sous-secteurs, correspond à celle prévue pour le réseau des pôles d’innovation numérique (PIN) afin de générer des synergies et des complémentarités avec le réseau PIN. </w:t>
            </w:r>
          </w:p>
          <w:p w14:paraId="162D92F8" w14:textId="77777777" w:rsidR="006C686E" w:rsidRDefault="00B17E8C">
            <w:pPr>
              <w:pStyle w:val="P68B1DB1-Normal11"/>
              <w:spacing w:after="0" w:line="240" w:lineRule="auto"/>
              <w:jc w:val="both"/>
              <w:rPr>
                <w:rFonts w:eastAsia="Times New Roman"/>
                <w:noProof/>
              </w:rPr>
            </w:pPr>
            <w:r>
              <w:rPr>
                <w:noProof/>
              </w:rPr>
              <w:t>Les critères de sélection garantissent la conformité avec les orientations techniques «Ne pas causer de préjudice important» (2021/C58/01) des opérations bénéficiant d’un soutien au titre de la présente mesure grâce à l’utilisation d’une liste d’exclusion et à l’exigence de conformité avec la législation environnementale pertinente de l’UE et nationale.</w:t>
            </w:r>
          </w:p>
        </w:tc>
      </w:tr>
      <w:tr w:rsidR="006C686E" w14:paraId="5F2DCB7E" w14:textId="77777777" w:rsidTr="00A66BC8">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F63406D" w14:textId="77777777" w:rsidR="006C686E" w:rsidRDefault="00B17E8C">
            <w:pPr>
              <w:pStyle w:val="P68B1DB1-Normal10"/>
              <w:spacing w:after="0" w:line="240" w:lineRule="auto"/>
              <w:jc w:val="center"/>
              <w:rPr>
                <w:rFonts w:eastAsia="Times New Roman"/>
                <w:noProof/>
              </w:rPr>
            </w:pPr>
            <w:r>
              <w:rPr>
                <w:noProof/>
              </w:rPr>
              <w:t>16.8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AB78E0" w14:textId="77777777" w:rsidR="006C686E" w:rsidRDefault="00B17E8C">
            <w:pPr>
              <w:pStyle w:val="P68B1DB1-Normal11"/>
              <w:spacing w:after="0" w:line="240" w:lineRule="auto"/>
              <w:jc w:val="center"/>
              <w:rPr>
                <w:rFonts w:eastAsia="Times New Roman"/>
                <w:noProof/>
              </w:rPr>
            </w:pPr>
            <w:r>
              <w:rPr>
                <w:noProof/>
              </w:rPr>
              <w:t>TD-C16-i02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491D11"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CDA09" w14:textId="15C72299" w:rsidR="006C686E" w:rsidRDefault="00B17E8C">
            <w:pPr>
              <w:pStyle w:val="P68B1DB1-Normal13"/>
              <w:spacing w:after="0" w:line="240" w:lineRule="auto"/>
              <w:jc w:val="center"/>
              <w:rPr>
                <w:rFonts w:eastAsia="Times New Roman"/>
                <w:noProof/>
                <w:kern w:val="0"/>
                <w14:ligatures w14:val="none"/>
              </w:rPr>
            </w:pPr>
            <w:r>
              <w:rPr>
                <w:noProof/>
              </w:rPr>
              <w:t>Déboursement de</w:t>
            </w:r>
            <w:r>
              <w:rPr>
                <w:noProof/>
                <w:kern w:val="0"/>
                <w14:ligatures w14:val="none"/>
              </w:rPr>
              <w:t> </w:t>
            </w:r>
            <w:r>
              <w:rPr>
                <w:noProof/>
              </w:rPr>
              <w:t>61</w:t>
            </w:r>
            <w:r>
              <w:rPr>
                <w:noProof/>
                <w:kern w:val="0"/>
                <w14:ligatures w14:val="none"/>
              </w:rPr>
              <w:t> </w:t>
            </w:r>
            <w:r>
              <w:rPr>
                <w:noProof/>
              </w:rPr>
              <w:t>000</w:t>
            </w:r>
            <w:r>
              <w:rPr>
                <w:noProof/>
                <w:kern w:val="0"/>
                <w14:ligatures w14:val="none"/>
              </w:rPr>
              <w:t> </w:t>
            </w:r>
            <w:r>
              <w:rPr>
                <w:noProof/>
              </w:rPr>
              <w:t>000 EUR</w:t>
            </w:r>
            <w:r>
              <w:rPr>
                <w:noProof/>
                <w:kern w:val="0"/>
                <w14:ligatures w14:val="none"/>
              </w:rPr>
              <w:t xml:space="preserve"> en faveur du réseau national de bancs d’essai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756255"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4A59A2" w14:textId="77777777" w:rsidR="006C686E" w:rsidRDefault="00B17E8C">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5D4DFA" w14:textId="77777777" w:rsidR="006C686E" w:rsidRDefault="00B17E8C">
            <w:pPr>
              <w:pStyle w:val="P68B1DB1-Normal11"/>
              <w:spacing w:after="0" w:line="240" w:lineRule="auto"/>
              <w:jc w:val="center"/>
              <w:rPr>
                <w:noProof/>
              </w:rPr>
            </w:pPr>
            <w:r>
              <w:rPr>
                <w:noProof/>
              </w:rPr>
              <w:t>30 000 000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855D83" w14:textId="71770DCE" w:rsidR="006C686E" w:rsidRDefault="00B17E8C">
            <w:pPr>
              <w:pStyle w:val="P68B1DB1-Normal13"/>
              <w:spacing w:after="0" w:line="240" w:lineRule="auto"/>
              <w:jc w:val="center"/>
              <w:rPr>
                <w:noProof/>
                <w:kern w:val="0"/>
                <w14:ligatures w14:val="none"/>
              </w:rPr>
            </w:pPr>
            <w:r>
              <w:rPr>
                <w:noProof/>
              </w:rPr>
              <w:t>91 000 000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6167CC"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D7C4AA" w14:textId="77777777" w:rsidR="006C686E" w:rsidRDefault="00B17E8C">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A09981" w14:textId="2BF8A76F"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Au moins 6 1 000 000 EUR sont transférés vers les bancs d’essai du réseau national de bancs d’essai. Les montants fournis par d’autres programmes ou instruments de l’Union ne sont pas comptabilisés dans ce montant. </w:t>
            </w:r>
          </w:p>
        </w:tc>
      </w:tr>
      <w:tr w:rsidR="006C686E" w14:paraId="434A28AF" w14:textId="77777777" w:rsidTr="00A66BC8">
        <w:trPr>
          <w:trHeight w:val="345"/>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AE4949C" w14:textId="77777777" w:rsidR="006C686E" w:rsidRDefault="00B17E8C">
            <w:pPr>
              <w:pStyle w:val="P68B1DB1-Normal10"/>
              <w:spacing w:after="0" w:line="240" w:lineRule="auto"/>
              <w:jc w:val="center"/>
              <w:rPr>
                <w:rFonts w:eastAsia="Times New Roman"/>
                <w:bCs/>
                <w:noProof/>
              </w:rPr>
            </w:pPr>
            <w:r>
              <w:rPr>
                <w:noProof/>
              </w:rPr>
              <w:t>16.9</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261DD5" w14:textId="77777777" w:rsidR="006C686E" w:rsidRDefault="00B17E8C">
            <w:pPr>
              <w:pStyle w:val="P68B1DB1-Normal11"/>
              <w:spacing w:after="0" w:line="240" w:lineRule="auto"/>
              <w:jc w:val="center"/>
              <w:rPr>
                <w:rFonts w:eastAsia="Times New Roman"/>
                <w:noProof/>
              </w:rPr>
            </w:pPr>
            <w:r>
              <w:rPr>
                <w:noProof/>
              </w:rPr>
              <w:t>TD-C16-i02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534348"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48DEE6" w14:textId="0EA31A9C" w:rsidR="006C686E" w:rsidRDefault="00B17E8C">
            <w:pPr>
              <w:pStyle w:val="P68B1DB1-Normal11"/>
              <w:spacing w:after="0" w:line="240" w:lineRule="auto"/>
              <w:jc w:val="center"/>
              <w:rPr>
                <w:rFonts w:eastAsia="Times New Roman"/>
                <w:noProof/>
              </w:rPr>
            </w:pPr>
            <w:r>
              <w:rPr>
                <w:noProof/>
              </w:rPr>
              <w:t>Quartiers du commerce numérique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9BEAC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8BC517"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14DE8A"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AA5681" w14:textId="77777777" w:rsidR="006C686E" w:rsidRDefault="00B17E8C">
            <w:pPr>
              <w:pStyle w:val="P68B1DB1-Normal11"/>
              <w:spacing w:after="0" w:line="240" w:lineRule="auto"/>
              <w:jc w:val="center"/>
              <w:rPr>
                <w:rFonts w:eastAsia="Times New Roman"/>
                <w:noProof/>
              </w:rPr>
            </w:pPr>
            <w:r>
              <w:rPr>
                <w:noProof/>
              </w:rPr>
              <w:t>75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C5952A"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F84139" w14:textId="77777777" w:rsidR="006C686E" w:rsidRDefault="00B17E8C">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EB2728" w14:textId="36CFBECC" w:rsidR="006C686E" w:rsidRDefault="00B17E8C">
            <w:pPr>
              <w:pStyle w:val="P68B1DB1-Normal13"/>
              <w:spacing w:after="0" w:line="240" w:lineRule="auto"/>
              <w:jc w:val="both"/>
              <w:rPr>
                <w:rFonts w:eastAsia="Times New Roman"/>
                <w:noProof/>
                <w:kern w:val="0"/>
                <w14:ligatures w14:val="none"/>
              </w:rPr>
            </w:pPr>
            <w:r>
              <w:rPr>
                <w:noProof/>
              </w:rPr>
              <w:t>Évaluation positive par les autorités des rapports finaux d'exécution.</w:t>
            </w:r>
          </w:p>
        </w:tc>
      </w:tr>
      <w:tr w:rsidR="006C686E" w14:paraId="52908A4A" w14:textId="77777777" w:rsidTr="00A66BC8">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F07A4C8" w14:textId="77777777" w:rsidR="006C686E" w:rsidRDefault="00B17E8C">
            <w:pPr>
              <w:pStyle w:val="P68B1DB1-Normal10"/>
              <w:spacing w:after="0" w:line="240" w:lineRule="auto"/>
              <w:jc w:val="center"/>
              <w:rPr>
                <w:rFonts w:eastAsia="Times New Roman"/>
                <w:bCs/>
                <w:noProof/>
              </w:rPr>
            </w:pPr>
            <w:r>
              <w:rPr>
                <w:noProof/>
              </w:rPr>
              <w:t>16.10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495304" w14:textId="77777777" w:rsidR="006C686E" w:rsidRDefault="00B17E8C">
            <w:pPr>
              <w:pStyle w:val="P68B1DB1-Normal11"/>
              <w:spacing w:after="0" w:line="240" w:lineRule="auto"/>
              <w:jc w:val="center"/>
              <w:rPr>
                <w:rFonts w:eastAsia="Times New Roman"/>
                <w:noProof/>
              </w:rPr>
            </w:pPr>
            <w:r>
              <w:rPr>
                <w:noProof/>
              </w:rPr>
              <w:t>TD-C16-i02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028970"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5F3E04" w14:textId="78F1982D" w:rsidR="006C686E" w:rsidRDefault="00B17E8C">
            <w:pPr>
              <w:pStyle w:val="P68B1DB1-Normal13"/>
              <w:spacing w:after="0" w:line="240" w:lineRule="auto"/>
              <w:jc w:val="center"/>
              <w:rPr>
                <w:noProof/>
              </w:rPr>
            </w:pPr>
            <w:r>
              <w:rPr>
                <w:noProof/>
              </w:rPr>
              <w:t>Services numériques pour les entités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DAFF5D"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835971"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0B28E8"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2D127D" w14:textId="77777777" w:rsidR="006C686E" w:rsidRDefault="00B17E8C">
            <w:pPr>
              <w:pStyle w:val="P68B1DB1-Normal11"/>
              <w:spacing w:after="0" w:line="240" w:lineRule="auto"/>
              <w:jc w:val="center"/>
              <w:rPr>
                <w:rFonts w:eastAsia="Times New Roman"/>
                <w:noProof/>
              </w:rPr>
            </w:pPr>
            <w:r>
              <w:rPr>
                <w:noProof/>
              </w:rPr>
              <w:t xml:space="preserve">12 800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2B26D2"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7CFEDC" w14:textId="77777777" w:rsidR="006C686E" w:rsidRDefault="00B17E8C">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4A1D14" w14:textId="5306C1A4" w:rsidR="006C686E" w:rsidRDefault="00B17E8C">
            <w:pPr>
              <w:pStyle w:val="P68B1DB1-Normal13"/>
              <w:spacing w:after="0" w:line="240" w:lineRule="auto"/>
              <w:jc w:val="both"/>
              <w:rPr>
                <w:noProof/>
                <w:kern w:val="0"/>
                <w14:ligatures w14:val="none"/>
              </w:rPr>
            </w:pPr>
            <w:r>
              <w:rPr>
                <w:noProof/>
              </w:rPr>
              <w:t xml:space="preserve">12 800 entités ayant reçu des bons pour des services numériques. </w:t>
            </w:r>
          </w:p>
          <w:p w14:paraId="664A7C54" w14:textId="77777777" w:rsidR="006C686E" w:rsidRDefault="00B17E8C">
            <w:pPr>
              <w:pStyle w:val="P68B1DB1-Normal13"/>
              <w:spacing w:after="0" w:line="240" w:lineRule="auto"/>
              <w:jc w:val="both"/>
              <w:rPr>
                <w:rFonts w:eastAsia="Times New Roman"/>
                <w:noProof/>
                <w:kern w:val="0"/>
                <w14:ligatures w14:val="none"/>
              </w:rPr>
            </w:pPr>
            <w:r>
              <w:rPr>
                <w:noProof/>
              </w:rPr>
              <w:t xml:space="preserve">Soutien accordé à 7 consortiums pour des projets d'accélérateurs </w:t>
            </w:r>
            <w:r>
              <w:rPr>
                <w:noProof/>
                <w:kern w:val="0"/>
                <w14:ligatures w14:val="none"/>
              </w:rPr>
              <w:t>de commerce</w:t>
            </w:r>
            <w:r>
              <w:rPr>
                <w:noProof/>
              </w:rPr>
              <w:t xml:space="preserve"> numérique.</w:t>
            </w:r>
          </w:p>
        </w:tc>
      </w:tr>
      <w:tr w:rsidR="006C686E" w14:paraId="52E96471" w14:textId="77777777" w:rsidTr="00A66BC8">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E1628AE" w14:textId="77777777" w:rsidR="006C686E" w:rsidRDefault="00B17E8C">
            <w:pPr>
              <w:pStyle w:val="P68B1DB1-Normal10"/>
              <w:spacing w:after="0" w:line="240" w:lineRule="auto"/>
              <w:jc w:val="center"/>
              <w:rPr>
                <w:rFonts w:eastAsia="Times New Roman"/>
                <w:bCs/>
                <w:noProof/>
              </w:rPr>
            </w:pPr>
            <w:r>
              <w:rPr>
                <w:noProof/>
              </w:rPr>
              <w:t>16.11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234EFE" w14:textId="77777777" w:rsidR="006C686E" w:rsidRDefault="00B17E8C">
            <w:pPr>
              <w:pStyle w:val="P68B1DB1-Normal11"/>
              <w:spacing w:after="0" w:line="240" w:lineRule="auto"/>
              <w:jc w:val="center"/>
              <w:rPr>
                <w:rFonts w:eastAsia="Times New Roman"/>
                <w:noProof/>
              </w:rPr>
            </w:pPr>
            <w:r>
              <w:rPr>
                <w:noProof/>
              </w:rPr>
              <w:t>TD-C16-i02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9A0717"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0EECA0" w14:textId="5A55D39D" w:rsidR="006C686E" w:rsidRDefault="00B17E8C">
            <w:pPr>
              <w:pStyle w:val="P68B1DB1-Normal13"/>
              <w:spacing w:after="0" w:line="240" w:lineRule="auto"/>
              <w:jc w:val="center"/>
              <w:rPr>
                <w:rFonts w:eastAsia="Times New Roman"/>
                <w:noProof/>
                <w:kern w:val="0"/>
                <w14:ligatures w14:val="none"/>
              </w:rPr>
            </w:pPr>
            <w:r>
              <w:rPr>
                <w:noProof/>
              </w:rPr>
              <w:t>D</w:t>
            </w:r>
            <w:r>
              <w:rPr>
                <w:noProof/>
                <w:kern w:val="0"/>
                <w14:ligatures w14:val="none"/>
              </w:rPr>
              <w:t xml:space="preserve"> programmes de numérisation</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989CDB"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C63229"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7F1600"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7BE64D" w14:textId="04B512E7" w:rsidR="006C686E" w:rsidRDefault="00B17E8C">
            <w:pPr>
              <w:pStyle w:val="P68B1DB1-Normal13"/>
              <w:spacing w:after="0" w:line="240" w:lineRule="auto"/>
              <w:jc w:val="center"/>
              <w:rPr>
                <w:noProof/>
                <w:kern w:val="0"/>
                <w14:ligatures w14:val="none"/>
              </w:rPr>
            </w:pPr>
            <w:r>
              <w:rPr>
                <w:noProof/>
              </w:rPr>
              <w:t>4 600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3EEBD2"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E99495" w14:textId="77777777" w:rsidR="006C686E" w:rsidRDefault="00B17E8C">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F5E1EE" w14:textId="6D5FB99A" w:rsidR="006C686E" w:rsidRDefault="00B17E8C">
            <w:pPr>
              <w:pStyle w:val="P68B1DB1-Normal13"/>
              <w:spacing w:after="0" w:line="240" w:lineRule="auto"/>
              <w:jc w:val="both"/>
              <w:rPr>
                <w:rFonts w:eastAsia="Times New Roman"/>
                <w:noProof/>
                <w:kern w:val="0"/>
                <w14:ligatures w14:val="none"/>
              </w:rPr>
            </w:pPr>
            <w:r>
              <w:rPr>
                <w:noProof/>
                <w:kern w:val="0"/>
                <w14:ligatures w14:val="none"/>
              </w:rPr>
              <w:t>Entités soutenues</w:t>
            </w:r>
            <w:r>
              <w:rPr>
                <w:noProof/>
              </w:rPr>
              <w:t xml:space="preserve"> par l'un des programmes suivants: 1) </w:t>
            </w:r>
            <w:r>
              <w:rPr>
                <w:noProof/>
                <w:kern w:val="0"/>
                <w14:ligatures w14:val="none"/>
              </w:rPr>
              <w:t>«</w:t>
            </w:r>
            <w:r>
              <w:rPr>
                <w:noProof/>
              </w:rPr>
              <w:t>L’internationalisation par le commerce électronique</w:t>
            </w:r>
            <w:r>
              <w:rPr>
                <w:noProof/>
                <w:kern w:val="0"/>
                <w14:ligatures w14:val="none"/>
              </w:rPr>
              <w:t>»</w:t>
            </w:r>
            <w:r>
              <w:rPr>
                <w:noProof/>
              </w:rPr>
              <w:t>; 2) «Coaching 4.0»;</w:t>
            </w:r>
            <w:r>
              <w:rPr>
                <w:noProof/>
                <w:kern w:val="0"/>
                <w14:ligatures w14:val="none"/>
              </w:rPr>
              <w:t xml:space="preserve"> (3) </w:t>
            </w:r>
            <w:r>
              <w:rPr>
                <w:noProof/>
              </w:rPr>
              <w:t>« Bons pour start-ups » ou (4) « Bons pour incubateurs et accélérateurs ».</w:t>
            </w:r>
          </w:p>
        </w:tc>
      </w:tr>
      <w:tr w:rsidR="006C686E" w14:paraId="40653307" w14:textId="77777777" w:rsidTr="00A66BC8">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EBF1BFD" w14:textId="77777777" w:rsidR="006C686E" w:rsidRDefault="00B17E8C">
            <w:pPr>
              <w:pStyle w:val="P68B1DB1-Normal10"/>
              <w:spacing w:after="0" w:line="240" w:lineRule="auto"/>
              <w:jc w:val="center"/>
              <w:rPr>
                <w:rFonts w:eastAsia="Times New Roman"/>
                <w:noProof/>
              </w:rPr>
            </w:pPr>
            <w:r>
              <w:rPr>
                <w:noProof/>
              </w:rPr>
              <w:t>16.13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A1AA0D" w14:textId="77777777" w:rsidR="006C686E" w:rsidRDefault="00B17E8C">
            <w:pPr>
              <w:pStyle w:val="P68B1DB1-Normal11"/>
              <w:spacing w:after="0" w:line="240" w:lineRule="auto"/>
              <w:jc w:val="center"/>
              <w:rPr>
                <w:rFonts w:eastAsia="Times New Roman"/>
                <w:noProof/>
              </w:rPr>
            </w:pPr>
            <w:r>
              <w:rPr>
                <w:noProof/>
              </w:rPr>
              <w:t>TD-C16-i03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059934"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D3299E" w14:textId="77777777" w:rsidR="006C686E" w:rsidRDefault="00B17E8C">
            <w:pPr>
              <w:pStyle w:val="P68B1DB1-Normal11"/>
              <w:spacing w:after="0" w:line="240" w:lineRule="auto"/>
              <w:jc w:val="center"/>
              <w:rPr>
                <w:rFonts w:eastAsia="Times New Roman"/>
                <w:noProof/>
              </w:rPr>
            </w:pPr>
            <w:r>
              <w:rPr>
                <w:noProof/>
              </w:rPr>
              <w:t xml:space="preserve">Pôles d’innovation numérique (PIN)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F08868" w14:textId="77777777" w:rsidR="006C686E" w:rsidRDefault="00B17E8C">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AE0135"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7118CF" w14:textId="04882D54"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D18CC7" w14:textId="172479C2" w:rsidR="006C686E" w:rsidRDefault="00B17E8C">
            <w:pPr>
              <w:pStyle w:val="P68B1DB1-Normal11"/>
              <w:spacing w:after="0" w:line="240" w:lineRule="auto"/>
              <w:jc w:val="center"/>
              <w:rPr>
                <w:rFonts w:eastAsia="Times New Roman"/>
                <w:noProof/>
              </w:rPr>
            </w:pPr>
            <w:r>
              <w:rPr>
                <w:noProof/>
              </w:rPr>
              <w:t>16</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25E06"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ADDAB4" w14:textId="77777777" w:rsidR="006C686E" w:rsidRDefault="00B17E8C">
            <w:pPr>
              <w:pStyle w:val="P68B1DB1-Normal11"/>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AC1303" w14:textId="77777777" w:rsidR="006C686E" w:rsidRDefault="00B17E8C">
            <w:pPr>
              <w:pStyle w:val="P68B1DB1-Normal11"/>
              <w:spacing w:after="0" w:line="240" w:lineRule="auto"/>
              <w:jc w:val="both"/>
              <w:rPr>
                <w:rFonts w:eastAsia="Times New Roman"/>
                <w:noProof/>
              </w:rPr>
            </w:pPr>
            <w:r>
              <w:rPr>
                <w:noProof/>
              </w:rPr>
              <w:t xml:space="preserve">Nombre de consortiums DIH sélectionnés par l’approbation des offres. La création de chaque PIN implique par la suite la création d’un incubateur/accélérateur afin de favoriser l’écosystème entrepreneurial associé aux secteurs couverts par le pôle. Cet investissement renforcera et complétera le réseau déjà en cours de développement dans le cadre du programme pour une Europe numérique. </w:t>
            </w:r>
          </w:p>
          <w:p w14:paraId="13626263" w14:textId="77777777" w:rsidR="006C686E" w:rsidRDefault="00B17E8C">
            <w:pPr>
              <w:pStyle w:val="P68B1DB1-Normal11"/>
              <w:spacing w:after="0" w:line="240" w:lineRule="auto"/>
              <w:jc w:val="both"/>
              <w:rPr>
                <w:rFonts w:eastAsia="Times New Roman"/>
                <w:noProof/>
              </w:rPr>
            </w:pPr>
            <w:r>
              <w:rPr>
                <w:noProof/>
              </w:rPr>
              <w:t>Les critères de sélection garantissent la conformité avec les orientations techniques «Ne pas causer de préjudice important» (2021/C58/01) des opérations bénéficiant d’un soutien au titre de la présente mesure grâce à l’utilisation d’une liste d’exclusion et à l’exigence de conformité avec la législation environnementale pertinente de l’UE et nationale.</w:t>
            </w:r>
          </w:p>
        </w:tc>
      </w:tr>
      <w:tr w:rsidR="006C686E" w14:paraId="617C03D1" w14:textId="77777777" w:rsidTr="00A66BC8">
        <w:trPr>
          <w:trHeight w:val="126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635CD4" w14:textId="77777777" w:rsidR="006C686E" w:rsidRDefault="00B17E8C">
            <w:pPr>
              <w:pStyle w:val="P68B1DB1-Normal10"/>
              <w:spacing w:after="0" w:line="240" w:lineRule="auto"/>
              <w:jc w:val="center"/>
              <w:rPr>
                <w:rFonts w:eastAsia="Times New Roman"/>
                <w:noProof/>
              </w:rPr>
            </w:pPr>
            <w:r>
              <w:rPr>
                <w:noProof/>
              </w:rPr>
              <w:t>16.14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ECD6DB" w14:textId="77777777" w:rsidR="006C686E" w:rsidRDefault="00B17E8C">
            <w:pPr>
              <w:pStyle w:val="P68B1DB1-Normal11"/>
              <w:spacing w:after="0" w:line="240" w:lineRule="auto"/>
              <w:jc w:val="center"/>
              <w:rPr>
                <w:rFonts w:eastAsia="Times New Roman"/>
                <w:noProof/>
              </w:rPr>
            </w:pPr>
            <w:r>
              <w:rPr>
                <w:noProof/>
              </w:rPr>
              <w:t>TD-C16-i03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FB5EFB" w14:textId="77777777" w:rsidR="006C686E" w:rsidRDefault="00B17E8C">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7B1B5" w14:textId="77777777" w:rsidR="006C686E" w:rsidRDefault="00B17E8C">
            <w:pPr>
              <w:pStyle w:val="P68B1DB1-Normal11"/>
              <w:spacing w:after="0" w:line="240" w:lineRule="auto"/>
              <w:jc w:val="center"/>
              <w:rPr>
                <w:rFonts w:eastAsia="Times New Roman"/>
                <w:noProof/>
              </w:rPr>
            </w:pPr>
            <w:r>
              <w:rPr>
                <w:noProof/>
              </w:rPr>
              <w:t>Mise en place de services d’envoi de factures numériques et de certifications en matière de cybersécurité, de respect de la vie privée, de facilité d’utilisation et de durabilité</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E91D28" w14:textId="77777777" w:rsidR="006C686E" w:rsidRDefault="00B17E8C">
            <w:pPr>
              <w:pStyle w:val="P68B1DB1-Normal11"/>
              <w:spacing w:after="0" w:line="240" w:lineRule="auto"/>
              <w:jc w:val="center"/>
              <w:rPr>
                <w:rFonts w:eastAsia="Times New Roman"/>
                <w:noProof/>
              </w:rPr>
            </w:pPr>
            <w:r>
              <w:rPr>
                <w:noProof/>
              </w:rPr>
              <w:t>Mise en place de services d’envoi de factures numériques et de certifications en matière de cybersécurité, de respect de la vie privée, de facilité d’utilisation et de durabilité</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106E69"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6874AF"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511C71"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BCDDBD"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36875" w14:textId="77777777" w:rsidR="006C686E" w:rsidRDefault="00B17E8C">
            <w:pPr>
              <w:pStyle w:val="P68B1DB1-Normal11"/>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1B57AD" w14:textId="77777777" w:rsidR="006C686E" w:rsidRDefault="00B17E8C">
            <w:pPr>
              <w:pStyle w:val="P68B1DB1-Normal11"/>
              <w:spacing w:after="0" w:line="240" w:lineRule="auto"/>
              <w:jc w:val="both"/>
              <w:rPr>
                <w:rFonts w:eastAsia="Times New Roman"/>
                <w:noProof/>
              </w:rPr>
            </w:pPr>
            <w:r>
              <w:rPr>
                <w:noProof/>
              </w:rPr>
              <w:t xml:space="preserve">Cinq nouveaux services sont mis en place pour: 1) l'envoi de factures numériques; et 2) la certification de cybersécurité, 3) la certification de confidentialité, 4) la certification d’utilisabilité et 5) la certification de durabilité; y compris les campagnes de diffusion connexes sur tous les services. Les services de certification soutiennent les demandes et la soumission des demandes de certification, la gestion des processus, la délivrance et le répertoire centralisé des certificats et des scellés délivrés. Les services de certification soutiennent également la communication entre tous les partenaires et entités participant aux processus, ainsi que la production de données procédurales pertinentes pour le suivi du programme. </w:t>
            </w:r>
          </w:p>
          <w:p w14:paraId="5FFF5566" w14:textId="77777777" w:rsidR="006C686E" w:rsidRDefault="00B17E8C">
            <w:pPr>
              <w:pStyle w:val="P68B1DB1-Normal11"/>
              <w:spacing w:after="0" w:line="240" w:lineRule="auto"/>
              <w:jc w:val="both"/>
              <w:rPr>
                <w:rFonts w:eastAsia="Times New Roman"/>
                <w:noProof/>
              </w:rPr>
            </w:pPr>
            <w:r>
              <w:rPr>
                <w:noProof/>
              </w:rPr>
              <w:t>Les services doivent être opérationnels et accessibles aux utilisateurs visés.</w:t>
            </w:r>
          </w:p>
        </w:tc>
      </w:tr>
      <w:tr w:rsidR="006C686E" w14:paraId="51FACE77" w14:textId="77777777" w:rsidTr="00A66BC8">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AB59FD" w14:textId="77777777" w:rsidR="006C686E" w:rsidRDefault="00B17E8C">
            <w:pPr>
              <w:pStyle w:val="P68B1DB1-Normal10"/>
              <w:spacing w:after="0" w:line="240" w:lineRule="auto"/>
              <w:jc w:val="center"/>
              <w:rPr>
                <w:rFonts w:eastAsia="Times New Roman"/>
                <w:noProof/>
              </w:rPr>
            </w:pPr>
            <w:r>
              <w:rPr>
                <w:noProof/>
              </w:rPr>
              <w:t>16.15</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A842C8" w14:textId="77777777" w:rsidR="006C686E" w:rsidRDefault="00B17E8C">
            <w:pPr>
              <w:pStyle w:val="P68B1DB1-Normal11"/>
              <w:spacing w:after="0" w:line="240" w:lineRule="auto"/>
              <w:jc w:val="center"/>
              <w:rPr>
                <w:rFonts w:eastAsia="Times New Roman"/>
                <w:noProof/>
              </w:rPr>
            </w:pPr>
            <w:r>
              <w:rPr>
                <w:noProof/>
              </w:rPr>
              <w:t>TD-C16-i03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16E6E0"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A3C848" w14:textId="61A63727" w:rsidR="006C686E" w:rsidRDefault="00B17E8C">
            <w:pPr>
              <w:pStyle w:val="P68B1DB1-Normal13"/>
              <w:spacing w:after="0" w:line="240" w:lineRule="auto"/>
              <w:jc w:val="center"/>
              <w:rPr>
                <w:rFonts w:eastAsia="Times New Roman"/>
                <w:noProof/>
                <w:kern w:val="0"/>
                <w14:ligatures w14:val="none"/>
              </w:rPr>
            </w:pPr>
            <w:r>
              <w:rPr>
                <w:noProof/>
              </w:rPr>
              <w:t>Déboursement de</w:t>
            </w:r>
            <w:r>
              <w:rPr>
                <w:noProof/>
                <w:kern w:val="0"/>
                <w14:ligatures w14:val="none"/>
              </w:rPr>
              <w:t> </w:t>
            </w:r>
            <w:r>
              <w:rPr>
                <w:noProof/>
              </w:rPr>
              <w:t>20</w:t>
            </w:r>
            <w:r>
              <w:rPr>
                <w:noProof/>
                <w:kern w:val="0"/>
                <w14:ligatures w14:val="none"/>
              </w:rPr>
              <w:t> </w:t>
            </w:r>
            <w:r>
              <w:rPr>
                <w:noProof/>
              </w:rPr>
              <w:t>000</w:t>
            </w:r>
            <w:r>
              <w:rPr>
                <w:noProof/>
                <w:kern w:val="0"/>
                <w14:ligatures w14:val="none"/>
              </w:rPr>
              <w:t> </w:t>
            </w:r>
            <w:r>
              <w:rPr>
                <w:noProof/>
              </w:rPr>
              <w:t>000 EUR</w:t>
            </w:r>
            <w:r>
              <w:rPr>
                <w:noProof/>
                <w:kern w:val="0"/>
                <w14:ligatures w14:val="none"/>
              </w:rPr>
              <w:t xml:space="preserve"> en faveur des pôles d’innovation numérique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47791A"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FDB987" w14:textId="77777777" w:rsidR="006C686E" w:rsidRDefault="00B17E8C">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C35D23"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D8F389" w14:textId="486E1C0F" w:rsidR="006C686E" w:rsidRDefault="00B17E8C">
            <w:pPr>
              <w:pStyle w:val="P68B1DB1-Normal11"/>
              <w:spacing w:after="0" w:line="240" w:lineRule="auto"/>
              <w:jc w:val="center"/>
              <w:rPr>
                <w:noProof/>
              </w:rPr>
            </w:pPr>
            <w:r>
              <w:rPr>
                <w:noProof/>
                <w:color w:val="000000"/>
              </w:rPr>
              <w:t>20</w:t>
            </w:r>
            <w:r>
              <w:rPr>
                <w:noProof/>
              </w:rPr>
              <w:t xml:space="preserve"> </w:t>
            </w:r>
            <w:r>
              <w:rPr>
                <w:noProof/>
                <w:color w:val="000000"/>
              </w:rPr>
              <w:t>000</w:t>
            </w:r>
            <w:r>
              <w:rPr>
                <w:noProof/>
              </w:rPr>
              <w:t xml:space="preserve"> </w:t>
            </w:r>
            <w:r>
              <w:rPr>
                <w:noProof/>
                <w:color w:val="000000"/>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03B74B"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BA0FE" w14:textId="77777777" w:rsidR="006C686E" w:rsidRDefault="00B17E8C">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7C2DED" w14:textId="5DB34F16" w:rsidR="006C686E" w:rsidRDefault="00B17E8C">
            <w:pPr>
              <w:pStyle w:val="P68B1DB1-Normal13"/>
              <w:spacing w:after="0" w:line="240" w:lineRule="auto"/>
              <w:jc w:val="both"/>
              <w:rPr>
                <w:rFonts w:eastAsia="Times New Roman"/>
                <w:noProof/>
                <w:kern w:val="0"/>
                <w14:ligatures w14:val="none"/>
              </w:rPr>
            </w:pPr>
            <w:r>
              <w:rPr>
                <w:noProof/>
                <w:kern w:val="0"/>
                <w14:ligatures w14:val="none"/>
              </w:rPr>
              <w:t>Au moins 20 000 000 EUR sont transférés aux pôles d’innovation numérique. Les montants fournis par d’autres programmes ou instruments de l’Union ne sont pas comptabilisés dans ce montant.</w:t>
            </w:r>
          </w:p>
        </w:tc>
      </w:tr>
      <w:tr w:rsidR="006C686E" w14:paraId="16A97CF9" w14:textId="77777777" w:rsidTr="00A66BC8">
        <w:trPr>
          <w:trHeight w:val="206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1DCF7E41" w14:textId="77777777" w:rsidR="006C686E" w:rsidRDefault="00B17E8C">
            <w:pPr>
              <w:pStyle w:val="P68B1DB1-Normal10"/>
              <w:spacing w:after="0" w:line="240" w:lineRule="auto"/>
              <w:jc w:val="center"/>
              <w:rPr>
                <w:rFonts w:eastAsia="Times New Roman"/>
                <w:noProof/>
              </w:rPr>
            </w:pPr>
            <w:r>
              <w:rPr>
                <w:noProof/>
              </w:rPr>
              <w:t>16.16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2B40FB" w14:textId="77777777" w:rsidR="006C686E" w:rsidRDefault="00B17E8C">
            <w:pPr>
              <w:pStyle w:val="P68B1DB1-Normal11"/>
              <w:spacing w:after="0" w:line="240" w:lineRule="auto"/>
              <w:jc w:val="center"/>
              <w:rPr>
                <w:rFonts w:eastAsia="Times New Roman"/>
                <w:noProof/>
              </w:rPr>
            </w:pPr>
            <w:r>
              <w:rPr>
                <w:noProof/>
              </w:rPr>
              <w:t>TD-C16-i04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68ADF4"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E6627F" w14:textId="77777777" w:rsidR="006C686E" w:rsidRDefault="00B17E8C">
            <w:pPr>
              <w:pStyle w:val="P68B1DB1-Normal11"/>
              <w:spacing w:after="0" w:line="240" w:lineRule="auto"/>
              <w:jc w:val="center"/>
              <w:rPr>
                <w:rFonts w:eastAsia="Times New Roman"/>
                <w:noProof/>
              </w:rPr>
            </w:pPr>
            <w:r>
              <w:rPr>
                <w:noProof/>
              </w:rPr>
              <w:t>Sélection de projets Industrie 4.0</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5DA1D0"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15962F"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2F5905"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770DC1" w14:textId="77777777" w:rsidR="006C686E" w:rsidRDefault="00B17E8C">
            <w:pPr>
              <w:pStyle w:val="P68B1DB1-Normal11"/>
              <w:spacing w:after="0" w:line="240" w:lineRule="auto"/>
              <w:jc w:val="center"/>
              <w:rPr>
                <w:rFonts w:eastAsia="Times New Roman"/>
                <w:noProof/>
              </w:rPr>
            </w:pPr>
            <w:r>
              <w:rPr>
                <w:noProof/>
              </w:rPr>
              <w:t>200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575F2E"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EB5F26" w14:textId="77777777" w:rsidR="006C686E" w:rsidRDefault="00B17E8C">
            <w:pPr>
              <w:pStyle w:val="P68B1DB1-Normal11"/>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6ADFCF5" w14:textId="77777777" w:rsidR="006C686E" w:rsidRDefault="00B17E8C">
            <w:pPr>
              <w:pStyle w:val="P68B1DB1-Normal13"/>
              <w:widowControl w:val="0"/>
              <w:spacing w:after="0" w:line="240" w:lineRule="auto"/>
              <w:rPr>
                <w:rFonts w:eastAsia="Arial"/>
                <w:noProof/>
                <w:kern w:val="0"/>
                <w14:ligatures w14:val="none"/>
              </w:rPr>
            </w:pPr>
            <w:r>
              <w:rPr>
                <w:noProof/>
                <w:kern w:val="0"/>
                <w14:ligatures w14:val="none"/>
              </w:rPr>
              <w:t xml:space="preserve">200 projets Industrie 4.0 seront sélectionnés. </w:t>
            </w:r>
            <w:r>
              <w:rPr>
                <w:noProof/>
              </w:rPr>
              <w:t>Les projets sont conformes à la typologie des actions décrite dans la description de la mesure.</w:t>
            </w:r>
          </w:p>
          <w:p w14:paraId="3BCE4022" w14:textId="77777777" w:rsidR="006C686E" w:rsidRDefault="006C686E">
            <w:pPr>
              <w:widowControl w:val="0"/>
              <w:spacing w:after="0" w:line="240" w:lineRule="auto"/>
              <w:rPr>
                <w:rFonts w:ascii="Times New Roman" w:eastAsia="Arial" w:hAnsi="Times New Roman" w:cs="Times New Roman"/>
                <w:noProof/>
                <w:kern w:val="0"/>
                <w:sz w:val="16"/>
                <w:szCs w:val="16"/>
                <w14:ligatures w14:val="none"/>
              </w:rPr>
            </w:pPr>
          </w:p>
          <w:p w14:paraId="727F3F3A" w14:textId="77777777" w:rsidR="006C686E" w:rsidRDefault="00B17E8C">
            <w:pPr>
              <w:pStyle w:val="P68B1DB1-Normal13"/>
              <w:spacing w:after="0" w:line="240" w:lineRule="auto"/>
              <w:jc w:val="both"/>
              <w:rPr>
                <w:noProof/>
                <w:kern w:val="0"/>
                <w14:ligatures w14:val="none"/>
              </w:rPr>
            </w:pPr>
            <w:r>
              <w:rPr>
                <w:noProof/>
              </w:rPr>
              <w:t>Les critères de sélection garantissent la conformité avec les orientations techniques «Ne pas causer de préjudice important» (2021/C58/01) des opérations bénéficiant d’un soutien au titre de la présente mesure grâce à l’utilisation d’une liste d’exclusion et à l’exigence de conformité avec la législation environnementale pertinente de l’UE et nationale.</w:t>
            </w:r>
          </w:p>
        </w:tc>
      </w:tr>
      <w:tr w:rsidR="006C686E" w14:paraId="25208650" w14:textId="77777777" w:rsidTr="00A66BC8">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7F2C1B51" w14:textId="77777777" w:rsidR="006C686E" w:rsidRDefault="00B17E8C">
            <w:pPr>
              <w:pStyle w:val="P68B1DB1-Normal10"/>
              <w:spacing w:after="0" w:line="240" w:lineRule="auto"/>
              <w:jc w:val="center"/>
              <w:rPr>
                <w:rFonts w:eastAsia="Times New Roman"/>
                <w:bCs/>
                <w:noProof/>
              </w:rPr>
            </w:pPr>
            <w:r>
              <w:rPr>
                <w:noProof/>
              </w:rPr>
              <w:t>16.17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2101D6" w14:textId="77777777" w:rsidR="006C686E" w:rsidRDefault="00B17E8C">
            <w:pPr>
              <w:pStyle w:val="P68B1DB1-Normal11"/>
              <w:spacing w:after="0" w:line="240" w:lineRule="auto"/>
              <w:jc w:val="center"/>
              <w:rPr>
                <w:rFonts w:eastAsia="Times New Roman"/>
                <w:noProof/>
              </w:rPr>
            </w:pPr>
            <w:r>
              <w:rPr>
                <w:noProof/>
              </w:rPr>
              <w:t>TD-C16-i04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50620F"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CEA1D5" w14:textId="77777777" w:rsidR="006C686E" w:rsidRDefault="00B17E8C">
            <w:pPr>
              <w:pStyle w:val="P68B1DB1-Normal11"/>
              <w:widowControl w:val="0"/>
              <w:spacing w:after="260" w:line="276" w:lineRule="auto"/>
              <w:jc w:val="center"/>
              <w:rPr>
                <w:rFonts w:eastAsia="Arial"/>
                <w:noProof/>
              </w:rPr>
            </w:pPr>
            <w:r>
              <w:rPr>
                <w:noProof/>
              </w:rPr>
              <w:t>Projets «Industrie 4.0»</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232DB0"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9C9373"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D18CCD"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136F36" w14:textId="77777777" w:rsidR="006C686E" w:rsidRDefault="00B17E8C">
            <w:pPr>
              <w:pStyle w:val="P68B1DB1-Normal11"/>
              <w:spacing w:after="0" w:line="240" w:lineRule="auto"/>
              <w:jc w:val="center"/>
              <w:rPr>
                <w:rFonts w:eastAsia="Times New Roman"/>
                <w:noProof/>
              </w:rPr>
            </w:pPr>
            <w:r>
              <w:rPr>
                <w:noProof/>
              </w:rPr>
              <w:t>300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9E432E" w14:textId="6AFF1AEA" w:rsidR="006C686E" w:rsidRDefault="00B17E8C">
            <w:pPr>
              <w:pStyle w:val="P68B1DB1-Normal13"/>
              <w:spacing w:after="0" w:line="240" w:lineRule="auto"/>
              <w:jc w:val="center"/>
              <w:rPr>
                <w:noProof/>
                <w:kern w:val="0"/>
                <w14:ligatures w14:val="none"/>
              </w:rPr>
            </w:pPr>
            <w:r>
              <w:rPr>
                <w:noProof/>
              </w:rPr>
              <w:t>Q</w:t>
            </w:r>
            <w:r>
              <w:rPr>
                <w:noProof/>
                <w:kern w:val="0"/>
                <w14:ligatures w14:val="none"/>
              </w:rPr>
              <w:t xml:space="preserve"> 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843061" w14:textId="5C74E0B0" w:rsidR="006C686E" w:rsidRDefault="00B17E8C">
            <w:pPr>
              <w:pStyle w:val="P68B1DB1-Normal13"/>
              <w:spacing w:after="0" w:line="240" w:lineRule="auto"/>
              <w:jc w:val="center"/>
              <w:rPr>
                <w:noProof/>
                <w:kern w:val="0"/>
                <w14:ligatures w14:val="none"/>
              </w:rPr>
            </w:pPr>
            <w:r>
              <w:rPr>
                <w:noProof/>
                <w:kern w:val="0"/>
                <w14:ligatures w14:val="none"/>
              </w:rPr>
              <w:t>202</w:t>
            </w:r>
            <w:r>
              <w:rPr>
                <w:noProof/>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2240A5AC" w14:textId="6756A1A0" w:rsidR="006C686E" w:rsidRDefault="00B17E8C">
            <w:pPr>
              <w:pStyle w:val="P68B1DB1-Normal13"/>
              <w:widowControl w:val="0"/>
              <w:spacing w:after="0" w:line="240" w:lineRule="auto"/>
              <w:jc w:val="both"/>
              <w:rPr>
                <w:rFonts w:eastAsia="Arial"/>
                <w:noProof/>
                <w:kern w:val="0"/>
                <w14:ligatures w14:val="none"/>
              </w:rPr>
            </w:pPr>
            <w:r>
              <w:rPr>
                <w:noProof/>
              </w:rPr>
              <w:t>Rapports d’analyse d’impact des projets et décisions d’évaluation positive pour</w:t>
            </w:r>
            <w:r>
              <w:rPr>
                <w:noProof/>
                <w:kern w:val="0"/>
                <w14:ligatures w14:val="none"/>
              </w:rPr>
              <w:t xml:space="preserve"> </w:t>
            </w:r>
            <w:r>
              <w:rPr>
                <w:noProof/>
              </w:rPr>
              <w:t xml:space="preserve">300 </w:t>
            </w:r>
            <w:r>
              <w:rPr>
                <w:noProof/>
                <w:kern w:val="0"/>
                <w14:ligatures w14:val="none"/>
              </w:rPr>
              <w:t>projets dans le cadre du programme «Industrie</w:t>
            </w:r>
            <w:r>
              <w:rPr>
                <w:noProof/>
              </w:rPr>
              <w:t xml:space="preserve"> 4.0».</w:t>
            </w:r>
          </w:p>
        </w:tc>
      </w:tr>
      <w:tr w:rsidR="006C686E" w14:paraId="7205AE34" w14:textId="77777777" w:rsidTr="00A66BC8">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6BCD61D5" w14:textId="77777777" w:rsidR="006C686E" w:rsidRDefault="00B17E8C">
            <w:pPr>
              <w:pStyle w:val="P68B1DB1-Normal10"/>
              <w:spacing w:after="0" w:line="240" w:lineRule="auto"/>
              <w:jc w:val="center"/>
              <w:rPr>
                <w:rFonts w:eastAsia="Times New Roman"/>
                <w:bCs/>
                <w:noProof/>
              </w:rPr>
            </w:pPr>
            <w:r>
              <w:rPr>
                <w:noProof/>
              </w:rPr>
              <w:t>16.18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2F201D" w14:textId="77777777" w:rsidR="006C686E" w:rsidRDefault="00B17E8C">
            <w:pPr>
              <w:pStyle w:val="P68B1DB1-Normal11"/>
              <w:spacing w:after="0" w:line="240" w:lineRule="auto"/>
              <w:jc w:val="center"/>
              <w:rPr>
                <w:rFonts w:eastAsia="Times New Roman"/>
                <w:noProof/>
              </w:rPr>
            </w:pPr>
            <w:r>
              <w:rPr>
                <w:noProof/>
              </w:rPr>
              <w:t>TD-C16-i05-RAA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EFDC90"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ED6CF5" w14:textId="0265E464" w:rsidR="006C686E" w:rsidRDefault="00B17E8C">
            <w:pPr>
              <w:pStyle w:val="P68B1DB1-Normal13"/>
              <w:spacing w:after="0" w:line="240" w:lineRule="auto"/>
              <w:jc w:val="center"/>
              <w:rPr>
                <w:noProof/>
              </w:rPr>
            </w:pPr>
            <w:r>
              <w:rPr>
                <w:noProof/>
              </w:rPr>
              <w:t>Projets «Capacité numérique et transformation des entreprises aux Açores»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79DB61"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E1F30D"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361941"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73C327" w14:textId="77777777" w:rsidR="006C686E" w:rsidRDefault="00B17E8C">
            <w:pPr>
              <w:pStyle w:val="P68B1DB1-Normal13"/>
              <w:spacing w:after="0" w:line="240" w:lineRule="auto"/>
              <w:jc w:val="center"/>
              <w:rPr>
                <w:rFonts w:eastAsia="Times New Roman"/>
                <w:noProof/>
                <w:kern w:val="0"/>
                <w14:ligatures w14:val="none"/>
              </w:rPr>
            </w:pPr>
            <w:r>
              <w:rPr>
                <w:noProof/>
              </w:rPr>
              <w:t>409</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12A8A1" w14:textId="77777777" w:rsidR="006C686E" w:rsidRDefault="00B17E8C">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DBECD3" w14:textId="77777777" w:rsidR="006C686E" w:rsidRDefault="00B17E8C">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3A19274E" w14:textId="6DC1C851" w:rsidR="006C686E" w:rsidRDefault="00B17E8C">
            <w:pPr>
              <w:pStyle w:val="P68B1DB1-Normal13"/>
              <w:widowControl w:val="0"/>
              <w:spacing w:after="0" w:line="240" w:lineRule="auto"/>
              <w:jc w:val="both"/>
              <w:rPr>
                <w:rFonts w:eastAsia="Arial"/>
                <w:noProof/>
                <w:kern w:val="0"/>
                <w14:ligatures w14:val="none"/>
              </w:rPr>
            </w:pPr>
            <w:r>
              <w:rPr>
                <w:noProof/>
              </w:rPr>
              <w:t>Certificats de conclusion pour</w:t>
            </w:r>
            <w:r>
              <w:rPr>
                <w:noProof/>
                <w:kern w:val="0"/>
                <w14:ligatures w14:val="none"/>
              </w:rPr>
              <w:t xml:space="preserve"> 409 </w:t>
            </w:r>
            <w:r>
              <w:rPr>
                <w:noProof/>
              </w:rPr>
              <w:t>projets</w:t>
            </w:r>
            <w:r>
              <w:rPr>
                <w:noProof/>
                <w:kern w:val="0"/>
                <w14:ligatures w14:val="none"/>
              </w:rPr>
              <w:t xml:space="preserve"> </w:t>
            </w:r>
            <w:r>
              <w:rPr>
                <w:noProof/>
              </w:rPr>
              <w:t xml:space="preserve">dans le cadre du </w:t>
            </w:r>
            <w:r>
              <w:rPr>
                <w:noProof/>
                <w:kern w:val="0"/>
                <w14:ligatures w14:val="none"/>
              </w:rPr>
              <w:t>programme «Capacité numérique et transformation des entreprises aux Açores».</w:t>
            </w:r>
          </w:p>
        </w:tc>
      </w:tr>
      <w:tr w:rsidR="006C686E" w14:paraId="6BF92AFD" w14:textId="77777777" w:rsidTr="00A66BC8">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17ACB79" w14:textId="77777777" w:rsidR="006C686E" w:rsidRDefault="00B17E8C">
            <w:pPr>
              <w:pStyle w:val="P68B1DB1-Normal10"/>
              <w:spacing w:after="0" w:line="240" w:lineRule="auto"/>
              <w:jc w:val="center"/>
              <w:rPr>
                <w:rFonts w:eastAsia="Times New Roman"/>
                <w:bCs/>
                <w:noProof/>
              </w:rPr>
            </w:pPr>
            <w:r>
              <w:rPr>
                <w:noProof/>
              </w:rPr>
              <w:t>16.20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DCA2F8" w14:textId="77777777" w:rsidR="006C686E" w:rsidRDefault="00B17E8C">
            <w:pPr>
              <w:pStyle w:val="P68B1DB1-Normal11"/>
              <w:spacing w:after="0" w:line="240" w:lineRule="auto"/>
              <w:jc w:val="center"/>
              <w:rPr>
                <w:rFonts w:eastAsia="Times New Roman"/>
                <w:noProof/>
              </w:rPr>
            </w:pPr>
            <w:r>
              <w:rPr>
                <w:noProof/>
              </w:rPr>
              <w:t>TD-C16-i06-RAM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64DEE8" w14:textId="77777777" w:rsidR="006C686E" w:rsidRDefault="00B17E8C">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C85548" w14:textId="77777777" w:rsidR="006C686E" w:rsidRDefault="00B17E8C">
            <w:pPr>
              <w:pStyle w:val="P68B1DB1-Normal13"/>
              <w:spacing w:after="0" w:line="240" w:lineRule="auto"/>
              <w:jc w:val="center"/>
              <w:rPr>
                <w:noProof/>
                <w:kern w:val="0"/>
                <w14:ligatures w14:val="none"/>
              </w:rPr>
            </w:pPr>
            <w:r>
              <w:rPr>
                <w:noProof/>
              </w:rPr>
              <w:t>Projets «+ numériques»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7C6D52"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7AA52C" w14:textId="77777777" w:rsidR="006C686E" w:rsidRDefault="00B17E8C">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51F86A4"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7D0C94" w14:textId="77777777" w:rsidR="006C686E" w:rsidRDefault="00B17E8C">
            <w:pPr>
              <w:pStyle w:val="P68B1DB1-Normal11"/>
              <w:spacing w:after="0" w:line="240" w:lineRule="auto"/>
              <w:jc w:val="center"/>
              <w:rPr>
                <w:rFonts w:eastAsia="Times New Roman"/>
                <w:noProof/>
              </w:rPr>
            </w:pPr>
            <w:r>
              <w:rPr>
                <w:noProof/>
              </w:rPr>
              <w:t>300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588326"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AC2C89" w14:textId="77777777" w:rsidR="006C686E" w:rsidRDefault="00B17E8C">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F35548A" w14:textId="15553F30" w:rsidR="006C686E" w:rsidRDefault="00B17E8C">
            <w:pPr>
              <w:pStyle w:val="P68B1DB1-Normal13"/>
              <w:spacing w:after="0" w:line="240" w:lineRule="auto"/>
              <w:jc w:val="both"/>
              <w:rPr>
                <w:noProof/>
                <w:kern w:val="0"/>
                <w14:ligatures w14:val="none"/>
              </w:rPr>
            </w:pPr>
            <w:r>
              <w:rPr>
                <w:noProof/>
              </w:rPr>
              <w:t>Rapports d’inspection signés pour 300 projets dans le cadre du programme «+Numérique».</w:t>
            </w:r>
          </w:p>
        </w:tc>
      </w:tr>
    </w:tbl>
    <w:p w14:paraId="50F32BAA" w14:textId="77777777" w:rsidR="006C686E" w:rsidRDefault="006C686E">
      <w:pPr>
        <w:spacing w:before="40" w:after="0"/>
        <w:jc w:val="both"/>
        <w:rPr>
          <w:rFonts w:ascii="Times New Roman" w:eastAsia="Times New Roman" w:hAnsi="Times New Roman" w:cs="Times New Roman"/>
          <w:noProof/>
          <w:kern w:val="0"/>
          <w:szCs w:val="26"/>
          <w:u w:val="single"/>
          <w14:ligatures w14:val="none"/>
        </w:rPr>
      </w:pPr>
    </w:p>
    <w:p w14:paraId="1BDEE70F" w14:textId="77777777" w:rsidR="006C686E" w:rsidRDefault="006C686E">
      <w:pPr>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6C686E" w:rsidSect="00C95E00">
          <w:headerReference w:type="even" r:id="rId310"/>
          <w:headerReference w:type="default" r:id="rId311"/>
          <w:footerReference w:type="even" r:id="rId312"/>
          <w:footerReference w:type="default" r:id="rId313"/>
          <w:headerReference w:type="first" r:id="rId314"/>
          <w:footerReference w:type="first" r:id="rId315"/>
          <w:pgSz w:w="16839" w:h="11907" w:orient="landscape"/>
          <w:pgMar w:top="1134" w:right="1134" w:bottom="1134" w:left="1134" w:header="567" w:footer="567" w:gutter="0"/>
          <w:cols w:space="720"/>
          <w:docGrid w:linePitch="360"/>
        </w:sectPr>
      </w:pPr>
    </w:p>
    <w:p w14:paraId="5152FD2B" w14:textId="77777777" w:rsidR="006C686E" w:rsidRDefault="00B17E8C">
      <w:pPr>
        <w:pStyle w:val="P68B1DB1-Normal1"/>
        <w:spacing w:before="40" w:after="0"/>
        <w:ind w:left="130" w:firstLine="720"/>
        <w:jc w:val="both"/>
        <w:outlineLvl w:val="1"/>
        <w:rPr>
          <w:rFonts w:eastAsia="Times New Roman"/>
          <w:noProof/>
        </w:rPr>
      </w:pPr>
      <w:r>
        <w:rPr>
          <w:noProof/>
        </w:rPr>
        <w:t>Q</w:t>
      </w:r>
      <w:r>
        <w:rPr>
          <w:smallCaps/>
          <w:noProof/>
        </w:rPr>
        <w:t>. COMPOSANT 1</w:t>
      </w:r>
      <w:r>
        <w:rPr>
          <w:noProof/>
        </w:rPr>
        <w:t xml:space="preserve"> 7</w:t>
      </w:r>
      <w:r>
        <w:rPr>
          <w:smallCaps/>
          <w:noProof/>
        </w:rPr>
        <w:t xml:space="preserve">: </w:t>
      </w:r>
      <w:r>
        <w:rPr>
          <w:noProof/>
        </w:rPr>
        <w:t>Qualité et viabilité des finances publiques</w:t>
      </w:r>
    </w:p>
    <w:p w14:paraId="77C748D6" w14:textId="77777777" w:rsidR="006C686E" w:rsidRDefault="00B17E8C">
      <w:pPr>
        <w:pStyle w:val="P68B1DB1-Normal4"/>
        <w:spacing w:before="40" w:after="0"/>
        <w:jc w:val="both"/>
        <w:rPr>
          <w:rFonts w:eastAsia="Times New Roman"/>
          <w:noProof/>
        </w:rPr>
      </w:pPr>
      <w:r>
        <w:rPr>
          <w:noProof/>
        </w:rPr>
        <w:t>Ce volet vise à relever les défis liés au ratio dette publique/PIB élevé du Portugal, qui s’est encore aggravé en raison de la crise de la COVID-19. L’importance du ratio de la dette publique au PIB du Portugal limite la marge de manœuvre budgétaire disponible et, lorsque les conditions économiques le permettent, nécessite de garantir la viabilité budgétaire à moyen terme. Dans ce contexte, le renforcement des conditions-cadres de la politique budgétaire devrait contribuer à une trajectoire plus propice à la croissance pour une plus grande soutenabilité des finances publiques.</w:t>
      </w:r>
    </w:p>
    <w:p w14:paraId="3342415D" w14:textId="77777777" w:rsidR="006C686E" w:rsidRDefault="00B17E8C">
      <w:pPr>
        <w:pStyle w:val="P68B1DB1-Normal4"/>
        <w:spacing w:before="40" w:after="120"/>
        <w:jc w:val="both"/>
        <w:rPr>
          <w:rFonts w:eastAsia="Times New Roman"/>
          <w:noProof/>
        </w:rPr>
      </w:pPr>
      <w:r>
        <w:rPr>
          <w:noProof/>
        </w:rPr>
        <w:t>L’objectif de ce volet est d’améliorer la gestion des finances publiques au Portugal et de combler les lacunes existantes dans les réformes budgétaires et structurelles. Ces objectifs comprennent, entre autres:</w:t>
      </w:r>
    </w:p>
    <w:p w14:paraId="0FD25DF0" w14:textId="77777777" w:rsidR="006C686E" w:rsidRDefault="00B17E8C">
      <w:pPr>
        <w:pStyle w:val="P68B1DB1-Normal4"/>
        <w:keepNext/>
        <w:numPr>
          <w:ilvl w:val="0"/>
          <w:numId w:val="54"/>
        </w:numPr>
        <w:spacing w:before="40" w:after="200" w:line="276" w:lineRule="auto"/>
        <w:contextualSpacing/>
        <w:jc w:val="both"/>
        <w:rPr>
          <w:rFonts w:eastAsia="Times New Roman"/>
          <w:noProof/>
        </w:rPr>
      </w:pPr>
      <w:r>
        <w:rPr>
          <w:noProof/>
        </w:rPr>
        <w:t xml:space="preserve">assurer la mise en œuvre intégrale et effective de la loi-cadre budgétaire de 2015 et des changements structurels qui en découlent en matière de budgétisation, de comptabilité et de systèmes d’information; </w:t>
      </w:r>
    </w:p>
    <w:p w14:paraId="146A68CD" w14:textId="77777777" w:rsidR="006C686E" w:rsidRDefault="00B17E8C">
      <w:pPr>
        <w:pStyle w:val="P68B1DB1-Normal4"/>
        <w:keepNext/>
        <w:numPr>
          <w:ilvl w:val="0"/>
          <w:numId w:val="54"/>
        </w:numPr>
        <w:spacing w:before="40" w:after="200" w:line="276" w:lineRule="auto"/>
        <w:contextualSpacing/>
        <w:jc w:val="both"/>
        <w:rPr>
          <w:rFonts w:eastAsia="Times New Roman"/>
          <w:noProof/>
        </w:rPr>
      </w:pPr>
      <w:r>
        <w:rPr>
          <w:noProof/>
        </w:rPr>
        <w:t xml:space="preserve">accroître les économies d'efficacité grâce à une plus grande utilisation des procédures centralisées de passation de marchés et d'examen des dépenses, qui devraient être intégrées dans le processus budgétaire régulier et faire l'objet d'évaluations </w:t>
      </w:r>
      <w:r>
        <w:rPr>
          <w:i/>
          <w:noProof/>
        </w:rPr>
        <w:t>ex post</w:t>
      </w:r>
      <w:r>
        <w:rPr>
          <w:noProof/>
        </w:rPr>
        <w:t xml:space="preserve"> systématiques;</w:t>
      </w:r>
    </w:p>
    <w:p w14:paraId="5143452E" w14:textId="77777777" w:rsidR="006C686E" w:rsidRDefault="00B17E8C">
      <w:pPr>
        <w:pStyle w:val="P68B1DB1-Normal4"/>
        <w:keepNext/>
        <w:numPr>
          <w:ilvl w:val="0"/>
          <w:numId w:val="54"/>
        </w:numPr>
        <w:spacing w:before="40" w:after="200" w:line="276" w:lineRule="auto"/>
        <w:contextualSpacing/>
        <w:jc w:val="both"/>
        <w:rPr>
          <w:rFonts w:eastAsia="Times New Roman"/>
          <w:noProof/>
        </w:rPr>
      </w:pPr>
      <w:r>
        <w:rPr>
          <w:noProof/>
        </w:rPr>
        <w:t>améliorer les performances financières des entreprises publiques grâce à une plus grande transparence, à un meilleur suivi et à une gouvernance renforcée, la direction devenant plus responsable et davantage axée sur les performances; et,</w:t>
      </w:r>
    </w:p>
    <w:p w14:paraId="1CC1E535" w14:textId="77777777" w:rsidR="006C686E" w:rsidRDefault="00B17E8C">
      <w:pPr>
        <w:pStyle w:val="P68B1DB1-Normal4"/>
        <w:keepNext/>
        <w:numPr>
          <w:ilvl w:val="0"/>
          <w:numId w:val="54"/>
        </w:numPr>
        <w:spacing w:before="40" w:after="200" w:line="276" w:lineRule="auto"/>
        <w:contextualSpacing/>
        <w:jc w:val="both"/>
        <w:rPr>
          <w:rFonts w:eastAsia="Times New Roman"/>
          <w:noProof/>
        </w:rPr>
      </w:pPr>
      <w:r>
        <w:rPr>
          <w:noProof/>
        </w:rPr>
        <w:t>renforcer l’efficacité de l’administration fiscale – y compris l’administration fiscale et douanière et les services de sécurité sociale – en exploitant les possibilités disponibles pour une numérisation accrue et une plus grande convivialité pour les entreprises.</w:t>
      </w:r>
    </w:p>
    <w:p w14:paraId="5582E085" w14:textId="77777777" w:rsidR="006C686E" w:rsidRDefault="00B17E8C">
      <w:pPr>
        <w:pStyle w:val="P68B1DB1-Normal4"/>
        <w:spacing w:before="40" w:after="120"/>
        <w:jc w:val="both"/>
        <w:rPr>
          <w:rFonts w:eastAsia="Times New Roman"/>
          <w:noProof/>
        </w:rPr>
      </w:pPr>
      <w:r>
        <w:rPr>
          <w:noProof/>
        </w:rPr>
        <w:t>Ce volet contribue à donner suite à la recommandation par pays visant à améliorer la qualité des finances publiques, tout en renforçant le contrôle global des dépenses, l’efficacité au regard des coûts et une budgétisation adéquate (recommandation par pays no 1 de 2019), à la recommandation visant à améliorer la viabilité financière des entreprises publiques, tout en assurant un suivi plus rapide, transparent et complet (recommandation par pays no 1 de 2019), à la recommandation visant à mener, lorsque les conditions économiques le permettent, des politiques budgétaires visant à parvenir à une position budgétaire prudente à moyen terme et à garantir la soutenabilité de la dette (recommandation par pays no 1 de 2020) et à la recommandation visant à améliorer l’efficacité du système fiscal, notamment en donnant la priorité à la simplification de son cadre (recommandation par pays no 1 de 2022 et 2023). Ce volet contribue également à la mise en œuvre de la recommandation par pays visant à concentrer les investissements sur la transition numérique (recommandation par pays no 3 de 2020).</w:t>
      </w:r>
    </w:p>
    <w:p w14:paraId="18EC25FC" w14:textId="77777777" w:rsidR="006C686E" w:rsidRDefault="00B17E8C">
      <w:pPr>
        <w:pStyle w:val="P68B1DB1-Normal4"/>
        <w:spacing w:before="40" w:after="120"/>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00C39D74" w14:textId="77777777" w:rsidR="006C686E" w:rsidRDefault="00B17E8C">
      <w:pPr>
        <w:pStyle w:val="P68B1DB1-Normal1"/>
        <w:spacing w:before="40" w:after="0"/>
        <w:ind w:left="130" w:firstLine="720"/>
        <w:jc w:val="both"/>
        <w:outlineLvl w:val="1"/>
        <w:rPr>
          <w:rFonts w:eastAsia="Times New Roman"/>
          <w:noProof/>
        </w:rPr>
      </w:pPr>
      <w:r>
        <w:rPr>
          <w:noProof/>
        </w:rPr>
        <w:t>Q.1. Description des réformes et des investissements pour le soutien financier non remboursable</w:t>
      </w:r>
    </w:p>
    <w:p w14:paraId="6B7C2E80" w14:textId="77777777" w:rsidR="006C686E" w:rsidRDefault="00B17E8C">
      <w:pPr>
        <w:pStyle w:val="P68B1DB1-Normal5"/>
        <w:spacing w:before="240" w:after="0"/>
        <w:ind w:left="851"/>
        <w:jc w:val="both"/>
        <w:outlineLvl w:val="2"/>
        <w:rPr>
          <w:rFonts w:eastAsia="Times New Roman"/>
          <w:noProof/>
        </w:rPr>
      </w:pPr>
      <w:r>
        <w:rPr>
          <w:noProof/>
        </w:rPr>
        <w:t>Réforme TD-r32: Modernisation et simplification de la gestion des finances publiques</w:t>
      </w:r>
    </w:p>
    <w:p w14:paraId="1610C9A8" w14:textId="77777777" w:rsidR="006C686E" w:rsidRDefault="00B17E8C">
      <w:pPr>
        <w:pStyle w:val="P68B1DB1-Normal4"/>
        <w:spacing w:before="40" w:after="120"/>
        <w:jc w:val="both"/>
        <w:rPr>
          <w:rFonts w:eastAsia="Times New Roman"/>
          <w:noProof/>
        </w:rPr>
      </w:pPr>
      <w:r>
        <w:rPr>
          <w:noProof/>
        </w:rPr>
        <w:t xml:space="preserve">L'objectif de la réforme est de moderniser le contrôle des dépenses et la budgétisation. La réforme consiste en l'entrée en vigueur d'actes juridiques sur la gestion des finances publiques. </w:t>
      </w:r>
    </w:p>
    <w:p w14:paraId="1D14F94A" w14:textId="77777777" w:rsidR="006C686E" w:rsidRDefault="00B17E8C">
      <w:pPr>
        <w:pStyle w:val="P68B1DB1-Normal5"/>
        <w:spacing w:before="240" w:after="0"/>
        <w:ind w:left="851"/>
        <w:jc w:val="both"/>
        <w:outlineLvl w:val="2"/>
        <w:rPr>
          <w:rFonts w:eastAsia="Times New Roman"/>
          <w:noProof/>
        </w:rPr>
      </w:pPr>
      <w:r>
        <w:rPr>
          <w:noProof/>
        </w:rPr>
        <w:t>Investissement TD-C17-i01: Systèmes d'information sur la gestion des finances publiques</w:t>
      </w:r>
    </w:p>
    <w:p w14:paraId="48AC5BC2" w14:textId="77777777" w:rsidR="006C686E" w:rsidRDefault="00B17E8C">
      <w:pPr>
        <w:pStyle w:val="P68B1DB1-Normal4"/>
        <w:spacing w:before="40" w:after="120"/>
        <w:jc w:val="both"/>
        <w:rPr>
          <w:rFonts w:eastAsia="Times New Roman"/>
          <w:noProof/>
        </w:rPr>
      </w:pPr>
      <w:r>
        <w:rPr>
          <w:noProof/>
        </w:rPr>
        <w:t>L'objectif de l'investissement est de moderniser la gestion des finances publiques. L'investissement consiste en des solutions informatiques sur la gestion des finances publiques.</w:t>
      </w:r>
    </w:p>
    <w:p w14:paraId="1748ED15" w14:textId="77777777" w:rsidR="006C686E" w:rsidRDefault="00B17E8C">
      <w:pPr>
        <w:pStyle w:val="P68B1DB1-Normal5"/>
        <w:spacing w:before="240" w:after="0"/>
        <w:ind w:left="851"/>
        <w:jc w:val="both"/>
        <w:outlineLvl w:val="2"/>
        <w:rPr>
          <w:rFonts w:eastAsia="Times New Roman"/>
          <w:noProof/>
        </w:rPr>
      </w:pPr>
      <w:r>
        <w:rPr>
          <w:noProof/>
        </w:rPr>
        <w:t>Investissement TD-C17-i02: Modernisation des systèmes d'information de l'administration fiscale et douanière pour la fiscalité foncière rurale</w:t>
      </w:r>
    </w:p>
    <w:p w14:paraId="63BBFCAB" w14:textId="341DDAD9" w:rsidR="006C686E" w:rsidRDefault="00B17E8C">
      <w:pPr>
        <w:pStyle w:val="P68B1DB1-Normal4"/>
        <w:spacing w:before="40" w:after="120"/>
        <w:jc w:val="both"/>
        <w:rPr>
          <w:rFonts w:eastAsia="Times New Roman"/>
          <w:noProof/>
        </w:rPr>
      </w:pPr>
      <w:r>
        <w:rPr>
          <w:noProof/>
        </w:rPr>
        <w:t xml:space="preserve">L’objectif de l’investissement est de numériser les processus d’imposition foncière rurale. L'investissement consiste en des systèmes d'information pour l'administration fiscale et douanière. </w:t>
      </w:r>
    </w:p>
    <w:p w14:paraId="3DD9153F" w14:textId="77777777" w:rsidR="006C686E" w:rsidRDefault="00B17E8C">
      <w:pPr>
        <w:pStyle w:val="P68B1DB1-Normal5"/>
        <w:keepNext/>
        <w:spacing w:before="240" w:after="0"/>
        <w:ind w:left="851"/>
        <w:jc w:val="both"/>
        <w:outlineLvl w:val="2"/>
        <w:rPr>
          <w:rFonts w:eastAsia="Times New Roman"/>
          <w:noProof/>
        </w:rPr>
      </w:pPr>
      <w:r>
        <w:rPr>
          <w:noProof/>
        </w:rPr>
        <w:t>Investissement TD-C17-i03: Transition numérique des services de sécurité sociale</w:t>
      </w:r>
    </w:p>
    <w:p w14:paraId="4C10E5A8" w14:textId="77777777" w:rsidR="006C686E" w:rsidRDefault="00B17E8C">
      <w:pPr>
        <w:pStyle w:val="P68B1DB1-Normal4"/>
        <w:keepNext/>
        <w:spacing w:before="40" w:after="120"/>
        <w:jc w:val="both"/>
        <w:rPr>
          <w:noProof/>
        </w:rPr>
      </w:pPr>
      <w:r>
        <w:rPr>
          <w:noProof/>
        </w:rPr>
        <w:t xml:space="preserve">L’objectif de l’investissement est de numériser les services de sécurité sociale. </w:t>
      </w:r>
    </w:p>
    <w:p w14:paraId="3F473AB8" w14:textId="77777777" w:rsidR="006C686E" w:rsidRDefault="00B17E8C">
      <w:pPr>
        <w:pStyle w:val="P68B1DB1-Normal4"/>
        <w:keepNext/>
        <w:spacing w:before="40" w:after="120"/>
        <w:jc w:val="both"/>
        <w:rPr>
          <w:rFonts w:eastAsia="Times New Roman"/>
          <w:noProof/>
        </w:rPr>
      </w:pPr>
      <w:r>
        <w:rPr>
          <w:noProof/>
        </w:rPr>
        <w:t xml:space="preserve">L'investissement consiste en des solutions informatiques et une infrastructure numérique pour les services de sécurité sociale. </w:t>
      </w:r>
    </w:p>
    <w:p w14:paraId="2AA472C5" w14:textId="77777777" w:rsidR="006C686E" w:rsidRDefault="00B17E8C">
      <w:pPr>
        <w:pStyle w:val="P68B1DB1-Normal5"/>
        <w:keepNext/>
        <w:spacing w:before="240" w:after="0"/>
        <w:ind w:left="851"/>
        <w:jc w:val="both"/>
        <w:outlineLvl w:val="2"/>
        <w:rPr>
          <w:rFonts w:eastAsia="Times New Roman"/>
          <w:noProof/>
        </w:rPr>
      </w:pPr>
      <w:r>
        <w:rPr>
          <w:noProof/>
        </w:rPr>
        <w:t xml:space="preserve">Réforme TD-C17-r40: </w:t>
      </w:r>
      <w:bookmarkStart w:id="21" w:name="_Hlk229406121"/>
      <w:r>
        <w:rPr>
          <w:noProof/>
        </w:rPr>
        <w:t xml:space="preserve">Simplification du système fiscal </w:t>
      </w:r>
      <w:bookmarkEnd w:id="21"/>
    </w:p>
    <w:p w14:paraId="01D3C5D0" w14:textId="77777777" w:rsidR="006C686E" w:rsidRDefault="00B17E8C">
      <w:pPr>
        <w:pStyle w:val="P68B1DB1-Normal4"/>
        <w:spacing w:before="40" w:after="0"/>
        <w:jc w:val="both"/>
        <w:rPr>
          <w:noProof/>
        </w:rPr>
      </w:pPr>
      <w:r>
        <w:rPr>
          <w:noProof/>
        </w:rPr>
        <w:t xml:space="preserve">L'objectif de cette réforme est de simplifier les dépenses fiscales. La réforme consiste en l’entrée en vigueur d’un ou de plusieurs actes juridiques relatifs aux dépenses fiscales. </w:t>
      </w:r>
    </w:p>
    <w:p w14:paraId="345872A9" w14:textId="77777777" w:rsidR="006C686E" w:rsidRDefault="006C686E">
      <w:pPr>
        <w:spacing w:before="40" w:after="0"/>
        <w:jc w:val="both"/>
        <w:rPr>
          <w:rFonts w:ascii="Times New Roman" w:eastAsia="Times New Roman" w:hAnsi="Times New Roman" w:cs="Times New Roman"/>
          <w:noProof/>
          <w:kern w:val="0"/>
          <w14:ligatures w14:val="none"/>
        </w:rPr>
      </w:pPr>
    </w:p>
    <w:p w14:paraId="40339CC8" w14:textId="77777777" w:rsidR="006C686E" w:rsidRDefault="006C686E">
      <w:pPr>
        <w:spacing w:before="40" w:after="0"/>
        <w:jc w:val="both"/>
        <w:rPr>
          <w:rFonts w:ascii="Times New Roman" w:eastAsia="Times New Roman" w:hAnsi="Times New Roman" w:cs="Times New Roman"/>
          <w:noProof/>
          <w:kern w:val="0"/>
          <w14:ligatures w14:val="none"/>
        </w:rPr>
        <w:sectPr w:rsidR="006C686E" w:rsidSect="00C95E00">
          <w:headerReference w:type="even" r:id="rId316"/>
          <w:headerReference w:type="default" r:id="rId317"/>
          <w:footerReference w:type="even" r:id="rId318"/>
          <w:footerReference w:type="default" r:id="rId319"/>
          <w:headerReference w:type="first" r:id="rId320"/>
          <w:footerReference w:type="first" r:id="rId321"/>
          <w:pgSz w:w="11907" w:h="16839"/>
          <w:pgMar w:top="1134" w:right="1134" w:bottom="1134" w:left="1134" w:header="567" w:footer="567" w:gutter="0"/>
          <w:cols w:space="720"/>
          <w:docGrid w:linePitch="360"/>
        </w:sectPr>
      </w:pPr>
    </w:p>
    <w:p w14:paraId="171277E8" w14:textId="77777777" w:rsidR="006C686E" w:rsidRDefault="00B17E8C">
      <w:pPr>
        <w:pStyle w:val="P68B1DB1-Normal1"/>
        <w:keepNext/>
        <w:spacing w:before="40" w:after="0"/>
        <w:ind w:left="130" w:firstLine="12"/>
        <w:jc w:val="center"/>
        <w:outlineLvl w:val="1"/>
        <w:rPr>
          <w:rFonts w:eastAsia="Times New Roman"/>
          <w:noProof/>
        </w:rPr>
      </w:pPr>
      <w:r>
        <w:rPr>
          <w:noProof/>
        </w:rPr>
        <w:t>Q.2. Étapes, cibles, indicateurs et calendrier pour le suivi et la mise en œuvre du soutien financier non remboursable</w:t>
      </w:r>
    </w:p>
    <w:tbl>
      <w:tblPr>
        <w:tblW w:w="15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1036"/>
        <w:gridCol w:w="1504"/>
        <w:gridCol w:w="691"/>
        <w:gridCol w:w="1435"/>
        <w:gridCol w:w="1460"/>
        <w:gridCol w:w="909"/>
        <w:gridCol w:w="1033"/>
        <w:gridCol w:w="851"/>
        <w:gridCol w:w="567"/>
        <w:gridCol w:w="850"/>
        <w:gridCol w:w="4906"/>
      </w:tblGrid>
      <w:tr w:rsidR="006C686E" w14:paraId="2EC6A4CA" w14:textId="77777777" w:rsidTr="00A66BC8">
        <w:trPr>
          <w:trHeight w:val="910"/>
          <w:tblHeader/>
          <w:jc w:val="center"/>
        </w:trPr>
        <w:tc>
          <w:tcPr>
            <w:tcW w:w="1043"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E4A3B37" w14:textId="77777777" w:rsidR="006C686E" w:rsidRDefault="00B17E8C">
            <w:pPr>
              <w:pStyle w:val="P68B1DB1-Normal9"/>
              <w:spacing w:after="0" w:line="240" w:lineRule="auto"/>
              <w:jc w:val="center"/>
              <w:rPr>
                <w:rFonts w:eastAsia="Times New Roman"/>
                <w:noProof/>
              </w:rPr>
            </w:pPr>
            <w:r>
              <w:rPr>
                <w:noProof/>
              </w:rPr>
              <w:t>Numéro séquentiel</w:t>
            </w:r>
          </w:p>
        </w:tc>
        <w:tc>
          <w:tcPr>
            <w:tcW w:w="15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CE5A3D"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69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48B54D0" w14:textId="5448DFD2" w:rsidR="006C686E" w:rsidRDefault="00B17E8C">
            <w:pPr>
              <w:pStyle w:val="P68B1DB1-Normal9"/>
              <w:spacing w:after="0" w:line="240" w:lineRule="auto"/>
              <w:jc w:val="center"/>
              <w:rPr>
                <w:rFonts w:eastAsia="Times New Roman"/>
                <w:noProof/>
              </w:rPr>
            </w:pPr>
            <w:r>
              <w:rPr>
                <w:noProof/>
              </w:rPr>
              <w:t>Étape/cible</w:t>
            </w:r>
          </w:p>
        </w:tc>
        <w:tc>
          <w:tcPr>
            <w:tcW w:w="14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041850F" w14:textId="77777777" w:rsidR="006C686E" w:rsidRDefault="00B17E8C">
            <w:pPr>
              <w:pStyle w:val="P68B1DB1-Normal9"/>
              <w:spacing w:after="0" w:line="240" w:lineRule="auto"/>
              <w:jc w:val="center"/>
              <w:rPr>
                <w:rFonts w:eastAsia="Times New Roman"/>
                <w:noProof/>
              </w:rPr>
            </w:pPr>
            <w:r>
              <w:rPr>
                <w:noProof/>
              </w:rPr>
              <w:t>Nom</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C9A4D97"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2793"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69F7C17"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2F6836DA"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490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C0D2163"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0BD3F042" w14:textId="77777777" w:rsidTr="00A66BC8">
        <w:trPr>
          <w:trHeight w:val="521"/>
          <w:tblHeader/>
          <w:jc w:val="center"/>
        </w:trPr>
        <w:tc>
          <w:tcPr>
            <w:tcW w:w="1043" w:type="dxa"/>
            <w:gridSpan w:val="2"/>
            <w:vMerge/>
            <w:tcBorders>
              <w:top w:val="single" w:sz="4" w:space="0" w:color="auto"/>
              <w:left w:val="single" w:sz="4" w:space="0" w:color="auto"/>
              <w:bottom w:val="single" w:sz="4" w:space="0" w:color="auto"/>
              <w:right w:val="single" w:sz="4" w:space="0" w:color="auto"/>
            </w:tcBorders>
            <w:vAlign w:val="center"/>
          </w:tcPr>
          <w:p w14:paraId="15AC9A59"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504" w:type="dxa"/>
            <w:vMerge/>
            <w:tcBorders>
              <w:top w:val="single" w:sz="4" w:space="0" w:color="auto"/>
              <w:left w:val="single" w:sz="4" w:space="0" w:color="auto"/>
              <w:bottom w:val="single" w:sz="4" w:space="0" w:color="auto"/>
              <w:right w:val="single" w:sz="4" w:space="0" w:color="auto"/>
            </w:tcBorders>
            <w:noWrap/>
            <w:vAlign w:val="center"/>
          </w:tcPr>
          <w:p w14:paraId="19AA0E51" w14:textId="77777777" w:rsidR="006C686E" w:rsidRDefault="006C686E">
            <w:pPr>
              <w:spacing w:after="0" w:line="240" w:lineRule="auto"/>
              <w:jc w:val="center"/>
              <w:rPr>
                <w:rFonts w:ascii="Times New Roman" w:eastAsia="Times New Roman" w:hAnsi="Times New Roman" w:cs="Times New Roman"/>
                <w:noProof/>
                <w:kern w:val="0"/>
                <w:sz w:val="18"/>
                <w:szCs w:val="18"/>
                <w14:ligatures w14:val="none"/>
              </w:rPr>
            </w:pPr>
          </w:p>
        </w:tc>
        <w:tc>
          <w:tcPr>
            <w:tcW w:w="691" w:type="dxa"/>
            <w:vMerge/>
            <w:tcBorders>
              <w:top w:val="single" w:sz="4" w:space="0" w:color="auto"/>
              <w:left w:val="single" w:sz="4" w:space="0" w:color="auto"/>
              <w:bottom w:val="single" w:sz="4" w:space="0" w:color="auto"/>
              <w:right w:val="single" w:sz="4" w:space="0" w:color="auto"/>
            </w:tcBorders>
            <w:noWrap/>
            <w:vAlign w:val="center"/>
          </w:tcPr>
          <w:p w14:paraId="2BF405EE" w14:textId="77777777" w:rsidR="006C686E" w:rsidRDefault="006C686E">
            <w:pPr>
              <w:spacing w:after="0" w:line="240" w:lineRule="auto"/>
              <w:jc w:val="center"/>
              <w:rPr>
                <w:rFonts w:ascii="Times New Roman" w:eastAsia="Times New Roman" w:hAnsi="Times New Roman" w:cs="Times New Roman"/>
                <w:noProof/>
                <w:kern w:val="0"/>
                <w:sz w:val="18"/>
                <w:szCs w:val="18"/>
                <w14:ligatures w14:val="none"/>
              </w:rPr>
            </w:pPr>
          </w:p>
        </w:tc>
        <w:tc>
          <w:tcPr>
            <w:tcW w:w="1435" w:type="dxa"/>
            <w:vMerge/>
            <w:tcBorders>
              <w:top w:val="single" w:sz="4" w:space="0" w:color="auto"/>
              <w:left w:val="single" w:sz="4" w:space="0" w:color="auto"/>
              <w:bottom w:val="single" w:sz="4" w:space="0" w:color="auto"/>
              <w:right w:val="single" w:sz="4" w:space="0" w:color="auto"/>
            </w:tcBorders>
            <w:noWrap/>
            <w:vAlign w:val="center"/>
          </w:tcPr>
          <w:p w14:paraId="4B944065" w14:textId="77777777" w:rsidR="006C686E" w:rsidRDefault="006C686E">
            <w:pPr>
              <w:spacing w:after="0" w:line="240" w:lineRule="auto"/>
              <w:jc w:val="center"/>
              <w:rPr>
                <w:rFonts w:ascii="Times New Roman" w:eastAsia="Times New Roman" w:hAnsi="Times New Roman" w:cs="Times New Roman"/>
                <w:noProof/>
                <w:kern w:val="0"/>
                <w:sz w:val="18"/>
                <w:szCs w:val="18"/>
                <w14:ligatures w14:val="none"/>
              </w:rPr>
            </w:pPr>
          </w:p>
        </w:tc>
        <w:tc>
          <w:tcPr>
            <w:tcW w:w="1460" w:type="dxa"/>
            <w:vMerge/>
            <w:tcBorders>
              <w:top w:val="single" w:sz="4" w:space="0" w:color="auto"/>
              <w:left w:val="single" w:sz="4" w:space="0" w:color="auto"/>
              <w:bottom w:val="single" w:sz="4" w:space="0" w:color="auto"/>
              <w:right w:val="single" w:sz="4" w:space="0" w:color="auto"/>
            </w:tcBorders>
            <w:noWrap/>
            <w:vAlign w:val="center"/>
          </w:tcPr>
          <w:p w14:paraId="117740BB" w14:textId="77777777" w:rsidR="006C686E" w:rsidRDefault="006C686E">
            <w:pPr>
              <w:spacing w:after="0" w:line="240" w:lineRule="auto"/>
              <w:jc w:val="center"/>
              <w:rPr>
                <w:rFonts w:ascii="Times New Roman" w:eastAsia="Times New Roman" w:hAnsi="Times New Roman" w:cs="Times New Roman"/>
                <w:noProof/>
                <w:kern w:val="0"/>
                <w:sz w:val="18"/>
                <w:szCs w:val="18"/>
                <w14:ligatures w14:val="none"/>
              </w:rPr>
            </w:pPr>
          </w:p>
        </w:tc>
        <w:tc>
          <w:tcPr>
            <w:tcW w:w="909"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26FAF7D6" w14:textId="77777777" w:rsidR="006C686E" w:rsidRDefault="00B17E8C">
            <w:pPr>
              <w:pStyle w:val="P68B1DB1-Normal9"/>
              <w:spacing w:after="0" w:line="240" w:lineRule="auto"/>
              <w:jc w:val="center"/>
              <w:rPr>
                <w:rFonts w:eastAsia="Times New Roman"/>
                <w:noProof/>
              </w:rPr>
            </w:pPr>
            <w:r>
              <w:rPr>
                <w:noProof/>
              </w:rPr>
              <w:t>Unité de mesure</w:t>
            </w:r>
          </w:p>
        </w:tc>
        <w:tc>
          <w:tcPr>
            <w:tcW w:w="1033"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502A589" w14:textId="77777777" w:rsidR="006C686E" w:rsidRDefault="00B17E8C">
            <w:pPr>
              <w:pStyle w:val="P68B1DB1-Normal9"/>
              <w:spacing w:after="0" w:line="240" w:lineRule="auto"/>
              <w:jc w:val="center"/>
              <w:rPr>
                <w:rFonts w:eastAsia="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5195359C" w14:textId="77777777" w:rsidR="006C686E" w:rsidRDefault="00B17E8C">
            <w:pPr>
              <w:pStyle w:val="P68B1DB1-Normal9"/>
              <w:spacing w:after="0" w:line="240" w:lineRule="auto"/>
              <w:jc w:val="center"/>
              <w:rPr>
                <w:rFonts w:eastAsia="Times New Roman"/>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64368E64" w14:textId="77777777" w:rsidR="006C686E" w:rsidRDefault="00B17E8C">
            <w:pPr>
              <w:pStyle w:val="P68B1DB1-Normal9"/>
              <w:spacing w:after="0" w:line="240" w:lineRule="auto"/>
              <w:jc w:val="center"/>
              <w:rPr>
                <w:rFonts w:eastAsia="Times New Roman"/>
                <w:noProof/>
              </w:rPr>
            </w:pPr>
            <w:r>
              <w:rPr>
                <w:noProof/>
              </w:rPr>
              <w:t>Q</w:t>
            </w:r>
          </w:p>
        </w:tc>
        <w:tc>
          <w:tcPr>
            <w:tcW w:w="850"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1C0181AD" w14:textId="77777777" w:rsidR="006C686E" w:rsidRDefault="00B17E8C">
            <w:pPr>
              <w:pStyle w:val="P68B1DB1-Normal9"/>
              <w:spacing w:after="0" w:line="240" w:lineRule="auto"/>
              <w:jc w:val="center"/>
              <w:rPr>
                <w:rFonts w:eastAsia="Times New Roman"/>
                <w:noProof/>
              </w:rPr>
            </w:pPr>
            <w:r>
              <w:rPr>
                <w:noProof/>
              </w:rPr>
              <w:t>Année</w:t>
            </w:r>
          </w:p>
        </w:tc>
        <w:tc>
          <w:tcPr>
            <w:tcW w:w="4906" w:type="dxa"/>
            <w:vMerge/>
            <w:tcBorders>
              <w:top w:val="single" w:sz="4" w:space="0" w:color="auto"/>
              <w:left w:val="single" w:sz="4" w:space="0" w:color="auto"/>
              <w:bottom w:val="single" w:sz="4" w:space="0" w:color="auto"/>
              <w:right w:val="single" w:sz="4" w:space="0" w:color="auto"/>
            </w:tcBorders>
            <w:noWrap/>
            <w:vAlign w:val="center"/>
          </w:tcPr>
          <w:p w14:paraId="00D87A2E" w14:textId="77777777" w:rsidR="006C686E" w:rsidRDefault="006C686E">
            <w:pPr>
              <w:spacing w:after="0" w:line="240" w:lineRule="auto"/>
              <w:jc w:val="both"/>
              <w:rPr>
                <w:rFonts w:ascii="Times New Roman" w:eastAsia="Times New Roman" w:hAnsi="Times New Roman" w:cs="Times New Roman"/>
                <w:noProof/>
                <w:kern w:val="0"/>
                <w:sz w:val="16"/>
                <w:szCs w:val="16"/>
                <w14:ligatures w14:val="none"/>
              </w:rPr>
            </w:pPr>
          </w:p>
        </w:tc>
      </w:tr>
      <w:tr w:rsidR="006C686E" w14:paraId="4296F977" w14:textId="77777777" w:rsidTr="00A66BC8">
        <w:trPr>
          <w:trHeight w:val="85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5CB4DAA2" w14:textId="77777777" w:rsidR="006C686E" w:rsidRDefault="00B17E8C">
            <w:pPr>
              <w:pStyle w:val="P68B1DB1-Normal10"/>
              <w:spacing w:after="0" w:line="240" w:lineRule="auto"/>
              <w:jc w:val="center"/>
              <w:rPr>
                <w:rFonts w:eastAsia="Times New Roman"/>
                <w:noProof/>
              </w:rPr>
            </w:pPr>
            <w:r>
              <w:rPr>
                <w:noProof/>
              </w:rPr>
              <w:t>17.1</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346935"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4EB12" w14:textId="77777777" w:rsidR="006C686E" w:rsidRDefault="00B17E8C">
            <w:pPr>
              <w:pStyle w:val="P68B1DB1-Normal11"/>
              <w:spacing w:after="0" w:line="240" w:lineRule="auto"/>
              <w:jc w:val="center"/>
              <w:rPr>
                <w:rFonts w:eastAsia="Times New Roman"/>
                <w:noProof/>
              </w:rPr>
            </w:pPr>
            <w:r>
              <w:rPr>
                <w:noProof/>
              </w:rPr>
              <w:t>T</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AB030F" w14:textId="77777777" w:rsidR="006C686E" w:rsidRDefault="00B17E8C">
            <w:pPr>
              <w:pStyle w:val="P68B1DB1-Normal11"/>
              <w:spacing w:after="0" w:line="240" w:lineRule="auto"/>
              <w:jc w:val="center"/>
              <w:rPr>
                <w:rFonts w:eastAsia="Times New Roman"/>
                <w:noProof/>
              </w:rPr>
            </w:pPr>
            <w:r>
              <w:rPr>
                <w:noProof/>
              </w:rPr>
              <w:t>Achever la conception et la mise en œuvre de nouveaux modèles de passation de marchés pour le système central national de passation des marchés publics, comme prévu dans le plan stratégique 2020-2023 de l’entité de services partagés de l’administration publique</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1111E" w14:textId="77777777" w:rsidR="006C686E" w:rsidRDefault="00B17E8C">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1A8E5B" w14:textId="77777777" w:rsidR="006C686E" w:rsidRDefault="00B17E8C">
            <w:pPr>
              <w:pStyle w:val="P68B1DB1-Normal11"/>
              <w:spacing w:after="0" w:line="240" w:lineRule="auto"/>
              <w:jc w:val="center"/>
              <w:rPr>
                <w:rFonts w:eastAsia="Times New Roman"/>
                <w:noProof/>
              </w:rPr>
            </w:pPr>
            <w:r>
              <w:rPr>
                <w:noProof/>
              </w:rPr>
              <w:t>Numéro</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D40676"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08A8B2" w14:textId="77777777" w:rsidR="006C686E" w:rsidRDefault="00B17E8C">
            <w:pPr>
              <w:pStyle w:val="P68B1DB1-Normal11"/>
              <w:spacing w:after="0" w:line="240" w:lineRule="auto"/>
              <w:jc w:val="center"/>
              <w:rPr>
                <w:rFonts w:eastAsia="Times New Roman"/>
                <w:noProof/>
              </w:rPr>
            </w:pPr>
            <w:r>
              <w:rPr>
                <w:noProof/>
              </w:rPr>
              <w:t>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3C879D"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2B486F" w14:textId="77777777" w:rsidR="006C686E" w:rsidRDefault="00B17E8C">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869F38" w14:textId="77777777" w:rsidR="006C686E" w:rsidRDefault="00B17E8C">
            <w:pPr>
              <w:pStyle w:val="P68B1DB1-Normal11"/>
              <w:spacing w:after="0" w:line="240" w:lineRule="auto"/>
              <w:jc w:val="both"/>
              <w:rPr>
                <w:rFonts w:eastAsia="Times New Roman"/>
                <w:noProof/>
              </w:rPr>
            </w:pPr>
            <w:r>
              <w:rPr>
                <w:noProof/>
              </w:rPr>
              <w:t>Nombre d’accords-cadres et de modèles de passation de marchés révisés, afin de: i) promouvoir la simplification administrative; ii) renforcer les mécanismes de suivi et de contrôle; iii) favoriser des considérations de rentabilité et de rationalisation; iv) élargir la liste des biens et services faisant l'objet d'une passation centralisée de marchés; et v) promouvoir la collaboration entre les parties prenantes internes et externes.</w:t>
            </w:r>
          </w:p>
        </w:tc>
      </w:tr>
      <w:tr w:rsidR="006C686E" w14:paraId="304FF4A5"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4ED2711" w14:textId="77777777" w:rsidR="006C686E" w:rsidRDefault="00B17E8C">
            <w:pPr>
              <w:pStyle w:val="P68B1DB1-Normal10"/>
              <w:spacing w:after="0" w:line="240" w:lineRule="auto"/>
              <w:jc w:val="center"/>
              <w:rPr>
                <w:rFonts w:eastAsia="Times New Roman"/>
                <w:noProof/>
              </w:rPr>
            </w:pPr>
            <w:r>
              <w:rPr>
                <w:noProof/>
              </w:rPr>
              <w:t>17.2</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00930B"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15B4A1"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BF8810" w14:textId="77777777" w:rsidR="006C686E" w:rsidRDefault="00B17E8C">
            <w:pPr>
              <w:pStyle w:val="P68B1DB1-Normal11"/>
              <w:spacing w:after="0" w:line="240" w:lineRule="auto"/>
              <w:jc w:val="center"/>
              <w:rPr>
                <w:rFonts w:eastAsia="Times New Roman"/>
                <w:noProof/>
              </w:rPr>
            </w:pPr>
            <w:r>
              <w:rPr>
                <w:noProof/>
              </w:rPr>
              <w:t>Entrée en vigueur de la législation qui sous-tend l’entité comptable nationale</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D3A628" w14:textId="77777777" w:rsidR="006C686E" w:rsidRDefault="00B17E8C">
            <w:pPr>
              <w:pStyle w:val="P68B1DB1-Normal11"/>
              <w:spacing w:after="0" w:line="240" w:lineRule="auto"/>
              <w:jc w:val="center"/>
              <w:rPr>
                <w:rFonts w:eastAsia="Times New Roman"/>
                <w:noProof/>
              </w:rPr>
            </w:pPr>
            <w:r>
              <w:rPr>
                <w:noProof/>
              </w:rPr>
              <w:t>Entrée en vigueur de la législation qui sous-tend l’entité comptable nationale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9A05ED"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E2342E"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F8B5CF"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638BA8"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F1947C" w14:textId="77777777" w:rsidR="006C686E" w:rsidRDefault="00B17E8C">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DA1478" w14:textId="77777777" w:rsidR="006C686E" w:rsidRDefault="00B17E8C">
            <w:pPr>
              <w:pStyle w:val="P68B1DB1-Normal11"/>
              <w:spacing w:after="0" w:line="240" w:lineRule="auto"/>
              <w:jc w:val="both"/>
              <w:rPr>
                <w:rFonts w:eastAsia="Times New Roman"/>
                <w:noProof/>
              </w:rPr>
            </w:pPr>
            <w:r>
              <w:rPr>
                <w:noProof/>
              </w:rPr>
              <w:t>Entrée en vigueur du droit dérivé (et/ou des lignes directrices administratives) visant à réglementer les postes spécifiques de recettes et de dépenses à inclure dans le budget de l’entité comptable nationale, dans le plein respect des articles 49 et 55 de la loi-cadre budgétaire de 2015.</w:t>
            </w:r>
          </w:p>
        </w:tc>
      </w:tr>
      <w:tr w:rsidR="006C686E" w14:paraId="0F20B860"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6692880" w14:textId="77777777" w:rsidR="006C686E" w:rsidRDefault="00B17E8C">
            <w:pPr>
              <w:pStyle w:val="P68B1DB1-Normal10"/>
              <w:spacing w:after="0" w:line="240" w:lineRule="auto"/>
              <w:jc w:val="center"/>
              <w:rPr>
                <w:rFonts w:eastAsia="Times New Roman"/>
                <w:noProof/>
              </w:rPr>
            </w:pPr>
            <w:r>
              <w:rPr>
                <w:noProof/>
              </w:rPr>
              <w:t>17.3</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35FB7"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BB9F36"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D7A924" w14:textId="77777777" w:rsidR="006C686E" w:rsidRDefault="00B17E8C">
            <w:pPr>
              <w:pStyle w:val="P68B1DB1-Normal11"/>
              <w:spacing w:after="0" w:line="240" w:lineRule="auto"/>
              <w:jc w:val="center"/>
              <w:rPr>
                <w:rFonts w:eastAsia="Times New Roman"/>
                <w:noProof/>
              </w:rPr>
            </w:pPr>
            <w:r>
              <w:rPr>
                <w:noProof/>
              </w:rPr>
              <w:t>Achèvement et approbation du modèle de suivi de l'exécution budgétaire et financière des administrations publiques</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80B1B5" w14:textId="77777777" w:rsidR="006C686E" w:rsidRDefault="00B17E8C">
            <w:pPr>
              <w:pStyle w:val="P68B1DB1-Normal11"/>
              <w:spacing w:after="0" w:line="240" w:lineRule="auto"/>
              <w:jc w:val="center"/>
              <w:rPr>
                <w:rFonts w:eastAsia="Times New Roman"/>
                <w:noProof/>
              </w:rPr>
            </w:pPr>
            <w:r>
              <w:rPr>
                <w:noProof/>
              </w:rPr>
              <w:t>Achèvement et approbation du modèle de suivi de l'exécution budgétaire et financière des administrations publiques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2E2840"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CADB45"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4AAC7F"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C87A72"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0E606C" w14:textId="77777777" w:rsidR="006C686E" w:rsidRDefault="00B17E8C">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95F690" w14:textId="77777777" w:rsidR="006C686E" w:rsidRDefault="00B17E8C">
            <w:pPr>
              <w:pStyle w:val="P68B1DB1-Normal11"/>
              <w:spacing w:after="0" w:line="240" w:lineRule="auto"/>
              <w:jc w:val="both"/>
              <w:rPr>
                <w:rFonts w:eastAsia="Times New Roman"/>
                <w:noProof/>
              </w:rPr>
            </w:pPr>
            <w:r>
              <w:rPr>
                <w:noProof/>
              </w:rPr>
              <w:t xml:space="preserve">Achèvement et approbation par le ministère des finances du modèle de contrôle et de suivi de l’exécution budgétaire et financière des administrations publiques, dans le plein respect des dispositions de la loi-cadre budgétaire de 2015 et des principes de la comptabilité d’exercice de la norme comptable pour l’administration publique. </w:t>
            </w:r>
          </w:p>
        </w:tc>
      </w:tr>
      <w:tr w:rsidR="006C686E" w14:paraId="30AE4AC2"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754DE7FB" w14:textId="77777777" w:rsidR="006C686E" w:rsidRDefault="00B17E8C">
            <w:pPr>
              <w:pStyle w:val="P68B1DB1-Normal10"/>
              <w:spacing w:after="0" w:line="240" w:lineRule="auto"/>
              <w:jc w:val="center"/>
              <w:rPr>
                <w:rFonts w:eastAsia="Times New Roman"/>
                <w:noProof/>
              </w:rPr>
            </w:pPr>
            <w:r>
              <w:rPr>
                <w:noProof/>
              </w:rPr>
              <w:t>17.4</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96F5C"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C1FAE7"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C371FF" w14:textId="77777777" w:rsidR="006C686E" w:rsidRDefault="00B17E8C">
            <w:pPr>
              <w:pStyle w:val="P68B1DB1-Normal11"/>
              <w:spacing w:after="0" w:line="240" w:lineRule="auto"/>
              <w:jc w:val="center"/>
              <w:rPr>
                <w:rFonts w:eastAsia="Times New Roman"/>
                <w:noProof/>
              </w:rPr>
            </w:pPr>
            <w:r>
              <w:rPr>
                <w:noProof/>
              </w:rPr>
              <w:t>Entrée en vigueur d'un acte juridique sur la budgétisation des programmes</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F903B3" w14:textId="77777777" w:rsidR="006C686E" w:rsidRDefault="00B17E8C">
            <w:pPr>
              <w:pStyle w:val="P68B1DB1-Normal11"/>
              <w:spacing w:after="0" w:line="240" w:lineRule="auto"/>
              <w:jc w:val="center"/>
              <w:rPr>
                <w:rFonts w:eastAsia="Times New Roman"/>
                <w:noProof/>
              </w:rPr>
            </w:pPr>
            <w:r>
              <w:rPr>
                <w:noProof/>
              </w:rPr>
              <w:t>Disposition de l’acte juridique indiquant l’entrée en vigueur de l’acte juridique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0FCF7C"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77947"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4593A"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B00E5E" w14:textId="77777777" w:rsidR="006C686E" w:rsidRDefault="00B17E8C">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23EF36" w14:textId="77777777" w:rsidR="006C686E" w:rsidRDefault="00B17E8C">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9CB3E5" w14:textId="77777777" w:rsidR="006C686E" w:rsidRDefault="00B17E8C">
            <w:pPr>
              <w:pStyle w:val="P68B1DB1-Normal26"/>
              <w:spacing w:after="0" w:line="240" w:lineRule="auto"/>
              <w:jc w:val="both"/>
              <w:rPr>
                <w:rFonts w:eastAsia="Times New Roman"/>
                <w:noProof/>
                <w:kern w:val="0"/>
                <w14:ligatures w14:val="none"/>
              </w:rPr>
            </w:pPr>
            <w:r>
              <w:rPr>
                <w:noProof/>
              </w:rPr>
              <w:t>Entrée en vigueur d'un acte juridique sur les spécifications de la budgétisation des programmes et d'un manuel sur la budgétisation des coûts des programmes.</w:t>
            </w:r>
          </w:p>
        </w:tc>
      </w:tr>
      <w:tr w:rsidR="006C686E" w14:paraId="623C0A1C" w14:textId="77777777" w:rsidTr="00A66BC8">
        <w:trPr>
          <w:trHeight w:val="42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976C3E7" w14:textId="77777777" w:rsidR="006C686E" w:rsidRDefault="00B17E8C">
            <w:pPr>
              <w:pStyle w:val="P68B1DB1-Normal10"/>
              <w:spacing w:after="0" w:line="240" w:lineRule="auto"/>
              <w:jc w:val="center"/>
              <w:rPr>
                <w:rFonts w:eastAsia="Times New Roman"/>
                <w:noProof/>
              </w:rPr>
            </w:pPr>
            <w:r>
              <w:rPr>
                <w:noProof/>
              </w:rPr>
              <w:t>17.5</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463D13"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A1D8AB"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1FF00" w14:textId="77777777" w:rsidR="006C686E" w:rsidRDefault="00B17E8C">
            <w:pPr>
              <w:pStyle w:val="P68B1DB1-Normal11"/>
              <w:spacing w:after="0" w:line="240" w:lineRule="auto"/>
              <w:jc w:val="center"/>
              <w:rPr>
                <w:rFonts w:eastAsia="Times New Roman"/>
                <w:noProof/>
              </w:rPr>
            </w:pPr>
            <w:r>
              <w:rPr>
                <w:noProof/>
              </w:rPr>
              <w:t>Entrée en vigueur de la législation visant à intégrer les réexamens des dépenses dans le processus budgétaire ordinaire, y compris l’évaluation ex post des économies d’efficacité</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06589" w14:textId="77777777" w:rsidR="006C686E" w:rsidRDefault="00B17E8C">
            <w:pPr>
              <w:pStyle w:val="P68B1DB1-Normal11"/>
              <w:spacing w:after="0" w:line="240" w:lineRule="auto"/>
              <w:jc w:val="center"/>
              <w:rPr>
                <w:rFonts w:eastAsia="Times New Roman"/>
                <w:noProof/>
              </w:rPr>
            </w:pPr>
            <w:r>
              <w:rPr>
                <w:noProof/>
              </w:rPr>
              <w:t>Entrée en vigueur de la législation</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641DF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DFA8B0"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5734E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94D736"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F7EC" w14:textId="77777777" w:rsidR="006C686E" w:rsidRDefault="00B17E8C">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04199C" w14:textId="77777777" w:rsidR="006C686E" w:rsidRDefault="00B17E8C">
            <w:pPr>
              <w:pStyle w:val="P68B1DB1-Normal11"/>
              <w:spacing w:after="0" w:line="240" w:lineRule="auto"/>
              <w:jc w:val="both"/>
              <w:rPr>
                <w:rFonts w:eastAsia="Times New Roman"/>
                <w:noProof/>
              </w:rPr>
            </w:pPr>
            <w:r>
              <w:rPr>
                <w:noProof/>
              </w:rPr>
              <w:t xml:space="preserve">Entrée en vigueur de la législation sur les réexamens des dépenses afin de les intégrer pleinement dans le processus budgétaire annuel et dans le cadre budgétaire à moyen terme du Portugal. </w:t>
            </w:r>
          </w:p>
          <w:p w14:paraId="3D575FB2" w14:textId="77777777" w:rsidR="006C686E" w:rsidRDefault="00B17E8C">
            <w:pPr>
              <w:pStyle w:val="P68B1DB1-Normal11"/>
              <w:spacing w:after="0" w:line="240" w:lineRule="auto"/>
              <w:jc w:val="both"/>
              <w:rPr>
                <w:rFonts w:eastAsia="Times New Roman"/>
                <w:noProof/>
              </w:rPr>
            </w:pPr>
            <w:r>
              <w:rPr>
                <w:noProof/>
              </w:rPr>
              <w:t>Le processus comprend le diagnostic, la conception de solutions et la définition d’un modèle qui permet de générer des gains d’efficacité dans la fourniture de services publics et d’élargir les examens des dépenses à d’autres secteurs au sein des administrations publiques.</w:t>
            </w:r>
          </w:p>
          <w:p w14:paraId="5BFF0A53" w14:textId="77777777" w:rsidR="006C686E" w:rsidRDefault="00B17E8C">
            <w:pPr>
              <w:pStyle w:val="P68B1DB1-Normal11"/>
              <w:spacing w:after="0" w:line="240" w:lineRule="auto"/>
              <w:jc w:val="both"/>
              <w:rPr>
                <w:rFonts w:eastAsia="Times New Roman"/>
                <w:noProof/>
              </w:rPr>
            </w:pPr>
            <w:r>
              <w:rPr>
                <w:noProof/>
              </w:rPr>
              <w:t xml:space="preserve">Outre l'intégration des réexamens des dépenses dans le processus budgétaire annuel, ils font l'objet d'évaluations ex post annuelles visant à déterminer les gains d'efficacité réalisés. </w:t>
            </w:r>
          </w:p>
        </w:tc>
      </w:tr>
      <w:tr w:rsidR="006C686E" w14:paraId="2BBFC305"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45CCCF5" w14:textId="77777777" w:rsidR="006C686E" w:rsidRDefault="00B17E8C">
            <w:pPr>
              <w:pStyle w:val="P68B1DB1-Normal10"/>
              <w:spacing w:after="0" w:line="240" w:lineRule="auto"/>
              <w:jc w:val="center"/>
              <w:rPr>
                <w:rFonts w:eastAsia="Times New Roman"/>
                <w:noProof/>
              </w:rPr>
            </w:pPr>
            <w:r>
              <w:rPr>
                <w:noProof/>
              </w:rPr>
              <w:t>17.6</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2FA559"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73913"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855D67" w14:textId="77777777" w:rsidR="006C686E" w:rsidRDefault="00B17E8C">
            <w:pPr>
              <w:pStyle w:val="P68B1DB1-Normal11"/>
              <w:spacing w:after="0" w:line="240" w:lineRule="auto"/>
              <w:jc w:val="center"/>
              <w:rPr>
                <w:rFonts w:eastAsia="Times New Roman"/>
                <w:noProof/>
              </w:rPr>
            </w:pPr>
            <w:r>
              <w:rPr>
                <w:noProof/>
              </w:rPr>
              <w:t>Entrée en vigueur du nouveau modèle de contrat de gestion dans le cadre du nouveau système d’incitations/sanctions pour la gestion des entreprises publiques</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5D078A" w14:textId="77777777" w:rsidR="006C686E" w:rsidRDefault="00B17E8C">
            <w:pPr>
              <w:pStyle w:val="P68B1DB1-Normal11"/>
              <w:spacing w:after="0" w:line="240" w:lineRule="auto"/>
              <w:jc w:val="center"/>
              <w:rPr>
                <w:rFonts w:eastAsia="Times New Roman"/>
                <w:noProof/>
              </w:rPr>
            </w:pPr>
            <w:r>
              <w:rPr>
                <w:noProof/>
              </w:rPr>
              <w:t>Entrée en vigueur du nouveau modèle de contrat de gestion</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F73224"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4B7654"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0759E5"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1076E4"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ADD45B" w14:textId="77777777" w:rsidR="006C686E" w:rsidRDefault="00B17E8C">
            <w:pPr>
              <w:pStyle w:val="P68B1DB1-Normal11"/>
              <w:spacing w:after="0" w:line="240" w:lineRule="auto"/>
              <w:jc w:val="center"/>
              <w:rPr>
                <w:rFonts w:eastAsia="Times New Roman"/>
                <w:noProof/>
              </w:rPr>
            </w:pPr>
            <w:r>
              <w:rPr>
                <w:noProof/>
              </w:rPr>
              <w:t>2021</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8847E" w14:textId="77777777" w:rsidR="006C686E" w:rsidRDefault="00B17E8C">
            <w:pPr>
              <w:pStyle w:val="P68B1DB1-Normal11"/>
              <w:spacing w:after="0" w:line="240" w:lineRule="auto"/>
              <w:jc w:val="both"/>
              <w:rPr>
                <w:rFonts w:eastAsia="Times New Roman"/>
                <w:noProof/>
              </w:rPr>
            </w:pPr>
            <w:r>
              <w:rPr>
                <w:noProof/>
              </w:rPr>
              <w:t>Entrée en vigueur du nouveau modèle de contrat de gestion à signer avec les gestionnaires publics nommés aux conseils d’administration des entreprises publiques, afin d’accroître la responsabilité et la responsabilisation dans la gestion des ressources publiques grâce à un nouveau système d’incitations/sanctions axées sur la performance.</w:t>
            </w:r>
          </w:p>
        </w:tc>
      </w:tr>
      <w:tr w:rsidR="006C686E" w14:paraId="3CBC5E14"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76A96A5C" w14:textId="77777777" w:rsidR="006C686E" w:rsidRDefault="00B17E8C">
            <w:pPr>
              <w:pStyle w:val="P68B1DB1-Normal10"/>
              <w:spacing w:after="0" w:line="240" w:lineRule="auto"/>
              <w:jc w:val="center"/>
              <w:rPr>
                <w:rFonts w:eastAsia="Times New Roman"/>
                <w:noProof/>
              </w:rPr>
            </w:pPr>
            <w:r>
              <w:rPr>
                <w:noProof/>
              </w:rPr>
              <w:t>17.7</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623991"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474A1D"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F31D98" w14:textId="77777777" w:rsidR="006C686E" w:rsidRDefault="00B17E8C">
            <w:pPr>
              <w:pStyle w:val="P68B1DB1-Normal11"/>
              <w:spacing w:after="0" w:line="240" w:lineRule="auto"/>
              <w:jc w:val="center"/>
              <w:rPr>
                <w:rFonts w:eastAsia="Times New Roman"/>
                <w:noProof/>
              </w:rPr>
            </w:pPr>
            <w:r>
              <w:rPr>
                <w:noProof/>
              </w:rPr>
              <w:t>Entrée en vigueur du nouveau modèle d'analyse et de publication de la situation financière et des performances des entreprises publiques</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C308A5" w14:textId="77777777" w:rsidR="006C686E" w:rsidRDefault="00B17E8C">
            <w:pPr>
              <w:pStyle w:val="P68B1DB1-Normal11"/>
              <w:spacing w:after="0" w:line="240" w:lineRule="auto"/>
              <w:jc w:val="center"/>
              <w:rPr>
                <w:rFonts w:eastAsia="Times New Roman"/>
                <w:noProof/>
              </w:rPr>
            </w:pPr>
            <w:r>
              <w:rPr>
                <w:noProof/>
              </w:rPr>
              <w:t>Entrée en vigueur du nouveau rapport détaillant la situation financière et les performances des entreprises publiques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2F4CCD"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A22A69"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20B76"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BE7785"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FC185C" w14:textId="77777777" w:rsidR="006C686E" w:rsidRDefault="00B17E8C">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F62C2" w14:textId="77777777" w:rsidR="006C686E" w:rsidRDefault="00B17E8C">
            <w:pPr>
              <w:pStyle w:val="P68B1DB1-Normal11"/>
              <w:spacing w:after="0" w:line="240" w:lineRule="auto"/>
              <w:jc w:val="both"/>
              <w:rPr>
                <w:rFonts w:eastAsia="Times New Roman"/>
                <w:noProof/>
              </w:rPr>
            </w:pPr>
            <w:r>
              <w:rPr>
                <w:noProof/>
              </w:rPr>
              <w:t>Entrée en vigueur du nouveau rapport détaillant la situation financière et les performances des entreprises publiques sur une base régulière et en temps utile, en intégrant les données financières collectées par le nouveau système d'information sur le secteur des entreprises publiques.</w:t>
            </w:r>
          </w:p>
        </w:tc>
      </w:tr>
      <w:tr w:rsidR="006C686E" w14:paraId="0966609A" w14:textId="77777777" w:rsidTr="00A66BC8">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172088C" w14:textId="77777777" w:rsidR="006C686E" w:rsidRDefault="00B17E8C">
            <w:pPr>
              <w:pStyle w:val="P68B1DB1-Normal10"/>
              <w:spacing w:after="0" w:line="240" w:lineRule="auto"/>
              <w:jc w:val="center"/>
              <w:rPr>
                <w:rFonts w:eastAsia="Times New Roman"/>
                <w:noProof/>
              </w:rPr>
            </w:pPr>
            <w:r>
              <w:rPr>
                <w:noProof/>
              </w:rPr>
              <w:t>17.8</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BEB030" w14:textId="77777777" w:rsidR="006C686E" w:rsidRDefault="00B17E8C">
            <w:pPr>
              <w:pStyle w:val="P68B1DB1-Normal11"/>
              <w:spacing w:after="0" w:line="240" w:lineRule="auto"/>
              <w:jc w:val="center"/>
              <w:rPr>
                <w:rFonts w:eastAsia="Times New Roman"/>
                <w:noProof/>
              </w:rPr>
            </w:pPr>
            <w:r>
              <w:rPr>
                <w:noProof/>
              </w:rPr>
              <w:t>TD-C17-r32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79E64B" w14:textId="77777777" w:rsidR="006C686E" w:rsidRDefault="00B17E8C">
            <w:pPr>
              <w:pStyle w:val="P68B1DB1-Normal11"/>
              <w:spacing w:after="0" w:line="240" w:lineRule="auto"/>
              <w:jc w:val="center"/>
              <w:rPr>
                <w:rFonts w:eastAsia="Times New Roman"/>
                <w:noProof/>
              </w:rPr>
            </w:pPr>
            <w:r>
              <w:rPr>
                <w:noProof/>
              </w:rPr>
              <w:t>T</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84C8AD" w14:textId="77777777" w:rsidR="006C686E" w:rsidRDefault="00B17E8C">
            <w:pPr>
              <w:pStyle w:val="P68B1DB1-Normal11"/>
              <w:spacing w:after="0" w:line="240" w:lineRule="auto"/>
              <w:jc w:val="center"/>
              <w:rPr>
                <w:rFonts w:eastAsia="Times New Roman"/>
                <w:noProof/>
              </w:rPr>
            </w:pPr>
            <w:r>
              <w:rPr>
                <w:noProof/>
              </w:rPr>
              <w:t xml:space="preserve">Budget et plans d'activités des entreprises publiques </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13713D" w14:textId="77777777" w:rsidR="006C686E" w:rsidRDefault="00B17E8C">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EBE336" w14:textId="77777777" w:rsidR="006C686E" w:rsidRDefault="00B17E8C">
            <w:pPr>
              <w:pStyle w:val="P68B1DB1-Normal11"/>
              <w:spacing w:after="0" w:line="240" w:lineRule="auto"/>
              <w:jc w:val="center"/>
              <w:rPr>
                <w:rFonts w:eastAsia="Times New Roman"/>
                <w:noProof/>
              </w:rPr>
            </w:pPr>
            <w:r>
              <w:rPr>
                <w:noProof/>
              </w:rPr>
              <w:t>Numéro</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787558"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3A8C02" w14:textId="77777777" w:rsidR="006C686E" w:rsidRDefault="00B17E8C">
            <w:pPr>
              <w:pStyle w:val="P68B1DB1-Normal11"/>
              <w:spacing w:after="0" w:line="240" w:lineRule="auto"/>
              <w:jc w:val="center"/>
              <w:rPr>
                <w:rFonts w:eastAsia="Times New Roman"/>
                <w:noProof/>
              </w:rPr>
            </w:pPr>
            <w:r>
              <w:rPr>
                <w:noProof/>
              </w:rPr>
              <w:t>136</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19F6CE" w14:textId="77777777" w:rsidR="006C686E" w:rsidRDefault="00B17E8C">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1DFAA8" w14:textId="77777777" w:rsidR="006C686E" w:rsidRDefault="00B17E8C">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25ACE3" w14:textId="77777777" w:rsidR="006C686E" w:rsidRDefault="00B17E8C">
            <w:pPr>
              <w:pStyle w:val="P68B1DB1-Normal11"/>
              <w:spacing w:after="0" w:line="240" w:lineRule="auto"/>
              <w:jc w:val="both"/>
              <w:rPr>
                <w:rFonts w:eastAsia="Times New Roman"/>
                <w:noProof/>
              </w:rPr>
            </w:pPr>
            <w:r>
              <w:rPr>
                <w:noProof/>
              </w:rPr>
              <w:t xml:space="preserve">Nombre de plans budgétaires et d’activités des entreprises publiques pour 2025 approuvés par arrêté ministériel. </w:t>
            </w:r>
          </w:p>
        </w:tc>
      </w:tr>
      <w:tr w:rsidR="006C686E" w14:paraId="1239A877" w14:textId="77777777" w:rsidTr="00A66BC8">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794A925" w14:textId="77777777" w:rsidR="006C686E" w:rsidRDefault="00B17E8C">
            <w:pPr>
              <w:pStyle w:val="P68B1DB1-Normal10"/>
              <w:spacing w:after="0" w:line="240" w:lineRule="auto"/>
              <w:jc w:val="center"/>
              <w:rPr>
                <w:rFonts w:eastAsia="Times New Roman"/>
                <w:noProof/>
              </w:rPr>
            </w:pPr>
            <w:r>
              <w:rPr>
                <w:noProof/>
              </w:rPr>
              <w:t>17.9</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29C8EE" w14:textId="77777777" w:rsidR="006C686E" w:rsidRDefault="00B17E8C">
            <w:pPr>
              <w:pStyle w:val="P68B1DB1-Normal11"/>
              <w:spacing w:after="0" w:line="240" w:lineRule="auto"/>
              <w:jc w:val="center"/>
              <w:rPr>
                <w:rFonts w:eastAsia="Times New Roman"/>
                <w:noProof/>
              </w:rPr>
            </w:pPr>
            <w:r>
              <w:rPr>
                <w:noProof/>
              </w:rPr>
              <w:t>TD-C17-i01</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0E4028"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C0155F" w14:textId="77777777" w:rsidR="006C686E" w:rsidRDefault="00B17E8C">
            <w:pPr>
              <w:pStyle w:val="P68B1DB1-Normal11"/>
              <w:spacing w:after="0" w:line="240" w:lineRule="auto"/>
              <w:jc w:val="center"/>
              <w:rPr>
                <w:rFonts w:eastAsia="Times New Roman"/>
                <w:noProof/>
              </w:rPr>
            </w:pPr>
            <w:r>
              <w:rPr>
                <w:noProof/>
              </w:rPr>
              <w:t>Achèvement de la mise en œuvre de l’entité comptable nationale</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00CB5C" w14:textId="77777777" w:rsidR="006C686E" w:rsidRDefault="00B17E8C">
            <w:pPr>
              <w:pStyle w:val="P68B1DB1-Normal11"/>
              <w:spacing w:after="0" w:line="240" w:lineRule="auto"/>
              <w:jc w:val="center"/>
              <w:rPr>
                <w:rFonts w:eastAsia="Times New Roman"/>
                <w:noProof/>
              </w:rPr>
            </w:pPr>
            <w:r>
              <w:rPr>
                <w:noProof/>
              </w:rPr>
              <w:t>Achèvement de la mise en œuvre de l’entité comptable nationale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8646D7"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586557"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34C680"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AFD4C5" w14:textId="77777777" w:rsidR="006C686E" w:rsidRDefault="00B17E8C">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27338" w14:textId="77777777" w:rsidR="006C686E" w:rsidRDefault="00B17E8C">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8AE32A" w14:textId="77777777" w:rsidR="006C686E" w:rsidRDefault="00B17E8C">
            <w:pPr>
              <w:pStyle w:val="P68B1DB1-Normal11"/>
              <w:spacing w:after="0" w:line="240" w:lineRule="auto"/>
              <w:jc w:val="both"/>
              <w:rPr>
                <w:rFonts w:eastAsia="Times New Roman"/>
                <w:noProof/>
              </w:rPr>
            </w:pPr>
            <w:r>
              <w:rPr>
                <w:noProof/>
              </w:rPr>
              <w:t>Achever la mise en œuvre de l’entité comptable nationale, dans le plein respect des articles 49 et 55 de la loi-cadre budgétaire de 2015.</w:t>
            </w:r>
          </w:p>
        </w:tc>
      </w:tr>
      <w:tr w:rsidR="006C686E" w14:paraId="3D0FE310"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4900876A" w14:textId="77777777" w:rsidR="006C686E" w:rsidRDefault="00B17E8C">
            <w:pPr>
              <w:pStyle w:val="P68B1DB1-Normal10"/>
              <w:spacing w:after="0" w:line="240" w:lineRule="auto"/>
              <w:jc w:val="center"/>
              <w:rPr>
                <w:rFonts w:eastAsia="Times New Roman"/>
                <w:noProof/>
              </w:rPr>
            </w:pPr>
            <w:r>
              <w:rPr>
                <w:noProof/>
              </w:rPr>
              <w:t>17.10</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57D177" w14:textId="77777777" w:rsidR="006C686E" w:rsidRDefault="00B17E8C">
            <w:pPr>
              <w:pStyle w:val="P68B1DB1-Normal11"/>
              <w:spacing w:after="0" w:line="240" w:lineRule="auto"/>
              <w:jc w:val="center"/>
              <w:rPr>
                <w:rFonts w:eastAsia="Times New Roman"/>
                <w:noProof/>
              </w:rPr>
            </w:pPr>
            <w:r>
              <w:rPr>
                <w:noProof/>
              </w:rPr>
              <w:t>TD-C17-i01</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0B818C"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759DFE" w14:textId="22408D45" w:rsidR="006C686E" w:rsidRDefault="00B17E8C">
            <w:pPr>
              <w:pStyle w:val="P68B1DB1-Normal11"/>
              <w:spacing w:after="0" w:line="240" w:lineRule="auto"/>
              <w:jc w:val="center"/>
              <w:rPr>
                <w:rFonts w:eastAsia="Times New Roman"/>
                <w:noProof/>
              </w:rPr>
            </w:pPr>
            <w:r>
              <w:rPr>
                <w:noProof/>
              </w:rPr>
              <w:t>Nouvelles fonctionnalités de la solution informatique qui soutient la préparation du budget de l'État</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3AF3B7" w14:textId="77777777" w:rsidR="006C686E" w:rsidRDefault="00B17E8C">
            <w:pPr>
              <w:pStyle w:val="P68B1DB1-Normal11"/>
              <w:spacing w:after="0" w:line="240" w:lineRule="auto"/>
              <w:jc w:val="center"/>
              <w:rPr>
                <w:rFonts w:eastAsia="Times New Roman"/>
                <w:noProof/>
              </w:rPr>
            </w:pPr>
            <w:r>
              <w:rPr>
                <w:noProof/>
              </w:rPr>
              <w:t>Nouvelles fonctionnalités de la solution informatique, y compris la budgétisation des programmes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A4702D"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026C6"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8C24C9"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6C2F53"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606A2D" w14:textId="77777777" w:rsidR="006C686E" w:rsidRDefault="00B17E8C">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D63730" w14:textId="77777777" w:rsidR="006C686E" w:rsidRDefault="00B17E8C">
            <w:pPr>
              <w:pStyle w:val="P68B1DB1-Normal11"/>
              <w:spacing w:after="0" w:line="240" w:lineRule="auto"/>
              <w:jc w:val="both"/>
              <w:rPr>
                <w:rFonts w:eastAsia="Times New Roman"/>
                <w:noProof/>
              </w:rPr>
            </w:pPr>
            <w:r>
              <w:rPr>
                <w:noProof/>
              </w:rPr>
              <w:t>La solution informatique de l’entité budgétaire (SIGO</w:t>
            </w:r>
            <w:r>
              <w:rPr>
                <w:i/>
                <w:noProof/>
                <w:color w:val="000000"/>
              </w:rPr>
              <w:t xml:space="preserve"> ou Sistema de Informação de Gestão Orçamental)</w:t>
            </w:r>
            <w:r>
              <w:rPr>
                <w:noProof/>
              </w:rPr>
              <w:t xml:space="preserve"> a été mise à niveau avec le développement de nouvelles fonctionnalités pour soutenir la préparation du budget de l’État et pour les programmes budgétaires axés sur les performances.</w:t>
            </w:r>
          </w:p>
        </w:tc>
      </w:tr>
      <w:tr w:rsidR="006C686E" w14:paraId="59F43E47"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586A040" w14:textId="77777777" w:rsidR="006C686E" w:rsidRDefault="00B17E8C">
            <w:pPr>
              <w:pStyle w:val="P68B1DB1-Normal10"/>
              <w:spacing w:after="0" w:line="240" w:lineRule="auto"/>
              <w:jc w:val="center"/>
              <w:rPr>
                <w:rFonts w:eastAsia="Times New Roman"/>
                <w:bCs/>
                <w:noProof/>
              </w:rPr>
            </w:pPr>
            <w:r>
              <w:rPr>
                <w:noProof/>
              </w:rPr>
              <w:t>17.11</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BE7D02" w14:textId="77777777" w:rsidR="006C686E" w:rsidRDefault="00B17E8C">
            <w:pPr>
              <w:pStyle w:val="P68B1DB1-Normal11"/>
              <w:spacing w:after="0" w:line="240" w:lineRule="auto"/>
              <w:jc w:val="center"/>
              <w:rPr>
                <w:rFonts w:eastAsia="Times New Roman"/>
                <w:noProof/>
              </w:rPr>
            </w:pPr>
            <w:r>
              <w:rPr>
                <w:noProof/>
              </w:rPr>
              <w:t>TD-C17-i01</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CE93AF"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04983C" w14:textId="77777777" w:rsidR="006C686E" w:rsidRDefault="00B17E8C">
            <w:pPr>
              <w:pStyle w:val="P68B1DB1-Normal11"/>
              <w:spacing w:after="0" w:line="240" w:lineRule="auto"/>
              <w:jc w:val="center"/>
              <w:rPr>
                <w:rFonts w:eastAsia="Times New Roman"/>
                <w:noProof/>
              </w:rPr>
            </w:pPr>
            <w:r>
              <w:rPr>
                <w:noProof/>
              </w:rPr>
              <w:t xml:space="preserve">Fonctionnalités de la solution informatique qui soutient la préparation du budget de l'État </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4A6C75" w14:textId="0ED8DEB8" w:rsidR="006C686E" w:rsidRDefault="00B17E8C">
            <w:pPr>
              <w:pStyle w:val="P68B1DB1-Normal11"/>
              <w:spacing w:after="0" w:line="240" w:lineRule="auto"/>
              <w:jc w:val="center"/>
              <w:rPr>
                <w:rFonts w:eastAsia="Times New Roman"/>
                <w:noProof/>
              </w:rPr>
            </w:pPr>
            <w:r>
              <w:rPr>
                <w:noProof/>
              </w:rPr>
              <w:t>Fonctionnalités disponibles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2F8A42"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D80A4C"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0FFD6B"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9DCCB"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183962" w14:textId="77777777" w:rsidR="006C686E" w:rsidRDefault="00B17E8C">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5E0BB7" w14:textId="77777777" w:rsidR="006C686E" w:rsidRDefault="00B17E8C">
            <w:pPr>
              <w:pStyle w:val="P68B1DB1-Normal26"/>
              <w:spacing w:after="0" w:line="240" w:lineRule="auto"/>
              <w:rPr>
                <w:rFonts w:eastAsia="Times New Roman"/>
                <w:noProof/>
                <w:kern w:val="0"/>
                <w14:ligatures w14:val="none"/>
              </w:rPr>
            </w:pPr>
            <w:r>
              <w:rPr>
                <w:noProof/>
              </w:rPr>
              <w:t xml:space="preserve">Fonctionnalités de suivi des informations budgétaires dans la solution informatique de l’entité budgétaire (SIGO ou </w:t>
            </w:r>
            <w:r>
              <w:rPr>
                <w:i/>
                <w:noProof/>
              </w:rPr>
              <w:t>Sistema de Informação de Gestão Orçamental).</w:t>
            </w:r>
          </w:p>
        </w:tc>
      </w:tr>
      <w:tr w:rsidR="006C686E" w14:paraId="21831288" w14:textId="77777777" w:rsidTr="00A66BC8">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A060FA0" w14:textId="77777777" w:rsidR="006C686E" w:rsidRDefault="00B17E8C">
            <w:pPr>
              <w:pStyle w:val="P68B1DB1-Normal10"/>
              <w:spacing w:after="0" w:line="240" w:lineRule="auto"/>
              <w:jc w:val="center"/>
              <w:rPr>
                <w:rFonts w:eastAsia="Times New Roman"/>
                <w:noProof/>
              </w:rPr>
            </w:pPr>
            <w:r>
              <w:rPr>
                <w:noProof/>
              </w:rPr>
              <w:t>17.12</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921AD5" w14:textId="77777777" w:rsidR="006C686E" w:rsidRDefault="00B17E8C">
            <w:pPr>
              <w:pStyle w:val="P68B1DB1-Normal11"/>
              <w:spacing w:after="0" w:line="240" w:lineRule="auto"/>
              <w:jc w:val="center"/>
              <w:rPr>
                <w:rFonts w:eastAsia="Times New Roman"/>
                <w:noProof/>
              </w:rPr>
            </w:pPr>
            <w:r>
              <w:rPr>
                <w:noProof/>
              </w:rPr>
              <w:t>TD-C17-i01</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1C2F93" w14:textId="77777777" w:rsidR="006C686E" w:rsidRDefault="00B17E8C">
            <w:pPr>
              <w:pStyle w:val="P68B1DB1-Normal11"/>
              <w:spacing w:after="0" w:line="240" w:lineRule="auto"/>
              <w:jc w:val="center"/>
              <w:rPr>
                <w:rFonts w:eastAsia="Times New Roman"/>
                <w:noProof/>
              </w:rPr>
            </w:pPr>
            <w:r>
              <w:rPr>
                <w:noProof/>
              </w:rPr>
              <w:t>T</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59FE35" w14:textId="77777777" w:rsidR="006C686E" w:rsidRDefault="00B17E8C">
            <w:pPr>
              <w:pStyle w:val="P68B1DB1-Normal11"/>
              <w:spacing w:after="0" w:line="240" w:lineRule="auto"/>
              <w:jc w:val="center"/>
              <w:rPr>
                <w:rFonts w:eastAsia="Times New Roman"/>
                <w:noProof/>
              </w:rPr>
            </w:pPr>
            <w:r>
              <w:rPr>
                <w:noProof/>
              </w:rPr>
              <w:t>Systèmes d'information du système central national de passation des marchés publics</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7A0EFE" w14:textId="77777777" w:rsidR="006C686E" w:rsidRDefault="00B17E8C">
            <w:pPr>
              <w:pStyle w:val="P68B1DB1-Normal11"/>
              <w:spacing w:after="0" w:line="240" w:lineRule="auto"/>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9E1B02" w14:textId="77777777" w:rsidR="006C686E" w:rsidRDefault="00B17E8C">
            <w:pPr>
              <w:pStyle w:val="P68B1DB1-Normal11"/>
              <w:spacing w:after="0" w:line="240" w:lineRule="auto"/>
              <w:jc w:val="center"/>
              <w:rPr>
                <w:rFonts w:eastAsia="Times New Roman"/>
                <w:noProof/>
              </w:rPr>
            </w:pPr>
            <w:r>
              <w:rPr>
                <w:noProof/>
              </w:rPr>
              <w:t>Numéro</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7F1BC7"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598B64" w14:textId="77777777" w:rsidR="006C686E" w:rsidRDefault="00B17E8C">
            <w:pPr>
              <w:pStyle w:val="P68B1DB1-Normal11"/>
              <w:spacing w:after="0" w:line="240" w:lineRule="auto"/>
              <w:jc w:val="center"/>
              <w:rPr>
                <w:rFonts w:eastAsia="Times New Roman"/>
                <w:noProof/>
              </w:rPr>
            </w:pPr>
            <w:r>
              <w:rPr>
                <w:noProof/>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455CF5"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0C16D9" w14:textId="77777777" w:rsidR="006C686E" w:rsidRDefault="00B17E8C">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24D52F44" w14:textId="77777777" w:rsidR="006C686E" w:rsidRDefault="00B17E8C">
            <w:pPr>
              <w:pStyle w:val="P68B1DB1-Normal11"/>
              <w:spacing w:after="0" w:line="240" w:lineRule="auto"/>
              <w:rPr>
                <w:rFonts w:eastAsia="Times New Roman"/>
                <w:noProof/>
              </w:rPr>
            </w:pPr>
            <w:r>
              <w:rPr>
                <w:noProof/>
              </w:rPr>
              <w:t xml:space="preserve">Systèmes d'information du système central national de passation des marchés publics utilisés pour: i) promouvoir la simplification administrative; ii) renforcer les mécanismes de suivi et de contrôle; iii) favoriser des considérations de rentabilité et de rationalisation; iv) élargir la liste des biens et services faisant l'objet d'une passation centralisée de marchés; et v) promouvoir la collaboration entre les parties prenantes internes et externes. </w:t>
            </w:r>
          </w:p>
        </w:tc>
      </w:tr>
      <w:tr w:rsidR="006C686E" w14:paraId="1C14F15C"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C6AB92F" w14:textId="77777777" w:rsidR="006C686E" w:rsidRDefault="00B17E8C">
            <w:pPr>
              <w:pStyle w:val="P68B1DB1-Normal10"/>
              <w:spacing w:after="0" w:line="240" w:lineRule="auto"/>
              <w:jc w:val="center"/>
              <w:rPr>
                <w:rFonts w:eastAsia="Times New Roman"/>
                <w:noProof/>
              </w:rPr>
            </w:pPr>
            <w:r>
              <w:rPr>
                <w:noProof/>
              </w:rPr>
              <w:t>17.15</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4F0861" w14:textId="77777777" w:rsidR="006C686E" w:rsidRDefault="00B17E8C">
            <w:pPr>
              <w:pStyle w:val="P68B1DB1-Normal11"/>
              <w:spacing w:after="0" w:line="240" w:lineRule="auto"/>
              <w:jc w:val="center"/>
              <w:rPr>
                <w:rFonts w:eastAsia="Times New Roman"/>
                <w:noProof/>
              </w:rPr>
            </w:pPr>
            <w:r>
              <w:rPr>
                <w:noProof/>
              </w:rPr>
              <w:t>TD-C17-i02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0155F2"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4ADD2F" w14:textId="77777777" w:rsidR="006C686E" w:rsidRDefault="00B17E8C">
            <w:pPr>
              <w:pStyle w:val="P68B1DB1-Normal11"/>
              <w:spacing w:after="0" w:line="240" w:lineRule="auto"/>
              <w:jc w:val="center"/>
              <w:rPr>
                <w:rFonts w:eastAsia="Times New Roman"/>
                <w:noProof/>
              </w:rPr>
            </w:pPr>
            <w:r>
              <w:rPr>
                <w:noProof/>
              </w:rPr>
              <w:t>Achever la mise en œuvre du préremplissage de la déclaration modèle 1 de la taxe municipale sur les biens immobiliers (IMI), sur la base des données dont dispose l’administration fiscale et douanière</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143DB8" w14:textId="77777777" w:rsidR="006C686E" w:rsidRDefault="00B17E8C">
            <w:pPr>
              <w:pStyle w:val="P68B1DB1-Normal11"/>
              <w:spacing w:after="0" w:line="240" w:lineRule="auto"/>
              <w:jc w:val="center"/>
              <w:rPr>
                <w:rFonts w:eastAsia="Times New Roman"/>
                <w:noProof/>
              </w:rPr>
            </w:pPr>
            <w:r>
              <w:rPr>
                <w:noProof/>
              </w:rPr>
              <w:t>Achever la mise en œuvre du préremplissage de la déclaration modèle 1 de la taxe foncière municipale (IMI)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90C064"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31A29C"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37EBD3"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5EDD7C" w14:textId="77777777" w:rsidR="006C686E" w:rsidRDefault="00B17E8C">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63C419" w14:textId="77777777" w:rsidR="006C686E" w:rsidRDefault="00B17E8C">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66DC10" w14:textId="77777777" w:rsidR="006C686E" w:rsidRDefault="00B17E8C">
            <w:pPr>
              <w:pStyle w:val="P68B1DB1-Normal11"/>
              <w:spacing w:after="0" w:line="240" w:lineRule="auto"/>
              <w:jc w:val="both"/>
              <w:rPr>
                <w:rFonts w:eastAsia="Times New Roman"/>
                <w:noProof/>
              </w:rPr>
            </w:pPr>
            <w:r>
              <w:rPr>
                <w:noProof/>
              </w:rPr>
              <w:t>Partage de données entre l’administration fiscale et douanière et les municipalités pour le préremplissage de la déclaration modèle 1 de la taxe foncière municipale</w:t>
            </w:r>
            <w:r>
              <w:rPr>
                <w:i/>
                <w:noProof/>
              </w:rPr>
              <w:t xml:space="preserve"> («Imposto Municipal sobre Imóveis»,</w:t>
            </w:r>
            <w:r>
              <w:rPr>
                <w:noProof/>
              </w:rPr>
              <w:t xml:space="preserve"> IMI), en tirant parti des informations existantes sur les biens dans les systèmes d’information respectifs.</w:t>
            </w:r>
          </w:p>
        </w:tc>
      </w:tr>
      <w:tr w:rsidR="006C686E" w14:paraId="126E03F7" w14:textId="77777777" w:rsidTr="00A66BC8">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tcPr>
          <w:p w14:paraId="6A7C1BF4" w14:textId="77777777" w:rsidR="006C686E" w:rsidRDefault="00B17E8C">
            <w:pPr>
              <w:pStyle w:val="P68B1DB1-Normal10"/>
              <w:spacing w:after="0" w:line="240" w:lineRule="auto"/>
              <w:jc w:val="center"/>
              <w:rPr>
                <w:rFonts w:eastAsia="Times New Roman"/>
                <w:noProof/>
              </w:rPr>
            </w:pPr>
            <w:r>
              <w:rPr>
                <w:noProof/>
              </w:rPr>
              <w:t>17.21</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6494F0F" w14:textId="77777777" w:rsidR="006C686E" w:rsidRDefault="00B17E8C">
            <w:pPr>
              <w:pStyle w:val="P68B1DB1-Normal11"/>
              <w:spacing w:after="0" w:line="240" w:lineRule="auto"/>
              <w:jc w:val="center"/>
              <w:rPr>
                <w:rFonts w:eastAsia="Times New Roman"/>
                <w:noProof/>
              </w:rPr>
            </w:pPr>
            <w:r>
              <w:rPr>
                <w:noProof/>
              </w:rPr>
              <w:t>TD-C17-i02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6AD01C"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BE9DF5" w14:textId="77777777" w:rsidR="006C686E" w:rsidRDefault="00B17E8C">
            <w:pPr>
              <w:pStyle w:val="P68B1DB1-Normal11"/>
              <w:spacing w:after="0" w:line="240" w:lineRule="auto"/>
              <w:jc w:val="center"/>
              <w:rPr>
                <w:rFonts w:eastAsia="Times New Roman"/>
                <w:noProof/>
              </w:rPr>
            </w:pPr>
            <w:r>
              <w:rPr>
                <w:noProof/>
              </w:rPr>
              <w:t>Achever la mise en œuvre du préremplissage d’une transaction spécifique soumise au droit de timbre</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BEAD65" w14:textId="77777777" w:rsidR="006C686E" w:rsidRDefault="00B17E8C">
            <w:pPr>
              <w:pStyle w:val="P68B1DB1-Normal11"/>
              <w:spacing w:after="0" w:line="240" w:lineRule="auto"/>
              <w:jc w:val="center"/>
              <w:rPr>
                <w:rFonts w:eastAsia="Times New Roman"/>
                <w:noProof/>
              </w:rPr>
            </w:pPr>
            <w:r>
              <w:rPr>
                <w:noProof/>
              </w:rPr>
              <w:t>Achèvement de la mise en œuvre du préremplissage d’une transaction spécifique soumise au droit de timbre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0F036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01C502"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EFA19C"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17CD3E"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2988C2" w14:textId="77777777" w:rsidR="006C686E" w:rsidRDefault="00B17E8C">
            <w:pPr>
              <w:pStyle w:val="P68B1DB1-Normal11"/>
              <w:spacing w:after="0" w:line="240" w:lineRule="auto"/>
              <w:jc w:val="center"/>
              <w:rPr>
                <w:rFonts w:eastAsia="Times New Roman"/>
                <w:noProof/>
              </w:rPr>
            </w:pPr>
            <w:r>
              <w:rPr>
                <w:noProof/>
              </w:rPr>
              <w:t>2023</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704E05" w14:textId="77777777" w:rsidR="006C686E" w:rsidRDefault="00B17E8C">
            <w:pPr>
              <w:pStyle w:val="P68B1DB1-Normal11"/>
              <w:spacing w:after="0" w:line="240" w:lineRule="auto"/>
              <w:jc w:val="both"/>
              <w:rPr>
                <w:rFonts w:eastAsia="Times New Roman"/>
                <w:noProof/>
              </w:rPr>
            </w:pPr>
            <w:r>
              <w:rPr>
                <w:noProof/>
              </w:rPr>
              <w:t>Mise en œuvre complète des services de préremplissage pour le transfert gratuit de biens immobiliers et de véhicules liés à la succession à la mort soumis au droit de timbre («Imposto</w:t>
            </w:r>
            <w:r>
              <w:rPr>
                <w:i/>
                <w:noProof/>
              </w:rPr>
              <w:t xml:space="preserve"> do Selo»),</w:t>
            </w:r>
            <w:r>
              <w:rPr>
                <w:noProof/>
              </w:rPr>
              <w:t xml:space="preserve"> en tirant parti des informations existantes sur les biens dont disposent les autorités fiscales et douanières, l’Institut de la mobilité et des transports.</w:t>
            </w:r>
            <w:r>
              <w:rPr>
                <w:i/>
                <w:noProof/>
              </w:rPr>
              <w:t xml:space="preserve"> </w:t>
            </w:r>
            <w:r>
              <w:rPr>
                <w:noProof/>
              </w:rPr>
              <w:t>(IMT) et l'Institut des registres et des notaires (IRN).</w:t>
            </w:r>
          </w:p>
        </w:tc>
      </w:tr>
      <w:tr w:rsidR="006C686E" w14:paraId="1A70319A" w14:textId="77777777" w:rsidTr="00A66BC8">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19ACECF" w14:textId="77777777" w:rsidR="006C686E" w:rsidRDefault="00B17E8C">
            <w:pPr>
              <w:pStyle w:val="P68B1DB1-Normal10"/>
              <w:spacing w:after="0" w:line="240" w:lineRule="auto"/>
              <w:jc w:val="center"/>
              <w:rPr>
                <w:rFonts w:eastAsia="Times New Roman"/>
                <w:noProof/>
              </w:rPr>
            </w:pPr>
            <w:r>
              <w:rPr>
                <w:noProof/>
              </w:rPr>
              <w:t>17.16</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FC97E4" w14:textId="77777777" w:rsidR="006C686E" w:rsidRDefault="00B17E8C">
            <w:pPr>
              <w:pStyle w:val="P68B1DB1-Normal11"/>
              <w:spacing w:after="0" w:line="240" w:lineRule="auto"/>
              <w:jc w:val="center"/>
              <w:rPr>
                <w:rFonts w:eastAsia="Times New Roman"/>
                <w:noProof/>
              </w:rPr>
            </w:pPr>
            <w:r>
              <w:rPr>
                <w:noProof/>
              </w:rPr>
              <w:t>TD-C17-i02</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5BE49C"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5E2C41" w14:textId="52FD7C63" w:rsidR="006C686E" w:rsidRDefault="00B17E8C">
            <w:pPr>
              <w:pStyle w:val="P68B1DB1-Normal11"/>
              <w:spacing w:after="0" w:line="240" w:lineRule="auto"/>
              <w:jc w:val="center"/>
              <w:rPr>
                <w:rFonts w:eastAsia="Times New Roman"/>
                <w:noProof/>
              </w:rPr>
            </w:pPr>
            <w:r>
              <w:rPr>
                <w:noProof/>
              </w:rPr>
              <w:t>Systèmes d'information pour l'administration fiscale et douanière</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D4B5EB" w14:textId="6302D148" w:rsidR="006C686E" w:rsidRDefault="00B17E8C">
            <w:pPr>
              <w:pStyle w:val="P68B1DB1-Normal13"/>
              <w:spacing w:after="0" w:line="240" w:lineRule="auto"/>
              <w:jc w:val="center"/>
              <w:rPr>
                <w:noProof/>
              </w:rPr>
            </w:pPr>
            <w:r>
              <w:rPr>
                <w:noProof/>
                <w:kern w:val="0"/>
                <w14:ligatures w14:val="none"/>
              </w:rPr>
              <w:t xml:space="preserve">Systèmes d'information pour </w:t>
            </w:r>
            <w:r>
              <w:rPr>
                <w:noProof/>
              </w:rPr>
              <w:t>l'administration fiscale et douanière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53DF67" w14:textId="77777777" w:rsidR="006C686E" w:rsidRDefault="00B17E8C">
            <w:pPr>
              <w:pStyle w:val="P68B1DB1-Normal11"/>
              <w:spacing w:after="0" w:line="240" w:lineRule="auto"/>
              <w:jc w:val="center"/>
              <w:rPr>
                <w:rFonts w:eastAsia="Times New Roman"/>
                <w:noProof/>
              </w:rPr>
            </w:pPr>
            <w:r>
              <w:rPr>
                <w:noProof/>
              </w:rPr>
              <w:t xml:space="preserve"> </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AE1C86"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894408"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03AA6B"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AD9798" w14:textId="77777777" w:rsidR="006C686E" w:rsidRDefault="00B17E8C">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046DA46" w14:textId="2E949A2B" w:rsidR="006C686E" w:rsidRDefault="00B17E8C">
            <w:pPr>
              <w:pStyle w:val="P68B1DB1-Normal13"/>
              <w:spacing w:after="0" w:line="240" w:lineRule="auto"/>
              <w:jc w:val="both"/>
              <w:rPr>
                <w:noProof/>
                <w:kern w:val="0"/>
                <w14:ligatures w14:val="none"/>
              </w:rPr>
            </w:pPr>
            <w:r>
              <w:rPr>
                <w:noProof/>
                <w:kern w:val="0"/>
                <w14:ligatures w14:val="none"/>
              </w:rPr>
              <w:t>i) Système d'information pour la conservation et la visualisation des données de propriété rurale, y compris la documentation d'appui numérisée pour les matrices de propriété, à la disposition de l'administration fiscale et douanière</w:t>
            </w:r>
            <w:r>
              <w:rPr>
                <w:noProof/>
              </w:rPr>
              <w:t xml:space="preserve"> et</w:t>
            </w:r>
          </w:p>
          <w:p w14:paraId="5E19AF8A" w14:textId="3755912F" w:rsidR="006C686E" w:rsidRDefault="00B17E8C">
            <w:pPr>
              <w:pStyle w:val="P68B1DB1-Normal13"/>
              <w:spacing w:after="0" w:line="240" w:lineRule="auto"/>
              <w:rPr>
                <w:noProof/>
              </w:rPr>
            </w:pPr>
            <w:r>
              <w:rPr>
                <w:noProof/>
              </w:rPr>
              <w:t>ii) Achat de logiciels ou de matériel par l'administration fiscale et douanière.</w:t>
            </w:r>
          </w:p>
        </w:tc>
      </w:tr>
      <w:tr w:rsidR="006C686E" w14:paraId="1AA2EBB9" w14:textId="77777777" w:rsidTr="00A66BC8">
        <w:trPr>
          <w:trHeight w:val="127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5D2BAD12" w14:textId="77777777" w:rsidR="006C686E" w:rsidRDefault="00B17E8C">
            <w:pPr>
              <w:pStyle w:val="P68B1DB1-Normal10"/>
              <w:spacing w:after="0" w:line="240" w:lineRule="auto"/>
              <w:jc w:val="center"/>
              <w:rPr>
                <w:rFonts w:eastAsia="Times New Roman"/>
                <w:bCs/>
                <w:noProof/>
              </w:rPr>
            </w:pPr>
            <w:r>
              <w:rPr>
                <w:noProof/>
              </w:rPr>
              <w:t>17.18</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B7A5B" w14:textId="77777777" w:rsidR="006C686E" w:rsidRDefault="00B17E8C">
            <w:pPr>
              <w:pStyle w:val="P68B1DB1-Normal11"/>
              <w:spacing w:after="0" w:line="240" w:lineRule="auto"/>
              <w:jc w:val="center"/>
              <w:rPr>
                <w:rFonts w:eastAsia="Times New Roman"/>
                <w:noProof/>
              </w:rPr>
            </w:pPr>
            <w:r>
              <w:rPr>
                <w:noProof/>
              </w:rPr>
              <w:t>TD-C17-i03</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1E7B3" w14:textId="77777777" w:rsidR="006C686E" w:rsidRDefault="00B17E8C">
            <w:pPr>
              <w:pStyle w:val="P68B1DB1-Normal11"/>
              <w:spacing w:after="0" w:line="240" w:lineRule="auto"/>
              <w:jc w:val="center"/>
              <w:rPr>
                <w:rFonts w:eastAsia="Times New Roman"/>
                <w:noProof/>
              </w:rPr>
            </w:pPr>
            <w:r>
              <w:rPr>
                <w:noProof/>
              </w:rPr>
              <w:t>T</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129492" w14:textId="77777777" w:rsidR="006C686E" w:rsidRDefault="00B17E8C">
            <w:pPr>
              <w:pStyle w:val="P68B1DB1-Normal11"/>
              <w:spacing w:after="0" w:line="240" w:lineRule="auto"/>
              <w:jc w:val="center"/>
              <w:rPr>
                <w:rFonts w:eastAsia="Times New Roman"/>
                <w:noProof/>
              </w:rPr>
            </w:pPr>
            <w:r>
              <w:rPr>
                <w:noProof/>
              </w:rPr>
              <w:t xml:space="preserve">Fonctionnalités du site web </w:t>
            </w:r>
            <w:r>
              <w:rPr>
                <w:i/>
                <w:noProof/>
              </w:rPr>
              <w:t>Segurança Social Direta</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DA7703" w14:textId="77777777" w:rsidR="006C686E" w:rsidRDefault="00B17E8C">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147CFD" w14:textId="77777777" w:rsidR="006C686E" w:rsidRDefault="00B17E8C">
            <w:pPr>
              <w:pStyle w:val="P68B1DB1-Normal11"/>
              <w:spacing w:after="0" w:line="240" w:lineRule="auto"/>
              <w:jc w:val="center"/>
              <w:rPr>
                <w:rFonts w:eastAsia="Times New Roman"/>
                <w:noProof/>
              </w:rPr>
            </w:pPr>
            <w:r>
              <w:rPr>
                <w:noProof/>
              </w:rPr>
              <w:t>Numéro</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0BDA05" w14:textId="77777777" w:rsidR="006C686E" w:rsidRDefault="00B17E8C">
            <w:pPr>
              <w:pStyle w:val="P68B1DB1-Normal13"/>
              <w:spacing w:after="0" w:line="240" w:lineRule="auto"/>
              <w:jc w:val="center"/>
              <w:rPr>
                <w:rFonts w:eastAsia="Times New Roman"/>
                <w:noProof/>
                <w:kern w:val="0"/>
                <w14:ligatures w14:val="none"/>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B798B3" w14:textId="77777777" w:rsidR="006C686E" w:rsidRDefault="00B17E8C">
            <w:pPr>
              <w:pStyle w:val="P68B1DB1-Normal11"/>
              <w:spacing w:after="0" w:line="240" w:lineRule="auto"/>
              <w:jc w:val="center"/>
              <w:rPr>
                <w:rFonts w:eastAsia="Times New Roman"/>
                <w:noProof/>
              </w:rPr>
            </w:pPr>
            <w:r>
              <w:rPr>
                <w:noProof/>
              </w:rPr>
              <w:t>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6A15A5"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CD3647" w14:textId="77777777" w:rsidR="006C686E" w:rsidRDefault="00B17E8C">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A82BBE" w14:textId="77777777" w:rsidR="006C686E" w:rsidRDefault="00B17E8C">
            <w:pPr>
              <w:pStyle w:val="P68B1DB1-Normal13"/>
              <w:spacing w:after="0" w:line="240" w:lineRule="auto"/>
              <w:jc w:val="both"/>
              <w:rPr>
                <w:noProof/>
                <w:kern w:val="0"/>
                <w14:ligatures w14:val="none"/>
              </w:rPr>
            </w:pPr>
            <w:r>
              <w:rPr>
                <w:noProof/>
              </w:rPr>
              <w:t xml:space="preserve">Dix fonctionnalités </w:t>
            </w:r>
            <w:r>
              <w:rPr>
                <w:noProof/>
                <w:kern w:val="0"/>
                <w14:ligatures w14:val="none"/>
              </w:rPr>
              <w:t xml:space="preserve">en ligne </w:t>
            </w:r>
            <w:r>
              <w:rPr>
                <w:noProof/>
              </w:rPr>
              <w:t xml:space="preserve">disponibles sur </w:t>
            </w:r>
            <w:r>
              <w:rPr>
                <w:noProof/>
                <w:kern w:val="0"/>
                <w14:ligatures w14:val="none"/>
              </w:rPr>
              <w:t xml:space="preserve">le site web </w:t>
            </w:r>
            <w:r>
              <w:rPr>
                <w:i/>
                <w:noProof/>
                <w:kern w:val="0"/>
                <w14:ligatures w14:val="none"/>
              </w:rPr>
              <w:t>de Segurança Social Direta</w:t>
            </w:r>
            <w:r>
              <w:rPr>
                <w:noProof/>
                <w:kern w:val="0"/>
                <w14:ligatures w14:val="none"/>
              </w:rPr>
              <w:t xml:space="preserve"> </w:t>
            </w:r>
            <w:r>
              <w:rPr>
                <w:noProof/>
              </w:rPr>
              <w:t>pour:</w:t>
            </w:r>
            <w:r>
              <w:rPr>
                <w:noProof/>
                <w:kern w:val="0"/>
                <w14:ligatures w14:val="none"/>
              </w:rPr>
              <w:t xml:space="preserve"> i) </w:t>
            </w:r>
            <w:r>
              <w:rPr>
                <w:noProof/>
              </w:rPr>
              <w:t xml:space="preserve">les procédures de demande </w:t>
            </w:r>
            <w:r>
              <w:rPr>
                <w:noProof/>
                <w:kern w:val="0"/>
                <w14:ligatures w14:val="none"/>
              </w:rPr>
              <w:t xml:space="preserve">de tutelle civile et de </w:t>
            </w:r>
            <w:r>
              <w:rPr>
                <w:noProof/>
              </w:rPr>
              <w:t>placement en famille</w:t>
            </w:r>
            <w:r>
              <w:rPr>
                <w:noProof/>
                <w:kern w:val="0"/>
                <w14:ligatures w14:val="none"/>
              </w:rPr>
              <w:t xml:space="preserve"> d'accueil; ii) demande d'indemnité  compensatoire pour les indemnités de vacances et de Noël; iii)</w:t>
            </w:r>
            <w:r>
              <w:rPr>
                <w:noProof/>
              </w:rPr>
              <w:t xml:space="preserve"> la réévaluation des prestations</w:t>
            </w:r>
            <w:r>
              <w:rPr>
                <w:noProof/>
                <w:kern w:val="0"/>
                <w14:ligatures w14:val="none"/>
              </w:rPr>
              <w:t xml:space="preserve"> familiales; iv) </w:t>
            </w:r>
            <w:r>
              <w:rPr>
                <w:noProof/>
              </w:rPr>
              <w:t xml:space="preserve">demande de </w:t>
            </w:r>
            <w:r>
              <w:rPr>
                <w:noProof/>
                <w:kern w:val="0"/>
                <w14:ligatures w14:val="none"/>
              </w:rPr>
              <w:t xml:space="preserve">suspension de l'allocation d'activité </w:t>
            </w:r>
            <w:r>
              <w:rPr>
                <w:noProof/>
              </w:rPr>
              <w:t xml:space="preserve">  culturelle;</w:t>
            </w:r>
            <w:r>
              <w:rPr>
                <w:noProof/>
                <w:kern w:val="0"/>
                <w14:ligatures w14:val="none"/>
              </w:rPr>
              <w:t xml:space="preserve"> v) </w:t>
            </w:r>
            <w:r>
              <w:rPr>
                <w:noProof/>
              </w:rPr>
              <w:t xml:space="preserve">demande de </w:t>
            </w:r>
            <w:r>
              <w:rPr>
                <w:noProof/>
                <w:kern w:val="0"/>
                <w14:ligatures w14:val="none"/>
              </w:rPr>
              <w:t>pension de survie;</w:t>
            </w:r>
            <w:r>
              <w:rPr>
                <w:noProof/>
              </w:rPr>
              <w:t xml:space="preserve"> vi) l'octroi automatique des allocations familiales; vii) demande d'allocation parentale initiale; viii) demande de pension de vieillesse; ix) demande d'allocations de chômage partielles; x) octroi d'une pension d'invalidité </w:t>
            </w:r>
          </w:p>
        </w:tc>
      </w:tr>
      <w:tr w:rsidR="006C686E" w14:paraId="598BE4BE" w14:textId="77777777" w:rsidTr="00A66BC8">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39C78F" w14:textId="77777777" w:rsidR="006C686E" w:rsidRDefault="00B17E8C">
            <w:pPr>
              <w:pStyle w:val="P68B1DB1-Normal10"/>
              <w:spacing w:after="0" w:line="240" w:lineRule="auto"/>
              <w:jc w:val="center"/>
              <w:rPr>
                <w:rFonts w:eastAsia="Times New Roman"/>
                <w:noProof/>
              </w:rPr>
            </w:pPr>
            <w:r>
              <w:rPr>
                <w:noProof/>
              </w:rPr>
              <w:t>17.20</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A9B15B" w14:textId="77777777" w:rsidR="006C686E" w:rsidRDefault="00B17E8C">
            <w:pPr>
              <w:pStyle w:val="P68B1DB1-Normal11"/>
              <w:spacing w:after="0" w:line="240" w:lineRule="auto"/>
              <w:jc w:val="center"/>
              <w:rPr>
                <w:rFonts w:eastAsia="Times New Roman"/>
                <w:noProof/>
              </w:rPr>
            </w:pPr>
            <w:r>
              <w:rPr>
                <w:noProof/>
              </w:rPr>
              <w:t>TD-C17-i03</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05EC5D" w14:textId="77777777" w:rsidR="006C686E" w:rsidRDefault="00B17E8C">
            <w:pPr>
              <w:pStyle w:val="P68B1DB1-Normal11"/>
              <w:spacing w:after="0" w:line="240" w:lineRule="auto"/>
              <w:jc w:val="center"/>
              <w:rPr>
                <w:rFonts w:eastAsia="Times New Roman"/>
                <w:noProof/>
              </w:rPr>
            </w:pPr>
            <w:r>
              <w:rPr>
                <w:noProof/>
              </w:rPr>
              <w:t>T</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4992D0" w14:textId="77777777" w:rsidR="006C686E" w:rsidRDefault="00B17E8C">
            <w:pPr>
              <w:pStyle w:val="P68B1DB1-Normal11"/>
              <w:spacing w:after="0" w:line="240" w:lineRule="auto"/>
              <w:jc w:val="center"/>
              <w:rPr>
                <w:rFonts w:eastAsia="Times New Roman"/>
                <w:noProof/>
              </w:rPr>
            </w:pPr>
            <w:r>
              <w:rPr>
                <w:noProof/>
              </w:rPr>
              <w:t xml:space="preserve">Modèles de surveillance intelligents </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920608" w14:textId="77777777" w:rsidR="006C686E" w:rsidRDefault="00B17E8C">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FE6441" w14:textId="77777777" w:rsidR="006C686E" w:rsidRDefault="00B17E8C">
            <w:pPr>
              <w:pStyle w:val="P68B1DB1-Normal11"/>
              <w:spacing w:after="0" w:line="240" w:lineRule="auto"/>
              <w:jc w:val="center"/>
              <w:rPr>
                <w:rFonts w:eastAsia="Times New Roman"/>
                <w:noProof/>
              </w:rPr>
            </w:pPr>
            <w:r>
              <w:rPr>
                <w:noProof/>
              </w:rPr>
              <w:t>Numéro</w:t>
            </w: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58FB7D"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B4B737" w14:textId="77777777" w:rsidR="006C686E" w:rsidRDefault="00B17E8C">
            <w:pPr>
              <w:pStyle w:val="P68B1DB1-Normal11"/>
              <w:spacing w:after="0" w:line="240" w:lineRule="auto"/>
              <w:jc w:val="center"/>
              <w:rPr>
                <w:rFonts w:eastAsia="Times New Roman"/>
                <w:noProof/>
              </w:rPr>
            </w:pPr>
            <w:r>
              <w:rPr>
                <w:noProof/>
              </w:rPr>
              <w:t>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5736D"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89EA26" w14:textId="77777777" w:rsidR="006C686E" w:rsidRDefault="00B17E8C">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88D92" w14:textId="55B173F1"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Deux modèles de surveillance intelligente à la disposition de l'Instituto </w:t>
            </w:r>
            <w:r>
              <w:rPr>
                <w:i/>
                <w:noProof/>
                <w:kern w:val="0"/>
                <w14:ligatures w14:val="none"/>
              </w:rPr>
              <w:t>da Segurança Social:</w:t>
            </w:r>
            <w:r>
              <w:rPr>
                <w:noProof/>
              </w:rPr>
              <w:t xml:space="preserve"> i) un modèle prédictif qui peut signaler les entités à inspecter; ii) un modèle d'indices de risque pour les bénéficiaires de prestations sociales.</w:t>
            </w:r>
          </w:p>
        </w:tc>
      </w:tr>
      <w:tr w:rsidR="006C686E" w14:paraId="240B0717" w14:textId="77777777" w:rsidTr="00A66BC8">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66D32A88" w14:textId="77777777" w:rsidR="006C686E" w:rsidRDefault="00B17E8C">
            <w:pPr>
              <w:pStyle w:val="P68B1DB1-Normal10"/>
              <w:spacing w:after="0" w:line="240" w:lineRule="auto"/>
              <w:jc w:val="center"/>
              <w:rPr>
                <w:rFonts w:eastAsia="Times New Roman"/>
                <w:noProof/>
              </w:rPr>
            </w:pPr>
            <w:r>
              <w:rPr>
                <w:noProof/>
              </w:rPr>
              <w:t>17.22</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13979F" w14:textId="77777777" w:rsidR="006C686E" w:rsidRDefault="00B17E8C">
            <w:pPr>
              <w:pStyle w:val="P68B1DB1-Normal11"/>
              <w:spacing w:after="0" w:line="240" w:lineRule="auto"/>
              <w:jc w:val="center"/>
              <w:rPr>
                <w:rFonts w:eastAsia="Times New Roman"/>
                <w:noProof/>
              </w:rPr>
            </w:pPr>
            <w:r>
              <w:rPr>
                <w:noProof/>
              </w:rPr>
              <w:t>TD-C17-r40</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C7E09"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6BFFDA" w14:textId="77777777" w:rsidR="006C686E" w:rsidRDefault="00B17E8C">
            <w:pPr>
              <w:pStyle w:val="P68B1DB1-Normal11"/>
              <w:spacing w:after="0" w:line="240" w:lineRule="auto"/>
              <w:jc w:val="center"/>
              <w:rPr>
                <w:rFonts w:eastAsia="Times New Roman"/>
                <w:noProof/>
              </w:rPr>
            </w:pPr>
            <w:r>
              <w:rPr>
                <w:noProof/>
              </w:rPr>
              <w:t>Entrée en vigueur d’un acte juridique modifiant le cadre juridique de certains avantages fiscaux</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432D34" w14:textId="77777777" w:rsidR="006C686E" w:rsidRDefault="00B17E8C">
            <w:pPr>
              <w:pStyle w:val="P68B1DB1-Normal11"/>
              <w:spacing w:after="0" w:line="240" w:lineRule="auto"/>
              <w:jc w:val="center"/>
              <w:rPr>
                <w:rFonts w:eastAsia="Times New Roman"/>
                <w:noProof/>
              </w:rPr>
            </w:pPr>
            <w:r>
              <w:rPr>
                <w:noProof/>
              </w:rPr>
              <w:t xml:space="preserve">Disposition de l’acte juridique indiquant l’entrée en vigueur de l’acte juridique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2A0A06"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CF2B66"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C0A9C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3DC083" w14:textId="77777777" w:rsidR="006C686E" w:rsidRDefault="00B17E8C">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0F222E" w14:textId="77777777" w:rsidR="006C686E" w:rsidRDefault="00B17E8C">
            <w:pPr>
              <w:pStyle w:val="P68B1DB1-Normal11"/>
              <w:spacing w:after="0" w:line="240" w:lineRule="auto"/>
              <w:jc w:val="center"/>
              <w:rPr>
                <w:rFonts w:eastAsia="Times New Roman"/>
                <w:noProof/>
              </w:rPr>
            </w:pPr>
            <w:r>
              <w:rPr>
                <w:noProof/>
              </w:rPr>
              <w:t>2023</w:t>
            </w:r>
          </w:p>
        </w:tc>
        <w:tc>
          <w:tcPr>
            <w:tcW w:w="4906" w:type="dxa"/>
            <w:tcBorders>
              <w:top w:val="single" w:sz="4" w:space="0" w:color="auto"/>
              <w:left w:val="single" w:sz="4" w:space="0" w:color="auto"/>
              <w:bottom w:val="single" w:sz="4" w:space="0" w:color="auto"/>
              <w:right w:val="single" w:sz="4" w:space="0" w:color="auto"/>
            </w:tcBorders>
            <w:shd w:val="clear" w:color="auto" w:fill="C4EFCE"/>
            <w:noWrap/>
          </w:tcPr>
          <w:p w14:paraId="449F0837" w14:textId="77777777" w:rsidR="006C686E" w:rsidRDefault="00B17E8C">
            <w:pPr>
              <w:pStyle w:val="P68B1DB1-Normal11"/>
              <w:spacing w:after="0" w:line="240" w:lineRule="auto"/>
              <w:jc w:val="both"/>
              <w:rPr>
                <w:rFonts w:eastAsia="Times New Roman"/>
                <w:noProof/>
              </w:rPr>
            </w:pPr>
            <w:r>
              <w:rPr>
                <w:noProof/>
              </w:rPr>
              <w:t xml:space="preserve">Entrée en vigueur d’un acte juridique qui supprime ou étend un ensemble ciblé d’avantages fiscaux. L’acte juridique comprend des avantages fiscaux qui doivent expirer au cours de l’année qui suit son entrée en vigueur, qui ne sont plus alignés sur son objectif de politique publique initial ou dont le nombre de bénéficiaires est faible, et qui sont potentiellement dommageables pour l’environnement. </w:t>
            </w:r>
          </w:p>
        </w:tc>
      </w:tr>
      <w:tr w:rsidR="006C686E" w14:paraId="4526FF51" w14:textId="77777777" w:rsidTr="00A66BC8">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561BC06A" w14:textId="77777777" w:rsidR="006C686E" w:rsidRDefault="00B17E8C">
            <w:pPr>
              <w:pStyle w:val="P68B1DB1-Normal10"/>
              <w:spacing w:after="0" w:line="240" w:lineRule="auto"/>
              <w:jc w:val="center"/>
              <w:rPr>
                <w:rFonts w:eastAsia="Times New Roman"/>
                <w:noProof/>
              </w:rPr>
            </w:pPr>
            <w:r>
              <w:rPr>
                <w:noProof/>
              </w:rPr>
              <w:t>17.23</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B19228" w14:textId="77777777" w:rsidR="006C686E" w:rsidRDefault="00B17E8C">
            <w:pPr>
              <w:pStyle w:val="P68B1DB1-Normal11"/>
              <w:spacing w:after="0" w:line="240" w:lineRule="auto"/>
              <w:jc w:val="center"/>
              <w:rPr>
                <w:rFonts w:eastAsia="Times New Roman"/>
                <w:noProof/>
              </w:rPr>
            </w:pPr>
            <w:r>
              <w:rPr>
                <w:noProof/>
              </w:rPr>
              <w:t>TD-C17-r40</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40AE5F"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6E41F1" w14:textId="77777777" w:rsidR="006C686E" w:rsidRDefault="00B17E8C">
            <w:pPr>
              <w:pStyle w:val="P68B1DB1-Normal11"/>
              <w:spacing w:after="0" w:line="240" w:lineRule="auto"/>
              <w:jc w:val="center"/>
              <w:rPr>
                <w:rFonts w:eastAsia="Times New Roman"/>
                <w:noProof/>
              </w:rPr>
            </w:pPr>
            <w:r>
              <w:rPr>
                <w:noProof/>
              </w:rPr>
              <w:t xml:space="preserve">Entrée en vigueur de l’acte juridique portant création de l’unité technique permanente de politique fiscale </w:t>
            </w:r>
            <w:r>
              <w:rPr>
                <w:i/>
                <w:noProof/>
              </w:rPr>
              <w:t>Unidade Técnica de Avaliação Tributária e Aduaneira</w:t>
            </w:r>
            <w:r>
              <w:rPr>
                <w:noProof/>
              </w:rPr>
              <w:t xml:space="preserve"> (U-TAX)</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47358" w14:textId="77777777" w:rsidR="006C686E" w:rsidRDefault="00B17E8C">
            <w:pPr>
              <w:pStyle w:val="P68B1DB1-Normal11"/>
              <w:spacing w:after="0" w:line="240" w:lineRule="auto"/>
              <w:jc w:val="center"/>
              <w:rPr>
                <w:rFonts w:eastAsia="Times New Roman"/>
                <w:noProof/>
              </w:rPr>
            </w:pPr>
            <w:r>
              <w:rPr>
                <w:noProof/>
              </w:rPr>
              <w:t>Disposition de l’acte juridique indiquant l’entrée en vigueur de l’acte juridique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29EB0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2A79AE"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8AF800"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591880" w14:textId="77777777" w:rsidR="006C686E" w:rsidRDefault="00B17E8C">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0DD41F" w14:textId="77777777" w:rsidR="006C686E" w:rsidRDefault="00B17E8C">
            <w:pPr>
              <w:pStyle w:val="P68B1DB1-Normal11"/>
              <w:spacing w:after="0" w:line="240" w:lineRule="auto"/>
              <w:jc w:val="center"/>
              <w:rPr>
                <w:rFonts w:eastAsia="Times New Roman"/>
                <w:noProof/>
              </w:rPr>
            </w:pPr>
            <w:r>
              <w:rPr>
                <w:noProof/>
              </w:rPr>
              <w:t>2023</w:t>
            </w:r>
          </w:p>
        </w:tc>
        <w:tc>
          <w:tcPr>
            <w:tcW w:w="4906" w:type="dxa"/>
            <w:tcBorders>
              <w:top w:val="single" w:sz="4" w:space="0" w:color="auto"/>
              <w:left w:val="single" w:sz="4" w:space="0" w:color="auto"/>
              <w:bottom w:val="single" w:sz="4" w:space="0" w:color="auto"/>
              <w:right w:val="single" w:sz="4" w:space="0" w:color="auto"/>
            </w:tcBorders>
            <w:shd w:val="clear" w:color="auto" w:fill="C4EFCE"/>
            <w:noWrap/>
          </w:tcPr>
          <w:p w14:paraId="328F7923" w14:textId="77777777" w:rsidR="006C686E" w:rsidRDefault="00B17E8C">
            <w:pPr>
              <w:pStyle w:val="P68B1DB1-Normal11"/>
              <w:widowControl w:val="0"/>
              <w:spacing w:after="260" w:line="276" w:lineRule="auto"/>
              <w:jc w:val="both"/>
              <w:rPr>
                <w:rFonts w:eastAsia="Arial"/>
                <w:noProof/>
              </w:rPr>
            </w:pPr>
            <w:r>
              <w:rPr>
                <w:noProof/>
              </w:rPr>
              <w:t>Entrée en vigueur de l’acte juridique créant l’unité technique permanente de politique fiscale U-TAX.</w:t>
            </w:r>
          </w:p>
        </w:tc>
      </w:tr>
      <w:tr w:rsidR="006C686E" w14:paraId="7CE6D6D3" w14:textId="77777777" w:rsidTr="00A66BC8">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41DAAD5" w14:textId="77777777" w:rsidR="006C686E" w:rsidRDefault="00B17E8C">
            <w:pPr>
              <w:pStyle w:val="P68B1DB1-Normal10"/>
              <w:spacing w:after="0" w:line="240" w:lineRule="auto"/>
              <w:jc w:val="center"/>
              <w:rPr>
                <w:rFonts w:eastAsia="Times New Roman"/>
                <w:noProof/>
              </w:rPr>
            </w:pPr>
            <w:r>
              <w:rPr>
                <w:noProof/>
              </w:rPr>
              <w:t>17.25</w:t>
            </w:r>
          </w:p>
        </w:tc>
        <w:tc>
          <w:tcPr>
            <w:tcW w:w="15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2F7025" w14:textId="77777777" w:rsidR="006C686E" w:rsidRDefault="00B17E8C">
            <w:pPr>
              <w:pStyle w:val="P68B1DB1-Normal11"/>
              <w:spacing w:after="0" w:line="240" w:lineRule="auto"/>
              <w:jc w:val="center"/>
              <w:rPr>
                <w:rFonts w:eastAsia="Times New Roman"/>
                <w:noProof/>
              </w:rPr>
            </w:pPr>
            <w:r>
              <w:rPr>
                <w:noProof/>
              </w:rPr>
              <w:t>TD-C17-r40</w:t>
            </w:r>
          </w:p>
        </w:tc>
        <w:tc>
          <w:tcPr>
            <w:tcW w:w="69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EDE8DA" w14:textId="77777777" w:rsidR="006C686E" w:rsidRDefault="00B17E8C">
            <w:pPr>
              <w:pStyle w:val="P68B1DB1-Normal11"/>
              <w:spacing w:after="0" w:line="240" w:lineRule="auto"/>
              <w:jc w:val="center"/>
              <w:rPr>
                <w:rFonts w:eastAsia="Times New Roman"/>
                <w:noProof/>
              </w:rPr>
            </w:pPr>
            <w:r>
              <w:rPr>
                <w:noProof/>
              </w:rPr>
              <w:t>M</w:t>
            </w:r>
          </w:p>
        </w:tc>
        <w:tc>
          <w:tcPr>
            <w:tcW w:w="14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0AA985" w14:textId="77777777" w:rsidR="006C686E" w:rsidRDefault="00B17E8C">
            <w:pPr>
              <w:pStyle w:val="P68B1DB1-Normal11"/>
              <w:spacing w:after="0" w:line="240" w:lineRule="auto"/>
              <w:jc w:val="center"/>
              <w:rPr>
                <w:rFonts w:eastAsia="Times New Roman"/>
                <w:noProof/>
              </w:rPr>
            </w:pPr>
            <w:r>
              <w:rPr>
                <w:noProof/>
              </w:rPr>
              <w:t xml:space="preserve">Entrée en vigueur du ou des actes juridiques relatifs aux dépenses fiscales </w:t>
            </w:r>
          </w:p>
        </w:tc>
        <w:tc>
          <w:tcPr>
            <w:tcW w:w="14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162CBF" w14:textId="77777777" w:rsidR="006C686E" w:rsidRDefault="00B17E8C">
            <w:pPr>
              <w:pStyle w:val="P68B1DB1-Normal11"/>
              <w:spacing w:after="0" w:line="240" w:lineRule="auto"/>
              <w:jc w:val="center"/>
              <w:rPr>
                <w:rFonts w:eastAsia="Times New Roman"/>
                <w:noProof/>
              </w:rPr>
            </w:pPr>
            <w:r>
              <w:rPr>
                <w:noProof/>
              </w:rPr>
              <w:t>Disposition de l’acte juridique indiquant l’entrée en vigueur de l’acte juridique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BF59EB"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E942E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B7A44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25BAD2" w14:textId="77777777" w:rsidR="006C686E" w:rsidRDefault="00B17E8C">
            <w:pPr>
              <w:pStyle w:val="P68B1DB1-Normal11"/>
              <w:spacing w:after="0" w:line="240" w:lineRule="auto"/>
              <w:jc w:val="center"/>
              <w:rPr>
                <w:rFonts w:eastAsia="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7CFD75" w14:textId="77777777" w:rsidR="006C686E" w:rsidRDefault="00B17E8C">
            <w:pPr>
              <w:pStyle w:val="P68B1DB1-Normal11"/>
              <w:spacing w:after="0" w:line="240" w:lineRule="auto"/>
              <w:jc w:val="center"/>
              <w:rPr>
                <w:rFonts w:eastAsia="Times New Roman"/>
                <w:noProof/>
              </w:rPr>
            </w:pPr>
            <w:r>
              <w:rPr>
                <w:noProof/>
              </w:rPr>
              <w:t>2026</w:t>
            </w:r>
          </w:p>
        </w:tc>
        <w:tc>
          <w:tcPr>
            <w:tcW w:w="4906" w:type="dxa"/>
            <w:tcBorders>
              <w:top w:val="single" w:sz="4" w:space="0" w:color="auto"/>
              <w:left w:val="single" w:sz="4" w:space="0" w:color="auto"/>
              <w:bottom w:val="single" w:sz="4" w:space="0" w:color="auto"/>
              <w:right w:val="single" w:sz="4" w:space="0" w:color="auto"/>
            </w:tcBorders>
            <w:shd w:val="clear" w:color="auto" w:fill="C4EFCE"/>
            <w:noWrap/>
          </w:tcPr>
          <w:p w14:paraId="0C142BF4" w14:textId="691F3D4A" w:rsidR="006C686E" w:rsidRDefault="00B17E8C">
            <w:pPr>
              <w:pStyle w:val="P68B1DB1-Normal11"/>
              <w:widowControl w:val="0"/>
              <w:spacing w:after="0" w:line="276" w:lineRule="auto"/>
              <w:jc w:val="both"/>
              <w:rPr>
                <w:noProof/>
              </w:rPr>
            </w:pPr>
            <w:r>
              <w:rPr>
                <w:noProof/>
              </w:rPr>
              <w:t>Entrée en vigueur d’un ou de plusieurs actes juridiques fondés sur les recommandations de U-TAX relatives au SIFIDE indirect (système d’incitation fiscale à l’investissement des entreprises dans la recherche et le développement) et à la loi sur les avantages fiscaux.</w:t>
            </w:r>
          </w:p>
        </w:tc>
      </w:tr>
    </w:tbl>
    <w:p w14:paraId="3ECC5CC8" w14:textId="77777777" w:rsidR="006C686E" w:rsidRDefault="006C686E">
      <w:pPr>
        <w:keepNext/>
        <w:spacing w:before="40" w:after="0"/>
        <w:jc w:val="both"/>
        <w:rPr>
          <w:rFonts w:ascii="Times New Roman" w:eastAsia="Times New Roman" w:hAnsi="Times New Roman" w:cs="Times New Roman"/>
          <w:noProof/>
          <w:kern w:val="0"/>
          <w:szCs w:val="26"/>
          <w:u w:val="single"/>
          <w14:ligatures w14:val="none"/>
        </w:rPr>
      </w:pPr>
    </w:p>
    <w:p w14:paraId="41102F83" w14:textId="77777777" w:rsidR="006C686E" w:rsidRDefault="006C686E">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6C686E" w:rsidSect="00C95E00">
          <w:headerReference w:type="even" r:id="rId322"/>
          <w:headerReference w:type="default" r:id="rId323"/>
          <w:footerReference w:type="even" r:id="rId324"/>
          <w:footerReference w:type="default" r:id="rId325"/>
          <w:headerReference w:type="first" r:id="rId326"/>
          <w:footerReference w:type="first" r:id="rId327"/>
          <w:pgSz w:w="16839" w:h="11907" w:orient="landscape"/>
          <w:pgMar w:top="1134" w:right="1134" w:bottom="1134" w:left="1134" w:header="567" w:footer="567" w:gutter="0"/>
          <w:cols w:space="720"/>
          <w:docGrid w:linePitch="360"/>
        </w:sectPr>
      </w:pPr>
    </w:p>
    <w:p w14:paraId="24FB79AD" w14:textId="77777777" w:rsidR="006C686E" w:rsidRDefault="00B17E8C">
      <w:pPr>
        <w:pStyle w:val="P68B1DB1-Normal1"/>
        <w:keepNext/>
        <w:spacing w:before="40" w:after="0"/>
        <w:ind w:left="130" w:firstLine="720"/>
        <w:jc w:val="both"/>
        <w:outlineLvl w:val="1"/>
        <w:rPr>
          <w:rFonts w:eastAsia="Times New Roman"/>
          <w:noProof/>
        </w:rPr>
      </w:pPr>
      <w:r>
        <w:rPr>
          <w:noProof/>
        </w:rPr>
        <w:t>R. Élément 18: Justice économique et environnement des affaires</w:t>
      </w:r>
    </w:p>
    <w:p w14:paraId="5E77A774" w14:textId="77777777" w:rsidR="006C686E" w:rsidRDefault="00B17E8C">
      <w:pPr>
        <w:pStyle w:val="P68B1DB1-Normal4"/>
        <w:keepNext/>
        <w:spacing w:before="40" w:after="0"/>
        <w:jc w:val="both"/>
        <w:rPr>
          <w:rFonts w:eastAsia="Times New Roman"/>
          <w:noProof/>
        </w:rPr>
      </w:pPr>
      <w:r>
        <w:rPr>
          <w:noProof/>
        </w:rPr>
        <w:t xml:space="preserve">Ce volet s’attaque au problème de l’inefficacité du système judiciaire portugais ainsi qu’aux goulets d’étranglement qui subsistent en matière d’octroi de licences aux entreprises. La durée des procédures administratives et fiscales s’est améliorée ces dernières années, mais reste l’une des plus longues de l’UE, et le nombre d’affaires pendantes (arriéré judiciaire) reste relativement élevé. L'environnement des entreprises est également entravé par une faible efficacité des lois sur les garanties et les faillites et par de lourdes procédures d'octroi de licences dans certains secteurs. </w:t>
      </w:r>
    </w:p>
    <w:p w14:paraId="2F600387" w14:textId="77777777" w:rsidR="006C686E" w:rsidRDefault="00B17E8C">
      <w:pPr>
        <w:pStyle w:val="P68B1DB1-Normal4"/>
        <w:keepNext/>
        <w:spacing w:before="40" w:after="0"/>
        <w:jc w:val="both"/>
        <w:rPr>
          <w:rFonts w:eastAsia="Times New Roman"/>
          <w:noProof/>
        </w:rPr>
      </w:pPr>
      <w:r>
        <w:rPr>
          <w:noProof/>
        </w:rPr>
        <w:t xml:space="preserve">L'objectif de la composante est de renforcer et de rendre plus efficaces les relations entre les citoyens et les entreprises avec l'État, ainsi que de réduire la charge et la complexité qui entravent l'activité des entreprises et ont un impact sur la productivité. Il aborde deux questions de longue date: les obstacles à l’obtention de licences commerciales et les inefficacités du système judiciaire, ainsi que l’adoption du paradigme du «numérique par définition» dans le système judiciaire et sa promotion dans les procédures d’octroi de licences, tant en ce qui concerne le fonctionnement des tribunaux que l’interaction avec les parties prenantes. </w:t>
      </w:r>
    </w:p>
    <w:p w14:paraId="11742B96" w14:textId="77777777" w:rsidR="006C686E" w:rsidRDefault="00B17E8C">
      <w:pPr>
        <w:pStyle w:val="P68B1DB1-Normal4"/>
        <w:keepNext/>
        <w:spacing w:before="40" w:after="0"/>
        <w:jc w:val="both"/>
        <w:rPr>
          <w:rFonts w:eastAsia="Times New Roman"/>
          <w:noProof/>
        </w:rPr>
      </w:pPr>
      <w:r>
        <w:rPr>
          <w:noProof/>
        </w:rPr>
        <w:t>Ce volet vise à relever les différents défis recensés dans les recommandations par pays (recommandations par pays 4 2019 et 2020), à savoir les inefficacités persistantes dans les domaines des procédures d’insolvabilité et des juridictions administratives et fiscales, et à résoudre la question des exigences en matière de licences pour les entreprises, tout en abordant le cadre des professions réglementées (également inclus dans les mêmes recommandations par pays), bien que limité à la profession de praticien de l’insolvabilité (le défi des professions réglementées est abordé dans le volet 6). Ce volet contribue également à la mise en œuvre de la recommandation par pays visant à concentrer les investissements sur la transition numérique (recommandation par pays no 3 de 2020).</w:t>
      </w:r>
    </w:p>
    <w:p w14:paraId="30B8CF4B" w14:textId="77777777" w:rsidR="006C686E" w:rsidRDefault="00B17E8C">
      <w:pPr>
        <w:pStyle w:val="P68B1DB1-Normal4"/>
        <w:keepNext/>
        <w:spacing w:before="40" w:after="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w:t>
      </w:r>
    </w:p>
    <w:p w14:paraId="3CF533C2" w14:textId="77777777" w:rsidR="006C686E" w:rsidRDefault="006C686E">
      <w:pPr>
        <w:keepNext/>
        <w:spacing w:before="40" w:after="0"/>
        <w:jc w:val="both"/>
        <w:rPr>
          <w:rFonts w:ascii="Times New Roman" w:eastAsia="Times New Roman" w:hAnsi="Times New Roman" w:cs="Times New Roman"/>
          <w:noProof/>
          <w:kern w:val="0"/>
          <w:szCs w:val="26"/>
          <w14:ligatures w14:val="none"/>
        </w:rPr>
      </w:pPr>
    </w:p>
    <w:p w14:paraId="25CF6634" w14:textId="77777777" w:rsidR="006C686E" w:rsidRDefault="00B17E8C">
      <w:pPr>
        <w:pStyle w:val="P68B1DB1-Normal1"/>
        <w:keepNext/>
        <w:spacing w:before="40" w:after="0"/>
        <w:ind w:left="130" w:firstLine="720"/>
        <w:jc w:val="both"/>
        <w:outlineLvl w:val="1"/>
        <w:rPr>
          <w:rFonts w:eastAsia="Times New Roman"/>
          <w:noProof/>
        </w:rPr>
      </w:pPr>
      <w:r>
        <w:rPr>
          <w:noProof/>
        </w:rPr>
        <w:t xml:space="preserve">R.1. </w:t>
      </w:r>
      <w:r>
        <w:rPr>
          <w:noProof/>
        </w:rPr>
        <w:tab/>
        <w:t>Description des réformes et des investissements pour le soutien financier non remboursable</w:t>
      </w:r>
    </w:p>
    <w:p w14:paraId="2090B2BB" w14:textId="77777777" w:rsidR="006C686E" w:rsidRDefault="00B17E8C">
      <w:pPr>
        <w:pStyle w:val="P68B1DB1-Normal5"/>
        <w:keepNext/>
        <w:spacing w:before="240" w:after="0"/>
        <w:ind w:left="851"/>
        <w:jc w:val="both"/>
        <w:outlineLvl w:val="2"/>
        <w:rPr>
          <w:rFonts w:eastAsia="Times New Roman"/>
          <w:noProof/>
        </w:rPr>
      </w:pPr>
      <w:r>
        <w:rPr>
          <w:noProof/>
        </w:rPr>
        <w:t>Réforme TD-C18-r33: Justice économique et environnement des entreprises</w:t>
      </w:r>
    </w:p>
    <w:p w14:paraId="6A25819A" w14:textId="77777777" w:rsidR="006C686E" w:rsidRDefault="00B17E8C">
      <w:pPr>
        <w:pStyle w:val="P68B1DB1-Normal4"/>
        <w:keepNext/>
        <w:spacing w:before="40" w:after="0"/>
        <w:jc w:val="both"/>
        <w:rPr>
          <w:noProof/>
        </w:rPr>
      </w:pPr>
      <w:r>
        <w:rPr>
          <w:noProof/>
        </w:rPr>
        <w:t>L'objectif de cette réforme est d'accroître l'efficacité des tribunaux administratifs et fiscaux et de réduire les obstacles à l'investissement dans le domaine des licences.</w:t>
      </w:r>
    </w:p>
    <w:p w14:paraId="3BE9F0B3" w14:textId="77777777" w:rsidR="006C686E" w:rsidRDefault="00B17E8C">
      <w:pPr>
        <w:pStyle w:val="P68B1DB1-Normal4"/>
        <w:spacing w:after="200" w:line="276" w:lineRule="auto"/>
        <w:jc w:val="both"/>
        <w:rPr>
          <w:rFonts w:eastAsia="Times New Roman"/>
          <w:noProof/>
        </w:rPr>
      </w:pPr>
      <w:r>
        <w:rPr>
          <w:noProof/>
        </w:rPr>
        <w:t>Cette réforme consiste en l’entrée en vigueur d’actes juridiques visant à encourager les transactions judiciaires et extrajudiciaires, à revoir le cadre de l’insolvabilité, à réviser les statuts des greffiers et les autorisations environnementales, et à introduire des chambres spécialisées dans les juridictions supérieures.</w:t>
      </w:r>
    </w:p>
    <w:p w14:paraId="18C3D141" w14:textId="77777777" w:rsidR="006C686E" w:rsidRDefault="00B17E8C">
      <w:pPr>
        <w:pStyle w:val="P68B1DB1-Normal5"/>
        <w:keepNext/>
        <w:spacing w:before="240" w:after="0"/>
        <w:ind w:left="851"/>
        <w:jc w:val="both"/>
        <w:outlineLvl w:val="2"/>
        <w:rPr>
          <w:rFonts w:eastAsia="Times New Roman"/>
          <w:noProof/>
        </w:rPr>
      </w:pPr>
      <w:r>
        <w:rPr>
          <w:noProof/>
        </w:rPr>
        <w:t>Investissement TD-C18-i01: Justice économique et environnement des entreprises</w:t>
      </w:r>
    </w:p>
    <w:p w14:paraId="2B3F765E" w14:textId="21784531" w:rsidR="006C686E" w:rsidRDefault="00B17E8C">
      <w:pPr>
        <w:pStyle w:val="P68B1DB1-Normal3"/>
        <w:keepNext/>
        <w:spacing w:before="40" w:after="0"/>
        <w:jc w:val="both"/>
        <w:rPr>
          <w:noProof/>
          <w:kern w:val="0"/>
          <w14:ligatures w14:val="none"/>
        </w:rPr>
      </w:pPr>
      <w:r>
        <w:rPr>
          <w:noProof/>
          <w:kern w:val="0"/>
          <w14:ligatures w14:val="none"/>
        </w:rPr>
        <w:t xml:space="preserve">L’objectif de l’investissement est d’assurer la transition numérique et la résilience des systèmes informatiques judiciaires portugais. </w:t>
      </w:r>
      <w:r>
        <w:rPr>
          <w:noProof/>
        </w:rPr>
        <w:t>L’investissement concerne la disponibilité des systèmes d’information, ainsi que la fourniture ou la disponibilité de plateformes et d’outils informatiques.</w:t>
      </w:r>
    </w:p>
    <w:p w14:paraId="3CACC020" w14:textId="77777777" w:rsidR="006C686E" w:rsidRDefault="006C686E">
      <w:pPr>
        <w:rPr>
          <w:rFonts w:ascii="Times New Roman" w:eastAsia="Calibri" w:hAnsi="Times New Roman" w:cs="Times New Roman"/>
          <w:noProof/>
          <w:kern w:val="0"/>
          <w14:ligatures w14:val="none"/>
        </w:rPr>
        <w:sectPr w:rsidR="006C686E" w:rsidSect="00C95E00">
          <w:headerReference w:type="even" r:id="rId328"/>
          <w:headerReference w:type="default" r:id="rId329"/>
          <w:footerReference w:type="even" r:id="rId330"/>
          <w:footerReference w:type="default" r:id="rId331"/>
          <w:headerReference w:type="first" r:id="rId332"/>
          <w:footerReference w:type="first" r:id="rId333"/>
          <w:pgSz w:w="11907" w:h="16839"/>
          <w:pgMar w:top="1134" w:right="1134" w:bottom="1134" w:left="1134" w:header="567" w:footer="567" w:gutter="0"/>
          <w:cols w:space="720"/>
          <w:docGrid w:linePitch="360"/>
        </w:sectPr>
      </w:pPr>
    </w:p>
    <w:p w14:paraId="47DBF408" w14:textId="1BEF5B64" w:rsidR="006C686E" w:rsidRDefault="00B17E8C">
      <w:pPr>
        <w:pStyle w:val="P68B1DB1-Normal1"/>
        <w:spacing w:before="40" w:after="0"/>
        <w:ind w:left="130" w:firstLine="12"/>
        <w:jc w:val="center"/>
        <w:outlineLvl w:val="1"/>
        <w:rPr>
          <w:rFonts w:eastAsia="Times New Roman"/>
          <w:noProof/>
        </w:rPr>
      </w:pPr>
      <w:r>
        <w:rPr>
          <w:noProof/>
        </w:rPr>
        <w:t xml:space="preserve">R.2. </w:t>
      </w:r>
      <w:r>
        <w:rPr>
          <w:noProof/>
        </w:rPr>
        <w:tab/>
        <w:t>Étapes, cibles, indicateurs et calendrier pour le suivi et la mise en œuvre du soutien financier non remboursable</w:t>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1427"/>
        <w:gridCol w:w="1417"/>
        <w:gridCol w:w="992"/>
        <w:gridCol w:w="1712"/>
        <w:gridCol w:w="982"/>
        <w:gridCol w:w="992"/>
        <w:gridCol w:w="850"/>
        <w:gridCol w:w="567"/>
        <w:gridCol w:w="709"/>
        <w:gridCol w:w="5250"/>
      </w:tblGrid>
      <w:tr w:rsidR="006C686E" w14:paraId="6EB9280E" w14:textId="77777777" w:rsidTr="00A66BC8">
        <w:trPr>
          <w:trHeight w:val="910"/>
          <w:tblHeader/>
          <w:jc w:val="center"/>
        </w:trPr>
        <w:tc>
          <w:tcPr>
            <w:tcW w:w="126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5DAEFA68" w14:textId="77777777" w:rsidR="006C686E" w:rsidRDefault="00B17E8C">
            <w:pPr>
              <w:pStyle w:val="P68B1DB1-Normal9"/>
              <w:spacing w:after="0" w:line="240" w:lineRule="auto"/>
              <w:jc w:val="center"/>
              <w:rPr>
                <w:rFonts w:eastAsia="Times New Roman"/>
                <w:noProof/>
              </w:rPr>
            </w:pPr>
            <w:r>
              <w:rPr>
                <w:noProof/>
              </w:rPr>
              <w:t>Numéro séquentiel</w:t>
            </w:r>
          </w:p>
        </w:tc>
        <w:tc>
          <w:tcPr>
            <w:tcW w:w="142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CC94345"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0267F96" w14:textId="77777777" w:rsidR="006C686E" w:rsidRDefault="00B17E8C">
            <w:pPr>
              <w:pStyle w:val="P68B1DB1-Normal9"/>
              <w:spacing w:after="0" w:line="240" w:lineRule="auto"/>
              <w:jc w:val="center"/>
              <w:rPr>
                <w:rFonts w:eastAsia="Times New Roman"/>
                <w:noProof/>
              </w:rPr>
            </w:pPr>
            <w:r>
              <w:rPr>
                <w:noProof/>
              </w:rPr>
              <w:t>Étape/objectif</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FF98F50" w14:textId="77777777" w:rsidR="006C686E" w:rsidRDefault="00B17E8C">
            <w:pPr>
              <w:pStyle w:val="P68B1DB1-Normal9"/>
              <w:spacing w:after="0" w:line="240" w:lineRule="auto"/>
              <w:jc w:val="center"/>
              <w:rPr>
                <w:rFonts w:eastAsia="Times New Roman"/>
                <w:noProof/>
              </w:rPr>
            </w:pPr>
            <w:r>
              <w:rPr>
                <w:noProof/>
              </w:rPr>
              <w:t>Nom</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3FBA03D"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282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173F3C7F"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000A32F"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525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381341D"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102D6828" w14:textId="77777777" w:rsidTr="00A66BC8">
        <w:trPr>
          <w:trHeight w:val="470"/>
          <w:tblHeader/>
          <w:jc w:val="center"/>
        </w:trPr>
        <w:tc>
          <w:tcPr>
            <w:tcW w:w="1262" w:type="dxa"/>
            <w:vMerge/>
            <w:tcBorders>
              <w:top w:val="single" w:sz="4" w:space="0" w:color="auto"/>
              <w:left w:val="single" w:sz="4" w:space="0" w:color="auto"/>
              <w:bottom w:val="single" w:sz="4" w:space="0" w:color="auto"/>
              <w:right w:val="single" w:sz="4" w:space="0" w:color="auto"/>
            </w:tcBorders>
          </w:tcPr>
          <w:p w14:paraId="50429406"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27" w:type="dxa"/>
            <w:vMerge/>
            <w:tcBorders>
              <w:top w:val="single" w:sz="4" w:space="0" w:color="auto"/>
              <w:left w:val="single" w:sz="4" w:space="0" w:color="auto"/>
              <w:bottom w:val="single" w:sz="4" w:space="0" w:color="auto"/>
              <w:right w:val="single" w:sz="4" w:space="0" w:color="auto"/>
            </w:tcBorders>
            <w:vAlign w:val="center"/>
            <w:hideMark/>
          </w:tcPr>
          <w:p w14:paraId="25359C99"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4C55B13"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24391EF"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25427A35"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98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2570AD1" w14:textId="77777777" w:rsidR="006C686E" w:rsidRDefault="00B17E8C">
            <w:pPr>
              <w:pStyle w:val="P68B1DB1-Normal9"/>
              <w:spacing w:after="0" w:line="240" w:lineRule="auto"/>
              <w:jc w:val="center"/>
              <w:rPr>
                <w:rFonts w:eastAsia="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04692F2" w14:textId="77777777" w:rsidR="006C686E" w:rsidRDefault="00B17E8C">
            <w:pPr>
              <w:pStyle w:val="P68B1DB1-Normal9"/>
              <w:spacing w:after="0" w:line="240" w:lineRule="auto"/>
              <w:jc w:val="center"/>
              <w:rPr>
                <w:rFonts w:eastAsia="Times New Roman"/>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E802F67" w14:textId="77777777" w:rsidR="006C686E" w:rsidRDefault="00B17E8C">
            <w:pPr>
              <w:pStyle w:val="P68B1DB1-Normal9"/>
              <w:spacing w:after="0" w:line="240" w:lineRule="auto"/>
              <w:jc w:val="center"/>
              <w:rPr>
                <w:rFonts w:eastAsia="Times New Roman"/>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6A73298" w14:textId="77777777" w:rsidR="006C686E" w:rsidRDefault="00B17E8C">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74CE98E" w14:textId="77777777" w:rsidR="006C686E" w:rsidRDefault="00B17E8C">
            <w:pPr>
              <w:pStyle w:val="P68B1DB1-Normal9"/>
              <w:spacing w:after="0" w:line="240" w:lineRule="auto"/>
              <w:jc w:val="center"/>
              <w:rPr>
                <w:rFonts w:eastAsia="Times New Roman"/>
                <w:noProof/>
              </w:rPr>
            </w:pPr>
            <w:r>
              <w:rPr>
                <w:noProof/>
              </w:rPr>
              <w:t>Année</w:t>
            </w:r>
          </w:p>
        </w:tc>
        <w:tc>
          <w:tcPr>
            <w:tcW w:w="5250" w:type="dxa"/>
            <w:vMerge/>
            <w:tcBorders>
              <w:top w:val="single" w:sz="4" w:space="0" w:color="auto"/>
              <w:left w:val="single" w:sz="4" w:space="0" w:color="auto"/>
              <w:bottom w:val="single" w:sz="4" w:space="0" w:color="auto"/>
              <w:right w:val="single" w:sz="4" w:space="0" w:color="auto"/>
            </w:tcBorders>
            <w:vAlign w:val="center"/>
            <w:hideMark/>
          </w:tcPr>
          <w:p w14:paraId="1CA8BB7D"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711C1E56" w14:textId="77777777" w:rsidTr="00A66BC8">
        <w:trPr>
          <w:trHeight w:val="1038"/>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39016D6B" w14:textId="77777777" w:rsidR="006C686E" w:rsidRDefault="00B17E8C">
            <w:pPr>
              <w:pStyle w:val="P68B1DB1-Normal10"/>
              <w:spacing w:after="0" w:line="240" w:lineRule="auto"/>
              <w:jc w:val="center"/>
              <w:rPr>
                <w:rFonts w:eastAsia="Times New Roman"/>
                <w:noProof/>
              </w:rPr>
            </w:pPr>
            <w:r>
              <w:rPr>
                <w:noProof/>
              </w:rPr>
              <w:t>18.1</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CF8621" w14:textId="77777777" w:rsidR="006C686E" w:rsidRDefault="00B17E8C">
            <w:pPr>
              <w:pStyle w:val="P68B1DB1-Normal11"/>
              <w:spacing w:after="0" w:line="240" w:lineRule="auto"/>
              <w:jc w:val="center"/>
              <w:rPr>
                <w:rFonts w:eastAsia="Times New Roman"/>
                <w:noProof/>
              </w:rPr>
            </w:pPr>
            <w:r>
              <w:rPr>
                <w:noProof/>
              </w:rPr>
              <w:t>TD-C18-r33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5954D0"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178B94" w14:textId="77777777" w:rsidR="006C686E" w:rsidRDefault="00B17E8C">
            <w:pPr>
              <w:pStyle w:val="P68B1DB1-Normal11"/>
              <w:spacing w:after="0" w:line="240" w:lineRule="auto"/>
              <w:jc w:val="center"/>
              <w:rPr>
                <w:rFonts w:eastAsia="Times New Roman"/>
                <w:noProof/>
              </w:rPr>
            </w:pPr>
            <w:r>
              <w:rPr>
                <w:noProof/>
              </w:rPr>
              <w:t>Création de chambres spécialisées dans les juridictions supérieures administratives et fiscales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526257" w14:textId="77777777" w:rsidR="006C686E" w:rsidRDefault="00B17E8C">
            <w:pPr>
              <w:pStyle w:val="P68B1DB1-Normal11"/>
              <w:spacing w:after="0" w:line="240" w:lineRule="auto"/>
              <w:jc w:val="center"/>
              <w:rPr>
                <w:rFonts w:eastAsia="Times New Roman"/>
                <w:noProof/>
              </w:rPr>
            </w:pPr>
            <w:r>
              <w:rPr>
                <w:noProof/>
              </w:rPr>
              <w:t>Création de chambres spécialisées dans les juridictions supérieures administratives et fiscales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937893"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85787E" w14:textId="77777777" w:rsidR="006C686E" w:rsidRDefault="00B17E8C">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6C527E"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A561A6" w14:textId="77777777" w:rsidR="006C686E" w:rsidRDefault="00B17E8C">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9FE7C9" w14:textId="77777777" w:rsidR="006C686E" w:rsidRDefault="00B17E8C">
            <w:pPr>
              <w:pStyle w:val="P68B1DB1-Normal11"/>
              <w:spacing w:after="0" w:line="240" w:lineRule="auto"/>
              <w:jc w:val="center"/>
              <w:rPr>
                <w:rFonts w:eastAsia="Times New Roman"/>
                <w:noProof/>
              </w:rPr>
            </w:pPr>
            <w:r>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8BD2A0" w14:textId="530C8E51" w:rsidR="006C686E" w:rsidRDefault="00B17E8C">
            <w:pPr>
              <w:pStyle w:val="P68B1DB1-Normal11"/>
              <w:spacing w:after="0" w:line="240" w:lineRule="auto"/>
              <w:jc w:val="both"/>
              <w:rPr>
                <w:rFonts w:eastAsia="Times New Roman"/>
                <w:noProof/>
              </w:rPr>
            </w:pPr>
            <w:r>
              <w:rPr>
                <w:noProof/>
              </w:rPr>
              <w:t>Création de chambres spécialisées dans les juridictions administratives et fiscales supérieures: les jugements administratifs ordinaires, les jugements administratifs sociaux, les jugements en matière de marchés publics, les jugements fiscaux ordinaires, les jugements en matière d’exécution fiscale et d’infractions administratives.</w:t>
            </w:r>
          </w:p>
        </w:tc>
      </w:tr>
      <w:tr w:rsidR="006C686E" w14:paraId="5CBB6A39" w14:textId="77777777" w:rsidTr="00A66BC8">
        <w:trPr>
          <w:trHeight w:val="257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EC4BDC1" w14:textId="77777777" w:rsidR="006C686E" w:rsidRDefault="00B17E8C">
            <w:pPr>
              <w:pStyle w:val="P68B1DB1-Normal10"/>
              <w:spacing w:after="0" w:line="240" w:lineRule="auto"/>
              <w:jc w:val="center"/>
              <w:rPr>
                <w:rFonts w:eastAsia="Times New Roman"/>
                <w:noProof/>
              </w:rPr>
            </w:pPr>
            <w:r>
              <w:rPr>
                <w:noProof/>
              </w:rPr>
              <w:t>18.2</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B08056" w14:textId="77777777" w:rsidR="006C686E" w:rsidRDefault="00B17E8C">
            <w:pPr>
              <w:pStyle w:val="P68B1DB1-Normal11"/>
              <w:spacing w:after="0" w:line="240" w:lineRule="auto"/>
              <w:jc w:val="center"/>
              <w:rPr>
                <w:rFonts w:eastAsia="Times New Roman"/>
                <w:noProof/>
              </w:rPr>
            </w:pPr>
            <w:r>
              <w:rPr>
                <w:noProof/>
              </w:rPr>
              <w:t>TD-C18-r33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383A4F"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92B568" w14:textId="004A85C1" w:rsidR="006C686E" w:rsidRDefault="00B17E8C">
            <w:pPr>
              <w:pStyle w:val="P68B1DB1-Normal11"/>
              <w:spacing w:after="0" w:line="240" w:lineRule="auto"/>
              <w:jc w:val="center"/>
              <w:rPr>
                <w:rFonts w:eastAsia="Times New Roman"/>
                <w:noProof/>
              </w:rPr>
            </w:pPr>
            <w:r>
              <w:rPr>
                <w:noProof/>
              </w:rPr>
              <w:t>Entrée en vigueur d'un régime juridique visant à encourager le règlement à l'amiable et à l'amiable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463D82" w14:textId="77777777" w:rsidR="006C686E" w:rsidRDefault="00B17E8C">
            <w:pPr>
              <w:pStyle w:val="P68B1DB1-Normal11"/>
              <w:spacing w:after="0" w:line="240" w:lineRule="auto"/>
              <w:jc w:val="center"/>
              <w:rPr>
                <w:rFonts w:eastAsia="Times New Roman"/>
                <w:noProof/>
              </w:rPr>
            </w:pPr>
            <w:r>
              <w:rPr>
                <w:noProof/>
              </w:rPr>
              <w:t>Entrée en vigueur d'un régime juridique visant à encourager le règlement à l'amiable et à l'amiable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B27F31" w14:textId="77777777" w:rsidR="006C686E" w:rsidRDefault="006C686E">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C641E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DB499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A2ACFA" w14:textId="77777777" w:rsidR="006C686E" w:rsidRDefault="00B17E8C">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D2B01C" w14:textId="77777777" w:rsidR="006C686E" w:rsidRDefault="00B17E8C">
            <w:pPr>
              <w:pStyle w:val="P68B1DB1-Normal11"/>
              <w:spacing w:after="0" w:line="240" w:lineRule="auto"/>
              <w:jc w:val="center"/>
              <w:rPr>
                <w:rFonts w:eastAsia="Times New Roman"/>
                <w:noProof/>
              </w:rPr>
            </w:pPr>
            <w:r>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0DBB1258" w14:textId="23BC9DFB" w:rsidR="006C686E" w:rsidRDefault="00B17E8C">
            <w:pPr>
              <w:pStyle w:val="P68B1DB1-Normal11"/>
              <w:spacing w:after="0" w:line="240" w:lineRule="auto"/>
              <w:jc w:val="both"/>
              <w:rPr>
                <w:rFonts w:eastAsia="Times New Roman"/>
                <w:noProof/>
              </w:rPr>
            </w:pPr>
            <w:r>
              <w:rPr>
                <w:noProof/>
              </w:rPr>
              <w:t>Entrée en vigueur du régime juridique créant un régime légal d’incitation à la clôture des procédures par voie de règlement judiciaire et extrajudiciaire.</w:t>
            </w:r>
          </w:p>
        </w:tc>
      </w:tr>
      <w:tr w:rsidR="006C686E" w14:paraId="07F09E47" w14:textId="77777777" w:rsidTr="00A66BC8">
        <w:trPr>
          <w:cantSplit/>
          <w:trHeight w:val="5111"/>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1CE6E5A6" w14:textId="77777777" w:rsidR="006C686E" w:rsidRDefault="00B17E8C">
            <w:pPr>
              <w:pStyle w:val="P68B1DB1-Normal10"/>
              <w:spacing w:after="0" w:line="240" w:lineRule="auto"/>
              <w:jc w:val="center"/>
              <w:rPr>
                <w:rFonts w:eastAsia="Times New Roman"/>
                <w:noProof/>
              </w:rPr>
            </w:pPr>
            <w:r>
              <w:rPr>
                <w:noProof/>
              </w:rPr>
              <w:t>18.3</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04DC15" w14:textId="77777777" w:rsidR="006C686E" w:rsidRDefault="00B17E8C">
            <w:pPr>
              <w:pStyle w:val="P68B1DB1-Normal11"/>
              <w:spacing w:after="0" w:line="240" w:lineRule="auto"/>
              <w:jc w:val="center"/>
              <w:rPr>
                <w:rFonts w:eastAsia="Times New Roman"/>
                <w:noProof/>
              </w:rPr>
            </w:pPr>
            <w:r>
              <w:rPr>
                <w:noProof/>
              </w:rPr>
              <w:t>TD-C18-r33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7BF61C"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9D59E7" w14:textId="77777777" w:rsidR="006C686E" w:rsidRDefault="00B17E8C">
            <w:pPr>
              <w:pStyle w:val="P68B1DB1-Normal11"/>
              <w:spacing w:after="0" w:line="240" w:lineRule="auto"/>
              <w:jc w:val="center"/>
              <w:rPr>
                <w:rFonts w:eastAsia="Times New Roman"/>
                <w:noProof/>
              </w:rPr>
            </w:pPr>
            <w:r>
              <w:rPr>
                <w:noProof/>
              </w:rPr>
              <w:t>Entrée en vigueur du cadre juridique révisé en matière d'insolvabilité et de recouvrement</w:t>
            </w:r>
          </w:p>
        </w:tc>
        <w:tc>
          <w:tcPr>
            <w:tcW w:w="1712" w:type="dxa"/>
            <w:tcBorders>
              <w:top w:val="single" w:sz="4" w:space="0" w:color="auto"/>
              <w:left w:val="single" w:sz="4" w:space="0" w:color="auto"/>
              <w:bottom w:val="single" w:sz="4" w:space="0" w:color="auto"/>
              <w:right w:val="single" w:sz="4" w:space="0" w:color="auto"/>
            </w:tcBorders>
            <w:shd w:val="clear" w:color="auto" w:fill="C4EFCE"/>
            <w:vAlign w:val="center"/>
          </w:tcPr>
          <w:p w14:paraId="078EC292" w14:textId="77777777" w:rsidR="006C686E" w:rsidRDefault="00B17E8C">
            <w:pPr>
              <w:pStyle w:val="P68B1DB1-Normal11"/>
              <w:spacing w:after="0" w:line="240" w:lineRule="auto"/>
              <w:jc w:val="center"/>
              <w:rPr>
                <w:rFonts w:eastAsia="Times New Roman"/>
                <w:noProof/>
              </w:rPr>
            </w:pPr>
            <w:r>
              <w:rPr>
                <w:noProof/>
              </w:rPr>
              <w:t>Entrée en vigueur du cadre juridique révisé en matière d'insolvabilité et de recouvrement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CB11BE"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744A11"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4A2FD1"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191CE5" w14:textId="77777777" w:rsidR="006C686E" w:rsidRDefault="00B17E8C">
            <w:pPr>
              <w:pStyle w:val="P68B1DB1-Normal1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767155" w14:textId="77777777" w:rsidR="006C686E" w:rsidRDefault="00B17E8C">
            <w:pPr>
              <w:pStyle w:val="P68B1DB1-Normal11"/>
              <w:spacing w:after="0" w:line="240" w:lineRule="auto"/>
              <w:jc w:val="center"/>
              <w:rPr>
                <w:noProof/>
              </w:rPr>
            </w:pPr>
            <w:r>
              <w:rPr>
                <w:noProof/>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4E69230" w14:textId="5AEE8494" w:rsidR="006C686E" w:rsidRDefault="00B17E8C">
            <w:pPr>
              <w:pStyle w:val="P68B1DB1-Normal11"/>
              <w:spacing w:after="0" w:line="240" w:lineRule="auto"/>
              <w:rPr>
                <w:rFonts w:eastAsia="Times New Roman"/>
                <w:noProof/>
              </w:rPr>
            </w:pPr>
            <w:r>
              <w:rPr>
                <w:noProof/>
              </w:rPr>
              <w:t>Entrée en vigueur du cadre juridique révisé pour l’insolvabilité et le sauvetage des entreprises en vue d’accélérer ces procédures et de les adapter au «numérique par défaut», y compris</w:t>
            </w:r>
            <w:r>
              <w:rPr>
                <w:noProof/>
              </w:rPr>
              <w:br/>
            </w:r>
          </w:p>
          <w:p w14:paraId="1C82F9C8" w14:textId="77777777" w:rsidR="006C686E" w:rsidRDefault="00B17E8C">
            <w:pPr>
              <w:pStyle w:val="P68B1DB1-Normal11"/>
              <w:spacing w:after="0" w:line="240" w:lineRule="auto"/>
              <w:rPr>
                <w:rFonts w:eastAsia="Times New Roman"/>
                <w:noProof/>
              </w:rPr>
            </w:pPr>
            <w:r>
              <w:rPr>
                <w:noProof/>
              </w:rPr>
              <w:t>a) la révision du code de l'insolvabilité afin d'optimiser les procédures d'insolvabilité, en tenant compte également de la mise en place de procédures électroniques;</w:t>
            </w:r>
          </w:p>
          <w:p w14:paraId="67B525ED" w14:textId="77777777" w:rsidR="006C686E" w:rsidRDefault="00B17E8C">
            <w:pPr>
              <w:pStyle w:val="P68B1DB1-Normal11"/>
              <w:spacing w:after="0" w:line="240" w:lineRule="auto"/>
              <w:rPr>
                <w:rFonts w:eastAsia="Times New Roman"/>
                <w:noProof/>
              </w:rPr>
            </w:pPr>
            <w:r>
              <w:rPr>
                <w:noProof/>
              </w:rPr>
              <w:t>b) charger l ' Administrateur de l ' insolvabilité d ' établir un plan de liquidation assorti d ' objectifs assortis d ' échéances pour l ' apurement des actifs constituant la masse de l ' insolvabilité;</w:t>
            </w:r>
          </w:p>
          <w:p w14:paraId="2B7CDEC0" w14:textId="77777777" w:rsidR="006C686E" w:rsidRDefault="00B17E8C">
            <w:pPr>
              <w:pStyle w:val="P68B1DB1-Normal11"/>
              <w:spacing w:after="0" w:line="240" w:lineRule="auto"/>
              <w:rPr>
                <w:rFonts w:eastAsia="Times New Roman"/>
                <w:noProof/>
              </w:rPr>
            </w:pPr>
            <w:r>
              <w:rPr>
                <w:noProof/>
              </w:rPr>
              <w:t>c) la simplification de la procédure d’examen des passifs et de classement des créances dans la procédure d’insolvabilité, en confiant à l’administrateur de l’insolvabilité la responsabilité de soumettre conjointement avec la liste des créances reconnues une proposition de classement, permettant au juge, en cas d’accord et en l’absence de contestation, d’approuver les deux documents, ce qui permet une procédure plus souple;</w:t>
            </w:r>
          </w:p>
          <w:p w14:paraId="707A2392" w14:textId="77777777" w:rsidR="006C686E" w:rsidRDefault="00B17E8C">
            <w:pPr>
              <w:pStyle w:val="P68B1DB1-Normal11"/>
              <w:spacing w:after="0" w:line="240" w:lineRule="auto"/>
              <w:rPr>
                <w:rFonts w:eastAsia="Times New Roman"/>
                <w:noProof/>
              </w:rPr>
            </w:pPr>
            <w:r>
              <w:rPr>
                <w:noProof/>
              </w:rPr>
              <w:t>d) l'institution d'une répartition partielle obligatoire lorsque la masse de l'insolvabilité comprend le produit de la liquidation d'actifs d'une valeur égale ou supérieure à 10 000 EUR, dont la propriété n'est pas contestée et que la procédure n'est pas en mesure de procéder à une répartition définitive;</w:t>
            </w:r>
          </w:p>
          <w:p w14:paraId="18B37E3E" w14:textId="77777777" w:rsidR="006C686E" w:rsidRDefault="00B17E8C">
            <w:pPr>
              <w:pStyle w:val="P68B1DB1-Normal11"/>
              <w:spacing w:after="0" w:line="240" w:lineRule="auto"/>
              <w:rPr>
                <w:rFonts w:eastAsia="Times New Roman"/>
                <w:noProof/>
              </w:rPr>
            </w:pPr>
            <w:r>
              <w:rPr>
                <w:noProof/>
              </w:rPr>
              <w:t xml:space="preserve">e) révision du régime préventif du droit de rétention face à l ' hypothèque (Código Civil); </w:t>
            </w:r>
          </w:p>
          <w:p w14:paraId="38FEE112" w14:textId="0E6D1F48" w:rsidR="006C686E" w:rsidRDefault="00B17E8C">
            <w:pPr>
              <w:pStyle w:val="P68B1DB1-Normal11"/>
              <w:spacing w:after="0" w:line="240" w:lineRule="auto"/>
              <w:rPr>
                <w:rFonts w:eastAsia="Times New Roman"/>
                <w:noProof/>
              </w:rPr>
            </w:pPr>
            <w:r>
              <w:rPr>
                <w:noProof/>
              </w:rPr>
              <w:t>f) la réduction des restrictions à l'exercice de la profession d'administrateur de l'insolvabilité;</w:t>
            </w:r>
          </w:p>
          <w:p w14:paraId="250D537F" w14:textId="77777777" w:rsidR="006C686E" w:rsidRDefault="00B17E8C">
            <w:pPr>
              <w:pStyle w:val="P68B1DB1-Normal11"/>
              <w:spacing w:after="0" w:line="240" w:lineRule="auto"/>
              <w:rPr>
                <w:rFonts w:eastAsia="Times New Roman"/>
                <w:noProof/>
              </w:rPr>
            </w:pPr>
            <w:r>
              <w:rPr>
                <w:noProof/>
              </w:rPr>
              <w:t>g) établir en règle générale le service électronique des personnes morales, en particulier dans les procédures d’insolvabilité;</w:t>
            </w:r>
          </w:p>
          <w:p w14:paraId="0B48EE74" w14:textId="77777777" w:rsidR="006C686E" w:rsidRDefault="00B17E8C">
            <w:pPr>
              <w:pStyle w:val="P68B1DB1-Normal11"/>
              <w:spacing w:after="0" w:line="240" w:lineRule="auto"/>
              <w:rPr>
                <w:rFonts w:eastAsia="Times New Roman"/>
                <w:noProof/>
              </w:rPr>
            </w:pPr>
            <w:r>
              <w:rPr>
                <w:noProof/>
              </w:rPr>
              <w:t>h) la création et le fonctionnement d'au moins une chambre spécialisée dans les juridictions supérieures en matière commerciale.</w:t>
            </w:r>
          </w:p>
        </w:tc>
      </w:tr>
      <w:tr w:rsidR="006C686E" w14:paraId="62CD129C" w14:textId="77777777" w:rsidTr="00A66BC8">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34F4BDDE" w14:textId="77777777" w:rsidR="006C686E" w:rsidRDefault="00B17E8C">
            <w:pPr>
              <w:pStyle w:val="P68B1DB1-Normal10"/>
              <w:spacing w:after="0" w:line="240" w:lineRule="auto"/>
              <w:jc w:val="center"/>
              <w:rPr>
                <w:noProof/>
              </w:rPr>
            </w:pPr>
            <w:r>
              <w:rPr>
                <w:noProof/>
              </w:rPr>
              <w:t>18.10</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24D0B5" w14:textId="77777777" w:rsidR="006C686E" w:rsidRDefault="00B17E8C">
            <w:pPr>
              <w:pStyle w:val="P68B1DB1-Normal11"/>
              <w:spacing w:after="0" w:line="240" w:lineRule="auto"/>
              <w:jc w:val="center"/>
              <w:rPr>
                <w:noProof/>
              </w:rPr>
            </w:pPr>
            <w:r>
              <w:rPr>
                <w:noProof/>
              </w:rPr>
              <w:t>TD-C18-r33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67682D" w14:textId="77777777" w:rsidR="006C686E" w:rsidRDefault="00B17E8C">
            <w:pPr>
              <w:pStyle w:val="P68B1DB1-Normal11"/>
              <w:spacing w:after="0" w:line="240" w:lineRule="auto"/>
              <w:jc w:val="center"/>
              <w:rPr>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45791" w14:textId="77777777" w:rsidR="006C686E" w:rsidRDefault="00B17E8C">
            <w:pPr>
              <w:pStyle w:val="P68B1DB1-Normal11"/>
              <w:spacing w:after="0" w:line="240" w:lineRule="auto"/>
              <w:jc w:val="center"/>
              <w:rPr>
                <w:noProof/>
              </w:rPr>
            </w:pPr>
            <w:r>
              <w:rPr>
                <w:noProof/>
              </w:rPr>
              <w:t>Statuts des greffiers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C7051FB" w14:textId="77777777" w:rsidR="006C686E" w:rsidRDefault="00B17E8C">
            <w:pPr>
              <w:pStyle w:val="P68B1DB1-Normal11"/>
              <w:spacing w:after="0" w:line="240" w:lineRule="auto"/>
              <w:jc w:val="center"/>
              <w:rPr>
                <w:noProof/>
              </w:rPr>
            </w:pPr>
            <w:r>
              <w:rPr>
                <w:noProof/>
              </w:rPr>
              <w:t>Disposition de l’acte juridique indiquant l’entrée en vigueur de l’acte juridique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05F123"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009538"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696673"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8C3334" w14:textId="77777777" w:rsidR="006C686E" w:rsidRDefault="00B17E8C">
            <w:pPr>
              <w:pStyle w:val="P68B1DB1-Normal1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951B2B" w14:textId="77777777" w:rsidR="006C686E" w:rsidRDefault="00B17E8C">
            <w:pPr>
              <w:pStyle w:val="P68B1DB1-Normal11"/>
              <w:spacing w:after="0" w:line="240" w:lineRule="auto"/>
              <w:jc w:val="center"/>
              <w:rPr>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52403330" w14:textId="77777777" w:rsidR="006C686E" w:rsidRDefault="00B17E8C">
            <w:pPr>
              <w:pStyle w:val="P68B1DB1-Normal11"/>
              <w:spacing w:after="0" w:line="240" w:lineRule="auto"/>
              <w:jc w:val="both"/>
              <w:rPr>
                <w:noProof/>
              </w:rPr>
            </w:pPr>
            <w:r>
              <w:rPr>
                <w:noProof/>
              </w:rPr>
              <w:t>Entrée en vigueur des statuts révisés des greffiers. La révision comprend:</w:t>
            </w:r>
          </w:p>
          <w:p w14:paraId="03F887F1" w14:textId="77777777" w:rsidR="006C686E" w:rsidRDefault="00B17E8C">
            <w:pPr>
              <w:pStyle w:val="P68B1DB1-Normal11"/>
              <w:keepNext/>
              <w:numPr>
                <w:ilvl w:val="0"/>
                <w:numId w:val="56"/>
              </w:numPr>
              <w:spacing w:after="0" w:line="240" w:lineRule="auto"/>
              <w:ind w:left="324"/>
              <w:contextualSpacing/>
              <w:jc w:val="both"/>
              <w:rPr>
                <w:rFonts w:eastAsia="Times New Roman"/>
                <w:noProof/>
              </w:rPr>
            </w:pPr>
            <w:r>
              <w:rPr>
                <w:noProof/>
              </w:rPr>
              <w:t>Une carrière multi-catégories;</w:t>
            </w:r>
          </w:p>
          <w:p w14:paraId="7083D14F" w14:textId="4AE132FB" w:rsidR="006C686E" w:rsidRDefault="00B17E8C">
            <w:pPr>
              <w:pStyle w:val="P68B1DB1-Normal11"/>
              <w:keepNext/>
              <w:numPr>
                <w:ilvl w:val="0"/>
                <w:numId w:val="56"/>
              </w:numPr>
              <w:spacing w:after="0" w:line="240" w:lineRule="auto"/>
              <w:ind w:left="324"/>
              <w:contextualSpacing/>
              <w:jc w:val="both"/>
              <w:rPr>
                <w:rFonts w:eastAsia="Times New Roman"/>
                <w:noProof/>
              </w:rPr>
            </w:pPr>
            <w:r>
              <w:rPr>
                <w:noProof/>
              </w:rPr>
              <w:t>Nouveau régime pour le poste de direction;</w:t>
            </w:r>
          </w:p>
          <w:p w14:paraId="0C01BCB6" w14:textId="3C6D9A94" w:rsidR="006C686E" w:rsidRDefault="00B17E8C">
            <w:pPr>
              <w:pStyle w:val="P68B1DB1-Normal13"/>
              <w:keepNext/>
              <w:numPr>
                <w:ilvl w:val="0"/>
                <w:numId w:val="56"/>
              </w:numPr>
              <w:spacing w:after="0" w:line="240" w:lineRule="auto"/>
              <w:ind w:left="324"/>
              <w:contextualSpacing/>
              <w:jc w:val="both"/>
              <w:rPr>
                <w:noProof/>
                <w:kern w:val="0"/>
                <w14:ligatures w14:val="none"/>
              </w:rPr>
            </w:pPr>
            <w:r>
              <w:rPr>
                <w:noProof/>
              </w:rPr>
              <w:t>N</w:t>
            </w:r>
            <w:r>
              <w:rPr>
                <w:noProof/>
                <w:kern w:val="0"/>
                <w14:ligatures w14:val="none"/>
              </w:rPr>
              <w:t xml:space="preserve"> ew tableau de rémunération avec un régime transitoire;</w:t>
            </w:r>
          </w:p>
          <w:p w14:paraId="39B15315" w14:textId="53CFFFF9" w:rsidR="006C686E" w:rsidRDefault="00B17E8C">
            <w:pPr>
              <w:pStyle w:val="P68B1DB1-Normal13"/>
              <w:keepNext/>
              <w:numPr>
                <w:ilvl w:val="0"/>
                <w:numId w:val="56"/>
              </w:numPr>
              <w:spacing w:after="0" w:line="240" w:lineRule="auto"/>
              <w:ind w:left="324"/>
              <w:contextualSpacing/>
              <w:jc w:val="both"/>
              <w:rPr>
                <w:rFonts w:eastAsia="Times New Roman"/>
                <w:noProof/>
                <w:kern w:val="0"/>
                <w14:ligatures w14:val="none"/>
              </w:rPr>
            </w:pPr>
            <w:r>
              <w:rPr>
                <w:noProof/>
                <w:kern w:val="0"/>
                <w14:ligatures w14:val="none"/>
              </w:rPr>
              <w:t>Une nouvelle indemnité de disponibilité</w:t>
            </w:r>
            <w:r>
              <w:rPr>
                <w:noProof/>
              </w:rPr>
              <w:t xml:space="preserve"> applicable aux postes hors gestion.</w:t>
            </w:r>
          </w:p>
        </w:tc>
      </w:tr>
      <w:tr w:rsidR="006C686E" w14:paraId="03685E6C" w14:textId="77777777" w:rsidTr="00A66BC8">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704FDD89" w14:textId="77777777" w:rsidR="006C686E" w:rsidRDefault="00B17E8C">
            <w:pPr>
              <w:pStyle w:val="P68B1DB1-Normal10"/>
              <w:spacing w:after="0" w:line="240" w:lineRule="auto"/>
              <w:jc w:val="center"/>
              <w:rPr>
                <w:rFonts w:eastAsia="Times New Roman"/>
                <w:noProof/>
              </w:rPr>
            </w:pPr>
            <w:r>
              <w:rPr>
                <w:noProof/>
              </w:rPr>
              <w:t>18.4</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F2BC11" w14:textId="77777777" w:rsidR="006C686E" w:rsidRDefault="00B17E8C">
            <w:pPr>
              <w:pStyle w:val="P68B1DB1-Normal11"/>
              <w:spacing w:after="0" w:line="240" w:lineRule="auto"/>
              <w:jc w:val="center"/>
              <w:rPr>
                <w:rFonts w:eastAsia="Times New Roman"/>
                <w:noProof/>
              </w:rPr>
            </w:pPr>
            <w:r>
              <w:rPr>
                <w:noProof/>
              </w:rPr>
              <w:t>TD-C18-r33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25B635"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CC0DE2" w14:textId="0B61074C" w:rsidR="006C686E" w:rsidRDefault="00B17E8C">
            <w:pPr>
              <w:pStyle w:val="P68B1DB1-Normal11"/>
              <w:spacing w:after="0" w:line="240" w:lineRule="auto"/>
              <w:jc w:val="center"/>
              <w:rPr>
                <w:noProof/>
              </w:rPr>
            </w:pPr>
            <w:r>
              <w:rPr>
                <w:noProof/>
              </w:rPr>
              <w:t>Entrée en vigueur d’un acte juridique sur l’élimination des obstacles à l’octroi de licences environnementales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3D700B" w14:textId="77777777" w:rsidR="006C686E" w:rsidRDefault="00B17E8C">
            <w:pPr>
              <w:pStyle w:val="P68B1DB1-Normal11"/>
              <w:spacing w:after="0" w:line="240" w:lineRule="auto"/>
              <w:jc w:val="center"/>
              <w:rPr>
                <w:rFonts w:eastAsia="Times New Roman"/>
                <w:noProof/>
              </w:rPr>
            </w:pPr>
            <w:r>
              <w:rPr>
                <w:noProof/>
              </w:rPr>
              <w:t>Disposition de l’acte juridique indiquant l’entrée en vigueur de l’acte juridique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0020C7"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F63068" w14:textId="77777777" w:rsidR="006C686E" w:rsidRDefault="00B17E8C">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ABF5DF"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046206" w14:textId="77777777" w:rsidR="006C686E" w:rsidRDefault="00B17E8C">
            <w:pPr>
              <w:pStyle w:val="P68B1DB1-Normal11"/>
              <w:spacing w:after="0" w:line="240" w:lineRule="auto"/>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315D3E" w14:textId="77777777" w:rsidR="006C686E" w:rsidRDefault="00B17E8C">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98B519" w14:textId="599CA1F9" w:rsidR="006C686E" w:rsidRDefault="00B17E8C">
            <w:pPr>
              <w:pStyle w:val="P68B1DB1-Normal13"/>
              <w:spacing w:line="240" w:lineRule="auto"/>
              <w:jc w:val="both"/>
              <w:rPr>
                <w:noProof/>
                <w:kern w:val="0"/>
                <w14:ligatures w14:val="none"/>
              </w:rPr>
            </w:pPr>
            <w:r>
              <w:rPr>
                <w:noProof/>
                <w:kern w:val="0"/>
                <w14:ligatures w14:val="none"/>
              </w:rPr>
              <w:t xml:space="preserve">Entrée en vigueur d’un acte juridique sur l’élimination des obstacles à l’octroi de licences environnementales, identifié dans le rapport </w:t>
            </w:r>
            <w:r>
              <w:rPr>
                <w:noProof/>
              </w:rPr>
              <w:t>intitulé «Diagnostic des contraintes dans le domaine de l’octroi de licences environnementales».</w:t>
            </w:r>
          </w:p>
        </w:tc>
      </w:tr>
      <w:tr w:rsidR="006C686E" w14:paraId="0910D394" w14:textId="77777777" w:rsidTr="00A66BC8">
        <w:trPr>
          <w:trHeight w:val="64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5FAFCA5" w14:textId="77777777" w:rsidR="006C686E" w:rsidRDefault="00B17E8C">
            <w:pPr>
              <w:pStyle w:val="P68B1DB1-Normal10"/>
              <w:spacing w:after="0" w:line="240" w:lineRule="auto"/>
              <w:jc w:val="center"/>
              <w:rPr>
                <w:rFonts w:eastAsia="Times New Roman"/>
                <w:noProof/>
                <w:highlight w:val="green"/>
              </w:rPr>
            </w:pPr>
            <w:r>
              <w:rPr>
                <w:noProof/>
              </w:rPr>
              <w:t>18.5</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BB349D" w14:textId="77777777" w:rsidR="006C686E" w:rsidRDefault="00B17E8C">
            <w:pPr>
              <w:pStyle w:val="P68B1DB1-Normal11"/>
              <w:spacing w:after="0" w:line="240" w:lineRule="auto"/>
              <w:jc w:val="center"/>
              <w:rPr>
                <w:rFonts w:eastAsia="Times New Roman"/>
                <w:noProof/>
              </w:rPr>
            </w:pPr>
            <w:r>
              <w:rPr>
                <w:noProof/>
              </w:rPr>
              <w:t>TD-C18-i01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DE2960"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E62682" w14:textId="77777777" w:rsidR="006C686E" w:rsidRDefault="00B17E8C">
            <w:pPr>
              <w:pStyle w:val="P68B1DB1-Normal11"/>
              <w:spacing w:after="0" w:line="240" w:lineRule="auto"/>
              <w:jc w:val="center"/>
              <w:rPr>
                <w:rFonts w:eastAsia="Times New Roman"/>
                <w:noProof/>
              </w:rPr>
            </w:pPr>
            <w:r>
              <w:rPr>
                <w:noProof/>
              </w:rPr>
              <w:t>Système informatique modernisé pour les enquêtes pénales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6032E1" w14:textId="77777777" w:rsidR="006C686E" w:rsidRDefault="00B17E8C">
            <w:pPr>
              <w:pStyle w:val="P68B1DB1-Normal11"/>
              <w:spacing w:after="0" w:line="240" w:lineRule="auto"/>
              <w:jc w:val="center"/>
              <w:rPr>
                <w:rFonts w:eastAsia="Times New Roman"/>
                <w:noProof/>
              </w:rPr>
            </w:pPr>
            <w:r>
              <w:rPr>
                <w:noProof/>
              </w:rPr>
              <w:t>Système informatique modernisé pour les enquêtes pénales en cours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8C998F"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EBE927" w14:textId="77777777" w:rsidR="006C686E" w:rsidRDefault="00B17E8C">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C4DB8"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1E4970"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40D01" w14:textId="77777777" w:rsidR="006C686E" w:rsidRDefault="00B17E8C">
            <w:pPr>
              <w:pStyle w:val="P68B1DB1-Normal11"/>
              <w:spacing w:after="0" w:line="240" w:lineRule="auto"/>
              <w:jc w:val="center"/>
              <w:rPr>
                <w:rFonts w:eastAsia="Times New Roman"/>
                <w:noProof/>
              </w:rPr>
            </w:pPr>
            <w:r>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A3A580" w14:textId="160576E2" w:rsidR="006C686E" w:rsidRDefault="00B17E8C">
            <w:pPr>
              <w:pStyle w:val="P68B1DB1-Normal11"/>
              <w:spacing w:after="0" w:line="240" w:lineRule="auto"/>
              <w:jc w:val="both"/>
              <w:rPr>
                <w:rFonts w:eastAsia="Times New Roman"/>
                <w:noProof/>
              </w:rPr>
            </w:pPr>
            <w:r>
              <w:rPr>
                <w:noProof/>
              </w:rPr>
              <w:t>Mise en service d'un système informatique modernisé pour les enquêtes pénales. La modernisation comprend la mise en œuvre d’interfaces et la mise à niveau des systèmes d’interception, ainsi que la garantie de l’interopérabilité avec les homologues européens et internationaux.</w:t>
            </w:r>
          </w:p>
        </w:tc>
      </w:tr>
      <w:tr w:rsidR="006C686E" w14:paraId="6FAD1055" w14:textId="77777777" w:rsidTr="00A66BC8">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65919175" w14:textId="77777777" w:rsidR="006C686E" w:rsidRDefault="00B17E8C">
            <w:pPr>
              <w:pStyle w:val="P68B1DB1-Normal10"/>
              <w:spacing w:after="0" w:line="240" w:lineRule="auto"/>
              <w:jc w:val="center"/>
              <w:rPr>
                <w:rFonts w:eastAsia="Times New Roman"/>
                <w:noProof/>
                <w:highlight w:val="green"/>
              </w:rPr>
            </w:pPr>
            <w:r>
              <w:rPr>
                <w:noProof/>
              </w:rPr>
              <w:t>18.6</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6144A" w14:textId="77777777" w:rsidR="006C686E" w:rsidRDefault="00B17E8C">
            <w:pPr>
              <w:pStyle w:val="P68B1DB1-Normal11"/>
              <w:spacing w:after="0" w:line="240" w:lineRule="auto"/>
              <w:jc w:val="center"/>
              <w:rPr>
                <w:rFonts w:eastAsia="Times New Roman"/>
                <w:noProof/>
              </w:rPr>
            </w:pPr>
            <w:r>
              <w:rPr>
                <w:noProof/>
              </w:rPr>
              <w:t>TD-C18-i01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C52C1B"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39DDC0" w14:textId="77777777" w:rsidR="006C686E" w:rsidRDefault="00B17E8C">
            <w:pPr>
              <w:pStyle w:val="P68B1DB1-Normal11"/>
              <w:spacing w:after="0" w:line="240" w:lineRule="auto"/>
              <w:jc w:val="center"/>
              <w:rPr>
                <w:rFonts w:eastAsia="Times New Roman"/>
                <w:noProof/>
              </w:rPr>
            </w:pPr>
            <w:r>
              <w:rPr>
                <w:noProof/>
              </w:rPr>
              <w:t>Système d'information "Entreprise 2.0"</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FCF5B4" w14:textId="77777777" w:rsidR="006C686E" w:rsidRDefault="00B17E8C">
            <w:pPr>
              <w:pStyle w:val="P68B1DB1-Normal11"/>
              <w:spacing w:after="0" w:line="240" w:lineRule="auto"/>
              <w:jc w:val="center"/>
              <w:rPr>
                <w:rFonts w:eastAsia="Times New Roman"/>
                <w:noProof/>
              </w:rPr>
            </w:pPr>
            <w:r>
              <w:rPr>
                <w:noProof/>
              </w:rPr>
              <w:t>Système d’information «Entreprise 2.0» en fonctionnement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6AC3E5"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EA094D" w14:textId="77777777" w:rsidR="006C686E" w:rsidRDefault="00B17E8C">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739209"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B62C8D" w14:textId="77777777" w:rsidR="006C686E" w:rsidRDefault="00B17E8C">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D7E96D" w14:textId="77777777" w:rsidR="006C686E" w:rsidRDefault="00B17E8C">
            <w:pPr>
              <w:pStyle w:val="P68B1DB1-Normal11"/>
              <w:spacing w:after="0" w:line="240" w:lineRule="auto"/>
              <w:jc w:val="center"/>
              <w:rPr>
                <w:rFonts w:eastAsia="Times New Roman"/>
                <w:noProof/>
              </w:rPr>
            </w:pPr>
            <w:r>
              <w:rPr>
                <w:noProof/>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22CA06" w14:textId="77777777" w:rsidR="006C686E" w:rsidRDefault="00B17E8C">
            <w:pPr>
              <w:pStyle w:val="P68B1DB1-Normal11"/>
              <w:spacing w:after="0" w:line="240" w:lineRule="auto"/>
              <w:jc w:val="both"/>
              <w:rPr>
                <w:rFonts w:eastAsia="Times New Roman"/>
                <w:noProof/>
              </w:rPr>
            </w:pPr>
            <w:r>
              <w:rPr>
                <w:noProof/>
              </w:rPr>
              <w:t>Mise en service du système d’information «Entreprise 2.0», qui est une nouvelle plateforme qui comprend des informations sur le cycle de vie des entreprises (création, gestion et résiliation).</w:t>
            </w:r>
          </w:p>
        </w:tc>
      </w:tr>
      <w:tr w:rsidR="006C686E" w14:paraId="0EABC0B4" w14:textId="77777777" w:rsidTr="00A66BC8">
        <w:trPr>
          <w:trHeight w:val="1292"/>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D588A02" w14:textId="77777777" w:rsidR="006C686E" w:rsidRDefault="00B17E8C">
            <w:pPr>
              <w:pStyle w:val="P68B1DB1-Normal10"/>
              <w:spacing w:after="0" w:line="240" w:lineRule="auto"/>
              <w:jc w:val="center"/>
              <w:rPr>
                <w:rFonts w:eastAsia="Times New Roman"/>
                <w:noProof/>
              </w:rPr>
            </w:pPr>
            <w:r>
              <w:rPr>
                <w:noProof/>
              </w:rPr>
              <w:t>18.7</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B355C1" w14:textId="77777777" w:rsidR="006C686E" w:rsidRDefault="00B17E8C">
            <w:pPr>
              <w:pStyle w:val="P68B1DB1-Normal11"/>
              <w:spacing w:after="0" w:line="240" w:lineRule="auto"/>
              <w:jc w:val="center"/>
              <w:rPr>
                <w:rFonts w:eastAsia="Times New Roman"/>
                <w:noProof/>
              </w:rPr>
            </w:pPr>
            <w:r>
              <w:rPr>
                <w:noProof/>
              </w:rPr>
              <w:t>TD-C18-i01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ED9D97"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C3607A" w14:textId="19F77C8A" w:rsidR="006C686E" w:rsidRDefault="00B17E8C">
            <w:pPr>
              <w:pStyle w:val="P68B1DB1-Normal13"/>
              <w:spacing w:after="0" w:line="240" w:lineRule="auto"/>
              <w:jc w:val="center"/>
              <w:rPr>
                <w:noProof/>
                <w:kern w:val="0"/>
                <w14:ligatures w14:val="none"/>
              </w:rPr>
            </w:pPr>
            <w:r>
              <w:rPr>
                <w:noProof/>
                <w:kern w:val="0"/>
                <w14:ligatures w14:val="none"/>
              </w:rPr>
              <w:t xml:space="preserve">Système d'information </w:t>
            </w:r>
            <w:r>
              <w:rPr>
                <w:noProof/>
              </w:rPr>
              <w:t>pour le traitement électronique des procédures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591220" w14:textId="2D13A3B3" w:rsidR="006C686E" w:rsidRDefault="00B17E8C">
            <w:pPr>
              <w:pStyle w:val="P68B1DB1-Normal13"/>
              <w:spacing w:after="0" w:line="240" w:lineRule="auto"/>
              <w:jc w:val="center"/>
              <w:rPr>
                <w:noProof/>
              </w:rPr>
            </w:pPr>
            <w:r>
              <w:rPr>
                <w:noProof/>
              </w:rPr>
              <w:t>Certificats de travail pour les</w:t>
            </w:r>
            <w:r>
              <w:rPr>
                <w:noProof/>
                <w:kern w:val="0"/>
                <w14:ligatures w14:val="none"/>
              </w:rPr>
              <w:t xml:space="preserve"> systèmes de formation pour </w:t>
            </w:r>
            <w:r>
              <w:rPr>
                <w:noProof/>
              </w:rPr>
              <w:t>le traitement électronique des procédures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190C18"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F1F6F2" w14:textId="77777777" w:rsidR="006C686E" w:rsidRDefault="00B17E8C">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9B7010"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2700F6"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CAD78" w14:textId="77777777" w:rsidR="006C686E" w:rsidRDefault="00B17E8C">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778EBE" w14:textId="449608ED" w:rsidR="006C686E" w:rsidRDefault="00B17E8C">
            <w:pPr>
              <w:pStyle w:val="P68B1DB1-Normal13"/>
              <w:spacing w:after="0" w:line="240" w:lineRule="auto"/>
              <w:jc w:val="both"/>
              <w:rPr>
                <w:rFonts w:eastAsia="Times New Roman"/>
                <w:noProof/>
                <w:kern w:val="0"/>
                <w14:ligatures w14:val="none"/>
              </w:rPr>
            </w:pPr>
            <w:r>
              <w:rPr>
                <w:noProof/>
              </w:rPr>
              <w:t>Certificats de travail pour</w:t>
            </w:r>
            <w:r>
              <w:rPr>
                <w:noProof/>
                <w:kern w:val="0"/>
                <w14:ligatures w14:val="none"/>
              </w:rPr>
              <w:t xml:space="preserve"> le </w:t>
            </w:r>
            <w:r>
              <w:rPr>
                <w:noProof/>
              </w:rPr>
              <w:t xml:space="preserve"> </w:t>
            </w:r>
            <w:r>
              <w:rPr>
                <w:noProof/>
                <w:kern w:val="0"/>
                <w14:ligatures w14:val="none"/>
              </w:rPr>
              <w:t>système</w:t>
            </w:r>
            <w:r>
              <w:rPr>
                <w:noProof/>
              </w:rPr>
              <w:t xml:space="preserve"> d’information pour le traitement électronique des procédures par les juges (Magistratus) et les procureurs (MP</w:t>
            </w:r>
            <w:r>
              <w:rPr>
                <w:i/>
                <w:noProof/>
              </w:rPr>
              <w:t xml:space="preserve"> Codex)</w:t>
            </w:r>
            <w:r>
              <w:rPr>
                <w:noProof/>
              </w:rPr>
              <w:t>.</w:t>
            </w:r>
          </w:p>
        </w:tc>
      </w:tr>
      <w:tr w:rsidR="006C686E" w14:paraId="3616CB70" w14:textId="77777777" w:rsidTr="00A66BC8">
        <w:trPr>
          <w:trHeight w:val="42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6E0C7D46" w14:textId="77777777" w:rsidR="006C686E" w:rsidRDefault="00B17E8C">
            <w:pPr>
              <w:pStyle w:val="P68B1DB1-Normal10"/>
              <w:spacing w:after="0" w:line="240" w:lineRule="auto"/>
              <w:jc w:val="center"/>
              <w:rPr>
                <w:rFonts w:eastAsia="Times New Roman"/>
                <w:noProof/>
              </w:rPr>
            </w:pPr>
            <w:r>
              <w:rPr>
                <w:noProof/>
              </w:rPr>
              <w:t>18.8</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2ED5FF" w14:textId="77777777" w:rsidR="006C686E" w:rsidRDefault="00B17E8C">
            <w:pPr>
              <w:pStyle w:val="P68B1DB1-Normal11"/>
              <w:spacing w:after="0" w:line="240" w:lineRule="auto"/>
              <w:jc w:val="center"/>
              <w:rPr>
                <w:rFonts w:eastAsia="Times New Roman"/>
                <w:noProof/>
              </w:rPr>
            </w:pPr>
            <w:r>
              <w:rPr>
                <w:noProof/>
              </w:rPr>
              <w:t>TD-C18-i01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D4834F"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BE484A" w14:textId="261FF278" w:rsidR="006C686E" w:rsidRDefault="00B17E8C">
            <w:pPr>
              <w:pStyle w:val="P68B1DB1-Normal11"/>
              <w:spacing w:after="0" w:line="240" w:lineRule="auto"/>
              <w:jc w:val="center"/>
              <w:rPr>
                <w:rFonts w:eastAsia="Times New Roman"/>
                <w:noProof/>
              </w:rPr>
            </w:pPr>
            <w:r>
              <w:rPr>
                <w:noProof/>
              </w:rPr>
              <w:t>Livraison de matériel ou de logiciels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E80982" w14:textId="616A25F2" w:rsidR="006C686E" w:rsidRDefault="00B17E8C">
            <w:pPr>
              <w:pStyle w:val="P68B1DB1-Normal11"/>
              <w:spacing w:after="0" w:line="240" w:lineRule="auto"/>
              <w:jc w:val="center"/>
              <w:rPr>
                <w:rFonts w:eastAsia="Times New Roman"/>
                <w:noProof/>
              </w:rPr>
            </w:pPr>
            <w:r>
              <w:rPr>
                <w:noProof/>
              </w:rPr>
              <w:t>Livraison de matériel ou de logiciels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C1BD22"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819366" w14:textId="77777777" w:rsidR="006C686E" w:rsidRDefault="00B17E8C">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0085EC"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1E8EB7" w14:textId="6BFD6824"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55F679" w14:textId="63650A95" w:rsidR="006C686E" w:rsidRDefault="00B17E8C">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7EC0EA" w14:textId="77777777" w:rsidR="006C686E" w:rsidRDefault="00B17E8C">
            <w:pPr>
              <w:pStyle w:val="P68B1DB1-Normal13"/>
              <w:spacing w:after="0" w:line="240" w:lineRule="auto"/>
              <w:jc w:val="both"/>
              <w:rPr>
                <w:noProof/>
              </w:rPr>
            </w:pPr>
            <w:r>
              <w:rPr>
                <w:noProof/>
              </w:rPr>
              <w:t xml:space="preserve">Livraison de: </w:t>
            </w:r>
          </w:p>
          <w:p w14:paraId="25BBBF87" w14:textId="7D19E0A2" w:rsidR="006C686E" w:rsidRDefault="00B17E8C">
            <w:pPr>
              <w:pStyle w:val="P68B1DB1-Normal13"/>
              <w:spacing w:after="0" w:line="240" w:lineRule="auto"/>
              <w:jc w:val="both"/>
              <w:rPr>
                <w:noProof/>
              </w:rPr>
            </w:pPr>
            <w:r>
              <w:rPr>
                <w:noProof/>
              </w:rPr>
              <w:t xml:space="preserve">a) Continuité du service et centre de reprise après sinistre, solution d'infrastructure en tant que service (IaaS), solution de sauvegarde et solution de protection et d'archivage des données; </w:t>
            </w:r>
          </w:p>
          <w:p w14:paraId="2EAF74E3" w14:textId="77777777" w:rsidR="006C686E" w:rsidRDefault="00B17E8C">
            <w:pPr>
              <w:pStyle w:val="P68B1DB1-Normal13"/>
              <w:spacing w:after="0" w:line="240" w:lineRule="auto"/>
              <w:jc w:val="both"/>
              <w:rPr>
                <w:noProof/>
              </w:rPr>
            </w:pPr>
            <w:r>
              <w:rPr>
                <w:noProof/>
              </w:rPr>
              <w:t>b) Solution de gestion des identités et des accès, solution de gestion des privilèges des points de terminaison, solution d'authentification multifacteurs et solution de gestion des accès privilégiés;</w:t>
            </w:r>
          </w:p>
          <w:p w14:paraId="3E574C4C" w14:textId="1C23EFF3" w:rsidR="006C686E" w:rsidRDefault="00B17E8C">
            <w:pPr>
              <w:pStyle w:val="P68B1DB1-Normal13"/>
              <w:spacing w:after="0" w:line="240" w:lineRule="auto"/>
              <w:jc w:val="both"/>
              <w:rPr>
                <w:rFonts w:eastAsia="Times New Roman"/>
                <w:noProof/>
                <w:kern w:val="0"/>
                <w14:ligatures w14:val="none"/>
              </w:rPr>
            </w:pPr>
            <w:r>
              <w:rPr>
                <w:noProof/>
              </w:rPr>
              <w:t>c) Plate-forme pour la récupération et la gestion des actifs judiciaires.</w:t>
            </w:r>
          </w:p>
        </w:tc>
      </w:tr>
      <w:tr w:rsidR="006C686E" w14:paraId="60EDE66C" w14:textId="77777777" w:rsidTr="00A66BC8">
        <w:trPr>
          <w:trHeight w:val="30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23875AA3" w14:textId="77777777" w:rsidR="006C686E" w:rsidRDefault="00B17E8C">
            <w:pPr>
              <w:pStyle w:val="P68B1DB1-Normal10"/>
              <w:spacing w:after="0" w:line="240" w:lineRule="auto"/>
              <w:jc w:val="center"/>
              <w:rPr>
                <w:rFonts w:eastAsia="Times New Roman"/>
                <w:noProof/>
              </w:rPr>
            </w:pPr>
            <w:r>
              <w:rPr>
                <w:noProof/>
              </w:rPr>
              <w:t>18.9</w:t>
            </w:r>
          </w:p>
        </w:tc>
        <w:tc>
          <w:tcPr>
            <w:tcW w:w="142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ACD59E" w14:textId="77777777" w:rsidR="006C686E" w:rsidRDefault="00B17E8C">
            <w:pPr>
              <w:pStyle w:val="P68B1DB1-Normal11"/>
              <w:spacing w:after="0" w:line="240" w:lineRule="auto"/>
              <w:jc w:val="center"/>
              <w:rPr>
                <w:rFonts w:eastAsia="Times New Roman"/>
                <w:noProof/>
              </w:rPr>
            </w:pPr>
            <w:r>
              <w:rPr>
                <w:noProof/>
              </w:rPr>
              <w:t>TD-C18-i01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8BBCED" w14:textId="77777777" w:rsidR="006C686E" w:rsidRDefault="00B17E8C">
            <w:pPr>
              <w:pStyle w:val="P68B1DB1-Normal11"/>
              <w:spacing w:after="0" w:line="240" w:lineRule="auto"/>
              <w:jc w:val="center"/>
              <w:rPr>
                <w:rFonts w:eastAsia="Times New Roman"/>
                <w:noProof/>
              </w:rPr>
            </w:pPr>
            <w:r>
              <w:rPr>
                <w:noProof/>
              </w:rPr>
              <w:t>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BC895" w14:textId="42A7D578" w:rsidR="006C686E" w:rsidRDefault="00B17E8C">
            <w:pPr>
              <w:pStyle w:val="P68B1DB1-Normal11"/>
              <w:spacing w:after="0" w:line="240" w:lineRule="auto"/>
              <w:jc w:val="center"/>
              <w:rPr>
                <w:rFonts w:eastAsia="Times New Roman"/>
                <w:noProof/>
              </w:rPr>
            </w:pPr>
            <w:r>
              <w:rPr>
                <w:noProof/>
              </w:rPr>
              <w:t>Plateformes pour les services de soutien partagés, les statistiques, la gestion de l'information et les données ouvertes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AAD8F7" w14:textId="2690F4E0" w:rsidR="006C686E" w:rsidRDefault="00B17E8C">
            <w:pPr>
              <w:pStyle w:val="P68B1DB1-Normal11"/>
              <w:spacing w:after="0" w:line="240" w:lineRule="auto"/>
              <w:jc w:val="center"/>
              <w:rPr>
                <w:rFonts w:eastAsia="Times New Roman"/>
                <w:noProof/>
              </w:rPr>
            </w:pPr>
            <w:r>
              <w:rPr>
                <w:noProof/>
              </w:rPr>
              <w:t xml:space="preserve">Livraison ou disponibilité des plateformes </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525798"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F73039" w14:textId="77777777" w:rsidR="006C686E" w:rsidRDefault="00B17E8C">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01B18D"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056CEE" w14:textId="77777777" w:rsidR="006C686E" w:rsidRDefault="00B17E8C">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309FEE" w14:textId="77777777" w:rsidR="006C686E" w:rsidRDefault="00B17E8C">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745384" w14:textId="42A052CE"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Livraison </w:t>
            </w:r>
            <w:r>
              <w:rPr>
                <w:noProof/>
              </w:rPr>
              <w:t xml:space="preserve">ou disponibilité </w:t>
            </w:r>
            <w:r>
              <w:rPr>
                <w:noProof/>
                <w:kern w:val="0"/>
                <w14:ligatures w14:val="none"/>
              </w:rPr>
              <w:t>de plateformes</w:t>
            </w:r>
            <w:r>
              <w:rPr>
                <w:noProof/>
              </w:rPr>
              <w:t xml:space="preserve"> pour:</w:t>
            </w:r>
            <w:r>
              <w:rPr>
                <w:noProof/>
                <w:kern w:val="0"/>
                <w14:ligatures w14:val="none"/>
              </w:rPr>
              <w:t xml:space="preserve"> </w:t>
            </w:r>
          </w:p>
          <w:p w14:paraId="60B4BF80" w14:textId="6443ADC3" w:rsidR="006C686E" w:rsidRDefault="00B17E8C">
            <w:pPr>
              <w:pStyle w:val="P68B1DB1-Normal11"/>
              <w:spacing w:after="0" w:line="240" w:lineRule="auto"/>
              <w:jc w:val="both"/>
              <w:rPr>
                <w:rFonts w:eastAsia="Times New Roman"/>
                <w:noProof/>
              </w:rPr>
            </w:pPr>
            <w:r>
              <w:rPr>
                <w:noProof/>
              </w:rPr>
              <w:t>a) Services de soutien partagés;</w:t>
            </w:r>
          </w:p>
          <w:p w14:paraId="11237575" w14:textId="49E87323"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b) </w:t>
            </w:r>
            <w:r>
              <w:rPr>
                <w:noProof/>
              </w:rPr>
              <w:t>S</w:t>
            </w:r>
            <w:r>
              <w:rPr>
                <w:noProof/>
                <w:kern w:val="0"/>
                <w14:ligatures w14:val="none"/>
              </w:rPr>
              <w:t xml:space="preserve"> tatistique ;</w:t>
            </w:r>
          </w:p>
          <w:p w14:paraId="6F485149" w14:textId="2794994C" w:rsidR="006C686E" w:rsidRDefault="00B17E8C">
            <w:pPr>
              <w:pStyle w:val="P68B1DB1-Normal13"/>
              <w:spacing w:after="0" w:line="240" w:lineRule="auto"/>
              <w:jc w:val="both"/>
              <w:rPr>
                <w:rFonts w:eastAsia="Times New Roman"/>
                <w:noProof/>
              </w:rPr>
            </w:pPr>
            <w:r>
              <w:rPr>
                <w:noProof/>
                <w:kern w:val="0"/>
                <w14:ligatures w14:val="none"/>
              </w:rPr>
              <w:t>c) gestion de l'information;</w:t>
            </w:r>
            <w:r>
              <w:rPr>
                <w:noProof/>
              </w:rPr>
              <w:t xml:space="preserve"> et</w:t>
            </w:r>
          </w:p>
          <w:p w14:paraId="185DC8D2" w14:textId="567E7178" w:rsidR="006C686E" w:rsidRDefault="00B17E8C">
            <w:pPr>
              <w:pStyle w:val="P68B1DB1-Normal13"/>
              <w:spacing w:after="0" w:line="240" w:lineRule="auto"/>
              <w:jc w:val="both"/>
              <w:rPr>
                <w:noProof/>
                <w:kern w:val="0"/>
                <w14:ligatures w14:val="none"/>
              </w:rPr>
            </w:pPr>
            <w:r>
              <w:rPr>
                <w:noProof/>
              </w:rPr>
              <w:t>d) Données ouvertes.</w:t>
            </w:r>
          </w:p>
        </w:tc>
      </w:tr>
    </w:tbl>
    <w:p w14:paraId="21AD97AD" w14:textId="77777777" w:rsidR="006C686E" w:rsidRDefault="006C686E">
      <w:pPr>
        <w:keepNext/>
        <w:spacing w:before="40" w:after="0"/>
        <w:jc w:val="both"/>
        <w:rPr>
          <w:rFonts w:ascii="Times New Roman" w:eastAsia="Times New Roman" w:hAnsi="Times New Roman" w:cs="Times New Roman"/>
          <w:noProof/>
          <w:kern w:val="0"/>
          <w:szCs w:val="26"/>
          <w14:ligatures w14:val="none"/>
        </w:rPr>
      </w:pPr>
    </w:p>
    <w:p w14:paraId="1BA0848B" w14:textId="77777777" w:rsidR="006C686E" w:rsidRDefault="006C686E">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6C686E" w:rsidSect="00C95E00">
          <w:headerReference w:type="even" r:id="rId334"/>
          <w:headerReference w:type="default" r:id="rId335"/>
          <w:footerReference w:type="even" r:id="rId336"/>
          <w:footerReference w:type="default" r:id="rId337"/>
          <w:headerReference w:type="first" r:id="rId338"/>
          <w:footerReference w:type="first" r:id="rId339"/>
          <w:pgSz w:w="16839" w:h="11907" w:orient="landscape"/>
          <w:pgMar w:top="1134" w:right="1134" w:bottom="1134" w:left="1134" w:header="567" w:footer="567" w:gutter="0"/>
          <w:cols w:space="720"/>
          <w:docGrid w:linePitch="360"/>
        </w:sectPr>
      </w:pPr>
    </w:p>
    <w:p w14:paraId="780980EA" w14:textId="77777777" w:rsidR="006C686E" w:rsidRDefault="00B17E8C">
      <w:pPr>
        <w:pStyle w:val="P68B1DB1-Normal1"/>
        <w:keepNext/>
        <w:spacing w:before="40" w:after="0"/>
        <w:ind w:left="130" w:firstLine="720"/>
        <w:jc w:val="both"/>
        <w:outlineLvl w:val="1"/>
        <w:rPr>
          <w:rFonts w:eastAsia="Times New Roman"/>
          <w:noProof/>
        </w:rPr>
      </w:pPr>
      <w:r>
        <w:rPr>
          <w:noProof/>
        </w:rPr>
        <w:t>S. Élément 19: Administration publique numérique</w:t>
      </w:r>
    </w:p>
    <w:p w14:paraId="1FA38898" w14:textId="77777777" w:rsidR="006C686E" w:rsidRDefault="00B17E8C">
      <w:pPr>
        <w:pStyle w:val="P68B1DB1-Normal4"/>
        <w:keepNext/>
        <w:spacing w:before="40" w:after="0"/>
        <w:jc w:val="both"/>
        <w:rPr>
          <w:rFonts w:eastAsia="Times New Roman"/>
          <w:noProof/>
        </w:rPr>
      </w:pPr>
      <w:r>
        <w:rPr>
          <w:noProof/>
        </w:rPr>
        <w:t>Ce volet du plan portugais pour la reprise et la résilience répond au défi de la nécessité de fournir des services publics de meilleure qualité, plus simples et plus numériques. Si le Portugal est bien placé en ce qui concerne la fourniture de services numériques, la fragmentation et la duplication des exigences restent des obstacles majeurs à une administration publique efficace et axée sur le client. Ce volet vise à relever ces défis.</w:t>
      </w:r>
    </w:p>
    <w:p w14:paraId="5FBC0529" w14:textId="77777777" w:rsidR="006C686E" w:rsidRDefault="00B17E8C">
      <w:pPr>
        <w:pStyle w:val="P68B1DB1-Normal4"/>
        <w:keepNext/>
        <w:spacing w:before="40" w:after="0"/>
        <w:jc w:val="both"/>
        <w:rPr>
          <w:rFonts w:eastAsia="Times New Roman"/>
          <w:noProof/>
        </w:rPr>
      </w:pPr>
      <w:r>
        <w:rPr>
          <w:noProof/>
        </w:rPr>
        <w:t xml:space="preserve">Le volet vise à améliorer le service public, en encourageant l’utilisation de solutions technologiques et en renforçant la proximité pour un accès plus simple, sûr, efficace et efficient pour les citoyens et les entreprises, en réduisant les coûts contextuels. En outre, il vise à promouvoir l’efficacité, la modernisation, l’innovation et l’autonomisation de l’administration publique, à renforcer sa résilience, à améliorer les compétences des fonctionnaires et à renforcer la contribution de l’État et de l’administration publique à la croissance et au développement économiques et sociaux. </w:t>
      </w:r>
    </w:p>
    <w:p w14:paraId="4B1EDCD8" w14:textId="77777777" w:rsidR="006C686E" w:rsidRDefault="00B17E8C">
      <w:pPr>
        <w:pStyle w:val="P68B1DB1-Normal4"/>
        <w:keepNext/>
        <w:spacing w:before="40" w:after="0"/>
        <w:jc w:val="both"/>
        <w:rPr>
          <w:rFonts w:eastAsia="Times New Roman"/>
          <w:noProof/>
        </w:rPr>
      </w:pPr>
      <w:r>
        <w:rPr>
          <w:noProof/>
        </w:rPr>
        <w:t xml:space="preserve">Cette composante est centrée sur la mise en œuvre du paradigme «numérique par définition» et du principe «une fois pour toutes» dans l’administration publique portugaise, tout en investissant dans le perfectionnement professionnel de la main-d’œuvre. </w:t>
      </w:r>
    </w:p>
    <w:p w14:paraId="7A0B3A55" w14:textId="77777777" w:rsidR="006C686E" w:rsidRDefault="00B17E8C">
      <w:pPr>
        <w:pStyle w:val="P68B1DB1-Normal4"/>
        <w:keepNext/>
        <w:spacing w:before="40" w:after="0"/>
        <w:jc w:val="both"/>
        <w:rPr>
          <w:rFonts w:eastAsia="Times New Roman"/>
          <w:noProof/>
        </w:rPr>
      </w:pPr>
      <w:r>
        <w:rPr>
          <w:noProof/>
        </w:rPr>
        <w:t xml:space="preserve">Ce volet contribue à la mise en œuvre des recommandations par pays concernant: </w:t>
      </w:r>
    </w:p>
    <w:p w14:paraId="1BC9D65A" w14:textId="77777777" w:rsidR="006C686E" w:rsidRDefault="00B17E8C">
      <w:pPr>
        <w:pStyle w:val="P68B1DB1-Normal4"/>
        <w:keepNext/>
        <w:numPr>
          <w:ilvl w:val="0"/>
          <w:numId w:val="57"/>
        </w:numPr>
        <w:spacing w:before="40" w:after="0" w:line="276" w:lineRule="auto"/>
        <w:jc w:val="both"/>
        <w:rPr>
          <w:rFonts w:eastAsia="Times New Roman"/>
          <w:noProof/>
        </w:rPr>
      </w:pPr>
      <w:r>
        <w:rPr>
          <w:noProof/>
        </w:rPr>
        <w:t xml:space="preserve">donner la priorité aux dépenses propices à la croissance (recommandations par pays no 1 de 2019 et 2020), en tirant parti des gains d’efficacité découlant de la numérisation; </w:t>
      </w:r>
    </w:p>
    <w:p w14:paraId="2930FDC2" w14:textId="77777777" w:rsidR="006C686E" w:rsidRDefault="00B17E8C">
      <w:pPr>
        <w:pStyle w:val="P68B1DB1-Normal4"/>
        <w:keepNext/>
        <w:numPr>
          <w:ilvl w:val="0"/>
          <w:numId w:val="57"/>
        </w:numPr>
        <w:spacing w:before="40" w:after="0" w:line="276" w:lineRule="auto"/>
        <w:jc w:val="both"/>
        <w:rPr>
          <w:rFonts w:eastAsia="Times New Roman"/>
          <w:noProof/>
        </w:rPr>
      </w:pPr>
      <w:r>
        <w:rPr>
          <w:noProof/>
        </w:rPr>
        <w:t>améliorer le niveau de compétences de la population (recommandation par pays no 2 de 2019) en ce qui concerne la fonction publique;</w:t>
      </w:r>
    </w:p>
    <w:p w14:paraId="5783C4C1" w14:textId="77777777" w:rsidR="006C686E" w:rsidRDefault="00B17E8C">
      <w:pPr>
        <w:pStyle w:val="P68B1DB1-Normal4"/>
        <w:keepNext/>
        <w:numPr>
          <w:ilvl w:val="0"/>
          <w:numId w:val="57"/>
        </w:numPr>
        <w:spacing w:before="40" w:after="0" w:line="276" w:lineRule="auto"/>
        <w:jc w:val="both"/>
        <w:rPr>
          <w:rFonts w:eastAsia="Times New Roman"/>
          <w:noProof/>
        </w:rPr>
      </w:pPr>
      <w:r>
        <w:rPr>
          <w:noProof/>
        </w:rPr>
        <w:t xml:space="preserve">concentrer les investissements sur la transition numérique (recommandation par pays no 3 de 2020), en investissant dans des systèmes d’administration publique transversaux et sectoriels; et </w:t>
      </w:r>
    </w:p>
    <w:p w14:paraId="752012AD" w14:textId="77777777" w:rsidR="006C686E" w:rsidRDefault="00B17E8C">
      <w:pPr>
        <w:pStyle w:val="P68B1DB1-Normal4"/>
        <w:keepNext/>
        <w:numPr>
          <w:ilvl w:val="0"/>
          <w:numId w:val="57"/>
        </w:numPr>
        <w:spacing w:before="40" w:after="0" w:line="276" w:lineRule="auto"/>
        <w:jc w:val="both"/>
        <w:rPr>
          <w:rFonts w:eastAsia="Times New Roman"/>
          <w:noProof/>
        </w:rPr>
      </w:pPr>
      <w:r>
        <w:rPr>
          <w:noProof/>
        </w:rPr>
        <w:t xml:space="preserve">réduire la charge réglementaire et administrative pesant sur les entreprises (recommandation par pays no 4 de 2019) en simplifiant et en rendant plus efficaces les relations entre les entreprises et les pouvoirs publics, notamment par la mise en œuvre du principe «une fois pour toutes». </w:t>
      </w:r>
    </w:p>
    <w:p w14:paraId="6A796CA2" w14:textId="77777777" w:rsidR="006C686E" w:rsidRDefault="00B17E8C">
      <w:pPr>
        <w:pStyle w:val="P68B1DB1-Normal4"/>
        <w:keepNext/>
        <w:spacing w:before="40" w:after="120"/>
        <w:jc w:val="both"/>
        <w:rPr>
          <w:rFonts w:eastAsia="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4F8F2047" w14:textId="77777777" w:rsidR="006C686E" w:rsidRDefault="00B17E8C">
      <w:pPr>
        <w:pStyle w:val="P68B1DB1-Normal1"/>
        <w:keepNext/>
        <w:spacing w:before="40" w:after="120"/>
        <w:ind w:left="130" w:firstLine="720"/>
        <w:jc w:val="both"/>
        <w:outlineLvl w:val="1"/>
        <w:rPr>
          <w:rFonts w:eastAsia="Times New Roman"/>
          <w:noProof/>
        </w:rPr>
      </w:pPr>
      <w:r>
        <w:rPr>
          <w:noProof/>
        </w:rPr>
        <w:t>S.1. Description des réformes et des investissements pour le soutien financier non remboursable</w:t>
      </w:r>
    </w:p>
    <w:p w14:paraId="40D62AAB" w14:textId="77777777" w:rsidR="006C686E" w:rsidRDefault="00B17E8C">
      <w:pPr>
        <w:pStyle w:val="P68B1DB1-Normal5"/>
        <w:keepNext/>
        <w:spacing w:before="240" w:after="0"/>
        <w:ind w:left="851"/>
        <w:jc w:val="both"/>
        <w:outlineLvl w:val="2"/>
        <w:rPr>
          <w:rFonts w:eastAsia="Times New Roman"/>
          <w:noProof/>
        </w:rPr>
      </w:pPr>
      <w:r>
        <w:rPr>
          <w:noProof/>
        </w:rPr>
        <w:t xml:space="preserve">Réforme TD-r34: Services publics numériques, simples, inclusifs et sûrs pour les citoyens et les entreprises </w:t>
      </w:r>
    </w:p>
    <w:p w14:paraId="732FCB05" w14:textId="77777777" w:rsidR="006C686E" w:rsidRDefault="00B17E8C">
      <w:pPr>
        <w:pStyle w:val="P68B1DB1-Normal4"/>
        <w:keepNext/>
        <w:spacing w:before="40" w:after="0"/>
        <w:jc w:val="both"/>
        <w:rPr>
          <w:noProof/>
        </w:rPr>
      </w:pPr>
      <w:r>
        <w:rPr>
          <w:noProof/>
        </w:rPr>
        <w:t xml:space="preserve">L’objectif de la réforme est de mettre en œuvre le paradigme du «numérique par définition» dans les services publics, de le rendre plus orienté vers les utilisateurs, d’accroître l’accessibilité et de réduire la charge administrative pour les citoyens et les entreprises, y compris en s’appuyant sur l’utilisation de services en nuage. </w:t>
      </w:r>
    </w:p>
    <w:p w14:paraId="0B8C640C" w14:textId="77777777" w:rsidR="006C686E" w:rsidRDefault="00B17E8C">
      <w:pPr>
        <w:pStyle w:val="P68B1DB1-Normal4"/>
        <w:spacing w:after="200" w:line="276" w:lineRule="auto"/>
        <w:rPr>
          <w:noProof/>
        </w:rPr>
      </w:pPr>
      <w:r>
        <w:rPr>
          <w:noProof/>
        </w:rPr>
        <w:br w:type="page"/>
      </w:r>
    </w:p>
    <w:p w14:paraId="23E6E31F" w14:textId="77777777" w:rsidR="006C686E" w:rsidRDefault="00B17E8C">
      <w:pPr>
        <w:pStyle w:val="P68B1DB1-Normal4"/>
        <w:keepNext/>
        <w:spacing w:before="40" w:after="0"/>
        <w:jc w:val="both"/>
        <w:rPr>
          <w:rFonts w:eastAsia="Times New Roman"/>
          <w:noProof/>
        </w:rPr>
      </w:pPr>
      <w:r>
        <w:rPr>
          <w:noProof/>
        </w:rPr>
        <w:t xml:space="preserve">La réforme consiste en la mise en œuvre de mesures visant à garantir que le cadre juridique nécessaire est en place pour la transition numérique, en particulier pour la mise en œuvre du portail numérique unique et du principe «une fois pour toutes», au moyen d’un processus coordonné entre les entités publiques ancré dans une stratégie et un plan d’action pour la transformation numérique de l’administration publique pour 2021-2023 et 2024-2026, tout en mettant en œuvre les garanties requises en matière de sécurité de l’information, y compris celles spécifiques à la cybersécurité. </w:t>
      </w:r>
    </w:p>
    <w:p w14:paraId="6BA3F007" w14:textId="77777777" w:rsidR="006C686E" w:rsidRDefault="00B17E8C">
      <w:pPr>
        <w:pStyle w:val="P68B1DB1-Normal4"/>
        <w:keepNext/>
        <w:spacing w:before="40" w:after="0"/>
        <w:jc w:val="both"/>
        <w:rPr>
          <w:rFonts w:eastAsia="Times New Roman"/>
          <w:noProof/>
        </w:rPr>
      </w:pPr>
      <w:r>
        <w:rPr>
          <w:noProof/>
        </w:rPr>
        <w:t>La mise en œuvre de la réforme est achevée au plus tard le 30 septembre 2021.</w:t>
      </w:r>
    </w:p>
    <w:p w14:paraId="0B3C3F99" w14:textId="77777777" w:rsidR="006C686E" w:rsidRDefault="00B17E8C">
      <w:pPr>
        <w:pStyle w:val="P68B1DB1-Normal5"/>
        <w:keepNext/>
        <w:spacing w:before="240" w:after="0"/>
        <w:ind w:left="851"/>
        <w:jc w:val="both"/>
        <w:outlineLvl w:val="2"/>
        <w:rPr>
          <w:rFonts w:eastAsia="Times New Roman"/>
          <w:noProof/>
        </w:rPr>
      </w:pPr>
      <w:r>
        <w:rPr>
          <w:noProof/>
        </w:rPr>
        <w:t>Réforme TD-r35: Réforme fonctionnelle et organisationnelle de l'administration publique</w:t>
      </w:r>
    </w:p>
    <w:p w14:paraId="21607839" w14:textId="77777777" w:rsidR="006C686E" w:rsidRDefault="00B17E8C">
      <w:pPr>
        <w:pStyle w:val="P68B1DB1-Normal4"/>
        <w:keepNext/>
        <w:spacing w:before="40" w:after="0"/>
        <w:jc w:val="both"/>
        <w:rPr>
          <w:rFonts w:eastAsia="Times New Roman"/>
          <w:noProof/>
        </w:rPr>
      </w:pPr>
      <w:r>
        <w:rPr>
          <w:noProof/>
        </w:rPr>
        <w:t xml:space="preserve">L'objectif de cette réforme est de restructurer et de rationaliser les services publics afin de promouvoir une administration publique moderne et plus efficace, en tirant également parti des synergies découlant de la mise en œuvre de la réforme TD-r34. Il existe actuellement une dispersion et une redondance au sein des départements du gouvernement central, ce qui entraîne la répétition des services au sein des ministères, et un niveau élevé de rigidité des modèles de prestation de travail dans le secteur public, qui repose sur des chaînes de commandement strictes et conduit à des approches bureaucratiques indues. </w:t>
      </w:r>
    </w:p>
    <w:p w14:paraId="0CF0D98F" w14:textId="77777777" w:rsidR="006C686E" w:rsidRDefault="00B17E8C">
      <w:pPr>
        <w:pStyle w:val="P68B1DB1-Normal4"/>
        <w:keepNext/>
        <w:spacing w:before="40" w:after="0"/>
        <w:jc w:val="both"/>
        <w:rPr>
          <w:rFonts w:eastAsia="Times New Roman"/>
          <w:noProof/>
        </w:rPr>
      </w:pPr>
      <w:r>
        <w:rPr>
          <w:noProof/>
        </w:rPr>
        <w:t xml:space="preserve">Cette réforme révisera le modèle de fonctionnement de l’État et de l’administration publique en général, afin de renforcer les synergies et d’exploiter les possibilités créées par la technologie. Il s’agit notamment de centraliser les services communs et partagés, de remédier à la dispersion et à la redondance au sein des services de l’administration centrale, de spécialiser de manière adéquate les entités sectorielles de l’administration publique directe et indirecte par domaines d’expertise, de spécialiser les fonctions critiques de soutien à l’activité gouvernementale et de concentrer certains bureaux gouvernementaux dans un espace physique unique. Cette réforme se fera par la création d'un groupe de travail pour le diagnostic et la définition d'un plan de réorganisation des services centraux de l'Etat. </w:t>
      </w:r>
    </w:p>
    <w:p w14:paraId="0ED6F4EE" w14:textId="77777777" w:rsidR="006C686E" w:rsidRDefault="00B17E8C">
      <w:pPr>
        <w:pStyle w:val="P68B1DB1-Normal4"/>
        <w:keepNext/>
        <w:spacing w:before="40" w:after="0"/>
        <w:jc w:val="both"/>
        <w:rPr>
          <w:rFonts w:eastAsia="Times New Roman"/>
          <w:noProof/>
        </w:rPr>
      </w:pPr>
      <w:r>
        <w:rPr>
          <w:noProof/>
        </w:rPr>
        <w:t xml:space="preserve">La mise en œuvre de la réforme est achevée au plus tard le 31 décembre 2023. </w:t>
      </w:r>
    </w:p>
    <w:p w14:paraId="677F07DB" w14:textId="77777777" w:rsidR="006C686E" w:rsidRDefault="00B17E8C">
      <w:pPr>
        <w:pStyle w:val="P68B1DB1-Normal5"/>
        <w:keepNext/>
        <w:spacing w:before="240" w:after="0"/>
        <w:ind w:left="851"/>
        <w:jc w:val="both"/>
        <w:outlineLvl w:val="2"/>
        <w:rPr>
          <w:rFonts w:eastAsia="Times New Roman"/>
          <w:noProof/>
        </w:rPr>
      </w:pPr>
      <w:r>
        <w:rPr>
          <w:noProof/>
        </w:rPr>
        <w:t>Réforme TD-r36: Administration publique habilitée à créer de la valeur publique</w:t>
      </w:r>
    </w:p>
    <w:p w14:paraId="0F5D3BA5" w14:textId="77777777" w:rsidR="006C686E" w:rsidRDefault="00B17E8C">
      <w:pPr>
        <w:pStyle w:val="P68B1DB1-Normal4"/>
        <w:keepNext/>
        <w:spacing w:before="40" w:after="0"/>
        <w:jc w:val="both"/>
        <w:rPr>
          <w:rFonts w:eastAsia="Times New Roman"/>
          <w:noProof/>
        </w:rPr>
      </w:pPr>
      <w:r>
        <w:rPr>
          <w:noProof/>
        </w:rPr>
        <w:t>Cette réforme vise le perfectionnement des fonctionnaires, y compris dans leurs compétences numériques, et met en œuvre de nouveaux modèles de travail (à savoir le télétravail). Cette réforme est conforme aux mesures envisagées dans le volet 6.</w:t>
      </w:r>
    </w:p>
    <w:p w14:paraId="06C5EFAD" w14:textId="77777777" w:rsidR="006C686E" w:rsidRDefault="00B17E8C">
      <w:pPr>
        <w:pStyle w:val="P68B1DB1-Normal4"/>
        <w:keepNext/>
        <w:spacing w:before="40" w:after="0"/>
        <w:jc w:val="both"/>
        <w:rPr>
          <w:rFonts w:eastAsia="Times New Roman"/>
          <w:noProof/>
        </w:rPr>
      </w:pPr>
      <w:r>
        <w:rPr>
          <w:noProof/>
        </w:rPr>
        <w:t xml:space="preserve">Cette réforme, reflétée dans la stratégie pour l’innovation et la modernisation de l’État et de l’administration publique de juillet 2020, renforcera la structure de gestion et de formation des fonctionnaires et de l’encadrement, en mettant en place la structure de coordination des activités de formation (l’Instituto </w:t>
      </w:r>
      <w:r>
        <w:rPr>
          <w:i/>
          <w:noProof/>
        </w:rPr>
        <w:t>Nacional de Administração),</w:t>
      </w:r>
      <w:r>
        <w:rPr>
          <w:noProof/>
        </w:rPr>
        <w:t xml:space="preserve"> qui gérera la promotion de formations avancées telles que les compétences en gestion, la science des données et les cours de spécialisation, et en approfondissant le programme </w:t>
      </w:r>
      <w:r>
        <w:rPr>
          <w:i/>
          <w:noProof/>
        </w:rPr>
        <w:t>Qualifica AP</w:t>
      </w:r>
      <w:r>
        <w:rPr>
          <w:noProof/>
        </w:rPr>
        <w:t xml:space="preserve"> afin d’améliorer le niveau de qualification des fonctionnaires, à court/moyen terme. Parallèlement, cette réforme vise à exploiter le potentiel du télétravail dans la fonction publique.</w:t>
      </w:r>
    </w:p>
    <w:p w14:paraId="7288854E" w14:textId="77777777" w:rsidR="006C686E" w:rsidRDefault="00B17E8C">
      <w:pPr>
        <w:pStyle w:val="P68B1DB1-Normal4"/>
        <w:keepNext/>
        <w:spacing w:before="40" w:after="0"/>
        <w:jc w:val="both"/>
        <w:rPr>
          <w:rFonts w:eastAsia="Times New Roman"/>
          <w:noProof/>
        </w:rPr>
      </w:pPr>
      <w:r>
        <w:rPr>
          <w:noProof/>
        </w:rPr>
        <w:t>Elle est intrinsèquement liée à l’investissement TD-C19-i07 – Autonomisation de l’administration publique, qui prévoit des programmes de capacitation numérique, des programmes de stages professionnels, une formation supérieure et avancée à la gestion et le renforcement des compétences des fonctionnaires en général.</w:t>
      </w:r>
    </w:p>
    <w:p w14:paraId="7A6EE9C8" w14:textId="77777777" w:rsidR="006C686E" w:rsidRDefault="00B17E8C">
      <w:pPr>
        <w:pStyle w:val="P68B1DB1-Normal4"/>
        <w:keepNext/>
        <w:spacing w:before="40" w:after="0"/>
        <w:jc w:val="both"/>
        <w:rPr>
          <w:rFonts w:eastAsia="Times New Roman"/>
          <w:noProof/>
        </w:rPr>
      </w:pPr>
      <w:r>
        <w:rPr>
          <w:noProof/>
        </w:rPr>
        <w:t xml:space="preserve">La mise en œuvre de la réforme est achevée au plus tard le 30 juin 2021. </w:t>
      </w:r>
    </w:p>
    <w:p w14:paraId="0C0BA5F4" w14:textId="77777777" w:rsidR="006C686E" w:rsidRDefault="00B17E8C">
      <w:pPr>
        <w:pStyle w:val="P68B1DB1-Normal5"/>
        <w:spacing w:after="200" w:line="276" w:lineRule="auto"/>
        <w:rPr>
          <w:noProof/>
        </w:rPr>
      </w:pPr>
      <w:r>
        <w:rPr>
          <w:noProof/>
        </w:rPr>
        <w:br w:type="page"/>
      </w:r>
    </w:p>
    <w:p w14:paraId="35EA44B4" w14:textId="77777777" w:rsidR="006C686E" w:rsidRDefault="00B17E8C">
      <w:pPr>
        <w:pStyle w:val="P68B1DB1-Normal5"/>
        <w:keepNext/>
        <w:spacing w:before="240" w:after="0"/>
        <w:ind w:left="851"/>
        <w:jc w:val="both"/>
        <w:outlineLvl w:val="2"/>
        <w:rPr>
          <w:rFonts w:eastAsia="Times New Roman"/>
          <w:noProof/>
        </w:rPr>
      </w:pPr>
      <w:r>
        <w:rPr>
          <w:noProof/>
        </w:rPr>
        <w:t xml:space="preserve">Investissement TD-C19-i01: Refonte des services publics et consulaires </w:t>
      </w:r>
    </w:p>
    <w:p w14:paraId="775A76AB" w14:textId="77777777" w:rsidR="006C686E" w:rsidRDefault="00B17E8C">
      <w:pPr>
        <w:pStyle w:val="P68B1DB1-Normal4"/>
        <w:keepNext/>
        <w:spacing w:before="40" w:after="0"/>
        <w:jc w:val="both"/>
        <w:rPr>
          <w:rFonts w:eastAsia="Times New Roman"/>
          <w:noProof/>
        </w:rPr>
      </w:pPr>
      <w:r>
        <w:rPr>
          <w:noProof/>
        </w:rPr>
        <w:t>L’objectif de cet investissement est d’assurer la transition numérique dans l’administration publique portugaise, y compris les services consulaires.</w:t>
      </w:r>
    </w:p>
    <w:p w14:paraId="648770AF" w14:textId="77777777" w:rsidR="006C686E" w:rsidRDefault="00B17E8C">
      <w:pPr>
        <w:pStyle w:val="P68B1DB1-Normal3"/>
        <w:keepNext/>
        <w:spacing w:before="40" w:after="0"/>
        <w:jc w:val="both"/>
        <w:rPr>
          <w:rFonts w:eastAsia="Times New Roman"/>
          <w:noProof/>
          <w:kern w:val="0"/>
          <w14:ligatures w14:val="none"/>
        </w:rPr>
      </w:pPr>
      <w:r>
        <w:rPr>
          <w:noProof/>
          <w:kern w:val="0"/>
          <w14:ligatures w14:val="none"/>
        </w:rPr>
        <w:t>Cet</w:t>
      </w:r>
      <w:r>
        <w:rPr>
          <w:noProof/>
        </w:rPr>
        <w:t xml:space="preserve"> investissement consiste à</w:t>
      </w:r>
      <w:r>
        <w:rPr>
          <w:noProof/>
          <w:kern w:val="0"/>
          <w14:ligatures w14:val="none"/>
        </w:rPr>
        <w:t xml:space="preserve"> mettre à la disposition des citoyens une capacité de réponse omnicanale (passerelle numérique unique, centre d’appels et services en personne) et à</w:t>
      </w:r>
      <w:r>
        <w:rPr>
          <w:noProof/>
        </w:rPr>
        <w:t xml:space="preserve"> installer</w:t>
      </w:r>
      <w:r>
        <w:rPr>
          <w:noProof/>
          <w:kern w:val="0"/>
          <w14:ligatures w14:val="none"/>
        </w:rPr>
        <w:t xml:space="preserve"> de nouveaux </w:t>
      </w:r>
      <w:r>
        <w:rPr>
          <w:i/>
          <w:noProof/>
          <w:kern w:val="0"/>
          <w14:ligatures w14:val="none"/>
        </w:rPr>
        <w:t>Espaços cidadão</w:t>
      </w:r>
      <w:r>
        <w:rPr>
          <w:noProof/>
          <w:kern w:val="0"/>
          <w14:ligatures w14:val="none"/>
        </w:rPr>
        <w:t xml:space="preserve"> et </w:t>
      </w:r>
      <w:r>
        <w:rPr>
          <w:i/>
          <w:noProof/>
          <w:kern w:val="0"/>
          <w14:ligatures w14:val="none"/>
        </w:rPr>
        <w:t>Lojas do Cidadão dans de</w:t>
      </w:r>
      <w:r>
        <w:rPr>
          <w:noProof/>
          <w:kern w:val="0"/>
          <w14:ligatures w14:val="none"/>
        </w:rPr>
        <w:t xml:space="preserve"> nouveaux espaces économes en énergie. </w:t>
      </w:r>
    </w:p>
    <w:p w14:paraId="3AFADF70" w14:textId="77777777" w:rsidR="006C686E" w:rsidRDefault="00B17E8C">
      <w:pPr>
        <w:pStyle w:val="P68B1DB1-Normal5"/>
        <w:keepNext/>
        <w:spacing w:before="240" w:after="0"/>
        <w:ind w:left="851"/>
        <w:jc w:val="both"/>
        <w:outlineLvl w:val="2"/>
        <w:rPr>
          <w:rFonts w:eastAsia="Times New Roman"/>
          <w:noProof/>
        </w:rPr>
      </w:pPr>
      <w:r>
        <w:rPr>
          <w:noProof/>
        </w:rPr>
        <w:t>Investissement TD-C19-i02: Services électroniques durables</w:t>
      </w:r>
      <w:r>
        <w:rPr>
          <w:i/>
          <w:noProof/>
        </w:rPr>
        <w:t xml:space="preserve"> </w:t>
      </w:r>
    </w:p>
    <w:p w14:paraId="455A9AD0" w14:textId="1E033A53" w:rsidR="006C686E" w:rsidRDefault="00B17E8C">
      <w:pPr>
        <w:keepNext/>
        <w:keepLines/>
        <w:spacing w:before="40" w:after="0"/>
        <w:jc w:val="both"/>
        <w:rPr>
          <w:rFonts w:ascii="Times New Roman" w:eastAsia="Times New Roman" w:hAnsi="Times New Roman" w:cs="Times New Roman"/>
          <w:noProof/>
          <w:kern w:val="0"/>
          <w14:ligatures w14:val="none"/>
        </w:rPr>
      </w:pPr>
      <w:r>
        <w:rPr>
          <w:rFonts w:ascii="Times New Roman" w:hAnsi="Times New Roman" w:cs="Times New Roman"/>
          <w:noProof/>
          <w:kern w:val="0"/>
          <w14:ligatures w14:val="none"/>
        </w:rPr>
        <w:t xml:space="preserve">L'objectif de cet investissement est d'accroître l'interopérabilité et l'intégration des systèmes informatiques de l'administration publique portugaise. Cet investissement </w:t>
      </w:r>
      <w:r>
        <w:rPr>
          <w:rFonts w:ascii="Times New Roman" w:eastAsia="Calibri" w:hAnsi="Times New Roman" w:cs="Times New Roman"/>
          <w:noProof/>
        </w:rPr>
        <w:t>se compose de services publics numériques et d'un portail.</w:t>
      </w:r>
    </w:p>
    <w:p w14:paraId="3FF1F035" w14:textId="77777777" w:rsidR="006C686E" w:rsidRDefault="00B17E8C">
      <w:pPr>
        <w:pStyle w:val="P68B1DB1-Normal5"/>
        <w:keepNext/>
        <w:spacing w:before="240" w:after="0"/>
        <w:ind w:left="851"/>
        <w:jc w:val="both"/>
        <w:outlineLvl w:val="2"/>
        <w:rPr>
          <w:rFonts w:eastAsia="Times New Roman"/>
          <w:noProof/>
        </w:rPr>
      </w:pPr>
      <w:r>
        <w:rPr>
          <w:noProof/>
        </w:rPr>
        <w:t xml:space="preserve">Investissement TD-C19-i03: Renforcer le cadre global de cybersécurité </w:t>
      </w:r>
    </w:p>
    <w:p w14:paraId="3F990881" w14:textId="77777777" w:rsidR="006C686E" w:rsidRDefault="00B17E8C">
      <w:pPr>
        <w:pStyle w:val="P68B1DB1-Normal4"/>
        <w:keepNext/>
        <w:spacing w:before="40" w:after="0"/>
        <w:jc w:val="both"/>
        <w:rPr>
          <w:rFonts w:eastAsia="Times New Roman"/>
          <w:noProof/>
        </w:rPr>
      </w:pPr>
      <w:r>
        <w:rPr>
          <w:noProof/>
        </w:rPr>
        <w:t xml:space="preserve">L'objectif de cet investissement est d'accroître les normes et les procédures de sécurité de l'information pour les données en ligne. </w:t>
      </w:r>
    </w:p>
    <w:p w14:paraId="6CE8223D" w14:textId="0154252F" w:rsidR="006C686E" w:rsidRDefault="00B17E8C">
      <w:pPr>
        <w:pStyle w:val="P68B1DB1-Normal3"/>
        <w:keepNext/>
        <w:spacing w:before="40" w:after="0"/>
        <w:jc w:val="both"/>
        <w:rPr>
          <w:rFonts w:eastAsia="Times New Roman"/>
          <w:noProof/>
          <w:kern w:val="0"/>
          <w14:ligatures w14:val="none"/>
        </w:rPr>
      </w:pPr>
      <w:r>
        <w:rPr>
          <w:noProof/>
          <w:kern w:val="0"/>
          <w14:ligatures w14:val="none"/>
        </w:rPr>
        <w:t xml:space="preserve">Cet </w:t>
      </w:r>
      <w:r>
        <w:rPr>
          <w:noProof/>
        </w:rPr>
        <w:t>investissement consiste en:</w:t>
      </w:r>
    </w:p>
    <w:p w14:paraId="20767526" w14:textId="4671740E" w:rsidR="006C686E" w:rsidRDefault="00B17E8C">
      <w:pPr>
        <w:pStyle w:val="P68B1DB1-Normal3"/>
        <w:keepNext/>
        <w:numPr>
          <w:ilvl w:val="0"/>
          <w:numId w:val="57"/>
        </w:numPr>
        <w:spacing w:before="40" w:after="200" w:line="276" w:lineRule="auto"/>
        <w:contextualSpacing/>
        <w:jc w:val="both"/>
        <w:rPr>
          <w:rFonts w:eastAsia="Times New Roman"/>
          <w:noProof/>
          <w:kern w:val="0"/>
          <w14:ligatures w14:val="none"/>
        </w:rPr>
      </w:pPr>
      <w:r>
        <w:rPr>
          <w:noProof/>
        </w:rPr>
        <w:t xml:space="preserve">l’installation de </w:t>
      </w:r>
      <w:r>
        <w:rPr>
          <w:noProof/>
          <w:kern w:val="0"/>
          <w14:ligatures w14:val="none"/>
        </w:rPr>
        <w:t xml:space="preserve">centres de compétences </w:t>
      </w:r>
      <w:r>
        <w:rPr>
          <w:noProof/>
        </w:rPr>
        <w:t>en matière de cybersécurité;</w:t>
      </w:r>
      <w:r>
        <w:rPr>
          <w:noProof/>
          <w:kern w:val="0"/>
          <w14:ligatures w14:val="none"/>
        </w:rPr>
        <w:t xml:space="preserve"> </w:t>
      </w:r>
    </w:p>
    <w:p w14:paraId="7B78F75C" w14:textId="77777777" w:rsidR="006C686E" w:rsidRDefault="00B17E8C">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Pr>
          <w:rFonts w:ascii="Times New Roman" w:hAnsi="Times New Roman" w:cs="Times New Roman"/>
          <w:noProof/>
          <w:kern w:val="0"/>
          <w14:ligatures w14:val="none"/>
        </w:rPr>
        <w:t>achat de matériel de cryptographie;</w:t>
      </w:r>
      <w:r>
        <w:rPr>
          <w:rFonts w:ascii="Times New Roman" w:eastAsia="Calibri" w:hAnsi="Times New Roman" w:cs="Times New Roman"/>
          <w:noProof/>
        </w:rPr>
        <w:t xml:space="preserve"> et</w:t>
      </w:r>
    </w:p>
    <w:p w14:paraId="6AB68C57" w14:textId="588E630A" w:rsidR="006C686E" w:rsidRDefault="00B17E8C">
      <w:pPr>
        <w:pStyle w:val="P68B1DB1-Normal3"/>
        <w:keepNext/>
        <w:numPr>
          <w:ilvl w:val="0"/>
          <w:numId w:val="57"/>
        </w:numPr>
        <w:spacing w:before="40" w:after="200" w:line="276" w:lineRule="auto"/>
        <w:contextualSpacing/>
        <w:jc w:val="both"/>
        <w:rPr>
          <w:rFonts w:eastAsia="Times New Roman"/>
          <w:noProof/>
          <w:kern w:val="0"/>
          <w14:ligatures w14:val="none"/>
        </w:rPr>
      </w:pPr>
      <w:r>
        <w:rPr>
          <w:noProof/>
          <w:kern w:val="0"/>
          <w14:ligatures w14:val="none"/>
        </w:rPr>
        <w:t>les entités publiques couvertes par la plateforme-cadre nationale de cybersécurité.</w:t>
      </w:r>
      <w:r>
        <w:rPr>
          <w:noProof/>
        </w:rPr>
        <w:t xml:space="preserve"> </w:t>
      </w:r>
    </w:p>
    <w:p w14:paraId="33A1A8EF" w14:textId="77777777" w:rsidR="006C686E" w:rsidRDefault="006C686E">
      <w:pPr>
        <w:keepNext/>
        <w:spacing w:before="40" w:after="200" w:line="276" w:lineRule="auto"/>
        <w:ind w:left="720"/>
        <w:contextualSpacing/>
        <w:jc w:val="both"/>
        <w:rPr>
          <w:rFonts w:ascii="Times New Roman" w:eastAsia="Times New Roman" w:hAnsi="Times New Roman" w:cs="Times New Roman"/>
          <w:noProof/>
          <w:kern w:val="0"/>
          <w14:ligatures w14:val="none"/>
        </w:rPr>
      </w:pPr>
    </w:p>
    <w:p w14:paraId="50C728FA" w14:textId="77777777" w:rsidR="006C686E" w:rsidRDefault="00B17E8C">
      <w:pPr>
        <w:pStyle w:val="P68B1DB1-Normal5"/>
        <w:keepNext/>
        <w:spacing w:before="240" w:after="0"/>
        <w:ind w:left="851"/>
        <w:jc w:val="both"/>
        <w:outlineLvl w:val="2"/>
        <w:rPr>
          <w:rFonts w:eastAsia="Times New Roman"/>
          <w:noProof/>
        </w:rPr>
      </w:pPr>
      <w:r>
        <w:rPr>
          <w:noProof/>
        </w:rPr>
        <w:t xml:space="preserve">TD-C19-i04 : Infrastructure numérique critique efficace, sécurisée et partagée </w:t>
      </w:r>
    </w:p>
    <w:p w14:paraId="037BEB8C" w14:textId="77777777" w:rsidR="006C686E" w:rsidRDefault="00B17E8C">
      <w:pPr>
        <w:keepNext/>
        <w:spacing w:before="40" w:after="0"/>
        <w:jc w:val="both"/>
        <w:rPr>
          <w:rFonts w:ascii="Times New Roman" w:eastAsia="Times New Roman" w:hAnsi="Times New Roman" w:cs="Times New Roman"/>
          <w:noProof/>
          <w:kern w:val="0"/>
          <w14:ligatures w14:val="none"/>
        </w:rPr>
      </w:pPr>
      <w:bookmarkStart w:id="22" w:name="_Hlk213955483"/>
      <w:r>
        <w:rPr>
          <w:rFonts w:ascii="Times New Roman" w:eastAsia="Calibri" w:hAnsi="Times New Roman" w:cs="Times New Roman"/>
          <w:noProof/>
          <w:kern w:val="0"/>
          <w14:ligatures w14:val="none"/>
        </w:rPr>
        <w:t xml:space="preserve">L’objectif de cet investissement </w:t>
      </w:r>
      <w:bookmarkEnd w:id="22"/>
      <w:r>
        <w:rPr>
          <w:rFonts w:ascii="Times New Roman" w:eastAsia="Calibri" w:hAnsi="Times New Roman" w:cs="Times New Roman"/>
          <w:noProof/>
          <w:kern w:val="0"/>
          <w14:ligatures w14:val="none"/>
        </w:rPr>
        <w:t xml:space="preserve">est d’accroître la résilience des infrastructures numériques critiques. </w:t>
      </w:r>
      <w:r>
        <w:rPr>
          <w:rFonts w:ascii="Times New Roman" w:eastAsia="Times New Roman" w:hAnsi="Times New Roman" w:cs="Times New Roman"/>
          <w:noProof/>
        </w:rPr>
        <w:t>Cet investissement consiste à accroître la couverture et la capacité du réseau de communications d'urgence de l'État, du réseau national de sécurité intérieure et à réviser les systèmes d'information et les processus des forces de sécurité.</w:t>
      </w:r>
    </w:p>
    <w:p w14:paraId="4407FC7A" w14:textId="77777777" w:rsidR="006C686E" w:rsidRDefault="00B17E8C">
      <w:pPr>
        <w:pStyle w:val="P68B1DB1-Normal5"/>
        <w:keepNext/>
        <w:spacing w:before="240" w:after="0"/>
        <w:ind w:left="851"/>
        <w:jc w:val="both"/>
        <w:outlineLvl w:val="2"/>
        <w:rPr>
          <w:rFonts w:eastAsia="Times New Roman"/>
          <w:noProof/>
        </w:rPr>
      </w:pPr>
      <w:r>
        <w:rPr>
          <w:noProof/>
        </w:rPr>
        <w:t xml:space="preserve">TD-C19-i05-RAM: Transition numérique de l’administration publique de Madère </w:t>
      </w:r>
    </w:p>
    <w:p w14:paraId="016DAB04" w14:textId="77777777" w:rsidR="006C686E" w:rsidRDefault="00B17E8C">
      <w:pPr>
        <w:pStyle w:val="P68B1DB1-Normal4"/>
        <w:keepNext/>
        <w:spacing w:before="40" w:after="0" w:line="22" w:lineRule="atLeast"/>
        <w:jc w:val="both"/>
        <w:rPr>
          <w:rFonts w:eastAsia="Times New Roman"/>
          <w:noProof/>
        </w:rPr>
      </w:pPr>
      <w:r>
        <w:rPr>
          <w:noProof/>
        </w:rPr>
        <w:t xml:space="preserve">L’objectif de cet investissement est de rendre les technologies numériques disponibles pour la fourniture de services publics. </w:t>
      </w:r>
    </w:p>
    <w:p w14:paraId="674671FF" w14:textId="77777777" w:rsidR="006C686E" w:rsidRDefault="00B17E8C">
      <w:pPr>
        <w:keepNext/>
        <w:spacing w:before="120" w:after="120" w:line="22" w:lineRule="atLeast"/>
        <w:jc w:val="both"/>
        <w:rPr>
          <w:rFonts w:ascii="Times New Roman" w:eastAsia="Times New Roman" w:hAnsi="Times New Roman" w:cs="Times New Roman"/>
          <w:noProof/>
          <w:color w:val="000000" w:themeColor="text1"/>
        </w:rPr>
      </w:pPr>
      <w:r>
        <w:rPr>
          <w:rFonts w:ascii="Times New Roman" w:eastAsia="Calibri" w:hAnsi="Times New Roman" w:cs="Times New Roman"/>
          <w:noProof/>
          <w:kern w:val="0"/>
          <w14:ligatures w14:val="none"/>
        </w:rPr>
        <w:t>Cet investissement consiste en la numérisation des services publics.</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kern w:val="0"/>
          <w14:ligatures w14:val="none"/>
        </w:rPr>
        <w:t xml:space="preserve"> </w:t>
      </w:r>
    </w:p>
    <w:p w14:paraId="149030A9" w14:textId="77777777" w:rsidR="006C686E" w:rsidRDefault="00B17E8C">
      <w:pPr>
        <w:pStyle w:val="P68B1DB1-Normal5"/>
        <w:keepNext/>
        <w:spacing w:before="240" w:after="0"/>
        <w:ind w:left="851"/>
        <w:jc w:val="both"/>
        <w:outlineLvl w:val="2"/>
        <w:rPr>
          <w:rFonts w:eastAsia="Times New Roman"/>
          <w:noProof/>
        </w:rPr>
      </w:pPr>
      <w:r>
        <w:rPr>
          <w:noProof/>
        </w:rPr>
        <w:t xml:space="preserve">TD-C19-i06-RAA : Transition numérique de l’administration publique aux Açores </w:t>
      </w:r>
    </w:p>
    <w:p w14:paraId="7AA78D58" w14:textId="77777777" w:rsidR="006C686E" w:rsidRDefault="00B17E8C">
      <w:pPr>
        <w:pStyle w:val="P68B1DB1-Normal4"/>
        <w:keepNext/>
        <w:spacing w:before="40" w:after="0"/>
        <w:jc w:val="both"/>
        <w:rPr>
          <w:rFonts w:eastAsia="Times New Roman"/>
          <w:noProof/>
        </w:rPr>
      </w:pPr>
      <w:r>
        <w:rPr>
          <w:noProof/>
        </w:rPr>
        <w:t>L’objectif de cet investissement est de soutenir la transition numérique du secteur public et de réduire la charge administrative.</w:t>
      </w:r>
    </w:p>
    <w:p w14:paraId="08E673E4" w14:textId="3263A106" w:rsidR="006C686E" w:rsidRDefault="00B17E8C">
      <w:pPr>
        <w:pStyle w:val="P68B1DB1-Normal3"/>
        <w:keepNext/>
        <w:spacing w:before="40" w:after="0"/>
        <w:jc w:val="both"/>
        <w:rPr>
          <w:rFonts w:eastAsia="Times New Roman"/>
          <w:noProof/>
          <w:kern w:val="0"/>
          <w14:ligatures w14:val="none"/>
        </w:rPr>
      </w:pPr>
      <w:r>
        <w:rPr>
          <w:noProof/>
        </w:rPr>
        <w:t xml:space="preserve">Cet investissement consiste en la fourniture de services numériques. </w:t>
      </w:r>
    </w:p>
    <w:p w14:paraId="0BF89C51" w14:textId="77777777" w:rsidR="006C686E" w:rsidRDefault="00B17E8C">
      <w:pPr>
        <w:pStyle w:val="P68B1DB1-Normal5"/>
        <w:keepNext/>
        <w:spacing w:before="240" w:after="0"/>
        <w:ind w:left="851"/>
        <w:jc w:val="both"/>
        <w:outlineLvl w:val="2"/>
        <w:rPr>
          <w:rFonts w:eastAsia="Times New Roman"/>
          <w:noProof/>
        </w:rPr>
      </w:pPr>
      <w:r>
        <w:rPr>
          <w:noProof/>
        </w:rPr>
        <w:t>TD-C19-i07: Administration publique habilitée à créer de la valeur publique</w:t>
      </w:r>
    </w:p>
    <w:p w14:paraId="5B918287" w14:textId="77777777" w:rsidR="006C686E" w:rsidRDefault="00B17E8C">
      <w:pPr>
        <w:pStyle w:val="P68B1DB1-Normal4"/>
        <w:keepNext/>
        <w:spacing w:before="40" w:after="0"/>
        <w:jc w:val="both"/>
        <w:rPr>
          <w:noProof/>
        </w:rPr>
      </w:pPr>
      <w:r>
        <w:rPr>
          <w:noProof/>
        </w:rPr>
        <w:t>L’objectif de cet investissement est d’accroître les compétences de la main-d’œuvre de l’administration publique.</w:t>
      </w:r>
    </w:p>
    <w:p w14:paraId="2EB1CDCB" w14:textId="77777777" w:rsidR="006C686E" w:rsidRDefault="00B17E8C">
      <w:pPr>
        <w:pStyle w:val="P68B1DB1-Normal3"/>
        <w:keepNext/>
        <w:spacing w:before="40" w:after="0"/>
        <w:jc w:val="both"/>
        <w:rPr>
          <w:rFonts w:eastAsia="Times New Roman"/>
          <w:noProof/>
          <w:kern w:val="0"/>
          <w14:ligatures w14:val="none"/>
        </w:rPr>
      </w:pPr>
      <w:r>
        <w:rPr>
          <w:noProof/>
        </w:rPr>
        <w:t xml:space="preserve">L’investissement consiste à </w:t>
      </w:r>
      <w:r>
        <w:rPr>
          <w:noProof/>
          <w:kern w:val="0"/>
          <w14:ligatures w14:val="none"/>
        </w:rPr>
        <w:t>fournir des</w:t>
      </w:r>
      <w:r>
        <w:rPr>
          <w:noProof/>
        </w:rPr>
        <w:t xml:space="preserve"> ressources en matière de formation, d’équipement et de planification.</w:t>
      </w:r>
    </w:p>
    <w:p w14:paraId="7630B118" w14:textId="77777777" w:rsidR="006C686E" w:rsidRDefault="00B17E8C">
      <w:pPr>
        <w:pStyle w:val="P68B1DB1-Normal5"/>
        <w:keepNext/>
        <w:spacing w:before="240" w:after="0"/>
        <w:ind w:left="851"/>
        <w:jc w:val="both"/>
        <w:outlineLvl w:val="2"/>
        <w:rPr>
          <w:noProof/>
        </w:rPr>
      </w:pPr>
      <w:r>
        <w:rPr>
          <w:noProof/>
        </w:rPr>
        <w:t>Investissement TD-C19-i08 Territoires intelligents</w:t>
      </w:r>
    </w:p>
    <w:p w14:paraId="4506E971" w14:textId="77777777" w:rsidR="006C686E" w:rsidRDefault="00B17E8C">
      <w:pPr>
        <w:pStyle w:val="P68B1DB1-Normal3"/>
        <w:spacing w:beforeLines="40" w:before="96" w:after="0" w:line="22" w:lineRule="atLeast"/>
        <w:jc w:val="both"/>
        <w:rPr>
          <w:noProof/>
          <w:kern w:val="0"/>
          <w14:ligatures w14:val="none"/>
        </w:rPr>
      </w:pPr>
      <w:r>
        <w:rPr>
          <w:noProof/>
          <w:kern w:val="0"/>
          <w14:ligatures w14:val="none"/>
        </w:rPr>
        <w:t xml:space="preserve">L'objectif de cet investissement est d'adopter </w:t>
      </w:r>
      <w:r>
        <w:rPr>
          <w:noProof/>
        </w:rPr>
        <w:t>une</w:t>
      </w:r>
      <w:r>
        <w:rPr>
          <w:noProof/>
          <w:kern w:val="0"/>
          <w14:ligatures w14:val="none"/>
        </w:rPr>
        <w:t xml:space="preserve"> planification et une gestion des villes et  des territoires axées sur les données. </w:t>
      </w:r>
    </w:p>
    <w:p w14:paraId="35367A7B" w14:textId="77777777" w:rsidR="006C686E" w:rsidRDefault="00B17E8C">
      <w:pPr>
        <w:pStyle w:val="P68B1DB1-Normal3"/>
        <w:spacing w:beforeLines="40" w:before="96" w:after="0" w:line="22" w:lineRule="atLeast"/>
        <w:jc w:val="both"/>
        <w:rPr>
          <w:noProof/>
          <w:kern w:val="0"/>
          <w14:ligatures w14:val="none"/>
        </w:rPr>
      </w:pPr>
      <w:r>
        <w:rPr>
          <w:noProof/>
          <w:kern w:val="0"/>
          <w14:ligatures w14:val="none"/>
        </w:rPr>
        <w:t xml:space="preserve">L’investissement </w:t>
      </w:r>
      <w:r>
        <w:rPr>
          <w:noProof/>
        </w:rPr>
        <w:t>consiste en la mise à disposition d’outils numériques et en une formation.</w:t>
      </w:r>
    </w:p>
    <w:p w14:paraId="06057FC7" w14:textId="77777777" w:rsidR="006C686E" w:rsidRDefault="006C686E">
      <w:pPr>
        <w:keepNext/>
        <w:spacing w:before="40" w:after="0"/>
        <w:rPr>
          <w:rFonts w:ascii="Times New Roman" w:eastAsia="Times New Roman" w:hAnsi="Times New Roman" w:cs="Times New Roman"/>
          <w:noProof/>
          <w:kern w:val="0"/>
          <w:szCs w:val="26"/>
          <w14:ligatures w14:val="none"/>
        </w:rPr>
        <w:sectPr w:rsidR="006C686E" w:rsidSect="00C95E00">
          <w:headerReference w:type="even" r:id="rId340"/>
          <w:headerReference w:type="default" r:id="rId341"/>
          <w:footerReference w:type="even" r:id="rId342"/>
          <w:footerReference w:type="default" r:id="rId343"/>
          <w:headerReference w:type="first" r:id="rId344"/>
          <w:footerReference w:type="first" r:id="rId345"/>
          <w:pgSz w:w="11907" w:h="16839"/>
          <w:pgMar w:top="1134" w:right="1134" w:bottom="1134" w:left="1134" w:header="567" w:footer="567" w:gutter="0"/>
          <w:cols w:space="720"/>
          <w:docGrid w:linePitch="360"/>
        </w:sectPr>
      </w:pPr>
    </w:p>
    <w:p w14:paraId="1C03A686" w14:textId="77777777" w:rsidR="006C686E" w:rsidRDefault="00B17E8C">
      <w:pPr>
        <w:pStyle w:val="P68B1DB1-Normal1"/>
        <w:keepNext/>
        <w:spacing w:before="40" w:after="0"/>
        <w:ind w:left="130" w:firstLine="12"/>
        <w:jc w:val="center"/>
        <w:outlineLvl w:val="1"/>
        <w:rPr>
          <w:rFonts w:eastAsia="Times New Roman"/>
          <w:noProof/>
        </w:rPr>
      </w:pPr>
      <w:r>
        <w:rPr>
          <w:noProof/>
        </w:rPr>
        <w:t xml:space="preserve">S.2. </w:t>
      </w:r>
      <w:r>
        <w:rPr>
          <w:noProof/>
        </w:rPr>
        <w:tab/>
        <w:t>Étapes, cibles, indicateurs et calendrier pour le suivi et la mise en œuvre du soutien financier non remboursable</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1391"/>
        <w:gridCol w:w="1701"/>
        <w:gridCol w:w="709"/>
        <w:gridCol w:w="1418"/>
        <w:gridCol w:w="934"/>
        <w:gridCol w:w="1050"/>
        <w:gridCol w:w="851"/>
        <w:gridCol w:w="420"/>
        <w:gridCol w:w="1139"/>
        <w:gridCol w:w="3798"/>
      </w:tblGrid>
      <w:tr w:rsidR="006C686E" w14:paraId="434CF453" w14:textId="77777777" w:rsidTr="00A66BC8">
        <w:trPr>
          <w:trHeight w:val="300"/>
          <w:tblHeader/>
        </w:trPr>
        <w:tc>
          <w:tcPr>
            <w:tcW w:w="1048" w:type="dxa"/>
            <w:vMerge w:val="restart"/>
            <w:shd w:val="clear" w:color="auto" w:fill="BDD6EE"/>
            <w:vAlign w:val="center"/>
            <w:hideMark/>
          </w:tcPr>
          <w:p w14:paraId="600817D4" w14:textId="77777777" w:rsidR="006C686E" w:rsidRDefault="00B17E8C">
            <w:pPr>
              <w:pStyle w:val="P68B1DB1-Normal9"/>
              <w:spacing w:after="0" w:line="240" w:lineRule="auto"/>
              <w:jc w:val="center"/>
              <w:rPr>
                <w:rFonts w:eastAsia="Times New Roman"/>
                <w:noProof/>
              </w:rPr>
            </w:pPr>
            <w:r>
              <w:rPr>
                <w:noProof/>
              </w:rPr>
              <w:t>Numéro séquentiel</w:t>
            </w:r>
          </w:p>
        </w:tc>
        <w:tc>
          <w:tcPr>
            <w:tcW w:w="1391" w:type="dxa"/>
            <w:vMerge w:val="restart"/>
            <w:shd w:val="clear" w:color="auto" w:fill="BDD6EE"/>
            <w:vAlign w:val="center"/>
            <w:hideMark/>
          </w:tcPr>
          <w:p w14:paraId="3187095E"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701" w:type="dxa"/>
            <w:vMerge w:val="restart"/>
            <w:shd w:val="clear" w:color="auto" w:fill="BDD6EE"/>
            <w:vAlign w:val="center"/>
            <w:hideMark/>
          </w:tcPr>
          <w:p w14:paraId="247F1D76" w14:textId="77777777" w:rsidR="006C686E" w:rsidRDefault="00B17E8C">
            <w:pPr>
              <w:pStyle w:val="P68B1DB1-Normal9"/>
              <w:spacing w:after="0" w:line="240" w:lineRule="auto"/>
              <w:jc w:val="center"/>
              <w:rPr>
                <w:rFonts w:eastAsia="Times New Roman"/>
                <w:noProof/>
              </w:rPr>
            </w:pPr>
            <w:r>
              <w:rPr>
                <w:noProof/>
              </w:rPr>
              <w:t>Étape/objectif</w:t>
            </w:r>
          </w:p>
        </w:tc>
        <w:tc>
          <w:tcPr>
            <w:tcW w:w="709" w:type="dxa"/>
            <w:vMerge w:val="restart"/>
            <w:shd w:val="clear" w:color="auto" w:fill="BDD6EE"/>
            <w:vAlign w:val="center"/>
            <w:hideMark/>
          </w:tcPr>
          <w:p w14:paraId="3B9A0831" w14:textId="77777777" w:rsidR="006C686E" w:rsidRDefault="00B17E8C">
            <w:pPr>
              <w:pStyle w:val="P68B1DB1-Normal9"/>
              <w:spacing w:after="0" w:line="240" w:lineRule="auto"/>
              <w:jc w:val="center"/>
              <w:rPr>
                <w:rFonts w:eastAsia="Times New Roman"/>
                <w:noProof/>
              </w:rPr>
            </w:pPr>
            <w:r>
              <w:rPr>
                <w:noProof/>
              </w:rPr>
              <w:t>Nom</w:t>
            </w:r>
          </w:p>
        </w:tc>
        <w:tc>
          <w:tcPr>
            <w:tcW w:w="1418" w:type="dxa"/>
            <w:vMerge w:val="restart"/>
            <w:shd w:val="clear" w:color="auto" w:fill="BDD6EE"/>
            <w:vAlign w:val="center"/>
            <w:hideMark/>
          </w:tcPr>
          <w:p w14:paraId="1F390EDA"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2835" w:type="dxa"/>
            <w:gridSpan w:val="3"/>
            <w:shd w:val="clear" w:color="auto" w:fill="BDD6EE"/>
            <w:vAlign w:val="center"/>
            <w:hideMark/>
          </w:tcPr>
          <w:p w14:paraId="6AFB8CDF"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559" w:type="dxa"/>
            <w:gridSpan w:val="2"/>
            <w:shd w:val="clear" w:color="auto" w:fill="BDD6EE"/>
            <w:vAlign w:val="center"/>
            <w:hideMark/>
          </w:tcPr>
          <w:p w14:paraId="4F583262"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3798" w:type="dxa"/>
            <w:vMerge w:val="restart"/>
            <w:shd w:val="clear" w:color="auto" w:fill="BDD6EE"/>
            <w:vAlign w:val="center"/>
            <w:hideMark/>
          </w:tcPr>
          <w:p w14:paraId="0591BEAF"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40B53B72" w14:textId="77777777" w:rsidTr="00A66BC8">
        <w:trPr>
          <w:trHeight w:val="300"/>
          <w:tblHeader/>
        </w:trPr>
        <w:tc>
          <w:tcPr>
            <w:tcW w:w="1048" w:type="dxa"/>
            <w:vMerge/>
            <w:vAlign w:val="center"/>
            <w:hideMark/>
          </w:tcPr>
          <w:p w14:paraId="7A45E931"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391" w:type="dxa"/>
            <w:vMerge/>
            <w:vAlign w:val="center"/>
            <w:hideMark/>
          </w:tcPr>
          <w:p w14:paraId="67100338"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701" w:type="dxa"/>
            <w:vMerge/>
            <w:vAlign w:val="center"/>
            <w:hideMark/>
          </w:tcPr>
          <w:p w14:paraId="6C587673"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709" w:type="dxa"/>
            <w:vMerge/>
            <w:vAlign w:val="center"/>
            <w:hideMark/>
          </w:tcPr>
          <w:p w14:paraId="18C50454"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5943C961"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934" w:type="dxa"/>
            <w:shd w:val="clear" w:color="auto" w:fill="BDD6EE"/>
            <w:vAlign w:val="center"/>
            <w:hideMark/>
          </w:tcPr>
          <w:p w14:paraId="1891774A" w14:textId="77777777" w:rsidR="006C686E" w:rsidRDefault="00B17E8C">
            <w:pPr>
              <w:pStyle w:val="P68B1DB1-Normal9"/>
              <w:spacing w:after="0" w:line="240" w:lineRule="auto"/>
              <w:jc w:val="center"/>
              <w:rPr>
                <w:rFonts w:eastAsia="Times New Roman"/>
                <w:noProof/>
              </w:rPr>
            </w:pPr>
            <w:r>
              <w:rPr>
                <w:noProof/>
              </w:rPr>
              <w:t>Unité de mesure</w:t>
            </w:r>
          </w:p>
        </w:tc>
        <w:tc>
          <w:tcPr>
            <w:tcW w:w="1050" w:type="dxa"/>
            <w:shd w:val="clear" w:color="auto" w:fill="BDD6EE"/>
            <w:vAlign w:val="center"/>
            <w:hideMark/>
          </w:tcPr>
          <w:p w14:paraId="1F9A1EB0" w14:textId="77777777" w:rsidR="006C686E" w:rsidRDefault="00B17E8C">
            <w:pPr>
              <w:pStyle w:val="P68B1DB1-Normal9"/>
              <w:spacing w:after="0" w:line="240" w:lineRule="auto"/>
              <w:jc w:val="center"/>
              <w:rPr>
                <w:rFonts w:eastAsia="Times New Roman"/>
                <w:noProof/>
              </w:rPr>
            </w:pPr>
            <w:r>
              <w:rPr>
                <w:noProof/>
              </w:rPr>
              <w:t>Données de référence</w:t>
            </w:r>
          </w:p>
        </w:tc>
        <w:tc>
          <w:tcPr>
            <w:tcW w:w="851" w:type="dxa"/>
            <w:shd w:val="clear" w:color="auto" w:fill="BDD6EE"/>
            <w:vAlign w:val="center"/>
            <w:hideMark/>
          </w:tcPr>
          <w:p w14:paraId="76980061" w14:textId="77777777" w:rsidR="006C686E" w:rsidRDefault="00B17E8C">
            <w:pPr>
              <w:pStyle w:val="P68B1DB1-Normal9"/>
              <w:spacing w:after="0" w:line="240" w:lineRule="auto"/>
              <w:jc w:val="center"/>
              <w:rPr>
                <w:rFonts w:eastAsia="Times New Roman"/>
                <w:noProof/>
              </w:rPr>
            </w:pPr>
            <w:r>
              <w:rPr>
                <w:noProof/>
              </w:rPr>
              <w:t>Objectif</w:t>
            </w:r>
          </w:p>
        </w:tc>
        <w:tc>
          <w:tcPr>
            <w:tcW w:w="420" w:type="dxa"/>
            <w:shd w:val="clear" w:color="auto" w:fill="BDD6EE"/>
            <w:vAlign w:val="center"/>
            <w:hideMark/>
          </w:tcPr>
          <w:p w14:paraId="40537D27" w14:textId="77777777" w:rsidR="006C686E" w:rsidRDefault="00B17E8C">
            <w:pPr>
              <w:pStyle w:val="P68B1DB1-Normal9"/>
              <w:spacing w:after="0" w:line="240" w:lineRule="auto"/>
              <w:jc w:val="center"/>
              <w:rPr>
                <w:rFonts w:eastAsia="Times New Roman"/>
                <w:noProof/>
              </w:rPr>
            </w:pPr>
            <w:r>
              <w:rPr>
                <w:noProof/>
              </w:rPr>
              <w:t>Q</w:t>
            </w:r>
          </w:p>
        </w:tc>
        <w:tc>
          <w:tcPr>
            <w:tcW w:w="1139" w:type="dxa"/>
            <w:shd w:val="clear" w:color="auto" w:fill="BDD6EE"/>
            <w:vAlign w:val="center"/>
            <w:hideMark/>
          </w:tcPr>
          <w:p w14:paraId="5DF51B01" w14:textId="77777777" w:rsidR="006C686E" w:rsidRDefault="00B17E8C">
            <w:pPr>
              <w:pStyle w:val="P68B1DB1-Normal9"/>
              <w:spacing w:after="0" w:line="240" w:lineRule="auto"/>
              <w:jc w:val="center"/>
              <w:rPr>
                <w:rFonts w:eastAsia="Times New Roman"/>
                <w:noProof/>
              </w:rPr>
            </w:pPr>
            <w:r>
              <w:rPr>
                <w:noProof/>
              </w:rPr>
              <w:t>Année</w:t>
            </w:r>
          </w:p>
        </w:tc>
        <w:tc>
          <w:tcPr>
            <w:tcW w:w="3798" w:type="dxa"/>
            <w:vMerge/>
            <w:vAlign w:val="center"/>
            <w:hideMark/>
          </w:tcPr>
          <w:p w14:paraId="1F19ED67"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5EA6BC59" w14:textId="77777777" w:rsidTr="00A66BC8">
        <w:trPr>
          <w:trHeight w:val="300"/>
        </w:trPr>
        <w:tc>
          <w:tcPr>
            <w:tcW w:w="1048" w:type="dxa"/>
            <w:shd w:val="clear" w:color="auto" w:fill="C4EFCE"/>
            <w:vAlign w:val="center"/>
            <w:hideMark/>
          </w:tcPr>
          <w:p w14:paraId="03B652A5" w14:textId="77777777" w:rsidR="006C686E" w:rsidRDefault="00B17E8C">
            <w:pPr>
              <w:pStyle w:val="P68B1DB1-Normal10"/>
              <w:spacing w:after="0" w:line="240" w:lineRule="auto"/>
              <w:jc w:val="center"/>
              <w:rPr>
                <w:rFonts w:eastAsia="Times New Roman"/>
                <w:noProof/>
              </w:rPr>
            </w:pPr>
            <w:r>
              <w:rPr>
                <w:noProof/>
              </w:rPr>
              <w:t>19.1</w:t>
            </w:r>
          </w:p>
        </w:tc>
        <w:tc>
          <w:tcPr>
            <w:tcW w:w="1391" w:type="dxa"/>
            <w:shd w:val="clear" w:color="auto" w:fill="C4EFCE"/>
            <w:noWrap/>
            <w:vAlign w:val="center"/>
            <w:hideMark/>
          </w:tcPr>
          <w:p w14:paraId="048D2956" w14:textId="77777777" w:rsidR="006C686E" w:rsidRDefault="00B17E8C">
            <w:pPr>
              <w:pStyle w:val="P68B1DB1-Normal11"/>
              <w:spacing w:after="0" w:line="240" w:lineRule="auto"/>
              <w:jc w:val="center"/>
              <w:rPr>
                <w:rFonts w:eastAsia="Times New Roman"/>
                <w:noProof/>
              </w:rPr>
            </w:pPr>
            <w:r>
              <w:rPr>
                <w:noProof/>
              </w:rPr>
              <w:t>TD-C19-i01</w:t>
            </w:r>
          </w:p>
        </w:tc>
        <w:tc>
          <w:tcPr>
            <w:tcW w:w="1701" w:type="dxa"/>
            <w:shd w:val="clear" w:color="auto" w:fill="C4EFCE"/>
            <w:noWrap/>
            <w:vAlign w:val="center"/>
            <w:hideMark/>
          </w:tcPr>
          <w:p w14:paraId="36776DDB"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1EBE4B71" w14:textId="77777777" w:rsidR="006C686E" w:rsidRDefault="00B17E8C">
            <w:pPr>
              <w:pStyle w:val="P68B1DB1-Normal11"/>
              <w:spacing w:after="0" w:line="240" w:lineRule="auto"/>
              <w:jc w:val="center"/>
              <w:rPr>
                <w:rFonts w:eastAsia="Times New Roman"/>
                <w:noProof/>
              </w:rPr>
            </w:pPr>
            <w:r>
              <w:rPr>
                <w:noProof/>
              </w:rPr>
              <w:t>Des services publics disponibles de manière simplifiée et cohérente par différents canaux</w:t>
            </w:r>
          </w:p>
        </w:tc>
        <w:tc>
          <w:tcPr>
            <w:tcW w:w="1418" w:type="dxa"/>
            <w:shd w:val="clear" w:color="auto" w:fill="C4EFCE"/>
            <w:noWrap/>
            <w:vAlign w:val="center"/>
            <w:hideMark/>
          </w:tcPr>
          <w:p w14:paraId="05610293" w14:textId="77777777" w:rsidR="006C686E" w:rsidRDefault="00B17E8C">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75AC70AE"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hideMark/>
          </w:tcPr>
          <w:p w14:paraId="736BB4A6"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05FE44D0" w14:textId="77777777" w:rsidR="006C686E" w:rsidRDefault="00B17E8C">
            <w:pPr>
              <w:pStyle w:val="P68B1DB1-Normal11"/>
              <w:spacing w:after="0" w:line="240" w:lineRule="auto"/>
              <w:jc w:val="center"/>
              <w:rPr>
                <w:rFonts w:eastAsia="Times New Roman"/>
                <w:noProof/>
              </w:rPr>
            </w:pPr>
            <w:r>
              <w:rPr>
                <w:noProof/>
              </w:rPr>
              <w:t>5</w:t>
            </w:r>
          </w:p>
        </w:tc>
        <w:tc>
          <w:tcPr>
            <w:tcW w:w="420" w:type="dxa"/>
            <w:shd w:val="clear" w:color="auto" w:fill="C4EFCE"/>
            <w:noWrap/>
            <w:vAlign w:val="center"/>
            <w:hideMark/>
          </w:tcPr>
          <w:p w14:paraId="06A28076"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2326D861" w14:textId="77777777" w:rsidR="006C686E" w:rsidRDefault="00B17E8C">
            <w:pPr>
              <w:pStyle w:val="P68B1DB1-Normal11"/>
              <w:spacing w:after="0" w:line="240" w:lineRule="auto"/>
              <w:jc w:val="center"/>
              <w:rPr>
                <w:rFonts w:eastAsia="Times New Roman"/>
                <w:noProof/>
              </w:rPr>
            </w:pPr>
            <w:r>
              <w:rPr>
                <w:noProof/>
              </w:rPr>
              <w:t>2022</w:t>
            </w:r>
          </w:p>
        </w:tc>
        <w:tc>
          <w:tcPr>
            <w:tcW w:w="3798" w:type="dxa"/>
            <w:shd w:val="clear" w:color="auto" w:fill="C4EFCE"/>
            <w:vAlign w:val="center"/>
            <w:hideMark/>
          </w:tcPr>
          <w:p w14:paraId="2447CCD8" w14:textId="77777777" w:rsidR="006C686E" w:rsidRDefault="00B17E8C">
            <w:pPr>
              <w:pStyle w:val="P68B1DB1-Normal11"/>
              <w:spacing w:after="0" w:line="240" w:lineRule="auto"/>
              <w:jc w:val="both"/>
              <w:rPr>
                <w:rFonts w:eastAsia="Times New Roman"/>
                <w:noProof/>
              </w:rPr>
            </w:pPr>
            <w:r>
              <w:rPr>
                <w:noProof/>
              </w:rPr>
              <w:t xml:space="preserve">Nombre de services qui sont enregistrés dans le catalogue amélioré des entités et des services et qui sont disponibles par l’intermédiaire de plusieurs canaux: portail unique de services numériques, centre de contact, </w:t>
            </w:r>
            <w:r>
              <w:rPr>
                <w:i/>
                <w:noProof/>
              </w:rPr>
              <w:t>Lojas do Cidadão</w:t>
            </w:r>
            <w:r>
              <w:rPr>
                <w:noProof/>
              </w:rPr>
              <w:t xml:space="preserve"> / </w:t>
            </w:r>
            <w:r>
              <w:rPr>
                <w:i/>
                <w:noProof/>
              </w:rPr>
              <w:t>Espaços Cidadão.</w:t>
            </w:r>
            <w:r>
              <w:rPr>
                <w:noProof/>
              </w:rPr>
              <w:t xml:space="preserve"> </w:t>
            </w:r>
          </w:p>
          <w:p w14:paraId="718A3882" w14:textId="0B55D504" w:rsidR="006C686E" w:rsidRDefault="00B17E8C">
            <w:pPr>
              <w:pStyle w:val="P68B1DB1-Normal11"/>
              <w:spacing w:after="0" w:line="240" w:lineRule="auto"/>
              <w:jc w:val="both"/>
              <w:rPr>
                <w:rFonts w:eastAsia="Times New Roman"/>
                <w:noProof/>
              </w:rPr>
            </w:pPr>
            <w:r>
              <w:rPr>
                <w:noProof/>
              </w:rPr>
              <w:t>Cet indicateur implique de repenser ces services selon le principe «une fois pour toutes» et de les rendre disponibles dans une approche omnicanale.</w:t>
            </w:r>
          </w:p>
        </w:tc>
      </w:tr>
      <w:tr w:rsidR="006C686E" w14:paraId="37E282C5" w14:textId="77777777" w:rsidTr="00A66BC8">
        <w:trPr>
          <w:trHeight w:val="300"/>
        </w:trPr>
        <w:tc>
          <w:tcPr>
            <w:tcW w:w="1048" w:type="dxa"/>
            <w:shd w:val="clear" w:color="auto" w:fill="C4EFCE"/>
            <w:vAlign w:val="center"/>
            <w:hideMark/>
          </w:tcPr>
          <w:p w14:paraId="3D949C8A" w14:textId="77777777" w:rsidR="006C686E" w:rsidRDefault="00B17E8C">
            <w:pPr>
              <w:pStyle w:val="P68B1DB1-Normal10"/>
              <w:spacing w:after="0" w:line="240" w:lineRule="auto"/>
              <w:jc w:val="center"/>
              <w:rPr>
                <w:rFonts w:eastAsia="Times New Roman"/>
                <w:noProof/>
              </w:rPr>
            </w:pPr>
            <w:r>
              <w:rPr>
                <w:noProof/>
              </w:rPr>
              <w:t>19.2</w:t>
            </w:r>
          </w:p>
        </w:tc>
        <w:tc>
          <w:tcPr>
            <w:tcW w:w="1391" w:type="dxa"/>
            <w:shd w:val="clear" w:color="auto" w:fill="C4EFCE"/>
            <w:noWrap/>
            <w:vAlign w:val="center"/>
            <w:hideMark/>
          </w:tcPr>
          <w:p w14:paraId="09463DCB" w14:textId="77777777" w:rsidR="006C686E" w:rsidRDefault="00B17E8C">
            <w:pPr>
              <w:pStyle w:val="P68B1DB1-Normal11"/>
              <w:spacing w:after="0" w:line="240" w:lineRule="auto"/>
              <w:jc w:val="center"/>
              <w:rPr>
                <w:rFonts w:eastAsia="Times New Roman"/>
                <w:noProof/>
              </w:rPr>
            </w:pPr>
            <w:r>
              <w:rPr>
                <w:noProof/>
              </w:rPr>
              <w:t>TD-C19-i01</w:t>
            </w:r>
          </w:p>
        </w:tc>
        <w:tc>
          <w:tcPr>
            <w:tcW w:w="1701" w:type="dxa"/>
            <w:shd w:val="clear" w:color="auto" w:fill="C4EFCE"/>
            <w:noWrap/>
            <w:vAlign w:val="center"/>
            <w:hideMark/>
          </w:tcPr>
          <w:p w14:paraId="66BD382F"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0421600F" w14:textId="77777777" w:rsidR="006C686E" w:rsidRDefault="00B17E8C">
            <w:pPr>
              <w:pStyle w:val="P68B1DB1-Normal11"/>
              <w:spacing w:after="0" w:line="240" w:lineRule="auto"/>
              <w:jc w:val="center"/>
              <w:rPr>
                <w:rFonts w:eastAsia="Times New Roman"/>
                <w:noProof/>
              </w:rPr>
            </w:pPr>
            <w:r>
              <w:rPr>
                <w:noProof/>
              </w:rPr>
              <w:t>Services publics disponibles par différents canaux</w:t>
            </w:r>
          </w:p>
        </w:tc>
        <w:tc>
          <w:tcPr>
            <w:tcW w:w="1418" w:type="dxa"/>
            <w:shd w:val="clear" w:color="auto" w:fill="C4EFCE"/>
            <w:noWrap/>
            <w:vAlign w:val="center"/>
            <w:hideMark/>
          </w:tcPr>
          <w:p w14:paraId="0F6ED207" w14:textId="77777777" w:rsidR="006C686E" w:rsidRDefault="00B17E8C">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297C2153"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hideMark/>
          </w:tcPr>
          <w:p w14:paraId="1A172B45" w14:textId="77777777" w:rsidR="006C686E" w:rsidRDefault="00B17E8C">
            <w:pPr>
              <w:pStyle w:val="P68B1DB1-Normal11"/>
              <w:spacing w:after="0" w:line="240" w:lineRule="auto"/>
              <w:jc w:val="center"/>
              <w:rPr>
                <w:rFonts w:eastAsia="Times New Roman"/>
                <w:noProof/>
              </w:rPr>
            </w:pPr>
            <w:r>
              <w:rPr>
                <w:noProof/>
              </w:rPr>
              <w:t>5</w:t>
            </w:r>
          </w:p>
        </w:tc>
        <w:tc>
          <w:tcPr>
            <w:tcW w:w="851" w:type="dxa"/>
            <w:shd w:val="clear" w:color="auto" w:fill="C4EFCE"/>
            <w:noWrap/>
            <w:vAlign w:val="center"/>
            <w:hideMark/>
          </w:tcPr>
          <w:p w14:paraId="05E3BFCD" w14:textId="77777777" w:rsidR="006C686E" w:rsidRDefault="00B17E8C">
            <w:pPr>
              <w:pStyle w:val="P68B1DB1-Normal11"/>
              <w:spacing w:after="0" w:line="240" w:lineRule="auto"/>
              <w:jc w:val="center"/>
              <w:rPr>
                <w:rFonts w:eastAsia="Times New Roman"/>
                <w:noProof/>
              </w:rPr>
            </w:pPr>
            <w:r>
              <w:rPr>
                <w:noProof/>
              </w:rPr>
              <w:t>25</w:t>
            </w:r>
          </w:p>
        </w:tc>
        <w:tc>
          <w:tcPr>
            <w:tcW w:w="420" w:type="dxa"/>
            <w:shd w:val="clear" w:color="auto" w:fill="C4EFCE"/>
            <w:noWrap/>
            <w:vAlign w:val="center"/>
            <w:hideMark/>
          </w:tcPr>
          <w:p w14:paraId="0D41C4C3" w14:textId="1235DD45"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2F26238A" w14:textId="37764F59"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hideMark/>
          </w:tcPr>
          <w:p w14:paraId="652E2F89" w14:textId="190EE855" w:rsidR="006C686E" w:rsidRDefault="00B17E8C">
            <w:pPr>
              <w:pStyle w:val="P68B1DB1-Normal11"/>
              <w:spacing w:after="0" w:line="240" w:lineRule="auto"/>
              <w:jc w:val="both"/>
              <w:rPr>
                <w:rFonts w:eastAsia="Times New Roman"/>
                <w:noProof/>
              </w:rPr>
            </w:pPr>
            <w:r>
              <w:rPr>
                <w:noProof/>
              </w:rPr>
              <w:t xml:space="preserve">Nombre de services disponibles via plusieurs canaux, par exemple: portail unique de services numériques, centre de contact, </w:t>
            </w:r>
            <w:r>
              <w:rPr>
                <w:i/>
                <w:noProof/>
              </w:rPr>
              <w:t>Lojas do Cidadão</w:t>
            </w:r>
            <w:r>
              <w:rPr>
                <w:noProof/>
              </w:rPr>
              <w:t xml:space="preserve"> / </w:t>
            </w:r>
            <w:r>
              <w:rPr>
                <w:i/>
                <w:noProof/>
              </w:rPr>
              <w:t>Espaços Cidadão.</w:t>
            </w:r>
            <w:r>
              <w:rPr>
                <w:noProof/>
              </w:rPr>
              <w:t xml:space="preserve"> </w:t>
            </w:r>
          </w:p>
        </w:tc>
      </w:tr>
      <w:tr w:rsidR="006C686E" w14:paraId="75DA90A4" w14:textId="77777777" w:rsidTr="00A66BC8">
        <w:trPr>
          <w:trHeight w:val="1660"/>
        </w:trPr>
        <w:tc>
          <w:tcPr>
            <w:tcW w:w="1048" w:type="dxa"/>
            <w:shd w:val="clear" w:color="auto" w:fill="C4EFCE"/>
            <w:vAlign w:val="center"/>
            <w:hideMark/>
          </w:tcPr>
          <w:p w14:paraId="07BF9DE8" w14:textId="77777777" w:rsidR="006C686E" w:rsidRDefault="00B17E8C">
            <w:pPr>
              <w:pStyle w:val="P68B1DB1-Normal10"/>
              <w:spacing w:after="0" w:line="240" w:lineRule="auto"/>
              <w:jc w:val="center"/>
              <w:rPr>
                <w:rFonts w:eastAsia="Times New Roman"/>
                <w:noProof/>
              </w:rPr>
            </w:pPr>
            <w:r>
              <w:rPr>
                <w:noProof/>
              </w:rPr>
              <w:t>19.3</w:t>
            </w:r>
          </w:p>
        </w:tc>
        <w:tc>
          <w:tcPr>
            <w:tcW w:w="1391" w:type="dxa"/>
            <w:shd w:val="clear" w:color="auto" w:fill="C4EFCE"/>
            <w:noWrap/>
            <w:vAlign w:val="center"/>
            <w:hideMark/>
          </w:tcPr>
          <w:p w14:paraId="5D1974B1" w14:textId="77777777" w:rsidR="006C686E" w:rsidRDefault="00B17E8C">
            <w:pPr>
              <w:pStyle w:val="P68B1DB1-Normal11"/>
              <w:spacing w:after="0" w:line="240" w:lineRule="auto"/>
              <w:jc w:val="center"/>
              <w:rPr>
                <w:rFonts w:eastAsia="Times New Roman"/>
                <w:noProof/>
              </w:rPr>
            </w:pPr>
            <w:r>
              <w:rPr>
                <w:noProof/>
              </w:rPr>
              <w:t>TD-C19-i01</w:t>
            </w:r>
          </w:p>
        </w:tc>
        <w:tc>
          <w:tcPr>
            <w:tcW w:w="1701" w:type="dxa"/>
            <w:shd w:val="clear" w:color="auto" w:fill="C4EFCE"/>
            <w:noWrap/>
            <w:vAlign w:val="center"/>
            <w:hideMark/>
          </w:tcPr>
          <w:p w14:paraId="349E98F9"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435F46CC" w14:textId="4CA68B9D" w:rsidR="006C686E" w:rsidRDefault="00B17E8C">
            <w:pPr>
              <w:pStyle w:val="P68B1DB1-Normal11"/>
              <w:spacing w:after="0" w:line="240" w:lineRule="auto"/>
              <w:jc w:val="center"/>
              <w:rPr>
                <w:rFonts w:eastAsia="Times New Roman"/>
                <w:noProof/>
              </w:rPr>
            </w:pPr>
            <w:r>
              <w:rPr>
                <w:noProof/>
              </w:rPr>
              <w:t xml:space="preserve">Services consulaires numériques et </w:t>
            </w:r>
            <w:r>
              <w:rPr>
                <w:i/>
                <w:noProof/>
              </w:rPr>
              <w:t>Centros de Atendimento Consular</w:t>
            </w:r>
          </w:p>
        </w:tc>
        <w:tc>
          <w:tcPr>
            <w:tcW w:w="1418" w:type="dxa"/>
            <w:shd w:val="clear" w:color="auto" w:fill="C4EFCE"/>
            <w:noWrap/>
            <w:vAlign w:val="center"/>
            <w:hideMark/>
          </w:tcPr>
          <w:p w14:paraId="392BDEBF" w14:textId="19F1E091" w:rsidR="006C686E" w:rsidRDefault="00B17E8C">
            <w:pPr>
              <w:pStyle w:val="P68B1DB1-Normal13"/>
              <w:spacing w:after="0" w:line="240" w:lineRule="auto"/>
              <w:jc w:val="center"/>
              <w:rPr>
                <w:rFonts w:eastAsia="Times New Roman"/>
                <w:noProof/>
              </w:rPr>
            </w:pPr>
            <w:r>
              <w:rPr>
                <w:noProof/>
              </w:rPr>
              <w:t xml:space="preserve">Livraison ou disponibilité </w:t>
            </w:r>
            <w:r>
              <w:rPr>
                <w:noProof/>
                <w:kern w:val="0"/>
                <w14:ligatures w14:val="none"/>
              </w:rPr>
              <w:t xml:space="preserve">de services c onsulaires numériques et conclusion des travaux pour </w:t>
            </w:r>
            <w:r>
              <w:rPr>
                <w:i/>
                <w:noProof/>
                <w:kern w:val="0"/>
                <w14:ligatures w14:val="none"/>
              </w:rPr>
              <w:t>Centros de Atendimento Consular</w:t>
            </w:r>
            <w:r>
              <w:rPr>
                <w:noProof/>
                <w:kern w:val="0"/>
                <w14:ligatures w14:val="none"/>
              </w:rPr>
              <w:t xml:space="preserve"> </w:t>
            </w:r>
          </w:p>
        </w:tc>
        <w:tc>
          <w:tcPr>
            <w:tcW w:w="934" w:type="dxa"/>
            <w:shd w:val="clear" w:color="auto" w:fill="C4EFCE"/>
            <w:noWrap/>
            <w:vAlign w:val="center"/>
            <w:hideMark/>
          </w:tcPr>
          <w:p w14:paraId="630D08AC" w14:textId="77777777" w:rsidR="006C686E" w:rsidRDefault="00B17E8C">
            <w:pPr>
              <w:pStyle w:val="P68B1DB1-Normal11"/>
              <w:spacing w:after="0" w:line="240" w:lineRule="auto"/>
              <w:jc w:val="center"/>
              <w:rPr>
                <w:rFonts w:eastAsia="Times New Roman"/>
                <w:noProof/>
              </w:rPr>
            </w:pPr>
            <w:r>
              <w:rPr>
                <w:noProof/>
              </w:rPr>
              <w:t xml:space="preserve"> </w:t>
            </w:r>
          </w:p>
        </w:tc>
        <w:tc>
          <w:tcPr>
            <w:tcW w:w="1050" w:type="dxa"/>
            <w:shd w:val="clear" w:color="auto" w:fill="C4EFCE"/>
            <w:noWrap/>
            <w:vAlign w:val="center"/>
            <w:hideMark/>
          </w:tcPr>
          <w:p w14:paraId="06128CAC"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shd w:val="clear" w:color="auto" w:fill="C4EFCE"/>
            <w:noWrap/>
            <w:vAlign w:val="center"/>
            <w:hideMark/>
          </w:tcPr>
          <w:p w14:paraId="10AB6254" w14:textId="77777777" w:rsidR="006C686E" w:rsidRDefault="00B17E8C">
            <w:pPr>
              <w:pStyle w:val="P68B1DB1-Normal11"/>
              <w:spacing w:after="0" w:line="240" w:lineRule="auto"/>
              <w:jc w:val="center"/>
              <w:rPr>
                <w:rFonts w:eastAsia="Times New Roman"/>
                <w:noProof/>
              </w:rPr>
            </w:pPr>
            <w:r>
              <w:rPr>
                <w:noProof/>
              </w:rPr>
              <w:t xml:space="preserve"> </w:t>
            </w:r>
          </w:p>
        </w:tc>
        <w:tc>
          <w:tcPr>
            <w:tcW w:w="420" w:type="dxa"/>
            <w:shd w:val="clear" w:color="auto" w:fill="C4EFCE"/>
            <w:noWrap/>
            <w:vAlign w:val="center"/>
            <w:hideMark/>
          </w:tcPr>
          <w:p w14:paraId="19E7DAB4" w14:textId="4F3C5384"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6EBDE8FB" w14:textId="585CBDED"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202</w:t>
            </w:r>
            <w:r>
              <w:rPr>
                <w:noProof/>
              </w:rPr>
              <w:t>5</w:t>
            </w:r>
          </w:p>
        </w:tc>
        <w:tc>
          <w:tcPr>
            <w:tcW w:w="3798" w:type="dxa"/>
            <w:shd w:val="clear" w:color="auto" w:fill="C4EFCE"/>
            <w:vAlign w:val="center"/>
            <w:hideMark/>
          </w:tcPr>
          <w:p w14:paraId="10DDF552" w14:textId="77777777" w:rsidR="006C686E" w:rsidRDefault="00B17E8C">
            <w:pPr>
              <w:pStyle w:val="P68B1DB1-Normal13"/>
              <w:spacing w:after="0" w:line="240" w:lineRule="auto"/>
              <w:jc w:val="both"/>
              <w:rPr>
                <w:noProof/>
              </w:rPr>
            </w:pPr>
            <w:r>
              <w:rPr>
                <w:noProof/>
              </w:rPr>
              <w:t>D</w:t>
            </w:r>
            <w:r>
              <w:rPr>
                <w:noProof/>
                <w:kern w:val="0"/>
                <w14:ligatures w14:val="none"/>
              </w:rPr>
              <w:t xml:space="preserve"> livraison ou disponibilité de 10 services consulaires numériques </w:t>
            </w:r>
            <w:r>
              <w:rPr>
                <w:noProof/>
              </w:rPr>
              <w:t xml:space="preserve">pour les </w:t>
            </w:r>
            <w:r>
              <w:rPr>
                <w:noProof/>
                <w:kern w:val="0"/>
                <w14:ligatures w14:val="none"/>
              </w:rPr>
              <w:t>ressortissants/non-ressortissants à l'étranger.</w:t>
            </w:r>
          </w:p>
          <w:p w14:paraId="2E190D08" w14:textId="77777777" w:rsidR="006C686E" w:rsidRDefault="006C686E">
            <w:pPr>
              <w:spacing w:after="0" w:line="240" w:lineRule="auto"/>
              <w:jc w:val="both"/>
              <w:rPr>
                <w:rFonts w:ascii="Times New Roman" w:eastAsia="Calibri" w:hAnsi="Times New Roman" w:cs="Times New Roman"/>
                <w:noProof/>
                <w:kern w:val="0"/>
                <w:sz w:val="16"/>
                <w:szCs w:val="16"/>
                <w14:ligatures w14:val="none"/>
              </w:rPr>
            </w:pPr>
          </w:p>
          <w:p w14:paraId="2C3B312F" w14:textId="1215A5E7"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Conclusion des travaux pour </w:t>
            </w:r>
            <w:r>
              <w:rPr>
                <w:i/>
                <w:noProof/>
                <w:kern w:val="0"/>
                <w14:ligatures w14:val="none"/>
              </w:rPr>
              <w:t>Centros de Atendimento</w:t>
            </w:r>
            <w:r>
              <w:rPr>
                <w:noProof/>
                <w:kern w:val="0"/>
                <w14:ligatures w14:val="none"/>
              </w:rPr>
              <w:t xml:space="preserve"> </w:t>
            </w:r>
            <w:r>
              <w:rPr>
                <w:i/>
                <w:noProof/>
              </w:rPr>
              <w:t>C</w:t>
            </w:r>
            <w:r>
              <w:rPr>
                <w:i/>
                <w:noProof/>
                <w:kern w:val="0"/>
                <w14:ligatures w14:val="none"/>
              </w:rPr>
              <w:t xml:space="preserve"> onsular</w:t>
            </w:r>
            <w:r>
              <w:rPr>
                <w:noProof/>
              </w:rPr>
              <w:t>.</w:t>
            </w:r>
          </w:p>
        </w:tc>
      </w:tr>
      <w:tr w:rsidR="006C686E" w14:paraId="522816CB" w14:textId="77777777" w:rsidTr="00A66BC8">
        <w:trPr>
          <w:trHeight w:val="300"/>
        </w:trPr>
        <w:tc>
          <w:tcPr>
            <w:tcW w:w="1048" w:type="dxa"/>
            <w:shd w:val="clear" w:color="auto" w:fill="C4EFCE"/>
            <w:vAlign w:val="center"/>
          </w:tcPr>
          <w:p w14:paraId="5CEBE919" w14:textId="77777777" w:rsidR="006C686E" w:rsidRDefault="00B17E8C">
            <w:pPr>
              <w:pStyle w:val="P68B1DB1-Normal10"/>
              <w:spacing w:after="0" w:line="240" w:lineRule="auto"/>
              <w:jc w:val="center"/>
              <w:rPr>
                <w:rFonts w:eastAsia="Times New Roman"/>
                <w:noProof/>
              </w:rPr>
            </w:pPr>
            <w:r>
              <w:rPr>
                <w:noProof/>
              </w:rPr>
              <w:t>19.25</w:t>
            </w:r>
          </w:p>
        </w:tc>
        <w:tc>
          <w:tcPr>
            <w:tcW w:w="1391" w:type="dxa"/>
            <w:shd w:val="clear" w:color="auto" w:fill="C4EFCE"/>
            <w:noWrap/>
            <w:vAlign w:val="center"/>
          </w:tcPr>
          <w:p w14:paraId="615A584B" w14:textId="77777777" w:rsidR="006C686E" w:rsidRDefault="00B17E8C">
            <w:pPr>
              <w:pStyle w:val="P68B1DB1-Normal11"/>
              <w:spacing w:after="0" w:line="240" w:lineRule="auto"/>
              <w:jc w:val="center"/>
              <w:rPr>
                <w:rFonts w:eastAsia="Times New Roman"/>
                <w:noProof/>
              </w:rPr>
            </w:pPr>
            <w:r>
              <w:rPr>
                <w:noProof/>
              </w:rPr>
              <w:t>TD-C19-i01</w:t>
            </w:r>
          </w:p>
        </w:tc>
        <w:tc>
          <w:tcPr>
            <w:tcW w:w="1701" w:type="dxa"/>
            <w:shd w:val="clear" w:color="auto" w:fill="C4EFCE"/>
            <w:noWrap/>
            <w:vAlign w:val="center"/>
          </w:tcPr>
          <w:p w14:paraId="61FA2AE2"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tcPr>
          <w:p w14:paraId="554C00AF" w14:textId="77777777" w:rsidR="006C686E" w:rsidRDefault="00B17E8C">
            <w:pPr>
              <w:pStyle w:val="P68B1DB1-Normal11"/>
              <w:spacing w:after="0" w:line="240" w:lineRule="auto"/>
              <w:jc w:val="center"/>
              <w:rPr>
                <w:rFonts w:eastAsia="Times New Roman"/>
                <w:noProof/>
              </w:rPr>
            </w:pPr>
            <w:r>
              <w:rPr>
                <w:noProof/>
              </w:rPr>
              <w:t>Signature de protocoles ou conditions d'acceptation pour la mise en place de nouveaux commerces et espaces citoyens</w:t>
            </w:r>
          </w:p>
        </w:tc>
        <w:tc>
          <w:tcPr>
            <w:tcW w:w="1418" w:type="dxa"/>
            <w:shd w:val="clear" w:color="auto" w:fill="C4EFCE"/>
            <w:noWrap/>
            <w:vAlign w:val="center"/>
          </w:tcPr>
          <w:p w14:paraId="5FC31895" w14:textId="77777777" w:rsidR="006C686E" w:rsidRDefault="00B17E8C">
            <w:pPr>
              <w:pStyle w:val="P68B1DB1-Normal11"/>
              <w:spacing w:after="0" w:line="240" w:lineRule="auto"/>
              <w:jc w:val="center"/>
              <w:rPr>
                <w:rFonts w:eastAsia="Times New Roman"/>
                <w:noProof/>
              </w:rPr>
            </w:pPr>
            <w:r>
              <w:rPr>
                <w:noProof/>
              </w:rPr>
              <w:t>Protocoles signés</w:t>
            </w:r>
          </w:p>
        </w:tc>
        <w:tc>
          <w:tcPr>
            <w:tcW w:w="934" w:type="dxa"/>
            <w:shd w:val="clear" w:color="auto" w:fill="C4EFCE"/>
            <w:noWrap/>
            <w:vAlign w:val="center"/>
          </w:tcPr>
          <w:p w14:paraId="5A92F241"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50" w:type="dxa"/>
            <w:shd w:val="clear" w:color="auto" w:fill="C4EFCE"/>
            <w:noWrap/>
            <w:vAlign w:val="center"/>
          </w:tcPr>
          <w:p w14:paraId="5264978E"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shd w:val="clear" w:color="auto" w:fill="C4EFCE"/>
            <w:noWrap/>
            <w:vAlign w:val="center"/>
          </w:tcPr>
          <w:p w14:paraId="78170AA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0" w:type="dxa"/>
            <w:shd w:val="clear" w:color="auto" w:fill="C4EFCE"/>
            <w:noWrap/>
            <w:vAlign w:val="center"/>
          </w:tcPr>
          <w:p w14:paraId="2700DAB3" w14:textId="77777777" w:rsidR="006C686E" w:rsidRDefault="00B17E8C">
            <w:pPr>
              <w:pStyle w:val="P68B1DB1-Normal11"/>
              <w:spacing w:after="0" w:line="240" w:lineRule="auto"/>
              <w:jc w:val="center"/>
              <w:rPr>
                <w:rFonts w:eastAsia="Times New Roman"/>
                <w:noProof/>
              </w:rPr>
            </w:pPr>
            <w:r>
              <w:rPr>
                <w:noProof/>
              </w:rPr>
              <w:t>T3</w:t>
            </w:r>
          </w:p>
        </w:tc>
        <w:tc>
          <w:tcPr>
            <w:tcW w:w="1139" w:type="dxa"/>
            <w:shd w:val="clear" w:color="auto" w:fill="C4EFCE"/>
            <w:noWrap/>
            <w:vAlign w:val="center"/>
          </w:tcPr>
          <w:p w14:paraId="66D2CEAE" w14:textId="77777777" w:rsidR="006C686E" w:rsidRDefault="00B17E8C">
            <w:pPr>
              <w:pStyle w:val="P68B1DB1-Normal11"/>
              <w:spacing w:after="0" w:line="240" w:lineRule="auto"/>
              <w:jc w:val="center"/>
              <w:rPr>
                <w:rFonts w:eastAsia="Times New Roman"/>
                <w:noProof/>
              </w:rPr>
            </w:pPr>
            <w:r>
              <w:rPr>
                <w:noProof/>
              </w:rPr>
              <w:t>2024</w:t>
            </w:r>
          </w:p>
        </w:tc>
        <w:tc>
          <w:tcPr>
            <w:tcW w:w="3798" w:type="dxa"/>
            <w:shd w:val="clear" w:color="auto" w:fill="C4EFCE"/>
            <w:vAlign w:val="center"/>
          </w:tcPr>
          <w:p w14:paraId="404FD841" w14:textId="2C8C1B06" w:rsidR="006C686E" w:rsidRDefault="00B17E8C">
            <w:pPr>
              <w:pStyle w:val="P68B1DB1-Normal11"/>
              <w:spacing w:after="0" w:line="240" w:lineRule="auto"/>
              <w:jc w:val="both"/>
              <w:rPr>
                <w:noProof/>
              </w:rPr>
            </w:pPr>
            <w:r>
              <w:rPr>
                <w:noProof/>
              </w:rPr>
              <w:t>Signature de protocoles ou de conditions d’acceptation pour la création de 31 nouveaux magasins citoyens (Lojas</w:t>
            </w:r>
            <w:r>
              <w:rPr>
                <w:i/>
                <w:noProof/>
              </w:rPr>
              <w:t xml:space="preserve"> de Cidadão)</w:t>
            </w:r>
            <w:r>
              <w:rPr>
                <w:noProof/>
              </w:rPr>
              <w:t xml:space="preserve"> et de 400 nouveaux espaces citoyens (Espaços</w:t>
            </w:r>
            <w:r>
              <w:rPr>
                <w:i/>
                <w:noProof/>
              </w:rPr>
              <w:t xml:space="preserve"> Cidadão).</w:t>
            </w:r>
          </w:p>
        </w:tc>
      </w:tr>
      <w:tr w:rsidR="006C686E" w14:paraId="1A08BD98" w14:textId="77777777" w:rsidTr="00A66BC8">
        <w:trPr>
          <w:trHeight w:val="1024"/>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66FF5A23" w14:textId="77777777" w:rsidR="006C686E" w:rsidRDefault="00B17E8C">
            <w:pPr>
              <w:pStyle w:val="P68B1DB1-Normal10"/>
              <w:spacing w:after="0" w:line="240" w:lineRule="auto"/>
              <w:jc w:val="center"/>
              <w:rPr>
                <w:rFonts w:eastAsia="Times New Roman"/>
                <w:noProof/>
              </w:rPr>
            </w:pPr>
            <w:r>
              <w:rPr>
                <w:noProof/>
              </w:rPr>
              <w:t>19.26</w:t>
            </w:r>
          </w:p>
        </w:tc>
        <w:tc>
          <w:tcPr>
            <w:tcW w:w="139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31DC3C" w14:textId="77777777" w:rsidR="006C686E" w:rsidRDefault="00B17E8C">
            <w:pPr>
              <w:pStyle w:val="P68B1DB1-Normal11"/>
              <w:spacing w:after="0" w:line="240" w:lineRule="auto"/>
              <w:jc w:val="center"/>
              <w:rPr>
                <w:rFonts w:eastAsia="Times New Roman"/>
                <w:noProof/>
              </w:rPr>
            </w:pPr>
            <w:r>
              <w:rPr>
                <w:noProof/>
              </w:rPr>
              <w:t>TD-C19-i01</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DADCBD" w14:textId="77777777" w:rsidR="006C686E" w:rsidRDefault="00B17E8C">
            <w:pPr>
              <w:pStyle w:val="P68B1DB1-Normal11"/>
              <w:spacing w:after="0" w:line="240" w:lineRule="auto"/>
              <w:jc w:val="center"/>
              <w:rPr>
                <w:rFonts w:eastAsia="Times New Roman"/>
                <w:noProof/>
              </w:rPr>
            </w:pPr>
            <w:r>
              <w:rPr>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530AB6" w14:textId="7CE14D9A" w:rsidR="006C686E" w:rsidRDefault="00B17E8C">
            <w:pPr>
              <w:pStyle w:val="P68B1DB1-Normal11"/>
              <w:spacing w:after="0" w:line="240" w:lineRule="auto"/>
              <w:jc w:val="center"/>
              <w:rPr>
                <w:rFonts w:eastAsia="Times New Roman"/>
                <w:noProof/>
              </w:rPr>
            </w:pPr>
            <w:r>
              <w:rPr>
                <w:noProof/>
              </w:rPr>
              <w:t>Boutiques et espaces citoyens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CECFF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0D2D7E" w14:textId="77777777" w:rsidR="006C686E" w:rsidRDefault="00B17E8C">
            <w:pPr>
              <w:pStyle w:val="P68B1DB1-Normal11"/>
              <w:spacing w:after="0" w:line="240" w:lineRule="auto"/>
              <w:jc w:val="center"/>
              <w:rPr>
                <w:rFonts w:eastAsia="Times New Roman"/>
                <w:noProof/>
              </w:rPr>
            </w:pPr>
            <w:r>
              <w:rPr>
                <w:noProof/>
              </w:rPr>
              <w:t>Numéro</w:t>
            </w:r>
          </w:p>
        </w:tc>
        <w:tc>
          <w:tcPr>
            <w:tcW w:w="10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9710CC"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6C034E" w14:textId="60C52B68" w:rsidR="006C686E" w:rsidRDefault="00B17E8C">
            <w:pPr>
              <w:pStyle w:val="P68B1DB1-Normal11"/>
              <w:spacing w:after="0" w:line="240" w:lineRule="auto"/>
              <w:jc w:val="center"/>
              <w:rPr>
                <w:rFonts w:eastAsia="Times New Roman"/>
                <w:noProof/>
              </w:rPr>
            </w:pPr>
            <w:r>
              <w:rPr>
                <w:noProof/>
              </w:rPr>
              <w:t>425</w:t>
            </w:r>
          </w:p>
        </w:tc>
        <w:tc>
          <w:tcPr>
            <w:tcW w:w="42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C78CB7" w14:textId="77777777" w:rsidR="006C686E" w:rsidRDefault="00B17E8C">
            <w:pPr>
              <w:pStyle w:val="P68B1DB1-Normal11"/>
              <w:spacing w:after="0" w:line="240" w:lineRule="auto"/>
              <w:jc w:val="center"/>
              <w:rPr>
                <w:rFonts w:eastAsia="Times New Roman"/>
                <w:noProof/>
              </w:rPr>
            </w:pPr>
            <w:r>
              <w:rPr>
                <w:noProof/>
              </w:rPr>
              <w:t>T2</w:t>
            </w:r>
          </w:p>
        </w:tc>
        <w:tc>
          <w:tcPr>
            <w:tcW w:w="11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6E5054" w14:textId="77777777" w:rsidR="006C686E" w:rsidRDefault="00B17E8C">
            <w:pPr>
              <w:pStyle w:val="P68B1DB1-Normal11"/>
              <w:spacing w:after="0" w:line="240" w:lineRule="auto"/>
              <w:jc w:val="center"/>
              <w:rPr>
                <w:rFonts w:eastAsia="Times New Roman"/>
                <w:noProof/>
              </w:rPr>
            </w:pPr>
            <w:r>
              <w:rPr>
                <w:noProof/>
              </w:rPr>
              <w:t>2026</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710C6621" w14:textId="073CFBFA" w:rsidR="006C686E" w:rsidRDefault="00B17E8C">
            <w:pPr>
              <w:pStyle w:val="P68B1DB1-Normal13"/>
              <w:spacing w:after="200" w:line="240" w:lineRule="auto"/>
              <w:jc w:val="both"/>
              <w:rPr>
                <w:rFonts w:eastAsia="Times New Roman"/>
                <w:noProof/>
                <w:kern w:val="0"/>
                <w14:ligatures w14:val="none"/>
              </w:rPr>
            </w:pPr>
            <w:r>
              <w:rPr>
                <w:noProof/>
              </w:rPr>
              <w:t>25</w:t>
            </w:r>
            <w:r>
              <w:rPr>
                <w:noProof/>
                <w:kern w:val="0"/>
                <w14:ligatures w14:val="none"/>
              </w:rPr>
              <w:t xml:space="preserve"> magasins citoyens (Lojas</w:t>
            </w:r>
            <w:r>
              <w:rPr>
                <w:i/>
                <w:noProof/>
                <w:kern w:val="0"/>
                <w14:ligatures w14:val="none"/>
              </w:rPr>
              <w:t xml:space="preserve"> de Cidadão ) construits</w:t>
            </w:r>
            <w:r>
              <w:rPr>
                <w:noProof/>
                <w:kern w:val="0"/>
                <w14:ligatures w14:val="none"/>
              </w:rPr>
              <w:t xml:space="preserve"> ou rénovés et 400 espaces citoyens (Espaços</w:t>
            </w:r>
            <w:r>
              <w:rPr>
                <w:i/>
                <w:noProof/>
                <w:kern w:val="0"/>
                <w14:ligatures w14:val="none"/>
              </w:rPr>
              <w:t xml:space="preserve"> Cidadão</w:t>
            </w:r>
            <w:r>
              <w:rPr>
                <w:noProof/>
                <w:kern w:val="0"/>
                <w14:ligatures w14:val="none"/>
              </w:rPr>
              <w:t>) disponibles.</w:t>
            </w:r>
          </w:p>
          <w:p w14:paraId="03B6E200" w14:textId="77777777" w:rsidR="006C686E" w:rsidRDefault="00B17E8C">
            <w:pPr>
              <w:pStyle w:val="P68B1DB1-Normal11"/>
              <w:spacing w:after="200" w:line="240" w:lineRule="auto"/>
              <w:jc w:val="both"/>
              <w:rPr>
                <w:rFonts w:eastAsia="Times New Roman"/>
                <w:noProof/>
              </w:rPr>
            </w:pPr>
            <w:r>
              <w:rPr>
                <w:noProof/>
              </w:rPr>
              <w:t>Les bâtiments neufs ont des besoins en énergie primaire inférieurs d’au moins 20 % à la norme sur les bâtiments à consommation d’énergie quasi nulle.</w:t>
            </w:r>
          </w:p>
        </w:tc>
      </w:tr>
      <w:tr w:rsidR="006C686E" w14:paraId="11093E73" w14:textId="77777777" w:rsidTr="00A66BC8">
        <w:trPr>
          <w:trHeight w:val="870"/>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5C5E2E68" w14:textId="77777777" w:rsidR="006C686E" w:rsidRDefault="00B17E8C">
            <w:pPr>
              <w:pStyle w:val="P68B1DB1-Normal10"/>
              <w:spacing w:after="0" w:line="240" w:lineRule="auto"/>
              <w:jc w:val="center"/>
              <w:rPr>
                <w:rFonts w:eastAsia="Times New Roman"/>
                <w:noProof/>
              </w:rPr>
            </w:pPr>
            <w:r>
              <w:rPr>
                <w:noProof/>
              </w:rPr>
              <w:t>19.27</w:t>
            </w:r>
          </w:p>
        </w:tc>
        <w:tc>
          <w:tcPr>
            <w:tcW w:w="139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2742D8" w14:textId="77777777" w:rsidR="006C686E" w:rsidRDefault="00B17E8C">
            <w:pPr>
              <w:pStyle w:val="P68B1DB1-Normal11"/>
              <w:spacing w:after="0" w:line="240" w:lineRule="auto"/>
              <w:jc w:val="center"/>
              <w:rPr>
                <w:rFonts w:eastAsia="Times New Roman"/>
                <w:noProof/>
              </w:rPr>
            </w:pPr>
            <w:r>
              <w:rPr>
                <w:noProof/>
              </w:rPr>
              <w:t>TD-C19-i01</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3C2400" w14:textId="40E4EAB0" w:rsidR="006C686E" w:rsidRDefault="00B17E8C">
            <w:pPr>
              <w:pStyle w:val="P68B1DB1-Normal13"/>
              <w:spacing w:after="0" w:line="240" w:lineRule="auto"/>
              <w:jc w:val="center"/>
              <w:rPr>
                <w:rFonts w:eastAsia="Times New Roman"/>
                <w:noProof/>
                <w:kern w:val="0"/>
                <w14:ligatures w14:val="none"/>
              </w:rPr>
            </w:pPr>
            <w:r>
              <w:rPr>
                <w:noProof/>
              </w:rPr>
              <w:t>M</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3DCB12" w14:textId="77777777" w:rsidR="006C686E" w:rsidRDefault="00B17E8C">
            <w:pPr>
              <w:pStyle w:val="P68B1DB1-Normal11"/>
              <w:spacing w:after="0" w:line="240" w:lineRule="auto"/>
              <w:jc w:val="center"/>
              <w:rPr>
                <w:rFonts w:eastAsia="Arial"/>
                <w:noProof/>
              </w:rPr>
            </w:pPr>
            <w:r>
              <w:rPr>
                <w:noProof/>
              </w:rPr>
              <w:t>Demande citoyenne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A45EC9" w14:textId="77777777" w:rsidR="006C686E" w:rsidRDefault="00B17E8C">
            <w:pPr>
              <w:pStyle w:val="P68B1DB1-Normal11"/>
              <w:spacing w:after="0" w:line="240" w:lineRule="auto"/>
              <w:jc w:val="center"/>
              <w:rPr>
                <w:noProof/>
              </w:rPr>
            </w:pPr>
            <w:r>
              <w:rPr>
                <w:noProof/>
              </w:rPr>
              <w:t>Nouvelle application Citoyen disponible</w:t>
            </w: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5186A"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167AB7"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6EA10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3C477" w14:textId="77777777" w:rsidR="006C686E" w:rsidRDefault="00B17E8C">
            <w:pPr>
              <w:pStyle w:val="P68B1DB1-Normal11"/>
              <w:spacing w:after="0" w:line="240" w:lineRule="auto"/>
              <w:jc w:val="center"/>
              <w:rPr>
                <w:rFonts w:eastAsia="Times New Roman"/>
                <w:noProof/>
              </w:rPr>
            </w:pPr>
            <w:r>
              <w:rPr>
                <w:noProof/>
              </w:rPr>
              <w:t>T1</w:t>
            </w:r>
          </w:p>
        </w:tc>
        <w:tc>
          <w:tcPr>
            <w:tcW w:w="11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34AA93" w14:textId="77777777" w:rsidR="006C686E" w:rsidRDefault="00B17E8C">
            <w:pPr>
              <w:pStyle w:val="P68B1DB1-Normal11"/>
              <w:spacing w:after="0" w:line="240" w:lineRule="auto"/>
              <w:jc w:val="center"/>
              <w:rPr>
                <w:rFonts w:eastAsia="Times New Roman"/>
                <w:noProof/>
              </w:rPr>
            </w:pPr>
            <w:r>
              <w:rPr>
                <w:noProof/>
              </w:rPr>
              <w:t>2025</w:t>
            </w:r>
          </w:p>
        </w:tc>
        <w:tc>
          <w:tcPr>
            <w:tcW w:w="3798" w:type="dxa"/>
            <w:tcBorders>
              <w:top w:val="single" w:sz="4" w:space="0" w:color="auto"/>
              <w:left w:val="single" w:sz="4" w:space="0" w:color="auto"/>
              <w:bottom w:val="single" w:sz="4" w:space="0" w:color="auto"/>
              <w:right w:val="single" w:sz="4" w:space="0" w:color="auto"/>
            </w:tcBorders>
            <w:shd w:val="clear" w:color="auto" w:fill="C4EFCE"/>
            <w:vAlign w:val="center"/>
          </w:tcPr>
          <w:p w14:paraId="70809CB8" w14:textId="77777777" w:rsidR="006C686E" w:rsidRDefault="00B17E8C">
            <w:pPr>
              <w:pStyle w:val="P68B1DB1-Normal11"/>
              <w:spacing w:after="0" w:line="240" w:lineRule="auto"/>
              <w:jc w:val="both"/>
              <w:rPr>
                <w:rFonts w:eastAsia="Times New Roman"/>
                <w:noProof/>
              </w:rPr>
            </w:pPr>
            <w:r>
              <w:rPr>
                <w:noProof/>
              </w:rPr>
              <w:t>Application citoyenne, Gov PT est disponible pour les téléphones mobiles.</w:t>
            </w:r>
          </w:p>
        </w:tc>
      </w:tr>
      <w:tr w:rsidR="006C686E" w14:paraId="04FC2B52" w14:textId="77777777" w:rsidTr="00A66BC8">
        <w:trPr>
          <w:trHeight w:val="300"/>
        </w:trPr>
        <w:tc>
          <w:tcPr>
            <w:tcW w:w="1048" w:type="dxa"/>
            <w:tcBorders>
              <w:top w:val="single" w:sz="4" w:space="0" w:color="auto"/>
            </w:tcBorders>
            <w:shd w:val="clear" w:color="auto" w:fill="C4EFCE"/>
            <w:vAlign w:val="center"/>
            <w:hideMark/>
          </w:tcPr>
          <w:p w14:paraId="2AAD8224" w14:textId="77777777" w:rsidR="006C686E" w:rsidRDefault="00B17E8C">
            <w:pPr>
              <w:pStyle w:val="P68B1DB1-Normal10"/>
              <w:spacing w:after="0" w:line="240" w:lineRule="auto"/>
              <w:jc w:val="center"/>
              <w:rPr>
                <w:rFonts w:eastAsia="Times New Roman"/>
                <w:noProof/>
              </w:rPr>
            </w:pPr>
            <w:r>
              <w:rPr>
                <w:noProof/>
              </w:rPr>
              <w:t>19.4</w:t>
            </w:r>
          </w:p>
        </w:tc>
        <w:tc>
          <w:tcPr>
            <w:tcW w:w="1391" w:type="dxa"/>
            <w:tcBorders>
              <w:top w:val="single" w:sz="4" w:space="0" w:color="auto"/>
            </w:tcBorders>
            <w:shd w:val="clear" w:color="auto" w:fill="C4EFCE"/>
            <w:noWrap/>
            <w:vAlign w:val="center"/>
            <w:hideMark/>
          </w:tcPr>
          <w:p w14:paraId="5D667A0A" w14:textId="77777777" w:rsidR="006C686E" w:rsidRDefault="00B17E8C">
            <w:pPr>
              <w:pStyle w:val="P68B1DB1-Normal11"/>
              <w:spacing w:after="0" w:line="240" w:lineRule="auto"/>
              <w:jc w:val="center"/>
              <w:rPr>
                <w:rFonts w:eastAsia="Times New Roman"/>
                <w:noProof/>
              </w:rPr>
            </w:pPr>
            <w:r>
              <w:rPr>
                <w:noProof/>
              </w:rPr>
              <w:t>TD-C19-i02</w:t>
            </w:r>
          </w:p>
        </w:tc>
        <w:tc>
          <w:tcPr>
            <w:tcW w:w="1701" w:type="dxa"/>
            <w:tcBorders>
              <w:top w:val="single" w:sz="4" w:space="0" w:color="auto"/>
            </w:tcBorders>
            <w:shd w:val="clear" w:color="auto" w:fill="C4EFCE"/>
            <w:noWrap/>
            <w:vAlign w:val="center"/>
            <w:hideMark/>
          </w:tcPr>
          <w:p w14:paraId="3F64BF1A" w14:textId="77777777" w:rsidR="006C686E" w:rsidRDefault="00B17E8C">
            <w:pPr>
              <w:pStyle w:val="P68B1DB1-Normal11"/>
              <w:spacing w:after="0" w:line="240" w:lineRule="auto"/>
              <w:jc w:val="center"/>
              <w:rPr>
                <w:rFonts w:eastAsia="Times New Roman"/>
                <w:noProof/>
              </w:rPr>
            </w:pPr>
            <w:r>
              <w:rPr>
                <w:noProof/>
              </w:rPr>
              <w:t>T</w:t>
            </w:r>
          </w:p>
        </w:tc>
        <w:tc>
          <w:tcPr>
            <w:tcW w:w="709" w:type="dxa"/>
            <w:tcBorders>
              <w:top w:val="single" w:sz="4" w:space="0" w:color="auto"/>
            </w:tcBorders>
            <w:shd w:val="clear" w:color="auto" w:fill="C4EFCE"/>
            <w:noWrap/>
            <w:vAlign w:val="center"/>
            <w:hideMark/>
          </w:tcPr>
          <w:p w14:paraId="170430C0" w14:textId="77777777" w:rsidR="006C686E" w:rsidRDefault="00B17E8C">
            <w:pPr>
              <w:pStyle w:val="P68B1DB1-Normal11"/>
              <w:spacing w:after="0" w:line="240" w:lineRule="auto"/>
              <w:jc w:val="center"/>
              <w:rPr>
                <w:rFonts w:eastAsia="Times New Roman"/>
                <w:noProof/>
              </w:rPr>
            </w:pPr>
            <w:r>
              <w:rPr>
                <w:noProof/>
              </w:rPr>
              <w:t>Services publics accessibles en toute sécurité au moyen de l’identité électronique et respectant le principe «une fois pour toutes»</w:t>
            </w:r>
          </w:p>
        </w:tc>
        <w:tc>
          <w:tcPr>
            <w:tcW w:w="1418" w:type="dxa"/>
            <w:tcBorders>
              <w:top w:val="single" w:sz="4" w:space="0" w:color="auto"/>
            </w:tcBorders>
            <w:shd w:val="clear" w:color="auto" w:fill="C4EFCE"/>
            <w:noWrap/>
            <w:vAlign w:val="center"/>
            <w:hideMark/>
          </w:tcPr>
          <w:p w14:paraId="16CEE33C" w14:textId="2B3E4050"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tcBorders>
            <w:shd w:val="clear" w:color="auto" w:fill="C4EFCE"/>
            <w:noWrap/>
            <w:vAlign w:val="center"/>
            <w:hideMark/>
          </w:tcPr>
          <w:p w14:paraId="19F03217" w14:textId="77777777" w:rsidR="006C686E" w:rsidRDefault="00B17E8C">
            <w:pPr>
              <w:pStyle w:val="P68B1DB1-Normal11"/>
              <w:spacing w:after="0" w:line="240" w:lineRule="auto"/>
              <w:jc w:val="center"/>
              <w:rPr>
                <w:rFonts w:eastAsia="Times New Roman"/>
                <w:noProof/>
              </w:rPr>
            </w:pPr>
            <w:r>
              <w:rPr>
                <w:noProof/>
              </w:rPr>
              <w:t>Numéro</w:t>
            </w:r>
          </w:p>
        </w:tc>
        <w:tc>
          <w:tcPr>
            <w:tcW w:w="1050" w:type="dxa"/>
            <w:tcBorders>
              <w:top w:val="single" w:sz="4" w:space="0" w:color="auto"/>
            </w:tcBorders>
            <w:shd w:val="clear" w:color="auto" w:fill="C4EFCE"/>
            <w:noWrap/>
            <w:vAlign w:val="center"/>
            <w:hideMark/>
          </w:tcPr>
          <w:p w14:paraId="2EBE6629" w14:textId="77777777" w:rsidR="006C686E" w:rsidRDefault="00B17E8C">
            <w:pPr>
              <w:pStyle w:val="P68B1DB1-Normal11"/>
              <w:spacing w:after="0" w:line="240" w:lineRule="auto"/>
              <w:jc w:val="center"/>
              <w:rPr>
                <w:rFonts w:eastAsia="Times New Roman"/>
                <w:noProof/>
              </w:rPr>
            </w:pPr>
            <w:r>
              <w:rPr>
                <w:noProof/>
              </w:rPr>
              <w:t>0</w:t>
            </w:r>
          </w:p>
        </w:tc>
        <w:tc>
          <w:tcPr>
            <w:tcW w:w="851" w:type="dxa"/>
            <w:tcBorders>
              <w:top w:val="single" w:sz="4" w:space="0" w:color="auto"/>
            </w:tcBorders>
            <w:shd w:val="clear" w:color="auto" w:fill="C4EFCE"/>
            <w:noWrap/>
            <w:vAlign w:val="center"/>
            <w:hideMark/>
          </w:tcPr>
          <w:p w14:paraId="59620983" w14:textId="77777777" w:rsidR="006C686E" w:rsidRDefault="00B17E8C">
            <w:pPr>
              <w:pStyle w:val="P68B1DB1-Normal11"/>
              <w:spacing w:after="0" w:line="240" w:lineRule="auto"/>
              <w:jc w:val="center"/>
              <w:rPr>
                <w:rFonts w:eastAsia="Times New Roman"/>
                <w:noProof/>
              </w:rPr>
            </w:pPr>
            <w:r>
              <w:rPr>
                <w:noProof/>
              </w:rPr>
              <w:t>5</w:t>
            </w:r>
          </w:p>
        </w:tc>
        <w:tc>
          <w:tcPr>
            <w:tcW w:w="420" w:type="dxa"/>
            <w:tcBorders>
              <w:top w:val="single" w:sz="4" w:space="0" w:color="auto"/>
            </w:tcBorders>
            <w:shd w:val="clear" w:color="auto" w:fill="C4EFCE"/>
            <w:noWrap/>
            <w:vAlign w:val="center"/>
            <w:hideMark/>
          </w:tcPr>
          <w:p w14:paraId="2113BF88" w14:textId="77777777" w:rsidR="006C686E" w:rsidRDefault="00B17E8C">
            <w:pPr>
              <w:pStyle w:val="P68B1DB1-Normal11"/>
              <w:spacing w:after="0" w:line="240" w:lineRule="auto"/>
              <w:jc w:val="center"/>
              <w:rPr>
                <w:rFonts w:eastAsia="Times New Roman"/>
                <w:noProof/>
              </w:rPr>
            </w:pPr>
            <w:r>
              <w:rPr>
                <w:noProof/>
              </w:rPr>
              <w:t>T3</w:t>
            </w:r>
          </w:p>
        </w:tc>
        <w:tc>
          <w:tcPr>
            <w:tcW w:w="1139" w:type="dxa"/>
            <w:tcBorders>
              <w:top w:val="single" w:sz="4" w:space="0" w:color="auto"/>
            </w:tcBorders>
            <w:shd w:val="clear" w:color="auto" w:fill="C4EFCE"/>
            <w:noWrap/>
            <w:vAlign w:val="center"/>
            <w:hideMark/>
          </w:tcPr>
          <w:p w14:paraId="0DA78F30" w14:textId="77777777" w:rsidR="006C686E" w:rsidRDefault="00B17E8C">
            <w:pPr>
              <w:pStyle w:val="P68B1DB1-Normal11"/>
              <w:spacing w:after="0" w:line="240" w:lineRule="auto"/>
              <w:jc w:val="center"/>
              <w:rPr>
                <w:rFonts w:eastAsia="Times New Roman"/>
                <w:noProof/>
              </w:rPr>
            </w:pPr>
            <w:r>
              <w:rPr>
                <w:noProof/>
              </w:rPr>
              <w:t>2022</w:t>
            </w:r>
          </w:p>
        </w:tc>
        <w:tc>
          <w:tcPr>
            <w:tcW w:w="3798" w:type="dxa"/>
            <w:tcBorders>
              <w:top w:val="single" w:sz="4" w:space="0" w:color="auto"/>
            </w:tcBorders>
            <w:shd w:val="clear" w:color="auto" w:fill="C4EFCE"/>
            <w:vAlign w:val="center"/>
            <w:hideMark/>
          </w:tcPr>
          <w:p w14:paraId="702CE28D" w14:textId="77777777" w:rsidR="006C686E" w:rsidRDefault="00391DFC">
            <w:pPr>
              <w:pStyle w:val="P68B1DB1-Normal11"/>
              <w:spacing w:after="0" w:line="240" w:lineRule="auto"/>
              <w:jc w:val="both"/>
              <w:rPr>
                <w:rFonts w:eastAsia="Times New Roman"/>
                <w:noProof/>
              </w:rPr>
            </w:pPr>
            <w:hyperlink r:id="rId346" w:history="1">
              <w:r w:rsidR="00B17E8C">
                <w:rPr>
                  <w:noProof/>
                </w:rPr>
                <w:t>Nombre de services publics numériques mis à la disposition des citoyens et des entreprises réutilisant les données disponibles dans le catalogue iAP (disponible à l’adresse iap.gov.pt), couverts par l’identité électronique (à la demande des services) et par le système de contrôle des données à caractère personnel dans l’administration publique, et publiant des données ouvertes sur www.dados.gov.pt.</w:t>
              </w:r>
            </w:hyperlink>
          </w:p>
        </w:tc>
      </w:tr>
      <w:tr w:rsidR="006C686E" w14:paraId="5742DC76" w14:textId="77777777" w:rsidTr="00A66BC8">
        <w:trPr>
          <w:trHeight w:val="300"/>
        </w:trPr>
        <w:tc>
          <w:tcPr>
            <w:tcW w:w="1048" w:type="dxa"/>
            <w:shd w:val="clear" w:color="auto" w:fill="C4EFCE"/>
            <w:vAlign w:val="center"/>
            <w:hideMark/>
          </w:tcPr>
          <w:p w14:paraId="59169213" w14:textId="77777777" w:rsidR="006C686E" w:rsidRDefault="00B17E8C">
            <w:pPr>
              <w:pStyle w:val="P68B1DB1-Normal10"/>
              <w:spacing w:after="0" w:line="240" w:lineRule="auto"/>
              <w:jc w:val="center"/>
              <w:rPr>
                <w:rFonts w:eastAsia="Times New Roman"/>
                <w:noProof/>
              </w:rPr>
            </w:pPr>
            <w:r>
              <w:rPr>
                <w:noProof/>
              </w:rPr>
              <w:t>19.6</w:t>
            </w:r>
          </w:p>
        </w:tc>
        <w:tc>
          <w:tcPr>
            <w:tcW w:w="1391" w:type="dxa"/>
            <w:shd w:val="clear" w:color="auto" w:fill="C4EFCE"/>
            <w:noWrap/>
            <w:vAlign w:val="center"/>
            <w:hideMark/>
          </w:tcPr>
          <w:p w14:paraId="51EEBFF6" w14:textId="77777777" w:rsidR="006C686E" w:rsidRDefault="00B17E8C">
            <w:pPr>
              <w:pStyle w:val="P68B1DB1-Normal11"/>
              <w:spacing w:after="0" w:line="240" w:lineRule="auto"/>
              <w:jc w:val="center"/>
              <w:rPr>
                <w:rFonts w:eastAsia="Times New Roman"/>
                <w:noProof/>
              </w:rPr>
            </w:pPr>
            <w:r>
              <w:rPr>
                <w:noProof/>
              </w:rPr>
              <w:t>TD-C19-i02</w:t>
            </w:r>
          </w:p>
        </w:tc>
        <w:tc>
          <w:tcPr>
            <w:tcW w:w="1701" w:type="dxa"/>
            <w:shd w:val="clear" w:color="auto" w:fill="C4EFCE"/>
            <w:noWrap/>
            <w:vAlign w:val="center"/>
            <w:hideMark/>
          </w:tcPr>
          <w:p w14:paraId="4F473122"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7934CD59" w14:textId="77777777" w:rsidR="006C686E" w:rsidRDefault="00B17E8C">
            <w:pPr>
              <w:pStyle w:val="P68B1DB1-Normal11"/>
              <w:spacing w:after="0" w:line="240" w:lineRule="auto"/>
              <w:jc w:val="center"/>
              <w:rPr>
                <w:rFonts w:eastAsia="Times New Roman"/>
                <w:noProof/>
              </w:rPr>
            </w:pPr>
            <w:r>
              <w:rPr>
                <w:noProof/>
              </w:rPr>
              <w:t>Infrastructure d'information territoriale</w:t>
            </w:r>
          </w:p>
        </w:tc>
        <w:tc>
          <w:tcPr>
            <w:tcW w:w="1418" w:type="dxa"/>
            <w:shd w:val="clear" w:color="auto" w:fill="C4EFCE"/>
            <w:noWrap/>
            <w:vAlign w:val="center"/>
            <w:hideMark/>
          </w:tcPr>
          <w:p w14:paraId="79B6D407" w14:textId="77777777" w:rsidR="006C686E" w:rsidRDefault="00B17E8C">
            <w:pPr>
              <w:pStyle w:val="P68B1DB1-Normal11"/>
              <w:spacing w:after="0" w:line="240" w:lineRule="auto"/>
              <w:jc w:val="center"/>
              <w:rPr>
                <w:rFonts w:eastAsia="Times New Roman"/>
                <w:noProof/>
              </w:rPr>
            </w:pPr>
            <w:r>
              <w:rPr>
                <w:noProof/>
              </w:rPr>
              <w:t>Portail disponible en ligne</w:t>
            </w:r>
          </w:p>
        </w:tc>
        <w:tc>
          <w:tcPr>
            <w:tcW w:w="934" w:type="dxa"/>
            <w:shd w:val="clear" w:color="auto" w:fill="C4EFCE"/>
            <w:noWrap/>
            <w:vAlign w:val="center"/>
            <w:hideMark/>
          </w:tcPr>
          <w:p w14:paraId="75F104C1"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50" w:type="dxa"/>
            <w:shd w:val="clear" w:color="auto" w:fill="C4EFCE"/>
            <w:noWrap/>
            <w:vAlign w:val="center"/>
            <w:hideMark/>
          </w:tcPr>
          <w:p w14:paraId="3A5055D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shd w:val="clear" w:color="auto" w:fill="C4EFCE"/>
            <w:noWrap/>
            <w:vAlign w:val="center"/>
            <w:hideMark/>
          </w:tcPr>
          <w:p w14:paraId="36F96747"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0" w:type="dxa"/>
            <w:shd w:val="clear" w:color="auto" w:fill="C4EFCE"/>
            <w:noWrap/>
            <w:vAlign w:val="center"/>
            <w:hideMark/>
          </w:tcPr>
          <w:p w14:paraId="18FBF0A7"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144BF2B0" w14:textId="77777777"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hideMark/>
          </w:tcPr>
          <w:p w14:paraId="40AA105F" w14:textId="2C640780" w:rsidR="006C686E" w:rsidRDefault="00B17E8C">
            <w:pPr>
              <w:pStyle w:val="P68B1DB1-Normal49"/>
              <w:spacing w:after="0" w:line="240" w:lineRule="auto"/>
              <w:jc w:val="both"/>
              <w:rPr>
                <w:rFonts w:eastAsia="Times New Roman"/>
                <w:noProof/>
                <w:kern w:val="0"/>
                <w14:ligatures w14:val="none"/>
              </w:rPr>
            </w:pPr>
            <w:r>
              <w:rPr>
                <w:noProof/>
                <w:color w:val="000000" w:themeColor="text1"/>
              </w:rPr>
              <w:t>Le portail «Infrastructure d’information territoriale» est disponible en ligne et fournit des informations géographiques, par exemple des informations cartographiques, démographiques, socio-économiques et environnementales.</w:t>
            </w:r>
          </w:p>
        </w:tc>
      </w:tr>
      <w:tr w:rsidR="006C686E" w14:paraId="19E171F9" w14:textId="77777777" w:rsidTr="00A66BC8">
        <w:trPr>
          <w:trHeight w:val="300"/>
        </w:trPr>
        <w:tc>
          <w:tcPr>
            <w:tcW w:w="1048" w:type="dxa"/>
            <w:shd w:val="clear" w:color="auto" w:fill="C4EFCE"/>
            <w:vAlign w:val="center"/>
            <w:hideMark/>
          </w:tcPr>
          <w:p w14:paraId="3B106D70" w14:textId="77777777" w:rsidR="006C686E" w:rsidRDefault="00B17E8C">
            <w:pPr>
              <w:pStyle w:val="P68B1DB1-Normal10"/>
              <w:spacing w:after="0" w:line="240" w:lineRule="auto"/>
              <w:jc w:val="center"/>
              <w:rPr>
                <w:rFonts w:eastAsia="Times New Roman"/>
                <w:noProof/>
              </w:rPr>
            </w:pPr>
            <w:r>
              <w:rPr>
                <w:noProof/>
              </w:rPr>
              <w:t>19.7</w:t>
            </w:r>
          </w:p>
        </w:tc>
        <w:tc>
          <w:tcPr>
            <w:tcW w:w="1391" w:type="dxa"/>
            <w:shd w:val="clear" w:color="auto" w:fill="C4EFCE"/>
            <w:noWrap/>
            <w:vAlign w:val="center"/>
            <w:hideMark/>
          </w:tcPr>
          <w:p w14:paraId="004341F9" w14:textId="77777777" w:rsidR="006C686E" w:rsidRDefault="00B17E8C">
            <w:pPr>
              <w:pStyle w:val="P68B1DB1-Normal11"/>
              <w:spacing w:after="0" w:line="240" w:lineRule="auto"/>
              <w:jc w:val="center"/>
              <w:rPr>
                <w:rFonts w:eastAsia="Times New Roman"/>
                <w:noProof/>
              </w:rPr>
            </w:pPr>
            <w:r>
              <w:rPr>
                <w:noProof/>
              </w:rPr>
              <w:t>TD-C19-i03</w:t>
            </w:r>
          </w:p>
        </w:tc>
        <w:tc>
          <w:tcPr>
            <w:tcW w:w="1701" w:type="dxa"/>
            <w:shd w:val="clear" w:color="auto" w:fill="C4EFCE"/>
            <w:noWrap/>
            <w:vAlign w:val="center"/>
            <w:hideMark/>
          </w:tcPr>
          <w:p w14:paraId="2F46B098"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45F18778" w14:textId="77777777" w:rsidR="006C686E" w:rsidRDefault="00B17E8C">
            <w:pPr>
              <w:pStyle w:val="P68B1DB1-Normal13"/>
              <w:spacing w:after="0" w:line="240" w:lineRule="auto"/>
              <w:jc w:val="center"/>
              <w:rPr>
                <w:rFonts w:eastAsia="Times New Roman"/>
                <w:noProof/>
                <w:kern w:val="0"/>
                <w14:ligatures w14:val="none"/>
              </w:rPr>
            </w:pPr>
            <w:r>
              <w:rPr>
                <w:noProof/>
              </w:rPr>
              <w:t>Centres de compétences</w:t>
            </w:r>
          </w:p>
        </w:tc>
        <w:tc>
          <w:tcPr>
            <w:tcW w:w="1418" w:type="dxa"/>
            <w:shd w:val="clear" w:color="auto" w:fill="C4EFCE"/>
            <w:noWrap/>
            <w:vAlign w:val="center"/>
            <w:hideMark/>
          </w:tcPr>
          <w:p w14:paraId="5DE6DD0F" w14:textId="64271DCD"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7CBB79D0"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hideMark/>
          </w:tcPr>
          <w:p w14:paraId="3F3D19F2"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26193CA5" w14:textId="77777777" w:rsidR="006C686E" w:rsidRDefault="00B17E8C">
            <w:pPr>
              <w:pStyle w:val="P68B1DB1-Normal11"/>
              <w:spacing w:after="0" w:line="240" w:lineRule="auto"/>
              <w:jc w:val="center"/>
              <w:rPr>
                <w:rFonts w:eastAsia="Times New Roman"/>
                <w:noProof/>
              </w:rPr>
            </w:pPr>
            <w:r>
              <w:rPr>
                <w:noProof/>
              </w:rPr>
              <w:t>7</w:t>
            </w:r>
          </w:p>
        </w:tc>
        <w:tc>
          <w:tcPr>
            <w:tcW w:w="420" w:type="dxa"/>
            <w:shd w:val="clear" w:color="auto" w:fill="C4EFCE"/>
            <w:noWrap/>
            <w:vAlign w:val="center"/>
            <w:hideMark/>
          </w:tcPr>
          <w:p w14:paraId="313856B7"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59637CFA" w14:textId="77777777"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hideMark/>
          </w:tcPr>
          <w:p w14:paraId="58BE5C22" w14:textId="77777777" w:rsidR="006C686E" w:rsidRDefault="00B17E8C">
            <w:pPr>
              <w:pStyle w:val="P68B1DB1-Normal13"/>
              <w:spacing w:after="0" w:line="240" w:lineRule="auto"/>
              <w:jc w:val="both"/>
              <w:rPr>
                <w:noProof/>
                <w:kern w:val="0"/>
                <w14:ligatures w14:val="none"/>
              </w:rPr>
            </w:pPr>
            <w:r>
              <w:rPr>
                <w:noProof/>
              </w:rPr>
              <w:t xml:space="preserve">Signature des conditions d'acceptation de </w:t>
            </w:r>
            <w:r>
              <w:rPr>
                <w:noProof/>
                <w:kern w:val="0"/>
                <w14:ligatures w14:val="none"/>
              </w:rPr>
              <w:t>7 centres de compétences</w:t>
            </w:r>
            <w:r>
              <w:rPr>
                <w:noProof/>
              </w:rPr>
              <w:t xml:space="preserve"> en </w:t>
            </w:r>
            <w:r>
              <w:rPr>
                <w:noProof/>
                <w:kern w:val="0"/>
                <w14:ligatures w14:val="none"/>
              </w:rPr>
              <w:t>cybersécurité.</w:t>
            </w:r>
          </w:p>
        </w:tc>
      </w:tr>
      <w:tr w:rsidR="006C686E" w14:paraId="4A35C848" w14:textId="77777777" w:rsidTr="00A66BC8">
        <w:trPr>
          <w:trHeight w:val="300"/>
        </w:trPr>
        <w:tc>
          <w:tcPr>
            <w:tcW w:w="1048" w:type="dxa"/>
            <w:shd w:val="clear" w:color="auto" w:fill="C4EFCE"/>
            <w:vAlign w:val="center"/>
            <w:hideMark/>
          </w:tcPr>
          <w:p w14:paraId="78DE2D54" w14:textId="77777777" w:rsidR="006C686E" w:rsidRDefault="00B17E8C">
            <w:pPr>
              <w:pStyle w:val="P68B1DB1-Normal10"/>
              <w:spacing w:after="0" w:line="240" w:lineRule="auto"/>
              <w:jc w:val="center"/>
              <w:rPr>
                <w:rFonts w:eastAsia="Times New Roman"/>
                <w:noProof/>
              </w:rPr>
            </w:pPr>
            <w:r>
              <w:rPr>
                <w:noProof/>
              </w:rPr>
              <w:t>19.8</w:t>
            </w:r>
          </w:p>
        </w:tc>
        <w:tc>
          <w:tcPr>
            <w:tcW w:w="1391" w:type="dxa"/>
            <w:shd w:val="clear" w:color="auto" w:fill="C4EFCE"/>
            <w:noWrap/>
            <w:vAlign w:val="center"/>
            <w:hideMark/>
          </w:tcPr>
          <w:p w14:paraId="7E7DE17A" w14:textId="77777777" w:rsidR="006C686E" w:rsidRDefault="00B17E8C">
            <w:pPr>
              <w:pStyle w:val="P68B1DB1-Normal11"/>
              <w:spacing w:after="0" w:line="240" w:lineRule="auto"/>
              <w:jc w:val="center"/>
              <w:rPr>
                <w:rFonts w:eastAsia="Times New Roman"/>
                <w:noProof/>
              </w:rPr>
            </w:pPr>
            <w:r>
              <w:rPr>
                <w:noProof/>
              </w:rPr>
              <w:t>TD-C19-i03</w:t>
            </w:r>
          </w:p>
        </w:tc>
        <w:tc>
          <w:tcPr>
            <w:tcW w:w="1701" w:type="dxa"/>
            <w:shd w:val="clear" w:color="auto" w:fill="C4EFCE"/>
            <w:noWrap/>
            <w:vAlign w:val="center"/>
            <w:hideMark/>
          </w:tcPr>
          <w:p w14:paraId="3E40102A"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3AB8E510" w14:textId="77777777" w:rsidR="006C686E" w:rsidRDefault="00B17E8C">
            <w:pPr>
              <w:pStyle w:val="P68B1DB1-Normal11"/>
              <w:spacing w:after="0" w:line="240" w:lineRule="auto"/>
              <w:jc w:val="center"/>
              <w:rPr>
                <w:rFonts w:eastAsia="Times New Roman"/>
                <w:noProof/>
              </w:rPr>
            </w:pPr>
            <w:r>
              <w:rPr>
                <w:noProof/>
              </w:rPr>
              <w:t>Achat de matériel cryptographique</w:t>
            </w:r>
          </w:p>
        </w:tc>
        <w:tc>
          <w:tcPr>
            <w:tcW w:w="1418" w:type="dxa"/>
            <w:shd w:val="clear" w:color="auto" w:fill="C4EFCE"/>
            <w:noWrap/>
            <w:vAlign w:val="center"/>
            <w:hideMark/>
          </w:tcPr>
          <w:p w14:paraId="62386D6E" w14:textId="4BAF3A1B"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29CAEDE7"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hideMark/>
          </w:tcPr>
          <w:p w14:paraId="691581B2"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791D6E24" w14:textId="77777777" w:rsidR="006C686E" w:rsidRDefault="00B17E8C">
            <w:pPr>
              <w:pStyle w:val="P68B1DB1-Normal11"/>
              <w:spacing w:after="0" w:line="240" w:lineRule="auto"/>
              <w:jc w:val="center"/>
              <w:rPr>
                <w:rFonts w:eastAsia="Times New Roman"/>
                <w:noProof/>
              </w:rPr>
            </w:pPr>
            <w:r>
              <w:rPr>
                <w:noProof/>
              </w:rPr>
              <w:t>150</w:t>
            </w:r>
          </w:p>
        </w:tc>
        <w:tc>
          <w:tcPr>
            <w:tcW w:w="420" w:type="dxa"/>
            <w:shd w:val="clear" w:color="auto" w:fill="C4EFCE"/>
            <w:noWrap/>
            <w:vAlign w:val="center"/>
            <w:hideMark/>
          </w:tcPr>
          <w:p w14:paraId="79174B2B" w14:textId="25028F18" w:rsidR="006C686E" w:rsidRDefault="00B17E8C">
            <w:pPr>
              <w:pStyle w:val="P68B1DB1-Normal11"/>
              <w:spacing w:after="0" w:line="240" w:lineRule="auto"/>
              <w:jc w:val="center"/>
              <w:rPr>
                <w:rFonts w:eastAsia="Times New Roman"/>
                <w:noProof/>
              </w:rPr>
            </w:pPr>
            <w:r>
              <w:rPr>
                <w:noProof/>
              </w:rPr>
              <w:t>T1</w:t>
            </w:r>
          </w:p>
        </w:tc>
        <w:tc>
          <w:tcPr>
            <w:tcW w:w="1139" w:type="dxa"/>
            <w:shd w:val="clear" w:color="auto" w:fill="C4EFCE"/>
            <w:noWrap/>
            <w:vAlign w:val="center"/>
            <w:hideMark/>
          </w:tcPr>
          <w:p w14:paraId="0DABA6A3" w14:textId="7B1AD786" w:rsidR="006C686E" w:rsidRDefault="00B17E8C">
            <w:pPr>
              <w:pStyle w:val="P68B1DB1-Normal11"/>
              <w:spacing w:after="0" w:line="240" w:lineRule="auto"/>
              <w:jc w:val="center"/>
              <w:rPr>
                <w:rFonts w:eastAsia="Times New Roman"/>
                <w:noProof/>
              </w:rPr>
            </w:pPr>
            <w:r>
              <w:rPr>
                <w:noProof/>
              </w:rPr>
              <w:t>2026</w:t>
            </w:r>
          </w:p>
        </w:tc>
        <w:tc>
          <w:tcPr>
            <w:tcW w:w="3798" w:type="dxa"/>
            <w:shd w:val="clear" w:color="auto" w:fill="C4EFCE"/>
            <w:vAlign w:val="center"/>
            <w:hideMark/>
          </w:tcPr>
          <w:p w14:paraId="0D2471FE" w14:textId="2314689E" w:rsidR="006C686E" w:rsidRDefault="00B17E8C">
            <w:pPr>
              <w:pStyle w:val="P68B1DB1-Normal11"/>
              <w:spacing w:after="0" w:line="240" w:lineRule="auto"/>
              <w:jc w:val="both"/>
              <w:rPr>
                <w:rFonts w:eastAsia="Times New Roman"/>
                <w:noProof/>
              </w:rPr>
            </w:pPr>
            <w:r>
              <w:rPr>
                <w:noProof/>
              </w:rPr>
              <w:t>Nombre d'équipements cryptographiques achetés, par exemple des modules de sécurité matérielle.</w:t>
            </w:r>
          </w:p>
        </w:tc>
      </w:tr>
      <w:tr w:rsidR="006C686E" w14:paraId="5E863691" w14:textId="77777777" w:rsidTr="00A66BC8">
        <w:trPr>
          <w:trHeight w:val="300"/>
        </w:trPr>
        <w:tc>
          <w:tcPr>
            <w:tcW w:w="1048" w:type="dxa"/>
            <w:shd w:val="clear" w:color="auto" w:fill="C4EFCE"/>
            <w:vAlign w:val="center"/>
          </w:tcPr>
          <w:p w14:paraId="0C51560A" w14:textId="77777777" w:rsidR="006C686E" w:rsidRDefault="00B17E8C">
            <w:pPr>
              <w:pStyle w:val="P68B1DB1-Normal10"/>
              <w:spacing w:after="0" w:line="240" w:lineRule="auto"/>
              <w:jc w:val="center"/>
              <w:rPr>
                <w:rFonts w:eastAsia="Times New Roman"/>
                <w:noProof/>
              </w:rPr>
            </w:pPr>
            <w:r>
              <w:rPr>
                <w:noProof/>
              </w:rPr>
              <w:t>19.9</w:t>
            </w:r>
          </w:p>
        </w:tc>
        <w:tc>
          <w:tcPr>
            <w:tcW w:w="1391" w:type="dxa"/>
            <w:shd w:val="clear" w:color="auto" w:fill="C4EFCE"/>
            <w:noWrap/>
            <w:vAlign w:val="center"/>
          </w:tcPr>
          <w:p w14:paraId="275E75FB" w14:textId="77777777" w:rsidR="006C686E" w:rsidRDefault="00B17E8C">
            <w:pPr>
              <w:pStyle w:val="P68B1DB1-Normal11"/>
              <w:spacing w:after="0" w:line="240" w:lineRule="auto"/>
              <w:jc w:val="center"/>
              <w:rPr>
                <w:rFonts w:eastAsia="Times New Roman"/>
                <w:noProof/>
              </w:rPr>
            </w:pPr>
            <w:r>
              <w:rPr>
                <w:noProof/>
              </w:rPr>
              <w:t>TD-C19-i03</w:t>
            </w:r>
          </w:p>
        </w:tc>
        <w:tc>
          <w:tcPr>
            <w:tcW w:w="1701" w:type="dxa"/>
            <w:shd w:val="clear" w:color="auto" w:fill="C4EFCE"/>
            <w:noWrap/>
            <w:vAlign w:val="center"/>
          </w:tcPr>
          <w:p w14:paraId="6DE0E86F"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tcPr>
          <w:p w14:paraId="6841EAC0" w14:textId="22ACF43A" w:rsidR="006C686E" w:rsidRDefault="00B17E8C">
            <w:pPr>
              <w:pStyle w:val="P68B1DB1-Normal11"/>
              <w:spacing w:after="0" w:line="240" w:lineRule="auto"/>
              <w:jc w:val="center"/>
              <w:rPr>
                <w:rFonts w:eastAsia="Times New Roman"/>
                <w:noProof/>
              </w:rPr>
            </w:pPr>
            <w:r>
              <w:rPr>
                <w:noProof/>
              </w:rPr>
              <w:t>Cadre national de cybersécurité</w:t>
            </w:r>
          </w:p>
        </w:tc>
        <w:tc>
          <w:tcPr>
            <w:tcW w:w="1418" w:type="dxa"/>
            <w:shd w:val="clear" w:color="auto" w:fill="C4EFCE"/>
            <w:noWrap/>
            <w:vAlign w:val="center"/>
          </w:tcPr>
          <w:p w14:paraId="43D7AE7A"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tcPr>
          <w:p w14:paraId="444D5949"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tcPr>
          <w:p w14:paraId="66670CA0"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tcPr>
          <w:p w14:paraId="1A5C3E6E" w14:textId="77777777" w:rsidR="006C686E" w:rsidRDefault="00B17E8C">
            <w:pPr>
              <w:pStyle w:val="P68B1DB1-Normal11"/>
              <w:spacing w:after="0" w:line="240" w:lineRule="auto"/>
              <w:jc w:val="center"/>
              <w:rPr>
                <w:rFonts w:eastAsia="Times New Roman"/>
                <w:noProof/>
              </w:rPr>
            </w:pPr>
            <w:r>
              <w:rPr>
                <w:noProof/>
              </w:rPr>
              <w:t>47</w:t>
            </w:r>
          </w:p>
        </w:tc>
        <w:tc>
          <w:tcPr>
            <w:tcW w:w="420" w:type="dxa"/>
            <w:shd w:val="clear" w:color="auto" w:fill="C4EFCE"/>
            <w:noWrap/>
            <w:vAlign w:val="center"/>
          </w:tcPr>
          <w:p w14:paraId="5FD3AF71" w14:textId="290C3303"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tcPr>
          <w:p w14:paraId="56FE65B4" w14:textId="540DC218"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tcPr>
          <w:p w14:paraId="78909A8E" w14:textId="12E5BA5E" w:rsidR="006C686E" w:rsidRDefault="00B17E8C">
            <w:pPr>
              <w:pStyle w:val="P68B1DB1-Normal13"/>
              <w:spacing w:after="0" w:line="240" w:lineRule="auto"/>
              <w:jc w:val="both"/>
              <w:rPr>
                <w:rFonts w:eastAsia="Times New Roman"/>
                <w:noProof/>
                <w:kern w:val="0"/>
                <w14:ligatures w14:val="none"/>
              </w:rPr>
            </w:pPr>
            <w:r>
              <w:rPr>
                <w:noProof/>
                <w:kern w:val="0"/>
                <w14:ligatures w14:val="none"/>
              </w:rPr>
              <w:t xml:space="preserve">Nombre d’entités </w:t>
            </w:r>
            <w:r>
              <w:rPr>
                <w:noProof/>
              </w:rPr>
              <w:t xml:space="preserve"> </w:t>
            </w:r>
            <w:r>
              <w:rPr>
                <w:noProof/>
                <w:kern w:val="0"/>
                <w14:ligatures w14:val="none"/>
              </w:rPr>
              <w:t>publiques couvertes par PANORAMA, la plateforme du cadre national de cybersécurité.</w:t>
            </w:r>
          </w:p>
        </w:tc>
      </w:tr>
      <w:tr w:rsidR="006C686E" w14:paraId="2806DCA0" w14:textId="77777777" w:rsidTr="00A66BC8">
        <w:trPr>
          <w:trHeight w:val="300"/>
        </w:trPr>
        <w:tc>
          <w:tcPr>
            <w:tcW w:w="1048" w:type="dxa"/>
            <w:shd w:val="clear" w:color="auto" w:fill="C4EFCE"/>
            <w:vAlign w:val="center"/>
            <w:hideMark/>
          </w:tcPr>
          <w:p w14:paraId="5DE8319D" w14:textId="77777777" w:rsidR="006C686E" w:rsidRDefault="00B17E8C">
            <w:pPr>
              <w:pStyle w:val="P68B1DB1-Normal10"/>
              <w:spacing w:after="0" w:line="240" w:lineRule="auto"/>
              <w:jc w:val="center"/>
              <w:rPr>
                <w:rFonts w:eastAsia="Times New Roman"/>
                <w:noProof/>
              </w:rPr>
            </w:pPr>
            <w:r>
              <w:rPr>
                <w:noProof/>
              </w:rPr>
              <w:t>19.11</w:t>
            </w:r>
          </w:p>
        </w:tc>
        <w:tc>
          <w:tcPr>
            <w:tcW w:w="1391" w:type="dxa"/>
            <w:shd w:val="clear" w:color="auto" w:fill="C4EFCE"/>
            <w:noWrap/>
            <w:vAlign w:val="center"/>
            <w:hideMark/>
          </w:tcPr>
          <w:p w14:paraId="2FC4452E" w14:textId="77777777" w:rsidR="006C686E" w:rsidRDefault="00B17E8C">
            <w:pPr>
              <w:pStyle w:val="P68B1DB1-Normal11"/>
              <w:spacing w:after="0" w:line="240" w:lineRule="auto"/>
              <w:jc w:val="center"/>
              <w:rPr>
                <w:rFonts w:eastAsia="Times New Roman"/>
                <w:noProof/>
              </w:rPr>
            </w:pPr>
            <w:r>
              <w:rPr>
                <w:noProof/>
              </w:rPr>
              <w:t>TD-C19-i04</w:t>
            </w:r>
          </w:p>
        </w:tc>
        <w:tc>
          <w:tcPr>
            <w:tcW w:w="1701" w:type="dxa"/>
            <w:shd w:val="clear" w:color="auto" w:fill="C4EFCE"/>
            <w:noWrap/>
            <w:vAlign w:val="center"/>
            <w:hideMark/>
          </w:tcPr>
          <w:p w14:paraId="179EB3D4"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3E6595BF" w14:textId="77777777" w:rsidR="006C686E" w:rsidRDefault="00B17E8C">
            <w:pPr>
              <w:pStyle w:val="P68B1DB1-Normal11"/>
              <w:spacing w:after="0" w:line="240" w:lineRule="auto"/>
              <w:jc w:val="center"/>
              <w:rPr>
                <w:rFonts w:eastAsia="Times New Roman"/>
                <w:noProof/>
              </w:rPr>
            </w:pPr>
            <w:r>
              <w:rPr>
                <w:noProof/>
              </w:rPr>
              <w:t>Système de communications mobiles sécurisé pour les employés du gouvernement</w:t>
            </w:r>
          </w:p>
        </w:tc>
        <w:tc>
          <w:tcPr>
            <w:tcW w:w="1418" w:type="dxa"/>
            <w:shd w:val="clear" w:color="auto" w:fill="C4EFCE"/>
            <w:noWrap/>
            <w:vAlign w:val="center"/>
            <w:hideMark/>
          </w:tcPr>
          <w:p w14:paraId="5A2E9009" w14:textId="1C550895"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47588655" w14:textId="77777777" w:rsidR="006C686E" w:rsidRDefault="00B17E8C">
            <w:pPr>
              <w:pStyle w:val="P68B1DB1-Normal11"/>
              <w:spacing w:after="0" w:line="240" w:lineRule="auto"/>
              <w:jc w:val="center"/>
              <w:rPr>
                <w:rFonts w:eastAsia="Times New Roman"/>
                <w:noProof/>
              </w:rPr>
            </w:pPr>
            <w:r>
              <w:rPr>
                <w:noProof/>
              </w:rPr>
              <w:t>%</w:t>
            </w:r>
          </w:p>
        </w:tc>
        <w:tc>
          <w:tcPr>
            <w:tcW w:w="1050" w:type="dxa"/>
            <w:shd w:val="clear" w:color="auto" w:fill="C4EFCE"/>
            <w:noWrap/>
            <w:vAlign w:val="center"/>
            <w:hideMark/>
          </w:tcPr>
          <w:p w14:paraId="2A263549"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16D6F329" w14:textId="77777777" w:rsidR="006C686E" w:rsidRDefault="00B17E8C">
            <w:pPr>
              <w:pStyle w:val="P68B1DB1-Normal11"/>
              <w:spacing w:after="0" w:line="240" w:lineRule="auto"/>
              <w:jc w:val="center"/>
              <w:rPr>
                <w:rFonts w:eastAsia="Times New Roman"/>
                <w:noProof/>
              </w:rPr>
            </w:pPr>
            <w:r>
              <w:rPr>
                <w:noProof/>
              </w:rPr>
              <w:t>95</w:t>
            </w:r>
          </w:p>
        </w:tc>
        <w:tc>
          <w:tcPr>
            <w:tcW w:w="420" w:type="dxa"/>
            <w:shd w:val="clear" w:color="auto" w:fill="C4EFCE"/>
            <w:noWrap/>
            <w:vAlign w:val="center"/>
            <w:hideMark/>
          </w:tcPr>
          <w:p w14:paraId="4F3B23DE" w14:textId="77777777" w:rsidR="006C686E" w:rsidRDefault="00B17E8C">
            <w:pPr>
              <w:pStyle w:val="P68B1DB1-Normal11"/>
              <w:spacing w:after="0" w:line="240" w:lineRule="auto"/>
              <w:jc w:val="center"/>
              <w:rPr>
                <w:rFonts w:eastAsia="Times New Roman"/>
                <w:noProof/>
              </w:rPr>
            </w:pPr>
            <w:r>
              <w:rPr>
                <w:noProof/>
              </w:rPr>
              <w:t>T2</w:t>
            </w:r>
          </w:p>
        </w:tc>
        <w:tc>
          <w:tcPr>
            <w:tcW w:w="1139" w:type="dxa"/>
            <w:shd w:val="clear" w:color="auto" w:fill="C4EFCE"/>
            <w:noWrap/>
            <w:vAlign w:val="center"/>
            <w:hideMark/>
          </w:tcPr>
          <w:p w14:paraId="2ADBC96D" w14:textId="77777777" w:rsidR="006C686E" w:rsidRDefault="00B17E8C">
            <w:pPr>
              <w:pStyle w:val="P68B1DB1-Normal11"/>
              <w:spacing w:after="0" w:line="240" w:lineRule="auto"/>
              <w:jc w:val="center"/>
              <w:rPr>
                <w:rFonts w:eastAsia="Times New Roman"/>
                <w:noProof/>
              </w:rPr>
            </w:pPr>
            <w:r>
              <w:rPr>
                <w:noProof/>
              </w:rPr>
              <w:t>2022</w:t>
            </w:r>
          </w:p>
        </w:tc>
        <w:tc>
          <w:tcPr>
            <w:tcW w:w="3798" w:type="dxa"/>
            <w:shd w:val="clear" w:color="auto" w:fill="C4EFCE"/>
            <w:vAlign w:val="center"/>
            <w:hideMark/>
          </w:tcPr>
          <w:p w14:paraId="4CCB22E7" w14:textId="77777777" w:rsidR="006C686E" w:rsidRDefault="00B17E8C">
            <w:pPr>
              <w:pStyle w:val="P68B1DB1-Normal11"/>
              <w:spacing w:after="0" w:line="240" w:lineRule="auto"/>
              <w:rPr>
                <w:rFonts w:eastAsia="Times New Roman"/>
                <w:noProof/>
              </w:rPr>
            </w:pPr>
            <w:r>
              <w:rPr>
                <w:noProof/>
              </w:rPr>
              <w:t>Pourcentage d'employés du secteur gouvernemental ayant accès à un système sécurisé de communications vocales, de messagerie et vidéo.</w:t>
            </w:r>
          </w:p>
        </w:tc>
      </w:tr>
      <w:tr w:rsidR="006C686E" w14:paraId="6E966EF3" w14:textId="77777777" w:rsidTr="00A66BC8">
        <w:trPr>
          <w:trHeight w:val="300"/>
        </w:trPr>
        <w:tc>
          <w:tcPr>
            <w:tcW w:w="1048" w:type="dxa"/>
            <w:shd w:val="clear" w:color="auto" w:fill="C4EFCE"/>
            <w:vAlign w:val="center"/>
            <w:hideMark/>
          </w:tcPr>
          <w:p w14:paraId="2A4A9E66" w14:textId="77777777" w:rsidR="006C686E" w:rsidRDefault="00B17E8C">
            <w:pPr>
              <w:pStyle w:val="P68B1DB1-Normal10"/>
              <w:spacing w:after="0" w:line="240" w:lineRule="auto"/>
              <w:jc w:val="center"/>
              <w:rPr>
                <w:rFonts w:eastAsia="Times New Roman"/>
                <w:noProof/>
              </w:rPr>
            </w:pPr>
            <w:r>
              <w:rPr>
                <w:noProof/>
              </w:rPr>
              <w:t>19.12</w:t>
            </w:r>
          </w:p>
        </w:tc>
        <w:tc>
          <w:tcPr>
            <w:tcW w:w="1391" w:type="dxa"/>
            <w:shd w:val="clear" w:color="auto" w:fill="C4EFCE"/>
            <w:noWrap/>
            <w:vAlign w:val="center"/>
            <w:hideMark/>
          </w:tcPr>
          <w:p w14:paraId="0BAB7258" w14:textId="77777777" w:rsidR="006C686E" w:rsidRDefault="00B17E8C">
            <w:pPr>
              <w:pStyle w:val="P68B1DB1-Normal11"/>
              <w:spacing w:after="0" w:line="240" w:lineRule="auto"/>
              <w:jc w:val="center"/>
              <w:rPr>
                <w:rFonts w:eastAsia="Times New Roman"/>
                <w:noProof/>
              </w:rPr>
            </w:pPr>
            <w:r>
              <w:rPr>
                <w:noProof/>
              </w:rPr>
              <w:t>TD-C19-i04</w:t>
            </w:r>
          </w:p>
        </w:tc>
        <w:tc>
          <w:tcPr>
            <w:tcW w:w="1701" w:type="dxa"/>
            <w:shd w:val="clear" w:color="auto" w:fill="C4EFCE"/>
            <w:noWrap/>
            <w:vAlign w:val="center"/>
            <w:hideMark/>
          </w:tcPr>
          <w:p w14:paraId="4B4E51CA"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16A49896" w14:textId="77777777" w:rsidR="006C686E" w:rsidRDefault="00B17E8C">
            <w:pPr>
              <w:pStyle w:val="P68B1DB1-Normal11"/>
              <w:spacing w:after="0" w:line="240" w:lineRule="auto"/>
              <w:jc w:val="center"/>
              <w:rPr>
                <w:rFonts w:eastAsia="Times New Roman"/>
                <w:noProof/>
              </w:rPr>
            </w:pPr>
            <w:r>
              <w:rPr>
                <w:noProof/>
              </w:rPr>
              <w:t xml:space="preserve">Achèvement des mises à niveau des infrastructures numériques critiques </w:t>
            </w:r>
          </w:p>
        </w:tc>
        <w:tc>
          <w:tcPr>
            <w:tcW w:w="1418" w:type="dxa"/>
            <w:shd w:val="clear" w:color="auto" w:fill="C4EFCE"/>
            <w:noWrap/>
            <w:vAlign w:val="center"/>
            <w:hideMark/>
          </w:tcPr>
          <w:p w14:paraId="437E830A" w14:textId="77777777" w:rsidR="006C686E" w:rsidRDefault="00B17E8C">
            <w:pPr>
              <w:pStyle w:val="P68B1DB1-Normal11"/>
              <w:spacing w:after="0" w:line="240" w:lineRule="auto"/>
              <w:jc w:val="center"/>
              <w:rPr>
                <w:rFonts w:eastAsia="Times New Roman"/>
                <w:noProof/>
              </w:rPr>
            </w:pPr>
            <w:r>
              <w:rPr>
                <w:noProof/>
              </w:rPr>
              <w:t>Achèvement des mises à niveau du réseau national de sécurité intérieure et du réseau d'urgence des communications de l'État</w:t>
            </w:r>
          </w:p>
        </w:tc>
        <w:tc>
          <w:tcPr>
            <w:tcW w:w="934" w:type="dxa"/>
            <w:shd w:val="clear" w:color="auto" w:fill="C4EFCE"/>
            <w:noWrap/>
            <w:vAlign w:val="center"/>
            <w:hideMark/>
          </w:tcPr>
          <w:p w14:paraId="6775FA96" w14:textId="77777777" w:rsidR="006C686E" w:rsidRDefault="00B17E8C">
            <w:pPr>
              <w:pStyle w:val="P68B1DB1-Normal11"/>
              <w:spacing w:after="0" w:line="240" w:lineRule="auto"/>
              <w:rPr>
                <w:rFonts w:eastAsia="Times New Roman"/>
                <w:noProof/>
              </w:rPr>
            </w:pPr>
            <w:r>
              <w:rPr>
                <w:noProof/>
              </w:rPr>
              <w:t xml:space="preserve"> </w:t>
            </w:r>
          </w:p>
        </w:tc>
        <w:tc>
          <w:tcPr>
            <w:tcW w:w="1050" w:type="dxa"/>
            <w:shd w:val="clear" w:color="auto" w:fill="C4EFCE"/>
            <w:noWrap/>
            <w:vAlign w:val="center"/>
            <w:hideMark/>
          </w:tcPr>
          <w:p w14:paraId="341B322C" w14:textId="77777777" w:rsidR="006C686E" w:rsidRDefault="00B17E8C">
            <w:pPr>
              <w:pStyle w:val="P68B1DB1-Normal11"/>
              <w:spacing w:after="0" w:line="240" w:lineRule="auto"/>
              <w:rPr>
                <w:rFonts w:eastAsia="Times New Roman"/>
                <w:noProof/>
              </w:rPr>
            </w:pPr>
            <w:r>
              <w:rPr>
                <w:noProof/>
              </w:rPr>
              <w:t xml:space="preserve"> </w:t>
            </w:r>
          </w:p>
        </w:tc>
        <w:tc>
          <w:tcPr>
            <w:tcW w:w="851" w:type="dxa"/>
            <w:shd w:val="clear" w:color="auto" w:fill="C4EFCE"/>
            <w:noWrap/>
            <w:vAlign w:val="center"/>
            <w:hideMark/>
          </w:tcPr>
          <w:p w14:paraId="1260881F" w14:textId="77777777" w:rsidR="006C686E" w:rsidRDefault="00B17E8C">
            <w:pPr>
              <w:pStyle w:val="P68B1DB1-Normal11"/>
              <w:spacing w:after="0" w:line="240" w:lineRule="auto"/>
              <w:rPr>
                <w:rFonts w:eastAsia="Times New Roman"/>
                <w:noProof/>
              </w:rPr>
            </w:pPr>
            <w:r>
              <w:rPr>
                <w:noProof/>
              </w:rPr>
              <w:t xml:space="preserve"> </w:t>
            </w:r>
          </w:p>
        </w:tc>
        <w:tc>
          <w:tcPr>
            <w:tcW w:w="420" w:type="dxa"/>
            <w:shd w:val="clear" w:color="auto" w:fill="C4EFCE"/>
            <w:noWrap/>
            <w:vAlign w:val="center"/>
            <w:hideMark/>
          </w:tcPr>
          <w:p w14:paraId="1C52C157" w14:textId="77777777" w:rsidR="006C686E" w:rsidRDefault="00B17E8C">
            <w:pPr>
              <w:pStyle w:val="P68B1DB1-Normal11"/>
              <w:spacing w:after="0" w:line="240" w:lineRule="auto"/>
              <w:jc w:val="center"/>
              <w:rPr>
                <w:rFonts w:eastAsia="Times New Roman"/>
                <w:noProof/>
              </w:rPr>
            </w:pPr>
            <w:r>
              <w:rPr>
                <w:noProof/>
              </w:rPr>
              <w:t>T1</w:t>
            </w:r>
          </w:p>
        </w:tc>
        <w:tc>
          <w:tcPr>
            <w:tcW w:w="1139" w:type="dxa"/>
            <w:shd w:val="clear" w:color="auto" w:fill="C4EFCE"/>
            <w:noWrap/>
            <w:vAlign w:val="center"/>
            <w:hideMark/>
          </w:tcPr>
          <w:p w14:paraId="2DCFE34C" w14:textId="77777777" w:rsidR="006C686E" w:rsidRDefault="00B17E8C">
            <w:pPr>
              <w:pStyle w:val="P68B1DB1-Normal11"/>
              <w:spacing w:after="0" w:line="240" w:lineRule="auto"/>
              <w:jc w:val="right"/>
              <w:rPr>
                <w:rFonts w:eastAsia="Times New Roman"/>
                <w:noProof/>
              </w:rPr>
            </w:pPr>
            <w:r>
              <w:rPr>
                <w:noProof/>
              </w:rPr>
              <w:t>2024</w:t>
            </w:r>
          </w:p>
        </w:tc>
        <w:tc>
          <w:tcPr>
            <w:tcW w:w="3798" w:type="dxa"/>
            <w:shd w:val="clear" w:color="auto" w:fill="C4EFCE"/>
            <w:hideMark/>
          </w:tcPr>
          <w:p w14:paraId="5C8828EA" w14:textId="454DD341" w:rsidR="006C686E" w:rsidRDefault="00B17E8C">
            <w:pPr>
              <w:pStyle w:val="P68B1DB1-Normal11"/>
              <w:spacing w:after="0" w:line="240" w:lineRule="auto"/>
              <w:jc w:val="both"/>
              <w:rPr>
                <w:rFonts w:eastAsia="Times New Roman"/>
                <w:noProof/>
              </w:rPr>
            </w:pPr>
            <w:r>
              <w:rPr>
                <w:noProof/>
              </w:rPr>
              <w:t>Achèvement des mises à niveau des infrastructures numériques critiques: (i) 112 projets de centres opérationnels et de réseaux nationaux de sécurité intérieure, à l’exception de l’installation et de la mise en service d’un nouveau centre de données qui figure à l’étape 19.13; ii) changement de la technologie de l’infrastructure au sol (réseau central) de E1 à IP (protocole Internet) et augmentation de la capacité du réseau de communication d’urgence de l’État (SIRESP).</w:t>
            </w:r>
          </w:p>
        </w:tc>
      </w:tr>
      <w:tr w:rsidR="006C686E" w14:paraId="7AFC9EF5" w14:textId="77777777" w:rsidTr="00A66BC8">
        <w:trPr>
          <w:trHeight w:val="300"/>
        </w:trPr>
        <w:tc>
          <w:tcPr>
            <w:tcW w:w="1048" w:type="dxa"/>
            <w:shd w:val="clear" w:color="auto" w:fill="C4EFCE"/>
            <w:vAlign w:val="center"/>
            <w:hideMark/>
          </w:tcPr>
          <w:p w14:paraId="1C2B473B" w14:textId="77777777" w:rsidR="006C686E" w:rsidRDefault="00B17E8C">
            <w:pPr>
              <w:pStyle w:val="P68B1DB1-Normal10"/>
              <w:spacing w:after="0" w:line="240" w:lineRule="auto"/>
              <w:jc w:val="center"/>
              <w:rPr>
                <w:rFonts w:eastAsia="Times New Roman"/>
                <w:noProof/>
              </w:rPr>
            </w:pPr>
            <w:r>
              <w:rPr>
                <w:noProof/>
              </w:rPr>
              <w:t>19.13</w:t>
            </w:r>
          </w:p>
        </w:tc>
        <w:tc>
          <w:tcPr>
            <w:tcW w:w="1391" w:type="dxa"/>
            <w:shd w:val="clear" w:color="auto" w:fill="C4EFCE"/>
            <w:noWrap/>
            <w:vAlign w:val="center"/>
            <w:hideMark/>
          </w:tcPr>
          <w:p w14:paraId="43586C17" w14:textId="146D1A24" w:rsidR="006C686E" w:rsidRDefault="00B17E8C">
            <w:pPr>
              <w:pStyle w:val="P68B1DB1-Normal13"/>
              <w:spacing w:after="0" w:line="240" w:lineRule="auto"/>
              <w:jc w:val="center"/>
              <w:rPr>
                <w:rFonts w:eastAsia="Times New Roman"/>
                <w:noProof/>
                <w:kern w:val="0"/>
                <w14:ligatures w14:val="none"/>
              </w:rPr>
            </w:pPr>
            <w:r>
              <w:rPr>
                <w:noProof/>
              </w:rPr>
              <w:t>TD-C19-i04</w:t>
            </w:r>
          </w:p>
        </w:tc>
        <w:tc>
          <w:tcPr>
            <w:tcW w:w="1701" w:type="dxa"/>
            <w:shd w:val="clear" w:color="auto" w:fill="C4EFCE"/>
            <w:noWrap/>
            <w:vAlign w:val="center"/>
            <w:hideMark/>
          </w:tcPr>
          <w:p w14:paraId="32377709" w14:textId="0C3BBEFE" w:rsidR="006C686E" w:rsidRDefault="00B17E8C">
            <w:pPr>
              <w:pStyle w:val="P68B1DB1-Normal11"/>
              <w:spacing w:after="0" w:line="240" w:lineRule="auto"/>
              <w:jc w:val="center"/>
              <w:rPr>
                <w:rFonts w:eastAsia="Times New Roman"/>
                <w:noProof/>
              </w:rPr>
            </w:pPr>
            <w:r>
              <w:rPr>
                <w:noProof/>
              </w:rPr>
              <w:t xml:space="preserve"> M</w:t>
            </w:r>
          </w:p>
        </w:tc>
        <w:tc>
          <w:tcPr>
            <w:tcW w:w="709" w:type="dxa"/>
            <w:shd w:val="clear" w:color="auto" w:fill="C4EFCE"/>
            <w:noWrap/>
            <w:vAlign w:val="center"/>
            <w:hideMark/>
          </w:tcPr>
          <w:p w14:paraId="14DE7574" w14:textId="77777777" w:rsidR="006C686E" w:rsidRDefault="00B17E8C">
            <w:pPr>
              <w:pStyle w:val="P68B1DB1-Normal13"/>
              <w:spacing w:after="0" w:line="240" w:lineRule="auto"/>
              <w:jc w:val="center"/>
              <w:rPr>
                <w:rFonts w:eastAsia="Times New Roman"/>
                <w:noProof/>
              </w:rPr>
            </w:pPr>
            <w:r>
              <w:rPr>
                <w:noProof/>
                <w:kern w:val="0"/>
                <w14:ligatures w14:val="none"/>
              </w:rPr>
              <w:t xml:space="preserve"> </w:t>
            </w:r>
            <w:r>
              <w:rPr>
                <w:noProof/>
              </w:rPr>
              <w:t xml:space="preserve">Infrastructures numériques critiques </w:t>
            </w:r>
          </w:p>
        </w:tc>
        <w:tc>
          <w:tcPr>
            <w:tcW w:w="1418" w:type="dxa"/>
            <w:shd w:val="clear" w:color="auto" w:fill="C4EFCE"/>
            <w:noWrap/>
            <w:vAlign w:val="center"/>
            <w:hideMark/>
          </w:tcPr>
          <w:p w14:paraId="354CAD2C" w14:textId="00DBD052" w:rsidR="006C686E" w:rsidRDefault="00B17E8C">
            <w:pPr>
              <w:pStyle w:val="P68B1DB1-Normal12"/>
              <w:spacing w:after="0" w:line="240" w:lineRule="auto"/>
              <w:jc w:val="center"/>
              <w:rPr>
                <w:noProof/>
              </w:rPr>
            </w:pPr>
            <w:r>
              <w:rPr>
                <w:noProof/>
              </w:rPr>
              <w:t>Livraison ou acceptation d’infrastructures numériques critiques</w:t>
            </w:r>
          </w:p>
        </w:tc>
        <w:tc>
          <w:tcPr>
            <w:tcW w:w="934" w:type="dxa"/>
            <w:shd w:val="clear" w:color="auto" w:fill="C4EFCE"/>
            <w:noWrap/>
            <w:vAlign w:val="center"/>
            <w:hideMark/>
          </w:tcPr>
          <w:p w14:paraId="599C3624" w14:textId="6B1ADC2E"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1050" w:type="dxa"/>
            <w:shd w:val="clear" w:color="auto" w:fill="C4EFCE"/>
            <w:noWrap/>
            <w:vAlign w:val="center"/>
            <w:hideMark/>
          </w:tcPr>
          <w:p w14:paraId="58D5F604" w14:textId="007DBC9D" w:rsidR="006C686E" w:rsidRDefault="006C686E">
            <w:pPr>
              <w:spacing w:after="0" w:line="240" w:lineRule="auto"/>
              <w:rPr>
                <w:rFonts w:ascii="Times New Roman" w:eastAsia="Times New Roman" w:hAnsi="Times New Roman" w:cs="Times New Roman"/>
                <w:noProof/>
                <w:kern w:val="0"/>
                <w:sz w:val="16"/>
                <w:szCs w:val="16"/>
                <w14:ligatures w14:val="none"/>
              </w:rPr>
            </w:pPr>
          </w:p>
        </w:tc>
        <w:tc>
          <w:tcPr>
            <w:tcW w:w="851" w:type="dxa"/>
            <w:shd w:val="clear" w:color="auto" w:fill="C4EFCE"/>
            <w:noWrap/>
            <w:vAlign w:val="center"/>
            <w:hideMark/>
          </w:tcPr>
          <w:p w14:paraId="234BE9B9" w14:textId="72B975B9" w:rsidR="006C686E" w:rsidRDefault="00B17E8C">
            <w:pPr>
              <w:pStyle w:val="P68B1DB1-Normal11"/>
              <w:spacing w:after="0" w:line="240" w:lineRule="auto"/>
              <w:rPr>
                <w:rFonts w:eastAsia="Times New Roman"/>
                <w:noProof/>
              </w:rPr>
            </w:pPr>
            <w:r>
              <w:rPr>
                <w:noProof/>
              </w:rPr>
              <w:t xml:space="preserve"> </w:t>
            </w:r>
          </w:p>
        </w:tc>
        <w:tc>
          <w:tcPr>
            <w:tcW w:w="420" w:type="dxa"/>
            <w:shd w:val="clear" w:color="auto" w:fill="C4EFCE"/>
            <w:noWrap/>
            <w:vAlign w:val="center"/>
            <w:hideMark/>
          </w:tcPr>
          <w:p w14:paraId="325211C2" w14:textId="77777777" w:rsidR="006C686E" w:rsidRDefault="00B17E8C">
            <w:pPr>
              <w:pStyle w:val="P68B1DB1-Normal11"/>
              <w:spacing w:after="0" w:line="240" w:lineRule="auto"/>
              <w:jc w:val="center"/>
              <w:rPr>
                <w:rFonts w:eastAsia="Times New Roman"/>
                <w:noProof/>
              </w:rPr>
            </w:pPr>
            <w:r>
              <w:rPr>
                <w:noProof/>
              </w:rPr>
              <w:t>T2</w:t>
            </w:r>
          </w:p>
        </w:tc>
        <w:tc>
          <w:tcPr>
            <w:tcW w:w="1139" w:type="dxa"/>
            <w:shd w:val="clear" w:color="auto" w:fill="C4EFCE"/>
            <w:noWrap/>
            <w:vAlign w:val="center"/>
            <w:hideMark/>
          </w:tcPr>
          <w:p w14:paraId="1180181F" w14:textId="77777777" w:rsidR="006C686E" w:rsidRDefault="00B17E8C">
            <w:pPr>
              <w:pStyle w:val="P68B1DB1-Normal11"/>
              <w:spacing w:after="0" w:line="240" w:lineRule="auto"/>
              <w:jc w:val="right"/>
              <w:rPr>
                <w:rFonts w:eastAsia="Times New Roman"/>
                <w:noProof/>
              </w:rPr>
            </w:pPr>
            <w:r>
              <w:rPr>
                <w:noProof/>
              </w:rPr>
              <w:t>2026</w:t>
            </w:r>
          </w:p>
        </w:tc>
        <w:tc>
          <w:tcPr>
            <w:tcW w:w="3798" w:type="dxa"/>
            <w:shd w:val="clear" w:color="auto" w:fill="C4EFCE"/>
            <w:vAlign w:val="center"/>
            <w:hideMark/>
          </w:tcPr>
          <w:p w14:paraId="7A2A0C2A" w14:textId="25D0B2D3" w:rsidR="006C686E" w:rsidRDefault="00B17E8C">
            <w:pPr>
              <w:pStyle w:val="P68B1DB1-Normal13"/>
              <w:spacing w:after="0" w:line="240" w:lineRule="auto"/>
              <w:jc w:val="both"/>
              <w:rPr>
                <w:noProof/>
                <w:kern w:val="0"/>
                <w14:ligatures w14:val="none"/>
              </w:rPr>
            </w:pPr>
            <w:r>
              <w:rPr>
                <w:noProof/>
              </w:rPr>
              <w:t>Livraison ou acceptation de:</w:t>
            </w:r>
          </w:p>
          <w:p w14:paraId="3A219C39" w14:textId="245D6478" w:rsidR="006C686E" w:rsidRDefault="00B17E8C">
            <w:pPr>
              <w:pStyle w:val="P68B1DB1-Normal11"/>
              <w:spacing w:after="0" w:line="240" w:lineRule="auto"/>
              <w:jc w:val="both"/>
              <w:rPr>
                <w:noProof/>
              </w:rPr>
            </w:pPr>
            <w:r>
              <w:rPr>
                <w:noProof/>
              </w:rPr>
              <w:t>i) un centre de données et du matériel ou des logiciels de cybersécurité pour le réseau national de sécurité intérieure (NISN);</w:t>
            </w:r>
          </w:p>
          <w:p w14:paraId="3672FF04" w14:textId="2DE40744" w:rsidR="006C686E" w:rsidRDefault="00B17E8C">
            <w:pPr>
              <w:pStyle w:val="P68B1DB1-Normal11"/>
              <w:spacing w:after="0" w:line="240" w:lineRule="auto"/>
              <w:jc w:val="both"/>
              <w:rPr>
                <w:noProof/>
              </w:rPr>
            </w:pPr>
            <w:r>
              <w:rPr>
                <w:noProof/>
              </w:rPr>
              <w:t>ii) Centre de reprise après sinistre associé au réseau de communications d ' urgence de l ' État (SIRESP);</w:t>
            </w:r>
          </w:p>
          <w:p w14:paraId="74ADFACA" w14:textId="77F469E1" w:rsidR="006C686E" w:rsidRDefault="00B17E8C">
            <w:pPr>
              <w:pStyle w:val="P68B1DB1-Normal11"/>
              <w:spacing w:after="0" w:line="240" w:lineRule="auto"/>
              <w:jc w:val="both"/>
              <w:rPr>
                <w:noProof/>
              </w:rPr>
            </w:pPr>
            <w:r>
              <w:rPr>
                <w:noProof/>
              </w:rPr>
              <w:t>iii) système d’information, matériel informatique et logiciels pour l’Autorité nationale de sécurité routière (ANSR);</w:t>
            </w:r>
          </w:p>
          <w:p w14:paraId="49808D26" w14:textId="768EE64E" w:rsidR="006C686E" w:rsidRDefault="00B17E8C">
            <w:pPr>
              <w:pStyle w:val="P68B1DB1-Normal11"/>
              <w:spacing w:after="0" w:line="240" w:lineRule="auto"/>
              <w:jc w:val="both"/>
              <w:rPr>
                <w:noProof/>
              </w:rPr>
            </w:pPr>
            <w:r>
              <w:rPr>
                <w:noProof/>
              </w:rPr>
              <w:t>iv) système d’information pour les événements de protection civile, les situations d’urgence et les catastrophes;</w:t>
            </w:r>
          </w:p>
          <w:p w14:paraId="5BCFA9F9" w14:textId="5DBD6355" w:rsidR="006C686E" w:rsidRDefault="00B17E8C">
            <w:pPr>
              <w:pStyle w:val="P68B1DB1-Normal13"/>
              <w:spacing w:after="0" w:line="240" w:lineRule="auto"/>
              <w:jc w:val="both"/>
              <w:rPr>
                <w:noProof/>
                <w:kern w:val="0"/>
                <w14:ligatures w14:val="none"/>
              </w:rPr>
            </w:pPr>
            <w:r>
              <w:rPr>
                <w:noProof/>
              </w:rPr>
              <w:t>v) terminaux TETRA, téléphones par satellite et autres équipements de communication ou de soutien pour SGMAI;</w:t>
            </w:r>
          </w:p>
          <w:p w14:paraId="48B89105" w14:textId="44D8A4A3" w:rsidR="006C686E" w:rsidRDefault="00B17E8C">
            <w:pPr>
              <w:pStyle w:val="P68B1DB1-Normal11"/>
              <w:spacing w:after="0" w:line="240" w:lineRule="auto"/>
              <w:jc w:val="both"/>
              <w:rPr>
                <w:noProof/>
              </w:rPr>
            </w:pPr>
            <w:r>
              <w:rPr>
                <w:noProof/>
              </w:rPr>
              <w:t>vi) Équipement de protection pour l'ANEPC;</w:t>
            </w:r>
          </w:p>
          <w:p w14:paraId="517B1C61" w14:textId="748BAF41" w:rsidR="006C686E" w:rsidRDefault="00B17E8C">
            <w:pPr>
              <w:pStyle w:val="P68B1DB1-Normal11"/>
              <w:spacing w:after="0" w:line="240" w:lineRule="auto"/>
              <w:jc w:val="both"/>
              <w:rPr>
                <w:noProof/>
              </w:rPr>
            </w:pPr>
            <w:r>
              <w:rPr>
                <w:noProof/>
              </w:rPr>
              <w:t>vii) Infrastructure informatique pour SIRP.</w:t>
            </w:r>
          </w:p>
        </w:tc>
      </w:tr>
      <w:tr w:rsidR="006C686E" w14:paraId="21F1E971" w14:textId="77777777" w:rsidTr="00A66BC8">
        <w:trPr>
          <w:trHeight w:val="300"/>
        </w:trPr>
        <w:tc>
          <w:tcPr>
            <w:tcW w:w="1048" w:type="dxa"/>
            <w:shd w:val="clear" w:color="auto" w:fill="C4EFCE"/>
            <w:vAlign w:val="center"/>
            <w:hideMark/>
          </w:tcPr>
          <w:p w14:paraId="486B2885" w14:textId="77777777" w:rsidR="006C686E" w:rsidRDefault="00B17E8C">
            <w:pPr>
              <w:pStyle w:val="P68B1DB1-Normal10"/>
              <w:spacing w:after="0" w:line="240" w:lineRule="auto"/>
              <w:jc w:val="center"/>
              <w:rPr>
                <w:rFonts w:eastAsia="Times New Roman"/>
                <w:noProof/>
              </w:rPr>
            </w:pPr>
            <w:r>
              <w:rPr>
                <w:noProof/>
              </w:rPr>
              <w:t>19.14</w:t>
            </w:r>
          </w:p>
        </w:tc>
        <w:tc>
          <w:tcPr>
            <w:tcW w:w="1391" w:type="dxa"/>
            <w:shd w:val="clear" w:color="auto" w:fill="C4EFCE"/>
            <w:noWrap/>
            <w:vAlign w:val="center"/>
            <w:hideMark/>
          </w:tcPr>
          <w:p w14:paraId="51FE588C" w14:textId="77777777" w:rsidR="006C686E" w:rsidRDefault="00B17E8C">
            <w:pPr>
              <w:pStyle w:val="P68B1DB1-Normal11"/>
              <w:spacing w:after="0" w:line="240" w:lineRule="auto"/>
              <w:jc w:val="center"/>
              <w:rPr>
                <w:rFonts w:eastAsia="Times New Roman"/>
                <w:noProof/>
              </w:rPr>
            </w:pPr>
            <w:r>
              <w:rPr>
                <w:noProof/>
              </w:rPr>
              <w:t>TD-C19-i04</w:t>
            </w:r>
          </w:p>
        </w:tc>
        <w:tc>
          <w:tcPr>
            <w:tcW w:w="1701" w:type="dxa"/>
            <w:shd w:val="clear" w:color="auto" w:fill="C4EFCE"/>
            <w:noWrap/>
            <w:vAlign w:val="center"/>
            <w:hideMark/>
          </w:tcPr>
          <w:p w14:paraId="2597D1B8"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4C555809" w14:textId="77777777" w:rsidR="006C686E" w:rsidRDefault="00B17E8C">
            <w:pPr>
              <w:pStyle w:val="P68B1DB1-Normal11"/>
              <w:spacing w:after="0" w:line="240" w:lineRule="auto"/>
              <w:jc w:val="center"/>
              <w:rPr>
                <w:rFonts w:eastAsia="Times New Roman"/>
                <w:noProof/>
              </w:rPr>
            </w:pPr>
            <w:r>
              <w:rPr>
                <w:noProof/>
              </w:rPr>
              <w:t>Systèmes informatiques des forces et services de sécurité</w:t>
            </w:r>
          </w:p>
        </w:tc>
        <w:tc>
          <w:tcPr>
            <w:tcW w:w="1418" w:type="dxa"/>
            <w:shd w:val="clear" w:color="auto" w:fill="C4EFCE"/>
            <w:noWrap/>
            <w:vAlign w:val="center"/>
            <w:hideMark/>
          </w:tcPr>
          <w:p w14:paraId="011F2318" w14:textId="77777777" w:rsidR="006C686E" w:rsidRDefault="00B17E8C">
            <w:pPr>
              <w:pStyle w:val="P68B1DB1-Normal11"/>
              <w:spacing w:after="0" w:line="240" w:lineRule="auto"/>
              <w:jc w:val="center"/>
              <w:rPr>
                <w:rFonts w:eastAsia="Times New Roman"/>
                <w:noProof/>
              </w:rPr>
            </w:pPr>
            <w:r>
              <w:rPr>
                <w:noProof/>
              </w:rPr>
              <w:t>Systèmes informatiques livrés</w:t>
            </w:r>
          </w:p>
        </w:tc>
        <w:tc>
          <w:tcPr>
            <w:tcW w:w="934" w:type="dxa"/>
            <w:shd w:val="clear" w:color="auto" w:fill="C4EFCE"/>
            <w:noWrap/>
            <w:vAlign w:val="center"/>
            <w:hideMark/>
          </w:tcPr>
          <w:p w14:paraId="229210AF" w14:textId="77777777" w:rsidR="006C686E" w:rsidRDefault="00B17E8C">
            <w:pPr>
              <w:pStyle w:val="P68B1DB1-Normal11"/>
              <w:spacing w:after="0" w:line="240" w:lineRule="auto"/>
              <w:jc w:val="center"/>
              <w:rPr>
                <w:rFonts w:eastAsia="Times New Roman"/>
                <w:noProof/>
              </w:rPr>
            </w:pPr>
            <w:r>
              <w:rPr>
                <w:noProof/>
              </w:rPr>
              <w:t xml:space="preserve"> </w:t>
            </w:r>
          </w:p>
        </w:tc>
        <w:tc>
          <w:tcPr>
            <w:tcW w:w="1050" w:type="dxa"/>
            <w:shd w:val="clear" w:color="auto" w:fill="C4EFCE"/>
            <w:noWrap/>
            <w:vAlign w:val="center"/>
            <w:hideMark/>
          </w:tcPr>
          <w:p w14:paraId="5896CF8F"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shd w:val="clear" w:color="auto" w:fill="C4EFCE"/>
            <w:noWrap/>
            <w:vAlign w:val="center"/>
            <w:hideMark/>
          </w:tcPr>
          <w:p w14:paraId="2CA578F4" w14:textId="77777777" w:rsidR="006C686E" w:rsidRDefault="00B17E8C">
            <w:pPr>
              <w:pStyle w:val="P68B1DB1-Normal11"/>
              <w:spacing w:after="0" w:line="240" w:lineRule="auto"/>
              <w:jc w:val="center"/>
              <w:rPr>
                <w:rFonts w:eastAsia="Times New Roman"/>
                <w:noProof/>
              </w:rPr>
            </w:pPr>
            <w:r>
              <w:rPr>
                <w:noProof/>
              </w:rPr>
              <w:t xml:space="preserve"> </w:t>
            </w:r>
          </w:p>
        </w:tc>
        <w:tc>
          <w:tcPr>
            <w:tcW w:w="420" w:type="dxa"/>
            <w:shd w:val="clear" w:color="auto" w:fill="C4EFCE"/>
            <w:noWrap/>
            <w:vAlign w:val="center"/>
            <w:hideMark/>
          </w:tcPr>
          <w:p w14:paraId="631DFC42" w14:textId="77777777" w:rsidR="006C686E" w:rsidRDefault="00B17E8C">
            <w:pPr>
              <w:pStyle w:val="P68B1DB1-Normal11"/>
              <w:spacing w:after="0" w:line="240" w:lineRule="auto"/>
              <w:jc w:val="center"/>
              <w:rPr>
                <w:rFonts w:eastAsia="Times New Roman"/>
                <w:noProof/>
              </w:rPr>
            </w:pPr>
            <w:r>
              <w:rPr>
                <w:noProof/>
              </w:rPr>
              <w:t>T2</w:t>
            </w:r>
          </w:p>
        </w:tc>
        <w:tc>
          <w:tcPr>
            <w:tcW w:w="1139" w:type="dxa"/>
            <w:shd w:val="clear" w:color="auto" w:fill="C4EFCE"/>
            <w:noWrap/>
            <w:vAlign w:val="center"/>
            <w:hideMark/>
          </w:tcPr>
          <w:p w14:paraId="10636518" w14:textId="77777777"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hideMark/>
          </w:tcPr>
          <w:p w14:paraId="5029F986" w14:textId="77777777" w:rsidR="006C686E" w:rsidRDefault="00B17E8C">
            <w:pPr>
              <w:pStyle w:val="P68B1DB1-Normal11"/>
              <w:spacing w:after="0" w:line="240" w:lineRule="auto"/>
              <w:jc w:val="both"/>
              <w:rPr>
                <w:rFonts w:eastAsia="Times New Roman"/>
                <w:noProof/>
              </w:rPr>
            </w:pPr>
            <w:r>
              <w:rPr>
                <w:noProof/>
              </w:rPr>
              <w:t xml:space="preserve">Les systèmes informatiques suivants sont fournis: </w:t>
            </w:r>
          </w:p>
          <w:p w14:paraId="75565F2C" w14:textId="0E3617F4" w:rsidR="006C686E" w:rsidRDefault="00B17E8C">
            <w:pPr>
              <w:pStyle w:val="P68B1DB1-Normal13"/>
              <w:spacing w:after="0" w:line="240" w:lineRule="auto"/>
              <w:jc w:val="both"/>
              <w:rPr>
                <w:noProof/>
                <w:kern w:val="0"/>
                <w14:ligatures w14:val="none"/>
              </w:rPr>
            </w:pPr>
            <w:r>
              <w:rPr>
                <w:noProof/>
                <w:kern w:val="0"/>
                <w14:ligatures w14:val="none"/>
              </w:rPr>
              <w:t>a) les systèmes informatiques de l'AIMA</w:t>
            </w:r>
            <w:r>
              <w:rPr>
                <w:noProof/>
              </w:rPr>
              <w:t xml:space="preserve"> – Agence pour l'intégration, la migration et l'asile;</w:t>
            </w:r>
          </w:p>
          <w:p w14:paraId="0D8DFE7E" w14:textId="77777777" w:rsidR="006C686E" w:rsidRDefault="00B17E8C">
            <w:pPr>
              <w:pStyle w:val="P68B1DB1-Normal11"/>
              <w:spacing w:after="0" w:line="240" w:lineRule="auto"/>
              <w:jc w:val="both"/>
              <w:rPr>
                <w:noProof/>
              </w:rPr>
            </w:pPr>
            <w:r>
              <w:rPr>
                <w:noProof/>
              </w:rPr>
              <w:t xml:space="preserve">b) Systèmes informatiques pour le contrôle aux frontières et la coopération policière </w:t>
            </w:r>
          </w:p>
          <w:p w14:paraId="1B68E3A5" w14:textId="77777777" w:rsidR="006C686E" w:rsidRDefault="00B17E8C">
            <w:pPr>
              <w:pStyle w:val="P68B1DB1-Normal11"/>
              <w:spacing w:after="0" w:line="240" w:lineRule="auto"/>
              <w:jc w:val="both"/>
              <w:rPr>
                <w:noProof/>
              </w:rPr>
            </w:pPr>
            <w:r>
              <w:rPr>
                <w:noProof/>
              </w:rPr>
              <w:t>c) Système de services informatiques partagés pour les forces de sécurité et systèmes informatiques pour les données de vidéosurveillance</w:t>
            </w:r>
          </w:p>
        </w:tc>
      </w:tr>
      <w:tr w:rsidR="006C686E" w14:paraId="3018078D" w14:textId="77777777" w:rsidTr="00A66BC8">
        <w:trPr>
          <w:trHeight w:val="300"/>
        </w:trPr>
        <w:tc>
          <w:tcPr>
            <w:tcW w:w="1048" w:type="dxa"/>
            <w:shd w:val="clear" w:color="auto" w:fill="C4EFCE"/>
            <w:vAlign w:val="center"/>
            <w:hideMark/>
          </w:tcPr>
          <w:p w14:paraId="589545E0" w14:textId="77777777" w:rsidR="006C686E" w:rsidRDefault="00B17E8C">
            <w:pPr>
              <w:pStyle w:val="P68B1DB1-Normal10"/>
              <w:spacing w:after="0" w:line="240" w:lineRule="auto"/>
              <w:jc w:val="center"/>
              <w:rPr>
                <w:rFonts w:eastAsia="Times New Roman"/>
                <w:noProof/>
              </w:rPr>
            </w:pPr>
            <w:r>
              <w:rPr>
                <w:noProof/>
              </w:rPr>
              <w:t>19.15</w:t>
            </w:r>
          </w:p>
        </w:tc>
        <w:tc>
          <w:tcPr>
            <w:tcW w:w="1391" w:type="dxa"/>
            <w:shd w:val="clear" w:color="auto" w:fill="C4EFCE"/>
            <w:noWrap/>
            <w:vAlign w:val="center"/>
            <w:hideMark/>
          </w:tcPr>
          <w:p w14:paraId="71A69A8F" w14:textId="77777777" w:rsidR="006C686E" w:rsidRDefault="00B17E8C">
            <w:pPr>
              <w:pStyle w:val="P68B1DB1-Normal11"/>
              <w:spacing w:after="0" w:line="240" w:lineRule="auto"/>
              <w:jc w:val="center"/>
              <w:rPr>
                <w:rFonts w:eastAsia="Times New Roman"/>
                <w:noProof/>
              </w:rPr>
            </w:pPr>
            <w:r>
              <w:rPr>
                <w:noProof/>
              </w:rPr>
              <w:t>TD-C19-i04</w:t>
            </w:r>
          </w:p>
        </w:tc>
        <w:tc>
          <w:tcPr>
            <w:tcW w:w="1701" w:type="dxa"/>
            <w:shd w:val="clear" w:color="auto" w:fill="C4EFCE"/>
            <w:noWrap/>
            <w:vAlign w:val="center"/>
            <w:hideMark/>
          </w:tcPr>
          <w:p w14:paraId="1F844747"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30AF34DA" w14:textId="63262B0E" w:rsidR="006C686E" w:rsidRDefault="00B17E8C">
            <w:pPr>
              <w:pStyle w:val="P68B1DB1-Normal11"/>
              <w:spacing w:after="0" w:line="240" w:lineRule="auto"/>
              <w:jc w:val="center"/>
              <w:rPr>
                <w:rFonts w:eastAsia="Times New Roman"/>
                <w:noProof/>
              </w:rPr>
            </w:pPr>
            <w:r>
              <w:rPr>
                <w:noProof/>
              </w:rPr>
              <w:t xml:space="preserve"> Centre de gestion du réseau informatique du gouvernement </w:t>
            </w:r>
          </w:p>
        </w:tc>
        <w:tc>
          <w:tcPr>
            <w:tcW w:w="1418" w:type="dxa"/>
            <w:shd w:val="clear" w:color="auto" w:fill="C4EFCE"/>
            <w:noWrap/>
            <w:vAlign w:val="center"/>
            <w:hideMark/>
          </w:tcPr>
          <w:p w14:paraId="4C8B62AA" w14:textId="50E88259" w:rsidR="006C686E" w:rsidRDefault="00B17E8C">
            <w:pPr>
              <w:pStyle w:val="P68B1DB1-Normal11"/>
              <w:spacing w:after="0" w:line="240" w:lineRule="auto"/>
              <w:jc w:val="center"/>
              <w:rPr>
                <w:noProof/>
              </w:rPr>
            </w:pPr>
            <w:r>
              <w:rPr>
                <w:noProof/>
              </w:rPr>
              <w:t xml:space="preserve">Mise en place de cinq infrastructures technologiques </w:t>
            </w:r>
          </w:p>
        </w:tc>
        <w:tc>
          <w:tcPr>
            <w:tcW w:w="934" w:type="dxa"/>
            <w:shd w:val="clear" w:color="auto" w:fill="C4EFCE"/>
            <w:noWrap/>
            <w:vAlign w:val="center"/>
            <w:hideMark/>
          </w:tcPr>
          <w:p w14:paraId="1A54FAF0" w14:textId="77777777" w:rsidR="006C686E" w:rsidRDefault="00B17E8C">
            <w:pPr>
              <w:pStyle w:val="P68B1DB1-Normal11"/>
              <w:spacing w:after="0" w:line="240" w:lineRule="auto"/>
              <w:jc w:val="center"/>
              <w:rPr>
                <w:rFonts w:eastAsia="Times New Roman"/>
                <w:noProof/>
              </w:rPr>
            </w:pPr>
            <w:r>
              <w:rPr>
                <w:noProof/>
              </w:rPr>
              <w:t xml:space="preserve"> </w:t>
            </w:r>
          </w:p>
        </w:tc>
        <w:tc>
          <w:tcPr>
            <w:tcW w:w="1050" w:type="dxa"/>
            <w:shd w:val="clear" w:color="auto" w:fill="C4EFCE"/>
            <w:noWrap/>
            <w:vAlign w:val="center"/>
            <w:hideMark/>
          </w:tcPr>
          <w:p w14:paraId="492B813C"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shd w:val="clear" w:color="auto" w:fill="C4EFCE"/>
            <w:noWrap/>
            <w:vAlign w:val="center"/>
            <w:hideMark/>
          </w:tcPr>
          <w:p w14:paraId="2509AF8B" w14:textId="77777777" w:rsidR="006C686E" w:rsidRDefault="00B17E8C">
            <w:pPr>
              <w:pStyle w:val="P68B1DB1-Normal11"/>
              <w:spacing w:after="0" w:line="240" w:lineRule="auto"/>
              <w:jc w:val="center"/>
              <w:rPr>
                <w:rFonts w:eastAsia="Times New Roman"/>
                <w:noProof/>
              </w:rPr>
            </w:pPr>
            <w:r>
              <w:rPr>
                <w:noProof/>
              </w:rPr>
              <w:t xml:space="preserve"> </w:t>
            </w:r>
          </w:p>
        </w:tc>
        <w:tc>
          <w:tcPr>
            <w:tcW w:w="420" w:type="dxa"/>
            <w:shd w:val="clear" w:color="auto" w:fill="C4EFCE"/>
            <w:noWrap/>
            <w:vAlign w:val="center"/>
            <w:hideMark/>
          </w:tcPr>
          <w:p w14:paraId="7FA02BAD" w14:textId="77777777" w:rsidR="006C686E" w:rsidRDefault="00B17E8C">
            <w:pPr>
              <w:pStyle w:val="P68B1DB1-Normal11"/>
              <w:spacing w:after="0" w:line="240" w:lineRule="auto"/>
              <w:jc w:val="center"/>
              <w:rPr>
                <w:rFonts w:eastAsia="Times New Roman"/>
                <w:noProof/>
              </w:rPr>
            </w:pPr>
            <w:r>
              <w:rPr>
                <w:noProof/>
              </w:rPr>
              <w:t>T1</w:t>
            </w:r>
          </w:p>
        </w:tc>
        <w:tc>
          <w:tcPr>
            <w:tcW w:w="1139" w:type="dxa"/>
            <w:shd w:val="clear" w:color="auto" w:fill="C4EFCE"/>
            <w:noWrap/>
            <w:vAlign w:val="center"/>
            <w:hideMark/>
          </w:tcPr>
          <w:p w14:paraId="3EB8974A" w14:textId="77777777" w:rsidR="006C686E" w:rsidRDefault="00B17E8C">
            <w:pPr>
              <w:pStyle w:val="P68B1DB1-Normal11"/>
              <w:spacing w:after="0" w:line="240" w:lineRule="auto"/>
              <w:jc w:val="center"/>
              <w:rPr>
                <w:rFonts w:eastAsia="Times New Roman"/>
                <w:noProof/>
              </w:rPr>
            </w:pPr>
            <w:r>
              <w:rPr>
                <w:noProof/>
              </w:rPr>
              <w:t>2026</w:t>
            </w:r>
          </w:p>
        </w:tc>
        <w:tc>
          <w:tcPr>
            <w:tcW w:w="3798" w:type="dxa"/>
            <w:shd w:val="clear" w:color="auto" w:fill="C4EFCE"/>
            <w:vAlign w:val="center"/>
            <w:hideMark/>
          </w:tcPr>
          <w:p w14:paraId="4A90CD12" w14:textId="467CDD86" w:rsidR="006C686E" w:rsidRDefault="00B17E8C">
            <w:pPr>
              <w:pStyle w:val="P68B1DB1-Normal13"/>
              <w:spacing w:after="0" w:line="240" w:lineRule="auto"/>
              <w:jc w:val="both"/>
              <w:rPr>
                <w:rFonts w:eastAsia="Times New Roman"/>
                <w:noProof/>
                <w:kern w:val="0"/>
                <w14:ligatures w14:val="none"/>
              </w:rPr>
            </w:pPr>
            <w:r>
              <w:rPr>
                <w:noProof/>
              </w:rPr>
              <w:t>Mise en place de</w:t>
            </w:r>
            <w:r>
              <w:rPr>
                <w:noProof/>
                <w:kern w:val="0"/>
                <w14:ligatures w14:val="none"/>
              </w:rPr>
              <w:t xml:space="preserve"> cinq infrastructures technologiques (protection pare-feu; informatique, stockage et sauvegarde; téléphonie VoIP; la visioconférence; et écosystème d’applications).</w:t>
            </w:r>
          </w:p>
        </w:tc>
      </w:tr>
      <w:tr w:rsidR="006C686E" w14:paraId="04679C1F" w14:textId="77777777" w:rsidTr="00A66BC8">
        <w:trPr>
          <w:trHeight w:val="300"/>
        </w:trPr>
        <w:tc>
          <w:tcPr>
            <w:tcW w:w="1048" w:type="dxa"/>
            <w:shd w:val="clear" w:color="auto" w:fill="C4EFCE"/>
            <w:vAlign w:val="center"/>
          </w:tcPr>
          <w:p w14:paraId="24E68829" w14:textId="77777777" w:rsidR="006C686E" w:rsidRDefault="00B17E8C">
            <w:pPr>
              <w:pStyle w:val="P68B1DB1-Normal10"/>
              <w:spacing w:after="0" w:line="240" w:lineRule="auto"/>
              <w:jc w:val="center"/>
              <w:rPr>
                <w:rFonts w:eastAsia="Times New Roman"/>
                <w:noProof/>
              </w:rPr>
            </w:pPr>
            <w:r>
              <w:rPr>
                <w:noProof/>
              </w:rPr>
              <w:t>19.28</w:t>
            </w:r>
          </w:p>
        </w:tc>
        <w:tc>
          <w:tcPr>
            <w:tcW w:w="1391" w:type="dxa"/>
            <w:shd w:val="clear" w:color="auto" w:fill="C4EFCE"/>
            <w:noWrap/>
            <w:vAlign w:val="center"/>
          </w:tcPr>
          <w:p w14:paraId="3B0261DD" w14:textId="77777777" w:rsidR="006C686E" w:rsidRDefault="00B17E8C">
            <w:pPr>
              <w:pStyle w:val="P68B1DB1-Normal11"/>
              <w:spacing w:after="0" w:line="240" w:lineRule="auto"/>
              <w:jc w:val="center"/>
              <w:rPr>
                <w:rFonts w:eastAsia="Times New Roman"/>
                <w:noProof/>
              </w:rPr>
            </w:pPr>
            <w:r>
              <w:rPr>
                <w:noProof/>
              </w:rPr>
              <w:t>TD-C19-i05-RAM</w:t>
            </w:r>
          </w:p>
        </w:tc>
        <w:tc>
          <w:tcPr>
            <w:tcW w:w="1701" w:type="dxa"/>
            <w:shd w:val="clear" w:color="auto" w:fill="C4EFCE"/>
            <w:noWrap/>
            <w:vAlign w:val="center"/>
          </w:tcPr>
          <w:p w14:paraId="6571345F"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tcPr>
          <w:p w14:paraId="42F31F97" w14:textId="77777777" w:rsidR="006C686E" w:rsidRDefault="00B17E8C">
            <w:pPr>
              <w:pStyle w:val="P68B1DB1-Normal11"/>
              <w:spacing w:after="0" w:line="240" w:lineRule="auto"/>
              <w:jc w:val="center"/>
              <w:rPr>
                <w:rFonts w:eastAsia="Times New Roman"/>
                <w:noProof/>
              </w:rPr>
            </w:pPr>
            <w:r>
              <w:rPr>
                <w:noProof/>
              </w:rPr>
              <w:t xml:space="preserve">Prototype fonctionnel </w:t>
            </w:r>
          </w:p>
        </w:tc>
        <w:tc>
          <w:tcPr>
            <w:tcW w:w="1418" w:type="dxa"/>
            <w:shd w:val="clear" w:color="auto" w:fill="C4EFCE"/>
            <w:noWrap/>
            <w:vAlign w:val="center"/>
          </w:tcPr>
          <w:p w14:paraId="040FC019" w14:textId="77777777" w:rsidR="006C686E" w:rsidRDefault="00B17E8C">
            <w:pPr>
              <w:pStyle w:val="P68B1DB1-Normal11"/>
              <w:spacing w:after="0" w:line="240" w:lineRule="auto"/>
              <w:jc w:val="center"/>
              <w:rPr>
                <w:rFonts w:eastAsia="Times New Roman"/>
                <w:noProof/>
              </w:rPr>
            </w:pPr>
            <w:r>
              <w:rPr>
                <w:noProof/>
              </w:rPr>
              <w:t xml:space="preserve">Acceptation d'un prototype fonctionnel </w:t>
            </w:r>
          </w:p>
        </w:tc>
        <w:tc>
          <w:tcPr>
            <w:tcW w:w="934" w:type="dxa"/>
            <w:shd w:val="clear" w:color="auto" w:fill="C4EFCE"/>
            <w:noWrap/>
            <w:vAlign w:val="center"/>
          </w:tcPr>
          <w:p w14:paraId="6B492332"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50" w:type="dxa"/>
            <w:shd w:val="clear" w:color="auto" w:fill="C4EFCE"/>
            <w:noWrap/>
            <w:vAlign w:val="center"/>
          </w:tcPr>
          <w:p w14:paraId="6FD82421"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shd w:val="clear" w:color="auto" w:fill="C4EFCE"/>
            <w:noWrap/>
            <w:vAlign w:val="center"/>
          </w:tcPr>
          <w:p w14:paraId="51EF06A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0" w:type="dxa"/>
            <w:shd w:val="clear" w:color="auto" w:fill="C4EFCE"/>
            <w:noWrap/>
            <w:vAlign w:val="center"/>
          </w:tcPr>
          <w:p w14:paraId="59DE96C5"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tcPr>
          <w:p w14:paraId="4B4AF190" w14:textId="77777777" w:rsidR="006C686E" w:rsidRDefault="00B17E8C">
            <w:pPr>
              <w:pStyle w:val="P68B1DB1-Normal11"/>
              <w:spacing w:after="0" w:line="240" w:lineRule="auto"/>
              <w:jc w:val="center"/>
              <w:rPr>
                <w:rFonts w:eastAsia="Times New Roman"/>
                <w:noProof/>
              </w:rPr>
            </w:pPr>
            <w:r>
              <w:rPr>
                <w:noProof/>
              </w:rPr>
              <w:t>2024</w:t>
            </w:r>
          </w:p>
        </w:tc>
        <w:tc>
          <w:tcPr>
            <w:tcW w:w="3798" w:type="dxa"/>
            <w:shd w:val="clear" w:color="auto" w:fill="C4EFCE"/>
            <w:vAlign w:val="center"/>
          </w:tcPr>
          <w:p w14:paraId="1521EDAB" w14:textId="77777777" w:rsidR="006C686E" w:rsidRDefault="00B17E8C">
            <w:pPr>
              <w:pStyle w:val="P68B1DB1-Normal11"/>
              <w:tabs>
                <w:tab w:val="left" w:pos="710"/>
                <w:tab w:val="right" w:pos="1963"/>
              </w:tabs>
              <w:spacing w:after="0" w:line="240" w:lineRule="auto"/>
              <w:jc w:val="both"/>
              <w:rPr>
                <w:rFonts w:eastAsia="Times New Roman"/>
                <w:noProof/>
              </w:rPr>
            </w:pPr>
            <w:r>
              <w:rPr>
                <w:noProof/>
              </w:rPr>
              <w:t>Acceptation d'un prototype fonctionnel par le pouvoir adjudicateur. Le prototype comprend les fonctionnalités suivantes:</w:t>
            </w:r>
          </w:p>
          <w:p w14:paraId="51A7701E" w14:textId="77777777" w:rsidR="006C686E" w:rsidRDefault="00B17E8C">
            <w:pPr>
              <w:pStyle w:val="P68B1DB1-Normal11"/>
              <w:tabs>
                <w:tab w:val="left" w:pos="710"/>
                <w:tab w:val="right" w:pos="1963"/>
              </w:tabs>
              <w:spacing w:after="0" w:line="240" w:lineRule="auto"/>
              <w:jc w:val="both"/>
              <w:rPr>
                <w:rFonts w:eastAsia="Times New Roman"/>
                <w:noProof/>
              </w:rPr>
            </w:pPr>
            <w:r>
              <w:rPr>
                <w:noProof/>
              </w:rPr>
              <w:t>- identifier les inefficacités et les fraudes à l’aide d’algorithmes d’IA;</w:t>
            </w:r>
          </w:p>
          <w:p w14:paraId="1F85152E" w14:textId="77777777" w:rsidR="006C686E" w:rsidRDefault="00B17E8C">
            <w:pPr>
              <w:pStyle w:val="P68B1DB1-Normal11"/>
              <w:spacing w:after="0" w:line="240" w:lineRule="auto"/>
              <w:jc w:val="both"/>
              <w:rPr>
                <w:noProof/>
              </w:rPr>
            </w:pPr>
            <w:r>
              <w:rPr>
                <w:noProof/>
              </w:rPr>
              <w:t>- les services d’intelligence artificielle;</w:t>
            </w:r>
          </w:p>
          <w:p w14:paraId="4F8A36DD" w14:textId="77777777" w:rsidR="006C686E" w:rsidRDefault="00B17E8C">
            <w:pPr>
              <w:pStyle w:val="P68B1DB1-Normal11"/>
              <w:spacing w:after="0" w:line="240" w:lineRule="auto"/>
              <w:jc w:val="both"/>
              <w:rPr>
                <w:rFonts w:eastAsia="Times New Roman"/>
                <w:noProof/>
              </w:rPr>
            </w:pPr>
            <w:r>
              <w:rPr>
                <w:noProof/>
              </w:rPr>
              <w:t>- automatiser la prise de décision.</w:t>
            </w:r>
          </w:p>
        </w:tc>
      </w:tr>
      <w:tr w:rsidR="006C686E" w:rsidRPr="0064112C" w14:paraId="336AF394" w14:textId="77777777" w:rsidTr="00A66BC8">
        <w:trPr>
          <w:trHeight w:val="300"/>
        </w:trPr>
        <w:tc>
          <w:tcPr>
            <w:tcW w:w="1048" w:type="dxa"/>
            <w:shd w:val="clear" w:color="auto" w:fill="C4EFCE"/>
            <w:vAlign w:val="center"/>
            <w:hideMark/>
          </w:tcPr>
          <w:p w14:paraId="15DD10F4" w14:textId="77777777" w:rsidR="006C686E" w:rsidRDefault="00B17E8C">
            <w:pPr>
              <w:pStyle w:val="P68B1DB1-Normal10"/>
              <w:spacing w:after="0" w:line="240" w:lineRule="auto"/>
              <w:jc w:val="center"/>
              <w:rPr>
                <w:rFonts w:eastAsia="Times New Roman"/>
                <w:noProof/>
              </w:rPr>
            </w:pPr>
            <w:r>
              <w:rPr>
                <w:noProof/>
              </w:rPr>
              <w:t>19.16</w:t>
            </w:r>
          </w:p>
        </w:tc>
        <w:tc>
          <w:tcPr>
            <w:tcW w:w="1391" w:type="dxa"/>
            <w:shd w:val="clear" w:color="auto" w:fill="C4EFCE"/>
            <w:noWrap/>
            <w:vAlign w:val="center"/>
            <w:hideMark/>
          </w:tcPr>
          <w:p w14:paraId="5CE02340" w14:textId="77777777" w:rsidR="006C686E" w:rsidRDefault="00B17E8C">
            <w:pPr>
              <w:pStyle w:val="P68B1DB1-Normal11"/>
              <w:spacing w:after="0" w:line="240" w:lineRule="auto"/>
              <w:jc w:val="center"/>
              <w:rPr>
                <w:rFonts w:eastAsia="Times New Roman"/>
                <w:noProof/>
              </w:rPr>
            </w:pPr>
            <w:r>
              <w:rPr>
                <w:noProof/>
              </w:rPr>
              <w:t>TD-C19-i05-RAM</w:t>
            </w:r>
          </w:p>
        </w:tc>
        <w:tc>
          <w:tcPr>
            <w:tcW w:w="1701" w:type="dxa"/>
            <w:shd w:val="clear" w:color="auto" w:fill="C4EFCE"/>
            <w:noWrap/>
            <w:vAlign w:val="center"/>
            <w:hideMark/>
          </w:tcPr>
          <w:p w14:paraId="1DB53A73"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4C900C58" w14:textId="77777777" w:rsidR="006C686E" w:rsidRDefault="00B17E8C">
            <w:pPr>
              <w:pStyle w:val="P68B1DB1-Normal11"/>
              <w:spacing w:after="0" w:line="240" w:lineRule="auto"/>
              <w:jc w:val="center"/>
              <w:rPr>
                <w:rFonts w:eastAsia="Times New Roman"/>
                <w:noProof/>
              </w:rPr>
            </w:pPr>
            <w:r>
              <w:rPr>
                <w:noProof/>
              </w:rPr>
              <w:t>Services publics numériques dans l'ARM</w:t>
            </w:r>
          </w:p>
        </w:tc>
        <w:tc>
          <w:tcPr>
            <w:tcW w:w="1418" w:type="dxa"/>
            <w:shd w:val="clear" w:color="auto" w:fill="C4EFCE"/>
            <w:noWrap/>
            <w:vAlign w:val="center"/>
            <w:hideMark/>
          </w:tcPr>
          <w:p w14:paraId="4D365925" w14:textId="77777777" w:rsidR="006C686E" w:rsidRDefault="00B17E8C">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3906BDBA"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hideMark/>
          </w:tcPr>
          <w:p w14:paraId="52A967E1"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4802FE60" w14:textId="77777777" w:rsidR="006C686E" w:rsidRDefault="00B17E8C">
            <w:pPr>
              <w:pStyle w:val="P68B1DB1-Normal11"/>
              <w:spacing w:after="0" w:line="240" w:lineRule="auto"/>
              <w:jc w:val="center"/>
              <w:rPr>
                <w:rFonts w:eastAsia="Times New Roman"/>
                <w:noProof/>
              </w:rPr>
            </w:pPr>
            <w:r>
              <w:rPr>
                <w:noProof/>
              </w:rPr>
              <w:t>5</w:t>
            </w:r>
          </w:p>
        </w:tc>
        <w:tc>
          <w:tcPr>
            <w:tcW w:w="420" w:type="dxa"/>
            <w:shd w:val="clear" w:color="auto" w:fill="C4EFCE"/>
            <w:noWrap/>
            <w:vAlign w:val="center"/>
            <w:hideMark/>
          </w:tcPr>
          <w:p w14:paraId="35E58856" w14:textId="77777777" w:rsidR="006C686E" w:rsidRDefault="00B17E8C">
            <w:pPr>
              <w:pStyle w:val="P68B1DB1-Normal11"/>
              <w:spacing w:after="0" w:line="240" w:lineRule="auto"/>
              <w:jc w:val="center"/>
              <w:rPr>
                <w:rFonts w:eastAsia="Times New Roman"/>
                <w:noProof/>
              </w:rPr>
            </w:pPr>
            <w:r>
              <w:rPr>
                <w:noProof/>
              </w:rPr>
              <w:t>T2</w:t>
            </w:r>
          </w:p>
        </w:tc>
        <w:tc>
          <w:tcPr>
            <w:tcW w:w="1139" w:type="dxa"/>
            <w:shd w:val="clear" w:color="auto" w:fill="C4EFCE"/>
            <w:noWrap/>
            <w:vAlign w:val="center"/>
            <w:hideMark/>
          </w:tcPr>
          <w:p w14:paraId="41AC0E74" w14:textId="77777777"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hideMark/>
          </w:tcPr>
          <w:p w14:paraId="00B34F5D" w14:textId="77777777" w:rsidR="006C686E" w:rsidRDefault="00B17E8C">
            <w:pPr>
              <w:pStyle w:val="P68B1DB1-Normal11"/>
              <w:spacing w:after="0" w:line="240" w:lineRule="auto"/>
              <w:jc w:val="both"/>
              <w:rPr>
                <w:noProof/>
              </w:rPr>
            </w:pPr>
            <w:r>
              <w:rPr>
                <w:noProof/>
              </w:rPr>
              <w:t>Nombre de nouveaux projets ou services mis à disposition:</w:t>
            </w:r>
          </w:p>
          <w:p w14:paraId="79F84061" w14:textId="77777777" w:rsidR="006C686E" w:rsidRDefault="00B17E8C">
            <w:pPr>
              <w:pStyle w:val="P68B1DB1-Normal26"/>
              <w:tabs>
                <w:tab w:val="left" w:pos="710"/>
                <w:tab w:val="right" w:pos="1963"/>
              </w:tabs>
              <w:spacing w:after="0" w:line="240" w:lineRule="auto"/>
              <w:jc w:val="both"/>
              <w:rPr>
                <w:noProof/>
              </w:rPr>
            </w:pPr>
            <w:r>
              <w:rPr>
                <w:noProof/>
              </w:rPr>
              <w:t xml:space="preserve">- « Digitecas » </w:t>
            </w:r>
          </w:p>
          <w:p w14:paraId="43CABFC7" w14:textId="77777777" w:rsidR="006C686E" w:rsidRDefault="00B17E8C">
            <w:pPr>
              <w:pStyle w:val="P68B1DB1-Normal26"/>
              <w:spacing w:after="0" w:line="240" w:lineRule="auto"/>
              <w:jc w:val="both"/>
              <w:rPr>
                <w:noProof/>
              </w:rPr>
            </w:pPr>
            <w:r>
              <w:rPr>
                <w:noProof/>
              </w:rPr>
              <w:t>- Numérisation des documents des Archives du patrimoine</w:t>
            </w:r>
          </w:p>
          <w:p w14:paraId="542C01F2" w14:textId="77777777" w:rsidR="006C686E" w:rsidRDefault="00B17E8C">
            <w:pPr>
              <w:pStyle w:val="P68B1DB1-Normal26"/>
              <w:spacing w:after="0" w:line="240" w:lineRule="auto"/>
              <w:jc w:val="both"/>
              <w:rPr>
                <w:noProof/>
              </w:rPr>
            </w:pPr>
            <w:r>
              <w:rPr>
                <w:noProof/>
              </w:rPr>
              <w:t>- Système numérique d'immatriculation des navires</w:t>
            </w:r>
          </w:p>
          <w:p w14:paraId="375373C9" w14:textId="77777777" w:rsidR="006C686E" w:rsidRDefault="00B17E8C">
            <w:pPr>
              <w:pStyle w:val="P68B1DB1-Normal26"/>
              <w:spacing w:after="0" w:line="240" w:lineRule="auto"/>
              <w:jc w:val="both"/>
              <w:rPr>
                <w:noProof/>
              </w:rPr>
            </w:pPr>
            <w:r>
              <w:rPr>
                <w:noProof/>
              </w:rPr>
              <w:t>- Système communautaire de port numérique</w:t>
            </w:r>
          </w:p>
          <w:p w14:paraId="178DBBD1" w14:textId="122B60A6" w:rsidR="006C686E" w:rsidRPr="00093E19" w:rsidRDefault="00B17E8C">
            <w:pPr>
              <w:pStyle w:val="P68B1DB1-Normal26"/>
              <w:spacing w:after="0" w:line="240" w:lineRule="auto"/>
              <w:jc w:val="both"/>
              <w:rPr>
                <w:noProof/>
                <w:lang w:val="en-IE"/>
              </w:rPr>
            </w:pPr>
            <w:r w:rsidRPr="00093E19">
              <w:rPr>
                <w:noProof/>
                <w:lang w:val="en-IE"/>
              </w:rPr>
              <w:t>- «DROTe» numérique (Direção</w:t>
            </w:r>
            <w:r w:rsidRPr="00093E19">
              <w:rPr>
                <w:i/>
                <w:noProof/>
                <w:lang w:val="en-IE"/>
              </w:rPr>
              <w:t xml:space="preserve"> Regional do Ordenamento do Terrritório</w:t>
            </w:r>
            <w:r w:rsidRPr="00093E19">
              <w:rPr>
                <w:noProof/>
                <w:lang w:val="en-IE"/>
              </w:rPr>
              <w:t>).</w:t>
            </w:r>
          </w:p>
        </w:tc>
      </w:tr>
      <w:tr w:rsidR="006C686E" w14:paraId="5AAE6407" w14:textId="77777777" w:rsidTr="00A66BC8">
        <w:trPr>
          <w:trHeight w:val="300"/>
        </w:trPr>
        <w:tc>
          <w:tcPr>
            <w:tcW w:w="1048" w:type="dxa"/>
            <w:shd w:val="clear" w:color="auto" w:fill="C4EFCE"/>
            <w:vAlign w:val="center"/>
            <w:hideMark/>
          </w:tcPr>
          <w:p w14:paraId="290F4684" w14:textId="77777777" w:rsidR="006C686E" w:rsidRDefault="00B17E8C">
            <w:pPr>
              <w:pStyle w:val="P68B1DB1-Normal10"/>
              <w:spacing w:after="0" w:line="240" w:lineRule="auto"/>
              <w:jc w:val="center"/>
              <w:rPr>
                <w:rFonts w:eastAsia="Times New Roman"/>
                <w:noProof/>
              </w:rPr>
            </w:pPr>
            <w:r>
              <w:rPr>
                <w:noProof/>
              </w:rPr>
              <w:t>19.17</w:t>
            </w:r>
          </w:p>
        </w:tc>
        <w:tc>
          <w:tcPr>
            <w:tcW w:w="1391" w:type="dxa"/>
            <w:shd w:val="clear" w:color="auto" w:fill="C4EFCE"/>
            <w:noWrap/>
            <w:vAlign w:val="center"/>
            <w:hideMark/>
          </w:tcPr>
          <w:p w14:paraId="4A10EFF3" w14:textId="77777777" w:rsidR="006C686E" w:rsidRDefault="00B17E8C">
            <w:pPr>
              <w:pStyle w:val="P68B1DB1-Normal11"/>
              <w:spacing w:after="0" w:line="240" w:lineRule="auto"/>
              <w:jc w:val="center"/>
              <w:rPr>
                <w:rFonts w:eastAsia="Times New Roman"/>
                <w:noProof/>
              </w:rPr>
            </w:pPr>
            <w:r>
              <w:rPr>
                <w:noProof/>
              </w:rPr>
              <w:t>TD-C19-i05-RAM</w:t>
            </w:r>
          </w:p>
        </w:tc>
        <w:tc>
          <w:tcPr>
            <w:tcW w:w="1701" w:type="dxa"/>
            <w:shd w:val="clear" w:color="auto" w:fill="C4EFCE"/>
            <w:noWrap/>
            <w:vAlign w:val="center"/>
            <w:hideMark/>
          </w:tcPr>
          <w:p w14:paraId="06D20763" w14:textId="3F4B3978"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427206BB" w14:textId="3957A8E5" w:rsidR="006C686E" w:rsidRDefault="00B17E8C">
            <w:pPr>
              <w:pStyle w:val="P68B1DB1-Normal13"/>
              <w:spacing w:after="0" w:line="240" w:lineRule="auto"/>
              <w:jc w:val="center"/>
              <w:rPr>
                <w:noProof/>
                <w:kern w:val="0"/>
                <w14:ligatures w14:val="none"/>
              </w:rPr>
            </w:pPr>
            <w:r>
              <w:rPr>
                <w:noProof/>
              </w:rPr>
              <w:t>Infrastructure informatique de l'administration publique dans ARM</w:t>
            </w:r>
          </w:p>
        </w:tc>
        <w:tc>
          <w:tcPr>
            <w:tcW w:w="1418" w:type="dxa"/>
            <w:shd w:val="clear" w:color="auto" w:fill="C4EFCE"/>
            <w:noWrap/>
            <w:vAlign w:val="center"/>
            <w:hideMark/>
          </w:tcPr>
          <w:p w14:paraId="2B78FC64" w14:textId="54998DDF" w:rsidR="006C686E" w:rsidRDefault="00B17E8C">
            <w:pPr>
              <w:pStyle w:val="P68B1DB1-Normal12"/>
              <w:spacing w:after="0" w:line="240" w:lineRule="auto"/>
              <w:jc w:val="center"/>
              <w:rPr>
                <w:noProof/>
              </w:rPr>
            </w:pPr>
            <w:r>
              <w:rPr>
                <w:noProof/>
              </w:rPr>
              <w:t>Réalisation de projets numériques</w:t>
            </w:r>
          </w:p>
        </w:tc>
        <w:tc>
          <w:tcPr>
            <w:tcW w:w="934" w:type="dxa"/>
            <w:shd w:val="clear" w:color="auto" w:fill="C4EFCE"/>
            <w:noWrap/>
            <w:vAlign w:val="center"/>
            <w:hideMark/>
          </w:tcPr>
          <w:p w14:paraId="5B77549B" w14:textId="43E877A0" w:rsidR="006C686E" w:rsidRDefault="00B17E8C">
            <w:pPr>
              <w:pStyle w:val="P68B1DB1-Normal11"/>
              <w:spacing w:after="0" w:line="240" w:lineRule="auto"/>
              <w:rPr>
                <w:rFonts w:eastAsia="Times New Roman"/>
                <w:noProof/>
              </w:rPr>
            </w:pPr>
            <w:r>
              <w:rPr>
                <w:noProof/>
              </w:rPr>
              <w:t xml:space="preserve"> </w:t>
            </w:r>
          </w:p>
        </w:tc>
        <w:tc>
          <w:tcPr>
            <w:tcW w:w="1050" w:type="dxa"/>
            <w:shd w:val="clear" w:color="auto" w:fill="C4EFCE"/>
            <w:noWrap/>
            <w:vAlign w:val="center"/>
            <w:hideMark/>
          </w:tcPr>
          <w:p w14:paraId="0BF594B4" w14:textId="48421675"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shd w:val="clear" w:color="auto" w:fill="C4EFCE"/>
            <w:noWrap/>
            <w:vAlign w:val="center"/>
            <w:hideMark/>
          </w:tcPr>
          <w:p w14:paraId="08727B05"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420" w:type="dxa"/>
            <w:shd w:val="clear" w:color="auto" w:fill="C4EFCE"/>
            <w:noWrap/>
            <w:vAlign w:val="center"/>
            <w:hideMark/>
          </w:tcPr>
          <w:p w14:paraId="2AE61CE6"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58EF723A" w14:textId="77777777"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hideMark/>
          </w:tcPr>
          <w:p w14:paraId="74FE10A1" w14:textId="0E8CD2B4" w:rsidR="006C686E" w:rsidRDefault="00B17E8C">
            <w:pPr>
              <w:pStyle w:val="P68B1DB1-Normal13"/>
              <w:keepNext/>
              <w:spacing w:after="0" w:line="240" w:lineRule="auto"/>
              <w:contextualSpacing/>
              <w:jc w:val="both"/>
              <w:rPr>
                <w:noProof/>
              </w:rPr>
            </w:pPr>
            <w:r>
              <w:rPr>
                <w:noProof/>
              </w:rPr>
              <w:t>Les projets suivants sont réalisés:</w:t>
            </w:r>
          </w:p>
          <w:p w14:paraId="51D0F077" w14:textId="77777777" w:rsidR="006C686E" w:rsidRDefault="00B17E8C">
            <w:pPr>
              <w:pStyle w:val="P68B1DB1-ListParagraph50"/>
              <w:keepNext/>
              <w:numPr>
                <w:ilvl w:val="0"/>
                <w:numId w:val="46"/>
              </w:numPr>
              <w:spacing w:after="0" w:line="240" w:lineRule="auto"/>
              <w:jc w:val="both"/>
              <w:rPr>
                <w:noProof/>
              </w:rPr>
            </w:pPr>
            <w:r>
              <w:rPr>
                <w:noProof/>
              </w:rPr>
              <w:t xml:space="preserve">Réseau privé 5G </w:t>
            </w:r>
          </w:p>
          <w:p w14:paraId="57A5E85C" w14:textId="4B7C0840" w:rsidR="006C686E" w:rsidRDefault="00B17E8C">
            <w:pPr>
              <w:pStyle w:val="P68B1DB1-Normal12"/>
              <w:keepNext/>
              <w:numPr>
                <w:ilvl w:val="0"/>
                <w:numId w:val="58"/>
              </w:numPr>
              <w:spacing w:after="0" w:line="240" w:lineRule="auto"/>
              <w:contextualSpacing/>
              <w:jc w:val="both"/>
              <w:rPr>
                <w:noProof/>
              </w:rPr>
            </w:pPr>
            <w:r>
              <w:rPr>
                <w:noProof/>
              </w:rPr>
              <w:t xml:space="preserve">Centre de suivi et d'aide à la décision de l'Institut des forêts et de la conservation de la nature, IP-RAM </w:t>
            </w:r>
          </w:p>
          <w:p w14:paraId="12CFF72D" w14:textId="77777777" w:rsidR="006C686E" w:rsidRDefault="00B17E8C">
            <w:pPr>
              <w:pStyle w:val="P68B1DB1-Normal15"/>
              <w:keepNext/>
              <w:numPr>
                <w:ilvl w:val="0"/>
                <w:numId w:val="58"/>
              </w:numPr>
              <w:spacing w:after="0" w:line="240" w:lineRule="auto"/>
              <w:contextualSpacing/>
              <w:jc w:val="both"/>
              <w:rPr>
                <w:noProof/>
                <w:kern w:val="0"/>
                <w14:ligatures w14:val="none"/>
              </w:rPr>
            </w:pPr>
            <w:r>
              <w:rPr>
                <w:noProof/>
              </w:rPr>
              <w:t>Centres</w:t>
            </w:r>
            <w:r>
              <w:rPr>
                <w:noProof/>
                <w:kern w:val="0"/>
                <w14:ligatures w14:val="none"/>
              </w:rPr>
              <w:t xml:space="preserve"> de l'administration régionale et de l'administration publique régionale</w:t>
            </w:r>
          </w:p>
          <w:p w14:paraId="4F4A4673" w14:textId="70555650" w:rsidR="006C686E" w:rsidRDefault="00B17E8C">
            <w:pPr>
              <w:pStyle w:val="P68B1DB1-Normal12"/>
              <w:keepNext/>
              <w:numPr>
                <w:ilvl w:val="0"/>
                <w:numId w:val="58"/>
              </w:numPr>
              <w:spacing w:after="0" w:line="240" w:lineRule="auto"/>
              <w:contextualSpacing/>
              <w:jc w:val="both"/>
              <w:rPr>
                <w:noProof/>
              </w:rPr>
            </w:pPr>
            <w:r>
              <w:rPr>
                <w:noProof/>
              </w:rPr>
              <w:t>AP CONNECT – construction d’infrastructures et architecture informatique centralisée connectées dans les bâtiments de l’administration publique</w:t>
            </w:r>
          </w:p>
          <w:p w14:paraId="6F7D8018" w14:textId="14DD3DD1" w:rsidR="006C686E" w:rsidRDefault="00B17E8C">
            <w:pPr>
              <w:pStyle w:val="P68B1DB1-Normal12"/>
              <w:keepNext/>
              <w:numPr>
                <w:ilvl w:val="0"/>
                <w:numId w:val="58"/>
              </w:numPr>
              <w:spacing w:after="0" w:line="240" w:lineRule="auto"/>
              <w:contextualSpacing/>
              <w:jc w:val="both"/>
              <w:rPr>
                <w:noProof/>
              </w:rPr>
            </w:pPr>
            <w:r>
              <w:rPr>
                <w:noProof/>
              </w:rPr>
              <w:t xml:space="preserve">Outils numériques et de mobilité pour les entités de l’administration publique </w:t>
            </w:r>
          </w:p>
          <w:p w14:paraId="13811925" w14:textId="485CB1C8" w:rsidR="006C686E" w:rsidRDefault="00B17E8C">
            <w:pPr>
              <w:pStyle w:val="P68B1DB1-Normal12"/>
              <w:keepNext/>
              <w:numPr>
                <w:ilvl w:val="0"/>
                <w:numId w:val="58"/>
              </w:numPr>
              <w:spacing w:after="0" w:line="240" w:lineRule="auto"/>
              <w:contextualSpacing/>
              <w:jc w:val="both"/>
              <w:rPr>
                <w:noProof/>
              </w:rPr>
            </w:pPr>
            <w:r>
              <w:rPr>
                <w:noProof/>
              </w:rPr>
              <w:t xml:space="preserve">Planification des ressources de l'entreprise pour les entités publiques </w:t>
            </w:r>
          </w:p>
        </w:tc>
      </w:tr>
      <w:tr w:rsidR="006C686E" w14:paraId="365C1079" w14:textId="77777777" w:rsidTr="00A66BC8">
        <w:trPr>
          <w:trHeight w:val="300"/>
        </w:trPr>
        <w:tc>
          <w:tcPr>
            <w:tcW w:w="1048" w:type="dxa"/>
            <w:shd w:val="clear" w:color="auto" w:fill="C4EFCE"/>
            <w:vAlign w:val="center"/>
          </w:tcPr>
          <w:p w14:paraId="6F40343C" w14:textId="77777777" w:rsidR="006C686E" w:rsidRDefault="00B17E8C">
            <w:pPr>
              <w:pStyle w:val="P68B1DB1-Normal10"/>
              <w:spacing w:after="0" w:line="240" w:lineRule="auto"/>
              <w:jc w:val="center"/>
              <w:rPr>
                <w:rFonts w:eastAsia="Times New Roman"/>
                <w:noProof/>
              </w:rPr>
            </w:pPr>
            <w:r>
              <w:rPr>
                <w:noProof/>
              </w:rPr>
              <w:t>19.18</w:t>
            </w:r>
          </w:p>
        </w:tc>
        <w:tc>
          <w:tcPr>
            <w:tcW w:w="1391" w:type="dxa"/>
            <w:shd w:val="clear" w:color="auto" w:fill="C4EFCE"/>
            <w:noWrap/>
            <w:vAlign w:val="center"/>
          </w:tcPr>
          <w:p w14:paraId="0D20DDE2" w14:textId="77777777" w:rsidR="006C686E" w:rsidRDefault="00B17E8C">
            <w:pPr>
              <w:pStyle w:val="P68B1DB1-Normal11"/>
              <w:spacing w:after="0" w:line="240" w:lineRule="auto"/>
              <w:jc w:val="center"/>
              <w:rPr>
                <w:rFonts w:eastAsia="Times New Roman"/>
                <w:noProof/>
              </w:rPr>
            </w:pPr>
            <w:r>
              <w:rPr>
                <w:noProof/>
              </w:rPr>
              <w:t>TD-C19-i06-RAA</w:t>
            </w:r>
          </w:p>
        </w:tc>
        <w:tc>
          <w:tcPr>
            <w:tcW w:w="1701" w:type="dxa"/>
            <w:shd w:val="clear" w:color="auto" w:fill="C4EFCE"/>
            <w:noWrap/>
            <w:vAlign w:val="center"/>
          </w:tcPr>
          <w:p w14:paraId="40ECD2C9"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tcPr>
          <w:p w14:paraId="585F3EE3" w14:textId="77777777" w:rsidR="006C686E" w:rsidRDefault="00B17E8C">
            <w:pPr>
              <w:pStyle w:val="P68B1DB1-Normal11"/>
              <w:spacing w:before="120" w:after="0" w:line="240" w:lineRule="auto"/>
              <w:jc w:val="center"/>
              <w:rPr>
                <w:noProof/>
              </w:rPr>
            </w:pPr>
            <w:r>
              <w:rPr>
                <w:noProof/>
              </w:rPr>
              <w:t>Numérisation de l’administration publique régionale de l’ARA</w:t>
            </w:r>
          </w:p>
        </w:tc>
        <w:tc>
          <w:tcPr>
            <w:tcW w:w="1418" w:type="dxa"/>
            <w:shd w:val="clear" w:color="auto" w:fill="C4EFCE"/>
            <w:noWrap/>
            <w:vAlign w:val="center"/>
          </w:tcPr>
          <w:p w14:paraId="58FC6A72" w14:textId="16679F88"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 xml:space="preserve">Disponibilité </w:t>
            </w:r>
            <w:r>
              <w:rPr>
                <w:noProof/>
              </w:rPr>
              <w:t xml:space="preserve">ou fourniture </w:t>
            </w:r>
            <w:r>
              <w:rPr>
                <w:noProof/>
                <w:kern w:val="0"/>
                <w14:ligatures w14:val="none"/>
              </w:rPr>
              <w:t>de services</w:t>
            </w:r>
            <w:r>
              <w:rPr>
                <w:noProof/>
              </w:rPr>
              <w:t xml:space="preserve"> ou de plateformes</w:t>
            </w:r>
          </w:p>
        </w:tc>
        <w:tc>
          <w:tcPr>
            <w:tcW w:w="934" w:type="dxa"/>
            <w:shd w:val="clear" w:color="auto" w:fill="C4EFCE"/>
            <w:noWrap/>
            <w:vAlign w:val="center"/>
          </w:tcPr>
          <w:p w14:paraId="668C8B67" w14:textId="77777777" w:rsidR="006C686E" w:rsidRDefault="006C686E">
            <w:pPr>
              <w:spacing w:after="0" w:line="240" w:lineRule="auto"/>
              <w:rPr>
                <w:rFonts w:ascii="Times New Roman" w:eastAsia="Times New Roman" w:hAnsi="Times New Roman" w:cs="Times New Roman"/>
                <w:noProof/>
                <w:kern w:val="0"/>
                <w:sz w:val="16"/>
                <w:szCs w:val="16"/>
                <w14:ligatures w14:val="none"/>
              </w:rPr>
            </w:pPr>
          </w:p>
        </w:tc>
        <w:tc>
          <w:tcPr>
            <w:tcW w:w="1050" w:type="dxa"/>
            <w:shd w:val="clear" w:color="auto" w:fill="C4EFCE"/>
            <w:noWrap/>
            <w:vAlign w:val="center"/>
          </w:tcPr>
          <w:p w14:paraId="38CCCF27"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shd w:val="clear" w:color="auto" w:fill="C4EFCE"/>
            <w:noWrap/>
            <w:vAlign w:val="center"/>
          </w:tcPr>
          <w:p w14:paraId="2433D1C1"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0" w:type="dxa"/>
            <w:shd w:val="clear" w:color="auto" w:fill="C4EFCE"/>
            <w:noWrap/>
            <w:vAlign w:val="center"/>
          </w:tcPr>
          <w:p w14:paraId="730290A2"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tcPr>
          <w:p w14:paraId="4473878B" w14:textId="77777777"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tcPr>
          <w:p w14:paraId="1F23C088" w14:textId="3EC97B00" w:rsidR="006C686E" w:rsidRDefault="00B17E8C">
            <w:pPr>
              <w:pStyle w:val="P68B1DB1-Normal13"/>
              <w:tabs>
                <w:tab w:val="left" w:pos="710"/>
                <w:tab w:val="right" w:pos="1963"/>
              </w:tabs>
              <w:spacing w:after="0" w:line="288" w:lineRule="auto"/>
              <w:jc w:val="both"/>
              <w:rPr>
                <w:rFonts w:eastAsia="Times New Roman"/>
                <w:noProof/>
                <w:kern w:val="0"/>
                <w14:ligatures w14:val="none"/>
              </w:rPr>
            </w:pPr>
            <w:r>
              <w:rPr>
                <w:noProof/>
              </w:rPr>
              <w:t xml:space="preserve">Disponibilité ou livraison de: </w:t>
            </w:r>
          </w:p>
          <w:p w14:paraId="34D680F6" w14:textId="77777777" w:rsidR="006C686E" w:rsidRDefault="00B17E8C">
            <w:pPr>
              <w:pStyle w:val="P68B1DB1-Normal15"/>
              <w:keepNext/>
              <w:numPr>
                <w:ilvl w:val="0"/>
                <w:numId w:val="59"/>
              </w:numPr>
              <w:tabs>
                <w:tab w:val="right" w:pos="1963"/>
              </w:tabs>
              <w:spacing w:after="0" w:line="288" w:lineRule="auto"/>
              <w:ind w:left="378"/>
              <w:contextualSpacing/>
              <w:jc w:val="both"/>
              <w:rPr>
                <w:noProof/>
                <w:kern w:val="0"/>
                <w14:ligatures w14:val="none"/>
              </w:rPr>
            </w:pPr>
            <w:r>
              <w:rPr>
                <w:noProof/>
              </w:rPr>
              <w:t xml:space="preserve">Portail de Gestão de Identidade do Cidadão e Entidades (Azor.ID) </w:t>
            </w:r>
          </w:p>
          <w:p w14:paraId="5E895B6C" w14:textId="177B3E08"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Portail da Arquitetura de Sistemas de Informação da Administração Publica Regional (LINKA) </w:t>
            </w:r>
          </w:p>
          <w:p w14:paraId="568537EB" w14:textId="72F73544"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Catálogo eletrónico de Entidades e Serviços da Administração Pública Regional dos Açores (CES.APR) </w:t>
            </w:r>
          </w:p>
          <w:p w14:paraId="4FBF0B9C"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RIAC Móvel </w:t>
            </w:r>
          </w:p>
          <w:p w14:paraId="6F2D4652" w14:textId="02BAABA3"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Plateforme d'interopérabilité (eHUB) </w:t>
            </w:r>
          </w:p>
          <w:p w14:paraId="36EFB226"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Portail de la Transparência </w:t>
            </w:r>
          </w:p>
          <w:p w14:paraId="2492271C"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Plataforma de Dados Abertos do Arquipélago dos Açores </w:t>
            </w:r>
          </w:p>
          <w:p w14:paraId="15F325B5"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Simulador de Incentivos e Apoios </w:t>
            </w:r>
          </w:p>
          <w:p w14:paraId="2BFA3DA3"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Portail de Serviços da Administração Pública Régional </w:t>
            </w:r>
          </w:p>
          <w:p w14:paraId="3A1B687D" w14:textId="549CF8BB"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Système d'accès à distance </w:t>
            </w:r>
          </w:p>
          <w:p w14:paraId="488447D2" w14:textId="013117FC"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Système de contrôle de la cybersécurité</w:t>
            </w:r>
          </w:p>
          <w:p w14:paraId="15C416E9"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Portail du Serviço Regional de Estatística dos Açores </w:t>
            </w:r>
          </w:p>
          <w:p w14:paraId="1EAFB766"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Portail Participa.Açores </w:t>
            </w:r>
          </w:p>
          <w:p w14:paraId="561B73DC" w14:textId="77777777"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 xml:space="preserve">Livro Amarelo Eletrónico dos Açores </w:t>
            </w:r>
          </w:p>
          <w:p w14:paraId="6256C8A3" w14:textId="4C906A96" w:rsidR="006C686E" w:rsidRDefault="00B17E8C">
            <w:pPr>
              <w:pStyle w:val="P68B1DB1-Normal12"/>
              <w:keepNext/>
              <w:numPr>
                <w:ilvl w:val="0"/>
                <w:numId w:val="59"/>
              </w:numPr>
              <w:tabs>
                <w:tab w:val="right" w:pos="1963"/>
              </w:tabs>
              <w:spacing w:after="0" w:line="288" w:lineRule="auto"/>
              <w:ind w:left="378"/>
              <w:contextualSpacing/>
              <w:jc w:val="both"/>
              <w:rPr>
                <w:noProof/>
              </w:rPr>
            </w:pPr>
            <w:r>
              <w:rPr>
                <w:noProof/>
              </w:rPr>
              <w:t>Laboratório de Experimentação da Administração Pública Regional dos Açores – Incuba.Açores</w:t>
            </w:r>
          </w:p>
        </w:tc>
      </w:tr>
      <w:tr w:rsidR="006C686E" w14:paraId="112F968D" w14:textId="77777777" w:rsidTr="00A66BC8">
        <w:trPr>
          <w:trHeight w:val="300"/>
        </w:trPr>
        <w:tc>
          <w:tcPr>
            <w:tcW w:w="1048" w:type="dxa"/>
            <w:shd w:val="clear" w:color="auto" w:fill="C4EFCE"/>
            <w:vAlign w:val="center"/>
            <w:hideMark/>
          </w:tcPr>
          <w:p w14:paraId="04F0C415" w14:textId="77777777" w:rsidR="006C686E" w:rsidRDefault="00B17E8C">
            <w:pPr>
              <w:pStyle w:val="P68B1DB1-Normal10"/>
              <w:spacing w:after="0" w:line="240" w:lineRule="auto"/>
              <w:jc w:val="center"/>
              <w:rPr>
                <w:rFonts w:eastAsia="Times New Roman"/>
                <w:noProof/>
              </w:rPr>
            </w:pPr>
            <w:r>
              <w:rPr>
                <w:noProof/>
              </w:rPr>
              <w:t>19.19</w:t>
            </w:r>
          </w:p>
        </w:tc>
        <w:tc>
          <w:tcPr>
            <w:tcW w:w="1391" w:type="dxa"/>
            <w:shd w:val="clear" w:color="auto" w:fill="C4EFCE"/>
            <w:noWrap/>
            <w:vAlign w:val="center"/>
            <w:hideMark/>
          </w:tcPr>
          <w:p w14:paraId="239F101B" w14:textId="77777777" w:rsidR="006C686E" w:rsidRDefault="00B17E8C">
            <w:pPr>
              <w:pStyle w:val="P68B1DB1-Normal11"/>
              <w:spacing w:after="0" w:line="240" w:lineRule="auto"/>
              <w:jc w:val="center"/>
              <w:rPr>
                <w:rFonts w:eastAsia="Times New Roman"/>
                <w:noProof/>
              </w:rPr>
            </w:pPr>
            <w:r>
              <w:rPr>
                <w:noProof/>
              </w:rPr>
              <w:t>TD-C19-i07</w:t>
            </w:r>
          </w:p>
        </w:tc>
        <w:tc>
          <w:tcPr>
            <w:tcW w:w="1701" w:type="dxa"/>
            <w:shd w:val="clear" w:color="auto" w:fill="C4EFCE"/>
            <w:noWrap/>
            <w:vAlign w:val="center"/>
            <w:hideMark/>
          </w:tcPr>
          <w:p w14:paraId="2839914F"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438851B3" w14:textId="77777777" w:rsidR="006C686E" w:rsidRDefault="00B17E8C">
            <w:pPr>
              <w:pStyle w:val="P68B1DB1-Normal11"/>
              <w:spacing w:after="0" w:line="240" w:lineRule="auto"/>
              <w:jc w:val="center"/>
              <w:rPr>
                <w:rFonts w:eastAsia="Times New Roman"/>
                <w:noProof/>
              </w:rPr>
            </w:pPr>
            <w:r>
              <w:rPr>
                <w:noProof/>
              </w:rPr>
              <w:t>Programme de stages pour diplômés</w:t>
            </w:r>
          </w:p>
        </w:tc>
        <w:tc>
          <w:tcPr>
            <w:tcW w:w="1418" w:type="dxa"/>
            <w:shd w:val="clear" w:color="auto" w:fill="C4EFCE"/>
            <w:noWrap/>
            <w:vAlign w:val="center"/>
            <w:hideMark/>
          </w:tcPr>
          <w:p w14:paraId="5FB31D3D" w14:textId="77777777" w:rsidR="006C686E" w:rsidRDefault="00B17E8C">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7575857F"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hideMark/>
          </w:tcPr>
          <w:p w14:paraId="388F5F42"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6F464635" w14:textId="77777777" w:rsidR="006C686E" w:rsidRDefault="00B17E8C">
            <w:pPr>
              <w:pStyle w:val="P68B1DB1-Normal11"/>
              <w:spacing w:after="0" w:line="240" w:lineRule="auto"/>
              <w:jc w:val="center"/>
              <w:rPr>
                <w:rFonts w:eastAsia="Times New Roman"/>
                <w:noProof/>
              </w:rPr>
            </w:pPr>
            <w:r>
              <w:rPr>
                <w:noProof/>
              </w:rPr>
              <w:t>1 500</w:t>
            </w:r>
          </w:p>
        </w:tc>
        <w:tc>
          <w:tcPr>
            <w:tcW w:w="420" w:type="dxa"/>
            <w:shd w:val="clear" w:color="auto" w:fill="C4EFCE"/>
            <w:noWrap/>
            <w:vAlign w:val="center"/>
            <w:hideMark/>
          </w:tcPr>
          <w:p w14:paraId="76005A48"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06948641" w14:textId="77777777" w:rsidR="006C686E" w:rsidRDefault="00B17E8C">
            <w:pPr>
              <w:pStyle w:val="P68B1DB1-Normal11"/>
              <w:spacing w:after="0" w:line="240" w:lineRule="auto"/>
              <w:jc w:val="center"/>
              <w:rPr>
                <w:rFonts w:eastAsia="Times New Roman"/>
                <w:noProof/>
              </w:rPr>
            </w:pPr>
            <w:r>
              <w:rPr>
                <w:noProof/>
              </w:rPr>
              <w:t>2023</w:t>
            </w:r>
          </w:p>
        </w:tc>
        <w:tc>
          <w:tcPr>
            <w:tcW w:w="3798" w:type="dxa"/>
            <w:shd w:val="clear" w:color="auto" w:fill="C4EFCE"/>
            <w:vAlign w:val="center"/>
            <w:hideMark/>
          </w:tcPr>
          <w:p w14:paraId="0AEF161A" w14:textId="55AE2D84" w:rsidR="006C686E" w:rsidRDefault="00B17E8C">
            <w:pPr>
              <w:pStyle w:val="P68B1DB1-Normal11"/>
              <w:spacing w:after="0" w:line="240" w:lineRule="auto"/>
              <w:jc w:val="both"/>
              <w:rPr>
                <w:rFonts w:eastAsia="Times New Roman"/>
                <w:noProof/>
              </w:rPr>
            </w:pPr>
            <w:r>
              <w:rPr>
                <w:noProof/>
              </w:rPr>
              <w:t xml:space="preserve">Nombre de diplômés ayant fréquenté le programme de stages dans l’administration publique mis en place dans le cadre de </w:t>
            </w:r>
            <w:r>
              <w:rPr>
                <w:i/>
                <w:noProof/>
              </w:rPr>
              <w:t>Resoluç</w:t>
            </w:r>
            <w:r>
              <w:rPr>
                <w:noProof/>
                <w:color w:val="444444"/>
              </w:rPr>
              <w:t xml:space="preserve"> õ</w:t>
            </w:r>
            <w:r>
              <w:rPr>
                <w:i/>
                <w:noProof/>
              </w:rPr>
              <w:t>es do Conselho de Ministros</w:t>
            </w:r>
            <w:r>
              <w:rPr>
                <w:noProof/>
              </w:rPr>
              <w:t xml:space="preserve"> </w:t>
            </w:r>
          </w:p>
        </w:tc>
      </w:tr>
      <w:tr w:rsidR="006C686E" w14:paraId="16DD1872" w14:textId="77777777" w:rsidTr="00A66BC8">
        <w:trPr>
          <w:trHeight w:val="300"/>
        </w:trPr>
        <w:tc>
          <w:tcPr>
            <w:tcW w:w="1048" w:type="dxa"/>
            <w:shd w:val="clear" w:color="auto" w:fill="C4EFCE"/>
            <w:vAlign w:val="center"/>
            <w:hideMark/>
          </w:tcPr>
          <w:p w14:paraId="69AF4E0D" w14:textId="77777777" w:rsidR="006C686E" w:rsidRDefault="00B17E8C">
            <w:pPr>
              <w:pStyle w:val="P68B1DB1-Normal10"/>
              <w:spacing w:after="0" w:line="240" w:lineRule="auto"/>
              <w:jc w:val="center"/>
              <w:rPr>
                <w:rFonts w:eastAsia="Times New Roman"/>
                <w:noProof/>
              </w:rPr>
            </w:pPr>
            <w:r>
              <w:rPr>
                <w:noProof/>
              </w:rPr>
              <w:t>19.20</w:t>
            </w:r>
          </w:p>
        </w:tc>
        <w:tc>
          <w:tcPr>
            <w:tcW w:w="1391" w:type="dxa"/>
            <w:shd w:val="clear" w:color="auto" w:fill="C4EFCE"/>
            <w:noWrap/>
            <w:vAlign w:val="center"/>
            <w:hideMark/>
          </w:tcPr>
          <w:p w14:paraId="055236B9" w14:textId="77777777" w:rsidR="006C686E" w:rsidRDefault="00B17E8C">
            <w:pPr>
              <w:pStyle w:val="P68B1DB1-Normal11"/>
              <w:spacing w:after="0" w:line="240" w:lineRule="auto"/>
              <w:jc w:val="center"/>
              <w:rPr>
                <w:rFonts w:eastAsia="Times New Roman"/>
                <w:noProof/>
              </w:rPr>
            </w:pPr>
            <w:r>
              <w:rPr>
                <w:noProof/>
              </w:rPr>
              <w:t>TD-C19-i07</w:t>
            </w:r>
          </w:p>
        </w:tc>
        <w:tc>
          <w:tcPr>
            <w:tcW w:w="1701" w:type="dxa"/>
            <w:shd w:val="clear" w:color="auto" w:fill="C4EFCE"/>
            <w:noWrap/>
            <w:vAlign w:val="center"/>
            <w:hideMark/>
          </w:tcPr>
          <w:p w14:paraId="3E09FD32"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20434487" w14:textId="77777777" w:rsidR="006C686E" w:rsidRDefault="00B17E8C">
            <w:pPr>
              <w:pStyle w:val="P68B1DB1-Normal48"/>
              <w:spacing w:after="0" w:line="276" w:lineRule="auto"/>
              <w:jc w:val="center"/>
              <w:rPr>
                <w:rFonts w:eastAsia="Aptos"/>
                <w:noProof/>
              </w:rPr>
            </w:pPr>
            <w:r>
              <w:rPr>
                <w:noProof/>
              </w:rPr>
              <w:t xml:space="preserve">Équipement informatique pour les employés de l'administration publique </w:t>
            </w:r>
          </w:p>
        </w:tc>
        <w:tc>
          <w:tcPr>
            <w:tcW w:w="1418" w:type="dxa"/>
            <w:shd w:val="clear" w:color="auto" w:fill="C4EFCE"/>
            <w:noWrap/>
            <w:vAlign w:val="center"/>
            <w:hideMark/>
          </w:tcPr>
          <w:p w14:paraId="4FA8AEF5" w14:textId="77777777" w:rsidR="006C686E" w:rsidRDefault="00B17E8C">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154CC486" w14:textId="77777777" w:rsidR="006C686E" w:rsidRDefault="00B17E8C">
            <w:pPr>
              <w:pStyle w:val="P68B1DB1-Normal11"/>
              <w:spacing w:after="0" w:line="240" w:lineRule="auto"/>
              <w:jc w:val="center"/>
              <w:rPr>
                <w:rFonts w:eastAsia="Times New Roman"/>
                <w:noProof/>
              </w:rPr>
            </w:pPr>
            <w:r>
              <w:rPr>
                <w:noProof/>
              </w:rPr>
              <w:t xml:space="preserve">Numéro </w:t>
            </w:r>
          </w:p>
        </w:tc>
        <w:tc>
          <w:tcPr>
            <w:tcW w:w="1050" w:type="dxa"/>
            <w:shd w:val="clear" w:color="auto" w:fill="C4EFCE"/>
            <w:noWrap/>
            <w:vAlign w:val="center"/>
            <w:hideMark/>
          </w:tcPr>
          <w:p w14:paraId="3D1C0226"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768B51DB" w14:textId="77777777" w:rsidR="006C686E" w:rsidRDefault="00B17E8C">
            <w:pPr>
              <w:pStyle w:val="P68B1DB1-Normal11"/>
              <w:spacing w:after="0" w:line="240" w:lineRule="auto"/>
              <w:jc w:val="center"/>
              <w:rPr>
                <w:rFonts w:eastAsia="Times New Roman"/>
                <w:noProof/>
              </w:rPr>
            </w:pPr>
            <w:r>
              <w:rPr>
                <w:noProof/>
              </w:rPr>
              <w:t>17 500</w:t>
            </w:r>
          </w:p>
        </w:tc>
        <w:tc>
          <w:tcPr>
            <w:tcW w:w="420" w:type="dxa"/>
            <w:shd w:val="clear" w:color="auto" w:fill="C4EFCE"/>
            <w:noWrap/>
            <w:vAlign w:val="center"/>
            <w:hideMark/>
          </w:tcPr>
          <w:p w14:paraId="59D02788"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218978AE" w14:textId="77777777" w:rsidR="006C686E" w:rsidRDefault="00B17E8C">
            <w:pPr>
              <w:pStyle w:val="P68B1DB1-Normal11"/>
              <w:spacing w:after="0" w:line="240" w:lineRule="auto"/>
              <w:jc w:val="center"/>
              <w:rPr>
                <w:rFonts w:eastAsia="Times New Roman"/>
                <w:noProof/>
              </w:rPr>
            </w:pPr>
            <w:r>
              <w:rPr>
                <w:noProof/>
              </w:rPr>
              <w:t>2023</w:t>
            </w:r>
          </w:p>
        </w:tc>
        <w:tc>
          <w:tcPr>
            <w:tcW w:w="3798" w:type="dxa"/>
            <w:shd w:val="clear" w:color="auto" w:fill="C4EFCE"/>
            <w:vAlign w:val="center"/>
            <w:hideMark/>
          </w:tcPr>
          <w:p w14:paraId="31E770BF" w14:textId="77777777" w:rsidR="006C686E" w:rsidRDefault="00B17E8C">
            <w:pPr>
              <w:pStyle w:val="P68B1DB1-Normal11"/>
              <w:spacing w:after="0" w:line="240" w:lineRule="auto"/>
              <w:jc w:val="both"/>
              <w:rPr>
                <w:noProof/>
              </w:rPr>
            </w:pPr>
            <w:r>
              <w:rPr>
                <w:noProof/>
                <w:color w:val="000000"/>
              </w:rPr>
              <w:t>Matériel informatique (17</w:t>
            </w:r>
            <w:r>
              <w:rPr>
                <w:noProof/>
              </w:rPr>
              <w:t> </w:t>
            </w:r>
            <w:r>
              <w:rPr>
                <w:noProof/>
                <w:color w:val="000000"/>
              </w:rPr>
              <w:t>500 ordinateurs portables) acheté.</w:t>
            </w:r>
            <w:r>
              <w:rPr>
                <w:noProof/>
              </w:rPr>
              <w:t xml:space="preserve"> </w:t>
            </w:r>
          </w:p>
        </w:tc>
      </w:tr>
      <w:tr w:rsidR="006C686E" w14:paraId="63A03429" w14:textId="77777777" w:rsidTr="00A66BC8">
        <w:trPr>
          <w:trHeight w:val="300"/>
        </w:trPr>
        <w:tc>
          <w:tcPr>
            <w:tcW w:w="1048" w:type="dxa"/>
            <w:shd w:val="clear" w:color="auto" w:fill="C4EFCE"/>
            <w:vAlign w:val="center"/>
            <w:hideMark/>
          </w:tcPr>
          <w:p w14:paraId="3AFF84B6" w14:textId="77777777" w:rsidR="006C686E" w:rsidRDefault="00B17E8C">
            <w:pPr>
              <w:pStyle w:val="P68B1DB1-Normal10"/>
              <w:spacing w:after="0" w:line="240" w:lineRule="auto"/>
              <w:jc w:val="center"/>
              <w:rPr>
                <w:rFonts w:eastAsia="Times New Roman"/>
                <w:noProof/>
              </w:rPr>
            </w:pPr>
            <w:r>
              <w:rPr>
                <w:noProof/>
              </w:rPr>
              <w:t>19.21</w:t>
            </w:r>
          </w:p>
        </w:tc>
        <w:tc>
          <w:tcPr>
            <w:tcW w:w="1391" w:type="dxa"/>
            <w:shd w:val="clear" w:color="auto" w:fill="C4EFCE"/>
            <w:noWrap/>
            <w:vAlign w:val="center"/>
            <w:hideMark/>
          </w:tcPr>
          <w:p w14:paraId="779315E7" w14:textId="77777777" w:rsidR="006C686E" w:rsidRDefault="00B17E8C">
            <w:pPr>
              <w:pStyle w:val="P68B1DB1-Normal11"/>
              <w:spacing w:after="0" w:line="240" w:lineRule="auto"/>
              <w:jc w:val="center"/>
              <w:rPr>
                <w:rFonts w:eastAsia="Times New Roman"/>
                <w:noProof/>
              </w:rPr>
            </w:pPr>
            <w:r>
              <w:rPr>
                <w:noProof/>
              </w:rPr>
              <w:t>TD-C19-i07</w:t>
            </w:r>
          </w:p>
        </w:tc>
        <w:tc>
          <w:tcPr>
            <w:tcW w:w="1701" w:type="dxa"/>
            <w:shd w:val="clear" w:color="auto" w:fill="C4EFCE"/>
            <w:noWrap/>
            <w:vAlign w:val="center"/>
            <w:hideMark/>
          </w:tcPr>
          <w:p w14:paraId="60BC2C50" w14:textId="77777777" w:rsidR="006C686E" w:rsidRDefault="00B17E8C">
            <w:pPr>
              <w:pStyle w:val="P68B1DB1-Normal11"/>
              <w:spacing w:after="0" w:line="240" w:lineRule="auto"/>
              <w:jc w:val="center"/>
              <w:rPr>
                <w:rFonts w:eastAsia="Times New Roman"/>
                <w:noProof/>
              </w:rPr>
            </w:pPr>
            <w:r>
              <w:rPr>
                <w:noProof/>
              </w:rPr>
              <w:t>T</w:t>
            </w:r>
          </w:p>
        </w:tc>
        <w:tc>
          <w:tcPr>
            <w:tcW w:w="709" w:type="dxa"/>
            <w:shd w:val="clear" w:color="auto" w:fill="C4EFCE"/>
            <w:noWrap/>
            <w:vAlign w:val="center"/>
            <w:hideMark/>
          </w:tcPr>
          <w:p w14:paraId="2DFCDA65" w14:textId="6F1E16E1" w:rsidR="006C686E" w:rsidRDefault="00B17E8C">
            <w:pPr>
              <w:pStyle w:val="P68B1DB1-Normal11"/>
              <w:spacing w:after="0" w:line="240" w:lineRule="auto"/>
              <w:jc w:val="center"/>
              <w:rPr>
                <w:rFonts w:eastAsia="Times New Roman"/>
                <w:noProof/>
              </w:rPr>
            </w:pPr>
            <w:r>
              <w:rPr>
                <w:noProof/>
              </w:rPr>
              <w:t>Formation des employés de l'administration publique</w:t>
            </w:r>
          </w:p>
        </w:tc>
        <w:tc>
          <w:tcPr>
            <w:tcW w:w="1418" w:type="dxa"/>
            <w:shd w:val="clear" w:color="auto" w:fill="C4EFCE"/>
            <w:noWrap/>
            <w:vAlign w:val="center"/>
            <w:hideMark/>
          </w:tcPr>
          <w:p w14:paraId="58532CA8" w14:textId="77777777" w:rsidR="006C686E" w:rsidRDefault="00B17E8C">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9E50C51" w14:textId="77777777" w:rsidR="006C686E" w:rsidRDefault="00B17E8C">
            <w:pPr>
              <w:pStyle w:val="P68B1DB1-Normal11"/>
              <w:spacing w:after="0" w:line="240" w:lineRule="auto"/>
              <w:jc w:val="center"/>
              <w:rPr>
                <w:rFonts w:eastAsia="Times New Roman"/>
                <w:noProof/>
              </w:rPr>
            </w:pPr>
            <w:r>
              <w:rPr>
                <w:noProof/>
              </w:rPr>
              <w:t>Numéro</w:t>
            </w:r>
          </w:p>
        </w:tc>
        <w:tc>
          <w:tcPr>
            <w:tcW w:w="1050" w:type="dxa"/>
            <w:shd w:val="clear" w:color="auto" w:fill="C4EFCE"/>
            <w:noWrap/>
            <w:vAlign w:val="center"/>
            <w:hideMark/>
          </w:tcPr>
          <w:p w14:paraId="33162664" w14:textId="77777777" w:rsidR="006C686E" w:rsidRDefault="00B17E8C">
            <w:pPr>
              <w:pStyle w:val="P68B1DB1-Normal11"/>
              <w:spacing w:after="0" w:line="240" w:lineRule="auto"/>
              <w:jc w:val="center"/>
              <w:rPr>
                <w:rFonts w:eastAsia="Times New Roman"/>
                <w:noProof/>
              </w:rPr>
            </w:pPr>
            <w:r>
              <w:rPr>
                <w:noProof/>
              </w:rPr>
              <w:t>0</w:t>
            </w:r>
          </w:p>
        </w:tc>
        <w:tc>
          <w:tcPr>
            <w:tcW w:w="851" w:type="dxa"/>
            <w:shd w:val="clear" w:color="auto" w:fill="C4EFCE"/>
            <w:noWrap/>
            <w:vAlign w:val="center"/>
            <w:hideMark/>
          </w:tcPr>
          <w:p w14:paraId="73CB8F2F" w14:textId="0EA863D0"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 xml:space="preserve">96 </w:t>
            </w:r>
            <w:r>
              <w:rPr>
                <w:noProof/>
              </w:rPr>
              <w:t>400</w:t>
            </w:r>
          </w:p>
        </w:tc>
        <w:tc>
          <w:tcPr>
            <w:tcW w:w="420" w:type="dxa"/>
            <w:shd w:val="clear" w:color="auto" w:fill="C4EFCE"/>
            <w:noWrap/>
            <w:vAlign w:val="center"/>
            <w:hideMark/>
          </w:tcPr>
          <w:p w14:paraId="6340FB81" w14:textId="05525520"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4EFD6066" w14:textId="6C71C2AE"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hideMark/>
          </w:tcPr>
          <w:p w14:paraId="69680F68" w14:textId="38F4FE0B" w:rsidR="006C686E" w:rsidRDefault="00B17E8C">
            <w:pPr>
              <w:pStyle w:val="P68B1DB1-Normal13"/>
              <w:spacing w:after="0" w:line="240" w:lineRule="auto"/>
              <w:jc w:val="both"/>
              <w:rPr>
                <w:rFonts w:eastAsia="Times New Roman"/>
                <w:noProof/>
                <w:kern w:val="0"/>
                <w14:ligatures w14:val="none"/>
              </w:rPr>
            </w:pPr>
            <w:r>
              <w:rPr>
                <w:noProof/>
              </w:rPr>
              <w:t>96</w:t>
            </w:r>
            <w:r>
              <w:rPr>
                <w:noProof/>
                <w:kern w:val="0"/>
                <w14:ligatures w14:val="none"/>
              </w:rPr>
              <w:t> </w:t>
            </w:r>
            <w:r>
              <w:rPr>
                <w:noProof/>
              </w:rPr>
              <w:t xml:space="preserve">400 </w:t>
            </w:r>
            <w:r>
              <w:rPr>
                <w:noProof/>
                <w:kern w:val="0"/>
                <w14:ligatures w14:val="none"/>
              </w:rPr>
              <w:t xml:space="preserve">participations à l'un des programmes suivants: </w:t>
            </w:r>
          </w:p>
          <w:p w14:paraId="5823E744" w14:textId="77777777" w:rsidR="006C686E" w:rsidRDefault="00B17E8C">
            <w:pPr>
              <w:pStyle w:val="P68B1DB1-Normal12"/>
              <w:keepNext/>
              <w:numPr>
                <w:ilvl w:val="0"/>
                <w:numId w:val="60"/>
              </w:numPr>
              <w:spacing w:after="0" w:line="240" w:lineRule="auto"/>
              <w:ind w:left="378"/>
              <w:contextualSpacing/>
              <w:jc w:val="both"/>
              <w:rPr>
                <w:noProof/>
              </w:rPr>
            </w:pPr>
            <w:r>
              <w:rPr>
                <w:i/>
                <w:noProof/>
              </w:rPr>
              <w:t>Programa de capacitação digital</w:t>
            </w:r>
            <w:r>
              <w:rPr>
                <w:noProof/>
              </w:rPr>
              <w:t xml:space="preserve"> </w:t>
            </w:r>
          </w:p>
          <w:p w14:paraId="746BF76A" w14:textId="77777777" w:rsidR="006C686E" w:rsidRDefault="00B17E8C">
            <w:pPr>
              <w:pStyle w:val="P68B1DB1-Normal12"/>
              <w:keepNext/>
              <w:numPr>
                <w:ilvl w:val="0"/>
                <w:numId w:val="60"/>
              </w:numPr>
              <w:spacing w:after="0" w:line="240" w:lineRule="auto"/>
              <w:ind w:left="378"/>
              <w:contextualSpacing/>
              <w:jc w:val="both"/>
              <w:rPr>
                <w:noProof/>
              </w:rPr>
            </w:pPr>
            <w:r>
              <w:rPr>
                <w:noProof/>
              </w:rPr>
              <w:t xml:space="preserve">Enseignement supérieur et supérieur en gestion </w:t>
            </w:r>
          </w:p>
          <w:p w14:paraId="6CFF83EF" w14:textId="5F4B4962" w:rsidR="006C686E" w:rsidRDefault="00B17E8C">
            <w:pPr>
              <w:pStyle w:val="P68B1DB1-Normal12"/>
              <w:keepNext/>
              <w:numPr>
                <w:ilvl w:val="0"/>
                <w:numId w:val="60"/>
              </w:numPr>
              <w:spacing w:after="0" w:line="240" w:lineRule="auto"/>
              <w:ind w:left="378"/>
              <w:contextualSpacing/>
              <w:jc w:val="both"/>
              <w:rPr>
                <w:i/>
                <w:noProof/>
              </w:rPr>
            </w:pPr>
            <w:r>
              <w:rPr>
                <w:noProof/>
              </w:rPr>
              <w:t xml:space="preserve">Formation pour </w:t>
            </w:r>
            <w:r>
              <w:rPr>
                <w:i/>
                <w:noProof/>
              </w:rPr>
              <w:t xml:space="preserve">Lojas do Cidadão/Espaços Cidadão </w:t>
            </w:r>
          </w:p>
          <w:p w14:paraId="21754D5B" w14:textId="77777777" w:rsidR="006C686E" w:rsidRDefault="00B17E8C">
            <w:pPr>
              <w:pStyle w:val="P68B1DB1-Normal12"/>
              <w:keepNext/>
              <w:numPr>
                <w:ilvl w:val="0"/>
                <w:numId w:val="60"/>
              </w:numPr>
              <w:spacing w:after="0" w:line="240" w:lineRule="auto"/>
              <w:ind w:left="378"/>
              <w:contextualSpacing/>
              <w:jc w:val="both"/>
              <w:rPr>
                <w:noProof/>
              </w:rPr>
            </w:pPr>
            <w:r>
              <w:rPr>
                <w:noProof/>
              </w:rPr>
              <w:t xml:space="preserve">Programme </w:t>
            </w:r>
            <w:r>
              <w:rPr>
                <w:i/>
                <w:noProof/>
              </w:rPr>
              <w:t>du PA Qualifica</w:t>
            </w:r>
            <w:r>
              <w:rPr>
                <w:noProof/>
              </w:rPr>
              <w:t xml:space="preserve"> </w:t>
            </w:r>
          </w:p>
          <w:p w14:paraId="2C255455" w14:textId="77777777" w:rsidR="006C686E" w:rsidRDefault="00B17E8C">
            <w:pPr>
              <w:pStyle w:val="P68B1DB1-Normal12"/>
              <w:keepNext/>
              <w:numPr>
                <w:ilvl w:val="0"/>
                <w:numId w:val="60"/>
              </w:numPr>
              <w:spacing w:after="0" w:line="240" w:lineRule="auto"/>
              <w:ind w:left="378"/>
              <w:contextualSpacing/>
              <w:jc w:val="both"/>
              <w:rPr>
                <w:noProof/>
              </w:rPr>
            </w:pPr>
            <w:r>
              <w:rPr>
                <w:noProof/>
              </w:rPr>
              <w:t>PlanAPP – projet de compétences en matière de planification et de prospective</w:t>
            </w:r>
          </w:p>
          <w:p w14:paraId="2F21042A" w14:textId="5B868825" w:rsidR="006C686E" w:rsidRDefault="00B17E8C">
            <w:pPr>
              <w:pStyle w:val="P68B1DB1-Normal12"/>
              <w:keepNext/>
              <w:numPr>
                <w:ilvl w:val="0"/>
                <w:numId w:val="60"/>
              </w:numPr>
              <w:spacing w:after="0" w:line="240" w:lineRule="auto"/>
              <w:ind w:left="378"/>
              <w:contextualSpacing/>
              <w:jc w:val="both"/>
              <w:rPr>
                <w:noProof/>
              </w:rPr>
            </w:pPr>
            <w:r>
              <w:rPr>
                <w:i/>
                <w:noProof/>
              </w:rPr>
              <w:t>Sistema Integrado de Gestão e Avaliação de Desempenho na Administração Pública</w:t>
            </w:r>
            <w:r>
              <w:rPr>
                <w:noProof/>
              </w:rPr>
              <w:t xml:space="preserve"> (SIADAP) ou </w:t>
            </w:r>
            <w:r>
              <w:rPr>
                <w:i/>
                <w:noProof/>
              </w:rPr>
              <w:t>Referencial de Competências para a Administração Pública</w:t>
            </w:r>
            <w:r>
              <w:rPr>
                <w:noProof/>
              </w:rPr>
              <w:t xml:space="preserve"> (ReCAP)</w:t>
            </w:r>
          </w:p>
          <w:p w14:paraId="2609DE41" w14:textId="11A34537" w:rsidR="006C686E" w:rsidRDefault="00B17E8C">
            <w:pPr>
              <w:pStyle w:val="P68B1DB1-Normal13"/>
              <w:spacing w:after="0" w:line="240" w:lineRule="auto"/>
              <w:jc w:val="both"/>
              <w:rPr>
                <w:rFonts w:eastAsia="Times New Roman"/>
                <w:noProof/>
                <w:kern w:val="0"/>
                <w14:ligatures w14:val="none"/>
              </w:rPr>
            </w:pPr>
            <w:r>
              <w:rPr>
                <w:noProof/>
                <w:kern w:val="0"/>
                <w14:ligatures w14:val="none"/>
              </w:rPr>
              <w:t>En outre, le Centre de compétences pour la planification, la politique et la prospective publie sur son site internet 65 rapports, études ou notes d’orientation.</w:t>
            </w:r>
          </w:p>
        </w:tc>
      </w:tr>
      <w:tr w:rsidR="006C686E" w14:paraId="3BB619CF" w14:textId="77777777" w:rsidTr="00A66BC8">
        <w:trPr>
          <w:trHeight w:val="300"/>
        </w:trPr>
        <w:tc>
          <w:tcPr>
            <w:tcW w:w="1048" w:type="dxa"/>
            <w:shd w:val="clear" w:color="auto" w:fill="C4EFCE"/>
            <w:vAlign w:val="center"/>
          </w:tcPr>
          <w:p w14:paraId="13FDECDA" w14:textId="77777777" w:rsidR="006C686E" w:rsidRDefault="00B17E8C">
            <w:pPr>
              <w:pStyle w:val="P68B1DB1-Normal10"/>
              <w:spacing w:after="0" w:line="240" w:lineRule="auto"/>
              <w:jc w:val="center"/>
              <w:rPr>
                <w:rFonts w:eastAsia="Times New Roman"/>
                <w:noProof/>
              </w:rPr>
            </w:pPr>
            <w:r>
              <w:rPr>
                <w:noProof/>
              </w:rPr>
              <w:t>19.22</w:t>
            </w:r>
          </w:p>
        </w:tc>
        <w:tc>
          <w:tcPr>
            <w:tcW w:w="1391" w:type="dxa"/>
            <w:shd w:val="clear" w:color="auto" w:fill="C4EFCE"/>
            <w:noWrap/>
            <w:vAlign w:val="center"/>
          </w:tcPr>
          <w:p w14:paraId="0F742683" w14:textId="77777777" w:rsidR="006C686E" w:rsidRDefault="00B17E8C">
            <w:pPr>
              <w:pStyle w:val="P68B1DB1-Normal11"/>
              <w:spacing w:after="0" w:line="240" w:lineRule="auto"/>
              <w:jc w:val="center"/>
              <w:rPr>
                <w:rFonts w:eastAsia="Times New Roman"/>
                <w:noProof/>
              </w:rPr>
            </w:pPr>
            <w:r>
              <w:rPr>
                <w:noProof/>
              </w:rPr>
              <w:t>TD-C19-r34</w:t>
            </w:r>
          </w:p>
        </w:tc>
        <w:tc>
          <w:tcPr>
            <w:tcW w:w="1701" w:type="dxa"/>
            <w:shd w:val="clear" w:color="auto" w:fill="C4EFCE"/>
            <w:noWrap/>
            <w:vAlign w:val="center"/>
          </w:tcPr>
          <w:p w14:paraId="75F635B8"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tcPr>
          <w:p w14:paraId="0177D4A6" w14:textId="77777777" w:rsidR="006C686E" w:rsidRDefault="00B17E8C">
            <w:pPr>
              <w:pStyle w:val="P68B1DB1-Normal11"/>
              <w:spacing w:after="0" w:line="240" w:lineRule="auto"/>
              <w:jc w:val="center"/>
              <w:rPr>
                <w:rFonts w:eastAsia="Times New Roman"/>
                <w:noProof/>
              </w:rPr>
            </w:pPr>
            <w:r>
              <w:rPr>
                <w:noProof/>
              </w:rPr>
              <w:t>Entrée en vigueur du cadre juridique pour la transformation numérique de l’administration publique</w:t>
            </w:r>
          </w:p>
        </w:tc>
        <w:tc>
          <w:tcPr>
            <w:tcW w:w="1418" w:type="dxa"/>
            <w:shd w:val="clear" w:color="auto" w:fill="C4EFCE"/>
            <w:noWrap/>
            <w:vAlign w:val="center"/>
          </w:tcPr>
          <w:p w14:paraId="6D25A112" w14:textId="77777777" w:rsidR="006C686E" w:rsidRDefault="00B17E8C">
            <w:pPr>
              <w:pStyle w:val="P68B1DB1-Normal11"/>
              <w:spacing w:after="0" w:line="240" w:lineRule="auto"/>
              <w:jc w:val="center"/>
              <w:rPr>
                <w:rFonts w:eastAsia="Times New Roman"/>
                <w:noProof/>
              </w:rPr>
            </w:pPr>
            <w:r>
              <w:rPr>
                <w:noProof/>
              </w:rPr>
              <w:t>Entrée en vigueur du cadre juridique pour la transformation numérique de l’administration publique</w:t>
            </w:r>
          </w:p>
        </w:tc>
        <w:tc>
          <w:tcPr>
            <w:tcW w:w="934" w:type="dxa"/>
            <w:shd w:val="clear" w:color="auto" w:fill="C4EFCE"/>
            <w:noWrap/>
            <w:vAlign w:val="center"/>
          </w:tcPr>
          <w:p w14:paraId="57A1154B"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1050" w:type="dxa"/>
            <w:shd w:val="clear" w:color="auto" w:fill="C4EFCE"/>
            <w:noWrap/>
            <w:vAlign w:val="center"/>
          </w:tcPr>
          <w:p w14:paraId="59BAB6E3"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shd w:val="clear" w:color="auto" w:fill="C4EFCE"/>
            <w:noWrap/>
            <w:vAlign w:val="center"/>
          </w:tcPr>
          <w:p w14:paraId="6B06F7BB"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0" w:type="dxa"/>
            <w:shd w:val="clear" w:color="auto" w:fill="C4EFCE"/>
            <w:noWrap/>
            <w:vAlign w:val="center"/>
          </w:tcPr>
          <w:p w14:paraId="055AB5E7" w14:textId="77777777" w:rsidR="006C686E" w:rsidRDefault="00B17E8C">
            <w:pPr>
              <w:pStyle w:val="P68B1DB1-Normal11"/>
              <w:spacing w:after="0" w:line="240" w:lineRule="auto"/>
              <w:jc w:val="center"/>
              <w:rPr>
                <w:rFonts w:eastAsia="Times New Roman"/>
                <w:noProof/>
              </w:rPr>
            </w:pPr>
            <w:r>
              <w:rPr>
                <w:noProof/>
              </w:rPr>
              <w:t>T3</w:t>
            </w:r>
          </w:p>
        </w:tc>
        <w:tc>
          <w:tcPr>
            <w:tcW w:w="1139" w:type="dxa"/>
            <w:shd w:val="clear" w:color="auto" w:fill="C4EFCE"/>
            <w:noWrap/>
            <w:vAlign w:val="center"/>
          </w:tcPr>
          <w:p w14:paraId="040100DD" w14:textId="77777777" w:rsidR="006C686E" w:rsidRDefault="00B17E8C">
            <w:pPr>
              <w:pStyle w:val="P68B1DB1-Normal11"/>
              <w:spacing w:after="0" w:line="240" w:lineRule="auto"/>
              <w:jc w:val="center"/>
              <w:rPr>
                <w:rFonts w:eastAsia="Times New Roman"/>
                <w:noProof/>
              </w:rPr>
            </w:pPr>
            <w:r>
              <w:rPr>
                <w:noProof/>
              </w:rPr>
              <w:t>2021</w:t>
            </w:r>
          </w:p>
        </w:tc>
        <w:tc>
          <w:tcPr>
            <w:tcW w:w="3798" w:type="dxa"/>
            <w:shd w:val="clear" w:color="auto" w:fill="C4EFCE"/>
            <w:vAlign w:val="center"/>
          </w:tcPr>
          <w:p w14:paraId="358ADCA0" w14:textId="77777777" w:rsidR="006C686E" w:rsidRDefault="00B17E8C">
            <w:pPr>
              <w:pStyle w:val="P68B1DB1-Normal11"/>
              <w:spacing w:after="0" w:line="240" w:lineRule="auto"/>
              <w:jc w:val="both"/>
              <w:rPr>
                <w:rFonts w:eastAsia="Times New Roman"/>
                <w:noProof/>
              </w:rPr>
            </w:pPr>
            <w:r>
              <w:rPr>
                <w:noProof/>
              </w:rPr>
              <w:t xml:space="preserve">Entrée en vigueur du cadre juridique pour la transformation numérique de l’administration publique: </w:t>
            </w:r>
          </w:p>
          <w:p w14:paraId="2B3EC4C3" w14:textId="77777777" w:rsidR="006C686E" w:rsidRDefault="00B17E8C">
            <w:pPr>
              <w:pStyle w:val="P68B1DB1-Normal11"/>
              <w:spacing w:after="0" w:line="240" w:lineRule="auto"/>
              <w:jc w:val="both"/>
              <w:rPr>
                <w:rFonts w:eastAsia="Times New Roman"/>
                <w:noProof/>
              </w:rPr>
            </w:pPr>
            <w:r>
              <w:rPr>
                <w:noProof/>
              </w:rPr>
              <w:t xml:space="preserve">i) La stratégie et le plan d'action transversal pour la transformation numérique de l'administration publique et </w:t>
            </w:r>
          </w:p>
          <w:p w14:paraId="220F3021" w14:textId="3FA31749" w:rsidR="006C686E" w:rsidRDefault="00B17E8C">
            <w:pPr>
              <w:pStyle w:val="P68B1DB1-Normal11"/>
              <w:spacing w:after="0" w:line="240" w:lineRule="auto"/>
              <w:jc w:val="both"/>
              <w:rPr>
                <w:rFonts w:eastAsia="Times New Roman"/>
                <w:noProof/>
              </w:rPr>
            </w:pPr>
            <w:r>
              <w:rPr>
                <w:noProof/>
              </w:rPr>
              <w:t>ii) Le paquet législatif (y compris la réglementation relative au CNCS) sur le cadre national de cybersécurité, en s'appuyant sur la loi 46/2018.</w:t>
            </w:r>
          </w:p>
        </w:tc>
      </w:tr>
      <w:tr w:rsidR="006C686E" w14:paraId="761EABBD" w14:textId="77777777" w:rsidTr="00A66BC8">
        <w:trPr>
          <w:trHeight w:val="300"/>
        </w:trPr>
        <w:tc>
          <w:tcPr>
            <w:tcW w:w="1048" w:type="dxa"/>
            <w:shd w:val="clear" w:color="auto" w:fill="C4EFCE"/>
            <w:vAlign w:val="center"/>
            <w:hideMark/>
          </w:tcPr>
          <w:p w14:paraId="54090067" w14:textId="77777777" w:rsidR="006C686E" w:rsidRDefault="00B17E8C">
            <w:pPr>
              <w:pStyle w:val="P68B1DB1-Normal10"/>
              <w:spacing w:after="0" w:line="240" w:lineRule="auto"/>
              <w:jc w:val="center"/>
              <w:rPr>
                <w:rFonts w:eastAsia="Times New Roman"/>
                <w:noProof/>
              </w:rPr>
            </w:pPr>
            <w:r>
              <w:rPr>
                <w:noProof/>
              </w:rPr>
              <w:t>19.23</w:t>
            </w:r>
          </w:p>
        </w:tc>
        <w:tc>
          <w:tcPr>
            <w:tcW w:w="1391" w:type="dxa"/>
            <w:shd w:val="clear" w:color="auto" w:fill="C4EFCE"/>
            <w:noWrap/>
            <w:vAlign w:val="center"/>
            <w:hideMark/>
          </w:tcPr>
          <w:p w14:paraId="78613FF6" w14:textId="77777777" w:rsidR="006C686E" w:rsidRDefault="00B17E8C">
            <w:pPr>
              <w:pStyle w:val="P68B1DB1-Normal11"/>
              <w:spacing w:after="0" w:line="240" w:lineRule="auto"/>
              <w:jc w:val="center"/>
              <w:rPr>
                <w:rFonts w:eastAsia="Times New Roman"/>
                <w:noProof/>
              </w:rPr>
            </w:pPr>
            <w:r>
              <w:rPr>
                <w:noProof/>
              </w:rPr>
              <w:t>TD-C19-r35</w:t>
            </w:r>
          </w:p>
        </w:tc>
        <w:tc>
          <w:tcPr>
            <w:tcW w:w="1701" w:type="dxa"/>
            <w:shd w:val="clear" w:color="auto" w:fill="C4EFCE"/>
            <w:noWrap/>
            <w:vAlign w:val="center"/>
            <w:hideMark/>
          </w:tcPr>
          <w:p w14:paraId="45DFCAAF"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356F8167" w14:textId="77777777" w:rsidR="006C686E" w:rsidRDefault="00B17E8C">
            <w:pPr>
              <w:pStyle w:val="P68B1DB1-Normal11"/>
              <w:spacing w:after="0" w:line="240" w:lineRule="auto"/>
              <w:jc w:val="center"/>
              <w:rPr>
                <w:rFonts w:eastAsia="Times New Roman"/>
                <w:noProof/>
              </w:rPr>
            </w:pPr>
            <w:r>
              <w:rPr>
                <w:noProof/>
              </w:rPr>
              <w:t>Entrée en vigueur du paquet législatif pour la réorganisation de l'administration publique</w:t>
            </w:r>
          </w:p>
        </w:tc>
        <w:tc>
          <w:tcPr>
            <w:tcW w:w="1418" w:type="dxa"/>
            <w:shd w:val="clear" w:color="auto" w:fill="C4EFCE"/>
            <w:noWrap/>
            <w:vAlign w:val="center"/>
            <w:hideMark/>
          </w:tcPr>
          <w:p w14:paraId="11C4207E" w14:textId="77777777" w:rsidR="006C686E" w:rsidRDefault="00B17E8C">
            <w:pPr>
              <w:pStyle w:val="P68B1DB1-Normal11"/>
              <w:spacing w:after="0" w:line="240" w:lineRule="auto"/>
              <w:jc w:val="center"/>
              <w:rPr>
                <w:rFonts w:eastAsia="Times New Roman"/>
                <w:noProof/>
              </w:rPr>
            </w:pPr>
            <w:r>
              <w:rPr>
                <w:noProof/>
              </w:rPr>
              <w:t>Entrée en vigueur du paquet législatif pour la réorganisation de l'administration publique</w:t>
            </w:r>
          </w:p>
        </w:tc>
        <w:tc>
          <w:tcPr>
            <w:tcW w:w="934" w:type="dxa"/>
            <w:shd w:val="clear" w:color="auto" w:fill="C4EFCE"/>
            <w:noWrap/>
            <w:vAlign w:val="center"/>
            <w:hideMark/>
          </w:tcPr>
          <w:p w14:paraId="2C1F2D9C" w14:textId="77777777" w:rsidR="006C686E" w:rsidRDefault="00B17E8C">
            <w:pPr>
              <w:pStyle w:val="P68B1DB1-Normal11"/>
              <w:spacing w:after="0" w:line="240" w:lineRule="auto"/>
              <w:jc w:val="center"/>
              <w:rPr>
                <w:rFonts w:eastAsia="Times New Roman"/>
                <w:noProof/>
              </w:rPr>
            </w:pPr>
            <w:r>
              <w:rPr>
                <w:noProof/>
              </w:rPr>
              <w:t xml:space="preserve"> </w:t>
            </w:r>
          </w:p>
        </w:tc>
        <w:tc>
          <w:tcPr>
            <w:tcW w:w="1050" w:type="dxa"/>
            <w:shd w:val="clear" w:color="auto" w:fill="C4EFCE"/>
            <w:noWrap/>
            <w:vAlign w:val="center"/>
            <w:hideMark/>
          </w:tcPr>
          <w:p w14:paraId="4325771D"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shd w:val="clear" w:color="auto" w:fill="C4EFCE"/>
            <w:noWrap/>
            <w:vAlign w:val="center"/>
            <w:hideMark/>
          </w:tcPr>
          <w:p w14:paraId="0F576B48" w14:textId="77777777" w:rsidR="006C686E" w:rsidRDefault="00B17E8C">
            <w:pPr>
              <w:pStyle w:val="P68B1DB1-Normal11"/>
              <w:spacing w:after="0" w:line="240" w:lineRule="auto"/>
              <w:jc w:val="center"/>
              <w:rPr>
                <w:rFonts w:eastAsia="Times New Roman"/>
                <w:noProof/>
              </w:rPr>
            </w:pPr>
            <w:r>
              <w:rPr>
                <w:noProof/>
              </w:rPr>
              <w:t xml:space="preserve"> </w:t>
            </w:r>
          </w:p>
        </w:tc>
        <w:tc>
          <w:tcPr>
            <w:tcW w:w="420" w:type="dxa"/>
            <w:shd w:val="clear" w:color="auto" w:fill="C4EFCE"/>
            <w:noWrap/>
            <w:vAlign w:val="center"/>
            <w:hideMark/>
          </w:tcPr>
          <w:p w14:paraId="27BB512B" w14:textId="77777777" w:rsidR="006C686E" w:rsidRDefault="00B17E8C">
            <w:pPr>
              <w:pStyle w:val="P68B1DB1-Normal11"/>
              <w:spacing w:after="0" w:line="240" w:lineRule="auto"/>
              <w:jc w:val="center"/>
              <w:rPr>
                <w:rFonts w:eastAsia="Times New Roman"/>
                <w:noProof/>
              </w:rPr>
            </w:pPr>
            <w:r>
              <w:rPr>
                <w:noProof/>
              </w:rPr>
              <w:t>T4</w:t>
            </w:r>
          </w:p>
        </w:tc>
        <w:tc>
          <w:tcPr>
            <w:tcW w:w="1139" w:type="dxa"/>
            <w:shd w:val="clear" w:color="auto" w:fill="C4EFCE"/>
            <w:noWrap/>
            <w:vAlign w:val="center"/>
            <w:hideMark/>
          </w:tcPr>
          <w:p w14:paraId="5825B84F" w14:textId="77777777" w:rsidR="006C686E" w:rsidRDefault="00B17E8C">
            <w:pPr>
              <w:pStyle w:val="P68B1DB1-Normal11"/>
              <w:spacing w:after="0" w:line="240" w:lineRule="auto"/>
              <w:jc w:val="center"/>
              <w:rPr>
                <w:rFonts w:eastAsia="Times New Roman"/>
                <w:noProof/>
              </w:rPr>
            </w:pPr>
            <w:r>
              <w:rPr>
                <w:noProof/>
              </w:rPr>
              <w:t>2023</w:t>
            </w:r>
          </w:p>
        </w:tc>
        <w:tc>
          <w:tcPr>
            <w:tcW w:w="3798" w:type="dxa"/>
            <w:shd w:val="clear" w:color="auto" w:fill="C4EFCE"/>
            <w:vAlign w:val="center"/>
            <w:hideMark/>
          </w:tcPr>
          <w:p w14:paraId="3A1C98CC" w14:textId="0463D958" w:rsidR="006C686E" w:rsidRDefault="00B17E8C">
            <w:pPr>
              <w:pStyle w:val="P68B1DB1-Normal11"/>
              <w:spacing w:after="0" w:line="240" w:lineRule="auto"/>
              <w:jc w:val="both"/>
              <w:rPr>
                <w:rFonts w:eastAsia="Times New Roman"/>
                <w:noProof/>
              </w:rPr>
            </w:pPr>
            <w:r>
              <w:rPr>
                <w:noProof/>
              </w:rPr>
              <w:t>Entrée en vigueur de la législation nécessaire à la mise en œuvre des changements fonctionnels et organisationnels de l’administration publique centrale sur la base du rapport présenté par un groupe de travail créé par un arrêté ministériel.</w:t>
            </w:r>
          </w:p>
        </w:tc>
      </w:tr>
      <w:tr w:rsidR="006C686E" w14:paraId="1B1E6C40" w14:textId="77777777" w:rsidTr="00A66BC8">
        <w:trPr>
          <w:trHeight w:val="300"/>
        </w:trPr>
        <w:tc>
          <w:tcPr>
            <w:tcW w:w="1048" w:type="dxa"/>
            <w:shd w:val="clear" w:color="auto" w:fill="C4EFCE"/>
            <w:vAlign w:val="center"/>
            <w:hideMark/>
          </w:tcPr>
          <w:p w14:paraId="11AF6581" w14:textId="77777777" w:rsidR="006C686E" w:rsidRDefault="00B17E8C">
            <w:pPr>
              <w:pStyle w:val="P68B1DB1-Normal10"/>
              <w:spacing w:after="0" w:line="240" w:lineRule="auto"/>
              <w:jc w:val="center"/>
              <w:rPr>
                <w:rFonts w:eastAsia="Times New Roman"/>
                <w:noProof/>
              </w:rPr>
            </w:pPr>
            <w:r>
              <w:rPr>
                <w:noProof/>
              </w:rPr>
              <w:t>19.24</w:t>
            </w:r>
          </w:p>
        </w:tc>
        <w:tc>
          <w:tcPr>
            <w:tcW w:w="1391" w:type="dxa"/>
            <w:shd w:val="clear" w:color="auto" w:fill="C4EFCE"/>
            <w:noWrap/>
            <w:vAlign w:val="center"/>
            <w:hideMark/>
          </w:tcPr>
          <w:p w14:paraId="10D5B273" w14:textId="77777777" w:rsidR="006C686E" w:rsidRDefault="00B17E8C">
            <w:pPr>
              <w:pStyle w:val="P68B1DB1-Normal11"/>
              <w:spacing w:after="0" w:line="240" w:lineRule="auto"/>
              <w:jc w:val="center"/>
              <w:rPr>
                <w:rFonts w:eastAsia="Times New Roman"/>
                <w:noProof/>
              </w:rPr>
            </w:pPr>
            <w:r>
              <w:rPr>
                <w:noProof/>
              </w:rPr>
              <w:t>TD-C19-r36</w:t>
            </w:r>
          </w:p>
        </w:tc>
        <w:tc>
          <w:tcPr>
            <w:tcW w:w="1701" w:type="dxa"/>
            <w:shd w:val="clear" w:color="auto" w:fill="C4EFCE"/>
            <w:noWrap/>
            <w:vAlign w:val="center"/>
            <w:hideMark/>
          </w:tcPr>
          <w:p w14:paraId="712B9C2C" w14:textId="77777777" w:rsidR="006C686E" w:rsidRDefault="00B17E8C">
            <w:pPr>
              <w:pStyle w:val="P68B1DB1-Normal11"/>
              <w:spacing w:after="0" w:line="240" w:lineRule="auto"/>
              <w:jc w:val="center"/>
              <w:rPr>
                <w:rFonts w:eastAsia="Times New Roman"/>
                <w:noProof/>
              </w:rPr>
            </w:pPr>
            <w:r>
              <w:rPr>
                <w:noProof/>
              </w:rPr>
              <w:t>M</w:t>
            </w:r>
          </w:p>
        </w:tc>
        <w:tc>
          <w:tcPr>
            <w:tcW w:w="709" w:type="dxa"/>
            <w:shd w:val="clear" w:color="auto" w:fill="C4EFCE"/>
            <w:noWrap/>
            <w:vAlign w:val="center"/>
            <w:hideMark/>
          </w:tcPr>
          <w:p w14:paraId="31133F3E" w14:textId="77777777" w:rsidR="006C686E" w:rsidRDefault="00B17E8C">
            <w:pPr>
              <w:pStyle w:val="P68B1DB1-Normal11"/>
              <w:spacing w:after="0" w:line="240" w:lineRule="auto"/>
              <w:jc w:val="center"/>
              <w:rPr>
                <w:rFonts w:eastAsia="Times New Roman"/>
                <w:noProof/>
              </w:rPr>
            </w:pPr>
            <w:r>
              <w:rPr>
                <w:noProof/>
              </w:rPr>
              <w:t>Création de l'Institut national d'administration, I.P.</w:t>
            </w:r>
          </w:p>
        </w:tc>
        <w:tc>
          <w:tcPr>
            <w:tcW w:w="1418" w:type="dxa"/>
            <w:shd w:val="clear" w:color="auto" w:fill="C4EFCE"/>
            <w:noWrap/>
            <w:vAlign w:val="center"/>
            <w:hideMark/>
          </w:tcPr>
          <w:p w14:paraId="4A6DFFB8" w14:textId="77777777" w:rsidR="006C686E" w:rsidRDefault="00B17E8C">
            <w:pPr>
              <w:pStyle w:val="P68B1DB1-Normal11"/>
              <w:spacing w:after="0" w:line="240" w:lineRule="auto"/>
              <w:jc w:val="center"/>
              <w:rPr>
                <w:rFonts w:eastAsia="Times New Roman"/>
                <w:noProof/>
              </w:rPr>
            </w:pPr>
            <w:r>
              <w:rPr>
                <w:noProof/>
              </w:rPr>
              <w:t>Création de l'Institut national d'administration, I.P. par acte juridique</w:t>
            </w:r>
          </w:p>
        </w:tc>
        <w:tc>
          <w:tcPr>
            <w:tcW w:w="934" w:type="dxa"/>
            <w:shd w:val="clear" w:color="auto" w:fill="C4EFCE"/>
            <w:noWrap/>
            <w:vAlign w:val="center"/>
            <w:hideMark/>
          </w:tcPr>
          <w:p w14:paraId="78F819A5" w14:textId="77777777" w:rsidR="006C686E" w:rsidRDefault="00B17E8C">
            <w:pPr>
              <w:pStyle w:val="P68B1DB1-Normal11"/>
              <w:spacing w:after="0" w:line="240" w:lineRule="auto"/>
              <w:jc w:val="center"/>
              <w:rPr>
                <w:rFonts w:eastAsia="Times New Roman"/>
                <w:noProof/>
              </w:rPr>
            </w:pPr>
            <w:r>
              <w:rPr>
                <w:noProof/>
              </w:rPr>
              <w:t xml:space="preserve"> </w:t>
            </w:r>
          </w:p>
        </w:tc>
        <w:tc>
          <w:tcPr>
            <w:tcW w:w="1050" w:type="dxa"/>
            <w:shd w:val="clear" w:color="auto" w:fill="C4EFCE"/>
            <w:noWrap/>
            <w:vAlign w:val="center"/>
            <w:hideMark/>
          </w:tcPr>
          <w:p w14:paraId="60FCCD0B" w14:textId="77777777" w:rsidR="006C686E" w:rsidRDefault="00B17E8C">
            <w:pPr>
              <w:pStyle w:val="P68B1DB1-Normal11"/>
              <w:spacing w:after="0" w:line="240" w:lineRule="auto"/>
              <w:jc w:val="center"/>
              <w:rPr>
                <w:rFonts w:eastAsia="Times New Roman"/>
                <w:noProof/>
              </w:rPr>
            </w:pPr>
            <w:r>
              <w:rPr>
                <w:noProof/>
              </w:rPr>
              <w:t xml:space="preserve"> </w:t>
            </w:r>
          </w:p>
        </w:tc>
        <w:tc>
          <w:tcPr>
            <w:tcW w:w="851" w:type="dxa"/>
            <w:shd w:val="clear" w:color="auto" w:fill="C4EFCE"/>
            <w:noWrap/>
            <w:vAlign w:val="center"/>
            <w:hideMark/>
          </w:tcPr>
          <w:p w14:paraId="5D5313CF" w14:textId="77777777" w:rsidR="006C686E" w:rsidRDefault="00B17E8C">
            <w:pPr>
              <w:pStyle w:val="P68B1DB1-Normal11"/>
              <w:spacing w:after="0" w:line="240" w:lineRule="auto"/>
              <w:jc w:val="center"/>
              <w:rPr>
                <w:rFonts w:eastAsia="Times New Roman"/>
                <w:noProof/>
              </w:rPr>
            </w:pPr>
            <w:r>
              <w:rPr>
                <w:noProof/>
              </w:rPr>
              <w:t xml:space="preserve"> </w:t>
            </w:r>
          </w:p>
        </w:tc>
        <w:tc>
          <w:tcPr>
            <w:tcW w:w="420" w:type="dxa"/>
            <w:shd w:val="clear" w:color="auto" w:fill="C4EFCE"/>
            <w:noWrap/>
            <w:vAlign w:val="center"/>
            <w:hideMark/>
          </w:tcPr>
          <w:p w14:paraId="572BCCDB" w14:textId="77777777" w:rsidR="006C686E" w:rsidRDefault="00B17E8C">
            <w:pPr>
              <w:pStyle w:val="P68B1DB1-Normal11"/>
              <w:spacing w:after="0" w:line="240" w:lineRule="auto"/>
              <w:jc w:val="center"/>
              <w:rPr>
                <w:rFonts w:eastAsia="Times New Roman"/>
                <w:noProof/>
              </w:rPr>
            </w:pPr>
            <w:r>
              <w:rPr>
                <w:noProof/>
              </w:rPr>
              <w:t>T2</w:t>
            </w:r>
          </w:p>
        </w:tc>
        <w:tc>
          <w:tcPr>
            <w:tcW w:w="1139" w:type="dxa"/>
            <w:shd w:val="clear" w:color="auto" w:fill="C4EFCE"/>
            <w:noWrap/>
            <w:vAlign w:val="center"/>
            <w:hideMark/>
          </w:tcPr>
          <w:p w14:paraId="465ED389" w14:textId="77777777" w:rsidR="006C686E" w:rsidRDefault="00B17E8C">
            <w:pPr>
              <w:pStyle w:val="P68B1DB1-Normal11"/>
              <w:spacing w:after="0" w:line="240" w:lineRule="auto"/>
              <w:jc w:val="center"/>
              <w:rPr>
                <w:rFonts w:eastAsia="Times New Roman"/>
                <w:noProof/>
              </w:rPr>
            </w:pPr>
            <w:r>
              <w:rPr>
                <w:noProof/>
              </w:rPr>
              <w:t>2021</w:t>
            </w:r>
          </w:p>
        </w:tc>
        <w:tc>
          <w:tcPr>
            <w:tcW w:w="3798" w:type="dxa"/>
            <w:shd w:val="clear" w:color="auto" w:fill="C4EFCE"/>
            <w:vAlign w:val="center"/>
            <w:hideMark/>
          </w:tcPr>
          <w:p w14:paraId="3EE610C7" w14:textId="0595C855" w:rsidR="006C686E" w:rsidRDefault="00B17E8C">
            <w:pPr>
              <w:pStyle w:val="P68B1DB1-Normal11"/>
              <w:spacing w:after="0" w:line="240" w:lineRule="auto"/>
              <w:jc w:val="both"/>
              <w:rPr>
                <w:rFonts w:eastAsia="Times New Roman"/>
                <w:noProof/>
              </w:rPr>
            </w:pPr>
            <w:r>
              <w:rPr>
                <w:noProof/>
              </w:rPr>
              <w:t xml:space="preserve">Création par acte juridique de l’Instituto </w:t>
            </w:r>
            <w:r>
              <w:rPr>
                <w:i/>
                <w:noProof/>
              </w:rPr>
              <w:t>Nacional de Administração, IP,</w:t>
            </w:r>
            <w:r>
              <w:rPr>
                <w:noProof/>
              </w:rPr>
              <w:t xml:space="preserve"> permettant les activités de formation pour l’administration publique.</w:t>
            </w:r>
          </w:p>
        </w:tc>
      </w:tr>
      <w:tr w:rsidR="006C686E" w14:paraId="524D7314" w14:textId="77777777" w:rsidTr="00A66BC8">
        <w:trPr>
          <w:trHeight w:val="300"/>
        </w:trPr>
        <w:tc>
          <w:tcPr>
            <w:tcW w:w="1048" w:type="dxa"/>
            <w:shd w:val="clear" w:color="auto" w:fill="C4EFCE"/>
            <w:vAlign w:val="center"/>
          </w:tcPr>
          <w:p w14:paraId="792B9170" w14:textId="77777777" w:rsidR="006C686E" w:rsidRDefault="00B17E8C">
            <w:pPr>
              <w:pStyle w:val="P68B1DB1-Normal10"/>
              <w:spacing w:after="0" w:line="240" w:lineRule="auto"/>
              <w:jc w:val="center"/>
              <w:rPr>
                <w:noProof/>
              </w:rPr>
            </w:pPr>
            <w:r>
              <w:rPr>
                <w:noProof/>
              </w:rPr>
              <w:t>19.34</w:t>
            </w:r>
          </w:p>
        </w:tc>
        <w:tc>
          <w:tcPr>
            <w:tcW w:w="1391" w:type="dxa"/>
            <w:shd w:val="clear" w:color="auto" w:fill="C4EFCE"/>
            <w:noWrap/>
            <w:vAlign w:val="center"/>
          </w:tcPr>
          <w:p w14:paraId="17776CC0" w14:textId="77777777" w:rsidR="006C686E" w:rsidRDefault="00B17E8C">
            <w:pPr>
              <w:pStyle w:val="P68B1DB1-Normal11"/>
              <w:spacing w:after="0" w:line="240" w:lineRule="auto"/>
              <w:jc w:val="center"/>
              <w:rPr>
                <w:noProof/>
              </w:rPr>
            </w:pPr>
            <w:r>
              <w:rPr>
                <w:noProof/>
              </w:rPr>
              <w:t>TD-C19-i08</w:t>
            </w:r>
          </w:p>
        </w:tc>
        <w:tc>
          <w:tcPr>
            <w:tcW w:w="1701" w:type="dxa"/>
            <w:shd w:val="clear" w:color="auto" w:fill="C4EFCE"/>
            <w:noWrap/>
            <w:vAlign w:val="center"/>
          </w:tcPr>
          <w:p w14:paraId="5B93CD5A" w14:textId="77777777" w:rsidR="006C686E" w:rsidRDefault="00B17E8C">
            <w:pPr>
              <w:pStyle w:val="P68B1DB1-Normal11"/>
              <w:spacing w:after="0" w:line="240" w:lineRule="auto"/>
              <w:jc w:val="center"/>
              <w:rPr>
                <w:noProof/>
              </w:rPr>
            </w:pPr>
            <w:r>
              <w:rPr>
                <w:noProof/>
              </w:rPr>
              <w:t xml:space="preserve"> M</w:t>
            </w:r>
          </w:p>
        </w:tc>
        <w:tc>
          <w:tcPr>
            <w:tcW w:w="709" w:type="dxa"/>
            <w:shd w:val="clear" w:color="auto" w:fill="C4EFCE"/>
            <w:noWrap/>
            <w:vAlign w:val="center"/>
          </w:tcPr>
          <w:p w14:paraId="5039DA19" w14:textId="77777777" w:rsidR="006C686E" w:rsidRDefault="00B17E8C">
            <w:pPr>
              <w:pStyle w:val="P68B1DB1-Normal11"/>
              <w:spacing w:after="0" w:line="240" w:lineRule="auto"/>
              <w:jc w:val="center"/>
              <w:rPr>
                <w:noProof/>
              </w:rPr>
            </w:pPr>
            <w:r>
              <w:rPr>
                <w:noProof/>
              </w:rPr>
              <w:t>Portail des territoires intelligents</w:t>
            </w:r>
          </w:p>
        </w:tc>
        <w:tc>
          <w:tcPr>
            <w:tcW w:w="1418" w:type="dxa"/>
            <w:shd w:val="clear" w:color="auto" w:fill="C4EFCE"/>
            <w:noWrap/>
            <w:vAlign w:val="center"/>
          </w:tcPr>
          <w:p w14:paraId="5670DA35" w14:textId="77777777" w:rsidR="006C686E" w:rsidRDefault="00B17E8C">
            <w:pPr>
              <w:pStyle w:val="P68B1DB1-Normal11"/>
              <w:spacing w:after="0" w:line="240" w:lineRule="auto"/>
              <w:jc w:val="center"/>
              <w:rPr>
                <w:noProof/>
              </w:rPr>
            </w:pPr>
            <w:r>
              <w:rPr>
                <w:noProof/>
              </w:rPr>
              <w:t xml:space="preserve">Le portail Smart Territories est disponible </w:t>
            </w:r>
          </w:p>
        </w:tc>
        <w:tc>
          <w:tcPr>
            <w:tcW w:w="934" w:type="dxa"/>
            <w:shd w:val="clear" w:color="auto" w:fill="C4EFCE"/>
            <w:noWrap/>
            <w:vAlign w:val="center"/>
          </w:tcPr>
          <w:p w14:paraId="426FF706" w14:textId="77777777" w:rsidR="006C686E" w:rsidRDefault="00B17E8C">
            <w:pPr>
              <w:pStyle w:val="P68B1DB1-Normal11"/>
              <w:spacing w:after="0" w:line="240" w:lineRule="auto"/>
              <w:jc w:val="center"/>
              <w:rPr>
                <w:noProof/>
              </w:rPr>
            </w:pPr>
            <w:r>
              <w:rPr>
                <w:noProof/>
              </w:rPr>
              <w:t xml:space="preserve"> </w:t>
            </w:r>
          </w:p>
        </w:tc>
        <w:tc>
          <w:tcPr>
            <w:tcW w:w="1050" w:type="dxa"/>
            <w:shd w:val="clear" w:color="auto" w:fill="C4EFCE"/>
            <w:noWrap/>
            <w:vAlign w:val="center"/>
          </w:tcPr>
          <w:p w14:paraId="5C647DDD" w14:textId="77777777" w:rsidR="006C686E" w:rsidRDefault="00B17E8C">
            <w:pPr>
              <w:pStyle w:val="P68B1DB1-Normal11"/>
              <w:spacing w:after="0" w:line="240" w:lineRule="auto"/>
              <w:jc w:val="center"/>
              <w:rPr>
                <w:noProof/>
              </w:rPr>
            </w:pPr>
            <w:r>
              <w:rPr>
                <w:noProof/>
              </w:rPr>
              <w:t xml:space="preserve"> </w:t>
            </w:r>
          </w:p>
        </w:tc>
        <w:tc>
          <w:tcPr>
            <w:tcW w:w="851" w:type="dxa"/>
            <w:shd w:val="clear" w:color="auto" w:fill="C4EFCE"/>
            <w:noWrap/>
            <w:vAlign w:val="center"/>
          </w:tcPr>
          <w:p w14:paraId="163D7B94" w14:textId="77777777" w:rsidR="006C686E" w:rsidRDefault="00B17E8C">
            <w:pPr>
              <w:pStyle w:val="P68B1DB1-Normal11"/>
              <w:spacing w:after="0" w:line="240" w:lineRule="auto"/>
              <w:jc w:val="center"/>
              <w:rPr>
                <w:noProof/>
              </w:rPr>
            </w:pPr>
            <w:r>
              <w:rPr>
                <w:noProof/>
              </w:rPr>
              <w:t xml:space="preserve"> </w:t>
            </w:r>
          </w:p>
        </w:tc>
        <w:tc>
          <w:tcPr>
            <w:tcW w:w="420" w:type="dxa"/>
            <w:shd w:val="clear" w:color="auto" w:fill="C4EFCE"/>
            <w:noWrap/>
            <w:vAlign w:val="center"/>
          </w:tcPr>
          <w:p w14:paraId="4FBA8CA5" w14:textId="77777777" w:rsidR="006C686E" w:rsidRDefault="00B17E8C">
            <w:pPr>
              <w:pStyle w:val="P68B1DB1-Normal11"/>
              <w:spacing w:after="0" w:line="240" w:lineRule="auto"/>
              <w:jc w:val="center"/>
              <w:rPr>
                <w:noProof/>
              </w:rPr>
            </w:pPr>
            <w:r>
              <w:rPr>
                <w:noProof/>
              </w:rPr>
              <w:t>T1</w:t>
            </w:r>
          </w:p>
        </w:tc>
        <w:tc>
          <w:tcPr>
            <w:tcW w:w="1139" w:type="dxa"/>
            <w:shd w:val="clear" w:color="auto" w:fill="C4EFCE"/>
            <w:noWrap/>
            <w:vAlign w:val="center"/>
          </w:tcPr>
          <w:p w14:paraId="42B27267" w14:textId="77777777" w:rsidR="006C686E" w:rsidRDefault="00B17E8C">
            <w:pPr>
              <w:pStyle w:val="P68B1DB1-Normal11"/>
              <w:spacing w:after="0" w:line="240" w:lineRule="auto"/>
              <w:jc w:val="center"/>
              <w:rPr>
                <w:noProof/>
              </w:rPr>
            </w:pPr>
            <w:r>
              <w:rPr>
                <w:noProof/>
              </w:rPr>
              <w:t>2025</w:t>
            </w:r>
          </w:p>
        </w:tc>
        <w:tc>
          <w:tcPr>
            <w:tcW w:w="3798" w:type="dxa"/>
            <w:shd w:val="clear" w:color="auto" w:fill="C4EFCE"/>
            <w:vAlign w:val="center"/>
          </w:tcPr>
          <w:p w14:paraId="52DBB8CD" w14:textId="035B50D1" w:rsidR="006C686E" w:rsidRDefault="00B17E8C">
            <w:pPr>
              <w:pStyle w:val="P68B1DB1-Normal13"/>
              <w:widowControl w:val="0"/>
              <w:spacing w:after="0" w:line="240" w:lineRule="auto"/>
              <w:jc w:val="both"/>
              <w:rPr>
                <w:rFonts w:eastAsia="Arial"/>
                <w:noProof/>
                <w:kern w:val="0"/>
                <w14:ligatures w14:val="none"/>
              </w:rPr>
            </w:pPr>
            <w:r>
              <w:rPr>
                <w:noProof/>
                <w:kern w:val="0"/>
                <w14:ligatures w14:val="none"/>
              </w:rPr>
              <w:t xml:space="preserve">Un portail en ligne </w:t>
            </w:r>
            <w:r>
              <w:rPr>
                <w:noProof/>
              </w:rPr>
              <w:t xml:space="preserve"> </w:t>
            </w:r>
            <w:r>
              <w:rPr>
                <w:noProof/>
                <w:kern w:val="0"/>
                <w14:ligatures w14:val="none"/>
              </w:rPr>
              <w:t>fournissant un répertoire de</w:t>
            </w:r>
            <w:r>
              <w:rPr>
                <w:noProof/>
              </w:rPr>
              <w:t xml:space="preserve"> la législation, des meilleures pratiques et des ressources de financement liées à la stratégie nationale pour les territoires intelligents est disponible.</w:t>
            </w:r>
          </w:p>
        </w:tc>
      </w:tr>
      <w:tr w:rsidR="006C686E" w14:paraId="5561DA93" w14:textId="77777777" w:rsidTr="00A66BC8">
        <w:trPr>
          <w:trHeight w:val="300"/>
        </w:trPr>
        <w:tc>
          <w:tcPr>
            <w:tcW w:w="1048" w:type="dxa"/>
            <w:shd w:val="clear" w:color="auto" w:fill="C4EFCE"/>
            <w:vAlign w:val="center"/>
          </w:tcPr>
          <w:p w14:paraId="0044A19C" w14:textId="77777777" w:rsidR="006C686E" w:rsidRDefault="00B17E8C">
            <w:pPr>
              <w:pStyle w:val="P68B1DB1-Normal10"/>
              <w:spacing w:after="0" w:line="240" w:lineRule="auto"/>
              <w:jc w:val="center"/>
              <w:rPr>
                <w:noProof/>
              </w:rPr>
            </w:pPr>
            <w:r>
              <w:rPr>
                <w:noProof/>
              </w:rPr>
              <w:t>19.35</w:t>
            </w:r>
          </w:p>
        </w:tc>
        <w:tc>
          <w:tcPr>
            <w:tcW w:w="1391" w:type="dxa"/>
            <w:shd w:val="clear" w:color="auto" w:fill="C4EFCE"/>
            <w:noWrap/>
            <w:vAlign w:val="center"/>
          </w:tcPr>
          <w:p w14:paraId="63F87AE4" w14:textId="77777777" w:rsidR="006C686E" w:rsidRDefault="00B17E8C">
            <w:pPr>
              <w:pStyle w:val="P68B1DB1-Normal11"/>
              <w:widowControl w:val="0"/>
              <w:spacing w:after="0" w:line="276" w:lineRule="auto"/>
              <w:jc w:val="center"/>
              <w:rPr>
                <w:rFonts w:eastAsia="Arial"/>
                <w:noProof/>
              </w:rPr>
            </w:pPr>
            <w:r>
              <w:rPr>
                <w:noProof/>
              </w:rPr>
              <w:t>TD-C19-i08</w:t>
            </w:r>
          </w:p>
        </w:tc>
        <w:tc>
          <w:tcPr>
            <w:tcW w:w="1701" w:type="dxa"/>
            <w:shd w:val="clear" w:color="auto" w:fill="C4EFCE"/>
            <w:noWrap/>
            <w:vAlign w:val="center"/>
          </w:tcPr>
          <w:p w14:paraId="4E8F76E3" w14:textId="77777777" w:rsidR="006C686E" w:rsidRDefault="00B17E8C">
            <w:pPr>
              <w:pStyle w:val="P68B1DB1-Normal11"/>
              <w:spacing w:after="0" w:line="240" w:lineRule="auto"/>
              <w:jc w:val="center"/>
              <w:rPr>
                <w:noProof/>
              </w:rPr>
            </w:pPr>
            <w:r>
              <w:rPr>
                <w:noProof/>
              </w:rPr>
              <w:t>M</w:t>
            </w:r>
          </w:p>
        </w:tc>
        <w:tc>
          <w:tcPr>
            <w:tcW w:w="709" w:type="dxa"/>
            <w:shd w:val="clear" w:color="auto" w:fill="C4EFCE"/>
            <w:noWrap/>
            <w:vAlign w:val="center"/>
          </w:tcPr>
          <w:p w14:paraId="70D0C691" w14:textId="77777777" w:rsidR="006C686E" w:rsidRDefault="00B17E8C">
            <w:pPr>
              <w:pStyle w:val="P68B1DB1-Normal11"/>
              <w:spacing w:after="0" w:line="240" w:lineRule="auto"/>
              <w:jc w:val="center"/>
              <w:rPr>
                <w:noProof/>
              </w:rPr>
            </w:pPr>
            <w:r>
              <w:rPr>
                <w:noProof/>
              </w:rPr>
              <w:t>Territoires intelligents: Plateformes de gestion urbaine, jumelles numériques et tableau de bord des politiques publiques</w:t>
            </w:r>
          </w:p>
        </w:tc>
        <w:tc>
          <w:tcPr>
            <w:tcW w:w="1418" w:type="dxa"/>
            <w:shd w:val="clear" w:color="auto" w:fill="C4EFCE"/>
            <w:noWrap/>
            <w:vAlign w:val="center"/>
          </w:tcPr>
          <w:p w14:paraId="145E9C4B" w14:textId="77777777" w:rsidR="006C686E" w:rsidRDefault="00B17E8C">
            <w:pPr>
              <w:pStyle w:val="P68B1DB1-Normal13"/>
              <w:spacing w:after="0" w:line="240" w:lineRule="auto"/>
              <w:jc w:val="center"/>
              <w:rPr>
                <w:noProof/>
                <w:kern w:val="0"/>
                <w14:ligatures w14:val="none"/>
              </w:rPr>
            </w:pPr>
            <w:r>
              <w:rPr>
                <w:noProof/>
                <w:kern w:val="0"/>
                <w14:ligatures w14:val="none"/>
              </w:rPr>
              <w:t xml:space="preserve">Disponibilité des </w:t>
            </w:r>
            <w:r>
              <w:rPr>
                <w:noProof/>
              </w:rPr>
              <w:t>plateformes de gestion urbaine, des jumeaux numériques et du tableau de bord des politiques publiques</w:t>
            </w:r>
          </w:p>
        </w:tc>
        <w:tc>
          <w:tcPr>
            <w:tcW w:w="934" w:type="dxa"/>
            <w:shd w:val="clear" w:color="auto" w:fill="C4EFCE"/>
            <w:noWrap/>
            <w:vAlign w:val="center"/>
          </w:tcPr>
          <w:p w14:paraId="0C9EA737"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1050" w:type="dxa"/>
            <w:shd w:val="clear" w:color="auto" w:fill="C4EFCE"/>
            <w:noWrap/>
            <w:vAlign w:val="center"/>
          </w:tcPr>
          <w:p w14:paraId="3D81A4C6"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851" w:type="dxa"/>
            <w:shd w:val="clear" w:color="auto" w:fill="C4EFCE"/>
            <w:noWrap/>
            <w:vAlign w:val="center"/>
          </w:tcPr>
          <w:p w14:paraId="319B17D2"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420" w:type="dxa"/>
            <w:shd w:val="clear" w:color="auto" w:fill="C4EFCE"/>
            <w:noWrap/>
            <w:vAlign w:val="center"/>
          </w:tcPr>
          <w:p w14:paraId="25EDAF9A" w14:textId="3883DAAE" w:rsidR="006C686E" w:rsidRDefault="00B17E8C">
            <w:pPr>
              <w:pStyle w:val="P68B1DB1-Normal11"/>
              <w:spacing w:after="0" w:line="240" w:lineRule="auto"/>
              <w:jc w:val="center"/>
              <w:rPr>
                <w:noProof/>
              </w:rPr>
            </w:pPr>
            <w:r>
              <w:rPr>
                <w:noProof/>
              </w:rPr>
              <w:t>T1</w:t>
            </w:r>
          </w:p>
        </w:tc>
        <w:tc>
          <w:tcPr>
            <w:tcW w:w="1139" w:type="dxa"/>
            <w:shd w:val="clear" w:color="auto" w:fill="C4EFCE"/>
            <w:noWrap/>
            <w:vAlign w:val="center"/>
          </w:tcPr>
          <w:p w14:paraId="2A767865" w14:textId="77777777" w:rsidR="006C686E" w:rsidRDefault="00B17E8C">
            <w:pPr>
              <w:pStyle w:val="P68B1DB1-Normal11"/>
              <w:spacing w:after="0" w:line="240" w:lineRule="auto"/>
              <w:jc w:val="center"/>
              <w:rPr>
                <w:noProof/>
              </w:rPr>
            </w:pPr>
            <w:r>
              <w:rPr>
                <w:noProof/>
              </w:rPr>
              <w:t>2026</w:t>
            </w:r>
          </w:p>
        </w:tc>
        <w:tc>
          <w:tcPr>
            <w:tcW w:w="3798" w:type="dxa"/>
            <w:shd w:val="clear" w:color="auto" w:fill="C4EFCE"/>
            <w:vAlign w:val="center"/>
          </w:tcPr>
          <w:p w14:paraId="1DF57F2E" w14:textId="76BD1607" w:rsidR="006C686E" w:rsidRDefault="00B17E8C">
            <w:pPr>
              <w:pStyle w:val="P68B1DB1-Normal13"/>
              <w:widowControl w:val="0"/>
              <w:spacing w:after="0" w:line="240" w:lineRule="auto"/>
              <w:jc w:val="both"/>
              <w:rPr>
                <w:noProof/>
                <w:kern w:val="0"/>
                <w14:ligatures w14:val="none"/>
              </w:rPr>
            </w:pPr>
            <w:r>
              <w:rPr>
                <w:noProof/>
              </w:rPr>
              <w:t>Des plateformes de gestion urbaine sont disponibles dans 129 municipalités.</w:t>
            </w:r>
          </w:p>
          <w:p w14:paraId="6E1CBBEF" w14:textId="77777777" w:rsidR="006C686E" w:rsidRDefault="006C686E">
            <w:pPr>
              <w:widowControl w:val="0"/>
              <w:spacing w:after="0" w:line="240" w:lineRule="auto"/>
              <w:jc w:val="both"/>
              <w:rPr>
                <w:rFonts w:ascii="Times New Roman" w:eastAsia="Arial" w:hAnsi="Times New Roman" w:cs="Times New Roman"/>
                <w:noProof/>
                <w:kern w:val="0"/>
                <w:sz w:val="16"/>
                <w:szCs w:val="16"/>
                <w14:ligatures w14:val="none"/>
              </w:rPr>
            </w:pPr>
          </w:p>
          <w:p w14:paraId="5F62B0D1" w14:textId="2D2B41AC" w:rsidR="006C686E" w:rsidRDefault="00B17E8C">
            <w:pPr>
              <w:pStyle w:val="P68B1DB1-Normal11"/>
              <w:widowControl w:val="0"/>
              <w:spacing w:after="0" w:line="240" w:lineRule="auto"/>
              <w:jc w:val="both"/>
              <w:rPr>
                <w:rFonts w:eastAsia="Arial"/>
                <w:noProof/>
              </w:rPr>
            </w:pPr>
            <w:r>
              <w:rPr>
                <w:noProof/>
              </w:rPr>
              <w:t>Cinq jumeaux numériques sont disponibles dans divers domaines, qui peuvent inclure, sans s’y limiter, l’eau et l’agriculture, la résilience au changement climatique, la mobilité et la décarbonation, la santé, l’énergie, le tourisme et la protection civile.</w:t>
            </w:r>
          </w:p>
          <w:p w14:paraId="68261877" w14:textId="77777777" w:rsidR="006C686E" w:rsidRDefault="006C686E">
            <w:pPr>
              <w:widowControl w:val="0"/>
              <w:spacing w:after="0" w:line="240" w:lineRule="auto"/>
              <w:jc w:val="both"/>
              <w:rPr>
                <w:rFonts w:ascii="Times New Roman" w:eastAsia="Arial" w:hAnsi="Times New Roman" w:cs="Times New Roman"/>
                <w:noProof/>
                <w:kern w:val="0"/>
                <w:sz w:val="16"/>
                <w:szCs w:val="16"/>
                <w14:ligatures w14:val="none"/>
              </w:rPr>
            </w:pPr>
          </w:p>
          <w:p w14:paraId="18858591" w14:textId="50985755" w:rsidR="006C686E" w:rsidRDefault="00B17E8C">
            <w:pPr>
              <w:pStyle w:val="P68B1DB1-Normal13"/>
              <w:widowControl w:val="0"/>
              <w:spacing w:after="0" w:line="240" w:lineRule="auto"/>
              <w:jc w:val="both"/>
              <w:rPr>
                <w:rFonts w:eastAsia="Arial"/>
                <w:noProof/>
                <w:kern w:val="0"/>
                <w14:ligatures w14:val="none"/>
              </w:rPr>
            </w:pPr>
            <w:r>
              <w:rPr>
                <w:noProof/>
              </w:rPr>
              <w:t>Le tableau de bord des politiques publiques</w:t>
            </w:r>
            <w:r>
              <w:rPr>
                <w:noProof/>
                <w:kern w:val="0"/>
                <w14:ligatures w14:val="none"/>
              </w:rPr>
              <w:t xml:space="preserve"> est disponible.</w:t>
            </w:r>
          </w:p>
        </w:tc>
      </w:tr>
      <w:tr w:rsidR="006C686E" w14:paraId="330CC6B4" w14:textId="77777777" w:rsidTr="00A66BC8">
        <w:trPr>
          <w:trHeight w:val="300"/>
        </w:trPr>
        <w:tc>
          <w:tcPr>
            <w:tcW w:w="1048" w:type="dxa"/>
            <w:shd w:val="clear" w:color="auto" w:fill="C4EFCE"/>
            <w:vAlign w:val="center"/>
          </w:tcPr>
          <w:p w14:paraId="260B1D82" w14:textId="77777777" w:rsidR="006C686E" w:rsidRDefault="00B17E8C">
            <w:pPr>
              <w:pStyle w:val="P68B1DB1-Normal10"/>
              <w:spacing w:after="0" w:line="240" w:lineRule="auto"/>
              <w:jc w:val="center"/>
              <w:rPr>
                <w:noProof/>
              </w:rPr>
            </w:pPr>
            <w:r>
              <w:rPr>
                <w:noProof/>
              </w:rPr>
              <w:t>19.36</w:t>
            </w:r>
          </w:p>
        </w:tc>
        <w:tc>
          <w:tcPr>
            <w:tcW w:w="1391" w:type="dxa"/>
            <w:shd w:val="clear" w:color="auto" w:fill="C4EFCE"/>
            <w:noWrap/>
            <w:vAlign w:val="center"/>
          </w:tcPr>
          <w:p w14:paraId="1377D17B" w14:textId="77777777" w:rsidR="006C686E" w:rsidRDefault="00B17E8C">
            <w:pPr>
              <w:pStyle w:val="P68B1DB1-Normal11"/>
              <w:widowControl w:val="0"/>
              <w:spacing w:after="0" w:line="276" w:lineRule="auto"/>
              <w:jc w:val="center"/>
              <w:rPr>
                <w:rFonts w:eastAsia="Arial"/>
                <w:noProof/>
              </w:rPr>
            </w:pPr>
            <w:r>
              <w:rPr>
                <w:noProof/>
              </w:rPr>
              <w:t>TD-C19-i08</w:t>
            </w:r>
          </w:p>
        </w:tc>
        <w:tc>
          <w:tcPr>
            <w:tcW w:w="1701" w:type="dxa"/>
            <w:shd w:val="clear" w:color="auto" w:fill="C4EFCE"/>
            <w:noWrap/>
            <w:vAlign w:val="center"/>
          </w:tcPr>
          <w:p w14:paraId="76AC1992" w14:textId="77777777" w:rsidR="006C686E" w:rsidRDefault="00B17E8C">
            <w:pPr>
              <w:pStyle w:val="P68B1DB1-Normal11"/>
              <w:spacing w:after="0" w:line="240" w:lineRule="auto"/>
              <w:jc w:val="center"/>
              <w:rPr>
                <w:noProof/>
              </w:rPr>
            </w:pPr>
            <w:r>
              <w:rPr>
                <w:noProof/>
              </w:rPr>
              <w:t>M</w:t>
            </w:r>
          </w:p>
        </w:tc>
        <w:tc>
          <w:tcPr>
            <w:tcW w:w="709" w:type="dxa"/>
            <w:shd w:val="clear" w:color="auto" w:fill="C4EFCE"/>
            <w:noWrap/>
            <w:vAlign w:val="center"/>
          </w:tcPr>
          <w:p w14:paraId="435DF797" w14:textId="77777777" w:rsidR="006C686E" w:rsidRDefault="00B17E8C">
            <w:pPr>
              <w:pStyle w:val="P68B1DB1-Normal11"/>
              <w:spacing w:after="0" w:line="240" w:lineRule="auto"/>
              <w:jc w:val="center"/>
              <w:rPr>
                <w:noProof/>
              </w:rPr>
            </w:pPr>
            <w:r>
              <w:rPr>
                <w:noProof/>
              </w:rPr>
              <w:t>Formation sur les territoires intelligents</w:t>
            </w:r>
          </w:p>
        </w:tc>
        <w:tc>
          <w:tcPr>
            <w:tcW w:w="1418" w:type="dxa"/>
            <w:shd w:val="clear" w:color="auto" w:fill="C4EFCE"/>
            <w:noWrap/>
            <w:vAlign w:val="center"/>
          </w:tcPr>
          <w:p w14:paraId="06F037F2" w14:textId="77777777" w:rsidR="006C686E" w:rsidRDefault="00B17E8C">
            <w:pPr>
              <w:pStyle w:val="P68B1DB1-Normal11"/>
              <w:spacing w:after="0" w:line="240" w:lineRule="auto"/>
              <w:jc w:val="center"/>
              <w:rPr>
                <w:noProof/>
              </w:rPr>
            </w:pPr>
            <w:r>
              <w:rPr>
                <w:noProof/>
              </w:rPr>
              <w:t>Disponibilité de cours de formation</w:t>
            </w:r>
          </w:p>
        </w:tc>
        <w:tc>
          <w:tcPr>
            <w:tcW w:w="934" w:type="dxa"/>
            <w:shd w:val="clear" w:color="auto" w:fill="C4EFCE"/>
            <w:noWrap/>
            <w:vAlign w:val="center"/>
          </w:tcPr>
          <w:p w14:paraId="489EFB75"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1050" w:type="dxa"/>
            <w:shd w:val="clear" w:color="auto" w:fill="C4EFCE"/>
            <w:noWrap/>
            <w:vAlign w:val="center"/>
          </w:tcPr>
          <w:p w14:paraId="1621885B"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851" w:type="dxa"/>
            <w:shd w:val="clear" w:color="auto" w:fill="C4EFCE"/>
            <w:noWrap/>
            <w:vAlign w:val="center"/>
          </w:tcPr>
          <w:p w14:paraId="1F78BE29" w14:textId="77777777" w:rsidR="006C686E" w:rsidRDefault="006C686E">
            <w:pPr>
              <w:spacing w:after="0" w:line="240" w:lineRule="auto"/>
              <w:jc w:val="center"/>
              <w:rPr>
                <w:rFonts w:ascii="Times New Roman" w:eastAsia="Calibri" w:hAnsi="Times New Roman" w:cs="Times New Roman"/>
                <w:noProof/>
                <w:kern w:val="0"/>
                <w:sz w:val="16"/>
                <w:szCs w:val="16"/>
                <w14:ligatures w14:val="none"/>
              </w:rPr>
            </w:pPr>
          </w:p>
        </w:tc>
        <w:tc>
          <w:tcPr>
            <w:tcW w:w="420" w:type="dxa"/>
            <w:shd w:val="clear" w:color="auto" w:fill="C4EFCE"/>
            <w:noWrap/>
            <w:vAlign w:val="center"/>
          </w:tcPr>
          <w:p w14:paraId="76240016" w14:textId="77777777" w:rsidR="006C686E" w:rsidRDefault="00B17E8C">
            <w:pPr>
              <w:pStyle w:val="P68B1DB1-Normal11"/>
              <w:spacing w:after="0" w:line="240" w:lineRule="auto"/>
              <w:jc w:val="center"/>
              <w:rPr>
                <w:noProof/>
              </w:rPr>
            </w:pPr>
            <w:r>
              <w:rPr>
                <w:noProof/>
              </w:rPr>
              <w:t>T2</w:t>
            </w:r>
          </w:p>
        </w:tc>
        <w:tc>
          <w:tcPr>
            <w:tcW w:w="1139" w:type="dxa"/>
            <w:shd w:val="clear" w:color="auto" w:fill="C4EFCE"/>
            <w:noWrap/>
            <w:vAlign w:val="center"/>
          </w:tcPr>
          <w:p w14:paraId="5E2439FC" w14:textId="77777777" w:rsidR="006C686E" w:rsidRDefault="00B17E8C">
            <w:pPr>
              <w:pStyle w:val="P68B1DB1-Normal11"/>
              <w:spacing w:after="0" w:line="240" w:lineRule="auto"/>
              <w:jc w:val="center"/>
              <w:rPr>
                <w:noProof/>
              </w:rPr>
            </w:pPr>
            <w:r>
              <w:rPr>
                <w:noProof/>
              </w:rPr>
              <w:t>2025</w:t>
            </w:r>
          </w:p>
        </w:tc>
        <w:tc>
          <w:tcPr>
            <w:tcW w:w="3798" w:type="dxa"/>
            <w:shd w:val="clear" w:color="auto" w:fill="C4EFCE"/>
            <w:vAlign w:val="center"/>
          </w:tcPr>
          <w:p w14:paraId="2ED16B43" w14:textId="77777777" w:rsidR="006C686E" w:rsidRDefault="00B17E8C">
            <w:pPr>
              <w:pStyle w:val="P68B1DB1-Normal11"/>
              <w:widowControl w:val="0"/>
              <w:spacing w:after="0" w:line="240" w:lineRule="auto"/>
              <w:jc w:val="both"/>
              <w:rPr>
                <w:rFonts w:eastAsia="Arial"/>
                <w:noProof/>
              </w:rPr>
            </w:pPr>
            <w:r>
              <w:rPr>
                <w:noProof/>
              </w:rPr>
              <w:t>Des cours de formation pour les fonctionnaires sur les territoires intelligents sont disponibles avec inscription en ligne.</w:t>
            </w:r>
          </w:p>
        </w:tc>
      </w:tr>
    </w:tbl>
    <w:p w14:paraId="0C2FA74F" w14:textId="77777777" w:rsidR="006C686E" w:rsidRDefault="006C686E">
      <w:pPr>
        <w:spacing w:after="200" w:line="276" w:lineRule="auto"/>
        <w:rPr>
          <w:rFonts w:ascii="Calibri" w:eastAsia="Calibri" w:hAnsi="Calibri" w:cs="Times New Roman"/>
          <w:noProof/>
          <w:kern w:val="0"/>
          <w14:ligatures w14:val="none"/>
        </w:rPr>
      </w:pPr>
    </w:p>
    <w:p w14:paraId="1B3232DB" w14:textId="77777777" w:rsidR="006C686E" w:rsidRDefault="006C686E">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6C686E" w:rsidSect="00C95E00">
          <w:headerReference w:type="even" r:id="rId347"/>
          <w:headerReference w:type="default" r:id="rId348"/>
          <w:footerReference w:type="even" r:id="rId349"/>
          <w:footerReference w:type="default" r:id="rId350"/>
          <w:headerReference w:type="first" r:id="rId351"/>
          <w:footerReference w:type="first" r:id="rId352"/>
          <w:pgSz w:w="16839" w:h="11907" w:orient="landscape"/>
          <w:pgMar w:top="1134" w:right="1134" w:bottom="1134" w:left="1134" w:header="567" w:footer="567" w:gutter="0"/>
          <w:cols w:space="720"/>
          <w:docGrid w:linePitch="360"/>
        </w:sectPr>
      </w:pPr>
    </w:p>
    <w:p w14:paraId="6FD5B507" w14:textId="77777777" w:rsidR="006C686E" w:rsidRDefault="00B17E8C">
      <w:pPr>
        <w:pStyle w:val="P68B1DB1-Normal1"/>
        <w:keepNext/>
        <w:spacing w:before="40" w:after="0"/>
        <w:ind w:left="130" w:firstLine="720"/>
        <w:jc w:val="both"/>
        <w:outlineLvl w:val="1"/>
        <w:rPr>
          <w:noProof/>
        </w:rPr>
      </w:pPr>
      <w:r>
        <w:rPr>
          <w:noProof/>
        </w:rPr>
        <w:t>S.3. Description des réformes et des investissements pour le prêt</w:t>
      </w:r>
    </w:p>
    <w:p w14:paraId="748EB398" w14:textId="77777777" w:rsidR="006C686E" w:rsidRDefault="00B17E8C">
      <w:pPr>
        <w:pStyle w:val="P68B1DB1-Normal5"/>
        <w:keepNext/>
        <w:spacing w:before="240" w:after="0"/>
        <w:ind w:left="851"/>
        <w:jc w:val="both"/>
        <w:outlineLvl w:val="2"/>
        <w:rPr>
          <w:rFonts w:eastAsia="Times New Roman"/>
          <w:noProof/>
        </w:rPr>
      </w:pPr>
      <w:r>
        <w:rPr>
          <w:noProof/>
        </w:rPr>
        <w:t xml:space="preserve">Réforme TD-C19-r41: Accès aux services publics: harmoniser et consolider l'accès en personne et en ligne </w:t>
      </w:r>
    </w:p>
    <w:p w14:paraId="218CB758" w14:textId="77777777" w:rsidR="006C686E" w:rsidRDefault="00B17E8C">
      <w:pPr>
        <w:pStyle w:val="P68B1DB1-Normal4"/>
        <w:spacing w:before="40" w:after="0"/>
        <w:jc w:val="both"/>
        <w:rPr>
          <w:noProof/>
        </w:rPr>
      </w:pPr>
      <w:r>
        <w:rPr>
          <w:noProof/>
        </w:rPr>
        <w:t xml:space="preserve">L’objectif de cette réforme est d’approfondir la transition numérique de l’administration publique et de tirer parti des nouvelles technologies pour transformer le modèle de service public actuel. </w:t>
      </w:r>
    </w:p>
    <w:p w14:paraId="2E627ED1" w14:textId="77777777" w:rsidR="006C686E" w:rsidRDefault="00B17E8C">
      <w:pPr>
        <w:pStyle w:val="P68B1DB1-Normal4"/>
        <w:spacing w:before="40" w:after="0"/>
        <w:jc w:val="both"/>
        <w:rPr>
          <w:rFonts w:eastAsia="@MS Mincho"/>
          <w:noProof/>
        </w:rPr>
      </w:pPr>
      <w:r>
        <w:rPr>
          <w:noProof/>
        </w:rPr>
        <w:t>La réforme consiste en l’entrée en vigueur d’un acte législatif qui harmonise et consolide les règles relatives à l’accès aux services publics en personne et à distance (en ligne, via une application, par téléphone).</w:t>
      </w:r>
    </w:p>
    <w:p w14:paraId="13A7D538" w14:textId="77777777" w:rsidR="006C686E" w:rsidRDefault="00B17E8C">
      <w:pPr>
        <w:pStyle w:val="P68B1DB1-Normal4"/>
        <w:spacing w:before="40" w:after="0"/>
        <w:jc w:val="both"/>
        <w:rPr>
          <w:noProof/>
        </w:rPr>
      </w:pPr>
      <w:r>
        <w:rPr>
          <w:noProof/>
        </w:rPr>
        <w:t>La mise en œuvre de la réforme est achevée au plus tard le 30 juin 2024.</w:t>
      </w:r>
    </w:p>
    <w:p w14:paraId="28AB8F26" w14:textId="77777777" w:rsidR="006C686E" w:rsidRDefault="00B17E8C">
      <w:pPr>
        <w:pStyle w:val="P68B1DB1-Normal5"/>
        <w:keepNext/>
        <w:spacing w:before="240" w:after="0" w:line="276" w:lineRule="auto"/>
        <w:ind w:left="130" w:firstLine="720"/>
        <w:jc w:val="both"/>
        <w:outlineLvl w:val="1"/>
        <w:rPr>
          <w:rFonts w:eastAsia="Times New Roman"/>
          <w:noProof/>
        </w:rPr>
      </w:pPr>
      <w:r>
        <w:rPr>
          <w:noProof/>
        </w:rPr>
        <w:t>Réforme TD-C19-r42: Nouveau système d'évaluation pour responsabiliser et rajeunir la main-d'œuvre de l'administration publique</w:t>
      </w:r>
    </w:p>
    <w:p w14:paraId="589F7B6C" w14:textId="77777777" w:rsidR="006C686E" w:rsidRDefault="00B17E8C">
      <w:pPr>
        <w:pStyle w:val="P68B1DB1-Normal4"/>
        <w:spacing w:beforeLines="40" w:before="96" w:after="0" w:line="22" w:lineRule="atLeast"/>
        <w:jc w:val="both"/>
        <w:rPr>
          <w:noProof/>
        </w:rPr>
      </w:pPr>
      <w:r>
        <w:rPr>
          <w:noProof/>
        </w:rPr>
        <w:t xml:space="preserve">L'objectif de cette réforme est d'attirer et de retenir les talents dans l'administration publique et de rajeunir ses effectifs. </w:t>
      </w:r>
    </w:p>
    <w:p w14:paraId="794EB72C" w14:textId="77777777" w:rsidR="006C686E" w:rsidRDefault="00B17E8C">
      <w:pPr>
        <w:pStyle w:val="P68B1DB1-Normal4"/>
        <w:spacing w:before="40" w:after="0"/>
        <w:jc w:val="both"/>
        <w:rPr>
          <w:noProof/>
        </w:rPr>
      </w:pPr>
      <w:r>
        <w:rPr>
          <w:noProof/>
        </w:rPr>
        <w:t>Cette réforme consiste en la révision du système d’évaluation des performances dans l’administration publique (système intégré de gestion et d’évaluation des performances dans l’administration publique – SIADAP), en la révision du profil des compétences de l’administration publique et en la mise en place d’une plateforme informatique du SIADAP.</w:t>
      </w:r>
    </w:p>
    <w:p w14:paraId="5BD60420" w14:textId="77777777" w:rsidR="006C686E" w:rsidRDefault="006C686E">
      <w:pPr>
        <w:keepNext/>
        <w:spacing w:before="40" w:after="0"/>
        <w:ind w:left="130" w:firstLine="720"/>
        <w:jc w:val="both"/>
        <w:outlineLvl w:val="1"/>
        <w:rPr>
          <w:rFonts w:ascii="Times New Roman" w:eastAsia="Calibri" w:hAnsi="Times New Roman" w:cs="Times New Roman"/>
          <w:b/>
          <w:noProof/>
          <w:kern w:val="0"/>
          <w:u w:val="single"/>
          <w14:ligatures w14:val="none"/>
        </w:rPr>
        <w:sectPr w:rsidR="006C686E" w:rsidSect="00C95E00">
          <w:headerReference w:type="even" r:id="rId353"/>
          <w:headerReference w:type="default" r:id="rId354"/>
          <w:footerReference w:type="even" r:id="rId355"/>
          <w:footerReference w:type="default" r:id="rId356"/>
          <w:headerReference w:type="first" r:id="rId357"/>
          <w:footerReference w:type="first" r:id="rId358"/>
          <w:pgSz w:w="11907" w:h="16839"/>
          <w:pgMar w:top="1134" w:right="1134" w:bottom="1134" w:left="1134" w:header="567" w:footer="567" w:gutter="0"/>
          <w:cols w:space="720"/>
          <w:docGrid w:linePitch="360"/>
        </w:sectPr>
      </w:pPr>
    </w:p>
    <w:p w14:paraId="3C692441" w14:textId="77777777" w:rsidR="006C686E" w:rsidRDefault="00B17E8C">
      <w:pPr>
        <w:pStyle w:val="P68B1DB1-Normal1"/>
        <w:keepNext/>
        <w:spacing w:before="40" w:after="0"/>
        <w:ind w:left="130" w:firstLine="12"/>
        <w:jc w:val="center"/>
        <w:outlineLvl w:val="1"/>
        <w:rPr>
          <w:noProof/>
        </w:rPr>
      </w:pPr>
      <w:r>
        <w:rPr>
          <w:noProof/>
        </w:rPr>
        <w:t>S.4. Étapes, objectifs, indicateurs et calendrier du suivi et de la mise en œuvre du prêt</w:t>
      </w:r>
    </w:p>
    <w:tbl>
      <w:tblPr>
        <w:tblW w:w="147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418"/>
        <w:gridCol w:w="1247"/>
        <w:gridCol w:w="1275"/>
        <w:gridCol w:w="993"/>
        <w:gridCol w:w="992"/>
        <w:gridCol w:w="992"/>
        <w:gridCol w:w="567"/>
        <w:gridCol w:w="879"/>
        <w:gridCol w:w="3798"/>
      </w:tblGrid>
      <w:tr w:rsidR="006C686E" w14:paraId="2374C288" w14:textId="77777777" w:rsidTr="00E130FD">
        <w:trPr>
          <w:trHeight w:val="910"/>
          <w:tblHeader/>
        </w:trPr>
        <w:tc>
          <w:tcPr>
            <w:tcW w:w="1135" w:type="dxa"/>
            <w:vMerge w:val="restart"/>
            <w:shd w:val="clear" w:color="auto" w:fill="BDD6EE"/>
            <w:vAlign w:val="center"/>
            <w:hideMark/>
          </w:tcPr>
          <w:p w14:paraId="368AF690" w14:textId="77777777" w:rsidR="006C686E" w:rsidRDefault="00B17E8C">
            <w:pPr>
              <w:pStyle w:val="P68B1DB1-Normal9"/>
              <w:spacing w:after="0" w:line="240" w:lineRule="auto"/>
              <w:jc w:val="center"/>
              <w:rPr>
                <w:rFonts w:eastAsia="Times New Roman"/>
                <w:noProof/>
              </w:rPr>
            </w:pPr>
            <w:r>
              <w:rPr>
                <w:noProof/>
              </w:rPr>
              <w:t>Numéro séquentiel</w:t>
            </w:r>
          </w:p>
        </w:tc>
        <w:tc>
          <w:tcPr>
            <w:tcW w:w="1446" w:type="dxa"/>
            <w:vMerge w:val="restart"/>
            <w:shd w:val="clear" w:color="auto" w:fill="BDD6EE"/>
            <w:vAlign w:val="center"/>
            <w:hideMark/>
          </w:tcPr>
          <w:p w14:paraId="0C21D020"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418" w:type="dxa"/>
            <w:vMerge w:val="restart"/>
            <w:shd w:val="clear" w:color="auto" w:fill="BDD6EE"/>
            <w:vAlign w:val="center"/>
            <w:hideMark/>
          </w:tcPr>
          <w:p w14:paraId="083A1EFD" w14:textId="77777777" w:rsidR="006C686E" w:rsidRDefault="00B17E8C">
            <w:pPr>
              <w:pStyle w:val="P68B1DB1-Normal9"/>
              <w:spacing w:after="0" w:line="240" w:lineRule="auto"/>
              <w:jc w:val="center"/>
              <w:rPr>
                <w:rFonts w:eastAsia="Times New Roman"/>
                <w:noProof/>
              </w:rPr>
            </w:pPr>
            <w:r>
              <w:rPr>
                <w:noProof/>
              </w:rPr>
              <w:t>Étape/objectif</w:t>
            </w:r>
          </w:p>
        </w:tc>
        <w:tc>
          <w:tcPr>
            <w:tcW w:w="1247" w:type="dxa"/>
            <w:vMerge w:val="restart"/>
            <w:shd w:val="clear" w:color="auto" w:fill="BDD6EE"/>
            <w:vAlign w:val="center"/>
            <w:hideMark/>
          </w:tcPr>
          <w:p w14:paraId="38C38EB3" w14:textId="77777777" w:rsidR="006C686E" w:rsidRDefault="00B17E8C">
            <w:pPr>
              <w:pStyle w:val="P68B1DB1-Normal9"/>
              <w:spacing w:after="0" w:line="240" w:lineRule="auto"/>
              <w:jc w:val="center"/>
              <w:rPr>
                <w:rFonts w:eastAsia="Times New Roman"/>
                <w:noProof/>
              </w:rPr>
            </w:pPr>
            <w:r>
              <w:rPr>
                <w:noProof/>
              </w:rPr>
              <w:t>Nom</w:t>
            </w:r>
          </w:p>
        </w:tc>
        <w:tc>
          <w:tcPr>
            <w:tcW w:w="1275" w:type="dxa"/>
            <w:vMerge w:val="restart"/>
            <w:shd w:val="clear" w:color="auto" w:fill="BDD6EE"/>
            <w:vAlign w:val="center"/>
            <w:hideMark/>
          </w:tcPr>
          <w:p w14:paraId="41464B1C"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2977" w:type="dxa"/>
            <w:gridSpan w:val="3"/>
            <w:shd w:val="clear" w:color="auto" w:fill="BDD6EE"/>
            <w:vAlign w:val="center"/>
            <w:hideMark/>
          </w:tcPr>
          <w:p w14:paraId="40BC4218"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446" w:type="dxa"/>
            <w:gridSpan w:val="2"/>
            <w:shd w:val="clear" w:color="auto" w:fill="BDD6EE"/>
            <w:vAlign w:val="center"/>
            <w:hideMark/>
          </w:tcPr>
          <w:p w14:paraId="11407328" w14:textId="77777777" w:rsidR="006C686E" w:rsidRDefault="00B17E8C">
            <w:pPr>
              <w:pStyle w:val="P68B1DB1-Normal9"/>
              <w:spacing w:after="0" w:line="240" w:lineRule="auto"/>
              <w:jc w:val="center"/>
              <w:rPr>
                <w:rFonts w:eastAsia="Times New Roman"/>
                <w:noProof/>
              </w:rPr>
            </w:pPr>
            <w:r>
              <w:rPr>
                <w:noProof/>
              </w:rPr>
              <w:t>Calendrier indicatif d'achèvement</w:t>
            </w:r>
          </w:p>
        </w:tc>
        <w:tc>
          <w:tcPr>
            <w:tcW w:w="3798" w:type="dxa"/>
            <w:vMerge w:val="restart"/>
            <w:shd w:val="clear" w:color="auto" w:fill="BDD6EE"/>
            <w:vAlign w:val="center"/>
            <w:hideMark/>
          </w:tcPr>
          <w:p w14:paraId="708E703D"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6C7B78C0" w14:textId="77777777" w:rsidTr="00E130FD">
        <w:trPr>
          <w:trHeight w:val="470"/>
          <w:tblHeader/>
        </w:trPr>
        <w:tc>
          <w:tcPr>
            <w:tcW w:w="1135" w:type="dxa"/>
            <w:vMerge/>
            <w:vAlign w:val="center"/>
            <w:hideMark/>
          </w:tcPr>
          <w:p w14:paraId="5157A450"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46" w:type="dxa"/>
            <w:vMerge/>
            <w:vAlign w:val="center"/>
            <w:hideMark/>
          </w:tcPr>
          <w:p w14:paraId="2A4760CA"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F58E30D"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247" w:type="dxa"/>
            <w:vMerge/>
            <w:vAlign w:val="center"/>
            <w:hideMark/>
          </w:tcPr>
          <w:p w14:paraId="600B3001"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275" w:type="dxa"/>
            <w:vMerge/>
            <w:vAlign w:val="center"/>
            <w:hideMark/>
          </w:tcPr>
          <w:p w14:paraId="283D7EBD"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5A33F379" w14:textId="77777777" w:rsidR="006C686E" w:rsidRDefault="00B17E8C">
            <w:pPr>
              <w:pStyle w:val="P68B1DB1-Normal9"/>
              <w:spacing w:after="0" w:line="240" w:lineRule="auto"/>
              <w:jc w:val="center"/>
              <w:rPr>
                <w:rFonts w:eastAsia="Times New Roman"/>
                <w:noProof/>
              </w:rPr>
            </w:pPr>
            <w:r>
              <w:rPr>
                <w:noProof/>
              </w:rPr>
              <w:t>Unité de mesure</w:t>
            </w:r>
          </w:p>
        </w:tc>
        <w:tc>
          <w:tcPr>
            <w:tcW w:w="992" w:type="dxa"/>
            <w:shd w:val="clear" w:color="auto" w:fill="BDD6EE"/>
            <w:vAlign w:val="center"/>
            <w:hideMark/>
          </w:tcPr>
          <w:p w14:paraId="1610487E" w14:textId="77777777" w:rsidR="006C686E" w:rsidRDefault="00B17E8C">
            <w:pPr>
              <w:pStyle w:val="P68B1DB1-Normal9"/>
              <w:spacing w:after="0" w:line="240" w:lineRule="auto"/>
              <w:jc w:val="center"/>
              <w:rPr>
                <w:rFonts w:eastAsia="Times New Roman"/>
                <w:noProof/>
              </w:rPr>
            </w:pPr>
            <w:r>
              <w:rPr>
                <w:noProof/>
              </w:rPr>
              <w:t>Données de référence</w:t>
            </w:r>
          </w:p>
        </w:tc>
        <w:tc>
          <w:tcPr>
            <w:tcW w:w="992" w:type="dxa"/>
            <w:shd w:val="clear" w:color="auto" w:fill="BDD6EE"/>
            <w:vAlign w:val="center"/>
            <w:hideMark/>
          </w:tcPr>
          <w:p w14:paraId="09B9D3F5" w14:textId="77777777" w:rsidR="006C686E" w:rsidRDefault="00B17E8C">
            <w:pPr>
              <w:pStyle w:val="P68B1DB1-Normal9"/>
              <w:spacing w:after="0" w:line="240" w:lineRule="auto"/>
              <w:jc w:val="center"/>
              <w:rPr>
                <w:rFonts w:eastAsia="Times New Roman"/>
                <w:noProof/>
              </w:rPr>
            </w:pPr>
            <w:r>
              <w:rPr>
                <w:noProof/>
              </w:rPr>
              <w:t>Objectif</w:t>
            </w:r>
          </w:p>
        </w:tc>
        <w:tc>
          <w:tcPr>
            <w:tcW w:w="567" w:type="dxa"/>
            <w:shd w:val="clear" w:color="auto" w:fill="BDD6EE"/>
            <w:vAlign w:val="center"/>
            <w:hideMark/>
          </w:tcPr>
          <w:p w14:paraId="39050ABD" w14:textId="77777777" w:rsidR="006C686E" w:rsidRDefault="00B17E8C">
            <w:pPr>
              <w:pStyle w:val="P68B1DB1-Normal9"/>
              <w:spacing w:after="0" w:line="240" w:lineRule="auto"/>
              <w:jc w:val="center"/>
              <w:rPr>
                <w:rFonts w:eastAsia="Times New Roman"/>
                <w:noProof/>
              </w:rPr>
            </w:pPr>
            <w:r>
              <w:rPr>
                <w:noProof/>
              </w:rPr>
              <w:t>Q</w:t>
            </w:r>
          </w:p>
        </w:tc>
        <w:tc>
          <w:tcPr>
            <w:tcW w:w="879" w:type="dxa"/>
            <w:shd w:val="clear" w:color="auto" w:fill="BDD6EE"/>
            <w:vAlign w:val="center"/>
            <w:hideMark/>
          </w:tcPr>
          <w:p w14:paraId="1179B8FF" w14:textId="77777777" w:rsidR="006C686E" w:rsidRDefault="00B17E8C">
            <w:pPr>
              <w:pStyle w:val="P68B1DB1-Normal9"/>
              <w:spacing w:after="0" w:line="240" w:lineRule="auto"/>
              <w:jc w:val="center"/>
              <w:rPr>
                <w:rFonts w:eastAsia="Times New Roman"/>
                <w:noProof/>
              </w:rPr>
            </w:pPr>
            <w:r>
              <w:rPr>
                <w:noProof/>
              </w:rPr>
              <w:t>Année</w:t>
            </w:r>
          </w:p>
        </w:tc>
        <w:tc>
          <w:tcPr>
            <w:tcW w:w="3798" w:type="dxa"/>
            <w:vMerge/>
            <w:vAlign w:val="center"/>
            <w:hideMark/>
          </w:tcPr>
          <w:p w14:paraId="05BADB4B"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12CB3866" w14:textId="77777777" w:rsidTr="00E130FD">
        <w:trPr>
          <w:trHeight w:val="430"/>
        </w:trPr>
        <w:tc>
          <w:tcPr>
            <w:tcW w:w="1135" w:type="dxa"/>
            <w:shd w:val="clear" w:color="auto" w:fill="C4EFCE"/>
            <w:vAlign w:val="center"/>
          </w:tcPr>
          <w:p w14:paraId="57D459E8" w14:textId="77777777" w:rsidR="006C686E" w:rsidRDefault="00B17E8C">
            <w:pPr>
              <w:pStyle w:val="P68B1DB1-Normal10"/>
              <w:spacing w:after="0" w:line="240" w:lineRule="auto"/>
              <w:jc w:val="center"/>
              <w:rPr>
                <w:rFonts w:eastAsia="Times New Roman"/>
                <w:noProof/>
              </w:rPr>
            </w:pPr>
            <w:r>
              <w:rPr>
                <w:noProof/>
              </w:rPr>
              <w:t>19.30</w:t>
            </w:r>
          </w:p>
        </w:tc>
        <w:tc>
          <w:tcPr>
            <w:tcW w:w="1446" w:type="dxa"/>
            <w:shd w:val="clear" w:color="auto" w:fill="C4EFCE"/>
            <w:noWrap/>
            <w:vAlign w:val="center"/>
          </w:tcPr>
          <w:p w14:paraId="0889F260" w14:textId="77777777" w:rsidR="006C686E" w:rsidRDefault="00B17E8C">
            <w:pPr>
              <w:pStyle w:val="P68B1DB1-Normal11"/>
              <w:spacing w:after="0" w:line="240" w:lineRule="auto"/>
              <w:jc w:val="center"/>
              <w:rPr>
                <w:rFonts w:eastAsia="Times New Roman"/>
                <w:noProof/>
              </w:rPr>
            </w:pPr>
            <w:r>
              <w:rPr>
                <w:noProof/>
              </w:rPr>
              <w:t>TD-C19-r41</w:t>
            </w:r>
          </w:p>
        </w:tc>
        <w:tc>
          <w:tcPr>
            <w:tcW w:w="1418" w:type="dxa"/>
            <w:shd w:val="clear" w:color="auto" w:fill="C4EFCE"/>
            <w:noWrap/>
            <w:vAlign w:val="center"/>
          </w:tcPr>
          <w:p w14:paraId="2F23FF3A" w14:textId="77777777" w:rsidR="006C686E" w:rsidRDefault="00B17E8C">
            <w:pPr>
              <w:pStyle w:val="P68B1DB1-Normal11"/>
              <w:spacing w:after="0" w:line="240" w:lineRule="auto"/>
              <w:jc w:val="center"/>
              <w:rPr>
                <w:rFonts w:eastAsia="Times New Roman"/>
                <w:noProof/>
              </w:rPr>
            </w:pPr>
            <w:r>
              <w:rPr>
                <w:noProof/>
              </w:rPr>
              <w:t>M</w:t>
            </w:r>
          </w:p>
        </w:tc>
        <w:tc>
          <w:tcPr>
            <w:tcW w:w="1247" w:type="dxa"/>
            <w:shd w:val="clear" w:color="auto" w:fill="C4EFCE"/>
            <w:noWrap/>
            <w:vAlign w:val="center"/>
          </w:tcPr>
          <w:p w14:paraId="1303304F" w14:textId="77777777" w:rsidR="006C686E" w:rsidRDefault="00B17E8C">
            <w:pPr>
              <w:pStyle w:val="P68B1DB1-Normal11"/>
              <w:spacing w:after="0" w:line="240" w:lineRule="auto"/>
              <w:jc w:val="center"/>
              <w:rPr>
                <w:rFonts w:eastAsia="Times New Roman"/>
                <w:noProof/>
              </w:rPr>
            </w:pPr>
            <w:r>
              <w:rPr>
                <w:noProof/>
              </w:rPr>
              <w:t>Entrée en vigueur de l'acte législatif sur l'accès aux services publics</w:t>
            </w:r>
          </w:p>
        </w:tc>
        <w:tc>
          <w:tcPr>
            <w:tcW w:w="1275" w:type="dxa"/>
            <w:shd w:val="clear" w:color="auto" w:fill="C4EFCE"/>
            <w:noWrap/>
            <w:vAlign w:val="center"/>
          </w:tcPr>
          <w:p w14:paraId="7C61112D" w14:textId="77777777" w:rsidR="006C686E" w:rsidRDefault="00B17E8C">
            <w:pPr>
              <w:pStyle w:val="P68B1DB1-Normal11"/>
              <w:spacing w:after="0" w:line="240" w:lineRule="auto"/>
              <w:jc w:val="center"/>
              <w:rPr>
                <w:rFonts w:eastAsia="Times New Roman"/>
                <w:noProof/>
              </w:rPr>
            </w:pPr>
            <w:r>
              <w:rPr>
                <w:noProof/>
              </w:rPr>
              <w:t xml:space="preserve">Disposition de la législation indiquant l'entrée en vigueur de la législation </w:t>
            </w:r>
          </w:p>
        </w:tc>
        <w:tc>
          <w:tcPr>
            <w:tcW w:w="993" w:type="dxa"/>
            <w:shd w:val="clear" w:color="auto" w:fill="C4EFCE"/>
            <w:noWrap/>
            <w:vAlign w:val="center"/>
          </w:tcPr>
          <w:p w14:paraId="32DCDA51"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5DB02FB6"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4B235499"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2571589C" w14:textId="77777777" w:rsidR="006C686E" w:rsidRDefault="00B17E8C">
            <w:pPr>
              <w:pStyle w:val="P68B1DB1-Normal11"/>
              <w:spacing w:after="0" w:line="240" w:lineRule="auto"/>
              <w:jc w:val="center"/>
              <w:rPr>
                <w:rFonts w:eastAsia="Times New Roman"/>
                <w:noProof/>
              </w:rPr>
            </w:pPr>
            <w:r>
              <w:rPr>
                <w:noProof/>
              </w:rPr>
              <w:t>T2</w:t>
            </w:r>
          </w:p>
        </w:tc>
        <w:tc>
          <w:tcPr>
            <w:tcW w:w="879" w:type="dxa"/>
            <w:shd w:val="clear" w:color="auto" w:fill="C4EFCE"/>
            <w:noWrap/>
            <w:vAlign w:val="center"/>
          </w:tcPr>
          <w:p w14:paraId="08612926" w14:textId="77777777" w:rsidR="006C686E" w:rsidRDefault="00B17E8C">
            <w:pPr>
              <w:pStyle w:val="P68B1DB1-Normal11"/>
              <w:spacing w:after="0" w:line="240" w:lineRule="auto"/>
              <w:jc w:val="center"/>
              <w:rPr>
                <w:rFonts w:eastAsia="Times New Roman"/>
                <w:noProof/>
              </w:rPr>
            </w:pPr>
            <w:r>
              <w:rPr>
                <w:noProof/>
              </w:rPr>
              <w:t>2024</w:t>
            </w:r>
          </w:p>
        </w:tc>
        <w:tc>
          <w:tcPr>
            <w:tcW w:w="3798" w:type="dxa"/>
            <w:shd w:val="clear" w:color="auto" w:fill="C4EFCE"/>
            <w:vAlign w:val="center"/>
          </w:tcPr>
          <w:p w14:paraId="12744D6E" w14:textId="77777777" w:rsidR="006C686E" w:rsidRDefault="00B17E8C">
            <w:pPr>
              <w:pStyle w:val="P68B1DB1-Normal11"/>
              <w:spacing w:after="0" w:line="240" w:lineRule="auto"/>
              <w:jc w:val="both"/>
              <w:rPr>
                <w:rFonts w:eastAsia="Times New Roman"/>
                <w:noProof/>
              </w:rPr>
            </w:pPr>
            <w:r>
              <w:rPr>
                <w:noProof/>
              </w:rPr>
              <w:t>Entrée en vigueur de l’acte législatif qui harmonise et consolide l’accès en personne et en ligne aux services publics.</w:t>
            </w:r>
          </w:p>
        </w:tc>
      </w:tr>
      <w:tr w:rsidR="006C686E" w14:paraId="5872E493" w14:textId="77777777" w:rsidTr="00E130FD">
        <w:trPr>
          <w:trHeight w:val="430"/>
        </w:trPr>
        <w:tc>
          <w:tcPr>
            <w:tcW w:w="1135" w:type="dxa"/>
            <w:shd w:val="clear" w:color="auto" w:fill="C4EFCE"/>
            <w:vAlign w:val="center"/>
          </w:tcPr>
          <w:p w14:paraId="193F66D1" w14:textId="77777777" w:rsidR="006C686E" w:rsidRDefault="00B17E8C">
            <w:pPr>
              <w:pStyle w:val="P68B1DB1-Normal10"/>
              <w:spacing w:after="0" w:line="240" w:lineRule="auto"/>
              <w:jc w:val="center"/>
              <w:rPr>
                <w:rFonts w:eastAsia="Times New Roman"/>
                <w:noProof/>
              </w:rPr>
            </w:pPr>
            <w:r>
              <w:rPr>
                <w:noProof/>
              </w:rPr>
              <w:t>19.31</w:t>
            </w:r>
          </w:p>
        </w:tc>
        <w:tc>
          <w:tcPr>
            <w:tcW w:w="1446" w:type="dxa"/>
            <w:shd w:val="clear" w:color="auto" w:fill="C4EFCE"/>
            <w:noWrap/>
            <w:vAlign w:val="center"/>
          </w:tcPr>
          <w:p w14:paraId="30581786" w14:textId="77777777" w:rsidR="006C686E" w:rsidRDefault="00B17E8C">
            <w:pPr>
              <w:pStyle w:val="P68B1DB1-Normal11"/>
              <w:spacing w:after="0" w:line="240" w:lineRule="auto"/>
              <w:jc w:val="center"/>
              <w:rPr>
                <w:rFonts w:eastAsia="Times New Roman"/>
                <w:noProof/>
              </w:rPr>
            </w:pPr>
            <w:r>
              <w:rPr>
                <w:noProof/>
              </w:rPr>
              <w:t>TD-C19-r42</w:t>
            </w:r>
          </w:p>
        </w:tc>
        <w:tc>
          <w:tcPr>
            <w:tcW w:w="1418" w:type="dxa"/>
            <w:shd w:val="clear" w:color="auto" w:fill="C4EFCE"/>
            <w:noWrap/>
            <w:vAlign w:val="center"/>
          </w:tcPr>
          <w:p w14:paraId="3E8B40FA" w14:textId="77777777" w:rsidR="006C686E" w:rsidRDefault="00B17E8C">
            <w:pPr>
              <w:pStyle w:val="P68B1DB1-Normal11"/>
              <w:spacing w:after="0" w:line="240" w:lineRule="auto"/>
              <w:jc w:val="center"/>
              <w:rPr>
                <w:rFonts w:eastAsia="Times New Roman"/>
                <w:noProof/>
              </w:rPr>
            </w:pPr>
            <w:r>
              <w:rPr>
                <w:noProof/>
              </w:rPr>
              <w:t xml:space="preserve"> M</w:t>
            </w:r>
          </w:p>
        </w:tc>
        <w:tc>
          <w:tcPr>
            <w:tcW w:w="1247" w:type="dxa"/>
            <w:shd w:val="clear" w:color="auto" w:fill="C4EFCE"/>
            <w:noWrap/>
            <w:vAlign w:val="center"/>
          </w:tcPr>
          <w:p w14:paraId="7F4893BA" w14:textId="77777777" w:rsidR="006C686E" w:rsidRDefault="00B17E8C">
            <w:pPr>
              <w:pStyle w:val="P68B1DB1-Normal11"/>
              <w:spacing w:after="0" w:line="240" w:lineRule="auto"/>
              <w:jc w:val="center"/>
              <w:rPr>
                <w:rFonts w:eastAsia="Times New Roman"/>
                <w:noProof/>
              </w:rPr>
            </w:pPr>
            <w:r>
              <w:rPr>
                <w:noProof/>
              </w:rPr>
              <w:t>Entrée en vigueur de l’acte législatif révisant la SIADAP</w:t>
            </w:r>
          </w:p>
        </w:tc>
        <w:tc>
          <w:tcPr>
            <w:tcW w:w="1275" w:type="dxa"/>
            <w:shd w:val="clear" w:color="auto" w:fill="C4EFCE"/>
            <w:noWrap/>
            <w:vAlign w:val="center"/>
          </w:tcPr>
          <w:p w14:paraId="1E584FC4" w14:textId="77777777" w:rsidR="006C686E" w:rsidRDefault="00B17E8C">
            <w:pPr>
              <w:pStyle w:val="P68B1DB1-Normal11"/>
              <w:spacing w:after="0" w:line="240" w:lineRule="auto"/>
              <w:jc w:val="center"/>
              <w:rPr>
                <w:rFonts w:eastAsia="Times New Roman"/>
                <w:noProof/>
              </w:rPr>
            </w:pPr>
            <w:r>
              <w:rPr>
                <w:noProof/>
              </w:rPr>
              <w:t xml:space="preserve">Disposition de l’acte législatif indiquant l’entrée en vigueur de l’acte législatif </w:t>
            </w:r>
          </w:p>
        </w:tc>
        <w:tc>
          <w:tcPr>
            <w:tcW w:w="993" w:type="dxa"/>
            <w:shd w:val="clear" w:color="auto" w:fill="C4EFCE"/>
            <w:noWrap/>
            <w:vAlign w:val="center"/>
          </w:tcPr>
          <w:p w14:paraId="3CF8DC28"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3222CF16"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7C6F4FB0"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555104D4" w14:textId="77777777" w:rsidR="006C686E" w:rsidRDefault="00B17E8C">
            <w:pPr>
              <w:pStyle w:val="P68B1DB1-Normal11"/>
              <w:spacing w:after="0" w:line="240" w:lineRule="auto"/>
              <w:jc w:val="center"/>
              <w:rPr>
                <w:rFonts w:eastAsia="Times New Roman"/>
                <w:noProof/>
              </w:rPr>
            </w:pPr>
            <w:r>
              <w:rPr>
                <w:noProof/>
              </w:rPr>
              <w:t xml:space="preserve">T1 </w:t>
            </w:r>
          </w:p>
        </w:tc>
        <w:tc>
          <w:tcPr>
            <w:tcW w:w="879" w:type="dxa"/>
            <w:shd w:val="clear" w:color="auto" w:fill="C4EFCE"/>
            <w:noWrap/>
            <w:vAlign w:val="center"/>
          </w:tcPr>
          <w:p w14:paraId="20331674" w14:textId="77777777" w:rsidR="006C686E" w:rsidRDefault="00B17E8C">
            <w:pPr>
              <w:pStyle w:val="P68B1DB1-Normal11"/>
              <w:spacing w:after="0" w:line="240" w:lineRule="auto"/>
              <w:jc w:val="center"/>
              <w:rPr>
                <w:rFonts w:eastAsia="Times New Roman"/>
                <w:noProof/>
              </w:rPr>
            </w:pPr>
            <w:r>
              <w:rPr>
                <w:noProof/>
              </w:rPr>
              <w:t xml:space="preserve"> 2024</w:t>
            </w:r>
          </w:p>
        </w:tc>
        <w:tc>
          <w:tcPr>
            <w:tcW w:w="3798" w:type="dxa"/>
            <w:shd w:val="clear" w:color="auto" w:fill="C4EFCE"/>
            <w:vAlign w:val="center"/>
          </w:tcPr>
          <w:p w14:paraId="62F12705" w14:textId="77777777" w:rsidR="006C686E" w:rsidRDefault="00B17E8C">
            <w:pPr>
              <w:pStyle w:val="P68B1DB1-Normal11"/>
              <w:spacing w:after="0" w:line="240" w:lineRule="auto"/>
              <w:jc w:val="both"/>
              <w:rPr>
                <w:rFonts w:eastAsia="Times New Roman"/>
                <w:noProof/>
              </w:rPr>
            </w:pPr>
            <w:r>
              <w:rPr>
                <w:noProof/>
              </w:rPr>
              <w:t xml:space="preserve">Entrée en vigueur de l’acte législatif qui révise le système intégré de gestion et d’évaluation des performances dans l’administration publique (SIADAP) en fonction des caractéristiques décrites dans la description de la mesure. </w:t>
            </w:r>
          </w:p>
        </w:tc>
      </w:tr>
      <w:tr w:rsidR="006C686E" w14:paraId="01D4FF49" w14:textId="77777777" w:rsidTr="00E130FD">
        <w:trPr>
          <w:trHeight w:val="430"/>
        </w:trPr>
        <w:tc>
          <w:tcPr>
            <w:tcW w:w="1135" w:type="dxa"/>
            <w:shd w:val="clear" w:color="auto" w:fill="C4EFCE"/>
            <w:vAlign w:val="center"/>
          </w:tcPr>
          <w:p w14:paraId="4AB7BB9C" w14:textId="77777777" w:rsidR="006C686E" w:rsidRDefault="00B17E8C">
            <w:pPr>
              <w:pStyle w:val="P68B1DB1-Normal10"/>
              <w:spacing w:after="0" w:line="240" w:lineRule="auto"/>
              <w:jc w:val="center"/>
              <w:rPr>
                <w:rFonts w:eastAsia="Times New Roman"/>
                <w:noProof/>
              </w:rPr>
            </w:pPr>
            <w:r>
              <w:rPr>
                <w:noProof/>
              </w:rPr>
              <w:t>19.32</w:t>
            </w:r>
          </w:p>
        </w:tc>
        <w:tc>
          <w:tcPr>
            <w:tcW w:w="1446" w:type="dxa"/>
            <w:shd w:val="clear" w:color="auto" w:fill="C4EFCE"/>
            <w:noWrap/>
            <w:vAlign w:val="center"/>
          </w:tcPr>
          <w:p w14:paraId="05A53235" w14:textId="77777777" w:rsidR="006C686E" w:rsidRDefault="00B17E8C">
            <w:pPr>
              <w:pStyle w:val="P68B1DB1-Normal11"/>
              <w:spacing w:after="0" w:line="240" w:lineRule="auto"/>
              <w:jc w:val="center"/>
              <w:rPr>
                <w:rFonts w:eastAsia="Times New Roman"/>
                <w:noProof/>
              </w:rPr>
            </w:pPr>
            <w:r>
              <w:rPr>
                <w:noProof/>
              </w:rPr>
              <w:t>TD-C19-r42</w:t>
            </w:r>
          </w:p>
        </w:tc>
        <w:tc>
          <w:tcPr>
            <w:tcW w:w="1418" w:type="dxa"/>
            <w:shd w:val="clear" w:color="auto" w:fill="C4EFCE"/>
            <w:noWrap/>
            <w:vAlign w:val="center"/>
          </w:tcPr>
          <w:p w14:paraId="2D83C943" w14:textId="77777777" w:rsidR="006C686E" w:rsidRDefault="00B17E8C">
            <w:pPr>
              <w:pStyle w:val="P68B1DB1-Normal11"/>
              <w:spacing w:after="0" w:line="240" w:lineRule="auto"/>
              <w:jc w:val="center"/>
              <w:rPr>
                <w:rFonts w:eastAsia="Times New Roman"/>
                <w:noProof/>
              </w:rPr>
            </w:pPr>
            <w:r>
              <w:rPr>
                <w:noProof/>
              </w:rPr>
              <w:t>M</w:t>
            </w:r>
          </w:p>
        </w:tc>
        <w:tc>
          <w:tcPr>
            <w:tcW w:w="1247" w:type="dxa"/>
            <w:shd w:val="clear" w:color="auto" w:fill="C4EFCE"/>
            <w:noWrap/>
            <w:vAlign w:val="center"/>
          </w:tcPr>
          <w:p w14:paraId="33CCD70C" w14:textId="77777777" w:rsidR="006C686E" w:rsidRDefault="00B17E8C">
            <w:pPr>
              <w:pStyle w:val="P68B1DB1-Normal11"/>
              <w:spacing w:after="0" w:line="240" w:lineRule="auto"/>
              <w:jc w:val="center"/>
              <w:rPr>
                <w:rFonts w:eastAsia="Times New Roman"/>
                <w:noProof/>
              </w:rPr>
            </w:pPr>
            <w:r>
              <w:rPr>
                <w:noProof/>
              </w:rPr>
              <w:t>Entrée en vigueur de l’acte législatif qui révise le profil des compétences de l’administration publique</w:t>
            </w:r>
          </w:p>
        </w:tc>
        <w:tc>
          <w:tcPr>
            <w:tcW w:w="1275" w:type="dxa"/>
            <w:shd w:val="clear" w:color="auto" w:fill="C4EFCE"/>
            <w:noWrap/>
            <w:vAlign w:val="center"/>
          </w:tcPr>
          <w:p w14:paraId="5462BAAE" w14:textId="77777777" w:rsidR="006C686E" w:rsidRDefault="00B17E8C">
            <w:pPr>
              <w:pStyle w:val="P68B1DB1-Normal11"/>
              <w:spacing w:after="0" w:line="240" w:lineRule="auto"/>
              <w:jc w:val="center"/>
              <w:rPr>
                <w:rFonts w:eastAsia="Times New Roman"/>
                <w:noProof/>
              </w:rPr>
            </w:pPr>
            <w:r>
              <w:rPr>
                <w:noProof/>
              </w:rPr>
              <w:t xml:space="preserve">Disposition de l’acte législatif indiquant l’entrée en vigueur de l’acte législatif </w:t>
            </w:r>
          </w:p>
        </w:tc>
        <w:tc>
          <w:tcPr>
            <w:tcW w:w="993" w:type="dxa"/>
            <w:shd w:val="clear" w:color="auto" w:fill="C4EFCE"/>
            <w:noWrap/>
            <w:vAlign w:val="center"/>
          </w:tcPr>
          <w:p w14:paraId="6AA07E73"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2A1FE86E"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252497F5"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7E65D3C" w14:textId="77777777" w:rsidR="006C686E" w:rsidRDefault="00B17E8C">
            <w:pPr>
              <w:pStyle w:val="P68B1DB1-Normal11"/>
              <w:spacing w:after="0" w:line="240" w:lineRule="auto"/>
              <w:jc w:val="center"/>
              <w:rPr>
                <w:rFonts w:eastAsia="Times New Roman"/>
                <w:noProof/>
              </w:rPr>
            </w:pPr>
            <w:r>
              <w:rPr>
                <w:noProof/>
              </w:rPr>
              <w:t>T1</w:t>
            </w:r>
          </w:p>
        </w:tc>
        <w:tc>
          <w:tcPr>
            <w:tcW w:w="879" w:type="dxa"/>
            <w:shd w:val="clear" w:color="auto" w:fill="C4EFCE"/>
            <w:noWrap/>
            <w:vAlign w:val="center"/>
          </w:tcPr>
          <w:p w14:paraId="2B93885C" w14:textId="77777777" w:rsidR="006C686E" w:rsidRDefault="00B17E8C">
            <w:pPr>
              <w:pStyle w:val="P68B1DB1-Normal11"/>
              <w:spacing w:after="0" w:line="240" w:lineRule="auto"/>
              <w:jc w:val="center"/>
              <w:rPr>
                <w:rFonts w:eastAsia="Times New Roman"/>
                <w:noProof/>
              </w:rPr>
            </w:pPr>
            <w:r>
              <w:rPr>
                <w:noProof/>
              </w:rPr>
              <w:t>2024</w:t>
            </w:r>
          </w:p>
        </w:tc>
        <w:tc>
          <w:tcPr>
            <w:tcW w:w="3798" w:type="dxa"/>
            <w:shd w:val="clear" w:color="auto" w:fill="C4EFCE"/>
            <w:vAlign w:val="center"/>
          </w:tcPr>
          <w:p w14:paraId="55E308CA" w14:textId="77777777" w:rsidR="006C686E" w:rsidRDefault="00B17E8C">
            <w:pPr>
              <w:pStyle w:val="P68B1DB1-Normal11"/>
              <w:spacing w:after="0" w:line="240" w:lineRule="auto"/>
              <w:jc w:val="both"/>
              <w:rPr>
                <w:rFonts w:eastAsia="Times New Roman"/>
                <w:noProof/>
              </w:rPr>
            </w:pPr>
            <w:r>
              <w:rPr>
                <w:noProof/>
              </w:rPr>
              <w:t xml:space="preserve">Le profil révisé des compétences de l'administration publique entre en vigueur. </w:t>
            </w:r>
          </w:p>
        </w:tc>
      </w:tr>
      <w:tr w:rsidR="006C686E" w14:paraId="11525E7D" w14:textId="77777777" w:rsidTr="00E130FD">
        <w:trPr>
          <w:trHeight w:val="300"/>
        </w:trPr>
        <w:tc>
          <w:tcPr>
            <w:tcW w:w="1135" w:type="dxa"/>
            <w:shd w:val="clear" w:color="auto" w:fill="C4EFCE"/>
            <w:vAlign w:val="center"/>
          </w:tcPr>
          <w:p w14:paraId="63523516" w14:textId="77777777" w:rsidR="006C686E" w:rsidRDefault="00B17E8C">
            <w:pPr>
              <w:pStyle w:val="P68B1DB1-Normal10"/>
              <w:spacing w:after="0" w:line="240" w:lineRule="auto"/>
              <w:jc w:val="center"/>
              <w:rPr>
                <w:rFonts w:eastAsia="Times New Roman"/>
                <w:noProof/>
              </w:rPr>
            </w:pPr>
            <w:r>
              <w:rPr>
                <w:noProof/>
              </w:rPr>
              <w:t>19.33</w:t>
            </w:r>
          </w:p>
        </w:tc>
        <w:tc>
          <w:tcPr>
            <w:tcW w:w="1446" w:type="dxa"/>
            <w:shd w:val="clear" w:color="auto" w:fill="C4EFCE"/>
            <w:noWrap/>
            <w:vAlign w:val="center"/>
          </w:tcPr>
          <w:p w14:paraId="63CB7538" w14:textId="77777777" w:rsidR="006C686E" w:rsidRDefault="00B17E8C">
            <w:pPr>
              <w:pStyle w:val="P68B1DB1-Normal11"/>
              <w:spacing w:after="0" w:line="240" w:lineRule="auto"/>
              <w:jc w:val="center"/>
              <w:rPr>
                <w:rFonts w:eastAsia="Times New Roman"/>
                <w:noProof/>
              </w:rPr>
            </w:pPr>
            <w:r>
              <w:rPr>
                <w:noProof/>
              </w:rPr>
              <w:t>TD-C19-r42</w:t>
            </w:r>
          </w:p>
        </w:tc>
        <w:tc>
          <w:tcPr>
            <w:tcW w:w="1418" w:type="dxa"/>
            <w:shd w:val="clear" w:color="auto" w:fill="C4EFCE"/>
            <w:noWrap/>
            <w:vAlign w:val="center"/>
          </w:tcPr>
          <w:p w14:paraId="0F5CC93A" w14:textId="77777777" w:rsidR="006C686E" w:rsidRDefault="00B17E8C">
            <w:pPr>
              <w:pStyle w:val="P68B1DB1-Normal11"/>
              <w:spacing w:after="0" w:line="240" w:lineRule="auto"/>
              <w:jc w:val="center"/>
              <w:rPr>
                <w:rFonts w:eastAsia="Times New Roman"/>
                <w:noProof/>
              </w:rPr>
            </w:pPr>
            <w:r>
              <w:rPr>
                <w:noProof/>
              </w:rPr>
              <w:t>M</w:t>
            </w:r>
          </w:p>
        </w:tc>
        <w:tc>
          <w:tcPr>
            <w:tcW w:w="1247" w:type="dxa"/>
            <w:shd w:val="clear" w:color="auto" w:fill="C4EFCE"/>
            <w:noWrap/>
            <w:vAlign w:val="center"/>
          </w:tcPr>
          <w:p w14:paraId="75A06E6A" w14:textId="77777777" w:rsidR="006C686E" w:rsidRDefault="00B17E8C">
            <w:pPr>
              <w:pStyle w:val="P68B1DB1-Normal11"/>
              <w:spacing w:after="0" w:line="240" w:lineRule="auto"/>
              <w:jc w:val="center"/>
              <w:rPr>
                <w:rFonts w:eastAsia="Times New Roman"/>
                <w:noProof/>
              </w:rPr>
            </w:pPr>
            <w:r>
              <w:rPr>
                <w:noProof/>
              </w:rPr>
              <w:t>Plateforme SIADAP</w:t>
            </w:r>
          </w:p>
        </w:tc>
        <w:tc>
          <w:tcPr>
            <w:tcW w:w="1275" w:type="dxa"/>
            <w:shd w:val="clear" w:color="auto" w:fill="C4EFCE"/>
            <w:noWrap/>
            <w:vAlign w:val="center"/>
          </w:tcPr>
          <w:p w14:paraId="26B8C920" w14:textId="63202B60" w:rsidR="006C686E" w:rsidRDefault="00B17E8C">
            <w:pPr>
              <w:pStyle w:val="P68B1DB1-Normal13"/>
              <w:spacing w:after="0" w:line="240" w:lineRule="auto"/>
              <w:jc w:val="center"/>
              <w:rPr>
                <w:rFonts w:eastAsia="Times New Roman"/>
                <w:noProof/>
                <w:kern w:val="0"/>
                <w14:ligatures w14:val="none"/>
              </w:rPr>
            </w:pPr>
            <w:r>
              <w:rPr>
                <w:noProof/>
                <w:kern w:val="0"/>
                <w14:ligatures w14:val="none"/>
              </w:rPr>
              <w:t xml:space="preserve">La plateforme SIADAP </w:t>
            </w:r>
            <w:r>
              <w:rPr>
                <w:noProof/>
              </w:rPr>
              <w:t>est disponible</w:t>
            </w:r>
          </w:p>
        </w:tc>
        <w:tc>
          <w:tcPr>
            <w:tcW w:w="993" w:type="dxa"/>
            <w:shd w:val="clear" w:color="auto" w:fill="C4EFCE"/>
            <w:noWrap/>
            <w:vAlign w:val="center"/>
          </w:tcPr>
          <w:p w14:paraId="1A08AAC4"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598BE862" w14:textId="77777777" w:rsidR="006C686E" w:rsidRDefault="00B17E8C">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675EE6DE" w14:textId="77777777" w:rsidR="006C686E" w:rsidRDefault="00B17E8C">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3ECBC8BC" w14:textId="77777777" w:rsidR="006C686E" w:rsidRDefault="00B17E8C">
            <w:pPr>
              <w:pStyle w:val="P68B1DB1-Normal11"/>
              <w:spacing w:after="0" w:line="240" w:lineRule="auto"/>
              <w:jc w:val="center"/>
              <w:rPr>
                <w:rFonts w:eastAsia="Times New Roman"/>
                <w:noProof/>
              </w:rPr>
            </w:pPr>
            <w:r>
              <w:rPr>
                <w:noProof/>
              </w:rPr>
              <w:t>T1</w:t>
            </w:r>
          </w:p>
        </w:tc>
        <w:tc>
          <w:tcPr>
            <w:tcW w:w="879" w:type="dxa"/>
            <w:shd w:val="clear" w:color="auto" w:fill="C4EFCE"/>
            <w:noWrap/>
            <w:vAlign w:val="center"/>
          </w:tcPr>
          <w:p w14:paraId="2AE0B854" w14:textId="77777777" w:rsidR="006C686E" w:rsidRDefault="00B17E8C">
            <w:pPr>
              <w:pStyle w:val="P68B1DB1-Normal11"/>
              <w:spacing w:after="0" w:line="240" w:lineRule="auto"/>
              <w:jc w:val="center"/>
              <w:rPr>
                <w:rFonts w:eastAsia="Times New Roman"/>
                <w:noProof/>
              </w:rPr>
            </w:pPr>
            <w:r>
              <w:rPr>
                <w:noProof/>
              </w:rPr>
              <w:t>2025</w:t>
            </w:r>
          </w:p>
        </w:tc>
        <w:tc>
          <w:tcPr>
            <w:tcW w:w="3798" w:type="dxa"/>
            <w:shd w:val="clear" w:color="auto" w:fill="C4EFCE"/>
            <w:vAlign w:val="center"/>
          </w:tcPr>
          <w:p w14:paraId="0A0C34CD" w14:textId="77777777" w:rsidR="006C686E" w:rsidRDefault="00B17E8C">
            <w:pPr>
              <w:pStyle w:val="P68B1DB1-Normal11"/>
              <w:spacing w:after="0" w:line="240" w:lineRule="auto"/>
              <w:jc w:val="both"/>
              <w:rPr>
                <w:rFonts w:eastAsia="Times New Roman"/>
                <w:noProof/>
              </w:rPr>
            </w:pPr>
            <w:r>
              <w:rPr>
                <w:noProof/>
              </w:rPr>
              <w:t>Une plateforme SIADAPIT et une formation spécifique pour apprendre à l'utiliser seront disponibles.</w:t>
            </w:r>
          </w:p>
        </w:tc>
      </w:tr>
    </w:tbl>
    <w:p w14:paraId="5E21B367" w14:textId="77777777" w:rsidR="006C686E" w:rsidRDefault="00B17E8C">
      <w:pPr>
        <w:pStyle w:val="P68B1DB1-Normal6"/>
        <w:spacing w:after="200" w:line="276" w:lineRule="auto"/>
        <w:rPr>
          <w:noProof/>
        </w:rPr>
        <w:sectPr w:rsidR="006C686E" w:rsidSect="00A60C04">
          <w:headerReference w:type="even" r:id="rId359"/>
          <w:headerReference w:type="default" r:id="rId360"/>
          <w:footerReference w:type="even" r:id="rId361"/>
          <w:footerReference w:type="default" r:id="rId362"/>
          <w:headerReference w:type="first" r:id="rId363"/>
          <w:footerReference w:type="first" r:id="rId364"/>
          <w:pgSz w:w="16839" w:h="11907" w:orient="landscape"/>
          <w:pgMar w:top="1134" w:right="1134" w:bottom="1134" w:left="1134" w:header="567" w:footer="567" w:gutter="0"/>
          <w:cols w:space="720"/>
          <w:docGrid w:linePitch="360"/>
        </w:sectPr>
      </w:pPr>
      <w:r>
        <w:rPr>
          <w:noProof/>
        </w:rPr>
        <w:br w:type="page"/>
      </w:r>
    </w:p>
    <w:p w14:paraId="445C6AAF" w14:textId="1B787FC5" w:rsidR="006C686E" w:rsidRDefault="00B17E8C">
      <w:pPr>
        <w:pStyle w:val="P68B1DB1-Normal18"/>
        <w:keepNext/>
        <w:spacing w:before="40" w:after="0" w:line="259" w:lineRule="auto"/>
        <w:jc w:val="both"/>
        <w:outlineLvl w:val="1"/>
        <w:rPr>
          <w:rFonts w:eastAsiaTheme="minorEastAsia" w:cs="Times New Roman"/>
          <w:bCs/>
          <w:noProof/>
        </w:rPr>
      </w:pPr>
      <w:r>
        <w:rPr>
          <w:noProof/>
        </w:rPr>
        <w:t>T. Élément 20: École numérique</w:t>
      </w:r>
    </w:p>
    <w:p w14:paraId="28758EAC"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En 2019, le Portugal affichait des valeurs inférieures aux moyennes européennes en termes d’utilisation quotidienne de l’internet (65 %), d’utilisation des services publics en ligne (41 %) et de spécialistes des TIC sur le marché du travail (2,4 %) (données Eurostat/Observatoire des compétences numériques) et s’est fixé des objectifs ambitieux d’ici 2025 pour ces indicateurs (80 %, 75 % et 5 % respectivement). Parmi les spécialistes des TIC sur le marché du travail, les femmes représentaient 18,3 % et les hommes 81,7 % (données Eurostat). </w:t>
      </w:r>
    </w:p>
    <w:p w14:paraId="40EF20D2" w14:textId="77777777" w:rsidR="006C686E" w:rsidRDefault="00B17E8C">
      <w:pPr>
        <w:pStyle w:val="P68B1DB1-Normal22"/>
        <w:keepNext/>
        <w:spacing w:before="40" w:after="0" w:line="259" w:lineRule="auto"/>
        <w:jc w:val="both"/>
        <w:rPr>
          <w:rFonts w:eastAsiaTheme="minorEastAsia" w:cs="Times New Roman"/>
          <w:noProof/>
        </w:rPr>
      </w:pPr>
      <w:r>
        <w:rPr>
          <w:noProof/>
        </w:rPr>
        <w:t>Les objectifs de la composante sont de créer les conditions de l'innovation éducative, pédagogique et managériale du système d'enseignement primaire et secondaire portugais. Cet objectif est atteint en développant les compétences numériques des enseignants, des élèves et du personnel scolaire, en intégrant les technologies numériques dans les différents domaines d’études et en fournissant les équipements appropriés. Cela devrait à son tour contribuer à la transition numérique et à une croissance inclusive et durable de l’économie.</w:t>
      </w:r>
    </w:p>
    <w:p w14:paraId="30CAE4F1" w14:textId="77777777" w:rsidR="006C686E" w:rsidRDefault="00B17E8C">
      <w:pPr>
        <w:pStyle w:val="P68B1DB1-Normal22"/>
        <w:keepNext/>
        <w:spacing w:before="40" w:after="0" w:line="259" w:lineRule="auto"/>
        <w:jc w:val="both"/>
        <w:rPr>
          <w:rFonts w:eastAsiaTheme="minorEastAsia" w:cs="Times New Roman"/>
          <w:noProof/>
        </w:rPr>
      </w:pPr>
      <w:r>
        <w:rPr>
          <w:noProof/>
        </w:rPr>
        <w:t>Ce volet contribue à donner suite à la recommandation par pays visant à améliorer le niveau de compétences de la population, en particulier sa culture numérique (recommandation par pays no 2 de 2019) et à soutenir l’utilisation des technologies numériques pour garantir l’égalité d’accès à une éducation et à une formation de qualité (recommandation par pays no 2 de 2020).</w:t>
      </w:r>
    </w:p>
    <w:p w14:paraId="72BDC46B" w14:textId="77777777" w:rsidR="006C686E" w:rsidRDefault="00B17E8C">
      <w:pPr>
        <w:pStyle w:val="P68B1DB1-Normal22"/>
        <w:keepNext/>
        <w:spacing w:before="40" w:after="0" w:line="259"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75253906" w14:textId="77777777" w:rsidR="006C686E" w:rsidRDefault="00B17E8C">
      <w:pPr>
        <w:pStyle w:val="P68B1DB1-Normal18"/>
        <w:keepNext/>
        <w:spacing w:before="40" w:after="0" w:line="259" w:lineRule="auto"/>
        <w:ind w:left="130" w:firstLine="720"/>
        <w:jc w:val="both"/>
        <w:outlineLvl w:val="1"/>
        <w:rPr>
          <w:rFonts w:eastAsiaTheme="minorEastAsia" w:cs="Times New Roman"/>
          <w:bCs/>
          <w:noProof/>
        </w:rPr>
      </w:pPr>
      <w:r>
        <w:rPr>
          <w:noProof/>
        </w:rPr>
        <w:t>T.1. Description des réformes et des investissements pour le soutien financier non remboursable</w:t>
      </w:r>
    </w:p>
    <w:p w14:paraId="30099AA2" w14:textId="77777777" w:rsidR="006C686E" w:rsidRDefault="00B17E8C">
      <w:pPr>
        <w:pStyle w:val="P68B1DB1-Normal21"/>
        <w:keepNext/>
        <w:spacing w:before="240" w:after="0" w:line="259" w:lineRule="auto"/>
        <w:ind w:left="851"/>
        <w:jc w:val="both"/>
        <w:outlineLvl w:val="2"/>
        <w:rPr>
          <w:rFonts w:eastAsiaTheme="minorEastAsia" w:cs="Times New Roman"/>
          <w:noProof/>
        </w:rPr>
      </w:pPr>
      <w:r>
        <w:rPr>
          <w:noProof/>
        </w:rPr>
        <w:t>Investissement TD-C20-i01: Transition numérique dans l’éducation</w:t>
      </w:r>
    </w:p>
    <w:p w14:paraId="7B7E11A3" w14:textId="77777777" w:rsidR="006C686E" w:rsidRDefault="00B17E8C">
      <w:pPr>
        <w:pStyle w:val="P68B1DB1-Normal22"/>
        <w:keepNext/>
        <w:spacing w:before="40" w:after="0" w:line="259" w:lineRule="auto"/>
        <w:jc w:val="both"/>
        <w:rPr>
          <w:noProof/>
        </w:rPr>
      </w:pPr>
      <w:r>
        <w:rPr>
          <w:noProof/>
        </w:rPr>
        <w:t xml:space="preserve">L’objectif de la mesure est d’investir dans l’environnement éducatif numérique, du point de vue de l’apprentissage, de l’enseignement et de l’administration des écoles. </w:t>
      </w:r>
    </w:p>
    <w:p w14:paraId="2E77A3C9" w14:textId="77777777" w:rsidR="006C686E" w:rsidRDefault="00B17E8C">
      <w:pPr>
        <w:pStyle w:val="P68B1DB1-Normal22"/>
        <w:keepNext/>
        <w:spacing w:before="40" w:after="0" w:line="259" w:lineRule="auto"/>
        <w:jc w:val="both"/>
        <w:rPr>
          <w:noProof/>
        </w:rPr>
      </w:pPr>
      <w:r>
        <w:rPr>
          <w:noProof/>
        </w:rPr>
        <w:t>L’investissement consiste à fournir des ressources éducatives numériques, à accéder à des équipements technologiques spécialisés et à des systèmes de gestion scolaire.</w:t>
      </w:r>
    </w:p>
    <w:p w14:paraId="43F47E38" w14:textId="77777777" w:rsidR="006C686E" w:rsidRDefault="00B17E8C">
      <w:pPr>
        <w:pStyle w:val="P68B1DB1-Normal21"/>
        <w:keepNext/>
        <w:spacing w:before="240" w:after="0" w:line="259" w:lineRule="auto"/>
        <w:ind w:left="851"/>
        <w:jc w:val="both"/>
        <w:outlineLvl w:val="2"/>
        <w:rPr>
          <w:rFonts w:eastAsiaTheme="minorEastAsia" w:cs="Times New Roman"/>
          <w:noProof/>
        </w:rPr>
      </w:pPr>
      <w:r>
        <w:rPr>
          <w:noProof/>
        </w:rPr>
        <w:t>Investissement TD-C20-i02-RAA: Éducation numérique (Açores)</w:t>
      </w:r>
    </w:p>
    <w:p w14:paraId="159B010A" w14:textId="77777777" w:rsidR="006C686E" w:rsidRDefault="00B17E8C">
      <w:pPr>
        <w:pStyle w:val="P68B1DB1-Normal22"/>
        <w:keepNext/>
        <w:spacing w:before="40" w:after="0" w:line="259" w:lineRule="auto"/>
        <w:jc w:val="both"/>
        <w:rPr>
          <w:rFonts w:eastAsiaTheme="minorEastAsia" w:cs="Times New Roman"/>
          <w:noProof/>
        </w:rPr>
      </w:pPr>
      <w:r>
        <w:rPr>
          <w:noProof/>
        </w:rPr>
        <w:t>L’objectif de la mesure est de garantir l’accès à l’utilisation des technologies numériques dans l’éducation.</w:t>
      </w:r>
    </w:p>
    <w:p w14:paraId="7683962D" w14:textId="3ECE7E60" w:rsidR="006C686E" w:rsidRDefault="00B17E8C">
      <w:pPr>
        <w:pStyle w:val="P68B1DB1-Normal22"/>
        <w:keepNext/>
        <w:spacing w:before="40" w:after="0" w:line="259" w:lineRule="auto"/>
        <w:jc w:val="both"/>
        <w:rPr>
          <w:rFonts w:eastAsiaTheme="minorEastAsia" w:cs="Times New Roman"/>
          <w:noProof/>
        </w:rPr>
      </w:pPr>
      <w:r>
        <w:rPr>
          <w:noProof/>
        </w:rPr>
        <w:t>Cet investissement consiste en la fourniture d'équipements, de ressources éducatives numériques et d'une connectivité améliorée.</w:t>
      </w:r>
    </w:p>
    <w:p w14:paraId="3125295F" w14:textId="77777777" w:rsidR="006C686E" w:rsidRDefault="00B17E8C">
      <w:pPr>
        <w:pStyle w:val="P68B1DB1-Normal21"/>
        <w:keepNext/>
        <w:spacing w:before="240" w:after="0" w:line="259" w:lineRule="auto"/>
        <w:ind w:left="851"/>
        <w:jc w:val="both"/>
        <w:outlineLvl w:val="2"/>
        <w:rPr>
          <w:rFonts w:eastAsiaTheme="minorEastAsia" w:cs="Times New Roman"/>
          <w:noProof/>
        </w:rPr>
      </w:pPr>
      <w:r>
        <w:rPr>
          <w:noProof/>
        </w:rPr>
        <w:t>Investissement TD-C20-i03-RAM: Accélérer la numérisation de l'éducation ARM</w:t>
      </w:r>
    </w:p>
    <w:p w14:paraId="79B0E013" w14:textId="77777777" w:rsidR="006C686E" w:rsidRDefault="00B17E8C">
      <w:pPr>
        <w:pStyle w:val="P68B1DB1-Normal22"/>
        <w:keepNext/>
        <w:spacing w:before="40" w:after="0" w:line="259" w:lineRule="auto"/>
        <w:jc w:val="both"/>
        <w:rPr>
          <w:rFonts w:eastAsiaTheme="minorEastAsia" w:cs="Times New Roman"/>
          <w:noProof/>
        </w:rPr>
      </w:pPr>
      <w:r>
        <w:rPr>
          <w:noProof/>
        </w:rPr>
        <w:t xml:space="preserve">L’objectif de la mesure est un système éducatif plus proactif, inclusif, autonome, équitable et ouvert dans la région autonome de Madère. </w:t>
      </w:r>
    </w:p>
    <w:p w14:paraId="11912C72" w14:textId="12D2EFD6" w:rsidR="006C686E" w:rsidRDefault="00B17E8C">
      <w:pPr>
        <w:pStyle w:val="P68B1DB1-Normal22"/>
        <w:keepNext/>
        <w:spacing w:before="40" w:after="0" w:line="259" w:lineRule="auto"/>
        <w:jc w:val="both"/>
        <w:rPr>
          <w:noProof/>
        </w:rPr>
      </w:pPr>
      <w:r>
        <w:rPr>
          <w:noProof/>
        </w:rPr>
        <w:t xml:space="preserve">L’investissement consiste en la fourniture d’équipements numériques pour les écoles, l’amélioration de la connectivité et des formations aux compétences numériques. </w:t>
      </w:r>
    </w:p>
    <w:p w14:paraId="0962C87D" w14:textId="77777777" w:rsidR="006C686E" w:rsidRDefault="006C686E">
      <w:pPr>
        <w:keepNext/>
        <w:spacing w:before="40" w:after="0" w:line="259" w:lineRule="auto"/>
        <w:jc w:val="both"/>
        <w:rPr>
          <w:rFonts w:ascii="Times New Roman" w:hAnsi="Times New Roman"/>
          <w:noProof/>
        </w:rPr>
        <w:sectPr w:rsidR="006C686E" w:rsidSect="00A60C04">
          <w:headerReference w:type="default" r:id="rId365"/>
          <w:footerReference w:type="default" r:id="rId366"/>
          <w:pgSz w:w="11907" w:h="16839"/>
          <w:pgMar w:top="1134" w:right="1134" w:bottom="1134" w:left="1134" w:header="567" w:footer="567" w:gutter="0"/>
          <w:cols w:space="720"/>
          <w:docGrid w:linePitch="360"/>
        </w:sectPr>
      </w:pPr>
    </w:p>
    <w:p w14:paraId="270D52A5" w14:textId="77777777" w:rsidR="006C686E" w:rsidRDefault="00B17E8C">
      <w:pPr>
        <w:pStyle w:val="P68B1DB1-Normal18"/>
        <w:keepNext/>
        <w:spacing w:before="40" w:after="0" w:line="259" w:lineRule="auto"/>
        <w:ind w:left="130" w:firstLine="12"/>
        <w:jc w:val="center"/>
        <w:outlineLvl w:val="1"/>
        <w:rPr>
          <w:rFonts w:eastAsiaTheme="minorEastAsia" w:cs="Times New Roman"/>
          <w:bCs/>
          <w:noProof/>
        </w:rPr>
      </w:pPr>
      <w:r>
        <w:rPr>
          <w:noProof/>
        </w:rPr>
        <w:t>T.2. Étapes, cibles, indicateurs et calendrier pour le suivi et la mise en œuvre du soutien financier non remboursable</w:t>
      </w:r>
    </w:p>
    <w:tbl>
      <w:tblPr>
        <w:tblW w:w="147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418"/>
        <w:gridCol w:w="1247"/>
        <w:gridCol w:w="1275"/>
        <w:gridCol w:w="993"/>
        <w:gridCol w:w="992"/>
        <w:gridCol w:w="992"/>
        <w:gridCol w:w="567"/>
        <w:gridCol w:w="879"/>
        <w:gridCol w:w="3798"/>
      </w:tblGrid>
      <w:tr w:rsidR="006C686E" w14:paraId="007CD056" w14:textId="77777777" w:rsidTr="00E130FD">
        <w:trPr>
          <w:trHeight w:val="300"/>
          <w:tblHeader/>
        </w:trPr>
        <w:tc>
          <w:tcPr>
            <w:tcW w:w="1135" w:type="dxa"/>
            <w:vMerge w:val="restart"/>
            <w:shd w:val="clear" w:color="auto" w:fill="BDD6EE"/>
            <w:vAlign w:val="center"/>
            <w:hideMark/>
          </w:tcPr>
          <w:p w14:paraId="33D72A8D" w14:textId="77777777" w:rsidR="006C686E" w:rsidRDefault="00B17E8C">
            <w:pPr>
              <w:pStyle w:val="P68B1DB1-Normal24"/>
              <w:spacing w:after="0" w:line="240" w:lineRule="auto"/>
              <w:jc w:val="center"/>
              <w:rPr>
                <w:rFonts w:eastAsia="Times New Roman"/>
                <w:bCs/>
                <w:noProof/>
              </w:rPr>
            </w:pPr>
            <w:r>
              <w:rPr>
                <w:noProof/>
              </w:rPr>
              <w:t>Numéro séquentiel</w:t>
            </w:r>
          </w:p>
        </w:tc>
        <w:tc>
          <w:tcPr>
            <w:tcW w:w="1446" w:type="dxa"/>
            <w:vMerge w:val="restart"/>
            <w:shd w:val="clear" w:color="auto" w:fill="BDD6EE"/>
            <w:vAlign w:val="center"/>
            <w:hideMark/>
          </w:tcPr>
          <w:p w14:paraId="60883797" w14:textId="77777777" w:rsidR="006C686E" w:rsidRDefault="00B17E8C">
            <w:pPr>
              <w:pStyle w:val="P68B1DB1-Normal24"/>
              <w:spacing w:after="0" w:line="240" w:lineRule="auto"/>
              <w:jc w:val="center"/>
              <w:rPr>
                <w:rFonts w:eastAsia="Times New Roman"/>
                <w:bCs/>
                <w:noProof/>
              </w:rPr>
            </w:pPr>
            <w:r>
              <w:rPr>
                <w:noProof/>
              </w:rPr>
              <w:t>Mesure (réforme ou investissement)</w:t>
            </w:r>
          </w:p>
        </w:tc>
        <w:tc>
          <w:tcPr>
            <w:tcW w:w="1418" w:type="dxa"/>
            <w:vMerge w:val="restart"/>
            <w:shd w:val="clear" w:color="auto" w:fill="BDD6EE"/>
            <w:vAlign w:val="center"/>
            <w:hideMark/>
          </w:tcPr>
          <w:p w14:paraId="64C989EC" w14:textId="77777777" w:rsidR="006C686E" w:rsidRDefault="00B17E8C">
            <w:pPr>
              <w:pStyle w:val="P68B1DB1-Normal24"/>
              <w:spacing w:after="0" w:line="240" w:lineRule="auto"/>
              <w:jc w:val="center"/>
              <w:rPr>
                <w:rFonts w:eastAsia="Times New Roman"/>
                <w:bCs/>
                <w:noProof/>
              </w:rPr>
            </w:pPr>
            <w:r>
              <w:rPr>
                <w:noProof/>
              </w:rPr>
              <w:t>Étape/objectif</w:t>
            </w:r>
          </w:p>
        </w:tc>
        <w:tc>
          <w:tcPr>
            <w:tcW w:w="1247" w:type="dxa"/>
            <w:vMerge w:val="restart"/>
            <w:shd w:val="clear" w:color="auto" w:fill="BDD6EE"/>
            <w:vAlign w:val="center"/>
            <w:hideMark/>
          </w:tcPr>
          <w:p w14:paraId="22BD1C6C" w14:textId="77777777" w:rsidR="006C686E" w:rsidRDefault="00B17E8C">
            <w:pPr>
              <w:pStyle w:val="P68B1DB1-Normal24"/>
              <w:spacing w:after="0" w:line="240" w:lineRule="auto"/>
              <w:jc w:val="center"/>
              <w:rPr>
                <w:rFonts w:eastAsia="Times New Roman"/>
                <w:bCs/>
                <w:noProof/>
              </w:rPr>
            </w:pPr>
            <w:r>
              <w:rPr>
                <w:noProof/>
              </w:rPr>
              <w:t>Nom</w:t>
            </w:r>
          </w:p>
        </w:tc>
        <w:tc>
          <w:tcPr>
            <w:tcW w:w="1275" w:type="dxa"/>
            <w:vMerge w:val="restart"/>
            <w:shd w:val="clear" w:color="auto" w:fill="BDD6EE"/>
            <w:vAlign w:val="center"/>
            <w:hideMark/>
          </w:tcPr>
          <w:p w14:paraId="4BF80E1C" w14:textId="77777777" w:rsidR="006C686E" w:rsidRDefault="00B17E8C">
            <w:pPr>
              <w:pStyle w:val="P68B1DB1-Normal24"/>
              <w:spacing w:after="0" w:line="240" w:lineRule="auto"/>
              <w:jc w:val="center"/>
              <w:rPr>
                <w:rFonts w:eastAsia="Times New Roman"/>
                <w:bCs/>
                <w:noProof/>
              </w:rPr>
            </w:pPr>
            <w:r>
              <w:rPr>
                <w:noProof/>
              </w:rPr>
              <w:t>Indicateurs qualitatifs (pour les jalons)</w:t>
            </w:r>
          </w:p>
        </w:tc>
        <w:tc>
          <w:tcPr>
            <w:tcW w:w="2977" w:type="dxa"/>
            <w:gridSpan w:val="3"/>
            <w:shd w:val="clear" w:color="auto" w:fill="BDD6EE"/>
            <w:vAlign w:val="center"/>
            <w:hideMark/>
          </w:tcPr>
          <w:p w14:paraId="06422ED4" w14:textId="77777777" w:rsidR="006C686E" w:rsidRDefault="00B17E8C">
            <w:pPr>
              <w:pStyle w:val="P68B1DB1-Normal24"/>
              <w:spacing w:after="0" w:line="240" w:lineRule="auto"/>
              <w:jc w:val="center"/>
              <w:rPr>
                <w:rFonts w:eastAsia="Times New Roman"/>
                <w:bCs/>
                <w:noProof/>
              </w:rPr>
            </w:pPr>
            <w:r>
              <w:rPr>
                <w:noProof/>
              </w:rPr>
              <w:t>Indicateurs quantitatifs (pour les objectifs)</w:t>
            </w:r>
          </w:p>
        </w:tc>
        <w:tc>
          <w:tcPr>
            <w:tcW w:w="1446" w:type="dxa"/>
            <w:gridSpan w:val="2"/>
            <w:shd w:val="clear" w:color="auto" w:fill="BDD6EE"/>
            <w:vAlign w:val="center"/>
            <w:hideMark/>
          </w:tcPr>
          <w:p w14:paraId="340B28A6" w14:textId="77777777" w:rsidR="006C686E" w:rsidRDefault="00B17E8C">
            <w:pPr>
              <w:pStyle w:val="P68B1DB1-Normal24"/>
              <w:spacing w:after="0" w:line="240" w:lineRule="auto"/>
              <w:jc w:val="center"/>
              <w:rPr>
                <w:rFonts w:eastAsia="Times New Roman"/>
                <w:bCs/>
                <w:noProof/>
              </w:rPr>
            </w:pPr>
            <w:r>
              <w:rPr>
                <w:noProof/>
              </w:rPr>
              <w:t>Calendrier indicatif d'achèvement</w:t>
            </w:r>
          </w:p>
        </w:tc>
        <w:tc>
          <w:tcPr>
            <w:tcW w:w="3798" w:type="dxa"/>
            <w:vMerge w:val="restart"/>
            <w:shd w:val="clear" w:color="auto" w:fill="BDD6EE"/>
            <w:vAlign w:val="center"/>
            <w:hideMark/>
          </w:tcPr>
          <w:p w14:paraId="2B233389" w14:textId="77777777" w:rsidR="006C686E" w:rsidRDefault="00B17E8C">
            <w:pPr>
              <w:pStyle w:val="P68B1DB1-Normal24"/>
              <w:spacing w:after="0" w:line="240" w:lineRule="auto"/>
              <w:jc w:val="center"/>
              <w:rPr>
                <w:rFonts w:eastAsia="Times New Roman"/>
                <w:bCs/>
                <w:noProof/>
              </w:rPr>
            </w:pPr>
            <w:r>
              <w:rPr>
                <w:noProof/>
              </w:rPr>
              <w:t>Description et définition claire de chaque jalon et cible</w:t>
            </w:r>
          </w:p>
        </w:tc>
      </w:tr>
      <w:tr w:rsidR="006C686E" w14:paraId="4105A1C0" w14:textId="77777777" w:rsidTr="00E130FD">
        <w:trPr>
          <w:trHeight w:val="300"/>
          <w:tblHeader/>
        </w:trPr>
        <w:tc>
          <w:tcPr>
            <w:tcW w:w="1135" w:type="dxa"/>
            <w:vMerge/>
            <w:vAlign w:val="center"/>
            <w:hideMark/>
          </w:tcPr>
          <w:p w14:paraId="4F51243F" w14:textId="77777777" w:rsidR="006C686E" w:rsidRDefault="006C686E">
            <w:pPr>
              <w:spacing w:after="0" w:line="240" w:lineRule="auto"/>
              <w:rPr>
                <w:rFonts w:ascii="Times New Roman" w:eastAsia="Times New Roman" w:hAnsi="Times New Roman" w:cs="Times New Roman"/>
                <w:b/>
                <w:bCs/>
                <w:noProof/>
                <w:sz w:val="18"/>
                <w:szCs w:val="18"/>
              </w:rPr>
            </w:pPr>
          </w:p>
        </w:tc>
        <w:tc>
          <w:tcPr>
            <w:tcW w:w="1446" w:type="dxa"/>
            <w:vMerge/>
            <w:vAlign w:val="center"/>
            <w:hideMark/>
          </w:tcPr>
          <w:p w14:paraId="76E856C8" w14:textId="77777777" w:rsidR="006C686E" w:rsidRDefault="006C686E">
            <w:pPr>
              <w:spacing w:after="0" w:line="240" w:lineRule="auto"/>
              <w:rPr>
                <w:rFonts w:ascii="Times New Roman" w:eastAsia="Times New Roman" w:hAnsi="Times New Roman" w:cs="Times New Roman"/>
                <w:b/>
                <w:bCs/>
                <w:noProof/>
                <w:sz w:val="18"/>
                <w:szCs w:val="18"/>
              </w:rPr>
            </w:pPr>
          </w:p>
        </w:tc>
        <w:tc>
          <w:tcPr>
            <w:tcW w:w="1418" w:type="dxa"/>
            <w:vMerge/>
            <w:vAlign w:val="center"/>
            <w:hideMark/>
          </w:tcPr>
          <w:p w14:paraId="4A56306A" w14:textId="77777777" w:rsidR="006C686E" w:rsidRDefault="006C686E">
            <w:pPr>
              <w:spacing w:after="0" w:line="240" w:lineRule="auto"/>
              <w:jc w:val="center"/>
              <w:rPr>
                <w:rFonts w:ascii="Times New Roman" w:eastAsia="Times New Roman" w:hAnsi="Times New Roman" w:cs="Times New Roman"/>
                <w:b/>
                <w:bCs/>
                <w:noProof/>
                <w:sz w:val="18"/>
                <w:szCs w:val="18"/>
              </w:rPr>
            </w:pPr>
          </w:p>
        </w:tc>
        <w:tc>
          <w:tcPr>
            <w:tcW w:w="1247" w:type="dxa"/>
            <w:vMerge/>
            <w:vAlign w:val="center"/>
            <w:hideMark/>
          </w:tcPr>
          <w:p w14:paraId="678C32CA" w14:textId="77777777" w:rsidR="006C686E" w:rsidRDefault="006C686E">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88558E3" w14:textId="77777777" w:rsidR="006C686E" w:rsidRDefault="006C686E">
            <w:pPr>
              <w:spacing w:after="0" w:line="240" w:lineRule="auto"/>
              <w:rPr>
                <w:rFonts w:ascii="Times New Roman" w:eastAsia="Times New Roman" w:hAnsi="Times New Roman" w:cs="Times New Roman"/>
                <w:b/>
                <w:bCs/>
                <w:noProof/>
                <w:sz w:val="18"/>
                <w:szCs w:val="18"/>
              </w:rPr>
            </w:pPr>
          </w:p>
        </w:tc>
        <w:tc>
          <w:tcPr>
            <w:tcW w:w="993" w:type="dxa"/>
            <w:shd w:val="clear" w:color="auto" w:fill="BDD6EE"/>
            <w:vAlign w:val="center"/>
            <w:hideMark/>
          </w:tcPr>
          <w:p w14:paraId="7EAFA659" w14:textId="77777777" w:rsidR="006C686E" w:rsidRDefault="00B17E8C">
            <w:pPr>
              <w:pStyle w:val="P68B1DB1-Normal24"/>
              <w:spacing w:after="0" w:line="240" w:lineRule="auto"/>
              <w:jc w:val="center"/>
              <w:rPr>
                <w:rFonts w:eastAsia="Times New Roman"/>
                <w:bCs/>
                <w:noProof/>
              </w:rPr>
            </w:pPr>
            <w:r>
              <w:rPr>
                <w:noProof/>
              </w:rPr>
              <w:t>Unité de mesure</w:t>
            </w:r>
          </w:p>
        </w:tc>
        <w:tc>
          <w:tcPr>
            <w:tcW w:w="992" w:type="dxa"/>
            <w:shd w:val="clear" w:color="auto" w:fill="BDD6EE"/>
            <w:vAlign w:val="center"/>
            <w:hideMark/>
          </w:tcPr>
          <w:p w14:paraId="338D92C7" w14:textId="77777777" w:rsidR="006C686E" w:rsidRDefault="00B17E8C">
            <w:pPr>
              <w:pStyle w:val="P68B1DB1-Normal24"/>
              <w:spacing w:after="0" w:line="240" w:lineRule="auto"/>
              <w:jc w:val="center"/>
              <w:rPr>
                <w:rFonts w:eastAsia="Times New Roman"/>
                <w:bCs/>
                <w:noProof/>
              </w:rPr>
            </w:pPr>
            <w:r>
              <w:rPr>
                <w:noProof/>
              </w:rPr>
              <w:t>Données de référence</w:t>
            </w:r>
          </w:p>
        </w:tc>
        <w:tc>
          <w:tcPr>
            <w:tcW w:w="992" w:type="dxa"/>
            <w:shd w:val="clear" w:color="auto" w:fill="BDD6EE"/>
            <w:vAlign w:val="center"/>
            <w:hideMark/>
          </w:tcPr>
          <w:p w14:paraId="5944AC3E" w14:textId="77777777" w:rsidR="006C686E" w:rsidRDefault="00B17E8C">
            <w:pPr>
              <w:pStyle w:val="P68B1DB1-Normal24"/>
              <w:spacing w:after="0" w:line="240" w:lineRule="auto"/>
              <w:jc w:val="center"/>
              <w:rPr>
                <w:rFonts w:eastAsia="Times New Roman"/>
                <w:bCs/>
                <w:noProof/>
              </w:rPr>
            </w:pPr>
            <w:r>
              <w:rPr>
                <w:noProof/>
              </w:rPr>
              <w:t>Objectif</w:t>
            </w:r>
          </w:p>
        </w:tc>
        <w:tc>
          <w:tcPr>
            <w:tcW w:w="567" w:type="dxa"/>
            <w:shd w:val="clear" w:color="auto" w:fill="BDD6EE"/>
            <w:vAlign w:val="center"/>
            <w:hideMark/>
          </w:tcPr>
          <w:p w14:paraId="3A909918" w14:textId="77777777" w:rsidR="006C686E" w:rsidRDefault="00B17E8C">
            <w:pPr>
              <w:pStyle w:val="P68B1DB1-Normal24"/>
              <w:spacing w:after="0" w:line="240" w:lineRule="auto"/>
              <w:jc w:val="center"/>
              <w:rPr>
                <w:rFonts w:eastAsia="Times New Roman"/>
                <w:bCs/>
                <w:noProof/>
              </w:rPr>
            </w:pPr>
            <w:r>
              <w:rPr>
                <w:noProof/>
              </w:rPr>
              <w:t>Q</w:t>
            </w:r>
          </w:p>
        </w:tc>
        <w:tc>
          <w:tcPr>
            <w:tcW w:w="879" w:type="dxa"/>
            <w:shd w:val="clear" w:color="auto" w:fill="BDD6EE"/>
            <w:vAlign w:val="center"/>
            <w:hideMark/>
          </w:tcPr>
          <w:p w14:paraId="584E0E00" w14:textId="77777777" w:rsidR="006C686E" w:rsidRDefault="00B17E8C">
            <w:pPr>
              <w:pStyle w:val="P68B1DB1-Normal24"/>
              <w:spacing w:after="0" w:line="240" w:lineRule="auto"/>
              <w:jc w:val="center"/>
              <w:rPr>
                <w:rFonts w:eastAsia="Times New Roman"/>
                <w:bCs/>
                <w:noProof/>
              </w:rPr>
            </w:pPr>
            <w:r>
              <w:rPr>
                <w:noProof/>
              </w:rPr>
              <w:t>Année</w:t>
            </w:r>
          </w:p>
        </w:tc>
        <w:tc>
          <w:tcPr>
            <w:tcW w:w="3798" w:type="dxa"/>
            <w:vMerge/>
            <w:vAlign w:val="center"/>
            <w:hideMark/>
          </w:tcPr>
          <w:p w14:paraId="457BFF80" w14:textId="77777777" w:rsidR="006C686E" w:rsidRDefault="006C686E">
            <w:pPr>
              <w:spacing w:after="0" w:line="240" w:lineRule="auto"/>
              <w:rPr>
                <w:rFonts w:ascii="Times New Roman" w:eastAsia="Times New Roman" w:hAnsi="Times New Roman" w:cs="Times New Roman"/>
                <w:b/>
                <w:bCs/>
                <w:noProof/>
                <w:sz w:val="16"/>
                <w:szCs w:val="16"/>
              </w:rPr>
            </w:pPr>
          </w:p>
        </w:tc>
      </w:tr>
      <w:tr w:rsidR="006C686E" w14:paraId="78765D76" w14:textId="77777777" w:rsidTr="00E130FD">
        <w:trPr>
          <w:trHeight w:val="300"/>
        </w:trPr>
        <w:tc>
          <w:tcPr>
            <w:tcW w:w="1135" w:type="dxa"/>
            <w:shd w:val="clear" w:color="auto" w:fill="C4EFCE"/>
            <w:vAlign w:val="center"/>
          </w:tcPr>
          <w:p w14:paraId="101B0AD6" w14:textId="77777777" w:rsidR="006C686E" w:rsidRDefault="00B17E8C">
            <w:pPr>
              <w:pStyle w:val="P68B1DB1-Normal25"/>
              <w:spacing w:after="0" w:line="240" w:lineRule="auto"/>
              <w:jc w:val="center"/>
              <w:rPr>
                <w:rFonts w:eastAsia="Times New Roman"/>
                <w:bCs/>
                <w:noProof/>
              </w:rPr>
            </w:pPr>
            <w:r>
              <w:rPr>
                <w:noProof/>
              </w:rPr>
              <w:t>20.2</w:t>
            </w:r>
          </w:p>
        </w:tc>
        <w:tc>
          <w:tcPr>
            <w:tcW w:w="1446" w:type="dxa"/>
            <w:shd w:val="clear" w:color="auto" w:fill="C4EFCE"/>
            <w:noWrap/>
            <w:vAlign w:val="center"/>
          </w:tcPr>
          <w:p w14:paraId="787B5D2D" w14:textId="77777777" w:rsidR="006C686E" w:rsidRDefault="00B17E8C">
            <w:pPr>
              <w:pStyle w:val="P68B1DB1-Normal26"/>
              <w:spacing w:after="0" w:line="240" w:lineRule="auto"/>
              <w:jc w:val="center"/>
              <w:rPr>
                <w:rFonts w:eastAsia="Times New Roman"/>
                <w:noProof/>
              </w:rPr>
            </w:pPr>
            <w:r>
              <w:rPr>
                <w:noProof/>
              </w:rPr>
              <w:t>TD-C20-i01</w:t>
            </w:r>
          </w:p>
        </w:tc>
        <w:tc>
          <w:tcPr>
            <w:tcW w:w="1418" w:type="dxa"/>
            <w:shd w:val="clear" w:color="auto" w:fill="C4EFCE"/>
            <w:noWrap/>
            <w:vAlign w:val="center"/>
          </w:tcPr>
          <w:p w14:paraId="2FB27259" w14:textId="77777777" w:rsidR="006C686E" w:rsidRDefault="00B17E8C">
            <w:pPr>
              <w:pStyle w:val="P68B1DB1-Normal26"/>
              <w:spacing w:after="0" w:line="240" w:lineRule="auto"/>
              <w:jc w:val="center"/>
              <w:rPr>
                <w:rFonts w:eastAsia="Times New Roman"/>
                <w:noProof/>
              </w:rPr>
            </w:pPr>
            <w:r>
              <w:rPr>
                <w:noProof/>
              </w:rPr>
              <w:t>M</w:t>
            </w:r>
          </w:p>
        </w:tc>
        <w:tc>
          <w:tcPr>
            <w:tcW w:w="1247" w:type="dxa"/>
            <w:shd w:val="clear" w:color="auto" w:fill="C4EFCE"/>
            <w:noWrap/>
            <w:vAlign w:val="center"/>
          </w:tcPr>
          <w:p w14:paraId="6BD9827E" w14:textId="77777777" w:rsidR="006C686E" w:rsidRDefault="00B17E8C">
            <w:pPr>
              <w:pStyle w:val="P68B1DB1-Normal26"/>
              <w:spacing w:after="0" w:line="240" w:lineRule="auto"/>
              <w:jc w:val="center"/>
              <w:rPr>
                <w:rFonts w:eastAsia="Times New Roman"/>
                <w:noProof/>
              </w:rPr>
            </w:pPr>
            <w:r>
              <w:rPr>
                <w:noProof/>
              </w:rPr>
              <w:t>Signature de contrats pour l'achat d'ordinateurs individuels pour les élèves et les enseignants</w:t>
            </w:r>
          </w:p>
        </w:tc>
        <w:tc>
          <w:tcPr>
            <w:tcW w:w="1275" w:type="dxa"/>
            <w:shd w:val="clear" w:color="auto" w:fill="C4EFCE"/>
            <w:noWrap/>
            <w:vAlign w:val="center"/>
          </w:tcPr>
          <w:p w14:paraId="12700487" w14:textId="07A14088" w:rsidR="006C686E" w:rsidRDefault="00B17E8C">
            <w:pPr>
              <w:pStyle w:val="P68B1DB1-Normal26"/>
              <w:spacing w:after="0" w:line="240" w:lineRule="auto"/>
              <w:jc w:val="center"/>
              <w:rPr>
                <w:rFonts w:eastAsia="Times New Roman"/>
                <w:noProof/>
              </w:rPr>
            </w:pPr>
            <w:r>
              <w:rPr>
                <w:noProof/>
              </w:rPr>
              <w:t>Signature du contrat</w:t>
            </w:r>
          </w:p>
        </w:tc>
        <w:tc>
          <w:tcPr>
            <w:tcW w:w="993" w:type="dxa"/>
            <w:shd w:val="clear" w:color="auto" w:fill="C4EFCE"/>
            <w:noWrap/>
            <w:vAlign w:val="center"/>
          </w:tcPr>
          <w:p w14:paraId="6E6A601E"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1F65E21"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6385DBF2"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tcPr>
          <w:p w14:paraId="2153C975"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tcPr>
          <w:p w14:paraId="26643F42" w14:textId="77777777" w:rsidR="006C686E" w:rsidRDefault="00B17E8C">
            <w:pPr>
              <w:pStyle w:val="P68B1DB1-Normal26"/>
              <w:spacing w:after="0" w:line="240" w:lineRule="auto"/>
              <w:jc w:val="center"/>
              <w:rPr>
                <w:rFonts w:eastAsia="Times New Roman"/>
                <w:noProof/>
              </w:rPr>
            </w:pPr>
            <w:r>
              <w:rPr>
                <w:noProof/>
              </w:rPr>
              <w:t>2021</w:t>
            </w:r>
          </w:p>
        </w:tc>
        <w:tc>
          <w:tcPr>
            <w:tcW w:w="3798" w:type="dxa"/>
            <w:shd w:val="clear" w:color="auto" w:fill="C4EFCE"/>
            <w:vAlign w:val="center"/>
          </w:tcPr>
          <w:p w14:paraId="6EDB91D4" w14:textId="5AB57959" w:rsidR="006C686E" w:rsidRDefault="00B17E8C">
            <w:pPr>
              <w:pStyle w:val="P68B1DB1-Normal26"/>
              <w:spacing w:after="0" w:line="240" w:lineRule="auto"/>
              <w:jc w:val="both"/>
              <w:rPr>
                <w:rFonts w:eastAsia="Times New Roman"/>
                <w:noProof/>
              </w:rPr>
            </w:pPr>
            <w:r>
              <w:rPr>
                <w:noProof/>
              </w:rPr>
              <w:t>Signature de contrats pour l'achat de 600 000 nouveaux ordinateurs portables à prêter aux enseignants et aux élèves.</w:t>
            </w:r>
          </w:p>
        </w:tc>
      </w:tr>
      <w:tr w:rsidR="006C686E" w14:paraId="2DAF6868" w14:textId="77777777" w:rsidTr="00E130FD">
        <w:trPr>
          <w:trHeight w:val="300"/>
        </w:trPr>
        <w:tc>
          <w:tcPr>
            <w:tcW w:w="1135" w:type="dxa"/>
            <w:shd w:val="clear" w:color="auto" w:fill="C4EFCE"/>
            <w:vAlign w:val="center"/>
            <w:hideMark/>
          </w:tcPr>
          <w:p w14:paraId="6FEC63FC" w14:textId="77777777" w:rsidR="006C686E" w:rsidRDefault="00B17E8C">
            <w:pPr>
              <w:pStyle w:val="P68B1DB1-Normal25"/>
              <w:spacing w:after="0" w:line="240" w:lineRule="auto"/>
              <w:jc w:val="center"/>
              <w:rPr>
                <w:rFonts w:eastAsia="Times New Roman"/>
                <w:bCs/>
                <w:noProof/>
              </w:rPr>
            </w:pPr>
            <w:r>
              <w:rPr>
                <w:noProof/>
              </w:rPr>
              <w:t>20.3</w:t>
            </w:r>
          </w:p>
        </w:tc>
        <w:tc>
          <w:tcPr>
            <w:tcW w:w="1446" w:type="dxa"/>
            <w:shd w:val="clear" w:color="auto" w:fill="C4EFCE"/>
            <w:noWrap/>
            <w:vAlign w:val="center"/>
            <w:hideMark/>
          </w:tcPr>
          <w:p w14:paraId="5AC4BEF2" w14:textId="77777777" w:rsidR="006C686E" w:rsidRDefault="00B17E8C">
            <w:pPr>
              <w:pStyle w:val="P68B1DB1-Normal26"/>
              <w:spacing w:after="0" w:line="240" w:lineRule="auto"/>
              <w:jc w:val="center"/>
              <w:rPr>
                <w:rFonts w:eastAsia="Times New Roman"/>
                <w:noProof/>
              </w:rPr>
            </w:pPr>
            <w:r>
              <w:rPr>
                <w:noProof/>
              </w:rPr>
              <w:t>TD-C20-i01</w:t>
            </w:r>
          </w:p>
        </w:tc>
        <w:tc>
          <w:tcPr>
            <w:tcW w:w="1418" w:type="dxa"/>
            <w:shd w:val="clear" w:color="auto" w:fill="C4EFCE"/>
            <w:noWrap/>
            <w:vAlign w:val="center"/>
            <w:hideMark/>
          </w:tcPr>
          <w:p w14:paraId="48DE2241"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0CD4F760" w14:textId="77777777" w:rsidR="006C686E" w:rsidRDefault="00B17E8C">
            <w:pPr>
              <w:pStyle w:val="P68B1DB1-Normal26"/>
              <w:spacing w:after="0" w:line="240" w:lineRule="auto"/>
              <w:jc w:val="center"/>
              <w:rPr>
                <w:rFonts w:eastAsia="Times New Roman"/>
                <w:noProof/>
              </w:rPr>
            </w:pPr>
            <w:r>
              <w:rPr>
                <w:noProof/>
              </w:rPr>
              <w:t>Ordinateurs à usage individuel pour les élèves et les enseignants</w:t>
            </w:r>
          </w:p>
        </w:tc>
        <w:tc>
          <w:tcPr>
            <w:tcW w:w="1275" w:type="dxa"/>
            <w:shd w:val="clear" w:color="auto" w:fill="C4EFCE"/>
            <w:noWrap/>
            <w:vAlign w:val="center"/>
            <w:hideMark/>
          </w:tcPr>
          <w:p w14:paraId="6122D698"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108F7251"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6A2152E2" w14:textId="77777777" w:rsidR="006C686E" w:rsidRDefault="00B17E8C">
            <w:pPr>
              <w:pStyle w:val="P68B1DB1-Normal26"/>
              <w:spacing w:after="0" w:line="240" w:lineRule="auto"/>
              <w:jc w:val="center"/>
              <w:rPr>
                <w:rFonts w:eastAsia="Times New Roman"/>
                <w:noProof/>
              </w:rPr>
            </w:pPr>
            <w:r>
              <w:rPr>
                <w:noProof/>
              </w:rPr>
              <w:t>450 000</w:t>
            </w:r>
          </w:p>
        </w:tc>
        <w:tc>
          <w:tcPr>
            <w:tcW w:w="992" w:type="dxa"/>
            <w:shd w:val="clear" w:color="auto" w:fill="C4EFCE"/>
            <w:noWrap/>
            <w:vAlign w:val="center"/>
            <w:hideMark/>
          </w:tcPr>
          <w:p w14:paraId="1B75908E" w14:textId="77777777" w:rsidR="006C686E" w:rsidRDefault="00B17E8C">
            <w:pPr>
              <w:pStyle w:val="P68B1DB1-Normal26"/>
              <w:spacing w:after="0" w:line="240" w:lineRule="auto"/>
              <w:jc w:val="center"/>
              <w:rPr>
                <w:rFonts w:eastAsia="Times New Roman"/>
                <w:noProof/>
              </w:rPr>
            </w:pPr>
            <w:r>
              <w:rPr>
                <w:noProof/>
              </w:rPr>
              <w:t>1 050 000</w:t>
            </w:r>
          </w:p>
        </w:tc>
        <w:tc>
          <w:tcPr>
            <w:tcW w:w="567" w:type="dxa"/>
            <w:shd w:val="clear" w:color="auto" w:fill="C4EFCE"/>
            <w:noWrap/>
            <w:vAlign w:val="center"/>
            <w:hideMark/>
          </w:tcPr>
          <w:p w14:paraId="08375302"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4D7828C6" w14:textId="77777777" w:rsidR="006C686E" w:rsidRDefault="00B17E8C">
            <w:pPr>
              <w:pStyle w:val="P68B1DB1-Normal26"/>
              <w:spacing w:after="0" w:line="240" w:lineRule="auto"/>
              <w:jc w:val="center"/>
              <w:rPr>
                <w:rFonts w:eastAsia="Times New Roman"/>
                <w:noProof/>
              </w:rPr>
            </w:pPr>
            <w:r>
              <w:rPr>
                <w:noProof/>
              </w:rPr>
              <w:t>2022</w:t>
            </w:r>
          </w:p>
        </w:tc>
        <w:tc>
          <w:tcPr>
            <w:tcW w:w="3798" w:type="dxa"/>
            <w:shd w:val="clear" w:color="auto" w:fill="C4EFCE"/>
            <w:vAlign w:val="center"/>
            <w:hideMark/>
          </w:tcPr>
          <w:p w14:paraId="15C124D9" w14:textId="7428C25E" w:rsidR="006C686E" w:rsidRDefault="00B17E8C">
            <w:pPr>
              <w:pStyle w:val="P68B1DB1-Normal26"/>
              <w:spacing w:after="0" w:line="240" w:lineRule="auto"/>
              <w:jc w:val="both"/>
              <w:rPr>
                <w:rFonts w:eastAsia="Times New Roman"/>
                <w:noProof/>
              </w:rPr>
            </w:pPr>
            <w:r>
              <w:rPr>
                <w:noProof/>
              </w:rPr>
              <w:t>Nombre d'ordinateurs portables à prêter aux enseignants et aux élèves des écoles publiques primaires et secondaires.</w:t>
            </w:r>
          </w:p>
        </w:tc>
      </w:tr>
      <w:tr w:rsidR="006C686E" w14:paraId="1757800B" w14:textId="77777777" w:rsidTr="00E130FD">
        <w:trPr>
          <w:trHeight w:val="300"/>
        </w:trPr>
        <w:tc>
          <w:tcPr>
            <w:tcW w:w="1135" w:type="dxa"/>
            <w:shd w:val="clear" w:color="auto" w:fill="C4EFCE"/>
            <w:vAlign w:val="center"/>
            <w:hideMark/>
          </w:tcPr>
          <w:p w14:paraId="3D4533E0" w14:textId="77777777" w:rsidR="006C686E" w:rsidRDefault="00B17E8C">
            <w:pPr>
              <w:pStyle w:val="P68B1DB1-Normal25"/>
              <w:spacing w:after="0" w:line="240" w:lineRule="auto"/>
              <w:jc w:val="center"/>
              <w:rPr>
                <w:rFonts w:eastAsia="Times New Roman"/>
                <w:bCs/>
                <w:noProof/>
              </w:rPr>
            </w:pPr>
            <w:r>
              <w:rPr>
                <w:noProof/>
              </w:rPr>
              <w:t>20.5</w:t>
            </w:r>
          </w:p>
        </w:tc>
        <w:tc>
          <w:tcPr>
            <w:tcW w:w="1446" w:type="dxa"/>
            <w:shd w:val="clear" w:color="auto" w:fill="C4EFCE"/>
            <w:noWrap/>
            <w:vAlign w:val="center"/>
            <w:hideMark/>
          </w:tcPr>
          <w:p w14:paraId="22E3E6E7" w14:textId="77777777" w:rsidR="006C686E" w:rsidRDefault="00B17E8C">
            <w:pPr>
              <w:pStyle w:val="P68B1DB1-Normal26"/>
              <w:spacing w:after="0" w:line="240" w:lineRule="auto"/>
              <w:jc w:val="center"/>
              <w:rPr>
                <w:rFonts w:eastAsia="Times New Roman"/>
                <w:noProof/>
              </w:rPr>
            </w:pPr>
            <w:r>
              <w:rPr>
                <w:noProof/>
              </w:rPr>
              <w:t>TD-C20-i01</w:t>
            </w:r>
          </w:p>
        </w:tc>
        <w:tc>
          <w:tcPr>
            <w:tcW w:w="1418" w:type="dxa"/>
            <w:shd w:val="clear" w:color="auto" w:fill="C4EFCE"/>
            <w:noWrap/>
            <w:vAlign w:val="center"/>
            <w:hideMark/>
          </w:tcPr>
          <w:p w14:paraId="1C1DED2F"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4320DF91" w14:textId="4C41ABC7" w:rsidR="006C686E" w:rsidRDefault="00B17E8C">
            <w:pPr>
              <w:pStyle w:val="P68B1DB1-Normal26"/>
              <w:spacing w:after="0" w:line="240" w:lineRule="auto"/>
              <w:jc w:val="center"/>
              <w:rPr>
                <w:rFonts w:eastAsia="Times New Roman"/>
                <w:noProof/>
              </w:rPr>
            </w:pPr>
            <w:r>
              <w:rPr>
                <w:noProof/>
              </w:rPr>
              <w:t>Laboratoires d'éducation numérique</w:t>
            </w:r>
          </w:p>
        </w:tc>
        <w:tc>
          <w:tcPr>
            <w:tcW w:w="1275" w:type="dxa"/>
            <w:shd w:val="clear" w:color="auto" w:fill="C4EFCE"/>
            <w:noWrap/>
            <w:vAlign w:val="center"/>
            <w:hideMark/>
          </w:tcPr>
          <w:p w14:paraId="5F2DA00E"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746225E1"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74541F0C" w14:textId="77777777" w:rsidR="006C686E" w:rsidRDefault="00B17E8C">
            <w:pPr>
              <w:pStyle w:val="P68B1DB1-Normal26"/>
              <w:spacing w:after="0" w:line="240" w:lineRule="auto"/>
              <w:jc w:val="center"/>
              <w:rPr>
                <w:rFonts w:eastAsia="Times New Roman"/>
                <w:noProof/>
              </w:rPr>
            </w:pPr>
            <w:r>
              <w:rPr>
                <w:noProof/>
              </w:rPr>
              <w:t>0</w:t>
            </w:r>
          </w:p>
        </w:tc>
        <w:tc>
          <w:tcPr>
            <w:tcW w:w="992" w:type="dxa"/>
            <w:shd w:val="clear" w:color="auto" w:fill="C4EFCE"/>
            <w:noWrap/>
            <w:vAlign w:val="center"/>
            <w:hideMark/>
          </w:tcPr>
          <w:p w14:paraId="5A38085E" w14:textId="77777777" w:rsidR="006C686E" w:rsidRDefault="00B17E8C">
            <w:pPr>
              <w:pStyle w:val="P68B1DB1-Normal26"/>
              <w:spacing w:after="0" w:line="240" w:lineRule="auto"/>
              <w:jc w:val="center"/>
              <w:rPr>
                <w:rFonts w:eastAsia="Times New Roman"/>
                <w:noProof/>
              </w:rPr>
            </w:pPr>
            <w:r>
              <w:rPr>
                <w:noProof/>
              </w:rPr>
              <w:t>1 300</w:t>
            </w:r>
          </w:p>
        </w:tc>
        <w:tc>
          <w:tcPr>
            <w:tcW w:w="567" w:type="dxa"/>
            <w:shd w:val="clear" w:color="auto" w:fill="C4EFCE"/>
            <w:noWrap/>
            <w:vAlign w:val="center"/>
            <w:hideMark/>
          </w:tcPr>
          <w:p w14:paraId="32A5E57A"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21613F4E" w14:textId="77777777" w:rsidR="006C686E" w:rsidRDefault="00B17E8C">
            <w:pPr>
              <w:pStyle w:val="P68B1DB1-Normal26"/>
              <w:spacing w:after="0" w:line="240" w:lineRule="auto"/>
              <w:jc w:val="center"/>
              <w:rPr>
                <w:rFonts w:eastAsia="Times New Roman"/>
                <w:noProof/>
              </w:rPr>
            </w:pPr>
            <w:r>
              <w:rPr>
                <w:noProof/>
              </w:rPr>
              <w:t>2024</w:t>
            </w:r>
          </w:p>
        </w:tc>
        <w:tc>
          <w:tcPr>
            <w:tcW w:w="3798" w:type="dxa"/>
            <w:shd w:val="clear" w:color="auto" w:fill="C4EFCE"/>
            <w:vAlign w:val="center"/>
            <w:hideMark/>
          </w:tcPr>
          <w:p w14:paraId="2AC65FD7" w14:textId="77777777" w:rsidR="006C686E" w:rsidRDefault="00B17E8C">
            <w:pPr>
              <w:pStyle w:val="P68B1DB1-Normal26"/>
              <w:spacing w:after="0" w:line="240" w:lineRule="auto"/>
              <w:jc w:val="both"/>
              <w:rPr>
                <w:rFonts w:eastAsia="Times New Roman"/>
                <w:noProof/>
              </w:rPr>
            </w:pPr>
            <w:r>
              <w:rPr>
                <w:noProof/>
              </w:rPr>
              <w:t>Nombre de nouveaux laboratoires d’éducation numérique reçus dans les écoles publiques primaires et secondaires (de la 5e à la 12e année) du Portugal continental avec des équipements de projet spécialisés, y compris des kits robotiques, des imprimantes 3D, des équipements de mesure et de test et des ordinateurs.</w:t>
            </w:r>
          </w:p>
        </w:tc>
      </w:tr>
      <w:tr w:rsidR="006C686E" w14:paraId="15305C68" w14:textId="77777777" w:rsidTr="00E130FD">
        <w:trPr>
          <w:trHeight w:val="300"/>
        </w:trPr>
        <w:tc>
          <w:tcPr>
            <w:tcW w:w="1135" w:type="dxa"/>
            <w:shd w:val="clear" w:color="auto" w:fill="C4EFCE"/>
            <w:vAlign w:val="center"/>
            <w:hideMark/>
          </w:tcPr>
          <w:p w14:paraId="12D7DDAC" w14:textId="77777777" w:rsidR="006C686E" w:rsidRDefault="00B17E8C">
            <w:pPr>
              <w:pStyle w:val="P68B1DB1-Normal25"/>
              <w:spacing w:after="0" w:line="240" w:lineRule="auto"/>
              <w:jc w:val="center"/>
              <w:rPr>
                <w:rFonts w:eastAsia="Times New Roman"/>
                <w:bCs/>
                <w:noProof/>
              </w:rPr>
            </w:pPr>
            <w:r>
              <w:rPr>
                <w:noProof/>
              </w:rPr>
              <w:t>20.6</w:t>
            </w:r>
          </w:p>
        </w:tc>
        <w:tc>
          <w:tcPr>
            <w:tcW w:w="1446" w:type="dxa"/>
            <w:shd w:val="clear" w:color="auto" w:fill="C4EFCE"/>
            <w:noWrap/>
            <w:vAlign w:val="center"/>
            <w:hideMark/>
          </w:tcPr>
          <w:p w14:paraId="7E5FC162" w14:textId="77777777" w:rsidR="006C686E" w:rsidRDefault="00B17E8C">
            <w:pPr>
              <w:pStyle w:val="P68B1DB1-Normal26"/>
              <w:spacing w:after="0" w:line="240" w:lineRule="auto"/>
              <w:jc w:val="center"/>
              <w:rPr>
                <w:rFonts w:eastAsia="Times New Roman"/>
                <w:noProof/>
              </w:rPr>
            </w:pPr>
            <w:r>
              <w:rPr>
                <w:noProof/>
              </w:rPr>
              <w:t>TD-C20-i01</w:t>
            </w:r>
          </w:p>
        </w:tc>
        <w:tc>
          <w:tcPr>
            <w:tcW w:w="1418" w:type="dxa"/>
            <w:shd w:val="clear" w:color="auto" w:fill="C4EFCE"/>
            <w:noWrap/>
            <w:vAlign w:val="center"/>
            <w:hideMark/>
          </w:tcPr>
          <w:p w14:paraId="3A8ACBC1"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79B78E64" w14:textId="77777777" w:rsidR="006C686E" w:rsidRDefault="00B17E8C">
            <w:pPr>
              <w:pStyle w:val="P68B1DB1-Normal26"/>
              <w:spacing w:after="0" w:line="240" w:lineRule="auto"/>
              <w:jc w:val="center"/>
              <w:rPr>
                <w:rFonts w:eastAsia="Times New Roman"/>
                <w:noProof/>
              </w:rPr>
            </w:pPr>
            <w:r>
              <w:rPr>
                <w:noProof/>
              </w:rPr>
              <w:t>Nouvel équipement de projection installé</w:t>
            </w:r>
          </w:p>
        </w:tc>
        <w:tc>
          <w:tcPr>
            <w:tcW w:w="1275" w:type="dxa"/>
            <w:shd w:val="clear" w:color="auto" w:fill="C4EFCE"/>
            <w:noWrap/>
            <w:vAlign w:val="center"/>
            <w:hideMark/>
          </w:tcPr>
          <w:p w14:paraId="11DE8605"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20C832AE"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3B4CEDEA" w14:textId="77777777" w:rsidR="006C686E" w:rsidRDefault="00B17E8C">
            <w:pPr>
              <w:pStyle w:val="P68B1DB1-Normal26"/>
              <w:spacing w:after="0" w:line="240" w:lineRule="auto"/>
              <w:jc w:val="center"/>
              <w:rPr>
                <w:rFonts w:eastAsia="Times New Roman"/>
                <w:noProof/>
              </w:rPr>
            </w:pPr>
            <w:r>
              <w:rPr>
                <w:noProof/>
              </w:rPr>
              <w:t>0</w:t>
            </w:r>
          </w:p>
        </w:tc>
        <w:tc>
          <w:tcPr>
            <w:tcW w:w="992" w:type="dxa"/>
            <w:shd w:val="clear" w:color="auto" w:fill="C4EFCE"/>
            <w:noWrap/>
            <w:vAlign w:val="center"/>
            <w:hideMark/>
          </w:tcPr>
          <w:p w14:paraId="11500666" w14:textId="77777777" w:rsidR="006C686E" w:rsidRDefault="00B17E8C">
            <w:pPr>
              <w:pStyle w:val="P68B1DB1-Normal26"/>
              <w:spacing w:after="0" w:line="240" w:lineRule="auto"/>
              <w:jc w:val="center"/>
              <w:rPr>
                <w:rFonts w:eastAsia="Times New Roman"/>
                <w:noProof/>
              </w:rPr>
            </w:pPr>
            <w:r>
              <w:rPr>
                <w:noProof/>
              </w:rPr>
              <w:t>40 000</w:t>
            </w:r>
          </w:p>
        </w:tc>
        <w:tc>
          <w:tcPr>
            <w:tcW w:w="567" w:type="dxa"/>
            <w:shd w:val="clear" w:color="auto" w:fill="C4EFCE"/>
            <w:noWrap/>
            <w:vAlign w:val="center"/>
            <w:hideMark/>
          </w:tcPr>
          <w:p w14:paraId="4612291B" w14:textId="77777777" w:rsidR="006C686E" w:rsidRDefault="00B17E8C">
            <w:pPr>
              <w:pStyle w:val="P68B1DB1-Normal26"/>
              <w:spacing w:after="0" w:line="240" w:lineRule="auto"/>
              <w:jc w:val="center"/>
              <w:rPr>
                <w:rFonts w:eastAsia="Times New Roman"/>
                <w:noProof/>
              </w:rPr>
            </w:pPr>
            <w:r>
              <w:rPr>
                <w:noProof/>
              </w:rPr>
              <w:t>T2</w:t>
            </w:r>
          </w:p>
        </w:tc>
        <w:tc>
          <w:tcPr>
            <w:tcW w:w="879" w:type="dxa"/>
            <w:shd w:val="clear" w:color="auto" w:fill="C4EFCE"/>
            <w:noWrap/>
            <w:vAlign w:val="center"/>
            <w:hideMark/>
          </w:tcPr>
          <w:p w14:paraId="41BFD789" w14:textId="77777777" w:rsidR="006C686E" w:rsidRDefault="00B17E8C">
            <w:pPr>
              <w:pStyle w:val="P68B1DB1-Normal26"/>
              <w:spacing w:after="0" w:line="240" w:lineRule="auto"/>
              <w:jc w:val="center"/>
              <w:rPr>
                <w:rFonts w:eastAsia="Times New Roman"/>
                <w:noProof/>
              </w:rPr>
            </w:pPr>
            <w:r>
              <w:rPr>
                <w:noProof/>
              </w:rPr>
              <w:t>2024</w:t>
            </w:r>
          </w:p>
        </w:tc>
        <w:tc>
          <w:tcPr>
            <w:tcW w:w="3798" w:type="dxa"/>
            <w:shd w:val="clear" w:color="auto" w:fill="C4EFCE"/>
            <w:vAlign w:val="center"/>
            <w:hideMark/>
          </w:tcPr>
          <w:p w14:paraId="77BC7DBB" w14:textId="77777777" w:rsidR="006C686E" w:rsidRDefault="00B17E8C">
            <w:pPr>
              <w:pStyle w:val="P68B1DB1-Normal26"/>
              <w:spacing w:after="0" w:line="240" w:lineRule="auto"/>
              <w:jc w:val="both"/>
              <w:rPr>
                <w:rFonts w:eastAsia="Times New Roman"/>
                <w:noProof/>
              </w:rPr>
            </w:pPr>
            <w:r>
              <w:rPr>
                <w:noProof/>
              </w:rPr>
              <w:t xml:space="preserve">Nombre de nouveaux projecteurs installés dans les établissements d'enseignement public. </w:t>
            </w:r>
          </w:p>
        </w:tc>
      </w:tr>
      <w:tr w:rsidR="006C686E" w14:paraId="69FE5A2D" w14:textId="77777777" w:rsidTr="00E130FD">
        <w:trPr>
          <w:trHeight w:val="300"/>
        </w:trPr>
        <w:tc>
          <w:tcPr>
            <w:tcW w:w="1135" w:type="dxa"/>
            <w:shd w:val="clear" w:color="auto" w:fill="C4EFCE"/>
            <w:vAlign w:val="center"/>
            <w:hideMark/>
          </w:tcPr>
          <w:p w14:paraId="7B55C3CA" w14:textId="77777777" w:rsidR="006C686E" w:rsidRDefault="00B17E8C">
            <w:pPr>
              <w:pStyle w:val="P68B1DB1-Normal25"/>
              <w:spacing w:after="0" w:line="240" w:lineRule="auto"/>
              <w:jc w:val="center"/>
              <w:rPr>
                <w:rFonts w:eastAsia="Times New Roman"/>
                <w:bCs/>
                <w:noProof/>
              </w:rPr>
            </w:pPr>
            <w:r>
              <w:rPr>
                <w:noProof/>
              </w:rPr>
              <w:t>20.7</w:t>
            </w:r>
          </w:p>
        </w:tc>
        <w:tc>
          <w:tcPr>
            <w:tcW w:w="1446" w:type="dxa"/>
            <w:shd w:val="clear" w:color="auto" w:fill="C4EFCE"/>
            <w:noWrap/>
            <w:vAlign w:val="center"/>
            <w:hideMark/>
          </w:tcPr>
          <w:p w14:paraId="24451D90" w14:textId="77777777" w:rsidR="006C686E" w:rsidRDefault="00B17E8C">
            <w:pPr>
              <w:pStyle w:val="P68B1DB1-Normal26"/>
              <w:spacing w:after="0" w:line="240" w:lineRule="auto"/>
              <w:jc w:val="center"/>
              <w:rPr>
                <w:rFonts w:eastAsia="Times New Roman"/>
                <w:noProof/>
              </w:rPr>
            </w:pPr>
            <w:r>
              <w:rPr>
                <w:noProof/>
              </w:rPr>
              <w:t>TD-C20-i01</w:t>
            </w:r>
          </w:p>
        </w:tc>
        <w:tc>
          <w:tcPr>
            <w:tcW w:w="1418" w:type="dxa"/>
            <w:shd w:val="clear" w:color="auto" w:fill="C4EFCE"/>
            <w:noWrap/>
            <w:vAlign w:val="center"/>
            <w:hideMark/>
          </w:tcPr>
          <w:p w14:paraId="0A8BD67D" w14:textId="77777777" w:rsidR="006C686E" w:rsidRDefault="00B17E8C">
            <w:pPr>
              <w:pStyle w:val="P68B1DB1-Normal26"/>
              <w:spacing w:after="0" w:line="240" w:lineRule="auto"/>
              <w:jc w:val="center"/>
              <w:rPr>
                <w:rFonts w:eastAsia="Times New Roman"/>
                <w:noProof/>
              </w:rPr>
            </w:pPr>
            <w:r>
              <w:rPr>
                <w:noProof/>
              </w:rPr>
              <w:t>M</w:t>
            </w:r>
          </w:p>
        </w:tc>
        <w:tc>
          <w:tcPr>
            <w:tcW w:w="1247" w:type="dxa"/>
            <w:shd w:val="clear" w:color="auto" w:fill="C4EFCE"/>
            <w:noWrap/>
            <w:vAlign w:val="center"/>
            <w:hideMark/>
          </w:tcPr>
          <w:p w14:paraId="31B01D3A" w14:textId="77777777" w:rsidR="006C686E" w:rsidRDefault="00B17E8C">
            <w:pPr>
              <w:pStyle w:val="P68B1DB1-Normal26"/>
              <w:spacing w:after="0" w:line="240" w:lineRule="auto"/>
              <w:jc w:val="center"/>
              <w:rPr>
                <w:rFonts w:eastAsia="Times New Roman"/>
                <w:noProof/>
              </w:rPr>
            </w:pPr>
            <w:r>
              <w:rPr>
                <w:noProof/>
              </w:rPr>
              <w:t>Ressources pour la gestion de l'école</w:t>
            </w:r>
          </w:p>
        </w:tc>
        <w:tc>
          <w:tcPr>
            <w:tcW w:w="1275" w:type="dxa"/>
            <w:shd w:val="clear" w:color="auto" w:fill="C4EFCE"/>
            <w:noWrap/>
            <w:vAlign w:val="center"/>
            <w:hideMark/>
          </w:tcPr>
          <w:p w14:paraId="4C5E0D2A" w14:textId="6C6A68B9" w:rsidR="006C686E" w:rsidRDefault="006C686E">
            <w:pPr>
              <w:spacing w:after="0" w:line="240" w:lineRule="auto"/>
              <w:jc w:val="center"/>
              <w:rPr>
                <w:rFonts w:ascii="Times New Roman" w:hAnsi="Times New Roman" w:cs="Times New Roman"/>
                <w:noProof/>
                <w:sz w:val="16"/>
                <w:szCs w:val="16"/>
              </w:rPr>
            </w:pPr>
          </w:p>
        </w:tc>
        <w:tc>
          <w:tcPr>
            <w:tcW w:w="993" w:type="dxa"/>
            <w:shd w:val="clear" w:color="auto" w:fill="C4EFCE"/>
            <w:noWrap/>
            <w:vAlign w:val="center"/>
            <w:hideMark/>
          </w:tcPr>
          <w:p w14:paraId="4F2BEEF5"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637AF9A7"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7FC874E6"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483997B6"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647DFA34" w14:textId="77777777" w:rsidR="006C686E" w:rsidRDefault="00B17E8C">
            <w:pPr>
              <w:pStyle w:val="P68B1DB1-Normal26"/>
              <w:spacing w:after="0" w:line="240" w:lineRule="auto"/>
              <w:jc w:val="center"/>
              <w:rPr>
                <w:rFonts w:eastAsia="Times New Roman"/>
                <w:noProof/>
              </w:rPr>
            </w:pPr>
            <w:r>
              <w:rPr>
                <w:noProof/>
              </w:rPr>
              <w:t>2024</w:t>
            </w:r>
          </w:p>
        </w:tc>
        <w:tc>
          <w:tcPr>
            <w:tcW w:w="3798" w:type="dxa"/>
            <w:shd w:val="clear" w:color="auto" w:fill="C4EFCE"/>
            <w:vAlign w:val="center"/>
            <w:hideMark/>
          </w:tcPr>
          <w:p w14:paraId="4FF49BF8" w14:textId="77777777" w:rsidR="006C686E" w:rsidRDefault="00B17E8C">
            <w:pPr>
              <w:pStyle w:val="P68B1DB1-Normal26"/>
              <w:spacing w:after="0" w:line="240" w:lineRule="auto"/>
              <w:jc w:val="both"/>
              <w:rPr>
                <w:noProof/>
              </w:rPr>
            </w:pPr>
            <w:r>
              <w:rPr>
                <w:noProof/>
              </w:rPr>
              <w:t xml:space="preserve">95 % des unités éducatives et d'enseignement du réseau public du Portugal continental ont reçu des ordinateurs pour la gestion des écoles, pour un total d'au moins 15 000 ordinateurs. </w:t>
            </w:r>
          </w:p>
          <w:p w14:paraId="76105554" w14:textId="77777777" w:rsidR="006C686E" w:rsidRDefault="006C686E">
            <w:pPr>
              <w:spacing w:after="0" w:line="240" w:lineRule="auto"/>
              <w:jc w:val="both"/>
              <w:rPr>
                <w:rFonts w:ascii="Times New Roman" w:hAnsi="Times New Roman" w:cs="Times New Roman"/>
                <w:noProof/>
                <w:sz w:val="16"/>
                <w:szCs w:val="16"/>
              </w:rPr>
            </w:pPr>
          </w:p>
          <w:p w14:paraId="6BA6685B" w14:textId="77777777" w:rsidR="006C686E" w:rsidRDefault="00B17E8C">
            <w:pPr>
              <w:pStyle w:val="P68B1DB1-Normal26"/>
              <w:spacing w:after="0" w:line="240" w:lineRule="auto"/>
              <w:jc w:val="both"/>
              <w:rPr>
                <w:rFonts w:eastAsia="Times New Roman"/>
                <w:noProof/>
              </w:rPr>
            </w:pPr>
            <w:r>
              <w:rPr>
                <w:noProof/>
              </w:rPr>
              <w:t>Signature du contrat concernant une solution de gestion de l'identité pour au moins les parents, les enseignants et les autres professionnels de l'école. Un système d’authentification est disponible pour les parents, les enseignants et les autres professionnels de l’école, permettant l’accès à la plateforme éducative «Portal das Matrículas».</w:t>
            </w:r>
          </w:p>
        </w:tc>
      </w:tr>
      <w:tr w:rsidR="006C686E" w14:paraId="67D4F8E7" w14:textId="77777777" w:rsidTr="00E130FD">
        <w:trPr>
          <w:trHeight w:val="300"/>
        </w:trPr>
        <w:tc>
          <w:tcPr>
            <w:tcW w:w="1135" w:type="dxa"/>
            <w:shd w:val="clear" w:color="auto" w:fill="C4EFCE"/>
            <w:vAlign w:val="center"/>
            <w:hideMark/>
          </w:tcPr>
          <w:p w14:paraId="5DD65892" w14:textId="77777777" w:rsidR="006C686E" w:rsidRDefault="00B17E8C">
            <w:pPr>
              <w:pStyle w:val="P68B1DB1-Normal25"/>
              <w:spacing w:after="0" w:line="240" w:lineRule="auto"/>
              <w:jc w:val="center"/>
              <w:rPr>
                <w:rFonts w:eastAsia="Times New Roman"/>
                <w:bCs/>
                <w:noProof/>
              </w:rPr>
            </w:pPr>
            <w:r>
              <w:rPr>
                <w:noProof/>
              </w:rPr>
              <w:t>20.8</w:t>
            </w:r>
          </w:p>
        </w:tc>
        <w:tc>
          <w:tcPr>
            <w:tcW w:w="1446" w:type="dxa"/>
            <w:shd w:val="clear" w:color="auto" w:fill="C4EFCE"/>
            <w:noWrap/>
            <w:vAlign w:val="center"/>
            <w:hideMark/>
          </w:tcPr>
          <w:p w14:paraId="0310CC48" w14:textId="77777777" w:rsidR="006C686E" w:rsidRDefault="00B17E8C">
            <w:pPr>
              <w:pStyle w:val="P68B1DB1-Normal26"/>
              <w:spacing w:after="0" w:line="240" w:lineRule="auto"/>
              <w:jc w:val="center"/>
              <w:rPr>
                <w:rFonts w:eastAsia="Times New Roman"/>
                <w:noProof/>
              </w:rPr>
            </w:pPr>
            <w:r>
              <w:rPr>
                <w:noProof/>
              </w:rPr>
              <w:t>TD-C20-i01</w:t>
            </w:r>
          </w:p>
        </w:tc>
        <w:tc>
          <w:tcPr>
            <w:tcW w:w="1418" w:type="dxa"/>
            <w:shd w:val="clear" w:color="auto" w:fill="C4EFCE"/>
            <w:noWrap/>
            <w:vAlign w:val="center"/>
            <w:hideMark/>
          </w:tcPr>
          <w:p w14:paraId="3679A792"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741E5578" w14:textId="77777777" w:rsidR="006C686E" w:rsidRDefault="00B17E8C">
            <w:pPr>
              <w:pStyle w:val="P68B1DB1-Normal26"/>
              <w:spacing w:after="0" w:line="240" w:lineRule="auto"/>
              <w:jc w:val="center"/>
              <w:rPr>
                <w:rFonts w:eastAsia="Times New Roman"/>
                <w:noProof/>
              </w:rPr>
            </w:pPr>
            <w:r>
              <w:rPr>
                <w:noProof/>
              </w:rPr>
              <w:t>Ressources éducatives numériques</w:t>
            </w:r>
          </w:p>
        </w:tc>
        <w:tc>
          <w:tcPr>
            <w:tcW w:w="1275" w:type="dxa"/>
            <w:shd w:val="clear" w:color="auto" w:fill="C4EFCE"/>
            <w:noWrap/>
            <w:vAlign w:val="center"/>
            <w:hideMark/>
          </w:tcPr>
          <w:p w14:paraId="4AC1CDBC"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7FE89EE"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4AFE20C3" w14:textId="77777777" w:rsidR="006C686E" w:rsidRDefault="00B17E8C">
            <w:pPr>
              <w:pStyle w:val="P68B1DB1-Normal26"/>
              <w:spacing w:after="0" w:line="240" w:lineRule="auto"/>
              <w:jc w:val="center"/>
              <w:rPr>
                <w:rFonts w:eastAsia="Times New Roman"/>
                <w:noProof/>
              </w:rPr>
            </w:pPr>
            <w:r>
              <w:rPr>
                <w:noProof/>
              </w:rPr>
              <w:t>0</w:t>
            </w:r>
          </w:p>
        </w:tc>
        <w:tc>
          <w:tcPr>
            <w:tcW w:w="992" w:type="dxa"/>
            <w:shd w:val="clear" w:color="auto" w:fill="C4EFCE"/>
            <w:noWrap/>
            <w:vAlign w:val="center"/>
            <w:hideMark/>
          </w:tcPr>
          <w:p w14:paraId="123BC69D" w14:textId="77777777" w:rsidR="006C686E" w:rsidRDefault="00B17E8C">
            <w:pPr>
              <w:pStyle w:val="P68B1DB1-Normal26"/>
              <w:spacing w:after="0" w:line="240" w:lineRule="auto"/>
              <w:jc w:val="center"/>
              <w:rPr>
                <w:rFonts w:eastAsia="Times New Roman"/>
                <w:noProof/>
              </w:rPr>
            </w:pPr>
            <w:r>
              <w:rPr>
                <w:noProof/>
              </w:rPr>
              <w:t>77</w:t>
            </w:r>
          </w:p>
        </w:tc>
        <w:tc>
          <w:tcPr>
            <w:tcW w:w="567" w:type="dxa"/>
            <w:shd w:val="clear" w:color="auto" w:fill="C4EFCE"/>
            <w:noWrap/>
            <w:vAlign w:val="center"/>
            <w:hideMark/>
          </w:tcPr>
          <w:p w14:paraId="1A3F2C7C" w14:textId="77777777" w:rsidR="006C686E" w:rsidRDefault="00B17E8C">
            <w:pPr>
              <w:pStyle w:val="P68B1DB1-Normal26"/>
              <w:spacing w:after="0" w:line="240" w:lineRule="auto"/>
              <w:jc w:val="center"/>
              <w:rPr>
                <w:rFonts w:eastAsia="Times New Roman"/>
                <w:noProof/>
              </w:rPr>
            </w:pPr>
            <w:r>
              <w:rPr>
                <w:noProof/>
              </w:rPr>
              <w:t>T2</w:t>
            </w:r>
          </w:p>
        </w:tc>
        <w:tc>
          <w:tcPr>
            <w:tcW w:w="879" w:type="dxa"/>
            <w:shd w:val="clear" w:color="auto" w:fill="C4EFCE"/>
            <w:noWrap/>
            <w:vAlign w:val="center"/>
            <w:hideMark/>
          </w:tcPr>
          <w:p w14:paraId="049A5469" w14:textId="77777777" w:rsidR="006C686E" w:rsidRDefault="00B17E8C">
            <w:pPr>
              <w:pStyle w:val="P68B1DB1-Normal26"/>
              <w:spacing w:after="0" w:line="240" w:lineRule="auto"/>
              <w:jc w:val="center"/>
              <w:rPr>
                <w:rFonts w:eastAsia="Times New Roman"/>
                <w:noProof/>
              </w:rPr>
            </w:pPr>
            <w:r>
              <w:rPr>
                <w:noProof/>
              </w:rPr>
              <w:t>2026</w:t>
            </w:r>
          </w:p>
        </w:tc>
        <w:tc>
          <w:tcPr>
            <w:tcW w:w="3798" w:type="dxa"/>
            <w:shd w:val="clear" w:color="auto" w:fill="C4EFCE"/>
            <w:vAlign w:val="center"/>
            <w:hideMark/>
          </w:tcPr>
          <w:p w14:paraId="2FA4FEF0" w14:textId="6D9FB4FF" w:rsidR="006C686E" w:rsidRDefault="00B17E8C">
            <w:pPr>
              <w:pStyle w:val="P68B1DB1-Normal26"/>
              <w:spacing w:after="0" w:line="240" w:lineRule="auto"/>
              <w:jc w:val="both"/>
              <w:rPr>
                <w:rFonts w:eastAsia="Times New Roman"/>
                <w:noProof/>
              </w:rPr>
            </w:pPr>
            <w:r>
              <w:rPr>
                <w:noProof/>
              </w:rPr>
              <w:t>Nombre de matières dans toutes les classes avec des ressources éducatives numériques disponibles.</w:t>
            </w:r>
          </w:p>
        </w:tc>
      </w:tr>
      <w:tr w:rsidR="006C686E" w14:paraId="4EFC6629" w14:textId="77777777" w:rsidTr="00E130FD">
        <w:trPr>
          <w:trHeight w:val="300"/>
        </w:trPr>
        <w:tc>
          <w:tcPr>
            <w:tcW w:w="1135" w:type="dxa"/>
            <w:shd w:val="clear" w:color="auto" w:fill="C4EFCE"/>
            <w:vAlign w:val="center"/>
            <w:hideMark/>
          </w:tcPr>
          <w:p w14:paraId="705DAD34" w14:textId="77777777" w:rsidR="006C686E" w:rsidRDefault="00B17E8C">
            <w:pPr>
              <w:pStyle w:val="P68B1DB1-Normal25"/>
              <w:spacing w:after="0" w:line="240" w:lineRule="auto"/>
              <w:jc w:val="center"/>
              <w:rPr>
                <w:rFonts w:eastAsia="Times New Roman"/>
                <w:bCs/>
                <w:noProof/>
              </w:rPr>
            </w:pPr>
            <w:r>
              <w:rPr>
                <w:noProof/>
              </w:rPr>
              <w:t>20.10</w:t>
            </w:r>
          </w:p>
        </w:tc>
        <w:tc>
          <w:tcPr>
            <w:tcW w:w="1446" w:type="dxa"/>
            <w:shd w:val="clear" w:color="auto" w:fill="C4EFCE"/>
            <w:noWrap/>
            <w:vAlign w:val="center"/>
            <w:hideMark/>
          </w:tcPr>
          <w:p w14:paraId="54CA8453" w14:textId="77777777" w:rsidR="006C686E" w:rsidRDefault="00B17E8C">
            <w:pPr>
              <w:pStyle w:val="P68B1DB1-Normal26"/>
              <w:spacing w:after="0" w:line="240" w:lineRule="auto"/>
              <w:jc w:val="center"/>
              <w:rPr>
                <w:rFonts w:eastAsia="Times New Roman"/>
                <w:noProof/>
              </w:rPr>
            </w:pPr>
            <w:r>
              <w:rPr>
                <w:noProof/>
              </w:rPr>
              <w:t>TD-C20-i02-RAA</w:t>
            </w:r>
          </w:p>
        </w:tc>
        <w:tc>
          <w:tcPr>
            <w:tcW w:w="1418" w:type="dxa"/>
            <w:shd w:val="clear" w:color="auto" w:fill="C4EFCE"/>
            <w:noWrap/>
            <w:vAlign w:val="center"/>
            <w:hideMark/>
          </w:tcPr>
          <w:p w14:paraId="7843354C"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456099F2" w14:textId="77777777" w:rsidR="006C686E" w:rsidRDefault="00B17E8C">
            <w:pPr>
              <w:pStyle w:val="P68B1DB1-Normal26"/>
              <w:spacing w:after="0" w:line="240" w:lineRule="auto"/>
              <w:jc w:val="center"/>
              <w:rPr>
                <w:rFonts w:eastAsia="Times New Roman"/>
                <w:noProof/>
              </w:rPr>
            </w:pPr>
            <w:r>
              <w:rPr>
                <w:noProof/>
              </w:rPr>
              <w:t>Cours en ligne ouverts et massifs pour les enseignants et les parents dans l'ARA</w:t>
            </w:r>
          </w:p>
        </w:tc>
        <w:tc>
          <w:tcPr>
            <w:tcW w:w="1275" w:type="dxa"/>
            <w:shd w:val="clear" w:color="auto" w:fill="C4EFCE"/>
            <w:noWrap/>
            <w:vAlign w:val="center"/>
            <w:hideMark/>
          </w:tcPr>
          <w:p w14:paraId="25FEC423"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39B749C8" w14:textId="77777777" w:rsidR="006C686E" w:rsidRDefault="00B17E8C">
            <w:pPr>
              <w:pStyle w:val="P68B1DB1-Normal26"/>
              <w:spacing w:after="0" w:line="240" w:lineRule="auto"/>
              <w:jc w:val="center"/>
              <w:rPr>
                <w:rFonts w:eastAsia="Times New Roman"/>
                <w:noProof/>
              </w:rPr>
            </w:pPr>
            <w:r>
              <w:rPr>
                <w:noProof/>
              </w:rPr>
              <w:t> Numéro</w:t>
            </w:r>
          </w:p>
        </w:tc>
        <w:tc>
          <w:tcPr>
            <w:tcW w:w="992" w:type="dxa"/>
            <w:shd w:val="clear" w:color="auto" w:fill="C4EFCE"/>
            <w:noWrap/>
            <w:vAlign w:val="center"/>
            <w:hideMark/>
          </w:tcPr>
          <w:p w14:paraId="47965A0B" w14:textId="5035637E" w:rsidR="006C686E" w:rsidRDefault="00B17E8C">
            <w:pPr>
              <w:pStyle w:val="P68B1DB1-Normal26"/>
              <w:spacing w:after="0" w:line="240" w:lineRule="auto"/>
              <w:jc w:val="center"/>
              <w:rPr>
                <w:rFonts w:eastAsia="Times New Roman"/>
                <w:noProof/>
              </w:rPr>
            </w:pPr>
            <w:r>
              <w:rPr>
                <w:noProof/>
              </w:rPr>
              <w:t>0</w:t>
            </w:r>
          </w:p>
        </w:tc>
        <w:tc>
          <w:tcPr>
            <w:tcW w:w="992" w:type="dxa"/>
            <w:shd w:val="clear" w:color="auto" w:fill="C4EFCE"/>
            <w:noWrap/>
            <w:vAlign w:val="center"/>
            <w:hideMark/>
          </w:tcPr>
          <w:p w14:paraId="6E093069" w14:textId="77777777" w:rsidR="006C686E" w:rsidRDefault="00B17E8C">
            <w:pPr>
              <w:pStyle w:val="P68B1DB1-Normal26"/>
              <w:spacing w:after="0" w:line="240" w:lineRule="auto"/>
              <w:jc w:val="center"/>
              <w:rPr>
                <w:rFonts w:eastAsia="Times New Roman"/>
                <w:noProof/>
              </w:rPr>
            </w:pPr>
            <w:r>
              <w:rPr>
                <w:noProof/>
              </w:rPr>
              <w:t>4 </w:t>
            </w:r>
          </w:p>
        </w:tc>
        <w:tc>
          <w:tcPr>
            <w:tcW w:w="567" w:type="dxa"/>
            <w:shd w:val="clear" w:color="auto" w:fill="C4EFCE"/>
            <w:noWrap/>
            <w:vAlign w:val="center"/>
            <w:hideMark/>
          </w:tcPr>
          <w:p w14:paraId="719312DE"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3247D00D" w14:textId="77777777" w:rsidR="006C686E" w:rsidRDefault="00B17E8C">
            <w:pPr>
              <w:pStyle w:val="P68B1DB1-Normal26"/>
              <w:spacing w:after="0" w:line="240" w:lineRule="auto"/>
              <w:jc w:val="center"/>
              <w:rPr>
                <w:rFonts w:eastAsia="Times New Roman"/>
                <w:noProof/>
              </w:rPr>
            </w:pPr>
            <w:r>
              <w:rPr>
                <w:noProof/>
              </w:rPr>
              <w:t>2022</w:t>
            </w:r>
          </w:p>
        </w:tc>
        <w:tc>
          <w:tcPr>
            <w:tcW w:w="3798" w:type="dxa"/>
            <w:shd w:val="clear" w:color="auto" w:fill="C4EFCE"/>
            <w:vAlign w:val="center"/>
            <w:hideMark/>
          </w:tcPr>
          <w:p w14:paraId="080550E0" w14:textId="22EF8B8E" w:rsidR="006C686E" w:rsidRDefault="00B17E8C">
            <w:pPr>
              <w:pStyle w:val="P68B1DB1-Normal26"/>
              <w:spacing w:after="0" w:line="240" w:lineRule="auto"/>
              <w:jc w:val="both"/>
              <w:rPr>
                <w:rFonts w:eastAsia="Times New Roman"/>
                <w:noProof/>
              </w:rPr>
            </w:pPr>
            <w:r>
              <w:rPr>
                <w:noProof/>
              </w:rPr>
              <w:t>Nombre de cours en ligne ouverts à tous (MOOC) créés pour promouvoir le développement des compétences numériques pour l’enseignement en classe et l’apprentissage à distance, y compris la fourniture de tutoriels et d’un portail d’acquisition de compétences numériques. Les MOOC sont disponibles en ligne et librement accessibles aux enseignants et aux parents des élèves.</w:t>
            </w:r>
          </w:p>
        </w:tc>
      </w:tr>
      <w:tr w:rsidR="006C686E" w14:paraId="1717EB49" w14:textId="77777777" w:rsidTr="00E130FD">
        <w:trPr>
          <w:trHeight w:val="300"/>
        </w:trPr>
        <w:tc>
          <w:tcPr>
            <w:tcW w:w="1135" w:type="dxa"/>
            <w:shd w:val="clear" w:color="auto" w:fill="C4EFCE"/>
            <w:vAlign w:val="center"/>
            <w:hideMark/>
          </w:tcPr>
          <w:p w14:paraId="43E802FE" w14:textId="77777777" w:rsidR="006C686E" w:rsidRDefault="00B17E8C">
            <w:pPr>
              <w:pStyle w:val="P68B1DB1-Normal25"/>
              <w:spacing w:after="0" w:line="240" w:lineRule="auto"/>
              <w:jc w:val="center"/>
              <w:rPr>
                <w:rFonts w:eastAsia="Times New Roman"/>
                <w:bCs/>
                <w:noProof/>
              </w:rPr>
            </w:pPr>
            <w:r>
              <w:rPr>
                <w:noProof/>
              </w:rPr>
              <w:t>20.12</w:t>
            </w:r>
          </w:p>
        </w:tc>
        <w:tc>
          <w:tcPr>
            <w:tcW w:w="1446" w:type="dxa"/>
            <w:shd w:val="clear" w:color="auto" w:fill="C4EFCE"/>
            <w:noWrap/>
            <w:vAlign w:val="center"/>
            <w:hideMark/>
          </w:tcPr>
          <w:p w14:paraId="36C7AAC8" w14:textId="77777777" w:rsidR="006C686E" w:rsidRDefault="00B17E8C">
            <w:pPr>
              <w:pStyle w:val="P68B1DB1-Normal26"/>
              <w:spacing w:after="0" w:line="240" w:lineRule="auto"/>
              <w:jc w:val="center"/>
              <w:rPr>
                <w:rFonts w:eastAsia="Times New Roman"/>
                <w:noProof/>
              </w:rPr>
            </w:pPr>
            <w:r>
              <w:rPr>
                <w:noProof/>
              </w:rPr>
              <w:t>TD-C20-i02-RAA</w:t>
            </w:r>
          </w:p>
        </w:tc>
        <w:tc>
          <w:tcPr>
            <w:tcW w:w="1418" w:type="dxa"/>
            <w:shd w:val="clear" w:color="auto" w:fill="C4EFCE"/>
            <w:noWrap/>
            <w:vAlign w:val="center"/>
            <w:hideMark/>
          </w:tcPr>
          <w:p w14:paraId="24EF92B3"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15DBA0EA" w14:textId="72BB8D1C" w:rsidR="006C686E" w:rsidRDefault="00B17E8C">
            <w:pPr>
              <w:pStyle w:val="P68B1DB1-Normal26"/>
              <w:spacing w:after="0" w:line="240" w:lineRule="auto"/>
              <w:jc w:val="center"/>
              <w:rPr>
                <w:rFonts w:eastAsia="Times New Roman"/>
                <w:noProof/>
              </w:rPr>
            </w:pPr>
            <w:r>
              <w:rPr>
                <w:noProof/>
              </w:rPr>
              <w:t xml:space="preserve">Equipements numériques et manuels numériques </w:t>
            </w:r>
          </w:p>
        </w:tc>
        <w:tc>
          <w:tcPr>
            <w:tcW w:w="1275" w:type="dxa"/>
            <w:shd w:val="clear" w:color="auto" w:fill="C4EFCE"/>
            <w:noWrap/>
            <w:vAlign w:val="center"/>
            <w:hideMark/>
          </w:tcPr>
          <w:p w14:paraId="25B8FA37"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4463D537" w14:textId="77777777" w:rsidR="006C686E" w:rsidRDefault="00B17E8C">
            <w:pPr>
              <w:pStyle w:val="P68B1DB1-Normal26"/>
              <w:spacing w:after="0" w:line="240" w:lineRule="auto"/>
              <w:jc w:val="center"/>
              <w:rPr>
                <w:rFonts w:eastAsia="Times New Roman"/>
                <w:noProof/>
              </w:rPr>
            </w:pPr>
            <w:r>
              <w:rPr>
                <w:noProof/>
              </w:rPr>
              <w:t xml:space="preserve"> Numéro</w:t>
            </w:r>
          </w:p>
        </w:tc>
        <w:tc>
          <w:tcPr>
            <w:tcW w:w="992" w:type="dxa"/>
            <w:shd w:val="clear" w:color="auto" w:fill="C4EFCE"/>
            <w:noWrap/>
            <w:vAlign w:val="center"/>
            <w:hideMark/>
          </w:tcPr>
          <w:p w14:paraId="44F77287" w14:textId="77777777" w:rsidR="006C686E" w:rsidRDefault="00B17E8C">
            <w:pPr>
              <w:pStyle w:val="P68B1DB1-Normal26"/>
              <w:spacing w:after="0" w:line="240" w:lineRule="auto"/>
              <w:jc w:val="center"/>
              <w:rPr>
                <w:rFonts w:eastAsia="Times New Roman"/>
                <w:noProof/>
              </w:rPr>
            </w:pPr>
            <w:r>
              <w:rPr>
                <w:noProof/>
              </w:rPr>
              <w:t xml:space="preserve">0 </w:t>
            </w:r>
          </w:p>
        </w:tc>
        <w:tc>
          <w:tcPr>
            <w:tcW w:w="992" w:type="dxa"/>
            <w:shd w:val="clear" w:color="auto" w:fill="C4EFCE"/>
            <w:noWrap/>
            <w:vAlign w:val="center"/>
            <w:hideMark/>
          </w:tcPr>
          <w:p w14:paraId="63F16CD3" w14:textId="77777777" w:rsidR="006C686E" w:rsidRDefault="00B17E8C">
            <w:pPr>
              <w:pStyle w:val="P68B1DB1-Normal26"/>
              <w:spacing w:after="0" w:line="240" w:lineRule="auto"/>
              <w:jc w:val="center"/>
              <w:rPr>
                <w:rFonts w:eastAsia="Times New Roman"/>
                <w:noProof/>
              </w:rPr>
            </w:pPr>
            <w:r>
              <w:rPr>
                <w:noProof/>
              </w:rPr>
              <w:t xml:space="preserve">37 </w:t>
            </w:r>
          </w:p>
        </w:tc>
        <w:tc>
          <w:tcPr>
            <w:tcW w:w="567" w:type="dxa"/>
            <w:shd w:val="clear" w:color="auto" w:fill="C4EFCE"/>
            <w:noWrap/>
            <w:vAlign w:val="center"/>
            <w:hideMark/>
          </w:tcPr>
          <w:p w14:paraId="3FE8B4F1"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5D7256AB" w14:textId="77777777" w:rsidR="006C686E" w:rsidRDefault="00B17E8C">
            <w:pPr>
              <w:pStyle w:val="P68B1DB1-Normal26"/>
              <w:spacing w:after="0" w:line="240" w:lineRule="auto"/>
              <w:jc w:val="center"/>
              <w:rPr>
                <w:rFonts w:eastAsia="Times New Roman"/>
                <w:noProof/>
              </w:rPr>
            </w:pPr>
            <w:r>
              <w:rPr>
                <w:noProof/>
              </w:rPr>
              <w:t>2025</w:t>
            </w:r>
          </w:p>
        </w:tc>
        <w:tc>
          <w:tcPr>
            <w:tcW w:w="3798" w:type="dxa"/>
            <w:shd w:val="clear" w:color="auto" w:fill="C4EFCE"/>
            <w:vAlign w:val="center"/>
            <w:hideMark/>
          </w:tcPr>
          <w:p w14:paraId="225F1348" w14:textId="0E67DDB8" w:rsidR="006C686E" w:rsidRDefault="00B17E8C">
            <w:pPr>
              <w:pStyle w:val="P68B1DB1-Normal26"/>
              <w:spacing w:after="0" w:line="240" w:lineRule="auto"/>
              <w:jc w:val="both"/>
              <w:rPr>
                <w:noProof/>
              </w:rPr>
            </w:pPr>
            <w:r>
              <w:rPr>
                <w:noProof/>
              </w:rPr>
              <w:t xml:space="preserve">37 unités scolaires ont reçu des ordinateurs portables ou des tablettes et des manuels numériques. </w:t>
            </w:r>
          </w:p>
          <w:p w14:paraId="4A612717" w14:textId="100491DB" w:rsidR="006C686E" w:rsidRDefault="00B17E8C">
            <w:pPr>
              <w:pStyle w:val="P68B1DB1-Normal26"/>
              <w:spacing w:after="0" w:line="240" w:lineRule="auto"/>
              <w:jc w:val="both"/>
              <w:rPr>
                <w:noProof/>
              </w:rPr>
            </w:pPr>
            <w:r>
              <w:rPr>
                <w:noProof/>
              </w:rPr>
              <w:t>En outre, ils ont reçu d'autres équipements, par exemple des écrans interactifs, des microscopes, des imprimantes 3D ou des robots éducatifs.</w:t>
            </w:r>
          </w:p>
          <w:p w14:paraId="0C25897B" w14:textId="7106D7A2" w:rsidR="006C686E" w:rsidRDefault="00B17E8C">
            <w:pPr>
              <w:pStyle w:val="P68B1DB1-Normal26"/>
              <w:spacing w:after="0" w:line="240" w:lineRule="auto"/>
              <w:jc w:val="both"/>
              <w:rPr>
                <w:noProof/>
              </w:rPr>
            </w:pPr>
            <w:r>
              <w:rPr>
                <w:noProof/>
              </w:rPr>
              <w:t>En outre, au moins 1 500 unités de connexion Internet (interrupteurs ou points d'accès) ont été livrées.</w:t>
            </w:r>
          </w:p>
        </w:tc>
      </w:tr>
      <w:tr w:rsidR="006C686E" w14:paraId="01B9890B" w14:textId="77777777" w:rsidTr="00E130FD">
        <w:trPr>
          <w:trHeight w:val="300"/>
        </w:trPr>
        <w:tc>
          <w:tcPr>
            <w:tcW w:w="1135" w:type="dxa"/>
            <w:shd w:val="clear" w:color="auto" w:fill="C4EFCE"/>
            <w:vAlign w:val="center"/>
            <w:hideMark/>
          </w:tcPr>
          <w:p w14:paraId="0BA9FA75" w14:textId="77777777" w:rsidR="006C686E" w:rsidRDefault="00B17E8C">
            <w:pPr>
              <w:pStyle w:val="P68B1DB1-Normal25"/>
              <w:spacing w:after="0" w:line="240" w:lineRule="auto"/>
              <w:jc w:val="center"/>
              <w:rPr>
                <w:rFonts w:eastAsia="Times New Roman"/>
                <w:bCs/>
                <w:noProof/>
              </w:rPr>
            </w:pPr>
            <w:r>
              <w:rPr>
                <w:noProof/>
              </w:rPr>
              <w:t>20.14</w:t>
            </w:r>
          </w:p>
        </w:tc>
        <w:tc>
          <w:tcPr>
            <w:tcW w:w="1446" w:type="dxa"/>
            <w:shd w:val="clear" w:color="auto" w:fill="C4EFCE"/>
            <w:noWrap/>
            <w:vAlign w:val="center"/>
            <w:hideMark/>
          </w:tcPr>
          <w:p w14:paraId="12FA110E" w14:textId="77777777" w:rsidR="006C686E" w:rsidRDefault="00B17E8C">
            <w:pPr>
              <w:pStyle w:val="P68B1DB1-Normal26"/>
              <w:spacing w:after="0" w:line="240" w:lineRule="auto"/>
              <w:jc w:val="center"/>
              <w:rPr>
                <w:rFonts w:eastAsia="Times New Roman"/>
                <w:noProof/>
              </w:rPr>
            </w:pPr>
            <w:r>
              <w:rPr>
                <w:noProof/>
              </w:rPr>
              <w:t>TD-C20-i03-RAM</w:t>
            </w:r>
          </w:p>
        </w:tc>
        <w:tc>
          <w:tcPr>
            <w:tcW w:w="1418" w:type="dxa"/>
            <w:shd w:val="clear" w:color="auto" w:fill="C4EFCE"/>
            <w:noWrap/>
            <w:vAlign w:val="center"/>
            <w:hideMark/>
          </w:tcPr>
          <w:p w14:paraId="1E6D028E"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5707CB77" w14:textId="77777777" w:rsidR="006C686E" w:rsidRDefault="00B17E8C">
            <w:pPr>
              <w:pStyle w:val="P68B1DB1-Normal26"/>
              <w:spacing w:after="0" w:line="240" w:lineRule="auto"/>
              <w:jc w:val="center"/>
              <w:rPr>
                <w:rFonts w:eastAsia="Times New Roman"/>
                <w:noProof/>
              </w:rPr>
            </w:pPr>
            <w:r>
              <w:rPr>
                <w:noProof/>
              </w:rPr>
              <w:t>Manuels numériques pour les élèves des 2e et 3e cycles et les élèves du secondaire</w:t>
            </w:r>
          </w:p>
        </w:tc>
        <w:tc>
          <w:tcPr>
            <w:tcW w:w="1275" w:type="dxa"/>
            <w:shd w:val="clear" w:color="auto" w:fill="C4EFCE"/>
            <w:noWrap/>
            <w:vAlign w:val="center"/>
            <w:hideMark/>
          </w:tcPr>
          <w:p w14:paraId="611571D0"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EBC33BF"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6519F18A" w14:textId="029558DD" w:rsidR="006C686E" w:rsidRDefault="00B17E8C">
            <w:pPr>
              <w:pStyle w:val="P68B1DB1-Normal26"/>
              <w:spacing w:after="0" w:line="240" w:lineRule="auto"/>
              <w:jc w:val="center"/>
              <w:rPr>
                <w:rFonts w:eastAsia="Times New Roman"/>
                <w:noProof/>
              </w:rPr>
            </w:pPr>
            <w:r>
              <w:rPr>
                <w:noProof/>
              </w:rPr>
              <w:t>0</w:t>
            </w:r>
          </w:p>
        </w:tc>
        <w:tc>
          <w:tcPr>
            <w:tcW w:w="992" w:type="dxa"/>
            <w:shd w:val="clear" w:color="auto" w:fill="C4EFCE"/>
            <w:noWrap/>
            <w:vAlign w:val="center"/>
            <w:hideMark/>
          </w:tcPr>
          <w:p w14:paraId="2F541C17" w14:textId="77777777" w:rsidR="006C686E" w:rsidRDefault="00B17E8C">
            <w:pPr>
              <w:pStyle w:val="P68B1DB1-Normal26"/>
              <w:spacing w:after="0" w:line="240" w:lineRule="auto"/>
              <w:jc w:val="center"/>
              <w:rPr>
                <w:rFonts w:eastAsia="Times New Roman"/>
                <w:noProof/>
              </w:rPr>
            </w:pPr>
            <w:r>
              <w:rPr>
                <w:noProof/>
              </w:rPr>
              <w:t>5 120</w:t>
            </w:r>
          </w:p>
        </w:tc>
        <w:tc>
          <w:tcPr>
            <w:tcW w:w="567" w:type="dxa"/>
            <w:shd w:val="clear" w:color="auto" w:fill="C4EFCE"/>
            <w:noWrap/>
            <w:vAlign w:val="center"/>
            <w:hideMark/>
          </w:tcPr>
          <w:p w14:paraId="48C679D8"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013D24FF" w14:textId="77777777" w:rsidR="006C686E" w:rsidRDefault="00B17E8C">
            <w:pPr>
              <w:pStyle w:val="P68B1DB1-Normal26"/>
              <w:spacing w:after="0" w:line="240" w:lineRule="auto"/>
              <w:jc w:val="center"/>
              <w:rPr>
                <w:rFonts w:eastAsia="Times New Roman"/>
                <w:noProof/>
              </w:rPr>
            </w:pPr>
            <w:r>
              <w:rPr>
                <w:noProof/>
              </w:rPr>
              <w:t>2022</w:t>
            </w:r>
          </w:p>
        </w:tc>
        <w:tc>
          <w:tcPr>
            <w:tcW w:w="3798" w:type="dxa"/>
            <w:shd w:val="clear" w:color="auto" w:fill="C4EFCE"/>
            <w:vAlign w:val="center"/>
            <w:hideMark/>
          </w:tcPr>
          <w:p w14:paraId="21C0EFBA" w14:textId="77777777" w:rsidR="006C686E" w:rsidRDefault="00B17E8C">
            <w:pPr>
              <w:pStyle w:val="P68B1DB1-Normal26"/>
              <w:spacing w:after="0" w:line="240" w:lineRule="auto"/>
              <w:jc w:val="both"/>
              <w:rPr>
                <w:rFonts w:eastAsia="Times New Roman"/>
                <w:noProof/>
              </w:rPr>
            </w:pPr>
            <w:r>
              <w:rPr>
                <w:noProof/>
              </w:rPr>
              <w:t>Nombre d’élèves des 2e et 3e cycles de l’enseignement primaire et secondaire qui, au cours de l’année scolaire, ont eu accès au kit manuel numérique de l’ARM et l’ont utilisé.</w:t>
            </w:r>
          </w:p>
        </w:tc>
      </w:tr>
      <w:tr w:rsidR="006C686E" w14:paraId="4946D6E9" w14:textId="77777777" w:rsidTr="00E130FD">
        <w:trPr>
          <w:trHeight w:val="300"/>
        </w:trPr>
        <w:tc>
          <w:tcPr>
            <w:tcW w:w="1135" w:type="dxa"/>
            <w:shd w:val="clear" w:color="auto" w:fill="C4EFCE"/>
            <w:vAlign w:val="center"/>
            <w:hideMark/>
          </w:tcPr>
          <w:p w14:paraId="45CB1B23" w14:textId="77777777" w:rsidR="006C686E" w:rsidRDefault="00B17E8C">
            <w:pPr>
              <w:pStyle w:val="P68B1DB1-Normal25"/>
              <w:spacing w:after="0" w:line="240" w:lineRule="auto"/>
              <w:jc w:val="center"/>
              <w:rPr>
                <w:rFonts w:eastAsia="Times New Roman"/>
                <w:bCs/>
                <w:noProof/>
              </w:rPr>
            </w:pPr>
            <w:r>
              <w:rPr>
                <w:noProof/>
              </w:rPr>
              <w:t>20.15</w:t>
            </w:r>
          </w:p>
        </w:tc>
        <w:tc>
          <w:tcPr>
            <w:tcW w:w="1446" w:type="dxa"/>
            <w:shd w:val="clear" w:color="auto" w:fill="C4EFCE"/>
            <w:noWrap/>
            <w:vAlign w:val="center"/>
            <w:hideMark/>
          </w:tcPr>
          <w:p w14:paraId="1BDCEF64" w14:textId="77777777" w:rsidR="006C686E" w:rsidRDefault="00B17E8C">
            <w:pPr>
              <w:pStyle w:val="P68B1DB1-Normal26"/>
              <w:spacing w:after="0" w:line="240" w:lineRule="auto"/>
              <w:jc w:val="center"/>
              <w:rPr>
                <w:rFonts w:eastAsia="Times New Roman"/>
                <w:noProof/>
              </w:rPr>
            </w:pPr>
            <w:r>
              <w:rPr>
                <w:noProof/>
              </w:rPr>
              <w:t>TD-C20-i03-RAM</w:t>
            </w:r>
          </w:p>
        </w:tc>
        <w:tc>
          <w:tcPr>
            <w:tcW w:w="1418" w:type="dxa"/>
            <w:shd w:val="clear" w:color="auto" w:fill="C4EFCE"/>
            <w:noWrap/>
            <w:vAlign w:val="center"/>
            <w:hideMark/>
          </w:tcPr>
          <w:p w14:paraId="05D87DB6"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5D5B734D" w14:textId="77777777" w:rsidR="006C686E" w:rsidRDefault="00B17E8C">
            <w:pPr>
              <w:pStyle w:val="P68B1DB1-Normal26"/>
              <w:spacing w:after="0" w:line="240" w:lineRule="auto"/>
              <w:jc w:val="center"/>
              <w:rPr>
                <w:rFonts w:eastAsia="Times New Roman"/>
                <w:noProof/>
              </w:rPr>
            </w:pPr>
            <w:r>
              <w:rPr>
                <w:noProof/>
              </w:rPr>
              <w:t>Connexion des écoles dans l'ARM</w:t>
            </w:r>
          </w:p>
        </w:tc>
        <w:tc>
          <w:tcPr>
            <w:tcW w:w="1275" w:type="dxa"/>
            <w:shd w:val="clear" w:color="auto" w:fill="C4EFCE"/>
            <w:noWrap/>
            <w:vAlign w:val="center"/>
            <w:hideMark/>
          </w:tcPr>
          <w:p w14:paraId="1863360E"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311D6BD6"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50BEC5C9" w14:textId="367EBA54" w:rsidR="006C686E" w:rsidRDefault="00B17E8C">
            <w:pPr>
              <w:pStyle w:val="P68B1DB1-Normal26"/>
              <w:spacing w:after="0" w:line="240" w:lineRule="auto"/>
              <w:jc w:val="center"/>
              <w:rPr>
                <w:rFonts w:eastAsia="Times New Roman"/>
                <w:noProof/>
              </w:rPr>
            </w:pPr>
            <w:r>
              <w:rPr>
                <w:noProof/>
              </w:rPr>
              <w:t>0</w:t>
            </w:r>
          </w:p>
        </w:tc>
        <w:tc>
          <w:tcPr>
            <w:tcW w:w="992" w:type="dxa"/>
            <w:shd w:val="clear" w:color="auto" w:fill="C4EFCE"/>
            <w:noWrap/>
            <w:vAlign w:val="center"/>
            <w:hideMark/>
          </w:tcPr>
          <w:p w14:paraId="41B69014" w14:textId="77777777" w:rsidR="006C686E" w:rsidRDefault="00B17E8C">
            <w:pPr>
              <w:pStyle w:val="P68B1DB1-Normal26"/>
              <w:spacing w:after="0" w:line="240" w:lineRule="auto"/>
              <w:jc w:val="center"/>
              <w:rPr>
                <w:rFonts w:eastAsia="Times New Roman"/>
                <w:noProof/>
              </w:rPr>
            </w:pPr>
            <w:r>
              <w:rPr>
                <w:noProof/>
              </w:rPr>
              <w:t>80</w:t>
            </w:r>
          </w:p>
        </w:tc>
        <w:tc>
          <w:tcPr>
            <w:tcW w:w="567" w:type="dxa"/>
            <w:shd w:val="clear" w:color="auto" w:fill="C4EFCE"/>
            <w:noWrap/>
            <w:vAlign w:val="center"/>
            <w:hideMark/>
          </w:tcPr>
          <w:p w14:paraId="13C223DD"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19E68B89" w14:textId="77777777" w:rsidR="006C686E" w:rsidRDefault="00B17E8C">
            <w:pPr>
              <w:pStyle w:val="P68B1DB1-Normal26"/>
              <w:spacing w:after="0" w:line="240" w:lineRule="auto"/>
              <w:jc w:val="center"/>
              <w:rPr>
                <w:rFonts w:eastAsia="Times New Roman"/>
                <w:noProof/>
              </w:rPr>
            </w:pPr>
            <w:r>
              <w:rPr>
                <w:noProof/>
              </w:rPr>
              <w:t>2024</w:t>
            </w:r>
          </w:p>
        </w:tc>
        <w:tc>
          <w:tcPr>
            <w:tcW w:w="3798" w:type="dxa"/>
            <w:shd w:val="clear" w:color="auto" w:fill="C4EFCE"/>
            <w:vAlign w:val="center"/>
            <w:hideMark/>
          </w:tcPr>
          <w:p w14:paraId="277832F0" w14:textId="4221BEAA" w:rsidR="006C686E" w:rsidRDefault="00B17E8C">
            <w:pPr>
              <w:pStyle w:val="P68B1DB1-Normal26"/>
              <w:spacing w:after="0" w:line="240" w:lineRule="auto"/>
              <w:jc w:val="both"/>
              <w:rPr>
                <w:rFonts w:eastAsia="Times New Roman"/>
                <w:noProof/>
              </w:rPr>
            </w:pPr>
            <w:r>
              <w:rPr>
                <w:noProof/>
              </w:rPr>
              <w:t>Nombre d'écoles de l'ARM pour lesquelles des équipements de connexion WiFi ont été installés.</w:t>
            </w:r>
          </w:p>
        </w:tc>
      </w:tr>
      <w:tr w:rsidR="006C686E" w14:paraId="7F51D2A9" w14:textId="77777777" w:rsidTr="00E130FD">
        <w:trPr>
          <w:trHeight w:val="300"/>
        </w:trPr>
        <w:tc>
          <w:tcPr>
            <w:tcW w:w="1135" w:type="dxa"/>
            <w:shd w:val="clear" w:color="auto" w:fill="C4EFCE"/>
            <w:vAlign w:val="center"/>
            <w:hideMark/>
          </w:tcPr>
          <w:p w14:paraId="3DAF8B8D" w14:textId="77777777" w:rsidR="006C686E" w:rsidRDefault="00B17E8C">
            <w:pPr>
              <w:pStyle w:val="P68B1DB1-Normal25"/>
              <w:spacing w:after="0" w:line="240" w:lineRule="auto"/>
              <w:jc w:val="center"/>
              <w:rPr>
                <w:rFonts w:eastAsia="Times New Roman"/>
                <w:bCs/>
                <w:noProof/>
              </w:rPr>
            </w:pPr>
            <w:r>
              <w:rPr>
                <w:noProof/>
              </w:rPr>
              <w:t>20.16</w:t>
            </w:r>
          </w:p>
        </w:tc>
        <w:tc>
          <w:tcPr>
            <w:tcW w:w="1446" w:type="dxa"/>
            <w:shd w:val="clear" w:color="auto" w:fill="C4EFCE"/>
            <w:noWrap/>
            <w:vAlign w:val="center"/>
            <w:hideMark/>
          </w:tcPr>
          <w:p w14:paraId="12897113" w14:textId="77777777" w:rsidR="006C686E" w:rsidRDefault="00B17E8C">
            <w:pPr>
              <w:pStyle w:val="P68B1DB1-Normal26"/>
              <w:spacing w:after="0" w:line="240" w:lineRule="auto"/>
              <w:jc w:val="center"/>
              <w:rPr>
                <w:rFonts w:eastAsia="Times New Roman"/>
                <w:noProof/>
              </w:rPr>
            </w:pPr>
            <w:r>
              <w:rPr>
                <w:noProof/>
              </w:rPr>
              <w:t>TD-C20-i03-RAM</w:t>
            </w:r>
          </w:p>
        </w:tc>
        <w:tc>
          <w:tcPr>
            <w:tcW w:w="1418" w:type="dxa"/>
            <w:shd w:val="clear" w:color="auto" w:fill="C4EFCE"/>
            <w:noWrap/>
            <w:vAlign w:val="center"/>
            <w:hideMark/>
          </w:tcPr>
          <w:p w14:paraId="3DC39901"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13D1908F" w14:textId="4283083A" w:rsidR="006C686E" w:rsidRDefault="00B17E8C">
            <w:pPr>
              <w:pStyle w:val="P68B1DB1-Normal26"/>
              <w:spacing w:after="0" w:line="240" w:lineRule="auto"/>
              <w:jc w:val="center"/>
              <w:rPr>
                <w:noProof/>
              </w:rPr>
            </w:pPr>
            <w:r>
              <w:rPr>
                <w:noProof/>
              </w:rPr>
              <w:t xml:space="preserve"> Élèves avec manuels numériques</w:t>
            </w:r>
          </w:p>
        </w:tc>
        <w:tc>
          <w:tcPr>
            <w:tcW w:w="1275" w:type="dxa"/>
            <w:shd w:val="clear" w:color="auto" w:fill="C4EFCE"/>
            <w:noWrap/>
            <w:vAlign w:val="center"/>
            <w:hideMark/>
          </w:tcPr>
          <w:p w14:paraId="69A38594"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4148717B"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1336590C" w14:textId="72340270" w:rsidR="006C686E" w:rsidRDefault="00B17E8C">
            <w:pPr>
              <w:pStyle w:val="P68B1DB1-Normal26"/>
              <w:spacing w:after="0" w:line="240" w:lineRule="auto"/>
              <w:jc w:val="center"/>
              <w:rPr>
                <w:rFonts w:eastAsia="Times New Roman"/>
                <w:noProof/>
              </w:rPr>
            </w:pPr>
            <w:r>
              <w:rPr>
                <w:noProof/>
              </w:rPr>
              <w:t>5 120</w:t>
            </w:r>
          </w:p>
        </w:tc>
        <w:tc>
          <w:tcPr>
            <w:tcW w:w="992" w:type="dxa"/>
            <w:shd w:val="clear" w:color="auto" w:fill="C4EFCE"/>
            <w:noWrap/>
            <w:vAlign w:val="center"/>
            <w:hideMark/>
          </w:tcPr>
          <w:p w14:paraId="2702E146" w14:textId="77777777" w:rsidR="006C686E" w:rsidRDefault="00B17E8C">
            <w:pPr>
              <w:pStyle w:val="P68B1DB1-Normal26"/>
              <w:spacing w:after="0" w:line="240" w:lineRule="auto"/>
              <w:jc w:val="center"/>
              <w:rPr>
                <w:rFonts w:eastAsia="Times New Roman"/>
                <w:noProof/>
              </w:rPr>
            </w:pPr>
            <w:r>
              <w:rPr>
                <w:noProof/>
              </w:rPr>
              <w:t>15 910</w:t>
            </w:r>
          </w:p>
        </w:tc>
        <w:tc>
          <w:tcPr>
            <w:tcW w:w="567" w:type="dxa"/>
            <w:shd w:val="clear" w:color="auto" w:fill="C4EFCE"/>
            <w:noWrap/>
            <w:vAlign w:val="center"/>
            <w:hideMark/>
          </w:tcPr>
          <w:p w14:paraId="348911F2"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098250C0" w14:textId="77777777" w:rsidR="006C686E" w:rsidRDefault="00B17E8C">
            <w:pPr>
              <w:pStyle w:val="P68B1DB1-Normal26"/>
              <w:spacing w:after="0" w:line="240" w:lineRule="auto"/>
              <w:jc w:val="center"/>
              <w:rPr>
                <w:rFonts w:eastAsia="Times New Roman"/>
                <w:noProof/>
              </w:rPr>
            </w:pPr>
            <w:r>
              <w:rPr>
                <w:noProof/>
              </w:rPr>
              <w:t>2025</w:t>
            </w:r>
          </w:p>
        </w:tc>
        <w:tc>
          <w:tcPr>
            <w:tcW w:w="3798" w:type="dxa"/>
            <w:shd w:val="clear" w:color="auto" w:fill="C4EFCE"/>
            <w:vAlign w:val="center"/>
            <w:hideMark/>
          </w:tcPr>
          <w:p w14:paraId="67609570" w14:textId="53284872" w:rsidR="006C686E" w:rsidRDefault="00B17E8C">
            <w:pPr>
              <w:pStyle w:val="P68B1DB1-Normal26"/>
              <w:spacing w:after="0" w:line="240" w:lineRule="auto"/>
              <w:jc w:val="both"/>
              <w:rPr>
                <w:rFonts w:eastAsia="Times New Roman"/>
                <w:noProof/>
              </w:rPr>
            </w:pPr>
            <w:r>
              <w:rPr>
                <w:noProof/>
              </w:rPr>
              <w:t>Nombre d’élèves qui, au cours de l’année scolaire 2025/2026, ont reçu un kit manuel numérique.</w:t>
            </w:r>
          </w:p>
        </w:tc>
      </w:tr>
      <w:tr w:rsidR="006C686E" w14:paraId="759341A3" w14:textId="77777777" w:rsidTr="00E130FD">
        <w:trPr>
          <w:trHeight w:val="300"/>
        </w:trPr>
        <w:tc>
          <w:tcPr>
            <w:tcW w:w="1135" w:type="dxa"/>
            <w:shd w:val="clear" w:color="auto" w:fill="C4EFCE"/>
            <w:vAlign w:val="center"/>
            <w:hideMark/>
          </w:tcPr>
          <w:p w14:paraId="010B8998" w14:textId="77777777" w:rsidR="006C686E" w:rsidRDefault="00B17E8C">
            <w:pPr>
              <w:pStyle w:val="P68B1DB1-Normal25"/>
              <w:spacing w:after="0" w:line="240" w:lineRule="auto"/>
              <w:jc w:val="center"/>
              <w:rPr>
                <w:rFonts w:eastAsia="Times New Roman"/>
                <w:bCs/>
                <w:noProof/>
              </w:rPr>
            </w:pPr>
            <w:r>
              <w:rPr>
                <w:noProof/>
              </w:rPr>
              <w:t>20.17</w:t>
            </w:r>
          </w:p>
        </w:tc>
        <w:tc>
          <w:tcPr>
            <w:tcW w:w="1446" w:type="dxa"/>
            <w:shd w:val="clear" w:color="auto" w:fill="C4EFCE"/>
            <w:noWrap/>
            <w:vAlign w:val="center"/>
            <w:hideMark/>
          </w:tcPr>
          <w:p w14:paraId="32AA4AC9" w14:textId="77777777" w:rsidR="006C686E" w:rsidRDefault="00B17E8C">
            <w:pPr>
              <w:pStyle w:val="P68B1DB1-Normal26"/>
              <w:spacing w:after="0" w:line="240" w:lineRule="auto"/>
              <w:jc w:val="center"/>
              <w:rPr>
                <w:rFonts w:eastAsia="Times New Roman"/>
                <w:noProof/>
              </w:rPr>
            </w:pPr>
            <w:r>
              <w:rPr>
                <w:noProof/>
              </w:rPr>
              <w:t>TD-C20-i03-RAM</w:t>
            </w:r>
          </w:p>
        </w:tc>
        <w:tc>
          <w:tcPr>
            <w:tcW w:w="1418" w:type="dxa"/>
            <w:shd w:val="clear" w:color="auto" w:fill="C4EFCE"/>
            <w:noWrap/>
            <w:vAlign w:val="center"/>
            <w:hideMark/>
          </w:tcPr>
          <w:p w14:paraId="4A03CE32" w14:textId="77777777" w:rsidR="006C686E" w:rsidRDefault="00B17E8C">
            <w:pPr>
              <w:pStyle w:val="P68B1DB1-Normal26"/>
              <w:spacing w:after="0" w:line="240" w:lineRule="auto"/>
              <w:jc w:val="center"/>
              <w:rPr>
                <w:rFonts w:eastAsia="Times New Roman"/>
                <w:noProof/>
              </w:rPr>
            </w:pPr>
            <w:r>
              <w:rPr>
                <w:noProof/>
              </w:rPr>
              <w:t>T</w:t>
            </w:r>
          </w:p>
        </w:tc>
        <w:tc>
          <w:tcPr>
            <w:tcW w:w="1247" w:type="dxa"/>
            <w:shd w:val="clear" w:color="auto" w:fill="C4EFCE"/>
            <w:noWrap/>
            <w:vAlign w:val="center"/>
            <w:hideMark/>
          </w:tcPr>
          <w:p w14:paraId="0F0A3CF4" w14:textId="282A33EA" w:rsidR="006C686E" w:rsidRDefault="00B17E8C">
            <w:pPr>
              <w:pStyle w:val="P68B1DB1-Normal26"/>
              <w:spacing w:after="0" w:line="240" w:lineRule="auto"/>
              <w:jc w:val="center"/>
              <w:rPr>
                <w:rFonts w:eastAsia="Times New Roman"/>
                <w:noProof/>
              </w:rPr>
            </w:pPr>
            <w:r>
              <w:rPr>
                <w:noProof/>
              </w:rPr>
              <w:t>Formation aux compétences numériques</w:t>
            </w:r>
          </w:p>
        </w:tc>
        <w:tc>
          <w:tcPr>
            <w:tcW w:w="1275" w:type="dxa"/>
            <w:shd w:val="clear" w:color="auto" w:fill="C4EFCE"/>
            <w:noWrap/>
            <w:vAlign w:val="center"/>
            <w:hideMark/>
          </w:tcPr>
          <w:p w14:paraId="16D12446" w14:textId="77777777" w:rsidR="006C686E" w:rsidRDefault="00B17E8C">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70695DC7" w14:textId="77777777" w:rsidR="006C686E" w:rsidRDefault="00B17E8C">
            <w:pPr>
              <w:pStyle w:val="P68B1DB1-Normal26"/>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153F9F05" w14:textId="5AC9963C" w:rsidR="006C686E" w:rsidRDefault="00B17E8C">
            <w:pPr>
              <w:pStyle w:val="P68B1DB1-Normal26"/>
              <w:spacing w:after="0" w:line="240" w:lineRule="auto"/>
              <w:jc w:val="center"/>
              <w:rPr>
                <w:rFonts w:eastAsia="Times New Roman"/>
                <w:noProof/>
              </w:rPr>
            </w:pPr>
            <w:r>
              <w:rPr>
                <w:noProof/>
              </w:rPr>
              <w:t>0</w:t>
            </w:r>
          </w:p>
        </w:tc>
        <w:tc>
          <w:tcPr>
            <w:tcW w:w="992" w:type="dxa"/>
            <w:shd w:val="clear" w:color="auto" w:fill="C4EFCE"/>
            <w:noWrap/>
            <w:vAlign w:val="center"/>
            <w:hideMark/>
          </w:tcPr>
          <w:p w14:paraId="44C442E1" w14:textId="77777777" w:rsidR="006C686E" w:rsidRDefault="00B17E8C">
            <w:pPr>
              <w:pStyle w:val="P68B1DB1-Normal26"/>
              <w:spacing w:after="0" w:line="240" w:lineRule="auto"/>
              <w:jc w:val="center"/>
              <w:rPr>
                <w:rFonts w:eastAsia="Times New Roman"/>
                <w:noProof/>
              </w:rPr>
            </w:pPr>
            <w:r>
              <w:rPr>
                <w:noProof/>
              </w:rPr>
              <w:t>6 500</w:t>
            </w:r>
          </w:p>
        </w:tc>
        <w:tc>
          <w:tcPr>
            <w:tcW w:w="567" w:type="dxa"/>
            <w:shd w:val="clear" w:color="auto" w:fill="C4EFCE"/>
            <w:noWrap/>
            <w:vAlign w:val="center"/>
            <w:hideMark/>
          </w:tcPr>
          <w:p w14:paraId="38469731"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07230A65" w14:textId="77777777" w:rsidR="006C686E" w:rsidRDefault="00B17E8C">
            <w:pPr>
              <w:pStyle w:val="P68B1DB1-Normal26"/>
              <w:spacing w:after="0" w:line="240" w:lineRule="auto"/>
              <w:jc w:val="center"/>
              <w:rPr>
                <w:rFonts w:eastAsia="Times New Roman"/>
                <w:noProof/>
              </w:rPr>
            </w:pPr>
            <w:r>
              <w:rPr>
                <w:noProof/>
              </w:rPr>
              <w:t>2025</w:t>
            </w:r>
          </w:p>
        </w:tc>
        <w:tc>
          <w:tcPr>
            <w:tcW w:w="3798" w:type="dxa"/>
            <w:shd w:val="clear" w:color="auto" w:fill="C4EFCE"/>
            <w:vAlign w:val="center"/>
            <w:hideMark/>
          </w:tcPr>
          <w:p w14:paraId="0DAE5F86" w14:textId="3D37D602" w:rsidR="006C686E" w:rsidRDefault="00B17E8C">
            <w:pPr>
              <w:pStyle w:val="P68B1DB1-Normal26"/>
              <w:spacing w:after="0" w:line="240" w:lineRule="auto"/>
              <w:jc w:val="both"/>
              <w:rPr>
                <w:noProof/>
              </w:rPr>
            </w:pPr>
            <w:r>
              <w:rPr>
                <w:noProof/>
              </w:rPr>
              <w:t>Certificats de participation à des formations aux compétences numériques disponibles sur la plateforme «Interagir».</w:t>
            </w:r>
          </w:p>
        </w:tc>
      </w:tr>
      <w:tr w:rsidR="006C686E" w14:paraId="6D7D21E6" w14:textId="77777777" w:rsidTr="00E130FD">
        <w:trPr>
          <w:trHeight w:val="300"/>
        </w:trPr>
        <w:tc>
          <w:tcPr>
            <w:tcW w:w="1135" w:type="dxa"/>
            <w:shd w:val="clear" w:color="auto" w:fill="C4EFCE"/>
            <w:vAlign w:val="center"/>
            <w:hideMark/>
          </w:tcPr>
          <w:p w14:paraId="2D49FFA1" w14:textId="77777777" w:rsidR="006C686E" w:rsidRDefault="00B17E8C">
            <w:pPr>
              <w:pStyle w:val="P68B1DB1-Normal25"/>
              <w:spacing w:after="0" w:line="240" w:lineRule="auto"/>
              <w:jc w:val="center"/>
              <w:rPr>
                <w:rFonts w:eastAsia="Times New Roman"/>
                <w:bCs/>
                <w:noProof/>
              </w:rPr>
            </w:pPr>
            <w:r>
              <w:rPr>
                <w:noProof/>
              </w:rPr>
              <w:t>20.18</w:t>
            </w:r>
          </w:p>
        </w:tc>
        <w:tc>
          <w:tcPr>
            <w:tcW w:w="1446" w:type="dxa"/>
            <w:shd w:val="clear" w:color="auto" w:fill="C4EFCE"/>
            <w:noWrap/>
            <w:vAlign w:val="center"/>
            <w:hideMark/>
          </w:tcPr>
          <w:p w14:paraId="0AE08F3F" w14:textId="77777777" w:rsidR="006C686E" w:rsidRDefault="00B17E8C">
            <w:pPr>
              <w:pStyle w:val="P68B1DB1-Normal26"/>
              <w:spacing w:after="0" w:line="240" w:lineRule="auto"/>
              <w:jc w:val="center"/>
              <w:rPr>
                <w:rFonts w:eastAsia="Times New Roman"/>
                <w:noProof/>
              </w:rPr>
            </w:pPr>
            <w:r>
              <w:rPr>
                <w:noProof/>
              </w:rPr>
              <w:t>TD-C20-i03-RAM</w:t>
            </w:r>
          </w:p>
        </w:tc>
        <w:tc>
          <w:tcPr>
            <w:tcW w:w="1418" w:type="dxa"/>
            <w:shd w:val="clear" w:color="auto" w:fill="C4EFCE"/>
            <w:noWrap/>
            <w:vAlign w:val="center"/>
            <w:hideMark/>
          </w:tcPr>
          <w:p w14:paraId="63E40980" w14:textId="77777777" w:rsidR="006C686E" w:rsidRDefault="00B17E8C">
            <w:pPr>
              <w:pStyle w:val="P68B1DB1-Normal26"/>
              <w:spacing w:after="0" w:line="240" w:lineRule="auto"/>
              <w:jc w:val="center"/>
              <w:rPr>
                <w:rFonts w:eastAsia="Times New Roman"/>
                <w:noProof/>
              </w:rPr>
            </w:pPr>
            <w:r>
              <w:rPr>
                <w:noProof/>
              </w:rPr>
              <w:t>M</w:t>
            </w:r>
          </w:p>
        </w:tc>
        <w:tc>
          <w:tcPr>
            <w:tcW w:w="1247" w:type="dxa"/>
            <w:shd w:val="clear" w:color="auto" w:fill="C4EFCE"/>
            <w:noWrap/>
            <w:vAlign w:val="center"/>
            <w:hideMark/>
          </w:tcPr>
          <w:p w14:paraId="3E4D5462" w14:textId="611BC72F" w:rsidR="006C686E" w:rsidRDefault="00B17E8C">
            <w:pPr>
              <w:pStyle w:val="P68B1DB1-Normal26"/>
              <w:spacing w:after="0" w:line="240" w:lineRule="auto"/>
              <w:jc w:val="center"/>
              <w:rPr>
                <w:rFonts w:eastAsia="Times New Roman"/>
                <w:noProof/>
              </w:rPr>
            </w:pPr>
            <w:r>
              <w:rPr>
                <w:noProof/>
              </w:rPr>
              <w:t xml:space="preserve">Équipements numériques </w:t>
            </w:r>
          </w:p>
        </w:tc>
        <w:tc>
          <w:tcPr>
            <w:tcW w:w="1275" w:type="dxa"/>
            <w:shd w:val="clear" w:color="auto" w:fill="C4EFCE"/>
            <w:noWrap/>
            <w:vAlign w:val="center"/>
            <w:hideMark/>
          </w:tcPr>
          <w:p w14:paraId="37AB081F" w14:textId="52DFB974" w:rsidR="006C686E" w:rsidRDefault="00B17E8C">
            <w:pPr>
              <w:pStyle w:val="P68B1DB1-Normal26"/>
              <w:spacing w:after="0" w:line="240" w:lineRule="auto"/>
              <w:jc w:val="center"/>
              <w:rPr>
                <w:rFonts w:eastAsia="Times New Roman"/>
                <w:noProof/>
              </w:rPr>
            </w:pPr>
            <w:r>
              <w:rPr>
                <w:noProof/>
              </w:rPr>
              <w:t>Livraison d'équipements numériques</w:t>
            </w:r>
          </w:p>
        </w:tc>
        <w:tc>
          <w:tcPr>
            <w:tcW w:w="993" w:type="dxa"/>
            <w:shd w:val="clear" w:color="auto" w:fill="C4EFCE"/>
            <w:noWrap/>
            <w:vAlign w:val="center"/>
            <w:hideMark/>
          </w:tcPr>
          <w:p w14:paraId="376362E8"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7AD6295B" w14:textId="77777777" w:rsidR="006C686E" w:rsidRDefault="00B17E8C">
            <w:pPr>
              <w:pStyle w:val="P68B1DB1-Normal26"/>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04FD886A"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6703D5" w14:textId="77777777" w:rsidR="006C686E" w:rsidRDefault="00B17E8C">
            <w:pPr>
              <w:pStyle w:val="P68B1DB1-Normal26"/>
              <w:spacing w:after="0" w:line="240" w:lineRule="auto"/>
              <w:jc w:val="center"/>
              <w:rPr>
                <w:rFonts w:eastAsia="Times New Roman"/>
                <w:noProof/>
              </w:rPr>
            </w:pPr>
            <w:r>
              <w:rPr>
                <w:noProof/>
              </w:rPr>
              <w:t>T4</w:t>
            </w:r>
          </w:p>
        </w:tc>
        <w:tc>
          <w:tcPr>
            <w:tcW w:w="879" w:type="dxa"/>
            <w:shd w:val="clear" w:color="auto" w:fill="C4EFCE"/>
            <w:noWrap/>
            <w:vAlign w:val="center"/>
            <w:hideMark/>
          </w:tcPr>
          <w:p w14:paraId="440AB422" w14:textId="77777777" w:rsidR="006C686E" w:rsidRDefault="00B17E8C">
            <w:pPr>
              <w:pStyle w:val="P68B1DB1-Normal26"/>
              <w:spacing w:after="0" w:line="240" w:lineRule="auto"/>
              <w:jc w:val="center"/>
              <w:rPr>
                <w:rFonts w:eastAsia="Times New Roman"/>
                <w:noProof/>
              </w:rPr>
            </w:pPr>
            <w:r>
              <w:rPr>
                <w:noProof/>
              </w:rPr>
              <w:t>2025</w:t>
            </w:r>
          </w:p>
        </w:tc>
        <w:tc>
          <w:tcPr>
            <w:tcW w:w="3798" w:type="dxa"/>
            <w:shd w:val="clear" w:color="auto" w:fill="C4EFCE"/>
            <w:vAlign w:val="center"/>
            <w:hideMark/>
          </w:tcPr>
          <w:p w14:paraId="14AA8A02" w14:textId="15E64540" w:rsidR="006C686E" w:rsidRDefault="00B17E8C">
            <w:pPr>
              <w:pStyle w:val="P68B1DB1-Normal27"/>
              <w:spacing w:after="0" w:line="240" w:lineRule="auto"/>
              <w:jc w:val="both"/>
              <w:rPr>
                <w:rFonts w:ascii="Times New Roman" w:hAnsi="Times New Roman" w:cs="Times New Roman"/>
                <w:noProof/>
              </w:rPr>
            </w:pPr>
            <w:r>
              <w:rPr>
                <w:rFonts w:ascii="Times New Roman" w:hAnsi="Times New Roman" w:cs="Times New Roman"/>
                <w:noProof/>
              </w:rPr>
              <w:t>Au moins 2</w:t>
            </w:r>
            <w:r>
              <w:rPr>
                <w:rFonts w:ascii="Times New Roman" w:eastAsia="Calibri" w:hAnsi="Times New Roman" w:cs="Times New Roman"/>
                <w:noProof/>
                <w:kern w:val="0"/>
                <w14:ligatures w14:val="none"/>
              </w:rPr>
              <w:t> </w:t>
            </w:r>
            <w:r>
              <w:rPr>
                <w:rFonts w:ascii="Times New Roman" w:hAnsi="Times New Roman" w:cs="Times New Roman"/>
                <w:noProof/>
              </w:rPr>
              <w:t>500 tablettes ou ordinateurs achetés pour les écoles. En outre, les écoles ont reçu du matériel pour la constitution de 110 salles de classe, appartenant à des environnements d'apprentissage, entre autres: Environnements d’apprentissage innovants (futurs locaux), environnements d’apprentissage immersifs, locaux «Espaces innovants», locaux «Makerspace» ou locaux «Snoezelen».</w:t>
            </w:r>
          </w:p>
        </w:tc>
      </w:tr>
    </w:tbl>
    <w:p w14:paraId="748A7714" w14:textId="77777777" w:rsidR="006C686E" w:rsidRDefault="006C686E">
      <w:pPr>
        <w:keepNext/>
        <w:spacing w:before="40" w:after="0" w:line="259" w:lineRule="auto"/>
        <w:jc w:val="both"/>
        <w:rPr>
          <w:noProof/>
        </w:rPr>
      </w:pPr>
    </w:p>
    <w:p w14:paraId="7F072449" w14:textId="77777777" w:rsidR="006C686E" w:rsidRDefault="006C686E">
      <w:pPr>
        <w:spacing w:after="200" w:line="276" w:lineRule="auto"/>
        <w:rPr>
          <w:rFonts w:ascii="Calibri" w:eastAsia="Calibri" w:hAnsi="Calibri" w:cs="Times New Roman"/>
          <w:noProof/>
          <w:kern w:val="0"/>
          <w14:ligatures w14:val="none"/>
        </w:rPr>
        <w:sectPr w:rsidR="006C686E" w:rsidSect="00C95E00">
          <w:headerReference w:type="even" r:id="rId367"/>
          <w:headerReference w:type="default" r:id="rId368"/>
          <w:footerReference w:type="even" r:id="rId369"/>
          <w:footerReference w:type="default" r:id="rId370"/>
          <w:headerReference w:type="first" r:id="rId371"/>
          <w:footerReference w:type="first" r:id="rId372"/>
          <w:pgSz w:w="16839" w:h="11907" w:orient="landscape"/>
          <w:pgMar w:top="1134" w:right="1134" w:bottom="1134" w:left="1134" w:header="567" w:footer="567" w:gutter="0"/>
          <w:cols w:space="720"/>
          <w:docGrid w:linePitch="360"/>
        </w:sectPr>
      </w:pPr>
    </w:p>
    <w:p w14:paraId="5008059F" w14:textId="319F216F" w:rsidR="006C686E" w:rsidRDefault="00B17E8C">
      <w:pPr>
        <w:pStyle w:val="P68B1DB1-Normal51"/>
        <w:keepNext/>
        <w:spacing w:before="40" w:after="0"/>
        <w:ind w:left="130" w:firstLine="720"/>
        <w:jc w:val="both"/>
        <w:outlineLvl w:val="1"/>
        <w:rPr>
          <w:noProof/>
        </w:rPr>
      </w:pPr>
      <w:r>
        <w:rPr>
          <w:noProof/>
        </w:rPr>
        <w:t>U. ÉLÉMENT 21: REPowerEU</w:t>
      </w:r>
    </w:p>
    <w:p w14:paraId="5ECC7D66" w14:textId="77777777" w:rsidR="006C686E" w:rsidRDefault="00B17E8C">
      <w:pPr>
        <w:pStyle w:val="P68B1DB1-Normal52"/>
        <w:spacing w:before="40" w:after="0"/>
        <w:jc w:val="both"/>
        <w:rPr>
          <w:noProof/>
        </w:rPr>
      </w:pPr>
      <w:r>
        <w:rPr>
          <w:noProof/>
        </w:rPr>
        <w:t xml:space="preserve">L’objectif du chapitre REPowerEU est de soutenir les ambitions du Portugal en matière d’indépendance énergétique et de transition écologique, dans le contexte des nouvelles situations géopolitiques et du marché de l’énergie. </w:t>
      </w:r>
    </w:p>
    <w:p w14:paraId="65F3ADAF" w14:textId="6F9A78C4" w:rsidR="006C686E" w:rsidRDefault="00B17E8C">
      <w:pPr>
        <w:pStyle w:val="P68B1DB1-Normal52"/>
        <w:spacing w:before="40" w:after="0"/>
        <w:jc w:val="both"/>
        <w:rPr>
          <w:noProof/>
        </w:rPr>
      </w:pPr>
      <w:r>
        <w:rPr>
          <w:noProof/>
        </w:rPr>
        <w:t>Les réformes et les investissements au titre de REPowerEU visent à renforcer la souveraineté énergétique du Portugal et à accélérer la décarbonation de son économie. Ce chapitre comprend des réformes qui rationaliseront les procédures d’octroi de licences pour les énergies renouvelables. Un investissement consistera en l'élaboration d'études techniques pour l'adoption de l'énergie éolienne en mer. En outre, le Portugal relève le défi de la reconversion de la main-d’œuvre en vue de la transition écologique au moyen d’une réforme des compétences vertes, qui vise à créer une offre complète de formation professionnelle pour le développement des compétences vertes.</w:t>
      </w:r>
    </w:p>
    <w:p w14:paraId="505B0789" w14:textId="1417E13B" w:rsidR="006C686E" w:rsidRDefault="00B17E8C">
      <w:pPr>
        <w:pStyle w:val="P68B1DB1-Normal52"/>
        <w:spacing w:before="40" w:after="0"/>
        <w:jc w:val="both"/>
        <w:rPr>
          <w:noProof/>
        </w:rPr>
      </w:pPr>
      <w:r>
        <w:rPr>
          <w:noProof/>
        </w:rPr>
        <w:t xml:space="preserve">Le chapitre comprend également des investissements visant à lutter contre la précarité énergétique au moyen d’investissements visant à accroître l’efficacité énergétique dans les bâtiments résidentiels et publics, ainsi que des réformes visant à mettre en place un observatoire national de la précarité énergétique et à élaborer un modèle de guichet unique pour aider les citoyens à mettre en œuvre des interventions en matière d’efficacité énergétique. </w:t>
      </w:r>
    </w:p>
    <w:p w14:paraId="4F3D015D" w14:textId="6B7E05C3" w:rsidR="006C686E" w:rsidRDefault="00B17E8C">
      <w:pPr>
        <w:pStyle w:val="P68B1DB1-Normal52"/>
        <w:spacing w:before="40" w:after="0"/>
        <w:jc w:val="both"/>
        <w:rPr>
          <w:noProof/>
        </w:rPr>
      </w:pPr>
      <w:r>
        <w:rPr>
          <w:noProof/>
        </w:rPr>
        <w:t>Le Portugal renforce également sa résilience en réalisant des investissements stratégiques pour soutenir la production de technologies «zéro net», en intensifiant les investissements existants dans le transport à émissions nulles et en renforçant les capacités de stockage afin d’accroître la flexibilité du système énergétique tout en promouvant les énergies renouvelables. Plusieurs nouveaux investissements dans le transport à émissions nulles sont prévus et répartis dans tout le pays, notamment la construction d’un funiculaire à Nazaré».</w:t>
      </w:r>
    </w:p>
    <w:p w14:paraId="726A2A85" w14:textId="77777777" w:rsidR="006C686E" w:rsidRDefault="00B17E8C">
      <w:pPr>
        <w:pStyle w:val="P68B1DB1-Normal52"/>
        <w:spacing w:before="40" w:after="0"/>
        <w:jc w:val="both"/>
        <w:rPr>
          <w:noProof/>
        </w:rPr>
      </w:pPr>
      <w:r>
        <w:rPr>
          <w:noProof/>
        </w:rPr>
        <w:t>Plusieurs mesures comporteront une dimension transfrontalière, qui sera pour la plupart développée grâce à des investissements dans les énergies renouvelables et l'efficacité énergétique.</w:t>
      </w:r>
    </w:p>
    <w:p w14:paraId="6DEE1312" w14:textId="77777777" w:rsidR="006C686E" w:rsidRDefault="00B17E8C">
      <w:pPr>
        <w:pStyle w:val="P68B1DB1-Normal52"/>
        <w:keepNext/>
        <w:spacing w:before="40" w:after="0"/>
        <w:jc w:val="both"/>
        <w:rPr>
          <w:noProof/>
        </w:rPr>
      </w:pPr>
      <w:r>
        <w:rPr>
          <w:noProof/>
        </w:rPr>
        <w:t>Ce volet contribue à donner suite à la recommandation par pays adressée au Portugal visant à réduire sa dépendance à l’égard des combustibles fossiles (recommandation par pays no 4 de 2022 et 2023) et à concentrer les investissements sur la transition vers une économie à faible intensité de carbone et la transition énergétique (recommandation par pays no 3 de 2019), ainsi que sur la production et l’utilisation propres et efficaces de l’énergie (recommandation par pays no 3 de 2020). Il comprend notamment des mesures visant à accélérer le déploiement des énergies renouvelables, à simplifier les autorisations, à décarboner le secteur des transports, à améliorer l’efficacité énergétique des bâtiments, à moderniser les réseaux de transport et de distribution d’électricité, à accroître le stockage de l’électricité et à renforcer l’acquisition des compétences vertes nécessaires à la transition écologique.</w:t>
      </w:r>
    </w:p>
    <w:p w14:paraId="615E82F6" w14:textId="77777777" w:rsidR="006C686E" w:rsidRDefault="00B17E8C">
      <w:pPr>
        <w:pStyle w:val="P68B1DB1-Normal52"/>
        <w:spacing w:before="40" w:after="0"/>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1D30717" w14:textId="77777777" w:rsidR="006C686E" w:rsidRDefault="006C686E">
      <w:pPr>
        <w:spacing w:after="200" w:line="276" w:lineRule="auto"/>
        <w:rPr>
          <w:rFonts w:ascii="Calibri" w:hAnsi="Calibri"/>
          <w:noProof/>
          <w:kern w:val="0"/>
          <w14:ligatures w14:val="none"/>
        </w:rPr>
      </w:pPr>
    </w:p>
    <w:p w14:paraId="17C3AA2A" w14:textId="77777777" w:rsidR="006C686E" w:rsidRDefault="00B17E8C">
      <w:pPr>
        <w:pStyle w:val="P68B1DB1-Normal51"/>
        <w:keepNext/>
        <w:spacing w:before="40" w:after="0"/>
        <w:ind w:left="130"/>
        <w:jc w:val="both"/>
        <w:outlineLvl w:val="1"/>
        <w:rPr>
          <w:noProof/>
        </w:rPr>
      </w:pPr>
      <w:r>
        <w:rPr>
          <w:noProof/>
        </w:rPr>
        <w:t>U.1. Description des réformes et des investissements pour le soutien financier non remboursable</w:t>
      </w:r>
    </w:p>
    <w:p w14:paraId="4863D890" w14:textId="77777777" w:rsidR="006C686E" w:rsidRDefault="00B17E8C">
      <w:pPr>
        <w:pStyle w:val="P68B1DB1-Normal53"/>
        <w:spacing w:before="240" w:after="0" w:line="276" w:lineRule="auto"/>
        <w:ind w:left="720"/>
        <w:rPr>
          <w:noProof/>
        </w:rPr>
      </w:pPr>
      <w:r>
        <w:rPr>
          <w:noProof/>
        </w:rPr>
        <w:t>Investissement RP-C21-i01: Mesure à plus grande échelle: Décarbonation de l’industrie</w:t>
      </w:r>
    </w:p>
    <w:p w14:paraId="3977EBD9" w14:textId="77777777" w:rsidR="006C686E" w:rsidRDefault="00B17E8C">
      <w:pPr>
        <w:pStyle w:val="P68B1DB1-Normal52"/>
        <w:spacing w:before="40" w:after="0"/>
        <w:jc w:val="both"/>
        <w:rPr>
          <w:noProof/>
        </w:rPr>
      </w:pPr>
      <w:r>
        <w:rPr>
          <w:noProof/>
        </w:rPr>
        <w:t>L’objectif de cette mesure est d’accroître l’investissement TC-C11-i01: Décarbonation de l’industrie, au titre du volet 11.</w:t>
      </w:r>
    </w:p>
    <w:p w14:paraId="489FAE03" w14:textId="77777777" w:rsidR="006C686E" w:rsidRDefault="00B17E8C">
      <w:pPr>
        <w:pStyle w:val="P68B1DB1-Normal4"/>
        <w:spacing w:before="40" w:after="0"/>
        <w:jc w:val="both"/>
        <w:rPr>
          <w:noProof/>
        </w:rPr>
      </w:pPr>
      <w:r>
        <w:rPr>
          <w:noProof/>
        </w:rPr>
        <w:t xml:space="preserve">Cette mesure consiste à apporter un soutien financier aux entreprises pour des projets de décarbonation. </w:t>
      </w:r>
    </w:p>
    <w:p w14:paraId="30E37C30" w14:textId="77777777" w:rsidR="006C686E" w:rsidRDefault="00B17E8C">
      <w:pPr>
        <w:pStyle w:val="P68B1DB1-Normal53"/>
        <w:keepNext/>
        <w:spacing w:before="240" w:after="0"/>
        <w:ind w:left="851"/>
        <w:jc w:val="both"/>
        <w:outlineLvl w:val="2"/>
        <w:rPr>
          <w:noProof/>
        </w:rPr>
      </w:pPr>
      <w:r>
        <w:rPr>
          <w:noProof/>
        </w:rPr>
        <w:t>Investissement RP-C21-i02: Mesure à plus grande échelle: Efficacité énergétique dans les bâtiments résidentiels</w:t>
      </w:r>
    </w:p>
    <w:p w14:paraId="222001C6" w14:textId="77777777" w:rsidR="006C686E" w:rsidRDefault="00B17E8C">
      <w:pPr>
        <w:pStyle w:val="P68B1DB1-Normal52"/>
        <w:spacing w:after="0" w:line="276" w:lineRule="auto"/>
        <w:jc w:val="both"/>
        <w:rPr>
          <w:noProof/>
        </w:rPr>
      </w:pPr>
      <w:r>
        <w:rPr>
          <w:noProof/>
        </w:rPr>
        <w:t xml:space="preserve">L’objectif de la mesure est de renforcer la mesure TC-C13-i01: Efficacité énergétique des bâtiments résidentiels relevant du volet 13. </w:t>
      </w:r>
    </w:p>
    <w:p w14:paraId="40F0D595" w14:textId="5CAFFEA7" w:rsidR="006C686E" w:rsidRDefault="00B17E8C">
      <w:pPr>
        <w:pStyle w:val="P68B1DB1-Normal8"/>
        <w:spacing w:after="0" w:line="276" w:lineRule="auto"/>
        <w:jc w:val="both"/>
        <w:rPr>
          <w:rFonts w:eastAsia="Calibri"/>
          <w:noProof/>
          <w:kern w:val="0"/>
          <w14:ligatures w14:val="none"/>
        </w:rPr>
      </w:pPr>
      <w:r>
        <w:rPr>
          <w:noProof/>
        </w:rPr>
        <w:t>L'investissement consiste en des équipements d'efficacité énergétique pour les bâtiments résidentiels.</w:t>
      </w:r>
    </w:p>
    <w:p w14:paraId="34C98375" w14:textId="74AF7BF1" w:rsidR="006C686E" w:rsidRDefault="00B17E8C">
      <w:pPr>
        <w:keepNext/>
        <w:spacing w:before="240" w:after="0"/>
        <w:jc w:val="both"/>
        <w:outlineLvl w:val="2"/>
        <w:rPr>
          <w:rFonts w:ascii="Times New Roman" w:hAnsi="Times New Roman"/>
          <w:noProof/>
          <w:kern w:val="0"/>
          <w:u w:val="single"/>
          <w14:ligatures w14:val="none"/>
        </w:rPr>
      </w:pPr>
      <w:r>
        <w:rPr>
          <w:rFonts w:ascii="Times New Roman" w:eastAsia="Times New Roman" w:hAnsi="Times New Roman" w:cs="Times New Roman"/>
          <w:noProof/>
        </w:rPr>
        <w:tab/>
      </w:r>
      <w:r>
        <w:rPr>
          <w:rFonts w:ascii="Times New Roman" w:hAnsi="Times New Roman"/>
          <w:noProof/>
          <w:kern w:val="0"/>
          <w:u w:val="single"/>
          <w14:ligatures w14:val="none"/>
        </w:rPr>
        <w:t>Investissement RP-C21-i04-RAM: Efficacité énergétique dans les bâtiments de l'administration publique ou régionale à Madère</w:t>
      </w:r>
    </w:p>
    <w:p w14:paraId="31C4FBBE" w14:textId="77777777" w:rsidR="006C686E" w:rsidRDefault="00B17E8C">
      <w:pPr>
        <w:pStyle w:val="P68B1DB1-Normal52"/>
        <w:keepNext/>
        <w:spacing w:before="240" w:after="0"/>
        <w:jc w:val="both"/>
        <w:outlineLvl w:val="2"/>
        <w:rPr>
          <w:noProof/>
        </w:rPr>
      </w:pPr>
      <w:r>
        <w:rPr>
          <w:noProof/>
        </w:rPr>
        <w:t xml:space="preserve">L'objectif de cet investissement est d'accroître l'efficacité énergétique à Madère. </w:t>
      </w:r>
    </w:p>
    <w:p w14:paraId="6CFA7280" w14:textId="607571DB" w:rsidR="006C686E" w:rsidRDefault="00B17E8C">
      <w:pPr>
        <w:pStyle w:val="P68B1DB1-Normal52"/>
        <w:keepNext/>
        <w:spacing w:before="240" w:after="0"/>
        <w:jc w:val="both"/>
        <w:outlineLvl w:val="2"/>
        <w:rPr>
          <w:noProof/>
        </w:rPr>
      </w:pPr>
      <w:r>
        <w:rPr>
          <w:noProof/>
        </w:rPr>
        <w:t>Cet investissement consiste en des rénovations d'efficacité énergétique dans des bâtiments de l'administration publique ou régionale.</w:t>
      </w:r>
    </w:p>
    <w:p w14:paraId="5F078778" w14:textId="77777777" w:rsidR="006C686E" w:rsidRDefault="00B17E8C">
      <w:pPr>
        <w:pStyle w:val="P68B1DB1-Normal28"/>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 xml:space="preserve">Réforme RP-C21-r43: Observatoire national de la précarité énergétique </w:t>
      </w:r>
    </w:p>
    <w:p w14:paraId="3EE4E0E2" w14:textId="77777777" w:rsidR="006C686E" w:rsidRDefault="00B17E8C">
      <w:pPr>
        <w:spacing w:beforeLines="40" w:before="96" w:after="0" w:line="22" w:lineRule="atLeast"/>
        <w:jc w:val="both"/>
        <w:rPr>
          <w:rFonts w:ascii="Times New Roman" w:hAnsi="Times New Roman"/>
          <w:noProof/>
          <w:kern w:val="0"/>
          <w14:ligatures w14:val="none"/>
        </w:rPr>
      </w:pPr>
      <w:r>
        <w:rPr>
          <w:rFonts w:ascii="Times New Roman" w:hAnsi="Times New Roman"/>
          <w:noProof/>
          <w:kern w:val="0"/>
          <w14:ligatures w14:val="none"/>
        </w:rPr>
        <w:t xml:space="preserve">L’objectif de cette réforme est de </w:t>
      </w:r>
      <w:r>
        <w:rPr>
          <w:rFonts w:ascii="Times New Roman" w:eastAsia="Calibri" w:hAnsi="Times New Roman" w:cs="Times New Roman"/>
          <w:noProof/>
        </w:rPr>
        <w:t xml:space="preserve">lutter contre </w:t>
      </w:r>
      <w:r>
        <w:rPr>
          <w:rFonts w:ascii="Times New Roman" w:hAnsi="Times New Roman"/>
          <w:noProof/>
          <w:kern w:val="0"/>
          <w14:ligatures w14:val="none"/>
        </w:rPr>
        <w:t xml:space="preserve">la précarité énergétique. </w:t>
      </w:r>
    </w:p>
    <w:p w14:paraId="6D941338" w14:textId="77777777" w:rsidR="006C686E" w:rsidRDefault="00B17E8C">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La réforme consiste en </w:t>
      </w:r>
      <w:r>
        <w:rPr>
          <w:rFonts w:ascii="Times New Roman" w:eastAsia="Times New Roman" w:hAnsi="Times New Roman" w:cs="Times New Roman"/>
          <w:noProof/>
        </w:rPr>
        <w:t>l’entrée en vigueur de l’acte juridique portant création de l’Observatoire</w:t>
      </w:r>
      <w:r>
        <w:rPr>
          <w:rFonts w:ascii="Times New Roman" w:hAnsi="Times New Roman"/>
          <w:noProof/>
          <w:kern w:val="0"/>
          <w14:ligatures w14:val="none"/>
        </w:rPr>
        <w:t xml:space="preserve"> national de la précarité énergétique (ONPE) et </w:t>
      </w:r>
      <w:r>
        <w:rPr>
          <w:rFonts w:ascii="Times New Roman" w:eastAsia="Times New Roman" w:hAnsi="Times New Roman" w:cs="Times New Roman"/>
          <w:noProof/>
        </w:rPr>
        <w:t xml:space="preserve">de l’acte juridique portant création </w:t>
      </w:r>
      <w:r>
        <w:rPr>
          <w:rFonts w:ascii="Times New Roman" w:hAnsi="Times New Roman"/>
          <w:noProof/>
          <w:kern w:val="0"/>
          <w14:ligatures w14:val="none"/>
        </w:rPr>
        <w:t xml:space="preserve">d’un instrument de financement des mesures d’efficacité énergétique dans le secteur résidentiel </w:t>
      </w:r>
      <w:r>
        <w:rPr>
          <w:rFonts w:ascii="Times New Roman" w:eastAsia="Times New Roman" w:hAnsi="Times New Roman" w:cs="Times New Roman"/>
          <w:noProof/>
        </w:rPr>
        <w:t>pour lutter contre la précarité énergétique.</w:t>
      </w:r>
      <w:r>
        <w:rPr>
          <w:rFonts w:ascii="Times New Roman" w:eastAsia="Calibri" w:hAnsi="Times New Roman" w:cs="Times New Roman"/>
          <w:noProof/>
          <w:kern w:val="0"/>
          <w14:ligatures w14:val="none"/>
        </w:rPr>
        <w:t xml:space="preserve"> </w:t>
      </w:r>
    </w:p>
    <w:p w14:paraId="64B2325E" w14:textId="77777777" w:rsidR="006C686E" w:rsidRDefault="00B17E8C">
      <w:pPr>
        <w:pStyle w:val="P68B1DB1-Normal28"/>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 xml:space="preserve">Réforme RP-C21-r44: Guichets uniques en matière d’efficacité énergétique pour les citoyens (espaces énergétiques pour les citoyens) </w:t>
      </w:r>
    </w:p>
    <w:p w14:paraId="23433710" w14:textId="77777777" w:rsidR="006C686E" w:rsidRDefault="00B17E8C">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L’objectif de cette réforme est de soutenir les citoyens dans la préparation et l’utilisation des mesures en matière d’efficacité énergétique et d’énergies renouvelables</w:t>
      </w:r>
      <w:r>
        <w:rPr>
          <w:rFonts w:ascii="Times New Roman" w:eastAsia="Calibri" w:hAnsi="Times New Roman" w:cs="Times New Roman"/>
          <w:noProof/>
        </w:rPr>
        <w:t xml:space="preserve"> et</w:t>
      </w:r>
      <w:r>
        <w:rPr>
          <w:rFonts w:ascii="Times New Roman" w:hAnsi="Times New Roman"/>
          <w:noProof/>
          <w:kern w:val="0"/>
          <w14:ligatures w14:val="none"/>
        </w:rPr>
        <w:t xml:space="preserve"> d’accroître la culture énergétique. </w:t>
      </w:r>
    </w:p>
    <w:p w14:paraId="64A41E67" w14:textId="77777777" w:rsidR="006C686E" w:rsidRDefault="00B17E8C">
      <w:pPr>
        <w:pStyle w:val="P68B1DB1-Normal3"/>
        <w:spacing w:beforeLines="40" w:before="96" w:after="0" w:line="22" w:lineRule="atLeast"/>
        <w:jc w:val="both"/>
        <w:rPr>
          <w:i/>
          <w:noProof/>
          <w:kern w:val="0"/>
          <w14:ligatures w14:val="none"/>
        </w:rPr>
      </w:pPr>
      <w:r>
        <w:rPr>
          <w:noProof/>
        </w:rPr>
        <w:t>La réforme consiste en des comptoirs physiques (Espaces énergétiques citoyens</w:t>
      </w:r>
      <w:r>
        <w:rPr>
          <w:i/>
          <w:noProof/>
        </w:rPr>
        <w:t xml:space="preserve"> </w:t>
      </w:r>
      <w:r>
        <w:rPr>
          <w:noProof/>
        </w:rPr>
        <w:t xml:space="preserve">– </w:t>
      </w:r>
      <w:r>
        <w:rPr>
          <w:i/>
          <w:noProof/>
        </w:rPr>
        <w:t xml:space="preserve">Espaços Cidadão Energia) </w:t>
      </w:r>
      <w:r>
        <w:rPr>
          <w:noProof/>
        </w:rPr>
        <w:t>et en la formation de leur personnel.</w:t>
      </w:r>
    </w:p>
    <w:p w14:paraId="072F3B19" w14:textId="77777777" w:rsidR="006C686E" w:rsidRDefault="00B17E8C">
      <w:pPr>
        <w:pStyle w:val="P68B1DB1-Normal53"/>
        <w:keepNext/>
        <w:spacing w:before="240" w:after="0"/>
        <w:ind w:left="851"/>
        <w:jc w:val="both"/>
        <w:outlineLvl w:val="2"/>
        <w:rPr>
          <w:noProof/>
        </w:rPr>
      </w:pPr>
      <w:r>
        <w:rPr>
          <w:noProof/>
        </w:rPr>
        <w:t>Investissement RP-C21-i05: Soutien à l'industrie verte</w:t>
      </w:r>
    </w:p>
    <w:p w14:paraId="39FAF437" w14:textId="77777777" w:rsidR="006C686E" w:rsidRDefault="00B17E8C">
      <w:pPr>
        <w:pStyle w:val="P68B1DB1-Normal52"/>
        <w:spacing w:beforeLines="40" w:before="96" w:after="0" w:line="22" w:lineRule="atLeast"/>
        <w:jc w:val="both"/>
        <w:rPr>
          <w:noProof/>
        </w:rPr>
      </w:pPr>
      <w:r>
        <w:rPr>
          <w:noProof/>
        </w:rPr>
        <w:t>L’objectif de cet investissement est d’accroître la capacité de production de technologies pour les énergies renouvelables, la décarbonation et l’efficacité énergétique.</w:t>
      </w:r>
    </w:p>
    <w:p w14:paraId="6B77BC6B" w14:textId="36DC76F8" w:rsidR="006C686E" w:rsidRDefault="00B17E8C">
      <w:pPr>
        <w:pStyle w:val="P68B1DB1-Normal52"/>
        <w:spacing w:beforeLines="40" w:before="96" w:after="0" w:line="22" w:lineRule="atLeast"/>
        <w:jc w:val="both"/>
        <w:rPr>
          <w:noProof/>
        </w:rPr>
      </w:pPr>
      <w:r>
        <w:rPr>
          <w:noProof/>
        </w:rPr>
        <w:t>L’investissement consiste à soutenir des entreprises individuelles ou des projets d’investissement industriel dans la production de technologies pour la transition climatique.</w:t>
      </w:r>
    </w:p>
    <w:p w14:paraId="6B8437ED" w14:textId="77777777" w:rsidR="006C686E" w:rsidRDefault="00B17E8C">
      <w:pPr>
        <w:pStyle w:val="P68B1DB1-Normal53"/>
        <w:keepNext/>
        <w:spacing w:before="240" w:after="0"/>
        <w:ind w:left="851"/>
        <w:jc w:val="both"/>
        <w:outlineLvl w:val="2"/>
        <w:rPr>
          <w:noProof/>
        </w:rPr>
      </w:pPr>
      <w:r>
        <w:rPr>
          <w:noProof/>
        </w:rPr>
        <w:t>Réforme RP-C21-r45: Compétences vertes</w:t>
      </w:r>
    </w:p>
    <w:p w14:paraId="4A625E08" w14:textId="77777777" w:rsidR="006C686E" w:rsidRDefault="00B17E8C">
      <w:pPr>
        <w:pStyle w:val="P68B1DB1-Normal52"/>
        <w:spacing w:beforeLines="40" w:before="96" w:after="0" w:line="22" w:lineRule="atLeast"/>
        <w:jc w:val="both"/>
        <w:rPr>
          <w:noProof/>
        </w:rPr>
      </w:pPr>
      <w:r>
        <w:rPr>
          <w:noProof/>
        </w:rPr>
        <w:t xml:space="preserve">L'objectif de cette réforme est d'offrir une formation professionnelle aux compétences vertes. </w:t>
      </w:r>
    </w:p>
    <w:p w14:paraId="3ABE3824" w14:textId="77777777" w:rsidR="006C686E" w:rsidRDefault="00B17E8C">
      <w:pPr>
        <w:spacing w:beforeLines="40" w:before="96" w:after="0" w:line="22" w:lineRule="atLeast"/>
        <w:jc w:val="both"/>
        <w:rPr>
          <w:rFonts w:ascii="Times New Roman" w:eastAsia="Calibri" w:hAnsi="Times New Roman" w:cs="Times New Roman"/>
          <w:noProof/>
        </w:rPr>
      </w:pPr>
      <w:r>
        <w:rPr>
          <w:rFonts w:ascii="Times New Roman" w:hAnsi="Times New Roman"/>
          <w:noProof/>
          <w:kern w:val="0"/>
          <w14:ligatures w14:val="none"/>
        </w:rPr>
        <w:t xml:space="preserve">La réforme consiste </w:t>
      </w:r>
      <w:r>
        <w:rPr>
          <w:rFonts w:ascii="Times New Roman" w:eastAsia="Calibri" w:hAnsi="Times New Roman" w:cs="Times New Roman"/>
          <w:noProof/>
        </w:rPr>
        <w:t xml:space="preserve">en </w:t>
      </w:r>
      <w:r>
        <w:rPr>
          <w:rFonts w:ascii="Times New Roman" w:hAnsi="Times New Roman"/>
          <w:noProof/>
          <w:kern w:val="0"/>
          <w14:ligatures w14:val="none"/>
        </w:rPr>
        <w:t>ce qui suit:</w:t>
      </w:r>
    </w:p>
    <w:p w14:paraId="2E7C91C0" w14:textId="77777777" w:rsidR="006C686E" w:rsidRDefault="00B17E8C">
      <w:pPr>
        <w:pStyle w:val="P68B1DB1-Normal52"/>
        <w:spacing w:beforeLines="40" w:before="96" w:after="0" w:line="22" w:lineRule="atLeast"/>
        <w:jc w:val="both"/>
        <w:rPr>
          <w:noProof/>
        </w:rPr>
      </w:pPr>
      <w:r>
        <w:rPr>
          <w:noProof/>
        </w:rPr>
        <w:t>- Le programme «Compétences vertes &amp; Emplois»: un programme de formation professionnelle dans le domaine de l'énergie;</w:t>
      </w:r>
    </w:p>
    <w:p w14:paraId="7BF02FF7" w14:textId="77777777" w:rsidR="006C686E" w:rsidRDefault="00B17E8C">
      <w:pPr>
        <w:pStyle w:val="P68B1DB1-Normal52"/>
        <w:spacing w:beforeLines="40" w:before="96" w:after="0" w:line="22" w:lineRule="atLeast"/>
        <w:jc w:val="both"/>
        <w:rPr>
          <w:noProof/>
        </w:rPr>
      </w:pPr>
      <w:r>
        <w:rPr>
          <w:noProof/>
        </w:rPr>
        <w:t xml:space="preserve">- Centre de formation à la transition énergétique pour la fourniture de formations dans les domaines de la transition énergétique et de l’action pour le climat. </w:t>
      </w:r>
    </w:p>
    <w:p w14:paraId="486CFFEE" w14:textId="77777777" w:rsidR="006C686E" w:rsidRDefault="00B17E8C">
      <w:pPr>
        <w:pStyle w:val="P68B1DB1-Normal53"/>
        <w:keepNext/>
        <w:spacing w:before="240" w:after="0"/>
        <w:ind w:left="851"/>
        <w:jc w:val="both"/>
        <w:outlineLvl w:val="2"/>
        <w:rPr>
          <w:noProof/>
        </w:rPr>
      </w:pPr>
      <w:r>
        <w:rPr>
          <w:noProof/>
        </w:rPr>
        <w:t>Réforme RP-C21-r46: Cadre réglementaire pour l’hydrogène renouvelable</w:t>
      </w:r>
    </w:p>
    <w:p w14:paraId="18A32834" w14:textId="77777777" w:rsidR="006C686E" w:rsidRDefault="00B17E8C">
      <w:pPr>
        <w:pStyle w:val="P68B1DB1-Normal52"/>
        <w:spacing w:before="40" w:after="0"/>
        <w:jc w:val="both"/>
        <w:rPr>
          <w:noProof/>
        </w:rPr>
      </w:pPr>
      <w:r>
        <w:rPr>
          <w:noProof/>
        </w:rPr>
        <w:t>L’objectif de cette réforme est d’encourager la promotion de l’hydrogène renouvelable dans le cadre d’une stratégie de transition plus globale vers une économie décarbonée. Cette réforme vise également à créer les conditions de la décarbonation du réseau de gaz naturel et à contribuer au développement de la chaîne de valeur de l’hydrogène renouvelable.</w:t>
      </w:r>
    </w:p>
    <w:p w14:paraId="464A0518" w14:textId="77777777" w:rsidR="006C686E" w:rsidRDefault="00B17E8C">
      <w:pPr>
        <w:pStyle w:val="P68B1DB1-Normal52"/>
        <w:spacing w:before="40" w:after="0"/>
        <w:jc w:val="both"/>
        <w:rPr>
          <w:noProof/>
        </w:rPr>
      </w:pPr>
      <w:r>
        <w:rPr>
          <w:noProof/>
        </w:rPr>
        <w:t>La réforme consiste en la révision du cadre législatif relatif aux gaz renouvelables. Le cadre révisé:</w:t>
      </w:r>
    </w:p>
    <w:p w14:paraId="20B23805" w14:textId="77777777" w:rsidR="006C686E" w:rsidRDefault="00B17E8C">
      <w:pPr>
        <w:pStyle w:val="P68B1DB1-Normal52"/>
        <w:keepNext/>
        <w:numPr>
          <w:ilvl w:val="0"/>
          <w:numId w:val="61"/>
        </w:numPr>
        <w:spacing w:before="40" w:after="0" w:line="276" w:lineRule="auto"/>
        <w:contextualSpacing/>
        <w:jc w:val="both"/>
        <w:rPr>
          <w:noProof/>
        </w:rPr>
      </w:pPr>
      <w:r>
        <w:rPr>
          <w:noProof/>
        </w:rPr>
        <w:t>définit les critères techniques et les aspects opérationnels pour la production, la certification, le transport et la prévention des fuites d’hydrogène renouvelable et, le cas échéant, pour l’injection dans le réseau de gaz, et définit les critères permettant de ne pas dépasser la concentration maximale autorisée d’hydrogène dans le réseau de gaz,</w:t>
      </w:r>
    </w:p>
    <w:p w14:paraId="701BEA89" w14:textId="77777777" w:rsidR="006C686E" w:rsidRDefault="00B17E8C">
      <w:pPr>
        <w:pStyle w:val="P68B1DB1-Normal52"/>
        <w:keepNext/>
        <w:numPr>
          <w:ilvl w:val="0"/>
          <w:numId w:val="61"/>
        </w:numPr>
        <w:spacing w:before="40" w:after="0" w:line="276" w:lineRule="auto"/>
        <w:contextualSpacing/>
        <w:jc w:val="both"/>
        <w:rPr>
          <w:noProof/>
        </w:rPr>
      </w:pPr>
      <w:r>
        <w:rPr>
          <w:noProof/>
        </w:rPr>
        <w:t xml:space="preserve">fixer des objectifs pour les secteurs difficiles à décarboner tels que l’industrie et les transports, </w:t>
      </w:r>
    </w:p>
    <w:p w14:paraId="7A0177FC" w14:textId="77777777" w:rsidR="006C686E" w:rsidRDefault="00B17E8C">
      <w:pPr>
        <w:pStyle w:val="P68B1DB1-Normal52"/>
        <w:keepNext/>
        <w:numPr>
          <w:ilvl w:val="0"/>
          <w:numId w:val="61"/>
        </w:numPr>
        <w:spacing w:before="40" w:after="0" w:line="276" w:lineRule="auto"/>
        <w:contextualSpacing/>
        <w:jc w:val="both"/>
        <w:rPr>
          <w:noProof/>
        </w:rPr>
      </w:pPr>
      <w:r>
        <w:rPr>
          <w:noProof/>
        </w:rPr>
        <w:t xml:space="preserve">assurer la transparence du système de facturation, </w:t>
      </w:r>
    </w:p>
    <w:p w14:paraId="2565063E" w14:textId="77777777" w:rsidR="006C686E" w:rsidRDefault="00B17E8C">
      <w:pPr>
        <w:pStyle w:val="P68B1DB1-Normal52"/>
        <w:keepNext/>
        <w:numPr>
          <w:ilvl w:val="0"/>
          <w:numId w:val="61"/>
        </w:numPr>
        <w:spacing w:before="40" w:after="0" w:line="276" w:lineRule="auto"/>
        <w:contextualSpacing/>
        <w:jc w:val="both"/>
        <w:rPr>
          <w:noProof/>
        </w:rPr>
      </w:pPr>
      <w:r>
        <w:rPr>
          <w:noProof/>
        </w:rPr>
        <w:t>définir (avant la certification) l’entité responsable de l’exploitation du réseau d’hydrogène,</w:t>
      </w:r>
    </w:p>
    <w:p w14:paraId="2FAD5091" w14:textId="5E83AE1F" w:rsidR="006C686E" w:rsidRDefault="00B17E8C">
      <w:pPr>
        <w:pStyle w:val="P68B1DB1-Normal52"/>
        <w:keepNext/>
        <w:numPr>
          <w:ilvl w:val="0"/>
          <w:numId w:val="61"/>
        </w:numPr>
        <w:spacing w:before="40" w:after="0" w:line="276" w:lineRule="auto"/>
        <w:contextualSpacing/>
        <w:jc w:val="both"/>
        <w:rPr>
          <w:noProof/>
        </w:rPr>
      </w:pPr>
      <w:r>
        <w:rPr>
          <w:noProof/>
        </w:rPr>
        <w:t>définir des méthodes de contrôle de l’injection d’hydrogène, qui pourraient être fondées sur la capacité de chauffage et la qualité du gaz [telles que la valeur calorique brute (CVM), l’indice de Wobbe (indicateur de qualité de la combustion) et le pourcentage d’hydrogène dans le mélange].</w:t>
      </w:r>
    </w:p>
    <w:p w14:paraId="26F88E90" w14:textId="77777777" w:rsidR="006C686E" w:rsidRDefault="00B17E8C">
      <w:pPr>
        <w:pStyle w:val="P68B1DB1-Normal52"/>
        <w:spacing w:before="40" w:after="0"/>
        <w:jc w:val="both"/>
        <w:rPr>
          <w:noProof/>
        </w:rPr>
      </w:pPr>
      <w:r>
        <w:rPr>
          <w:noProof/>
        </w:rPr>
        <w:t>En outre, un acte administratif ou juridique est publié au Journal officiel – Diário da República et entre en vigueur précisant que seules les unités industrielles qui satisfont aux exigences de la directive sur les énergies renouvelables et de ses actes délégués (2018/2001/UE) sont considérées comme des installations de production d’hydrogène renouvelable. L’acte définit également la procédure à suivre par les demandeurs d’autorisation pour produire des gaz d’origine renouvelable, en exigeant de ceux qui demandent une autorisation qu’ils présentent une déclaration attestant qu’ils s’engagent à respecter les exigences en matière d’utilisation de l’énergie produite à partir de sources renouvelables énoncées dans la directive sur les énergies renouvelables et ses actes délégués (2018/2001/UE) et à garantir l’origine renouvelable de l’hydrogène produit.</w:t>
      </w:r>
    </w:p>
    <w:p w14:paraId="2881F385" w14:textId="77777777" w:rsidR="006C686E" w:rsidRDefault="00B17E8C">
      <w:pPr>
        <w:pStyle w:val="P68B1DB1-Normal52"/>
        <w:spacing w:before="40" w:after="0"/>
        <w:jc w:val="both"/>
        <w:rPr>
          <w:noProof/>
        </w:rPr>
      </w:pPr>
      <w:r>
        <w:rPr>
          <w:noProof/>
        </w:rPr>
        <w:t>L’acte administratif ou juridique susmentionné exige également que, avant le début de la production d’hydrogène renouvelable, afin d’obtenir le «permis d’installation et d’exploitation de l’installation industrielle», le demandeur présente, le cas échéant, le contrat final d’achat de l’énergie renouvelable qu’il consomme dans le processus de production, ainsi que les informations nécessaires pour démontrer que les engagements pris dans la déclaration ont été respectés.</w:t>
      </w:r>
    </w:p>
    <w:p w14:paraId="1C67FA8D" w14:textId="5529CF81" w:rsidR="006C686E" w:rsidRDefault="00B17E8C">
      <w:pPr>
        <w:pStyle w:val="P68B1DB1-Normal22"/>
        <w:spacing w:before="40" w:after="0"/>
        <w:jc w:val="both"/>
        <w:rPr>
          <w:noProof/>
          <w:kern w:val="0"/>
          <w14:ligatures w14:val="none"/>
        </w:rPr>
      </w:pPr>
      <w:r>
        <w:rPr>
          <w:noProof/>
          <w:kern w:val="0"/>
          <w14:ligatures w14:val="none"/>
        </w:rPr>
        <w:t>La mise en œuvre de la réforme est achevée au plus tard le 30 juin 2024.</w:t>
      </w:r>
    </w:p>
    <w:p w14:paraId="5C03C6C4" w14:textId="77777777" w:rsidR="006C686E" w:rsidRDefault="00B17E8C">
      <w:pPr>
        <w:pStyle w:val="P68B1DB1-Normal53"/>
        <w:keepNext/>
        <w:spacing w:before="240" w:after="0"/>
        <w:ind w:left="851"/>
        <w:jc w:val="both"/>
        <w:outlineLvl w:val="2"/>
        <w:rPr>
          <w:rFonts w:ascii="Calibri" w:hAnsi="Calibri"/>
          <w:noProof/>
        </w:rPr>
      </w:pPr>
      <w:bookmarkStart w:id="23" w:name="bookmark30"/>
      <w:r>
        <w:rPr>
          <w:noProof/>
        </w:rPr>
        <w:t>Réforme RP-C21-r47: Première enchère pour un plan d’action en faveur du biométhane</w:t>
      </w:r>
      <w:bookmarkEnd w:id="23"/>
      <w:r>
        <w:rPr>
          <w:noProof/>
        </w:rPr>
        <w:t xml:space="preserve"> et du biométhane durables</w:t>
      </w:r>
    </w:p>
    <w:p w14:paraId="17ED3B5A" w14:textId="77777777" w:rsidR="006C686E" w:rsidRDefault="00B17E8C">
      <w:pPr>
        <w:pStyle w:val="P68B1DB1-Normal52"/>
        <w:spacing w:before="40" w:after="0"/>
        <w:jc w:val="both"/>
        <w:rPr>
          <w:noProof/>
        </w:rPr>
      </w:pPr>
      <w:r>
        <w:rPr>
          <w:noProof/>
        </w:rPr>
        <w:t xml:space="preserve">L'objectif de cette réforme est de promouvoir et de stimuler la production et la consommation de biométhane durable, en créant les conditions nécessaires au développement d'une économie du biométhane au Portugal. </w:t>
      </w:r>
    </w:p>
    <w:p w14:paraId="030A9FA0" w14:textId="77777777" w:rsidR="006C686E" w:rsidRDefault="00B17E8C">
      <w:pPr>
        <w:pStyle w:val="P68B1DB1-Normal52"/>
        <w:spacing w:before="40" w:after="0"/>
        <w:jc w:val="both"/>
        <w:rPr>
          <w:noProof/>
        </w:rPr>
      </w:pPr>
      <w:r>
        <w:rPr>
          <w:noProof/>
        </w:rPr>
        <w:t>La réforme prévoit le lancement de la première vente aux enchères pour l’achat centralisé de biométhane durable par le grossiste en dernier recours (CURg), conformément à l’ordonnance gouvernementale no 15/2023 du 4 janvier. L'enchère vise à l'achat de 150 GWh/an de biométhane destiné à être injecté dans le réseau gazier national. La réforme implique également l'adoption du plan d'action pour le biométhane, qui définit une stratégie pour le développement du biométhane au Portugal. Le plan d’action propose des actions visant à garantir un cadre réglementaire favorable, associé à un ensemble de politiques publiques qui soutiennent la création d’un marché intérieur du biométhane, à la fois pour soutenir la production et encourager la consommation.</w:t>
      </w:r>
    </w:p>
    <w:p w14:paraId="499A6BE1" w14:textId="4AD7DFE9" w:rsidR="006C686E" w:rsidRDefault="00B17E8C">
      <w:pPr>
        <w:pStyle w:val="P68B1DB1-Normal22"/>
        <w:spacing w:before="40" w:after="0"/>
        <w:jc w:val="both"/>
        <w:rPr>
          <w:noProof/>
          <w:kern w:val="0"/>
          <w14:ligatures w14:val="none"/>
        </w:rPr>
      </w:pPr>
      <w:r>
        <w:rPr>
          <w:noProof/>
          <w:kern w:val="0"/>
          <w14:ligatures w14:val="none"/>
        </w:rPr>
        <w:t>La mise en œuvre de la réforme est achevée au plus tard le 31 mars 2024.</w:t>
      </w:r>
    </w:p>
    <w:p w14:paraId="44297DC4" w14:textId="77777777" w:rsidR="006C686E" w:rsidRDefault="00B17E8C">
      <w:pPr>
        <w:pStyle w:val="P68B1DB1-Normal53"/>
        <w:keepNext/>
        <w:spacing w:before="240" w:after="0"/>
        <w:ind w:left="851"/>
        <w:jc w:val="both"/>
        <w:outlineLvl w:val="2"/>
        <w:rPr>
          <w:noProof/>
        </w:rPr>
      </w:pPr>
      <w:r>
        <w:rPr>
          <w:noProof/>
        </w:rPr>
        <w:t xml:space="preserve">Réforme RP-C21-r48: </w:t>
      </w:r>
      <w:bookmarkStart w:id="24" w:name="_Hlk176530009"/>
      <w:r>
        <w:rPr>
          <w:noProof/>
        </w:rPr>
        <w:t>Simplification du cadre juridique et réglementaire applicable aux projets dans le domaine des énergies renouvelables</w:t>
      </w:r>
      <w:bookmarkEnd w:id="24"/>
    </w:p>
    <w:p w14:paraId="06CAAFAF" w14:textId="77777777" w:rsidR="006C686E" w:rsidRDefault="00B17E8C">
      <w:pPr>
        <w:widowControl w:val="0"/>
        <w:shd w:val="clear" w:color="auto" w:fill="FFFFFF" w:themeFill="background1"/>
        <w:spacing w:before="40" w:after="0"/>
        <w:jc w:val="both"/>
        <w:rPr>
          <w:rFonts w:ascii="Times New Roman" w:hAnsi="Times New Roman"/>
          <w:b/>
          <w:noProof/>
          <w:kern w:val="0"/>
          <w14:ligatures w14:val="none"/>
        </w:rPr>
      </w:pPr>
      <w:r>
        <w:rPr>
          <w:rFonts w:ascii="Times New Roman" w:hAnsi="Times New Roman"/>
          <w:noProof/>
          <w:kern w:val="0"/>
          <w14:ligatures w14:val="none"/>
        </w:rPr>
        <w:t xml:space="preserve">L’objectif de cette réforme est de soutenir les </w:t>
      </w:r>
      <w:r>
        <w:rPr>
          <w:rFonts w:ascii="Times New Roman" w:eastAsia="Calibri" w:hAnsi="Times New Roman" w:cs="Times New Roman"/>
          <w:noProof/>
        </w:rPr>
        <w:t xml:space="preserve"> </w:t>
      </w:r>
      <w:r>
        <w:rPr>
          <w:rFonts w:ascii="Times New Roman" w:hAnsi="Times New Roman"/>
          <w:noProof/>
          <w:kern w:val="0"/>
          <w14:ligatures w14:val="none"/>
        </w:rPr>
        <w:t xml:space="preserve">projets dans le domaine des énergies renouvelables en simplifiant le cadre juridique et réglementaire relatif aux autorisations en matière d’énergies renouvelables et en formant les personnes chargées de l’octroi des autorisations et de l’outil numérique concerné. </w:t>
      </w:r>
    </w:p>
    <w:p w14:paraId="28C27A22" w14:textId="77777777" w:rsidR="006C686E" w:rsidRDefault="00B17E8C">
      <w:pPr>
        <w:pStyle w:val="P68B1DB1-Normal52"/>
        <w:spacing w:before="40" w:after="0" w:line="276" w:lineRule="auto"/>
        <w:jc w:val="both"/>
        <w:rPr>
          <w:b/>
          <w:noProof/>
        </w:rPr>
      </w:pPr>
      <w:r>
        <w:rPr>
          <w:noProof/>
        </w:rPr>
        <w:t>La réforme consiste à:</w:t>
      </w:r>
    </w:p>
    <w:p w14:paraId="47D42E9C" w14:textId="77777777" w:rsidR="006C686E" w:rsidRDefault="00B17E8C">
      <w:pPr>
        <w:numPr>
          <w:ilvl w:val="0"/>
          <w:numId w:val="62"/>
        </w:numPr>
        <w:spacing w:before="40" w:after="0" w:line="276" w:lineRule="auto"/>
        <w:jc w:val="both"/>
        <w:rPr>
          <w:rFonts w:ascii="Times New Roman" w:hAnsi="Times New Roman"/>
          <w:b/>
          <w:noProof/>
          <w:kern w:val="0"/>
          <w14:ligatures w14:val="none"/>
        </w:rPr>
      </w:pPr>
      <w:r>
        <w:rPr>
          <w:rFonts w:ascii="Times New Roman" w:hAnsi="Times New Roman"/>
          <w:noProof/>
          <w:kern w:val="0"/>
          <w14:ligatures w14:val="none"/>
        </w:rPr>
        <w:t xml:space="preserve">Entrée en vigueur de l’acte législatif établissant la task-force pour l’octroi de licences pour les projets d’énergie renouvelable à l’horizon 2030 (EMER 2030). </w:t>
      </w:r>
      <w:r>
        <w:rPr>
          <w:rFonts w:ascii="Times New Roman" w:eastAsia="Calibri" w:hAnsi="Times New Roman" w:cs="Times New Roman"/>
          <w:noProof/>
        </w:rPr>
        <w:t>Entrée en vigueur du</w:t>
      </w:r>
      <w:r>
        <w:rPr>
          <w:rFonts w:ascii="Times New Roman" w:eastAsia="Calibri" w:hAnsi="Times New Roman" w:cs="Times New Roman"/>
          <w:noProof/>
          <w:kern w:val="0"/>
          <w14:ligatures w14:val="none"/>
        </w:rPr>
        <w:t xml:space="preserve"> règlement relatif à l’octroi de licences municipales pour les projets d’énergie renouvelable et de stockage.</w:t>
      </w:r>
    </w:p>
    <w:p w14:paraId="320D02B8" w14:textId="77777777" w:rsidR="006C686E" w:rsidRDefault="00B17E8C">
      <w:pPr>
        <w:pStyle w:val="P68B1DB1-Normal22"/>
        <w:numPr>
          <w:ilvl w:val="0"/>
          <w:numId w:val="62"/>
        </w:numPr>
        <w:spacing w:before="40" w:after="0" w:line="276" w:lineRule="auto"/>
        <w:jc w:val="both"/>
        <w:rPr>
          <w:b/>
          <w:noProof/>
          <w:kern w:val="0"/>
          <w14:ligatures w14:val="none"/>
        </w:rPr>
      </w:pPr>
      <w:r>
        <w:rPr>
          <w:noProof/>
        </w:rPr>
        <w:t xml:space="preserve">Entrée en vigueur de l’acte juridique établissant un </w:t>
      </w:r>
      <w:r>
        <w:rPr>
          <w:noProof/>
          <w:kern w:val="0"/>
          <w14:ligatures w14:val="none"/>
        </w:rPr>
        <w:t>calendrier pour l’attribution de nouvelles capacités en matière d’énergies renouvelables.</w:t>
      </w:r>
    </w:p>
    <w:p w14:paraId="382E23D6" w14:textId="77777777" w:rsidR="006C686E" w:rsidRDefault="00B17E8C">
      <w:pPr>
        <w:numPr>
          <w:ilvl w:val="0"/>
          <w:numId w:val="62"/>
        </w:numPr>
        <w:spacing w:before="40" w:after="0" w:line="276" w:lineRule="auto"/>
        <w:jc w:val="both"/>
        <w:rPr>
          <w:rFonts w:ascii="Times New Roman" w:hAnsi="Times New Roman"/>
          <w:b/>
          <w:noProof/>
        </w:rPr>
      </w:pPr>
      <w:r>
        <w:rPr>
          <w:rFonts w:ascii="Times New Roman" w:eastAsia="Calibri" w:hAnsi="Times New Roman" w:cs="Times New Roman"/>
          <w:noProof/>
        </w:rPr>
        <w:t>Pluie</w:t>
      </w:r>
      <w:r>
        <w:rPr>
          <w:rFonts w:ascii="Times New Roman" w:hAnsi="Times New Roman"/>
          <w:noProof/>
          <w:kern w:val="0"/>
          <w14:ligatures w14:val="none"/>
        </w:rPr>
        <w:t xml:space="preserve"> du personnel de l'administration publique liée aux procédures d'autorisation pour les projets d'énergie renouvelable et le stockage de l'énergie.</w:t>
      </w:r>
    </w:p>
    <w:p w14:paraId="5D219E29" w14:textId="77777777" w:rsidR="006C686E" w:rsidRDefault="00B17E8C">
      <w:pPr>
        <w:pStyle w:val="P68B1DB1-Normal53"/>
        <w:keepNext/>
        <w:spacing w:before="240" w:after="0"/>
        <w:ind w:left="851"/>
        <w:jc w:val="both"/>
        <w:outlineLvl w:val="2"/>
        <w:rPr>
          <w:noProof/>
        </w:rPr>
      </w:pPr>
      <w:bookmarkStart w:id="25" w:name="bookmark45"/>
      <w:r>
        <w:rPr>
          <w:noProof/>
        </w:rPr>
        <w:t>Investissement RP-C21-i07: Études techniques sur le potentiel énergétique offshore</w:t>
      </w:r>
      <w:bookmarkEnd w:id="25"/>
    </w:p>
    <w:p w14:paraId="6DBD676E" w14:textId="77777777" w:rsidR="006C686E" w:rsidRDefault="00B17E8C">
      <w:pPr>
        <w:pStyle w:val="P68B1DB1-Normal52"/>
        <w:widowControl w:val="0"/>
        <w:shd w:val="clear" w:color="auto" w:fill="FFFFFF"/>
        <w:spacing w:before="40" w:after="0"/>
        <w:jc w:val="both"/>
        <w:rPr>
          <w:noProof/>
        </w:rPr>
      </w:pPr>
      <w:bookmarkStart w:id="26" w:name="_Hlk137476371"/>
      <w:r>
        <w:rPr>
          <w:noProof/>
        </w:rPr>
        <w:t xml:space="preserve">L’objectif de cet investissement est de faciliter les procédures d’appel d’offres et les études techniques pour l’installation de capacités éoliennes flottantes en mer. </w:t>
      </w:r>
    </w:p>
    <w:p w14:paraId="1635CD51" w14:textId="77777777" w:rsidR="006C686E" w:rsidRDefault="00B17E8C">
      <w:pPr>
        <w:widowControl w:val="0"/>
        <w:shd w:val="clear" w:color="auto" w:fill="FFFFFF" w:themeFill="background1"/>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L’investissement consiste en des études techniques</w:t>
      </w:r>
      <w:r>
        <w:rPr>
          <w:rFonts w:ascii="Times New Roman" w:eastAsia="Times New Roman" w:hAnsi="Times New Roman" w:cs="Times New Roman"/>
          <w:noProof/>
        </w:rPr>
        <w:t xml:space="preserve"> pour la préparation d’enchères énergétiques en mer.</w:t>
      </w:r>
      <w:r>
        <w:rPr>
          <w:rFonts w:ascii="Times New Roman" w:eastAsia="Calibri" w:hAnsi="Times New Roman" w:cs="Times New Roman"/>
          <w:noProof/>
          <w:kern w:val="0"/>
          <w14:ligatures w14:val="none"/>
        </w:rPr>
        <w:t xml:space="preserve"> </w:t>
      </w:r>
    </w:p>
    <w:bookmarkEnd w:id="26"/>
    <w:p w14:paraId="746E5016" w14:textId="38BA7F8D" w:rsidR="006C686E" w:rsidRDefault="00B17E8C">
      <w:pPr>
        <w:pStyle w:val="P68B1DB1-Normal53"/>
        <w:keepNext/>
        <w:spacing w:before="240" w:after="0"/>
        <w:ind w:left="851"/>
        <w:jc w:val="both"/>
        <w:outlineLvl w:val="2"/>
        <w:rPr>
          <w:noProof/>
        </w:rPr>
      </w:pPr>
      <w:r>
        <w:rPr>
          <w:noProof/>
        </w:rPr>
        <w:t>Investissement RP-C21-i10-RAA: Système d’incitations à l’achat et à l’installation de systèmes de stockage d’énergie renouvelable aux Açores</w:t>
      </w:r>
    </w:p>
    <w:p w14:paraId="470352E7" w14:textId="77777777" w:rsidR="006C686E" w:rsidRDefault="00B17E8C">
      <w:pPr>
        <w:pStyle w:val="P68B1DB1-Normal52"/>
        <w:spacing w:before="40" w:after="0"/>
        <w:jc w:val="both"/>
        <w:rPr>
          <w:noProof/>
        </w:rPr>
      </w:pPr>
      <w:r>
        <w:rPr>
          <w:noProof/>
        </w:rPr>
        <w:t>L’objectif de cet investissement est de favoriser la transition énergétique aux Açores.</w:t>
      </w:r>
    </w:p>
    <w:p w14:paraId="65904BF2" w14:textId="42CCCC5B" w:rsidR="006C686E" w:rsidRDefault="00B17E8C">
      <w:pPr>
        <w:pStyle w:val="P68B1DB1-Normal4"/>
        <w:spacing w:before="40" w:after="0"/>
        <w:jc w:val="both"/>
        <w:rPr>
          <w:noProof/>
        </w:rPr>
      </w:pPr>
      <w:r>
        <w:rPr>
          <w:noProof/>
        </w:rPr>
        <w:t>L'investissement consiste en l'installation d'une capacité de stockage.</w:t>
      </w:r>
    </w:p>
    <w:p w14:paraId="6BBE6F8F" w14:textId="77777777" w:rsidR="006C686E" w:rsidRDefault="00B17E8C">
      <w:pPr>
        <w:pStyle w:val="P68B1DB1-Normal53"/>
        <w:keepNext/>
        <w:spacing w:before="240" w:after="0"/>
        <w:ind w:left="851"/>
        <w:jc w:val="both"/>
        <w:outlineLvl w:val="2"/>
        <w:rPr>
          <w:noProof/>
        </w:rPr>
      </w:pPr>
      <w:r>
        <w:rPr>
          <w:noProof/>
        </w:rPr>
        <w:t>Investissement RP-C21-i11-RAM: Système d'incitations à la production et au stockage de l'énergie produite à partir de sources renouvelables à Madère et à Porto Santo</w:t>
      </w:r>
    </w:p>
    <w:p w14:paraId="03CAA954" w14:textId="77777777" w:rsidR="006C686E" w:rsidRDefault="00B17E8C">
      <w:pPr>
        <w:pStyle w:val="P68B1DB1-Normal52"/>
        <w:spacing w:before="40" w:after="0"/>
        <w:jc w:val="both"/>
        <w:rPr>
          <w:noProof/>
        </w:rPr>
      </w:pPr>
      <w:r>
        <w:rPr>
          <w:noProof/>
        </w:rPr>
        <w:t xml:space="preserve">L’objectif de cet investissement est de favoriser la transition énergétique dans la région autonome de Madère. </w:t>
      </w:r>
    </w:p>
    <w:p w14:paraId="10CEB00B" w14:textId="45C884BE" w:rsidR="006C686E" w:rsidRDefault="00B17E8C">
      <w:pPr>
        <w:pStyle w:val="P68B1DB1-Normal52"/>
        <w:spacing w:before="40" w:after="0"/>
        <w:jc w:val="both"/>
        <w:rPr>
          <w:noProof/>
        </w:rPr>
      </w:pPr>
      <w:r>
        <w:rPr>
          <w:noProof/>
        </w:rPr>
        <w:t>L'investissement consiste en l'installation d'unités photovoltaïques ou de systèmes de stockage.</w:t>
      </w:r>
    </w:p>
    <w:p w14:paraId="64445622" w14:textId="77777777" w:rsidR="006C686E" w:rsidRDefault="00B17E8C">
      <w:pPr>
        <w:pStyle w:val="P68B1DB1-Normal53"/>
        <w:keepNext/>
        <w:spacing w:before="240" w:after="0"/>
        <w:ind w:left="851"/>
        <w:jc w:val="both"/>
        <w:outlineLvl w:val="2"/>
        <w:rPr>
          <w:noProof/>
        </w:rPr>
      </w:pPr>
      <w:r>
        <w:rPr>
          <w:noProof/>
        </w:rPr>
        <w:t>Investissement RP-C21-i12: Mesure à plus grande échelle: Décarbonation des transports publics</w:t>
      </w:r>
    </w:p>
    <w:p w14:paraId="2CA942C6" w14:textId="77777777" w:rsidR="006C686E" w:rsidRDefault="00B17E8C">
      <w:pPr>
        <w:pStyle w:val="P68B1DB1-Normal52"/>
        <w:spacing w:before="40" w:after="0"/>
        <w:jc w:val="both"/>
        <w:rPr>
          <w:noProof/>
        </w:rPr>
      </w:pPr>
      <w:r>
        <w:rPr>
          <w:noProof/>
        </w:rPr>
        <w:t>L'objectif de l'investissement est de développer TC-C15-i05: Décarbonation des transports publics au titre du volet 15.</w:t>
      </w:r>
    </w:p>
    <w:p w14:paraId="74737966" w14:textId="77777777" w:rsidR="006C686E" w:rsidRDefault="00B17E8C">
      <w:pPr>
        <w:pStyle w:val="P68B1DB1-Normal52"/>
        <w:spacing w:before="40" w:after="0"/>
        <w:jc w:val="both"/>
        <w:rPr>
          <w:noProof/>
        </w:rPr>
      </w:pPr>
      <w:r>
        <w:rPr>
          <w:noProof/>
        </w:rPr>
        <w:t xml:space="preserve">La partie renforcée de la mesure consiste à augmenter le nombre de nouveaux bus à émissions nulles utilisés pour les transports publics. </w:t>
      </w:r>
    </w:p>
    <w:p w14:paraId="0D05253C" w14:textId="77777777" w:rsidR="006C686E" w:rsidRDefault="00B17E8C">
      <w:pPr>
        <w:pStyle w:val="P68B1DB1-Normal53"/>
        <w:keepNext/>
        <w:spacing w:before="240" w:after="0"/>
        <w:ind w:left="851"/>
        <w:jc w:val="both"/>
        <w:outlineLvl w:val="2"/>
        <w:rPr>
          <w:noProof/>
        </w:rPr>
      </w:pPr>
      <w:r>
        <w:rPr>
          <w:noProof/>
        </w:rPr>
        <w:t>Investissement RP-C21-i13-RAM: Décarbonation des transports</w:t>
      </w:r>
    </w:p>
    <w:p w14:paraId="197226EC" w14:textId="77777777" w:rsidR="006C686E" w:rsidRDefault="00B17E8C">
      <w:pPr>
        <w:pStyle w:val="P68B1DB1-Normal52"/>
        <w:spacing w:before="40" w:after="0"/>
        <w:jc w:val="both"/>
        <w:rPr>
          <w:noProof/>
        </w:rPr>
      </w:pPr>
      <w:r>
        <w:rPr>
          <w:noProof/>
        </w:rPr>
        <w:t xml:space="preserve">L’objectif de cette mesure est de promouvoir la décarbonation des transports dans la région autonome de Madère. </w:t>
      </w:r>
    </w:p>
    <w:p w14:paraId="4B4BE115" w14:textId="54AFE8C8" w:rsidR="006C686E" w:rsidRDefault="00B17E8C">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L’investissement </w:t>
      </w:r>
      <w:r>
        <w:rPr>
          <w:rFonts w:ascii="Times New Roman" w:eastAsia="Calibri" w:hAnsi="Times New Roman" w:cs="Times New Roman"/>
          <w:noProof/>
        </w:rPr>
        <w:t xml:space="preserve">consiste en </w:t>
      </w:r>
      <w:r>
        <w:rPr>
          <w:rFonts w:ascii="Times New Roman" w:hAnsi="Times New Roman"/>
          <w:noProof/>
          <w:kern w:val="0"/>
          <w14:ligatures w14:val="none"/>
        </w:rPr>
        <w:t>l’achat d’autobus à émissions nulles, l’installation de points de recharge pour les autobus à émissions nulles, un programme de démolition de véhicules et un programme d’achat de véhicules électriques.</w:t>
      </w:r>
    </w:p>
    <w:p w14:paraId="57894C02" w14:textId="2394CCFF" w:rsidR="006C686E" w:rsidRDefault="00B17E8C">
      <w:pPr>
        <w:pStyle w:val="P68B1DB1-Normal53"/>
        <w:keepNext/>
        <w:spacing w:before="240" w:after="0"/>
        <w:ind w:left="851"/>
        <w:jc w:val="both"/>
        <w:outlineLvl w:val="2"/>
        <w:rPr>
          <w:noProof/>
        </w:rPr>
      </w:pPr>
      <w:r>
        <w:rPr>
          <w:noProof/>
        </w:rPr>
        <w:t>Investissement RP-C21-i16: Funiculaire de Nazaré</w:t>
      </w:r>
    </w:p>
    <w:p w14:paraId="4935CAA8" w14:textId="77777777" w:rsidR="006C686E" w:rsidRDefault="00B17E8C">
      <w:pPr>
        <w:pStyle w:val="P68B1DB1-Normal52"/>
        <w:spacing w:before="40" w:after="0"/>
        <w:jc w:val="both"/>
        <w:rPr>
          <w:noProof/>
        </w:rPr>
      </w:pPr>
      <w:r>
        <w:rPr>
          <w:noProof/>
        </w:rPr>
        <w:t xml:space="preserve">L'objectif de cet investissement est d'accroître les transports publics durables à Nazaré. </w:t>
      </w:r>
    </w:p>
    <w:p w14:paraId="2FAC7862" w14:textId="1FADF135" w:rsidR="006C686E" w:rsidRDefault="00B17E8C">
      <w:pPr>
        <w:pStyle w:val="P68B1DB1-Normal52"/>
        <w:spacing w:before="40" w:after="0"/>
        <w:jc w:val="both"/>
        <w:rPr>
          <w:noProof/>
        </w:rPr>
      </w:pPr>
      <w:r>
        <w:rPr>
          <w:noProof/>
        </w:rPr>
        <w:t>L'investissement consiste en la construction d'un funiculaire.</w:t>
      </w:r>
    </w:p>
    <w:p w14:paraId="682FF701" w14:textId="2DADE354" w:rsidR="006C686E" w:rsidRDefault="00B17E8C">
      <w:pPr>
        <w:pStyle w:val="P68B1DB1-Normal21"/>
        <w:keepNext/>
        <w:spacing w:before="240" w:after="0"/>
        <w:ind w:left="851"/>
        <w:jc w:val="both"/>
        <w:outlineLvl w:val="2"/>
        <w:rPr>
          <w:noProof/>
        </w:rPr>
      </w:pPr>
      <w:r>
        <w:rPr>
          <w:noProof/>
        </w:rPr>
        <w:t>Investissement RP-C21-i18: Dispositif de soutien à la flexibilité et au stockage du réseau</w:t>
      </w:r>
    </w:p>
    <w:p w14:paraId="6C8A58AA" w14:textId="71D7C016" w:rsidR="006C686E" w:rsidRDefault="00B17E8C">
      <w:pPr>
        <w:pStyle w:val="P68B1DB1-Normal34"/>
        <w:spacing w:line="240" w:lineRule="auto"/>
        <w:jc w:val="both"/>
        <w:rPr>
          <w:noProof/>
        </w:rPr>
      </w:pPr>
      <w:r>
        <w:rPr>
          <w:noProof/>
        </w:rPr>
        <w:t>Cette mesure consiste en un investissement public dans un régime de subventions afin d'encourager l'investissement privé et d'améliorer l'accès au financement dans le secteur de l'énergie et les industries et services connexes de ´s Portugal. Le régime fonctionne en octroyant des subventions directement au secteur privé. Le programme est géré par l’Agence pour le climat («Agência</w:t>
      </w:r>
      <w:r>
        <w:rPr>
          <w:i/>
          <w:noProof/>
        </w:rPr>
        <w:t xml:space="preserve"> para o Clima»)</w:t>
      </w:r>
      <w:r>
        <w:rPr>
          <w:noProof/>
        </w:rPr>
        <w:t xml:space="preserve"> en tant que partenaire chargé de la mise en œuvre. Le système comprend les éléments suivants:</w:t>
      </w:r>
    </w:p>
    <w:p w14:paraId="12785950" w14:textId="77777777" w:rsidR="006C686E" w:rsidRDefault="00B17E8C">
      <w:pPr>
        <w:pStyle w:val="ListParagraph"/>
        <w:keepNext/>
        <w:numPr>
          <w:ilvl w:val="0"/>
          <w:numId w:val="66"/>
        </w:numPr>
        <w:spacing w:line="276" w:lineRule="auto"/>
        <w:jc w:val="both"/>
        <w:rPr>
          <w:rFonts w:ascii="Times New Roman" w:hAnsi="Times New Roman" w:cs="Times New Roman"/>
          <w:noProof/>
        </w:rPr>
      </w:pPr>
      <w:r>
        <w:rPr>
          <w:rFonts w:ascii="Times New Roman" w:hAnsi="Times New Roman" w:cs="Times New Roman"/>
          <w:noProof/>
        </w:rPr>
        <w:t>Soutenir les investissements dans les installations de stockage d’électricité produite à partir de sources renouvelables.</w:t>
      </w:r>
      <w:r>
        <w:rPr>
          <w:rStyle w:val="FootnoteReference"/>
          <w:rFonts w:ascii="Times New Roman" w:hAnsi="Times New Roman" w:cs="Times New Roman"/>
          <w:noProof/>
        </w:rPr>
        <w:footnoteReference w:id="29"/>
      </w:r>
    </w:p>
    <w:p w14:paraId="2E0706BD" w14:textId="77777777" w:rsidR="006C686E" w:rsidRDefault="00B17E8C">
      <w:pPr>
        <w:pStyle w:val="P68B1DB1-ListParagraph33"/>
        <w:keepNext/>
        <w:numPr>
          <w:ilvl w:val="0"/>
          <w:numId w:val="66"/>
        </w:numPr>
        <w:spacing w:line="276" w:lineRule="auto"/>
        <w:jc w:val="both"/>
        <w:rPr>
          <w:noProof/>
        </w:rPr>
      </w:pPr>
      <w:r>
        <w:rPr>
          <w:noProof/>
        </w:rPr>
        <w:t>Seules les opérations d'investissement visant l'installation de systèmes de stockage d'électricité par batterie à l'échelle des réseaux de transport et de distribution sont éligibles. Ces systèmes doivent être associés à des centres de production d’électricité indépendants d’une capacité installée supérieure à 1 MVA, alimentés par des sources d’énergie renouvelables directement connectées au réseau public d’électricité (RESP).</w:t>
      </w:r>
    </w:p>
    <w:p w14:paraId="5E9A4EBC" w14:textId="46456DB9" w:rsidR="006C686E" w:rsidRDefault="00B17E8C">
      <w:pPr>
        <w:pStyle w:val="P68B1DB1-Normal34"/>
        <w:spacing w:line="240" w:lineRule="auto"/>
        <w:jc w:val="both"/>
        <w:rPr>
          <w:noProof/>
        </w:rPr>
      </w:pPr>
      <w:r>
        <w:rPr>
          <w:noProof/>
        </w:rPr>
        <w:t>Aux fins de la mise en œuvre de l’investissement dans le régime, le Portugal et l’Agence pour le climat («Agência</w:t>
      </w:r>
      <w:r>
        <w:rPr>
          <w:i/>
          <w:noProof/>
        </w:rPr>
        <w:t xml:space="preserve"> para o Clima»)</w:t>
      </w:r>
      <w:r>
        <w:rPr>
          <w:noProof/>
        </w:rPr>
        <w:t xml:space="preserve"> signent un accord de mise en œuvre ou un ou plusieurs actes juridiques entrent en vigueur qui comprennent les éléments suivants:</w:t>
      </w:r>
    </w:p>
    <w:p w14:paraId="60CB6679" w14:textId="77777777" w:rsidR="006C686E" w:rsidRDefault="00B17E8C">
      <w:pPr>
        <w:pStyle w:val="LegalNumPar"/>
        <w:keepNext w:val="0"/>
        <w:numPr>
          <w:ilvl w:val="0"/>
          <w:numId w:val="67"/>
        </w:numPr>
        <w:spacing w:before="0" w:after="160" w:line="259" w:lineRule="auto"/>
        <w:rPr>
          <w:noProof/>
        </w:rPr>
      </w:pPr>
      <w:r>
        <w:rPr>
          <w:noProof/>
        </w:rPr>
        <w:t>Description du processus décisionnel du régime: La décision finale d’attribution du régime est prise par un comité d’investissement ou un autre organe directeur équivalent compétent et approuvée à la majorité des voix des membres indépendants du gouvernement portugais. </w:t>
      </w:r>
    </w:p>
    <w:p w14:paraId="76272A89" w14:textId="77777777" w:rsidR="006C686E" w:rsidRDefault="00B17E8C">
      <w:pPr>
        <w:pStyle w:val="LegalNumPar"/>
        <w:keepNext w:val="0"/>
        <w:numPr>
          <w:ilvl w:val="0"/>
          <w:numId w:val="67"/>
        </w:numPr>
        <w:spacing w:before="0" w:after="160" w:line="259" w:lineRule="auto"/>
        <w:rPr>
          <w:noProof/>
        </w:rPr>
      </w:pPr>
      <w:r>
        <w:rPr>
          <w:noProof/>
        </w:rPr>
        <w:t>Principales exigences du régime de subventions associé,</w:t>
      </w:r>
      <w:r>
        <w:rPr>
          <w:b/>
          <w:noProof/>
        </w:rPr>
        <w:t xml:space="preserve"> </w:t>
      </w:r>
      <w:r>
        <w:rPr>
          <w:noProof/>
        </w:rPr>
        <w:t>qui comprennent:</w:t>
      </w:r>
    </w:p>
    <w:p w14:paraId="5797D044" w14:textId="77777777" w:rsidR="006C686E" w:rsidRDefault="00B17E8C">
      <w:pPr>
        <w:pStyle w:val="LegalNumPar2"/>
        <w:numPr>
          <w:ilvl w:val="0"/>
          <w:numId w:val="68"/>
        </w:numPr>
        <w:rPr>
          <w:noProof/>
        </w:rPr>
      </w:pPr>
      <w:r>
        <w:rPr>
          <w:noProof/>
        </w:rPr>
        <w:t xml:space="preserve">Description des subventions octroyées et des bénéficiaires finaux éligibles. </w:t>
      </w:r>
    </w:p>
    <w:p w14:paraId="761D9C56" w14:textId="77777777" w:rsidR="006C686E" w:rsidRDefault="00B17E8C">
      <w:pPr>
        <w:pStyle w:val="LegalNumPar"/>
        <w:keepNext w:val="0"/>
        <w:numPr>
          <w:ilvl w:val="0"/>
          <w:numId w:val="68"/>
        </w:numPr>
        <w:spacing w:before="0" w:after="160" w:line="259" w:lineRule="auto"/>
        <w:rPr>
          <w:noProof/>
        </w:rPr>
      </w:pPr>
      <w:r>
        <w:rPr>
          <w:noProof/>
        </w:rPr>
        <w:t>L'exigence que tous les investissements soutenus soient économiquement viables.</w:t>
      </w:r>
    </w:p>
    <w:p w14:paraId="69039510" w14:textId="77777777" w:rsidR="006C686E" w:rsidRDefault="00B17E8C">
      <w:pPr>
        <w:pStyle w:val="LegalNumPar"/>
        <w:keepNext w:val="0"/>
        <w:numPr>
          <w:ilvl w:val="0"/>
          <w:numId w:val="68"/>
        </w:numPr>
        <w:spacing w:before="0" w:after="160" w:line="259" w:lineRule="auto"/>
        <w:rPr>
          <w:noProof/>
        </w:rPr>
      </w:pPr>
      <w:r>
        <w:rPr>
          <w:noProof/>
        </w:rPr>
        <w:t>L’obligation de respecter le principe consistant à «ne pas causer de préjudice important» (DNSH) tel qu’énoncé dans les orientations techniques DNSH (2021/C58/01). En particulier, le régime de subventions exclut de l’éligibilité la liste suivante d’activités et d’actifs: (i) les activités et les actifs liés aux combustibles fossiles, y compris l’utilisation en aval</w:t>
      </w:r>
      <w:r>
        <w:rPr>
          <w:noProof/>
        </w:rPr>
        <w:footnoteReference w:id="30"/>
      </w:r>
      <w:r>
        <w:rPr>
          <w:noProof/>
        </w:rPr>
        <w:t>, (ii) les activités et les actifs relevant du système d’échange de quotas d’émission de l’UE (SEQE) permettant d’atteindre des émissions de gaz à effet de serre prévues qui ne sont pas inférieures aux référentiels pertinents</w:t>
      </w:r>
      <w:r>
        <w:rPr>
          <w:noProof/>
        </w:rPr>
        <w:footnoteReference w:id="31"/>
      </w:r>
      <w:r>
        <w:rPr>
          <w:noProof/>
        </w:rPr>
        <w:t>, (iii) les activités et les actifs liés aux décharges de déchets, aux incinérateurs</w:t>
      </w:r>
      <w:r>
        <w:rPr>
          <w:rStyle w:val="FootnoteReference"/>
          <w:noProof/>
        </w:rPr>
        <w:footnoteReference w:id="32"/>
      </w:r>
      <w:r>
        <w:rPr>
          <w:noProof/>
        </w:rPr>
        <w:t xml:space="preserve"> et aux usines de traitement biologique mécanique</w:t>
      </w:r>
      <w:r>
        <w:rPr>
          <w:rStyle w:val="FootnoteReference"/>
          <w:noProof/>
        </w:rPr>
        <w:footnoteReference w:id="33"/>
      </w:r>
      <w:r>
        <w:rPr>
          <w:noProof/>
        </w:rPr>
        <w:t>.</w:t>
      </w:r>
    </w:p>
    <w:p w14:paraId="497A7089" w14:textId="77777777" w:rsidR="006C686E" w:rsidRDefault="00B17E8C">
      <w:pPr>
        <w:pStyle w:val="LegalNumPar2"/>
        <w:keepNext w:val="0"/>
        <w:numPr>
          <w:ilvl w:val="0"/>
          <w:numId w:val="68"/>
        </w:numPr>
        <w:spacing w:before="0" w:after="160" w:line="259" w:lineRule="auto"/>
        <w:rPr>
          <w:noProof/>
        </w:rPr>
      </w:pPr>
      <w:r>
        <w:rPr>
          <w:noProof/>
        </w:rPr>
        <w:t>L’exigence selon laquelle les bénéficiaires finaux du régime ne reçoivent pas d’aide d’autres instruments de l’Union pour couvrir le même coût.</w:t>
      </w:r>
    </w:p>
    <w:p w14:paraId="793C1CEB" w14:textId="708F1F9B" w:rsidR="006C686E" w:rsidRDefault="00B17E8C">
      <w:pPr>
        <w:pStyle w:val="LegalNumPar"/>
        <w:keepNext w:val="0"/>
        <w:numPr>
          <w:ilvl w:val="0"/>
          <w:numId w:val="67"/>
        </w:numPr>
        <w:spacing w:before="0" w:after="160" w:line="259" w:lineRule="auto"/>
        <w:rPr>
          <w:noProof/>
        </w:rPr>
      </w:pPr>
      <w:r>
        <w:rPr>
          <w:noProof/>
        </w:rPr>
        <w:t>Le montant couvert par l’accord de mise en œuvre et/ou les actes juridiques, la structure des redevances pour le partenaire chargé de la mise en œuvre et l’obligation d’utiliser tout produit inutilisé du régime, y compris au-delà de 2026, aux mêmes fins stratégiques.</w:t>
      </w:r>
    </w:p>
    <w:p w14:paraId="122E6BD2" w14:textId="77777777" w:rsidR="006C686E" w:rsidRDefault="00B17E8C">
      <w:pPr>
        <w:pStyle w:val="LegalNumPar"/>
        <w:keepNext w:val="0"/>
        <w:numPr>
          <w:ilvl w:val="0"/>
          <w:numId w:val="67"/>
        </w:numPr>
        <w:spacing w:before="0" w:after="160" w:line="259" w:lineRule="auto"/>
        <w:rPr>
          <w:noProof/>
        </w:rPr>
      </w:pPr>
      <w:r>
        <w:rPr>
          <w:noProof/>
        </w:rPr>
        <w:t>Exigences en matière de surveillance, d'audit et de contrôle, y compris:</w:t>
      </w:r>
    </w:p>
    <w:p w14:paraId="19EB01ED" w14:textId="77777777" w:rsidR="006C686E" w:rsidRDefault="00B17E8C">
      <w:pPr>
        <w:pStyle w:val="P68B1DB1-Normal34"/>
        <w:numPr>
          <w:ilvl w:val="0"/>
          <w:numId w:val="69"/>
        </w:numPr>
        <w:spacing w:line="240" w:lineRule="auto"/>
        <w:jc w:val="both"/>
        <w:rPr>
          <w:noProof/>
        </w:rPr>
      </w:pPr>
      <w:r>
        <w:rPr>
          <w:noProof/>
        </w:rPr>
        <w:t>Description du système de suivi de l’Agence pour le climat pour rendre compte des subventions mobilisées.</w:t>
      </w:r>
    </w:p>
    <w:p w14:paraId="67B5A222" w14:textId="77777777" w:rsidR="006C686E" w:rsidRDefault="00B17E8C">
      <w:pPr>
        <w:pStyle w:val="P68B1DB1-Normal34"/>
        <w:numPr>
          <w:ilvl w:val="0"/>
          <w:numId w:val="69"/>
        </w:numPr>
        <w:spacing w:line="259" w:lineRule="auto"/>
        <w:jc w:val="both"/>
        <w:rPr>
          <w:noProof/>
        </w:rPr>
      </w:pPr>
      <w:r>
        <w:rPr>
          <w:noProof/>
        </w:rPr>
        <w:t xml:space="preserve">Description des procédures de l’Agence pour le climat qui garantiront la prévention, la détection et la correction de la fraude, de la corruption et des conflits d’intérêts. </w:t>
      </w:r>
    </w:p>
    <w:p w14:paraId="3E19E5AB" w14:textId="77777777" w:rsidR="006C686E" w:rsidRDefault="00B17E8C">
      <w:pPr>
        <w:pStyle w:val="P68B1DB1-Normal34"/>
        <w:numPr>
          <w:ilvl w:val="0"/>
          <w:numId w:val="69"/>
        </w:numPr>
        <w:spacing w:line="259" w:lineRule="auto"/>
        <w:jc w:val="both"/>
        <w:rPr>
          <w:noProof/>
        </w:rPr>
      </w:pPr>
      <w:r>
        <w:rPr>
          <w:noProof/>
        </w:rPr>
        <w:t>L’obligation de vérifier l’éligibilité de chaque opération conformément aux exigences énoncées dans l’accord de mise en œuvre ou dans le ou les actes juridiques établissant le régime avant d’octroyer une subvention à une opération.</w:t>
      </w:r>
    </w:p>
    <w:p w14:paraId="028C9982" w14:textId="77777777" w:rsidR="006C686E" w:rsidRDefault="00B17E8C">
      <w:pPr>
        <w:pStyle w:val="P68B1DB1-Normal34"/>
        <w:numPr>
          <w:ilvl w:val="0"/>
          <w:numId w:val="69"/>
        </w:numPr>
        <w:spacing w:line="240" w:lineRule="auto"/>
        <w:jc w:val="both"/>
        <w:rPr>
          <w:noProof/>
        </w:rPr>
      </w:pPr>
      <w:r>
        <w:rPr>
          <w:noProof/>
        </w:rPr>
        <w:t xml:space="preserve">L’obligation de réaliser des audits ex post fondés sur les risques conformément à un plan d’audit de l’Agence pour le climat.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du régime n’ont pas reçu d’aide d’autres instruments de l’Union pour couvrir les mêmes coûts soit respectée. Les audits vérifient également la légalité des opérations et le respect des conditions de la convention de mise en œuvre applicable ou du ou des actes juridiques établissant le régime de subventions. </w:t>
      </w:r>
    </w:p>
    <w:p w14:paraId="66E9AF2B" w14:textId="77777777" w:rsidR="006C686E" w:rsidRDefault="006C686E">
      <w:pPr>
        <w:spacing w:before="40" w:after="0"/>
        <w:jc w:val="both"/>
        <w:rPr>
          <w:rFonts w:ascii="Times New Roman" w:eastAsia="Calibri" w:hAnsi="Times New Roman" w:cs="Times New Roman"/>
          <w:noProof/>
          <w:kern w:val="0"/>
          <w14:ligatures w14:val="none"/>
        </w:rPr>
      </w:pPr>
    </w:p>
    <w:p w14:paraId="2DF20580" w14:textId="77777777" w:rsidR="006C686E" w:rsidRDefault="006C686E">
      <w:pPr>
        <w:spacing w:before="40" w:after="0"/>
        <w:jc w:val="both"/>
        <w:rPr>
          <w:rFonts w:ascii="Times New Roman" w:hAnsi="Times New Roman"/>
          <w:noProof/>
          <w:kern w:val="0"/>
          <w14:ligatures w14:val="none"/>
        </w:rPr>
        <w:sectPr w:rsidR="006C686E" w:rsidSect="00C95E00">
          <w:headerReference w:type="even" r:id="rId373"/>
          <w:headerReference w:type="default" r:id="rId374"/>
          <w:footerReference w:type="even" r:id="rId375"/>
          <w:footerReference w:type="default" r:id="rId376"/>
          <w:headerReference w:type="first" r:id="rId377"/>
          <w:footerReference w:type="first" r:id="rId378"/>
          <w:pgSz w:w="11907" w:h="16839"/>
          <w:pgMar w:top="1134" w:right="1134" w:bottom="1134" w:left="1134" w:header="567" w:footer="567" w:gutter="0"/>
          <w:cols w:space="720"/>
          <w:docGrid w:linePitch="360"/>
        </w:sectPr>
      </w:pPr>
    </w:p>
    <w:p w14:paraId="38C9DA2A" w14:textId="77777777" w:rsidR="006C686E" w:rsidRDefault="00B17E8C">
      <w:pPr>
        <w:pStyle w:val="P68B1DB1-Normal51"/>
        <w:keepNext/>
        <w:spacing w:before="40" w:after="0"/>
        <w:ind w:left="130" w:firstLine="12"/>
        <w:jc w:val="center"/>
        <w:outlineLvl w:val="1"/>
        <w:rPr>
          <w:noProof/>
        </w:rPr>
      </w:pPr>
      <w:r>
        <w:rPr>
          <w:noProof/>
        </w:rPr>
        <w:t>U.2. Étapes, cibles, indicateurs et calendrier pour le suivi et la mise en œuvre du soutien financier non remboursable</w:t>
      </w:r>
    </w:p>
    <w:tbl>
      <w:tblPr>
        <w:tblW w:w="14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525"/>
        <w:gridCol w:w="1134"/>
        <w:gridCol w:w="1559"/>
        <w:gridCol w:w="1276"/>
        <w:gridCol w:w="1134"/>
        <w:gridCol w:w="992"/>
        <w:gridCol w:w="992"/>
        <w:gridCol w:w="567"/>
        <w:gridCol w:w="709"/>
        <w:gridCol w:w="3926"/>
      </w:tblGrid>
      <w:tr w:rsidR="006C686E" w14:paraId="440814A4" w14:textId="77777777" w:rsidTr="00E130FD">
        <w:trPr>
          <w:trHeight w:val="910"/>
          <w:tblHeader/>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9B4F9FC" w14:textId="77777777" w:rsidR="006C686E" w:rsidRDefault="00B17E8C">
            <w:pPr>
              <w:pStyle w:val="P68B1DB1-Normal54"/>
              <w:spacing w:after="0" w:line="240" w:lineRule="auto"/>
              <w:jc w:val="center"/>
              <w:rPr>
                <w:noProof/>
              </w:rPr>
            </w:pPr>
            <w:r>
              <w:rPr>
                <w:noProof/>
              </w:rPr>
              <w:t>Numéro séquentiel</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EE6E487" w14:textId="77777777" w:rsidR="006C686E" w:rsidRDefault="00B17E8C">
            <w:pPr>
              <w:pStyle w:val="P68B1DB1-Normal54"/>
              <w:spacing w:after="0" w:line="240" w:lineRule="auto"/>
              <w:jc w:val="center"/>
              <w:rPr>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ADA00C8" w14:textId="19F9C6C3" w:rsidR="006C686E" w:rsidRDefault="00B17E8C">
            <w:pPr>
              <w:pStyle w:val="P68B1DB1-Normal54"/>
              <w:spacing w:after="0" w:line="240" w:lineRule="auto"/>
              <w:jc w:val="center"/>
              <w:rPr>
                <w:noProof/>
              </w:rPr>
            </w:pPr>
            <w:r>
              <w:rPr>
                <w:noProof/>
              </w:rPr>
              <w:t>Étape/cible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85CEEAC" w14:textId="77777777" w:rsidR="006C686E" w:rsidRDefault="00B17E8C">
            <w:pPr>
              <w:pStyle w:val="P68B1DB1-Normal54"/>
              <w:spacing w:after="0" w:line="240" w:lineRule="auto"/>
              <w:jc w:val="center"/>
              <w:rPr>
                <w:noProof/>
              </w:rPr>
            </w:pPr>
            <w:r>
              <w:rPr>
                <w:noProof/>
              </w:rPr>
              <w:t>Nom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03CF342" w14:textId="77777777" w:rsidR="006C686E" w:rsidRDefault="00B17E8C">
            <w:pPr>
              <w:pStyle w:val="P68B1DB1-Normal54"/>
              <w:spacing w:after="0" w:line="240" w:lineRule="auto"/>
              <w:jc w:val="center"/>
              <w:rPr>
                <w:noProof/>
              </w:rPr>
            </w:pPr>
            <w:r>
              <w:rPr>
                <w:noProof/>
              </w:rPr>
              <w:t>Indicateurs qualitatifs (pour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7D4CFC58" w14:textId="77777777" w:rsidR="006C686E" w:rsidRDefault="00B17E8C">
            <w:pPr>
              <w:pStyle w:val="P68B1DB1-Normal54"/>
              <w:spacing w:after="0" w:line="240" w:lineRule="auto"/>
              <w:jc w:val="center"/>
              <w:rPr>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79C637" w14:textId="77777777" w:rsidR="006C686E" w:rsidRDefault="00B17E8C">
            <w:pPr>
              <w:pStyle w:val="P68B1DB1-Normal54"/>
              <w:spacing w:after="0" w:line="240" w:lineRule="auto"/>
              <w:jc w:val="center"/>
              <w:rPr>
                <w:noProof/>
              </w:rPr>
            </w:pPr>
            <w:r>
              <w:rPr>
                <w:noProof/>
              </w:rPr>
              <w:t>Calendrier indicatif d'achèvement</w:t>
            </w:r>
          </w:p>
        </w:tc>
        <w:tc>
          <w:tcPr>
            <w:tcW w:w="392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3B5E468" w14:textId="77777777" w:rsidR="006C686E" w:rsidRDefault="00B17E8C">
            <w:pPr>
              <w:pStyle w:val="P68B1DB1-Normal54"/>
              <w:spacing w:after="0" w:line="240" w:lineRule="auto"/>
              <w:jc w:val="center"/>
              <w:rPr>
                <w:noProof/>
              </w:rPr>
            </w:pPr>
            <w:r>
              <w:rPr>
                <w:noProof/>
              </w:rPr>
              <w:t>Description et définition claire de chaque jalon et cible</w:t>
            </w:r>
          </w:p>
        </w:tc>
      </w:tr>
      <w:tr w:rsidR="006C686E" w14:paraId="45443774" w14:textId="77777777" w:rsidTr="00E130FD">
        <w:trPr>
          <w:trHeight w:val="470"/>
          <w:tblHeader/>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050CAD86" w14:textId="77777777" w:rsidR="006C686E" w:rsidRDefault="006C686E">
            <w:pPr>
              <w:spacing w:after="0" w:line="240" w:lineRule="auto"/>
              <w:rPr>
                <w:rFonts w:ascii="Times New Roman" w:hAnsi="Times New Roman" w:cs="Times New Roman"/>
                <w:b/>
                <w:noProof/>
                <w:kern w:val="0"/>
                <w:sz w:val="18"/>
                <w:szCs w:val="18"/>
                <w14:ligatures w14:val="none"/>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14:paraId="5269AE44" w14:textId="77777777" w:rsidR="006C686E" w:rsidRDefault="006C686E">
            <w:pPr>
              <w:spacing w:after="0" w:line="240" w:lineRule="auto"/>
              <w:rPr>
                <w:rFonts w:ascii="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4F5692" w14:textId="77777777" w:rsidR="006C686E" w:rsidRDefault="006C686E">
            <w:pPr>
              <w:spacing w:after="0" w:line="240" w:lineRule="auto"/>
              <w:jc w:val="center"/>
              <w:rPr>
                <w:rFonts w:ascii="Times New Roman" w:hAnsi="Times New Roman" w:cs="Times New Roman"/>
                <w:b/>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DB90025" w14:textId="77777777" w:rsidR="006C686E" w:rsidRDefault="006C686E">
            <w:pPr>
              <w:spacing w:after="0" w:line="240" w:lineRule="auto"/>
              <w:jc w:val="center"/>
              <w:rPr>
                <w:rFonts w:ascii="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D4774DD" w14:textId="77777777" w:rsidR="006C686E" w:rsidRDefault="006C686E">
            <w:pPr>
              <w:spacing w:after="0" w:line="240" w:lineRule="auto"/>
              <w:rPr>
                <w:rFonts w:ascii="Times New Roman" w:hAnsi="Times New Roman" w:cs="Times New Roman"/>
                <w:b/>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95B3200" w14:textId="77777777" w:rsidR="006C686E" w:rsidRDefault="00B17E8C">
            <w:pPr>
              <w:pStyle w:val="P68B1DB1-Normal54"/>
              <w:spacing w:after="0" w:line="240" w:lineRule="auto"/>
              <w:jc w:val="center"/>
              <w:rPr>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A9A239B" w14:textId="77777777" w:rsidR="006C686E" w:rsidRDefault="00B17E8C">
            <w:pPr>
              <w:pStyle w:val="P68B1DB1-Normal54"/>
              <w:spacing w:after="0" w:line="240" w:lineRule="auto"/>
              <w:jc w:val="center"/>
              <w:rPr>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654E9F2" w14:textId="77777777" w:rsidR="006C686E" w:rsidRDefault="00B17E8C">
            <w:pPr>
              <w:pStyle w:val="P68B1DB1-Normal54"/>
              <w:spacing w:after="0" w:line="240" w:lineRule="auto"/>
              <w:jc w:val="center"/>
              <w:rPr>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29FAD52" w14:textId="77777777" w:rsidR="006C686E" w:rsidRDefault="00B17E8C">
            <w:pPr>
              <w:pStyle w:val="P68B1DB1-Normal54"/>
              <w:spacing w:after="0" w:line="240" w:lineRule="auto"/>
              <w:jc w:val="center"/>
              <w:rPr>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2C91CC5" w14:textId="77777777" w:rsidR="006C686E" w:rsidRDefault="00B17E8C">
            <w:pPr>
              <w:pStyle w:val="P68B1DB1-Normal54"/>
              <w:spacing w:after="0" w:line="240" w:lineRule="auto"/>
              <w:jc w:val="center"/>
              <w:rPr>
                <w:noProof/>
              </w:rPr>
            </w:pPr>
            <w:r>
              <w:rPr>
                <w:noProof/>
              </w:rPr>
              <w:t>Année</w:t>
            </w:r>
          </w:p>
        </w:tc>
        <w:tc>
          <w:tcPr>
            <w:tcW w:w="3926" w:type="dxa"/>
            <w:vMerge/>
            <w:tcBorders>
              <w:top w:val="single" w:sz="4" w:space="0" w:color="auto"/>
              <w:left w:val="single" w:sz="4" w:space="0" w:color="auto"/>
              <w:bottom w:val="single" w:sz="4" w:space="0" w:color="auto"/>
              <w:right w:val="single" w:sz="4" w:space="0" w:color="auto"/>
            </w:tcBorders>
            <w:vAlign w:val="center"/>
            <w:hideMark/>
          </w:tcPr>
          <w:p w14:paraId="2861A6AE" w14:textId="77777777" w:rsidR="006C686E" w:rsidRDefault="006C686E">
            <w:pPr>
              <w:spacing w:after="0" w:line="240" w:lineRule="auto"/>
              <w:jc w:val="both"/>
              <w:rPr>
                <w:rFonts w:ascii="Times New Roman" w:hAnsi="Times New Roman" w:cs="Times New Roman"/>
                <w:b/>
                <w:noProof/>
                <w:kern w:val="0"/>
                <w:sz w:val="16"/>
                <w:szCs w:val="16"/>
                <w14:ligatures w14:val="none"/>
              </w:rPr>
            </w:pPr>
          </w:p>
        </w:tc>
      </w:tr>
      <w:tr w:rsidR="006C686E" w14:paraId="2764062C"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510399A" w14:textId="77777777" w:rsidR="006C686E" w:rsidRDefault="00B17E8C">
            <w:pPr>
              <w:pStyle w:val="P68B1DB1-Normal55"/>
              <w:spacing w:after="0" w:line="240" w:lineRule="auto"/>
              <w:jc w:val="center"/>
              <w:rPr>
                <w:noProof/>
              </w:rPr>
            </w:pPr>
            <w:r>
              <w:rPr>
                <w:noProof/>
              </w:rPr>
              <w:t>21.1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EA854" w14:textId="77777777" w:rsidR="006C686E" w:rsidRDefault="00B17E8C">
            <w:pPr>
              <w:pStyle w:val="P68B1DB1-Normal30"/>
              <w:spacing w:after="0" w:line="240" w:lineRule="auto"/>
              <w:jc w:val="center"/>
              <w:rPr>
                <w:noProof/>
              </w:rPr>
            </w:pPr>
            <w:r>
              <w:rPr>
                <w:noProof/>
              </w:rPr>
              <w:t>RP-C21-i01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0C811F"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C25D9A" w14:textId="77777777" w:rsidR="006C686E" w:rsidRDefault="00B17E8C">
            <w:pPr>
              <w:pStyle w:val="P68B1DB1-Normal30"/>
              <w:spacing w:after="0" w:line="240" w:lineRule="auto"/>
              <w:jc w:val="center"/>
              <w:rPr>
                <w:noProof/>
              </w:rPr>
            </w:pPr>
            <w:r>
              <w:rPr>
                <w:noProof/>
              </w:rPr>
              <w:t>Soutien financier aux projets de décarbonation industrielle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8DA087"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54551A" w14:textId="77777777" w:rsidR="006C686E" w:rsidRDefault="00B17E8C">
            <w:pPr>
              <w:pStyle w:val="P68B1DB1-Normal30"/>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51B32B" w14:textId="77777777" w:rsidR="006C686E" w:rsidRDefault="00B17E8C">
            <w:pPr>
              <w:pStyle w:val="P68B1DB1-Normal30"/>
              <w:spacing w:after="0" w:line="240" w:lineRule="auto"/>
              <w:jc w:val="center"/>
              <w:rPr>
                <w:noProof/>
              </w:rPr>
            </w:pPr>
            <w:r>
              <w:rPr>
                <w:noProof/>
              </w:rPr>
              <w:t>310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53419B" w14:textId="77777777" w:rsidR="006C686E" w:rsidRDefault="00B17E8C">
            <w:pPr>
              <w:pStyle w:val="P68B1DB1-Normal30"/>
              <w:spacing w:after="0" w:line="240" w:lineRule="auto"/>
              <w:jc w:val="center"/>
              <w:rPr>
                <w:noProof/>
              </w:rPr>
            </w:pPr>
            <w:r>
              <w:rPr>
                <w:noProof/>
              </w:rPr>
              <w:t>810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0887A3"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48581F" w14:textId="77777777"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5698A49" w14:textId="77777777" w:rsidR="006C686E" w:rsidRDefault="00B17E8C">
            <w:pPr>
              <w:pStyle w:val="P68B1DB1-Normal30"/>
              <w:spacing w:after="0" w:line="240" w:lineRule="auto"/>
              <w:jc w:val="both"/>
              <w:rPr>
                <w:rFonts w:eastAsia="Calibri"/>
                <w:noProof/>
              </w:rPr>
            </w:pPr>
            <w:r>
              <w:rPr>
                <w:noProof/>
              </w:rPr>
              <w:t xml:space="preserve">Nombre de projets ayant bénéficié d'un soutien financier. </w:t>
            </w:r>
          </w:p>
          <w:p w14:paraId="0CEAD117" w14:textId="12657B6F" w:rsidR="006C686E" w:rsidRDefault="00B17E8C">
            <w:pPr>
              <w:pStyle w:val="P68B1DB1-Normal26"/>
              <w:spacing w:after="0" w:line="240" w:lineRule="auto"/>
              <w:jc w:val="both"/>
              <w:rPr>
                <w:noProof/>
                <w:kern w:val="0"/>
                <w14:ligatures w14:val="none"/>
              </w:rPr>
            </w:pPr>
            <w:r>
              <w:rPr>
                <w:noProof/>
              </w:rPr>
              <w:t>Au moins une offre comporte des modalités spécifiques pour les projets simplifiés d’un montant inférieur à 200 000 EUR.</w:t>
            </w:r>
          </w:p>
        </w:tc>
      </w:tr>
      <w:tr w:rsidR="006C686E" w14:paraId="1FDA0982"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34D7CE8" w14:textId="02F6DBAB" w:rsidR="006C686E" w:rsidRDefault="00B17E8C">
            <w:pPr>
              <w:pStyle w:val="P68B1DB1-Normal55"/>
              <w:spacing w:after="0" w:line="240" w:lineRule="auto"/>
              <w:jc w:val="center"/>
              <w:rPr>
                <w:noProof/>
              </w:rPr>
            </w:pPr>
            <w:r>
              <w:rPr>
                <w:noProof/>
              </w:rPr>
              <w:t>21.2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BDAF98" w14:textId="77777777" w:rsidR="006C686E" w:rsidRDefault="00B17E8C">
            <w:pPr>
              <w:pStyle w:val="P68B1DB1-Normal30"/>
              <w:spacing w:after="0" w:line="240" w:lineRule="auto"/>
              <w:jc w:val="center"/>
              <w:rPr>
                <w:noProof/>
              </w:rPr>
            </w:pPr>
            <w:r>
              <w:rPr>
                <w:noProof/>
              </w:rPr>
              <w:t>RP-C21-i02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060F7F"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8D343B" w14:textId="3DBC6F80" w:rsidR="006C686E" w:rsidRDefault="00B17E8C">
            <w:pPr>
              <w:pStyle w:val="P68B1DB1-Normal30"/>
              <w:spacing w:after="0" w:line="240" w:lineRule="auto"/>
              <w:jc w:val="center"/>
              <w:rPr>
                <w:noProof/>
              </w:rPr>
            </w:pPr>
            <w:r>
              <w:rPr>
                <w:noProof/>
              </w:rPr>
              <w:t>Équipements d'efficacité énergétique pour bâtiments résidentiels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9A501" w14:textId="77777777" w:rsidR="006C686E" w:rsidRDefault="00B17E8C">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C14F2" w14:textId="61D7FD35" w:rsidR="006C686E" w:rsidRDefault="00B17E8C">
            <w:pPr>
              <w:pStyle w:val="P68B1DB1-Normal13"/>
              <w:spacing w:after="0" w:line="240" w:lineRule="auto"/>
              <w:jc w:val="center"/>
              <w:rPr>
                <w:noProof/>
                <w:kern w:val="0"/>
                <w14:ligatures w14:val="none"/>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1C4BDF" w14:textId="77777777" w:rsidR="006C686E" w:rsidRDefault="00B17E8C">
            <w:pPr>
              <w:pStyle w:val="P68B1DB1-Normal30"/>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97A08C" w14:textId="77777777" w:rsidR="006C686E" w:rsidRDefault="00B17E8C">
            <w:pPr>
              <w:pStyle w:val="P68B1DB1-Normal27"/>
              <w:spacing w:after="0" w:line="240" w:lineRule="auto"/>
              <w:jc w:val="center"/>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40</w:t>
            </w:r>
            <w:r>
              <w:rPr>
                <w:rFonts w:ascii="Times New Roman" w:hAnsi="Times New Roman" w:cs="Times New Roman"/>
                <w:noProof/>
              </w:rPr>
              <w:t xml:space="preserve"> </w:t>
            </w:r>
            <w:r>
              <w:rPr>
                <w:rFonts w:ascii="Times New Roman" w:hAnsi="Times New Roman" w:cs="Times New Roman"/>
                <w:noProof/>
                <w:kern w:val="0"/>
                <w14:ligatures w14:val="none"/>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F7027D" w14:textId="77777777" w:rsidR="006C686E" w:rsidRDefault="00B17E8C">
            <w:pPr>
              <w:pStyle w:val="P68B1DB1-Normal30"/>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2730E8" w14:textId="77777777"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18BF04C" w14:textId="77777777" w:rsidR="006C686E" w:rsidRDefault="00B17E8C">
            <w:pPr>
              <w:pStyle w:val="P68B1DB1-Normal27"/>
              <w:widowControl w:val="0"/>
              <w:spacing w:after="0" w:line="240" w:lineRule="auto"/>
              <w:jc w:val="both"/>
              <w:rPr>
                <w:rFonts w:ascii="Times New Roman" w:hAnsi="Times New Roman" w:cs="Times New Roman"/>
                <w:noProof/>
                <w:kern w:val="0"/>
                <w14:ligatures w14:val="none"/>
              </w:rPr>
            </w:pPr>
            <w:r>
              <w:rPr>
                <w:rFonts w:ascii="Times New Roman" w:hAnsi="Times New Roman" w:cs="Times New Roman"/>
                <w:noProof/>
              </w:rPr>
              <w:t xml:space="preserve">Nombre de logements équipés d’équipements d’efficacité énergétique achetés réalisant </w:t>
            </w:r>
            <w:r>
              <w:rPr>
                <w:rFonts w:ascii="Times New Roman" w:hAnsi="Times New Roman" w:cs="Times New Roman"/>
                <w:noProof/>
                <w:kern w:val="0"/>
                <w14:ligatures w14:val="none"/>
              </w:rPr>
              <w:t>en moyenne au moins 40 % des économies d’énergie primaire estimées.</w:t>
            </w:r>
            <w:r>
              <w:rPr>
                <w:rFonts w:ascii="Times New Roman" w:eastAsia="Calibri" w:hAnsi="Times New Roman" w:cs="Times New Roman"/>
                <w:noProof/>
                <w:color w:val="000000" w:themeColor="text1"/>
              </w:rPr>
              <w:t xml:space="preserve"> La mesure d’expansion couvre l’appel «Programa de Apoio a Edifícios mais Sustentáveis 2023 – PAE+S 2023».</w:t>
            </w:r>
          </w:p>
          <w:p w14:paraId="508E8068" w14:textId="77777777" w:rsidR="006C686E" w:rsidRDefault="006C686E">
            <w:pPr>
              <w:spacing w:after="0" w:line="240" w:lineRule="auto"/>
              <w:jc w:val="both"/>
              <w:rPr>
                <w:rFonts w:ascii="Times New Roman" w:hAnsi="Times New Roman" w:cs="Times New Roman"/>
                <w:noProof/>
                <w:kern w:val="0"/>
                <w:sz w:val="16"/>
                <w:szCs w:val="16"/>
                <w14:ligatures w14:val="none"/>
              </w:rPr>
            </w:pPr>
          </w:p>
          <w:p w14:paraId="05E0E5BC" w14:textId="010E5473" w:rsidR="006C686E" w:rsidRDefault="00B17E8C">
            <w:pPr>
              <w:pStyle w:val="P68B1DB1-Normal27"/>
              <w:widowControl w:val="0"/>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 xml:space="preserve">30 MW/MWp de capacité de production d'énergie renouvelable </w:t>
            </w:r>
            <w:r>
              <w:rPr>
                <w:rFonts w:ascii="Times New Roman" w:eastAsia="Calibri" w:hAnsi="Times New Roman" w:cs="Times New Roman"/>
                <w:noProof/>
              </w:rPr>
              <w:t>installée.</w:t>
            </w:r>
          </w:p>
        </w:tc>
      </w:tr>
      <w:tr w:rsidR="006C686E" w14:paraId="052BDA4B" w14:textId="77777777" w:rsidTr="00E130FD">
        <w:trPr>
          <w:trHeight w:val="1108"/>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CDA1A1B" w14:textId="46DE35EC" w:rsidR="006C686E" w:rsidRDefault="00B17E8C">
            <w:pPr>
              <w:pStyle w:val="P68B1DB1-Normal55"/>
              <w:spacing w:after="0" w:line="240" w:lineRule="auto"/>
              <w:jc w:val="center"/>
              <w:rPr>
                <w:noProof/>
              </w:rPr>
            </w:pPr>
            <w:r>
              <w:rPr>
                <w:noProof/>
              </w:rPr>
              <w:t>21.6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85D32" w14:textId="77777777" w:rsidR="006C686E" w:rsidRDefault="00B17E8C">
            <w:pPr>
              <w:pStyle w:val="P68B1DB1-Normal30"/>
              <w:spacing w:after="0" w:line="240" w:lineRule="auto"/>
              <w:jc w:val="center"/>
              <w:rPr>
                <w:noProof/>
              </w:rPr>
            </w:pPr>
            <w:r>
              <w:rPr>
                <w:noProof/>
              </w:rPr>
              <w:t>RP-21-i04-RAM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8C037B"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6E67FD" w14:textId="0CBB8018" w:rsidR="006C686E" w:rsidRDefault="00B17E8C">
            <w:pPr>
              <w:pStyle w:val="P68B1DB1-Normal26"/>
              <w:spacing w:after="0" w:line="240" w:lineRule="auto"/>
              <w:jc w:val="center"/>
              <w:rPr>
                <w:noProof/>
                <w:kern w:val="0"/>
                <w14:ligatures w14:val="none"/>
              </w:rPr>
            </w:pPr>
            <w:r>
              <w:rPr>
                <w:noProof/>
                <w:kern w:val="0"/>
                <w14:ligatures w14:val="none"/>
              </w:rPr>
              <w:t xml:space="preserve">Rénovation de l'efficacité énergétique dans les bâtiments de l'administration publique </w:t>
            </w:r>
            <w:r>
              <w:rPr>
                <w:noProof/>
              </w:rPr>
              <w:t>ou régionale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983ABC" w14:textId="77777777" w:rsidR="006C686E" w:rsidRDefault="00B17E8C">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1238CE" w14:textId="77777777" w:rsidR="006C686E" w:rsidRDefault="00B17E8C">
            <w:pPr>
              <w:pStyle w:val="P68B1DB1-Normal30"/>
              <w:spacing w:after="0" w:line="240" w:lineRule="auto"/>
              <w:jc w:val="center"/>
              <w:rPr>
                <w:noProof/>
              </w:rPr>
            </w:pPr>
            <w:r>
              <w:rPr>
                <w:noProof/>
              </w:rPr>
              <w:t>m</w:t>
            </w:r>
            <w:r>
              <w:rPr>
                <w:noProof/>
                <w:vertAlign w:val="superscript"/>
              </w:rPr>
              <w:t xml:space="preserve"> 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1A1000" w14:textId="77777777" w:rsidR="006C686E" w:rsidRDefault="00B17E8C">
            <w:pPr>
              <w:pStyle w:val="P68B1DB1-Normal30"/>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E4AFAF" w14:textId="77777777" w:rsidR="006C686E" w:rsidRDefault="00B17E8C">
            <w:pPr>
              <w:pStyle w:val="P68B1DB1-Normal26"/>
              <w:spacing w:after="0" w:line="240" w:lineRule="auto"/>
              <w:jc w:val="center"/>
              <w:rPr>
                <w:noProof/>
                <w:kern w:val="0"/>
                <w14:ligatures w14:val="none"/>
              </w:rPr>
            </w:pPr>
            <w:r>
              <w:rPr>
                <w:noProof/>
              </w:rPr>
              <w:t>99 000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34A4B0"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9EE527"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58C9F49D" w14:textId="2219E58B" w:rsidR="006C686E" w:rsidRDefault="00B17E8C">
            <w:pPr>
              <w:pStyle w:val="P68B1DB1-Normal30"/>
              <w:keepNext/>
              <w:spacing w:before="40" w:after="0" w:line="240" w:lineRule="auto"/>
              <w:jc w:val="both"/>
              <w:rPr>
                <w:noProof/>
              </w:rPr>
            </w:pPr>
            <w:r>
              <w:rPr>
                <w:noProof/>
              </w:rPr>
              <w:t>Zone rénovée.</w:t>
            </w:r>
          </w:p>
          <w:p w14:paraId="56BA1701" w14:textId="77777777" w:rsidR="006C686E" w:rsidRDefault="00B17E8C">
            <w:pPr>
              <w:pStyle w:val="P68B1DB1-Normal26"/>
              <w:widowControl w:val="0"/>
              <w:spacing w:after="0" w:line="240" w:lineRule="auto"/>
              <w:jc w:val="both"/>
              <w:rPr>
                <w:noProof/>
                <w:kern w:val="0"/>
                <w14:ligatures w14:val="none"/>
              </w:rPr>
            </w:pPr>
            <w:r>
              <w:rPr>
                <w:noProof/>
              </w:rPr>
              <w:t>Les rénovations en matière d’efficacité énergétique permettent d’atteindre, en moyenne, au moins 30 % de la réduction estimée de l’énergie primaire.</w:t>
            </w:r>
          </w:p>
          <w:p w14:paraId="3C1177C0" w14:textId="0564FD62" w:rsidR="006C686E" w:rsidRDefault="00B17E8C">
            <w:pPr>
              <w:pStyle w:val="P68B1DB1-Normal30"/>
              <w:widowControl w:val="0"/>
              <w:spacing w:after="0" w:line="240" w:lineRule="auto"/>
              <w:jc w:val="both"/>
              <w:rPr>
                <w:noProof/>
              </w:rPr>
            </w:pPr>
            <w:r>
              <w:rPr>
                <w:noProof/>
              </w:rPr>
              <w:t>540 kW/kWp de capacité de production d'énergie renouvelable installée.</w:t>
            </w:r>
          </w:p>
        </w:tc>
      </w:tr>
      <w:tr w:rsidR="006C686E" w14:paraId="27646867"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E62250B" w14:textId="77777777" w:rsidR="006C686E" w:rsidRDefault="00B17E8C">
            <w:pPr>
              <w:pStyle w:val="P68B1DB1-Normal55"/>
              <w:spacing w:after="0" w:line="240" w:lineRule="auto"/>
              <w:jc w:val="center"/>
              <w:rPr>
                <w:noProof/>
              </w:rPr>
            </w:pPr>
            <w:r>
              <w:rPr>
                <w:noProof/>
              </w:rPr>
              <w:t>21.7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3400DF" w14:textId="77777777" w:rsidR="006C686E" w:rsidRDefault="00B17E8C">
            <w:pPr>
              <w:pStyle w:val="P68B1DB1-Normal30"/>
              <w:widowControl w:val="0"/>
              <w:spacing w:after="260" w:line="276" w:lineRule="auto"/>
              <w:jc w:val="center"/>
              <w:rPr>
                <w:noProof/>
              </w:rPr>
            </w:pPr>
            <w:r>
              <w:rPr>
                <w:noProof/>
              </w:rPr>
              <w:t>RP-C21-r43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1237D0"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F4075F" w14:textId="77777777" w:rsidR="006C686E" w:rsidRDefault="00B17E8C">
            <w:pPr>
              <w:pStyle w:val="P68B1DB1-Normal30"/>
              <w:spacing w:after="0" w:line="240" w:lineRule="auto"/>
              <w:jc w:val="center"/>
              <w:rPr>
                <w:noProof/>
              </w:rPr>
            </w:pPr>
            <w:r>
              <w:rPr>
                <w:noProof/>
              </w:rPr>
              <w:t>Entrée en vigueur de la législation portant création de l'Observatoire national de la précarité énergétique (ONPE)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CB9511" w14:textId="77777777" w:rsidR="006C686E" w:rsidRDefault="00B17E8C">
            <w:pPr>
              <w:pStyle w:val="P68B1DB1-Normal30"/>
              <w:spacing w:after="0" w:line="240" w:lineRule="auto"/>
              <w:jc w:val="center"/>
              <w:rPr>
                <w:noProof/>
              </w:rPr>
            </w:pPr>
            <w:r>
              <w:rPr>
                <w:noProof/>
              </w:rPr>
              <w:t xml:space="preserve">Disposition de l'acte législatif indiquant l'entrée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226094"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DFD879" w14:textId="77777777" w:rsidR="006C686E" w:rsidRDefault="00B17E8C">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80511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B446A9" w14:textId="77777777" w:rsidR="006C686E" w:rsidRDefault="00B17E8C">
            <w:pPr>
              <w:pStyle w:val="P68B1DB1-Normal30"/>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0790AC" w14:textId="77777777" w:rsidR="006C686E" w:rsidRDefault="00B17E8C">
            <w:pPr>
              <w:pStyle w:val="P68B1DB1-Normal30"/>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E45D0B5" w14:textId="77777777" w:rsidR="006C686E" w:rsidRDefault="00B17E8C">
            <w:pPr>
              <w:pStyle w:val="P68B1DB1-Normal27"/>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Entrée en vigueur de la législation établissant l’Observatoire national de la précarité énergétique (ONPE), y compris la définition de la gouvernance, des responsabilités (par exemple,</w:t>
            </w:r>
            <w:r>
              <w:rPr>
                <w:rFonts w:ascii="Times New Roman" w:hAnsi="Times New Roman" w:cs="Times New Roman"/>
                <w:noProof/>
              </w:rPr>
              <w:t xml:space="preserve"> la supervision et la coordination de la mise en œuvre de la stratégie à long terme en matière de précarité énergétique (ELPPE), la coordination de la précarité énergétique – aspects politiques connexes du PNEC et des plans sociaux pour le climat, l’identification et le suivi des ménages en situation de précarité énergétique, et la proposition d’instruments financiers pour soutenir les mesures d’efficacité énergétique en faveur des ménages vulnérables)</w:t>
            </w:r>
            <w:r>
              <w:rPr>
                <w:rFonts w:ascii="Times New Roman" w:eastAsia="Calibri" w:hAnsi="Times New Roman" w:cs="Times New Roman"/>
                <w:noProof/>
                <w:kern w:val="0"/>
                <w14:ligatures w14:val="none"/>
              </w:rPr>
              <w:t xml:space="preserve"> et des finalités.</w:t>
            </w:r>
          </w:p>
        </w:tc>
      </w:tr>
      <w:tr w:rsidR="006C686E" w14:paraId="0C0E135F"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205F72E" w14:textId="77777777" w:rsidR="006C686E" w:rsidRDefault="00B17E8C">
            <w:pPr>
              <w:pStyle w:val="P68B1DB1-Normal55"/>
              <w:spacing w:after="0" w:line="240" w:lineRule="auto"/>
              <w:jc w:val="center"/>
              <w:rPr>
                <w:noProof/>
              </w:rPr>
            </w:pPr>
            <w:r>
              <w:rPr>
                <w:noProof/>
              </w:rPr>
              <w:t>21.8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E88FA7" w14:textId="77777777" w:rsidR="006C686E" w:rsidRDefault="00B17E8C">
            <w:pPr>
              <w:pStyle w:val="P68B1DB1-Normal30"/>
              <w:spacing w:after="0" w:line="240" w:lineRule="auto"/>
              <w:jc w:val="center"/>
              <w:rPr>
                <w:noProof/>
              </w:rPr>
            </w:pPr>
            <w:r>
              <w:rPr>
                <w:noProof/>
              </w:rPr>
              <w:t>RP-C21-r43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DBE1BD"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701B55" w14:textId="77777777" w:rsidR="006C686E" w:rsidRDefault="00B17E8C">
            <w:pPr>
              <w:pStyle w:val="P68B1DB1-Normal30"/>
              <w:spacing w:after="0" w:line="240" w:lineRule="auto"/>
              <w:jc w:val="center"/>
              <w:rPr>
                <w:noProof/>
              </w:rPr>
            </w:pPr>
            <w:r>
              <w:rPr>
                <w:noProof/>
              </w:rPr>
              <w:t>Instrument de financement pour lutter contre la précarité énergétique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D52F2B" w14:textId="77777777" w:rsidR="006C686E" w:rsidRDefault="00B17E8C">
            <w:pPr>
              <w:pStyle w:val="P68B1DB1-Normal13"/>
              <w:spacing w:after="0" w:line="240" w:lineRule="auto"/>
              <w:jc w:val="center"/>
              <w:rPr>
                <w:noProof/>
                <w:kern w:val="0"/>
                <w14:ligatures w14:val="none"/>
              </w:rPr>
            </w:pPr>
            <w:r>
              <w:rPr>
                <w:noProof/>
              </w:rPr>
              <w:t>Entrée en vigueur d’un ou de plusieurs actes juridiques ou d’une décision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7F73A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852217"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79A453"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A1C111" w14:textId="77777777" w:rsidR="006C686E" w:rsidRDefault="00B17E8C">
            <w:pPr>
              <w:pStyle w:val="P68B1DB1-Normal30"/>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789CDD" w14:textId="77777777"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426B581" w14:textId="77777777" w:rsidR="006C686E" w:rsidRDefault="00B17E8C">
            <w:pPr>
              <w:pStyle w:val="P68B1DB1-Normal13"/>
              <w:spacing w:after="0" w:line="240" w:lineRule="auto"/>
              <w:jc w:val="both"/>
              <w:rPr>
                <w:noProof/>
                <w:kern w:val="0"/>
                <w14:ligatures w14:val="none"/>
              </w:rPr>
            </w:pPr>
            <w:r>
              <w:rPr>
                <w:noProof/>
              </w:rPr>
              <w:t>Entrée</w:t>
            </w:r>
            <w:r>
              <w:rPr>
                <w:noProof/>
                <w:kern w:val="0"/>
                <w14:ligatures w14:val="none"/>
              </w:rPr>
              <w:t xml:space="preserve"> en vigueur de l'acte </w:t>
            </w:r>
            <w:r>
              <w:rPr>
                <w:noProof/>
              </w:rPr>
              <w:t>juridique instituant un instrument de financement des mesures d'efficacité énergétique dans le secteur résidentiel pour lutter contre la précarité énergétique.</w:t>
            </w:r>
          </w:p>
        </w:tc>
      </w:tr>
      <w:tr w:rsidR="006C686E" w14:paraId="2E7B6B54"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309E095" w14:textId="77777777" w:rsidR="006C686E" w:rsidRDefault="00B17E8C">
            <w:pPr>
              <w:pStyle w:val="P68B1DB1-Normal55"/>
              <w:spacing w:after="0" w:line="240" w:lineRule="auto"/>
              <w:jc w:val="center"/>
              <w:rPr>
                <w:noProof/>
              </w:rPr>
            </w:pPr>
            <w:r>
              <w:rPr>
                <w:noProof/>
              </w:rPr>
              <w:t>21.9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F96906" w14:textId="77777777" w:rsidR="006C686E" w:rsidRDefault="00B17E8C">
            <w:pPr>
              <w:pStyle w:val="P68B1DB1-Normal30"/>
              <w:spacing w:after="0" w:line="240" w:lineRule="auto"/>
              <w:jc w:val="center"/>
              <w:rPr>
                <w:noProof/>
              </w:rPr>
            </w:pPr>
            <w:r>
              <w:rPr>
                <w:noProof/>
              </w:rPr>
              <w:t>RP-C21-r44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3F1487"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033093" w14:textId="77777777" w:rsidR="006C686E" w:rsidRDefault="00B17E8C">
            <w:pPr>
              <w:pStyle w:val="P68B1DB1-Normal30"/>
              <w:spacing w:after="0" w:line="240" w:lineRule="auto"/>
              <w:jc w:val="center"/>
              <w:rPr>
                <w:noProof/>
              </w:rPr>
            </w:pPr>
            <w:r>
              <w:rPr>
                <w:noProof/>
              </w:rPr>
              <w:t>Signature du protocole de coopération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6B2D5B" w14:textId="77777777" w:rsidR="006C686E" w:rsidRDefault="00B17E8C">
            <w:pPr>
              <w:pStyle w:val="P68B1DB1-Normal30"/>
              <w:spacing w:after="0" w:line="240" w:lineRule="auto"/>
              <w:jc w:val="center"/>
              <w:rPr>
                <w:noProof/>
              </w:rPr>
            </w:pPr>
            <w:r>
              <w:rPr>
                <w:noProof/>
              </w:rPr>
              <w:t>Signature du protocole de coopération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B7A725"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93FAED" w14:textId="77777777" w:rsidR="006C686E" w:rsidRDefault="00B17E8C">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0E30B1"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6E9A92" w14:textId="77777777" w:rsidR="006C686E" w:rsidRDefault="00B17E8C">
            <w:pPr>
              <w:pStyle w:val="P68B1DB1-Normal30"/>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A2C8339" w14:textId="77777777" w:rsidR="006C686E" w:rsidRDefault="00B17E8C">
            <w:pPr>
              <w:pStyle w:val="P68B1DB1-Normal30"/>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8B2CD50" w14:textId="77777777" w:rsidR="006C686E" w:rsidRDefault="00B17E8C">
            <w:pPr>
              <w:pStyle w:val="P68B1DB1-Normal30"/>
              <w:spacing w:after="0" w:line="240" w:lineRule="auto"/>
              <w:jc w:val="both"/>
              <w:rPr>
                <w:noProof/>
              </w:rPr>
            </w:pPr>
            <w:r>
              <w:rPr>
                <w:noProof/>
              </w:rPr>
              <w:t xml:space="preserve">Signature d’un protocole de coopération entre l’Agência para a Energia (ADENE), l’Associação Nacional de Freguesias (ANAFRE) et la Rede Nacional de Agências de Energia (RNAE), l’Associação Nacional de Municípios (ANMP) et la Confederação Nacional de Instituições de Solidariedade (CNIS) pour la création de l’Espaços </w:t>
            </w:r>
            <w:r>
              <w:rPr>
                <w:i/>
                <w:noProof/>
              </w:rPr>
              <w:t>Cidadão Energia,</w:t>
            </w:r>
            <w:r>
              <w:rPr>
                <w:noProof/>
              </w:rPr>
              <w:t xml:space="preserve"> précisant leurs tâches, leur gouvernance et leur structure de financement. </w:t>
            </w:r>
          </w:p>
        </w:tc>
      </w:tr>
      <w:tr w:rsidR="006C686E" w14:paraId="351002D2"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FD13342" w14:textId="77777777" w:rsidR="006C686E" w:rsidRDefault="00B17E8C">
            <w:pPr>
              <w:pStyle w:val="P68B1DB1-Normal55"/>
              <w:spacing w:after="0" w:line="240" w:lineRule="auto"/>
              <w:jc w:val="center"/>
              <w:rPr>
                <w:noProof/>
              </w:rPr>
            </w:pPr>
            <w:r>
              <w:rPr>
                <w:noProof/>
              </w:rPr>
              <w:t>21.10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A8383B" w14:textId="77777777" w:rsidR="006C686E" w:rsidRDefault="00B17E8C">
            <w:pPr>
              <w:pStyle w:val="P68B1DB1-Normal30"/>
              <w:spacing w:after="0" w:line="240" w:lineRule="auto"/>
              <w:jc w:val="center"/>
              <w:rPr>
                <w:noProof/>
              </w:rPr>
            </w:pPr>
            <w:r>
              <w:rPr>
                <w:noProof/>
              </w:rPr>
              <w:t>RP-C21-r44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81ED52"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7A6457" w14:textId="77777777" w:rsidR="006C686E" w:rsidRDefault="00B17E8C">
            <w:pPr>
              <w:pStyle w:val="P68B1DB1-Normal30"/>
              <w:spacing w:after="0" w:line="240" w:lineRule="auto"/>
              <w:jc w:val="center"/>
              <w:rPr>
                <w:noProof/>
              </w:rPr>
            </w:pPr>
            <w:r>
              <w:rPr>
                <w:noProof/>
              </w:rPr>
              <w:t>Actions de renforcement des capacités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6839B1" w14:textId="77777777" w:rsidR="006C686E" w:rsidRDefault="00B17E8C">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7A1E34" w14:textId="77777777" w:rsidR="006C686E" w:rsidRDefault="00B17E8C">
            <w:pPr>
              <w:pStyle w:val="P68B1DB1-Normal30"/>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E5A819" w14:textId="77777777" w:rsidR="006C686E" w:rsidRDefault="00B17E8C">
            <w:pPr>
              <w:pStyle w:val="P68B1DB1-Normal30"/>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6EC6FC" w14:textId="77777777" w:rsidR="006C686E" w:rsidRDefault="00B17E8C">
            <w:pPr>
              <w:pStyle w:val="P68B1DB1-Normal30"/>
              <w:spacing w:after="0" w:line="240" w:lineRule="auto"/>
              <w:jc w:val="center"/>
              <w:rPr>
                <w:noProof/>
              </w:rPr>
            </w:pPr>
            <w:r>
              <w:rPr>
                <w:noProof/>
              </w:rPr>
              <w:t xml:space="preserve">300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DD48DB6" w14:textId="77777777" w:rsidR="006C686E" w:rsidRDefault="00B17E8C">
            <w:pPr>
              <w:pStyle w:val="P68B1DB1-Normal30"/>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4D42A1"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501E738" w14:textId="77777777" w:rsidR="006C686E" w:rsidRDefault="00B17E8C">
            <w:pPr>
              <w:pStyle w:val="P68B1DB1-Normal30"/>
              <w:spacing w:after="0" w:line="240" w:lineRule="auto"/>
              <w:jc w:val="both"/>
              <w:rPr>
                <w:noProof/>
              </w:rPr>
            </w:pPr>
            <w:r>
              <w:rPr>
                <w:noProof/>
              </w:rPr>
              <w:t xml:space="preserve">300 certificats de participation délivrés pour le cours de formation technique pour les espaces énergétiques citoyens -- </w:t>
            </w:r>
            <w:r>
              <w:rPr>
                <w:i/>
                <w:noProof/>
              </w:rPr>
              <w:t>Espaço Energia</w:t>
            </w:r>
            <w:r>
              <w:rPr>
                <w:noProof/>
              </w:rPr>
              <w:t>.</w:t>
            </w:r>
          </w:p>
        </w:tc>
      </w:tr>
      <w:tr w:rsidR="006C686E" w14:paraId="422F5A72"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24903F6" w14:textId="77777777" w:rsidR="006C686E" w:rsidRDefault="00B17E8C">
            <w:pPr>
              <w:pStyle w:val="P68B1DB1-Normal55"/>
              <w:spacing w:after="0" w:line="240" w:lineRule="auto"/>
              <w:jc w:val="center"/>
              <w:rPr>
                <w:noProof/>
              </w:rPr>
            </w:pPr>
            <w:r>
              <w:rPr>
                <w:noProof/>
              </w:rPr>
              <w:t>21.11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9CDC3" w14:textId="77777777" w:rsidR="006C686E" w:rsidRDefault="00B17E8C">
            <w:pPr>
              <w:pStyle w:val="P68B1DB1-Normal30"/>
              <w:spacing w:after="0" w:line="240" w:lineRule="auto"/>
              <w:jc w:val="center"/>
              <w:rPr>
                <w:noProof/>
              </w:rPr>
            </w:pPr>
            <w:r>
              <w:rPr>
                <w:noProof/>
              </w:rPr>
              <w:t>RP-C21-r44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C759B5" w14:textId="77777777" w:rsidR="006C686E" w:rsidRDefault="00B17E8C">
            <w:pPr>
              <w:pStyle w:val="P68B1DB1-Normal11"/>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C91A24" w14:textId="77777777" w:rsidR="006C686E" w:rsidRDefault="00B17E8C">
            <w:pPr>
              <w:pStyle w:val="P68B1DB1-Normal30"/>
              <w:spacing w:after="0" w:line="240" w:lineRule="auto"/>
              <w:jc w:val="center"/>
              <w:rPr>
                <w:noProof/>
              </w:rPr>
            </w:pPr>
            <w:r>
              <w:rPr>
                <w:noProof/>
              </w:rPr>
              <w:t>Espaços Cidadão Energia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CC96A" w14:textId="77777777" w:rsidR="006C686E" w:rsidRDefault="00B17E8C">
            <w:pPr>
              <w:pStyle w:val="P68B1DB1-Normal27"/>
              <w:spacing w:after="0" w:line="240" w:lineRule="auto"/>
              <w:jc w:val="center"/>
              <w:rPr>
                <w:rFonts w:ascii="Times New Roman" w:hAnsi="Times New Roman" w:cs="Times New Roman"/>
                <w:noProof/>
                <w:kern w:val="0"/>
                <w14:ligatures w14:val="none"/>
              </w:rPr>
            </w:pPr>
            <w:r>
              <w:rPr>
                <w:rFonts w:ascii="Times New Roman" w:eastAsia="Times New Roman" w:hAnsi="Times New Roman" w:cs="Times New Roman"/>
                <w:noProof/>
              </w:rPr>
              <w:t xml:space="preserve">Site web présentant les </w:t>
            </w:r>
            <w:r>
              <w:rPr>
                <w:rFonts w:ascii="Times New Roman" w:eastAsia="Calibri" w:hAnsi="Times New Roman" w:cs="Times New Roman"/>
                <w:i/>
                <w:noProof/>
                <w:color w:val="000000" w:themeColor="text1"/>
              </w:rPr>
              <w:t>Espaços Cidadão Energia</w:t>
            </w:r>
            <w:r>
              <w:rPr>
                <w:rFonts w:ascii="Times New Roman" w:eastAsia="Times New Roman" w:hAnsi="Times New Roman" w:cs="Times New Roman"/>
                <w:noProof/>
              </w:rPr>
              <w:t xml:space="preserve"> disponibles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C7EEC1"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1F36B5"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8829A5E"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68CF1C" w14:textId="77777777" w:rsidR="006C686E" w:rsidRDefault="00B17E8C">
            <w:pPr>
              <w:pStyle w:val="P68B1DB1-Normal30"/>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DE192D" w14:textId="77777777"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3788913" w14:textId="2287F605" w:rsidR="006C686E" w:rsidRDefault="00B17E8C">
            <w:pPr>
              <w:pStyle w:val="P68B1DB1-Normal27"/>
              <w:widowControl w:val="0"/>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Site web disponible avec au moins </w:t>
            </w:r>
            <w:r>
              <w:rPr>
                <w:rFonts w:ascii="Times New Roman" w:hAnsi="Times New Roman" w:cs="Times New Roman"/>
                <w:noProof/>
                <w:kern w:val="0"/>
                <w14:ligatures w14:val="none"/>
              </w:rPr>
              <w:t xml:space="preserve">50 </w:t>
            </w:r>
            <w:r>
              <w:rPr>
                <w:rFonts w:ascii="Times New Roman" w:hAnsi="Times New Roman" w:cs="Times New Roman"/>
                <w:i/>
                <w:noProof/>
                <w:kern w:val="0"/>
                <w14:ligatures w14:val="none"/>
              </w:rPr>
              <w:t>Espaços Cidadão Energia</w:t>
            </w:r>
            <w:r>
              <w:rPr>
                <w:rFonts w:ascii="Times New Roman" w:hAnsi="Times New Roman" w:cs="Times New Roman"/>
                <w:noProof/>
                <w:kern w:val="0"/>
                <w14:ligatures w14:val="none"/>
              </w:rPr>
              <w:t xml:space="preserve"> physiques </w:t>
            </w:r>
            <w:r>
              <w:rPr>
                <w:rFonts w:ascii="Times New Roman" w:hAnsi="Times New Roman" w:cs="Times New Roman"/>
                <w:noProof/>
              </w:rPr>
              <w:t>offrant une gamme de services pour les citoyens (par exemple, un soutien technique aux citoyens dans l'identification de solutions pour améliorer l'efficacité énergétique des maisons).</w:t>
            </w:r>
          </w:p>
        </w:tc>
      </w:tr>
      <w:tr w:rsidR="006C686E" w14:paraId="2010CFC8"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DAD9843" w14:textId="77777777" w:rsidR="006C686E" w:rsidRDefault="00B17E8C">
            <w:pPr>
              <w:pStyle w:val="P68B1DB1-Normal55"/>
              <w:spacing w:after="0" w:line="240" w:lineRule="auto"/>
              <w:jc w:val="center"/>
              <w:rPr>
                <w:noProof/>
              </w:rPr>
            </w:pPr>
            <w:r>
              <w:rPr>
                <w:noProof/>
              </w:rPr>
              <w:t>21.12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B71BCD" w14:textId="77777777" w:rsidR="006C686E" w:rsidRDefault="00B17E8C">
            <w:pPr>
              <w:pStyle w:val="P68B1DB1-Normal30"/>
              <w:spacing w:after="0" w:line="240" w:lineRule="auto"/>
              <w:jc w:val="center"/>
              <w:rPr>
                <w:noProof/>
              </w:rPr>
            </w:pPr>
            <w:r>
              <w:rPr>
                <w:noProof/>
              </w:rPr>
              <w:t>RP-C21-i05</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B28308"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9919D" w14:textId="77777777" w:rsidR="006C686E" w:rsidRDefault="00B17E8C">
            <w:pPr>
              <w:pStyle w:val="P68B1DB1-Normal30"/>
              <w:spacing w:after="0" w:line="240" w:lineRule="auto"/>
              <w:jc w:val="center"/>
              <w:rPr>
                <w:noProof/>
              </w:rPr>
            </w:pPr>
            <w:r>
              <w:rPr>
                <w:noProof/>
              </w:rPr>
              <w:t>Signature des conditions d'acceptation pour la mise en œuvre de projets industriels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34075C" w14:textId="77777777" w:rsidR="006C686E" w:rsidRDefault="00B17E8C">
            <w:pPr>
              <w:pStyle w:val="P68B1DB1-Normal30"/>
              <w:spacing w:after="0" w:line="240" w:lineRule="auto"/>
              <w:jc w:val="center"/>
              <w:rPr>
                <w:noProof/>
              </w:rPr>
            </w:pPr>
            <w:r>
              <w:rPr>
                <w:noProof/>
              </w:rPr>
              <w:t>Signature des conditions d'acceptation pour la mise en œuvre des projets industriels.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0B074C"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23D544" w14:textId="77777777" w:rsidR="006C686E" w:rsidRDefault="00B17E8C">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B93F56"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BF9178"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3C9086"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98115C3" w14:textId="77777777" w:rsidR="006C686E" w:rsidRDefault="00B17E8C">
            <w:pPr>
              <w:pStyle w:val="P68B1DB1-Normal30"/>
              <w:widowControl w:val="0"/>
              <w:spacing w:after="0" w:line="240" w:lineRule="auto"/>
              <w:jc w:val="both"/>
              <w:rPr>
                <w:noProof/>
              </w:rPr>
            </w:pPr>
            <w:r>
              <w:rPr>
                <w:noProof/>
              </w:rPr>
              <w:t>Les conditions d’acceptation sont signées pour la mise en œuvre de projets industriels, qui sont sélectionnés au moyen d’appels concurrentiels, liés aux technologies stratégiques pour la transition climatique, comme indiqué dans la description de la mesure.</w:t>
            </w:r>
          </w:p>
          <w:p w14:paraId="382C8C58" w14:textId="77777777" w:rsidR="006C686E" w:rsidRDefault="00B17E8C">
            <w:pPr>
              <w:pStyle w:val="P68B1DB1-Normal30"/>
              <w:spacing w:after="0" w:line="240" w:lineRule="auto"/>
              <w:jc w:val="both"/>
              <w:rPr>
                <w:noProof/>
              </w:rPr>
            </w:pPr>
            <w:r>
              <w:rPr>
                <w:noProof/>
              </w:rPr>
              <w:t>Les conditions d’acceptation garantissent le respect des orientations techniques «Ne pas causer de préjudice important» (2021/C58/01) des opérations bénéficiant d’un soutien au titre de la présente mesure grâce à l’utilisation d’une liste d’exclusion et à l’exigence de conformité avec la législation environnementale pertinente de l’UE et nationale.</w:t>
            </w:r>
          </w:p>
        </w:tc>
      </w:tr>
      <w:tr w:rsidR="006C686E" w14:paraId="38E09A19"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FFFEDE5" w14:textId="77777777" w:rsidR="006C686E" w:rsidRDefault="00B17E8C">
            <w:pPr>
              <w:pStyle w:val="P68B1DB1-Normal55"/>
              <w:spacing w:after="0" w:line="240" w:lineRule="auto"/>
              <w:jc w:val="center"/>
              <w:rPr>
                <w:noProof/>
              </w:rPr>
            </w:pPr>
            <w:r>
              <w:rPr>
                <w:noProof/>
              </w:rPr>
              <w:t>21.13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56338C" w14:textId="77777777" w:rsidR="006C686E" w:rsidRDefault="00B17E8C">
            <w:pPr>
              <w:pStyle w:val="P68B1DB1-Normal30"/>
              <w:spacing w:after="0" w:line="240" w:lineRule="auto"/>
              <w:jc w:val="center"/>
              <w:rPr>
                <w:noProof/>
              </w:rPr>
            </w:pPr>
            <w:r>
              <w:rPr>
                <w:noProof/>
              </w:rPr>
              <w:t>RP-C21-i05</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045507"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3EDF37" w14:textId="77777777" w:rsidR="006C686E" w:rsidRDefault="00B17E8C">
            <w:pPr>
              <w:pStyle w:val="P68B1DB1-Normal30"/>
              <w:spacing w:after="0" w:line="240" w:lineRule="auto"/>
              <w:jc w:val="center"/>
              <w:rPr>
                <w:noProof/>
              </w:rPr>
            </w:pPr>
            <w:r>
              <w:rPr>
                <w:noProof/>
              </w:rPr>
              <w:t>Au moins 5 projets industriels dans le domaine des technologies pour la transition climatique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05E33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EADBED" w14:textId="77777777" w:rsidR="006C686E" w:rsidRDefault="00B17E8C">
            <w:pPr>
              <w:pStyle w:val="P68B1DB1-Normal30"/>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03BAE2" w14:textId="77777777" w:rsidR="006C686E" w:rsidRDefault="00B17E8C">
            <w:pPr>
              <w:pStyle w:val="P68B1DB1-Normal30"/>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55B3F" w14:textId="77777777" w:rsidR="006C686E" w:rsidRDefault="00B17E8C">
            <w:pPr>
              <w:pStyle w:val="P68B1DB1-Normal30"/>
              <w:spacing w:after="0" w:line="240" w:lineRule="auto"/>
              <w:jc w:val="center"/>
              <w:rPr>
                <w:noProof/>
              </w:rPr>
            </w:pPr>
            <w:r>
              <w:rPr>
                <w:noProof/>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2A7680"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10D495"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9B827ED" w14:textId="5E4EA5ED" w:rsidR="006C686E" w:rsidRDefault="00B17E8C">
            <w:pPr>
              <w:pStyle w:val="P68B1DB1-Normal26"/>
              <w:spacing w:after="0" w:line="240" w:lineRule="auto"/>
              <w:jc w:val="both"/>
              <w:rPr>
                <w:noProof/>
                <w:kern w:val="0"/>
                <w14:ligatures w14:val="none"/>
              </w:rPr>
            </w:pPr>
            <w:r>
              <w:rPr>
                <w:noProof/>
                <w:kern w:val="0"/>
                <w14:ligatures w14:val="none"/>
              </w:rPr>
              <w:t>Rapports finaux des bénéficiaires validés par les autorités pour au moins cinq projets technologiques industriels</w:t>
            </w:r>
            <w:r>
              <w:rPr>
                <w:noProof/>
              </w:rPr>
              <w:t xml:space="preserve"> liés aux technologies de la transition climatique.</w:t>
            </w:r>
          </w:p>
        </w:tc>
      </w:tr>
      <w:tr w:rsidR="006C686E" w14:paraId="05DC4B35"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B84733F" w14:textId="77777777" w:rsidR="006C686E" w:rsidRDefault="00B17E8C">
            <w:pPr>
              <w:pStyle w:val="P68B1DB1-Normal55"/>
              <w:spacing w:after="0" w:line="240" w:lineRule="auto"/>
              <w:jc w:val="center"/>
              <w:rPr>
                <w:noProof/>
              </w:rPr>
            </w:pPr>
            <w:r>
              <w:rPr>
                <w:noProof/>
              </w:rPr>
              <w:t>21.14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45FA46" w14:textId="77777777" w:rsidR="006C686E" w:rsidRDefault="00B17E8C">
            <w:pPr>
              <w:pStyle w:val="P68B1DB1-Normal30"/>
              <w:spacing w:after="0" w:line="240" w:lineRule="auto"/>
              <w:jc w:val="center"/>
              <w:rPr>
                <w:noProof/>
              </w:rPr>
            </w:pPr>
            <w:r>
              <w:rPr>
                <w:noProof/>
              </w:rPr>
              <w:t xml:space="preserve"> RP-C21-r45</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9F26B8"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9D5222" w14:textId="77777777" w:rsidR="006C686E" w:rsidRDefault="00B17E8C">
            <w:pPr>
              <w:pStyle w:val="P68B1DB1-Normal30"/>
              <w:spacing w:after="0" w:line="240" w:lineRule="auto"/>
              <w:jc w:val="center"/>
              <w:rPr>
                <w:noProof/>
              </w:rPr>
            </w:pPr>
            <w:r>
              <w:rPr>
                <w:noProof/>
              </w:rPr>
              <w:t>Programme «Compétences vertes &amp; Emplois»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64D4C5" w14:textId="77777777" w:rsidR="006C686E" w:rsidRDefault="00B17E8C">
            <w:pPr>
              <w:pStyle w:val="P68B1DB1-Normal30"/>
              <w:spacing w:after="0" w:line="240" w:lineRule="auto"/>
              <w:jc w:val="center"/>
              <w:rPr>
                <w:noProof/>
              </w:rPr>
            </w:pPr>
            <w:r>
              <w:rPr>
                <w:noProof/>
              </w:rPr>
              <w:t>Entrée en vigueur du décret gouvernemental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434B0E"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A3287C" w14:textId="77777777" w:rsidR="006C686E" w:rsidRDefault="00B17E8C">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54F311"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FD9ABB" w14:textId="77777777" w:rsidR="006C686E" w:rsidRDefault="00B17E8C">
            <w:pPr>
              <w:pStyle w:val="P68B1DB1-Normal30"/>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25E3AE"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29C6BB1" w14:textId="77777777" w:rsidR="006C686E" w:rsidRDefault="00B17E8C">
            <w:pPr>
              <w:pStyle w:val="P68B1DB1-Normal30"/>
              <w:spacing w:after="0" w:line="240" w:lineRule="auto"/>
              <w:jc w:val="both"/>
              <w:rPr>
                <w:noProof/>
              </w:rPr>
            </w:pPr>
            <w:r>
              <w:rPr>
                <w:noProof/>
              </w:rPr>
              <w:t>Entrée en vigueur de l'ordonnance du gouvernement qui établit le programme Green Skills &amp; Jobs.</w:t>
            </w:r>
          </w:p>
        </w:tc>
      </w:tr>
      <w:tr w:rsidR="006C686E" w14:paraId="3CAE9C68" w14:textId="77777777" w:rsidTr="00E130FD">
        <w:trPr>
          <w:trHeight w:val="81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F3DE4ED" w14:textId="77777777" w:rsidR="006C686E" w:rsidRDefault="00B17E8C">
            <w:pPr>
              <w:pStyle w:val="P68B1DB1-Normal55"/>
              <w:spacing w:after="0" w:line="240" w:lineRule="auto"/>
              <w:jc w:val="center"/>
              <w:rPr>
                <w:noProof/>
              </w:rPr>
            </w:pPr>
            <w:r>
              <w:rPr>
                <w:noProof/>
              </w:rPr>
              <w:t>21.15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844C8A" w14:textId="77777777" w:rsidR="006C686E" w:rsidRDefault="00B17E8C">
            <w:pPr>
              <w:pStyle w:val="P68B1DB1-Normal30"/>
              <w:spacing w:after="0" w:line="240" w:lineRule="auto"/>
              <w:jc w:val="center"/>
              <w:rPr>
                <w:noProof/>
              </w:rPr>
            </w:pPr>
            <w:r>
              <w:rPr>
                <w:noProof/>
              </w:rPr>
              <w:t xml:space="preserve"> RP-C21-r45</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790819" w14:textId="77777777" w:rsidR="006C686E" w:rsidRDefault="00B17E8C">
            <w:pPr>
              <w:pStyle w:val="P68B1DB1-Normal11"/>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38893E" w14:textId="77777777" w:rsidR="006C686E" w:rsidRDefault="00B17E8C">
            <w:pPr>
              <w:pStyle w:val="P68B1DB1-Normal13"/>
              <w:spacing w:after="0" w:line="240" w:lineRule="auto"/>
              <w:jc w:val="center"/>
              <w:rPr>
                <w:noProof/>
                <w:kern w:val="0"/>
                <w14:ligatures w14:val="none"/>
              </w:rPr>
            </w:pPr>
            <w:r>
              <w:rPr>
                <w:noProof/>
              </w:rPr>
              <w:t>Centre de formation pour la transition énergétique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5C10C" w14:textId="77777777" w:rsidR="006C686E" w:rsidRDefault="00B17E8C">
            <w:pPr>
              <w:pStyle w:val="P68B1DB1-Normal15"/>
              <w:spacing w:after="0" w:line="240" w:lineRule="auto"/>
              <w:jc w:val="center"/>
              <w:rPr>
                <w:noProof/>
                <w:kern w:val="0"/>
                <w14:ligatures w14:val="none"/>
              </w:rPr>
            </w:pPr>
            <w:r>
              <w:rPr>
                <w:noProof/>
              </w:rPr>
              <w:t>Entrée en vigueur du décret gouvernemental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FBEC09"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9AE6B7"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91E555" w14:textId="77777777" w:rsidR="006C686E" w:rsidRDefault="006C686E">
            <w:pPr>
              <w:spacing w:after="200" w:line="276" w:lineRule="auto"/>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7A21A"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B2B070" w14:textId="77777777"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4278F3B" w14:textId="3F4F64D0" w:rsidR="006C686E" w:rsidRDefault="00B17E8C">
            <w:pPr>
              <w:pStyle w:val="P68B1DB1-Normal26"/>
              <w:spacing w:after="0" w:line="240" w:lineRule="auto"/>
              <w:jc w:val="both"/>
              <w:rPr>
                <w:noProof/>
                <w:kern w:val="0"/>
                <w14:ligatures w14:val="none"/>
              </w:rPr>
            </w:pPr>
            <w:r>
              <w:rPr>
                <w:noProof/>
              </w:rPr>
              <w:t>Entrée en vigueur de l'arrêté gouvernemental portant création du Centre de formation à la transition énergétique.</w:t>
            </w:r>
          </w:p>
        </w:tc>
      </w:tr>
      <w:tr w:rsidR="006C686E" w14:paraId="178361F3"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1B310AF" w14:textId="77777777" w:rsidR="006C686E" w:rsidRDefault="00B17E8C">
            <w:pPr>
              <w:pStyle w:val="P68B1DB1-Normal55"/>
              <w:spacing w:after="0" w:line="240" w:lineRule="auto"/>
              <w:jc w:val="center"/>
              <w:rPr>
                <w:noProof/>
              </w:rPr>
            </w:pPr>
            <w:r>
              <w:rPr>
                <w:noProof/>
              </w:rPr>
              <w:t>21.16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93C751" w14:textId="77777777" w:rsidR="006C686E" w:rsidRDefault="00B17E8C">
            <w:pPr>
              <w:pStyle w:val="P68B1DB1-Normal30"/>
              <w:spacing w:after="0" w:line="240" w:lineRule="auto"/>
              <w:jc w:val="center"/>
              <w:rPr>
                <w:noProof/>
              </w:rPr>
            </w:pPr>
            <w:r>
              <w:rPr>
                <w:noProof/>
              </w:rPr>
              <w:t>RP-C21-r46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23BAD"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C84019" w14:textId="77777777" w:rsidR="006C686E" w:rsidRDefault="00B17E8C">
            <w:pPr>
              <w:pStyle w:val="P68B1DB1-Normal30"/>
              <w:widowControl w:val="0"/>
              <w:spacing w:after="260" w:line="240" w:lineRule="auto"/>
              <w:jc w:val="center"/>
              <w:rPr>
                <w:noProof/>
              </w:rPr>
            </w:pPr>
            <w:r>
              <w:rPr>
                <w:noProof/>
              </w:rPr>
              <w:t>Entrée en vigueur d’un acte administratif ou juridique sur l’hydrogène renouvelable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5000A3" w14:textId="77777777" w:rsidR="006C686E" w:rsidRDefault="00B17E8C">
            <w:pPr>
              <w:pStyle w:val="P68B1DB1-Normal30"/>
              <w:spacing w:after="0" w:line="240" w:lineRule="auto"/>
              <w:jc w:val="center"/>
              <w:rPr>
                <w:noProof/>
              </w:rPr>
            </w:pPr>
            <w:r>
              <w:rPr>
                <w:noProof/>
              </w:rPr>
              <w:t>Disposition de l'acte administratif ou juridique indiquant son entrée en vigueur</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3522F1"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8A3418"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8FD4D90"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958D24" w14:textId="77777777" w:rsidR="006C686E" w:rsidRDefault="00B17E8C">
            <w:pPr>
              <w:pStyle w:val="P68B1DB1-Normal30"/>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54736D" w14:textId="77777777" w:rsidR="006C686E" w:rsidRDefault="00B17E8C">
            <w:pPr>
              <w:pStyle w:val="P68B1DB1-Normal30"/>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EDCCBCE" w14:textId="77777777" w:rsidR="006C686E" w:rsidRDefault="00B17E8C">
            <w:pPr>
              <w:pStyle w:val="P68B1DB1-Normal30"/>
              <w:widowControl w:val="0"/>
              <w:spacing w:after="0" w:line="240" w:lineRule="auto"/>
              <w:jc w:val="both"/>
              <w:rPr>
                <w:noProof/>
              </w:rPr>
            </w:pPr>
            <w:r>
              <w:rPr>
                <w:noProof/>
              </w:rPr>
              <w:t>Entrée en vigueur d’un acte administratif ou juridique sur l’hydrogène renouvelable précisant que seules les installations satisfaisant aux exigences énoncées dans la directive sur les énergies renouvelables et ses actes délégués (2018/2001/UE) sont considérées comme des installations de production d’hydrogène renouvelable.</w:t>
            </w:r>
          </w:p>
        </w:tc>
      </w:tr>
      <w:tr w:rsidR="006C686E" w14:paraId="733AD23C"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6515F07" w14:textId="77777777" w:rsidR="006C686E" w:rsidRDefault="00B17E8C">
            <w:pPr>
              <w:pStyle w:val="P68B1DB1-Normal55"/>
              <w:spacing w:after="0" w:line="240" w:lineRule="auto"/>
              <w:jc w:val="center"/>
              <w:rPr>
                <w:noProof/>
              </w:rPr>
            </w:pPr>
            <w:r>
              <w:rPr>
                <w:noProof/>
              </w:rPr>
              <w:t>21.17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B7486B" w14:textId="77777777" w:rsidR="006C686E" w:rsidRDefault="00B17E8C">
            <w:pPr>
              <w:pStyle w:val="P68B1DB1-Normal30"/>
              <w:spacing w:after="0" w:line="240" w:lineRule="auto"/>
              <w:jc w:val="center"/>
              <w:rPr>
                <w:noProof/>
              </w:rPr>
            </w:pPr>
            <w:r>
              <w:rPr>
                <w:noProof/>
              </w:rPr>
              <w:t>RP-C21-r46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61DF2E"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BBA4EE" w14:textId="77777777" w:rsidR="006C686E" w:rsidRDefault="00B17E8C">
            <w:pPr>
              <w:pStyle w:val="P68B1DB1-Normal30"/>
              <w:spacing w:after="0" w:line="240" w:lineRule="auto"/>
              <w:jc w:val="center"/>
              <w:rPr>
                <w:noProof/>
              </w:rPr>
            </w:pPr>
            <w:r>
              <w:rPr>
                <w:noProof/>
              </w:rPr>
              <w:t>Entrée en vigueur du cadre juridique pour les gaz renouvelables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B3014B" w14:textId="77777777" w:rsidR="006C686E" w:rsidRDefault="00B17E8C">
            <w:pPr>
              <w:pStyle w:val="P68B1DB1-Normal30"/>
              <w:spacing w:after="0" w:line="240" w:lineRule="auto"/>
              <w:jc w:val="center"/>
              <w:rPr>
                <w:noProof/>
              </w:rPr>
            </w:pPr>
            <w:r>
              <w:rPr>
                <w:noProof/>
              </w:rPr>
              <w:t xml:space="preserve">Disposition des actes juridiques indiquant l’entrée en vigueur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459B58"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657DF9"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9E8EB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D6442B"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021438"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7CE5FB7" w14:textId="77777777" w:rsidR="006C686E" w:rsidRDefault="00B17E8C">
            <w:pPr>
              <w:pStyle w:val="P68B1DB1-Normal30"/>
              <w:spacing w:after="0" w:line="240" w:lineRule="auto"/>
              <w:jc w:val="both"/>
              <w:rPr>
                <w:noProof/>
              </w:rPr>
            </w:pPr>
            <w:r>
              <w:rPr>
                <w:noProof/>
              </w:rPr>
              <w:t>Entrée en vigueur du cadre réglementaire pour l’hydrogène renouvelable précisant les critères pour l’injection d’hydrogène renouvelable dans le réseau gazier.</w:t>
            </w:r>
          </w:p>
        </w:tc>
      </w:tr>
      <w:tr w:rsidR="006C686E" w14:paraId="06470D01"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2A03113" w14:textId="77777777" w:rsidR="006C686E" w:rsidRDefault="00B17E8C">
            <w:pPr>
              <w:pStyle w:val="P68B1DB1-Normal55"/>
              <w:spacing w:after="0" w:line="240" w:lineRule="auto"/>
              <w:jc w:val="center"/>
              <w:rPr>
                <w:noProof/>
              </w:rPr>
            </w:pPr>
            <w:r>
              <w:rPr>
                <w:noProof/>
              </w:rPr>
              <w:t>21.18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876152" w14:textId="77777777" w:rsidR="006C686E" w:rsidRDefault="00B17E8C">
            <w:pPr>
              <w:pStyle w:val="P68B1DB1-Normal30"/>
              <w:spacing w:after="0" w:line="240" w:lineRule="auto"/>
              <w:jc w:val="center"/>
              <w:rPr>
                <w:noProof/>
              </w:rPr>
            </w:pPr>
            <w:r>
              <w:rPr>
                <w:noProof/>
              </w:rPr>
              <w:t>RP-C21-r47</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AD6233"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9D2F71" w14:textId="77777777" w:rsidR="006C686E" w:rsidRDefault="00B17E8C">
            <w:pPr>
              <w:pStyle w:val="P68B1DB1-Normal30"/>
              <w:spacing w:after="0" w:line="240" w:lineRule="auto"/>
              <w:jc w:val="center"/>
              <w:rPr>
                <w:noProof/>
              </w:rPr>
            </w:pPr>
            <w:r>
              <w:rPr>
                <w:noProof/>
              </w:rPr>
              <w:t>Lancement de la première vente aux enchères d'achat centralisé de biométhane durable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31F7FE" w14:textId="77777777" w:rsidR="006C686E" w:rsidRDefault="00B17E8C">
            <w:pPr>
              <w:pStyle w:val="P68B1DB1-Normal30"/>
              <w:spacing w:after="0" w:line="240" w:lineRule="auto"/>
              <w:jc w:val="center"/>
              <w:rPr>
                <w:noProof/>
              </w:rPr>
            </w:pPr>
            <w:r>
              <w:rPr>
                <w:noProof/>
              </w:rPr>
              <w:t>Lancement de la première vente aux enchères d'achat centralisé de biométhane durable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92A3E3"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A62317"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9D0B36"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C3F8FF" w14:textId="77777777" w:rsidR="006C686E" w:rsidRDefault="00B17E8C">
            <w:pPr>
              <w:pStyle w:val="P68B1DB1-Normal30"/>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343B6F" w14:textId="77777777" w:rsidR="006C686E" w:rsidRDefault="00B17E8C">
            <w:pPr>
              <w:pStyle w:val="P68B1DB1-Normal30"/>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7D8E145" w14:textId="77777777" w:rsidR="006C686E" w:rsidRDefault="00B17E8C">
            <w:pPr>
              <w:pStyle w:val="P68B1DB1-Normal30"/>
              <w:spacing w:after="0" w:line="240" w:lineRule="auto"/>
              <w:jc w:val="both"/>
              <w:rPr>
                <w:noProof/>
              </w:rPr>
            </w:pPr>
            <w:r>
              <w:rPr>
                <w:noProof/>
              </w:rPr>
              <w:t>Lancement de la première vente aux enchères d’achat centralisé de biométhane durable, conformément aux règles énoncées dans l’ordonnance gouvernementale 15/2023 du 4 janvier, visant à acheter 150 GWh/an de biométhane pour injection dans le réseau gazier national.</w:t>
            </w:r>
          </w:p>
        </w:tc>
      </w:tr>
      <w:tr w:rsidR="006C686E" w14:paraId="66EDC8F7"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ECA9948" w14:textId="77777777" w:rsidR="006C686E" w:rsidRDefault="00B17E8C">
            <w:pPr>
              <w:pStyle w:val="P68B1DB1-Normal55"/>
              <w:spacing w:after="0" w:line="240" w:lineRule="auto"/>
              <w:jc w:val="center"/>
              <w:rPr>
                <w:noProof/>
              </w:rPr>
            </w:pPr>
            <w:r>
              <w:rPr>
                <w:noProof/>
              </w:rPr>
              <w:t>21.19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6748A7" w14:textId="77777777" w:rsidR="006C686E" w:rsidRDefault="00B17E8C">
            <w:pPr>
              <w:pStyle w:val="P68B1DB1-Normal30"/>
              <w:spacing w:after="0" w:line="240" w:lineRule="auto"/>
              <w:jc w:val="center"/>
              <w:rPr>
                <w:noProof/>
              </w:rPr>
            </w:pPr>
            <w:r>
              <w:rPr>
                <w:noProof/>
              </w:rPr>
              <w:t>RP-C21-r47</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5B2548"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B2034F" w14:textId="77777777" w:rsidR="006C686E" w:rsidRDefault="00B17E8C">
            <w:pPr>
              <w:pStyle w:val="P68B1DB1-Normal30"/>
              <w:spacing w:after="0" w:line="240" w:lineRule="auto"/>
              <w:jc w:val="center"/>
              <w:rPr>
                <w:noProof/>
              </w:rPr>
            </w:pPr>
            <w:r>
              <w:rPr>
                <w:noProof/>
              </w:rPr>
              <w:t>Adoption du plan d'action sur le biométhane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35EAD4" w14:textId="77777777" w:rsidR="006C686E" w:rsidRDefault="00B17E8C">
            <w:pPr>
              <w:pStyle w:val="P68B1DB1-Normal30"/>
              <w:spacing w:after="0" w:line="240" w:lineRule="auto"/>
              <w:jc w:val="center"/>
              <w:rPr>
                <w:noProof/>
              </w:rPr>
            </w:pPr>
            <w:r>
              <w:rPr>
                <w:noProof/>
              </w:rPr>
              <w:t>Adoption du plan d'action sur le biométhane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7EAE0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E7AC79"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05494"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499B91" w14:textId="77777777" w:rsidR="006C686E" w:rsidRDefault="00B17E8C">
            <w:pPr>
              <w:pStyle w:val="P68B1DB1-Normal30"/>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E1CF6E"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EDFB348" w14:textId="77777777" w:rsidR="006C686E" w:rsidRDefault="00B17E8C">
            <w:pPr>
              <w:pStyle w:val="P68B1DB1-Normal30"/>
              <w:spacing w:after="0" w:line="240" w:lineRule="auto"/>
              <w:jc w:val="both"/>
              <w:rPr>
                <w:noProof/>
              </w:rPr>
            </w:pPr>
            <w:r>
              <w:rPr>
                <w:noProof/>
              </w:rPr>
              <w:t xml:space="preserve">Adoption du plan d'action pour le biométhane, qui établit une stratégie pour le développement du marché du biométhane. </w:t>
            </w:r>
          </w:p>
        </w:tc>
      </w:tr>
      <w:tr w:rsidR="006C686E" w14:paraId="0A224D4F"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B4396A7" w14:textId="77777777" w:rsidR="006C686E" w:rsidRDefault="00B17E8C">
            <w:pPr>
              <w:pStyle w:val="P68B1DB1-Normal55"/>
              <w:spacing w:after="0" w:line="240" w:lineRule="auto"/>
              <w:jc w:val="center"/>
              <w:rPr>
                <w:noProof/>
              </w:rPr>
            </w:pPr>
            <w:r>
              <w:rPr>
                <w:noProof/>
              </w:rPr>
              <w:t>21.20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AF76639" w14:textId="77777777" w:rsidR="006C686E" w:rsidRDefault="00B17E8C">
            <w:pPr>
              <w:pStyle w:val="P68B1DB1-Normal30"/>
              <w:spacing w:after="0" w:line="240" w:lineRule="auto"/>
              <w:jc w:val="center"/>
              <w:rPr>
                <w:noProof/>
              </w:rPr>
            </w:pPr>
            <w:r>
              <w:rPr>
                <w:noProof/>
              </w:rPr>
              <w:t>RP-C21-r48</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198595"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2655C1" w14:textId="77777777" w:rsidR="006C686E" w:rsidRDefault="00B17E8C">
            <w:pPr>
              <w:pStyle w:val="P68B1DB1-Normal30"/>
              <w:spacing w:after="0" w:line="240" w:lineRule="auto"/>
              <w:jc w:val="center"/>
              <w:rPr>
                <w:noProof/>
              </w:rPr>
            </w:pPr>
            <w:r>
              <w:rPr>
                <w:noProof/>
              </w:rPr>
              <w:t>Mise en place de l'EMER 2030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B4C8E5" w14:textId="77777777" w:rsidR="006C686E" w:rsidRDefault="00B17E8C">
            <w:pPr>
              <w:pStyle w:val="P68B1DB1-Normal30"/>
              <w:spacing w:after="0" w:line="240" w:lineRule="auto"/>
              <w:jc w:val="center"/>
              <w:rPr>
                <w:noProof/>
              </w:rPr>
            </w:pPr>
            <w:r>
              <w:rPr>
                <w:noProof/>
              </w:rPr>
              <w:t xml:space="preserve">Disposition de l’acte législatif indiquant l’entrée en vigueur de l’acte législatif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8BE383"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A40F20"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E5261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F3875E" w14:textId="77777777" w:rsidR="006C686E" w:rsidRDefault="00B17E8C">
            <w:pPr>
              <w:pStyle w:val="P68B1DB1-Normal30"/>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CE569" w14:textId="77777777" w:rsidR="006C686E" w:rsidRDefault="00B17E8C">
            <w:pPr>
              <w:pStyle w:val="P68B1DB1-Normal30"/>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3E19B2D4" w14:textId="77777777" w:rsidR="006C686E" w:rsidRDefault="00B17E8C">
            <w:pPr>
              <w:pStyle w:val="P68B1DB1-Normal30"/>
              <w:spacing w:after="0" w:line="240" w:lineRule="auto"/>
              <w:jc w:val="both"/>
              <w:rPr>
                <w:rFonts w:eastAsia="Calibri"/>
                <w:noProof/>
              </w:rPr>
            </w:pPr>
            <w:r>
              <w:rPr>
                <w:noProof/>
              </w:rPr>
              <w:t>Entrée en vigueur de l’acte législatif connexe établissant le REE 2030. L’acte législatif définit les missions de l’EMER 2030:</w:t>
            </w:r>
          </w:p>
          <w:p w14:paraId="7AEE4601" w14:textId="77777777" w:rsidR="006C686E" w:rsidRDefault="00B17E8C">
            <w:pPr>
              <w:pStyle w:val="P68B1DB1-ListParagraph56"/>
              <w:numPr>
                <w:ilvl w:val="0"/>
                <w:numId w:val="66"/>
              </w:numPr>
              <w:spacing w:after="0" w:line="240" w:lineRule="auto"/>
              <w:ind w:left="321" w:hanging="283"/>
              <w:jc w:val="both"/>
              <w:rPr>
                <w:rFonts w:eastAsia="Times New Roman"/>
                <w:noProof/>
              </w:rPr>
            </w:pPr>
            <w:r>
              <w:rPr>
                <w:noProof/>
              </w:rPr>
              <w:t>veiller à ce que les objectifs du plan national révisé en matière d’énergie et de climat à l’horizon 2030 soient atteints et accélérer la mise en œuvre de projets dans le domaine des énergies renouvelables au Portugal;</w:t>
            </w:r>
          </w:p>
          <w:p w14:paraId="22009026" w14:textId="77777777" w:rsidR="006C686E" w:rsidRDefault="00B17E8C">
            <w:pPr>
              <w:pStyle w:val="P68B1DB1-ListParagraph56"/>
              <w:numPr>
                <w:ilvl w:val="0"/>
                <w:numId w:val="66"/>
              </w:numPr>
              <w:spacing w:after="0" w:line="240" w:lineRule="auto"/>
              <w:ind w:left="321" w:hanging="283"/>
              <w:jc w:val="both"/>
              <w:rPr>
                <w:rFonts w:eastAsia="Times New Roman"/>
                <w:noProof/>
              </w:rPr>
            </w:pPr>
            <w:r>
              <w:rPr>
                <w:noProof/>
              </w:rPr>
              <w:t>Élaborer un manuel de procédures pour soutenir et simplifier la procédure d'autorisation pour les communautés d'autoconsommation et d'énergie renouvelable;</w:t>
            </w:r>
          </w:p>
          <w:p w14:paraId="0AA6B7FB" w14:textId="27689E09" w:rsidR="006C686E" w:rsidRDefault="00B17E8C">
            <w:pPr>
              <w:pStyle w:val="P68B1DB1-ListParagraph57"/>
              <w:numPr>
                <w:ilvl w:val="0"/>
                <w:numId w:val="66"/>
              </w:numPr>
              <w:spacing w:after="0" w:line="240" w:lineRule="auto"/>
              <w:ind w:left="321" w:hanging="283"/>
              <w:jc w:val="both"/>
              <w:rPr>
                <w:rFonts w:eastAsia="Times New Roman"/>
                <w:noProof/>
              </w:rPr>
            </w:pPr>
            <w:r>
              <w:rPr>
                <w:noProof/>
              </w:rPr>
              <w:t xml:space="preserve">Développer, mettre en œuvre et gérer le guichet unique pour l'octroi de licences et le suivi des projets d'énergie renouvelable; </w:t>
            </w:r>
          </w:p>
          <w:p w14:paraId="38ECD82C" w14:textId="77777777" w:rsidR="006C686E" w:rsidRDefault="00B17E8C">
            <w:pPr>
              <w:pStyle w:val="P68B1DB1-ListParagraph57"/>
              <w:numPr>
                <w:ilvl w:val="0"/>
                <w:numId w:val="66"/>
              </w:numPr>
              <w:spacing w:after="0" w:line="240" w:lineRule="auto"/>
              <w:ind w:left="321" w:hanging="283"/>
              <w:jc w:val="both"/>
              <w:rPr>
                <w:noProof/>
              </w:rPr>
            </w:pPr>
            <w:r>
              <w:rPr>
                <w:noProof/>
              </w:rPr>
              <w:t>Élaborer une proposition de programme sectoriel pour les zones propices aux énergies renouvelables;</w:t>
            </w:r>
          </w:p>
          <w:p w14:paraId="712DEE77" w14:textId="77777777" w:rsidR="006C686E" w:rsidRDefault="00B17E8C">
            <w:pPr>
              <w:pStyle w:val="P68B1DB1-ListParagraph56"/>
              <w:numPr>
                <w:ilvl w:val="0"/>
                <w:numId w:val="66"/>
              </w:numPr>
              <w:spacing w:after="0" w:line="240" w:lineRule="auto"/>
              <w:ind w:left="321" w:hanging="283"/>
              <w:jc w:val="both"/>
              <w:rPr>
                <w:noProof/>
              </w:rPr>
            </w:pPr>
            <w:r>
              <w:rPr>
                <w:noProof/>
              </w:rPr>
              <w:t xml:space="preserve"> Consolider le cadre juridique et réglementaire applicable à l'octroi de licences électriques et environnementales pour les projets d'énergie renouvelable et de stockage. </w:t>
            </w:r>
          </w:p>
        </w:tc>
      </w:tr>
      <w:tr w:rsidR="006C686E" w14:paraId="1F0132F9"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0FC8FC3" w14:textId="77777777" w:rsidR="006C686E" w:rsidRDefault="00B17E8C">
            <w:pPr>
              <w:pStyle w:val="P68B1DB1-Normal55"/>
              <w:spacing w:after="0" w:line="240" w:lineRule="auto"/>
              <w:jc w:val="center"/>
              <w:rPr>
                <w:noProof/>
              </w:rPr>
            </w:pPr>
            <w:r>
              <w:rPr>
                <w:noProof/>
              </w:rPr>
              <w:t>21.21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24114B" w14:textId="77777777" w:rsidR="006C686E" w:rsidRDefault="00B17E8C">
            <w:pPr>
              <w:pStyle w:val="P68B1DB1-Normal30"/>
              <w:spacing w:after="0" w:line="240" w:lineRule="auto"/>
              <w:jc w:val="center"/>
              <w:rPr>
                <w:noProof/>
              </w:rPr>
            </w:pPr>
            <w:r>
              <w:rPr>
                <w:noProof/>
              </w:rPr>
              <w:t>RP-C21-r48</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B841D7"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C2958B" w14:textId="77777777" w:rsidR="006C686E" w:rsidRDefault="00B17E8C">
            <w:pPr>
              <w:pStyle w:val="P68B1DB1-Normal30"/>
              <w:spacing w:after="0" w:line="240" w:lineRule="auto"/>
              <w:jc w:val="center"/>
              <w:rPr>
                <w:noProof/>
              </w:rPr>
            </w:pPr>
            <w:r>
              <w:rPr>
                <w:noProof/>
              </w:rPr>
              <w:t>Entrée en vigueur du règlement relatif à l’octroi de licences municipales pour les projets d’énergie renouvelable et de stockage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EFD76D" w14:textId="77777777" w:rsidR="006C686E" w:rsidRDefault="00B17E8C">
            <w:pPr>
              <w:pStyle w:val="P68B1DB1-Normal30"/>
              <w:spacing w:after="0" w:line="240" w:lineRule="auto"/>
              <w:jc w:val="center"/>
              <w:rPr>
                <w:noProof/>
              </w:rPr>
            </w:pPr>
            <w:r>
              <w:rPr>
                <w:noProof/>
              </w:rPr>
              <w:t xml:space="preserve">Disposition du règlement municipal indiquant l’entrée en vigueur du règlement municipal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2859F3"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0F81BE"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F10DEB"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AFDD8A" w14:textId="77777777" w:rsidR="006C686E" w:rsidRDefault="00B17E8C">
            <w:pPr>
              <w:pStyle w:val="P68B1DB1-Normal30"/>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D2E9ED" w14:textId="77777777" w:rsidR="006C686E" w:rsidRDefault="00B17E8C">
            <w:pPr>
              <w:pStyle w:val="P68B1DB1-Normal30"/>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2964E711" w14:textId="77777777" w:rsidR="006C686E" w:rsidRDefault="00B17E8C">
            <w:pPr>
              <w:pStyle w:val="P68B1DB1-Normal30"/>
              <w:spacing w:after="0" w:line="240" w:lineRule="auto"/>
              <w:jc w:val="both"/>
              <w:rPr>
                <w:noProof/>
              </w:rPr>
            </w:pPr>
            <w:r>
              <w:rPr>
                <w:noProof/>
              </w:rPr>
              <w:t>Publication du décret du gouvernement établissant le règlement pour l'octroi de licences municipales aux projets d'énergie renouvelable et de stockage.</w:t>
            </w:r>
          </w:p>
        </w:tc>
      </w:tr>
      <w:tr w:rsidR="006C686E" w14:paraId="38F66771"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C0D2BFD" w14:textId="77777777" w:rsidR="006C686E" w:rsidRDefault="00B17E8C">
            <w:pPr>
              <w:pStyle w:val="P68B1DB1-Normal55"/>
              <w:spacing w:after="0" w:line="240" w:lineRule="auto"/>
              <w:jc w:val="center"/>
              <w:rPr>
                <w:noProof/>
              </w:rPr>
            </w:pPr>
            <w:r>
              <w:rPr>
                <w:noProof/>
              </w:rPr>
              <w:t>21.22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5D3EDB" w14:textId="77777777" w:rsidR="006C686E" w:rsidRDefault="00B17E8C">
            <w:pPr>
              <w:pStyle w:val="P68B1DB1-Normal30"/>
              <w:spacing w:after="0" w:line="240" w:lineRule="auto"/>
              <w:jc w:val="center"/>
              <w:rPr>
                <w:noProof/>
              </w:rPr>
            </w:pPr>
            <w:r>
              <w:rPr>
                <w:noProof/>
              </w:rPr>
              <w:t>RP-C21-r48</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414F5E"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8EB413" w14:textId="77777777" w:rsidR="006C686E" w:rsidRDefault="00B17E8C">
            <w:pPr>
              <w:pStyle w:val="P68B1DB1-Normal30"/>
              <w:spacing w:after="0" w:line="240" w:lineRule="auto"/>
              <w:jc w:val="center"/>
              <w:rPr>
                <w:noProof/>
              </w:rPr>
            </w:pPr>
            <w:r>
              <w:rPr>
                <w:noProof/>
              </w:rPr>
              <w:t>Formation du personnel chargé de l'autorisation des projets d'énergie renouvelable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9EF819"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A09D97" w14:textId="77777777" w:rsidR="006C686E" w:rsidRDefault="00B17E8C">
            <w:pPr>
              <w:pStyle w:val="P68B1DB1-Normal30"/>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CA80C5" w14:textId="54F5D4BD" w:rsidR="006C686E" w:rsidRDefault="00B17E8C">
            <w:pPr>
              <w:pStyle w:val="P68B1DB1-Normal30"/>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BAFA62" w14:textId="77777777" w:rsidR="006C686E" w:rsidRDefault="00B17E8C">
            <w:pPr>
              <w:pStyle w:val="P68B1DB1-Normal30"/>
              <w:spacing w:after="0" w:line="240" w:lineRule="auto"/>
              <w:jc w:val="center"/>
              <w:rPr>
                <w:noProof/>
              </w:rPr>
            </w:pPr>
            <w:r>
              <w:rPr>
                <w:noProof/>
              </w:rPr>
              <w:t>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43BE5"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1AA62B"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3F65A1A1" w14:textId="77777777" w:rsidR="006C686E" w:rsidRDefault="00B17E8C">
            <w:pPr>
              <w:pStyle w:val="P68B1DB1-Normal30"/>
              <w:spacing w:after="0" w:line="240" w:lineRule="auto"/>
              <w:jc w:val="both"/>
              <w:rPr>
                <w:noProof/>
              </w:rPr>
            </w:pPr>
            <w:r>
              <w:rPr>
                <w:noProof/>
              </w:rPr>
              <w:t xml:space="preserve">500 gestionnaires et techniciens de l’administration publique centrale, régionale et locale sont formés dans des domaines liés aux procédures d’autorisation pour les projets d’énergie renouvelable et le stockage de l’énergie. </w:t>
            </w:r>
          </w:p>
        </w:tc>
      </w:tr>
      <w:tr w:rsidR="006C686E" w14:paraId="069A1EB8" w14:textId="77777777" w:rsidTr="00E130FD">
        <w:trPr>
          <w:trHeight w:val="1851"/>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FEB3E9A" w14:textId="77777777" w:rsidR="006C686E" w:rsidRDefault="00B17E8C">
            <w:pPr>
              <w:pStyle w:val="P68B1DB1-Normal55"/>
              <w:spacing w:after="0" w:line="240" w:lineRule="auto"/>
              <w:jc w:val="center"/>
              <w:rPr>
                <w:noProof/>
              </w:rPr>
            </w:pPr>
            <w:r>
              <w:rPr>
                <w:noProof/>
              </w:rPr>
              <w:t>21.44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CD9101" w14:textId="77777777" w:rsidR="006C686E" w:rsidRDefault="00B17E8C">
            <w:pPr>
              <w:pStyle w:val="P68B1DB1-Normal30"/>
              <w:spacing w:after="0" w:line="240" w:lineRule="auto"/>
              <w:jc w:val="center"/>
              <w:rPr>
                <w:noProof/>
              </w:rPr>
            </w:pPr>
            <w:r>
              <w:rPr>
                <w:noProof/>
              </w:rPr>
              <w:t>RP-C21-r48</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40C542"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DC2C0D" w14:textId="77777777" w:rsidR="006C686E" w:rsidRDefault="00B17E8C">
            <w:pPr>
              <w:pStyle w:val="P68B1DB1-Normal27"/>
              <w:spacing w:after="0" w:line="240" w:lineRule="auto"/>
              <w:jc w:val="center"/>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Formation</w:t>
            </w:r>
            <w:r>
              <w:rPr>
                <w:rFonts w:ascii="Times New Roman" w:hAnsi="Times New Roman" w:cs="Times New Roman"/>
                <w:noProof/>
              </w:rPr>
              <w:t xml:space="preserve"> à l’octroi de permis pour des projets dans le domaine des énergies renouvelables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92B59C" w14:textId="77777777" w:rsidR="006C686E" w:rsidRDefault="00B17E8C">
            <w:pPr>
              <w:pStyle w:val="P68B1DB1-Normal13"/>
              <w:spacing w:after="0" w:line="240" w:lineRule="auto"/>
              <w:jc w:val="center"/>
              <w:rPr>
                <w:noProof/>
                <w:kern w:val="0"/>
                <w14:ligatures w14:val="none"/>
              </w:rPr>
            </w:pPr>
            <w:r>
              <w:rPr>
                <w:noProof/>
              </w:rPr>
              <w:t>Formation disponible en ligne et disposition dans l’acte juridique indiquant l’entrée en vigueur de l’acte juridique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4DCEB3"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FFAF9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00631D"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E723E7"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5942FD"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276BB74F" w14:textId="77777777" w:rsidR="006C686E" w:rsidRDefault="00B17E8C">
            <w:pPr>
              <w:pStyle w:val="P68B1DB1-Normal13"/>
              <w:spacing w:after="0" w:line="240" w:lineRule="auto"/>
              <w:rPr>
                <w:noProof/>
              </w:rPr>
            </w:pPr>
            <w:r>
              <w:rPr>
                <w:noProof/>
              </w:rPr>
              <w:t>La mesure consiste à:</w:t>
            </w:r>
          </w:p>
          <w:p w14:paraId="6A640B8B" w14:textId="63DB4CBD" w:rsidR="006C686E" w:rsidRDefault="00B17E8C">
            <w:pPr>
              <w:pStyle w:val="P68B1DB1-Normal26"/>
              <w:spacing w:after="0" w:line="240" w:lineRule="auto"/>
              <w:rPr>
                <w:noProof/>
              </w:rPr>
            </w:pPr>
            <w:r>
              <w:rPr>
                <w:noProof/>
              </w:rPr>
              <w:t>- 6 conférences de formation organisées</w:t>
            </w:r>
          </w:p>
          <w:p w14:paraId="1B1BB608" w14:textId="6F1BCBF1" w:rsidR="006C686E" w:rsidRDefault="00B17E8C">
            <w:pPr>
              <w:pStyle w:val="P68B1DB1-Normal26"/>
              <w:spacing w:after="0" w:line="240" w:lineRule="auto"/>
              <w:rPr>
                <w:noProof/>
              </w:rPr>
            </w:pPr>
            <w:r>
              <w:rPr>
                <w:noProof/>
              </w:rPr>
              <w:t xml:space="preserve">- Cours de formation en ligne avec 6 modules disponibles </w:t>
            </w:r>
          </w:p>
          <w:p w14:paraId="1122FEEA" w14:textId="186BE23A" w:rsidR="006C686E" w:rsidRDefault="00B17E8C">
            <w:pPr>
              <w:pStyle w:val="P68B1DB1-Normal26"/>
              <w:spacing w:after="0" w:line="240" w:lineRule="auto"/>
              <w:rPr>
                <w:noProof/>
              </w:rPr>
            </w:pPr>
            <w:r>
              <w:rPr>
                <w:noProof/>
              </w:rPr>
              <w:t>- Entrée en vigueur de l’acte juridique établissant une réserve d’experts qui sera en place au moins jusqu’au 30 juin 2026.</w:t>
            </w:r>
          </w:p>
        </w:tc>
      </w:tr>
      <w:tr w:rsidR="006C686E" w14:paraId="53DACEC0"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19925CD" w14:textId="77777777" w:rsidR="006C686E" w:rsidRDefault="00B17E8C">
            <w:pPr>
              <w:pStyle w:val="P68B1DB1-Normal55"/>
              <w:spacing w:after="0" w:line="240" w:lineRule="auto"/>
              <w:jc w:val="center"/>
              <w:rPr>
                <w:noProof/>
              </w:rPr>
            </w:pPr>
            <w:r>
              <w:rPr>
                <w:noProof/>
              </w:rPr>
              <w:t>21.23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4C02B6" w14:textId="77777777" w:rsidR="006C686E" w:rsidRDefault="00B17E8C">
            <w:pPr>
              <w:pStyle w:val="P68B1DB1-Normal30"/>
              <w:spacing w:after="0" w:line="240" w:lineRule="auto"/>
              <w:jc w:val="center"/>
              <w:rPr>
                <w:noProof/>
              </w:rPr>
            </w:pPr>
            <w:r>
              <w:rPr>
                <w:noProof/>
              </w:rPr>
              <w:t>RP-C21-r48</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10E6C5"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71E790" w14:textId="77777777" w:rsidR="006C686E" w:rsidRDefault="00B17E8C">
            <w:pPr>
              <w:pStyle w:val="P68B1DB1-Normal30"/>
              <w:spacing w:after="0" w:line="240" w:lineRule="auto"/>
              <w:jc w:val="center"/>
              <w:rPr>
                <w:noProof/>
              </w:rPr>
            </w:pPr>
            <w:r>
              <w:rPr>
                <w:noProof/>
              </w:rPr>
              <w:t>Calendrier d'attribution des nouvelles capacités en matière d'énergies renouvelables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CD4A8B" w14:textId="77777777" w:rsidR="006C686E" w:rsidRDefault="00B17E8C">
            <w:pPr>
              <w:pStyle w:val="P68B1DB1-Normal11"/>
              <w:spacing w:after="0" w:line="240" w:lineRule="auto"/>
              <w:jc w:val="center"/>
              <w:rPr>
                <w:noProof/>
              </w:rPr>
            </w:pPr>
            <w:r>
              <w:rPr>
                <w:noProof/>
              </w:rPr>
              <w:t xml:space="preserve">Entrée en vigueur de l'acte juridique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B17810"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57AED1"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A59D2"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B4BB96"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8D2B5A"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65C50EEF" w14:textId="75EF35F7" w:rsidR="006C686E" w:rsidRDefault="00B17E8C">
            <w:pPr>
              <w:pStyle w:val="P68B1DB1-Normal26"/>
              <w:spacing w:after="0" w:line="240" w:lineRule="auto"/>
              <w:jc w:val="both"/>
              <w:rPr>
                <w:noProof/>
                <w:kern w:val="0"/>
                <w14:ligatures w14:val="none"/>
              </w:rPr>
            </w:pPr>
            <w:r>
              <w:rPr>
                <w:noProof/>
              </w:rPr>
              <w:t>Entrée en vigueur de l’acte juridique établissant</w:t>
            </w:r>
            <w:r>
              <w:rPr>
                <w:noProof/>
                <w:kern w:val="0"/>
                <w14:ligatures w14:val="none"/>
              </w:rPr>
              <w:t xml:space="preserve"> un calendrier pour l’attribution de nouvelles capacités en matière d’énergies renouvelables aux projets dans le domaine des énergies renouvelables, y compris les zones géographiques résultant du «programme sectoriel “Zones d’accélération des énergies renouvelables”».</w:t>
            </w:r>
          </w:p>
        </w:tc>
      </w:tr>
      <w:tr w:rsidR="006C686E" w14:paraId="30231E9D"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C3A731F" w14:textId="77777777" w:rsidR="006C686E" w:rsidRDefault="00B17E8C">
            <w:pPr>
              <w:pStyle w:val="P68B1DB1-Normal55"/>
              <w:spacing w:after="0" w:line="240" w:lineRule="auto"/>
              <w:jc w:val="center"/>
              <w:rPr>
                <w:noProof/>
              </w:rPr>
            </w:pPr>
            <w:r>
              <w:rPr>
                <w:noProof/>
              </w:rPr>
              <w:t>21.26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5F17CC" w14:textId="77777777" w:rsidR="006C686E" w:rsidRDefault="00B17E8C">
            <w:pPr>
              <w:pStyle w:val="P68B1DB1-Normal30"/>
              <w:spacing w:after="0" w:line="240" w:lineRule="auto"/>
              <w:jc w:val="center"/>
              <w:rPr>
                <w:noProof/>
              </w:rPr>
            </w:pPr>
            <w:r>
              <w:rPr>
                <w:noProof/>
              </w:rPr>
              <w:t>RP-C21-i07</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20B50B"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CE28DB" w14:textId="77777777" w:rsidR="006C686E" w:rsidRDefault="00B17E8C">
            <w:pPr>
              <w:pStyle w:val="P68B1DB1-Normal30"/>
              <w:spacing w:after="0" w:line="240" w:lineRule="auto"/>
              <w:jc w:val="center"/>
              <w:rPr>
                <w:noProof/>
              </w:rPr>
            </w:pPr>
            <w:r>
              <w:rPr>
                <w:noProof/>
              </w:rPr>
              <w:t>Signature du(des) contrat(s) pour les études techniques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024CCC" w14:textId="77777777" w:rsidR="006C686E" w:rsidRDefault="00B17E8C">
            <w:pPr>
              <w:pStyle w:val="P68B1DB1-Normal30"/>
              <w:spacing w:after="0" w:line="240" w:lineRule="auto"/>
              <w:jc w:val="center"/>
              <w:rPr>
                <w:noProof/>
              </w:rPr>
            </w:pPr>
            <w:r>
              <w:rPr>
                <w:noProof/>
              </w:rPr>
              <w:t>Signature du(des) contrat(s) pour les études techniques offshore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4915E3"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D96EF8"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830134"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1EAF3"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F5BEC"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9E638F0" w14:textId="77777777" w:rsidR="006C686E" w:rsidRDefault="00B17E8C">
            <w:pPr>
              <w:pStyle w:val="P68B1DB1-Normal30"/>
              <w:spacing w:after="0" w:line="240" w:lineRule="auto"/>
              <w:jc w:val="both"/>
              <w:rPr>
                <w:noProof/>
              </w:rPr>
            </w:pPr>
            <w:r>
              <w:rPr>
                <w:noProof/>
              </w:rPr>
              <w:t xml:space="preserve">Signature du ou des contrats pour les études géophysiques, géotechniques, éoliennes, houlomotrices et actuelles en mer visant à faciliter l’installation d’énergie éolienne en mer. </w:t>
            </w:r>
          </w:p>
        </w:tc>
      </w:tr>
      <w:tr w:rsidR="006C686E" w14:paraId="727B2F41"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E5A3531" w14:textId="77777777" w:rsidR="006C686E" w:rsidRDefault="00B17E8C">
            <w:pPr>
              <w:pStyle w:val="P68B1DB1-Normal55"/>
              <w:spacing w:after="0" w:line="240" w:lineRule="auto"/>
              <w:jc w:val="center"/>
              <w:rPr>
                <w:noProof/>
              </w:rPr>
            </w:pPr>
            <w:r>
              <w:rPr>
                <w:noProof/>
              </w:rPr>
              <w:t>21.27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B76F91" w14:textId="77777777" w:rsidR="006C686E" w:rsidRDefault="00B17E8C">
            <w:pPr>
              <w:pStyle w:val="P68B1DB1-Normal30"/>
              <w:spacing w:after="0" w:line="240" w:lineRule="auto"/>
              <w:jc w:val="center"/>
              <w:rPr>
                <w:noProof/>
              </w:rPr>
            </w:pPr>
            <w:r>
              <w:rPr>
                <w:noProof/>
              </w:rPr>
              <w:t>RP-C21-i07</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3FF48E"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95AE32" w14:textId="77777777" w:rsidR="006C686E" w:rsidRDefault="00B17E8C">
            <w:pPr>
              <w:pStyle w:val="P68B1DB1-Normal30"/>
              <w:spacing w:after="0" w:line="240" w:lineRule="auto"/>
              <w:jc w:val="center"/>
              <w:rPr>
                <w:noProof/>
              </w:rPr>
            </w:pPr>
            <w:r>
              <w:rPr>
                <w:noProof/>
              </w:rPr>
              <w:t>Publication d'études techniques pour l'éolien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48A05D" w14:textId="6F4F191F" w:rsidR="006C686E" w:rsidRDefault="00B17E8C">
            <w:pPr>
              <w:pStyle w:val="P68B1DB1-Normal13"/>
              <w:spacing w:after="0" w:line="240" w:lineRule="auto"/>
              <w:jc w:val="center"/>
              <w:rPr>
                <w:noProof/>
                <w:kern w:val="0"/>
                <w14:ligatures w14:val="none"/>
              </w:rPr>
            </w:pPr>
            <w:r>
              <w:rPr>
                <w:noProof/>
              </w:rPr>
              <w:t xml:space="preserve">Publication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3CCE59"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AC51FE0"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648B72"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4681A8"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E903CA"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4433CAB" w14:textId="77777777" w:rsidR="006C686E" w:rsidRDefault="00B17E8C">
            <w:pPr>
              <w:pStyle w:val="P68B1DB1-Normal27"/>
              <w:spacing w:after="0" w:line="240" w:lineRule="auto"/>
              <w:jc w:val="both"/>
              <w:rPr>
                <w:rFonts w:ascii="Times New Roman" w:hAnsi="Times New Roman" w:cs="Times New Roman"/>
                <w:noProof/>
              </w:rPr>
            </w:pPr>
            <w:r>
              <w:rPr>
                <w:rFonts w:ascii="Times New Roman" w:hAnsi="Times New Roman" w:cs="Times New Roman"/>
                <w:noProof/>
              </w:rPr>
              <w:t>Publication en ligne d'études</w:t>
            </w:r>
            <w:r>
              <w:rPr>
                <w:rFonts w:ascii="Times New Roman" w:hAnsi="Times New Roman" w:cs="Times New Roman"/>
                <w:noProof/>
                <w:kern w:val="0"/>
                <w14:ligatures w14:val="none"/>
              </w:rPr>
              <w:t xml:space="preserve"> techniques sur</w:t>
            </w:r>
            <w:r>
              <w:rPr>
                <w:rFonts w:ascii="Times New Roman" w:hAnsi="Times New Roman" w:cs="Times New Roman"/>
                <w:noProof/>
              </w:rPr>
              <w:t xml:space="preserve"> </w:t>
            </w:r>
            <w:r>
              <w:rPr>
                <w:rFonts w:ascii="Times New Roman" w:eastAsia="Calibri" w:hAnsi="Times New Roman" w:cs="Times New Roman"/>
                <w:noProof/>
              </w:rPr>
              <w:t>l'éolien</w:t>
            </w:r>
            <w:r>
              <w:rPr>
                <w:rFonts w:ascii="Times New Roman" w:hAnsi="Times New Roman" w:cs="Times New Roman"/>
                <w:noProof/>
                <w:kern w:val="0"/>
                <w14:ligatures w14:val="none"/>
              </w:rPr>
              <w:t xml:space="preserve"> en mer couvrant une superficie d'au moins 2 000 km².</w:t>
            </w:r>
          </w:p>
        </w:tc>
      </w:tr>
      <w:tr w:rsidR="006C686E" w14:paraId="6BBD44EF"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371A430" w14:textId="51194B2C" w:rsidR="006C686E" w:rsidRDefault="00B17E8C">
            <w:pPr>
              <w:pStyle w:val="P68B1DB1-Normal55"/>
              <w:spacing w:after="0" w:line="240" w:lineRule="auto"/>
              <w:jc w:val="center"/>
              <w:rPr>
                <w:noProof/>
              </w:rPr>
            </w:pPr>
            <w:r>
              <w:rPr>
                <w:noProof/>
              </w:rPr>
              <w:t>21.32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B49E73" w14:textId="77777777" w:rsidR="006C686E" w:rsidRDefault="00B17E8C">
            <w:pPr>
              <w:pStyle w:val="P68B1DB1-Normal30"/>
              <w:spacing w:after="0" w:line="240" w:lineRule="auto"/>
              <w:jc w:val="center"/>
              <w:rPr>
                <w:noProof/>
              </w:rPr>
            </w:pPr>
            <w:r>
              <w:rPr>
                <w:noProof/>
              </w:rPr>
              <w:t>RP-C21-i10-RAA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2F99E4"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2F79E6" w14:textId="77777777" w:rsidR="006C686E" w:rsidRDefault="00B17E8C">
            <w:pPr>
              <w:pStyle w:val="P68B1DB1-Normal30"/>
              <w:spacing w:after="0" w:line="240" w:lineRule="auto"/>
              <w:jc w:val="center"/>
              <w:rPr>
                <w:noProof/>
              </w:rPr>
            </w:pPr>
            <w:r>
              <w:rPr>
                <w:noProof/>
              </w:rPr>
              <w:t>Installation de la capacité de stockage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643DA0"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9D1180" w14:textId="6878942C" w:rsidR="006C686E" w:rsidRDefault="00B17E8C">
            <w:pPr>
              <w:pStyle w:val="P68B1DB1-Normal30"/>
              <w:spacing w:after="0" w:line="240" w:lineRule="auto"/>
              <w:jc w:val="center"/>
              <w:rPr>
                <w:noProof/>
              </w:rPr>
            </w:pPr>
            <w:r>
              <w:rPr>
                <w:noProof/>
              </w:rPr>
              <w:t>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B4FDF7" w14:textId="77777777" w:rsidR="006C686E" w:rsidRDefault="00B17E8C">
            <w:pPr>
              <w:pStyle w:val="P68B1DB1-Normal30"/>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7FDBDA" w14:textId="77777777" w:rsidR="006C686E" w:rsidRDefault="00B17E8C">
            <w:pPr>
              <w:pStyle w:val="P68B1DB1-Normal30"/>
              <w:spacing w:after="0" w:line="240" w:lineRule="auto"/>
              <w:jc w:val="center"/>
              <w:rPr>
                <w:noProof/>
              </w:rPr>
            </w:pPr>
            <w:r>
              <w:rPr>
                <w:noProof/>
              </w:rPr>
              <w:t>8,75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2212FD" w14:textId="77777777" w:rsidR="006C686E" w:rsidRDefault="00B17E8C">
            <w:pPr>
              <w:pStyle w:val="P68B1DB1-Normal30"/>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3F30C0" w14:textId="77777777"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53E2278" w14:textId="74F646BA" w:rsidR="006C686E" w:rsidRDefault="00B17E8C">
            <w:pPr>
              <w:pStyle w:val="P68B1DB1-Normal26"/>
              <w:spacing w:after="0" w:line="240" w:lineRule="auto"/>
              <w:rPr>
                <w:noProof/>
                <w:kern w:val="0"/>
                <w14:ligatures w14:val="none"/>
              </w:rPr>
            </w:pPr>
            <w:r>
              <w:rPr>
                <w:noProof/>
              </w:rPr>
              <w:t>Installation de la capacité de stockage de la batterie.</w:t>
            </w:r>
          </w:p>
        </w:tc>
      </w:tr>
      <w:tr w:rsidR="006C686E" w14:paraId="244E16F5"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70A8207" w14:textId="54FA88EF" w:rsidR="006C686E" w:rsidRDefault="00B17E8C">
            <w:pPr>
              <w:pStyle w:val="P68B1DB1-Normal25"/>
              <w:spacing w:after="0" w:line="240" w:lineRule="auto"/>
              <w:jc w:val="center"/>
              <w:rPr>
                <w:noProof/>
                <w:kern w:val="0"/>
                <w14:ligatures w14:val="none"/>
              </w:rPr>
            </w:pPr>
            <w:r>
              <w:rPr>
                <w:noProof/>
              </w:rPr>
              <w:t>21.33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2B3476" w14:textId="3675CD6D" w:rsidR="006C686E" w:rsidRDefault="00B17E8C">
            <w:pPr>
              <w:pStyle w:val="P68B1DB1-Normal30"/>
              <w:spacing w:after="0" w:line="240" w:lineRule="auto"/>
              <w:jc w:val="center"/>
              <w:rPr>
                <w:noProof/>
              </w:rPr>
            </w:pPr>
            <w:r>
              <w:rPr>
                <w:noProof/>
              </w:rPr>
              <w:t>RP-C21-i11-RAM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887E9E"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6E2E85" w14:textId="0DBA2240" w:rsidR="006C686E" w:rsidRDefault="00B17E8C">
            <w:pPr>
              <w:pStyle w:val="P68B1DB1-Normal27"/>
              <w:spacing w:after="0" w:line="240" w:lineRule="auto"/>
              <w:jc w:val="center"/>
              <w:rPr>
                <w:rFonts w:ascii="Times New Roman" w:hAnsi="Times New Roman" w:cs="Times New Roman"/>
                <w:noProof/>
              </w:rPr>
            </w:pPr>
            <w:r>
              <w:rPr>
                <w:rFonts w:ascii="Times New Roman" w:eastAsia="Calibri" w:hAnsi="Times New Roman" w:cs="Times New Roman"/>
                <w:noProof/>
              </w:rPr>
              <w:t>Installation</w:t>
            </w:r>
            <w:r>
              <w:rPr>
                <w:rFonts w:ascii="Times New Roman" w:eastAsia="Calibri" w:hAnsi="Times New Roman" w:cs="Times New Roman"/>
                <w:noProof/>
                <w:kern w:val="0"/>
                <w14:ligatures w14:val="none"/>
              </w:rPr>
              <w:t xml:space="preserve"> d'unités</w:t>
            </w:r>
            <w:r>
              <w:rPr>
                <w:rFonts w:ascii="Times New Roman" w:hAnsi="Times New Roman" w:cs="Times New Roman"/>
                <w:noProof/>
                <w:kern w:val="0"/>
                <w14:ligatures w14:val="none"/>
              </w:rPr>
              <w:t xml:space="preserve"> </w:t>
            </w:r>
            <w:r>
              <w:rPr>
                <w:rFonts w:ascii="Times New Roman" w:eastAsia="Calibri" w:hAnsi="Times New Roman" w:cs="Times New Roman"/>
                <w:noProof/>
              </w:rPr>
              <w:t xml:space="preserve"> </w:t>
            </w:r>
            <w:r>
              <w:rPr>
                <w:rFonts w:ascii="Times New Roman" w:eastAsia="Calibri" w:hAnsi="Times New Roman" w:cs="Times New Roman"/>
                <w:noProof/>
                <w:kern w:val="0"/>
                <w14:ligatures w14:val="none"/>
              </w:rPr>
              <w:t xml:space="preserve"> </w:t>
            </w:r>
            <w:r>
              <w:rPr>
                <w:rFonts w:ascii="Times New Roman" w:eastAsia="Calibri" w:hAnsi="Times New Roman" w:cs="Times New Roman"/>
                <w:noProof/>
              </w:rPr>
              <w:t xml:space="preserve">photovoltaïques </w:t>
            </w:r>
            <w:r>
              <w:rPr>
                <w:rFonts w:ascii="Times New Roman" w:hAnsi="Times New Roman" w:cs="Times New Roman"/>
                <w:noProof/>
              </w:rPr>
              <w:t>ou</w:t>
            </w:r>
            <w:r>
              <w:rPr>
                <w:rFonts w:ascii="Times New Roman" w:hAnsi="Times New Roman" w:cs="Times New Roman"/>
                <w:noProof/>
                <w:kern w:val="0"/>
                <w14:ligatures w14:val="none"/>
              </w:rPr>
              <w:t xml:space="preserve"> capacité de stockage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FB63DB"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32A399" w14:textId="02FBE97C" w:rsidR="006C686E" w:rsidRDefault="00B17E8C">
            <w:pPr>
              <w:pStyle w:val="P68B1DB1-Normal30"/>
              <w:spacing w:after="0" w:line="240" w:lineRule="auto"/>
              <w:jc w:val="center"/>
              <w:rPr>
                <w:noProof/>
              </w:rPr>
            </w:pPr>
            <w:r>
              <w:rPr>
                <w:noProof/>
              </w:rPr>
              <w:t>MW/MWp ou 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BAF2A8" w14:textId="77777777" w:rsidR="006C686E" w:rsidRDefault="00B17E8C">
            <w:pPr>
              <w:pStyle w:val="P68B1DB1-Normal30"/>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FBFB36" w14:textId="38C0B9C8" w:rsidR="006C686E" w:rsidRDefault="00B17E8C">
            <w:pPr>
              <w:pStyle w:val="P68B1DB1-Normal30"/>
              <w:spacing w:after="0" w:line="240" w:lineRule="auto"/>
              <w:jc w:val="center"/>
              <w:rPr>
                <w:noProof/>
              </w:rPr>
            </w:pPr>
            <w:r>
              <w:rPr>
                <w:noProof/>
              </w:rPr>
              <w:t>7.7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E11AEA" w14:textId="54A400E7" w:rsidR="006C686E" w:rsidRDefault="00B17E8C">
            <w:pPr>
              <w:pStyle w:val="P68B1DB1-Normal30"/>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D243BE" w14:textId="32C37031"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4FB0F65" w14:textId="1A222479" w:rsidR="006C686E" w:rsidRDefault="00B17E8C">
            <w:pPr>
              <w:pStyle w:val="P68B1DB1-Normal13"/>
              <w:spacing w:after="0" w:line="240" w:lineRule="auto"/>
              <w:rPr>
                <w:noProof/>
              </w:rPr>
            </w:pPr>
            <w:r>
              <w:rPr>
                <w:noProof/>
              </w:rPr>
              <w:t xml:space="preserve">Au moins 3,14 MW/MWp d'unités photovoltaïques installées. </w:t>
            </w:r>
          </w:p>
          <w:p w14:paraId="7B7DCDD3" w14:textId="644A9F5A" w:rsidR="006C686E" w:rsidRDefault="00B17E8C">
            <w:pPr>
              <w:pStyle w:val="P68B1DB1-Normal13"/>
              <w:spacing w:after="0" w:line="240" w:lineRule="auto"/>
              <w:rPr>
                <w:noProof/>
                <w:kern w:val="0"/>
                <w14:ligatures w14:val="none"/>
              </w:rPr>
            </w:pPr>
            <w:r>
              <w:rPr>
                <w:noProof/>
              </w:rPr>
              <w:t>Au moins 4,56 MWh de capacité de stockage de la batterie installée.</w:t>
            </w:r>
          </w:p>
        </w:tc>
      </w:tr>
      <w:tr w:rsidR="006C686E" w14:paraId="17D1791E"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2D37FDB" w14:textId="77777777" w:rsidR="006C686E" w:rsidRDefault="00B17E8C">
            <w:pPr>
              <w:pStyle w:val="P68B1DB1-Normal25"/>
              <w:spacing w:after="0" w:line="240" w:lineRule="auto"/>
              <w:jc w:val="center"/>
              <w:rPr>
                <w:noProof/>
                <w:kern w:val="0"/>
                <w14:ligatures w14:val="none"/>
              </w:rPr>
            </w:pPr>
            <w:r>
              <w:rPr>
                <w:noProof/>
              </w:rPr>
              <w:t>21.34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CE001" w14:textId="77777777" w:rsidR="006C686E" w:rsidRDefault="00B17E8C">
            <w:pPr>
              <w:pStyle w:val="P68B1DB1-Normal30"/>
              <w:spacing w:after="0" w:line="240" w:lineRule="auto"/>
              <w:jc w:val="center"/>
              <w:rPr>
                <w:noProof/>
              </w:rPr>
            </w:pPr>
            <w:r>
              <w:rPr>
                <w:noProof/>
              </w:rPr>
              <w:t>RP-C21-i11-RAM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8A7256"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511D44" w14:textId="77777777" w:rsidR="006C686E" w:rsidRDefault="00B17E8C">
            <w:pPr>
              <w:pStyle w:val="P68B1DB1-Normal30"/>
              <w:spacing w:after="0" w:line="240" w:lineRule="auto"/>
              <w:jc w:val="center"/>
              <w:rPr>
                <w:noProof/>
              </w:rPr>
            </w:pPr>
            <w:r>
              <w:rPr>
                <w:noProof/>
              </w:rPr>
              <w:t>Installation d'une capacité d'énergie renouvelable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46DC933E" w14:textId="77777777" w:rsidR="006C686E" w:rsidRDefault="00B17E8C">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098DB0" w14:textId="12A2E698" w:rsidR="006C686E" w:rsidRDefault="00B17E8C">
            <w:pPr>
              <w:pStyle w:val="P68B1DB1-Normal30"/>
              <w:spacing w:after="0" w:line="240" w:lineRule="auto"/>
              <w:jc w:val="center"/>
              <w:rPr>
                <w:noProof/>
              </w:rPr>
            </w:pPr>
            <w:r>
              <w:rPr>
                <w:noProof/>
              </w:rPr>
              <w:t>MW/MWp</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8D5C72" w14:textId="77777777" w:rsidR="006C686E" w:rsidRDefault="00B17E8C">
            <w:pPr>
              <w:pStyle w:val="P68B1DB1-Normal30"/>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07482" w14:textId="77777777" w:rsidR="006C686E" w:rsidRDefault="00B17E8C">
            <w:pPr>
              <w:pStyle w:val="P68B1DB1-Normal30"/>
              <w:spacing w:after="0" w:line="240" w:lineRule="auto"/>
              <w:jc w:val="center"/>
              <w:rPr>
                <w:noProof/>
              </w:rPr>
            </w:pPr>
            <w:r>
              <w:rPr>
                <w:noProof/>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2252B3" w14:textId="77777777" w:rsidR="006C686E" w:rsidRDefault="00B17E8C">
            <w:pPr>
              <w:pStyle w:val="P68B1DB1-Normal30"/>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CB950F"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E226034" w14:textId="7FC7E60D" w:rsidR="006C686E" w:rsidRDefault="00B17E8C">
            <w:pPr>
              <w:pStyle w:val="P68B1DB1-Normal27"/>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Installation et raccordement au réseau </w:t>
            </w:r>
            <w:r>
              <w:rPr>
                <w:rFonts w:ascii="Times New Roman" w:hAnsi="Times New Roman" w:cs="Times New Roman"/>
                <w:noProof/>
                <w:kern w:val="0"/>
                <w14:ligatures w14:val="none"/>
              </w:rPr>
              <w:t>de 7 MW d'énergie éolienne et de 4</w:t>
            </w:r>
            <w:r>
              <w:rPr>
                <w:rFonts w:ascii="Times New Roman" w:hAnsi="Times New Roman" w:cs="Times New Roman"/>
                <w:noProof/>
              </w:rPr>
              <w:t xml:space="preserve"> MWc de capacité de production d'énergie solaire</w:t>
            </w:r>
          </w:p>
        </w:tc>
      </w:tr>
      <w:tr w:rsidR="006C686E" w14:paraId="0FC28F06"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A203FA6" w14:textId="77777777" w:rsidR="006C686E" w:rsidRDefault="00B17E8C">
            <w:pPr>
              <w:pStyle w:val="P68B1DB1-Normal55"/>
              <w:spacing w:after="0" w:line="240" w:lineRule="auto"/>
              <w:jc w:val="center"/>
              <w:rPr>
                <w:noProof/>
              </w:rPr>
            </w:pPr>
            <w:r>
              <w:rPr>
                <w:noProof/>
              </w:rPr>
              <w:t>21.35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36B5A6" w14:textId="77777777" w:rsidR="006C686E" w:rsidRDefault="00B17E8C">
            <w:pPr>
              <w:pStyle w:val="P68B1DB1-Normal30"/>
              <w:spacing w:after="0" w:line="240" w:lineRule="auto"/>
              <w:jc w:val="center"/>
              <w:rPr>
                <w:noProof/>
              </w:rPr>
            </w:pPr>
            <w:r>
              <w:rPr>
                <w:noProof/>
              </w:rPr>
              <w:t>RP-C21-i12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E35BD3"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46822C" w14:textId="77777777" w:rsidR="006C686E" w:rsidRDefault="00B17E8C">
            <w:pPr>
              <w:pStyle w:val="P68B1DB1-Normal30"/>
              <w:spacing w:after="0" w:line="240" w:lineRule="auto"/>
              <w:jc w:val="center"/>
              <w:rPr>
                <w:noProof/>
              </w:rPr>
            </w:pPr>
            <w:r>
              <w:rPr>
                <w:noProof/>
              </w:rPr>
              <w:t>Signature des conditions d’acceptation pour l’achat d’autobus propres dans le cadre du programme de décarbonation des transports publics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23FCA7A1" w14:textId="77777777" w:rsidR="006C686E" w:rsidRDefault="00B17E8C">
            <w:pPr>
              <w:pStyle w:val="P68B1DB1-Normal30"/>
              <w:spacing w:after="0" w:line="240" w:lineRule="auto"/>
              <w:jc w:val="center"/>
              <w:rPr>
                <w:noProof/>
              </w:rPr>
            </w:pPr>
            <w:r>
              <w:rPr>
                <w:noProof/>
              </w:rPr>
              <w:t>Signature des conditions d’acceptation pour l’achat d’autobus propres dans le cadre du programme de décarbonation des transports publics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tcPr>
          <w:p w14:paraId="2EB79691" w14:textId="77777777" w:rsidR="006C686E" w:rsidRDefault="00B17E8C">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1812AA"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tcPr>
          <w:p w14:paraId="3A90E35E" w14:textId="77777777" w:rsidR="006C686E" w:rsidRDefault="00B17E8C">
            <w:pPr>
              <w:pStyle w:val="P68B1DB1-Normal30"/>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6F5E4B"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815895"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7303733" w14:textId="77777777" w:rsidR="006C686E" w:rsidRDefault="00B17E8C">
            <w:pPr>
              <w:pStyle w:val="P68B1DB1-Normal30"/>
              <w:spacing w:after="0" w:line="240" w:lineRule="auto"/>
              <w:jc w:val="both"/>
              <w:rPr>
                <w:noProof/>
              </w:rPr>
            </w:pPr>
            <w:r>
              <w:rPr>
                <w:noProof/>
              </w:rPr>
              <w:t>Signature des conditions d’acceptation entre les bénéficiaires et l’entité gestionnaire, sur la base d’une procédure d’appel d’offres concurrentielle, donnant l’engagement d’acheter 300 bus à émissions nulles (électriques ou à hydrogène).</w:t>
            </w:r>
          </w:p>
        </w:tc>
      </w:tr>
      <w:tr w:rsidR="006C686E" w14:paraId="29853590"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5F59772" w14:textId="77777777" w:rsidR="006C686E" w:rsidRDefault="00B17E8C">
            <w:pPr>
              <w:pStyle w:val="P68B1DB1-Normal55"/>
              <w:spacing w:after="0" w:line="240" w:lineRule="auto"/>
              <w:jc w:val="center"/>
              <w:rPr>
                <w:noProof/>
              </w:rPr>
            </w:pPr>
            <w:r>
              <w:rPr>
                <w:noProof/>
              </w:rPr>
              <w:t>21.36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BFC815" w14:textId="77777777" w:rsidR="006C686E" w:rsidRDefault="00B17E8C">
            <w:pPr>
              <w:pStyle w:val="P68B1DB1-Normal30"/>
              <w:spacing w:after="0" w:line="240" w:lineRule="auto"/>
              <w:jc w:val="center"/>
              <w:rPr>
                <w:noProof/>
              </w:rPr>
            </w:pPr>
            <w:r>
              <w:rPr>
                <w:noProof/>
              </w:rPr>
              <w:t>RP-C21-i12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6B9509" w14:textId="32D18A98" w:rsidR="006C686E" w:rsidRDefault="00B17E8C">
            <w:pPr>
              <w:pStyle w:val="P68B1DB1-Normal11"/>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415814" w14:textId="77777777" w:rsidR="006C686E" w:rsidRDefault="00B17E8C">
            <w:pPr>
              <w:pStyle w:val="P68B1DB1-Normal30"/>
              <w:spacing w:after="0" w:line="240" w:lineRule="auto"/>
              <w:jc w:val="center"/>
              <w:rPr>
                <w:noProof/>
              </w:rPr>
            </w:pPr>
            <w:r>
              <w:rPr>
                <w:noProof/>
              </w:rPr>
              <w:t xml:space="preserve">Livraison d’autobus à émissions nulles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5CDCE0FD" w14:textId="2BBEA517" w:rsidR="006C686E" w:rsidRDefault="006C686E">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B02F11" w14:textId="495826F6" w:rsidR="006C686E" w:rsidRDefault="00B17E8C">
            <w:pPr>
              <w:pStyle w:val="P68B1DB1-Normal30"/>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0A5AE5" w14:textId="4BD01BDA" w:rsidR="006C686E" w:rsidRDefault="00B17E8C">
            <w:pPr>
              <w:pStyle w:val="P68B1DB1-Normal26"/>
              <w:spacing w:after="0" w:line="240" w:lineRule="auto"/>
              <w:jc w:val="center"/>
              <w:rPr>
                <w:noProof/>
                <w:kern w:val="0"/>
                <w14:ligatures w14:val="none"/>
              </w:rPr>
            </w:pPr>
            <w:r>
              <w:rPr>
                <w:noProof/>
              </w:rPr>
              <w:t>145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4DD41E" w14:textId="0B6A71CA" w:rsidR="006C686E" w:rsidRDefault="00B17E8C">
            <w:pPr>
              <w:pStyle w:val="P68B1DB1-Normal26"/>
              <w:spacing w:after="0" w:line="240" w:lineRule="auto"/>
              <w:jc w:val="center"/>
              <w:rPr>
                <w:noProof/>
                <w:kern w:val="0"/>
                <w14:ligatures w14:val="none"/>
              </w:rPr>
            </w:pPr>
            <w:r>
              <w:rPr>
                <w:noProof/>
              </w:rPr>
              <w:t>860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CF3CF7" w14:textId="77777777" w:rsidR="006C686E" w:rsidRDefault="00B17E8C">
            <w:pPr>
              <w:pStyle w:val="P68B1DB1-Normal3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62C72A"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3B7F9BB5" w14:textId="0D9C1359" w:rsidR="006C686E" w:rsidRDefault="00B17E8C">
            <w:pPr>
              <w:pStyle w:val="P68B1DB1-Normal27"/>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 xml:space="preserve">Livraison de </w:t>
            </w:r>
            <w:r>
              <w:rPr>
                <w:rFonts w:ascii="Times New Roman" w:hAnsi="Times New Roman" w:cs="Times New Roman"/>
                <w:noProof/>
              </w:rPr>
              <w:t>715</w:t>
            </w:r>
            <w:r>
              <w:rPr>
                <w:rFonts w:ascii="Times New Roman" w:hAnsi="Times New Roman" w:cs="Times New Roman"/>
                <w:noProof/>
                <w:kern w:val="0"/>
                <w14:ligatures w14:val="none"/>
              </w:rPr>
              <w:t xml:space="preserve"> bus à émissions nulles (électriques ou à hydrogène).</w:t>
            </w:r>
          </w:p>
        </w:tc>
      </w:tr>
      <w:tr w:rsidR="006C686E" w14:paraId="28E643A7"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664A1BD" w14:textId="661A7FE1" w:rsidR="006C686E" w:rsidRDefault="00B17E8C">
            <w:pPr>
              <w:pStyle w:val="P68B1DB1-Normal25"/>
              <w:spacing w:after="0" w:line="240" w:lineRule="auto"/>
              <w:jc w:val="center"/>
              <w:rPr>
                <w:bCs/>
                <w:noProof/>
                <w:kern w:val="0"/>
                <w14:ligatures w14:val="none"/>
              </w:rPr>
            </w:pPr>
            <w:r>
              <w:rPr>
                <w:noProof/>
              </w:rPr>
              <w:t>21.37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9DB3FE" w14:textId="3A6E2DDB" w:rsidR="006C686E" w:rsidRDefault="00B17E8C">
            <w:pPr>
              <w:pStyle w:val="P68B1DB1-Normal26"/>
              <w:spacing w:after="0" w:line="240" w:lineRule="auto"/>
              <w:jc w:val="center"/>
              <w:rPr>
                <w:noProof/>
                <w:kern w:val="0"/>
                <w14:ligatures w14:val="none"/>
              </w:rPr>
            </w:pPr>
            <w:r>
              <w:rPr>
                <w:noProof/>
              </w:rPr>
              <w:t>RP-C21-i13-RAM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0ED323" w14:textId="77777777" w:rsidR="006C686E" w:rsidRDefault="00B17E8C">
            <w:pPr>
              <w:pStyle w:val="P68B1DB1-Normal30"/>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C6EAF0" w14:textId="75A809B9" w:rsidR="006C686E" w:rsidRDefault="00B17E8C">
            <w:pPr>
              <w:pStyle w:val="P68B1DB1-Normal30"/>
              <w:spacing w:after="0" w:line="240" w:lineRule="auto"/>
              <w:jc w:val="center"/>
              <w:rPr>
                <w:noProof/>
              </w:rPr>
            </w:pPr>
            <w:r>
              <w:rPr>
                <w:noProof/>
              </w:rPr>
              <w:t>Livraison d’autobus à émissions nulles, mise au rebut de véhicules et achat de véhicules électriques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2FD187"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8607CD" w14:textId="77777777" w:rsidR="006C686E" w:rsidRDefault="00B17E8C">
            <w:pPr>
              <w:pStyle w:val="P68B1DB1-Normal30"/>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6228E" w14:textId="15FF106B" w:rsidR="006C686E" w:rsidRDefault="00B17E8C">
            <w:pPr>
              <w:pStyle w:val="P68B1DB1-Normal30"/>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C88EAE" w14:textId="4A89FCE9" w:rsidR="006C686E" w:rsidRDefault="00B17E8C">
            <w:pPr>
              <w:pStyle w:val="P68B1DB1-Normal30"/>
              <w:spacing w:after="0" w:line="240" w:lineRule="auto"/>
              <w:jc w:val="center"/>
              <w:rPr>
                <w:noProof/>
              </w:rPr>
            </w:pPr>
            <w:r>
              <w:rPr>
                <w:noProof/>
              </w:rPr>
              <w:t>464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169508" w14:textId="77777777" w:rsidR="006C686E" w:rsidRDefault="00B17E8C">
            <w:pPr>
              <w:pStyle w:val="P68B1DB1-Normal30"/>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603C5C"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3F850FE" w14:textId="2AB8567B" w:rsidR="006C686E" w:rsidRDefault="00B17E8C">
            <w:pPr>
              <w:pStyle w:val="P68B1DB1-Normal26"/>
              <w:spacing w:after="0" w:line="240" w:lineRule="auto"/>
              <w:jc w:val="both"/>
              <w:rPr>
                <w:rFonts w:eastAsia="Calibri"/>
                <w:noProof/>
                <w:kern w:val="0"/>
                <w14:ligatures w14:val="none"/>
              </w:rPr>
            </w:pPr>
            <w:r>
              <w:rPr>
                <w:noProof/>
              </w:rPr>
              <w:t>Livraison de 14</w:t>
            </w:r>
            <w:r>
              <w:rPr>
                <w:noProof/>
                <w:kern w:val="0"/>
                <w14:ligatures w14:val="none"/>
              </w:rPr>
              <w:t xml:space="preserve"> bus à émissions nulles</w:t>
            </w:r>
            <w:r>
              <w:rPr>
                <w:noProof/>
              </w:rPr>
              <w:t xml:space="preserve"> </w:t>
            </w:r>
            <w:r>
              <w:rPr>
                <w:noProof/>
                <w:kern w:val="0"/>
                <w14:ligatures w14:val="none"/>
              </w:rPr>
              <w:t xml:space="preserve">(électriques ou à hydrogène) et installation de </w:t>
            </w:r>
            <w:r>
              <w:rPr>
                <w:noProof/>
              </w:rPr>
              <w:t>points de recharge.</w:t>
            </w:r>
          </w:p>
          <w:p w14:paraId="41D572E8" w14:textId="28F61553" w:rsidR="006C686E" w:rsidRDefault="00B17E8C">
            <w:pPr>
              <w:pStyle w:val="P68B1DB1-Normal26"/>
              <w:spacing w:after="0" w:line="240" w:lineRule="auto"/>
              <w:jc w:val="both"/>
              <w:rPr>
                <w:noProof/>
                <w:kern w:val="0"/>
                <w14:ligatures w14:val="none"/>
              </w:rPr>
            </w:pPr>
            <w:r>
              <w:rPr>
                <w:noProof/>
              </w:rPr>
              <w:t xml:space="preserve">Grattage de </w:t>
            </w:r>
            <w:r>
              <w:rPr>
                <w:noProof/>
                <w:kern w:val="0"/>
                <w14:ligatures w14:val="none"/>
              </w:rPr>
              <w:t>4</w:t>
            </w:r>
            <w:r>
              <w:rPr>
                <w:noProof/>
              </w:rPr>
              <w:t xml:space="preserve"> 5</w:t>
            </w:r>
            <w:r>
              <w:rPr>
                <w:noProof/>
                <w:kern w:val="0"/>
                <w14:ligatures w14:val="none"/>
              </w:rPr>
              <w:t>0 véhicules</w:t>
            </w:r>
            <w:r>
              <w:rPr>
                <w:noProof/>
              </w:rPr>
              <w:t>.</w:t>
            </w:r>
          </w:p>
          <w:p w14:paraId="6847E342" w14:textId="34681524" w:rsidR="006C686E" w:rsidRDefault="00B17E8C">
            <w:pPr>
              <w:pStyle w:val="P68B1DB1-Normal26"/>
              <w:spacing w:after="0" w:line="240" w:lineRule="auto"/>
              <w:jc w:val="both"/>
              <w:rPr>
                <w:noProof/>
                <w:kern w:val="0"/>
                <w14:ligatures w14:val="none"/>
              </w:rPr>
            </w:pPr>
            <w:r>
              <w:rPr>
                <w:noProof/>
              </w:rPr>
              <w:t xml:space="preserve">Achat de 450 </w:t>
            </w:r>
            <w:r>
              <w:rPr>
                <w:noProof/>
                <w:kern w:val="0"/>
                <w14:ligatures w14:val="none"/>
              </w:rPr>
              <w:t>véhicules électriques.</w:t>
            </w:r>
          </w:p>
        </w:tc>
      </w:tr>
      <w:tr w:rsidR="006C686E" w14:paraId="5154122F"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A5F9AC7" w14:textId="77777777" w:rsidR="006C686E" w:rsidRDefault="00B17E8C">
            <w:pPr>
              <w:pStyle w:val="P68B1DB1-Normal55"/>
              <w:spacing w:after="0" w:line="240" w:lineRule="auto"/>
              <w:jc w:val="center"/>
              <w:rPr>
                <w:noProof/>
              </w:rPr>
            </w:pPr>
            <w:r>
              <w:rPr>
                <w:noProof/>
              </w:rPr>
              <w:t>21.42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C18C87" w14:textId="77777777" w:rsidR="006C686E" w:rsidRDefault="00B17E8C">
            <w:pPr>
              <w:pStyle w:val="P68B1DB1-Normal30"/>
              <w:spacing w:after="0" w:line="240" w:lineRule="auto"/>
              <w:jc w:val="center"/>
              <w:rPr>
                <w:noProof/>
              </w:rPr>
            </w:pPr>
            <w:r>
              <w:rPr>
                <w:noProof/>
              </w:rPr>
              <w:t>RP-C21-i16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38CE6A"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539B43" w14:textId="77777777" w:rsidR="006C686E" w:rsidRDefault="00B17E8C">
            <w:pPr>
              <w:pStyle w:val="P68B1DB1-Normal30"/>
              <w:spacing w:after="0" w:line="240" w:lineRule="auto"/>
              <w:jc w:val="center"/>
              <w:rPr>
                <w:noProof/>
              </w:rPr>
            </w:pPr>
            <w:r>
              <w:rPr>
                <w:noProof/>
              </w:rPr>
              <w:t>Signature du contrat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7842C3" w14:textId="77777777" w:rsidR="006C686E" w:rsidRDefault="00B17E8C">
            <w:pPr>
              <w:pStyle w:val="P68B1DB1-Normal30"/>
              <w:spacing w:after="0" w:line="240" w:lineRule="auto"/>
              <w:jc w:val="center"/>
              <w:rPr>
                <w:noProof/>
              </w:rPr>
            </w:pPr>
            <w:r>
              <w:rPr>
                <w:noProof/>
              </w:rPr>
              <w:t>Signature du contrat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A6227C"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85BB40"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6D55AC"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7C9601" w14:textId="77777777" w:rsidR="006C686E" w:rsidRDefault="00B17E8C">
            <w:pPr>
              <w:pStyle w:val="P68B1DB1-Normal30"/>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37B22" w14:textId="77777777" w:rsidR="006C686E" w:rsidRDefault="00B17E8C">
            <w:pPr>
              <w:pStyle w:val="P68B1DB1-Normal30"/>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54E787DD" w14:textId="77777777" w:rsidR="006C686E" w:rsidRDefault="00B17E8C">
            <w:pPr>
              <w:pStyle w:val="P68B1DB1-Normal30"/>
              <w:spacing w:after="0" w:line="240" w:lineRule="auto"/>
              <w:jc w:val="both"/>
              <w:rPr>
                <w:noProof/>
              </w:rPr>
            </w:pPr>
            <w:r>
              <w:rPr>
                <w:noProof/>
              </w:rPr>
              <w:t>Signature du contrat entre les pouvoirs publics et le contractant sélectionné dans le cadre d'une procédure d'appel d'offres ouverte internationale.</w:t>
            </w:r>
          </w:p>
        </w:tc>
      </w:tr>
      <w:tr w:rsidR="006C686E" w14:paraId="5E902E38"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14A7A4E" w14:textId="77777777" w:rsidR="006C686E" w:rsidRDefault="00B17E8C">
            <w:pPr>
              <w:pStyle w:val="P68B1DB1-Normal55"/>
              <w:spacing w:after="0" w:line="240" w:lineRule="auto"/>
              <w:jc w:val="center"/>
              <w:rPr>
                <w:noProof/>
              </w:rPr>
            </w:pPr>
            <w:r>
              <w:rPr>
                <w:noProof/>
              </w:rPr>
              <w:t>21.43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42C506" w14:textId="77777777" w:rsidR="006C686E" w:rsidRDefault="00B17E8C">
            <w:pPr>
              <w:pStyle w:val="P68B1DB1-Normal30"/>
              <w:spacing w:after="0" w:line="240" w:lineRule="auto"/>
              <w:jc w:val="center"/>
              <w:rPr>
                <w:noProof/>
              </w:rPr>
            </w:pPr>
            <w:r>
              <w:rPr>
                <w:noProof/>
              </w:rPr>
              <w:t>RP-C21-i16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8D43FB" w14:textId="77777777" w:rsidR="006C686E" w:rsidRDefault="00B17E8C">
            <w:pPr>
              <w:pStyle w:val="P68B1DB1-Normal30"/>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75D4FD" w14:textId="77777777" w:rsidR="006C686E" w:rsidRDefault="00B17E8C">
            <w:pPr>
              <w:pStyle w:val="P68B1DB1-Normal30"/>
              <w:spacing w:after="0" w:line="240" w:lineRule="auto"/>
              <w:jc w:val="center"/>
              <w:rPr>
                <w:noProof/>
              </w:rPr>
            </w:pPr>
            <w:r>
              <w:rPr>
                <w:noProof/>
              </w:rPr>
              <w:t>Construction d'un funiculaire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78E1D2" w14:textId="77777777" w:rsidR="006C686E" w:rsidRDefault="00B17E8C">
            <w:pPr>
              <w:pStyle w:val="P68B1DB1-Normal13"/>
              <w:spacing w:after="0" w:line="240" w:lineRule="auto"/>
              <w:jc w:val="center"/>
              <w:rPr>
                <w:noProof/>
                <w:kern w:val="0"/>
                <w14:ligatures w14:val="none"/>
              </w:rPr>
            </w:pPr>
            <w:r>
              <w:rPr>
                <w:noProof/>
              </w:rPr>
              <w:t>Construction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7C357E" w14:textId="77777777" w:rsidR="006C686E" w:rsidRDefault="006C686E">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1CF486"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DD72AC" w14:textId="77777777" w:rsidR="006C686E" w:rsidRDefault="006C686E">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8520F3" w14:textId="77777777" w:rsidR="006C686E" w:rsidRDefault="00B17E8C">
            <w:pPr>
              <w:pStyle w:val="P68B1DB1-Normal30"/>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4DFCD9" w14:textId="77777777" w:rsidR="006C686E" w:rsidRDefault="00B17E8C">
            <w:pPr>
              <w:pStyle w:val="P68B1DB1-Normal30"/>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1E9B9F7" w14:textId="50A06117" w:rsidR="006C686E" w:rsidRDefault="00B17E8C">
            <w:pPr>
              <w:pStyle w:val="P68B1DB1-Normal27"/>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 xml:space="preserve">Construction d'un </w:t>
            </w:r>
            <w:r>
              <w:rPr>
                <w:rFonts w:ascii="Times New Roman" w:hAnsi="Times New Roman" w:cs="Times New Roman"/>
                <w:noProof/>
              </w:rPr>
              <w:t xml:space="preserve">funiculaire entre </w:t>
            </w:r>
            <w:r>
              <w:rPr>
                <w:rFonts w:ascii="Times New Roman" w:eastAsia="Calibri" w:hAnsi="Times New Roman" w:cs="Times New Roman"/>
                <w:noProof/>
                <w:kern w:val="0"/>
                <w14:ligatures w14:val="none"/>
              </w:rPr>
              <w:t xml:space="preserve">Nazaré et </w:t>
            </w:r>
            <w:r>
              <w:rPr>
                <w:rFonts w:ascii="Times New Roman" w:hAnsi="Times New Roman" w:cs="Times New Roman"/>
                <w:noProof/>
              </w:rPr>
              <w:t>la région de Pederneira.</w:t>
            </w:r>
          </w:p>
        </w:tc>
      </w:tr>
      <w:tr w:rsidR="006C686E" w14:paraId="6041E0F6"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5C391C4" w14:textId="5265B7A4" w:rsidR="006C686E" w:rsidRDefault="00B17E8C">
            <w:pPr>
              <w:pStyle w:val="P68B1DB1-Normal58"/>
              <w:spacing w:after="0" w:line="240" w:lineRule="auto"/>
              <w:jc w:val="center"/>
              <w:rPr>
                <w:rFonts w:eastAsia="Calibri"/>
                <w:noProof/>
                <w:kern w:val="0"/>
                <w14:ligatures w14:val="none"/>
              </w:rPr>
            </w:pPr>
            <w:r>
              <w:rPr>
                <w:noProof/>
              </w:rPr>
              <w:t>21.47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BC001D" w14:textId="77777777" w:rsidR="006C686E" w:rsidRDefault="00B17E8C">
            <w:pPr>
              <w:pStyle w:val="P68B1DB1-Normal15"/>
              <w:spacing w:after="0" w:line="240" w:lineRule="auto"/>
              <w:jc w:val="center"/>
              <w:rPr>
                <w:rFonts w:eastAsia="Calibri"/>
                <w:noProof/>
                <w:kern w:val="0"/>
                <w14:ligatures w14:val="none"/>
              </w:rPr>
            </w:pPr>
            <w:r>
              <w:rPr>
                <w:noProof/>
              </w:rPr>
              <w:t>RP-C21-i18</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D58BD" w14:textId="77777777" w:rsidR="006C686E" w:rsidRDefault="00B17E8C">
            <w:pPr>
              <w:pStyle w:val="P68B1DB1-Normal15"/>
              <w:spacing w:after="0" w:line="240" w:lineRule="auto"/>
              <w:jc w:val="center"/>
              <w:rPr>
                <w:rFonts w:eastAsia="Calibri"/>
                <w:noProof/>
                <w:kern w:val="0"/>
                <w14:ligatures w14:val="none"/>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221C56" w14:textId="77777777" w:rsidR="006C686E" w:rsidRDefault="00B17E8C">
            <w:pPr>
              <w:pStyle w:val="P68B1DB1-Normal15"/>
              <w:spacing w:after="0" w:line="240" w:lineRule="auto"/>
              <w:jc w:val="center"/>
              <w:rPr>
                <w:rFonts w:eastAsia="Calibri"/>
                <w:noProof/>
                <w:kern w:val="0"/>
                <w14:ligatures w14:val="none"/>
              </w:rPr>
            </w:pPr>
            <w:r>
              <w:rPr>
                <w:noProof/>
              </w:rPr>
              <w:t>Accord d’exécution ou 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A5C245" w14:textId="77777777" w:rsidR="006C686E" w:rsidRDefault="00B17E8C">
            <w:pPr>
              <w:pStyle w:val="P68B1DB1-Normal15"/>
              <w:spacing w:after="0" w:line="240" w:lineRule="auto"/>
              <w:jc w:val="center"/>
              <w:rPr>
                <w:rFonts w:eastAsia="Calibri"/>
                <w:noProof/>
              </w:rPr>
            </w:pPr>
            <w:r>
              <w:rPr>
                <w:noProof/>
              </w:rPr>
              <w:t>Entrée en vigueur du ou des actes juridiques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1A9F4B" w14:textId="77777777" w:rsidR="006C686E" w:rsidRDefault="006C686E">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5DCC00"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67E7FB"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643B42B3" w14:textId="53072C60" w:rsidR="006C686E" w:rsidRDefault="00B17E8C">
            <w:pPr>
              <w:pStyle w:val="P68B1DB1-Normal30"/>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507AC7E9" w14:textId="553E3185" w:rsidR="006C686E" w:rsidRDefault="00B17E8C">
            <w:pPr>
              <w:pStyle w:val="P68B1DB1-Normal30"/>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1540B4A" w14:textId="27045378" w:rsidR="006C686E" w:rsidRDefault="00B17E8C">
            <w:pPr>
              <w:pStyle w:val="P68B1DB1-Normal15"/>
              <w:spacing w:after="0" w:line="240" w:lineRule="auto"/>
              <w:jc w:val="both"/>
              <w:rPr>
                <w:rFonts w:eastAsia="Calibri"/>
                <w:noProof/>
              </w:rPr>
            </w:pPr>
            <w:r>
              <w:rPr>
                <w:noProof/>
              </w:rPr>
              <w:t>Entrée en vigueur de l’accord d’exécution ou du ou des actes juridiques établissant le régime d’aide.</w:t>
            </w:r>
          </w:p>
        </w:tc>
      </w:tr>
      <w:tr w:rsidR="006C686E" w14:paraId="54BDA30D" w14:textId="77777777" w:rsidTr="00E130FD">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A60175B" w14:textId="77777777" w:rsidR="006C686E" w:rsidRDefault="00B17E8C">
            <w:pPr>
              <w:pStyle w:val="P68B1DB1-Normal58"/>
              <w:spacing w:after="0" w:line="240" w:lineRule="auto"/>
              <w:jc w:val="center"/>
              <w:rPr>
                <w:rFonts w:eastAsia="Calibri"/>
                <w:noProof/>
                <w:kern w:val="0"/>
                <w14:ligatures w14:val="none"/>
              </w:rPr>
            </w:pPr>
            <w:r>
              <w:rPr>
                <w:noProof/>
              </w:rPr>
              <w:t>21.48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6CDDAB" w14:textId="77777777" w:rsidR="006C686E" w:rsidRDefault="00B17E8C">
            <w:pPr>
              <w:pStyle w:val="P68B1DB1-Normal15"/>
              <w:spacing w:after="0" w:line="240" w:lineRule="auto"/>
              <w:jc w:val="center"/>
              <w:rPr>
                <w:rFonts w:eastAsia="Calibri"/>
                <w:noProof/>
                <w:kern w:val="0"/>
                <w14:ligatures w14:val="none"/>
              </w:rPr>
            </w:pPr>
            <w:r>
              <w:rPr>
                <w:noProof/>
              </w:rPr>
              <w:t>RP-C21-i18</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80BA44" w14:textId="77777777" w:rsidR="006C686E" w:rsidRDefault="00B17E8C">
            <w:pPr>
              <w:pStyle w:val="P68B1DB1-Normal15"/>
              <w:spacing w:after="0" w:line="240" w:lineRule="auto"/>
              <w:jc w:val="center"/>
              <w:rPr>
                <w:rFonts w:eastAsia="Calibri"/>
                <w:noProof/>
                <w:kern w:val="0"/>
                <w14:ligatures w14:val="none"/>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76B80A" w14:textId="77777777" w:rsidR="006C686E" w:rsidRDefault="00B17E8C">
            <w:pPr>
              <w:pStyle w:val="P68B1DB1-Normal15"/>
              <w:spacing w:after="0" w:line="240" w:lineRule="auto"/>
              <w:jc w:val="center"/>
              <w:rPr>
                <w:rFonts w:eastAsia="Calibri"/>
                <w:noProof/>
                <w:kern w:val="0"/>
                <w14:ligatures w14:val="none"/>
              </w:rPr>
            </w:pPr>
            <w:r>
              <w:rPr>
                <w:noProof/>
              </w:rPr>
              <w:t>Accords juridiques signés avec les bénéficiaires finaux et le ministère a achevé l'investissement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7F42DC" w14:textId="77777777" w:rsidR="006C686E" w:rsidRDefault="006C686E">
            <w:pPr>
              <w:spacing w:after="0" w:line="240" w:lineRule="auto"/>
              <w:jc w:val="center"/>
              <w:rPr>
                <w:rFonts w:ascii="Times New Roman" w:eastAsia="Calibri"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34A2A0" w14:textId="77777777" w:rsidR="006C686E" w:rsidRDefault="00B17E8C">
            <w:pPr>
              <w:pStyle w:val="P68B1DB1-Normal15"/>
              <w:spacing w:after="0" w:line="240" w:lineRule="auto"/>
              <w:jc w:val="center"/>
              <w:rPr>
                <w:noProof/>
              </w:rPr>
            </w:pPr>
            <w:r>
              <w:rPr>
                <w:noProof/>
              </w:rPr>
              <w:t>Pourcentage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4FB083" w14:textId="77777777" w:rsidR="006C686E" w:rsidRDefault="00B17E8C">
            <w:pPr>
              <w:pStyle w:val="P68B1DB1-Normal12"/>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336A02" w14:textId="77777777" w:rsidR="006C686E" w:rsidRDefault="00B17E8C">
            <w:pPr>
              <w:pStyle w:val="P68B1DB1-Normal12"/>
              <w:spacing w:after="0" w:line="240" w:lineRule="auto"/>
              <w:jc w:val="center"/>
              <w:rPr>
                <w:noProof/>
              </w:rPr>
            </w:pPr>
            <w:r>
              <w:rPr>
                <w:noProof/>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768F18" w14:textId="77777777" w:rsidR="006C686E" w:rsidRDefault="00B17E8C">
            <w:pPr>
              <w:pStyle w:val="P68B1DB1-Normal15"/>
              <w:spacing w:after="0" w:line="240" w:lineRule="auto"/>
              <w:jc w:val="center"/>
              <w:rPr>
                <w:rFonts w:eastAsia="Calibri"/>
                <w:noProof/>
                <w:kern w:val="0"/>
                <w14:ligatures w14:val="none"/>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5C4051" w14:textId="77777777" w:rsidR="006C686E" w:rsidRDefault="00B17E8C">
            <w:pPr>
              <w:pStyle w:val="P68B1DB1-Normal15"/>
              <w:spacing w:after="0" w:line="240" w:lineRule="auto"/>
              <w:jc w:val="center"/>
              <w:rPr>
                <w:rFonts w:eastAsia="Calibri"/>
                <w:noProof/>
                <w:kern w:val="0"/>
                <w14:ligatures w14:val="none"/>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31C50E6" w14:textId="77777777" w:rsidR="006C686E" w:rsidRDefault="00B17E8C">
            <w:pPr>
              <w:pStyle w:val="P68B1DB1-Normal15"/>
              <w:spacing w:after="0" w:line="240" w:lineRule="auto"/>
              <w:jc w:val="both"/>
              <w:rPr>
                <w:noProof/>
              </w:rPr>
            </w:pPr>
            <w:r>
              <w:rPr>
                <w:noProof/>
              </w:rPr>
              <w:t xml:space="preserve">L’Agence pour le climat a conclu des conventions de subvention légales avec les bénéficiaires finaux pour un montant nécessaire à l’utilisation de 100 % de l’investissement de la FRR dans le régime. </w:t>
            </w:r>
          </w:p>
          <w:p w14:paraId="4058497E" w14:textId="77777777" w:rsidR="006C686E" w:rsidRDefault="006C686E">
            <w:pPr>
              <w:spacing w:after="0" w:line="240" w:lineRule="auto"/>
              <w:jc w:val="both"/>
              <w:rPr>
                <w:rFonts w:ascii="Times New Roman" w:eastAsia="Times New Roman" w:hAnsi="Times New Roman" w:cs="Times New Roman"/>
                <w:noProof/>
                <w:sz w:val="16"/>
                <w:szCs w:val="16"/>
              </w:rPr>
            </w:pPr>
          </w:p>
          <w:p w14:paraId="16083A9F" w14:textId="37DE1BA4" w:rsidR="006C686E" w:rsidRDefault="00B17E8C">
            <w:pPr>
              <w:pStyle w:val="P68B1DB1-Normal27"/>
              <w:spacing w:after="0" w:line="240" w:lineRule="auto"/>
              <w:jc w:val="both"/>
              <w:rPr>
                <w:rFonts w:ascii="Times New Roman" w:eastAsia="Calibri" w:hAnsi="Times New Roman" w:cs="Times New Roman"/>
                <w:noProof/>
              </w:rPr>
            </w:pPr>
            <w:bookmarkStart w:id="27" w:name="_Hlk213696520"/>
            <w:r>
              <w:rPr>
                <w:rFonts w:ascii="Times New Roman" w:eastAsia="Times New Roman" w:hAnsi="Times New Roman" w:cs="Times New Roman"/>
                <w:noProof/>
              </w:rPr>
              <w:t>Le Portugal transfère</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180</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000</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000 EUR à l’Agence pour le climat pour la facilité.</w:t>
            </w:r>
            <w:bookmarkEnd w:id="27"/>
          </w:p>
        </w:tc>
      </w:tr>
    </w:tbl>
    <w:p w14:paraId="0A2519E5" w14:textId="77777777" w:rsidR="006C686E" w:rsidRDefault="006C686E">
      <w:pPr>
        <w:spacing w:after="0" w:line="276" w:lineRule="auto"/>
        <w:jc w:val="both"/>
        <w:rPr>
          <w:rFonts w:ascii="Times New Roman" w:hAnsi="Times New Roman"/>
          <w:noProof/>
          <w:kern w:val="0"/>
          <w14:ligatures w14:val="none"/>
        </w:rPr>
        <w:sectPr w:rsidR="006C686E" w:rsidSect="00C95E00">
          <w:headerReference w:type="even" r:id="rId379"/>
          <w:headerReference w:type="default" r:id="rId380"/>
          <w:footerReference w:type="even" r:id="rId381"/>
          <w:footerReference w:type="default" r:id="rId382"/>
          <w:headerReference w:type="first" r:id="rId383"/>
          <w:footerReference w:type="first" r:id="rId384"/>
          <w:pgSz w:w="16839" w:h="11907" w:orient="landscape"/>
          <w:pgMar w:top="1134" w:right="1134" w:bottom="1134" w:left="1134" w:header="567" w:footer="567" w:gutter="0"/>
          <w:cols w:space="708"/>
          <w:docGrid w:linePitch="360"/>
        </w:sectPr>
      </w:pPr>
    </w:p>
    <w:p w14:paraId="4C5F1672" w14:textId="77777777" w:rsidR="006C686E" w:rsidRDefault="00B17E8C">
      <w:pPr>
        <w:pStyle w:val="P68B1DB1-Normal1"/>
        <w:keepNext/>
        <w:spacing w:before="40" w:after="0"/>
        <w:jc w:val="both"/>
        <w:outlineLvl w:val="1"/>
        <w:rPr>
          <w:rFonts w:eastAsia="Times New Roman"/>
          <w:noProof/>
        </w:rPr>
      </w:pPr>
      <w:r>
        <w:rPr>
          <w:noProof/>
        </w:rPr>
        <w:t>V. Élément 22: Audit et contrôle</w:t>
      </w:r>
    </w:p>
    <w:p w14:paraId="76ECEC5A" w14:textId="77777777" w:rsidR="006C686E" w:rsidRDefault="006C686E">
      <w:pPr>
        <w:spacing w:after="200" w:line="276" w:lineRule="auto"/>
        <w:rPr>
          <w:rFonts w:ascii="Calibri" w:eastAsia="Calibri" w:hAnsi="Calibri" w:cs="Times New Roman"/>
          <w:noProof/>
          <w:kern w:val="0"/>
          <w14:ligatures w14:val="none"/>
        </w:rPr>
      </w:pPr>
    </w:p>
    <w:p w14:paraId="7A3429D5" w14:textId="77777777" w:rsidR="006C686E" w:rsidRDefault="00B17E8C">
      <w:pPr>
        <w:pStyle w:val="P68B1DB1-Normal1"/>
        <w:keepNext/>
        <w:spacing w:before="40" w:after="0"/>
        <w:jc w:val="both"/>
        <w:outlineLvl w:val="2"/>
        <w:rPr>
          <w:rFonts w:eastAsia="Times New Roman"/>
          <w:noProof/>
        </w:rPr>
      </w:pPr>
      <w:r>
        <w:rPr>
          <w:noProof/>
        </w:rPr>
        <w:t>V.1. Description de la réforme</w:t>
      </w:r>
    </w:p>
    <w:p w14:paraId="3E35DB5F" w14:textId="77777777" w:rsidR="006C686E" w:rsidRDefault="00B17E8C">
      <w:pPr>
        <w:pStyle w:val="P68B1DB1-Normal5"/>
        <w:keepNext/>
        <w:spacing w:before="240" w:after="0"/>
        <w:jc w:val="both"/>
        <w:outlineLvl w:val="2"/>
        <w:rPr>
          <w:rFonts w:eastAsia="Times New Roman"/>
          <w:noProof/>
        </w:rPr>
      </w:pPr>
      <w:r>
        <w:rPr>
          <w:noProof/>
        </w:rPr>
        <w:t>Réforme RE-C22-r49: Modalités de suivi et de mise en œuvre du plan pour la reprise et la résilience</w:t>
      </w:r>
    </w:p>
    <w:p w14:paraId="332DA341" w14:textId="77777777" w:rsidR="006C686E" w:rsidRDefault="00B17E8C">
      <w:pPr>
        <w:pStyle w:val="P68B1DB1-Normal4"/>
        <w:spacing w:after="0" w:line="240" w:lineRule="auto"/>
        <w:jc w:val="both"/>
        <w:rPr>
          <w:noProof/>
        </w:rPr>
      </w:pPr>
      <w:r>
        <w:rPr>
          <w:noProof/>
        </w:rPr>
        <w:t>L’objectif de la mesure est d’améliorer le suivi et la mise en œuvre du plan pour la reprise et la résilience. Afin de garantir une mise en œuvre efficace de mesures proportionnées de lutte contre la fraude et la corruption, le Portugal modifie les contrats signés entre l’organisme de coordination «EMRP» et toutes les autorités responsables de la mise en œuvre du PRR afin d’ajouter une obligation légale pour les organismes de mise en œuvre de procéder à une évaluation des risques de fraude dans un délai de trois mois à compter de la modification de leurs contrats et, lorsque l’évaluation des risques de fraude recense des risques qui ne sont pas couverts par les contrôles existants, d’élaborer un plan d’action contenant des contrôles supplémentaires. Cette obligation est reflétée dans le manuel de procédures de l’organisme de coordination. L’organisme de coordination communique également formellement à tous les organismes chargés de la mise en œuvre des orientations techniques pour les aider à réaliser l’évaluation des risques de fraude. En outre, le Portugal améliore les procédures visant à réduire ou à atténuer le risque de double financement en introduisant des contrôles croisés systématiques efficaces sur les demandes de financement potentiel au sein de la FRR et entre la FRR et d’autres programmes de l’Union, conformément au principe de bonne gestion financière. L’organisme de coordination présente un document décrivant les contrôles croisés détaillés proposés en matière de double financement afin de confirmer que des procédures adéquates sont en place pour éviter un double financement.</w:t>
      </w:r>
    </w:p>
    <w:p w14:paraId="78DCC2FC" w14:textId="77777777" w:rsidR="006C686E" w:rsidRDefault="006C686E">
      <w:pPr>
        <w:spacing w:before="40" w:after="0"/>
        <w:jc w:val="both"/>
        <w:rPr>
          <w:rFonts w:ascii="Times New Roman" w:eastAsia="Calibri" w:hAnsi="Times New Roman" w:cs="Times New Roman"/>
          <w:noProof/>
          <w:kern w:val="0"/>
          <w14:ligatures w14:val="none"/>
        </w:rPr>
        <w:sectPr w:rsidR="006C686E" w:rsidSect="00C95E00">
          <w:headerReference w:type="even" r:id="rId385"/>
          <w:headerReference w:type="default" r:id="rId386"/>
          <w:footerReference w:type="even" r:id="rId387"/>
          <w:footerReference w:type="default" r:id="rId388"/>
          <w:headerReference w:type="first" r:id="rId389"/>
          <w:footerReference w:type="first" r:id="rId390"/>
          <w:pgSz w:w="11907" w:h="16839"/>
          <w:pgMar w:top="1134" w:right="1134" w:bottom="1134" w:left="1134" w:header="567" w:footer="567" w:gutter="0"/>
          <w:cols w:space="720"/>
          <w:docGrid w:linePitch="360"/>
        </w:sectPr>
      </w:pPr>
    </w:p>
    <w:p w14:paraId="241500C2" w14:textId="4F895D53" w:rsidR="006C686E" w:rsidRDefault="00B17E8C">
      <w:pPr>
        <w:pStyle w:val="P68B1DB1-Normal1"/>
        <w:keepNext/>
        <w:spacing w:before="40" w:after="0"/>
        <w:ind w:left="130" w:firstLine="12"/>
        <w:jc w:val="center"/>
        <w:outlineLvl w:val="2"/>
        <w:rPr>
          <w:rFonts w:eastAsia="Times New Roman"/>
          <w:noProof/>
        </w:rPr>
      </w:pPr>
      <w:r>
        <w:rPr>
          <w:noProof/>
        </w:rPr>
        <w:t>V.2. Étapes, cibles, indicateurs et calendrier de suivi et de mise en œuvre</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1417"/>
        <w:gridCol w:w="1418"/>
        <w:gridCol w:w="1281"/>
        <w:gridCol w:w="987"/>
        <w:gridCol w:w="992"/>
        <w:gridCol w:w="851"/>
        <w:gridCol w:w="425"/>
        <w:gridCol w:w="1134"/>
        <w:gridCol w:w="3833"/>
      </w:tblGrid>
      <w:tr w:rsidR="006C686E" w14:paraId="7C8BB049" w14:textId="77777777" w:rsidTr="00E130FD">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4CAD4B6" w14:textId="77777777" w:rsidR="006C686E" w:rsidRDefault="00B17E8C">
            <w:pPr>
              <w:pStyle w:val="P68B1DB1-Normal9"/>
              <w:spacing w:after="0" w:line="240" w:lineRule="auto"/>
              <w:jc w:val="center"/>
              <w:rPr>
                <w:rFonts w:eastAsia="Times New Roman"/>
                <w:noProof/>
              </w:rPr>
            </w:pPr>
            <w:r>
              <w:rPr>
                <w:noProof/>
              </w:rPr>
              <w:t>Numéro séquentiel</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44F39D7" w14:textId="77777777" w:rsidR="006C686E" w:rsidRDefault="00B17E8C">
            <w:pPr>
              <w:pStyle w:val="P68B1DB1-Normal9"/>
              <w:spacing w:after="0" w:line="240" w:lineRule="auto"/>
              <w:jc w:val="center"/>
              <w:rPr>
                <w:rFonts w:eastAsia="Times New Roman"/>
                <w:noProof/>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E6A99E9" w14:textId="77777777" w:rsidR="006C686E" w:rsidRDefault="00B17E8C">
            <w:pPr>
              <w:pStyle w:val="P68B1DB1-Normal9"/>
              <w:spacing w:after="0" w:line="240" w:lineRule="auto"/>
              <w:jc w:val="center"/>
              <w:rPr>
                <w:rFonts w:eastAsia="Times New Roman"/>
                <w:noProof/>
              </w:rPr>
            </w:pPr>
            <w:r>
              <w:rPr>
                <w:noProof/>
              </w:rPr>
              <w:t>Étape/objectif</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A9F7150" w14:textId="77777777" w:rsidR="006C686E" w:rsidRDefault="00B17E8C">
            <w:pPr>
              <w:pStyle w:val="P68B1DB1-Normal9"/>
              <w:spacing w:after="0" w:line="240" w:lineRule="auto"/>
              <w:jc w:val="center"/>
              <w:rPr>
                <w:rFonts w:eastAsia="Times New Roman"/>
                <w:noProof/>
              </w:rPr>
            </w:pPr>
            <w:r>
              <w:rPr>
                <w:noProof/>
              </w:rPr>
              <w:t>Nom</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1CAD2AC" w14:textId="77777777" w:rsidR="006C686E" w:rsidRDefault="00B17E8C">
            <w:pPr>
              <w:pStyle w:val="P68B1DB1-Normal9"/>
              <w:spacing w:after="0" w:line="240" w:lineRule="auto"/>
              <w:jc w:val="center"/>
              <w:rPr>
                <w:rFonts w:eastAsia="Times New Roman"/>
                <w:noProof/>
              </w:rPr>
            </w:pPr>
            <w:r>
              <w:rPr>
                <w:noProof/>
              </w:rPr>
              <w:t>Indicateurs qualitatifs (pour les jalons)</w:t>
            </w:r>
          </w:p>
        </w:tc>
        <w:tc>
          <w:tcPr>
            <w:tcW w:w="283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00C455" w14:textId="77777777" w:rsidR="006C686E" w:rsidRDefault="00B17E8C">
            <w:pPr>
              <w:pStyle w:val="P68B1DB1-Normal9"/>
              <w:spacing w:after="0" w:line="240" w:lineRule="auto"/>
              <w:jc w:val="center"/>
              <w:rPr>
                <w:rFonts w:eastAsia="Times New Roman"/>
                <w:noProof/>
              </w:rPr>
            </w:pPr>
            <w:r>
              <w:rPr>
                <w:noProof/>
              </w:rPr>
              <w:t>Indicateurs quantitatifs (pour les objectifs)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178E565" w14:textId="77777777" w:rsidR="006C686E" w:rsidRDefault="00B17E8C">
            <w:pPr>
              <w:pStyle w:val="P68B1DB1-Normal9"/>
              <w:spacing w:after="0" w:line="240" w:lineRule="auto"/>
              <w:jc w:val="center"/>
              <w:rPr>
                <w:rFonts w:eastAsia="Times New Roman"/>
                <w:noProof/>
              </w:rPr>
            </w:pPr>
            <w:r>
              <w:rPr>
                <w:noProof/>
              </w:rPr>
              <w:t>Calendrier d'achèvement</w:t>
            </w:r>
          </w:p>
        </w:tc>
        <w:tc>
          <w:tcPr>
            <w:tcW w:w="383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605188D" w14:textId="77777777" w:rsidR="006C686E" w:rsidRDefault="00B17E8C">
            <w:pPr>
              <w:pStyle w:val="P68B1DB1-Normal9"/>
              <w:spacing w:after="0" w:line="240" w:lineRule="auto"/>
              <w:jc w:val="center"/>
              <w:rPr>
                <w:rFonts w:eastAsia="Times New Roman"/>
                <w:noProof/>
              </w:rPr>
            </w:pPr>
            <w:r>
              <w:rPr>
                <w:noProof/>
              </w:rPr>
              <w:t>Description et définition claire de chaque jalon et cible</w:t>
            </w:r>
          </w:p>
        </w:tc>
      </w:tr>
      <w:tr w:rsidR="006C686E" w14:paraId="040E1EE3" w14:textId="77777777" w:rsidTr="00E130FD">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5F6E346"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3B79A68F"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noWrap/>
            <w:vAlign w:val="center"/>
            <w:hideMark/>
          </w:tcPr>
          <w:p w14:paraId="44F78348" w14:textId="77777777" w:rsidR="006C686E" w:rsidRDefault="006C686E">
            <w:pPr>
              <w:spacing w:after="0" w:line="240" w:lineRule="auto"/>
              <w:jc w:val="center"/>
              <w:rPr>
                <w:rFonts w:ascii="Times New Roman" w:eastAsia="Times New Roman" w:hAnsi="Times New Roman" w:cs="Times New Roman"/>
                <w:b/>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67437FF"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13951F7C" w14:textId="77777777" w:rsidR="006C686E" w:rsidRDefault="006C686E">
            <w:pPr>
              <w:spacing w:after="0" w:line="240" w:lineRule="auto"/>
              <w:rPr>
                <w:rFonts w:ascii="Times New Roman" w:eastAsia="Times New Roman" w:hAnsi="Times New Roman" w:cs="Times New Roman"/>
                <w:b/>
                <w:noProof/>
                <w:kern w:val="0"/>
                <w:sz w:val="18"/>
                <w:szCs w:val="18"/>
                <w14:ligatures w14:val="none"/>
              </w:rPr>
            </w:pPr>
          </w:p>
        </w:tc>
        <w:tc>
          <w:tcPr>
            <w:tcW w:w="98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AE59676" w14:textId="77777777" w:rsidR="006C686E" w:rsidRDefault="00B17E8C">
            <w:pPr>
              <w:pStyle w:val="P68B1DB1-Normal9"/>
              <w:spacing w:after="0" w:line="240" w:lineRule="auto"/>
              <w:jc w:val="center"/>
              <w:rPr>
                <w:rFonts w:eastAsia="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4CA1279" w14:textId="77777777" w:rsidR="006C686E" w:rsidRDefault="00B17E8C">
            <w:pPr>
              <w:pStyle w:val="P68B1DB1-Normal9"/>
              <w:spacing w:after="0" w:line="240" w:lineRule="auto"/>
              <w:jc w:val="center"/>
              <w:rPr>
                <w:rFonts w:eastAsia="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7336B1F" w14:textId="77777777" w:rsidR="006C686E" w:rsidRDefault="00B17E8C">
            <w:pPr>
              <w:pStyle w:val="P68B1DB1-Normal9"/>
              <w:spacing w:after="0" w:line="240" w:lineRule="auto"/>
              <w:jc w:val="center"/>
              <w:rPr>
                <w:rFonts w:eastAsia="Times New Roman"/>
                <w:noProof/>
              </w:rPr>
            </w:pPr>
            <w:r>
              <w:rPr>
                <w:noProof/>
              </w:rPr>
              <w:t>Objectif</w:t>
            </w:r>
          </w:p>
        </w:tc>
        <w:tc>
          <w:tcPr>
            <w:tcW w:w="425"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AA162D3" w14:textId="77777777" w:rsidR="006C686E" w:rsidRDefault="00B17E8C">
            <w:pPr>
              <w:pStyle w:val="P68B1DB1-Normal9"/>
              <w:spacing w:after="0" w:line="240" w:lineRule="auto"/>
              <w:jc w:val="center"/>
              <w:rPr>
                <w:rFonts w:eastAsia="Times New Roman"/>
                <w:noProof/>
              </w:rPr>
            </w:pPr>
            <w:r>
              <w:rPr>
                <w:noProof/>
              </w:rPr>
              <w:t>Q</w:t>
            </w:r>
          </w:p>
        </w:tc>
        <w:tc>
          <w:tcPr>
            <w:tcW w:w="113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C58F4F8" w14:textId="77777777" w:rsidR="006C686E" w:rsidRDefault="00B17E8C">
            <w:pPr>
              <w:pStyle w:val="P68B1DB1-Normal9"/>
              <w:spacing w:after="0" w:line="240" w:lineRule="auto"/>
              <w:jc w:val="center"/>
              <w:rPr>
                <w:rFonts w:eastAsia="Times New Roman"/>
                <w:noProof/>
              </w:rPr>
            </w:pPr>
            <w:r>
              <w:rPr>
                <w:noProof/>
              </w:rPr>
              <w:t>Année</w:t>
            </w:r>
          </w:p>
        </w:tc>
        <w:tc>
          <w:tcPr>
            <w:tcW w:w="3833" w:type="dxa"/>
            <w:vMerge/>
            <w:tcBorders>
              <w:top w:val="single" w:sz="4" w:space="0" w:color="auto"/>
              <w:left w:val="single" w:sz="4" w:space="0" w:color="auto"/>
              <w:bottom w:val="single" w:sz="4" w:space="0" w:color="auto"/>
              <w:right w:val="single" w:sz="4" w:space="0" w:color="auto"/>
            </w:tcBorders>
            <w:vAlign w:val="center"/>
            <w:hideMark/>
          </w:tcPr>
          <w:p w14:paraId="3BBAB066" w14:textId="77777777" w:rsidR="006C686E" w:rsidRDefault="006C686E">
            <w:pPr>
              <w:spacing w:after="0" w:line="240" w:lineRule="auto"/>
              <w:rPr>
                <w:rFonts w:ascii="Times New Roman" w:eastAsia="Times New Roman" w:hAnsi="Times New Roman" w:cs="Times New Roman"/>
                <w:b/>
                <w:noProof/>
                <w:kern w:val="0"/>
                <w:sz w:val="16"/>
                <w:szCs w:val="16"/>
                <w14:ligatures w14:val="none"/>
              </w:rPr>
            </w:pPr>
          </w:p>
        </w:tc>
      </w:tr>
      <w:tr w:rsidR="006C686E" w14:paraId="1293F17D" w14:textId="77777777" w:rsidTr="00E130FD">
        <w:trPr>
          <w:trHeight w:val="126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C3982C" w14:textId="77777777" w:rsidR="006C686E" w:rsidRDefault="00B17E8C">
            <w:pPr>
              <w:pStyle w:val="P68B1DB1-Normal10"/>
              <w:spacing w:after="0" w:line="240" w:lineRule="auto"/>
              <w:jc w:val="center"/>
              <w:rPr>
                <w:rFonts w:eastAsia="Times New Roman"/>
                <w:noProof/>
              </w:rPr>
            </w:pPr>
            <w:r>
              <w:rPr>
                <w:noProof/>
              </w:rPr>
              <w:t>22.1</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B1A22E" w14:textId="77777777" w:rsidR="006C686E" w:rsidRDefault="00B17E8C">
            <w:pPr>
              <w:pStyle w:val="P68B1DB1-Normal11"/>
              <w:spacing w:after="0" w:line="240" w:lineRule="auto"/>
              <w:jc w:val="center"/>
              <w:rPr>
                <w:rFonts w:eastAsia="Times New Roman"/>
                <w:noProof/>
              </w:rPr>
            </w:pPr>
            <w:r>
              <w:rPr>
                <w:noProof/>
              </w:rPr>
              <w:t>RE-C22-r49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A7A284" w14:textId="77777777" w:rsidR="006C686E" w:rsidRDefault="00B17E8C">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1279B3" w14:textId="77777777" w:rsidR="006C686E" w:rsidRDefault="00B17E8C">
            <w:pPr>
              <w:pStyle w:val="P68B1DB1-Normal11"/>
              <w:spacing w:after="0" w:line="240" w:lineRule="auto"/>
              <w:jc w:val="center"/>
              <w:rPr>
                <w:rFonts w:eastAsia="Times New Roman"/>
                <w:noProof/>
              </w:rPr>
            </w:pPr>
            <w:r>
              <w:rPr>
                <w:noProof/>
              </w:rPr>
              <w:t>Modification des contrats de financement entre l’EMRP et les organismes de mise en œuvre afin d’y inclure l’obligation d’effectuer une évaluation des risques de fraude</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E0953" w14:textId="77777777" w:rsidR="006C686E" w:rsidRDefault="00B17E8C">
            <w:pPr>
              <w:pStyle w:val="P68B1DB1-Normal11"/>
              <w:spacing w:after="200" w:line="276" w:lineRule="auto"/>
              <w:jc w:val="center"/>
              <w:rPr>
                <w:noProof/>
              </w:rPr>
            </w:pPr>
            <w:r>
              <w:rPr>
                <w:noProof/>
              </w:rPr>
              <w:t>Contrats modifiés</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3878E4"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827E18"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2C528E"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680ABF" w14:textId="77777777" w:rsidR="006C686E" w:rsidRDefault="00B17E8C">
            <w:pPr>
              <w:pStyle w:val="P68B1DB1-Normal11"/>
              <w:spacing w:after="0" w:line="240" w:lineRule="auto"/>
              <w:jc w:val="center"/>
              <w:rPr>
                <w:rFonts w:eastAsia="Times New Roman"/>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711036" w14:textId="77777777" w:rsidR="006C686E" w:rsidRDefault="00B17E8C">
            <w:pPr>
              <w:pStyle w:val="P68B1DB1-Normal11"/>
              <w:spacing w:after="0" w:line="240" w:lineRule="auto"/>
              <w:jc w:val="center"/>
              <w:rPr>
                <w:rFonts w:eastAsia="Times New Roman"/>
                <w:noProof/>
              </w:rPr>
            </w:pPr>
            <w:r>
              <w:rPr>
                <w:noProof/>
              </w:rPr>
              <w:t>2023</w:t>
            </w:r>
          </w:p>
        </w:tc>
        <w:tc>
          <w:tcPr>
            <w:tcW w:w="3833" w:type="dxa"/>
            <w:tcBorders>
              <w:top w:val="single" w:sz="4" w:space="0" w:color="auto"/>
              <w:left w:val="single" w:sz="4" w:space="0" w:color="auto"/>
              <w:bottom w:val="single" w:sz="4" w:space="0" w:color="auto"/>
              <w:right w:val="single" w:sz="4" w:space="0" w:color="auto"/>
            </w:tcBorders>
            <w:shd w:val="clear" w:color="auto" w:fill="C4EFCE"/>
          </w:tcPr>
          <w:p w14:paraId="2B87C4C1" w14:textId="77777777" w:rsidR="006C686E" w:rsidRDefault="00B17E8C">
            <w:pPr>
              <w:pStyle w:val="P68B1DB1-Normal11"/>
              <w:spacing w:after="0" w:line="240" w:lineRule="auto"/>
              <w:jc w:val="both"/>
              <w:rPr>
                <w:rFonts w:eastAsia="Times New Roman"/>
                <w:noProof/>
              </w:rPr>
            </w:pPr>
            <w:r>
              <w:rPr>
                <w:noProof/>
              </w:rPr>
              <w:t>L’organisme de coordination «EMRP» modifie les contrats signés avec toutes les autorités responsables de la mise en œuvre du PRR afin d’ajouter une obligation légale pour les organismes de mise en œuvre de procéder à une évaluation des risques de fraude dans un délai de trois mois à compter de la modification de leurs contrats et, lorsque l’évaluation des risques de fraude recense des risques qui ne sont pas couverts par les contrôles existants, d’élaborer un plan d’action contenant des contrôles supplémentaires. Cette obligation est reflétée dans le manuel de procédures de l’organisme de coordination. L’organisme de coordination communique également formellement à tous les organismes chargés de la mise en œuvre des orientations techniques pour les aider à réaliser l’évaluation des risques de fraude.</w:t>
            </w:r>
          </w:p>
        </w:tc>
      </w:tr>
      <w:tr w:rsidR="006C686E" w14:paraId="183CC331" w14:textId="77777777" w:rsidTr="00E130FD">
        <w:trPr>
          <w:trHeight w:val="105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A405ED" w14:textId="77777777" w:rsidR="006C686E" w:rsidRDefault="00B17E8C">
            <w:pPr>
              <w:pStyle w:val="P68B1DB1-Normal10"/>
              <w:spacing w:after="0" w:line="240" w:lineRule="auto"/>
              <w:jc w:val="center"/>
              <w:rPr>
                <w:rFonts w:eastAsia="Times New Roman"/>
                <w:noProof/>
              </w:rPr>
            </w:pPr>
            <w:r>
              <w:rPr>
                <w:noProof/>
              </w:rPr>
              <w:t>22.2</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8433CF" w14:textId="77777777" w:rsidR="006C686E" w:rsidRDefault="00B17E8C">
            <w:pPr>
              <w:pStyle w:val="P68B1DB1-Normal11"/>
              <w:spacing w:after="0" w:line="240" w:lineRule="auto"/>
              <w:jc w:val="center"/>
              <w:rPr>
                <w:rFonts w:eastAsia="Times New Roman"/>
                <w:noProof/>
              </w:rPr>
            </w:pPr>
            <w:r>
              <w:rPr>
                <w:noProof/>
              </w:rPr>
              <w:t>RE-C22-r49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C45674" w14:textId="77777777" w:rsidR="006C686E" w:rsidRDefault="00B17E8C">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357A35" w14:textId="77777777" w:rsidR="006C686E" w:rsidRDefault="00B17E8C">
            <w:pPr>
              <w:pStyle w:val="P68B1DB1-Normal11"/>
              <w:spacing w:after="0" w:line="240" w:lineRule="auto"/>
              <w:jc w:val="center"/>
              <w:rPr>
                <w:rFonts w:eastAsia="Times New Roman"/>
                <w:noProof/>
              </w:rPr>
            </w:pPr>
            <w:r>
              <w:rPr>
                <w:noProof/>
              </w:rPr>
              <w:t>Mise en place de contrôles croisés pour les doubles financements</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9E0378" w14:textId="77777777" w:rsidR="006C686E" w:rsidRDefault="00B17E8C">
            <w:pPr>
              <w:pStyle w:val="P68B1DB1-Normal11"/>
              <w:spacing w:after="0" w:line="240" w:lineRule="auto"/>
              <w:jc w:val="center"/>
              <w:rPr>
                <w:rFonts w:eastAsia="Times New Roman"/>
                <w:noProof/>
              </w:rPr>
            </w:pPr>
            <w:r>
              <w:rPr>
                <w:noProof/>
              </w:rPr>
              <w:t xml:space="preserve">Mise en œuvre de procédures adéquates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F7DF9F"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4AB47E"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FB4EE5" w14:textId="77777777" w:rsidR="006C686E" w:rsidRDefault="006C686E">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0E6A42" w14:textId="77777777" w:rsidR="006C686E" w:rsidRDefault="00B17E8C">
            <w:pPr>
              <w:pStyle w:val="P68B1DB1-Normal11"/>
              <w:spacing w:after="0" w:line="240" w:lineRule="auto"/>
              <w:jc w:val="center"/>
              <w:rPr>
                <w:rFonts w:eastAsia="Times New Roman"/>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0F08E4" w14:textId="77777777" w:rsidR="006C686E" w:rsidRDefault="00B17E8C">
            <w:pPr>
              <w:pStyle w:val="P68B1DB1-Normal11"/>
              <w:spacing w:after="0" w:line="240" w:lineRule="auto"/>
              <w:jc w:val="center"/>
              <w:rPr>
                <w:rFonts w:eastAsia="Times New Roman"/>
                <w:noProof/>
              </w:rPr>
            </w:pPr>
            <w:r>
              <w:rPr>
                <w:noProof/>
              </w:rPr>
              <w:t>2023</w:t>
            </w:r>
          </w:p>
        </w:tc>
        <w:tc>
          <w:tcPr>
            <w:tcW w:w="3833" w:type="dxa"/>
            <w:tcBorders>
              <w:top w:val="single" w:sz="4" w:space="0" w:color="auto"/>
              <w:left w:val="single" w:sz="4" w:space="0" w:color="auto"/>
              <w:bottom w:val="single" w:sz="4" w:space="0" w:color="auto"/>
              <w:right w:val="single" w:sz="4" w:space="0" w:color="auto"/>
            </w:tcBorders>
            <w:shd w:val="clear" w:color="auto" w:fill="C4EFCE"/>
          </w:tcPr>
          <w:p w14:paraId="45D50565" w14:textId="77777777" w:rsidR="006C686E" w:rsidRDefault="00B17E8C">
            <w:pPr>
              <w:pStyle w:val="P68B1DB1-Normal11"/>
              <w:spacing w:after="0" w:line="240" w:lineRule="auto"/>
              <w:jc w:val="both"/>
              <w:rPr>
                <w:rFonts w:eastAsia="Times New Roman"/>
                <w:noProof/>
              </w:rPr>
            </w:pPr>
            <w:r>
              <w:rPr>
                <w:noProof/>
              </w:rPr>
              <w:t>Les autorités portugaises améliorent et mettent en œuvre des procédures adéquates pour réduire ou atténuer le risque de double financement en introduisant des contrôles croisés systématiques efficaces sur les demandes de financement potentiel au sein de la FRR et entre la FRR et d’autres programmes de l’Union, conformément au principe de bonne gestion financière.</w:t>
            </w:r>
          </w:p>
        </w:tc>
      </w:tr>
    </w:tbl>
    <w:p w14:paraId="6E18FDEC" w14:textId="77777777" w:rsidR="006C686E" w:rsidRDefault="006C686E">
      <w:pPr>
        <w:keepNext/>
        <w:spacing w:before="40" w:after="0"/>
        <w:jc w:val="both"/>
        <w:outlineLvl w:val="1"/>
        <w:rPr>
          <w:rFonts w:ascii="Times New Roman" w:eastAsia="Times New Roman" w:hAnsi="Times New Roman" w:cs="Times New Roman"/>
          <w:b/>
          <w:noProof/>
          <w:kern w:val="0"/>
          <w:u w:val="single"/>
          <w14:ligatures w14:val="none"/>
        </w:rPr>
        <w:sectPr w:rsidR="006C686E" w:rsidSect="00C95E00">
          <w:headerReference w:type="default" r:id="rId391"/>
          <w:footerReference w:type="default" r:id="rId392"/>
          <w:pgSz w:w="16839" w:h="11907" w:orient="landscape"/>
          <w:pgMar w:top="1134" w:right="1134" w:bottom="1134" w:left="1134" w:header="567" w:footer="567" w:gutter="0"/>
          <w:cols w:space="708"/>
          <w:docGrid w:linePitch="360"/>
        </w:sectPr>
      </w:pPr>
    </w:p>
    <w:p w14:paraId="4FD23FBE" w14:textId="77777777" w:rsidR="006C686E" w:rsidRDefault="00B17E8C">
      <w:pPr>
        <w:pStyle w:val="P68B1DB1-Normal1"/>
        <w:keepNext/>
        <w:spacing w:before="40" w:after="0"/>
        <w:ind w:left="130" w:firstLine="720"/>
        <w:jc w:val="both"/>
        <w:outlineLvl w:val="1"/>
        <w:rPr>
          <w:rFonts w:eastAsia="Times New Roman"/>
          <w:noProof/>
        </w:rPr>
      </w:pPr>
      <w:bookmarkStart w:id="28" w:name="_Hlk214036418"/>
      <w:r>
        <w:rPr>
          <w:noProof/>
        </w:rPr>
        <w:t>2. Coût total estimé du plan pour la reprise et la résilience</w:t>
      </w:r>
    </w:p>
    <w:p w14:paraId="4FE44359" w14:textId="77777777" w:rsidR="006C686E" w:rsidRDefault="006C686E">
      <w:pPr>
        <w:spacing w:after="200" w:line="276" w:lineRule="auto"/>
        <w:jc w:val="both"/>
        <w:rPr>
          <w:rFonts w:ascii="Times New Roman" w:eastAsia="Calibri" w:hAnsi="Times New Roman" w:cs="Times New Roman"/>
          <w:noProof/>
          <w:kern w:val="0"/>
          <w14:ligatures w14:val="none"/>
        </w:rPr>
      </w:pPr>
    </w:p>
    <w:p w14:paraId="02F899AF" w14:textId="68325F8D" w:rsidR="006C686E" w:rsidRDefault="00B17E8C">
      <w:pPr>
        <w:pStyle w:val="P68B1DB1-Normal4"/>
        <w:spacing w:before="40" w:after="0"/>
        <w:jc w:val="both"/>
        <w:rPr>
          <w:noProof/>
        </w:rPr>
      </w:pPr>
      <w:r>
        <w:rPr>
          <w:noProof/>
        </w:rPr>
        <w:t>Le coût total du plan pour la reprise et la résilience du Portugal est estimé à 21 905 333 169 EUR.</w:t>
      </w:r>
    </w:p>
    <w:p w14:paraId="162C74B7" w14:textId="02002860" w:rsidR="006C686E" w:rsidRDefault="00B17E8C">
      <w:pPr>
        <w:pStyle w:val="P68B1DB1-Normal4"/>
        <w:spacing w:before="40" w:after="0"/>
        <w:jc w:val="both"/>
        <w:rPr>
          <w:noProof/>
        </w:rPr>
      </w:pPr>
      <w:r>
        <w:rPr>
          <w:noProof/>
        </w:rPr>
        <w:t>Le coût total du chapitre REPowerEU est estimé à 808 551 368 EUR. En particulier, le coût total estimé des mesures visées à l’article 21 quater, paragraphe 3, point a), du règlement (UE) 2023/435 est de 0 EUR, tandis que le coût des autres mesures du chapitre REPowerEU est de 808 551 368 EUR.</w:t>
      </w:r>
    </w:p>
    <w:bookmarkEnd w:id="28"/>
    <w:p w14:paraId="4286556B" w14:textId="77777777" w:rsidR="006C686E" w:rsidRDefault="006C686E">
      <w:pPr>
        <w:keepNext/>
        <w:tabs>
          <w:tab w:val="num" w:pos="850"/>
        </w:tabs>
        <w:spacing w:before="360" w:after="0"/>
        <w:ind w:left="850" w:hanging="850"/>
        <w:jc w:val="both"/>
        <w:outlineLvl w:val="0"/>
        <w:rPr>
          <w:rFonts w:ascii="Calibri" w:eastAsia="Calibri" w:hAnsi="Calibri" w:cs="Times New Roman"/>
          <w:noProof/>
          <w:kern w:val="0"/>
          <w14:ligatures w14:val="none"/>
        </w:rPr>
        <w:sectPr w:rsidR="006C686E" w:rsidSect="00C95E00">
          <w:headerReference w:type="even" r:id="rId393"/>
          <w:headerReference w:type="default" r:id="rId394"/>
          <w:footerReference w:type="even" r:id="rId395"/>
          <w:footerReference w:type="default" r:id="rId396"/>
          <w:headerReference w:type="first" r:id="rId397"/>
          <w:footerReference w:type="first" r:id="rId398"/>
          <w:pgSz w:w="11907" w:h="16839"/>
          <w:pgMar w:top="1134" w:right="1134" w:bottom="1134" w:left="1134" w:header="567" w:footer="567" w:gutter="0"/>
          <w:cols w:space="708"/>
          <w:docGrid w:linePitch="360"/>
        </w:sectPr>
      </w:pPr>
    </w:p>
    <w:p w14:paraId="3687B88C" w14:textId="77777777" w:rsidR="006C686E" w:rsidRDefault="00B17E8C">
      <w:pPr>
        <w:pStyle w:val="P68B1DB1-Normal2"/>
        <w:keepNext/>
        <w:tabs>
          <w:tab w:val="num" w:pos="850"/>
        </w:tabs>
        <w:spacing w:before="360" w:after="0"/>
        <w:ind w:left="850" w:hanging="850"/>
        <w:jc w:val="both"/>
        <w:outlineLvl w:val="0"/>
        <w:rPr>
          <w:rFonts w:eastAsia="Times New Roman"/>
          <w:bCs/>
          <w:noProof/>
        </w:rPr>
      </w:pPr>
      <w:r>
        <w:rPr>
          <w:noProof/>
        </w:rPr>
        <w:t xml:space="preserve">SECTION 2: SOUTIEN FINANCIER </w:t>
      </w:r>
    </w:p>
    <w:p w14:paraId="0FBFA210" w14:textId="77777777" w:rsidR="006C686E" w:rsidRDefault="00B17E8C">
      <w:pPr>
        <w:pStyle w:val="P68B1DB1-Normal1"/>
        <w:keepNext/>
        <w:numPr>
          <w:ilvl w:val="1"/>
          <w:numId w:val="70"/>
        </w:numPr>
        <w:spacing w:before="40" w:after="0" w:line="276" w:lineRule="auto"/>
        <w:jc w:val="both"/>
        <w:outlineLvl w:val="1"/>
        <w:rPr>
          <w:rFonts w:eastAsia="Times New Roman"/>
          <w:bCs/>
          <w:noProof/>
        </w:rPr>
      </w:pPr>
      <w:r>
        <w:rPr>
          <w:noProof/>
        </w:rPr>
        <w:t xml:space="preserve">Contribution financière </w:t>
      </w:r>
    </w:p>
    <w:p w14:paraId="45B8F310" w14:textId="77777777" w:rsidR="006C686E" w:rsidRDefault="006C686E">
      <w:pPr>
        <w:keepNext/>
        <w:spacing w:before="40"/>
        <w:contextualSpacing/>
        <w:jc w:val="both"/>
        <w:rPr>
          <w:rFonts w:ascii="Times New Roman" w:eastAsia="Times New Roman" w:hAnsi="Times New Roman" w:cs="Times New Roman"/>
          <w:bCs/>
          <w:noProof/>
          <w:kern w:val="0"/>
          <w:szCs w:val="26"/>
          <w14:ligatures w14:val="none"/>
        </w:rPr>
      </w:pPr>
    </w:p>
    <w:p w14:paraId="63518FF1" w14:textId="77777777" w:rsidR="006C686E" w:rsidRDefault="00B17E8C">
      <w:pPr>
        <w:pStyle w:val="P68B1DB1-Normal4"/>
        <w:keepNext/>
        <w:spacing w:before="40"/>
        <w:contextualSpacing/>
        <w:jc w:val="both"/>
        <w:rPr>
          <w:rFonts w:eastAsia="Times New Roman"/>
          <w:noProof/>
        </w:rPr>
      </w:pPr>
      <w:r>
        <w:rPr>
          <w:noProof/>
        </w:rPr>
        <w:t>Les tranches visées à l'article 2, paragraphe 2, sont organisées de la manière suivante:</w:t>
      </w:r>
    </w:p>
    <w:p w14:paraId="4B0BF64E" w14:textId="77777777" w:rsidR="006C686E" w:rsidRDefault="006C686E">
      <w:pPr>
        <w:keepNext/>
        <w:spacing w:before="40"/>
        <w:contextualSpacing/>
        <w:jc w:val="both"/>
        <w:rPr>
          <w:rFonts w:ascii="Times New Roman" w:eastAsia="Times New Roman" w:hAnsi="Times New Roman" w:cs="Times New Roman"/>
          <w:bCs/>
          <w:noProof/>
          <w:kern w:val="0"/>
          <w:szCs w:val="26"/>
          <w14:ligatures w14:val="none"/>
        </w:rPr>
      </w:pPr>
    </w:p>
    <w:p w14:paraId="24F4DB70" w14:textId="77777777" w:rsidR="006C686E" w:rsidRDefault="00B17E8C">
      <w:pPr>
        <w:pStyle w:val="P68B1DB1-Normal4"/>
        <w:keepNext/>
        <w:numPr>
          <w:ilvl w:val="1"/>
          <w:numId w:val="71"/>
        </w:numPr>
        <w:spacing w:before="40" w:after="200" w:line="276" w:lineRule="auto"/>
        <w:contextualSpacing/>
        <w:jc w:val="both"/>
        <w:rPr>
          <w:rFonts w:eastAsia="Times New Roman"/>
          <w:noProof/>
        </w:rPr>
      </w:pPr>
      <w:r>
        <w:rPr>
          <w:noProof/>
        </w:rPr>
        <w:t xml:space="preserve"> Première tranche (soutien non remboursable): </w:t>
      </w:r>
    </w:p>
    <w:p w14:paraId="60932E01"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03FBAA63" w14:textId="77777777">
        <w:trPr>
          <w:trHeight w:val="509"/>
          <w:tblHeader/>
        </w:trPr>
        <w:tc>
          <w:tcPr>
            <w:tcW w:w="1200" w:type="dxa"/>
            <w:vMerge w:val="restart"/>
            <w:shd w:val="clear" w:color="auto" w:fill="BDD7EE"/>
            <w:vAlign w:val="center"/>
            <w:hideMark/>
          </w:tcPr>
          <w:p w14:paraId="0958BFCC"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2CC2AA03"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4300F1B5" w14:textId="77777777" w:rsidR="006C686E" w:rsidRDefault="00B17E8C">
            <w:pPr>
              <w:pStyle w:val="P68B1DB1-Normal59"/>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16458493" w14:textId="77777777" w:rsidR="006C686E" w:rsidRDefault="00B17E8C">
            <w:pPr>
              <w:pStyle w:val="P68B1DB1-Normal59"/>
              <w:spacing w:after="0" w:line="240" w:lineRule="auto"/>
              <w:jc w:val="center"/>
              <w:rPr>
                <w:rFonts w:eastAsia="Times New Roman"/>
                <w:bCs/>
                <w:noProof/>
              </w:rPr>
            </w:pPr>
            <w:r>
              <w:rPr>
                <w:noProof/>
              </w:rPr>
              <w:t>Nom</w:t>
            </w:r>
          </w:p>
        </w:tc>
      </w:tr>
      <w:tr w:rsidR="006C686E" w14:paraId="67C068FE" w14:textId="77777777">
        <w:trPr>
          <w:trHeight w:val="509"/>
          <w:tblHeader/>
        </w:trPr>
        <w:tc>
          <w:tcPr>
            <w:tcW w:w="1200" w:type="dxa"/>
            <w:vMerge/>
            <w:vAlign w:val="center"/>
            <w:hideMark/>
          </w:tcPr>
          <w:p w14:paraId="68C4472B"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4CEB2718"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7447A1D3"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B18213F"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r>
      <w:tr w:rsidR="006C686E" w14:paraId="3173D608" w14:textId="77777777">
        <w:trPr>
          <w:trHeight w:val="440"/>
        </w:trPr>
        <w:tc>
          <w:tcPr>
            <w:tcW w:w="1200" w:type="dxa"/>
            <w:shd w:val="clear" w:color="auto" w:fill="C4EFCE"/>
            <w:vAlign w:val="center"/>
            <w:hideMark/>
          </w:tcPr>
          <w:p w14:paraId="5B88C2E5" w14:textId="77777777" w:rsidR="006C686E" w:rsidRDefault="00B17E8C">
            <w:pPr>
              <w:pStyle w:val="P68B1DB1-Normal60"/>
              <w:spacing w:after="0" w:line="276" w:lineRule="auto"/>
              <w:jc w:val="center"/>
              <w:rPr>
                <w:noProof/>
              </w:rPr>
            </w:pPr>
            <w:r>
              <w:rPr>
                <w:noProof/>
              </w:rPr>
              <w:t>1.29</w:t>
            </w:r>
          </w:p>
        </w:tc>
        <w:tc>
          <w:tcPr>
            <w:tcW w:w="1760" w:type="dxa"/>
            <w:shd w:val="clear" w:color="auto" w:fill="C4EFCE"/>
            <w:vAlign w:val="center"/>
            <w:hideMark/>
          </w:tcPr>
          <w:p w14:paraId="28A9B73D" w14:textId="133CB4B4" w:rsidR="006C686E" w:rsidRDefault="00B17E8C">
            <w:pPr>
              <w:pStyle w:val="P68B1DB1-Normal60"/>
              <w:spacing w:after="0" w:line="276" w:lineRule="auto"/>
              <w:jc w:val="center"/>
              <w:rPr>
                <w:noProof/>
              </w:rPr>
            </w:pPr>
            <w:r>
              <w:rPr>
                <w:noProof/>
              </w:rPr>
              <w:t>RE-C01-i05-RAM</w:t>
            </w:r>
          </w:p>
        </w:tc>
        <w:tc>
          <w:tcPr>
            <w:tcW w:w="1520" w:type="dxa"/>
            <w:shd w:val="clear" w:color="auto" w:fill="C4EFCE"/>
            <w:vAlign w:val="center"/>
            <w:hideMark/>
          </w:tcPr>
          <w:p w14:paraId="11E7762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7AC8B95" w14:textId="77777777" w:rsidR="006C686E" w:rsidRDefault="00B17E8C">
            <w:pPr>
              <w:pStyle w:val="P68B1DB1-Normal60"/>
              <w:spacing w:after="0" w:line="276" w:lineRule="auto"/>
              <w:jc w:val="both"/>
              <w:rPr>
                <w:noProof/>
              </w:rPr>
            </w:pPr>
            <w:r>
              <w:rPr>
                <w:noProof/>
              </w:rPr>
              <w:t>Déploiement du système de classification, du profil fonctionnel et du système d’orientation des utilisateurs pour le modèle régional de services intégrés de soins continus de Madère</w:t>
            </w:r>
          </w:p>
        </w:tc>
      </w:tr>
      <w:tr w:rsidR="006C686E" w14:paraId="229146B3" w14:textId="77777777">
        <w:trPr>
          <w:trHeight w:val="440"/>
        </w:trPr>
        <w:tc>
          <w:tcPr>
            <w:tcW w:w="1200" w:type="dxa"/>
            <w:shd w:val="clear" w:color="auto" w:fill="C4EFCE"/>
            <w:vAlign w:val="center"/>
            <w:hideMark/>
          </w:tcPr>
          <w:p w14:paraId="43E6B0F8" w14:textId="77777777" w:rsidR="006C686E" w:rsidRDefault="00B17E8C">
            <w:pPr>
              <w:pStyle w:val="P68B1DB1-Normal60"/>
              <w:spacing w:after="0" w:line="276" w:lineRule="auto"/>
              <w:jc w:val="center"/>
              <w:rPr>
                <w:noProof/>
              </w:rPr>
            </w:pPr>
            <w:r>
              <w:rPr>
                <w:noProof/>
              </w:rPr>
              <w:t>1.4</w:t>
            </w:r>
          </w:p>
        </w:tc>
        <w:tc>
          <w:tcPr>
            <w:tcW w:w="1760" w:type="dxa"/>
            <w:shd w:val="clear" w:color="auto" w:fill="C4EFCE"/>
            <w:vAlign w:val="center"/>
            <w:hideMark/>
          </w:tcPr>
          <w:p w14:paraId="041FFF8D" w14:textId="1AED1178" w:rsidR="006C686E" w:rsidRDefault="00B17E8C">
            <w:pPr>
              <w:pStyle w:val="P68B1DB1-Normal60"/>
              <w:spacing w:after="0" w:line="276" w:lineRule="auto"/>
              <w:jc w:val="center"/>
              <w:rPr>
                <w:noProof/>
              </w:rPr>
            </w:pPr>
            <w:r>
              <w:rPr>
                <w:noProof/>
              </w:rPr>
              <w:t>RE-C01-r02</w:t>
            </w:r>
          </w:p>
        </w:tc>
        <w:tc>
          <w:tcPr>
            <w:tcW w:w="1520" w:type="dxa"/>
            <w:shd w:val="clear" w:color="auto" w:fill="C4EFCE"/>
            <w:vAlign w:val="center"/>
            <w:hideMark/>
          </w:tcPr>
          <w:p w14:paraId="5A9B7573"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8F5A395" w14:textId="77777777" w:rsidR="006C686E" w:rsidRDefault="00B17E8C">
            <w:pPr>
              <w:pStyle w:val="P68B1DB1-Normal60"/>
              <w:spacing w:after="0" w:line="276" w:lineRule="auto"/>
              <w:jc w:val="both"/>
              <w:rPr>
                <w:noProof/>
              </w:rPr>
            </w:pPr>
            <w:r>
              <w:rPr>
                <w:noProof/>
              </w:rPr>
              <w:t>Entrée en vigueur du nouveau décret-loi sur la santé mentale, qui énonce les principes d'organisation des services de soins de santé mentale</w:t>
            </w:r>
          </w:p>
        </w:tc>
      </w:tr>
      <w:tr w:rsidR="006C686E" w14:paraId="7B4AF865" w14:textId="77777777">
        <w:trPr>
          <w:trHeight w:val="440"/>
        </w:trPr>
        <w:tc>
          <w:tcPr>
            <w:tcW w:w="1200" w:type="dxa"/>
            <w:shd w:val="clear" w:color="auto" w:fill="C4EFCE"/>
            <w:vAlign w:val="center"/>
            <w:hideMark/>
          </w:tcPr>
          <w:p w14:paraId="3A520404" w14:textId="77777777" w:rsidR="006C686E" w:rsidRDefault="00B17E8C">
            <w:pPr>
              <w:pStyle w:val="P68B1DB1-Normal60"/>
              <w:spacing w:after="0" w:line="276" w:lineRule="auto"/>
              <w:jc w:val="center"/>
              <w:rPr>
                <w:noProof/>
              </w:rPr>
            </w:pPr>
            <w:r>
              <w:rPr>
                <w:noProof/>
              </w:rPr>
              <w:t>2.13</w:t>
            </w:r>
          </w:p>
        </w:tc>
        <w:tc>
          <w:tcPr>
            <w:tcW w:w="1760" w:type="dxa"/>
            <w:shd w:val="clear" w:color="auto" w:fill="C4EFCE"/>
            <w:vAlign w:val="center"/>
            <w:hideMark/>
          </w:tcPr>
          <w:p w14:paraId="7770CFC3" w14:textId="13C3E54A" w:rsidR="006C686E" w:rsidRDefault="00B17E8C">
            <w:pPr>
              <w:pStyle w:val="P68B1DB1-Normal60"/>
              <w:spacing w:after="0" w:line="276" w:lineRule="auto"/>
              <w:jc w:val="center"/>
              <w:rPr>
                <w:noProof/>
              </w:rPr>
            </w:pPr>
            <w:r>
              <w:rPr>
                <w:noProof/>
              </w:rPr>
              <w:t>RE-C02-i04-RAA</w:t>
            </w:r>
          </w:p>
        </w:tc>
        <w:tc>
          <w:tcPr>
            <w:tcW w:w="1520" w:type="dxa"/>
            <w:shd w:val="clear" w:color="auto" w:fill="C4EFCE"/>
            <w:vAlign w:val="center"/>
            <w:hideMark/>
          </w:tcPr>
          <w:p w14:paraId="3DDF6287"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DD3A418" w14:textId="77777777" w:rsidR="006C686E" w:rsidRDefault="00B17E8C">
            <w:pPr>
              <w:pStyle w:val="P68B1DB1-Normal60"/>
              <w:spacing w:after="0" w:line="276" w:lineRule="auto"/>
              <w:jc w:val="both"/>
              <w:rPr>
                <w:noProof/>
              </w:rPr>
            </w:pPr>
            <w:r>
              <w:rPr>
                <w:noProof/>
              </w:rPr>
              <w:t>Bâtiments construits dans le parc de logements publics de la région autonome des Açores</w:t>
            </w:r>
          </w:p>
        </w:tc>
      </w:tr>
      <w:tr w:rsidR="006C686E" w14:paraId="6EA0F646" w14:textId="77777777">
        <w:trPr>
          <w:trHeight w:val="440"/>
        </w:trPr>
        <w:tc>
          <w:tcPr>
            <w:tcW w:w="1200" w:type="dxa"/>
            <w:shd w:val="clear" w:color="auto" w:fill="C4EFCE"/>
            <w:vAlign w:val="center"/>
            <w:hideMark/>
          </w:tcPr>
          <w:p w14:paraId="06282611" w14:textId="77777777" w:rsidR="006C686E" w:rsidRDefault="00B17E8C">
            <w:pPr>
              <w:pStyle w:val="P68B1DB1-Normal60"/>
              <w:spacing w:after="0" w:line="276" w:lineRule="auto"/>
              <w:jc w:val="center"/>
              <w:rPr>
                <w:noProof/>
              </w:rPr>
            </w:pPr>
            <w:r>
              <w:rPr>
                <w:noProof/>
              </w:rPr>
              <w:t>2.14</w:t>
            </w:r>
          </w:p>
        </w:tc>
        <w:tc>
          <w:tcPr>
            <w:tcW w:w="1760" w:type="dxa"/>
            <w:shd w:val="clear" w:color="auto" w:fill="C4EFCE"/>
            <w:vAlign w:val="center"/>
            <w:hideMark/>
          </w:tcPr>
          <w:p w14:paraId="4D4918E4" w14:textId="5D40004D" w:rsidR="006C686E" w:rsidRDefault="00B17E8C">
            <w:pPr>
              <w:pStyle w:val="P68B1DB1-Normal60"/>
              <w:spacing w:after="0" w:line="276" w:lineRule="auto"/>
              <w:jc w:val="center"/>
              <w:rPr>
                <w:noProof/>
              </w:rPr>
            </w:pPr>
            <w:r>
              <w:rPr>
                <w:noProof/>
              </w:rPr>
              <w:t>RE-C02-i04-RAA</w:t>
            </w:r>
          </w:p>
        </w:tc>
        <w:tc>
          <w:tcPr>
            <w:tcW w:w="1520" w:type="dxa"/>
            <w:shd w:val="clear" w:color="auto" w:fill="C4EFCE"/>
            <w:vAlign w:val="center"/>
            <w:hideMark/>
          </w:tcPr>
          <w:p w14:paraId="084CBDF2"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031F9B99" w14:textId="77777777" w:rsidR="006C686E" w:rsidRDefault="00B17E8C">
            <w:pPr>
              <w:pStyle w:val="P68B1DB1-Normal60"/>
              <w:spacing w:after="0" w:line="276" w:lineRule="auto"/>
              <w:jc w:val="both"/>
              <w:rPr>
                <w:noProof/>
              </w:rPr>
            </w:pPr>
            <w:r>
              <w:rPr>
                <w:noProof/>
              </w:rPr>
              <w:t>Interventions dans le parc de logements sociaux de la région autonome des Açores - rénovation</w:t>
            </w:r>
          </w:p>
        </w:tc>
      </w:tr>
      <w:tr w:rsidR="006C686E" w14:paraId="5F831660" w14:textId="77777777">
        <w:trPr>
          <w:trHeight w:val="440"/>
        </w:trPr>
        <w:tc>
          <w:tcPr>
            <w:tcW w:w="1200" w:type="dxa"/>
            <w:shd w:val="clear" w:color="auto" w:fill="C4EFCE"/>
            <w:vAlign w:val="center"/>
            <w:hideMark/>
          </w:tcPr>
          <w:p w14:paraId="3014D664" w14:textId="77777777" w:rsidR="006C686E" w:rsidRDefault="00B17E8C">
            <w:pPr>
              <w:pStyle w:val="P68B1DB1-Normal60"/>
              <w:spacing w:after="0" w:line="276" w:lineRule="auto"/>
              <w:jc w:val="center"/>
              <w:rPr>
                <w:noProof/>
              </w:rPr>
            </w:pPr>
            <w:r>
              <w:rPr>
                <w:noProof/>
              </w:rPr>
              <w:t>2.19</w:t>
            </w:r>
          </w:p>
        </w:tc>
        <w:tc>
          <w:tcPr>
            <w:tcW w:w="1760" w:type="dxa"/>
            <w:shd w:val="clear" w:color="auto" w:fill="C4EFCE"/>
            <w:vAlign w:val="center"/>
            <w:hideMark/>
          </w:tcPr>
          <w:p w14:paraId="2A718795" w14:textId="7B58818E" w:rsidR="006C686E" w:rsidRDefault="00B17E8C">
            <w:pPr>
              <w:pStyle w:val="P68B1DB1-Normal60"/>
              <w:spacing w:after="0" w:line="276" w:lineRule="auto"/>
              <w:jc w:val="center"/>
              <w:rPr>
                <w:noProof/>
              </w:rPr>
            </w:pPr>
            <w:r>
              <w:rPr>
                <w:noProof/>
              </w:rPr>
              <w:t>RE-C02-r04</w:t>
            </w:r>
          </w:p>
        </w:tc>
        <w:tc>
          <w:tcPr>
            <w:tcW w:w="1520" w:type="dxa"/>
            <w:shd w:val="clear" w:color="auto" w:fill="C4EFCE"/>
            <w:vAlign w:val="center"/>
            <w:hideMark/>
          </w:tcPr>
          <w:p w14:paraId="606B1D05"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8452402" w14:textId="77777777" w:rsidR="006C686E" w:rsidRDefault="00B17E8C">
            <w:pPr>
              <w:pStyle w:val="P68B1DB1-Normal60"/>
              <w:spacing w:after="0" w:line="276" w:lineRule="auto"/>
              <w:jc w:val="both"/>
              <w:rPr>
                <w:noProof/>
              </w:rPr>
            </w:pPr>
            <w:r>
              <w:rPr>
                <w:noProof/>
              </w:rPr>
              <w:t>Entrée en vigueur du décret-loi portant approbation du cadre juridique du plan national d’urgence et de logement temporaire</w:t>
            </w:r>
          </w:p>
        </w:tc>
      </w:tr>
      <w:tr w:rsidR="006C686E" w14:paraId="2F796D6F" w14:textId="77777777">
        <w:trPr>
          <w:trHeight w:val="440"/>
        </w:trPr>
        <w:tc>
          <w:tcPr>
            <w:tcW w:w="1200" w:type="dxa"/>
            <w:shd w:val="clear" w:color="auto" w:fill="C4EFCE"/>
            <w:vAlign w:val="center"/>
            <w:hideMark/>
          </w:tcPr>
          <w:p w14:paraId="42FE3CD0" w14:textId="77777777" w:rsidR="006C686E" w:rsidRDefault="00B17E8C">
            <w:pPr>
              <w:pStyle w:val="P68B1DB1-Normal60"/>
              <w:spacing w:after="0" w:line="276" w:lineRule="auto"/>
              <w:jc w:val="center"/>
              <w:rPr>
                <w:noProof/>
              </w:rPr>
            </w:pPr>
            <w:r>
              <w:rPr>
                <w:noProof/>
              </w:rPr>
              <w:t>3.17</w:t>
            </w:r>
          </w:p>
        </w:tc>
        <w:tc>
          <w:tcPr>
            <w:tcW w:w="1760" w:type="dxa"/>
            <w:shd w:val="clear" w:color="auto" w:fill="C4EFCE"/>
            <w:vAlign w:val="center"/>
            <w:hideMark/>
          </w:tcPr>
          <w:p w14:paraId="2E6FCC88" w14:textId="0D6F20E5" w:rsidR="006C686E" w:rsidRDefault="00B17E8C">
            <w:pPr>
              <w:pStyle w:val="P68B1DB1-Normal60"/>
              <w:spacing w:after="0" w:line="276" w:lineRule="auto"/>
              <w:jc w:val="center"/>
              <w:rPr>
                <w:noProof/>
              </w:rPr>
            </w:pPr>
            <w:r>
              <w:rPr>
                <w:noProof/>
              </w:rPr>
              <w:t>RE-C03-i05</w:t>
            </w:r>
          </w:p>
        </w:tc>
        <w:tc>
          <w:tcPr>
            <w:tcW w:w="1520" w:type="dxa"/>
            <w:shd w:val="clear" w:color="auto" w:fill="C4EFCE"/>
            <w:vAlign w:val="center"/>
            <w:hideMark/>
          </w:tcPr>
          <w:p w14:paraId="12065680"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8311EDB" w14:textId="77777777" w:rsidR="006C686E" w:rsidRDefault="00B17E8C">
            <w:pPr>
              <w:pStyle w:val="P68B1DB1-Normal60"/>
              <w:spacing w:after="0" w:line="276" w:lineRule="auto"/>
              <w:jc w:val="both"/>
              <w:rPr>
                <w:noProof/>
              </w:rPr>
            </w:pPr>
            <w:r>
              <w:rPr>
                <w:noProof/>
              </w:rPr>
              <w:t>Publication de l’appel d’offres «Construire une infrastructure numérique pour l’accessibilité à 360°»</w:t>
            </w:r>
          </w:p>
        </w:tc>
      </w:tr>
      <w:tr w:rsidR="006C686E" w14:paraId="11450559" w14:textId="77777777">
        <w:trPr>
          <w:trHeight w:val="440"/>
        </w:trPr>
        <w:tc>
          <w:tcPr>
            <w:tcW w:w="1200" w:type="dxa"/>
            <w:shd w:val="clear" w:color="auto" w:fill="C4EFCE"/>
            <w:vAlign w:val="center"/>
            <w:hideMark/>
          </w:tcPr>
          <w:p w14:paraId="606805CD" w14:textId="77777777" w:rsidR="006C686E" w:rsidRDefault="00B17E8C">
            <w:pPr>
              <w:pStyle w:val="P68B1DB1-Normal60"/>
              <w:spacing w:after="0" w:line="276" w:lineRule="auto"/>
              <w:jc w:val="center"/>
              <w:rPr>
                <w:noProof/>
              </w:rPr>
            </w:pPr>
            <w:r>
              <w:rPr>
                <w:noProof/>
              </w:rPr>
              <w:t>3.20</w:t>
            </w:r>
          </w:p>
        </w:tc>
        <w:tc>
          <w:tcPr>
            <w:tcW w:w="1760" w:type="dxa"/>
            <w:shd w:val="clear" w:color="auto" w:fill="C4EFCE"/>
            <w:vAlign w:val="center"/>
            <w:hideMark/>
          </w:tcPr>
          <w:p w14:paraId="11B37872" w14:textId="7B4DB1DA" w:rsidR="006C686E" w:rsidRDefault="00B17E8C">
            <w:pPr>
              <w:pStyle w:val="P68B1DB1-Normal60"/>
              <w:spacing w:after="0" w:line="276" w:lineRule="auto"/>
              <w:jc w:val="center"/>
              <w:rPr>
                <w:noProof/>
              </w:rPr>
            </w:pPr>
            <w:r>
              <w:rPr>
                <w:noProof/>
              </w:rPr>
              <w:t>RE-C03-r08</w:t>
            </w:r>
          </w:p>
        </w:tc>
        <w:tc>
          <w:tcPr>
            <w:tcW w:w="1520" w:type="dxa"/>
            <w:shd w:val="clear" w:color="auto" w:fill="C4EFCE"/>
            <w:vAlign w:val="center"/>
            <w:hideMark/>
          </w:tcPr>
          <w:p w14:paraId="2D206144"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E403BDA" w14:textId="77777777" w:rsidR="006C686E" w:rsidRDefault="00B17E8C">
            <w:pPr>
              <w:pStyle w:val="P68B1DB1-Normal60"/>
              <w:spacing w:after="0" w:line="276" w:lineRule="auto"/>
              <w:jc w:val="both"/>
              <w:rPr>
                <w:noProof/>
              </w:rPr>
            </w:pPr>
            <w:r>
              <w:rPr>
                <w:noProof/>
              </w:rPr>
              <w:t>Adoption de la Stratégie nationale de lutte contre la pauvreté</w:t>
            </w:r>
          </w:p>
        </w:tc>
      </w:tr>
      <w:tr w:rsidR="006C686E" w14:paraId="78CCDCB9" w14:textId="77777777">
        <w:trPr>
          <w:trHeight w:val="440"/>
        </w:trPr>
        <w:tc>
          <w:tcPr>
            <w:tcW w:w="1200" w:type="dxa"/>
            <w:shd w:val="clear" w:color="auto" w:fill="C4EFCE"/>
            <w:vAlign w:val="center"/>
            <w:hideMark/>
          </w:tcPr>
          <w:p w14:paraId="1FEAD112" w14:textId="77777777" w:rsidR="006C686E" w:rsidRDefault="00B17E8C">
            <w:pPr>
              <w:pStyle w:val="P68B1DB1-Normal60"/>
              <w:spacing w:after="0" w:line="276" w:lineRule="auto"/>
              <w:jc w:val="center"/>
              <w:rPr>
                <w:noProof/>
              </w:rPr>
            </w:pPr>
            <w:r>
              <w:rPr>
                <w:noProof/>
              </w:rPr>
              <w:t>3.21</w:t>
            </w:r>
          </w:p>
        </w:tc>
        <w:tc>
          <w:tcPr>
            <w:tcW w:w="1760" w:type="dxa"/>
            <w:shd w:val="clear" w:color="auto" w:fill="C4EFCE"/>
            <w:vAlign w:val="center"/>
            <w:hideMark/>
          </w:tcPr>
          <w:p w14:paraId="0E6359B0" w14:textId="6EACEF07" w:rsidR="006C686E" w:rsidRDefault="00B17E8C">
            <w:pPr>
              <w:pStyle w:val="P68B1DB1-Normal60"/>
              <w:spacing w:after="0" w:line="276" w:lineRule="auto"/>
              <w:jc w:val="center"/>
              <w:rPr>
                <w:noProof/>
              </w:rPr>
            </w:pPr>
            <w:r>
              <w:rPr>
                <w:noProof/>
              </w:rPr>
              <w:t>RE-C03-r06</w:t>
            </w:r>
          </w:p>
        </w:tc>
        <w:tc>
          <w:tcPr>
            <w:tcW w:w="1520" w:type="dxa"/>
            <w:shd w:val="clear" w:color="auto" w:fill="C4EFCE"/>
            <w:vAlign w:val="center"/>
            <w:hideMark/>
          </w:tcPr>
          <w:p w14:paraId="1474669E"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50917F48" w14:textId="77777777" w:rsidR="006C686E" w:rsidRDefault="00B17E8C">
            <w:pPr>
              <w:pStyle w:val="P68B1DB1-Normal60"/>
              <w:spacing w:after="0" w:line="276" w:lineRule="auto"/>
              <w:jc w:val="both"/>
              <w:rPr>
                <w:noProof/>
              </w:rPr>
            </w:pPr>
            <w:r>
              <w:rPr>
                <w:noProof/>
              </w:rPr>
              <w:t>Adoption de la stratégie nationale pour l’inclusion des personnes handicapées 2021-2025</w:t>
            </w:r>
          </w:p>
        </w:tc>
      </w:tr>
      <w:tr w:rsidR="006C686E" w14:paraId="193D3DF3" w14:textId="77777777">
        <w:trPr>
          <w:trHeight w:val="440"/>
        </w:trPr>
        <w:tc>
          <w:tcPr>
            <w:tcW w:w="1200" w:type="dxa"/>
            <w:shd w:val="clear" w:color="auto" w:fill="C4EFCE"/>
            <w:vAlign w:val="center"/>
            <w:hideMark/>
          </w:tcPr>
          <w:p w14:paraId="663C90CD" w14:textId="77777777" w:rsidR="006C686E" w:rsidRDefault="00B17E8C">
            <w:pPr>
              <w:pStyle w:val="P68B1DB1-Normal60"/>
              <w:spacing w:after="0" w:line="276" w:lineRule="auto"/>
              <w:jc w:val="center"/>
              <w:rPr>
                <w:noProof/>
              </w:rPr>
            </w:pPr>
            <w:r>
              <w:rPr>
                <w:noProof/>
              </w:rPr>
              <w:t>3.22</w:t>
            </w:r>
          </w:p>
        </w:tc>
        <w:tc>
          <w:tcPr>
            <w:tcW w:w="1760" w:type="dxa"/>
            <w:shd w:val="clear" w:color="auto" w:fill="C4EFCE"/>
            <w:vAlign w:val="center"/>
            <w:hideMark/>
          </w:tcPr>
          <w:p w14:paraId="3C8C0262" w14:textId="7B5AE30A" w:rsidR="006C686E" w:rsidRDefault="00B17E8C">
            <w:pPr>
              <w:pStyle w:val="P68B1DB1-Normal60"/>
              <w:spacing w:after="0" w:line="276" w:lineRule="auto"/>
              <w:jc w:val="center"/>
              <w:rPr>
                <w:noProof/>
              </w:rPr>
            </w:pPr>
            <w:r>
              <w:rPr>
                <w:noProof/>
              </w:rPr>
              <w:t>RE-C03-r05</w:t>
            </w:r>
          </w:p>
        </w:tc>
        <w:tc>
          <w:tcPr>
            <w:tcW w:w="1520" w:type="dxa"/>
            <w:shd w:val="clear" w:color="auto" w:fill="C4EFCE"/>
            <w:vAlign w:val="center"/>
            <w:hideMark/>
          </w:tcPr>
          <w:p w14:paraId="62443162"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D2756E3" w14:textId="77777777" w:rsidR="006C686E" w:rsidRDefault="00B17E8C">
            <w:pPr>
              <w:pStyle w:val="P68B1DB1-Normal60"/>
              <w:spacing w:after="0" w:line="276" w:lineRule="auto"/>
              <w:jc w:val="both"/>
              <w:rPr>
                <w:noProof/>
              </w:rPr>
            </w:pPr>
            <w:r>
              <w:rPr>
                <w:noProof/>
              </w:rPr>
              <w:t>Entrée en vigueur du régime simplifié d'installation d'équipements sociaux</w:t>
            </w:r>
          </w:p>
        </w:tc>
      </w:tr>
      <w:tr w:rsidR="006C686E" w14:paraId="2217CA36" w14:textId="77777777">
        <w:trPr>
          <w:trHeight w:val="440"/>
        </w:trPr>
        <w:tc>
          <w:tcPr>
            <w:tcW w:w="1200" w:type="dxa"/>
            <w:shd w:val="clear" w:color="auto" w:fill="C4EFCE"/>
            <w:vAlign w:val="center"/>
            <w:hideMark/>
          </w:tcPr>
          <w:p w14:paraId="5D7E53F0" w14:textId="77777777" w:rsidR="006C686E" w:rsidRDefault="00B17E8C">
            <w:pPr>
              <w:pStyle w:val="P68B1DB1-Normal60"/>
              <w:spacing w:after="0" w:line="276" w:lineRule="auto"/>
              <w:jc w:val="center"/>
              <w:rPr>
                <w:noProof/>
              </w:rPr>
            </w:pPr>
            <w:r>
              <w:rPr>
                <w:noProof/>
              </w:rPr>
              <w:t>3.23</w:t>
            </w:r>
          </w:p>
        </w:tc>
        <w:tc>
          <w:tcPr>
            <w:tcW w:w="1760" w:type="dxa"/>
            <w:shd w:val="clear" w:color="auto" w:fill="C4EFCE"/>
            <w:vAlign w:val="center"/>
            <w:hideMark/>
          </w:tcPr>
          <w:p w14:paraId="52671506" w14:textId="68C4EE71" w:rsidR="006C686E" w:rsidRDefault="00B17E8C">
            <w:pPr>
              <w:pStyle w:val="P68B1DB1-Normal60"/>
              <w:spacing w:after="0" w:line="276" w:lineRule="auto"/>
              <w:jc w:val="center"/>
              <w:rPr>
                <w:noProof/>
              </w:rPr>
            </w:pPr>
            <w:r>
              <w:rPr>
                <w:noProof/>
              </w:rPr>
              <w:t>RE-C03-r07</w:t>
            </w:r>
          </w:p>
        </w:tc>
        <w:tc>
          <w:tcPr>
            <w:tcW w:w="1520" w:type="dxa"/>
            <w:shd w:val="clear" w:color="auto" w:fill="C4EFCE"/>
            <w:vAlign w:val="center"/>
            <w:hideMark/>
          </w:tcPr>
          <w:p w14:paraId="579E642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275890E" w14:textId="77777777" w:rsidR="006C686E" w:rsidRDefault="00B17E8C">
            <w:pPr>
              <w:pStyle w:val="P68B1DB1-Normal60"/>
              <w:spacing w:after="0" w:line="276" w:lineRule="auto"/>
              <w:jc w:val="both"/>
              <w:rPr>
                <w:noProof/>
              </w:rPr>
            </w:pPr>
            <w:r>
              <w:rPr>
                <w:noProof/>
              </w:rPr>
              <w:t>Approbation des plans d'action en faveur des communautés défavorisées dans les zones métropolitaines de Lisbonne et de Porto</w:t>
            </w:r>
          </w:p>
        </w:tc>
      </w:tr>
      <w:tr w:rsidR="006C686E" w14:paraId="1091E3F5" w14:textId="77777777">
        <w:trPr>
          <w:trHeight w:val="440"/>
        </w:trPr>
        <w:tc>
          <w:tcPr>
            <w:tcW w:w="1200" w:type="dxa"/>
            <w:shd w:val="clear" w:color="auto" w:fill="C4EFCE"/>
            <w:vAlign w:val="center"/>
            <w:hideMark/>
          </w:tcPr>
          <w:p w14:paraId="05B5314B" w14:textId="77777777" w:rsidR="006C686E" w:rsidRDefault="00B17E8C">
            <w:pPr>
              <w:pStyle w:val="P68B1DB1-Normal60"/>
              <w:spacing w:after="0" w:line="276" w:lineRule="auto"/>
              <w:jc w:val="center"/>
              <w:rPr>
                <w:noProof/>
              </w:rPr>
            </w:pPr>
            <w:r>
              <w:rPr>
                <w:noProof/>
              </w:rPr>
              <w:t>5.1</w:t>
            </w:r>
          </w:p>
        </w:tc>
        <w:tc>
          <w:tcPr>
            <w:tcW w:w="1760" w:type="dxa"/>
            <w:shd w:val="clear" w:color="auto" w:fill="C4EFCE"/>
            <w:vAlign w:val="center"/>
            <w:hideMark/>
          </w:tcPr>
          <w:p w14:paraId="1330BC27" w14:textId="65FC4FF9" w:rsidR="006C686E" w:rsidRDefault="00B17E8C">
            <w:pPr>
              <w:pStyle w:val="P68B1DB1-Normal60"/>
              <w:spacing w:after="0" w:line="276" w:lineRule="auto"/>
              <w:jc w:val="center"/>
              <w:rPr>
                <w:noProof/>
              </w:rPr>
            </w:pPr>
            <w:r>
              <w:rPr>
                <w:noProof/>
              </w:rPr>
              <w:t>RE-C05-r09</w:t>
            </w:r>
          </w:p>
        </w:tc>
        <w:tc>
          <w:tcPr>
            <w:tcW w:w="1520" w:type="dxa"/>
            <w:shd w:val="clear" w:color="auto" w:fill="C4EFCE"/>
            <w:vAlign w:val="center"/>
            <w:hideMark/>
          </w:tcPr>
          <w:p w14:paraId="4FAED69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16B686E" w14:textId="77777777" w:rsidR="006C686E" w:rsidRDefault="00B17E8C">
            <w:pPr>
              <w:pStyle w:val="P68B1DB1-Normal60"/>
              <w:spacing w:after="0" w:line="276" w:lineRule="auto"/>
              <w:jc w:val="both"/>
              <w:rPr>
                <w:noProof/>
              </w:rPr>
            </w:pPr>
            <w:r>
              <w:rPr>
                <w:noProof/>
              </w:rPr>
              <w:t>Mise à jour des lignes directrices pour la stratégie d’innovation technologique et commerciale pour le Portugal à l’horizon 2030</w:t>
            </w:r>
          </w:p>
        </w:tc>
      </w:tr>
      <w:tr w:rsidR="006C686E" w14:paraId="6DDDA016" w14:textId="77777777">
        <w:trPr>
          <w:trHeight w:val="440"/>
        </w:trPr>
        <w:tc>
          <w:tcPr>
            <w:tcW w:w="1200" w:type="dxa"/>
            <w:shd w:val="clear" w:color="auto" w:fill="C4EFCE"/>
            <w:vAlign w:val="center"/>
            <w:hideMark/>
          </w:tcPr>
          <w:p w14:paraId="47E2F6FC" w14:textId="77777777" w:rsidR="006C686E" w:rsidRDefault="00B17E8C">
            <w:pPr>
              <w:pStyle w:val="P68B1DB1-Normal60"/>
              <w:spacing w:after="0" w:line="276" w:lineRule="auto"/>
              <w:jc w:val="center"/>
              <w:rPr>
                <w:noProof/>
              </w:rPr>
            </w:pPr>
            <w:r>
              <w:rPr>
                <w:noProof/>
              </w:rPr>
              <w:t>5.11</w:t>
            </w:r>
          </w:p>
        </w:tc>
        <w:tc>
          <w:tcPr>
            <w:tcW w:w="1760" w:type="dxa"/>
            <w:shd w:val="clear" w:color="auto" w:fill="C4EFCE"/>
            <w:vAlign w:val="center"/>
            <w:hideMark/>
          </w:tcPr>
          <w:p w14:paraId="692A03BD" w14:textId="1B94E504" w:rsidR="006C686E" w:rsidRDefault="00B17E8C">
            <w:pPr>
              <w:pStyle w:val="P68B1DB1-Normal60"/>
              <w:spacing w:after="0" w:line="276" w:lineRule="auto"/>
              <w:jc w:val="center"/>
              <w:rPr>
                <w:noProof/>
              </w:rPr>
            </w:pPr>
            <w:r>
              <w:rPr>
                <w:noProof/>
              </w:rPr>
              <w:t>RE-C05-i03</w:t>
            </w:r>
          </w:p>
        </w:tc>
        <w:tc>
          <w:tcPr>
            <w:tcW w:w="1520" w:type="dxa"/>
            <w:shd w:val="clear" w:color="auto" w:fill="C4EFCE"/>
            <w:vAlign w:val="center"/>
            <w:hideMark/>
          </w:tcPr>
          <w:p w14:paraId="0BDE5842"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BEC9359" w14:textId="77777777" w:rsidR="006C686E" w:rsidRDefault="00B17E8C">
            <w:pPr>
              <w:pStyle w:val="P68B1DB1-Normal60"/>
              <w:spacing w:after="0" w:line="276" w:lineRule="auto"/>
              <w:jc w:val="both"/>
              <w:rPr>
                <w:noProof/>
              </w:rPr>
            </w:pPr>
            <w:r>
              <w:rPr>
                <w:noProof/>
              </w:rPr>
              <w:t>Procédure d'appel d'offres pour des projets de recherche et d'innovation</w:t>
            </w:r>
          </w:p>
        </w:tc>
      </w:tr>
      <w:tr w:rsidR="006C686E" w14:paraId="7284518B" w14:textId="77777777">
        <w:trPr>
          <w:trHeight w:val="440"/>
        </w:trPr>
        <w:tc>
          <w:tcPr>
            <w:tcW w:w="1200" w:type="dxa"/>
            <w:shd w:val="clear" w:color="auto" w:fill="C4EFCE"/>
            <w:vAlign w:val="center"/>
            <w:hideMark/>
          </w:tcPr>
          <w:p w14:paraId="6A53556A" w14:textId="77777777" w:rsidR="006C686E" w:rsidRDefault="00B17E8C">
            <w:pPr>
              <w:pStyle w:val="P68B1DB1-Normal60"/>
              <w:spacing w:after="0" w:line="276" w:lineRule="auto"/>
              <w:jc w:val="center"/>
              <w:rPr>
                <w:noProof/>
              </w:rPr>
            </w:pPr>
            <w:r>
              <w:rPr>
                <w:noProof/>
              </w:rPr>
              <w:t>5.15</w:t>
            </w:r>
          </w:p>
        </w:tc>
        <w:tc>
          <w:tcPr>
            <w:tcW w:w="1760" w:type="dxa"/>
            <w:shd w:val="clear" w:color="auto" w:fill="C4EFCE"/>
            <w:vAlign w:val="center"/>
            <w:hideMark/>
          </w:tcPr>
          <w:p w14:paraId="1A00B33B" w14:textId="3A2290F6" w:rsidR="006C686E" w:rsidRDefault="00B17E8C">
            <w:pPr>
              <w:pStyle w:val="P68B1DB1-Normal60"/>
              <w:spacing w:after="0" w:line="276" w:lineRule="auto"/>
              <w:jc w:val="center"/>
              <w:rPr>
                <w:noProof/>
              </w:rPr>
            </w:pPr>
            <w:r>
              <w:rPr>
                <w:noProof/>
              </w:rPr>
              <w:t>RE-C05-i04-RAA</w:t>
            </w:r>
          </w:p>
        </w:tc>
        <w:tc>
          <w:tcPr>
            <w:tcW w:w="1520" w:type="dxa"/>
            <w:shd w:val="clear" w:color="auto" w:fill="C4EFCE"/>
            <w:vAlign w:val="center"/>
            <w:hideMark/>
          </w:tcPr>
          <w:p w14:paraId="27E88B3E"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F3294D4" w14:textId="77777777" w:rsidR="006C686E" w:rsidRDefault="00B17E8C">
            <w:pPr>
              <w:pStyle w:val="P68B1DB1-Normal60"/>
              <w:spacing w:after="0" w:line="276" w:lineRule="auto"/>
              <w:jc w:val="both"/>
              <w:rPr>
                <w:noProof/>
              </w:rPr>
            </w:pPr>
            <w:r>
              <w:rPr>
                <w:noProof/>
              </w:rPr>
              <w:t>Adoption d'un règlement relatif à l'instrument de recapitalisation des entreprises aux Açores</w:t>
            </w:r>
          </w:p>
        </w:tc>
      </w:tr>
      <w:tr w:rsidR="006C686E" w14:paraId="15643E92" w14:textId="77777777">
        <w:trPr>
          <w:trHeight w:val="440"/>
        </w:trPr>
        <w:tc>
          <w:tcPr>
            <w:tcW w:w="1200" w:type="dxa"/>
            <w:shd w:val="clear" w:color="auto" w:fill="C4EFCE"/>
            <w:vAlign w:val="center"/>
            <w:hideMark/>
          </w:tcPr>
          <w:p w14:paraId="59393B1A" w14:textId="77777777" w:rsidR="006C686E" w:rsidRDefault="00B17E8C">
            <w:pPr>
              <w:pStyle w:val="P68B1DB1-Normal60"/>
              <w:spacing w:after="0" w:line="276" w:lineRule="auto"/>
              <w:jc w:val="center"/>
              <w:rPr>
                <w:noProof/>
              </w:rPr>
            </w:pPr>
            <w:r>
              <w:rPr>
                <w:noProof/>
              </w:rPr>
              <w:t>5.16</w:t>
            </w:r>
          </w:p>
        </w:tc>
        <w:tc>
          <w:tcPr>
            <w:tcW w:w="1760" w:type="dxa"/>
            <w:shd w:val="clear" w:color="auto" w:fill="C4EFCE"/>
            <w:vAlign w:val="center"/>
            <w:hideMark/>
          </w:tcPr>
          <w:p w14:paraId="039D4D29" w14:textId="5B200448" w:rsidR="006C686E" w:rsidRDefault="00B17E8C">
            <w:pPr>
              <w:pStyle w:val="P68B1DB1-Normal60"/>
              <w:spacing w:after="0" w:line="276" w:lineRule="auto"/>
              <w:jc w:val="center"/>
              <w:rPr>
                <w:noProof/>
              </w:rPr>
            </w:pPr>
            <w:r>
              <w:rPr>
                <w:noProof/>
              </w:rPr>
              <w:t>RE-C05-i04-RAA</w:t>
            </w:r>
          </w:p>
        </w:tc>
        <w:tc>
          <w:tcPr>
            <w:tcW w:w="1520" w:type="dxa"/>
            <w:shd w:val="clear" w:color="auto" w:fill="C4EFCE"/>
            <w:vAlign w:val="center"/>
            <w:hideMark/>
          </w:tcPr>
          <w:p w14:paraId="44A5C2E9"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6333425" w14:textId="77777777" w:rsidR="006C686E" w:rsidRDefault="00B17E8C">
            <w:pPr>
              <w:pStyle w:val="P68B1DB1-Normal60"/>
              <w:spacing w:after="0" w:line="276" w:lineRule="auto"/>
              <w:jc w:val="both"/>
              <w:rPr>
                <w:noProof/>
              </w:rPr>
            </w:pPr>
            <w:r>
              <w:rPr>
                <w:noProof/>
              </w:rPr>
              <w:t>Adoption de la politique d'investissement pour l'instrument de recapitalisation des entreprises aux Açores</w:t>
            </w:r>
          </w:p>
        </w:tc>
      </w:tr>
      <w:tr w:rsidR="006C686E" w14:paraId="76D54D09" w14:textId="77777777">
        <w:trPr>
          <w:trHeight w:val="440"/>
        </w:trPr>
        <w:tc>
          <w:tcPr>
            <w:tcW w:w="1200" w:type="dxa"/>
            <w:shd w:val="clear" w:color="auto" w:fill="C4EFCE"/>
            <w:vAlign w:val="center"/>
            <w:hideMark/>
          </w:tcPr>
          <w:p w14:paraId="41C11352" w14:textId="77777777" w:rsidR="006C686E" w:rsidRDefault="00B17E8C">
            <w:pPr>
              <w:pStyle w:val="P68B1DB1-Normal60"/>
              <w:spacing w:after="0" w:line="276" w:lineRule="auto"/>
              <w:jc w:val="center"/>
              <w:rPr>
                <w:noProof/>
              </w:rPr>
            </w:pPr>
            <w:r>
              <w:rPr>
                <w:noProof/>
              </w:rPr>
              <w:t>5.2</w:t>
            </w:r>
          </w:p>
        </w:tc>
        <w:tc>
          <w:tcPr>
            <w:tcW w:w="1760" w:type="dxa"/>
            <w:shd w:val="clear" w:color="auto" w:fill="C4EFCE"/>
            <w:vAlign w:val="center"/>
            <w:hideMark/>
          </w:tcPr>
          <w:p w14:paraId="270F180B" w14:textId="765132F7" w:rsidR="006C686E" w:rsidRDefault="00B17E8C">
            <w:pPr>
              <w:pStyle w:val="P68B1DB1-Normal60"/>
              <w:spacing w:after="0" w:line="276" w:lineRule="auto"/>
              <w:jc w:val="center"/>
              <w:rPr>
                <w:noProof/>
              </w:rPr>
            </w:pPr>
            <w:r>
              <w:rPr>
                <w:noProof/>
              </w:rPr>
              <w:t>RE-C05-r11</w:t>
            </w:r>
          </w:p>
        </w:tc>
        <w:tc>
          <w:tcPr>
            <w:tcW w:w="1520" w:type="dxa"/>
            <w:shd w:val="clear" w:color="auto" w:fill="C4EFCE"/>
            <w:vAlign w:val="center"/>
            <w:hideMark/>
          </w:tcPr>
          <w:p w14:paraId="091A1D04"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49D7CCB6" w14:textId="77777777" w:rsidR="006C686E" w:rsidRDefault="00B17E8C">
            <w:pPr>
              <w:pStyle w:val="P68B1DB1-Normal60"/>
              <w:spacing w:after="0" w:line="276" w:lineRule="auto"/>
              <w:jc w:val="both"/>
              <w:rPr>
                <w:noProof/>
              </w:rPr>
            </w:pPr>
            <w:r>
              <w:rPr>
                <w:noProof/>
              </w:rPr>
              <w:t>Extension du réseau de laboratoires de collaboration reconnus</w:t>
            </w:r>
          </w:p>
        </w:tc>
      </w:tr>
      <w:tr w:rsidR="006C686E" w14:paraId="5E4503C9" w14:textId="77777777">
        <w:trPr>
          <w:trHeight w:val="440"/>
        </w:trPr>
        <w:tc>
          <w:tcPr>
            <w:tcW w:w="1200" w:type="dxa"/>
            <w:shd w:val="clear" w:color="auto" w:fill="C4EFCE"/>
            <w:vAlign w:val="center"/>
            <w:hideMark/>
          </w:tcPr>
          <w:p w14:paraId="6FF95A30" w14:textId="77777777" w:rsidR="006C686E" w:rsidRDefault="00B17E8C">
            <w:pPr>
              <w:pStyle w:val="P68B1DB1-Normal60"/>
              <w:spacing w:after="0" w:line="276" w:lineRule="auto"/>
              <w:jc w:val="center"/>
              <w:rPr>
                <w:noProof/>
              </w:rPr>
            </w:pPr>
            <w:r>
              <w:rPr>
                <w:noProof/>
              </w:rPr>
              <w:t>5.3</w:t>
            </w:r>
          </w:p>
        </w:tc>
        <w:tc>
          <w:tcPr>
            <w:tcW w:w="1760" w:type="dxa"/>
            <w:shd w:val="clear" w:color="auto" w:fill="C4EFCE"/>
            <w:vAlign w:val="center"/>
            <w:hideMark/>
          </w:tcPr>
          <w:p w14:paraId="4C05D075" w14:textId="241D34C1" w:rsidR="006C686E" w:rsidRDefault="00B17E8C">
            <w:pPr>
              <w:pStyle w:val="P68B1DB1-Normal60"/>
              <w:spacing w:after="0" w:line="276" w:lineRule="auto"/>
              <w:jc w:val="center"/>
              <w:rPr>
                <w:noProof/>
              </w:rPr>
            </w:pPr>
            <w:r>
              <w:rPr>
                <w:noProof/>
              </w:rPr>
              <w:t>RE-C05-r11</w:t>
            </w:r>
          </w:p>
        </w:tc>
        <w:tc>
          <w:tcPr>
            <w:tcW w:w="1520" w:type="dxa"/>
            <w:shd w:val="clear" w:color="auto" w:fill="C4EFCE"/>
            <w:vAlign w:val="center"/>
            <w:hideMark/>
          </w:tcPr>
          <w:p w14:paraId="161AFD6F"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4795881" w14:textId="77777777" w:rsidR="006C686E" w:rsidRDefault="00B17E8C">
            <w:pPr>
              <w:pStyle w:val="P68B1DB1-Normal60"/>
              <w:spacing w:after="0" w:line="276" w:lineRule="auto"/>
              <w:jc w:val="both"/>
              <w:rPr>
                <w:noProof/>
              </w:rPr>
            </w:pPr>
            <w:r>
              <w:rPr>
                <w:noProof/>
              </w:rPr>
              <w:t>Entrée en vigueur du nouveau régime juridique applicable aux centres de technologie et d'innovation</w:t>
            </w:r>
          </w:p>
        </w:tc>
      </w:tr>
      <w:tr w:rsidR="006C686E" w14:paraId="23FF2F3F" w14:textId="77777777">
        <w:trPr>
          <w:trHeight w:val="440"/>
        </w:trPr>
        <w:tc>
          <w:tcPr>
            <w:tcW w:w="1200" w:type="dxa"/>
            <w:shd w:val="clear" w:color="auto" w:fill="C4EFCE"/>
            <w:vAlign w:val="center"/>
            <w:hideMark/>
          </w:tcPr>
          <w:p w14:paraId="18AF1555" w14:textId="77777777" w:rsidR="006C686E" w:rsidRDefault="00B17E8C">
            <w:pPr>
              <w:pStyle w:val="P68B1DB1-Normal60"/>
              <w:spacing w:after="0" w:line="276" w:lineRule="auto"/>
              <w:jc w:val="center"/>
              <w:rPr>
                <w:noProof/>
              </w:rPr>
            </w:pPr>
            <w:r>
              <w:rPr>
                <w:noProof/>
              </w:rPr>
              <w:t>5.4</w:t>
            </w:r>
          </w:p>
        </w:tc>
        <w:tc>
          <w:tcPr>
            <w:tcW w:w="1760" w:type="dxa"/>
            <w:shd w:val="clear" w:color="auto" w:fill="C4EFCE"/>
            <w:vAlign w:val="center"/>
            <w:hideMark/>
          </w:tcPr>
          <w:p w14:paraId="0FD21328" w14:textId="0F7D8FE1" w:rsidR="006C686E" w:rsidRDefault="00B17E8C">
            <w:pPr>
              <w:pStyle w:val="P68B1DB1-Normal60"/>
              <w:spacing w:after="0" w:line="276" w:lineRule="auto"/>
              <w:jc w:val="center"/>
              <w:rPr>
                <w:noProof/>
              </w:rPr>
            </w:pPr>
            <w:r>
              <w:rPr>
                <w:noProof/>
              </w:rPr>
              <w:t>RE-C05-r12</w:t>
            </w:r>
          </w:p>
        </w:tc>
        <w:tc>
          <w:tcPr>
            <w:tcW w:w="1520" w:type="dxa"/>
            <w:shd w:val="clear" w:color="auto" w:fill="C4EFCE"/>
            <w:vAlign w:val="center"/>
            <w:hideMark/>
          </w:tcPr>
          <w:p w14:paraId="09359EA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91349B2" w14:textId="77777777" w:rsidR="006C686E" w:rsidRDefault="00B17E8C">
            <w:pPr>
              <w:pStyle w:val="P68B1DB1-Normal60"/>
              <w:spacing w:after="0" w:line="276" w:lineRule="auto"/>
              <w:jc w:val="both"/>
              <w:rPr>
                <w:noProof/>
              </w:rPr>
            </w:pPr>
            <w:r>
              <w:rPr>
                <w:noProof/>
              </w:rPr>
              <w:t>Approbation du programme d'innovation pour l'agriculture</w:t>
            </w:r>
          </w:p>
        </w:tc>
      </w:tr>
      <w:tr w:rsidR="006C686E" w14:paraId="7627E1BF" w14:textId="77777777">
        <w:trPr>
          <w:trHeight w:val="440"/>
        </w:trPr>
        <w:tc>
          <w:tcPr>
            <w:tcW w:w="1200" w:type="dxa"/>
            <w:shd w:val="clear" w:color="auto" w:fill="C4EFCE"/>
            <w:vAlign w:val="center"/>
            <w:hideMark/>
          </w:tcPr>
          <w:p w14:paraId="0FC447DA" w14:textId="77777777" w:rsidR="006C686E" w:rsidRDefault="00B17E8C">
            <w:pPr>
              <w:pStyle w:val="P68B1DB1-Normal60"/>
              <w:spacing w:after="0" w:line="276" w:lineRule="auto"/>
              <w:jc w:val="center"/>
              <w:rPr>
                <w:noProof/>
              </w:rPr>
            </w:pPr>
            <w:r>
              <w:rPr>
                <w:noProof/>
              </w:rPr>
              <w:t>6.13</w:t>
            </w:r>
          </w:p>
        </w:tc>
        <w:tc>
          <w:tcPr>
            <w:tcW w:w="1760" w:type="dxa"/>
            <w:shd w:val="clear" w:color="auto" w:fill="C4EFCE"/>
            <w:vAlign w:val="center"/>
            <w:hideMark/>
          </w:tcPr>
          <w:p w14:paraId="78052001" w14:textId="5F057451" w:rsidR="006C686E" w:rsidRDefault="00B17E8C">
            <w:pPr>
              <w:pStyle w:val="P68B1DB1-Normal60"/>
              <w:spacing w:after="0" w:line="276" w:lineRule="auto"/>
              <w:jc w:val="center"/>
              <w:rPr>
                <w:noProof/>
              </w:rPr>
            </w:pPr>
            <w:r>
              <w:rPr>
                <w:noProof/>
              </w:rPr>
              <w:t>RE-C06-r15</w:t>
            </w:r>
          </w:p>
        </w:tc>
        <w:tc>
          <w:tcPr>
            <w:tcW w:w="1520" w:type="dxa"/>
            <w:shd w:val="clear" w:color="auto" w:fill="C4EFCE"/>
            <w:vAlign w:val="center"/>
            <w:hideMark/>
          </w:tcPr>
          <w:p w14:paraId="77A9ADD6"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37EE51A" w14:textId="77777777" w:rsidR="006C686E" w:rsidRDefault="00B17E8C">
            <w:pPr>
              <w:pStyle w:val="P68B1DB1-Normal60"/>
              <w:spacing w:after="0" w:line="276" w:lineRule="auto"/>
              <w:jc w:val="both"/>
              <w:rPr>
                <w:noProof/>
              </w:rPr>
            </w:pPr>
            <w:r>
              <w:rPr>
                <w:noProof/>
              </w:rPr>
              <w:t>Entrée en vigueur de la loi portant création de concours spéciaux d'admission à l'enseignement supérieur</w:t>
            </w:r>
          </w:p>
        </w:tc>
      </w:tr>
      <w:tr w:rsidR="006C686E" w14:paraId="0030BAA2" w14:textId="77777777">
        <w:trPr>
          <w:trHeight w:val="440"/>
        </w:trPr>
        <w:tc>
          <w:tcPr>
            <w:tcW w:w="1200" w:type="dxa"/>
            <w:shd w:val="clear" w:color="auto" w:fill="C4EFCE"/>
            <w:vAlign w:val="center"/>
            <w:hideMark/>
          </w:tcPr>
          <w:p w14:paraId="730C4B47" w14:textId="77777777" w:rsidR="006C686E" w:rsidRDefault="00B17E8C">
            <w:pPr>
              <w:pStyle w:val="P68B1DB1-Normal60"/>
              <w:spacing w:after="0" w:line="276" w:lineRule="auto"/>
              <w:jc w:val="center"/>
              <w:rPr>
                <w:noProof/>
              </w:rPr>
            </w:pPr>
            <w:r>
              <w:rPr>
                <w:noProof/>
              </w:rPr>
              <w:t>6.14</w:t>
            </w:r>
          </w:p>
        </w:tc>
        <w:tc>
          <w:tcPr>
            <w:tcW w:w="1760" w:type="dxa"/>
            <w:shd w:val="clear" w:color="auto" w:fill="C4EFCE"/>
            <w:vAlign w:val="center"/>
            <w:hideMark/>
          </w:tcPr>
          <w:p w14:paraId="39B0DC67" w14:textId="6F4C2F80" w:rsidR="006C686E" w:rsidRDefault="00B17E8C">
            <w:pPr>
              <w:pStyle w:val="P68B1DB1-Normal60"/>
              <w:spacing w:after="0" w:line="276" w:lineRule="auto"/>
              <w:jc w:val="center"/>
              <w:rPr>
                <w:noProof/>
              </w:rPr>
            </w:pPr>
            <w:r>
              <w:rPr>
                <w:noProof/>
              </w:rPr>
              <w:t>RE-C06-r15</w:t>
            </w:r>
          </w:p>
        </w:tc>
        <w:tc>
          <w:tcPr>
            <w:tcW w:w="1520" w:type="dxa"/>
            <w:shd w:val="clear" w:color="auto" w:fill="C4EFCE"/>
            <w:vAlign w:val="center"/>
            <w:hideMark/>
          </w:tcPr>
          <w:p w14:paraId="51042DC3"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85C8395" w14:textId="77777777" w:rsidR="006C686E" w:rsidRDefault="00B17E8C">
            <w:pPr>
              <w:pStyle w:val="P68B1DB1-Normal60"/>
              <w:spacing w:after="0" w:line="276" w:lineRule="auto"/>
              <w:jc w:val="both"/>
              <w:rPr>
                <w:noProof/>
              </w:rPr>
            </w:pPr>
            <w:r>
              <w:rPr>
                <w:noProof/>
              </w:rPr>
              <w:t>Entrée en vigueur du nouveau cadre juridique régissant la coopération des établissements d'enseignement supérieur avec l'administration publique et les entreprises</w:t>
            </w:r>
          </w:p>
        </w:tc>
      </w:tr>
      <w:tr w:rsidR="006C686E" w14:paraId="6167C884" w14:textId="77777777">
        <w:trPr>
          <w:trHeight w:val="440"/>
        </w:trPr>
        <w:tc>
          <w:tcPr>
            <w:tcW w:w="1200" w:type="dxa"/>
            <w:shd w:val="clear" w:color="auto" w:fill="C4EFCE"/>
            <w:vAlign w:val="center"/>
            <w:hideMark/>
          </w:tcPr>
          <w:p w14:paraId="6874819C" w14:textId="77777777" w:rsidR="006C686E" w:rsidRDefault="00B17E8C">
            <w:pPr>
              <w:pStyle w:val="P68B1DB1-Normal60"/>
              <w:spacing w:after="0" w:line="276" w:lineRule="auto"/>
              <w:jc w:val="center"/>
              <w:rPr>
                <w:noProof/>
              </w:rPr>
            </w:pPr>
            <w:r>
              <w:rPr>
                <w:noProof/>
              </w:rPr>
              <w:t>7.13</w:t>
            </w:r>
          </w:p>
        </w:tc>
        <w:tc>
          <w:tcPr>
            <w:tcW w:w="1760" w:type="dxa"/>
            <w:shd w:val="clear" w:color="auto" w:fill="C4EFCE"/>
            <w:vAlign w:val="center"/>
            <w:hideMark/>
          </w:tcPr>
          <w:p w14:paraId="589D36AE" w14:textId="58C726CD" w:rsidR="006C686E" w:rsidRDefault="00B17E8C">
            <w:pPr>
              <w:pStyle w:val="P68B1DB1-Normal60"/>
              <w:spacing w:after="0" w:line="276" w:lineRule="auto"/>
              <w:jc w:val="center"/>
              <w:rPr>
                <w:noProof/>
              </w:rPr>
            </w:pPr>
            <w:r>
              <w:rPr>
                <w:noProof/>
              </w:rPr>
              <w:t>RE-C07-i05-RAA</w:t>
            </w:r>
          </w:p>
        </w:tc>
        <w:tc>
          <w:tcPr>
            <w:tcW w:w="1520" w:type="dxa"/>
            <w:shd w:val="clear" w:color="auto" w:fill="C4EFCE"/>
            <w:vAlign w:val="center"/>
            <w:hideMark/>
          </w:tcPr>
          <w:p w14:paraId="2247A6D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1D8B36A" w14:textId="77777777" w:rsidR="006C686E" w:rsidRDefault="00B17E8C">
            <w:pPr>
              <w:pStyle w:val="P68B1DB1-Normal60"/>
              <w:spacing w:after="0" w:line="276" w:lineRule="auto"/>
              <w:jc w:val="both"/>
              <w:rPr>
                <w:noProof/>
              </w:rPr>
            </w:pPr>
            <w:r>
              <w:rPr>
                <w:noProof/>
              </w:rPr>
              <w:t>Contrat signé pour 2 projets routiers</w:t>
            </w:r>
          </w:p>
        </w:tc>
      </w:tr>
      <w:tr w:rsidR="006C686E" w14:paraId="20EF32F2" w14:textId="77777777">
        <w:trPr>
          <w:trHeight w:val="440"/>
        </w:trPr>
        <w:tc>
          <w:tcPr>
            <w:tcW w:w="1200" w:type="dxa"/>
            <w:shd w:val="clear" w:color="auto" w:fill="C4EFCE"/>
            <w:vAlign w:val="center"/>
            <w:hideMark/>
          </w:tcPr>
          <w:p w14:paraId="65845614" w14:textId="77777777" w:rsidR="006C686E" w:rsidRDefault="00B17E8C">
            <w:pPr>
              <w:pStyle w:val="P68B1DB1-Normal60"/>
              <w:spacing w:after="0" w:line="276" w:lineRule="auto"/>
              <w:jc w:val="center"/>
              <w:rPr>
                <w:noProof/>
              </w:rPr>
            </w:pPr>
            <w:r>
              <w:rPr>
                <w:noProof/>
              </w:rPr>
              <w:t>7.4</w:t>
            </w:r>
          </w:p>
        </w:tc>
        <w:tc>
          <w:tcPr>
            <w:tcW w:w="1760" w:type="dxa"/>
            <w:shd w:val="clear" w:color="auto" w:fill="C4EFCE"/>
            <w:vAlign w:val="center"/>
            <w:hideMark/>
          </w:tcPr>
          <w:p w14:paraId="20E72D36" w14:textId="6B28767D" w:rsidR="006C686E" w:rsidRDefault="00B17E8C">
            <w:pPr>
              <w:pStyle w:val="P68B1DB1-Normal60"/>
              <w:spacing w:after="0" w:line="276" w:lineRule="auto"/>
              <w:jc w:val="center"/>
              <w:rPr>
                <w:noProof/>
              </w:rPr>
            </w:pPr>
            <w:r>
              <w:rPr>
                <w:noProof/>
              </w:rPr>
              <w:t>RE-C07-i01</w:t>
            </w:r>
          </w:p>
        </w:tc>
        <w:tc>
          <w:tcPr>
            <w:tcW w:w="1520" w:type="dxa"/>
            <w:shd w:val="clear" w:color="auto" w:fill="C4EFCE"/>
            <w:vAlign w:val="center"/>
            <w:hideMark/>
          </w:tcPr>
          <w:p w14:paraId="5FBE3254"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E9DA5D2" w14:textId="77777777" w:rsidR="006C686E" w:rsidRDefault="00B17E8C">
            <w:pPr>
              <w:pStyle w:val="P68B1DB1-Normal60"/>
              <w:spacing w:after="0" w:line="276" w:lineRule="auto"/>
              <w:jc w:val="both"/>
              <w:rPr>
                <w:noProof/>
              </w:rPr>
            </w:pPr>
            <w:r>
              <w:rPr>
                <w:noProof/>
              </w:rPr>
              <w:t>Sélection de zones d’accueil des entreprises pour les interventions visant à améliorer la durabilité environnementale et la numérisation</w:t>
            </w:r>
          </w:p>
        </w:tc>
      </w:tr>
      <w:tr w:rsidR="006C686E" w14:paraId="7B4EE2D6" w14:textId="77777777">
        <w:trPr>
          <w:trHeight w:val="440"/>
        </w:trPr>
        <w:tc>
          <w:tcPr>
            <w:tcW w:w="1200" w:type="dxa"/>
            <w:shd w:val="clear" w:color="auto" w:fill="C4EFCE"/>
            <w:vAlign w:val="center"/>
            <w:hideMark/>
          </w:tcPr>
          <w:p w14:paraId="13823699" w14:textId="77777777" w:rsidR="006C686E" w:rsidRDefault="00B17E8C">
            <w:pPr>
              <w:pStyle w:val="P68B1DB1-Normal60"/>
              <w:spacing w:after="0" w:line="276" w:lineRule="auto"/>
              <w:jc w:val="center"/>
              <w:rPr>
                <w:noProof/>
              </w:rPr>
            </w:pPr>
            <w:r>
              <w:rPr>
                <w:noProof/>
              </w:rPr>
              <w:t>7.6</w:t>
            </w:r>
          </w:p>
        </w:tc>
        <w:tc>
          <w:tcPr>
            <w:tcW w:w="1760" w:type="dxa"/>
            <w:shd w:val="clear" w:color="auto" w:fill="C4EFCE"/>
            <w:vAlign w:val="center"/>
            <w:hideMark/>
          </w:tcPr>
          <w:p w14:paraId="05754668" w14:textId="0A568875" w:rsidR="006C686E" w:rsidRDefault="00B17E8C">
            <w:pPr>
              <w:pStyle w:val="P68B1DB1-Normal60"/>
              <w:spacing w:after="0" w:line="276" w:lineRule="auto"/>
              <w:jc w:val="center"/>
              <w:rPr>
                <w:noProof/>
              </w:rPr>
            </w:pPr>
            <w:r>
              <w:rPr>
                <w:noProof/>
              </w:rPr>
              <w:t>RE-C07-i02</w:t>
            </w:r>
          </w:p>
        </w:tc>
        <w:tc>
          <w:tcPr>
            <w:tcW w:w="1520" w:type="dxa"/>
            <w:shd w:val="clear" w:color="auto" w:fill="C4EFCE"/>
            <w:vAlign w:val="center"/>
            <w:hideMark/>
          </w:tcPr>
          <w:p w14:paraId="7F1AA772"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C96ABF0" w14:textId="77777777" w:rsidR="006C686E" w:rsidRDefault="00B17E8C">
            <w:pPr>
              <w:pStyle w:val="P68B1DB1-Normal60"/>
              <w:spacing w:after="0" w:line="276" w:lineRule="auto"/>
              <w:jc w:val="both"/>
              <w:rPr>
                <w:noProof/>
              </w:rPr>
            </w:pPr>
            <w:r>
              <w:rPr>
                <w:noProof/>
              </w:rPr>
              <w:t>Contrat signé pour 1 projet routier</w:t>
            </w:r>
          </w:p>
        </w:tc>
      </w:tr>
      <w:tr w:rsidR="006C686E" w14:paraId="29C1F05C" w14:textId="77777777">
        <w:trPr>
          <w:trHeight w:val="440"/>
        </w:trPr>
        <w:tc>
          <w:tcPr>
            <w:tcW w:w="1200" w:type="dxa"/>
            <w:shd w:val="clear" w:color="auto" w:fill="C4EFCE"/>
            <w:vAlign w:val="center"/>
            <w:hideMark/>
          </w:tcPr>
          <w:p w14:paraId="1C6124FB" w14:textId="77777777" w:rsidR="006C686E" w:rsidRDefault="00B17E8C">
            <w:pPr>
              <w:pStyle w:val="P68B1DB1-Normal60"/>
              <w:spacing w:after="0" w:line="276" w:lineRule="auto"/>
              <w:jc w:val="center"/>
              <w:rPr>
                <w:noProof/>
              </w:rPr>
            </w:pPr>
            <w:r>
              <w:rPr>
                <w:noProof/>
              </w:rPr>
              <w:t>8.17</w:t>
            </w:r>
          </w:p>
        </w:tc>
        <w:tc>
          <w:tcPr>
            <w:tcW w:w="1760" w:type="dxa"/>
            <w:shd w:val="clear" w:color="auto" w:fill="C4EFCE"/>
            <w:vAlign w:val="center"/>
            <w:hideMark/>
          </w:tcPr>
          <w:p w14:paraId="55D460C3" w14:textId="34BDAB79" w:rsidR="006C686E" w:rsidRDefault="00B17E8C">
            <w:pPr>
              <w:pStyle w:val="P68B1DB1-Normal60"/>
              <w:spacing w:after="0" w:line="276" w:lineRule="auto"/>
              <w:jc w:val="center"/>
              <w:rPr>
                <w:noProof/>
              </w:rPr>
            </w:pPr>
            <w:r>
              <w:rPr>
                <w:noProof/>
              </w:rPr>
              <w:t>RE-C08-r19</w:t>
            </w:r>
          </w:p>
        </w:tc>
        <w:tc>
          <w:tcPr>
            <w:tcW w:w="1520" w:type="dxa"/>
            <w:shd w:val="clear" w:color="auto" w:fill="C4EFCE"/>
            <w:vAlign w:val="center"/>
            <w:hideMark/>
          </w:tcPr>
          <w:p w14:paraId="4F90FFC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8B1D841" w14:textId="77777777" w:rsidR="006C686E" w:rsidRDefault="00B17E8C">
            <w:pPr>
              <w:pStyle w:val="P68B1DB1-Normal60"/>
              <w:spacing w:after="0" w:line="276" w:lineRule="auto"/>
              <w:jc w:val="both"/>
              <w:rPr>
                <w:noProof/>
              </w:rPr>
            </w:pPr>
            <w:r>
              <w:rPr>
                <w:noProof/>
              </w:rPr>
              <w:t>Cadre juridique relatif à l'occupation obligatoire des terres rurales dans les zones forestières</w:t>
            </w:r>
          </w:p>
        </w:tc>
      </w:tr>
      <w:tr w:rsidR="006C686E" w14:paraId="2071DD18" w14:textId="77777777">
        <w:trPr>
          <w:trHeight w:val="440"/>
        </w:trPr>
        <w:tc>
          <w:tcPr>
            <w:tcW w:w="1200" w:type="dxa"/>
            <w:shd w:val="clear" w:color="auto" w:fill="C4EFCE"/>
            <w:vAlign w:val="center"/>
            <w:hideMark/>
          </w:tcPr>
          <w:p w14:paraId="102EBC7C" w14:textId="77777777" w:rsidR="006C686E" w:rsidRDefault="00B17E8C">
            <w:pPr>
              <w:pStyle w:val="P68B1DB1-Normal60"/>
              <w:spacing w:after="0" w:line="276" w:lineRule="auto"/>
              <w:jc w:val="center"/>
              <w:rPr>
                <w:noProof/>
              </w:rPr>
            </w:pPr>
            <w:r>
              <w:rPr>
                <w:noProof/>
              </w:rPr>
              <w:t>8.19</w:t>
            </w:r>
          </w:p>
        </w:tc>
        <w:tc>
          <w:tcPr>
            <w:tcW w:w="1760" w:type="dxa"/>
            <w:shd w:val="clear" w:color="auto" w:fill="C4EFCE"/>
            <w:vAlign w:val="center"/>
            <w:hideMark/>
          </w:tcPr>
          <w:p w14:paraId="6C01AA53" w14:textId="6B6818EC" w:rsidR="006C686E" w:rsidRDefault="00B17E8C">
            <w:pPr>
              <w:pStyle w:val="P68B1DB1-Normal60"/>
              <w:spacing w:after="0" w:line="276" w:lineRule="auto"/>
              <w:jc w:val="center"/>
              <w:rPr>
                <w:noProof/>
              </w:rPr>
            </w:pPr>
            <w:r>
              <w:rPr>
                <w:noProof/>
              </w:rPr>
              <w:t>RE-C08-r21</w:t>
            </w:r>
          </w:p>
        </w:tc>
        <w:tc>
          <w:tcPr>
            <w:tcW w:w="1520" w:type="dxa"/>
            <w:shd w:val="clear" w:color="auto" w:fill="C4EFCE"/>
            <w:vAlign w:val="center"/>
            <w:hideMark/>
          </w:tcPr>
          <w:p w14:paraId="16F024B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5BD7658" w14:textId="77777777" w:rsidR="006C686E" w:rsidRDefault="00B17E8C">
            <w:pPr>
              <w:pStyle w:val="P68B1DB1-Normal60"/>
              <w:spacing w:after="0" w:line="276" w:lineRule="auto"/>
              <w:jc w:val="both"/>
              <w:rPr>
                <w:noProof/>
              </w:rPr>
            </w:pPr>
            <w:r>
              <w:rPr>
                <w:noProof/>
              </w:rPr>
              <w:t>Loi sur la mise en place du système de gestion intégrée des incendies en milieu rural (SGIFR)</w:t>
            </w:r>
          </w:p>
        </w:tc>
      </w:tr>
      <w:tr w:rsidR="006C686E" w14:paraId="399E3405" w14:textId="77777777">
        <w:trPr>
          <w:trHeight w:val="440"/>
        </w:trPr>
        <w:tc>
          <w:tcPr>
            <w:tcW w:w="1200" w:type="dxa"/>
            <w:shd w:val="clear" w:color="auto" w:fill="C4EFCE"/>
            <w:vAlign w:val="center"/>
            <w:hideMark/>
          </w:tcPr>
          <w:p w14:paraId="4B3BB45D" w14:textId="77777777" w:rsidR="006C686E" w:rsidRDefault="00B17E8C">
            <w:pPr>
              <w:pStyle w:val="P68B1DB1-Normal60"/>
              <w:spacing w:after="0" w:line="276" w:lineRule="auto"/>
              <w:jc w:val="center"/>
              <w:rPr>
                <w:noProof/>
              </w:rPr>
            </w:pPr>
            <w:r>
              <w:rPr>
                <w:noProof/>
              </w:rPr>
              <w:t>10.1</w:t>
            </w:r>
          </w:p>
        </w:tc>
        <w:tc>
          <w:tcPr>
            <w:tcW w:w="1760" w:type="dxa"/>
            <w:shd w:val="clear" w:color="auto" w:fill="C4EFCE"/>
            <w:vAlign w:val="center"/>
            <w:hideMark/>
          </w:tcPr>
          <w:p w14:paraId="4C833B09" w14:textId="1390F904" w:rsidR="006C686E" w:rsidRDefault="00B17E8C">
            <w:pPr>
              <w:pStyle w:val="P68B1DB1-Normal60"/>
              <w:spacing w:after="0" w:line="276" w:lineRule="auto"/>
              <w:jc w:val="center"/>
              <w:rPr>
                <w:noProof/>
              </w:rPr>
            </w:pPr>
            <w:r>
              <w:rPr>
                <w:noProof/>
              </w:rPr>
              <w:t>TC-C10-r23</w:t>
            </w:r>
          </w:p>
        </w:tc>
        <w:tc>
          <w:tcPr>
            <w:tcW w:w="1520" w:type="dxa"/>
            <w:shd w:val="clear" w:color="auto" w:fill="C4EFCE"/>
            <w:vAlign w:val="center"/>
            <w:hideMark/>
          </w:tcPr>
          <w:p w14:paraId="617CADA5"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71E89EE" w14:textId="77777777" w:rsidR="006C686E" w:rsidRDefault="00B17E8C">
            <w:pPr>
              <w:pStyle w:val="P68B1DB1-Normal60"/>
              <w:spacing w:after="0" w:line="276" w:lineRule="auto"/>
              <w:jc w:val="both"/>
              <w:rPr>
                <w:noProof/>
              </w:rPr>
            </w:pPr>
            <w:r>
              <w:rPr>
                <w:noProof/>
              </w:rPr>
              <w:t>Entrée en vigueur de la révision des lois du ministère de la mer relatives au renforcement de la capacité de financement de l’économie et de l’innovation maritimes par l’intermédiaire du Fonds bleu</w:t>
            </w:r>
          </w:p>
        </w:tc>
      </w:tr>
      <w:tr w:rsidR="006C686E" w14:paraId="009E23F1" w14:textId="77777777">
        <w:trPr>
          <w:trHeight w:val="440"/>
        </w:trPr>
        <w:tc>
          <w:tcPr>
            <w:tcW w:w="1200" w:type="dxa"/>
            <w:shd w:val="clear" w:color="auto" w:fill="C4EFCE"/>
            <w:vAlign w:val="center"/>
            <w:hideMark/>
          </w:tcPr>
          <w:p w14:paraId="053E8561" w14:textId="77777777" w:rsidR="006C686E" w:rsidRDefault="00B17E8C">
            <w:pPr>
              <w:pStyle w:val="P68B1DB1-Normal60"/>
              <w:spacing w:after="0" w:line="276" w:lineRule="auto"/>
              <w:jc w:val="center"/>
              <w:rPr>
                <w:noProof/>
              </w:rPr>
            </w:pPr>
            <w:r>
              <w:rPr>
                <w:noProof/>
              </w:rPr>
              <w:t>11.1</w:t>
            </w:r>
          </w:p>
        </w:tc>
        <w:tc>
          <w:tcPr>
            <w:tcW w:w="1760" w:type="dxa"/>
            <w:shd w:val="clear" w:color="auto" w:fill="C4EFCE"/>
            <w:vAlign w:val="center"/>
            <w:hideMark/>
          </w:tcPr>
          <w:p w14:paraId="4A8F7A62" w14:textId="3BADDBDB" w:rsidR="006C686E" w:rsidRDefault="00B17E8C">
            <w:pPr>
              <w:pStyle w:val="P68B1DB1-Normal60"/>
              <w:spacing w:after="0" w:line="276" w:lineRule="auto"/>
              <w:jc w:val="center"/>
              <w:rPr>
                <w:noProof/>
              </w:rPr>
            </w:pPr>
            <w:r>
              <w:rPr>
                <w:noProof/>
              </w:rPr>
              <w:t>TC-C11-i01</w:t>
            </w:r>
          </w:p>
        </w:tc>
        <w:tc>
          <w:tcPr>
            <w:tcW w:w="1520" w:type="dxa"/>
            <w:shd w:val="clear" w:color="auto" w:fill="C4EFCE"/>
            <w:vAlign w:val="center"/>
            <w:hideMark/>
          </w:tcPr>
          <w:p w14:paraId="7D56D884"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7BD34C5" w14:textId="77777777" w:rsidR="006C686E" w:rsidRDefault="00B17E8C">
            <w:pPr>
              <w:pStyle w:val="P68B1DB1-Normal60"/>
              <w:spacing w:after="0" w:line="276" w:lineRule="auto"/>
              <w:jc w:val="both"/>
              <w:rPr>
                <w:noProof/>
              </w:rPr>
            </w:pPr>
            <w:r>
              <w:rPr>
                <w:noProof/>
              </w:rPr>
              <w:t>Premier appel d’offres pour des projets de décarbonation industrielle</w:t>
            </w:r>
          </w:p>
        </w:tc>
      </w:tr>
      <w:tr w:rsidR="006C686E" w14:paraId="026040DB" w14:textId="77777777">
        <w:trPr>
          <w:trHeight w:val="440"/>
        </w:trPr>
        <w:tc>
          <w:tcPr>
            <w:tcW w:w="1200" w:type="dxa"/>
            <w:shd w:val="clear" w:color="auto" w:fill="C4EFCE"/>
            <w:vAlign w:val="center"/>
            <w:hideMark/>
          </w:tcPr>
          <w:p w14:paraId="4DD574C5" w14:textId="77777777" w:rsidR="006C686E" w:rsidRDefault="00B17E8C">
            <w:pPr>
              <w:pStyle w:val="P68B1DB1-Normal60"/>
              <w:spacing w:after="0" w:line="276" w:lineRule="auto"/>
              <w:jc w:val="center"/>
              <w:rPr>
                <w:noProof/>
              </w:rPr>
            </w:pPr>
            <w:r>
              <w:rPr>
                <w:noProof/>
              </w:rPr>
              <w:t>12.1</w:t>
            </w:r>
          </w:p>
        </w:tc>
        <w:tc>
          <w:tcPr>
            <w:tcW w:w="1760" w:type="dxa"/>
            <w:shd w:val="clear" w:color="auto" w:fill="C4EFCE"/>
            <w:vAlign w:val="center"/>
            <w:hideMark/>
          </w:tcPr>
          <w:p w14:paraId="10ED8775" w14:textId="17D82C64" w:rsidR="006C686E" w:rsidRDefault="00B17E8C">
            <w:pPr>
              <w:pStyle w:val="P68B1DB1-Normal60"/>
              <w:spacing w:after="0" w:line="276" w:lineRule="auto"/>
              <w:jc w:val="center"/>
              <w:rPr>
                <w:noProof/>
              </w:rPr>
            </w:pPr>
            <w:r>
              <w:rPr>
                <w:noProof/>
              </w:rPr>
              <w:t>TC-C12-i01</w:t>
            </w:r>
          </w:p>
        </w:tc>
        <w:tc>
          <w:tcPr>
            <w:tcW w:w="1520" w:type="dxa"/>
            <w:shd w:val="clear" w:color="auto" w:fill="C4EFCE"/>
            <w:vAlign w:val="center"/>
            <w:hideMark/>
          </w:tcPr>
          <w:p w14:paraId="037242F0"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517EA3D7" w14:textId="77777777" w:rsidR="006C686E" w:rsidRDefault="00B17E8C">
            <w:pPr>
              <w:pStyle w:val="P68B1DB1-Normal60"/>
              <w:spacing w:after="0" w:line="276" w:lineRule="auto"/>
              <w:jc w:val="both"/>
              <w:rPr>
                <w:noProof/>
              </w:rPr>
            </w:pPr>
            <w:r>
              <w:rPr>
                <w:noProof/>
              </w:rPr>
              <w:t>Signature du protocole 2021 du programme «Resineiros Vigilantes»</w:t>
            </w:r>
          </w:p>
        </w:tc>
      </w:tr>
      <w:tr w:rsidR="006C686E" w14:paraId="7FD9F794" w14:textId="77777777">
        <w:trPr>
          <w:trHeight w:val="440"/>
        </w:trPr>
        <w:tc>
          <w:tcPr>
            <w:tcW w:w="1200" w:type="dxa"/>
            <w:shd w:val="clear" w:color="auto" w:fill="C4EFCE"/>
            <w:vAlign w:val="center"/>
            <w:hideMark/>
          </w:tcPr>
          <w:p w14:paraId="41A4CB8E" w14:textId="77777777" w:rsidR="006C686E" w:rsidRDefault="00B17E8C">
            <w:pPr>
              <w:pStyle w:val="P68B1DB1-Normal60"/>
              <w:spacing w:after="0" w:line="276" w:lineRule="auto"/>
              <w:jc w:val="center"/>
              <w:rPr>
                <w:noProof/>
              </w:rPr>
            </w:pPr>
            <w:r>
              <w:rPr>
                <w:noProof/>
              </w:rPr>
              <w:t>12.5</w:t>
            </w:r>
          </w:p>
        </w:tc>
        <w:tc>
          <w:tcPr>
            <w:tcW w:w="1760" w:type="dxa"/>
            <w:shd w:val="clear" w:color="auto" w:fill="C4EFCE"/>
            <w:vAlign w:val="center"/>
            <w:hideMark/>
          </w:tcPr>
          <w:p w14:paraId="6A21D0B1" w14:textId="5B2BA4E9" w:rsidR="006C686E" w:rsidRDefault="00B17E8C">
            <w:pPr>
              <w:pStyle w:val="P68B1DB1-Normal60"/>
              <w:spacing w:after="0" w:line="276" w:lineRule="auto"/>
              <w:jc w:val="center"/>
              <w:rPr>
                <w:noProof/>
              </w:rPr>
            </w:pPr>
            <w:r>
              <w:rPr>
                <w:noProof/>
              </w:rPr>
              <w:t>TC-C12-r25</w:t>
            </w:r>
          </w:p>
        </w:tc>
        <w:tc>
          <w:tcPr>
            <w:tcW w:w="1520" w:type="dxa"/>
            <w:shd w:val="clear" w:color="auto" w:fill="C4EFCE"/>
            <w:vAlign w:val="center"/>
            <w:hideMark/>
          </w:tcPr>
          <w:p w14:paraId="2E4FF96F"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D20D6B7" w14:textId="77777777" w:rsidR="006C686E" w:rsidRDefault="00B17E8C">
            <w:pPr>
              <w:pStyle w:val="P68B1DB1-Normal60"/>
              <w:spacing w:after="0" w:line="276" w:lineRule="auto"/>
              <w:jc w:val="both"/>
              <w:rPr>
                <w:noProof/>
              </w:rPr>
            </w:pPr>
            <w:r>
              <w:rPr>
                <w:noProof/>
              </w:rPr>
              <w:t>Entrée en vigueur du nouveau régime général de gestion des déchets</w:t>
            </w:r>
          </w:p>
        </w:tc>
      </w:tr>
      <w:tr w:rsidR="006C686E" w14:paraId="0331BED4" w14:textId="77777777">
        <w:trPr>
          <w:trHeight w:val="440"/>
        </w:trPr>
        <w:tc>
          <w:tcPr>
            <w:tcW w:w="1200" w:type="dxa"/>
            <w:shd w:val="clear" w:color="auto" w:fill="C4EFCE"/>
            <w:vAlign w:val="center"/>
            <w:hideMark/>
          </w:tcPr>
          <w:p w14:paraId="67FBE572" w14:textId="77777777" w:rsidR="006C686E" w:rsidRDefault="00B17E8C">
            <w:pPr>
              <w:pStyle w:val="P68B1DB1-Normal60"/>
              <w:spacing w:after="0" w:line="276" w:lineRule="auto"/>
              <w:jc w:val="center"/>
              <w:rPr>
                <w:noProof/>
              </w:rPr>
            </w:pPr>
            <w:r>
              <w:rPr>
                <w:noProof/>
              </w:rPr>
              <w:t>14.1</w:t>
            </w:r>
          </w:p>
        </w:tc>
        <w:tc>
          <w:tcPr>
            <w:tcW w:w="1760" w:type="dxa"/>
            <w:shd w:val="clear" w:color="auto" w:fill="C4EFCE"/>
            <w:vAlign w:val="center"/>
            <w:hideMark/>
          </w:tcPr>
          <w:p w14:paraId="459E29D8" w14:textId="34625B68" w:rsidR="006C686E" w:rsidRDefault="00B17E8C">
            <w:pPr>
              <w:pStyle w:val="P68B1DB1-Normal60"/>
              <w:spacing w:after="0" w:line="276" w:lineRule="auto"/>
              <w:jc w:val="center"/>
              <w:rPr>
                <w:noProof/>
              </w:rPr>
            </w:pPr>
            <w:r>
              <w:rPr>
                <w:noProof/>
              </w:rPr>
              <w:t>TC-C14-r29</w:t>
            </w:r>
          </w:p>
        </w:tc>
        <w:tc>
          <w:tcPr>
            <w:tcW w:w="1520" w:type="dxa"/>
            <w:shd w:val="clear" w:color="auto" w:fill="C4EFCE"/>
            <w:vAlign w:val="center"/>
            <w:hideMark/>
          </w:tcPr>
          <w:p w14:paraId="5FB81EBB"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57FCEEA" w14:textId="77777777" w:rsidR="006C686E" w:rsidRDefault="00B17E8C">
            <w:pPr>
              <w:pStyle w:val="P68B1DB1-Normal60"/>
              <w:spacing w:after="0" w:line="276" w:lineRule="auto"/>
              <w:jc w:val="both"/>
              <w:rPr>
                <w:noProof/>
              </w:rPr>
            </w:pPr>
            <w:r>
              <w:rPr>
                <w:noProof/>
              </w:rPr>
              <w:t>Entrée en vigueur du règlement relatif au réseau national de transport de gaz et du règlement relatif au réseau national de distribution de gaz</w:t>
            </w:r>
          </w:p>
        </w:tc>
      </w:tr>
      <w:tr w:rsidR="006C686E" w14:paraId="5121DD96" w14:textId="77777777">
        <w:trPr>
          <w:trHeight w:val="440"/>
        </w:trPr>
        <w:tc>
          <w:tcPr>
            <w:tcW w:w="1200" w:type="dxa"/>
            <w:shd w:val="clear" w:color="auto" w:fill="C4EFCE"/>
            <w:vAlign w:val="center"/>
            <w:hideMark/>
          </w:tcPr>
          <w:p w14:paraId="7E7017AA" w14:textId="77777777" w:rsidR="006C686E" w:rsidRDefault="00B17E8C">
            <w:pPr>
              <w:pStyle w:val="P68B1DB1-Normal60"/>
              <w:spacing w:after="0" w:line="276" w:lineRule="auto"/>
              <w:jc w:val="center"/>
              <w:rPr>
                <w:noProof/>
              </w:rPr>
            </w:pPr>
            <w:r>
              <w:rPr>
                <w:noProof/>
              </w:rPr>
              <w:t>16.13</w:t>
            </w:r>
          </w:p>
        </w:tc>
        <w:tc>
          <w:tcPr>
            <w:tcW w:w="1760" w:type="dxa"/>
            <w:shd w:val="clear" w:color="auto" w:fill="C4EFCE"/>
            <w:vAlign w:val="center"/>
            <w:hideMark/>
          </w:tcPr>
          <w:p w14:paraId="2D48BF4F" w14:textId="3C5979AD" w:rsidR="006C686E" w:rsidRDefault="00B17E8C">
            <w:pPr>
              <w:pStyle w:val="P68B1DB1-Normal60"/>
              <w:spacing w:after="0" w:line="276" w:lineRule="auto"/>
              <w:jc w:val="center"/>
              <w:rPr>
                <w:noProof/>
              </w:rPr>
            </w:pPr>
            <w:r>
              <w:rPr>
                <w:noProof/>
              </w:rPr>
              <w:t>TD-C16-i03</w:t>
            </w:r>
          </w:p>
        </w:tc>
        <w:tc>
          <w:tcPr>
            <w:tcW w:w="1520" w:type="dxa"/>
            <w:shd w:val="clear" w:color="auto" w:fill="C4EFCE"/>
            <w:vAlign w:val="center"/>
            <w:hideMark/>
          </w:tcPr>
          <w:p w14:paraId="5ADFF890"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5D4F955C" w14:textId="77777777" w:rsidR="006C686E" w:rsidRDefault="00B17E8C">
            <w:pPr>
              <w:pStyle w:val="P68B1DB1-Normal60"/>
              <w:spacing w:after="0" w:line="276" w:lineRule="auto"/>
              <w:jc w:val="both"/>
              <w:rPr>
                <w:noProof/>
              </w:rPr>
            </w:pPr>
            <w:r>
              <w:rPr>
                <w:noProof/>
              </w:rPr>
              <w:t>Pôles d’innovation numérique (PIN)</w:t>
            </w:r>
          </w:p>
        </w:tc>
      </w:tr>
      <w:tr w:rsidR="006C686E" w14:paraId="454E3169" w14:textId="77777777">
        <w:trPr>
          <w:trHeight w:val="440"/>
        </w:trPr>
        <w:tc>
          <w:tcPr>
            <w:tcW w:w="1200" w:type="dxa"/>
            <w:shd w:val="clear" w:color="auto" w:fill="C4EFCE"/>
            <w:vAlign w:val="center"/>
            <w:hideMark/>
          </w:tcPr>
          <w:p w14:paraId="1B3EA44D" w14:textId="77777777" w:rsidR="006C686E" w:rsidRDefault="00B17E8C">
            <w:pPr>
              <w:pStyle w:val="P68B1DB1-Normal60"/>
              <w:spacing w:after="0" w:line="276" w:lineRule="auto"/>
              <w:jc w:val="center"/>
              <w:rPr>
                <w:noProof/>
              </w:rPr>
            </w:pPr>
            <w:r>
              <w:rPr>
                <w:noProof/>
              </w:rPr>
              <w:t>17.6</w:t>
            </w:r>
          </w:p>
        </w:tc>
        <w:tc>
          <w:tcPr>
            <w:tcW w:w="1760" w:type="dxa"/>
            <w:shd w:val="clear" w:color="auto" w:fill="C4EFCE"/>
            <w:vAlign w:val="center"/>
            <w:hideMark/>
          </w:tcPr>
          <w:p w14:paraId="4D31EB86" w14:textId="4F9DB3F8" w:rsidR="006C686E" w:rsidRDefault="00B17E8C">
            <w:pPr>
              <w:pStyle w:val="P68B1DB1-Normal60"/>
              <w:spacing w:after="0" w:line="276" w:lineRule="auto"/>
              <w:jc w:val="center"/>
              <w:rPr>
                <w:noProof/>
              </w:rPr>
            </w:pPr>
            <w:r>
              <w:rPr>
                <w:noProof/>
              </w:rPr>
              <w:t>TD-C17-r32</w:t>
            </w:r>
          </w:p>
        </w:tc>
        <w:tc>
          <w:tcPr>
            <w:tcW w:w="1520" w:type="dxa"/>
            <w:shd w:val="clear" w:color="auto" w:fill="C4EFCE"/>
            <w:vAlign w:val="center"/>
            <w:hideMark/>
          </w:tcPr>
          <w:p w14:paraId="0F254D72"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518D91F" w14:textId="77777777" w:rsidR="006C686E" w:rsidRDefault="00B17E8C">
            <w:pPr>
              <w:pStyle w:val="P68B1DB1-Normal60"/>
              <w:spacing w:after="0" w:line="276" w:lineRule="auto"/>
              <w:jc w:val="both"/>
              <w:rPr>
                <w:noProof/>
              </w:rPr>
            </w:pPr>
            <w:r>
              <w:rPr>
                <w:noProof/>
              </w:rPr>
              <w:t>Entrée en vigueur du nouveau modèle de contrat de gestion dans le cadre du nouveau système d’incitations/sanctions pour la gestion des entreprises publiques</w:t>
            </w:r>
          </w:p>
        </w:tc>
      </w:tr>
      <w:tr w:rsidR="006C686E" w14:paraId="5F5BE764" w14:textId="77777777">
        <w:trPr>
          <w:trHeight w:val="440"/>
        </w:trPr>
        <w:tc>
          <w:tcPr>
            <w:tcW w:w="1200" w:type="dxa"/>
            <w:shd w:val="clear" w:color="auto" w:fill="C4EFCE"/>
            <w:vAlign w:val="center"/>
            <w:hideMark/>
          </w:tcPr>
          <w:p w14:paraId="63CA56FE" w14:textId="77777777" w:rsidR="006C686E" w:rsidRDefault="00B17E8C">
            <w:pPr>
              <w:pStyle w:val="P68B1DB1-Normal60"/>
              <w:spacing w:after="0" w:line="276" w:lineRule="auto"/>
              <w:jc w:val="center"/>
              <w:rPr>
                <w:noProof/>
              </w:rPr>
            </w:pPr>
            <w:r>
              <w:rPr>
                <w:noProof/>
              </w:rPr>
              <w:t>19.22</w:t>
            </w:r>
          </w:p>
        </w:tc>
        <w:tc>
          <w:tcPr>
            <w:tcW w:w="1760" w:type="dxa"/>
            <w:shd w:val="clear" w:color="auto" w:fill="C4EFCE"/>
            <w:vAlign w:val="center"/>
            <w:hideMark/>
          </w:tcPr>
          <w:p w14:paraId="647843E9" w14:textId="700E0DED" w:rsidR="006C686E" w:rsidRDefault="00B17E8C">
            <w:pPr>
              <w:pStyle w:val="P68B1DB1-Normal60"/>
              <w:spacing w:after="0" w:line="276" w:lineRule="auto"/>
              <w:jc w:val="center"/>
              <w:rPr>
                <w:noProof/>
              </w:rPr>
            </w:pPr>
            <w:r>
              <w:rPr>
                <w:noProof/>
              </w:rPr>
              <w:t>TD-C19-r34</w:t>
            </w:r>
          </w:p>
        </w:tc>
        <w:tc>
          <w:tcPr>
            <w:tcW w:w="1520" w:type="dxa"/>
            <w:shd w:val="clear" w:color="auto" w:fill="C4EFCE"/>
            <w:vAlign w:val="center"/>
            <w:hideMark/>
          </w:tcPr>
          <w:p w14:paraId="74D22239"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C77EA14" w14:textId="77777777" w:rsidR="006C686E" w:rsidRDefault="00B17E8C">
            <w:pPr>
              <w:pStyle w:val="P68B1DB1-Normal60"/>
              <w:spacing w:after="0" w:line="276" w:lineRule="auto"/>
              <w:jc w:val="both"/>
              <w:rPr>
                <w:noProof/>
              </w:rPr>
            </w:pPr>
            <w:r>
              <w:rPr>
                <w:noProof/>
              </w:rPr>
              <w:t>Entrée en vigueur du cadre juridique pour la transformation numérique de l’administration publique</w:t>
            </w:r>
          </w:p>
        </w:tc>
      </w:tr>
      <w:tr w:rsidR="006C686E" w14:paraId="432A7DBB" w14:textId="77777777">
        <w:trPr>
          <w:trHeight w:val="440"/>
        </w:trPr>
        <w:tc>
          <w:tcPr>
            <w:tcW w:w="1200" w:type="dxa"/>
            <w:shd w:val="clear" w:color="auto" w:fill="C4EFCE"/>
            <w:vAlign w:val="center"/>
            <w:hideMark/>
          </w:tcPr>
          <w:p w14:paraId="63C8D745" w14:textId="77777777" w:rsidR="006C686E" w:rsidRDefault="00B17E8C">
            <w:pPr>
              <w:pStyle w:val="P68B1DB1-Normal60"/>
              <w:spacing w:after="0" w:line="276" w:lineRule="auto"/>
              <w:jc w:val="center"/>
              <w:rPr>
                <w:noProof/>
              </w:rPr>
            </w:pPr>
            <w:r>
              <w:rPr>
                <w:noProof/>
              </w:rPr>
              <w:t>19.24</w:t>
            </w:r>
          </w:p>
        </w:tc>
        <w:tc>
          <w:tcPr>
            <w:tcW w:w="1760" w:type="dxa"/>
            <w:shd w:val="clear" w:color="auto" w:fill="C4EFCE"/>
            <w:vAlign w:val="center"/>
            <w:hideMark/>
          </w:tcPr>
          <w:p w14:paraId="2AF75A25" w14:textId="66393F52" w:rsidR="006C686E" w:rsidRDefault="00B17E8C">
            <w:pPr>
              <w:pStyle w:val="P68B1DB1-Normal60"/>
              <w:spacing w:after="0" w:line="276" w:lineRule="auto"/>
              <w:jc w:val="center"/>
              <w:rPr>
                <w:noProof/>
              </w:rPr>
            </w:pPr>
            <w:r>
              <w:rPr>
                <w:noProof/>
              </w:rPr>
              <w:t>TD-C19-r36</w:t>
            </w:r>
          </w:p>
        </w:tc>
        <w:tc>
          <w:tcPr>
            <w:tcW w:w="1520" w:type="dxa"/>
            <w:shd w:val="clear" w:color="auto" w:fill="C4EFCE"/>
            <w:vAlign w:val="center"/>
            <w:hideMark/>
          </w:tcPr>
          <w:p w14:paraId="6E49FC6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7640542" w14:textId="77777777" w:rsidR="006C686E" w:rsidRDefault="00B17E8C">
            <w:pPr>
              <w:pStyle w:val="P68B1DB1-Normal60"/>
              <w:spacing w:after="0" w:line="276" w:lineRule="auto"/>
              <w:jc w:val="both"/>
              <w:rPr>
                <w:noProof/>
              </w:rPr>
            </w:pPr>
            <w:r>
              <w:rPr>
                <w:noProof/>
              </w:rPr>
              <w:t>Création de l'Institut national d'administration, I.P.</w:t>
            </w:r>
          </w:p>
        </w:tc>
      </w:tr>
      <w:tr w:rsidR="006C686E" w14:paraId="749E11E5" w14:textId="77777777">
        <w:trPr>
          <w:trHeight w:val="440"/>
        </w:trPr>
        <w:tc>
          <w:tcPr>
            <w:tcW w:w="1200" w:type="dxa"/>
            <w:shd w:val="clear" w:color="auto" w:fill="C4EFCE"/>
            <w:vAlign w:val="center"/>
            <w:hideMark/>
          </w:tcPr>
          <w:p w14:paraId="50265715" w14:textId="77777777" w:rsidR="006C686E" w:rsidRDefault="00B17E8C">
            <w:pPr>
              <w:pStyle w:val="P68B1DB1-Normal60"/>
              <w:spacing w:after="0" w:line="276" w:lineRule="auto"/>
              <w:jc w:val="center"/>
              <w:rPr>
                <w:noProof/>
              </w:rPr>
            </w:pPr>
            <w:r>
              <w:rPr>
                <w:noProof/>
              </w:rPr>
              <w:t>20.2</w:t>
            </w:r>
          </w:p>
        </w:tc>
        <w:tc>
          <w:tcPr>
            <w:tcW w:w="1760" w:type="dxa"/>
            <w:shd w:val="clear" w:color="auto" w:fill="C4EFCE"/>
            <w:vAlign w:val="center"/>
            <w:hideMark/>
          </w:tcPr>
          <w:p w14:paraId="69E7ACE6" w14:textId="3D3F214E" w:rsidR="006C686E" w:rsidRDefault="00B17E8C">
            <w:pPr>
              <w:pStyle w:val="P68B1DB1-Normal60"/>
              <w:spacing w:after="0" w:line="276" w:lineRule="auto"/>
              <w:jc w:val="center"/>
              <w:rPr>
                <w:noProof/>
              </w:rPr>
            </w:pPr>
            <w:r>
              <w:rPr>
                <w:noProof/>
              </w:rPr>
              <w:t>TD-C20-i01</w:t>
            </w:r>
          </w:p>
        </w:tc>
        <w:tc>
          <w:tcPr>
            <w:tcW w:w="1520" w:type="dxa"/>
            <w:shd w:val="clear" w:color="auto" w:fill="C4EFCE"/>
            <w:vAlign w:val="center"/>
            <w:hideMark/>
          </w:tcPr>
          <w:p w14:paraId="77E0DF73"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8E92E33" w14:textId="77777777" w:rsidR="006C686E" w:rsidRDefault="00B17E8C">
            <w:pPr>
              <w:pStyle w:val="P68B1DB1-Normal60"/>
              <w:spacing w:after="0" w:line="276" w:lineRule="auto"/>
              <w:jc w:val="both"/>
              <w:rPr>
                <w:noProof/>
              </w:rPr>
            </w:pPr>
            <w:r>
              <w:rPr>
                <w:noProof/>
              </w:rPr>
              <w:t>Signature de contrats pour l'achat d'ordinateurs individuels pour les élèves et les enseignants</w:t>
            </w:r>
          </w:p>
        </w:tc>
      </w:tr>
      <w:tr w:rsidR="006C686E" w14:paraId="554D293B" w14:textId="77777777">
        <w:trPr>
          <w:trHeight w:val="440"/>
        </w:trPr>
        <w:tc>
          <w:tcPr>
            <w:tcW w:w="1200" w:type="dxa"/>
            <w:shd w:val="clear" w:color="auto" w:fill="C4EFCE"/>
            <w:vAlign w:val="center"/>
            <w:hideMark/>
          </w:tcPr>
          <w:p w14:paraId="6F21874F"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7450CB1F"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5A8D53FA"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7ADB976D" w14:textId="2C6A36FA" w:rsidR="006C686E" w:rsidRDefault="00B17E8C">
            <w:pPr>
              <w:pStyle w:val="P68B1DB1-Normal61"/>
              <w:spacing w:after="0" w:line="240" w:lineRule="auto"/>
              <w:jc w:val="center"/>
              <w:rPr>
                <w:iCs/>
                <w:noProof/>
                <w:sz w:val="20"/>
                <w:szCs w:val="20"/>
              </w:rPr>
            </w:pPr>
            <w:r>
              <w:rPr>
                <w:noProof/>
              </w:rPr>
              <w:t>636 139 080 EUR</w:t>
            </w:r>
            <w:r>
              <w:rPr>
                <w:noProof/>
                <w:sz w:val="20"/>
                <w:szCs w:val="20"/>
              </w:rPr>
              <w:t xml:space="preserve"> </w:t>
            </w:r>
          </w:p>
        </w:tc>
      </w:tr>
    </w:tbl>
    <w:p w14:paraId="0C33A75C" w14:textId="77777777" w:rsidR="006C686E" w:rsidRDefault="006C686E">
      <w:pPr>
        <w:keepNext/>
        <w:ind w:left="1571" w:hanging="360"/>
        <w:contextualSpacing/>
        <w:jc w:val="both"/>
        <w:rPr>
          <w:rFonts w:ascii="Times New Roman" w:eastAsia="Times New Roman" w:hAnsi="Times New Roman" w:cs="Times New Roman"/>
          <w:bCs/>
          <w:noProof/>
          <w:kern w:val="0"/>
          <w14:ligatures w14:val="none"/>
        </w:rPr>
      </w:pPr>
    </w:p>
    <w:p w14:paraId="34A82F9E" w14:textId="77777777" w:rsidR="006C686E" w:rsidRDefault="00B17E8C">
      <w:pPr>
        <w:pStyle w:val="P68B1DB1-Normal4"/>
        <w:keepNext/>
        <w:numPr>
          <w:ilvl w:val="1"/>
          <w:numId w:val="71"/>
        </w:numPr>
        <w:spacing w:before="40" w:after="200" w:line="276" w:lineRule="auto"/>
        <w:contextualSpacing/>
        <w:jc w:val="both"/>
        <w:rPr>
          <w:rFonts w:eastAsia="Times New Roman"/>
          <w:noProof/>
        </w:rPr>
      </w:pPr>
      <w:r>
        <w:rPr>
          <w:noProof/>
        </w:rPr>
        <w:t xml:space="preserve"> Deuxième tranche (soutien non remboursable): </w:t>
      </w:r>
    </w:p>
    <w:p w14:paraId="333786E8"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66C787A7" w14:textId="77777777">
        <w:trPr>
          <w:trHeight w:val="509"/>
          <w:tblHeader/>
        </w:trPr>
        <w:tc>
          <w:tcPr>
            <w:tcW w:w="1200" w:type="dxa"/>
            <w:vMerge w:val="restart"/>
            <w:shd w:val="clear" w:color="auto" w:fill="BDD7EE"/>
            <w:vAlign w:val="center"/>
            <w:hideMark/>
          </w:tcPr>
          <w:p w14:paraId="743F4932"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3AE7F7FA"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7021128D" w14:textId="77777777" w:rsidR="006C686E" w:rsidRDefault="00B17E8C">
            <w:pPr>
              <w:pStyle w:val="P68B1DB1-Normal59"/>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3FD1982B" w14:textId="77777777" w:rsidR="006C686E" w:rsidRDefault="00B17E8C">
            <w:pPr>
              <w:pStyle w:val="P68B1DB1-Normal59"/>
              <w:spacing w:after="0" w:line="240" w:lineRule="auto"/>
              <w:jc w:val="center"/>
              <w:rPr>
                <w:rFonts w:eastAsia="Times New Roman"/>
                <w:bCs/>
                <w:noProof/>
              </w:rPr>
            </w:pPr>
            <w:r>
              <w:rPr>
                <w:noProof/>
              </w:rPr>
              <w:t>Nom</w:t>
            </w:r>
          </w:p>
        </w:tc>
      </w:tr>
      <w:tr w:rsidR="006C686E" w14:paraId="2F2DF402" w14:textId="77777777">
        <w:trPr>
          <w:trHeight w:val="509"/>
          <w:tblHeader/>
        </w:trPr>
        <w:tc>
          <w:tcPr>
            <w:tcW w:w="1200" w:type="dxa"/>
            <w:vMerge/>
            <w:vAlign w:val="center"/>
            <w:hideMark/>
          </w:tcPr>
          <w:p w14:paraId="0FAC104D"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56FA0C66"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51BA8842"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C0A38B2"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r>
      <w:tr w:rsidR="006C686E" w14:paraId="6ECE5F50" w14:textId="77777777">
        <w:trPr>
          <w:trHeight w:val="440"/>
        </w:trPr>
        <w:tc>
          <w:tcPr>
            <w:tcW w:w="1200" w:type="dxa"/>
            <w:shd w:val="clear" w:color="auto" w:fill="C4EFCE"/>
            <w:vAlign w:val="center"/>
            <w:hideMark/>
          </w:tcPr>
          <w:p w14:paraId="10F6C792" w14:textId="77777777" w:rsidR="006C686E" w:rsidRDefault="00B17E8C">
            <w:pPr>
              <w:pStyle w:val="P68B1DB1-Normal60"/>
              <w:spacing w:after="0" w:line="276" w:lineRule="auto"/>
              <w:jc w:val="center"/>
              <w:rPr>
                <w:noProof/>
              </w:rPr>
            </w:pPr>
            <w:r>
              <w:rPr>
                <w:noProof/>
              </w:rPr>
              <w:t>1.13</w:t>
            </w:r>
          </w:p>
        </w:tc>
        <w:tc>
          <w:tcPr>
            <w:tcW w:w="1760" w:type="dxa"/>
            <w:shd w:val="clear" w:color="auto" w:fill="C4EFCE"/>
            <w:vAlign w:val="center"/>
            <w:hideMark/>
          </w:tcPr>
          <w:p w14:paraId="6652F385" w14:textId="77777777" w:rsidR="006C686E" w:rsidRDefault="00B17E8C">
            <w:pPr>
              <w:pStyle w:val="P68B1DB1-Normal60"/>
              <w:spacing w:after="0" w:line="276" w:lineRule="auto"/>
              <w:jc w:val="center"/>
              <w:rPr>
                <w:noProof/>
              </w:rPr>
            </w:pPr>
            <w:r>
              <w:rPr>
                <w:noProof/>
              </w:rPr>
              <w:t xml:space="preserve">RE-C01-i02 </w:t>
            </w:r>
          </w:p>
        </w:tc>
        <w:tc>
          <w:tcPr>
            <w:tcW w:w="1520" w:type="dxa"/>
            <w:shd w:val="clear" w:color="auto" w:fill="C4EFCE"/>
            <w:vAlign w:val="center"/>
            <w:hideMark/>
          </w:tcPr>
          <w:p w14:paraId="17551A19"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36D6F053" w14:textId="77777777" w:rsidR="006C686E" w:rsidRDefault="00B17E8C">
            <w:pPr>
              <w:pStyle w:val="P68B1DB1-Normal60"/>
              <w:spacing w:after="0" w:line="276" w:lineRule="auto"/>
              <w:jc w:val="both"/>
              <w:rPr>
                <w:noProof/>
              </w:rPr>
            </w:pPr>
            <w:r>
              <w:rPr>
                <w:noProof/>
              </w:rPr>
              <w:t>Entrée en vigueur des modalités de référencement des épisodes d'urgence dépistés en blanc, bleu ou vert dans les services d'urgence hospitaliers pour d'autres types de services de soins de santé, y compris les services de soins de santé primaires</w:t>
            </w:r>
          </w:p>
        </w:tc>
      </w:tr>
      <w:tr w:rsidR="006C686E" w14:paraId="43676CC2" w14:textId="77777777">
        <w:trPr>
          <w:trHeight w:val="440"/>
        </w:trPr>
        <w:tc>
          <w:tcPr>
            <w:tcW w:w="1200" w:type="dxa"/>
            <w:shd w:val="clear" w:color="auto" w:fill="C4EFCE"/>
            <w:vAlign w:val="center"/>
            <w:hideMark/>
          </w:tcPr>
          <w:p w14:paraId="7E2B84FB" w14:textId="77777777" w:rsidR="006C686E" w:rsidRDefault="00B17E8C">
            <w:pPr>
              <w:pStyle w:val="P68B1DB1-Normal60"/>
              <w:spacing w:after="0" w:line="276" w:lineRule="auto"/>
              <w:jc w:val="center"/>
              <w:rPr>
                <w:noProof/>
              </w:rPr>
            </w:pPr>
            <w:r>
              <w:rPr>
                <w:noProof/>
              </w:rPr>
              <w:t>1.20</w:t>
            </w:r>
          </w:p>
        </w:tc>
        <w:tc>
          <w:tcPr>
            <w:tcW w:w="1760" w:type="dxa"/>
            <w:shd w:val="clear" w:color="auto" w:fill="C4EFCE"/>
            <w:vAlign w:val="center"/>
            <w:hideMark/>
          </w:tcPr>
          <w:p w14:paraId="66999A60" w14:textId="77777777" w:rsidR="006C686E" w:rsidRDefault="00B17E8C">
            <w:pPr>
              <w:pStyle w:val="P68B1DB1-Normal60"/>
              <w:spacing w:after="0" w:line="276" w:lineRule="auto"/>
              <w:jc w:val="center"/>
              <w:rPr>
                <w:noProof/>
              </w:rPr>
            </w:pPr>
            <w:r>
              <w:rPr>
                <w:noProof/>
              </w:rPr>
              <w:t xml:space="preserve">RE-C01-r03 </w:t>
            </w:r>
          </w:p>
        </w:tc>
        <w:tc>
          <w:tcPr>
            <w:tcW w:w="1520" w:type="dxa"/>
            <w:shd w:val="clear" w:color="auto" w:fill="C4EFCE"/>
            <w:vAlign w:val="center"/>
            <w:hideMark/>
          </w:tcPr>
          <w:p w14:paraId="2DC44532"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D9F4D5A" w14:textId="77777777" w:rsidR="006C686E" w:rsidRDefault="00B17E8C">
            <w:pPr>
              <w:pStyle w:val="P68B1DB1-Normal60"/>
              <w:spacing w:after="0" w:line="276" w:lineRule="auto"/>
              <w:jc w:val="both"/>
              <w:rPr>
                <w:noProof/>
              </w:rPr>
            </w:pPr>
            <w:r>
              <w:rPr>
                <w:noProof/>
              </w:rPr>
              <w:t>Entrée en vigueur du règlement relatif à l’attribution d’un soutien financier par les autorités sanitaires régionales</w:t>
            </w:r>
          </w:p>
        </w:tc>
      </w:tr>
      <w:tr w:rsidR="006C686E" w14:paraId="34978A3E" w14:textId="77777777">
        <w:trPr>
          <w:trHeight w:val="440"/>
        </w:trPr>
        <w:tc>
          <w:tcPr>
            <w:tcW w:w="1200" w:type="dxa"/>
            <w:shd w:val="clear" w:color="auto" w:fill="C4EFCE"/>
            <w:vAlign w:val="center"/>
            <w:hideMark/>
          </w:tcPr>
          <w:p w14:paraId="71C41A00" w14:textId="77777777" w:rsidR="006C686E" w:rsidRDefault="00B17E8C">
            <w:pPr>
              <w:pStyle w:val="P68B1DB1-Normal60"/>
              <w:spacing w:after="0" w:line="276" w:lineRule="auto"/>
              <w:jc w:val="center"/>
              <w:rPr>
                <w:noProof/>
              </w:rPr>
            </w:pPr>
            <w:r>
              <w:rPr>
                <w:noProof/>
              </w:rPr>
              <w:t>1.6</w:t>
            </w:r>
          </w:p>
        </w:tc>
        <w:tc>
          <w:tcPr>
            <w:tcW w:w="1760" w:type="dxa"/>
            <w:shd w:val="clear" w:color="auto" w:fill="C4EFCE"/>
            <w:vAlign w:val="center"/>
            <w:hideMark/>
          </w:tcPr>
          <w:p w14:paraId="0B2675CD" w14:textId="77777777" w:rsidR="006C686E" w:rsidRDefault="00B17E8C">
            <w:pPr>
              <w:pStyle w:val="P68B1DB1-Normal60"/>
              <w:spacing w:after="0" w:line="276" w:lineRule="auto"/>
              <w:jc w:val="center"/>
              <w:rPr>
                <w:noProof/>
              </w:rPr>
            </w:pPr>
            <w:r>
              <w:rPr>
                <w:noProof/>
              </w:rPr>
              <w:t xml:space="preserve">RE-C01-i01 </w:t>
            </w:r>
          </w:p>
        </w:tc>
        <w:tc>
          <w:tcPr>
            <w:tcW w:w="1520" w:type="dxa"/>
            <w:shd w:val="clear" w:color="auto" w:fill="C4EFCE"/>
            <w:vAlign w:val="center"/>
            <w:hideMark/>
          </w:tcPr>
          <w:p w14:paraId="5D82006E"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F575653" w14:textId="77777777" w:rsidR="006C686E" w:rsidRDefault="00B17E8C">
            <w:pPr>
              <w:pStyle w:val="P68B1DB1-Normal60"/>
              <w:spacing w:after="0" w:line="276" w:lineRule="auto"/>
              <w:jc w:val="both"/>
              <w:rPr>
                <w:noProof/>
              </w:rPr>
            </w:pPr>
            <w:r>
              <w:rPr>
                <w:noProof/>
              </w:rPr>
              <w:t>Entrée en vigueur du nouveau modèle de contrat de gestion</w:t>
            </w:r>
          </w:p>
        </w:tc>
      </w:tr>
      <w:tr w:rsidR="006C686E" w14:paraId="3E233A59" w14:textId="77777777">
        <w:trPr>
          <w:trHeight w:val="440"/>
        </w:trPr>
        <w:tc>
          <w:tcPr>
            <w:tcW w:w="1200" w:type="dxa"/>
            <w:shd w:val="clear" w:color="auto" w:fill="C4EFCE"/>
            <w:vAlign w:val="center"/>
            <w:hideMark/>
          </w:tcPr>
          <w:p w14:paraId="349F2911" w14:textId="77777777" w:rsidR="006C686E" w:rsidRDefault="00B17E8C">
            <w:pPr>
              <w:pStyle w:val="P68B1DB1-Normal60"/>
              <w:spacing w:after="0" w:line="276" w:lineRule="auto"/>
              <w:jc w:val="center"/>
              <w:rPr>
                <w:noProof/>
              </w:rPr>
            </w:pPr>
            <w:r>
              <w:rPr>
                <w:noProof/>
              </w:rPr>
              <w:t>3.24</w:t>
            </w:r>
          </w:p>
        </w:tc>
        <w:tc>
          <w:tcPr>
            <w:tcW w:w="1760" w:type="dxa"/>
            <w:shd w:val="clear" w:color="auto" w:fill="C4EFCE"/>
            <w:vAlign w:val="center"/>
            <w:hideMark/>
          </w:tcPr>
          <w:p w14:paraId="58F74206" w14:textId="77777777" w:rsidR="006C686E" w:rsidRDefault="00B17E8C">
            <w:pPr>
              <w:pStyle w:val="P68B1DB1-Normal60"/>
              <w:spacing w:after="0" w:line="276" w:lineRule="auto"/>
              <w:jc w:val="center"/>
              <w:rPr>
                <w:noProof/>
              </w:rPr>
            </w:pPr>
            <w:r>
              <w:rPr>
                <w:noProof/>
              </w:rPr>
              <w:t xml:space="preserve">RE-C03-i01 </w:t>
            </w:r>
          </w:p>
        </w:tc>
        <w:tc>
          <w:tcPr>
            <w:tcW w:w="1520" w:type="dxa"/>
            <w:shd w:val="clear" w:color="auto" w:fill="C4EFCE"/>
            <w:vAlign w:val="center"/>
            <w:hideMark/>
          </w:tcPr>
          <w:p w14:paraId="20ACB9A5"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1D5AC423" w14:textId="77777777" w:rsidR="006C686E" w:rsidRDefault="00B17E8C">
            <w:pPr>
              <w:pStyle w:val="P68B1DB1-Normal60"/>
              <w:spacing w:after="0" w:line="276" w:lineRule="auto"/>
              <w:jc w:val="both"/>
              <w:rPr>
                <w:noProof/>
              </w:rPr>
            </w:pPr>
            <w:r>
              <w:rPr>
                <w:noProof/>
              </w:rPr>
              <w:t>Signature d'accords entre les municipalités de Lisbonne/Porto et les unités techniques locales définissant la portée des mesures à soutenir.</w:t>
            </w:r>
          </w:p>
        </w:tc>
      </w:tr>
      <w:tr w:rsidR="006C686E" w14:paraId="2DB49A34" w14:textId="77777777">
        <w:trPr>
          <w:trHeight w:val="440"/>
        </w:trPr>
        <w:tc>
          <w:tcPr>
            <w:tcW w:w="1200" w:type="dxa"/>
            <w:shd w:val="clear" w:color="auto" w:fill="C4EFCE"/>
            <w:vAlign w:val="center"/>
            <w:hideMark/>
          </w:tcPr>
          <w:p w14:paraId="688234AF" w14:textId="77777777" w:rsidR="006C686E" w:rsidRDefault="00B17E8C">
            <w:pPr>
              <w:pStyle w:val="P68B1DB1-Normal60"/>
              <w:spacing w:after="0" w:line="276" w:lineRule="auto"/>
              <w:jc w:val="center"/>
              <w:rPr>
                <w:noProof/>
              </w:rPr>
            </w:pPr>
            <w:r>
              <w:rPr>
                <w:noProof/>
              </w:rPr>
              <w:t>3.3</w:t>
            </w:r>
          </w:p>
        </w:tc>
        <w:tc>
          <w:tcPr>
            <w:tcW w:w="1760" w:type="dxa"/>
            <w:shd w:val="clear" w:color="auto" w:fill="C4EFCE"/>
            <w:vAlign w:val="center"/>
            <w:hideMark/>
          </w:tcPr>
          <w:p w14:paraId="662BFAEF" w14:textId="77777777" w:rsidR="006C686E" w:rsidRDefault="00B17E8C">
            <w:pPr>
              <w:pStyle w:val="P68B1DB1-Normal60"/>
              <w:spacing w:after="0" w:line="276" w:lineRule="auto"/>
              <w:jc w:val="center"/>
              <w:rPr>
                <w:noProof/>
              </w:rPr>
            </w:pPr>
            <w:r>
              <w:rPr>
                <w:noProof/>
              </w:rPr>
              <w:t xml:space="preserve">RE-C03-i06 </w:t>
            </w:r>
          </w:p>
        </w:tc>
        <w:tc>
          <w:tcPr>
            <w:tcW w:w="1520" w:type="dxa"/>
            <w:shd w:val="clear" w:color="auto" w:fill="C4EFCE"/>
            <w:vAlign w:val="center"/>
            <w:hideMark/>
          </w:tcPr>
          <w:p w14:paraId="4046891A"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6D0681F6" w14:textId="77777777" w:rsidR="006C686E" w:rsidRDefault="00B17E8C">
            <w:pPr>
              <w:pStyle w:val="P68B1DB1-Normal60"/>
              <w:spacing w:after="0" w:line="276" w:lineRule="auto"/>
              <w:jc w:val="both"/>
              <w:rPr>
                <w:noProof/>
              </w:rPr>
            </w:pPr>
            <w:r>
              <w:rPr>
                <w:noProof/>
              </w:rPr>
              <w:t>Attribution de contrats de soutien à des organismes de promotion pour la création et l'expansion du réseau d'infrastructures sociales/réponses sociales.</w:t>
            </w:r>
          </w:p>
        </w:tc>
      </w:tr>
      <w:tr w:rsidR="006C686E" w14:paraId="21FBD5F5" w14:textId="77777777">
        <w:trPr>
          <w:trHeight w:val="440"/>
        </w:trPr>
        <w:tc>
          <w:tcPr>
            <w:tcW w:w="1200" w:type="dxa"/>
            <w:shd w:val="clear" w:color="auto" w:fill="C4EFCE"/>
            <w:vAlign w:val="center"/>
            <w:hideMark/>
          </w:tcPr>
          <w:p w14:paraId="048C7CA9" w14:textId="77777777" w:rsidR="006C686E" w:rsidRDefault="00B17E8C">
            <w:pPr>
              <w:pStyle w:val="P68B1DB1-Normal60"/>
              <w:spacing w:after="0" w:line="276" w:lineRule="auto"/>
              <w:jc w:val="center"/>
              <w:rPr>
                <w:noProof/>
              </w:rPr>
            </w:pPr>
            <w:r>
              <w:rPr>
                <w:noProof/>
              </w:rPr>
              <w:t>4.1</w:t>
            </w:r>
          </w:p>
        </w:tc>
        <w:tc>
          <w:tcPr>
            <w:tcW w:w="1760" w:type="dxa"/>
            <w:shd w:val="clear" w:color="auto" w:fill="C4EFCE"/>
            <w:vAlign w:val="center"/>
            <w:hideMark/>
          </w:tcPr>
          <w:p w14:paraId="1C97029D" w14:textId="1500A540" w:rsidR="006C686E" w:rsidRDefault="00B17E8C">
            <w:pPr>
              <w:pStyle w:val="P68B1DB1-Normal60"/>
              <w:spacing w:after="0" w:line="276" w:lineRule="auto"/>
              <w:jc w:val="center"/>
              <w:rPr>
                <w:noProof/>
              </w:rPr>
            </w:pPr>
            <w:r>
              <w:rPr>
                <w:noProof/>
              </w:rPr>
              <w:t>RE-C04-i01</w:t>
            </w:r>
          </w:p>
        </w:tc>
        <w:tc>
          <w:tcPr>
            <w:tcW w:w="1520" w:type="dxa"/>
            <w:shd w:val="clear" w:color="auto" w:fill="C4EFCE"/>
            <w:vAlign w:val="center"/>
            <w:hideMark/>
          </w:tcPr>
          <w:p w14:paraId="684C02BF"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47123EB1" w14:textId="77777777" w:rsidR="006C686E" w:rsidRDefault="00B17E8C">
            <w:pPr>
              <w:pStyle w:val="P68B1DB1-Normal60"/>
              <w:spacing w:after="0" w:line="276" w:lineRule="auto"/>
              <w:jc w:val="both"/>
              <w:rPr>
                <w:noProof/>
              </w:rPr>
            </w:pPr>
            <w:r>
              <w:rPr>
                <w:noProof/>
              </w:rPr>
              <w:t>Spécifications technologiques pour le réseau d'installations culturelles</w:t>
            </w:r>
          </w:p>
        </w:tc>
      </w:tr>
      <w:tr w:rsidR="006C686E" w14:paraId="4AC2008B" w14:textId="77777777">
        <w:trPr>
          <w:trHeight w:val="440"/>
        </w:trPr>
        <w:tc>
          <w:tcPr>
            <w:tcW w:w="1200" w:type="dxa"/>
            <w:shd w:val="clear" w:color="auto" w:fill="C4EFCE"/>
            <w:vAlign w:val="center"/>
            <w:hideMark/>
          </w:tcPr>
          <w:p w14:paraId="554BE0AF" w14:textId="77777777" w:rsidR="006C686E" w:rsidRDefault="00B17E8C">
            <w:pPr>
              <w:pStyle w:val="P68B1DB1-Normal60"/>
              <w:spacing w:after="0" w:line="276" w:lineRule="auto"/>
              <w:jc w:val="center"/>
              <w:rPr>
                <w:noProof/>
              </w:rPr>
            </w:pPr>
            <w:r>
              <w:rPr>
                <w:noProof/>
              </w:rPr>
              <w:t>5.18</w:t>
            </w:r>
          </w:p>
        </w:tc>
        <w:tc>
          <w:tcPr>
            <w:tcW w:w="1760" w:type="dxa"/>
            <w:shd w:val="clear" w:color="auto" w:fill="C4EFCE"/>
            <w:vAlign w:val="center"/>
            <w:hideMark/>
          </w:tcPr>
          <w:p w14:paraId="5AF77AC1" w14:textId="56B5BC2B" w:rsidR="006C686E" w:rsidRDefault="00B17E8C">
            <w:pPr>
              <w:pStyle w:val="P68B1DB1-Normal60"/>
              <w:spacing w:after="0" w:line="276" w:lineRule="auto"/>
              <w:jc w:val="center"/>
              <w:rPr>
                <w:noProof/>
              </w:rPr>
            </w:pPr>
            <w:r>
              <w:rPr>
                <w:noProof/>
              </w:rPr>
              <w:t>RE-C05-i05-RAA</w:t>
            </w:r>
          </w:p>
        </w:tc>
        <w:tc>
          <w:tcPr>
            <w:tcW w:w="1520" w:type="dxa"/>
            <w:shd w:val="clear" w:color="auto" w:fill="C4EFCE"/>
            <w:vAlign w:val="center"/>
            <w:hideMark/>
          </w:tcPr>
          <w:p w14:paraId="632D2E81"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75DF662" w14:textId="77777777" w:rsidR="006C686E" w:rsidRDefault="00B17E8C">
            <w:pPr>
              <w:pStyle w:val="P68B1DB1-Normal60"/>
              <w:spacing w:after="0" w:line="276" w:lineRule="auto"/>
              <w:jc w:val="both"/>
              <w:rPr>
                <w:noProof/>
              </w:rPr>
            </w:pPr>
            <w:r>
              <w:rPr>
                <w:noProof/>
              </w:rPr>
              <w:t>Publication du programme d’innovation et de numérisation agricoles des Açores</w:t>
            </w:r>
          </w:p>
        </w:tc>
      </w:tr>
      <w:tr w:rsidR="006C686E" w14:paraId="3675C247" w14:textId="77777777">
        <w:trPr>
          <w:trHeight w:val="440"/>
        </w:trPr>
        <w:tc>
          <w:tcPr>
            <w:tcW w:w="1200" w:type="dxa"/>
            <w:shd w:val="clear" w:color="auto" w:fill="C4EFCE"/>
            <w:vAlign w:val="center"/>
            <w:hideMark/>
          </w:tcPr>
          <w:p w14:paraId="0F9BA067" w14:textId="77777777" w:rsidR="006C686E" w:rsidRDefault="00B17E8C">
            <w:pPr>
              <w:pStyle w:val="P68B1DB1-Normal60"/>
              <w:spacing w:after="0" w:line="276" w:lineRule="auto"/>
              <w:jc w:val="center"/>
              <w:rPr>
                <w:noProof/>
              </w:rPr>
            </w:pPr>
            <w:r>
              <w:rPr>
                <w:noProof/>
              </w:rPr>
              <w:t>8.14</w:t>
            </w:r>
          </w:p>
        </w:tc>
        <w:tc>
          <w:tcPr>
            <w:tcW w:w="1760" w:type="dxa"/>
            <w:shd w:val="clear" w:color="auto" w:fill="C4EFCE"/>
            <w:vAlign w:val="center"/>
            <w:hideMark/>
          </w:tcPr>
          <w:p w14:paraId="606542F8" w14:textId="77777777" w:rsidR="006C686E" w:rsidRDefault="00B17E8C">
            <w:pPr>
              <w:pStyle w:val="P68B1DB1-Normal60"/>
              <w:spacing w:after="0" w:line="276" w:lineRule="auto"/>
              <w:jc w:val="center"/>
              <w:rPr>
                <w:noProof/>
              </w:rPr>
            </w:pPr>
            <w:r>
              <w:rPr>
                <w:noProof/>
              </w:rPr>
              <w:t xml:space="preserve">RE-C08-i02 </w:t>
            </w:r>
          </w:p>
        </w:tc>
        <w:tc>
          <w:tcPr>
            <w:tcW w:w="1520" w:type="dxa"/>
            <w:shd w:val="clear" w:color="auto" w:fill="C4EFCE"/>
            <w:vAlign w:val="center"/>
            <w:hideMark/>
          </w:tcPr>
          <w:p w14:paraId="27C6FCBC" w14:textId="77777777" w:rsidR="006C686E" w:rsidRDefault="00B17E8C">
            <w:pPr>
              <w:pStyle w:val="P68B1DB1-Normal60"/>
              <w:spacing w:after="0" w:line="276" w:lineRule="auto"/>
              <w:jc w:val="center"/>
              <w:rPr>
                <w:noProof/>
              </w:rPr>
            </w:pPr>
            <w:r>
              <w:rPr>
                <w:noProof/>
              </w:rPr>
              <w:t xml:space="preserve">T </w:t>
            </w:r>
          </w:p>
        </w:tc>
        <w:tc>
          <w:tcPr>
            <w:tcW w:w="5060" w:type="dxa"/>
            <w:shd w:val="clear" w:color="auto" w:fill="C4EFCE"/>
            <w:vAlign w:val="center"/>
            <w:hideMark/>
          </w:tcPr>
          <w:p w14:paraId="17DA8D91" w14:textId="77777777" w:rsidR="006C686E" w:rsidRDefault="00B17E8C">
            <w:pPr>
              <w:pStyle w:val="P68B1DB1-Normal60"/>
              <w:spacing w:after="0" w:line="276" w:lineRule="auto"/>
              <w:jc w:val="both"/>
              <w:rPr>
                <w:noProof/>
              </w:rPr>
            </w:pPr>
            <w:r>
              <w:rPr>
                <w:noProof/>
              </w:rPr>
              <w:t>Création de structures régionales et sous-régionales de l'Autorité nationale d'urgence et de protection civile (ANEPC)</w:t>
            </w:r>
          </w:p>
        </w:tc>
      </w:tr>
      <w:tr w:rsidR="006C686E" w14:paraId="1324F43F" w14:textId="77777777">
        <w:trPr>
          <w:trHeight w:val="440"/>
        </w:trPr>
        <w:tc>
          <w:tcPr>
            <w:tcW w:w="1200" w:type="dxa"/>
            <w:shd w:val="clear" w:color="auto" w:fill="C4EFCE"/>
            <w:vAlign w:val="center"/>
            <w:hideMark/>
          </w:tcPr>
          <w:p w14:paraId="5EAAE606" w14:textId="77777777" w:rsidR="006C686E" w:rsidRDefault="00B17E8C">
            <w:pPr>
              <w:pStyle w:val="P68B1DB1-Normal60"/>
              <w:spacing w:after="0" w:line="276" w:lineRule="auto"/>
              <w:jc w:val="center"/>
              <w:rPr>
                <w:noProof/>
              </w:rPr>
            </w:pPr>
            <w:r>
              <w:rPr>
                <w:noProof/>
              </w:rPr>
              <w:t>8.15</w:t>
            </w:r>
          </w:p>
        </w:tc>
        <w:tc>
          <w:tcPr>
            <w:tcW w:w="1760" w:type="dxa"/>
            <w:shd w:val="clear" w:color="auto" w:fill="C4EFCE"/>
            <w:vAlign w:val="center"/>
            <w:hideMark/>
          </w:tcPr>
          <w:p w14:paraId="5D4751EA" w14:textId="77777777" w:rsidR="006C686E" w:rsidRDefault="00B17E8C">
            <w:pPr>
              <w:pStyle w:val="P68B1DB1-Normal60"/>
              <w:spacing w:after="0" w:line="276" w:lineRule="auto"/>
              <w:jc w:val="center"/>
              <w:rPr>
                <w:noProof/>
              </w:rPr>
            </w:pPr>
            <w:r>
              <w:rPr>
                <w:noProof/>
              </w:rPr>
              <w:t xml:space="preserve">RE-C08-i03 </w:t>
            </w:r>
          </w:p>
        </w:tc>
        <w:tc>
          <w:tcPr>
            <w:tcW w:w="1520" w:type="dxa"/>
            <w:shd w:val="clear" w:color="auto" w:fill="C4EFCE"/>
            <w:vAlign w:val="center"/>
            <w:hideMark/>
          </w:tcPr>
          <w:p w14:paraId="141E60C4"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6C73021D" w14:textId="77777777" w:rsidR="006C686E" w:rsidRDefault="00B17E8C">
            <w:pPr>
              <w:pStyle w:val="P68B1DB1-Normal60"/>
              <w:spacing w:after="0" w:line="276" w:lineRule="auto"/>
              <w:jc w:val="both"/>
              <w:rPr>
                <w:noProof/>
              </w:rPr>
            </w:pPr>
            <w:r>
              <w:rPr>
                <w:noProof/>
              </w:rPr>
              <w:t>Publication du rapport initial par l'Institut pour la conservation de la nature et des forêts, I.P.</w:t>
            </w:r>
          </w:p>
        </w:tc>
      </w:tr>
      <w:tr w:rsidR="006C686E" w14:paraId="6F52BB0E" w14:textId="77777777">
        <w:trPr>
          <w:trHeight w:val="440"/>
        </w:trPr>
        <w:tc>
          <w:tcPr>
            <w:tcW w:w="1200" w:type="dxa"/>
            <w:shd w:val="clear" w:color="auto" w:fill="C4EFCE"/>
            <w:vAlign w:val="center"/>
            <w:hideMark/>
          </w:tcPr>
          <w:p w14:paraId="0BBAC2F9" w14:textId="77777777" w:rsidR="006C686E" w:rsidRDefault="00B17E8C">
            <w:pPr>
              <w:pStyle w:val="P68B1DB1-Normal60"/>
              <w:spacing w:after="0" w:line="276" w:lineRule="auto"/>
              <w:jc w:val="center"/>
              <w:rPr>
                <w:noProof/>
              </w:rPr>
            </w:pPr>
            <w:r>
              <w:rPr>
                <w:noProof/>
              </w:rPr>
              <w:t>8.4</w:t>
            </w:r>
          </w:p>
        </w:tc>
        <w:tc>
          <w:tcPr>
            <w:tcW w:w="1760" w:type="dxa"/>
            <w:shd w:val="clear" w:color="auto" w:fill="C4EFCE"/>
            <w:vAlign w:val="center"/>
            <w:hideMark/>
          </w:tcPr>
          <w:p w14:paraId="16D672C5" w14:textId="77777777" w:rsidR="006C686E" w:rsidRDefault="00B17E8C">
            <w:pPr>
              <w:pStyle w:val="P68B1DB1-Normal60"/>
              <w:spacing w:after="0" w:line="276" w:lineRule="auto"/>
              <w:jc w:val="center"/>
              <w:rPr>
                <w:noProof/>
              </w:rPr>
            </w:pPr>
            <w:r>
              <w:rPr>
                <w:noProof/>
              </w:rPr>
              <w:t xml:space="preserve">RE-C08-i05 </w:t>
            </w:r>
          </w:p>
        </w:tc>
        <w:tc>
          <w:tcPr>
            <w:tcW w:w="1520" w:type="dxa"/>
            <w:shd w:val="clear" w:color="auto" w:fill="C4EFCE"/>
            <w:vAlign w:val="center"/>
            <w:hideMark/>
          </w:tcPr>
          <w:p w14:paraId="3BFDBEC4"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108C3ED2" w14:textId="77777777" w:rsidR="006C686E" w:rsidRDefault="00B17E8C">
            <w:pPr>
              <w:pStyle w:val="P68B1DB1-Normal60"/>
              <w:spacing w:after="0" w:line="276" w:lineRule="auto"/>
              <w:jc w:val="both"/>
              <w:rPr>
                <w:noProof/>
              </w:rPr>
            </w:pPr>
            <w:r>
              <w:rPr>
                <w:noProof/>
              </w:rPr>
              <w:t>Vers une plateforme BUPi 2.0</w:t>
            </w:r>
          </w:p>
        </w:tc>
      </w:tr>
      <w:tr w:rsidR="006C686E" w14:paraId="56CF8056" w14:textId="77777777">
        <w:trPr>
          <w:trHeight w:val="440"/>
        </w:trPr>
        <w:tc>
          <w:tcPr>
            <w:tcW w:w="1200" w:type="dxa"/>
            <w:shd w:val="clear" w:color="auto" w:fill="C4EFCE"/>
            <w:vAlign w:val="center"/>
            <w:hideMark/>
          </w:tcPr>
          <w:p w14:paraId="53DEEDD6" w14:textId="77777777" w:rsidR="006C686E" w:rsidRDefault="00B17E8C">
            <w:pPr>
              <w:pStyle w:val="P68B1DB1-Normal60"/>
              <w:spacing w:after="0" w:line="276" w:lineRule="auto"/>
              <w:jc w:val="center"/>
              <w:rPr>
                <w:noProof/>
              </w:rPr>
            </w:pPr>
            <w:r>
              <w:rPr>
                <w:noProof/>
              </w:rPr>
              <w:t>8.7</w:t>
            </w:r>
          </w:p>
        </w:tc>
        <w:tc>
          <w:tcPr>
            <w:tcW w:w="1760" w:type="dxa"/>
            <w:shd w:val="clear" w:color="auto" w:fill="C4EFCE"/>
            <w:vAlign w:val="center"/>
            <w:hideMark/>
          </w:tcPr>
          <w:p w14:paraId="2A571E5C" w14:textId="77777777" w:rsidR="006C686E" w:rsidRDefault="00B17E8C">
            <w:pPr>
              <w:pStyle w:val="P68B1DB1-Normal60"/>
              <w:spacing w:after="0" w:line="276" w:lineRule="auto"/>
              <w:jc w:val="center"/>
              <w:rPr>
                <w:noProof/>
              </w:rPr>
            </w:pPr>
            <w:r>
              <w:rPr>
                <w:noProof/>
              </w:rPr>
              <w:t xml:space="preserve">RE-C08-i05 </w:t>
            </w:r>
          </w:p>
        </w:tc>
        <w:tc>
          <w:tcPr>
            <w:tcW w:w="1520" w:type="dxa"/>
            <w:shd w:val="clear" w:color="auto" w:fill="C4EFCE"/>
            <w:vAlign w:val="center"/>
            <w:hideMark/>
          </w:tcPr>
          <w:p w14:paraId="6B346D4F"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5527140" w14:textId="77777777" w:rsidR="006C686E" w:rsidRDefault="00B17E8C">
            <w:pPr>
              <w:pStyle w:val="P68B1DB1-Normal60"/>
              <w:spacing w:after="0" w:line="276" w:lineRule="auto"/>
              <w:jc w:val="both"/>
              <w:rPr>
                <w:noProof/>
              </w:rPr>
            </w:pPr>
            <w:r>
              <w:rPr>
                <w:noProof/>
              </w:rPr>
              <w:t>Publication du contrat relatif au réseau de structuration des ruptures de la gestion primaire du carburant (RPFGC)</w:t>
            </w:r>
          </w:p>
        </w:tc>
      </w:tr>
      <w:tr w:rsidR="006C686E" w14:paraId="10F0D562" w14:textId="77777777">
        <w:trPr>
          <w:trHeight w:val="440"/>
        </w:trPr>
        <w:tc>
          <w:tcPr>
            <w:tcW w:w="1200" w:type="dxa"/>
            <w:shd w:val="clear" w:color="auto" w:fill="C4EFCE"/>
            <w:vAlign w:val="center"/>
            <w:hideMark/>
          </w:tcPr>
          <w:p w14:paraId="717B4625" w14:textId="77777777" w:rsidR="006C686E" w:rsidRDefault="00B17E8C">
            <w:pPr>
              <w:pStyle w:val="P68B1DB1-Normal60"/>
              <w:spacing w:after="0" w:line="276" w:lineRule="auto"/>
              <w:jc w:val="center"/>
              <w:rPr>
                <w:noProof/>
              </w:rPr>
            </w:pPr>
            <w:r>
              <w:rPr>
                <w:noProof/>
              </w:rPr>
              <w:t>12.2</w:t>
            </w:r>
          </w:p>
        </w:tc>
        <w:tc>
          <w:tcPr>
            <w:tcW w:w="1760" w:type="dxa"/>
            <w:shd w:val="clear" w:color="auto" w:fill="C4EFCE"/>
            <w:vAlign w:val="center"/>
            <w:hideMark/>
          </w:tcPr>
          <w:p w14:paraId="213EF0A8" w14:textId="77777777" w:rsidR="006C686E" w:rsidRDefault="00B17E8C">
            <w:pPr>
              <w:pStyle w:val="P68B1DB1-Normal60"/>
              <w:spacing w:after="0" w:line="276" w:lineRule="auto"/>
              <w:jc w:val="center"/>
              <w:rPr>
                <w:noProof/>
              </w:rPr>
            </w:pPr>
            <w:r>
              <w:rPr>
                <w:noProof/>
              </w:rPr>
              <w:t xml:space="preserve">TC-C12-i01 </w:t>
            </w:r>
          </w:p>
        </w:tc>
        <w:tc>
          <w:tcPr>
            <w:tcW w:w="1520" w:type="dxa"/>
            <w:shd w:val="clear" w:color="auto" w:fill="C4EFCE"/>
            <w:vAlign w:val="center"/>
            <w:hideMark/>
          </w:tcPr>
          <w:p w14:paraId="06A31036" w14:textId="77777777" w:rsidR="006C686E" w:rsidRDefault="00B17E8C">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38B19D6B" w14:textId="77777777" w:rsidR="006C686E" w:rsidRDefault="00B17E8C">
            <w:pPr>
              <w:pStyle w:val="P68B1DB1-Normal60"/>
              <w:spacing w:after="0" w:line="276" w:lineRule="auto"/>
              <w:jc w:val="both"/>
              <w:rPr>
                <w:noProof/>
              </w:rPr>
            </w:pPr>
            <w:r>
              <w:rPr>
                <w:noProof/>
              </w:rPr>
              <w:t>Approbation des projets soumis par les consortiums pour le développement de nouveaux produits, technologies et procédés bioéconomiques dans les secteurs du textile et de l’habillement, de la chaussure et de la résine naturelle</w:t>
            </w:r>
          </w:p>
        </w:tc>
      </w:tr>
      <w:tr w:rsidR="006C686E" w14:paraId="219C6AAD" w14:textId="77777777">
        <w:trPr>
          <w:trHeight w:val="440"/>
        </w:trPr>
        <w:tc>
          <w:tcPr>
            <w:tcW w:w="1200" w:type="dxa"/>
            <w:shd w:val="clear" w:color="auto" w:fill="C4EFCE"/>
            <w:vAlign w:val="center"/>
            <w:hideMark/>
          </w:tcPr>
          <w:p w14:paraId="0236DD55" w14:textId="77777777" w:rsidR="006C686E" w:rsidRDefault="00B17E8C">
            <w:pPr>
              <w:pStyle w:val="P68B1DB1-Normal60"/>
              <w:spacing w:after="0" w:line="276" w:lineRule="auto"/>
              <w:jc w:val="center"/>
              <w:rPr>
                <w:noProof/>
              </w:rPr>
            </w:pPr>
            <w:r>
              <w:rPr>
                <w:noProof/>
              </w:rPr>
              <w:t>15.10</w:t>
            </w:r>
          </w:p>
        </w:tc>
        <w:tc>
          <w:tcPr>
            <w:tcW w:w="1760" w:type="dxa"/>
            <w:shd w:val="clear" w:color="auto" w:fill="C4EFCE"/>
            <w:vAlign w:val="center"/>
            <w:hideMark/>
          </w:tcPr>
          <w:p w14:paraId="0DD5B95C" w14:textId="77777777" w:rsidR="006C686E" w:rsidRDefault="00B17E8C">
            <w:pPr>
              <w:pStyle w:val="P68B1DB1-Normal60"/>
              <w:spacing w:after="0" w:line="276" w:lineRule="auto"/>
              <w:jc w:val="center"/>
              <w:rPr>
                <w:noProof/>
              </w:rPr>
            </w:pPr>
            <w:r>
              <w:rPr>
                <w:noProof/>
              </w:rPr>
              <w:t xml:space="preserve">TC-C15-i04 </w:t>
            </w:r>
          </w:p>
        </w:tc>
        <w:tc>
          <w:tcPr>
            <w:tcW w:w="1520" w:type="dxa"/>
            <w:shd w:val="clear" w:color="auto" w:fill="C4EFCE"/>
            <w:vAlign w:val="center"/>
            <w:hideMark/>
          </w:tcPr>
          <w:p w14:paraId="5B34A9BB" w14:textId="2FD6EC1C"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E605B54" w14:textId="77777777" w:rsidR="006C686E" w:rsidRDefault="00B17E8C">
            <w:pPr>
              <w:pStyle w:val="P68B1DB1-Normal60"/>
              <w:spacing w:after="0" w:line="276" w:lineRule="auto"/>
              <w:jc w:val="both"/>
              <w:rPr>
                <w:noProof/>
              </w:rPr>
            </w:pPr>
            <w:r>
              <w:rPr>
                <w:noProof/>
              </w:rPr>
              <w:t>Signature du contrat pour la construction d'une ligne de Bus Rapid Transit entre la Praça do Império et la Praça Albuquerque Mouzinho à Porto</w:t>
            </w:r>
          </w:p>
        </w:tc>
      </w:tr>
      <w:tr w:rsidR="006C686E" w14:paraId="055E8E27" w14:textId="77777777">
        <w:trPr>
          <w:trHeight w:val="440"/>
        </w:trPr>
        <w:tc>
          <w:tcPr>
            <w:tcW w:w="1200" w:type="dxa"/>
            <w:shd w:val="clear" w:color="auto" w:fill="C4EFCE"/>
            <w:vAlign w:val="center"/>
            <w:hideMark/>
          </w:tcPr>
          <w:p w14:paraId="08B53B6E" w14:textId="77777777" w:rsidR="006C686E" w:rsidRDefault="00B17E8C">
            <w:pPr>
              <w:pStyle w:val="P68B1DB1-Normal60"/>
              <w:spacing w:after="0" w:line="276" w:lineRule="auto"/>
              <w:jc w:val="center"/>
              <w:rPr>
                <w:noProof/>
              </w:rPr>
            </w:pPr>
            <w:r>
              <w:rPr>
                <w:noProof/>
              </w:rPr>
              <w:t>16.1</w:t>
            </w:r>
          </w:p>
        </w:tc>
        <w:tc>
          <w:tcPr>
            <w:tcW w:w="1760" w:type="dxa"/>
            <w:shd w:val="clear" w:color="auto" w:fill="C4EFCE"/>
            <w:vAlign w:val="center"/>
            <w:hideMark/>
          </w:tcPr>
          <w:p w14:paraId="2BB59080" w14:textId="77777777" w:rsidR="006C686E" w:rsidRDefault="00B17E8C">
            <w:pPr>
              <w:pStyle w:val="P68B1DB1-Normal60"/>
              <w:spacing w:after="0" w:line="276" w:lineRule="auto"/>
              <w:jc w:val="center"/>
              <w:rPr>
                <w:noProof/>
              </w:rPr>
            </w:pPr>
            <w:r>
              <w:rPr>
                <w:noProof/>
              </w:rPr>
              <w:t xml:space="preserve">TD-C16-r31 </w:t>
            </w:r>
          </w:p>
        </w:tc>
        <w:tc>
          <w:tcPr>
            <w:tcW w:w="1520" w:type="dxa"/>
            <w:shd w:val="clear" w:color="auto" w:fill="C4EFCE"/>
            <w:vAlign w:val="center"/>
            <w:hideMark/>
          </w:tcPr>
          <w:p w14:paraId="6F755869" w14:textId="001B3BEF"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3CDB327" w14:textId="77777777" w:rsidR="006C686E" w:rsidRDefault="00B17E8C">
            <w:pPr>
              <w:pStyle w:val="P68B1DB1-Normal60"/>
              <w:spacing w:after="0" w:line="276" w:lineRule="auto"/>
              <w:jc w:val="both"/>
              <w:rPr>
                <w:noProof/>
              </w:rPr>
            </w:pPr>
            <w:r>
              <w:rPr>
                <w:noProof/>
              </w:rPr>
              <w:t>Entrée en vigueur de la révision du contenu de la formation figurant dans le catalogue national des certifications en ce qui concerne les modules relatifs au domaine des compétences numériques et la législation ou la réglementation relative à la création de signatures et de cachets numériques</w:t>
            </w:r>
          </w:p>
        </w:tc>
      </w:tr>
      <w:tr w:rsidR="006C686E" w14:paraId="62C9355F" w14:textId="77777777">
        <w:trPr>
          <w:trHeight w:val="440"/>
        </w:trPr>
        <w:tc>
          <w:tcPr>
            <w:tcW w:w="1200" w:type="dxa"/>
            <w:shd w:val="clear" w:color="auto" w:fill="C4EFCE"/>
            <w:vAlign w:val="center"/>
            <w:hideMark/>
          </w:tcPr>
          <w:p w14:paraId="17801D60" w14:textId="77777777" w:rsidR="006C686E" w:rsidRDefault="00B17E8C">
            <w:pPr>
              <w:pStyle w:val="P68B1DB1-Normal60"/>
              <w:spacing w:after="0" w:line="276" w:lineRule="auto"/>
              <w:jc w:val="center"/>
              <w:rPr>
                <w:noProof/>
              </w:rPr>
            </w:pPr>
            <w:r>
              <w:rPr>
                <w:noProof/>
              </w:rPr>
              <w:t>16.2</w:t>
            </w:r>
          </w:p>
        </w:tc>
        <w:tc>
          <w:tcPr>
            <w:tcW w:w="1760" w:type="dxa"/>
            <w:shd w:val="clear" w:color="auto" w:fill="C4EFCE"/>
            <w:vAlign w:val="center"/>
            <w:hideMark/>
          </w:tcPr>
          <w:p w14:paraId="28F3AFFD" w14:textId="77777777" w:rsidR="006C686E" w:rsidRDefault="00B17E8C">
            <w:pPr>
              <w:pStyle w:val="P68B1DB1-Normal60"/>
              <w:spacing w:after="0" w:line="276" w:lineRule="auto"/>
              <w:jc w:val="center"/>
              <w:rPr>
                <w:noProof/>
              </w:rPr>
            </w:pPr>
            <w:r>
              <w:rPr>
                <w:noProof/>
              </w:rPr>
              <w:t xml:space="preserve">TD-C16-i01 </w:t>
            </w:r>
          </w:p>
        </w:tc>
        <w:tc>
          <w:tcPr>
            <w:tcW w:w="1520" w:type="dxa"/>
            <w:shd w:val="clear" w:color="auto" w:fill="C4EFCE"/>
            <w:vAlign w:val="center"/>
            <w:hideMark/>
          </w:tcPr>
          <w:p w14:paraId="27B334A9" w14:textId="72A00636"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0F7F044" w14:textId="77777777" w:rsidR="006C686E" w:rsidRDefault="00B17E8C">
            <w:pPr>
              <w:pStyle w:val="P68B1DB1-Normal60"/>
              <w:spacing w:after="0" w:line="276" w:lineRule="auto"/>
              <w:jc w:val="both"/>
              <w:rPr>
                <w:noProof/>
              </w:rPr>
            </w:pPr>
            <w:r>
              <w:rPr>
                <w:noProof/>
              </w:rPr>
              <w:t>Début de l'Académie numérique du Portugal et des programmes Emploi + Numérique</w:t>
            </w:r>
          </w:p>
        </w:tc>
      </w:tr>
      <w:tr w:rsidR="006C686E" w14:paraId="2A8F3325" w14:textId="77777777">
        <w:trPr>
          <w:trHeight w:val="440"/>
        </w:trPr>
        <w:tc>
          <w:tcPr>
            <w:tcW w:w="1200" w:type="dxa"/>
            <w:shd w:val="clear" w:color="auto" w:fill="C4EFCE"/>
            <w:vAlign w:val="center"/>
            <w:hideMark/>
          </w:tcPr>
          <w:p w14:paraId="5C116117" w14:textId="77777777" w:rsidR="006C686E" w:rsidRDefault="00B17E8C">
            <w:pPr>
              <w:pStyle w:val="P68B1DB1-Normal60"/>
              <w:spacing w:after="0" w:line="276" w:lineRule="auto"/>
              <w:jc w:val="center"/>
              <w:rPr>
                <w:noProof/>
              </w:rPr>
            </w:pPr>
            <w:r>
              <w:rPr>
                <w:noProof/>
              </w:rPr>
              <w:t>17.15</w:t>
            </w:r>
          </w:p>
        </w:tc>
        <w:tc>
          <w:tcPr>
            <w:tcW w:w="1760" w:type="dxa"/>
            <w:shd w:val="clear" w:color="auto" w:fill="C4EFCE"/>
            <w:vAlign w:val="center"/>
            <w:hideMark/>
          </w:tcPr>
          <w:p w14:paraId="21C6988F" w14:textId="77777777" w:rsidR="006C686E" w:rsidRDefault="00B17E8C">
            <w:pPr>
              <w:pStyle w:val="P68B1DB1-Normal60"/>
              <w:spacing w:after="0" w:line="276" w:lineRule="auto"/>
              <w:jc w:val="center"/>
              <w:rPr>
                <w:noProof/>
              </w:rPr>
            </w:pPr>
            <w:r>
              <w:rPr>
                <w:noProof/>
              </w:rPr>
              <w:t xml:space="preserve">TD-C17-i02 </w:t>
            </w:r>
          </w:p>
        </w:tc>
        <w:tc>
          <w:tcPr>
            <w:tcW w:w="1520" w:type="dxa"/>
            <w:shd w:val="clear" w:color="auto" w:fill="C4EFCE"/>
            <w:vAlign w:val="center"/>
            <w:hideMark/>
          </w:tcPr>
          <w:p w14:paraId="5AD75A53" w14:textId="54C3B26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2B0FAB8" w14:textId="77777777" w:rsidR="006C686E" w:rsidRDefault="00B17E8C">
            <w:pPr>
              <w:pStyle w:val="P68B1DB1-Normal60"/>
              <w:spacing w:after="0" w:line="276" w:lineRule="auto"/>
              <w:jc w:val="both"/>
              <w:rPr>
                <w:noProof/>
              </w:rPr>
            </w:pPr>
            <w:r>
              <w:rPr>
                <w:noProof/>
              </w:rPr>
              <w:t>Achever la mise en œuvre du préremplissage de la déclaration modèle 1 de la taxe municipale sur les biens immobiliers (IMI), sur la base des données dont dispose l’administration fiscale et douanière</w:t>
            </w:r>
          </w:p>
        </w:tc>
      </w:tr>
      <w:tr w:rsidR="006C686E" w14:paraId="726F417F" w14:textId="77777777">
        <w:trPr>
          <w:trHeight w:val="440"/>
        </w:trPr>
        <w:tc>
          <w:tcPr>
            <w:tcW w:w="1200" w:type="dxa"/>
            <w:shd w:val="clear" w:color="auto" w:fill="C4EFCE"/>
            <w:vAlign w:val="center"/>
            <w:hideMark/>
          </w:tcPr>
          <w:p w14:paraId="52A9E529" w14:textId="77777777" w:rsidR="006C686E" w:rsidRDefault="00B17E8C">
            <w:pPr>
              <w:pStyle w:val="P68B1DB1-Normal60"/>
              <w:spacing w:after="0" w:line="276" w:lineRule="auto"/>
              <w:jc w:val="center"/>
              <w:rPr>
                <w:noProof/>
              </w:rPr>
            </w:pPr>
            <w:r>
              <w:rPr>
                <w:noProof/>
              </w:rPr>
              <w:t>19.11</w:t>
            </w:r>
          </w:p>
        </w:tc>
        <w:tc>
          <w:tcPr>
            <w:tcW w:w="1760" w:type="dxa"/>
            <w:shd w:val="clear" w:color="auto" w:fill="C4EFCE"/>
            <w:vAlign w:val="center"/>
            <w:hideMark/>
          </w:tcPr>
          <w:p w14:paraId="5AC9441D" w14:textId="77777777" w:rsidR="006C686E" w:rsidRDefault="00B17E8C">
            <w:pPr>
              <w:pStyle w:val="P68B1DB1-Normal60"/>
              <w:spacing w:after="0" w:line="276" w:lineRule="auto"/>
              <w:jc w:val="center"/>
              <w:rPr>
                <w:noProof/>
              </w:rPr>
            </w:pPr>
            <w:r>
              <w:rPr>
                <w:noProof/>
              </w:rPr>
              <w:t xml:space="preserve">TD-C19-i04 </w:t>
            </w:r>
          </w:p>
        </w:tc>
        <w:tc>
          <w:tcPr>
            <w:tcW w:w="1520" w:type="dxa"/>
            <w:shd w:val="clear" w:color="auto" w:fill="C4EFCE"/>
            <w:vAlign w:val="center"/>
            <w:hideMark/>
          </w:tcPr>
          <w:p w14:paraId="7646EDCA" w14:textId="54D043BE"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1A1D55BF" w14:textId="77777777" w:rsidR="006C686E" w:rsidRDefault="00B17E8C">
            <w:pPr>
              <w:pStyle w:val="P68B1DB1-Normal60"/>
              <w:spacing w:after="0" w:line="276" w:lineRule="auto"/>
              <w:jc w:val="both"/>
              <w:rPr>
                <w:noProof/>
              </w:rPr>
            </w:pPr>
            <w:r>
              <w:rPr>
                <w:noProof/>
              </w:rPr>
              <w:t>Système de communications mobiles sécurisé pour les employés du gouvernement</w:t>
            </w:r>
          </w:p>
        </w:tc>
      </w:tr>
      <w:tr w:rsidR="006C686E" w14:paraId="4E4ED593" w14:textId="77777777">
        <w:trPr>
          <w:trHeight w:val="440"/>
        </w:trPr>
        <w:tc>
          <w:tcPr>
            <w:tcW w:w="1200" w:type="dxa"/>
            <w:shd w:val="clear" w:color="auto" w:fill="C4EFCE"/>
            <w:vAlign w:val="center"/>
            <w:hideMark/>
          </w:tcPr>
          <w:p w14:paraId="31309F6C"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3160B67F"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6645EBD1"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2374AE48" w14:textId="36E0F227" w:rsidR="006C686E" w:rsidRDefault="00B17E8C">
            <w:pPr>
              <w:pStyle w:val="P68B1DB1-Normal61"/>
              <w:spacing w:after="0" w:line="240" w:lineRule="auto"/>
              <w:jc w:val="center"/>
              <w:rPr>
                <w:iCs/>
                <w:noProof/>
                <w:sz w:val="20"/>
                <w:szCs w:val="20"/>
              </w:rPr>
            </w:pPr>
            <w:r>
              <w:rPr>
                <w:noProof/>
              </w:rPr>
              <w:t>1 967 365 517 EUR</w:t>
            </w:r>
          </w:p>
        </w:tc>
      </w:tr>
    </w:tbl>
    <w:p w14:paraId="3EB5918A" w14:textId="77777777" w:rsidR="006C686E" w:rsidRDefault="00B17E8C">
      <w:pPr>
        <w:pStyle w:val="P68B1DB1-Normal4"/>
        <w:keepNext/>
        <w:numPr>
          <w:ilvl w:val="1"/>
          <w:numId w:val="71"/>
        </w:numPr>
        <w:spacing w:before="40" w:after="200" w:line="276" w:lineRule="auto"/>
        <w:contextualSpacing/>
        <w:jc w:val="both"/>
        <w:rPr>
          <w:rFonts w:eastAsia="Times New Roman"/>
          <w:noProof/>
        </w:rPr>
      </w:pPr>
      <w:r>
        <w:rPr>
          <w:noProof/>
        </w:rPr>
        <w:t xml:space="preserve">Troisième tranche (soutien non remboursable): </w:t>
      </w:r>
    </w:p>
    <w:p w14:paraId="569D399E"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42D4CF8A" w14:textId="77777777">
        <w:trPr>
          <w:trHeight w:val="1018"/>
          <w:tblHeader/>
        </w:trPr>
        <w:tc>
          <w:tcPr>
            <w:tcW w:w="1200" w:type="dxa"/>
            <w:shd w:val="clear" w:color="auto" w:fill="BDD7EE"/>
            <w:vAlign w:val="center"/>
            <w:hideMark/>
          </w:tcPr>
          <w:p w14:paraId="68B83E1C"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60" w:type="dxa"/>
            <w:shd w:val="clear" w:color="auto" w:fill="BDD7EE"/>
            <w:vAlign w:val="center"/>
            <w:hideMark/>
          </w:tcPr>
          <w:p w14:paraId="7F339E98"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hideMark/>
          </w:tcPr>
          <w:p w14:paraId="7A583908" w14:textId="77777777" w:rsidR="006C686E" w:rsidRDefault="00B17E8C">
            <w:pPr>
              <w:pStyle w:val="P68B1DB1-Normal59"/>
              <w:spacing w:after="0" w:line="240" w:lineRule="auto"/>
              <w:jc w:val="center"/>
              <w:rPr>
                <w:rFonts w:eastAsia="Times New Roman"/>
                <w:bCs/>
                <w:noProof/>
              </w:rPr>
            </w:pPr>
            <w:r>
              <w:rPr>
                <w:noProof/>
              </w:rPr>
              <w:t>Étape/cible</w:t>
            </w:r>
          </w:p>
        </w:tc>
        <w:tc>
          <w:tcPr>
            <w:tcW w:w="5060" w:type="dxa"/>
            <w:shd w:val="clear" w:color="auto" w:fill="BDD7EE"/>
            <w:vAlign w:val="center"/>
            <w:hideMark/>
          </w:tcPr>
          <w:p w14:paraId="2590E603" w14:textId="77777777" w:rsidR="006C686E" w:rsidRDefault="00B17E8C">
            <w:pPr>
              <w:pStyle w:val="P68B1DB1-Normal59"/>
              <w:spacing w:after="0" w:line="240" w:lineRule="auto"/>
              <w:jc w:val="center"/>
              <w:rPr>
                <w:rFonts w:eastAsia="Times New Roman"/>
                <w:bCs/>
                <w:noProof/>
              </w:rPr>
            </w:pPr>
            <w:r>
              <w:rPr>
                <w:noProof/>
              </w:rPr>
              <w:t>Nom</w:t>
            </w:r>
          </w:p>
        </w:tc>
      </w:tr>
      <w:tr w:rsidR="006C686E" w14:paraId="3A86FB53" w14:textId="77777777">
        <w:trPr>
          <w:trHeight w:val="440"/>
        </w:trPr>
        <w:tc>
          <w:tcPr>
            <w:tcW w:w="1200" w:type="dxa"/>
            <w:shd w:val="clear" w:color="auto" w:fill="C4EFCE"/>
            <w:vAlign w:val="center"/>
            <w:hideMark/>
          </w:tcPr>
          <w:p w14:paraId="792AC1CA" w14:textId="77777777" w:rsidR="006C686E" w:rsidRDefault="00B17E8C">
            <w:pPr>
              <w:pStyle w:val="P68B1DB1-Normal60"/>
              <w:spacing w:after="0" w:line="276" w:lineRule="auto"/>
              <w:jc w:val="center"/>
              <w:rPr>
                <w:noProof/>
              </w:rPr>
            </w:pPr>
            <w:r>
              <w:rPr>
                <w:noProof/>
              </w:rPr>
              <w:t>1.3</w:t>
            </w:r>
          </w:p>
        </w:tc>
        <w:tc>
          <w:tcPr>
            <w:tcW w:w="1760" w:type="dxa"/>
            <w:shd w:val="clear" w:color="auto" w:fill="C4EFCE"/>
            <w:vAlign w:val="center"/>
            <w:hideMark/>
          </w:tcPr>
          <w:p w14:paraId="7859485B" w14:textId="77777777" w:rsidR="006C686E" w:rsidRDefault="00B17E8C">
            <w:pPr>
              <w:pStyle w:val="P68B1DB1-Normal60"/>
              <w:spacing w:after="0" w:line="276" w:lineRule="auto"/>
              <w:jc w:val="center"/>
              <w:rPr>
                <w:noProof/>
              </w:rPr>
            </w:pPr>
            <w:r>
              <w:rPr>
                <w:noProof/>
              </w:rPr>
              <w:t xml:space="preserve">RE-C01-r01 </w:t>
            </w:r>
          </w:p>
        </w:tc>
        <w:tc>
          <w:tcPr>
            <w:tcW w:w="1520" w:type="dxa"/>
            <w:shd w:val="clear" w:color="auto" w:fill="C4EFCE"/>
            <w:vAlign w:val="center"/>
            <w:hideMark/>
          </w:tcPr>
          <w:p w14:paraId="1439D382"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0973CCDD" w14:textId="77777777" w:rsidR="006C686E" w:rsidRDefault="00B17E8C">
            <w:pPr>
              <w:pStyle w:val="P68B1DB1-Normal60"/>
              <w:spacing w:after="0" w:line="276" w:lineRule="auto"/>
              <w:jc w:val="both"/>
              <w:rPr>
                <w:noProof/>
              </w:rPr>
            </w:pPr>
            <w:r>
              <w:rPr>
                <w:noProof/>
              </w:rPr>
              <w:t>Achèvement du processus de décentralisation des responsabilités dans le domaine de la santé dans les municipalités</w:t>
            </w:r>
          </w:p>
        </w:tc>
      </w:tr>
      <w:tr w:rsidR="006C686E" w14:paraId="70B89498" w14:textId="77777777">
        <w:trPr>
          <w:trHeight w:val="440"/>
        </w:trPr>
        <w:tc>
          <w:tcPr>
            <w:tcW w:w="1200" w:type="dxa"/>
            <w:shd w:val="clear" w:color="auto" w:fill="C4EFCE"/>
            <w:vAlign w:val="center"/>
            <w:hideMark/>
          </w:tcPr>
          <w:p w14:paraId="67646C1A" w14:textId="77777777" w:rsidR="006C686E" w:rsidRDefault="00B17E8C">
            <w:pPr>
              <w:pStyle w:val="P68B1DB1-Normal60"/>
              <w:spacing w:after="0" w:line="276" w:lineRule="auto"/>
              <w:jc w:val="center"/>
              <w:rPr>
                <w:noProof/>
              </w:rPr>
            </w:pPr>
            <w:r>
              <w:rPr>
                <w:noProof/>
              </w:rPr>
              <w:t>1.8</w:t>
            </w:r>
          </w:p>
        </w:tc>
        <w:tc>
          <w:tcPr>
            <w:tcW w:w="1760" w:type="dxa"/>
            <w:shd w:val="clear" w:color="auto" w:fill="C4EFCE"/>
            <w:vAlign w:val="center"/>
            <w:hideMark/>
          </w:tcPr>
          <w:p w14:paraId="12941031" w14:textId="77777777" w:rsidR="006C686E" w:rsidRDefault="00B17E8C">
            <w:pPr>
              <w:pStyle w:val="P68B1DB1-Normal60"/>
              <w:spacing w:after="0" w:line="276" w:lineRule="auto"/>
              <w:jc w:val="center"/>
              <w:rPr>
                <w:noProof/>
              </w:rPr>
            </w:pPr>
            <w:r>
              <w:rPr>
                <w:noProof/>
              </w:rPr>
              <w:t xml:space="preserve">RE-C01-r03 </w:t>
            </w:r>
          </w:p>
        </w:tc>
        <w:tc>
          <w:tcPr>
            <w:tcW w:w="1520" w:type="dxa"/>
            <w:shd w:val="clear" w:color="auto" w:fill="C4EFCE"/>
            <w:vAlign w:val="center"/>
            <w:hideMark/>
          </w:tcPr>
          <w:p w14:paraId="553DED1C"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43BE25AF" w14:textId="77777777" w:rsidR="006C686E" w:rsidRDefault="00B17E8C">
            <w:pPr>
              <w:pStyle w:val="P68B1DB1-Normal60"/>
              <w:spacing w:after="0" w:line="276" w:lineRule="auto"/>
              <w:jc w:val="both"/>
              <w:rPr>
                <w:noProof/>
              </w:rPr>
            </w:pPr>
            <w:r>
              <w:rPr>
                <w:noProof/>
              </w:rPr>
              <w:t>Création de nouveaux centres de responsabilité intégrée dans les hôpitaux du Service national de santé</w:t>
            </w:r>
          </w:p>
        </w:tc>
      </w:tr>
      <w:tr w:rsidR="006C686E" w14:paraId="2EA2C119" w14:textId="77777777">
        <w:trPr>
          <w:trHeight w:val="440"/>
        </w:trPr>
        <w:tc>
          <w:tcPr>
            <w:tcW w:w="1200" w:type="dxa"/>
            <w:shd w:val="clear" w:color="auto" w:fill="C4EFCE"/>
            <w:vAlign w:val="center"/>
            <w:hideMark/>
          </w:tcPr>
          <w:p w14:paraId="74298C3E" w14:textId="77777777" w:rsidR="006C686E" w:rsidRDefault="00B17E8C">
            <w:pPr>
              <w:pStyle w:val="P68B1DB1-Normal60"/>
              <w:spacing w:after="0" w:line="276" w:lineRule="auto"/>
              <w:jc w:val="center"/>
              <w:rPr>
                <w:noProof/>
              </w:rPr>
            </w:pPr>
            <w:r>
              <w:rPr>
                <w:noProof/>
              </w:rPr>
              <w:t>1.24</w:t>
            </w:r>
          </w:p>
        </w:tc>
        <w:tc>
          <w:tcPr>
            <w:tcW w:w="1760" w:type="dxa"/>
            <w:shd w:val="clear" w:color="auto" w:fill="C4EFCE"/>
            <w:vAlign w:val="center"/>
            <w:hideMark/>
          </w:tcPr>
          <w:p w14:paraId="78F61EA1" w14:textId="77777777" w:rsidR="006C686E" w:rsidRDefault="00B17E8C">
            <w:pPr>
              <w:pStyle w:val="P68B1DB1-Normal60"/>
              <w:spacing w:after="0" w:line="276" w:lineRule="auto"/>
              <w:jc w:val="center"/>
              <w:rPr>
                <w:noProof/>
              </w:rPr>
            </w:pPr>
            <w:r>
              <w:rPr>
                <w:noProof/>
              </w:rPr>
              <w:t xml:space="preserve">RE-C01-i03 </w:t>
            </w:r>
          </w:p>
        </w:tc>
        <w:tc>
          <w:tcPr>
            <w:tcW w:w="1520" w:type="dxa"/>
            <w:shd w:val="clear" w:color="auto" w:fill="C4EFCE"/>
            <w:vAlign w:val="center"/>
            <w:hideMark/>
          </w:tcPr>
          <w:p w14:paraId="15020D4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AC47AAC" w14:textId="77777777" w:rsidR="006C686E" w:rsidRDefault="00B17E8C">
            <w:pPr>
              <w:pStyle w:val="P68B1DB1-Normal60"/>
              <w:spacing w:after="0" w:line="276" w:lineRule="auto"/>
              <w:jc w:val="both"/>
              <w:rPr>
                <w:noProof/>
              </w:rPr>
            </w:pPr>
            <w:r>
              <w:rPr>
                <w:noProof/>
              </w:rPr>
              <w:t>Développement d’actions de sensibilisation et de formation pour «construire les parcours des patients» dans le contexte des démences</w:t>
            </w:r>
          </w:p>
        </w:tc>
      </w:tr>
      <w:tr w:rsidR="006C686E" w14:paraId="2D238A50" w14:textId="77777777">
        <w:trPr>
          <w:trHeight w:val="440"/>
        </w:trPr>
        <w:tc>
          <w:tcPr>
            <w:tcW w:w="1200" w:type="dxa"/>
            <w:shd w:val="clear" w:color="auto" w:fill="C4EFCE"/>
            <w:vAlign w:val="center"/>
            <w:hideMark/>
          </w:tcPr>
          <w:p w14:paraId="34D6A0CB" w14:textId="77777777" w:rsidR="006C686E" w:rsidRDefault="00B17E8C">
            <w:pPr>
              <w:pStyle w:val="P68B1DB1-Normal60"/>
              <w:spacing w:after="0" w:line="276" w:lineRule="auto"/>
              <w:jc w:val="center"/>
              <w:rPr>
                <w:noProof/>
              </w:rPr>
            </w:pPr>
            <w:r>
              <w:rPr>
                <w:noProof/>
              </w:rPr>
              <w:t>1.32</w:t>
            </w:r>
          </w:p>
        </w:tc>
        <w:tc>
          <w:tcPr>
            <w:tcW w:w="1760" w:type="dxa"/>
            <w:shd w:val="clear" w:color="auto" w:fill="C4EFCE"/>
            <w:vAlign w:val="center"/>
            <w:hideMark/>
          </w:tcPr>
          <w:p w14:paraId="28E354E1" w14:textId="77777777" w:rsidR="006C686E" w:rsidRDefault="00B17E8C">
            <w:pPr>
              <w:pStyle w:val="P68B1DB1-Normal60"/>
              <w:spacing w:after="0" w:line="276" w:lineRule="auto"/>
              <w:jc w:val="center"/>
              <w:rPr>
                <w:noProof/>
              </w:rPr>
            </w:pPr>
            <w:r>
              <w:rPr>
                <w:noProof/>
              </w:rPr>
              <w:t xml:space="preserve">RE-C01-i06 </w:t>
            </w:r>
          </w:p>
        </w:tc>
        <w:tc>
          <w:tcPr>
            <w:tcW w:w="1520" w:type="dxa"/>
            <w:shd w:val="clear" w:color="auto" w:fill="C4EFCE"/>
            <w:vAlign w:val="center"/>
            <w:hideMark/>
          </w:tcPr>
          <w:p w14:paraId="343BFA01"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7BF2D007" w14:textId="77777777" w:rsidR="006C686E" w:rsidRDefault="00B17E8C">
            <w:pPr>
              <w:pStyle w:val="P68B1DB1-Normal60"/>
              <w:spacing w:after="0" w:line="276" w:lineRule="auto"/>
              <w:jc w:val="both"/>
              <w:rPr>
                <w:noProof/>
              </w:rPr>
            </w:pPr>
            <w:r>
              <w:rPr>
                <w:noProof/>
              </w:rPr>
              <w:t>Mise à niveau des réseaux informatiques locaux</w:t>
            </w:r>
          </w:p>
        </w:tc>
      </w:tr>
      <w:tr w:rsidR="006C686E" w14:paraId="4B9EE25D" w14:textId="77777777">
        <w:trPr>
          <w:trHeight w:val="440"/>
        </w:trPr>
        <w:tc>
          <w:tcPr>
            <w:tcW w:w="1200" w:type="dxa"/>
            <w:shd w:val="clear" w:color="auto" w:fill="C4EFCE"/>
            <w:vAlign w:val="center"/>
            <w:hideMark/>
          </w:tcPr>
          <w:p w14:paraId="477DFCF3" w14:textId="77777777" w:rsidR="006C686E" w:rsidRDefault="00B17E8C">
            <w:pPr>
              <w:pStyle w:val="P68B1DB1-Normal60"/>
              <w:spacing w:after="0" w:line="276" w:lineRule="auto"/>
              <w:jc w:val="center"/>
              <w:rPr>
                <w:noProof/>
              </w:rPr>
            </w:pPr>
            <w:r>
              <w:rPr>
                <w:noProof/>
              </w:rPr>
              <w:t>1.33</w:t>
            </w:r>
          </w:p>
        </w:tc>
        <w:tc>
          <w:tcPr>
            <w:tcW w:w="1760" w:type="dxa"/>
            <w:shd w:val="clear" w:color="auto" w:fill="C4EFCE"/>
            <w:vAlign w:val="center"/>
            <w:hideMark/>
          </w:tcPr>
          <w:p w14:paraId="475DC09B" w14:textId="77777777" w:rsidR="006C686E" w:rsidRDefault="00B17E8C">
            <w:pPr>
              <w:pStyle w:val="P68B1DB1-Normal60"/>
              <w:spacing w:after="0" w:line="276" w:lineRule="auto"/>
              <w:jc w:val="center"/>
              <w:rPr>
                <w:noProof/>
              </w:rPr>
            </w:pPr>
            <w:r>
              <w:rPr>
                <w:noProof/>
              </w:rPr>
              <w:t xml:space="preserve">RE-C01-i06 </w:t>
            </w:r>
          </w:p>
        </w:tc>
        <w:tc>
          <w:tcPr>
            <w:tcW w:w="1520" w:type="dxa"/>
            <w:shd w:val="clear" w:color="auto" w:fill="C4EFCE"/>
            <w:vAlign w:val="center"/>
            <w:hideMark/>
          </w:tcPr>
          <w:p w14:paraId="72B2DB57"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52957B0F" w14:textId="77777777" w:rsidR="006C686E" w:rsidRDefault="00B17E8C">
            <w:pPr>
              <w:pStyle w:val="P68B1DB1-Normal60"/>
              <w:spacing w:after="0" w:line="276" w:lineRule="auto"/>
              <w:jc w:val="both"/>
              <w:rPr>
                <w:noProof/>
              </w:rPr>
            </w:pPr>
            <w:r>
              <w:rPr>
                <w:noProof/>
              </w:rPr>
              <w:t>Mise en œuvre des fonctionnalités de télésanté et de télésurveillance</w:t>
            </w:r>
          </w:p>
        </w:tc>
      </w:tr>
      <w:tr w:rsidR="006C686E" w14:paraId="51C0ACF4" w14:textId="77777777">
        <w:trPr>
          <w:trHeight w:val="440"/>
        </w:trPr>
        <w:tc>
          <w:tcPr>
            <w:tcW w:w="1200" w:type="dxa"/>
            <w:shd w:val="clear" w:color="auto" w:fill="C4EFCE"/>
            <w:vAlign w:val="center"/>
            <w:hideMark/>
          </w:tcPr>
          <w:p w14:paraId="295EE38D" w14:textId="77777777" w:rsidR="006C686E" w:rsidRDefault="00B17E8C">
            <w:pPr>
              <w:pStyle w:val="P68B1DB1-Normal60"/>
              <w:spacing w:after="0" w:line="276" w:lineRule="auto"/>
              <w:jc w:val="center"/>
              <w:rPr>
                <w:noProof/>
              </w:rPr>
            </w:pPr>
            <w:r>
              <w:rPr>
                <w:noProof/>
              </w:rPr>
              <w:t>2.1</w:t>
            </w:r>
          </w:p>
        </w:tc>
        <w:tc>
          <w:tcPr>
            <w:tcW w:w="1760" w:type="dxa"/>
            <w:shd w:val="clear" w:color="auto" w:fill="C4EFCE"/>
            <w:vAlign w:val="center"/>
            <w:hideMark/>
          </w:tcPr>
          <w:p w14:paraId="384C62ED" w14:textId="77777777" w:rsidR="006C686E" w:rsidRDefault="00B17E8C">
            <w:pPr>
              <w:pStyle w:val="P68B1DB1-Normal60"/>
              <w:spacing w:after="0" w:line="276" w:lineRule="auto"/>
              <w:jc w:val="center"/>
              <w:rPr>
                <w:noProof/>
              </w:rPr>
            </w:pPr>
            <w:r>
              <w:rPr>
                <w:noProof/>
              </w:rPr>
              <w:t xml:space="preserve">RE-C02-i01 </w:t>
            </w:r>
          </w:p>
        </w:tc>
        <w:tc>
          <w:tcPr>
            <w:tcW w:w="1520" w:type="dxa"/>
            <w:shd w:val="clear" w:color="auto" w:fill="C4EFCE"/>
            <w:vAlign w:val="center"/>
            <w:hideMark/>
          </w:tcPr>
          <w:p w14:paraId="657BFB9B"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60705D85" w14:textId="77777777" w:rsidR="006C686E" w:rsidRDefault="00B17E8C">
            <w:pPr>
              <w:pStyle w:val="P68B1DB1-Normal60"/>
              <w:spacing w:after="0" w:line="276" w:lineRule="auto"/>
              <w:jc w:val="both"/>
              <w:rPr>
                <w:noProof/>
              </w:rPr>
            </w:pPr>
            <w:r>
              <w:rPr>
                <w:noProof/>
              </w:rPr>
              <w:t>Programme d'appui à l'accès au logement - Accords de collaboration ou de financement signés</w:t>
            </w:r>
          </w:p>
        </w:tc>
      </w:tr>
      <w:tr w:rsidR="006C686E" w14:paraId="349EAD54" w14:textId="77777777">
        <w:trPr>
          <w:trHeight w:val="440"/>
        </w:trPr>
        <w:tc>
          <w:tcPr>
            <w:tcW w:w="1200" w:type="dxa"/>
            <w:shd w:val="clear" w:color="auto" w:fill="C4EFCE"/>
            <w:vAlign w:val="center"/>
            <w:hideMark/>
          </w:tcPr>
          <w:p w14:paraId="67B7ED39" w14:textId="77777777" w:rsidR="006C686E" w:rsidRDefault="00B17E8C">
            <w:pPr>
              <w:pStyle w:val="P68B1DB1-Normal60"/>
              <w:spacing w:after="0" w:line="276" w:lineRule="auto"/>
              <w:jc w:val="center"/>
              <w:rPr>
                <w:noProof/>
              </w:rPr>
            </w:pPr>
            <w:r>
              <w:rPr>
                <w:noProof/>
              </w:rPr>
              <w:t>2.4</w:t>
            </w:r>
          </w:p>
        </w:tc>
        <w:tc>
          <w:tcPr>
            <w:tcW w:w="1760" w:type="dxa"/>
            <w:shd w:val="clear" w:color="auto" w:fill="C4EFCE"/>
            <w:vAlign w:val="center"/>
            <w:hideMark/>
          </w:tcPr>
          <w:p w14:paraId="161482B8" w14:textId="77777777" w:rsidR="006C686E" w:rsidRDefault="00B17E8C">
            <w:pPr>
              <w:pStyle w:val="P68B1DB1-Normal60"/>
              <w:spacing w:after="0" w:line="276" w:lineRule="auto"/>
              <w:jc w:val="center"/>
              <w:rPr>
                <w:noProof/>
              </w:rPr>
            </w:pPr>
            <w:r>
              <w:rPr>
                <w:noProof/>
              </w:rPr>
              <w:t xml:space="preserve">RE-C02-i02 </w:t>
            </w:r>
          </w:p>
        </w:tc>
        <w:tc>
          <w:tcPr>
            <w:tcW w:w="1520" w:type="dxa"/>
            <w:shd w:val="clear" w:color="auto" w:fill="C4EFCE"/>
            <w:vAlign w:val="center"/>
            <w:hideMark/>
          </w:tcPr>
          <w:p w14:paraId="2BE78C9C"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6D0A0640" w14:textId="77777777" w:rsidR="006C686E" w:rsidRDefault="00B17E8C">
            <w:pPr>
              <w:pStyle w:val="P68B1DB1-Normal60"/>
              <w:spacing w:after="0" w:line="276" w:lineRule="auto"/>
              <w:jc w:val="both"/>
              <w:rPr>
                <w:noProof/>
              </w:rPr>
            </w:pPr>
            <w:r>
              <w:rPr>
                <w:noProof/>
              </w:rPr>
              <w:t>Subvention nationale d’hébergement d’urgence et temporaire – Signature de conventions de financement pour les hébergements d’urgence et de transition</w:t>
            </w:r>
          </w:p>
        </w:tc>
      </w:tr>
      <w:tr w:rsidR="006C686E" w14:paraId="4C32A0E4" w14:textId="77777777">
        <w:trPr>
          <w:trHeight w:val="440"/>
        </w:trPr>
        <w:tc>
          <w:tcPr>
            <w:tcW w:w="1200" w:type="dxa"/>
            <w:shd w:val="clear" w:color="auto" w:fill="C4EFCE"/>
            <w:vAlign w:val="center"/>
            <w:hideMark/>
          </w:tcPr>
          <w:p w14:paraId="466C2E88" w14:textId="77777777" w:rsidR="006C686E" w:rsidRDefault="00B17E8C">
            <w:pPr>
              <w:pStyle w:val="P68B1DB1-Normal60"/>
              <w:spacing w:after="0" w:line="276" w:lineRule="auto"/>
              <w:jc w:val="center"/>
              <w:rPr>
                <w:noProof/>
              </w:rPr>
            </w:pPr>
            <w:r>
              <w:rPr>
                <w:noProof/>
              </w:rPr>
              <w:t>3.11</w:t>
            </w:r>
          </w:p>
        </w:tc>
        <w:tc>
          <w:tcPr>
            <w:tcW w:w="1760" w:type="dxa"/>
            <w:shd w:val="clear" w:color="auto" w:fill="C4EFCE"/>
            <w:vAlign w:val="center"/>
            <w:hideMark/>
          </w:tcPr>
          <w:p w14:paraId="3F41E808" w14:textId="77777777" w:rsidR="006C686E" w:rsidRDefault="00B17E8C">
            <w:pPr>
              <w:pStyle w:val="P68B1DB1-Normal60"/>
              <w:spacing w:after="0" w:line="276" w:lineRule="auto"/>
              <w:jc w:val="center"/>
              <w:rPr>
                <w:noProof/>
              </w:rPr>
            </w:pPr>
            <w:r>
              <w:rPr>
                <w:noProof/>
              </w:rPr>
              <w:t xml:space="preserve">RE-C03-i03-RAM </w:t>
            </w:r>
          </w:p>
        </w:tc>
        <w:tc>
          <w:tcPr>
            <w:tcW w:w="1520" w:type="dxa"/>
            <w:shd w:val="clear" w:color="auto" w:fill="C4EFCE"/>
            <w:vAlign w:val="center"/>
            <w:hideMark/>
          </w:tcPr>
          <w:p w14:paraId="5E6F3F77"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6CE299C9" w14:textId="632CAF0F" w:rsidR="006C686E" w:rsidRDefault="00B17E8C">
            <w:pPr>
              <w:pStyle w:val="P68B1DB1-Normal60"/>
              <w:spacing w:after="0" w:line="276" w:lineRule="auto"/>
              <w:jc w:val="both"/>
              <w:rPr>
                <w:noProof/>
              </w:rPr>
            </w:pPr>
            <w:r>
              <w:rPr>
                <w:noProof/>
              </w:rPr>
              <w:t>Plans de vie pour l'intégration des sans-abri</w:t>
            </w:r>
          </w:p>
        </w:tc>
      </w:tr>
      <w:tr w:rsidR="006C686E" w14:paraId="2BF61348" w14:textId="77777777">
        <w:trPr>
          <w:trHeight w:val="440"/>
        </w:trPr>
        <w:tc>
          <w:tcPr>
            <w:tcW w:w="1200" w:type="dxa"/>
            <w:shd w:val="clear" w:color="auto" w:fill="C4EFCE"/>
            <w:vAlign w:val="center"/>
            <w:hideMark/>
          </w:tcPr>
          <w:p w14:paraId="4D5321D2" w14:textId="77777777" w:rsidR="006C686E" w:rsidRDefault="00B17E8C">
            <w:pPr>
              <w:pStyle w:val="P68B1DB1-Normal60"/>
              <w:spacing w:after="0" w:line="276" w:lineRule="auto"/>
              <w:jc w:val="center"/>
              <w:rPr>
                <w:noProof/>
              </w:rPr>
            </w:pPr>
            <w:r>
              <w:rPr>
                <w:noProof/>
              </w:rPr>
              <w:t>4.6</w:t>
            </w:r>
          </w:p>
        </w:tc>
        <w:tc>
          <w:tcPr>
            <w:tcW w:w="1760" w:type="dxa"/>
            <w:shd w:val="clear" w:color="auto" w:fill="C4EFCE"/>
            <w:vAlign w:val="center"/>
            <w:hideMark/>
          </w:tcPr>
          <w:p w14:paraId="09454AB6" w14:textId="77777777" w:rsidR="006C686E" w:rsidRDefault="00B17E8C">
            <w:pPr>
              <w:pStyle w:val="P68B1DB1-Normal60"/>
              <w:spacing w:after="0" w:line="276" w:lineRule="auto"/>
              <w:jc w:val="center"/>
              <w:rPr>
                <w:noProof/>
              </w:rPr>
            </w:pPr>
            <w:r>
              <w:rPr>
                <w:noProof/>
              </w:rPr>
              <w:t xml:space="preserve">RE-C04-i02 </w:t>
            </w:r>
          </w:p>
        </w:tc>
        <w:tc>
          <w:tcPr>
            <w:tcW w:w="1520" w:type="dxa"/>
            <w:shd w:val="clear" w:color="auto" w:fill="C4EFCE"/>
            <w:vAlign w:val="center"/>
            <w:hideMark/>
          </w:tcPr>
          <w:p w14:paraId="424FDE4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D0FA33D" w14:textId="77777777" w:rsidR="006C686E" w:rsidRDefault="00B17E8C">
            <w:pPr>
              <w:pStyle w:val="P68B1DB1-Normal60"/>
              <w:spacing w:after="0" w:line="276" w:lineRule="auto"/>
              <w:jc w:val="both"/>
              <w:rPr>
                <w:noProof/>
              </w:rPr>
            </w:pPr>
            <w:r>
              <w:rPr>
                <w:noProof/>
              </w:rPr>
              <w:t>Mise en place du réseau "Saber Fazer"</w:t>
            </w:r>
          </w:p>
        </w:tc>
      </w:tr>
      <w:tr w:rsidR="006C686E" w14:paraId="21756A2F" w14:textId="77777777">
        <w:trPr>
          <w:trHeight w:val="440"/>
        </w:trPr>
        <w:tc>
          <w:tcPr>
            <w:tcW w:w="1200" w:type="dxa"/>
            <w:shd w:val="clear" w:color="auto" w:fill="C4EFCE"/>
            <w:vAlign w:val="center"/>
            <w:hideMark/>
          </w:tcPr>
          <w:p w14:paraId="1A4E8CDF" w14:textId="77777777" w:rsidR="006C686E" w:rsidRDefault="00B17E8C">
            <w:pPr>
              <w:pStyle w:val="P68B1DB1-Normal60"/>
              <w:spacing w:after="0" w:line="276" w:lineRule="auto"/>
              <w:jc w:val="center"/>
              <w:rPr>
                <w:noProof/>
              </w:rPr>
            </w:pPr>
            <w:r>
              <w:rPr>
                <w:noProof/>
              </w:rPr>
              <w:t>5.5</w:t>
            </w:r>
          </w:p>
        </w:tc>
        <w:tc>
          <w:tcPr>
            <w:tcW w:w="1760" w:type="dxa"/>
            <w:shd w:val="clear" w:color="auto" w:fill="C4EFCE"/>
            <w:vAlign w:val="center"/>
            <w:hideMark/>
          </w:tcPr>
          <w:p w14:paraId="527F0713" w14:textId="77777777" w:rsidR="006C686E" w:rsidRDefault="00B17E8C">
            <w:pPr>
              <w:pStyle w:val="P68B1DB1-Normal60"/>
              <w:spacing w:after="0" w:line="276" w:lineRule="auto"/>
              <w:jc w:val="center"/>
              <w:rPr>
                <w:noProof/>
              </w:rPr>
            </w:pPr>
            <w:r>
              <w:rPr>
                <w:noProof/>
              </w:rPr>
              <w:t xml:space="preserve">RE-C05-i01.01 </w:t>
            </w:r>
          </w:p>
        </w:tc>
        <w:tc>
          <w:tcPr>
            <w:tcW w:w="1520" w:type="dxa"/>
            <w:shd w:val="clear" w:color="auto" w:fill="C4EFCE"/>
            <w:vAlign w:val="center"/>
            <w:hideMark/>
          </w:tcPr>
          <w:p w14:paraId="6E3F495A"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0CEDFFA7" w14:textId="4444C637" w:rsidR="006C686E" w:rsidRDefault="00B17E8C">
            <w:pPr>
              <w:pStyle w:val="P68B1DB1-Normal60"/>
              <w:spacing w:after="0" w:line="276" w:lineRule="auto"/>
              <w:jc w:val="both"/>
              <w:rPr>
                <w:noProof/>
              </w:rPr>
            </w:pPr>
            <w:r>
              <w:rPr>
                <w:noProof/>
              </w:rPr>
              <w:t>Conclusion de contrats pour développer de nouveaux produits, procédés ou services dans des domaines stratégiques pertinents (programmes d’innovation)</w:t>
            </w:r>
          </w:p>
        </w:tc>
      </w:tr>
      <w:tr w:rsidR="006C686E" w14:paraId="711795CB" w14:textId="77777777">
        <w:trPr>
          <w:trHeight w:val="440"/>
        </w:trPr>
        <w:tc>
          <w:tcPr>
            <w:tcW w:w="1200" w:type="dxa"/>
            <w:shd w:val="clear" w:color="auto" w:fill="C4EFCE"/>
            <w:vAlign w:val="center"/>
            <w:hideMark/>
          </w:tcPr>
          <w:p w14:paraId="30774F9D" w14:textId="77777777" w:rsidR="006C686E" w:rsidRDefault="00B17E8C">
            <w:pPr>
              <w:pStyle w:val="P68B1DB1-Normal60"/>
              <w:spacing w:after="0" w:line="276" w:lineRule="auto"/>
              <w:jc w:val="center"/>
              <w:rPr>
                <w:noProof/>
              </w:rPr>
            </w:pPr>
            <w:r>
              <w:rPr>
                <w:noProof/>
              </w:rPr>
              <w:t>5.7</w:t>
            </w:r>
          </w:p>
        </w:tc>
        <w:tc>
          <w:tcPr>
            <w:tcW w:w="1760" w:type="dxa"/>
            <w:shd w:val="clear" w:color="auto" w:fill="C4EFCE"/>
            <w:vAlign w:val="center"/>
            <w:hideMark/>
          </w:tcPr>
          <w:p w14:paraId="6C35F8E6" w14:textId="77777777" w:rsidR="006C686E" w:rsidRDefault="00B17E8C">
            <w:pPr>
              <w:pStyle w:val="P68B1DB1-Normal60"/>
              <w:spacing w:after="0" w:line="276" w:lineRule="auto"/>
              <w:jc w:val="center"/>
              <w:rPr>
                <w:noProof/>
              </w:rPr>
            </w:pPr>
            <w:r>
              <w:rPr>
                <w:noProof/>
              </w:rPr>
              <w:t xml:space="preserve">RE-C05-i01.02 </w:t>
            </w:r>
          </w:p>
        </w:tc>
        <w:tc>
          <w:tcPr>
            <w:tcW w:w="1520" w:type="dxa"/>
            <w:shd w:val="clear" w:color="auto" w:fill="C4EFCE"/>
            <w:vAlign w:val="center"/>
            <w:hideMark/>
          </w:tcPr>
          <w:p w14:paraId="6D9A789A"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5A119F42" w14:textId="77777777" w:rsidR="006C686E" w:rsidRDefault="00B17E8C">
            <w:pPr>
              <w:pStyle w:val="P68B1DB1-Normal60"/>
              <w:spacing w:after="0" w:line="276" w:lineRule="auto"/>
              <w:jc w:val="both"/>
              <w:rPr>
                <w:noProof/>
              </w:rPr>
            </w:pPr>
            <w:r>
              <w:rPr>
                <w:noProof/>
              </w:rPr>
              <w:t>Conclusion de contrats pour développer de nouveaux produits, procédés ou services dans des domaines stratégiques liés à l’économie à faible intensité de carbone, à la résilience et à l’adaptation au changement climatique</w:t>
            </w:r>
          </w:p>
        </w:tc>
      </w:tr>
      <w:tr w:rsidR="006C686E" w14:paraId="283780C7" w14:textId="77777777">
        <w:trPr>
          <w:trHeight w:val="440"/>
        </w:trPr>
        <w:tc>
          <w:tcPr>
            <w:tcW w:w="1200" w:type="dxa"/>
            <w:shd w:val="clear" w:color="auto" w:fill="C4EFCE"/>
            <w:vAlign w:val="center"/>
            <w:hideMark/>
          </w:tcPr>
          <w:p w14:paraId="30DA7F63" w14:textId="77777777" w:rsidR="006C686E" w:rsidRDefault="00B17E8C">
            <w:pPr>
              <w:pStyle w:val="P68B1DB1-Normal60"/>
              <w:spacing w:after="0" w:line="276" w:lineRule="auto"/>
              <w:jc w:val="center"/>
              <w:rPr>
                <w:noProof/>
              </w:rPr>
            </w:pPr>
            <w:r>
              <w:rPr>
                <w:noProof/>
              </w:rPr>
              <w:t>5.9</w:t>
            </w:r>
          </w:p>
        </w:tc>
        <w:tc>
          <w:tcPr>
            <w:tcW w:w="1760" w:type="dxa"/>
            <w:shd w:val="clear" w:color="auto" w:fill="C4EFCE"/>
            <w:vAlign w:val="center"/>
            <w:hideMark/>
          </w:tcPr>
          <w:p w14:paraId="4955CF82" w14:textId="77777777" w:rsidR="006C686E" w:rsidRDefault="00B17E8C">
            <w:pPr>
              <w:pStyle w:val="P68B1DB1-Normal60"/>
              <w:spacing w:after="0" w:line="276" w:lineRule="auto"/>
              <w:jc w:val="center"/>
              <w:rPr>
                <w:noProof/>
              </w:rPr>
            </w:pPr>
            <w:r>
              <w:rPr>
                <w:noProof/>
              </w:rPr>
              <w:t xml:space="preserve">RE-C05-i02 </w:t>
            </w:r>
          </w:p>
        </w:tc>
        <w:tc>
          <w:tcPr>
            <w:tcW w:w="1520" w:type="dxa"/>
            <w:shd w:val="clear" w:color="auto" w:fill="C4EFCE"/>
            <w:vAlign w:val="center"/>
            <w:hideMark/>
          </w:tcPr>
          <w:p w14:paraId="7C068032"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2070F36E" w14:textId="77777777" w:rsidR="006C686E" w:rsidRDefault="00B17E8C">
            <w:pPr>
              <w:pStyle w:val="P68B1DB1-Normal60"/>
              <w:spacing w:after="0" w:line="276" w:lineRule="auto"/>
              <w:jc w:val="both"/>
              <w:rPr>
                <w:noProof/>
              </w:rPr>
            </w:pPr>
            <w:r>
              <w:rPr>
                <w:noProof/>
              </w:rPr>
              <w:t>Contrats avec des entités d'interface, y compris des laboratoires collaboratifs - Colabs, conclus</w:t>
            </w:r>
          </w:p>
        </w:tc>
      </w:tr>
      <w:tr w:rsidR="006C686E" w14:paraId="393555AC" w14:textId="77777777">
        <w:trPr>
          <w:trHeight w:val="440"/>
        </w:trPr>
        <w:tc>
          <w:tcPr>
            <w:tcW w:w="1200" w:type="dxa"/>
            <w:shd w:val="clear" w:color="auto" w:fill="C4EFCE"/>
            <w:vAlign w:val="center"/>
            <w:hideMark/>
          </w:tcPr>
          <w:p w14:paraId="74542682" w14:textId="77777777" w:rsidR="006C686E" w:rsidRDefault="00B17E8C">
            <w:pPr>
              <w:pStyle w:val="P68B1DB1-Normal60"/>
              <w:spacing w:after="0" w:line="276" w:lineRule="auto"/>
              <w:jc w:val="center"/>
              <w:rPr>
                <w:noProof/>
              </w:rPr>
            </w:pPr>
            <w:r>
              <w:rPr>
                <w:noProof/>
              </w:rPr>
              <w:t>6.15</w:t>
            </w:r>
          </w:p>
        </w:tc>
        <w:tc>
          <w:tcPr>
            <w:tcW w:w="1760" w:type="dxa"/>
            <w:shd w:val="clear" w:color="auto" w:fill="C4EFCE"/>
            <w:vAlign w:val="center"/>
            <w:hideMark/>
          </w:tcPr>
          <w:p w14:paraId="5B564FB9" w14:textId="77777777" w:rsidR="006C686E" w:rsidRDefault="00B17E8C">
            <w:pPr>
              <w:pStyle w:val="P68B1DB1-Normal60"/>
              <w:spacing w:after="0" w:line="276" w:lineRule="auto"/>
              <w:jc w:val="center"/>
              <w:rPr>
                <w:noProof/>
              </w:rPr>
            </w:pPr>
            <w:r>
              <w:rPr>
                <w:noProof/>
              </w:rPr>
              <w:t xml:space="preserve">RE-C06-r16 </w:t>
            </w:r>
          </w:p>
        </w:tc>
        <w:tc>
          <w:tcPr>
            <w:tcW w:w="1520" w:type="dxa"/>
            <w:shd w:val="clear" w:color="auto" w:fill="C4EFCE"/>
            <w:vAlign w:val="center"/>
            <w:hideMark/>
          </w:tcPr>
          <w:p w14:paraId="193D47D9"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5EFA08ED" w14:textId="77777777" w:rsidR="006C686E" w:rsidRDefault="00B17E8C">
            <w:pPr>
              <w:pStyle w:val="P68B1DB1-Normal60"/>
              <w:spacing w:after="0" w:line="276" w:lineRule="auto"/>
              <w:jc w:val="both"/>
              <w:rPr>
                <w:noProof/>
              </w:rPr>
            </w:pPr>
            <w:r>
              <w:rPr>
                <w:noProof/>
              </w:rPr>
              <w:t>Entrée en vigueur de la loi sur les professions réglementées</w:t>
            </w:r>
          </w:p>
        </w:tc>
      </w:tr>
      <w:tr w:rsidR="006C686E" w14:paraId="500CD68B" w14:textId="77777777">
        <w:trPr>
          <w:trHeight w:val="440"/>
        </w:trPr>
        <w:tc>
          <w:tcPr>
            <w:tcW w:w="1200" w:type="dxa"/>
            <w:shd w:val="clear" w:color="auto" w:fill="C4EFCE"/>
            <w:vAlign w:val="center"/>
            <w:hideMark/>
          </w:tcPr>
          <w:p w14:paraId="4E247EB3" w14:textId="77777777" w:rsidR="006C686E" w:rsidRDefault="00B17E8C">
            <w:pPr>
              <w:pStyle w:val="P68B1DB1-Normal60"/>
              <w:spacing w:after="0" w:line="276" w:lineRule="auto"/>
              <w:jc w:val="center"/>
              <w:rPr>
                <w:noProof/>
              </w:rPr>
            </w:pPr>
            <w:r>
              <w:rPr>
                <w:noProof/>
              </w:rPr>
              <w:t>7.1</w:t>
            </w:r>
          </w:p>
        </w:tc>
        <w:tc>
          <w:tcPr>
            <w:tcW w:w="1760" w:type="dxa"/>
            <w:shd w:val="clear" w:color="auto" w:fill="C4EFCE"/>
            <w:vAlign w:val="center"/>
            <w:hideMark/>
          </w:tcPr>
          <w:p w14:paraId="691D8359" w14:textId="77777777" w:rsidR="006C686E" w:rsidRDefault="00B17E8C">
            <w:pPr>
              <w:pStyle w:val="P68B1DB1-Normal60"/>
              <w:spacing w:after="0" w:line="276" w:lineRule="auto"/>
              <w:jc w:val="center"/>
              <w:rPr>
                <w:noProof/>
              </w:rPr>
            </w:pPr>
            <w:r>
              <w:rPr>
                <w:noProof/>
              </w:rPr>
              <w:t xml:space="preserve">RE-C07-i00 </w:t>
            </w:r>
          </w:p>
        </w:tc>
        <w:tc>
          <w:tcPr>
            <w:tcW w:w="1520" w:type="dxa"/>
            <w:shd w:val="clear" w:color="auto" w:fill="C4EFCE"/>
            <w:vAlign w:val="center"/>
            <w:hideMark/>
          </w:tcPr>
          <w:p w14:paraId="2C44E3DF"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69E6A31F" w14:textId="77777777" w:rsidR="006C686E" w:rsidRDefault="00B17E8C">
            <w:pPr>
              <w:pStyle w:val="P68B1DB1-Normal60"/>
              <w:spacing w:after="0" w:line="276" w:lineRule="auto"/>
              <w:jc w:val="both"/>
              <w:rPr>
                <w:noProof/>
              </w:rPr>
            </w:pPr>
            <w:r>
              <w:rPr>
                <w:noProof/>
              </w:rPr>
              <w:t>Points de recharge pour véhicules électriques accessibles au public</w:t>
            </w:r>
          </w:p>
        </w:tc>
      </w:tr>
      <w:tr w:rsidR="006C686E" w14:paraId="2381AD70" w14:textId="77777777">
        <w:trPr>
          <w:trHeight w:val="440"/>
        </w:trPr>
        <w:tc>
          <w:tcPr>
            <w:tcW w:w="1200" w:type="dxa"/>
            <w:shd w:val="clear" w:color="auto" w:fill="C4EFCE"/>
            <w:vAlign w:val="center"/>
            <w:hideMark/>
          </w:tcPr>
          <w:p w14:paraId="178F7D1F" w14:textId="77777777" w:rsidR="006C686E" w:rsidRDefault="00B17E8C">
            <w:pPr>
              <w:pStyle w:val="P68B1DB1-Normal60"/>
              <w:spacing w:after="0" w:line="276" w:lineRule="auto"/>
              <w:jc w:val="center"/>
              <w:rPr>
                <w:noProof/>
              </w:rPr>
            </w:pPr>
            <w:r>
              <w:rPr>
                <w:noProof/>
              </w:rPr>
              <w:t>7.7</w:t>
            </w:r>
          </w:p>
        </w:tc>
        <w:tc>
          <w:tcPr>
            <w:tcW w:w="1760" w:type="dxa"/>
            <w:shd w:val="clear" w:color="auto" w:fill="C4EFCE"/>
            <w:vAlign w:val="center"/>
            <w:hideMark/>
          </w:tcPr>
          <w:p w14:paraId="76BFD3F1" w14:textId="77777777" w:rsidR="006C686E" w:rsidRDefault="00B17E8C">
            <w:pPr>
              <w:pStyle w:val="P68B1DB1-Normal60"/>
              <w:spacing w:after="0" w:line="276" w:lineRule="auto"/>
              <w:jc w:val="center"/>
              <w:rPr>
                <w:noProof/>
              </w:rPr>
            </w:pPr>
            <w:r>
              <w:rPr>
                <w:noProof/>
              </w:rPr>
              <w:t xml:space="preserve">RE-C07-i02 </w:t>
            </w:r>
          </w:p>
        </w:tc>
        <w:tc>
          <w:tcPr>
            <w:tcW w:w="1520" w:type="dxa"/>
            <w:shd w:val="clear" w:color="auto" w:fill="C4EFCE"/>
            <w:vAlign w:val="center"/>
            <w:hideMark/>
          </w:tcPr>
          <w:p w14:paraId="3832C1E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E45B6C7" w14:textId="77777777" w:rsidR="006C686E" w:rsidRDefault="00B17E8C">
            <w:pPr>
              <w:pStyle w:val="P68B1DB1-Normal60"/>
              <w:spacing w:after="0" w:line="276" w:lineRule="auto"/>
              <w:jc w:val="both"/>
              <w:rPr>
                <w:noProof/>
              </w:rPr>
            </w:pPr>
            <w:r>
              <w:rPr>
                <w:noProof/>
              </w:rPr>
              <w:t>Contrat signé pour 2 projets routiers</w:t>
            </w:r>
          </w:p>
        </w:tc>
      </w:tr>
      <w:tr w:rsidR="006C686E" w14:paraId="4112F551" w14:textId="77777777">
        <w:trPr>
          <w:trHeight w:val="440"/>
        </w:trPr>
        <w:tc>
          <w:tcPr>
            <w:tcW w:w="1200" w:type="dxa"/>
            <w:shd w:val="clear" w:color="auto" w:fill="C4EFCE"/>
            <w:vAlign w:val="center"/>
            <w:hideMark/>
          </w:tcPr>
          <w:p w14:paraId="40E75D8E" w14:textId="77777777" w:rsidR="006C686E" w:rsidRDefault="00B17E8C">
            <w:pPr>
              <w:pStyle w:val="P68B1DB1-Normal60"/>
              <w:spacing w:after="0" w:line="276" w:lineRule="auto"/>
              <w:jc w:val="center"/>
              <w:rPr>
                <w:noProof/>
              </w:rPr>
            </w:pPr>
            <w:r>
              <w:rPr>
                <w:noProof/>
              </w:rPr>
              <w:t>8.18</w:t>
            </w:r>
          </w:p>
        </w:tc>
        <w:tc>
          <w:tcPr>
            <w:tcW w:w="1760" w:type="dxa"/>
            <w:shd w:val="clear" w:color="auto" w:fill="C4EFCE"/>
            <w:vAlign w:val="center"/>
            <w:hideMark/>
          </w:tcPr>
          <w:p w14:paraId="06FCEF73" w14:textId="77777777" w:rsidR="006C686E" w:rsidRDefault="00B17E8C">
            <w:pPr>
              <w:pStyle w:val="P68B1DB1-Normal60"/>
              <w:spacing w:after="0" w:line="276" w:lineRule="auto"/>
              <w:jc w:val="center"/>
              <w:rPr>
                <w:noProof/>
              </w:rPr>
            </w:pPr>
            <w:r>
              <w:rPr>
                <w:noProof/>
              </w:rPr>
              <w:t xml:space="preserve">RE-C08-r20 </w:t>
            </w:r>
          </w:p>
        </w:tc>
        <w:tc>
          <w:tcPr>
            <w:tcW w:w="1520" w:type="dxa"/>
            <w:shd w:val="clear" w:color="auto" w:fill="C4EFCE"/>
            <w:vAlign w:val="center"/>
            <w:hideMark/>
          </w:tcPr>
          <w:p w14:paraId="307AC09B"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03BCC21" w14:textId="77777777" w:rsidR="006C686E" w:rsidRDefault="00B17E8C">
            <w:pPr>
              <w:pStyle w:val="P68B1DB1-Normal60"/>
              <w:spacing w:after="0" w:line="276" w:lineRule="auto"/>
              <w:jc w:val="both"/>
              <w:rPr>
                <w:noProof/>
              </w:rPr>
            </w:pPr>
            <w:r>
              <w:rPr>
                <w:noProof/>
              </w:rPr>
              <w:t>Système de surveillance de l'occupation des sols (SMOS)</w:t>
            </w:r>
          </w:p>
        </w:tc>
      </w:tr>
      <w:tr w:rsidR="006C686E" w14:paraId="52BC26CC" w14:textId="77777777">
        <w:trPr>
          <w:trHeight w:val="440"/>
        </w:trPr>
        <w:tc>
          <w:tcPr>
            <w:tcW w:w="1200" w:type="dxa"/>
            <w:shd w:val="clear" w:color="auto" w:fill="C4EFCE"/>
            <w:vAlign w:val="center"/>
            <w:hideMark/>
          </w:tcPr>
          <w:p w14:paraId="0F59EA7D" w14:textId="77777777" w:rsidR="006C686E" w:rsidRDefault="00B17E8C">
            <w:pPr>
              <w:pStyle w:val="P68B1DB1-Normal60"/>
              <w:spacing w:after="0" w:line="276" w:lineRule="auto"/>
              <w:jc w:val="center"/>
              <w:rPr>
                <w:noProof/>
              </w:rPr>
            </w:pPr>
            <w:r>
              <w:rPr>
                <w:noProof/>
              </w:rPr>
              <w:t>12.6</w:t>
            </w:r>
          </w:p>
        </w:tc>
        <w:tc>
          <w:tcPr>
            <w:tcW w:w="1760" w:type="dxa"/>
            <w:shd w:val="clear" w:color="auto" w:fill="C4EFCE"/>
            <w:vAlign w:val="center"/>
            <w:hideMark/>
          </w:tcPr>
          <w:p w14:paraId="07856A85" w14:textId="77777777" w:rsidR="006C686E" w:rsidRDefault="00B17E8C">
            <w:pPr>
              <w:pStyle w:val="P68B1DB1-Normal60"/>
              <w:spacing w:after="0" w:line="276" w:lineRule="auto"/>
              <w:jc w:val="center"/>
              <w:rPr>
                <w:noProof/>
              </w:rPr>
            </w:pPr>
            <w:r>
              <w:rPr>
                <w:noProof/>
              </w:rPr>
              <w:t xml:space="preserve">TC-C12-r25 </w:t>
            </w:r>
          </w:p>
        </w:tc>
        <w:tc>
          <w:tcPr>
            <w:tcW w:w="1520" w:type="dxa"/>
            <w:shd w:val="clear" w:color="auto" w:fill="C4EFCE"/>
            <w:vAlign w:val="center"/>
            <w:hideMark/>
          </w:tcPr>
          <w:p w14:paraId="24543122"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CED9D66" w14:textId="77777777" w:rsidR="006C686E" w:rsidRDefault="00B17E8C">
            <w:pPr>
              <w:pStyle w:val="P68B1DB1-Normal60"/>
              <w:spacing w:after="0" w:line="276" w:lineRule="auto"/>
              <w:jc w:val="both"/>
              <w:rPr>
                <w:noProof/>
              </w:rPr>
            </w:pPr>
            <w:r>
              <w:rPr>
                <w:noProof/>
              </w:rPr>
              <w:t>Entrée en vigueur de la stratégie nationale révisée pour les marchés publics écologiques</w:t>
            </w:r>
          </w:p>
        </w:tc>
      </w:tr>
      <w:tr w:rsidR="006C686E" w14:paraId="6548FE72" w14:textId="77777777">
        <w:trPr>
          <w:trHeight w:val="440"/>
        </w:trPr>
        <w:tc>
          <w:tcPr>
            <w:tcW w:w="1200" w:type="dxa"/>
            <w:shd w:val="clear" w:color="auto" w:fill="C4EFCE"/>
            <w:vAlign w:val="center"/>
            <w:hideMark/>
          </w:tcPr>
          <w:p w14:paraId="17294AA9" w14:textId="77777777" w:rsidR="006C686E" w:rsidRDefault="00B17E8C">
            <w:pPr>
              <w:pStyle w:val="P68B1DB1-Normal60"/>
              <w:spacing w:after="0" w:line="276" w:lineRule="auto"/>
              <w:jc w:val="center"/>
              <w:rPr>
                <w:noProof/>
              </w:rPr>
            </w:pPr>
            <w:r>
              <w:rPr>
                <w:noProof/>
              </w:rPr>
              <w:t>15.12</w:t>
            </w:r>
          </w:p>
        </w:tc>
        <w:tc>
          <w:tcPr>
            <w:tcW w:w="1760" w:type="dxa"/>
            <w:shd w:val="clear" w:color="auto" w:fill="C4EFCE"/>
            <w:vAlign w:val="center"/>
            <w:hideMark/>
          </w:tcPr>
          <w:p w14:paraId="2621F41D" w14:textId="77777777" w:rsidR="006C686E" w:rsidRDefault="00B17E8C">
            <w:pPr>
              <w:pStyle w:val="P68B1DB1-Normal60"/>
              <w:spacing w:after="0" w:line="276" w:lineRule="auto"/>
              <w:jc w:val="center"/>
              <w:rPr>
                <w:noProof/>
              </w:rPr>
            </w:pPr>
            <w:r>
              <w:rPr>
                <w:noProof/>
              </w:rPr>
              <w:t xml:space="preserve">TC-C15-i05 </w:t>
            </w:r>
          </w:p>
        </w:tc>
        <w:tc>
          <w:tcPr>
            <w:tcW w:w="1520" w:type="dxa"/>
            <w:shd w:val="clear" w:color="auto" w:fill="C4EFCE"/>
            <w:vAlign w:val="center"/>
            <w:hideMark/>
          </w:tcPr>
          <w:p w14:paraId="7F9EB14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6041291" w14:textId="77777777" w:rsidR="006C686E" w:rsidRDefault="00B17E8C">
            <w:pPr>
              <w:pStyle w:val="P68B1DB1-Normal60"/>
              <w:spacing w:after="0" w:line="276" w:lineRule="auto"/>
              <w:jc w:val="both"/>
              <w:rPr>
                <w:noProof/>
              </w:rPr>
            </w:pPr>
            <w:r>
              <w:rPr>
                <w:noProof/>
              </w:rPr>
              <w:t>Contrat signé pour l’achat d’autobus propres dans le cadre du programme de décarbonation des transports publics</w:t>
            </w:r>
          </w:p>
        </w:tc>
      </w:tr>
      <w:tr w:rsidR="006C686E" w14:paraId="0B364941" w14:textId="77777777">
        <w:trPr>
          <w:trHeight w:val="440"/>
        </w:trPr>
        <w:tc>
          <w:tcPr>
            <w:tcW w:w="1200" w:type="dxa"/>
            <w:shd w:val="clear" w:color="auto" w:fill="C4EFCE"/>
            <w:vAlign w:val="center"/>
            <w:hideMark/>
          </w:tcPr>
          <w:p w14:paraId="3C5636FA" w14:textId="77777777" w:rsidR="006C686E" w:rsidRDefault="00B17E8C">
            <w:pPr>
              <w:pStyle w:val="P68B1DB1-Normal60"/>
              <w:spacing w:after="0" w:line="276" w:lineRule="auto"/>
              <w:jc w:val="center"/>
              <w:rPr>
                <w:noProof/>
              </w:rPr>
            </w:pPr>
            <w:r>
              <w:rPr>
                <w:noProof/>
              </w:rPr>
              <w:t>16.7</w:t>
            </w:r>
          </w:p>
        </w:tc>
        <w:tc>
          <w:tcPr>
            <w:tcW w:w="1760" w:type="dxa"/>
            <w:shd w:val="clear" w:color="auto" w:fill="C4EFCE"/>
            <w:vAlign w:val="center"/>
            <w:hideMark/>
          </w:tcPr>
          <w:p w14:paraId="5287ED4F" w14:textId="77777777" w:rsidR="006C686E" w:rsidRDefault="00B17E8C">
            <w:pPr>
              <w:pStyle w:val="P68B1DB1-Normal60"/>
              <w:spacing w:after="0" w:line="276" w:lineRule="auto"/>
              <w:jc w:val="center"/>
              <w:rPr>
                <w:noProof/>
              </w:rPr>
            </w:pPr>
            <w:r>
              <w:rPr>
                <w:noProof/>
              </w:rPr>
              <w:t xml:space="preserve">TD-C16-i02 </w:t>
            </w:r>
          </w:p>
        </w:tc>
        <w:tc>
          <w:tcPr>
            <w:tcW w:w="1520" w:type="dxa"/>
            <w:shd w:val="clear" w:color="auto" w:fill="C4EFCE"/>
            <w:vAlign w:val="center"/>
            <w:hideMark/>
          </w:tcPr>
          <w:p w14:paraId="43A7DD65"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19E54289" w14:textId="77777777" w:rsidR="006C686E" w:rsidRDefault="00B17E8C">
            <w:pPr>
              <w:pStyle w:val="P68B1DB1-Normal60"/>
              <w:spacing w:after="0" w:line="276" w:lineRule="auto"/>
              <w:jc w:val="both"/>
              <w:rPr>
                <w:noProof/>
              </w:rPr>
            </w:pPr>
            <w:r>
              <w:rPr>
                <w:noProof/>
              </w:rPr>
              <w:t>Lits d'essai sélectionnés pour le Réseau national des lits d'essai</w:t>
            </w:r>
          </w:p>
        </w:tc>
      </w:tr>
      <w:tr w:rsidR="006C686E" w14:paraId="401F4C59" w14:textId="77777777">
        <w:trPr>
          <w:trHeight w:val="440"/>
        </w:trPr>
        <w:tc>
          <w:tcPr>
            <w:tcW w:w="1200" w:type="dxa"/>
            <w:shd w:val="clear" w:color="auto" w:fill="C4EFCE"/>
            <w:vAlign w:val="center"/>
            <w:hideMark/>
          </w:tcPr>
          <w:p w14:paraId="3CA50107" w14:textId="77777777" w:rsidR="006C686E" w:rsidRDefault="00B17E8C">
            <w:pPr>
              <w:pStyle w:val="P68B1DB1-Normal60"/>
              <w:spacing w:after="0" w:line="276" w:lineRule="auto"/>
              <w:jc w:val="center"/>
              <w:rPr>
                <w:noProof/>
              </w:rPr>
            </w:pPr>
            <w:r>
              <w:rPr>
                <w:noProof/>
              </w:rPr>
              <w:t>17.1</w:t>
            </w:r>
          </w:p>
        </w:tc>
        <w:tc>
          <w:tcPr>
            <w:tcW w:w="1760" w:type="dxa"/>
            <w:shd w:val="clear" w:color="auto" w:fill="C4EFCE"/>
            <w:vAlign w:val="center"/>
            <w:hideMark/>
          </w:tcPr>
          <w:p w14:paraId="21254F26" w14:textId="77777777" w:rsidR="006C686E" w:rsidRDefault="00B17E8C">
            <w:pPr>
              <w:pStyle w:val="P68B1DB1-Normal60"/>
              <w:spacing w:after="0" w:line="276" w:lineRule="auto"/>
              <w:jc w:val="center"/>
              <w:rPr>
                <w:noProof/>
              </w:rPr>
            </w:pPr>
            <w:r>
              <w:rPr>
                <w:noProof/>
              </w:rPr>
              <w:t xml:space="preserve">TD-C17-r32 </w:t>
            </w:r>
          </w:p>
        </w:tc>
        <w:tc>
          <w:tcPr>
            <w:tcW w:w="1520" w:type="dxa"/>
            <w:shd w:val="clear" w:color="auto" w:fill="C4EFCE"/>
            <w:vAlign w:val="center"/>
            <w:hideMark/>
          </w:tcPr>
          <w:p w14:paraId="2F5A23F8"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022BFA8" w14:textId="77777777" w:rsidR="006C686E" w:rsidRDefault="00B17E8C">
            <w:pPr>
              <w:pStyle w:val="P68B1DB1-Normal60"/>
              <w:spacing w:after="0" w:line="276" w:lineRule="auto"/>
              <w:jc w:val="both"/>
              <w:rPr>
                <w:noProof/>
              </w:rPr>
            </w:pPr>
            <w:r>
              <w:rPr>
                <w:noProof/>
              </w:rPr>
              <w:t>Achever la conception et la mise en œuvre de nouveaux modèles de passation de marchés pour le système central national de passation des marchés publics, comme prévu dans le plan stratégique 2020-2023 de l’entité de services partagés de l’administration publique</w:t>
            </w:r>
          </w:p>
        </w:tc>
      </w:tr>
      <w:tr w:rsidR="006C686E" w14:paraId="7365830E" w14:textId="77777777">
        <w:trPr>
          <w:trHeight w:val="440"/>
        </w:trPr>
        <w:tc>
          <w:tcPr>
            <w:tcW w:w="1200" w:type="dxa"/>
            <w:shd w:val="clear" w:color="auto" w:fill="C4EFCE"/>
            <w:vAlign w:val="center"/>
            <w:hideMark/>
          </w:tcPr>
          <w:p w14:paraId="0BC0D4A4" w14:textId="77777777" w:rsidR="006C686E" w:rsidRDefault="00B17E8C">
            <w:pPr>
              <w:pStyle w:val="P68B1DB1-Normal60"/>
              <w:spacing w:after="0" w:line="276" w:lineRule="auto"/>
              <w:jc w:val="center"/>
              <w:rPr>
                <w:noProof/>
              </w:rPr>
            </w:pPr>
            <w:r>
              <w:rPr>
                <w:noProof/>
              </w:rPr>
              <w:t>17.2</w:t>
            </w:r>
          </w:p>
        </w:tc>
        <w:tc>
          <w:tcPr>
            <w:tcW w:w="1760" w:type="dxa"/>
            <w:shd w:val="clear" w:color="auto" w:fill="C4EFCE"/>
            <w:vAlign w:val="center"/>
            <w:hideMark/>
          </w:tcPr>
          <w:p w14:paraId="7FAA570A" w14:textId="77777777" w:rsidR="006C686E" w:rsidRDefault="00B17E8C">
            <w:pPr>
              <w:pStyle w:val="P68B1DB1-Normal60"/>
              <w:spacing w:after="0" w:line="276" w:lineRule="auto"/>
              <w:jc w:val="center"/>
              <w:rPr>
                <w:noProof/>
              </w:rPr>
            </w:pPr>
            <w:r>
              <w:rPr>
                <w:noProof/>
              </w:rPr>
              <w:t xml:space="preserve">TD-C17-r32 </w:t>
            </w:r>
          </w:p>
        </w:tc>
        <w:tc>
          <w:tcPr>
            <w:tcW w:w="1520" w:type="dxa"/>
            <w:shd w:val="clear" w:color="auto" w:fill="C4EFCE"/>
            <w:vAlign w:val="center"/>
            <w:hideMark/>
          </w:tcPr>
          <w:p w14:paraId="44DA151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D66FF85" w14:textId="77777777" w:rsidR="006C686E" w:rsidRDefault="00B17E8C">
            <w:pPr>
              <w:pStyle w:val="P68B1DB1-Normal60"/>
              <w:spacing w:after="0" w:line="276" w:lineRule="auto"/>
              <w:jc w:val="both"/>
              <w:rPr>
                <w:noProof/>
              </w:rPr>
            </w:pPr>
            <w:r>
              <w:rPr>
                <w:noProof/>
              </w:rPr>
              <w:t>Entrée en vigueur de la législation qui sous-tend l’entité comptable nationale</w:t>
            </w:r>
          </w:p>
        </w:tc>
      </w:tr>
      <w:tr w:rsidR="006C686E" w14:paraId="7222A6F2" w14:textId="77777777">
        <w:trPr>
          <w:trHeight w:val="440"/>
        </w:trPr>
        <w:tc>
          <w:tcPr>
            <w:tcW w:w="1200" w:type="dxa"/>
            <w:shd w:val="clear" w:color="auto" w:fill="C4EFCE"/>
            <w:vAlign w:val="center"/>
            <w:hideMark/>
          </w:tcPr>
          <w:p w14:paraId="1861A61A" w14:textId="77777777" w:rsidR="006C686E" w:rsidRDefault="00B17E8C">
            <w:pPr>
              <w:pStyle w:val="P68B1DB1-Normal60"/>
              <w:spacing w:after="0" w:line="276" w:lineRule="auto"/>
              <w:jc w:val="center"/>
              <w:rPr>
                <w:noProof/>
              </w:rPr>
            </w:pPr>
            <w:r>
              <w:rPr>
                <w:noProof/>
              </w:rPr>
              <w:t>17.3</w:t>
            </w:r>
          </w:p>
        </w:tc>
        <w:tc>
          <w:tcPr>
            <w:tcW w:w="1760" w:type="dxa"/>
            <w:shd w:val="clear" w:color="auto" w:fill="C4EFCE"/>
            <w:vAlign w:val="center"/>
            <w:hideMark/>
          </w:tcPr>
          <w:p w14:paraId="752DEA37" w14:textId="77777777" w:rsidR="006C686E" w:rsidRDefault="00B17E8C">
            <w:pPr>
              <w:pStyle w:val="P68B1DB1-Normal60"/>
              <w:spacing w:after="0" w:line="276" w:lineRule="auto"/>
              <w:jc w:val="center"/>
              <w:rPr>
                <w:noProof/>
              </w:rPr>
            </w:pPr>
            <w:r>
              <w:rPr>
                <w:noProof/>
              </w:rPr>
              <w:t xml:space="preserve">TD-C17-r32 </w:t>
            </w:r>
          </w:p>
        </w:tc>
        <w:tc>
          <w:tcPr>
            <w:tcW w:w="1520" w:type="dxa"/>
            <w:shd w:val="clear" w:color="auto" w:fill="C4EFCE"/>
            <w:vAlign w:val="center"/>
            <w:hideMark/>
          </w:tcPr>
          <w:p w14:paraId="7D7F37B6"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4894B83" w14:textId="77777777" w:rsidR="006C686E" w:rsidRDefault="00B17E8C">
            <w:pPr>
              <w:pStyle w:val="P68B1DB1-Normal60"/>
              <w:spacing w:after="0" w:line="276" w:lineRule="auto"/>
              <w:jc w:val="both"/>
              <w:rPr>
                <w:noProof/>
              </w:rPr>
            </w:pPr>
            <w:r>
              <w:rPr>
                <w:noProof/>
              </w:rPr>
              <w:t>Achèvement et approbation du modèle de suivi de l'exécution budgétaire et financière des administrations publiques</w:t>
            </w:r>
          </w:p>
        </w:tc>
      </w:tr>
      <w:tr w:rsidR="006C686E" w14:paraId="2BEC0193" w14:textId="77777777">
        <w:trPr>
          <w:trHeight w:val="440"/>
        </w:trPr>
        <w:tc>
          <w:tcPr>
            <w:tcW w:w="1200" w:type="dxa"/>
            <w:shd w:val="clear" w:color="auto" w:fill="C4EFCE"/>
            <w:vAlign w:val="center"/>
            <w:hideMark/>
          </w:tcPr>
          <w:p w14:paraId="366B8142" w14:textId="77777777" w:rsidR="006C686E" w:rsidRDefault="00B17E8C">
            <w:pPr>
              <w:pStyle w:val="P68B1DB1-Normal60"/>
              <w:spacing w:after="0" w:line="276" w:lineRule="auto"/>
              <w:jc w:val="center"/>
              <w:rPr>
                <w:noProof/>
              </w:rPr>
            </w:pPr>
            <w:r>
              <w:rPr>
                <w:noProof/>
              </w:rPr>
              <w:t>17.7</w:t>
            </w:r>
          </w:p>
        </w:tc>
        <w:tc>
          <w:tcPr>
            <w:tcW w:w="1760" w:type="dxa"/>
            <w:shd w:val="clear" w:color="auto" w:fill="C4EFCE"/>
            <w:vAlign w:val="center"/>
            <w:hideMark/>
          </w:tcPr>
          <w:p w14:paraId="554A97D1" w14:textId="77777777" w:rsidR="006C686E" w:rsidRDefault="00B17E8C">
            <w:pPr>
              <w:pStyle w:val="P68B1DB1-Normal60"/>
              <w:spacing w:after="0" w:line="276" w:lineRule="auto"/>
              <w:jc w:val="center"/>
              <w:rPr>
                <w:noProof/>
              </w:rPr>
            </w:pPr>
            <w:r>
              <w:rPr>
                <w:noProof/>
              </w:rPr>
              <w:t xml:space="preserve">TD-C17-r32 </w:t>
            </w:r>
          </w:p>
        </w:tc>
        <w:tc>
          <w:tcPr>
            <w:tcW w:w="1520" w:type="dxa"/>
            <w:shd w:val="clear" w:color="auto" w:fill="C4EFCE"/>
            <w:vAlign w:val="center"/>
            <w:hideMark/>
          </w:tcPr>
          <w:p w14:paraId="29AF1AC6"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DA2DC58" w14:textId="77777777" w:rsidR="006C686E" w:rsidRDefault="00B17E8C">
            <w:pPr>
              <w:pStyle w:val="P68B1DB1-Normal60"/>
              <w:spacing w:after="0" w:line="276" w:lineRule="auto"/>
              <w:jc w:val="both"/>
              <w:rPr>
                <w:noProof/>
              </w:rPr>
            </w:pPr>
            <w:r>
              <w:rPr>
                <w:noProof/>
              </w:rPr>
              <w:t>Entrée en vigueur du nouveau modèle d'analyse et de publication de la situation financière et des performances des entreprises publiques</w:t>
            </w:r>
          </w:p>
        </w:tc>
      </w:tr>
      <w:tr w:rsidR="006C686E" w14:paraId="57BB91F4" w14:textId="77777777">
        <w:trPr>
          <w:trHeight w:val="440"/>
        </w:trPr>
        <w:tc>
          <w:tcPr>
            <w:tcW w:w="1200" w:type="dxa"/>
            <w:shd w:val="clear" w:color="auto" w:fill="C4EFCE"/>
            <w:vAlign w:val="center"/>
            <w:hideMark/>
          </w:tcPr>
          <w:p w14:paraId="18052392" w14:textId="77777777" w:rsidR="006C686E" w:rsidRDefault="00B17E8C">
            <w:pPr>
              <w:pStyle w:val="P68B1DB1-Normal60"/>
              <w:spacing w:after="0" w:line="276" w:lineRule="auto"/>
              <w:jc w:val="center"/>
              <w:rPr>
                <w:noProof/>
              </w:rPr>
            </w:pPr>
            <w:r>
              <w:rPr>
                <w:noProof/>
              </w:rPr>
              <w:t>19.1</w:t>
            </w:r>
          </w:p>
        </w:tc>
        <w:tc>
          <w:tcPr>
            <w:tcW w:w="1760" w:type="dxa"/>
            <w:shd w:val="clear" w:color="auto" w:fill="C4EFCE"/>
            <w:vAlign w:val="center"/>
            <w:hideMark/>
          </w:tcPr>
          <w:p w14:paraId="1832503D" w14:textId="77777777" w:rsidR="006C686E" w:rsidRDefault="00B17E8C">
            <w:pPr>
              <w:pStyle w:val="P68B1DB1-Normal60"/>
              <w:spacing w:after="0" w:line="276" w:lineRule="auto"/>
              <w:jc w:val="center"/>
              <w:rPr>
                <w:noProof/>
              </w:rPr>
            </w:pPr>
            <w:r>
              <w:rPr>
                <w:noProof/>
              </w:rPr>
              <w:t xml:space="preserve">TD-C19-i01 </w:t>
            </w:r>
          </w:p>
        </w:tc>
        <w:tc>
          <w:tcPr>
            <w:tcW w:w="1520" w:type="dxa"/>
            <w:shd w:val="clear" w:color="auto" w:fill="C4EFCE"/>
            <w:vAlign w:val="center"/>
            <w:hideMark/>
          </w:tcPr>
          <w:p w14:paraId="5D3CF07A"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05E25AA1" w14:textId="77777777" w:rsidR="006C686E" w:rsidRDefault="00B17E8C">
            <w:pPr>
              <w:pStyle w:val="P68B1DB1-Normal60"/>
              <w:spacing w:after="0" w:line="276" w:lineRule="auto"/>
              <w:jc w:val="both"/>
              <w:rPr>
                <w:noProof/>
              </w:rPr>
            </w:pPr>
            <w:r>
              <w:rPr>
                <w:noProof/>
              </w:rPr>
              <w:t>Des services publics disponibles de manière simplifiée et cohérente par différents canaux</w:t>
            </w:r>
          </w:p>
        </w:tc>
      </w:tr>
      <w:tr w:rsidR="006C686E" w14:paraId="51242FB4" w14:textId="77777777">
        <w:trPr>
          <w:trHeight w:val="440"/>
        </w:trPr>
        <w:tc>
          <w:tcPr>
            <w:tcW w:w="1200" w:type="dxa"/>
            <w:shd w:val="clear" w:color="auto" w:fill="C4EFCE"/>
            <w:vAlign w:val="center"/>
            <w:hideMark/>
          </w:tcPr>
          <w:p w14:paraId="51DB11B6" w14:textId="77777777" w:rsidR="006C686E" w:rsidRDefault="00B17E8C">
            <w:pPr>
              <w:pStyle w:val="P68B1DB1-Normal60"/>
              <w:spacing w:after="0" w:line="276" w:lineRule="auto"/>
              <w:jc w:val="center"/>
              <w:rPr>
                <w:noProof/>
              </w:rPr>
            </w:pPr>
            <w:r>
              <w:rPr>
                <w:noProof/>
              </w:rPr>
              <w:t>19.4</w:t>
            </w:r>
          </w:p>
        </w:tc>
        <w:tc>
          <w:tcPr>
            <w:tcW w:w="1760" w:type="dxa"/>
            <w:shd w:val="clear" w:color="auto" w:fill="C4EFCE"/>
            <w:vAlign w:val="center"/>
            <w:hideMark/>
          </w:tcPr>
          <w:p w14:paraId="5C434550" w14:textId="77777777" w:rsidR="006C686E" w:rsidRDefault="00B17E8C">
            <w:pPr>
              <w:pStyle w:val="P68B1DB1-Normal60"/>
              <w:spacing w:after="0" w:line="276" w:lineRule="auto"/>
              <w:jc w:val="center"/>
              <w:rPr>
                <w:noProof/>
              </w:rPr>
            </w:pPr>
            <w:r>
              <w:rPr>
                <w:noProof/>
              </w:rPr>
              <w:t xml:space="preserve">TD-C19-i02 </w:t>
            </w:r>
          </w:p>
        </w:tc>
        <w:tc>
          <w:tcPr>
            <w:tcW w:w="1520" w:type="dxa"/>
            <w:shd w:val="clear" w:color="auto" w:fill="C4EFCE"/>
            <w:vAlign w:val="center"/>
            <w:hideMark/>
          </w:tcPr>
          <w:p w14:paraId="1BC6F1DF"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A39A964" w14:textId="77777777" w:rsidR="006C686E" w:rsidRDefault="00B17E8C">
            <w:pPr>
              <w:pStyle w:val="P68B1DB1-Normal60"/>
              <w:spacing w:after="0" w:line="276" w:lineRule="auto"/>
              <w:jc w:val="both"/>
              <w:rPr>
                <w:noProof/>
              </w:rPr>
            </w:pPr>
            <w:r>
              <w:rPr>
                <w:noProof/>
              </w:rPr>
              <w:t>Services publics accessibles en toute sécurité au moyen de l’identité électronique et respectant le principe «une fois pour toutes»</w:t>
            </w:r>
          </w:p>
        </w:tc>
      </w:tr>
      <w:tr w:rsidR="006C686E" w14:paraId="74765320" w14:textId="77777777">
        <w:trPr>
          <w:trHeight w:val="440"/>
        </w:trPr>
        <w:tc>
          <w:tcPr>
            <w:tcW w:w="1200" w:type="dxa"/>
            <w:shd w:val="clear" w:color="auto" w:fill="C4EFCE"/>
            <w:vAlign w:val="center"/>
            <w:hideMark/>
          </w:tcPr>
          <w:p w14:paraId="7446E614" w14:textId="77777777" w:rsidR="006C686E" w:rsidRDefault="00B17E8C">
            <w:pPr>
              <w:pStyle w:val="P68B1DB1-Normal60"/>
              <w:spacing w:after="0" w:line="276" w:lineRule="auto"/>
              <w:jc w:val="center"/>
              <w:rPr>
                <w:noProof/>
              </w:rPr>
            </w:pPr>
            <w:r>
              <w:rPr>
                <w:noProof/>
              </w:rPr>
              <w:t>20.3</w:t>
            </w:r>
          </w:p>
        </w:tc>
        <w:tc>
          <w:tcPr>
            <w:tcW w:w="1760" w:type="dxa"/>
            <w:shd w:val="clear" w:color="auto" w:fill="C4EFCE"/>
            <w:vAlign w:val="center"/>
            <w:hideMark/>
          </w:tcPr>
          <w:p w14:paraId="5EF5775D" w14:textId="77777777" w:rsidR="006C686E" w:rsidRDefault="00B17E8C">
            <w:pPr>
              <w:pStyle w:val="P68B1DB1-Normal60"/>
              <w:spacing w:after="0" w:line="276" w:lineRule="auto"/>
              <w:jc w:val="center"/>
              <w:rPr>
                <w:noProof/>
              </w:rPr>
            </w:pPr>
            <w:r>
              <w:rPr>
                <w:noProof/>
              </w:rPr>
              <w:t xml:space="preserve">TD-C20-i01 </w:t>
            </w:r>
          </w:p>
        </w:tc>
        <w:tc>
          <w:tcPr>
            <w:tcW w:w="1520" w:type="dxa"/>
            <w:shd w:val="clear" w:color="auto" w:fill="C4EFCE"/>
            <w:vAlign w:val="center"/>
            <w:hideMark/>
          </w:tcPr>
          <w:p w14:paraId="09F10C6C"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7F763258" w14:textId="77777777" w:rsidR="006C686E" w:rsidRDefault="00B17E8C">
            <w:pPr>
              <w:pStyle w:val="P68B1DB1-Normal60"/>
              <w:spacing w:after="0" w:line="276" w:lineRule="auto"/>
              <w:jc w:val="both"/>
              <w:rPr>
                <w:noProof/>
              </w:rPr>
            </w:pPr>
            <w:r>
              <w:rPr>
                <w:noProof/>
              </w:rPr>
              <w:t>Ordinateurs à usage individuel pour les élèves et les enseignants</w:t>
            </w:r>
          </w:p>
        </w:tc>
      </w:tr>
      <w:tr w:rsidR="006C686E" w14:paraId="71B4BFFE" w14:textId="77777777">
        <w:trPr>
          <w:trHeight w:val="440"/>
        </w:trPr>
        <w:tc>
          <w:tcPr>
            <w:tcW w:w="1200" w:type="dxa"/>
            <w:shd w:val="clear" w:color="auto" w:fill="C4EFCE"/>
            <w:vAlign w:val="center"/>
            <w:hideMark/>
          </w:tcPr>
          <w:p w14:paraId="7A5FE7E2" w14:textId="77777777" w:rsidR="006C686E" w:rsidRDefault="00B17E8C">
            <w:pPr>
              <w:pStyle w:val="P68B1DB1-Normal60"/>
              <w:spacing w:after="0" w:line="276" w:lineRule="auto"/>
              <w:jc w:val="center"/>
              <w:rPr>
                <w:noProof/>
              </w:rPr>
            </w:pPr>
            <w:r>
              <w:rPr>
                <w:noProof/>
              </w:rPr>
              <w:t>20.10</w:t>
            </w:r>
          </w:p>
        </w:tc>
        <w:tc>
          <w:tcPr>
            <w:tcW w:w="1760" w:type="dxa"/>
            <w:shd w:val="clear" w:color="auto" w:fill="C4EFCE"/>
            <w:vAlign w:val="center"/>
            <w:hideMark/>
          </w:tcPr>
          <w:p w14:paraId="4C4FD3A5" w14:textId="77777777" w:rsidR="006C686E" w:rsidRDefault="00B17E8C">
            <w:pPr>
              <w:pStyle w:val="P68B1DB1-Normal60"/>
              <w:spacing w:after="0" w:line="276" w:lineRule="auto"/>
              <w:jc w:val="center"/>
              <w:rPr>
                <w:noProof/>
              </w:rPr>
            </w:pPr>
            <w:r>
              <w:rPr>
                <w:noProof/>
              </w:rPr>
              <w:t xml:space="preserve">TD-C20-i02-RAA </w:t>
            </w:r>
          </w:p>
        </w:tc>
        <w:tc>
          <w:tcPr>
            <w:tcW w:w="1520" w:type="dxa"/>
            <w:shd w:val="clear" w:color="auto" w:fill="C4EFCE"/>
            <w:vAlign w:val="center"/>
            <w:hideMark/>
          </w:tcPr>
          <w:p w14:paraId="2D77353D"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514225E6" w14:textId="77777777" w:rsidR="006C686E" w:rsidRDefault="00B17E8C">
            <w:pPr>
              <w:pStyle w:val="P68B1DB1-Normal60"/>
              <w:spacing w:after="0" w:line="276" w:lineRule="auto"/>
              <w:jc w:val="both"/>
              <w:rPr>
                <w:noProof/>
              </w:rPr>
            </w:pPr>
            <w:r>
              <w:rPr>
                <w:noProof/>
              </w:rPr>
              <w:t>Cours en ligne ouverts et massifs pour les enseignants et les parents dans l'ARA</w:t>
            </w:r>
          </w:p>
        </w:tc>
      </w:tr>
      <w:tr w:rsidR="006C686E" w14:paraId="1FEC5BE9" w14:textId="77777777">
        <w:trPr>
          <w:trHeight w:val="440"/>
        </w:trPr>
        <w:tc>
          <w:tcPr>
            <w:tcW w:w="1200" w:type="dxa"/>
            <w:shd w:val="clear" w:color="auto" w:fill="C4EFCE"/>
            <w:vAlign w:val="center"/>
            <w:hideMark/>
          </w:tcPr>
          <w:p w14:paraId="3E367281" w14:textId="77777777" w:rsidR="006C686E" w:rsidRDefault="00B17E8C">
            <w:pPr>
              <w:pStyle w:val="P68B1DB1-Normal60"/>
              <w:spacing w:after="0" w:line="276" w:lineRule="auto"/>
              <w:jc w:val="center"/>
              <w:rPr>
                <w:noProof/>
              </w:rPr>
            </w:pPr>
            <w:r>
              <w:rPr>
                <w:noProof/>
              </w:rPr>
              <w:t>20.14</w:t>
            </w:r>
          </w:p>
        </w:tc>
        <w:tc>
          <w:tcPr>
            <w:tcW w:w="1760" w:type="dxa"/>
            <w:shd w:val="clear" w:color="auto" w:fill="C4EFCE"/>
            <w:vAlign w:val="center"/>
            <w:hideMark/>
          </w:tcPr>
          <w:p w14:paraId="49D382D3" w14:textId="77777777" w:rsidR="006C686E" w:rsidRDefault="00B17E8C">
            <w:pPr>
              <w:pStyle w:val="P68B1DB1-Normal60"/>
              <w:spacing w:after="0" w:line="276" w:lineRule="auto"/>
              <w:jc w:val="center"/>
              <w:rPr>
                <w:noProof/>
              </w:rPr>
            </w:pPr>
            <w:r>
              <w:rPr>
                <w:noProof/>
              </w:rPr>
              <w:t xml:space="preserve">TD-C20-i03-RAM </w:t>
            </w:r>
          </w:p>
        </w:tc>
        <w:tc>
          <w:tcPr>
            <w:tcW w:w="1520" w:type="dxa"/>
            <w:shd w:val="clear" w:color="auto" w:fill="C4EFCE"/>
            <w:vAlign w:val="center"/>
            <w:hideMark/>
          </w:tcPr>
          <w:p w14:paraId="524EA8D3"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2EAF8E21" w14:textId="77777777" w:rsidR="006C686E" w:rsidRDefault="00B17E8C">
            <w:pPr>
              <w:pStyle w:val="P68B1DB1-Normal60"/>
              <w:spacing w:after="0" w:line="276" w:lineRule="auto"/>
              <w:jc w:val="both"/>
              <w:rPr>
                <w:noProof/>
              </w:rPr>
            </w:pPr>
            <w:r>
              <w:rPr>
                <w:noProof/>
              </w:rPr>
              <w:t>Manuels numériques pour les élèves des 2e et 3e cycles et les élèves du secondaire</w:t>
            </w:r>
          </w:p>
        </w:tc>
      </w:tr>
      <w:tr w:rsidR="006C686E" w14:paraId="7D9390A8" w14:textId="77777777">
        <w:trPr>
          <w:trHeight w:val="440"/>
        </w:trPr>
        <w:tc>
          <w:tcPr>
            <w:tcW w:w="1200" w:type="dxa"/>
            <w:shd w:val="clear" w:color="auto" w:fill="C4EFCE"/>
            <w:vAlign w:val="center"/>
          </w:tcPr>
          <w:p w14:paraId="498EBDE7" w14:textId="77777777" w:rsidR="006C686E" w:rsidRDefault="00B17E8C">
            <w:pPr>
              <w:pStyle w:val="P68B1DB1-Normal60"/>
              <w:spacing w:after="0" w:line="276" w:lineRule="auto"/>
              <w:jc w:val="center"/>
              <w:rPr>
                <w:noProof/>
              </w:rPr>
            </w:pPr>
            <w:r>
              <w:rPr>
                <w:noProof/>
              </w:rPr>
              <w:t>22.1</w:t>
            </w:r>
          </w:p>
        </w:tc>
        <w:tc>
          <w:tcPr>
            <w:tcW w:w="1760" w:type="dxa"/>
            <w:shd w:val="clear" w:color="auto" w:fill="C4EFCE"/>
            <w:vAlign w:val="center"/>
          </w:tcPr>
          <w:p w14:paraId="041832F8" w14:textId="77777777" w:rsidR="006C686E" w:rsidRDefault="00B17E8C">
            <w:pPr>
              <w:pStyle w:val="P68B1DB1-Normal60"/>
              <w:spacing w:after="0" w:line="276" w:lineRule="auto"/>
              <w:jc w:val="center"/>
              <w:rPr>
                <w:noProof/>
              </w:rPr>
            </w:pPr>
            <w:r>
              <w:rPr>
                <w:noProof/>
              </w:rPr>
              <w:t>RE-C22-r49</w:t>
            </w:r>
          </w:p>
        </w:tc>
        <w:tc>
          <w:tcPr>
            <w:tcW w:w="1520" w:type="dxa"/>
            <w:shd w:val="clear" w:color="auto" w:fill="C4EFCE"/>
            <w:vAlign w:val="center"/>
          </w:tcPr>
          <w:p w14:paraId="2F6804B9"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448A02A0" w14:textId="77777777" w:rsidR="006C686E" w:rsidRDefault="00B17E8C">
            <w:pPr>
              <w:pStyle w:val="P68B1DB1-Normal60"/>
              <w:spacing w:after="0" w:line="276" w:lineRule="auto"/>
              <w:jc w:val="both"/>
              <w:rPr>
                <w:noProof/>
              </w:rPr>
            </w:pPr>
            <w:r>
              <w:rPr>
                <w:noProof/>
              </w:rPr>
              <w:t>Modification des contrats de financement entre l’EMRP et les organismes de mise en œuvre afin d’y inclure l’obligation d’effectuer une évaluation des risques de fraude</w:t>
            </w:r>
          </w:p>
        </w:tc>
      </w:tr>
      <w:tr w:rsidR="006C686E" w14:paraId="6513CFB5" w14:textId="77777777">
        <w:trPr>
          <w:trHeight w:val="440"/>
        </w:trPr>
        <w:tc>
          <w:tcPr>
            <w:tcW w:w="1200" w:type="dxa"/>
            <w:shd w:val="clear" w:color="auto" w:fill="C4EFCE"/>
            <w:vAlign w:val="center"/>
          </w:tcPr>
          <w:p w14:paraId="212189C0" w14:textId="77777777" w:rsidR="006C686E" w:rsidRDefault="00B17E8C">
            <w:pPr>
              <w:pStyle w:val="P68B1DB1-Normal60"/>
              <w:spacing w:after="0" w:line="276" w:lineRule="auto"/>
              <w:jc w:val="center"/>
              <w:rPr>
                <w:noProof/>
              </w:rPr>
            </w:pPr>
            <w:r>
              <w:rPr>
                <w:noProof/>
              </w:rPr>
              <w:t>22.2</w:t>
            </w:r>
          </w:p>
        </w:tc>
        <w:tc>
          <w:tcPr>
            <w:tcW w:w="1760" w:type="dxa"/>
            <w:shd w:val="clear" w:color="auto" w:fill="C4EFCE"/>
            <w:vAlign w:val="center"/>
          </w:tcPr>
          <w:p w14:paraId="1EAE4306" w14:textId="77777777" w:rsidR="006C686E" w:rsidRDefault="00B17E8C">
            <w:pPr>
              <w:pStyle w:val="P68B1DB1-Normal60"/>
              <w:spacing w:after="0" w:line="276" w:lineRule="auto"/>
              <w:jc w:val="center"/>
              <w:rPr>
                <w:noProof/>
              </w:rPr>
            </w:pPr>
            <w:r>
              <w:rPr>
                <w:noProof/>
              </w:rPr>
              <w:t>RE-C22-r49</w:t>
            </w:r>
          </w:p>
        </w:tc>
        <w:tc>
          <w:tcPr>
            <w:tcW w:w="1520" w:type="dxa"/>
            <w:shd w:val="clear" w:color="auto" w:fill="C4EFCE"/>
            <w:vAlign w:val="center"/>
          </w:tcPr>
          <w:p w14:paraId="1E4E007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3174B36B" w14:textId="77777777" w:rsidR="006C686E" w:rsidRDefault="00B17E8C">
            <w:pPr>
              <w:pStyle w:val="P68B1DB1-Normal60"/>
              <w:spacing w:after="0" w:line="276" w:lineRule="auto"/>
              <w:jc w:val="both"/>
              <w:rPr>
                <w:noProof/>
              </w:rPr>
            </w:pPr>
            <w:r>
              <w:rPr>
                <w:noProof/>
              </w:rPr>
              <w:t>Mise en place de contrôles croisés pour les doubles financements</w:t>
            </w:r>
          </w:p>
        </w:tc>
      </w:tr>
      <w:tr w:rsidR="006C686E" w14:paraId="7D8449F5" w14:textId="77777777">
        <w:trPr>
          <w:trHeight w:val="440"/>
        </w:trPr>
        <w:tc>
          <w:tcPr>
            <w:tcW w:w="1200" w:type="dxa"/>
            <w:shd w:val="clear" w:color="auto" w:fill="C4EFCE"/>
            <w:vAlign w:val="center"/>
            <w:hideMark/>
          </w:tcPr>
          <w:p w14:paraId="441449AA" w14:textId="77777777" w:rsidR="006C686E" w:rsidRDefault="00B17E8C">
            <w:pPr>
              <w:pStyle w:val="P68B1DB1-Normal60"/>
              <w:spacing w:after="0" w:line="276" w:lineRule="auto"/>
              <w:jc w:val="center"/>
              <w:rPr>
                <w:noProof/>
              </w:rPr>
            </w:pPr>
            <w:r>
              <w:rPr>
                <w:noProof/>
              </w:rPr>
              <w:t xml:space="preserve"> </w:t>
            </w:r>
          </w:p>
        </w:tc>
        <w:tc>
          <w:tcPr>
            <w:tcW w:w="1760" w:type="dxa"/>
            <w:shd w:val="clear" w:color="auto" w:fill="C4EFCE"/>
            <w:vAlign w:val="center"/>
            <w:hideMark/>
          </w:tcPr>
          <w:p w14:paraId="595AE2B6" w14:textId="77777777" w:rsidR="006C686E" w:rsidRDefault="00B17E8C">
            <w:pPr>
              <w:pStyle w:val="P68B1DB1-Normal60"/>
              <w:spacing w:after="0" w:line="276" w:lineRule="auto"/>
              <w:rPr>
                <w:noProof/>
              </w:rPr>
            </w:pPr>
            <w:r>
              <w:rPr>
                <w:noProof/>
              </w:rPr>
              <w:t xml:space="preserve"> </w:t>
            </w:r>
          </w:p>
        </w:tc>
        <w:tc>
          <w:tcPr>
            <w:tcW w:w="1520" w:type="dxa"/>
            <w:shd w:val="clear" w:color="auto" w:fill="C4EFCE"/>
            <w:vAlign w:val="center"/>
            <w:hideMark/>
          </w:tcPr>
          <w:p w14:paraId="0EB845CC" w14:textId="77777777" w:rsidR="006C686E" w:rsidRDefault="00B17E8C">
            <w:pPr>
              <w:pStyle w:val="P68B1DB1-Normal60"/>
              <w:spacing w:after="0" w:line="276" w:lineRule="auto"/>
              <w:jc w:val="center"/>
              <w:rPr>
                <w:noProof/>
              </w:rPr>
            </w:pPr>
            <w:r>
              <w:rPr>
                <w:noProof/>
              </w:rPr>
              <w:t xml:space="preserve">Montant des acomptes provisionnels </w:t>
            </w:r>
          </w:p>
        </w:tc>
        <w:tc>
          <w:tcPr>
            <w:tcW w:w="5060" w:type="dxa"/>
            <w:shd w:val="clear" w:color="auto" w:fill="C4EFCE"/>
            <w:vAlign w:val="center"/>
            <w:hideMark/>
          </w:tcPr>
          <w:p w14:paraId="4E5A693E" w14:textId="6CCBA646" w:rsidR="006C686E" w:rsidRDefault="00B17E8C">
            <w:pPr>
              <w:pStyle w:val="P68B1DB1-Normal61"/>
              <w:spacing w:after="0" w:line="276" w:lineRule="auto"/>
              <w:jc w:val="center"/>
              <w:rPr>
                <w:iCs/>
                <w:noProof/>
                <w:sz w:val="20"/>
                <w:szCs w:val="20"/>
              </w:rPr>
            </w:pPr>
            <w:r>
              <w:rPr>
                <w:noProof/>
              </w:rPr>
              <w:t>2 010 220 573 EUR</w:t>
            </w:r>
          </w:p>
        </w:tc>
      </w:tr>
    </w:tbl>
    <w:p w14:paraId="5716456C"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p w14:paraId="0C721F2C" w14:textId="77777777" w:rsidR="006C686E" w:rsidRDefault="00B17E8C">
      <w:pPr>
        <w:pStyle w:val="P68B1DB1-Normal4"/>
        <w:keepNext/>
        <w:keepLines/>
        <w:numPr>
          <w:ilvl w:val="1"/>
          <w:numId w:val="71"/>
        </w:numPr>
        <w:spacing w:before="40" w:after="200" w:line="276" w:lineRule="auto"/>
        <w:contextualSpacing/>
        <w:jc w:val="both"/>
        <w:rPr>
          <w:rFonts w:eastAsia="Times New Roman"/>
          <w:noProof/>
        </w:rPr>
      </w:pPr>
      <w:r>
        <w:rPr>
          <w:noProof/>
        </w:rPr>
        <w:t xml:space="preserve">Quatrième tranche (soutien non remboursable): </w:t>
      </w:r>
    </w:p>
    <w:p w14:paraId="112293C9" w14:textId="77777777" w:rsidR="006C686E" w:rsidRDefault="006C686E">
      <w:pPr>
        <w:keepNext/>
        <w:keepLines/>
        <w:spacing w:before="40"/>
        <w:contextualSpacing/>
        <w:jc w:val="both"/>
        <w:rPr>
          <w:rFonts w:ascii="Times New Roman" w:eastAsia="Times New Roman" w:hAnsi="Times New Roman" w:cs="Times New Roman"/>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798BEE79" w14:textId="77777777">
        <w:trPr>
          <w:trHeight w:val="1018"/>
        </w:trPr>
        <w:tc>
          <w:tcPr>
            <w:tcW w:w="1200" w:type="dxa"/>
            <w:shd w:val="clear" w:color="auto" w:fill="BDD7EE"/>
            <w:vAlign w:val="center"/>
            <w:hideMark/>
          </w:tcPr>
          <w:p w14:paraId="768C2D5B" w14:textId="77777777" w:rsidR="006C686E" w:rsidRDefault="00B17E8C">
            <w:pPr>
              <w:pStyle w:val="P68B1DB1-Normal59"/>
              <w:keepNext/>
              <w:keepLines/>
              <w:spacing w:after="0" w:line="240" w:lineRule="auto"/>
              <w:jc w:val="center"/>
              <w:rPr>
                <w:rFonts w:eastAsia="Times New Roman"/>
                <w:bCs/>
                <w:noProof/>
              </w:rPr>
            </w:pPr>
            <w:r>
              <w:rPr>
                <w:noProof/>
              </w:rPr>
              <w:t>Numéro séquentiel</w:t>
            </w:r>
          </w:p>
        </w:tc>
        <w:tc>
          <w:tcPr>
            <w:tcW w:w="1760" w:type="dxa"/>
            <w:shd w:val="clear" w:color="auto" w:fill="BDD7EE"/>
            <w:vAlign w:val="center"/>
            <w:hideMark/>
          </w:tcPr>
          <w:p w14:paraId="7AB4E3C2" w14:textId="77777777" w:rsidR="006C686E" w:rsidRDefault="00B17E8C">
            <w:pPr>
              <w:pStyle w:val="P68B1DB1-Normal59"/>
              <w:keepNext/>
              <w:keepLines/>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hideMark/>
          </w:tcPr>
          <w:p w14:paraId="0892724E" w14:textId="77777777" w:rsidR="006C686E" w:rsidRDefault="00B17E8C">
            <w:pPr>
              <w:pStyle w:val="P68B1DB1-Normal59"/>
              <w:keepNext/>
              <w:keepLines/>
              <w:spacing w:after="0" w:line="240" w:lineRule="auto"/>
              <w:jc w:val="center"/>
              <w:rPr>
                <w:rFonts w:eastAsia="Times New Roman"/>
                <w:bCs/>
                <w:noProof/>
              </w:rPr>
            </w:pPr>
            <w:r>
              <w:rPr>
                <w:noProof/>
              </w:rPr>
              <w:t>Étape/cible</w:t>
            </w:r>
          </w:p>
        </w:tc>
        <w:tc>
          <w:tcPr>
            <w:tcW w:w="5060" w:type="dxa"/>
            <w:shd w:val="clear" w:color="auto" w:fill="BDD7EE"/>
            <w:vAlign w:val="center"/>
            <w:hideMark/>
          </w:tcPr>
          <w:p w14:paraId="7537D24E" w14:textId="77777777" w:rsidR="006C686E" w:rsidRDefault="00B17E8C">
            <w:pPr>
              <w:pStyle w:val="P68B1DB1-Normal59"/>
              <w:keepNext/>
              <w:keepLines/>
              <w:spacing w:after="0" w:line="240" w:lineRule="auto"/>
              <w:jc w:val="center"/>
              <w:rPr>
                <w:rFonts w:eastAsia="Times New Roman"/>
                <w:bCs/>
                <w:noProof/>
              </w:rPr>
            </w:pPr>
            <w:r>
              <w:rPr>
                <w:noProof/>
              </w:rPr>
              <w:t>Nom</w:t>
            </w:r>
          </w:p>
        </w:tc>
      </w:tr>
      <w:tr w:rsidR="006C686E" w14:paraId="0BFA29C5" w14:textId="77777777">
        <w:trPr>
          <w:trHeight w:val="440"/>
        </w:trPr>
        <w:tc>
          <w:tcPr>
            <w:tcW w:w="1200" w:type="dxa"/>
            <w:shd w:val="clear" w:color="auto" w:fill="C4EFCE"/>
            <w:vAlign w:val="center"/>
            <w:hideMark/>
          </w:tcPr>
          <w:p w14:paraId="084886C8" w14:textId="77777777" w:rsidR="006C686E" w:rsidRDefault="00B17E8C">
            <w:pPr>
              <w:pStyle w:val="P68B1DB1-Normal60"/>
              <w:spacing w:after="0" w:line="276" w:lineRule="auto"/>
              <w:jc w:val="center"/>
              <w:rPr>
                <w:noProof/>
              </w:rPr>
            </w:pPr>
            <w:r>
              <w:rPr>
                <w:noProof/>
              </w:rPr>
              <w:t>1.1</w:t>
            </w:r>
          </w:p>
        </w:tc>
        <w:tc>
          <w:tcPr>
            <w:tcW w:w="1760" w:type="dxa"/>
            <w:shd w:val="clear" w:color="auto" w:fill="C4EFCE"/>
            <w:vAlign w:val="center"/>
            <w:hideMark/>
          </w:tcPr>
          <w:p w14:paraId="61674CA5" w14:textId="2B75FE9C" w:rsidR="006C686E" w:rsidRDefault="00B17E8C">
            <w:pPr>
              <w:pStyle w:val="P68B1DB1-Normal60"/>
              <w:spacing w:after="0" w:line="276" w:lineRule="auto"/>
              <w:jc w:val="center"/>
              <w:rPr>
                <w:noProof/>
              </w:rPr>
            </w:pPr>
            <w:r>
              <w:rPr>
                <w:noProof/>
              </w:rPr>
              <w:t>RE-C01-r01</w:t>
            </w:r>
          </w:p>
        </w:tc>
        <w:tc>
          <w:tcPr>
            <w:tcW w:w="1520" w:type="dxa"/>
            <w:shd w:val="clear" w:color="auto" w:fill="C4EFCE"/>
            <w:vAlign w:val="center"/>
            <w:hideMark/>
          </w:tcPr>
          <w:p w14:paraId="52F4334D"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D60F73F" w14:textId="77777777" w:rsidR="006C686E" w:rsidRDefault="00B17E8C">
            <w:pPr>
              <w:pStyle w:val="P68B1DB1-Normal60"/>
              <w:spacing w:after="0" w:line="276" w:lineRule="auto"/>
              <w:jc w:val="both"/>
              <w:rPr>
                <w:noProof/>
              </w:rPr>
            </w:pPr>
            <w:r>
              <w:rPr>
                <w:noProof/>
              </w:rPr>
              <w:t>Entrée en vigueur des actes juridiques dans le domaine des soins de santé primaires</w:t>
            </w:r>
          </w:p>
        </w:tc>
      </w:tr>
      <w:tr w:rsidR="006C686E" w14:paraId="369A7012" w14:textId="77777777">
        <w:trPr>
          <w:trHeight w:val="440"/>
        </w:trPr>
        <w:tc>
          <w:tcPr>
            <w:tcW w:w="1200" w:type="dxa"/>
            <w:shd w:val="clear" w:color="auto" w:fill="C4EFCE"/>
            <w:vAlign w:val="center"/>
            <w:hideMark/>
          </w:tcPr>
          <w:p w14:paraId="1721240A" w14:textId="77777777" w:rsidR="006C686E" w:rsidRDefault="00B17E8C">
            <w:pPr>
              <w:pStyle w:val="P68B1DB1-Normal60"/>
              <w:spacing w:after="0" w:line="276" w:lineRule="auto"/>
              <w:jc w:val="center"/>
              <w:rPr>
                <w:noProof/>
              </w:rPr>
            </w:pPr>
            <w:r>
              <w:rPr>
                <w:noProof/>
              </w:rPr>
              <w:t>1.5</w:t>
            </w:r>
          </w:p>
        </w:tc>
        <w:tc>
          <w:tcPr>
            <w:tcW w:w="1760" w:type="dxa"/>
            <w:shd w:val="clear" w:color="auto" w:fill="C4EFCE"/>
            <w:vAlign w:val="center"/>
            <w:hideMark/>
          </w:tcPr>
          <w:p w14:paraId="6D705352" w14:textId="68B57D10" w:rsidR="006C686E" w:rsidRDefault="00B17E8C">
            <w:pPr>
              <w:pStyle w:val="P68B1DB1-Normal60"/>
              <w:spacing w:after="0" w:line="276" w:lineRule="auto"/>
              <w:jc w:val="center"/>
              <w:rPr>
                <w:noProof/>
              </w:rPr>
            </w:pPr>
            <w:r>
              <w:rPr>
                <w:noProof/>
              </w:rPr>
              <w:t>RE-C01-r02</w:t>
            </w:r>
          </w:p>
        </w:tc>
        <w:tc>
          <w:tcPr>
            <w:tcW w:w="1520" w:type="dxa"/>
            <w:shd w:val="clear" w:color="auto" w:fill="C4EFCE"/>
            <w:vAlign w:val="center"/>
            <w:hideMark/>
          </w:tcPr>
          <w:p w14:paraId="093959C4"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8357A1C" w14:textId="77777777" w:rsidR="006C686E" w:rsidRDefault="00B17E8C">
            <w:pPr>
              <w:pStyle w:val="P68B1DB1-Normal60"/>
              <w:spacing w:after="0" w:line="276" w:lineRule="auto"/>
              <w:jc w:val="both"/>
              <w:rPr>
                <w:noProof/>
              </w:rPr>
            </w:pPr>
            <w:r>
              <w:rPr>
                <w:noProof/>
              </w:rPr>
              <w:t>Entrée en vigueur de la nouvelle loi sur la santé mentale, qui établit les principes relatifs aux droits des personnes atteintes de maladie mentale et réglemente l'hospitalisation ou le traitement obligatoire</w:t>
            </w:r>
          </w:p>
        </w:tc>
      </w:tr>
      <w:tr w:rsidR="006C686E" w14:paraId="189E2E3D" w14:textId="77777777">
        <w:trPr>
          <w:trHeight w:val="440"/>
        </w:trPr>
        <w:tc>
          <w:tcPr>
            <w:tcW w:w="1200" w:type="dxa"/>
            <w:shd w:val="clear" w:color="auto" w:fill="C4EFCE"/>
            <w:vAlign w:val="center"/>
            <w:hideMark/>
          </w:tcPr>
          <w:p w14:paraId="5DCA2B98" w14:textId="77777777" w:rsidR="006C686E" w:rsidRDefault="00B17E8C">
            <w:pPr>
              <w:pStyle w:val="P68B1DB1-Normal60"/>
              <w:spacing w:after="0" w:line="276" w:lineRule="auto"/>
              <w:jc w:val="center"/>
              <w:rPr>
                <w:noProof/>
              </w:rPr>
            </w:pPr>
            <w:r>
              <w:rPr>
                <w:noProof/>
              </w:rPr>
              <w:t>1.12</w:t>
            </w:r>
          </w:p>
        </w:tc>
        <w:tc>
          <w:tcPr>
            <w:tcW w:w="1760" w:type="dxa"/>
            <w:shd w:val="clear" w:color="auto" w:fill="C4EFCE"/>
            <w:vAlign w:val="center"/>
            <w:hideMark/>
          </w:tcPr>
          <w:p w14:paraId="2FF743E1" w14:textId="2C4D23C3" w:rsidR="006C686E" w:rsidRDefault="00B17E8C">
            <w:pPr>
              <w:pStyle w:val="P68B1DB1-Normal60"/>
              <w:spacing w:after="0" w:line="276" w:lineRule="auto"/>
              <w:jc w:val="center"/>
              <w:rPr>
                <w:noProof/>
              </w:rPr>
            </w:pPr>
            <w:r>
              <w:rPr>
                <w:noProof/>
              </w:rPr>
              <w:t>RE-C01-r03</w:t>
            </w:r>
          </w:p>
        </w:tc>
        <w:tc>
          <w:tcPr>
            <w:tcW w:w="1520" w:type="dxa"/>
            <w:shd w:val="clear" w:color="auto" w:fill="C4EFCE"/>
            <w:vAlign w:val="center"/>
            <w:hideMark/>
          </w:tcPr>
          <w:p w14:paraId="3BF3EA87"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7790414" w14:textId="77777777" w:rsidR="006C686E" w:rsidRDefault="00B17E8C">
            <w:pPr>
              <w:pStyle w:val="P68B1DB1-Normal60"/>
              <w:spacing w:after="0" w:line="276" w:lineRule="auto"/>
              <w:jc w:val="both"/>
              <w:rPr>
                <w:noProof/>
              </w:rPr>
            </w:pPr>
            <w:r>
              <w:rPr>
                <w:noProof/>
              </w:rPr>
              <w:t>Entrée en vigueur du nouveau régime d'engagement total au sein du Service national de santé</w:t>
            </w:r>
          </w:p>
        </w:tc>
      </w:tr>
      <w:tr w:rsidR="006C686E" w14:paraId="274F7DA0" w14:textId="77777777">
        <w:trPr>
          <w:trHeight w:val="440"/>
        </w:trPr>
        <w:tc>
          <w:tcPr>
            <w:tcW w:w="1200" w:type="dxa"/>
            <w:shd w:val="clear" w:color="auto" w:fill="C4EFCE"/>
            <w:vAlign w:val="center"/>
            <w:hideMark/>
          </w:tcPr>
          <w:p w14:paraId="07608BC4" w14:textId="77777777" w:rsidR="006C686E" w:rsidRDefault="00B17E8C">
            <w:pPr>
              <w:pStyle w:val="P68B1DB1-Normal60"/>
              <w:spacing w:after="0" w:line="276" w:lineRule="auto"/>
              <w:jc w:val="center"/>
              <w:rPr>
                <w:noProof/>
              </w:rPr>
            </w:pPr>
            <w:r>
              <w:rPr>
                <w:noProof/>
              </w:rPr>
              <w:t>5.39</w:t>
            </w:r>
          </w:p>
        </w:tc>
        <w:tc>
          <w:tcPr>
            <w:tcW w:w="1760" w:type="dxa"/>
            <w:shd w:val="clear" w:color="auto" w:fill="C4EFCE"/>
            <w:vAlign w:val="center"/>
            <w:hideMark/>
          </w:tcPr>
          <w:p w14:paraId="1DDE9B1F" w14:textId="0C303BAD" w:rsidR="006C686E" w:rsidRDefault="00B17E8C">
            <w:pPr>
              <w:pStyle w:val="P68B1DB1-Normal60"/>
              <w:spacing w:after="0" w:line="276" w:lineRule="auto"/>
              <w:jc w:val="center"/>
              <w:rPr>
                <w:noProof/>
              </w:rPr>
            </w:pPr>
            <w:r>
              <w:rPr>
                <w:noProof/>
              </w:rPr>
              <w:t>RE-C05-i09</w:t>
            </w:r>
          </w:p>
        </w:tc>
        <w:tc>
          <w:tcPr>
            <w:tcW w:w="1520" w:type="dxa"/>
            <w:shd w:val="clear" w:color="auto" w:fill="C4EFCE"/>
            <w:vAlign w:val="center"/>
            <w:hideMark/>
          </w:tcPr>
          <w:p w14:paraId="7FF1C196"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789C82B6" w14:textId="77777777" w:rsidR="006C686E" w:rsidRDefault="00B17E8C">
            <w:pPr>
              <w:pStyle w:val="P68B1DB1-Normal60"/>
              <w:spacing w:after="0" w:line="276" w:lineRule="auto"/>
              <w:jc w:val="both"/>
              <w:rPr>
                <w:noProof/>
              </w:rPr>
            </w:pPr>
            <w:r>
              <w:rPr>
                <w:noProof/>
              </w:rPr>
              <w:t>Conclusion de contrats pour développer de nouveaux produits, procédés ou services dans des domaines stratégiques pertinents (programmes d’innovation).</w:t>
            </w:r>
          </w:p>
        </w:tc>
      </w:tr>
      <w:tr w:rsidR="006C686E" w14:paraId="062D67A9" w14:textId="77777777">
        <w:trPr>
          <w:trHeight w:val="440"/>
        </w:trPr>
        <w:tc>
          <w:tcPr>
            <w:tcW w:w="1200" w:type="dxa"/>
            <w:shd w:val="clear" w:color="auto" w:fill="C4EFCE"/>
            <w:vAlign w:val="center"/>
            <w:hideMark/>
          </w:tcPr>
          <w:p w14:paraId="2F932031" w14:textId="77777777" w:rsidR="006C686E" w:rsidRDefault="00B17E8C">
            <w:pPr>
              <w:pStyle w:val="P68B1DB1-Normal60"/>
              <w:spacing w:after="0" w:line="276" w:lineRule="auto"/>
              <w:jc w:val="center"/>
              <w:rPr>
                <w:noProof/>
              </w:rPr>
            </w:pPr>
            <w:r>
              <w:rPr>
                <w:noProof/>
              </w:rPr>
              <w:t>5.41</w:t>
            </w:r>
          </w:p>
        </w:tc>
        <w:tc>
          <w:tcPr>
            <w:tcW w:w="1760" w:type="dxa"/>
            <w:shd w:val="clear" w:color="auto" w:fill="C4EFCE"/>
            <w:vAlign w:val="center"/>
            <w:hideMark/>
          </w:tcPr>
          <w:p w14:paraId="3A46D310" w14:textId="316E1C96" w:rsidR="006C686E" w:rsidRDefault="00B17E8C">
            <w:pPr>
              <w:pStyle w:val="P68B1DB1-Normal60"/>
              <w:spacing w:after="0" w:line="276" w:lineRule="auto"/>
              <w:jc w:val="center"/>
              <w:rPr>
                <w:noProof/>
              </w:rPr>
            </w:pPr>
            <w:r>
              <w:rPr>
                <w:noProof/>
              </w:rPr>
              <w:t>RE-C05-i10</w:t>
            </w:r>
          </w:p>
        </w:tc>
        <w:tc>
          <w:tcPr>
            <w:tcW w:w="1520" w:type="dxa"/>
            <w:shd w:val="clear" w:color="auto" w:fill="C4EFCE"/>
            <w:vAlign w:val="center"/>
            <w:hideMark/>
          </w:tcPr>
          <w:p w14:paraId="4A1BEFCB"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2CCB1690" w14:textId="77777777" w:rsidR="006C686E" w:rsidRDefault="00B17E8C">
            <w:pPr>
              <w:pStyle w:val="P68B1DB1-Normal60"/>
              <w:spacing w:after="0" w:line="276" w:lineRule="auto"/>
              <w:jc w:val="both"/>
              <w:rPr>
                <w:noProof/>
              </w:rPr>
            </w:pPr>
            <w:r>
              <w:rPr>
                <w:noProof/>
              </w:rPr>
              <w:t>Conclusion de contrats pour développer de nouveaux produits, procédés ou services dans des domaines stratégiques liés à l’économie à faible intensité de carbone, à la résilience et à l’adaptation au changement climatique.</w:t>
            </w:r>
          </w:p>
        </w:tc>
      </w:tr>
      <w:tr w:rsidR="006C686E" w14:paraId="62600AB9" w14:textId="77777777">
        <w:trPr>
          <w:trHeight w:val="440"/>
        </w:trPr>
        <w:tc>
          <w:tcPr>
            <w:tcW w:w="1200" w:type="dxa"/>
            <w:shd w:val="clear" w:color="auto" w:fill="C4EFCE"/>
            <w:vAlign w:val="center"/>
            <w:hideMark/>
          </w:tcPr>
          <w:p w14:paraId="16EE6D9A" w14:textId="77777777" w:rsidR="006C686E" w:rsidRDefault="00B17E8C">
            <w:pPr>
              <w:pStyle w:val="P68B1DB1-Normal60"/>
              <w:spacing w:after="0" w:line="276" w:lineRule="auto"/>
              <w:jc w:val="center"/>
              <w:rPr>
                <w:noProof/>
              </w:rPr>
            </w:pPr>
            <w:r>
              <w:rPr>
                <w:noProof/>
              </w:rPr>
              <w:t>6.16</w:t>
            </w:r>
          </w:p>
        </w:tc>
        <w:tc>
          <w:tcPr>
            <w:tcW w:w="1760" w:type="dxa"/>
            <w:shd w:val="clear" w:color="auto" w:fill="C4EFCE"/>
            <w:vAlign w:val="center"/>
            <w:hideMark/>
          </w:tcPr>
          <w:p w14:paraId="53EF710E" w14:textId="332B12B1" w:rsidR="006C686E" w:rsidRDefault="00B17E8C">
            <w:pPr>
              <w:pStyle w:val="P68B1DB1-Normal60"/>
              <w:spacing w:after="0" w:line="276" w:lineRule="auto"/>
              <w:jc w:val="center"/>
              <w:rPr>
                <w:noProof/>
              </w:rPr>
            </w:pPr>
            <w:r>
              <w:rPr>
                <w:noProof/>
              </w:rPr>
              <w:t>RE-C06-r17</w:t>
            </w:r>
          </w:p>
        </w:tc>
        <w:tc>
          <w:tcPr>
            <w:tcW w:w="1520" w:type="dxa"/>
            <w:shd w:val="clear" w:color="auto" w:fill="C4EFCE"/>
            <w:vAlign w:val="center"/>
            <w:hideMark/>
          </w:tcPr>
          <w:p w14:paraId="23D10433"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49AD166" w14:textId="77777777" w:rsidR="006C686E" w:rsidRDefault="00B17E8C">
            <w:pPr>
              <w:pStyle w:val="P68B1DB1-Normal60"/>
              <w:spacing w:after="0" w:line="276" w:lineRule="auto"/>
              <w:jc w:val="both"/>
              <w:rPr>
                <w:noProof/>
              </w:rPr>
            </w:pPr>
            <w:r>
              <w:rPr>
                <w:noProof/>
              </w:rPr>
              <w:t>Entrée en vigueur de la loi régissant le travail via une plateforme</w:t>
            </w:r>
          </w:p>
        </w:tc>
      </w:tr>
      <w:tr w:rsidR="006C686E" w14:paraId="6B0CCF76" w14:textId="77777777">
        <w:trPr>
          <w:trHeight w:val="440"/>
        </w:trPr>
        <w:tc>
          <w:tcPr>
            <w:tcW w:w="1200" w:type="dxa"/>
            <w:shd w:val="clear" w:color="auto" w:fill="C4EFCE"/>
            <w:vAlign w:val="center"/>
            <w:hideMark/>
          </w:tcPr>
          <w:p w14:paraId="19883ECA" w14:textId="77777777" w:rsidR="006C686E" w:rsidRDefault="00B17E8C">
            <w:pPr>
              <w:pStyle w:val="P68B1DB1-Normal60"/>
              <w:spacing w:after="0" w:line="276" w:lineRule="auto"/>
              <w:jc w:val="center"/>
              <w:rPr>
                <w:noProof/>
              </w:rPr>
            </w:pPr>
            <w:r>
              <w:rPr>
                <w:noProof/>
              </w:rPr>
              <w:t>8.10</w:t>
            </w:r>
          </w:p>
        </w:tc>
        <w:tc>
          <w:tcPr>
            <w:tcW w:w="1760" w:type="dxa"/>
            <w:shd w:val="clear" w:color="auto" w:fill="C4EFCE"/>
            <w:vAlign w:val="center"/>
            <w:hideMark/>
          </w:tcPr>
          <w:p w14:paraId="1ADD8E39" w14:textId="346E1EC6" w:rsidR="006C686E" w:rsidRDefault="00B17E8C">
            <w:pPr>
              <w:pStyle w:val="P68B1DB1-Normal60"/>
              <w:spacing w:after="0" w:line="276" w:lineRule="auto"/>
              <w:jc w:val="center"/>
              <w:rPr>
                <w:noProof/>
              </w:rPr>
            </w:pPr>
            <w:r>
              <w:rPr>
                <w:noProof/>
              </w:rPr>
              <w:t>RE-C08-i04</w:t>
            </w:r>
          </w:p>
        </w:tc>
        <w:tc>
          <w:tcPr>
            <w:tcW w:w="1520" w:type="dxa"/>
            <w:shd w:val="clear" w:color="auto" w:fill="C4EFCE"/>
            <w:vAlign w:val="center"/>
            <w:hideMark/>
          </w:tcPr>
          <w:p w14:paraId="40A5D515"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4EC5F32" w14:textId="77777777" w:rsidR="006C686E" w:rsidRDefault="00B17E8C">
            <w:pPr>
              <w:pStyle w:val="P68B1DB1-Normal60"/>
              <w:spacing w:after="0" w:line="276" w:lineRule="auto"/>
              <w:jc w:val="both"/>
              <w:rPr>
                <w:noProof/>
              </w:rPr>
            </w:pPr>
            <w:r>
              <w:rPr>
                <w:noProof/>
              </w:rPr>
              <w:t>Livraison de véhicules, machines et équipements</w:t>
            </w:r>
          </w:p>
        </w:tc>
      </w:tr>
      <w:tr w:rsidR="006C686E" w14:paraId="7746F114" w14:textId="77777777">
        <w:trPr>
          <w:trHeight w:val="440"/>
        </w:trPr>
        <w:tc>
          <w:tcPr>
            <w:tcW w:w="1200" w:type="dxa"/>
            <w:shd w:val="clear" w:color="auto" w:fill="C4EFCE"/>
            <w:vAlign w:val="center"/>
            <w:hideMark/>
          </w:tcPr>
          <w:p w14:paraId="657FDAF3" w14:textId="77777777" w:rsidR="006C686E" w:rsidRDefault="00B17E8C">
            <w:pPr>
              <w:pStyle w:val="P68B1DB1-Normal60"/>
              <w:spacing w:after="0" w:line="276" w:lineRule="auto"/>
              <w:jc w:val="center"/>
              <w:rPr>
                <w:noProof/>
              </w:rPr>
            </w:pPr>
            <w:r>
              <w:rPr>
                <w:noProof/>
              </w:rPr>
              <w:t>17.22</w:t>
            </w:r>
          </w:p>
        </w:tc>
        <w:tc>
          <w:tcPr>
            <w:tcW w:w="1760" w:type="dxa"/>
            <w:shd w:val="clear" w:color="auto" w:fill="C4EFCE"/>
            <w:vAlign w:val="center"/>
            <w:hideMark/>
          </w:tcPr>
          <w:p w14:paraId="74FF8A7E" w14:textId="77777777" w:rsidR="006C686E" w:rsidRDefault="00B17E8C">
            <w:pPr>
              <w:pStyle w:val="P68B1DB1-Normal60"/>
              <w:spacing w:after="0" w:line="276" w:lineRule="auto"/>
              <w:jc w:val="center"/>
              <w:rPr>
                <w:noProof/>
              </w:rPr>
            </w:pPr>
            <w:r>
              <w:rPr>
                <w:noProof/>
              </w:rPr>
              <w:t>TD-C17-r40</w:t>
            </w:r>
          </w:p>
        </w:tc>
        <w:tc>
          <w:tcPr>
            <w:tcW w:w="1520" w:type="dxa"/>
            <w:shd w:val="clear" w:color="auto" w:fill="C4EFCE"/>
            <w:vAlign w:val="center"/>
            <w:hideMark/>
          </w:tcPr>
          <w:p w14:paraId="0A710B66"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DCEF2D7" w14:textId="77777777" w:rsidR="006C686E" w:rsidRDefault="00B17E8C">
            <w:pPr>
              <w:pStyle w:val="P68B1DB1-Normal60"/>
              <w:spacing w:after="0" w:line="276" w:lineRule="auto"/>
              <w:jc w:val="both"/>
              <w:rPr>
                <w:noProof/>
              </w:rPr>
            </w:pPr>
            <w:r>
              <w:rPr>
                <w:noProof/>
              </w:rPr>
              <w:t>Entrée en vigueur d’un acte juridique modifiant le cadre juridique de certains avantages fiscaux</w:t>
            </w:r>
          </w:p>
        </w:tc>
      </w:tr>
      <w:tr w:rsidR="006C686E" w14:paraId="0B3BC0B5" w14:textId="77777777">
        <w:trPr>
          <w:trHeight w:val="440"/>
        </w:trPr>
        <w:tc>
          <w:tcPr>
            <w:tcW w:w="1200" w:type="dxa"/>
            <w:shd w:val="clear" w:color="auto" w:fill="C4EFCE"/>
            <w:vAlign w:val="center"/>
            <w:hideMark/>
          </w:tcPr>
          <w:p w14:paraId="779B7756" w14:textId="77777777" w:rsidR="006C686E" w:rsidRDefault="00B17E8C">
            <w:pPr>
              <w:pStyle w:val="P68B1DB1-Normal60"/>
              <w:spacing w:after="0" w:line="276" w:lineRule="auto"/>
              <w:jc w:val="center"/>
              <w:rPr>
                <w:noProof/>
              </w:rPr>
            </w:pPr>
            <w:r>
              <w:rPr>
                <w:noProof/>
              </w:rPr>
              <w:t>18.1</w:t>
            </w:r>
          </w:p>
        </w:tc>
        <w:tc>
          <w:tcPr>
            <w:tcW w:w="1760" w:type="dxa"/>
            <w:shd w:val="clear" w:color="auto" w:fill="C4EFCE"/>
            <w:vAlign w:val="center"/>
            <w:hideMark/>
          </w:tcPr>
          <w:p w14:paraId="223E0DD0" w14:textId="1F7DD2B1" w:rsidR="006C686E" w:rsidRDefault="00B17E8C">
            <w:pPr>
              <w:pStyle w:val="P68B1DB1-Normal60"/>
              <w:spacing w:after="0" w:line="276" w:lineRule="auto"/>
              <w:jc w:val="center"/>
              <w:rPr>
                <w:noProof/>
              </w:rPr>
            </w:pPr>
            <w:r>
              <w:rPr>
                <w:noProof/>
              </w:rPr>
              <w:t>TD-C18-r33</w:t>
            </w:r>
          </w:p>
        </w:tc>
        <w:tc>
          <w:tcPr>
            <w:tcW w:w="1520" w:type="dxa"/>
            <w:shd w:val="clear" w:color="auto" w:fill="C4EFCE"/>
            <w:vAlign w:val="center"/>
            <w:hideMark/>
          </w:tcPr>
          <w:p w14:paraId="41A4A9DF"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515AA86" w14:textId="77777777" w:rsidR="006C686E" w:rsidRDefault="00B17E8C">
            <w:pPr>
              <w:pStyle w:val="P68B1DB1-Normal60"/>
              <w:spacing w:after="0" w:line="276" w:lineRule="auto"/>
              <w:jc w:val="both"/>
              <w:rPr>
                <w:noProof/>
              </w:rPr>
            </w:pPr>
            <w:r>
              <w:rPr>
                <w:noProof/>
              </w:rPr>
              <w:t>Création de chambres spécialisées dans les juridictions supérieures administratives et fiscales</w:t>
            </w:r>
          </w:p>
        </w:tc>
      </w:tr>
      <w:tr w:rsidR="006C686E" w14:paraId="6EEE7FEC" w14:textId="77777777">
        <w:trPr>
          <w:trHeight w:val="440"/>
        </w:trPr>
        <w:tc>
          <w:tcPr>
            <w:tcW w:w="1200" w:type="dxa"/>
            <w:shd w:val="clear" w:color="auto" w:fill="C4EFCE"/>
            <w:vAlign w:val="center"/>
            <w:hideMark/>
          </w:tcPr>
          <w:p w14:paraId="0E5C940F" w14:textId="77777777" w:rsidR="006C686E" w:rsidRDefault="00B17E8C">
            <w:pPr>
              <w:pStyle w:val="P68B1DB1-Normal60"/>
              <w:spacing w:after="0" w:line="276" w:lineRule="auto"/>
              <w:jc w:val="center"/>
              <w:rPr>
                <w:noProof/>
              </w:rPr>
            </w:pPr>
            <w:r>
              <w:rPr>
                <w:noProof/>
              </w:rPr>
              <w:t>18.2</w:t>
            </w:r>
          </w:p>
        </w:tc>
        <w:tc>
          <w:tcPr>
            <w:tcW w:w="1760" w:type="dxa"/>
            <w:shd w:val="clear" w:color="auto" w:fill="C4EFCE"/>
            <w:vAlign w:val="center"/>
            <w:hideMark/>
          </w:tcPr>
          <w:p w14:paraId="10A8AEB0" w14:textId="1A4C1195" w:rsidR="006C686E" w:rsidRDefault="00B17E8C">
            <w:pPr>
              <w:pStyle w:val="P68B1DB1-Normal60"/>
              <w:spacing w:after="0" w:line="276" w:lineRule="auto"/>
              <w:jc w:val="center"/>
              <w:rPr>
                <w:noProof/>
              </w:rPr>
            </w:pPr>
            <w:r>
              <w:rPr>
                <w:noProof/>
              </w:rPr>
              <w:t>TD-C18-r33</w:t>
            </w:r>
          </w:p>
        </w:tc>
        <w:tc>
          <w:tcPr>
            <w:tcW w:w="1520" w:type="dxa"/>
            <w:shd w:val="clear" w:color="auto" w:fill="C4EFCE"/>
            <w:vAlign w:val="center"/>
            <w:hideMark/>
          </w:tcPr>
          <w:p w14:paraId="324241FF"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2EAA5FC" w14:textId="77777777" w:rsidR="006C686E" w:rsidRDefault="00B17E8C">
            <w:pPr>
              <w:pStyle w:val="P68B1DB1-Normal60"/>
              <w:spacing w:after="0" w:line="276" w:lineRule="auto"/>
              <w:jc w:val="both"/>
              <w:rPr>
                <w:noProof/>
              </w:rPr>
            </w:pPr>
            <w:r>
              <w:rPr>
                <w:noProof/>
              </w:rPr>
              <w:t>Entrée en vigueur d'un régime juridique visant à encourager le règlement à l'amiable et à l'amiable</w:t>
            </w:r>
          </w:p>
        </w:tc>
      </w:tr>
      <w:tr w:rsidR="006C686E" w14:paraId="194459EB" w14:textId="77777777">
        <w:trPr>
          <w:trHeight w:val="440"/>
        </w:trPr>
        <w:tc>
          <w:tcPr>
            <w:tcW w:w="1200" w:type="dxa"/>
            <w:shd w:val="clear" w:color="auto" w:fill="C4EFCE"/>
            <w:vAlign w:val="center"/>
            <w:hideMark/>
          </w:tcPr>
          <w:p w14:paraId="4EAE7699" w14:textId="77777777" w:rsidR="006C686E" w:rsidRDefault="00B17E8C">
            <w:pPr>
              <w:pStyle w:val="P68B1DB1-Normal60"/>
              <w:spacing w:after="0" w:line="276" w:lineRule="auto"/>
              <w:jc w:val="center"/>
              <w:rPr>
                <w:noProof/>
              </w:rPr>
            </w:pPr>
            <w:r>
              <w:rPr>
                <w:noProof/>
              </w:rPr>
              <w:t xml:space="preserve"> </w:t>
            </w:r>
          </w:p>
        </w:tc>
        <w:tc>
          <w:tcPr>
            <w:tcW w:w="1760" w:type="dxa"/>
            <w:shd w:val="clear" w:color="auto" w:fill="C4EFCE"/>
            <w:vAlign w:val="center"/>
            <w:hideMark/>
          </w:tcPr>
          <w:p w14:paraId="16089AC9" w14:textId="77777777" w:rsidR="006C686E" w:rsidRDefault="00B17E8C">
            <w:pPr>
              <w:pStyle w:val="P68B1DB1-Normal60"/>
              <w:spacing w:after="0" w:line="276" w:lineRule="auto"/>
              <w:jc w:val="center"/>
              <w:rPr>
                <w:noProof/>
              </w:rPr>
            </w:pPr>
            <w:r>
              <w:rPr>
                <w:noProof/>
              </w:rPr>
              <w:t xml:space="preserve"> </w:t>
            </w:r>
          </w:p>
        </w:tc>
        <w:tc>
          <w:tcPr>
            <w:tcW w:w="1520" w:type="dxa"/>
            <w:shd w:val="clear" w:color="auto" w:fill="C4EFCE"/>
            <w:vAlign w:val="center"/>
            <w:hideMark/>
          </w:tcPr>
          <w:p w14:paraId="6326C445" w14:textId="77777777" w:rsidR="006C686E" w:rsidRDefault="00B17E8C">
            <w:pPr>
              <w:pStyle w:val="P68B1DB1-Normal60"/>
              <w:spacing w:after="0" w:line="276" w:lineRule="auto"/>
              <w:jc w:val="center"/>
              <w:rPr>
                <w:noProof/>
              </w:rPr>
            </w:pPr>
            <w:r>
              <w:rPr>
                <w:noProof/>
              </w:rPr>
              <w:t xml:space="preserve">Montant des acomptes provisionnels </w:t>
            </w:r>
          </w:p>
        </w:tc>
        <w:tc>
          <w:tcPr>
            <w:tcW w:w="5060" w:type="dxa"/>
            <w:shd w:val="clear" w:color="auto" w:fill="C4EFCE"/>
            <w:vAlign w:val="center"/>
            <w:hideMark/>
          </w:tcPr>
          <w:p w14:paraId="61446E32" w14:textId="2AB48760" w:rsidR="006C686E" w:rsidRDefault="00B17E8C">
            <w:pPr>
              <w:pStyle w:val="P68B1DB1-Normal61"/>
              <w:spacing w:after="0" w:line="276" w:lineRule="auto"/>
              <w:jc w:val="center"/>
              <w:rPr>
                <w:noProof/>
                <w:sz w:val="20"/>
                <w:szCs w:val="20"/>
              </w:rPr>
            </w:pPr>
            <w:r>
              <w:rPr>
                <w:noProof/>
              </w:rPr>
              <w:t>937 165 319 EUR</w:t>
            </w:r>
            <w:r>
              <w:rPr>
                <w:noProof/>
                <w:sz w:val="20"/>
                <w:szCs w:val="20"/>
              </w:rPr>
              <w:t xml:space="preserve"> </w:t>
            </w:r>
          </w:p>
        </w:tc>
      </w:tr>
    </w:tbl>
    <w:p w14:paraId="6E3A5978"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p w14:paraId="4F874D46"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Cinquième tranche (soutien non remboursable): </w:t>
      </w:r>
    </w:p>
    <w:p w14:paraId="14AC59DD"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52DC64E8" w14:textId="77777777">
        <w:trPr>
          <w:trHeight w:val="1018"/>
          <w:tblHeader/>
        </w:trPr>
        <w:tc>
          <w:tcPr>
            <w:tcW w:w="1200" w:type="dxa"/>
            <w:shd w:val="clear" w:color="auto" w:fill="BDD7EE"/>
            <w:vAlign w:val="center"/>
            <w:hideMark/>
          </w:tcPr>
          <w:p w14:paraId="33002830"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60" w:type="dxa"/>
            <w:shd w:val="clear" w:color="auto" w:fill="BDD7EE"/>
            <w:vAlign w:val="center"/>
            <w:hideMark/>
          </w:tcPr>
          <w:p w14:paraId="2812760E"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hideMark/>
          </w:tcPr>
          <w:p w14:paraId="6747CEE6" w14:textId="77777777" w:rsidR="006C686E" w:rsidRDefault="00B17E8C">
            <w:pPr>
              <w:pStyle w:val="P68B1DB1-Normal59"/>
              <w:spacing w:after="0" w:line="240" w:lineRule="auto"/>
              <w:jc w:val="center"/>
              <w:rPr>
                <w:rFonts w:eastAsia="Times New Roman"/>
                <w:bCs/>
                <w:noProof/>
              </w:rPr>
            </w:pPr>
            <w:r>
              <w:rPr>
                <w:noProof/>
              </w:rPr>
              <w:t>Étape/cible</w:t>
            </w:r>
          </w:p>
        </w:tc>
        <w:tc>
          <w:tcPr>
            <w:tcW w:w="5060" w:type="dxa"/>
            <w:shd w:val="clear" w:color="auto" w:fill="BDD7EE"/>
            <w:vAlign w:val="center"/>
            <w:hideMark/>
          </w:tcPr>
          <w:p w14:paraId="48D94943" w14:textId="77777777" w:rsidR="006C686E" w:rsidRDefault="00B17E8C">
            <w:pPr>
              <w:pStyle w:val="P68B1DB1-Normal59"/>
              <w:spacing w:after="0" w:line="240" w:lineRule="auto"/>
              <w:jc w:val="center"/>
              <w:rPr>
                <w:rFonts w:eastAsia="Times New Roman"/>
                <w:bCs/>
                <w:noProof/>
              </w:rPr>
            </w:pPr>
            <w:r>
              <w:rPr>
                <w:noProof/>
              </w:rPr>
              <w:t>Nom</w:t>
            </w:r>
          </w:p>
        </w:tc>
      </w:tr>
      <w:tr w:rsidR="006C686E" w14:paraId="7D2916CA" w14:textId="77777777">
        <w:trPr>
          <w:trHeight w:val="440"/>
        </w:trPr>
        <w:tc>
          <w:tcPr>
            <w:tcW w:w="1200" w:type="dxa"/>
            <w:shd w:val="clear" w:color="auto" w:fill="C4EFCE"/>
            <w:vAlign w:val="center"/>
            <w:hideMark/>
          </w:tcPr>
          <w:p w14:paraId="6C1802C1" w14:textId="77777777" w:rsidR="006C686E" w:rsidRDefault="00B17E8C">
            <w:pPr>
              <w:pStyle w:val="P68B1DB1-Normal60"/>
              <w:spacing w:after="0" w:line="276" w:lineRule="auto"/>
              <w:jc w:val="center"/>
              <w:rPr>
                <w:noProof/>
              </w:rPr>
            </w:pPr>
            <w:r>
              <w:rPr>
                <w:noProof/>
              </w:rPr>
              <w:t>1.2</w:t>
            </w:r>
          </w:p>
        </w:tc>
        <w:tc>
          <w:tcPr>
            <w:tcW w:w="1760" w:type="dxa"/>
            <w:shd w:val="clear" w:color="auto" w:fill="C4EFCE"/>
            <w:vAlign w:val="center"/>
            <w:hideMark/>
          </w:tcPr>
          <w:p w14:paraId="702E8438" w14:textId="6E403F3B" w:rsidR="006C686E" w:rsidRDefault="00B17E8C">
            <w:pPr>
              <w:pStyle w:val="P68B1DB1-Normal60"/>
              <w:spacing w:after="0" w:line="276" w:lineRule="auto"/>
              <w:jc w:val="center"/>
              <w:rPr>
                <w:noProof/>
              </w:rPr>
            </w:pPr>
            <w:r>
              <w:rPr>
                <w:noProof/>
              </w:rPr>
              <w:t>RE-C01-r01</w:t>
            </w:r>
          </w:p>
        </w:tc>
        <w:tc>
          <w:tcPr>
            <w:tcW w:w="1520" w:type="dxa"/>
            <w:shd w:val="clear" w:color="auto" w:fill="C4EFCE"/>
            <w:vAlign w:val="center"/>
            <w:hideMark/>
          </w:tcPr>
          <w:p w14:paraId="43935DF1"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0787BB4C" w14:textId="77777777" w:rsidR="006C686E" w:rsidRDefault="00B17E8C">
            <w:pPr>
              <w:pStyle w:val="P68B1DB1-Normal60"/>
              <w:spacing w:after="0" w:line="276" w:lineRule="auto"/>
              <w:jc w:val="both"/>
              <w:rPr>
                <w:noProof/>
              </w:rPr>
            </w:pPr>
            <w:r>
              <w:rPr>
                <w:noProof/>
              </w:rPr>
              <w:t>Fourniture d’un accès à l’instrument de stratification des risques pour soutenir la gouvernance clinique dans les unités fonctionnelles des groupes de centres de santé</w:t>
            </w:r>
          </w:p>
        </w:tc>
      </w:tr>
      <w:tr w:rsidR="006C686E" w14:paraId="38653108" w14:textId="77777777">
        <w:trPr>
          <w:trHeight w:val="440"/>
        </w:trPr>
        <w:tc>
          <w:tcPr>
            <w:tcW w:w="1200" w:type="dxa"/>
            <w:shd w:val="clear" w:color="auto" w:fill="C4EFCE"/>
            <w:vAlign w:val="center"/>
            <w:hideMark/>
          </w:tcPr>
          <w:p w14:paraId="28E8BA35" w14:textId="77777777" w:rsidR="006C686E" w:rsidRDefault="00B17E8C">
            <w:pPr>
              <w:pStyle w:val="P68B1DB1-Normal60"/>
              <w:spacing w:after="0" w:line="276" w:lineRule="auto"/>
              <w:jc w:val="center"/>
              <w:rPr>
                <w:noProof/>
              </w:rPr>
            </w:pPr>
            <w:r>
              <w:rPr>
                <w:noProof/>
              </w:rPr>
              <w:t>1.41</w:t>
            </w:r>
          </w:p>
        </w:tc>
        <w:tc>
          <w:tcPr>
            <w:tcW w:w="1760" w:type="dxa"/>
            <w:shd w:val="clear" w:color="auto" w:fill="C4EFCE"/>
            <w:vAlign w:val="center"/>
            <w:hideMark/>
          </w:tcPr>
          <w:p w14:paraId="033C5BF9" w14:textId="77777777" w:rsidR="006C686E" w:rsidRDefault="00B17E8C">
            <w:pPr>
              <w:pStyle w:val="P68B1DB1-Normal60"/>
              <w:spacing w:after="0" w:line="276" w:lineRule="auto"/>
              <w:jc w:val="center"/>
              <w:rPr>
                <w:noProof/>
              </w:rPr>
            </w:pPr>
            <w:r>
              <w:rPr>
                <w:noProof/>
              </w:rPr>
              <w:t>RE-C01-i10</w:t>
            </w:r>
          </w:p>
        </w:tc>
        <w:tc>
          <w:tcPr>
            <w:tcW w:w="1520" w:type="dxa"/>
            <w:shd w:val="clear" w:color="auto" w:fill="C4EFCE"/>
            <w:vAlign w:val="center"/>
            <w:hideMark/>
          </w:tcPr>
          <w:p w14:paraId="3DA11555"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7BC285C" w14:textId="77777777" w:rsidR="006C686E" w:rsidRDefault="00B17E8C">
            <w:pPr>
              <w:pStyle w:val="P68B1DB1-Normal60"/>
              <w:spacing w:after="0" w:line="276" w:lineRule="auto"/>
              <w:jc w:val="both"/>
              <w:rPr>
                <w:noProof/>
              </w:rPr>
            </w:pPr>
            <w:r>
              <w:rPr>
                <w:noProof/>
              </w:rPr>
              <w:t>Approbation du rapport identifiant les besoins du NHS en matériel médical lourd</w:t>
            </w:r>
          </w:p>
        </w:tc>
      </w:tr>
      <w:tr w:rsidR="006C686E" w14:paraId="101655D5" w14:textId="77777777">
        <w:trPr>
          <w:trHeight w:val="440"/>
        </w:trPr>
        <w:tc>
          <w:tcPr>
            <w:tcW w:w="1200" w:type="dxa"/>
            <w:shd w:val="clear" w:color="auto" w:fill="C4EFCE"/>
            <w:vAlign w:val="center"/>
            <w:hideMark/>
          </w:tcPr>
          <w:p w14:paraId="1D16D10E" w14:textId="77777777" w:rsidR="006C686E" w:rsidRDefault="00B17E8C">
            <w:pPr>
              <w:pStyle w:val="P68B1DB1-Normal60"/>
              <w:spacing w:after="0" w:line="276" w:lineRule="auto"/>
              <w:jc w:val="center"/>
              <w:rPr>
                <w:noProof/>
              </w:rPr>
            </w:pPr>
            <w:r>
              <w:rPr>
                <w:noProof/>
              </w:rPr>
              <w:t>2.2</w:t>
            </w:r>
          </w:p>
        </w:tc>
        <w:tc>
          <w:tcPr>
            <w:tcW w:w="1760" w:type="dxa"/>
            <w:shd w:val="clear" w:color="auto" w:fill="C4EFCE"/>
            <w:vAlign w:val="center"/>
            <w:hideMark/>
          </w:tcPr>
          <w:p w14:paraId="0F5ED510" w14:textId="77777777" w:rsidR="006C686E" w:rsidRDefault="00B17E8C">
            <w:pPr>
              <w:pStyle w:val="P68B1DB1-Normal60"/>
              <w:spacing w:after="0" w:line="276" w:lineRule="auto"/>
              <w:jc w:val="center"/>
              <w:rPr>
                <w:noProof/>
              </w:rPr>
            </w:pPr>
            <w:r>
              <w:rPr>
                <w:noProof/>
              </w:rPr>
              <w:t>RE-C02-i01</w:t>
            </w:r>
          </w:p>
        </w:tc>
        <w:tc>
          <w:tcPr>
            <w:tcW w:w="1520" w:type="dxa"/>
            <w:shd w:val="clear" w:color="auto" w:fill="C4EFCE"/>
            <w:vAlign w:val="center"/>
            <w:hideMark/>
          </w:tcPr>
          <w:p w14:paraId="44208B86"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2F955CD0" w14:textId="77777777" w:rsidR="006C686E" w:rsidRDefault="00B17E8C">
            <w:pPr>
              <w:pStyle w:val="P68B1DB1-Normal60"/>
              <w:spacing w:after="0" w:line="276" w:lineRule="auto"/>
              <w:jc w:val="both"/>
              <w:rPr>
                <w:noProof/>
              </w:rPr>
            </w:pPr>
            <w:r>
              <w:rPr>
                <w:noProof/>
              </w:rPr>
              <w:t>Programme d’aide à l’accès au logement – Logements achetés, construits (à haute efficacité énergétique) ou réhabilités fournis aux ménages</w:t>
            </w:r>
          </w:p>
        </w:tc>
      </w:tr>
      <w:tr w:rsidR="006C686E" w14:paraId="656C67CA" w14:textId="77777777">
        <w:trPr>
          <w:trHeight w:val="440"/>
        </w:trPr>
        <w:tc>
          <w:tcPr>
            <w:tcW w:w="1200" w:type="dxa"/>
            <w:shd w:val="clear" w:color="auto" w:fill="C4EFCE"/>
            <w:vAlign w:val="center"/>
            <w:hideMark/>
          </w:tcPr>
          <w:p w14:paraId="43E77DAF" w14:textId="77777777" w:rsidR="006C686E" w:rsidRDefault="00B17E8C">
            <w:pPr>
              <w:pStyle w:val="P68B1DB1-Normal60"/>
              <w:spacing w:after="0" w:line="276" w:lineRule="auto"/>
              <w:jc w:val="center"/>
              <w:rPr>
                <w:noProof/>
              </w:rPr>
            </w:pPr>
            <w:r>
              <w:rPr>
                <w:noProof/>
              </w:rPr>
              <w:t>2.6</w:t>
            </w:r>
          </w:p>
        </w:tc>
        <w:tc>
          <w:tcPr>
            <w:tcW w:w="1760" w:type="dxa"/>
            <w:shd w:val="clear" w:color="auto" w:fill="C4EFCE"/>
            <w:vAlign w:val="center"/>
            <w:hideMark/>
          </w:tcPr>
          <w:p w14:paraId="22CD69FC" w14:textId="77777777" w:rsidR="006C686E" w:rsidRDefault="00B17E8C">
            <w:pPr>
              <w:pStyle w:val="P68B1DB1-Normal60"/>
              <w:spacing w:after="0" w:line="276" w:lineRule="auto"/>
              <w:jc w:val="center"/>
              <w:rPr>
                <w:noProof/>
              </w:rPr>
            </w:pPr>
            <w:r>
              <w:rPr>
                <w:noProof/>
              </w:rPr>
              <w:t xml:space="preserve">RE-C02-i02 </w:t>
            </w:r>
          </w:p>
        </w:tc>
        <w:tc>
          <w:tcPr>
            <w:tcW w:w="1520" w:type="dxa"/>
            <w:shd w:val="clear" w:color="auto" w:fill="C4EFCE"/>
            <w:vAlign w:val="center"/>
            <w:hideMark/>
          </w:tcPr>
          <w:p w14:paraId="3D679FFF"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4B71BCFF" w14:textId="77777777" w:rsidR="006C686E" w:rsidRDefault="00B17E8C">
            <w:pPr>
              <w:pStyle w:val="P68B1DB1-Normal60"/>
              <w:spacing w:after="0" w:line="276" w:lineRule="auto"/>
              <w:jc w:val="both"/>
              <w:rPr>
                <w:noProof/>
              </w:rPr>
            </w:pPr>
            <w:r>
              <w:rPr>
                <w:noProof/>
              </w:rPr>
              <w:t xml:space="preserve">Subvention nationale d’urgence et d’hébergement temporaire – Logements dont les travaux ont commencé ou ont été achetés </w:t>
            </w:r>
          </w:p>
        </w:tc>
      </w:tr>
      <w:tr w:rsidR="006C686E" w14:paraId="5FD4A0D2" w14:textId="77777777">
        <w:trPr>
          <w:trHeight w:val="440"/>
        </w:trPr>
        <w:tc>
          <w:tcPr>
            <w:tcW w:w="1200" w:type="dxa"/>
            <w:shd w:val="clear" w:color="auto" w:fill="C4EFCE"/>
            <w:vAlign w:val="center"/>
            <w:hideMark/>
          </w:tcPr>
          <w:p w14:paraId="0AD69278" w14:textId="77777777" w:rsidR="006C686E" w:rsidRDefault="00B17E8C">
            <w:pPr>
              <w:pStyle w:val="P68B1DB1-Normal60"/>
              <w:spacing w:after="0" w:line="276" w:lineRule="auto"/>
              <w:jc w:val="center"/>
              <w:rPr>
                <w:noProof/>
              </w:rPr>
            </w:pPr>
            <w:r>
              <w:rPr>
                <w:noProof/>
              </w:rPr>
              <w:t>2.16</w:t>
            </w:r>
          </w:p>
        </w:tc>
        <w:tc>
          <w:tcPr>
            <w:tcW w:w="1760" w:type="dxa"/>
            <w:shd w:val="clear" w:color="auto" w:fill="C4EFCE"/>
            <w:vAlign w:val="center"/>
            <w:hideMark/>
          </w:tcPr>
          <w:p w14:paraId="64BDB027" w14:textId="300E1FC6" w:rsidR="006C686E" w:rsidRDefault="00B17E8C">
            <w:pPr>
              <w:pStyle w:val="P68B1DB1-Normal60"/>
              <w:spacing w:after="0" w:line="276" w:lineRule="auto"/>
              <w:jc w:val="center"/>
              <w:rPr>
                <w:noProof/>
              </w:rPr>
            </w:pPr>
            <w:r>
              <w:rPr>
                <w:noProof/>
              </w:rPr>
              <w:t>RE-C02-i04-RAA</w:t>
            </w:r>
          </w:p>
        </w:tc>
        <w:tc>
          <w:tcPr>
            <w:tcW w:w="1520" w:type="dxa"/>
            <w:shd w:val="clear" w:color="auto" w:fill="C4EFCE"/>
            <w:vAlign w:val="center"/>
            <w:hideMark/>
          </w:tcPr>
          <w:p w14:paraId="5C1BA899"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2C1FED05" w14:textId="77777777" w:rsidR="006C686E" w:rsidRDefault="00B17E8C">
            <w:pPr>
              <w:pStyle w:val="P68B1DB1-Normal60"/>
              <w:spacing w:after="0" w:line="276" w:lineRule="auto"/>
              <w:jc w:val="both"/>
              <w:rPr>
                <w:noProof/>
              </w:rPr>
            </w:pPr>
            <w:r>
              <w:rPr>
                <w:noProof/>
              </w:rPr>
              <w:t>Interventions dans le parc de logements sociaux de la région autonome des Açores - rénovation</w:t>
            </w:r>
          </w:p>
        </w:tc>
      </w:tr>
      <w:tr w:rsidR="006C686E" w14:paraId="7DDCF0D7" w14:textId="77777777">
        <w:trPr>
          <w:trHeight w:val="440"/>
        </w:trPr>
        <w:tc>
          <w:tcPr>
            <w:tcW w:w="1200" w:type="dxa"/>
            <w:shd w:val="clear" w:color="auto" w:fill="C4EFCE"/>
            <w:vAlign w:val="center"/>
          </w:tcPr>
          <w:p w14:paraId="7B2A877B" w14:textId="77777777" w:rsidR="006C686E" w:rsidRDefault="00B17E8C">
            <w:pPr>
              <w:pStyle w:val="P68B1DB1-Normal60"/>
              <w:spacing w:after="0" w:line="276" w:lineRule="auto"/>
              <w:jc w:val="center"/>
              <w:rPr>
                <w:noProof/>
              </w:rPr>
            </w:pPr>
            <w:r>
              <w:rPr>
                <w:noProof/>
              </w:rPr>
              <w:t>4.7</w:t>
            </w:r>
          </w:p>
        </w:tc>
        <w:tc>
          <w:tcPr>
            <w:tcW w:w="1760" w:type="dxa"/>
            <w:shd w:val="clear" w:color="auto" w:fill="C4EFCE"/>
            <w:vAlign w:val="center"/>
          </w:tcPr>
          <w:p w14:paraId="299C68CE" w14:textId="77777777" w:rsidR="006C686E" w:rsidRDefault="00B17E8C">
            <w:pPr>
              <w:pStyle w:val="P68B1DB1-Normal60"/>
              <w:spacing w:after="0" w:line="276" w:lineRule="auto"/>
              <w:jc w:val="center"/>
              <w:rPr>
                <w:noProof/>
              </w:rPr>
            </w:pPr>
            <w:r>
              <w:rPr>
                <w:noProof/>
              </w:rPr>
              <w:t>RE-C04-i02</w:t>
            </w:r>
          </w:p>
        </w:tc>
        <w:tc>
          <w:tcPr>
            <w:tcW w:w="1520" w:type="dxa"/>
            <w:shd w:val="clear" w:color="auto" w:fill="C4EFCE"/>
            <w:vAlign w:val="center"/>
          </w:tcPr>
          <w:p w14:paraId="706D68B2"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305667E8" w14:textId="77777777" w:rsidR="006C686E" w:rsidRDefault="00B17E8C">
            <w:pPr>
              <w:pStyle w:val="P68B1DB1-Normal60"/>
              <w:spacing w:after="0" w:line="276" w:lineRule="auto"/>
              <w:jc w:val="both"/>
              <w:rPr>
                <w:noProof/>
              </w:rPr>
            </w:pPr>
            <w:r>
              <w:rPr>
                <w:noProof/>
              </w:rPr>
              <w:t>Signature de contrats pour la réhabilitation et la conservation de bâtiments du patrimoine culturel et de théâtres nationaux</w:t>
            </w:r>
          </w:p>
        </w:tc>
      </w:tr>
      <w:tr w:rsidR="006C686E" w14:paraId="2CEE1D6D" w14:textId="77777777">
        <w:trPr>
          <w:trHeight w:val="440"/>
        </w:trPr>
        <w:tc>
          <w:tcPr>
            <w:tcW w:w="1200" w:type="dxa"/>
            <w:shd w:val="clear" w:color="auto" w:fill="C4EFCE"/>
            <w:vAlign w:val="center"/>
            <w:hideMark/>
          </w:tcPr>
          <w:p w14:paraId="201065D6" w14:textId="77777777" w:rsidR="006C686E" w:rsidRDefault="00B17E8C">
            <w:pPr>
              <w:pStyle w:val="P68B1DB1-Normal60"/>
              <w:spacing w:after="0" w:line="276" w:lineRule="auto"/>
              <w:jc w:val="center"/>
              <w:rPr>
                <w:noProof/>
              </w:rPr>
            </w:pPr>
            <w:r>
              <w:rPr>
                <w:noProof/>
              </w:rPr>
              <w:t>4.9</w:t>
            </w:r>
          </w:p>
        </w:tc>
        <w:tc>
          <w:tcPr>
            <w:tcW w:w="1760" w:type="dxa"/>
            <w:shd w:val="clear" w:color="auto" w:fill="C4EFCE"/>
            <w:vAlign w:val="center"/>
            <w:hideMark/>
          </w:tcPr>
          <w:p w14:paraId="301F94CA" w14:textId="0DF5D18D" w:rsidR="006C686E" w:rsidRDefault="00B17E8C">
            <w:pPr>
              <w:pStyle w:val="P68B1DB1-Normal60"/>
              <w:spacing w:after="0" w:line="276" w:lineRule="auto"/>
              <w:jc w:val="center"/>
              <w:rPr>
                <w:noProof/>
              </w:rPr>
            </w:pPr>
            <w:r>
              <w:rPr>
                <w:noProof/>
              </w:rPr>
              <w:t>RE-C04-i01</w:t>
            </w:r>
          </w:p>
        </w:tc>
        <w:tc>
          <w:tcPr>
            <w:tcW w:w="1520" w:type="dxa"/>
            <w:shd w:val="clear" w:color="auto" w:fill="C4EFCE"/>
            <w:vAlign w:val="center"/>
            <w:hideMark/>
          </w:tcPr>
          <w:p w14:paraId="469BDF40"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4D07A3B" w14:textId="77777777" w:rsidR="006C686E" w:rsidRDefault="00B17E8C">
            <w:pPr>
              <w:pStyle w:val="P68B1DB1-Normal60"/>
              <w:spacing w:after="0" w:line="276" w:lineRule="auto"/>
              <w:jc w:val="both"/>
              <w:rPr>
                <w:noProof/>
              </w:rPr>
            </w:pPr>
            <w:r>
              <w:rPr>
                <w:noProof/>
              </w:rPr>
              <w:t>Modernisation technologique de l’ANIM – Archives nationales des images en mouvement</w:t>
            </w:r>
          </w:p>
        </w:tc>
      </w:tr>
      <w:tr w:rsidR="006C686E" w14:paraId="731C7B06" w14:textId="77777777">
        <w:trPr>
          <w:trHeight w:val="440"/>
        </w:trPr>
        <w:tc>
          <w:tcPr>
            <w:tcW w:w="1200" w:type="dxa"/>
            <w:shd w:val="clear" w:color="auto" w:fill="C4EFCE"/>
            <w:vAlign w:val="center"/>
            <w:hideMark/>
          </w:tcPr>
          <w:p w14:paraId="45EB98F7" w14:textId="77777777" w:rsidR="006C686E" w:rsidRDefault="00B17E8C">
            <w:pPr>
              <w:pStyle w:val="P68B1DB1-Normal60"/>
              <w:spacing w:after="0" w:line="276" w:lineRule="auto"/>
              <w:jc w:val="center"/>
              <w:rPr>
                <w:noProof/>
              </w:rPr>
            </w:pPr>
            <w:r>
              <w:rPr>
                <w:noProof/>
              </w:rPr>
              <w:t>6.3</w:t>
            </w:r>
          </w:p>
        </w:tc>
        <w:tc>
          <w:tcPr>
            <w:tcW w:w="1760" w:type="dxa"/>
            <w:shd w:val="clear" w:color="auto" w:fill="C4EFCE"/>
            <w:vAlign w:val="center"/>
            <w:hideMark/>
          </w:tcPr>
          <w:p w14:paraId="7A5828AC" w14:textId="77777777" w:rsidR="006C686E" w:rsidRDefault="00B17E8C">
            <w:pPr>
              <w:pStyle w:val="P68B1DB1-Normal60"/>
              <w:spacing w:after="0" w:line="276" w:lineRule="auto"/>
              <w:jc w:val="center"/>
              <w:rPr>
                <w:noProof/>
              </w:rPr>
            </w:pPr>
            <w:r>
              <w:rPr>
                <w:noProof/>
              </w:rPr>
              <w:t>RE-C06-i01</w:t>
            </w:r>
          </w:p>
        </w:tc>
        <w:tc>
          <w:tcPr>
            <w:tcW w:w="1520" w:type="dxa"/>
            <w:shd w:val="clear" w:color="auto" w:fill="C4EFCE"/>
            <w:vAlign w:val="center"/>
            <w:hideMark/>
          </w:tcPr>
          <w:p w14:paraId="231D52BC"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6FBC0B4" w14:textId="77777777" w:rsidR="006C686E" w:rsidRDefault="00B17E8C">
            <w:pPr>
              <w:pStyle w:val="P68B1DB1-Normal60"/>
              <w:spacing w:after="0" w:line="276" w:lineRule="auto"/>
              <w:jc w:val="both"/>
              <w:rPr>
                <w:noProof/>
              </w:rPr>
            </w:pPr>
            <w:r>
              <w:rPr>
                <w:noProof/>
              </w:rPr>
              <w:t>Emplacements des centres de formation rénovés, construits ou avec de l'équipement acheté</w:t>
            </w:r>
          </w:p>
        </w:tc>
      </w:tr>
      <w:tr w:rsidR="006C686E" w14:paraId="224F7C0D" w14:textId="77777777">
        <w:trPr>
          <w:trHeight w:val="440"/>
        </w:trPr>
        <w:tc>
          <w:tcPr>
            <w:tcW w:w="1200" w:type="dxa"/>
            <w:shd w:val="clear" w:color="auto" w:fill="C4EFCE"/>
            <w:vAlign w:val="center"/>
            <w:hideMark/>
          </w:tcPr>
          <w:p w14:paraId="26A899E1" w14:textId="77777777" w:rsidR="006C686E" w:rsidRDefault="00B17E8C">
            <w:pPr>
              <w:pStyle w:val="P68B1DB1-Normal60"/>
              <w:spacing w:after="0" w:line="276" w:lineRule="auto"/>
              <w:jc w:val="center"/>
              <w:rPr>
                <w:noProof/>
              </w:rPr>
            </w:pPr>
            <w:r>
              <w:rPr>
                <w:noProof/>
              </w:rPr>
              <w:t>7.14</w:t>
            </w:r>
          </w:p>
        </w:tc>
        <w:tc>
          <w:tcPr>
            <w:tcW w:w="1760" w:type="dxa"/>
            <w:shd w:val="clear" w:color="auto" w:fill="C4EFCE"/>
            <w:vAlign w:val="center"/>
            <w:hideMark/>
          </w:tcPr>
          <w:p w14:paraId="2D241A97" w14:textId="77777777" w:rsidR="006C686E" w:rsidRDefault="00B17E8C">
            <w:pPr>
              <w:pStyle w:val="P68B1DB1-Normal60"/>
              <w:spacing w:after="0" w:line="276" w:lineRule="auto"/>
              <w:jc w:val="center"/>
              <w:rPr>
                <w:noProof/>
              </w:rPr>
            </w:pPr>
            <w:r>
              <w:rPr>
                <w:noProof/>
              </w:rPr>
              <w:t>RE-C07-i05-RAA</w:t>
            </w:r>
          </w:p>
        </w:tc>
        <w:tc>
          <w:tcPr>
            <w:tcW w:w="1520" w:type="dxa"/>
            <w:shd w:val="clear" w:color="auto" w:fill="C4EFCE"/>
            <w:vAlign w:val="center"/>
            <w:hideMark/>
          </w:tcPr>
          <w:p w14:paraId="5D1CE221" w14:textId="0FAB4921"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81BEC92" w14:textId="77777777" w:rsidR="006C686E" w:rsidRDefault="00B17E8C">
            <w:pPr>
              <w:pStyle w:val="P68B1DB1-Normal60"/>
              <w:spacing w:after="0" w:line="276" w:lineRule="auto"/>
              <w:jc w:val="both"/>
              <w:rPr>
                <w:noProof/>
              </w:rPr>
            </w:pPr>
            <w:r>
              <w:rPr>
                <w:noProof/>
              </w:rPr>
              <w:t>Contrat signé pour 8 projets routiers</w:t>
            </w:r>
          </w:p>
        </w:tc>
      </w:tr>
      <w:tr w:rsidR="006C686E" w14:paraId="6DB847D9" w14:textId="77777777">
        <w:trPr>
          <w:trHeight w:val="440"/>
        </w:trPr>
        <w:tc>
          <w:tcPr>
            <w:tcW w:w="1200" w:type="dxa"/>
            <w:shd w:val="clear" w:color="auto" w:fill="C4EFCE"/>
            <w:vAlign w:val="center"/>
            <w:hideMark/>
          </w:tcPr>
          <w:p w14:paraId="5E56BE7C" w14:textId="77777777" w:rsidR="006C686E" w:rsidRDefault="00B17E8C">
            <w:pPr>
              <w:pStyle w:val="P68B1DB1-Normal60"/>
              <w:spacing w:after="0" w:line="276" w:lineRule="auto"/>
              <w:jc w:val="center"/>
              <w:rPr>
                <w:noProof/>
              </w:rPr>
            </w:pPr>
            <w:r>
              <w:rPr>
                <w:noProof/>
              </w:rPr>
              <w:t>8.5</w:t>
            </w:r>
          </w:p>
        </w:tc>
        <w:tc>
          <w:tcPr>
            <w:tcW w:w="1760" w:type="dxa"/>
            <w:shd w:val="clear" w:color="auto" w:fill="C4EFCE"/>
            <w:vAlign w:val="center"/>
            <w:hideMark/>
          </w:tcPr>
          <w:p w14:paraId="40D68AFD" w14:textId="77777777" w:rsidR="006C686E" w:rsidRDefault="00B17E8C">
            <w:pPr>
              <w:pStyle w:val="P68B1DB1-Normal60"/>
              <w:spacing w:after="0" w:line="276" w:lineRule="auto"/>
              <w:jc w:val="center"/>
              <w:rPr>
                <w:noProof/>
              </w:rPr>
            </w:pPr>
            <w:r>
              <w:rPr>
                <w:noProof/>
              </w:rPr>
              <w:t>RE-C08-i02</w:t>
            </w:r>
          </w:p>
        </w:tc>
        <w:tc>
          <w:tcPr>
            <w:tcW w:w="1520" w:type="dxa"/>
            <w:shd w:val="clear" w:color="auto" w:fill="C4EFCE"/>
            <w:vAlign w:val="center"/>
            <w:hideMark/>
          </w:tcPr>
          <w:p w14:paraId="019EF3FD"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4A02EFDA" w14:textId="77777777" w:rsidR="006C686E" w:rsidRDefault="00B17E8C">
            <w:pPr>
              <w:pStyle w:val="P68B1DB1-Normal60"/>
              <w:spacing w:after="0" w:line="276" w:lineRule="auto"/>
              <w:jc w:val="both"/>
              <w:rPr>
                <w:noProof/>
              </w:rPr>
            </w:pPr>
            <w:r>
              <w:rPr>
                <w:noProof/>
              </w:rPr>
              <w:t>Formation sur BUPi</w:t>
            </w:r>
          </w:p>
        </w:tc>
      </w:tr>
      <w:tr w:rsidR="006C686E" w14:paraId="53EEA534" w14:textId="77777777">
        <w:trPr>
          <w:trHeight w:val="440"/>
        </w:trPr>
        <w:tc>
          <w:tcPr>
            <w:tcW w:w="1200" w:type="dxa"/>
            <w:shd w:val="clear" w:color="auto" w:fill="C4EFCE"/>
            <w:vAlign w:val="center"/>
            <w:hideMark/>
          </w:tcPr>
          <w:p w14:paraId="51A94A57" w14:textId="77777777" w:rsidR="006C686E" w:rsidRDefault="00B17E8C">
            <w:pPr>
              <w:pStyle w:val="P68B1DB1-Normal60"/>
              <w:spacing w:after="0" w:line="276" w:lineRule="auto"/>
              <w:jc w:val="center"/>
              <w:rPr>
                <w:noProof/>
              </w:rPr>
            </w:pPr>
            <w:r>
              <w:rPr>
                <w:noProof/>
              </w:rPr>
              <w:t>8.12</w:t>
            </w:r>
          </w:p>
        </w:tc>
        <w:tc>
          <w:tcPr>
            <w:tcW w:w="1760" w:type="dxa"/>
            <w:shd w:val="clear" w:color="auto" w:fill="C4EFCE"/>
            <w:vAlign w:val="center"/>
            <w:hideMark/>
          </w:tcPr>
          <w:p w14:paraId="6695C4D8" w14:textId="77777777" w:rsidR="006C686E" w:rsidRDefault="00B17E8C">
            <w:pPr>
              <w:pStyle w:val="P68B1DB1-Normal60"/>
              <w:spacing w:after="0" w:line="276" w:lineRule="auto"/>
              <w:jc w:val="center"/>
              <w:rPr>
                <w:noProof/>
              </w:rPr>
            </w:pPr>
            <w:r>
              <w:rPr>
                <w:noProof/>
              </w:rPr>
              <w:t>RE-C08-i04</w:t>
            </w:r>
          </w:p>
        </w:tc>
        <w:tc>
          <w:tcPr>
            <w:tcW w:w="1520" w:type="dxa"/>
            <w:shd w:val="clear" w:color="auto" w:fill="C4EFCE"/>
            <w:vAlign w:val="center"/>
            <w:hideMark/>
          </w:tcPr>
          <w:p w14:paraId="1AAD7920"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0C0C6E43" w14:textId="77777777" w:rsidR="006C686E" w:rsidRDefault="00B17E8C">
            <w:pPr>
              <w:pStyle w:val="P68B1DB1-Normal60"/>
              <w:spacing w:after="0" w:line="276" w:lineRule="auto"/>
              <w:jc w:val="both"/>
              <w:rPr>
                <w:noProof/>
              </w:rPr>
            </w:pPr>
            <w:r>
              <w:rPr>
                <w:noProof/>
              </w:rPr>
              <w:t>Installation de radars à double polarisation</w:t>
            </w:r>
          </w:p>
        </w:tc>
      </w:tr>
      <w:tr w:rsidR="006C686E" w14:paraId="66AFACB8" w14:textId="77777777">
        <w:trPr>
          <w:trHeight w:val="440"/>
        </w:trPr>
        <w:tc>
          <w:tcPr>
            <w:tcW w:w="1200" w:type="dxa"/>
            <w:shd w:val="clear" w:color="auto" w:fill="C4EFCE"/>
            <w:vAlign w:val="center"/>
            <w:hideMark/>
          </w:tcPr>
          <w:p w14:paraId="0FBFF8A5" w14:textId="4C7ECDFF" w:rsidR="006C686E" w:rsidRDefault="00B17E8C">
            <w:pPr>
              <w:pStyle w:val="P68B1DB1-Normal62"/>
              <w:spacing w:after="0" w:line="276" w:lineRule="auto"/>
              <w:jc w:val="center"/>
              <w:rPr>
                <w:noProof/>
              </w:rPr>
            </w:pPr>
            <w:r>
              <w:rPr>
                <w:noProof/>
              </w:rPr>
              <w:t>10.5</w:t>
            </w:r>
          </w:p>
        </w:tc>
        <w:tc>
          <w:tcPr>
            <w:tcW w:w="1760" w:type="dxa"/>
            <w:shd w:val="clear" w:color="auto" w:fill="C4EFCE"/>
            <w:vAlign w:val="center"/>
            <w:hideMark/>
          </w:tcPr>
          <w:p w14:paraId="1A3FA3AA" w14:textId="08E1AC70" w:rsidR="006C686E" w:rsidRDefault="00B17E8C">
            <w:pPr>
              <w:pStyle w:val="P68B1DB1-Normal62"/>
              <w:spacing w:after="0" w:line="276" w:lineRule="auto"/>
              <w:jc w:val="center"/>
              <w:rPr>
                <w:noProof/>
              </w:rPr>
            </w:pPr>
            <w:r>
              <w:rPr>
                <w:noProof/>
              </w:rPr>
              <w:t>TC-C10-i03</w:t>
            </w:r>
          </w:p>
        </w:tc>
        <w:tc>
          <w:tcPr>
            <w:tcW w:w="1520" w:type="dxa"/>
            <w:shd w:val="clear" w:color="auto" w:fill="C4EFCE"/>
            <w:vAlign w:val="center"/>
            <w:hideMark/>
          </w:tcPr>
          <w:p w14:paraId="1DFB4E3C" w14:textId="4F653BE1" w:rsidR="006C686E" w:rsidRDefault="00B17E8C">
            <w:pPr>
              <w:pStyle w:val="P68B1DB1-Normal62"/>
              <w:spacing w:after="0" w:line="276" w:lineRule="auto"/>
              <w:jc w:val="center"/>
              <w:rPr>
                <w:noProof/>
              </w:rPr>
            </w:pPr>
            <w:r>
              <w:rPr>
                <w:noProof/>
              </w:rPr>
              <w:t>M</w:t>
            </w:r>
          </w:p>
        </w:tc>
        <w:tc>
          <w:tcPr>
            <w:tcW w:w="5060" w:type="dxa"/>
            <w:shd w:val="clear" w:color="auto" w:fill="C4EFCE"/>
            <w:vAlign w:val="center"/>
            <w:hideMark/>
          </w:tcPr>
          <w:p w14:paraId="0F637F96" w14:textId="03433BB6" w:rsidR="006C686E" w:rsidRDefault="00B17E8C">
            <w:pPr>
              <w:pStyle w:val="P68B1DB1-Normal62"/>
              <w:spacing w:after="0" w:line="276" w:lineRule="auto"/>
              <w:jc w:val="both"/>
              <w:rPr>
                <w:noProof/>
              </w:rPr>
            </w:pPr>
            <w:r>
              <w:rPr>
                <w:noProof/>
              </w:rPr>
              <w:t>Signature du contrat pour la « Plate-forme navale multifonctionnelle » et le « Centre des opérations »</w:t>
            </w:r>
          </w:p>
        </w:tc>
      </w:tr>
      <w:tr w:rsidR="006C686E" w14:paraId="66B935E7" w14:textId="77777777">
        <w:trPr>
          <w:trHeight w:val="440"/>
        </w:trPr>
        <w:tc>
          <w:tcPr>
            <w:tcW w:w="1200" w:type="dxa"/>
            <w:shd w:val="clear" w:color="auto" w:fill="C4EFCE"/>
            <w:vAlign w:val="center"/>
            <w:hideMark/>
          </w:tcPr>
          <w:p w14:paraId="75B2023A" w14:textId="08880DF2" w:rsidR="006C686E" w:rsidRDefault="00B17E8C">
            <w:pPr>
              <w:pStyle w:val="P68B1DB1-Normal62"/>
              <w:spacing w:after="0" w:line="276" w:lineRule="auto"/>
              <w:jc w:val="center"/>
              <w:rPr>
                <w:noProof/>
              </w:rPr>
            </w:pPr>
            <w:r>
              <w:rPr>
                <w:noProof/>
              </w:rPr>
              <w:t>10.6</w:t>
            </w:r>
          </w:p>
        </w:tc>
        <w:tc>
          <w:tcPr>
            <w:tcW w:w="1760" w:type="dxa"/>
            <w:shd w:val="clear" w:color="auto" w:fill="C4EFCE"/>
            <w:vAlign w:val="center"/>
            <w:hideMark/>
          </w:tcPr>
          <w:p w14:paraId="3959C7A0" w14:textId="3B6CAE12" w:rsidR="006C686E" w:rsidRDefault="00B17E8C">
            <w:pPr>
              <w:pStyle w:val="P68B1DB1-Normal62"/>
              <w:spacing w:after="0" w:line="276" w:lineRule="auto"/>
              <w:jc w:val="center"/>
              <w:rPr>
                <w:noProof/>
              </w:rPr>
            </w:pPr>
            <w:r>
              <w:rPr>
                <w:noProof/>
              </w:rPr>
              <w:t>TC-C10-i03</w:t>
            </w:r>
          </w:p>
        </w:tc>
        <w:tc>
          <w:tcPr>
            <w:tcW w:w="1520" w:type="dxa"/>
            <w:shd w:val="clear" w:color="auto" w:fill="C4EFCE"/>
            <w:vAlign w:val="center"/>
            <w:hideMark/>
          </w:tcPr>
          <w:p w14:paraId="44FDF43A" w14:textId="74356888" w:rsidR="006C686E" w:rsidRDefault="00B17E8C">
            <w:pPr>
              <w:pStyle w:val="P68B1DB1-Normal62"/>
              <w:spacing w:after="0" w:line="276" w:lineRule="auto"/>
              <w:jc w:val="center"/>
              <w:rPr>
                <w:noProof/>
              </w:rPr>
            </w:pPr>
            <w:r>
              <w:rPr>
                <w:noProof/>
              </w:rPr>
              <w:t>M</w:t>
            </w:r>
          </w:p>
        </w:tc>
        <w:tc>
          <w:tcPr>
            <w:tcW w:w="5060" w:type="dxa"/>
            <w:shd w:val="clear" w:color="auto" w:fill="C4EFCE"/>
            <w:vAlign w:val="center"/>
            <w:hideMark/>
          </w:tcPr>
          <w:p w14:paraId="577128B7" w14:textId="0A8318F6" w:rsidR="006C686E" w:rsidRDefault="00B17E8C">
            <w:pPr>
              <w:pStyle w:val="P68B1DB1-Normal62"/>
              <w:spacing w:after="0" w:line="276" w:lineRule="auto"/>
              <w:jc w:val="both"/>
              <w:rPr>
                <w:noProof/>
              </w:rPr>
            </w:pPr>
            <w:r>
              <w:rPr>
                <w:noProof/>
              </w:rPr>
              <w:t>Finalisation de l'Académie Alfeite Arsenal</w:t>
            </w:r>
          </w:p>
        </w:tc>
      </w:tr>
      <w:tr w:rsidR="006C686E" w14:paraId="008EF2BE" w14:textId="77777777">
        <w:trPr>
          <w:trHeight w:val="440"/>
        </w:trPr>
        <w:tc>
          <w:tcPr>
            <w:tcW w:w="1200" w:type="dxa"/>
            <w:shd w:val="clear" w:color="auto" w:fill="C4EFCE"/>
            <w:vAlign w:val="center"/>
            <w:hideMark/>
          </w:tcPr>
          <w:p w14:paraId="0544A3D2" w14:textId="77777777" w:rsidR="006C686E" w:rsidRDefault="00B17E8C">
            <w:pPr>
              <w:pStyle w:val="P68B1DB1-Normal60"/>
              <w:spacing w:after="0" w:line="276" w:lineRule="auto"/>
              <w:jc w:val="center"/>
              <w:rPr>
                <w:noProof/>
              </w:rPr>
            </w:pPr>
            <w:r>
              <w:rPr>
                <w:noProof/>
              </w:rPr>
              <w:t>10.8</w:t>
            </w:r>
          </w:p>
        </w:tc>
        <w:tc>
          <w:tcPr>
            <w:tcW w:w="1760" w:type="dxa"/>
            <w:shd w:val="clear" w:color="auto" w:fill="C4EFCE"/>
            <w:vAlign w:val="center"/>
            <w:hideMark/>
          </w:tcPr>
          <w:p w14:paraId="354D604B" w14:textId="77777777" w:rsidR="006C686E" w:rsidRDefault="00B17E8C">
            <w:pPr>
              <w:pStyle w:val="P68B1DB1-Normal60"/>
              <w:spacing w:after="0" w:line="276" w:lineRule="auto"/>
              <w:jc w:val="center"/>
              <w:rPr>
                <w:noProof/>
              </w:rPr>
            </w:pPr>
            <w:r>
              <w:rPr>
                <w:noProof/>
              </w:rPr>
              <w:t>TC-C10-i04-RAA</w:t>
            </w:r>
          </w:p>
        </w:tc>
        <w:tc>
          <w:tcPr>
            <w:tcW w:w="1520" w:type="dxa"/>
            <w:shd w:val="clear" w:color="auto" w:fill="C4EFCE"/>
            <w:vAlign w:val="center"/>
            <w:hideMark/>
          </w:tcPr>
          <w:p w14:paraId="7473EF24"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EAA2660" w14:textId="77777777" w:rsidR="006C686E" w:rsidRDefault="00B17E8C">
            <w:pPr>
              <w:pStyle w:val="P68B1DB1-Normal60"/>
              <w:spacing w:after="0" w:line="276" w:lineRule="auto"/>
              <w:jc w:val="both"/>
              <w:rPr>
                <w:noProof/>
              </w:rPr>
            </w:pPr>
            <w:r>
              <w:rPr>
                <w:noProof/>
              </w:rPr>
              <w:t>Début du contrat de travaux publics pour le centre technique MARTEC</w:t>
            </w:r>
          </w:p>
        </w:tc>
      </w:tr>
      <w:tr w:rsidR="006C686E" w14:paraId="4C6E209E" w14:textId="77777777">
        <w:trPr>
          <w:trHeight w:val="440"/>
        </w:trPr>
        <w:tc>
          <w:tcPr>
            <w:tcW w:w="1200" w:type="dxa"/>
            <w:shd w:val="clear" w:color="auto" w:fill="C4EFCE"/>
            <w:vAlign w:val="center"/>
            <w:hideMark/>
          </w:tcPr>
          <w:p w14:paraId="0703098A" w14:textId="77777777" w:rsidR="006C686E" w:rsidRDefault="00B17E8C">
            <w:pPr>
              <w:pStyle w:val="P68B1DB1-Normal60"/>
              <w:spacing w:after="0" w:line="276" w:lineRule="auto"/>
              <w:jc w:val="center"/>
              <w:rPr>
                <w:noProof/>
              </w:rPr>
            </w:pPr>
            <w:r>
              <w:rPr>
                <w:noProof/>
              </w:rPr>
              <w:t>11.2</w:t>
            </w:r>
          </w:p>
        </w:tc>
        <w:tc>
          <w:tcPr>
            <w:tcW w:w="1760" w:type="dxa"/>
            <w:shd w:val="clear" w:color="auto" w:fill="C4EFCE"/>
            <w:vAlign w:val="center"/>
            <w:hideMark/>
          </w:tcPr>
          <w:p w14:paraId="1A91B48D" w14:textId="77777777" w:rsidR="006C686E" w:rsidRDefault="00B17E8C">
            <w:pPr>
              <w:pStyle w:val="P68B1DB1-Normal60"/>
              <w:spacing w:after="0" w:line="276" w:lineRule="auto"/>
              <w:jc w:val="center"/>
              <w:rPr>
                <w:noProof/>
              </w:rPr>
            </w:pPr>
            <w:r>
              <w:rPr>
                <w:noProof/>
              </w:rPr>
              <w:t>TC-C11-i01</w:t>
            </w:r>
          </w:p>
        </w:tc>
        <w:tc>
          <w:tcPr>
            <w:tcW w:w="1520" w:type="dxa"/>
            <w:shd w:val="clear" w:color="auto" w:fill="C4EFCE"/>
            <w:vAlign w:val="center"/>
            <w:hideMark/>
          </w:tcPr>
          <w:p w14:paraId="62C833C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577B52C" w14:textId="77777777" w:rsidR="006C686E" w:rsidRDefault="00B17E8C">
            <w:pPr>
              <w:pStyle w:val="P68B1DB1-Normal60"/>
              <w:spacing w:after="0" w:line="276" w:lineRule="auto"/>
              <w:jc w:val="both"/>
              <w:rPr>
                <w:noProof/>
              </w:rPr>
            </w:pPr>
            <w:r>
              <w:rPr>
                <w:noProof/>
              </w:rPr>
              <w:t>Signature des contrats octroyant un soutien financier</w:t>
            </w:r>
          </w:p>
        </w:tc>
      </w:tr>
      <w:tr w:rsidR="006C686E" w14:paraId="720C7414" w14:textId="77777777">
        <w:trPr>
          <w:trHeight w:val="440"/>
        </w:trPr>
        <w:tc>
          <w:tcPr>
            <w:tcW w:w="1200" w:type="dxa"/>
            <w:shd w:val="clear" w:color="auto" w:fill="C4EFCE"/>
            <w:vAlign w:val="center"/>
            <w:hideMark/>
          </w:tcPr>
          <w:p w14:paraId="37E619C0" w14:textId="77777777" w:rsidR="006C686E" w:rsidRDefault="00B17E8C">
            <w:pPr>
              <w:pStyle w:val="P68B1DB1-Normal60"/>
              <w:spacing w:after="0" w:line="276" w:lineRule="auto"/>
              <w:jc w:val="center"/>
              <w:rPr>
                <w:noProof/>
              </w:rPr>
            </w:pPr>
            <w:r>
              <w:rPr>
                <w:noProof/>
              </w:rPr>
              <w:t>12.7</w:t>
            </w:r>
          </w:p>
        </w:tc>
        <w:tc>
          <w:tcPr>
            <w:tcW w:w="1760" w:type="dxa"/>
            <w:shd w:val="clear" w:color="auto" w:fill="C4EFCE"/>
            <w:vAlign w:val="center"/>
            <w:hideMark/>
          </w:tcPr>
          <w:p w14:paraId="1176B81D" w14:textId="77777777" w:rsidR="006C686E" w:rsidRDefault="00B17E8C">
            <w:pPr>
              <w:pStyle w:val="P68B1DB1-Normal60"/>
              <w:spacing w:after="0" w:line="276" w:lineRule="auto"/>
              <w:jc w:val="center"/>
              <w:rPr>
                <w:noProof/>
              </w:rPr>
            </w:pPr>
            <w:r>
              <w:rPr>
                <w:noProof/>
              </w:rPr>
              <w:t>TC-C12-r39</w:t>
            </w:r>
          </w:p>
        </w:tc>
        <w:tc>
          <w:tcPr>
            <w:tcW w:w="1520" w:type="dxa"/>
            <w:shd w:val="clear" w:color="auto" w:fill="C4EFCE"/>
            <w:vAlign w:val="center"/>
            <w:hideMark/>
          </w:tcPr>
          <w:p w14:paraId="1281F074"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DF2434C" w14:textId="77777777" w:rsidR="006C686E" w:rsidRDefault="00B17E8C">
            <w:pPr>
              <w:pStyle w:val="P68B1DB1-Normal60"/>
              <w:spacing w:after="0" w:line="276" w:lineRule="auto"/>
              <w:jc w:val="both"/>
              <w:rPr>
                <w:noProof/>
              </w:rPr>
            </w:pPr>
            <w:r>
              <w:rPr>
                <w:noProof/>
              </w:rPr>
              <w:t>Entrée en vigueur de la définition harmonisée des critères d'éco-modulation</w:t>
            </w:r>
          </w:p>
        </w:tc>
      </w:tr>
      <w:tr w:rsidR="006C686E" w14:paraId="2337904B" w14:textId="77777777">
        <w:trPr>
          <w:trHeight w:val="440"/>
        </w:trPr>
        <w:tc>
          <w:tcPr>
            <w:tcW w:w="1200" w:type="dxa"/>
            <w:shd w:val="clear" w:color="auto" w:fill="C4EFCE"/>
            <w:vAlign w:val="center"/>
            <w:hideMark/>
          </w:tcPr>
          <w:p w14:paraId="62CE0951" w14:textId="77777777" w:rsidR="006C686E" w:rsidRDefault="00B17E8C">
            <w:pPr>
              <w:pStyle w:val="P68B1DB1-Normal60"/>
              <w:spacing w:after="0" w:line="276" w:lineRule="auto"/>
              <w:jc w:val="center"/>
              <w:rPr>
                <w:noProof/>
              </w:rPr>
            </w:pPr>
            <w:r>
              <w:rPr>
                <w:noProof/>
              </w:rPr>
              <w:t>12.8</w:t>
            </w:r>
          </w:p>
        </w:tc>
        <w:tc>
          <w:tcPr>
            <w:tcW w:w="1760" w:type="dxa"/>
            <w:shd w:val="clear" w:color="auto" w:fill="C4EFCE"/>
            <w:vAlign w:val="center"/>
            <w:hideMark/>
          </w:tcPr>
          <w:p w14:paraId="1548518E" w14:textId="77777777" w:rsidR="006C686E" w:rsidRDefault="00B17E8C">
            <w:pPr>
              <w:pStyle w:val="P68B1DB1-Normal60"/>
              <w:spacing w:after="0" w:line="276" w:lineRule="auto"/>
              <w:jc w:val="center"/>
              <w:rPr>
                <w:noProof/>
              </w:rPr>
            </w:pPr>
            <w:r>
              <w:rPr>
                <w:noProof/>
              </w:rPr>
              <w:t>TC-C12-r39</w:t>
            </w:r>
          </w:p>
        </w:tc>
        <w:tc>
          <w:tcPr>
            <w:tcW w:w="1520" w:type="dxa"/>
            <w:shd w:val="clear" w:color="auto" w:fill="C4EFCE"/>
            <w:vAlign w:val="center"/>
            <w:hideMark/>
          </w:tcPr>
          <w:p w14:paraId="126D61FF"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95529F7" w14:textId="77777777" w:rsidR="006C686E" w:rsidRDefault="00B17E8C">
            <w:pPr>
              <w:pStyle w:val="P68B1DB1-Normal60"/>
              <w:spacing w:after="0" w:line="276" w:lineRule="auto"/>
              <w:jc w:val="both"/>
              <w:rPr>
                <w:noProof/>
              </w:rPr>
            </w:pPr>
            <w:r>
              <w:rPr>
                <w:noProof/>
              </w:rPr>
              <w:t>Régime d’incitation à la récupération (système de dépôt et de remboursement) pour les bouteilles en plastique non réutilisables, les métaux ferreux et l’aluminium</w:t>
            </w:r>
          </w:p>
        </w:tc>
      </w:tr>
      <w:tr w:rsidR="006C686E" w14:paraId="67E50400" w14:textId="77777777">
        <w:trPr>
          <w:trHeight w:val="440"/>
        </w:trPr>
        <w:tc>
          <w:tcPr>
            <w:tcW w:w="1200" w:type="dxa"/>
            <w:shd w:val="clear" w:color="auto" w:fill="C4EFCE"/>
            <w:vAlign w:val="center"/>
            <w:hideMark/>
          </w:tcPr>
          <w:p w14:paraId="3CD200DD" w14:textId="77777777" w:rsidR="006C686E" w:rsidRDefault="00B17E8C">
            <w:pPr>
              <w:pStyle w:val="P68B1DB1-Normal60"/>
              <w:spacing w:after="0" w:line="276" w:lineRule="auto"/>
              <w:jc w:val="center"/>
              <w:rPr>
                <w:noProof/>
              </w:rPr>
            </w:pPr>
            <w:r>
              <w:rPr>
                <w:noProof/>
              </w:rPr>
              <w:t>15.4</w:t>
            </w:r>
          </w:p>
        </w:tc>
        <w:tc>
          <w:tcPr>
            <w:tcW w:w="1760" w:type="dxa"/>
            <w:shd w:val="clear" w:color="auto" w:fill="C4EFCE"/>
            <w:vAlign w:val="center"/>
            <w:hideMark/>
          </w:tcPr>
          <w:p w14:paraId="5F77F221" w14:textId="77777777" w:rsidR="006C686E" w:rsidRDefault="00B17E8C">
            <w:pPr>
              <w:pStyle w:val="P68B1DB1-Normal60"/>
              <w:spacing w:after="0" w:line="276" w:lineRule="auto"/>
              <w:jc w:val="center"/>
              <w:rPr>
                <w:noProof/>
              </w:rPr>
            </w:pPr>
            <w:r>
              <w:rPr>
                <w:noProof/>
              </w:rPr>
              <w:t>TC-C15-i02</w:t>
            </w:r>
          </w:p>
        </w:tc>
        <w:tc>
          <w:tcPr>
            <w:tcW w:w="1520" w:type="dxa"/>
            <w:shd w:val="clear" w:color="auto" w:fill="C4EFCE"/>
            <w:vAlign w:val="center"/>
            <w:hideMark/>
          </w:tcPr>
          <w:p w14:paraId="1790BFA5"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2714E6BF" w14:textId="77777777" w:rsidR="006C686E" w:rsidRDefault="00B17E8C">
            <w:pPr>
              <w:pStyle w:val="P68B1DB1-Normal60"/>
              <w:spacing w:after="0" w:line="276" w:lineRule="auto"/>
              <w:jc w:val="both"/>
              <w:rPr>
                <w:noProof/>
              </w:rPr>
            </w:pPr>
            <w:r>
              <w:rPr>
                <w:noProof/>
              </w:rPr>
              <w:t>Signature du contrat d'extension du réseau de métro de Porto</w:t>
            </w:r>
          </w:p>
        </w:tc>
      </w:tr>
      <w:tr w:rsidR="006C686E" w14:paraId="37F3E098" w14:textId="77777777">
        <w:trPr>
          <w:trHeight w:val="440"/>
        </w:trPr>
        <w:tc>
          <w:tcPr>
            <w:tcW w:w="1200" w:type="dxa"/>
            <w:shd w:val="clear" w:color="auto" w:fill="C4EFCE"/>
            <w:vAlign w:val="center"/>
            <w:hideMark/>
          </w:tcPr>
          <w:p w14:paraId="57D7734D" w14:textId="77777777" w:rsidR="006C686E" w:rsidRDefault="00B17E8C">
            <w:pPr>
              <w:pStyle w:val="P68B1DB1-Normal60"/>
              <w:spacing w:after="0" w:line="276" w:lineRule="auto"/>
              <w:jc w:val="center"/>
              <w:rPr>
                <w:noProof/>
              </w:rPr>
            </w:pPr>
            <w:r>
              <w:rPr>
                <w:noProof/>
              </w:rPr>
              <w:t>15.13</w:t>
            </w:r>
          </w:p>
        </w:tc>
        <w:tc>
          <w:tcPr>
            <w:tcW w:w="1760" w:type="dxa"/>
            <w:shd w:val="clear" w:color="auto" w:fill="C4EFCE"/>
            <w:vAlign w:val="center"/>
            <w:hideMark/>
          </w:tcPr>
          <w:p w14:paraId="7F6F421C" w14:textId="2A74B915" w:rsidR="006C686E" w:rsidRDefault="00B17E8C">
            <w:pPr>
              <w:pStyle w:val="P68B1DB1-Normal60"/>
              <w:spacing w:after="0" w:line="276" w:lineRule="auto"/>
              <w:jc w:val="center"/>
              <w:rPr>
                <w:noProof/>
              </w:rPr>
            </w:pPr>
            <w:r>
              <w:rPr>
                <w:noProof/>
              </w:rPr>
              <w:t>TC-C15-i05</w:t>
            </w:r>
          </w:p>
        </w:tc>
        <w:tc>
          <w:tcPr>
            <w:tcW w:w="1520" w:type="dxa"/>
            <w:shd w:val="clear" w:color="auto" w:fill="C4EFCE"/>
            <w:vAlign w:val="center"/>
            <w:hideMark/>
          </w:tcPr>
          <w:p w14:paraId="6A483703"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6F735E41" w14:textId="77777777" w:rsidR="006C686E" w:rsidRDefault="00B17E8C">
            <w:pPr>
              <w:pStyle w:val="P68B1DB1-Normal60"/>
              <w:spacing w:after="0" w:line="276" w:lineRule="auto"/>
              <w:jc w:val="both"/>
              <w:rPr>
                <w:noProof/>
              </w:rPr>
            </w:pPr>
            <w:r>
              <w:rPr>
                <w:noProof/>
              </w:rPr>
              <w:t>Achat de nouveaux bus à émissions nulles (électriques ou à hydrogène) utilisés pour les transports publics</w:t>
            </w:r>
          </w:p>
        </w:tc>
      </w:tr>
      <w:tr w:rsidR="006C686E" w14:paraId="05541C85" w14:textId="77777777">
        <w:trPr>
          <w:trHeight w:val="440"/>
        </w:trPr>
        <w:tc>
          <w:tcPr>
            <w:tcW w:w="1200" w:type="dxa"/>
            <w:shd w:val="clear" w:color="auto" w:fill="C4EFCE"/>
            <w:vAlign w:val="center"/>
            <w:hideMark/>
          </w:tcPr>
          <w:p w14:paraId="21FC0029" w14:textId="77777777" w:rsidR="006C686E" w:rsidRDefault="00B17E8C">
            <w:pPr>
              <w:pStyle w:val="P68B1DB1-Normal60"/>
              <w:spacing w:after="0" w:line="276" w:lineRule="auto"/>
              <w:jc w:val="center"/>
              <w:rPr>
                <w:noProof/>
              </w:rPr>
            </w:pPr>
            <w:r>
              <w:rPr>
                <w:noProof/>
              </w:rPr>
              <w:t>15.14</w:t>
            </w:r>
          </w:p>
        </w:tc>
        <w:tc>
          <w:tcPr>
            <w:tcW w:w="1760" w:type="dxa"/>
            <w:shd w:val="clear" w:color="auto" w:fill="C4EFCE"/>
            <w:vAlign w:val="center"/>
            <w:hideMark/>
          </w:tcPr>
          <w:p w14:paraId="5B9EEFAC" w14:textId="586D37FD" w:rsidR="006C686E" w:rsidRDefault="00B17E8C">
            <w:pPr>
              <w:pStyle w:val="P68B1DB1-Normal60"/>
              <w:spacing w:after="0" w:line="276" w:lineRule="auto"/>
              <w:jc w:val="center"/>
              <w:rPr>
                <w:noProof/>
              </w:rPr>
            </w:pPr>
            <w:r>
              <w:rPr>
                <w:noProof/>
              </w:rPr>
              <w:t>TC-C15-r30</w:t>
            </w:r>
          </w:p>
        </w:tc>
        <w:tc>
          <w:tcPr>
            <w:tcW w:w="1520" w:type="dxa"/>
            <w:shd w:val="clear" w:color="auto" w:fill="C4EFCE"/>
            <w:vAlign w:val="center"/>
            <w:hideMark/>
          </w:tcPr>
          <w:p w14:paraId="7B5D7DF6"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CB63676" w14:textId="77777777" w:rsidR="006C686E" w:rsidRDefault="00B17E8C">
            <w:pPr>
              <w:pStyle w:val="P68B1DB1-Normal60"/>
              <w:spacing w:after="0" w:line="276" w:lineRule="auto"/>
              <w:jc w:val="both"/>
              <w:rPr>
                <w:noProof/>
              </w:rPr>
            </w:pPr>
            <w:r>
              <w:rPr>
                <w:noProof/>
              </w:rPr>
              <w:t>Entrée en vigueur de la législation visant à améliorer les conditions d'accès aux transports publics</w:t>
            </w:r>
          </w:p>
        </w:tc>
      </w:tr>
      <w:tr w:rsidR="006C686E" w14:paraId="66632B4B" w14:textId="77777777">
        <w:trPr>
          <w:trHeight w:val="440"/>
        </w:trPr>
        <w:tc>
          <w:tcPr>
            <w:tcW w:w="1200" w:type="dxa"/>
            <w:shd w:val="clear" w:color="auto" w:fill="C4EFCE"/>
            <w:vAlign w:val="center"/>
            <w:hideMark/>
          </w:tcPr>
          <w:p w14:paraId="06D6D105" w14:textId="77777777" w:rsidR="006C686E" w:rsidRDefault="00B17E8C">
            <w:pPr>
              <w:pStyle w:val="P68B1DB1-Normal60"/>
              <w:spacing w:after="0" w:line="276" w:lineRule="auto"/>
              <w:jc w:val="center"/>
              <w:rPr>
                <w:noProof/>
              </w:rPr>
            </w:pPr>
            <w:r>
              <w:rPr>
                <w:noProof/>
              </w:rPr>
              <w:t>16.14</w:t>
            </w:r>
          </w:p>
        </w:tc>
        <w:tc>
          <w:tcPr>
            <w:tcW w:w="1760" w:type="dxa"/>
            <w:shd w:val="clear" w:color="auto" w:fill="C4EFCE"/>
            <w:vAlign w:val="center"/>
            <w:hideMark/>
          </w:tcPr>
          <w:p w14:paraId="7A1D50DB" w14:textId="7109D4C7" w:rsidR="006C686E" w:rsidRDefault="00B17E8C">
            <w:pPr>
              <w:pStyle w:val="P68B1DB1-Normal60"/>
              <w:spacing w:after="0" w:line="276" w:lineRule="auto"/>
              <w:jc w:val="center"/>
              <w:rPr>
                <w:noProof/>
              </w:rPr>
            </w:pPr>
            <w:r>
              <w:rPr>
                <w:noProof/>
              </w:rPr>
              <w:t>TD-C16-i03</w:t>
            </w:r>
          </w:p>
        </w:tc>
        <w:tc>
          <w:tcPr>
            <w:tcW w:w="1520" w:type="dxa"/>
            <w:shd w:val="clear" w:color="auto" w:fill="C4EFCE"/>
            <w:vAlign w:val="center"/>
            <w:hideMark/>
          </w:tcPr>
          <w:p w14:paraId="51B3C98F"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9485148" w14:textId="77777777" w:rsidR="006C686E" w:rsidRDefault="00B17E8C">
            <w:pPr>
              <w:pStyle w:val="P68B1DB1-Normal60"/>
              <w:spacing w:after="0" w:line="276" w:lineRule="auto"/>
              <w:jc w:val="both"/>
              <w:rPr>
                <w:noProof/>
              </w:rPr>
            </w:pPr>
            <w:r>
              <w:rPr>
                <w:noProof/>
              </w:rPr>
              <w:t>Mise en place de services d’envoi de factures numériques et de certifications en matière de cybersécurité, de respect de la vie privée, de facilité d’utilisation et de durabilité</w:t>
            </w:r>
          </w:p>
        </w:tc>
      </w:tr>
      <w:tr w:rsidR="006C686E" w14:paraId="05575FFB" w14:textId="77777777">
        <w:trPr>
          <w:trHeight w:val="440"/>
        </w:trPr>
        <w:tc>
          <w:tcPr>
            <w:tcW w:w="1200" w:type="dxa"/>
            <w:shd w:val="clear" w:color="auto" w:fill="C4EFCE"/>
            <w:vAlign w:val="center"/>
            <w:hideMark/>
          </w:tcPr>
          <w:p w14:paraId="0580CB12" w14:textId="77777777" w:rsidR="006C686E" w:rsidRDefault="00B17E8C">
            <w:pPr>
              <w:pStyle w:val="P68B1DB1-Normal60"/>
              <w:spacing w:after="0" w:line="276" w:lineRule="auto"/>
              <w:jc w:val="center"/>
              <w:rPr>
                <w:noProof/>
              </w:rPr>
            </w:pPr>
            <w:r>
              <w:rPr>
                <w:noProof/>
              </w:rPr>
              <w:t>16.16</w:t>
            </w:r>
          </w:p>
        </w:tc>
        <w:tc>
          <w:tcPr>
            <w:tcW w:w="1760" w:type="dxa"/>
            <w:shd w:val="clear" w:color="auto" w:fill="C4EFCE"/>
            <w:vAlign w:val="center"/>
            <w:hideMark/>
          </w:tcPr>
          <w:p w14:paraId="38FB1774" w14:textId="77777777" w:rsidR="006C686E" w:rsidRDefault="00B17E8C">
            <w:pPr>
              <w:pStyle w:val="P68B1DB1-Normal60"/>
              <w:spacing w:after="0" w:line="276" w:lineRule="auto"/>
              <w:jc w:val="center"/>
              <w:rPr>
                <w:noProof/>
              </w:rPr>
            </w:pPr>
            <w:r>
              <w:rPr>
                <w:noProof/>
              </w:rPr>
              <w:t>TD-C16-i04</w:t>
            </w:r>
          </w:p>
        </w:tc>
        <w:tc>
          <w:tcPr>
            <w:tcW w:w="1520" w:type="dxa"/>
            <w:shd w:val="clear" w:color="auto" w:fill="C4EFCE"/>
            <w:vAlign w:val="center"/>
            <w:hideMark/>
          </w:tcPr>
          <w:p w14:paraId="13BF9389"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78BB2CE" w14:textId="77777777" w:rsidR="006C686E" w:rsidRDefault="00B17E8C">
            <w:pPr>
              <w:pStyle w:val="P68B1DB1-Normal60"/>
              <w:spacing w:after="0" w:line="276" w:lineRule="auto"/>
              <w:jc w:val="both"/>
              <w:rPr>
                <w:noProof/>
              </w:rPr>
            </w:pPr>
            <w:r>
              <w:rPr>
                <w:noProof/>
              </w:rPr>
              <w:t>Sélection de projets Industrie 4.0</w:t>
            </w:r>
          </w:p>
        </w:tc>
      </w:tr>
      <w:tr w:rsidR="006C686E" w14:paraId="4BEDF288" w14:textId="77777777">
        <w:trPr>
          <w:trHeight w:val="440"/>
        </w:trPr>
        <w:tc>
          <w:tcPr>
            <w:tcW w:w="1200" w:type="dxa"/>
            <w:shd w:val="clear" w:color="auto" w:fill="C4EFCE"/>
            <w:vAlign w:val="center"/>
            <w:hideMark/>
          </w:tcPr>
          <w:p w14:paraId="0409DD2E" w14:textId="77777777" w:rsidR="006C686E" w:rsidRDefault="00B17E8C">
            <w:pPr>
              <w:pStyle w:val="P68B1DB1-Normal60"/>
              <w:spacing w:after="0" w:line="276" w:lineRule="auto"/>
              <w:jc w:val="center"/>
              <w:rPr>
                <w:noProof/>
              </w:rPr>
            </w:pPr>
            <w:r>
              <w:rPr>
                <w:noProof/>
              </w:rPr>
              <w:t>17.21</w:t>
            </w:r>
          </w:p>
        </w:tc>
        <w:tc>
          <w:tcPr>
            <w:tcW w:w="1760" w:type="dxa"/>
            <w:shd w:val="clear" w:color="auto" w:fill="C4EFCE"/>
            <w:vAlign w:val="center"/>
            <w:hideMark/>
          </w:tcPr>
          <w:p w14:paraId="0976DBA5" w14:textId="77777777" w:rsidR="006C686E" w:rsidRDefault="00B17E8C">
            <w:pPr>
              <w:pStyle w:val="P68B1DB1-Normal60"/>
              <w:spacing w:after="0" w:line="276" w:lineRule="auto"/>
              <w:jc w:val="center"/>
              <w:rPr>
                <w:noProof/>
              </w:rPr>
            </w:pPr>
            <w:r>
              <w:rPr>
                <w:noProof/>
              </w:rPr>
              <w:t>TD-C17-i02</w:t>
            </w:r>
          </w:p>
        </w:tc>
        <w:tc>
          <w:tcPr>
            <w:tcW w:w="1520" w:type="dxa"/>
            <w:shd w:val="clear" w:color="auto" w:fill="C4EFCE"/>
            <w:vAlign w:val="center"/>
            <w:hideMark/>
          </w:tcPr>
          <w:p w14:paraId="2FD509AE"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AE12FA8" w14:textId="77777777" w:rsidR="006C686E" w:rsidRDefault="00B17E8C">
            <w:pPr>
              <w:pStyle w:val="P68B1DB1-Normal60"/>
              <w:spacing w:after="0" w:line="276" w:lineRule="auto"/>
              <w:jc w:val="both"/>
              <w:rPr>
                <w:noProof/>
              </w:rPr>
            </w:pPr>
            <w:r>
              <w:rPr>
                <w:noProof/>
              </w:rPr>
              <w:t>Achever la mise en œuvre du préremplissage d’une transaction spécifique soumise au droit de timbre</w:t>
            </w:r>
          </w:p>
        </w:tc>
      </w:tr>
      <w:tr w:rsidR="006C686E" w14:paraId="4216EEDF" w14:textId="77777777">
        <w:trPr>
          <w:trHeight w:val="440"/>
        </w:trPr>
        <w:tc>
          <w:tcPr>
            <w:tcW w:w="1200" w:type="dxa"/>
            <w:shd w:val="clear" w:color="auto" w:fill="C4EFCE"/>
            <w:vAlign w:val="center"/>
            <w:hideMark/>
          </w:tcPr>
          <w:p w14:paraId="027E3595" w14:textId="77777777" w:rsidR="006C686E" w:rsidRDefault="00B17E8C">
            <w:pPr>
              <w:pStyle w:val="P68B1DB1-Normal60"/>
              <w:spacing w:after="0" w:line="276" w:lineRule="auto"/>
              <w:jc w:val="center"/>
              <w:rPr>
                <w:noProof/>
              </w:rPr>
            </w:pPr>
            <w:r>
              <w:rPr>
                <w:noProof/>
              </w:rPr>
              <w:t>17.23</w:t>
            </w:r>
          </w:p>
        </w:tc>
        <w:tc>
          <w:tcPr>
            <w:tcW w:w="1760" w:type="dxa"/>
            <w:shd w:val="clear" w:color="auto" w:fill="C4EFCE"/>
            <w:vAlign w:val="center"/>
            <w:hideMark/>
          </w:tcPr>
          <w:p w14:paraId="3EDA575E" w14:textId="77777777" w:rsidR="006C686E" w:rsidRDefault="00B17E8C">
            <w:pPr>
              <w:pStyle w:val="P68B1DB1-Normal60"/>
              <w:spacing w:after="0" w:line="276" w:lineRule="auto"/>
              <w:jc w:val="center"/>
              <w:rPr>
                <w:noProof/>
              </w:rPr>
            </w:pPr>
            <w:r>
              <w:rPr>
                <w:noProof/>
              </w:rPr>
              <w:t>TD-C17-r40</w:t>
            </w:r>
          </w:p>
        </w:tc>
        <w:tc>
          <w:tcPr>
            <w:tcW w:w="1520" w:type="dxa"/>
            <w:shd w:val="clear" w:color="auto" w:fill="C4EFCE"/>
            <w:vAlign w:val="center"/>
            <w:hideMark/>
          </w:tcPr>
          <w:p w14:paraId="59567A8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5A69109" w14:textId="77777777" w:rsidR="006C686E" w:rsidRDefault="00B17E8C">
            <w:pPr>
              <w:pStyle w:val="P68B1DB1-Normal60"/>
              <w:spacing w:after="0" w:line="276" w:lineRule="auto"/>
              <w:jc w:val="both"/>
              <w:rPr>
                <w:noProof/>
              </w:rPr>
            </w:pPr>
            <w:r>
              <w:rPr>
                <w:noProof/>
              </w:rPr>
              <w:t>Entrée en vigueur de l’acte juridique portant création de l’unité technique permanente de politique fiscale Unidade Técnica de Avaliação Tributária e Aduaneira (U-TAX)</w:t>
            </w:r>
          </w:p>
        </w:tc>
      </w:tr>
      <w:tr w:rsidR="006C686E" w14:paraId="7ED77B7E" w14:textId="77777777">
        <w:trPr>
          <w:trHeight w:val="440"/>
        </w:trPr>
        <w:tc>
          <w:tcPr>
            <w:tcW w:w="1200" w:type="dxa"/>
            <w:shd w:val="clear" w:color="auto" w:fill="C4EFCE"/>
            <w:vAlign w:val="center"/>
            <w:hideMark/>
          </w:tcPr>
          <w:p w14:paraId="04D6AA5F" w14:textId="77777777" w:rsidR="006C686E" w:rsidRDefault="00B17E8C">
            <w:pPr>
              <w:pStyle w:val="P68B1DB1-Normal60"/>
              <w:spacing w:after="0" w:line="276" w:lineRule="auto"/>
              <w:jc w:val="center"/>
              <w:rPr>
                <w:noProof/>
              </w:rPr>
            </w:pPr>
            <w:r>
              <w:rPr>
                <w:noProof/>
              </w:rPr>
              <w:t>18.5</w:t>
            </w:r>
          </w:p>
        </w:tc>
        <w:tc>
          <w:tcPr>
            <w:tcW w:w="1760" w:type="dxa"/>
            <w:shd w:val="clear" w:color="auto" w:fill="C4EFCE"/>
            <w:vAlign w:val="center"/>
            <w:hideMark/>
          </w:tcPr>
          <w:p w14:paraId="3A52AB52" w14:textId="77777777" w:rsidR="006C686E" w:rsidRDefault="00B17E8C">
            <w:pPr>
              <w:pStyle w:val="P68B1DB1-Normal60"/>
              <w:spacing w:after="0" w:line="276" w:lineRule="auto"/>
              <w:jc w:val="center"/>
              <w:rPr>
                <w:noProof/>
              </w:rPr>
            </w:pPr>
            <w:r>
              <w:rPr>
                <w:noProof/>
              </w:rPr>
              <w:t>TD-C18-i01</w:t>
            </w:r>
          </w:p>
        </w:tc>
        <w:tc>
          <w:tcPr>
            <w:tcW w:w="1520" w:type="dxa"/>
            <w:shd w:val="clear" w:color="auto" w:fill="C4EFCE"/>
            <w:vAlign w:val="center"/>
            <w:hideMark/>
          </w:tcPr>
          <w:p w14:paraId="1083341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4724541" w14:textId="77777777" w:rsidR="006C686E" w:rsidRDefault="00B17E8C">
            <w:pPr>
              <w:pStyle w:val="P68B1DB1-Normal60"/>
              <w:spacing w:after="0" w:line="276" w:lineRule="auto"/>
              <w:jc w:val="both"/>
              <w:rPr>
                <w:noProof/>
              </w:rPr>
            </w:pPr>
            <w:r>
              <w:rPr>
                <w:noProof/>
              </w:rPr>
              <w:t>Système informatique modernisé pour les enquêtes pénales</w:t>
            </w:r>
          </w:p>
        </w:tc>
      </w:tr>
      <w:tr w:rsidR="006C686E" w14:paraId="747BE8EF" w14:textId="77777777">
        <w:trPr>
          <w:trHeight w:val="440"/>
        </w:trPr>
        <w:tc>
          <w:tcPr>
            <w:tcW w:w="1200" w:type="dxa"/>
            <w:shd w:val="clear" w:color="auto" w:fill="C4EFCE"/>
            <w:vAlign w:val="center"/>
            <w:hideMark/>
          </w:tcPr>
          <w:p w14:paraId="2BA98969" w14:textId="77777777" w:rsidR="006C686E" w:rsidRDefault="00B17E8C">
            <w:pPr>
              <w:pStyle w:val="P68B1DB1-Normal60"/>
              <w:spacing w:after="0" w:line="276" w:lineRule="auto"/>
              <w:jc w:val="center"/>
              <w:rPr>
                <w:noProof/>
              </w:rPr>
            </w:pPr>
            <w:r>
              <w:rPr>
                <w:noProof/>
              </w:rPr>
              <w:t>19.19</w:t>
            </w:r>
          </w:p>
        </w:tc>
        <w:tc>
          <w:tcPr>
            <w:tcW w:w="1760" w:type="dxa"/>
            <w:shd w:val="clear" w:color="auto" w:fill="C4EFCE"/>
            <w:vAlign w:val="center"/>
            <w:hideMark/>
          </w:tcPr>
          <w:p w14:paraId="220945B5" w14:textId="77777777" w:rsidR="006C686E" w:rsidRDefault="00B17E8C">
            <w:pPr>
              <w:pStyle w:val="P68B1DB1-Normal60"/>
              <w:spacing w:after="0" w:line="276" w:lineRule="auto"/>
              <w:jc w:val="center"/>
              <w:rPr>
                <w:noProof/>
              </w:rPr>
            </w:pPr>
            <w:r>
              <w:rPr>
                <w:noProof/>
              </w:rPr>
              <w:t>TD-C19-i07</w:t>
            </w:r>
          </w:p>
        </w:tc>
        <w:tc>
          <w:tcPr>
            <w:tcW w:w="1520" w:type="dxa"/>
            <w:shd w:val="clear" w:color="auto" w:fill="C4EFCE"/>
            <w:vAlign w:val="center"/>
            <w:hideMark/>
          </w:tcPr>
          <w:p w14:paraId="58C3EBF2"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6F3F8FC8" w14:textId="77777777" w:rsidR="006C686E" w:rsidRDefault="00B17E8C">
            <w:pPr>
              <w:pStyle w:val="P68B1DB1-Normal60"/>
              <w:spacing w:after="0" w:line="276" w:lineRule="auto"/>
              <w:jc w:val="both"/>
              <w:rPr>
                <w:noProof/>
              </w:rPr>
            </w:pPr>
            <w:r>
              <w:rPr>
                <w:noProof/>
              </w:rPr>
              <w:t>Programme de stages pour diplômés</w:t>
            </w:r>
          </w:p>
        </w:tc>
      </w:tr>
      <w:tr w:rsidR="006C686E" w14:paraId="5C8AFE87" w14:textId="77777777">
        <w:trPr>
          <w:trHeight w:val="440"/>
        </w:trPr>
        <w:tc>
          <w:tcPr>
            <w:tcW w:w="1200" w:type="dxa"/>
            <w:shd w:val="clear" w:color="auto" w:fill="C4EFCE"/>
            <w:vAlign w:val="center"/>
            <w:hideMark/>
          </w:tcPr>
          <w:p w14:paraId="50A40DA3" w14:textId="77777777" w:rsidR="006C686E" w:rsidRDefault="00B17E8C">
            <w:pPr>
              <w:pStyle w:val="P68B1DB1-Normal60"/>
              <w:spacing w:after="0" w:line="276" w:lineRule="auto"/>
              <w:jc w:val="center"/>
              <w:rPr>
                <w:noProof/>
              </w:rPr>
            </w:pPr>
            <w:r>
              <w:rPr>
                <w:noProof/>
              </w:rPr>
              <w:t>19.20</w:t>
            </w:r>
          </w:p>
        </w:tc>
        <w:tc>
          <w:tcPr>
            <w:tcW w:w="1760" w:type="dxa"/>
            <w:shd w:val="clear" w:color="auto" w:fill="C4EFCE"/>
            <w:vAlign w:val="center"/>
            <w:hideMark/>
          </w:tcPr>
          <w:p w14:paraId="40AC06F3" w14:textId="77777777" w:rsidR="006C686E" w:rsidRDefault="00B17E8C">
            <w:pPr>
              <w:pStyle w:val="P68B1DB1-Normal60"/>
              <w:spacing w:after="0" w:line="276" w:lineRule="auto"/>
              <w:jc w:val="center"/>
              <w:rPr>
                <w:noProof/>
              </w:rPr>
            </w:pPr>
            <w:r>
              <w:rPr>
                <w:noProof/>
              </w:rPr>
              <w:t>TD-C19-i07</w:t>
            </w:r>
          </w:p>
        </w:tc>
        <w:tc>
          <w:tcPr>
            <w:tcW w:w="1520" w:type="dxa"/>
            <w:shd w:val="clear" w:color="auto" w:fill="C4EFCE"/>
            <w:vAlign w:val="center"/>
            <w:hideMark/>
          </w:tcPr>
          <w:p w14:paraId="22935EDD"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0AAAFBD0" w14:textId="77777777" w:rsidR="006C686E" w:rsidRDefault="00B17E8C">
            <w:pPr>
              <w:pStyle w:val="P68B1DB1-Normal60"/>
              <w:spacing w:after="0" w:line="276" w:lineRule="auto"/>
              <w:jc w:val="both"/>
              <w:rPr>
                <w:noProof/>
              </w:rPr>
            </w:pPr>
            <w:r>
              <w:rPr>
                <w:noProof/>
              </w:rPr>
              <w:t>Équipement informatique pour les employés de l'administration publique</w:t>
            </w:r>
          </w:p>
        </w:tc>
      </w:tr>
      <w:tr w:rsidR="006C686E" w14:paraId="328332A1" w14:textId="77777777">
        <w:trPr>
          <w:trHeight w:val="440"/>
        </w:trPr>
        <w:tc>
          <w:tcPr>
            <w:tcW w:w="1200" w:type="dxa"/>
            <w:shd w:val="clear" w:color="auto" w:fill="C4EFCE"/>
            <w:vAlign w:val="center"/>
            <w:hideMark/>
          </w:tcPr>
          <w:p w14:paraId="5B536213" w14:textId="77777777" w:rsidR="006C686E" w:rsidRDefault="00B17E8C">
            <w:pPr>
              <w:pStyle w:val="P68B1DB1-Normal60"/>
              <w:spacing w:after="0" w:line="276" w:lineRule="auto"/>
              <w:jc w:val="center"/>
              <w:rPr>
                <w:noProof/>
              </w:rPr>
            </w:pPr>
            <w:r>
              <w:rPr>
                <w:noProof/>
              </w:rPr>
              <w:t>19.23</w:t>
            </w:r>
          </w:p>
        </w:tc>
        <w:tc>
          <w:tcPr>
            <w:tcW w:w="1760" w:type="dxa"/>
            <w:shd w:val="clear" w:color="auto" w:fill="C4EFCE"/>
            <w:vAlign w:val="center"/>
            <w:hideMark/>
          </w:tcPr>
          <w:p w14:paraId="28E6555C" w14:textId="77777777" w:rsidR="006C686E" w:rsidRDefault="00B17E8C">
            <w:pPr>
              <w:pStyle w:val="P68B1DB1-Normal60"/>
              <w:spacing w:after="0" w:line="276" w:lineRule="auto"/>
              <w:jc w:val="center"/>
              <w:rPr>
                <w:noProof/>
              </w:rPr>
            </w:pPr>
            <w:r>
              <w:rPr>
                <w:noProof/>
              </w:rPr>
              <w:t>TD-C19-r35</w:t>
            </w:r>
          </w:p>
        </w:tc>
        <w:tc>
          <w:tcPr>
            <w:tcW w:w="1520" w:type="dxa"/>
            <w:shd w:val="clear" w:color="auto" w:fill="C4EFCE"/>
            <w:vAlign w:val="center"/>
            <w:hideMark/>
          </w:tcPr>
          <w:p w14:paraId="276577D3"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7AB2A57A" w14:textId="77777777" w:rsidR="006C686E" w:rsidRDefault="00B17E8C">
            <w:pPr>
              <w:pStyle w:val="P68B1DB1-Normal60"/>
              <w:spacing w:after="0" w:line="276" w:lineRule="auto"/>
              <w:jc w:val="both"/>
              <w:rPr>
                <w:noProof/>
              </w:rPr>
            </w:pPr>
            <w:r>
              <w:rPr>
                <w:noProof/>
              </w:rPr>
              <w:t>Entrée en vigueur du paquet législatif pour la réorganisation de l'administration publique</w:t>
            </w:r>
          </w:p>
        </w:tc>
      </w:tr>
      <w:tr w:rsidR="006C686E" w14:paraId="7C983DD0" w14:textId="77777777">
        <w:trPr>
          <w:trHeight w:val="440"/>
        </w:trPr>
        <w:tc>
          <w:tcPr>
            <w:tcW w:w="1200" w:type="dxa"/>
            <w:shd w:val="clear" w:color="auto" w:fill="C4EFCE"/>
            <w:vAlign w:val="center"/>
            <w:hideMark/>
          </w:tcPr>
          <w:p w14:paraId="6E3A2752" w14:textId="77777777" w:rsidR="006C686E" w:rsidRDefault="00B17E8C">
            <w:pPr>
              <w:pStyle w:val="P68B1DB1-Normal60"/>
              <w:spacing w:after="0" w:line="276" w:lineRule="auto"/>
              <w:jc w:val="center"/>
              <w:rPr>
                <w:noProof/>
              </w:rPr>
            </w:pPr>
            <w:r>
              <w:rPr>
                <w:noProof/>
              </w:rPr>
              <w:t>21.7</w:t>
            </w:r>
          </w:p>
        </w:tc>
        <w:tc>
          <w:tcPr>
            <w:tcW w:w="1760" w:type="dxa"/>
            <w:shd w:val="clear" w:color="auto" w:fill="C4EFCE"/>
            <w:vAlign w:val="center"/>
            <w:hideMark/>
          </w:tcPr>
          <w:p w14:paraId="48037704" w14:textId="77777777" w:rsidR="006C686E" w:rsidRDefault="00B17E8C">
            <w:pPr>
              <w:pStyle w:val="P68B1DB1-Normal60"/>
              <w:spacing w:after="0" w:line="276" w:lineRule="auto"/>
              <w:jc w:val="center"/>
              <w:rPr>
                <w:noProof/>
              </w:rPr>
            </w:pPr>
            <w:r>
              <w:rPr>
                <w:noProof/>
              </w:rPr>
              <w:t>RP-C21-r43</w:t>
            </w:r>
          </w:p>
        </w:tc>
        <w:tc>
          <w:tcPr>
            <w:tcW w:w="1520" w:type="dxa"/>
            <w:shd w:val="clear" w:color="auto" w:fill="C4EFCE"/>
            <w:vAlign w:val="center"/>
            <w:hideMark/>
          </w:tcPr>
          <w:p w14:paraId="47F9A29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EDFD918" w14:textId="77777777" w:rsidR="006C686E" w:rsidRDefault="00B17E8C">
            <w:pPr>
              <w:pStyle w:val="P68B1DB1-Normal60"/>
              <w:spacing w:after="0" w:line="276" w:lineRule="auto"/>
              <w:jc w:val="both"/>
              <w:rPr>
                <w:noProof/>
              </w:rPr>
            </w:pPr>
            <w:r>
              <w:rPr>
                <w:noProof/>
              </w:rPr>
              <w:t>Entrée en vigueur de la législation portant création de l'Observatoire national de la précarité énergétique (ONPE)</w:t>
            </w:r>
          </w:p>
        </w:tc>
      </w:tr>
      <w:tr w:rsidR="006C686E" w14:paraId="276DA872" w14:textId="77777777">
        <w:trPr>
          <w:trHeight w:val="440"/>
        </w:trPr>
        <w:tc>
          <w:tcPr>
            <w:tcW w:w="1200" w:type="dxa"/>
            <w:shd w:val="clear" w:color="auto" w:fill="C4EFCE"/>
            <w:vAlign w:val="center"/>
            <w:hideMark/>
          </w:tcPr>
          <w:p w14:paraId="77885B6E" w14:textId="77777777" w:rsidR="006C686E" w:rsidRDefault="00B17E8C">
            <w:pPr>
              <w:pStyle w:val="P68B1DB1-Normal60"/>
              <w:spacing w:after="0" w:line="276" w:lineRule="auto"/>
              <w:jc w:val="center"/>
              <w:rPr>
                <w:noProof/>
              </w:rPr>
            </w:pPr>
            <w:r>
              <w:rPr>
                <w:noProof/>
              </w:rPr>
              <w:t>21.9</w:t>
            </w:r>
          </w:p>
        </w:tc>
        <w:tc>
          <w:tcPr>
            <w:tcW w:w="1760" w:type="dxa"/>
            <w:shd w:val="clear" w:color="auto" w:fill="C4EFCE"/>
            <w:vAlign w:val="center"/>
            <w:hideMark/>
          </w:tcPr>
          <w:p w14:paraId="4528895D" w14:textId="77777777" w:rsidR="006C686E" w:rsidRDefault="00B17E8C">
            <w:pPr>
              <w:pStyle w:val="P68B1DB1-Normal60"/>
              <w:spacing w:after="0" w:line="276" w:lineRule="auto"/>
              <w:jc w:val="center"/>
              <w:rPr>
                <w:noProof/>
              </w:rPr>
            </w:pPr>
            <w:r>
              <w:rPr>
                <w:noProof/>
              </w:rPr>
              <w:t>RP-C21-r44</w:t>
            </w:r>
          </w:p>
        </w:tc>
        <w:tc>
          <w:tcPr>
            <w:tcW w:w="1520" w:type="dxa"/>
            <w:shd w:val="clear" w:color="auto" w:fill="C4EFCE"/>
            <w:vAlign w:val="center"/>
            <w:hideMark/>
          </w:tcPr>
          <w:p w14:paraId="3F2A9F1C"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126C558" w14:textId="77777777" w:rsidR="006C686E" w:rsidRDefault="00B17E8C">
            <w:pPr>
              <w:pStyle w:val="P68B1DB1-Normal60"/>
              <w:spacing w:after="0" w:line="276" w:lineRule="auto"/>
              <w:jc w:val="both"/>
              <w:rPr>
                <w:noProof/>
              </w:rPr>
            </w:pPr>
            <w:r>
              <w:rPr>
                <w:noProof/>
              </w:rPr>
              <w:t>Signature du protocole de coopération</w:t>
            </w:r>
          </w:p>
        </w:tc>
      </w:tr>
      <w:tr w:rsidR="006C686E" w14:paraId="1BE9DB9E" w14:textId="77777777">
        <w:trPr>
          <w:trHeight w:val="440"/>
        </w:trPr>
        <w:tc>
          <w:tcPr>
            <w:tcW w:w="1200" w:type="dxa"/>
            <w:shd w:val="clear" w:color="auto" w:fill="C4EFCE"/>
            <w:vAlign w:val="center"/>
            <w:hideMark/>
          </w:tcPr>
          <w:p w14:paraId="34E3F156" w14:textId="77777777" w:rsidR="006C686E" w:rsidRDefault="00B17E8C">
            <w:pPr>
              <w:pStyle w:val="P68B1DB1-Normal60"/>
              <w:spacing w:after="0" w:line="276" w:lineRule="auto"/>
              <w:jc w:val="center"/>
              <w:rPr>
                <w:noProof/>
              </w:rPr>
            </w:pPr>
            <w:r>
              <w:rPr>
                <w:noProof/>
              </w:rPr>
              <w:t>21.16</w:t>
            </w:r>
          </w:p>
        </w:tc>
        <w:tc>
          <w:tcPr>
            <w:tcW w:w="1760" w:type="dxa"/>
            <w:shd w:val="clear" w:color="auto" w:fill="C4EFCE"/>
            <w:vAlign w:val="center"/>
            <w:hideMark/>
          </w:tcPr>
          <w:p w14:paraId="27AE3481" w14:textId="77777777" w:rsidR="006C686E" w:rsidRDefault="00B17E8C">
            <w:pPr>
              <w:pStyle w:val="P68B1DB1-Normal60"/>
              <w:spacing w:after="0" w:line="276" w:lineRule="auto"/>
              <w:jc w:val="center"/>
              <w:rPr>
                <w:noProof/>
              </w:rPr>
            </w:pPr>
            <w:r>
              <w:rPr>
                <w:noProof/>
              </w:rPr>
              <w:t>RP-C21-r46</w:t>
            </w:r>
          </w:p>
        </w:tc>
        <w:tc>
          <w:tcPr>
            <w:tcW w:w="1520" w:type="dxa"/>
            <w:shd w:val="clear" w:color="auto" w:fill="C4EFCE"/>
            <w:vAlign w:val="center"/>
            <w:hideMark/>
          </w:tcPr>
          <w:p w14:paraId="6120FE8B"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9D217DA" w14:textId="77777777" w:rsidR="006C686E" w:rsidRDefault="00B17E8C">
            <w:pPr>
              <w:pStyle w:val="P68B1DB1-Normal60"/>
              <w:spacing w:after="0" w:line="276" w:lineRule="auto"/>
              <w:jc w:val="both"/>
              <w:rPr>
                <w:noProof/>
              </w:rPr>
            </w:pPr>
            <w:r>
              <w:rPr>
                <w:noProof/>
              </w:rPr>
              <w:t>Entrée en vigueur d’un acte administratif ou juridique sur l’hydrogène renouvelable</w:t>
            </w:r>
          </w:p>
        </w:tc>
      </w:tr>
      <w:tr w:rsidR="006C686E" w14:paraId="318061A4" w14:textId="77777777">
        <w:trPr>
          <w:trHeight w:val="440"/>
        </w:trPr>
        <w:tc>
          <w:tcPr>
            <w:tcW w:w="1200" w:type="dxa"/>
            <w:shd w:val="clear" w:color="auto" w:fill="C4EFCE"/>
            <w:vAlign w:val="center"/>
            <w:hideMark/>
          </w:tcPr>
          <w:p w14:paraId="759AF292" w14:textId="77777777" w:rsidR="006C686E" w:rsidRDefault="00B17E8C">
            <w:pPr>
              <w:pStyle w:val="P68B1DB1-Normal60"/>
              <w:spacing w:after="0" w:line="276" w:lineRule="auto"/>
              <w:jc w:val="center"/>
              <w:rPr>
                <w:noProof/>
              </w:rPr>
            </w:pPr>
            <w:r>
              <w:rPr>
                <w:noProof/>
              </w:rPr>
              <w:t>21.18</w:t>
            </w:r>
          </w:p>
        </w:tc>
        <w:tc>
          <w:tcPr>
            <w:tcW w:w="1760" w:type="dxa"/>
            <w:shd w:val="clear" w:color="auto" w:fill="C4EFCE"/>
            <w:vAlign w:val="center"/>
            <w:hideMark/>
          </w:tcPr>
          <w:p w14:paraId="5458B164" w14:textId="77777777" w:rsidR="006C686E" w:rsidRDefault="00B17E8C">
            <w:pPr>
              <w:pStyle w:val="P68B1DB1-Normal60"/>
              <w:spacing w:after="0" w:line="276" w:lineRule="auto"/>
              <w:jc w:val="center"/>
              <w:rPr>
                <w:noProof/>
              </w:rPr>
            </w:pPr>
            <w:r>
              <w:rPr>
                <w:noProof/>
              </w:rPr>
              <w:t>RP-C21-r47</w:t>
            </w:r>
          </w:p>
        </w:tc>
        <w:tc>
          <w:tcPr>
            <w:tcW w:w="1520" w:type="dxa"/>
            <w:shd w:val="clear" w:color="auto" w:fill="C4EFCE"/>
            <w:vAlign w:val="center"/>
            <w:hideMark/>
          </w:tcPr>
          <w:p w14:paraId="699A27F6"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59FBF204" w14:textId="77777777" w:rsidR="006C686E" w:rsidRDefault="00B17E8C">
            <w:pPr>
              <w:pStyle w:val="P68B1DB1-Normal60"/>
              <w:spacing w:after="0" w:line="276" w:lineRule="auto"/>
              <w:jc w:val="both"/>
              <w:rPr>
                <w:noProof/>
              </w:rPr>
            </w:pPr>
            <w:r>
              <w:rPr>
                <w:noProof/>
              </w:rPr>
              <w:t>Lancement de la première vente aux enchères d'achat centralisé de biométhane durable</w:t>
            </w:r>
          </w:p>
        </w:tc>
      </w:tr>
      <w:tr w:rsidR="006C686E" w14:paraId="50DA9003" w14:textId="77777777">
        <w:trPr>
          <w:trHeight w:val="440"/>
        </w:trPr>
        <w:tc>
          <w:tcPr>
            <w:tcW w:w="1200" w:type="dxa"/>
            <w:shd w:val="clear" w:color="auto" w:fill="C4EFCE"/>
            <w:vAlign w:val="center"/>
            <w:hideMark/>
          </w:tcPr>
          <w:p w14:paraId="252E906B" w14:textId="77777777" w:rsidR="006C686E" w:rsidRDefault="00B17E8C">
            <w:pPr>
              <w:pStyle w:val="P68B1DB1-Normal60"/>
              <w:spacing w:after="0" w:line="276" w:lineRule="auto"/>
              <w:jc w:val="center"/>
              <w:rPr>
                <w:noProof/>
              </w:rPr>
            </w:pPr>
            <w:r>
              <w:rPr>
                <w:noProof/>
              </w:rPr>
              <w:t>21.20</w:t>
            </w:r>
          </w:p>
        </w:tc>
        <w:tc>
          <w:tcPr>
            <w:tcW w:w="1760" w:type="dxa"/>
            <w:shd w:val="clear" w:color="auto" w:fill="C4EFCE"/>
            <w:vAlign w:val="center"/>
            <w:hideMark/>
          </w:tcPr>
          <w:p w14:paraId="0667296C" w14:textId="77777777" w:rsidR="006C686E" w:rsidRDefault="00B17E8C">
            <w:pPr>
              <w:pStyle w:val="P68B1DB1-Normal60"/>
              <w:spacing w:after="0" w:line="276" w:lineRule="auto"/>
              <w:jc w:val="center"/>
              <w:rPr>
                <w:noProof/>
              </w:rPr>
            </w:pPr>
            <w:r>
              <w:rPr>
                <w:noProof/>
              </w:rPr>
              <w:t>RP-C21-r48</w:t>
            </w:r>
          </w:p>
        </w:tc>
        <w:tc>
          <w:tcPr>
            <w:tcW w:w="1520" w:type="dxa"/>
            <w:shd w:val="clear" w:color="auto" w:fill="C4EFCE"/>
            <w:vAlign w:val="center"/>
            <w:hideMark/>
          </w:tcPr>
          <w:p w14:paraId="3EACD1D3"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06FA7155" w14:textId="77777777" w:rsidR="006C686E" w:rsidRDefault="00B17E8C">
            <w:pPr>
              <w:pStyle w:val="P68B1DB1-Normal60"/>
              <w:spacing w:after="0" w:line="276" w:lineRule="auto"/>
              <w:jc w:val="both"/>
              <w:rPr>
                <w:noProof/>
              </w:rPr>
            </w:pPr>
            <w:r>
              <w:rPr>
                <w:noProof/>
              </w:rPr>
              <w:t>Mise en place de l'EMER 2030</w:t>
            </w:r>
          </w:p>
        </w:tc>
      </w:tr>
      <w:tr w:rsidR="006C686E" w14:paraId="428EBDBC" w14:textId="77777777">
        <w:trPr>
          <w:trHeight w:val="440"/>
        </w:trPr>
        <w:tc>
          <w:tcPr>
            <w:tcW w:w="1200" w:type="dxa"/>
            <w:shd w:val="clear" w:color="auto" w:fill="C4EFCE"/>
            <w:vAlign w:val="center"/>
            <w:hideMark/>
          </w:tcPr>
          <w:p w14:paraId="6BD39D87" w14:textId="77777777" w:rsidR="006C686E" w:rsidRDefault="00B17E8C">
            <w:pPr>
              <w:pStyle w:val="P68B1DB1-Normal60"/>
              <w:spacing w:after="0" w:line="276" w:lineRule="auto"/>
              <w:jc w:val="center"/>
              <w:rPr>
                <w:noProof/>
              </w:rPr>
            </w:pPr>
            <w:r>
              <w:rPr>
                <w:noProof/>
              </w:rPr>
              <w:t>21.21</w:t>
            </w:r>
          </w:p>
        </w:tc>
        <w:tc>
          <w:tcPr>
            <w:tcW w:w="1760" w:type="dxa"/>
            <w:shd w:val="clear" w:color="auto" w:fill="C4EFCE"/>
            <w:vAlign w:val="center"/>
            <w:hideMark/>
          </w:tcPr>
          <w:p w14:paraId="304F2719" w14:textId="77777777" w:rsidR="006C686E" w:rsidRDefault="00B17E8C">
            <w:pPr>
              <w:pStyle w:val="P68B1DB1-Normal60"/>
              <w:spacing w:after="0" w:line="276" w:lineRule="auto"/>
              <w:jc w:val="center"/>
              <w:rPr>
                <w:noProof/>
              </w:rPr>
            </w:pPr>
            <w:r>
              <w:rPr>
                <w:noProof/>
              </w:rPr>
              <w:t>RP-C21-r48</w:t>
            </w:r>
          </w:p>
        </w:tc>
        <w:tc>
          <w:tcPr>
            <w:tcW w:w="1520" w:type="dxa"/>
            <w:shd w:val="clear" w:color="auto" w:fill="C4EFCE"/>
            <w:vAlign w:val="center"/>
            <w:hideMark/>
          </w:tcPr>
          <w:p w14:paraId="679BC904"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5E7B7D9C" w14:textId="77777777" w:rsidR="006C686E" w:rsidRDefault="00B17E8C">
            <w:pPr>
              <w:pStyle w:val="P68B1DB1-Normal60"/>
              <w:spacing w:after="0" w:line="276" w:lineRule="auto"/>
              <w:jc w:val="both"/>
              <w:rPr>
                <w:noProof/>
              </w:rPr>
            </w:pPr>
            <w:r>
              <w:rPr>
                <w:noProof/>
              </w:rPr>
              <w:t>Entrée en vigueur du règlement relatif à l’octroi de licences municipales pour les projets d’énergie renouvelable et de stockage</w:t>
            </w:r>
          </w:p>
        </w:tc>
      </w:tr>
      <w:tr w:rsidR="006C686E" w14:paraId="3D319787" w14:textId="77777777">
        <w:trPr>
          <w:trHeight w:val="440"/>
        </w:trPr>
        <w:tc>
          <w:tcPr>
            <w:tcW w:w="1200" w:type="dxa"/>
            <w:shd w:val="clear" w:color="auto" w:fill="C4EFCE"/>
            <w:vAlign w:val="center"/>
            <w:hideMark/>
          </w:tcPr>
          <w:p w14:paraId="315B360B" w14:textId="77777777" w:rsidR="006C686E" w:rsidRDefault="00B17E8C">
            <w:pPr>
              <w:pStyle w:val="P68B1DB1-Normal60"/>
              <w:spacing w:after="0" w:line="276" w:lineRule="auto"/>
              <w:jc w:val="center"/>
              <w:rPr>
                <w:noProof/>
              </w:rPr>
            </w:pPr>
            <w:r>
              <w:rPr>
                <w:noProof/>
              </w:rPr>
              <w:t xml:space="preserve"> </w:t>
            </w:r>
          </w:p>
        </w:tc>
        <w:tc>
          <w:tcPr>
            <w:tcW w:w="1760" w:type="dxa"/>
            <w:shd w:val="clear" w:color="auto" w:fill="C4EFCE"/>
            <w:vAlign w:val="center"/>
            <w:hideMark/>
          </w:tcPr>
          <w:p w14:paraId="13351A64" w14:textId="77777777" w:rsidR="006C686E" w:rsidRDefault="00B17E8C">
            <w:pPr>
              <w:pStyle w:val="P68B1DB1-Normal60"/>
              <w:spacing w:after="0" w:line="276" w:lineRule="auto"/>
              <w:jc w:val="center"/>
              <w:rPr>
                <w:noProof/>
              </w:rPr>
            </w:pPr>
            <w:r>
              <w:rPr>
                <w:noProof/>
              </w:rPr>
              <w:t xml:space="preserve"> </w:t>
            </w:r>
          </w:p>
        </w:tc>
        <w:tc>
          <w:tcPr>
            <w:tcW w:w="1520" w:type="dxa"/>
            <w:shd w:val="clear" w:color="auto" w:fill="C4EFCE"/>
            <w:vAlign w:val="center"/>
            <w:hideMark/>
          </w:tcPr>
          <w:p w14:paraId="7742325C" w14:textId="77777777" w:rsidR="006C686E" w:rsidRDefault="00B17E8C">
            <w:pPr>
              <w:pStyle w:val="P68B1DB1-Normal60"/>
              <w:spacing w:after="0" w:line="276" w:lineRule="auto"/>
              <w:jc w:val="center"/>
              <w:rPr>
                <w:noProof/>
              </w:rPr>
            </w:pPr>
            <w:r>
              <w:rPr>
                <w:noProof/>
              </w:rPr>
              <w:t xml:space="preserve">Montant des acomptes provisionnels </w:t>
            </w:r>
          </w:p>
        </w:tc>
        <w:tc>
          <w:tcPr>
            <w:tcW w:w="5060" w:type="dxa"/>
            <w:shd w:val="clear" w:color="auto" w:fill="C4EFCE"/>
            <w:vAlign w:val="center"/>
            <w:hideMark/>
          </w:tcPr>
          <w:p w14:paraId="4192F0ED" w14:textId="77777777" w:rsidR="006C686E" w:rsidRDefault="00B17E8C">
            <w:pPr>
              <w:pStyle w:val="P68B1DB1-Normal61"/>
              <w:spacing w:after="0" w:line="276" w:lineRule="auto"/>
              <w:jc w:val="center"/>
              <w:rPr>
                <w:noProof/>
                <w:sz w:val="20"/>
                <w:szCs w:val="20"/>
              </w:rPr>
            </w:pPr>
            <w:r>
              <w:rPr>
                <w:noProof/>
              </w:rPr>
              <w:t>1 877 616 715 EUR</w:t>
            </w:r>
            <w:r>
              <w:rPr>
                <w:noProof/>
                <w:sz w:val="20"/>
                <w:szCs w:val="20"/>
              </w:rPr>
              <w:t xml:space="preserve"> </w:t>
            </w:r>
          </w:p>
        </w:tc>
      </w:tr>
    </w:tbl>
    <w:p w14:paraId="328EF14F" w14:textId="77777777" w:rsidR="006C686E" w:rsidRDefault="006C686E">
      <w:pPr>
        <w:spacing w:after="200" w:line="276" w:lineRule="auto"/>
        <w:rPr>
          <w:rFonts w:ascii="Calibri" w:eastAsia="Calibri" w:hAnsi="Calibri" w:cs="Times New Roman"/>
          <w:noProof/>
          <w:kern w:val="0"/>
          <w:sz w:val="18"/>
          <w:szCs w:val="18"/>
          <w14:ligatures w14:val="none"/>
        </w:rPr>
      </w:pPr>
    </w:p>
    <w:p w14:paraId="30CC2051" w14:textId="77777777" w:rsidR="006C686E" w:rsidRDefault="00B17E8C">
      <w:pPr>
        <w:pStyle w:val="P68B1DB1-Normal4"/>
        <w:keepNext/>
        <w:numPr>
          <w:ilvl w:val="1"/>
          <w:numId w:val="71"/>
        </w:numPr>
        <w:spacing w:before="40" w:after="200" w:line="276" w:lineRule="auto"/>
        <w:contextualSpacing/>
        <w:jc w:val="both"/>
        <w:rPr>
          <w:rFonts w:eastAsia="Times New Roman"/>
          <w:noProof/>
        </w:rPr>
      </w:pPr>
      <w:r>
        <w:rPr>
          <w:noProof/>
        </w:rPr>
        <w:t xml:space="preserve">Sixième tranche (soutien non remboursable): </w:t>
      </w:r>
    </w:p>
    <w:p w14:paraId="22009B3E" w14:textId="77777777" w:rsidR="006C686E" w:rsidRDefault="006C686E">
      <w:pPr>
        <w:keepNext/>
        <w:spacing w:before="40"/>
        <w:contextualSpacing/>
        <w:jc w:val="both"/>
        <w:rPr>
          <w:rFonts w:ascii="Times New Roman" w:eastAsia="Times New Roman" w:hAnsi="Times New Roman" w:cs="Times New Roman"/>
          <w:noProof/>
          <w:kern w:val="0"/>
          <w:sz w:val="18"/>
          <w:szCs w:val="18"/>
          <w14:ligatures w14:val="none"/>
        </w:rPr>
      </w:pPr>
    </w:p>
    <w:tbl>
      <w:tblPr>
        <w:tblW w:w="95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1731"/>
        <w:gridCol w:w="1491"/>
        <w:gridCol w:w="5122"/>
      </w:tblGrid>
      <w:tr w:rsidR="006C686E" w14:paraId="66CD5FB7" w14:textId="77777777">
        <w:trPr>
          <w:trHeight w:val="1065"/>
          <w:tblHeader/>
        </w:trPr>
        <w:tc>
          <w:tcPr>
            <w:tcW w:w="1177" w:type="dxa"/>
            <w:shd w:val="clear" w:color="auto" w:fill="BDD7EE"/>
            <w:vAlign w:val="center"/>
            <w:hideMark/>
          </w:tcPr>
          <w:p w14:paraId="0C506EDF"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31" w:type="dxa"/>
            <w:shd w:val="clear" w:color="auto" w:fill="BDD7EE"/>
            <w:vAlign w:val="center"/>
            <w:hideMark/>
          </w:tcPr>
          <w:p w14:paraId="04BA1038"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491" w:type="dxa"/>
            <w:shd w:val="clear" w:color="auto" w:fill="BDD7EE"/>
            <w:vAlign w:val="center"/>
            <w:hideMark/>
          </w:tcPr>
          <w:p w14:paraId="710CF873" w14:textId="77777777" w:rsidR="006C686E" w:rsidRDefault="00B17E8C">
            <w:pPr>
              <w:pStyle w:val="P68B1DB1-Normal59"/>
              <w:spacing w:after="0" w:line="240" w:lineRule="auto"/>
              <w:jc w:val="center"/>
              <w:rPr>
                <w:rFonts w:eastAsia="Times New Roman"/>
                <w:bCs/>
                <w:noProof/>
              </w:rPr>
            </w:pPr>
            <w:r>
              <w:rPr>
                <w:noProof/>
              </w:rPr>
              <w:t>Étape/cible</w:t>
            </w:r>
          </w:p>
        </w:tc>
        <w:tc>
          <w:tcPr>
            <w:tcW w:w="5122" w:type="dxa"/>
            <w:shd w:val="clear" w:color="auto" w:fill="BDD7EE"/>
            <w:vAlign w:val="center"/>
            <w:hideMark/>
          </w:tcPr>
          <w:p w14:paraId="19A45841" w14:textId="77777777" w:rsidR="006C686E" w:rsidRDefault="00B17E8C">
            <w:pPr>
              <w:pStyle w:val="P68B1DB1-Normal59"/>
              <w:spacing w:after="0" w:line="240" w:lineRule="auto"/>
              <w:jc w:val="center"/>
              <w:rPr>
                <w:rFonts w:eastAsia="Times New Roman"/>
                <w:bCs/>
                <w:noProof/>
              </w:rPr>
            </w:pPr>
            <w:r>
              <w:rPr>
                <w:noProof/>
              </w:rPr>
              <w:t>Nom</w:t>
            </w:r>
          </w:p>
        </w:tc>
      </w:tr>
      <w:tr w:rsidR="006C686E" w14:paraId="1153069E" w14:textId="77777777">
        <w:trPr>
          <w:trHeight w:val="440"/>
        </w:trPr>
        <w:tc>
          <w:tcPr>
            <w:tcW w:w="1177" w:type="dxa"/>
            <w:shd w:val="clear" w:color="auto" w:fill="C4EFCE"/>
            <w:vAlign w:val="center"/>
          </w:tcPr>
          <w:p w14:paraId="6FDDD30F" w14:textId="77777777" w:rsidR="006C686E" w:rsidRDefault="00B17E8C">
            <w:pPr>
              <w:pStyle w:val="P68B1DB1-Normal63"/>
              <w:spacing w:after="0" w:line="276" w:lineRule="auto"/>
              <w:jc w:val="center"/>
              <w:rPr>
                <w:noProof/>
              </w:rPr>
            </w:pPr>
            <w:r>
              <w:rPr>
                <w:noProof/>
              </w:rPr>
              <w:t>1.7</w:t>
            </w:r>
          </w:p>
        </w:tc>
        <w:tc>
          <w:tcPr>
            <w:tcW w:w="1731" w:type="dxa"/>
            <w:shd w:val="clear" w:color="auto" w:fill="C4EFCE"/>
            <w:vAlign w:val="center"/>
          </w:tcPr>
          <w:p w14:paraId="2BF6CFA6" w14:textId="77777777" w:rsidR="006C686E" w:rsidRDefault="00B17E8C">
            <w:pPr>
              <w:pStyle w:val="P68B1DB1-Normal63"/>
              <w:spacing w:after="0" w:line="276" w:lineRule="auto"/>
              <w:jc w:val="center"/>
              <w:rPr>
                <w:noProof/>
              </w:rPr>
            </w:pPr>
            <w:r>
              <w:rPr>
                <w:noProof/>
              </w:rPr>
              <w:t>RE-C01-r03</w:t>
            </w:r>
          </w:p>
        </w:tc>
        <w:tc>
          <w:tcPr>
            <w:tcW w:w="1491" w:type="dxa"/>
            <w:shd w:val="clear" w:color="auto" w:fill="C4EFCE"/>
            <w:vAlign w:val="center"/>
          </w:tcPr>
          <w:p w14:paraId="3688EE0B"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3E20F490" w14:textId="77777777" w:rsidR="006C686E" w:rsidRDefault="00B17E8C">
            <w:pPr>
              <w:pStyle w:val="P68B1DB1-Normal63"/>
              <w:spacing w:after="0" w:line="276" w:lineRule="auto"/>
              <w:jc w:val="both"/>
              <w:rPr>
                <w:noProof/>
              </w:rPr>
            </w:pPr>
            <w:r>
              <w:rPr>
                <w:noProof/>
              </w:rPr>
              <w:t>Entrée en vigueur du nouveau plan comptable de gestion du Service national de santé</w:t>
            </w:r>
          </w:p>
        </w:tc>
      </w:tr>
      <w:tr w:rsidR="006C686E" w14:paraId="5376E644" w14:textId="77777777">
        <w:trPr>
          <w:trHeight w:val="440"/>
        </w:trPr>
        <w:tc>
          <w:tcPr>
            <w:tcW w:w="1177" w:type="dxa"/>
            <w:shd w:val="clear" w:color="auto" w:fill="C4EFCE"/>
            <w:vAlign w:val="center"/>
          </w:tcPr>
          <w:p w14:paraId="393187C2" w14:textId="77777777" w:rsidR="006C686E" w:rsidRDefault="00B17E8C">
            <w:pPr>
              <w:pStyle w:val="P68B1DB1-Normal63"/>
              <w:spacing w:after="0" w:line="276" w:lineRule="auto"/>
              <w:jc w:val="center"/>
              <w:rPr>
                <w:noProof/>
              </w:rPr>
            </w:pPr>
            <w:r>
              <w:rPr>
                <w:noProof/>
              </w:rPr>
              <w:t>1.9</w:t>
            </w:r>
          </w:p>
        </w:tc>
        <w:tc>
          <w:tcPr>
            <w:tcW w:w="1731" w:type="dxa"/>
            <w:shd w:val="clear" w:color="auto" w:fill="C4EFCE"/>
            <w:vAlign w:val="center"/>
          </w:tcPr>
          <w:p w14:paraId="3C31E555" w14:textId="77777777" w:rsidR="006C686E" w:rsidRDefault="00B17E8C">
            <w:pPr>
              <w:pStyle w:val="P68B1DB1-Normal63"/>
              <w:spacing w:after="0" w:line="276" w:lineRule="auto"/>
              <w:jc w:val="center"/>
              <w:rPr>
                <w:noProof/>
              </w:rPr>
            </w:pPr>
            <w:r>
              <w:rPr>
                <w:noProof/>
              </w:rPr>
              <w:t>RE-C01-r03</w:t>
            </w:r>
          </w:p>
        </w:tc>
        <w:tc>
          <w:tcPr>
            <w:tcW w:w="1491" w:type="dxa"/>
            <w:shd w:val="clear" w:color="auto" w:fill="C4EFCE"/>
            <w:vAlign w:val="center"/>
          </w:tcPr>
          <w:p w14:paraId="6137CF22"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351242B7" w14:textId="77777777" w:rsidR="006C686E" w:rsidRDefault="00B17E8C">
            <w:pPr>
              <w:pStyle w:val="P68B1DB1-Normal63"/>
              <w:spacing w:after="0" w:line="276" w:lineRule="auto"/>
              <w:jc w:val="both"/>
              <w:rPr>
                <w:noProof/>
              </w:rPr>
            </w:pPr>
            <w:r>
              <w:rPr>
                <w:noProof/>
              </w:rPr>
              <w:t>Création de nouveaux centres de responsabilité intégrée dans les hôpitaux du Service national de santé</w:t>
            </w:r>
          </w:p>
        </w:tc>
      </w:tr>
      <w:tr w:rsidR="006C686E" w14:paraId="45877D34" w14:textId="77777777">
        <w:trPr>
          <w:trHeight w:val="440"/>
        </w:trPr>
        <w:tc>
          <w:tcPr>
            <w:tcW w:w="1177" w:type="dxa"/>
            <w:shd w:val="clear" w:color="auto" w:fill="C4EFCE"/>
            <w:vAlign w:val="center"/>
          </w:tcPr>
          <w:p w14:paraId="136CAD73" w14:textId="77777777" w:rsidR="006C686E" w:rsidRDefault="00B17E8C">
            <w:pPr>
              <w:pStyle w:val="P68B1DB1-Normal63"/>
              <w:spacing w:after="0" w:line="276" w:lineRule="auto"/>
              <w:jc w:val="center"/>
              <w:rPr>
                <w:noProof/>
              </w:rPr>
            </w:pPr>
            <w:r>
              <w:rPr>
                <w:noProof/>
              </w:rPr>
              <w:t>1.11</w:t>
            </w:r>
          </w:p>
        </w:tc>
        <w:tc>
          <w:tcPr>
            <w:tcW w:w="1731" w:type="dxa"/>
            <w:shd w:val="clear" w:color="auto" w:fill="C4EFCE"/>
            <w:vAlign w:val="center"/>
          </w:tcPr>
          <w:p w14:paraId="4B46DA16" w14:textId="77777777" w:rsidR="006C686E" w:rsidRDefault="00B17E8C">
            <w:pPr>
              <w:pStyle w:val="P68B1DB1-Normal63"/>
              <w:spacing w:after="0" w:line="276" w:lineRule="auto"/>
              <w:jc w:val="center"/>
              <w:rPr>
                <w:noProof/>
              </w:rPr>
            </w:pPr>
            <w:r>
              <w:rPr>
                <w:noProof/>
              </w:rPr>
              <w:t>RE-C01-r03</w:t>
            </w:r>
          </w:p>
        </w:tc>
        <w:tc>
          <w:tcPr>
            <w:tcW w:w="1491" w:type="dxa"/>
            <w:shd w:val="clear" w:color="auto" w:fill="C4EFCE"/>
            <w:vAlign w:val="center"/>
          </w:tcPr>
          <w:p w14:paraId="78295881"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653536E3" w14:textId="77777777" w:rsidR="006C686E" w:rsidRDefault="00B17E8C">
            <w:pPr>
              <w:pStyle w:val="P68B1DB1-Normal63"/>
              <w:spacing w:after="0" w:line="276" w:lineRule="auto"/>
              <w:jc w:val="both"/>
              <w:rPr>
                <w:noProof/>
              </w:rPr>
            </w:pPr>
            <w:r>
              <w:rPr>
                <w:noProof/>
              </w:rPr>
              <w:t>Entrée en vigueur du plan d'action visant à renforcer les mécanismes centralisés d'achat de médicaments</w:t>
            </w:r>
          </w:p>
        </w:tc>
      </w:tr>
      <w:tr w:rsidR="006C686E" w14:paraId="5928DDFB" w14:textId="77777777">
        <w:trPr>
          <w:trHeight w:val="440"/>
        </w:trPr>
        <w:tc>
          <w:tcPr>
            <w:tcW w:w="1177" w:type="dxa"/>
            <w:shd w:val="clear" w:color="auto" w:fill="C4EFCE"/>
            <w:vAlign w:val="center"/>
          </w:tcPr>
          <w:p w14:paraId="79DB0C74" w14:textId="77777777" w:rsidR="006C686E" w:rsidRDefault="00B17E8C">
            <w:pPr>
              <w:pStyle w:val="P68B1DB1-Normal63"/>
              <w:spacing w:after="0" w:line="276" w:lineRule="auto"/>
              <w:jc w:val="center"/>
              <w:rPr>
                <w:noProof/>
              </w:rPr>
            </w:pPr>
            <w:r>
              <w:rPr>
                <w:noProof/>
              </w:rPr>
              <w:t>1.22</w:t>
            </w:r>
          </w:p>
        </w:tc>
        <w:tc>
          <w:tcPr>
            <w:tcW w:w="1731" w:type="dxa"/>
            <w:shd w:val="clear" w:color="auto" w:fill="C4EFCE"/>
            <w:vAlign w:val="center"/>
          </w:tcPr>
          <w:p w14:paraId="6379B2CD" w14:textId="77777777" w:rsidR="006C686E" w:rsidRDefault="00B17E8C">
            <w:pPr>
              <w:pStyle w:val="P68B1DB1-Normal63"/>
              <w:spacing w:after="0" w:line="276" w:lineRule="auto"/>
              <w:jc w:val="center"/>
              <w:rPr>
                <w:noProof/>
              </w:rPr>
            </w:pPr>
            <w:r>
              <w:rPr>
                <w:noProof/>
              </w:rPr>
              <w:t>RE-C01-i02</w:t>
            </w:r>
          </w:p>
        </w:tc>
        <w:tc>
          <w:tcPr>
            <w:tcW w:w="1491" w:type="dxa"/>
            <w:shd w:val="clear" w:color="auto" w:fill="C4EFCE"/>
            <w:vAlign w:val="center"/>
          </w:tcPr>
          <w:p w14:paraId="4ECD5BA2"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374124AD" w14:textId="77777777" w:rsidR="006C686E" w:rsidRDefault="00B17E8C">
            <w:pPr>
              <w:pStyle w:val="P68B1DB1-Normal63"/>
              <w:spacing w:after="0" w:line="276" w:lineRule="auto"/>
              <w:jc w:val="both"/>
              <w:rPr>
                <w:noProof/>
              </w:rPr>
            </w:pPr>
            <w:r>
              <w:rPr>
                <w:noProof/>
              </w:rPr>
              <w:t>Renforcement de la capacité d'intervention des réseaux nationaux de services intégrés de soins continus et de soins palliatifs en soins à domicile</w:t>
            </w:r>
          </w:p>
        </w:tc>
      </w:tr>
      <w:tr w:rsidR="006C686E" w14:paraId="2DFB29D4" w14:textId="77777777">
        <w:trPr>
          <w:trHeight w:val="440"/>
        </w:trPr>
        <w:tc>
          <w:tcPr>
            <w:tcW w:w="1177" w:type="dxa"/>
            <w:shd w:val="clear" w:color="auto" w:fill="C4EFCE"/>
            <w:vAlign w:val="center"/>
          </w:tcPr>
          <w:p w14:paraId="0FD8DDEC" w14:textId="77777777" w:rsidR="006C686E" w:rsidRDefault="00B17E8C">
            <w:pPr>
              <w:pStyle w:val="P68B1DB1-Normal63"/>
              <w:spacing w:after="0" w:line="276" w:lineRule="auto"/>
              <w:jc w:val="center"/>
              <w:rPr>
                <w:noProof/>
              </w:rPr>
            </w:pPr>
            <w:r>
              <w:rPr>
                <w:noProof/>
              </w:rPr>
              <w:t>1.28</w:t>
            </w:r>
          </w:p>
        </w:tc>
        <w:tc>
          <w:tcPr>
            <w:tcW w:w="1731" w:type="dxa"/>
            <w:shd w:val="clear" w:color="auto" w:fill="C4EFCE"/>
            <w:vAlign w:val="center"/>
          </w:tcPr>
          <w:p w14:paraId="0DC66441" w14:textId="77777777" w:rsidR="006C686E" w:rsidRDefault="00B17E8C">
            <w:pPr>
              <w:pStyle w:val="P68B1DB1-Normal63"/>
              <w:spacing w:after="0" w:line="276" w:lineRule="auto"/>
              <w:jc w:val="center"/>
              <w:rPr>
                <w:noProof/>
              </w:rPr>
            </w:pPr>
            <w:r>
              <w:rPr>
                <w:noProof/>
              </w:rPr>
              <w:t>RE-C01-i05-RAM</w:t>
            </w:r>
          </w:p>
        </w:tc>
        <w:tc>
          <w:tcPr>
            <w:tcW w:w="1491" w:type="dxa"/>
            <w:shd w:val="clear" w:color="auto" w:fill="C4EFCE"/>
            <w:vAlign w:val="center"/>
          </w:tcPr>
          <w:p w14:paraId="0F00C9F6"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2C50AC9F" w14:textId="77777777" w:rsidR="006C686E" w:rsidRDefault="00B17E8C">
            <w:pPr>
              <w:pStyle w:val="P68B1DB1-Normal63"/>
              <w:spacing w:after="0" w:line="276" w:lineRule="auto"/>
              <w:jc w:val="both"/>
              <w:rPr>
                <w:noProof/>
              </w:rPr>
            </w:pPr>
            <w:r>
              <w:rPr>
                <w:noProof/>
              </w:rPr>
              <w:t>Mise en place d’équipes communautaires de santé mentale au sein du service de santé régional de Madère</w:t>
            </w:r>
          </w:p>
        </w:tc>
      </w:tr>
      <w:tr w:rsidR="006C686E" w14:paraId="1B4D594C" w14:textId="77777777">
        <w:trPr>
          <w:trHeight w:val="440"/>
        </w:trPr>
        <w:tc>
          <w:tcPr>
            <w:tcW w:w="1177" w:type="dxa"/>
            <w:shd w:val="clear" w:color="auto" w:fill="C4EFCE"/>
            <w:vAlign w:val="center"/>
          </w:tcPr>
          <w:p w14:paraId="17806A3B" w14:textId="77777777" w:rsidR="006C686E" w:rsidRDefault="00B17E8C">
            <w:pPr>
              <w:pStyle w:val="P68B1DB1-Normal63"/>
              <w:spacing w:after="0" w:line="276" w:lineRule="auto"/>
              <w:jc w:val="center"/>
              <w:rPr>
                <w:noProof/>
              </w:rPr>
            </w:pPr>
            <w:r>
              <w:rPr>
                <w:noProof/>
              </w:rPr>
              <w:t>3.6</w:t>
            </w:r>
          </w:p>
        </w:tc>
        <w:tc>
          <w:tcPr>
            <w:tcW w:w="1731" w:type="dxa"/>
            <w:shd w:val="clear" w:color="auto" w:fill="C4EFCE"/>
            <w:vAlign w:val="center"/>
          </w:tcPr>
          <w:p w14:paraId="34782676" w14:textId="77777777" w:rsidR="006C686E" w:rsidRDefault="00B17E8C">
            <w:pPr>
              <w:pStyle w:val="P68B1DB1-Normal63"/>
              <w:spacing w:after="0" w:line="276" w:lineRule="auto"/>
              <w:jc w:val="center"/>
              <w:rPr>
                <w:noProof/>
              </w:rPr>
            </w:pPr>
            <w:r>
              <w:rPr>
                <w:noProof/>
              </w:rPr>
              <w:t>RE-C03-i02</w:t>
            </w:r>
          </w:p>
        </w:tc>
        <w:tc>
          <w:tcPr>
            <w:tcW w:w="1491" w:type="dxa"/>
            <w:shd w:val="clear" w:color="auto" w:fill="C4EFCE"/>
            <w:vAlign w:val="center"/>
          </w:tcPr>
          <w:p w14:paraId="00684C38" w14:textId="2A4810F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3C40C188" w14:textId="7E6CAD7A" w:rsidR="006C686E" w:rsidRDefault="00B17E8C">
            <w:pPr>
              <w:pStyle w:val="P68B1DB1-Normal63"/>
              <w:spacing w:after="0" w:line="276" w:lineRule="auto"/>
              <w:jc w:val="both"/>
              <w:rPr>
                <w:noProof/>
              </w:rPr>
            </w:pPr>
            <w:r>
              <w:rPr>
                <w:noProof/>
              </w:rPr>
              <w:t>Logements avec une meilleure accessibilité pour les personnes handicapées</w:t>
            </w:r>
          </w:p>
        </w:tc>
      </w:tr>
      <w:tr w:rsidR="006C686E" w14:paraId="5A8AC6F3" w14:textId="77777777">
        <w:trPr>
          <w:trHeight w:val="440"/>
        </w:trPr>
        <w:tc>
          <w:tcPr>
            <w:tcW w:w="1177" w:type="dxa"/>
            <w:shd w:val="clear" w:color="auto" w:fill="C4EFCE"/>
            <w:vAlign w:val="center"/>
          </w:tcPr>
          <w:p w14:paraId="01678723" w14:textId="77777777" w:rsidR="006C686E" w:rsidRDefault="00B17E8C">
            <w:pPr>
              <w:pStyle w:val="P68B1DB1-Normal63"/>
              <w:spacing w:after="0" w:line="276" w:lineRule="auto"/>
              <w:jc w:val="center"/>
              <w:rPr>
                <w:noProof/>
              </w:rPr>
            </w:pPr>
            <w:r>
              <w:rPr>
                <w:noProof/>
              </w:rPr>
              <w:t>3.25</w:t>
            </w:r>
          </w:p>
        </w:tc>
        <w:tc>
          <w:tcPr>
            <w:tcW w:w="1731" w:type="dxa"/>
            <w:shd w:val="clear" w:color="auto" w:fill="C4EFCE"/>
            <w:vAlign w:val="center"/>
          </w:tcPr>
          <w:p w14:paraId="7BB80AF9" w14:textId="77777777" w:rsidR="006C686E" w:rsidRDefault="00B17E8C">
            <w:pPr>
              <w:pStyle w:val="P68B1DB1-Normal63"/>
              <w:spacing w:after="0" w:line="276" w:lineRule="auto"/>
              <w:jc w:val="center"/>
              <w:rPr>
                <w:noProof/>
              </w:rPr>
            </w:pPr>
            <w:r>
              <w:rPr>
                <w:noProof/>
              </w:rPr>
              <w:t>RE-C03-i06</w:t>
            </w:r>
          </w:p>
        </w:tc>
        <w:tc>
          <w:tcPr>
            <w:tcW w:w="1491" w:type="dxa"/>
            <w:shd w:val="clear" w:color="auto" w:fill="C4EFCE"/>
            <w:vAlign w:val="center"/>
          </w:tcPr>
          <w:p w14:paraId="5E89FAAD"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6E62ACC4" w14:textId="77777777" w:rsidR="006C686E" w:rsidRDefault="00B17E8C">
            <w:pPr>
              <w:pStyle w:val="P68B1DB1-Normal63"/>
              <w:spacing w:after="0" w:line="276" w:lineRule="auto"/>
              <w:jc w:val="both"/>
              <w:rPr>
                <w:noProof/>
              </w:rPr>
            </w:pPr>
            <w:r>
              <w:rPr>
                <w:noProof/>
              </w:rPr>
              <w:t>Publication d'un rapport de suivi par les aires métropolitaines de Porto et de Lisbonne concernant les mesures prises dans chacune des 12 zones d'intervention.</w:t>
            </w:r>
          </w:p>
        </w:tc>
      </w:tr>
      <w:tr w:rsidR="006C686E" w14:paraId="09EDC992" w14:textId="77777777">
        <w:trPr>
          <w:trHeight w:val="440"/>
        </w:trPr>
        <w:tc>
          <w:tcPr>
            <w:tcW w:w="1177" w:type="dxa"/>
            <w:shd w:val="clear" w:color="auto" w:fill="C4EFCE"/>
            <w:vAlign w:val="center"/>
          </w:tcPr>
          <w:p w14:paraId="18FF39E9" w14:textId="77777777" w:rsidR="006C686E" w:rsidRDefault="00B17E8C">
            <w:pPr>
              <w:pStyle w:val="P68B1DB1-Normal63"/>
              <w:spacing w:after="0" w:line="276" w:lineRule="auto"/>
              <w:jc w:val="center"/>
              <w:rPr>
                <w:noProof/>
              </w:rPr>
            </w:pPr>
            <w:r>
              <w:rPr>
                <w:noProof/>
              </w:rPr>
              <w:t>5.33</w:t>
            </w:r>
          </w:p>
        </w:tc>
        <w:tc>
          <w:tcPr>
            <w:tcW w:w="1731" w:type="dxa"/>
            <w:shd w:val="clear" w:color="auto" w:fill="C4EFCE"/>
            <w:vAlign w:val="center"/>
          </w:tcPr>
          <w:p w14:paraId="125D6D20" w14:textId="77777777" w:rsidR="006C686E" w:rsidRDefault="00B17E8C">
            <w:pPr>
              <w:pStyle w:val="P68B1DB1-Normal63"/>
              <w:spacing w:after="0" w:line="276" w:lineRule="auto"/>
              <w:jc w:val="center"/>
              <w:rPr>
                <w:noProof/>
              </w:rPr>
            </w:pPr>
            <w:r>
              <w:rPr>
                <w:noProof/>
              </w:rPr>
              <w:t>RE-C05-i07-RAM</w:t>
            </w:r>
          </w:p>
        </w:tc>
        <w:tc>
          <w:tcPr>
            <w:tcW w:w="1491" w:type="dxa"/>
            <w:shd w:val="clear" w:color="auto" w:fill="C4EFCE"/>
            <w:vAlign w:val="center"/>
          </w:tcPr>
          <w:p w14:paraId="2530110F"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400B3B46" w14:textId="77777777" w:rsidR="006C686E" w:rsidRDefault="00B17E8C">
            <w:pPr>
              <w:pStyle w:val="P68B1DB1-Normal63"/>
              <w:spacing w:after="0" w:line="276" w:lineRule="auto"/>
              <w:jc w:val="both"/>
              <w:rPr>
                <w:noProof/>
              </w:rPr>
            </w:pPr>
            <w:r>
              <w:rPr>
                <w:noProof/>
              </w:rPr>
              <w:t>Signature de l'accord de mise en œuvre (protocole) entre Banco Português de Fomento, Instituto de Desenvolvimento Empresarial et certains intermédiaires financiers</w:t>
            </w:r>
          </w:p>
        </w:tc>
      </w:tr>
      <w:tr w:rsidR="006C686E" w14:paraId="69032710" w14:textId="77777777">
        <w:trPr>
          <w:trHeight w:val="440"/>
        </w:trPr>
        <w:tc>
          <w:tcPr>
            <w:tcW w:w="1177" w:type="dxa"/>
            <w:shd w:val="clear" w:color="auto" w:fill="C4EFCE"/>
            <w:vAlign w:val="center"/>
          </w:tcPr>
          <w:p w14:paraId="025A910D" w14:textId="77777777" w:rsidR="006C686E" w:rsidRDefault="00B17E8C">
            <w:pPr>
              <w:pStyle w:val="P68B1DB1-Normal63"/>
              <w:spacing w:after="0" w:line="276" w:lineRule="auto"/>
              <w:jc w:val="center"/>
              <w:rPr>
                <w:noProof/>
              </w:rPr>
            </w:pPr>
            <w:r>
              <w:rPr>
                <w:noProof/>
              </w:rPr>
              <w:t>8.2</w:t>
            </w:r>
          </w:p>
        </w:tc>
        <w:tc>
          <w:tcPr>
            <w:tcW w:w="1731" w:type="dxa"/>
            <w:shd w:val="clear" w:color="auto" w:fill="C4EFCE"/>
            <w:vAlign w:val="center"/>
          </w:tcPr>
          <w:p w14:paraId="677B5D3D" w14:textId="77777777" w:rsidR="006C686E" w:rsidRDefault="00B17E8C">
            <w:pPr>
              <w:pStyle w:val="P68B1DB1-Normal63"/>
              <w:spacing w:after="0" w:line="276" w:lineRule="auto"/>
              <w:jc w:val="center"/>
              <w:rPr>
                <w:noProof/>
              </w:rPr>
            </w:pPr>
            <w:r>
              <w:rPr>
                <w:noProof/>
              </w:rPr>
              <w:t>RE-C08-i01</w:t>
            </w:r>
          </w:p>
        </w:tc>
        <w:tc>
          <w:tcPr>
            <w:tcW w:w="1491" w:type="dxa"/>
            <w:shd w:val="clear" w:color="auto" w:fill="C4EFCE"/>
            <w:vAlign w:val="center"/>
          </w:tcPr>
          <w:p w14:paraId="02B4CBE0"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6CFE0B44" w14:textId="77777777" w:rsidR="006C686E" w:rsidRDefault="00B17E8C">
            <w:pPr>
              <w:pStyle w:val="P68B1DB1-Normal63"/>
              <w:spacing w:after="0" w:line="276" w:lineRule="auto"/>
              <w:jc w:val="both"/>
              <w:rPr>
                <w:noProof/>
              </w:rPr>
            </w:pPr>
            <w:r>
              <w:rPr>
                <w:noProof/>
              </w:rPr>
              <w:t xml:space="preserve">Publication des Opérations de Gestion Intégrée du Paysage (OIGP) dans le Diário da Republica </w:t>
            </w:r>
          </w:p>
        </w:tc>
      </w:tr>
      <w:tr w:rsidR="006C686E" w14:paraId="77ED1E1B" w14:textId="77777777">
        <w:trPr>
          <w:trHeight w:val="440"/>
        </w:trPr>
        <w:tc>
          <w:tcPr>
            <w:tcW w:w="1177" w:type="dxa"/>
            <w:shd w:val="clear" w:color="auto" w:fill="C4EFCE"/>
            <w:vAlign w:val="center"/>
          </w:tcPr>
          <w:p w14:paraId="38FE8F38" w14:textId="77777777" w:rsidR="006C686E" w:rsidRDefault="00B17E8C">
            <w:pPr>
              <w:pStyle w:val="P68B1DB1-Normal63"/>
              <w:spacing w:after="0" w:line="276" w:lineRule="auto"/>
              <w:jc w:val="center"/>
              <w:rPr>
                <w:noProof/>
              </w:rPr>
            </w:pPr>
            <w:r>
              <w:rPr>
                <w:noProof/>
              </w:rPr>
              <w:t>8.21</w:t>
            </w:r>
          </w:p>
        </w:tc>
        <w:tc>
          <w:tcPr>
            <w:tcW w:w="1731" w:type="dxa"/>
            <w:shd w:val="clear" w:color="auto" w:fill="C4EFCE"/>
            <w:vAlign w:val="center"/>
          </w:tcPr>
          <w:p w14:paraId="18C91B3B" w14:textId="77777777" w:rsidR="006C686E" w:rsidRDefault="00B17E8C">
            <w:pPr>
              <w:pStyle w:val="P68B1DB1-Normal63"/>
              <w:spacing w:after="0" w:line="276" w:lineRule="auto"/>
              <w:jc w:val="center"/>
              <w:rPr>
                <w:noProof/>
              </w:rPr>
            </w:pPr>
            <w:r>
              <w:rPr>
                <w:noProof/>
              </w:rPr>
              <w:t>RE-C08-i05</w:t>
            </w:r>
          </w:p>
        </w:tc>
        <w:tc>
          <w:tcPr>
            <w:tcW w:w="1491" w:type="dxa"/>
            <w:shd w:val="clear" w:color="auto" w:fill="C4EFCE"/>
            <w:vAlign w:val="center"/>
          </w:tcPr>
          <w:p w14:paraId="76266FA3"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3B95ABD0" w14:textId="77777777" w:rsidR="006C686E" w:rsidRDefault="00B17E8C">
            <w:pPr>
              <w:pStyle w:val="P68B1DB1-Normal63"/>
              <w:spacing w:after="0" w:line="276" w:lineRule="auto"/>
              <w:jc w:val="both"/>
              <w:rPr>
                <w:noProof/>
              </w:rPr>
            </w:pPr>
            <w:r>
              <w:rPr>
                <w:noProof/>
              </w:rPr>
              <w:t>Développement d'une campagne de sensibilisation pour prévenir les comportements à risque</w:t>
            </w:r>
          </w:p>
        </w:tc>
      </w:tr>
      <w:tr w:rsidR="006C686E" w14:paraId="34AEF8A0" w14:textId="77777777">
        <w:trPr>
          <w:trHeight w:val="440"/>
        </w:trPr>
        <w:tc>
          <w:tcPr>
            <w:tcW w:w="1177" w:type="dxa"/>
            <w:shd w:val="clear" w:color="auto" w:fill="C4EFCE"/>
            <w:vAlign w:val="center"/>
          </w:tcPr>
          <w:p w14:paraId="5EA8DFF4" w14:textId="77777777" w:rsidR="006C686E" w:rsidRDefault="00B17E8C">
            <w:pPr>
              <w:pStyle w:val="P68B1DB1-Normal63"/>
              <w:spacing w:after="0" w:line="276" w:lineRule="auto"/>
              <w:jc w:val="center"/>
              <w:rPr>
                <w:noProof/>
              </w:rPr>
            </w:pPr>
            <w:r>
              <w:rPr>
                <w:noProof/>
              </w:rPr>
              <w:t>10.13</w:t>
            </w:r>
          </w:p>
        </w:tc>
        <w:tc>
          <w:tcPr>
            <w:tcW w:w="1731" w:type="dxa"/>
            <w:shd w:val="clear" w:color="auto" w:fill="C4EFCE"/>
            <w:vAlign w:val="center"/>
          </w:tcPr>
          <w:p w14:paraId="0FA46E15" w14:textId="77777777" w:rsidR="006C686E" w:rsidRDefault="00B17E8C">
            <w:pPr>
              <w:pStyle w:val="P68B1DB1-Normal63"/>
              <w:spacing w:after="0" w:line="276" w:lineRule="auto"/>
              <w:jc w:val="center"/>
              <w:rPr>
                <w:noProof/>
              </w:rPr>
            </w:pPr>
            <w:r>
              <w:rPr>
                <w:noProof/>
              </w:rPr>
              <w:t>TC-C10-i06-RAM</w:t>
            </w:r>
          </w:p>
        </w:tc>
        <w:tc>
          <w:tcPr>
            <w:tcW w:w="1491" w:type="dxa"/>
            <w:shd w:val="clear" w:color="auto" w:fill="C4EFCE"/>
            <w:vAlign w:val="center"/>
          </w:tcPr>
          <w:p w14:paraId="321FD852"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0ABAA094" w14:textId="77777777" w:rsidR="006C686E" w:rsidRDefault="00B17E8C">
            <w:pPr>
              <w:pStyle w:val="P68B1DB1-Normal63"/>
              <w:spacing w:after="0" w:line="276" w:lineRule="auto"/>
              <w:jc w:val="both"/>
              <w:rPr>
                <w:noProof/>
              </w:rPr>
            </w:pPr>
            <w:r>
              <w:rPr>
                <w:noProof/>
              </w:rPr>
              <w:t>Signature du contrat pour un navire de recherche polyvalent</w:t>
            </w:r>
          </w:p>
        </w:tc>
      </w:tr>
      <w:tr w:rsidR="006C686E" w14:paraId="387DA0AA" w14:textId="77777777">
        <w:trPr>
          <w:trHeight w:val="440"/>
        </w:trPr>
        <w:tc>
          <w:tcPr>
            <w:tcW w:w="1177" w:type="dxa"/>
            <w:shd w:val="clear" w:color="auto" w:fill="C4EFCE"/>
            <w:vAlign w:val="center"/>
          </w:tcPr>
          <w:p w14:paraId="3784E812" w14:textId="77777777" w:rsidR="006C686E" w:rsidRDefault="00B17E8C">
            <w:pPr>
              <w:pStyle w:val="P68B1DB1-Normal63"/>
              <w:spacing w:after="0" w:line="276" w:lineRule="auto"/>
              <w:jc w:val="center"/>
              <w:rPr>
                <w:noProof/>
              </w:rPr>
            </w:pPr>
            <w:r>
              <w:rPr>
                <w:noProof/>
              </w:rPr>
              <w:t>13.1</w:t>
            </w:r>
          </w:p>
        </w:tc>
        <w:tc>
          <w:tcPr>
            <w:tcW w:w="1731" w:type="dxa"/>
            <w:shd w:val="clear" w:color="auto" w:fill="C4EFCE"/>
            <w:vAlign w:val="center"/>
          </w:tcPr>
          <w:p w14:paraId="00C7BB22" w14:textId="77777777" w:rsidR="006C686E" w:rsidRDefault="00B17E8C">
            <w:pPr>
              <w:pStyle w:val="P68B1DB1-Normal63"/>
              <w:spacing w:after="0" w:line="276" w:lineRule="auto"/>
              <w:jc w:val="center"/>
              <w:rPr>
                <w:noProof/>
              </w:rPr>
            </w:pPr>
            <w:r>
              <w:rPr>
                <w:noProof/>
              </w:rPr>
              <w:t>TC-C13-i01</w:t>
            </w:r>
          </w:p>
        </w:tc>
        <w:tc>
          <w:tcPr>
            <w:tcW w:w="1491" w:type="dxa"/>
            <w:shd w:val="clear" w:color="auto" w:fill="C4EFCE"/>
            <w:vAlign w:val="center"/>
          </w:tcPr>
          <w:p w14:paraId="0962AA7F"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293384E2" w14:textId="77777777" w:rsidR="006C686E" w:rsidRDefault="00B17E8C">
            <w:pPr>
              <w:pStyle w:val="P68B1DB1-Normal63"/>
              <w:spacing w:after="0" w:line="276" w:lineRule="auto"/>
              <w:jc w:val="both"/>
              <w:rPr>
                <w:noProof/>
              </w:rPr>
            </w:pPr>
            <w:r>
              <w:rPr>
                <w:noProof/>
              </w:rPr>
              <w:t>Amélioration de l'efficacité énergétique des bâtiments résidentiels privés</w:t>
            </w:r>
          </w:p>
        </w:tc>
      </w:tr>
      <w:tr w:rsidR="006C686E" w14:paraId="3102A199" w14:textId="77777777">
        <w:trPr>
          <w:trHeight w:val="440"/>
        </w:trPr>
        <w:tc>
          <w:tcPr>
            <w:tcW w:w="1177" w:type="dxa"/>
            <w:shd w:val="clear" w:color="auto" w:fill="C4EFCE"/>
            <w:vAlign w:val="center"/>
          </w:tcPr>
          <w:p w14:paraId="468971B0" w14:textId="77777777" w:rsidR="006C686E" w:rsidRDefault="00B17E8C">
            <w:pPr>
              <w:pStyle w:val="P68B1DB1-Normal63"/>
              <w:spacing w:after="0" w:line="276" w:lineRule="auto"/>
              <w:jc w:val="center"/>
              <w:rPr>
                <w:noProof/>
              </w:rPr>
            </w:pPr>
            <w:r>
              <w:rPr>
                <w:noProof/>
              </w:rPr>
              <w:t>14.5</w:t>
            </w:r>
          </w:p>
        </w:tc>
        <w:tc>
          <w:tcPr>
            <w:tcW w:w="1731" w:type="dxa"/>
            <w:shd w:val="clear" w:color="auto" w:fill="C4EFCE"/>
            <w:vAlign w:val="center"/>
          </w:tcPr>
          <w:p w14:paraId="21DB3984" w14:textId="77777777" w:rsidR="006C686E" w:rsidRDefault="00B17E8C">
            <w:pPr>
              <w:pStyle w:val="P68B1DB1-Normal63"/>
              <w:spacing w:after="0" w:line="276" w:lineRule="auto"/>
              <w:jc w:val="center"/>
              <w:rPr>
                <w:noProof/>
              </w:rPr>
            </w:pPr>
            <w:r>
              <w:rPr>
                <w:noProof/>
              </w:rPr>
              <w:t>TC-C14-i02-RAM</w:t>
            </w:r>
          </w:p>
        </w:tc>
        <w:tc>
          <w:tcPr>
            <w:tcW w:w="1491" w:type="dxa"/>
            <w:shd w:val="clear" w:color="auto" w:fill="C4EFCE"/>
            <w:vAlign w:val="center"/>
          </w:tcPr>
          <w:p w14:paraId="723A48DA"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4109D379" w14:textId="77777777" w:rsidR="006C686E" w:rsidRDefault="00B17E8C">
            <w:pPr>
              <w:pStyle w:val="P68B1DB1-Normal63"/>
              <w:spacing w:after="0" w:line="276" w:lineRule="auto"/>
              <w:jc w:val="both"/>
              <w:rPr>
                <w:noProof/>
              </w:rPr>
            </w:pPr>
            <w:r>
              <w:rPr>
                <w:noProof/>
              </w:rPr>
              <w:t>Capacité de production hydroélectrique supplémentaire installée</w:t>
            </w:r>
          </w:p>
        </w:tc>
      </w:tr>
      <w:tr w:rsidR="006C686E" w14:paraId="0C0AABB3" w14:textId="77777777">
        <w:trPr>
          <w:trHeight w:val="440"/>
        </w:trPr>
        <w:tc>
          <w:tcPr>
            <w:tcW w:w="1177" w:type="dxa"/>
            <w:shd w:val="clear" w:color="auto" w:fill="C4EFCE"/>
            <w:vAlign w:val="center"/>
          </w:tcPr>
          <w:p w14:paraId="4CFE3FDA" w14:textId="77777777" w:rsidR="006C686E" w:rsidRDefault="00B17E8C">
            <w:pPr>
              <w:pStyle w:val="P68B1DB1-Normal63"/>
              <w:spacing w:after="0" w:line="276" w:lineRule="auto"/>
              <w:jc w:val="center"/>
              <w:rPr>
                <w:noProof/>
              </w:rPr>
            </w:pPr>
            <w:r>
              <w:rPr>
                <w:noProof/>
              </w:rPr>
              <w:t>14.12</w:t>
            </w:r>
          </w:p>
        </w:tc>
        <w:tc>
          <w:tcPr>
            <w:tcW w:w="1731" w:type="dxa"/>
            <w:shd w:val="clear" w:color="auto" w:fill="C4EFCE"/>
            <w:vAlign w:val="center"/>
          </w:tcPr>
          <w:p w14:paraId="50E45CCB" w14:textId="77777777" w:rsidR="006C686E" w:rsidRDefault="00B17E8C">
            <w:pPr>
              <w:pStyle w:val="P68B1DB1-Normal63"/>
              <w:spacing w:after="0" w:line="276" w:lineRule="auto"/>
              <w:jc w:val="center"/>
              <w:rPr>
                <w:noProof/>
              </w:rPr>
            </w:pPr>
            <w:r>
              <w:rPr>
                <w:noProof/>
              </w:rPr>
              <w:t>TC-C14-i03-RAA</w:t>
            </w:r>
          </w:p>
        </w:tc>
        <w:tc>
          <w:tcPr>
            <w:tcW w:w="1491" w:type="dxa"/>
            <w:shd w:val="clear" w:color="auto" w:fill="C4EFCE"/>
            <w:vAlign w:val="center"/>
          </w:tcPr>
          <w:p w14:paraId="63C8C657"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286DD558" w14:textId="77777777" w:rsidR="006C686E" w:rsidRDefault="00B17E8C">
            <w:pPr>
              <w:pStyle w:val="P68B1DB1-Normal63"/>
              <w:spacing w:after="0" w:line="276" w:lineRule="auto"/>
              <w:jc w:val="both"/>
              <w:rPr>
                <w:noProof/>
              </w:rPr>
            </w:pPr>
            <w:r>
              <w:rPr>
                <w:noProof/>
              </w:rPr>
              <w:t>Production supplémentaire d'électricité renouvelable à Corvo</w:t>
            </w:r>
          </w:p>
        </w:tc>
      </w:tr>
      <w:tr w:rsidR="006C686E" w14:paraId="15573A7B" w14:textId="77777777">
        <w:trPr>
          <w:trHeight w:val="440"/>
        </w:trPr>
        <w:tc>
          <w:tcPr>
            <w:tcW w:w="1177" w:type="dxa"/>
            <w:shd w:val="clear" w:color="auto" w:fill="C4EFCE"/>
            <w:vAlign w:val="center"/>
          </w:tcPr>
          <w:p w14:paraId="1069AD60" w14:textId="77777777" w:rsidR="006C686E" w:rsidRDefault="00B17E8C">
            <w:pPr>
              <w:pStyle w:val="P68B1DB1-Normal63"/>
              <w:spacing w:after="0" w:line="276" w:lineRule="auto"/>
              <w:jc w:val="center"/>
              <w:rPr>
                <w:noProof/>
              </w:rPr>
            </w:pPr>
            <w:r>
              <w:rPr>
                <w:noProof/>
              </w:rPr>
              <w:t>15.15</w:t>
            </w:r>
          </w:p>
        </w:tc>
        <w:tc>
          <w:tcPr>
            <w:tcW w:w="1731" w:type="dxa"/>
            <w:shd w:val="clear" w:color="auto" w:fill="C4EFCE"/>
            <w:vAlign w:val="center"/>
          </w:tcPr>
          <w:p w14:paraId="412CE9F5" w14:textId="77777777" w:rsidR="006C686E" w:rsidRDefault="00B17E8C">
            <w:pPr>
              <w:pStyle w:val="P68B1DB1-Normal63"/>
              <w:spacing w:after="0" w:line="276" w:lineRule="auto"/>
              <w:jc w:val="center"/>
              <w:rPr>
                <w:noProof/>
              </w:rPr>
            </w:pPr>
            <w:r>
              <w:rPr>
                <w:noProof/>
              </w:rPr>
              <w:t>TC-C15-i06</w:t>
            </w:r>
          </w:p>
        </w:tc>
        <w:tc>
          <w:tcPr>
            <w:tcW w:w="1491" w:type="dxa"/>
            <w:shd w:val="clear" w:color="auto" w:fill="C4EFCE"/>
            <w:vAlign w:val="center"/>
          </w:tcPr>
          <w:p w14:paraId="73182AAD"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012A246A" w14:textId="77777777" w:rsidR="006C686E" w:rsidRDefault="00B17E8C">
            <w:pPr>
              <w:pStyle w:val="P68B1DB1-Normal63"/>
              <w:spacing w:after="0" w:line="276" w:lineRule="auto"/>
              <w:jc w:val="both"/>
              <w:rPr>
                <w:noProof/>
              </w:rPr>
            </w:pPr>
            <w:r>
              <w:rPr>
                <w:noProof/>
              </w:rPr>
              <w:t>Signature du contrat pour les systèmes de signalisation électronique</w:t>
            </w:r>
          </w:p>
        </w:tc>
      </w:tr>
      <w:tr w:rsidR="006C686E" w14:paraId="3C7365CA" w14:textId="77777777">
        <w:trPr>
          <w:trHeight w:val="440"/>
        </w:trPr>
        <w:tc>
          <w:tcPr>
            <w:tcW w:w="1177" w:type="dxa"/>
            <w:shd w:val="clear" w:color="auto" w:fill="C4EFCE"/>
            <w:vAlign w:val="center"/>
          </w:tcPr>
          <w:p w14:paraId="4E6B476A" w14:textId="77777777" w:rsidR="006C686E" w:rsidRDefault="00B17E8C">
            <w:pPr>
              <w:pStyle w:val="P68B1DB1-Normal63"/>
              <w:spacing w:after="0" w:line="276" w:lineRule="auto"/>
              <w:jc w:val="center"/>
              <w:rPr>
                <w:noProof/>
              </w:rPr>
            </w:pPr>
            <w:r>
              <w:rPr>
                <w:noProof/>
              </w:rPr>
              <w:t>16.6</w:t>
            </w:r>
          </w:p>
        </w:tc>
        <w:tc>
          <w:tcPr>
            <w:tcW w:w="1731" w:type="dxa"/>
            <w:shd w:val="clear" w:color="auto" w:fill="C4EFCE"/>
            <w:vAlign w:val="center"/>
          </w:tcPr>
          <w:p w14:paraId="049F9955" w14:textId="77777777" w:rsidR="006C686E" w:rsidRDefault="00B17E8C">
            <w:pPr>
              <w:pStyle w:val="P68B1DB1-Normal63"/>
              <w:spacing w:after="0" w:line="276" w:lineRule="auto"/>
              <w:jc w:val="center"/>
              <w:rPr>
                <w:noProof/>
              </w:rPr>
            </w:pPr>
            <w:r>
              <w:rPr>
                <w:noProof/>
              </w:rPr>
              <w:t>TD-C16-i02</w:t>
            </w:r>
          </w:p>
        </w:tc>
        <w:tc>
          <w:tcPr>
            <w:tcW w:w="1491" w:type="dxa"/>
            <w:shd w:val="clear" w:color="auto" w:fill="C4EFCE"/>
            <w:vAlign w:val="center"/>
          </w:tcPr>
          <w:p w14:paraId="79CA13F6"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586CCC83" w14:textId="77777777" w:rsidR="006C686E" w:rsidRDefault="00B17E8C">
            <w:pPr>
              <w:pStyle w:val="P68B1DB1-Normal63"/>
              <w:spacing w:after="0" w:line="276" w:lineRule="auto"/>
              <w:jc w:val="both"/>
              <w:rPr>
                <w:noProof/>
              </w:rPr>
            </w:pPr>
            <w:r>
              <w:rPr>
                <w:noProof/>
              </w:rPr>
              <w:t>Soutien au réseau national de bancs d'essai</w:t>
            </w:r>
          </w:p>
        </w:tc>
      </w:tr>
      <w:tr w:rsidR="006C686E" w14:paraId="369667BD" w14:textId="77777777">
        <w:trPr>
          <w:trHeight w:val="440"/>
        </w:trPr>
        <w:tc>
          <w:tcPr>
            <w:tcW w:w="1177" w:type="dxa"/>
            <w:shd w:val="clear" w:color="auto" w:fill="C4EFCE"/>
            <w:vAlign w:val="center"/>
          </w:tcPr>
          <w:p w14:paraId="3214C1D6" w14:textId="77777777" w:rsidR="006C686E" w:rsidRDefault="00B17E8C">
            <w:pPr>
              <w:pStyle w:val="P68B1DB1-Normal63"/>
              <w:spacing w:after="0" w:line="276" w:lineRule="auto"/>
              <w:jc w:val="center"/>
              <w:rPr>
                <w:noProof/>
              </w:rPr>
            </w:pPr>
            <w:r>
              <w:rPr>
                <w:noProof/>
              </w:rPr>
              <w:t>17.9</w:t>
            </w:r>
          </w:p>
        </w:tc>
        <w:tc>
          <w:tcPr>
            <w:tcW w:w="1731" w:type="dxa"/>
            <w:shd w:val="clear" w:color="auto" w:fill="C4EFCE"/>
            <w:vAlign w:val="center"/>
          </w:tcPr>
          <w:p w14:paraId="615D0535" w14:textId="77777777" w:rsidR="006C686E" w:rsidRDefault="00B17E8C">
            <w:pPr>
              <w:pStyle w:val="P68B1DB1-Normal63"/>
              <w:spacing w:after="0" w:line="276" w:lineRule="auto"/>
              <w:jc w:val="center"/>
              <w:rPr>
                <w:noProof/>
              </w:rPr>
            </w:pPr>
            <w:r>
              <w:rPr>
                <w:noProof/>
              </w:rPr>
              <w:t>TD-C17-i01</w:t>
            </w:r>
          </w:p>
        </w:tc>
        <w:tc>
          <w:tcPr>
            <w:tcW w:w="1491" w:type="dxa"/>
            <w:shd w:val="clear" w:color="auto" w:fill="C4EFCE"/>
            <w:vAlign w:val="center"/>
          </w:tcPr>
          <w:p w14:paraId="489DB39F"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6500ADC8" w14:textId="77777777" w:rsidR="006C686E" w:rsidRDefault="00B17E8C">
            <w:pPr>
              <w:pStyle w:val="P68B1DB1-Normal63"/>
              <w:spacing w:after="0" w:line="276" w:lineRule="auto"/>
              <w:jc w:val="both"/>
              <w:rPr>
                <w:noProof/>
              </w:rPr>
            </w:pPr>
            <w:r>
              <w:rPr>
                <w:noProof/>
              </w:rPr>
              <w:t>Achèvement de la mise en œuvre de l’entité comptable nationale</w:t>
            </w:r>
          </w:p>
        </w:tc>
      </w:tr>
      <w:tr w:rsidR="006C686E" w14:paraId="5262B0AD" w14:textId="77777777">
        <w:trPr>
          <w:trHeight w:val="440"/>
        </w:trPr>
        <w:tc>
          <w:tcPr>
            <w:tcW w:w="1177" w:type="dxa"/>
            <w:shd w:val="clear" w:color="auto" w:fill="C4EFCE"/>
            <w:vAlign w:val="center"/>
          </w:tcPr>
          <w:p w14:paraId="43169028" w14:textId="77777777" w:rsidR="006C686E" w:rsidRDefault="00B17E8C">
            <w:pPr>
              <w:pStyle w:val="P68B1DB1-Normal63"/>
              <w:spacing w:after="0" w:line="276" w:lineRule="auto"/>
              <w:jc w:val="center"/>
              <w:rPr>
                <w:noProof/>
              </w:rPr>
            </w:pPr>
            <w:r>
              <w:rPr>
                <w:noProof/>
              </w:rPr>
              <w:t>18.3</w:t>
            </w:r>
          </w:p>
        </w:tc>
        <w:tc>
          <w:tcPr>
            <w:tcW w:w="1731" w:type="dxa"/>
            <w:shd w:val="clear" w:color="auto" w:fill="C4EFCE"/>
            <w:vAlign w:val="center"/>
          </w:tcPr>
          <w:p w14:paraId="53A527D8" w14:textId="77777777" w:rsidR="006C686E" w:rsidRDefault="00B17E8C">
            <w:pPr>
              <w:pStyle w:val="P68B1DB1-Normal63"/>
              <w:spacing w:after="0" w:line="276" w:lineRule="auto"/>
              <w:jc w:val="center"/>
              <w:rPr>
                <w:noProof/>
              </w:rPr>
            </w:pPr>
            <w:r>
              <w:rPr>
                <w:noProof/>
              </w:rPr>
              <w:t>TD-C18-r33</w:t>
            </w:r>
          </w:p>
        </w:tc>
        <w:tc>
          <w:tcPr>
            <w:tcW w:w="1491" w:type="dxa"/>
            <w:shd w:val="clear" w:color="auto" w:fill="C4EFCE"/>
            <w:vAlign w:val="center"/>
          </w:tcPr>
          <w:p w14:paraId="01F67718"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67437D3A" w14:textId="77777777" w:rsidR="006C686E" w:rsidRDefault="00B17E8C">
            <w:pPr>
              <w:pStyle w:val="P68B1DB1-Normal63"/>
              <w:spacing w:after="0" w:line="276" w:lineRule="auto"/>
              <w:jc w:val="both"/>
              <w:rPr>
                <w:noProof/>
              </w:rPr>
            </w:pPr>
            <w:r>
              <w:rPr>
                <w:noProof/>
              </w:rPr>
              <w:t>Entrée en vigueur du cadre juridique révisé en matière d'insolvabilité et de recouvrement</w:t>
            </w:r>
          </w:p>
        </w:tc>
      </w:tr>
      <w:tr w:rsidR="006C686E" w14:paraId="5998E70C" w14:textId="77777777">
        <w:trPr>
          <w:trHeight w:val="440"/>
        </w:trPr>
        <w:tc>
          <w:tcPr>
            <w:tcW w:w="1177" w:type="dxa"/>
            <w:shd w:val="clear" w:color="auto" w:fill="C4EFCE"/>
            <w:vAlign w:val="center"/>
          </w:tcPr>
          <w:p w14:paraId="2F20BCE8" w14:textId="77777777" w:rsidR="006C686E" w:rsidRDefault="00B17E8C">
            <w:pPr>
              <w:pStyle w:val="P68B1DB1-Normal63"/>
              <w:spacing w:after="0" w:line="276" w:lineRule="auto"/>
              <w:jc w:val="center"/>
              <w:rPr>
                <w:noProof/>
              </w:rPr>
            </w:pPr>
            <w:r>
              <w:rPr>
                <w:noProof/>
              </w:rPr>
              <w:t>18.6</w:t>
            </w:r>
          </w:p>
        </w:tc>
        <w:tc>
          <w:tcPr>
            <w:tcW w:w="1731" w:type="dxa"/>
            <w:shd w:val="clear" w:color="auto" w:fill="C4EFCE"/>
            <w:vAlign w:val="center"/>
          </w:tcPr>
          <w:p w14:paraId="15FBE4E1" w14:textId="77777777" w:rsidR="006C686E" w:rsidRDefault="00B17E8C">
            <w:pPr>
              <w:pStyle w:val="P68B1DB1-Normal63"/>
              <w:spacing w:after="0" w:line="276" w:lineRule="auto"/>
              <w:jc w:val="center"/>
              <w:rPr>
                <w:noProof/>
              </w:rPr>
            </w:pPr>
            <w:r>
              <w:rPr>
                <w:noProof/>
              </w:rPr>
              <w:t>TD-C18-i01</w:t>
            </w:r>
          </w:p>
        </w:tc>
        <w:tc>
          <w:tcPr>
            <w:tcW w:w="1491" w:type="dxa"/>
            <w:shd w:val="clear" w:color="auto" w:fill="C4EFCE"/>
            <w:vAlign w:val="center"/>
          </w:tcPr>
          <w:p w14:paraId="7B8841FC"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35584DDE" w14:textId="77777777" w:rsidR="006C686E" w:rsidRDefault="00B17E8C">
            <w:pPr>
              <w:pStyle w:val="P68B1DB1-Normal63"/>
              <w:spacing w:after="0" w:line="276" w:lineRule="auto"/>
              <w:jc w:val="both"/>
              <w:rPr>
                <w:noProof/>
              </w:rPr>
            </w:pPr>
            <w:r>
              <w:rPr>
                <w:noProof/>
              </w:rPr>
              <w:t>Système d'information "Entreprise 2.0"</w:t>
            </w:r>
          </w:p>
        </w:tc>
      </w:tr>
      <w:tr w:rsidR="006C686E" w14:paraId="37B1E4D7" w14:textId="77777777">
        <w:trPr>
          <w:trHeight w:val="440"/>
        </w:trPr>
        <w:tc>
          <w:tcPr>
            <w:tcW w:w="1177" w:type="dxa"/>
            <w:shd w:val="clear" w:color="auto" w:fill="C4EFCE"/>
            <w:vAlign w:val="center"/>
          </w:tcPr>
          <w:p w14:paraId="59E49624" w14:textId="77777777" w:rsidR="006C686E" w:rsidRDefault="00B17E8C">
            <w:pPr>
              <w:pStyle w:val="P68B1DB1-Normal63"/>
              <w:spacing w:after="0" w:line="276" w:lineRule="auto"/>
              <w:jc w:val="center"/>
              <w:rPr>
                <w:noProof/>
              </w:rPr>
            </w:pPr>
            <w:r>
              <w:rPr>
                <w:noProof/>
              </w:rPr>
              <w:t>19.12</w:t>
            </w:r>
          </w:p>
        </w:tc>
        <w:tc>
          <w:tcPr>
            <w:tcW w:w="1731" w:type="dxa"/>
            <w:shd w:val="clear" w:color="auto" w:fill="C4EFCE"/>
            <w:vAlign w:val="center"/>
          </w:tcPr>
          <w:p w14:paraId="3160DAAA" w14:textId="77777777" w:rsidR="006C686E" w:rsidRDefault="00B17E8C">
            <w:pPr>
              <w:pStyle w:val="P68B1DB1-Normal63"/>
              <w:spacing w:after="0" w:line="276" w:lineRule="auto"/>
              <w:jc w:val="center"/>
              <w:rPr>
                <w:noProof/>
              </w:rPr>
            </w:pPr>
            <w:r>
              <w:rPr>
                <w:noProof/>
              </w:rPr>
              <w:t>TD-C19-i04</w:t>
            </w:r>
          </w:p>
        </w:tc>
        <w:tc>
          <w:tcPr>
            <w:tcW w:w="1491" w:type="dxa"/>
            <w:shd w:val="clear" w:color="auto" w:fill="C4EFCE"/>
            <w:vAlign w:val="center"/>
          </w:tcPr>
          <w:p w14:paraId="6BB181B3"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13C996FB" w14:textId="77777777" w:rsidR="006C686E" w:rsidRDefault="00B17E8C">
            <w:pPr>
              <w:pStyle w:val="P68B1DB1-Normal63"/>
              <w:spacing w:after="0" w:line="276" w:lineRule="auto"/>
              <w:jc w:val="both"/>
              <w:rPr>
                <w:noProof/>
              </w:rPr>
            </w:pPr>
            <w:r>
              <w:rPr>
                <w:noProof/>
              </w:rPr>
              <w:t xml:space="preserve">Achèvement des mises à niveau des infrastructures numériques critiques </w:t>
            </w:r>
          </w:p>
        </w:tc>
      </w:tr>
      <w:tr w:rsidR="006C686E" w14:paraId="16D7BFC5" w14:textId="77777777">
        <w:trPr>
          <w:trHeight w:val="440"/>
        </w:trPr>
        <w:tc>
          <w:tcPr>
            <w:tcW w:w="1177" w:type="dxa"/>
            <w:shd w:val="clear" w:color="auto" w:fill="C4EFCE"/>
            <w:vAlign w:val="center"/>
          </w:tcPr>
          <w:p w14:paraId="3EA4D4C9" w14:textId="77777777" w:rsidR="006C686E" w:rsidRDefault="00B17E8C">
            <w:pPr>
              <w:pStyle w:val="P68B1DB1-Normal63"/>
              <w:spacing w:after="0" w:line="276" w:lineRule="auto"/>
              <w:jc w:val="center"/>
              <w:rPr>
                <w:noProof/>
              </w:rPr>
            </w:pPr>
            <w:r>
              <w:rPr>
                <w:noProof/>
              </w:rPr>
              <w:t>20.6</w:t>
            </w:r>
          </w:p>
        </w:tc>
        <w:tc>
          <w:tcPr>
            <w:tcW w:w="1731" w:type="dxa"/>
            <w:shd w:val="clear" w:color="auto" w:fill="C4EFCE"/>
            <w:vAlign w:val="center"/>
          </w:tcPr>
          <w:p w14:paraId="54840433" w14:textId="77777777" w:rsidR="006C686E" w:rsidRDefault="00B17E8C">
            <w:pPr>
              <w:pStyle w:val="P68B1DB1-Normal63"/>
              <w:spacing w:after="0" w:line="276" w:lineRule="auto"/>
              <w:jc w:val="center"/>
              <w:rPr>
                <w:noProof/>
              </w:rPr>
            </w:pPr>
            <w:r>
              <w:rPr>
                <w:noProof/>
              </w:rPr>
              <w:t>TD-C20-i01</w:t>
            </w:r>
          </w:p>
        </w:tc>
        <w:tc>
          <w:tcPr>
            <w:tcW w:w="1491" w:type="dxa"/>
            <w:shd w:val="clear" w:color="auto" w:fill="C4EFCE"/>
            <w:vAlign w:val="center"/>
          </w:tcPr>
          <w:p w14:paraId="67A208EB"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4E3D0AE5" w14:textId="77777777" w:rsidR="006C686E" w:rsidRDefault="00B17E8C">
            <w:pPr>
              <w:pStyle w:val="P68B1DB1-Normal63"/>
              <w:spacing w:after="0" w:line="276" w:lineRule="auto"/>
              <w:jc w:val="both"/>
              <w:rPr>
                <w:noProof/>
              </w:rPr>
            </w:pPr>
            <w:r>
              <w:rPr>
                <w:noProof/>
              </w:rPr>
              <w:t>Nouvel équipement de projection installé</w:t>
            </w:r>
          </w:p>
        </w:tc>
      </w:tr>
      <w:tr w:rsidR="006C686E" w14:paraId="527542EA" w14:textId="77777777">
        <w:trPr>
          <w:trHeight w:val="440"/>
        </w:trPr>
        <w:tc>
          <w:tcPr>
            <w:tcW w:w="1177" w:type="dxa"/>
            <w:shd w:val="clear" w:color="auto" w:fill="C4EFCE"/>
            <w:vAlign w:val="center"/>
          </w:tcPr>
          <w:p w14:paraId="6DE4B477" w14:textId="77777777" w:rsidR="006C686E" w:rsidRDefault="00B17E8C">
            <w:pPr>
              <w:pStyle w:val="P68B1DB1-Normal63"/>
              <w:spacing w:after="0" w:line="276" w:lineRule="auto"/>
              <w:jc w:val="center"/>
              <w:rPr>
                <w:noProof/>
              </w:rPr>
            </w:pPr>
            <w:r>
              <w:rPr>
                <w:noProof/>
              </w:rPr>
              <w:t>21.12</w:t>
            </w:r>
          </w:p>
        </w:tc>
        <w:tc>
          <w:tcPr>
            <w:tcW w:w="1731" w:type="dxa"/>
            <w:shd w:val="clear" w:color="auto" w:fill="C4EFCE"/>
            <w:vAlign w:val="center"/>
          </w:tcPr>
          <w:p w14:paraId="79EC3981" w14:textId="77777777" w:rsidR="006C686E" w:rsidRDefault="00B17E8C">
            <w:pPr>
              <w:pStyle w:val="P68B1DB1-Normal63"/>
              <w:spacing w:after="0" w:line="276" w:lineRule="auto"/>
              <w:jc w:val="center"/>
              <w:rPr>
                <w:noProof/>
              </w:rPr>
            </w:pPr>
            <w:r>
              <w:rPr>
                <w:noProof/>
              </w:rPr>
              <w:t>RP-C21-i05</w:t>
            </w:r>
          </w:p>
        </w:tc>
        <w:tc>
          <w:tcPr>
            <w:tcW w:w="1491" w:type="dxa"/>
            <w:shd w:val="clear" w:color="auto" w:fill="C4EFCE"/>
            <w:vAlign w:val="center"/>
          </w:tcPr>
          <w:p w14:paraId="766708DD"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69CC01FD" w14:textId="77777777" w:rsidR="006C686E" w:rsidRDefault="00B17E8C">
            <w:pPr>
              <w:pStyle w:val="P68B1DB1-Normal63"/>
              <w:spacing w:after="0" w:line="276" w:lineRule="auto"/>
              <w:jc w:val="both"/>
              <w:rPr>
                <w:noProof/>
              </w:rPr>
            </w:pPr>
            <w:r>
              <w:rPr>
                <w:noProof/>
              </w:rPr>
              <w:t>Signature des conditions d'acceptation pour la mise en œuvre de projets industriels</w:t>
            </w:r>
          </w:p>
        </w:tc>
      </w:tr>
      <w:tr w:rsidR="006C686E" w14:paraId="1EC5DDFC" w14:textId="77777777">
        <w:trPr>
          <w:trHeight w:val="440"/>
        </w:trPr>
        <w:tc>
          <w:tcPr>
            <w:tcW w:w="1177" w:type="dxa"/>
            <w:shd w:val="clear" w:color="auto" w:fill="C4EFCE"/>
            <w:vAlign w:val="center"/>
          </w:tcPr>
          <w:p w14:paraId="7794FC72" w14:textId="77777777" w:rsidR="006C686E" w:rsidRDefault="00B17E8C">
            <w:pPr>
              <w:pStyle w:val="P68B1DB1-Normal63"/>
              <w:spacing w:after="0" w:line="276" w:lineRule="auto"/>
              <w:jc w:val="center"/>
              <w:rPr>
                <w:noProof/>
              </w:rPr>
            </w:pPr>
            <w:r>
              <w:rPr>
                <w:noProof/>
              </w:rPr>
              <w:t>21.17</w:t>
            </w:r>
          </w:p>
        </w:tc>
        <w:tc>
          <w:tcPr>
            <w:tcW w:w="1731" w:type="dxa"/>
            <w:shd w:val="clear" w:color="auto" w:fill="C4EFCE"/>
            <w:vAlign w:val="center"/>
          </w:tcPr>
          <w:p w14:paraId="29A5A1C5" w14:textId="77777777" w:rsidR="006C686E" w:rsidRDefault="00B17E8C">
            <w:pPr>
              <w:pStyle w:val="P68B1DB1-Normal63"/>
              <w:spacing w:after="0" w:line="276" w:lineRule="auto"/>
              <w:jc w:val="center"/>
              <w:rPr>
                <w:noProof/>
              </w:rPr>
            </w:pPr>
            <w:r>
              <w:rPr>
                <w:noProof/>
              </w:rPr>
              <w:t>RP-C21-r46</w:t>
            </w:r>
          </w:p>
        </w:tc>
        <w:tc>
          <w:tcPr>
            <w:tcW w:w="1491" w:type="dxa"/>
            <w:shd w:val="clear" w:color="auto" w:fill="C4EFCE"/>
            <w:vAlign w:val="center"/>
          </w:tcPr>
          <w:p w14:paraId="523BBBE3"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58A3CB94" w14:textId="77777777" w:rsidR="006C686E" w:rsidRDefault="00B17E8C">
            <w:pPr>
              <w:pStyle w:val="P68B1DB1-Normal63"/>
              <w:spacing w:after="0" w:line="276" w:lineRule="auto"/>
              <w:jc w:val="both"/>
              <w:rPr>
                <w:noProof/>
              </w:rPr>
            </w:pPr>
            <w:r>
              <w:rPr>
                <w:noProof/>
              </w:rPr>
              <w:t>Entrée en vigueur du cadre juridique pour les gaz renouvelables</w:t>
            </w:r>
          </w:p>
        </w:tc>
      </w:tr>
      <w:tr w:rsidR="006C686E" w14:paraId="2D4A3163" w14:textId="77777777">
        <w:trPr>
          <w:trHeight w:val="440"/>
        </w:trPr>
        <w:tc>
          <w:tcPr>
            <w:tcW w:w="1177" w:type="dxa"/>
            <w:shd w:val="clear" w:color="auto" w:fill="C4EFCE"/>
            <w:vAlign w:val="center"/>
          </w:tcPr>
          <w:p w14:paraId="27E1D1A2" w14:textId="77777777" w:rsidR="006C686E" w:rsidRDefault="00B17E8C">
            <w:pPr>
              <w:pStyle w:val="P68B1DB1-Normal63"/>
              <w:spacing w:after="0" w:line="276" w:lineRule="auto"/>
              <w:jc w:val="center"/>
              <w:rPr>
                <w:noProof/>
              </w:rPr>
            </w:pPr>
            <w:r>
              <w:rPr>
                <w:noProof/>
              </w:rPr>
              <w:t>21.19</w:t>
            </w:r>
          </w:p>
        </w:tc>
        <w:tc>
          <w:tcPr>
            <w:tcW w:w="1731" w:type="dxa"/>
            <w:shd w:val="clear" w:color="auto" w:fill="C4EFCE"/>
            <w:vAlign w:val="center"/>
          </w:tcPr>
          <w:p w14:paraId="1D33F976" w14:textId="77777777" w:rsidR="006C686E" w:rsidRDefault="00B17E8C">
            <w:pPr>
              <w:pStyle w:val="P68B1DB1-Normal63"/>
              <w:spacing w:after="0" w:line="276" w:lineRule="auto"/>
              <w:jc w:val="center"/>
              <w:rPr>
                <w:noProof/>
              </w:rPr>
            </w:pPr>
            <w:r>
              <w:rPr>
                <w:noProof/>
              </w:rPr>
              <w:t>RP-C21-r47</w:t>
            </w:r>
          </w:p>
        </w:tc>
        <w:tc>
          <w:tcPr>
            <w:tcW w:w="1491" w:type="dxa"/>
            <w:shd w:val="clear" w:color="auto" w:fill="C4EFCE"/>
            <w:vAlign w:val="center"/>
          </w:tcPr>
          <w:p w14:paraId="6DF5F3E3"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0F9A4B5F" w14:textId="77777777" w:rsidR="006C686E" w:rsidRDefault="00B17E8C">
            <w:pPr>
              <w:pStyle w:val="P68B1DB1-Normal63"/>
              <w:spacing w:after="0" w:line="276" w:lineRule="auto"/>
              <w:jc w:val="both"/>
              <w:rPr>
                <w:noProof/>
              </w:rPr>
            </w:pPr>
            <w:r>
              <w:rPr>
                <w:noProof/>
              </w:rPr>
              <w:t>Adoption du plan d'action sur le biométhane</w:t>
            </w:r>
          </w:p>
        </w:tc>
      </w:tr>
      <w:tr w:rsidR="006C686E" w14:paraId="464833E5" w14:textId="77777777">
        <w:trPr>
          <w:trHeight w:val="440"/>
        </w:trPr>
        <w:tc>
          <w:tcPr>
            <w:tcW w:w="1177" w:type="dxa"/>
            <w:shd w:val="clear" w:color="auto" w:fill="C4EFCE"/>
            <w:vAlign w:val="center"/>
          </w:tcPr>
          <w:p w14:paraId="12556D72" w14:textId="77777777" w:rsidR="006C686E" w:rsidRDefault="00B17E8C">
            <w:pPr>
              <w:pStyle w:val="P68B1DB1-Normal63"/>
              <w:spacing w:after="0" w:line="276" w:lineRule="auto"/>
              <w:jc w:val="center"/>
              <w:rPr>
                <w:noProof/>
              </w:rPr>
            </w:pPr>
            <w:r>
              <w:rPr>
                <w:noProof/>
              </w:rPr>
              <w:t>21.22</w:t>
            </w:r>
          </w:p>
        </w:tc>
        <w:tc>
          <w:tcPr>
            <w:tcW w:w="1731" w:type="dxa"/>
            <w:shd w:val="clear" w:color="auto" w:fill="C4EFCE"/>
            <w:vAlign w:val="center"/>
          </w:tcPr>
          <w:p w14:paraId="72547704" w14:textId="77777777" w:rsidR="006C686E" w:rsidRDefault="00B17E8C">
            <w:pPr>
              <w:pStyle w:val="P68B1DB1-Normal63"/>
              <w:spacing w:after="0" w:line="276" w:lineRule="auto"/>
              <w:jc w:val="center"/>
              <w:rPr>
                <w:noProof/>
              </w:rPr>
            </w:pPr>
            <w:r>
              <w:rPr>
                <w:noProof/>
              </w:rPr>
              <w:t>RP-C21-r48</w:t>
            </w:r>
          </w:p>
        </w:tc>
        <w:tc>
          <w:tcPr>
            <w:tcW w:w="1491" w:type="dxa"/>
            <w:shd w:val="clear" w:color="auto" w:fill="C4EFCE"/>
            <w:vAlign w:val="center"/>
          </w:tcPr>
          <w:p w14:paraId="2D66D508" w14:textId="77777777" w:rsidR="006C686E" w:rsidRDefault="00B17E8C">
            <w:pPr>
              <w:pStyle w:val="P68B1DB1-Normal63"/>
              <w:spacing w:after="0" w:line="276" w:lineRule="auto"/>
              <w:jc w:val="center"/>
              <w:rPr>
                <w:noProof/>
              </w:rPr>
            </w:pPr>
            <w:r>
              <w:rPr>
                <w:noProof/>
              </w:rPr>
              <w:t>T</w:t>
            </w:r>
          </w:p>
        </w:tc>
        <w:tc>
          <w:tcPr>
            <w:tcW w:w="5122" w:type="dxa"/>
            <w:shd w:val="clear" w:color="auto" w:fill="C4EFCE"/>
            <w:vAlign w:val="center"/>
          </w:tcPr>
          <w:p w14:paraId="5D07620E" w14:textId="77777777" w:rsidR="006C686E" w:rsidRDefault="00B17E8C">
            <w:pPr>
              <w:pStyle w:val="P68B1DB1-Normal63"/>
              <w:spacing w:after="0" w:line="276" w:lineRule="auto"/>
              <w:jc w:val="both"/>
              <w:rPr>
                <w:noProof/>
              </w:rPr>
            </w:pPr>
            <w:r>
              <w:rPr>
                <w:noProof/>
              </w:rPr>
              <w:t>Formation du personnel chargé de l'autorisation des projets d'énergie renouvelable</w:t>
            </w:r>
          </w:p>
        </w:tc>
      </w:tr>
      <w:tr w:rsidR="006C686E" w14:paraId="6C812BFD" w14:textId="77777777">
        <w:trPr>
          <w:trHeight w:val="440"/>
        </w:trPr>
        <w:tc>
          <w:tcPr>
            <w:tcW w:w="1177" w:type="dxa"/>
            <w:shd w:val="clear" w:color="auto" w:fill="C4EFCE"/>
            <w:vAlign w:val="center"/>
          </w:tcPr>
          <w:p w14:paraId="5AFBB8C6" w14:textId="77777777" w:rsidR="006C686E" w:rsidRDefault="00B17E8C">
            <w:pPr>
              <w:pStyle w:val="P68B1DB1-Normal63"/>
              <w:spacing w:after="0" w:line="276" w:lineRule="auto"/>
              <w:jc w:val="center"/>
              <w:rPr>
                <w:noProof/>
              </w:rPr>
            </w:pPr>
            <w:r>
              <w:rPr>
                <w:noProof/>
              </w:rPr>
              <w:t>21.26</w:t>
            </w:r>
          </w:p>
        </w:tc>
        <w:tc>
          <w:tcPr>
            <w:tcW w:w="1731" w:type="dxa"/>
            <w:shd w:val="clear" w:color="auto" w:fill="C4EFCE"/>
            <w:vAlign w:val="center"/>
          </w:tcPr>
          <w:p w14:paraId="05EC62F1" w14:textId="77777777" w:rsidR="006C686E" w:rsidRDefault="00B17E8C">
            <w:pPr>
              <w:pStyle w:val="P68B1DB1-Normal63"/>
              <w:spacing w:after="0" w:line="276" w:lineRule="auto"/>
              <w:jc w:val="center"/>
              <w:rPr>
                <w:noProof/>
              </w:rPr>
            </w:pPr>
            <w:r>
              <w:rPr>
                <w:noProof/>
              </w:rPr>
              <w:t>RP-C21-i07</w:t>
            </w:r>
          </w:p>
        </w:tc>
        <w:tc>
          <w:tcPr>
            <w:tcW w:w="1491" w:type="dxa"/>
            <w:shd w:val="clear" w:color="auto" w:fill="C4EFCE"/>
            <w:vAlign w:val="center"/>
          </w:tcPr>
          <w:p w14:paraId="589C7750"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059A2802" w14:textId="77777777" w:rsidR="006C686E" w:rsidRDefault="00B17E8C">
            <w:pPr>
              <w:pStyle w:val="P68B1DB1-Normal63"/>
              <w:spacing w:after="0" w:line="276" w:lineRule="auto"/>
              <w:jc w:val="both"/>
              <w:rPr>
                <w:noProof/>
              </w:rPr>
            </w:pPr>
            <w:r>
              <w:rPr>
                <w:noProof/>
              </w:rPr>
              <w:t>Signature du(des) contrat(s) pour les études techniques offshore</w:t>
            </w:r>
          </w:p>
        </w:tc>
      </w:tr>
      <w:tr w:rsidR="006C686E" w14:paraId="4C4964F1" w14:textId="77777777">
        <w:trPr>
          <w:trHeight w:val="440"/>
        </w:trPr>
        <w:tc>
          <w:tcPr>
            <w:tcW w:w="1177" w:type="dxa"/>
            <w:shd w:val="clear" w:color="auto" w:fill="C4EFCE"/>
            <w:vAlign w:val="center"/>
          </w:tcPr>
          <w:p w14:paraId="0F1C8784" w14:textId="77777777" w:rsidR="006C686E" w:rsidRDefault="00B17E8C">
            <w:pPr>
              <w:pStyle w:val="P68B1DB1-Normal63"/>
              <w:spacing w:after="0" w:line="276" w:lineRule="auto"/>
              <w:jc w:val="center"/>
              <w:rPr>
                <w:noProof/>
              </w:rPr>
            </w:pPr>
            <w:r>
              <w:rPr>
                <w:noProof/>
              </w:rPr>
              <w:t>21.35</w:t>
            </w:r>
          </w:p>
        </w:tc>
        <w:tc>
          <w:tcPr>
            <w:tcW w:w="1731" w:type="dxa"/>
            <w:shd w:val="clear" w:color="auto" w:fill="C4EFCE"/>
            <w:vAlign w:val="center"/>
          </w:tcPr>
          <w:p w14:paraId="548788C0" w14:textId="77777777" w:rsidR="006C686E" w:rsidRDefault="00B17E8C">
            <w:pPr>
              <w:pStyle w:val="P68B1DB1-Normal63"/>
              <w:spacing w:after="0" w:line="276" w:lineRule="auto"/>
              <w:jc w:val="center"/>
              <w:rPr>
                <w:noProof/>
              </w:rPr>
            </w:pPr>
            <w:r>
              <w:rPr>
                <w:noProof/>
              </w:rPr>
              <w:t>RP-C21-i12</w:t>
            </w:r>
          </w:p>
        </w:tc>
        <w:tc>
          <w:tcPr>
            <w:tcW w:w="1491" w:type="dxa"/>
            <w:shd w:val="clear" w:color="auto" w:fill="C4EFCE"/>
            <w:vAlign w:val="center"/>
          </w:tcPr>
          <w:p w14:paraId="6E96179F" w14:textId="77777777" w:rsidR="006C686E" w:rsidRDefault="00B17E8C">
            <w:pPr>
              <w:pStyle w:val="P68B1DB1-Normal63"/>
              <w:spacing w:after="0" w:line="276" w:lineRule="auto"/>
              <w:jc w:val="center"/>
              <w:rPr>
                <w:noProof/>
              </w:rPr>
            </w:pPr>
            <w:r>
              <w:rPr>
                <w:noProof/>
              </w:rPr>
              <w:t>M</w:t>
            </w:r>
          </w:p>
        </w:tc>
        <w:tc>
          <w:tcPr>
            <w:tcW w:w="5122" w:type="dxa"/>
            <w:shd w:val="clear" w:color="auto" w:fill="C4EFCE"/>
            <w:vAlign w:val="center"/>
          </w:tcPr>
          <w:p w14:paraId="0F1521DB" w14:textId="77777777" w:rsidR="006C686E" w:rsidRDefault="00B17E8C">
            <w:pPr>
              <w:pStyle w:val="P68B1DB1-Normal63"/>
              <w:spacing w:after="0" w:line="276" w:lineRule="auto"/>
              <w:jc w:val="both"/>
              <w:rPr>
                <w:noProof/>
              </w:rPr>
            </w:pPr>
            <w:r>
              <w:rPr>
                <w:noProof/>
              </w:rPr>
              <w:t>Signature des conditions d’acceptation pour l’achat d’autobus propres dans le cadre du programme de décarbonation des transports publics</w:t>
            </w:r>
          </w:p>
        </w:tc>
      </w:tr>
      <w:tr w:rsidR="006C686E" w14:paraId="4DA2092F" w14:textId="77777777">
        <w:trPr>
          <w:trHeight w:val="440"/>
        </w:trPr>
        <w:tc>
          <w:tcPr>
            <w:tcW w:w="1177" w:type="dxa"/>
            <w:shd w:val="clear" w:color="auto" w:fill="C4EFCE"/>
            <w:vAlign w:val="center"/>
            <w:hideMark/>
          </w:tcPr>
          <w:p w14:paraId="36B24AF1" w14:textId="77777777" w:rsidR="006C686E" w:rsidRDefault="006C686E">
            <w:pPr>
              <w:spacing w:after="200" w:line="276" w:lineRule="auto"/>
              <w:jc w:val="center"/>
              <w:rPr>
                <w:rFonts w:ascii="Times New Roman" w:eastAsia="Calibri" w:hAnsi="Times New Roman" w:cs="Times New Roman"/>
                <w:noProof/>
                <w:kern w:val="0"/>
                <w:sz w:val="20"/>
                <w:szCs w:val="20"/>
                <w14:ligatures w14:val="none"/>
              </w:rPr>
            </w:pPr>
          </w:p>
        </w:tc>
        <w:tc>
          <w:tcPr>
            <w:tcW w:w="1731" w:type="dxa"/>
            <w:shd w:val="clear" w:color="auto" w:fill="C4EFCE"/>
            <w:vAlign w:val="center"/>
            <w:hideMark/>
          </w:tcPr>
          <w:p w14:paraId="70F1CDC6" w14:textId="77777777" w:rsidR="006C686E" w:rsidRDefault="006C686E">
            <w:pPr>
              <w:spacing w:after="200" w:line="276" w:lineRule="auto"/>
              <w:jc w:val="center"/>
              <w:rPr>
                <w:rFonts w:ascii="Times New Roman" w:eastAsia="Calibri" w:hAnsi="Times New Roman" w:cs="Times New Roman"/>
                <w:noProof/>
                <w:kern w:val="0"/>
                <w:sz w:val="20"/>
                <w:szCs w:val="20"/>
                <w14:ligatures w14:val="none"/>
              </w:rPr>
            </w:pPr>
          </w:p>
        </w:tc>
        <w:tc>
          <w:tcPr>
            <w:tcW w:w="1491" w:type="dxa"/>
            <w:shd w:val="clear" w:color="auto" w:fill="C4EFCE"/>
            <w:vAlign w:val="center"/>
            <w:hideMark/>
          </w:tcPr>
          <w:p w14:paraId="0770170D"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122" w:type="dxa"/>
            <w:shd w:val="clear" w:color="auto" w:fill="C4EFCE"/>
            <w:vAlign w:val="center"/>
            <w:hideMark/>
          </w:tcPr>
          <w:p w14:paraId="7230F369" w14:textId="47AB92D9" w:rsidR="006C686E" w:rsidRDefault="00B17E8C">
            <w:pPr>
              <w:pStyle w:val="P68B1DB1-Normal61"/>
              <w:spacing w:after="0" w:line="240" w:lineRule="auto"/>
              <w:jc w:val="center"/>
              <w:rPr>
                <w:iCs/>
                <w:noProof/>
                <w:sz w:val="20"/>
                <w:szCs w:val="20"/>
              </w:rPr>
            </w:pPr>
            <w:r>
              <w:rPr>
                <w:noProof/>
              </w:rPr>
              <w:t>967 013 198 EUR</w:t>
            </w:r>
          </w:p>
        </w:tc>
      </w:tr>
    </w:tbl>
    <w:p w14:paraId="5C473407" w14:textId="77777777" w:rsidR="006C686E" w:rsidRDefault="006C686E">
      <w:pPr>
        <w:keepNext/>
        <w:spacing w:before="40"/>
        <w:ind w:left="360"/>
        <w:contextualSpacing/>
        <w:jc w:val="both"/>
        <w:rPr>
          <w:rFonts w:ascii="Times New Roman" w:eastAsia="Times New Roman" w:hAnsi="Times New Roman" w:cs="Times New Roman"/>
          <w:bCs/>
          <w:noProof/>
          <w:kern w:val="0"/>
          <w14:ligatures w14:val="none"/>
        </w:rPr>
      </w:pPr>
    </w:p>
    <w:p w14:paraId="32A3D639"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Septième tranche (soutien non remboursable): </w:t>
      </w:r>
    </w:p>
    <w:p w14:paraId="525E0ED7"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4286D800" w14:textId="77777777">
        <w:trPr>
          <w:trHeight w:val="509"/>
          <w:tblHeader/>
        </w:trPr>
        <w:tc>
          <w:tcPr>
            <w:tcW w:w="1200" w:type="dxa"/>
            <w:vMerge w:val="restart"/>
            <w:shd w:val="clear" w:color="auto" w:fill="BDD7EE"/>
            <w:vAlign w:val="center"/>
            <w:hideMark/>
          </w:tcPr>
          <w:p w14:paraId="7D6C288A"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395C3F8D"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22FEE329" w14:textId="77777777" w:rsidR="006C686E" w:rsidRDefault="00B17E8C">
            <w:pPr>
              <w:pStyle w:val="P68B1DB1-Normal59"/>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275D54B1" w14:textId="77777777" w:rsidR="006C686E" w:rsidRDefault="00B17E8C">
            <w:pPr>
              <w:pStyle w:val="P68B1DB1-Normal59"/>
              <w:spacing w:after="0" w:line="240" w:lineRule="auto"/>
              <w:jc w:val="center"/>
              <w:rPr>
                <w:rFonts w:eastAsia="Times New Roman"/>
                <w:bCs/>
                <w:noProof/>
              </w:rPr>
            </w:pPr>
            <w:r>
              <w:rPr>
                <w:noProof/>
              </w:rPr>
              <w:t>Nom</w:t>
            </w:r>
          </w:p>
        </w:tc>
      </w:tr>
      <w:tr w:rsidR="006C686E" w14:paraId="6789437D" w14:textId="77777777">
        <w:trPr>
          <w:trHeight w:val="509"/>
          <w:tblHeader/>
        </w:trPr>
        <w:tc>
          <w:tcPr>
            <w:tcW w:w="1200" w:type="dxa"/>
            <w:vMerge/>
            <w:vAlign w:val="center"/>
            <w:hideMark/>
          </w:tcPr>
          <w:p w14:paraId="4A195FB3"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4A793EDA"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286D0F75"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7AF6C24F"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r>
      <w:tr w:rsidR="006C686E" w14:paraId="1366B69C" w14:textId="77777777">
        <w:trPr>
          <w:trHeight w:val="440"/>
        </w:trPr>
        <w:tc>
          <w:tcPr>
            <w:tcW w:w="1200" w:type="dxa"/>
            <w:shd w:val="clear" w:color="auto" w:fill="C4EFCE"/>
            <w:vAlign w:val="center"/>
          </w:tcPr>
          <w:p w14:paraId="17EEF6BE" w14:textId="77777777" w:rsidR="006C686E" w:rsidRDefault="00B17E8C">
            <w:pPr>
              <w:pStyle w:val="P68B1DB1-Normal60"/>
              <w:spacing w:after="0" w:line="276" w:lineRule="auto"/>
              <w:jc w:val="center"/>
              <w:rPr>
                <w:noProof/>
              </w:rPr>
            </w:pPr>
            <w:r>
              <w:rPr>
                <w:noProof/>
              </w:rPr>
              <w:t>1.10</w:t>
            </w:r>
          </w:p>
        </w:tc>
        <w:tc>
          <w:tcPr>
            <w:tcW w:w="1760" w:type="dxa"/>
            <w:shd w:val="clear" w:color="auto" w:fill="C4EFCE"/>
            <w:vAlign w:val="center"/>
          </w:tcPr>
          <w:p w14:paraId="457C92D1" w14:textId="77777777" w:rsidR="006C686E" w:rsidRDefault="00B17E8C">
            <w:pPr>
              <w:pStyle w:val="P68B1DB1-Normal60"/>
              <w:spacing w:after="0" w:line="276" w:lineRule="auto"/>
              <w:jc w:val="center"/>
              <w:rPr>
                <w:noProof/>
              </w:rPr>
            </w:pPr>
            <w:r>
              <w:rPr>
                <w:noProof/>
              </w:rPr>
              <w:t>RE-C01-r03</w:t>
            </w:r>
          </w:p>
        </w:tc>
        <w:tc>
          <w:tcPr>
            <w:tcW w:w="1520" w:type="dxa"/>
            <w:shd w:val="clear" w:color="auto" w:fill="C4EFCE"/>
            <w:vAlign w:val="center"/>
          </w:tcPr>
          <w:p w14:paraId="571933D1"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7CE5B53C" w14:textId="77777777" w:rsidR="006C686E" w:rsidRDefault="00B17E8C">
            <w:pPr>
              <w:pStyle w:val="P68B1DB1-Normal60"/>
              <w:spacing w:after="0" w:line="276" w:lineRule="auto"/>
              <w:rPr>
                <w:noProof/>
              </w:rPr>
            </w:pPr>
            <w:r>
              <w:rPr>
                <w:noProof/>
              </w:rPr>
              <w:t>Augmentation du nombre de patients sortis de l'hospitalisation à domicile</w:t>
            </w:r>
          </w:p>
        </w:tc>
      </w:tr>
      <w:tr w:rsidR="006C686E" w14:paraId="73A259D9" w14:textId="77777777">
        <w:trPr>
          <w:trHeight w:val="440"/>
        </w:trPr>
        <w:tc>
          <w:tcPr>
            <w:tcW w:w="1200" w:type="dxa"/>
            <w:shd w:val="clear" w:color="auto" w:fill="C4EFCE"/>
            <w:vAlign w:val="center"/>
          </w:tcPr>
          <w:p w14:paraId="6678433B" w14:textId="77777777" w:rsidR="006C686E" w:rsidRDefault="00B17E8C">
            <w:pPr>
              <w:pStyle w:val="P68B1DB1-Normal60"/>
              <w:spacing w:after="0" w:line="276" w:lineRule="auto"/>
              <w:jc w:val="center"/>
              <w:rPr>
                <w:noProof/>
              </w:rPr>
            </w:pPr>
            <w:r>
              <w:rPr>
                <w:noProof/>
              </w:rPr>
              <w:t>1.37</w:t>
            </w:r>
          </w:p>
        </w:tc>
        <w:tc>
          <w:tcPr>
            <w:tcW w:w="1760" w:type="dxa"/>
            <w:shd w:val="clear" w:color="auto" w:fill="C4EFCE"/>
            <w:vAlign w:val="center"/>
          </w:tcPr>
          <w:p w14:paraId="2EB80FFE" w14:textId="77777777" w:rsidR="006C686E" w:rsidRDefault="00B17E8C">
            <w:pPr>
              <w:pStyle w:val="P68B1DB1-Normal60"/>
              <w:spacing w:after="0" w:line="276" w:lineRule="auto"/>
              <w:jc w:val="center"/>
              <w:rPr>
                <w:noProof/>
              </w:rPr>
            </w:pPr>
            <w:r>
              <w:rPr>
                <w:noProof/>
              </w:rPr>
              <w:t>RE-C01-i08-RAA</w:t>
            </w:r>
          </w:p>
        </w:tc>
        <w:tc>
          <w:tcPr>
            <w:tcW w:w="1520" w:type="dxa"/>
            <w:shd w:val="clear" w:color="auto" w:fill="C4EFCE"/>
            <w:vAlign w:val="center"/>
          </w:tcPr>
          <w:p w14:paraId="664A49C7" w14:textId="43E9DAED"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4AFD5493" w14:textId="77777777" w:rsidR="006C686E" w:rsidRDefault="00B17E8C">
            <w:pPr>
              <w:pStyle w:val="P68B1DB1-Normal60"/>
              <w:spacing w:after="0" w:line="276" w:lineRule="auto"/>
              <w:rPr>
                <w:noProof/>
              </w:rPr>
            </w:pPr>
            <w:r>
              <w:rPr>
                <w:noProof/>
              </w:rPr>
              <w:t>Télémédecine dans le service régional de santé des Açores</w:t>
            </w:r>
          </w:p>
        </w:tc>
      </w:tr>
      <w:tr w:rsidR="006C686E" w14:paraId="45121E08" w14:textId="77777777">
        <w:trPr>
          <w:trHeight w:val="440"/>
        </w:trPr>
        <w:tc>
          <w:tcPr>
            <w:tcW w:w="1200" w:type="dxa"/>
            <w:shd w:val="clear" w:color="auto" w:fill="C4EFCE"/>
            <w:vAlign w:val="center"/>
          </w:tcPr>
          <w:p w14:paraId="365DE0DB" w14:textId="77777777" w:rsidR="006C686E" w:rsidRDefault="00B17E8C">
            <w:pPr>
              <w:pStyle w:val="P68B1DB1-Normal60"/>
              <w:spacing w:after="0" w:line="276" w:lineRule="auto"/>
              <w:jc w:val="center"/>
              <w:rPr>
                <w:noProof/>
              </w:rPr>
            </w:pPr>
            <w:r>
              <w:rPr>
                <w:noProof/>
              </w:rPr>
              <w:t>1.42</w:t>
            </w:r>
          </w:p>
        </w:tc>
        <w:tc>
          <w:tcPr>
            <w:tcW w:w="1760" w:type="dxa"/>
            <w:shd w:val="clear" w:color="auto" w:fill="C4EFCE"/>
            <w:vAlign w:val="center"/>
          </w:tcPr>
          <w:p w14:paraId="4A87F152" w14:textId="77777777" w:rsidR="006C686E" w:rsidRDefault="00B17E8C">
            <w:pPr>
              <w:pStyle w:val="P68B1DB1-Normal60"/>
              <w:spacing w:after="0" w:line="276" w:lineRule="auto"/>
              <w:jc w:val="center"/>
              <w:rPr>
                <w:noProof/>
              </w:rPr>
            </w:pPr>
            <w:r>
              <w:rPr>
                <w:noProof/>
              </w:rPr>
              <w:t>RE-C01-i10</w:t>
            </w:r>
          </w:p>
        </w:tc>
        <w:tc>
          <w:tcPr>
            <w:tcW w:w="1520" w:type="dxa"/>
            <w:shd w:val="clear" w:color="auto" w:fill="C4EFCE"/>
            <w:vAlign w:val="center"/>
          </w:tcPr>
          <w:p w14:paraId="5C41C6BB"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6271DC02" w14:textId="77777777" w:rsidR="006C686E" w:rsidRDefault="00B17E8C">
            <w:pPr>
              <w:pStyle w:val="P68B1DB1-Normal60"/>
              <w:spacing w:after="0" w:line="276" w:lineRule="auto"/>
              <w:rPr>
                <w:noProof/>
              </w:rPr>
            </w:pPr>
            <w:r>
              <w:rPr>
                <w:noProof/>
              </w:rPr>
              <w:t>Achat de matériel médical lourd</w:t>
            </w:r>
          </w:p>
        </w:tc>
      </w:tr>
      <w:tr w:rsidR="006C686E" w14:paraId="79511BBC" w14:textId="77777777">
        <w:trPr>
          <w:trHeight w:val="440"/>
        </w:trPr>
        <w:tc>
          <w:tcPr>
            <w:tcW w:w="1200" w:type="dxa"/>
            <w:shd w:val="clear" w:color="auto" w:fill="C4EFCE"/>
            <w:vAlign w:val="center"/>
          </w:tcPr>
          <w:p w14:paraId="6316E28F" w14:textId="77777777" w:rsidR="006C686E" w:rsidRDefault="00B17E8C">
            <w:pPr>
              <w:pStyle w:val="P68B1DB1-Normal60"/>
              <w:spacing w:after="0" w:line="276" w:lineRule="auto"/>
              <w:jc w:val="center"/>
              <w:rPr>
                <w:noProof/>
              </w:rPr>
            </w:pPr>
            <w:r>
              <w:rPr>
                <w:noProof/>
              </w:rPr>
              <w:t>2.5</w:t>
            </w:r>
          </w:p>
        </w:tc>
        <w:tc>
          <w:tcPr>
            <w:tcW w:w="1760" w:type="dxa"/>
            <w:shd w:val="clear" w:color="auto" w:fill="C4EFCE"/>
            <w:vAlign w:val="center"/>
          </w:tcPr>
          <w:p w14:paraId="7FFE76FD" w14:textId="77777777" w:rsidR="006C686E" w:rsidRDefault="00B17E8C">
            <w:pPr>
              <w:pStyle w:val="P68B1DB1-Normal60"/>
              <w:spacing w:after="0" w:line="276" w:lineRule="auto"/>
              <w:jc w:val="center"/>
              <w:rPr>
                <w:noProof/>
              </w:rPr>
            </w:pPr>
            <w:r>
              <w:rPr>
                <w:noProof/>
              </w:rPr>
              <w:t>RE-C02-i02</w:t>
            </w:r>
          </w:p>
        </w:tc>
        <w:tc>
          <w:tcPr>
            <w:tcW w:w="1520" w:type="dxa"/>
            <w:shd w:val="clear" w:color="auto" w:fill="C4EFCE"/>
            <w:vAlign w:val="center"/>
          </w:tcPr>
          <w:p w14:paraId="6027CF74"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724E859B" w14:textId="77777777" w:rsidR="006C686E" w:rsidRDefault="00B17E8C">
            <w:pPr>
              <w:pStyle w:val="P68B1DB1-Normal60"/>
              <w:spacing w:after="0" w:line="276" w:lineRule="auto"/>
              <w:rPr>
                <w:noProof/>
              </w:rPr>
            </w:pPr>
            <w:r>
              <w:rPr>
                <w:noProof/>
              </w:rPr>
              <w:t>Allocation nationale d’urgence et d’hébergement temporaire –</w:t>
            </w:r>
          </w:p>
          <w:p w14:paraId="48AEE9EE" w14:textId="7B5A1A43" w:rsidR="006C686E" w:rsidRDefault="00B17E8C">
            <w:pPr>
              <w:pStyle w:val="P68B1DB1-Normal60"/>
              <w:spacing w:after="0" w:line="276" w:lineRule="auto"/>
              <w:rPr>
                <w:noProof/>
              </w:rPr>
            </w:pPr>
            <w:r>
              <w:rPr>
                <w:noProof/>
              </w:rPr>
              <w:t>Signature d'ententes de financement pour les mesures d'adaptation d'urgence et de transition</w:t>
            </w:r>
          </w:p>
        </w:tc>
      </w:tr>
      <w:tr w:rsidR="006C686E" w14:paraId="3A28BF81" w14:textId="77777777">
        <w:trPr>
          <w:trHeight w:val="440"/>
        </w:trPr>
        <w:tc>
          <w:tcPr>
            <w:tcW w:w="1200" w:type="dxa"/>
            <w:shd w:val="clear" w:color="auto" w:fill="C4EFCE"/>
            <w:vAlign w:val="center"/>
          </w:tcPr>
          <w:p w14:paraId="37A1F80E" w14:textId="77777777" w:rsidR="006C686E" w:rsidRDefault="00B17E8C">
            <w:pPr>
              <w:pStyle w:val="P68B1DB1-Normal60"/>
              <w:spacing w:after="0" w:line="276" w:lineRule="auto"/>
              <w:jc w:val="center"/>
              <w:rPr>
                <w:noProof/>
              </w:rPr>
            </w:pPr>
            <w:r>
              <w:rPr>
                <w:noProof/>
              </w:rPr>
              <w:t>3.2</w:t>
            </w:r>
          </w:p>
        </w:tc>
        <w:tc>
          <w:tcPr>
            <w:tcW w:w="1760" w:type="dxa"/>
            <w:shd w:val="clear" w:color="auto" w:fill="C4EFCE"/>
            <w:vAlign w:val="center"/>
          </w:tcPr>
          <w:p w14:paraId="5BB5F532" w14:textId="77777777" w:rsidR="006C686E" w:rsidRDefault="00B17E8C">
            <w:pPr>
              <w:pStyle w:val="P68B1DB1-Normal60"/>
              <w:spacing w:after="0" w:line="276" w:lineRule="auto"/>
              <w:jc w:val="center"/>
              <w:rPr>
                <w:noProof/>
              </w:rPr>
            </w:pPr>
            <w:r>
              <w:rPr>
                <w:noProof/>
              </w:rPr>
              <w:t>RE-C03-i01</w:t>
            </w:r>
          </w:p>
        </w:tc>
        <w:tc>
          <w:tcPr>
            <w:tcW w:w="1520" w:type="dxa"/>
            <w:shd w:val="clear" w:color="auto" w:fill="C4EFCE"/>
            <w:vAlign w:val="center"/>
          </w:tcPr>
          <w:p w14:paraId="6E8C5D45"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19E325AB" w14:textId="77777777" w:rsidR="006C686E" w:rsidRDefault="00B17E8C">
            <w:pPr>
              <w:pStyle w:val="P68B1DB1-Normal60"/>
              <w:spacing w:after="0" w:line="276" w:lineRule="auto"/>
              <w:rPr>
                <w:noProof/>
              </w:rPr>
            </w:pPr>
            <w:r>
              <w:rPr>
                <w:noProof/>
              </w:rPr>
              <w:t>Création des équipes d'intervention sociale (Radar Social)</w:t>
            </w:r>
          </w:p>
        </w:tc>
      </w:tr>
      <w:tr w:rsidR="006C686E" w14:paraId="634E8D02" w14:textId="77777777">
        <w:trPr>
          <w:trHeight w:val="440"/>
        </w:trPr>
        <w:tc>
          <w:tcPr>
            <w:tcW w:w="1200" w:type="dxa"/>
            <w:shd w:val="clear" w:color="auto" w:fill="C4EFCE"/>
            <w:vAlign w:val="center"/>
          </w:tcPr>
          <w:p w14:paraId="48477C0C" w14:textId="77777777" w:rsidR="006C686E" w:rsidRDefault="00B17E8C">
            <w:pPr>
              <w:pStyle w:val="P68B1DB1-Normal60"/>
              <w:spacing w:after="0" w:line="276" w:lineRule="auto"/>
              <w:jc w:val="center"/>
              <w:rPr>
                <w:noProof/>
              </w:rPr>
            </w:pPr>
            <w:r>
              <w:rPr>
                <w:noProof/>
              </w:rPr>
              <w:t>3.18</w:t>
            </w:r>
          </w:p>
        </w:tc>
        <w:tc>
          <w:tcPr>
            <w:tcW w:w="1760" w:type="dxa"/>
            <w:shd w:val="clear" w:color="auto" w:fill="C4EFCE"/>
            <w:vAlign w:val="center"/>
          </w:tcPr>
          <w:p w14:paraId="796EBD6F" w14:textId="77777777" w:rsidR="006C686E" w:rsidRDefault="00B17E8C">
            <w:pPr>
              <w:pStyle w:val="P68B1DB1-Normal60"/>
              <w:spacing w:after="0" w:line="276" w:lineRule="auto"/>
              <w:jc w:val="center"/>
              <w:rPr>
                <w:noProof/>
              </w:rPr>
            </w:pPr>
            <w:r>
              <w:rPr>
                <w:noProof/>
              </w:rPr>
              <w:t>RE-C03-i05</w:t>
            </w:r>
          </w:p>
        </w:tc>
        <w:tc>
          <w:tcPr>
            <w:tcW w:w="1520" w:type="dxa"/>
            <w:shd w:val="clear" w:color="auto" w:fill="C4EFCE"/>
            <w:vAlign w:val="center"/>
          </w:tcPr>
          <w:p w14:paraId="28664CCD"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779D2983" w14:textId="77777777" w:rsidR="006C686E" w:rsidRDefault="00B17E8C">
            <w:pPr>
              <w:pStyle w:val="P68B1DB1-Normal60"/>
              <w:spacing w:after="0" w:line="276" w:lineRule="auto"/>
              <w:rPr>
                <w:noProof/>
              </w:rPr>
            </w:pPr>
            <w:r>
              <w:rPr>
                <w:noProof/>
              </w:rPr>
              <w:t>Ressources d'information numériques pour les personnes handicapées</w:t>
            </w:r>
          </w:p>
        </w:tc>
      </w:tr>
      <w:tr w:rsidR="006C686E" w14:paraId="276F32EA" w14:textId="77777777">
        <w:trPr>
          <w:trHeight w:val="440"/>
        </w:trPr>
        <w:tc>
          <w:tcPr>
            <w:tcW w:w="1200" w:type="dxa"/>
            <w:shd w:val="clear" w:color="auto" w:fill="C4EFCE"/>
            <w:vAlign w:val="center"/>
          </w:tcPr>
          <w:p w14:paraId="578480D5" w14:textId="77777777" w:rsidR="006C686E" w:rsidRDefault="00B17E8C">
            <w:pPr>
              <w:pStyle w:val="P68B1DB1-Normal60"/>
              <w:spacing w:after="0" w:line="276" w:lineRule="auto"/>
              <w:jc w:val="center"/>
              <w:rPr>
                <w:noProof/>
              </w:rPr>
            </w:pPr>
            <w:r>
              <w:rPr>
                <w:noProof/>
              </w:rPr>
              <w:t>5.37</w:t>
            </w:r>
          </w:p>
        </w:tc>
        <w:tc>
          <w:tcPr>
            <w:tcW w:w="1760" w:type="dxa"/>
            <w:shd w:val="clear" w:color="auto" w:fill="C4EFCE"/>
            <w:vAlign w:val="center"/>
          </w:tcPr>
          <w:p w14:paraId="114F55EE" w14:textId="77777777" w:rsidR="006C686E" w:rsidRDefault="00B17E8C">
            <w:pPr>
              <w:pStyle w:val="P68B1DB1-Normal60"/>
              <w:spacing w:after="0" w:line="276" w:lineRule="auto"/>
              <w:jc w:val="center"/>
              <w:rPr>
                <w:noProof/>
              </w:rPr>
            </w:pPr>
            <w:r>
              <w:rPr>
                <w:noProof/>
              </w:rPr>
              <w:t>RE-C05-i08</w:t>
            </w:r>
          </w:p>
        </w:tc>
        <w:tc>
          <w:tcPr>
            <w:tcW w:w="1520" w:type="dxa"/>
            <w:shd w:val="clear" w:color="auto" w:fill="C4EFCE"/>
            <w:vAlign w:val="center"/>
          </w:tcPr>
          <w:p w14:paraId="2BA04A2D"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3F4A7B76" w14:textId="77777777" w:rsidR="006C686E" w:rsidRDefault="00B17E8C">
            <w:pPr>
              <w:pStyle w:val="P68B1DB1-Normal60"/>
              <w:spacing w:after="0" w:line="276" w:lineRule="auto"/>
              <w:rPr>
                <w:noProof/>
              </w:rPr>
            </w:pPr>
            <w:r>
              <w:rPr>
                <w:noProof/>
              </w:rPr>
              <w:t xml:space="preserve">Acte notarié relatif à la constitution du Centre National d'Informatique Avancée (CNCA) et à ses statuts </w:t>
            </w:r>
          </w:p>
        </w:tc>
      </w:tr>
      <w:tr w:rsidR="006C686E" w14:paraId="32FA0352" w14:textId="77777777">
        <w:trPr>
          <w:trHeight w:val="440"/>
        </w:trPr>
        <w:tc>
          <w:tcPr>
            <w:tcW w:w="1200" w:type="dxa"/>
            <w:shd w:val="clear" w:color="auto" w:fill="C4EFCE"/>
            <w:vAlign w:val="center"/>
          </w:tcPr>
          <w:p w14:paraId="7000F4B3" w14:textId="77777777" w:rsidR="006C686E" w:rsidRDefault="00B17E8C">
            <w:pPr>
              <w:pStyle w:val="P68B1DB1-Normal60"/>
              <w:spacing w:after="0" w:line="276" w:lineRule="auto"/>
              <w:jc w:val="center"/>
              <w:rPr>
                <w:noProof/>
              </w:rPr>
            </w:pPr>
            <w:r>
              <w:rPr>
                <w:noProof/>
              </w:rPr>
              <w:t>6.5</w:t>
            </w:r>
          </w:p>
        </w:tc>
        <w:tc>
          <w:tcPr>
            <w:tcW w:w="1760" w:type="dxa"/>
            <w:shd w:val="clear" w:color="auto" w:fill="C4EFCE"/>
            <w:vAlign w:val="center"/>
          </w:tcPr>
          <w:p w14:paraId="6FB871FB" w14:textId="77777777" w:rsidR="006C686E" w:rsidRDefault="00B17E8C">
            <w:pPr>
              <w:pStyle w:val="P68B1DB1-Normal60"/>
              <w:spacing w:after="0" w:line="276" w:lineRule="auto"/>
              <w:jc w:val="center"/>
              <w:rPr>
                <w:noProof/>
              </w:rPr>
            </w:pPr>
            <w:r>
              <w:rPr>
                <w:noProof/>
              </w:rPr>
              <w:t>RE-C06-i02</w:t>
            </w:r>
          </w:p>
        </w:tc>
        <w:tc>
          <w:tcPr>
            <w:tcW w:w="1520" w:type="dxa"/>
            <w:shd w:val="clear" w:color="auto" w:fill="C4EFCE"/>
            <w:vAlign w:val="center"/>
          </w:tcPr>
          <w:p w14:paraId="11F9AD3C"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3277A4CC" w14:textId="77777777" w:rsidR="006C686E" w:rsidRDefault="00B17E8C">
            <w:pPr>
              <w:pStyle w:val="P68B1DB1-Normal60"/>
              <w:spacing w:after="0" w:line="276" w:lineRule="auto"/>
              <w:rPr>
                <w:noProof/>
              </w:rPr>
            </w:pPr>
            <w:r>
              <w:rPr>
                <w:noProof/>
              </w:rPr>
              <w:t xml:space="preserve">Soutien aux contrats à durée indéterminée </w:t>
            </w:r>
          </w:p>
        </w:tc>
      </w:tr>
      <w:tr w:rsidR="006C686E" w14:paraId="0AE81FC3" w14:textId="77777777">
        <w:trPr>
          <w:trHeight w:val="440"/>
        </w:trPr>
        <w:tc>
          <w:tcPr>
            <w:tcW w:w="1200" w:type="dxa"/>
            <w:shd w:val="clear" w:color="auto" w:fill="C4EFCE"/>
            <w:vAlign w:val="center"/>
          </w:tcPr>
          <w:p w14:paraId="3C5E3921" w14:textId="77777777" w:rsidR="006C686E" w:rsidRDefault="00B17E8C">
            <w:pPr>
              <w:pStyle w:val="P68B1DB1-Normal60"/>
              <w:spacing w:after="0" w:line="276" w:lineRule="auto"/>
              <w:jc w:val="center"/>
              <w:rPr>
                <w:noProof/>
              </w:rPr>
            </w:pPr>
            <w:r>
              <w:rPr>
                <w:noProof/>
              </w:rPr>
              <w:t>6.17</w:t>
            </w:r>
          </w:p>
        </w:tc>
        <w:tc>
          <w:tcPr>
            <w:tcW w:w="1760" w:type="dxa"/>
            <w:shd w:val="clear" w:color="auto" w:fill="C4EFCE"/>
            <w:vAlign w:val="center"/>
          </w:tcPr>
          <w:p w14:paraId="05C286C0" w14:textId="77777777" w:rsidR="006C686E" w:rsidRDefault="00B17E8C">
            <w:pPr>
              <w:pStyle w:val="P68B1DB1-Normal60"/>
              <w:spacing w:after="0" w:line="276" w:lineRule="auto"/>
              <w:jc w:val="center"/>
              <w:rPr>
                <w:noProof/>
              </w:rPr>
            </w:pPr>
            <w:r>
              <w:rPr>
                <w:noProof/>
              </w:rPr>
              <w:t>RE-C06-r18</w:t>
            </w:r>
          </w:p>
        </w:tc>
        <w:tc>
          <w:tcPr>
            <w:tcW w:w="1520" w:type="dxa"/>
            <w:shd w:val="clear" w:color="auto" w:fill="C4EFCE"/>
            <w:vAlign w:val="center"/>
          </w:tcPr>
          <w:p w14:paraId="12B82C79"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3E8EE4B1" w14:textId="77777777" w:rsidR="006C686E" w:rsidRDefault="00B17E8C">
            <w:pPr>
              <w:pStyle w:val="P68B1DB1-Normal60"/>
              <w:spacing w:after="0" w:line="276" w:lineRule="auto"/>
              <w:rPr>
                <w:noProof/>
              </w:rPr>
            </w:pPr>
            <w:r>
              <w:rPr>
                <w:noProof/>
              </w:rPr>
              <w:t>Publication d'une norme pour un système de gestion de l'égalité salariale.</w:t>
            </w:r>
          </w:p>
        </w:tc>
      </w:tr>
      <w:tr w:rsidR="006C686E" w14:paraId="246F93C8" w14:textId="77777777">
        <w:trPr>
          <w:trHeight w:val="440"/>
        </w:trPr>
        <w:tc>
          <w:tcPr>
            <w:tcW w:w="1200" w:type="dxa"/>
            <w:shd w:val="clear" w:color="auto" w:fill="C4EFCE"/>
            <w:vAlign w:val="center"/>
          </w:tcPr>
          <w:p w14:paraId="06173DEE" w14:textId="77777777" w:rsidR="006C686E" w:rsidRDefault="00B17E8C">
            <w:pPr>
              <w:pStyle w:val="P68B1DB1-Normal60"/>
              <w:spacing w:after="0" w:line="276" w:lineRule="auto"/>
              <w:jc w:val="center"/>
              <w:rPr>
                <w:noProof/>
              </w:rPr>
            </w:pPr>
            <w:r>
              <w:rPr>
                <w:noProof/>
              </w:rPr>
              <w:t>6.18</w:t>
            </w:r>
          </w:p>
        </w:tc>
        <w:tc>
          <w:tcPr>
            <w:tcW w:w="1760" w:type="dxa"/>
            <w:shd w:val="clear" w:color="auto" w:fill="C4EFCE"/>
            <w:vAlign w:val="center"/>
          </w:tcPr>
          <w:p w14:paraId="44AF8EE1" w14:textId="77777777" w:rsidR="006C686E" w:rsidRDefault="00B17E8C">
            <w:pPr>
              <w:pStyle w:val="P68B1DB1-Normal60"/>
              <w:spacing w:after="0" w:line="276" w:lineRule="auto"/>
              <w:jc w:val="center"/>
              <w:rPr>
                <w:noProof/>
              </w:rPr>
            </w:pPr>
            <w:r>
              <w:rPr>
                <w:noProof/>
              </w:rPr>
              <w:t>RE-C06-r18</w:t>
            </w:r>
          </w:p>
        </w:tc>
        <w:tc>
          <w:tcPr>
            <w:tcW w:w="1520" w:type="dxa"/>
            <w:shd w:val="clear" w:color="auto" w:fill="C4EFCE"/>
            <w:vAlign w:val="center"/>
          </w:tcPr>
          <w:p w14:paraId="1E092927"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607C87B8" w14:textId="77777777" w:rsidR="006C686E" w:rsidRDefault="00B17E8C">
            <w:pPr>
              <w:pStyle w:val="P68B1DB1-Normal60"/>
              <w:spacing w:after="0" w:line="276" w:lineRule="auto"/>
              <w:rPr>
                <w:noProof/>
              </w:rPr>
            </w:pPr>
            <w:r>
              <w:rPr>
                <w:noProof/>
              </w:rPr>
              <w:t xml:space="preserve">Reconnaissance pour les entreprises présentant un écart de rémunération étroit entre les hommes et les femmes. </w:t>
            </w:r>
          </w:p>
        </w:tc>
      </w:tr>
      <w:tr w:rsidR="006C686E" w14:paraId="4A3327CD" w14:textId="77777777">
        <w:trPr>
          <w:trHeight w:val="440"/>
        </w:trPr>
        <w:tc>
          <w:tcPr>
            <w:tcW w:w="1200" w:type="dxa"/>
            <w:shd w:val="clear" w:color="auto" w:fill="C4EFCE"/>
            <w:vAlign w:val="center"/>
          </w:tcPr>
          <w:p w14:paraId="678535BF" w14:textId="77777777" w:rsidR="006C686E" w:rsidRDefault="00B17E8C">
            <w:pPr>
              <w:pStyle w:val="P68B1DB1-Normal60"/>
              <w:spacing w:after="0" w:line="276" w:lineRule="auto"/>
              <w:jc w:val="center"/>
              <w:rPr>
                <w:noProof/>
              </w:rPr>
            </w:pPr>
            <w:r>
              <w:rPr>
                <w:noProof/>
              </w:rPr>
              <w:t>6.24</w:t>
            </w:r>
          </w:p>
        </w:tc>
        <w:tc>
          <w:tcPr>
            <w:tcW w:w="1760" w:type="dxa"/>
            <w:shd w:val="clear" w:color="auto" w:fill="C4EFCE"/>
            <w:vAlign w:val="center"/>
          </w:tcPr>
          <w:p w14:paraId="7C6BD546" w14:textId="77777777" w:rsidR="006C686E" w:rsidRDefault="00B17E8C">
            <w:pPr>
              <w:pStyle w:val="P68B1DB1-Normal60"/>
              <w:spacing w:after="0" w:line="276" w:lineRule="auto"/>
              <w:jc w:val="center"/>
              <w:rPr>
                <w:noProof/>
              </w:rPr>
            </w:pPr>
            <w:r>
              <w:rPr>
                <w:noProof/>
              </w:rPr>
              <w:t>RE-C06-i07</w:t>
            </w:r>
          </w:p>
        </w:tc>
        <w:tc>
          <w:tcPr>
            <w:tcW w:w="1520" w:type="dxa"/>
            <w:shd w:val="clear" w:color="auto" w:fill="C4EFCE"/>
            <w:vAlign w:val="center"/>
          </w:tcPr>
          <w:p w14:paraId="4FE1C60E"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2377E905" w14:textId="77777777" w:rsidR="006C686E" w:rsidRDefault="00B17E8C">
            <w:pPr>
              <w:pStyle w:val="P68B1DB1-Normal60"/>
              <w:spacing w:after="0" w:line="276" w:lineRule="auto"/>
              <w:rPr>
                <w:noProof/>
              </w:rPr>
            </w:pPr>
            <w:r>
              <w:rPr>
                <w:noProof/>
              </w:rPr>
              <w:t>Innovation et modernisation pédagogique dans l'enseignement supérieur</w:t>
            </w:r>
          </w:p>
        </w:tc>
      </w:tr>
      <w:tr w:rsidR="006C686E" w14:paraId="2D2AA013" w14:textId="77777777">
        <w:trPr>
          <w:trHeight w:val="440"/>
        </w:trPr>
        <w:tc>
          <w:tcPr>
            <w:tcW w:w="1200" w:type="dxa"/>
            <w:shd w:val="clear" w:color="auto" w:fill="C4EFCE"/>
            <w:vAlign w:val="center"/>
          </w:tcPr>
          <w:p w14:paraId="278ACC26" w14:textId="77777777" w:rsidR="006C686E" w:rsidRDefault="00B17E8C">
            <w:pPr>
              <w:pStyle w:val="P68B1DB1-Normal60"/>
              <w:spacing w:after="0" w:line="276" w:lineRule="auto"/>
              <w:jc w:val="center"/>
              <w:rPr>
                <w:noProof/>
              </w:rPr>
            </w:pPr>
            <w:r>
              <w:rPr>
                <w:noProof/>
              </w:rPr>
              <w:t>7.2</w:t>
            </w:r>
          </w:p>
        </w:tc>
        <w:tc>
          <w:tcPr>
            <w:tcW w:w="1760" w:type="dxa"/>
            <w:shd w:val="clear" w:color="auto" w:fill="C4EFCE"/>
            <w:vAlign w:val="center"/>
          </w:tcPr>
          <w:p w14:paraId="12C69E22" w14:textId="77777777" w:rsidR="006C686E" w:rsidRDefault="00B17E8C">
            <w:pPr>
              <w:pStyle w:val="P68B1DB1-Normal60"/>
              <w:spacing w:after="0" w:line="276" w:lineRule="auto"/>
              <w:jc w:val="center"/>
              <w:rPr>
                <w:noProof/>
              </w:rPr>
            </w:pPr>
            <w:r>
              <w:rPr>
                <w:noProof/>
              </w:rPr>
              <w:t>RE-C07-i00</w:t>
            </w:r>
          </w:p>
        </w:tc>
        <w:tc>
          <w:tcPr>
            <w:tcW w:w="1520" w:type="dxa"/>
            <w:shd w:val="clear" w:color="auto" w:fill="C4EFCE"/>
            <w:vAlign w:val="center"/>
          </w:tcPr>
          <w:p w14:paraId="68AD2709"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55BF764F" w14:textId="77777777" w:rsidR="006C686E" w:rsidRDefault="00B17E8C">
            <w:pPr>
              <w:pStyle w:val="P68B1DB1-Normal60"/>
              <w:spacing w:after="0" w:line="276" w:lineRule="auto"/>
              <w:rPr>
                <w:noProof/>
              </w:rPr>
            </w:pPr>
            <w:r>
              <w:rPr>
                <w:noProof/>
              </w:rPr>
              <w:t>Points de recharge pour véhicules électriques accessibles au public</w:t>
            </w:r>
          </w:p>
        </w:tc>
      </w:tr>
      <w:tr w:rsidR="006C686E" w14:paraId="07B46AF3" w14:textId="77777777">
        <w:trPr>
          <w:trHeight w:val="440"/>
        </w:trPr>
        <w:tc>
          <w:tcPr>
            <w:tcW w:w="1200" w:type="dxa"/>
            <w:shd w:val="clear" w:color="auto" w:fill="C4EFCE"/>
            <w:vAlign w:val="center"/>
          </w:tcPr>
          <w:p w14:paraId="574BB78B" w14:textId="77777777" w:rsidR="006C686E" w:rsidRDefault="00B17E8C">
            <w:pPr>
              <w:pStyle w:val="P68B1DB1-Normal60"/>
              <w:spacing w:after="0" w:line="276" w:lineRule="auto"/>
              <w:jc w:val="center"/>
              <w:rPr>
                <w:noProof/>
              </w:rPr>
            </w:pPr>
            <w:r>
              <w:rPr>
                <w:noProof/>
              </w:rPr>
              <w:t>8.13</w:t>
            </w:r>
          </w:p>
        </w:tc>
        <w:tc>
          <w:tcPr>
            <w:tcW w:w="1760" w:type="dxa"/>
            <w:shd w:val="clear" w:color="auto" w:fill="C4EFCE"/>
            <w:vAlign w:val="center"/>
          </w:tcPr>
          <w:p w14:paraId="0ECD23A5" w14:textId="77777777" w:rsidR="006C686E" w:rsidRDefault="00B17E8C">
            <w:pPr>
              <w:pStyle w:val="P68B1DB1-Normal60"/>
              <w:spacing w:after="0" w:line="276" w:lineRule="auto"/>
              <w:jc w:val="center"/>
              <w:rPr>
                <w:noProof/>
              </w:rPr>
            </w:pPr>
            <w:r>
              <w:rPr>
                <w:noProof/>
              </w:rPr>
              <w:t>RE-C08-i05</w:t>
            </w:r>
          </w:p>
        </w:tc>
        <w:tc>
          <w:tcPr>
            <w:tcW w:w="1520" w:type="dxa"/>
            <w:shd w:val="clear" w:color="auto" w:fill="C4EFCE"/>
            <w:vAlign w:val="center"/>
          </w:tcPr>
          <w:p w14:paraId="6EDD23BE"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34B10FB5" w14:textId="77777777" w:rsidR="006C686E" w:rsidRDefault="00B17E8C">
            <w:pPr>
              <w:pStyle w:val="P68B1DB1-Normal60"/>
              <w:spacing w:after="0" w:line="276" w:lineRule="auto"/>
              <w:rPr>
                <w:noProof/>
              </w:rPr>
            </w:pPr>
            <w:r>
              <w:rPr>
                <w:noProof/>
              </w:rPr>
              <w:t>Formation, équipement et véhicules pour l'ANEPC, le GNR et les sapeurs-pompiers</w:t>
            </w:r>
          </w:p>
        </w:tc>
      </w:tr>
      <w:tr w:rsidR="006C686E" w14:paraId="2DAA5DC8" w14:textId="77777777">
        <w:trPr>
          <w:trHeight w:val="440"/>
        </w:trPr>
        <w:tc>
          <w:tcPr>
            <w:tcW w:w="1200" w:type="dxa"/>
            <w:shd w:val="clear" w:color="auto" w:fill="C4EFCE"/>
            <w:vAlign w:val="center"/>
          </w:tcPr>
          <w:p w14:paraId="2F7797BD" w14:textId="77777777" w:rsidR="006C686E" w:rsidRDefault="00B17E8C">
            <w:pPr>
              <w:pStyle w:val="P68B1DB1-Normal60"/>
              <w:spacing w:after="0" w:line="276" w:lineRule="auto"/>
              <w:jc w:val="center"/>
              <w:rPr>
                <w:noProof/>
              </w:rPr>
            </w:pPr>
            <w:r>
              <w:rPr>
                <w:noProof/>
              </w:rPr>
              <w:t>10.15</w:t>
            </w:r>
          </w:p>
        </w:tc>
        <w:tc>
          <w:tcPr>
            <w:tcW w:w="1760" w:type="dxa"/>
            <w:shd w:val="clear" w:color="auto" w:fill="C4EFCE"/>
            <w:vAlign w:val="center"/>
          </w:tcPr>
          <w:p w14:paraId="1A04EEA0" w14:textId="77777777" w:rsidR="006C686E" w:rsidRDefault="00B17E8C">
            <w:pPr>
              <w:pStyle w:val="P68B1DB1-Normal60"/>
              <w:spacing w:after="0" w:line="276" w:lineRule="auto"/>
              <w:jc w:val="center"/>
              <w:rPr>
                <w:noProof/>
              </w:rPr>
            </w:pPr>
            <w:r>
              <w:rPr>
                <w:noProof/>
              </w:rPr>
              <w:t>TC-C10-i06-RAM</w:t>
            </w:r>
          </w:p>
        </w:tc>
        <w:tc>
          <w:tcPr>
            <w:tcW w:w="1520" w:type="dxa"/>
            <w:shd w:val="clear" w:color="auto" w:fill="C4EFCE"/>
            <w:vAlign w:val="center"/>
          </w:tcPr>
          <w:p w14:paraId="4A43361C"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0F7F9CAD" w14:textId="77777777" w:rsidR="006C686E" w:rsidRDefault="00B17E8C">
            <w:pPr>
              <w:pStyle w:val="P68B1DB1-Normal60"/>
              <w:spacing w:after="0" w:line="276" w:lineRule="auto"/>
              <w:rPr>
                <w:noProof/>
              </w:rPr>
            </w:pPr>
            <w:r>
              <w:rPr>
                <w:noProof/>
              </w:rPr>
              <w:t>Livraison d'un véhicule autonome sans pilote</w:t>
            </w:r>
          </w:p>
        </w:tc>
      </w:tr>
      <w:tr w:rsidR="006C686E" w14:paraId="691B4AD3" w14:textId="77777777">
        <w:trPr>
          <w:trHeight w:val="440"/>
        </w:trPr>
        <w:tc>
          <w:tcPr>
            <w:tcW w:w="1200" w:type="dxa"/>
            <w:shd w:val="clear" w:color="auto" w:fill="C4EFCE"/>
            <w:vAlign w:val="center"/>
          </w:tcPr>
          <w:p w14:paraId="7BDC9FB0" w14:textId="77777777" w:rsidR="006C686E" w:rsidRDefault="00B17E8C">
            <w:pPr>
              <w:pStyle w:val="P68B1DB1-Normal60"/>
              <w:spacing w:after="0" w:line="276" w:lineRule="auto"/>
              <w:jc w:val="center"/>
              <w:rPr>
                <w:noProof/>
              </w:rPr>
            </w:pPr>
            <w:r>
              <w:rPr>
                <w:noProof/>
              </w:rPr>
              <w:t>14.4</w:t>
            </w:r>
          </w:p>
        </w:tc>
        <w:tc>
          <w:tcPr>
            <w:tcW w:w="1760" w:type="dxa"/>
            <w:shd w:val="clear" w:color="auto" w:fill="C4EFCE"/>
            <w:vAlign w:val="center"/>
          </w:tcPr>
          <w:p w14:paraId="59E72191" w14:textId="77777777" w:rsidR="006C686E" w:rsidRDefault="00B17E8C">
            <w:pPr>
              <w:pStyle w:val="P68B1DB1-Normal60"/>
              <w:spacing w:after="0" w:line="276" w:lineRule="auto"/>
              <w:jc w:val="center"/>
              <w:rPr>
                <w:noProof/>
              </w:rPr>
            </w:pPr>
            <w:r>
              <w:rPr>
                <w:noProof/>
              </w:rPr>
              <w:t>TC-C14-i02-RAM</w:t>
            </w:r>
          </w:p>
        </w:tc>
        <w:tc>
          <w:tcPr>
            <w:tcW w:w="1520" w:type="dxa"/>
            <w:shd w:val="clear" w:color="auto" w:fill="C4EFCE"/>
            <w:vAlign w:val="center"/>
          </w:tcPr>
          <w:p w14:paraId="12FF909E"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715BC82D" w14:textId="77777777" w:rsidR="006C686E" w:rsidRDefault="00B17E8C">
            <w:pPr>
              <w:pStyle w:val="P68B1DB1-Normal60"/>
              <w:spacing w:after="0" w:line="276" w:lineRule="auto"/>
              <w:rPr>
                <w:noProof/>
              </w:rPr>
            </w:pPr>
            <w:r>
              <w:rPr>
                <w:noProof/>
              </w:rPr>
              <w:t>Construction et intégration d'un compensateur synchrone</w:t>
            </w:r>
          </w:p>
        </w:tc>
      </w:tr>
      <w:tr w:rsidR="006C686E" w14:paraId="2EB67566" w14:textId="77777777">
        <w:trPr>
          <w:trHeight w:val="440"/>
        </w:trPr>
        <w:tc>
          <w:tcPr>
            <w:tcW w:w="1200" w:type="dxa"/>
            <w:shd w:val="clear" w:color="auto" w:fill="C4EFCE"/>
            <w:vAlign w:val="center"/>
          </w:tcPr>
          <w:p w14:paraId="571270D2" w14:textId="77777777" w:rsidR="006C686E" w:rsidRDefault="00B17E8C">
            <w:pPr>
              <w:pStyle w:val="P68B1DB1-Normal60"/>
              <w:spacing w:after="0" w:line="276" w:lineRule="auto"/>
              <w:jc w:val="center"/>
              <w:rPr>
                <w:noProof/>
              </w:rPr>
            </w:pPr>
            <w:r>
              <w:rPr>
                <w:noProof/>
              </w:rPr>
              <w:t>14.6</w:t>
            </w:r>
          </w:p>
        </w:tc>
        <w:tc>
          <w:tcPr>
            <w:tcW w:w="1760" w:type="dxa"/>
            <w:shd w:val="clear" w:color="auto" w:fill="C4EFCE"/>
            <w:vAlign w:val="center"/>
          </w:tcPr>
          <w:p w14:paraId="797EFEE7" w14:textId="77777777" w:rsidR="006C686E" w:rsidRDefault="00B17E8C">
            <w:pPr>
              <w:pStyle w:val="P68B1DB1-Normal60"/>
              <w:spacing w:after="0" w:line="276" w:lineRule="auto"/>
              <w:jc w:val="center"/>
              <w:rPr>
                <w:noProof/>
              </w:rPr>
            </w:pPr>
            <w:r>
              <w:rPr>
                <w:noProof/>
              </w:rPr>
              <w:t>TC-C14-i02-RAM</w:t>
            </w:r>
          </w:p>
        </w:tc>
        <w:tc>
          <w:tcPr>
            <w:tcW w:w="1520" w:type="dxa"/>
            <w:shd w:val="clear" w:color="auto" w:fill="C4EFCE"/>
            <w:vAlign w:val="center"/>
          </w:tcPr>
          <w:p w14:paraId="1805E339"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34EACC90" w14:textId="77777777" w:rsidR="006C686E" w:rsidRDefault="00B17E8C">
            <w:pPr>
              <w:pStyle w:val="P68B1DB1-Normal60"/>
              <w:spacing w:after="0" w:line="276" w:lineRule="auto"/>
              <w:rPr>
                <w:noProof/>
              </w:rPr>
            </w:pPr>
            <w:r>
              <w:rPr>
                <w:noProof/>
              </w:rPr>
              <w:t>Rénovation de la capacité de production hydroélectrique installée</w:t>
            </w:r>
          </w:p>
        </w:tc>
      </w:tr>
      <w:tr w:rsidR="006C686E" w14:paraId="20AA1A2E" w14:textId="77777777">
        <w:trPr>
          <w:trHeight w:val="440"/>
        </w:trPr>
        <w:tc>
          <w:tcPr>
            <w:tcW w:w="1200" w:type="dxa"/>
            <w:shd w:val="clear" w:color="auto" w:fill="C4EFCE"/>
            <w:vAlign w:val="center"/>
          </w:tcPr>
          <w:p w14:paraId="28C28FAA" w14:textId="77777777" w:rsidR="006C686E" w:rsidRDefault="00B17E8C">
            <w:pPr>
              <w:pStyle w:val="P68B1DB1-Normal60"/>
              <w:spacing w:after="0" w:line="276" w:lineRule="auto"/>
              <w:jc w:val="center"/>
              <w:rPr>
                <w:noProof/>
              </w:rPr>
            </w:pPr>
            <w:r>
              <w:rPr>
                <w:noProof/>
              </w:rPr>
              <w:t>17.5</w:t>
            </w:r>
          </w:p>
        </w:tc>
        <w:tc>
          <w:tcPr>
            <w:tcW w:w="1760" w:type="dxa"/>
            <w:shd w:val="clear" w:color="auto" w:fill="C4EFCE"/>
            <w:vAlign w:val="center"/>
          </w:tcPr>
          <w:p w14:paraId="4B0E3CC8" w14:textId="77777777" w:rsidR="006C686E" w:rsidRDefault="00B17E8C">
            <w:pPr>
              <w:pStyle w:val="P68B1DB1-Normal60"/>
              <w:spacing w:after="0" w:line="276" w:lineRule="auto"/>
              <w:jc w:val="center"/>
              <w:rPr>
                <w:noProof/>
              </w:rPr>
            </w:pPr>
            <w:r>
              <w:rPr>
                <w:noProof/>
              </w:rPr>
              <w:t>TD-C17-r32</w:t>
            </w:r>
          </w:p>
        </w:tc>
        <w:tc>
          <w:tcPr>
            <w:tcW w:w="1520" w:type="dxa"/>
            <w:shd w:val="clear" w:color="auto" w:fill="C4EFCE"/>
            <w:vAlign w:val="center"/>
          </w:tcPr>
          <w:p w14:paraId="7C3E9E3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0947C054" w14:textId="77777777" w:rsidR="006C686E" w:rsidRDefault="00B17E8C">
            <w:pPr>
              <w:pStyle w:val="P68B1DB1-Normal60"/>
              <w:spacing w:after="0" w:line="276" w:lineRule="auto"/>
              <w:rPr>
                <w:noProof/>
              </w:rPr>
            </w:pPr>
            <w:r>
              <w:rPr>
                <w:noProof/>
              </w:rPr>
              <w:t>Entrée en vigueur de la législation visant à intégrer les réexamens des dépenses dans le processus budgétaire ordinaire, y compris l’évaluation ex post des économies d’efficacité</w:t>
            </w:r>
          </w:p>
        </w:tc>
      </w:tr>
      <w:tr w:rsidR="006C686E" w14:paraId="590A30F1" w14:textId="77777777">
        <w:trPr>
          <w:trHeight w:val="440"/>
        </w:trPr>
        <w:tc>
          <w:tcPr>
            <w:tcW w:w="1200" w:type="dxa"/>
            <w:shd w:val="clear" w:color="auto" w:fill="C4EFCE"/>
            <w:vAlign w:val="center"/>
          </w:tcPr>
          <w:p w14:paraId="38BB0B03" w14:textId="77777777" w:rsidR="006C686E" w:rsidRDefault="00B17E8C">
            <w:pPr>
              <w:pStyle w:val="P68B1DB1-Normal60"/>
              <w:spacing w:after="0" w:line="276" w:lineRule="auto"/>
              <w:jc w:val="center"/>
              <w:rPr>
                <w:noProof/>
              </w:rPr>
            </w:pPr>
            <w:r>
              <w:rPr>
                <w:noProof/>
              </w:rPr>
              <w:t>17.10</w:t>
            </w:r>
          </w:p>
        </w:tc>
        <w:tc>
          <w:tcPr>
            <w:tcW w:w="1760" w:type="dxa"/>
            <w:shd w:val="clear" w:color="auto" w:fill="C4EFCE"/>
            <w:vAlign w:val="center"/>
          </w:tcPr>
          <w:p w14:paraId="7AA243AF" w14:textId="77777777" w:rsidR="006C686E" w:rsidRDefault="00B17E8C">
            <w:pPr>
              <w:pStyle w:val="P68B1DB1-Normal60"/>
              <w:spacing w:after="0" w:line="276" w:lineRule="auto"/>
              <w:jc w:val="center"/>
              <w:rPr>
                <w:noProof/>
              </w:rPr>
            </w:pPr>
            <w:r>
              <w:rPr>
                <w:noProof/>
              </w:rPr>
              <w:t>TD-C17-i01</w:t>
            </w:r>
          </w:p>
        </w:tc>
        <w:tc>
          <w:tcPr>
            <w:tcW w:w="1520" w:type="dxa"/>
            <w:shd w:val="clear" w:color="auto" w:fill="C4EFCE"/>
            <w:vAlign w:val="center"/>
          </w:tcPr>
          <w:p w14:paraId="3E0B895C"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5BA160C4" w14:textId="376D22FE" w:rsidR="006C686E" w:rsidRDefault="00B17E8C">
            <w:pPr>
              <w:pStyle w:val="P68B1DB1-Normal60"/>
              <w:spacing w:after="0" w:line="276" w:lineRule="auto"/>
              <w:rPr>
                <w:noProof/>
              </w:rPr>
            </w:pPr>
            <w:r>
              <w:rPr>
                <w:noProof/>
              </w:rPr>
              <w:t>Nouvelles fonctionnalités de la solution informatique qui soutient la préparation du budget de l'État</w:t>
            </w:r>
          </w:p>
        </w:tc>
      </w:tr>
      <w:tr w:rsidR="006C686E" w14:paraId="3E00AE59" w14:textId="77777777">
        <w:trPr>
          <w:trHeight w:val="440"/>
        </w:trPr>
        <w:tc>
          <w:tcPr>
            <w:tcW w:w="1200" w:type="dxa"/>
            <w:shd w:val="clear" w:color="auto" w:fill="C4EFCE"/>
            <w:vAlign w:val="center"/>
          </w:tcPr>
          <w:p w14:paraId="77048369" w14:textId="77777777" w:rsidR="006C686E" w:rsidRDefault="00B17E8C">
            <w:pPr>
              <w:pStyle w:val="P68B1DB1-Normal60"/>
              <w:spacing w:after="0" w:line="276" w:lineRule="auto"/>
              <w:jc w:val="center"/>
              <w:rPr>
                <w:noProof/>
              </w:rPr>
            </w:pPr>
            <w:r>
              <w:rPr>
                <w:noProof/>
              </w:rPr>
              <w:t>17.12</w:t>
            </w:r>
          </w:p>
        </w:tc>
        <w:tc>
          <w:tcPr>
            <w:tcW w:w="1760" w:type="dxa"/>
            <w:shd w:val="clear" w:color="auto" w:fill="C4EFCE"/>
            <w:vAlign w:val="center"/>
          </w:tcPr>
          <w:p w14:paraId="033248A3" w14:textId="77777777" w:rsidR="006C686E" w:rsidRDefault="00B17E8C">
            <w:pPr>
              <w:pStyle w:val="P68B1DB1-Normal60"/>
              <w:spacing w:after="0" w:line="276" w:lineRule="auto"/>
              <w:jc w:val="center"/>
              <w:rPr>
                <w:noProof/>
              </w:rPr>
            </w:pPr>
            <w:r>
              <w:rPr>
                <w:noProof/>
              </w:rPr>
              <w:t>TD-C17-i01</w:t>
            </w:r>
          </w:p>
        </w:tc>
        <w:tc>
          <w:tcPr>
            <w:tcW w:w="1520" w:type="dxa"/>
            <w:shd w:val="clear" w:color="auto" w:fill="C4EFCE"/>
            <w:vAlign w:val="center"/>
          </w:tcPr>
          <w:p w14:paraId="3B194180"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52F28C64" w14:textId="77777777" w:rsidR="006C686E" w:rsidRDefault="00B17E8C">
            <w:pPr>
              <w:pStyle w:val="P68B1DB1-Normal60"/>
              <w:spacing w:after="0" w:line="276" w:lineRule="auto"/>
              <w:rPr>
                <w:noProof/>
              </w:rPr>
            </w:pPr>
            <w:r>
              <w:rPr>
                <w:noProof/>
              </w:rPr>
              <w:t>Systèmes d'information du système central national de passation des marchés publics</w:t>
            </w:r>
          </w:p>
        </w:tc>
      </w:tr>
      <w:tr w:rsidR="006C686E" w14:paraId="5EB32695" w14:textId="77777777">
        <w:trPr>
          <w:trHeight w:val="440"/>
        </w:trPr>
        <w:tc>
          <w:tcPr>
            <w:tcW w:w="1200" w:type="dxa"/>
            <w:shd w:val="clear" w:color="auto" w:fill="C4EFCE"/>
            <w:vAlign w:val="center"/>
          </w:tcPr>
          <w:p w14:paraId="3B2D53E4" w14:textId="77777777" w:rsidR="006C686E" w:rsidRDefault="00B17E8C">
            <w:pPr>
              <w:pStyle w:val="P68B1DB1-Normal60"/>
              <w:spacing w:after="0" w:line="276" w:lineRule="auto"/>
              <w:jc w:val="center"/>
              <w:rPr>
                <w:noProof/>
              </w:rPr>
            </w:pPr>
            <w:r>
              <w:rPr>
                <w:noProof/>
              </w:rPr>
              <w:t>19.25</w:t>
            </w:r>
          </w:p>
        </w:tc>
        <w:tc>
          <w:tcPr>
            <w:tcW w:w="1760" w:type="dxa"/>
            <w:shd w:val="clear" w:color="auto" w:fill="C4EFCE"/>
            <w:vAlign w:val="center"/>
          </w:tcPr>
          <w:p w14:paraId="54F81736" w14:textId="77777777" w:rsidR="006C686E" w:rsidRDefault="00B17E8C">
            <w:pPr>
              <w:pStyle w:val="P68B1DB1-Normal60"/>
              <w:spacing w:after="0" w:line="276" w:lineRule="auto"/>
              <w:jc w:val="center"/>
              <w:rPr>
                <w:noProof/>
              </w:rPr>
            </w:pPr>
            <w:r>
              <w:rPr>
                <w:noProof/>
              </w:rPr>
              <w:t>TD-C19-i01</w:t>
            </w:r>
          </w:p>
        </w:tc>
        <w:tc>
          <w:tcPr>
            <w:tcW w:w="1520" w:type="dxa"/>
            <w:shd w:val="clear" w:color="auto" w:fill="C4EFCE"/>
            <w:vAlign w:val="center"/>
          </w:tcPr>
          <w:p w14:paraId="4C9F5419"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176A28FD" w14:textId="77777777" w:rsidR="006C686E" w:rsidRDefault="00B17E8C">
            <w:pPr>
              <w:pStyle w:val="P68B1DB1-Normal60"/>
              <w:spacing w:after="0" w:line="276" w:lineRule="auto"/>
              <w:rPr>
                <w:noProof/>
              </w:rPr>
            </w:pPr>
            <w:r>
              <w:rPr>
                <w:noProof/>
              </w:rPr>
              <w:t>Signature de protocoles ou conditions d'acceptation pour la mise en place de nouveaux commerces et espaces citoyens</w:t>
            </w:r>
          </w:p>
        </w:tc>
      </w:tr>
      <w:tr w:rsidR="006C686E" w14:paraId="2B587429" w14:textId="77777777">
        <w:trPr>
          <w:trHeight w:val="440"/>
        </w:trPr>
        <w:tc>
          <w:tcPr>
            <w:tcW w:w="1200" w:type="dxa"/>
            <w:shd w:val="clear" w:color="auto" w:fill="C4EFCE"/>
            <w:vAlign w:val="center"/>
          </w:tcPr>
          <w:p w14:paraId="19DC1692" w14:textId="77777777" w:rsidR="006C686E" w:rsidRDefault="00B17E8C">
            <w:pPr>
              <w:pStyle w:val="P68B1DB1-Normal60"/>
              <w:spacing w:after="0" w:line="276" w:lineRule="auto"/>
              <w:jc w:val="center"/>
              <w:rPr>
                <w:noProof/>
              </w:rPr>
            </w:pPr>
            <w:r>
              <w:rPr>
                <w:noProof/>
              </w:rPr>
              <w:t>19.28</w:t>
            </w:r>
          </w:p>
        </w:tc>
        <w:tc>
          <w:tcPr>
            <w:tcW w:w="1760" w:type="dxa"/>
            <w:shd w:val="clear" w:color="auto" w:fill="C4EFCE"/>
            <w:vAlign w:val="center"/>
          </w:tcPr>
          <w:p w14:paraId="2B5A9CDB" w14:textId="77777777" w:rsidR="006C686E" w:rsidRDefault="00B17E8C">
            <w:pPr>
              <w:pStyle w:val="P68B1DB1-Normal60"/>
              <w:spacing w:after="0" w:line="276" w:lineRule="auto"/>
              <w:jc w:val="center"/>
              <w:rPr>
                <w:noProof/>
              </w:rPr>
            </w:pPr>
            <w:r>
              <w:rPr>
                <w:noProof/>
              </w:rPr>
              <w:t>TD-C19-i05-RAM</w:t>
            </w:r>
          </w:p>
        </w:tc>
        <w:tc>
          <w:tcPr>
            <w:tcW w:w="1520" w:type="dxa"/>
            <w:shd w:val="clear" w:color="auto" w:fill="C4EFCE"/>
            <w:vAlign w:val="center"/>
          </w:tcPr>
          <w:p w14:paraId="4E4051C7"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148E1F6E" w14:textId="77777777" w:rsidR="006C686E" w:rsidRDefault="00B17E8C">
            <w:pPr>
              <w:pStyle w:val="P68B1DB1-Normal60"/>
              <w:spacing w:after="0" w:line="276" w:lineRule="auto"/>
              <w:rPr>
                <w:noProof/>
              </w:rPr>
            </w:pPr>
            <w:r>
              <w:rPr>
                <w:noProof/>
              </w:rPr>
              <w:t xml:space="preserve">Prototype fonctionnel </w:t>
            </w:r>
          </w:p>
        </w:tc>
      </w:tr>
      <w:tr w:rsidR="006C686E" w14:paraId="2B98298B" w14:textId="77777777">
        <w:trPr>
          <w:trHeight w:val="440"/>
        </w:trPr>
        <w:tc>
          <w:tcPr>
            <w:tcW w:w="1200" w:type="dxa"/>
            <w:shd w:val="clear" w:color="auto" w:fill="C4EFCE"/>
            <w:vAlign w:val="center"/>
          </w:tcPr>
          <w:p w14:paraId="7B6D2162" w14:textId="77777777" w:rsidR="006C686E" w:rsidRDefault="00B17E8C">
            <w:pPr>
              <w:pStyle w:val="P68B1DB1-Normal60"/>
              <w:spacing w:after="0" w:line="276" w:lineRule="auto"/>
              <w:jc w:val="center"/>
              <w:rPr>
                <w:noProof/>
              </w:rPr>
            </w:pPr>
            <w:r>
              <w:rPr>
                <w:noProof/>
              </w:rPr>
              <w:t>20.5</w:t>
            </w:r>
          </w:p>
        </w:tc>
        <w:tc>
          <w:tcPr>
            <w:tcW w:w="1760" w:type="dxa"/>
            <w:shd w:val="clear" w:color="auto" w:fill="C4EFCE"/>
            <w:vAlign w:val="center"/>
          </w:tcPr>
          <w:p w14:paraId="24A69A4C" w14:textId="77777777" w:rsidR="006C686E" w:rsidRDefault="00B17E8C">
            <w:pPr>
              <w:pStyle w:val="P68B1DB1-Normal60"/>
              <w:spacing w:after="0" w:line="276" w:lineRule="auto"/>
              <w:jc w:val="center"/>
              <w:rPr>
                <w:noProof/>
              </w:rPr>
            </w:pPr>
            <w:r>
              <w:rPr>
                <w:noProof/>
              </w:rPr>
              <w:t>TD-C20-i01</w:t>
            </w:r>
          </w:p>
        </w:tc>
        <w:tc>
          <w:tcPr>
            <w:tcW w:w="1520" w:type="dxa"/>
            <w:shd w:val="clear" w:color="auto" w:fill="C4EFCE"/>
            <w:vAlign w:val="center"/>
          </w:tcPr>
          <w:p w14:paraId="267A2C74"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3808259F" w14:textId="7C334AF3" w:rsidR="006C686E" w:rsidRDefault="00B17E8C">
            <w:pPr>
              <w:pStyle w:val="P68B1DB1-Normal60"/>
              <w:spacing w:after="0" w:line="276" w:lineRule="auto"/>
              <w:rPr>
                <w:noProof/>
              </w:rPr>
            </w:pPr>
            <w:r>
              <w:rPr>
                <w:noProof/>
              </w:rPr>
              <w:t>Laboratoires d'éducation numérique</w:t>
            </w:r>
          </w:p>
        </w:tc>
      </w:tr>
      <w:tr w:rsidR="006C686E" w14:paraId="20A789EB" w14:textId="77777777">
        <w:trPr>
          <w:trHeight w:val="440"/>
        </w:trPr>
        <w:tc>
          <w:tcPr>
            <w:tcW w:w="1200" w:type="dxa"/>
            <w:shd w:val="clear" w:color="auto" w:fill="C4EFCE"/>
            <w:vAlign w:val="center"/>
          </w:tcPr>
          <w:p w14:paraId="077E78BD" w14:textId="77777777" w:rsidR="006C686E" w:rsidRDefault="00B17E8C">
            <w:pPr>
              <w:pStyle w:val="P68B1DB1-Normal60"/>
              <w:spacing w:after="0" w:line="276" w:lineRule="auto"/>
              <w:jc w:val="center"/>
              <w:rPr>
                <w:noProof/>
              </w:rPr>
            </w:pPr>
            <w:r>
              <w:rPr>
                <w:noProof/>
              </w:rPr>
              <w:t>20.7</w:t>
            </w:r>
          </w:p>
        </w:tc>
        <w:tc>
          <w:tcPr>
            <w:tcW w:w="1760" w:type="dxa"/>
            <w:shd w:val="clear" w:color="auto" w:fill="C4EFCE"/>
            <w:vAlign w:val="center"/>
          </w:tcPr>
          <w:p w14:paraId="19EAA9D4" w14:textId="77777777" w:rsidR="006C686E" w:rsidRDefault="00B17E8C">
            <w:pPr>
              <w:pStyle w:val="P68B1DB1-Normal60"/>
              <w:spacing w:after="0" w:line="276" w:lineRule="auto"/>
              <w:jc w:val="center"/>
              <w:rPr>
                <w:noProof/>
              </w:rPr>
            </w:pPr>
            <w:r>
              <w:rPr>
                <w:noProof/>
              </w:rPr>
              <w:t>TD-C20-i01</w:t>
            </w:r>
          </w:p>
        </w:tc>
        <w:tc>
          <w:tcPr>
            <w:tcW w:w="1520" w:type="dxa"/>
            <w:shd w:val="clear" w:color="auto" w:fill="C4EFCE"/>
            <w:vAlign w:val="center"/>
          </w:tcPr>
          <w:p w14:paraId="5A81E236"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43D0144C" w14:textId="77777777" w:rsidR="006C686E" w:rsidRDefault="00B17E8C">
            <w:pPr>
              <w:pStyle w:val="P68B1DB1-Normal60"/>
              <w:spacing w:after="0" w:line="276" w:lineRule="auto"/>
              <w:rPr>
                <w:noProof/>
              </w:rPr>
            </w:pPr>
            <w:r>
              <w:rPr>
                <w:noProof/>
              </w:rPr>
              <w:t>Autonomisation de la gestion de l'école</w:t>
            </w:r>
          </w:p>
        </w:tc>
      </w:tr>
      <w:tr w:rsidR="006C686E" w14:paraId="3FCCC8E6" w14:textId="77777777">
        <w:trPr>
          <w:trHeight w:val="440"/>
        </w:trPr>
        <w:tc>
          <w:tcPr>
            <w:tcW w:w="1200" w:type="dxa"/>
            <w:shd w:val="clear" w:color="auto" w:fill="C4EFCE"/>
            <w:vAlign w:val="center"/>
          </w:tcPr>
          <w:p w14:paraId="5662BBD6" w14:textId="77777777" w:rsidR="006C686E" w:rsidRDefault="00B17E8C">
            <w:pPr>
              <w:pStyle w:val="P68B1DB1-Normal60"/>
              <w:spacing w:after="0" w:line="276" w:lineRule="auto"/>
              <w:jc w:val="center"/>
              <w:rPr>
                <w:noProof/>
              </w:rPr>
            </w:pPr>
            <w:r>
              <w:rPr>
                <w:noProof/>
              </w:rPr>
              <w:t>20.15</w:t>
            </w:r>
          </w:p>
        </w:tc>
        <w:tc>
          <w:tcPr>
            <w:tcW w:w="1760" w:type="dxa"/>
            <w:shd w:val="clear" w:color="auto" w:fill="C4EFCE"/>
            <w:vAlign w:val="center"/>
          </w:tcPr>
          <w:p w14:paraId="24CCD4D0" w14:textId="77777777" w:rsidR="006C686E" w:rsidRDefault="00B17E8C">
            <w:pPr>
              <w:pStyle w:val="P68B1DB1-Normal60"/>
              <w:spacing w:after="0" w:line="276" w:lineRule="auto"/>
              <w:jc w:val="center"/>
              <w:rPr>
                <w:noProof/>
              </w:rPr>
            </w:pPr>
            <w:r>
              <w:rPr>
                <w:noProof/>
              </w:rPr>
              <w:t>TD-C20-i03-RAM</w:t>
            </w:r>
          </w:p>
        </w:tc>
        <w:tc>
          <w:tcPr>
            <w:tcW w:w="1520" w:type="dxa"/>
            <w:shd w:val="clear" w:color="auto" w:fill="C4EFCE"/>
            <w:vAlign w:val="center"/>
          </w:tcPr>
          <w:p w14:paraId="610D01C2"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4B095348" w14:textId="77777777" w:rsidR="006C686E" w:rsidRDefault="00B17E8C">
            <w:pPr>
              <w:pStyle w:val="P68B1DB1-Normal60"/>
              <w:spacing w:after="0" w:line="276" w:lineRule="auto"/>
              <w:rPr>
                <w:noProof/>
              </w:rPr>
            </w:pPr>
            <w:r>
              <w:rPr>
                <w:noProof/>
              </w:rPr>
              <w:t>Connexion des écoles dans l'ARM</w:t>
            </w:r>
          </w:p>
        </w:tc>
      </w:tr>
      <w:tr w:rsidR="006C686E" w14:paraId="2029D5C7" w14:textId="77777777">
        <w:trPr>
          <w:trHeight w:val="440"/>
        </w:trPr>
        <w:tc>
          <w:tcPr>
            <w:tcW w:w="1200" w:type="dxa"/>
            <w:shd w:val="clear" w:color="auto" w:fill="C4EFCE"/>
            <w:vAlign w:val="center"/>
          </w:tcPr>
          <w:p w14:paraId="2E43EDEE" w14:textId="77777777" w:rsidR="006C686E" w:rsidRDefault="00B17E8C">
            <w:pPr>
              <w:pStyle w:val="P68B1DB1-Normal60"/>
              <w:spacing w:after="0" w:line="276" w:lineRule="auto"/>
              <w:jc w:val="center"/>
              <w:rPr>
                <w:noProof/>
              </w:rPr>
            </w:pPr>
            <w:r>
              <w:rPr>
                <w:noProof/>
              </w:rPr>
              <w:t>21.10</w:t>
            </w:r>
          </w:p>
        </w:tc>
        <w:tc>
          <w:tcPr>
            <w:tcW w:w="1760" w:type="dxa"/>
            <w:shd w:val="clear" w:color="auto" w:fill="C4EFCE"/>
            <w:vAlign w:val="center"/>
          </w:tcPr>
          <w:p w14:paraId="7F0B9D26" w14:textId="77777777" w:rsidR="006C686E" w:rsidRDefault="00B17E8C">
            <w:pPr>
              <w:pStyle w:val="P68B1DB1-Normal60"/>
              <w:spacing w:after="0" w:line="276" w:lineRule="auto"/>
              <w:jc w:val="center"/>
              <w:rPr>
                <w:noProof/>
              </w:rPr>
            </w:pPr>
            <w:r>
              <w:rPr>
                <w:noProof/>
              </w:rPr>
              <w:t>RP-C21-r44</w:t>
            </w:r>
          </w:p>
        </w:tc>
        <w:tc>
          <w:tcPr>
            <w:tcW w:w="1520" w:type="dxa"/>
            <w:shd w:val="clear" w:color="auto" w:fill="C4EFCE"/>
            <w:vAlign w:val="center"/>
          </w:tcPr>
          <w:p w14:paraId="7B98A4E6"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29FB138D" w14:textId="77777777" w:rsidR="006C686E" w:rsidRDefault="00B17E8C">
            <w:pPr>
              <w:pStyle w:val="P68B1DB1-Normal60"/>
              <w:spacing w:after="0" w:line="276" w:lineRule="auto"/>
              <w:rPr>
                <w:noProof/>
              </w:rPr>
            </w:pPr>
            <w:r>
              <w:rPr>
                <w:noProof/>
              </w:rPr>
              <w:t>Actions de renforcement des capacités</w:t>
            </w:r>
          </w:p>
        </w:tc>
      </w:tr>
      <w:tr w:rsidR="006C686E" w14:paraId="29C98B0E" w14:textId="77777777">
        <w:trPr>
          <w:trHeight w:val="440"/>
        </w:trPr>
        <w:tc>
          <w:tcPr>
            <w:tcW w:w="1200" w:type="dxa"/>
            <w:shd w:val="clear" w:color="auto" w:fill="C4EFCE"/>
            <w:vAlign w:val="center"/>
          </w:tcPr>
          <w:p w14:paraId="7FFAE6B1" w14:textId="77777777" w:rsidR="006C686E" w:rsidRDefault="00B17E8C">
            <w:pPr>
              <w:pStyle w:val="P68B1DB1-Normal60"/>
              <w:spacing w:after="0" w:line="276" w:lineRule="auto"/>
              <w:jc w:val="center"/>
              <w:rPr>
                <w:noProof/>
              </w:rPr>
            </w:pPr>
            <w:r>
              <w:rPr>
                <w:noProof/>
              </w:rPr>
              <w:t>21.14</w:t>
            </w:r>
          </w:p>
        </w:tc>
        <w:tc>
          <w:tcPr>
            <w:tcW w:w="1760" w:type="dxa"/>
            <w:shd w:val="clear" w:color="auto" w:fill="C4EFCE"/>
            <w:vAlign w:val="center"/>
          </w:tcPr>
          <w:p w14:paraId="5771055E" w14:textId="77777777" w:rsidR="006C686E" w:rsidRDefault="00B17E8C">
            <w:pPr>
              <w:pStyle w:val="P68B1DB1-Normal60"/>
              <w:spacing w:after="0" w:line="276" w:lineRule="auto"/>
              <w:jc w:val="center"/>
              <w:rPr>
                <w:noProof/>
              </w:rPr>
            </w:pPr>
            <w:r>
              <w:rPr>
                <w:noProof/>
              </w:rPr>
              <w:t>RP-C21-r45</w:t>
            </w:r>
          </w:p>
        </w:tc>
        <w:tc>
          <w:tcPr>
            <w:tcW w:w="1520" w:type="dxa"/>
            <w:shd w:val="clear" w:color="auto" w:fill="C4EFCE"/>
            <w:vAlign w:val="center"/>
          </w:tcPr>
          <w:p w14:paraId="25E7C4BC"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4773351E" w14:textId="77777777" w:rsidR="006C686E" w:rsidRDefault="00B17E8C">
            <w:pPr>
              <w:pStyle w:val="P68B1DB1-Normal60"/>
              <w:spacing w:after="0" w:line="276" w:lineRule="auto"/>
              <w:rPr>
                <w:noProof/>
              </w:rPr>
            </w:pPr>
            <w:r>
              <w:rPr>
                <w:noProof/>
              </w:rPr>
              <w:t>Programme «Compétences vertes &amp; Emplois»</w:t>
            </w:r>
          </w:p>
        </w:tc>
      </w:tr>
      <w:tr w:rsidR="006C686E" w14:paraId="2710DB51" w14:textId="77777777">
        <w:trPr>
          <w:trHeight w:val="440"/>
        </w:trPr>
        <w:tc>
          <w:tcPr>
            <w:tcW w:w="1200" w:type="dxa"/>
            <w:shd w:val="clear" w:color="auto" w:fill="C4EFCE"/>
            <w:vAlign w:val="center"/>
          </w:tcPr>
          <w:p w14:paraId="33E852AE" w14:textId="77777777" w:rsidR="006C686E" w:rsidRDefault="00B17E8C">
            <w:pPr>
              <w:pStyle w:val="P68B1DB1-Normal60"/>
              <w:spacing w:after="0" w:line="276" w:lineRule="auto"/>
              <w:jc w:val="center"/>
              <w:rPr>
                <w:noProof/>
              </w:rPr>
            </w:pPr>
            <w:r>
              <w:rPr>
                <w:noProof/>
              </w:rPr>
              <w:t>21.42</w:t>
            </w:r>
          </w:p>
        </w:tc>
        <w:tc>
          <w:tcPr>
            <w:tcW w:w="1760" w:type="dxa"/>
            <w:shd w:val="clear" w:color="auto" w:fill="C4EFCE"/>
            <w:vAlign w:val="center"/>
          </w:tcPr>
          <w:p w14:paraId="72B8B8B2" w14:textId="77777777" w:rsidR="006C686E" w:rsidRDefault="00B17E8C">
            <w:pPr>
              <w:pStyle w:val="P68B1DB1-Normal60"/>
              <w:spacing w:after="0" w:line="276" w:lineRule="auto"/>
              <w:jc w:val="center"/>
              <w:rPr>
                <w:noProof/>
              </w:rPr>
            </w:pPr>
            <w:r>
              <w:rPr>
                <w:noProof/>
              </w:rPr>
              <w:t>RP-C21-i16</w:t>
            </w:r>
          </w:p>
        </w:tc>
        <w:tc>
          <w:tcPr>
            <w:tcW w:w="1520" w:type="dxa"/>
            <w:shd w:val="clear" w:color="auto" w:fill="C4EFCE"/>
            <w:vAlign w:val="center"/>
          </w:tcPr>
          <w:p w14:paraId="33927C8D"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15C0F8AE" w14:textId="77777777" w:rsidR="006C686E" w:rsidRDefault="00B17E8C">
            <w:pPr>
              <w:pStyle w:val="P68B1DB1-Normal60"/>
              <w:spacing w:after="0" w:line="276" w:lineRule="auto"/>
              <w:rPr>
                <w:noProof/>
              </w:rPr>
            </w:pPr>
            <w:r>
              <w:rPr>
                <w:noProof/>
              </w:rPr>
              <w:t>Signature du contrat</w:t>
            </w:r>
          </w:p>
        </w:tc>
      </w:tr>
      <w:tr w:rsidR="006C686E" w14:paraId="3D299B4D" w14:textId="77777777">
        <w:trPr>
          <w:trHeight w:val="440"/>
        </w:trPr>
        <w:tc>
          <w:tcPr>
            <w:tcW w:w="1200" w:type="dxa"/>
            <w:shd w:val="clear" w:color="auto" w:fill="C4EFCE"/>
            <w:vAlign w:val="center"/>
          </w:tcPr>
          <w:p w14:paraId="4CBA7D6E" w14:textId="77777777" w:rsidR="006C686E" w:rsidRDefault="006C686E">
            <w:pPr>
              <w:spacing w:after="0" w:line="276" w:lineRule="auto"/>
              <w:jc w:val="center"/>
              <w:rPr>
                <w:rFonts w:ascii="Times New Roman" w:eastAsia="Calibri" w:hAnsi="Times New Roman" w:cs="Times New Roman"/>
                <w:noProof/>
                <w:kern w:val="0"/>
                <w:sz w:val="20"/>
                <w:szCs w:val="20"/>
                <w14:ligatures w14:val="none"/>
              </w:rPr>
            </w:pPr>
          </w:p>
        </w:tc>
        <w:tc>
          <w:tcPr>
            <w:tcW w:w="1760" w:type="dxa"/>
            <w:shd w:val="clear" w:color="auto" w:fill="C4EFCE"/>
            <w:vAlign w:val="center"/>
          </w:tcPr>
          <w:p w14:paraId="296AB7FC" w14:textId="77777777" w:rsidR="006C686E" w:rsidRDefault="006C686E">
            <w:pPr>
              <w:spacing w:after="0" w:line="276" w:lineRule="auto"/>
              <w:jc w:val="center"/>
              <w:rPr>
                <w:rFonts w:ascii="Times New Roman" w:eastAsia="Calibri" w:hAnsi="Times New Roman" w:cs="Times New Roman"/>
                <w:noProof/>
                <w:kern w:val="0"/>
                <w:sz w:val="20"/>
                <w:szCs w:val="20"/>
                <w14:ligatures w14:val="none"/>
              </w:rPr>
            </w:pPr>
          </w:p>
        </w:tc>
        <w:tc>
          <w:tcPr>
            <w:tcW w:w="1520" w:type="dxa"/>
            <w:shd w:val="clear" w:color="auto" w:fill="C4EFCE"/>
            <w:vAlign w:val="center"/>
          </w:tcPr>
          <w:p w14:paraId="7E20FBE9" w14:textId="77777777" w:rsidR="006C686E" w:rsidRDefault="00B17E8C">
            <w:pPr>
              <w:pStyle w:val="P68B1DB1-Normal60"/>
              <w:spacing w:after="0" w:line="276" w:lineRule="auto"/>
              <w:jc w:val="center"/>
              <w:rPr>
                <w:noProof/>
              </w:rPr>
            </w:pPr>
            <w:r>
              <w:rPr>
                <w:noProof/>
              </w:rPr>
              <w:t>Montant des acomptes provisionnels</w:t>
            </w:r>
          </w:p>
        </w:tc>
        <w:tc>
          <w:tcPr>
            <w:tcW w:w="5060" w:type="dxa"/>
            <w:shd w:val="clear" w:color="auto" w:fill="C4EFCE"/>
            <w:vAlign w:val="center"/>
          </w:tcPr>
          <w:p w14:paraId="526D10C8" w14:textId="51B64E49" w:rsidR="006C686E" w:rsidRDefault="00B17E8C">
            <w:pPr>
              <w:pStyle w:val="P68B1DB1-Normal61"/>
              <w:spacing w:after="0" w:line="276" w:lineRule="auto"/>
              <w:jc w:val="center"/>
              <w:rPr>
                <w:iCs/>
                <w:noProof/>
                <w:sz w:val="20"/>
                <w:szCs w:val="20"/>
              </w:rPr>
            </w:pPr>
            <w:r>
              <w:rPr>
                <w:noProof/>
              </w:rPr>
              <w:t>1 208 992 815 EUR</w:t>
            </w:r>
          </w:p>
        </w:tc>
      </w:tr>
    </w:tbl>
    <w:p w14:paraId="0037C03A" w14:textId="77777777" w:rsidR="006C686E" w:rsidRDefault="006C686E">
      <w:pPr>
        <w:keepNext/>
        <w:spacing w:before="40"/>
        <w:ind w:left="360"/>
        <w:contextualSpacing/>
        <w:jc w:val="both"/>
        <w:rPr>
          <w:rFonts w:ascii="Times New Roman" w:eastAsia="Times New Roman" w:hAnsi="Times New Roman" w:cs="Times New Roman"/>
          <w:bCs/>
          <w:noProof/>
          <w:kern w:val="0"/>
          <w14:ligatures w14:val="none"/>
        </w:rPr>
      </w:pPr>
    </w:p>
    <w:p w14:paraId="75D63015"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Huitième tranche (soutien non remboursable): </w:t>
      </w:r>
    </w:p>
    <w:p w14:paraId="34FF8C9E"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3B47788D" w14:textId="77777777">
        <w:trPr>
          <w:trHeight w:val="509"/>
          <w:tblHeader/>
        </w:trPr>
        <w:tc>
          <w:tcPr>
            <w:tcW w:w="1200" w:type="dxa"/>
            <w:vMerge w:val="restart"/>
            <w:shd w:val="clear" w:color="auto" w:fill="BDD7EE"/>
            <w:vAlign w:val="center"/>
            <w:hideMark/>
          </w:tcPr>
          <w:p w14:paraId="4AC25C58"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1D5D78BB"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25ED72D4" w14:textId="77777777" w:rsidR="006C686E" w:rsidRDefault="00B17E8C">
            <w:pPr>
              <w:pStyle w:val="P68B1DB1-Normal59"/>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215B0124" w14:textId="77777777" w:rsidR="006C686E" w:rsidRDefault="00B17E8C">
            <w:pPr>
              <w:pStyle w:val="P68B1DB1-Normal59"/>
              <w:spacing w:after="0" w:line="240" w:lineRule="auto"/>
              <w:jc w:val="center"/>
              <w:rPr>
                <w:rFonts w:eastAsia="Times New Roman"/>
                <w:bCs/>
                <w:noProof/>
              </w:rPr>
            </w:pPr>
            <w:r>
              <w:rPr>
                <w:noProof/>
              </w:rPr>
              <w:t>Nom</w:t>
            </w:r>
          </w:p>
        </w:tc>
      </w:tr>
      <w:tr w:rsidR="006C686E" w14:paraId="7D5685B8" w14:textId="77777777">
        <w:trPr>
          <w:trHeight w:val="509"/>
          <w:tblHeader/>
        </w:trPr>
        <w:tc>
          <w:tcPr>
            <w:tcW w:w="1200" w:type="dxa"/>
            <w:vMerge/>
            <w:vAlign w:val="center"/>
            <w:hideMark/>
          </w:tcPr>
          <w:p w14:paraId="3FE89516"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58AC3AFE"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625FFF7C"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17D91064" w14:textId="77777777" w:rsidR="006C686E" w:rsidRDefault="006C686E">
            <w:pPr>
              <w:spacing w:after="0" w:line="240" w:lineRule="auto"/>
              <w:rPr>
                <w:rFonts w:ascii="Times New Roman" w:eastAsia="Times New Roman" w:hAnsi="Times New Roman" w:cs="Times New Roman"/>
                <w:b/>
                <w:bCs/>
                <w:noProof/>
                <w:kern w:val="0"/>
                <w:sz w:val="20"/>
                <w:szCs w:val="20"/>
                <w14:ligatures w14:val="none"/>
              </w:rPr>
            </w:pPr>
          </w:p>
        </w:tc>
      </w:tr>
      <w:tr w:rsidR="006C686E" w14:paraId="6170EE6B" w14:textId="77777777">
        <w:trPr>
          <w:trHeight w:val="440"/>
        </w:trPr>
        <w:tc>
          <w:tcPr>
            <w:tcW w:w="1200" w:type="dxa"/>
            <w:shd w:val="clear" w:color="auto" w:fill="C4EFCE"/>
            <w:vAlign w:val="center"/>
          </w:tcPr>
          <w:p w14:paraId="7B54E94A" w14:textId="77777777" w:rsidR="006C686E" w:rsidRDefault="00B17E8C">
            <w:pPr>
              <w:pStyle w:val="P68B1DB1-Normal63"/>
              <w:spacing w:after="0" w:line="276" w:lineRule="auto"/>
              <w:jc w:val="center"/>
              <w:rPr>
                <w:noProof/>
              </w:rPr>
            </w:pPr>
            <w:r>
              <w:rPr>
                <w:noProof/>
              </w:rPr>
              <w:t>1.34</w:t>
            </w:r>
          </w:p>
        </w:tc>
        <w:tc>
          <w:tcPr>
            <w:tcW w:w="1760" w:type="dxa"/>
            <w:shd w:val="clear" w:color="auto" w:fill="C4EFCE"/>
            <w:vAlign w:val="center"/>
          </w:tcPr>
          <w:p w14:paraId="0386A90F" w14:textId="77777777" w:rsidR="006C686E" w:rsidRDefault="00B17E8C">
            <w:pPr>
              <w:pStyle w:val="P68B1DB1-Normal63"/>
              <w:spacing w:after="0" w:line="276" w:lineRule="auto"/>
              <w:jc w:val="center"/>
              <w:rPr>
                <w:noProof/>
              </w:rPr>
            </w:pPr>
            <w:r>
              <w:rPr>
                <w:noProof/>
              </w:rPr>
              <w:t>RE-C01-i06</w:t>
            </w:r>
          </w:p>
        </w:tc>
        <w:tc>
          <w:tcPr>
            <w:tcW w:w="1520" w:type="dxa"/>
            <w:shd w:val="clear" w:color="auto" w:fill="C4EFCE"/>
            <w:vAlign w:val="center"/>
          </w:tcPr>
          <w:p w14:paraId="60104A96"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6C0A47CA" w14:textId="77777777" w:rsidR="006C686E" w:rsidRDefault="00B17E8C">
            <w:pPr>
              <w:pStyle w:val="P68B1DB1-Normal64"/>
              <w:spacing w:after="0" w:line="276" w:lineRule="auto"/>
              <w:jc w:val="both"/>
              <w:rPr>
                <w:noProof/>
                <w:kern w:val="0"/>
                <w14:ligatures w14:val="none"/>
              </w:rPr>
            </w:pPr>
            <w:r>
              <w:rPr>
                <w:noProof/>
              </w:rPr>
              <w:t>Disponibilité</w:t>
            </w:r>
            <w:r>
              <w:rPr>
                <w:noProof/>
                <w:kern w:val="0"/>
                <w14:ligatures w14:val="none"/>
              </w:rPr>
              <w:t xml:space="preserve"> des modules informatiques</w:t>
            </w:r>
          </w:p>
        </w:tc>
      </w:tr>
      <w:tr w:rsidR="006C686E" w14:paraId="07A421E8" w14:textId="77777777">
        <w:trPr>
          <w:trHeight w:val="440"/>
        </w:trPr>
        <w:tc>
          <w:tcPr>
            <w:tcW w:w="1200" w:type="dxa"/>
            <w:shd w:val="clear" w:color="auto" w:fill="C4EFCE"/>
            <w:vAlign w:val="center"/>
          </w:tcPr>
          <w:p w14:paraId="44775736" w14:textId="77777777" w:rsidR="006C686E" w:rsidRDefault="00B17E8C">
            <w:pPr>
              <w:pStyle w:val="P68B1DB1-Normal63"/>
              <w:spacing w:after="0" w:line="276" w:lineRule="auto"/>
              <w:jc w:val="center"/>
              <w:rPr>
                <w:noProof/>
              </w:rPr>
            </w:pPr>
            <w:r>
              <w:rPr>
                <w:noProof/>
              </w:rPr>
              <w:t>1.35</w:t>
            </w:r>
          </w:p>
        </w:tc>
        <w:tc>
          <w:tcPr>
            <w:tcW w:w="1760" w:type="dxa"/>
            <w:shd w:val="clear" w:color="auto" w:fill="C4EFCE"/>
            <w:vAlign w:val="center"/>
          </w:tcPr>
          <w:p w14:paraId="31599260" w14:textId="77777777" w:rsidR="006C686E" w:rsidRDefault="00B17E8C">
            <w:pPr>
              <w:pStyle w:val="P68B1DB1-Normal63"/>
              <w:spacing w:after="0" w:line="276" w:lineRule="auto"/>
              <w:jc w:val="center"/>
              <w:rPr>
                <w:noProof/>
              </w:rPr>
            </w:pPr>
            <w:r>
              <w:rPr>
                <w:noProof/>
              </w:rPr>
              <w:t>RE-C01-i07-RAM</w:t>
            </w:r>
          </w:p>
        </w:tc>
        <w:tc>
          <w:tcPr>
            <w:tcW w:w="1520" w:type="dxa"/>
            <w:shd w:val="clear" w:color="auto" w:fill="C4EFCE"/>
            <w:vAlign w:val="center"/>
          </w:tcPr>
          <w:p w14:paraId="54514BF5"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4DDBE319" w14:textId="77777777" w:rsidR="006C686E" w:rsidRDefault="00B17E8C">
            <w:pPr>
              <w:pStyle w:val="P68B1DB1-Normal63"/>
              <w:spacing w:after="0" w:line="276" w:lineRule="auto"/>
              <w:jc w:val="both"/>
              <w:rPr>
                <w:noProof/>
              </w:rPr>
            </w:pPr>
            <w:r>
              <w:rPr>
                <w:noProof/>
              </w:rPr>
              <w:t>Nouvel équipement informatique pour le service régional de santé de Madère</w:t>
            </w:r>
          </w:p>
        </w:tc>
      </w:tr>
      <w:tr w:rsidR="006C686E" w14:paraId="0A36BC1D" w14:textId="77777777">
        <w:trPr>
          <w:trHeight w:val="440"/>
        </w:trPr>
        <w:tc>
          <w:tcPr>
            <w:tcW w:w="1200" w:type="dxa"/>
            <w:shd w:val="clear" w:color="auto" w:fill="C4EFCE"/>
            <w:vAlign w:val="center"/>
          </w:tcPr>
          <w:p w14:paraId="3EB5835E" w14:textId="77777777" w:rsidR="006C686E" w:rsidRDefault="00B17E8C">
            <w:pPr>
              <w:pStyle w:val="P68B1DB1-Normal63"/>
              <w:spacing w:after="0" w:line="276" w:lineRule="auto"/>
              <w:jc w:val="center"/>
              <w:rPr>
                <w:noProof/>
              </w:rPr>
            </w:pPr>
            <w:r>
              <w:rPr>
                <w:noProof/>
              </w:rPr>
              <w:t>1.36</w:t>
            </w:r>
          </w:p>
        </w:tc>
        <w:tc>
          <w:tcPr>
            <w:tcW w:w="1760" w:type="dxa"/>
            <w:shd w:val="clear" w:color="auto" w:fill="C4EFCE"/>
            <w:vAlign w:val="center"/>
          </w:tcPr>
          <w:p w14:paraId="547D8EEE" w14:textId="77777777" w:rsidR="006C686E" w:rsidRDefault="00B17E8C">
            <w:pPr>
              <w:pStyle w:val="P68B1DB1-Normal63"/>
              <w:spacing w:after="0" w:line="276" w:lineRule="auto"/>
              <w:jc w:val="center"/>
              <w:rPr>
                <w:noProof/>
              </w:rPr>
            </w:pPr>
            <w:r>
              <w:rPr>
                <w:noProof/>
              </w:rPr>
              <w:t>RE-C01-i08-RAA</w:t>
            </w:r>
          </w:p>
        </w:tc>
        <w:tc>
          <w:tcPr>
            <w:tcW w:w="1520" w:type="dxa"/>
            <w:shd w:val="clear" w:color="auto" w:fill="C4EFCE"/>
            <w:vAlign w:val="center"/>
          </w:tcPr>
          <w:p w14:paraId="6FE11BDF" w14:textId="77777777" w:rsidR="006C686E" w:rsidRDefault="00B17E8C">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29F72AEE" w14:textId="77777777" w:rsidR="006C686E" w:rsidRDefault="00B17E8C">
            <w:pPr>
              <w:pStyle w:val="P68B1DB1-Normal63"/>
              <w:spacing w:after="0" w:line="276" w:lineRule="auto"/>
              <w:jc w:val="both"/>
              <w:rPr>
                <w:noProof/>
              </w:rPr>
            </w:pPr>
            <w:r>
              <w:rPr>
                <w:noProof/>
              </w:rPr>
              <w:t>Accroissement de l’accès au portail utilisateur du service régional de santé des Açores</w:t>
            </w:r>
          </w:p>
        </w:tc>
      </w:tr>
      <w:tr w:rsidR="006C686E" w14:paraId="58FAF4E7" w14:textId="77777777">
        <w:trPr>
          <w:trHeight w:val="440"/>
        </w:trPr>
        <w:tc>
          <w:tcPr>
            <w:tcW w:w="1200" w:type="dxa"/>
            <w:shd w:val="clear" w:color="auto" w:fill="C4EFCE"/>
            <w:vAlign w:val="center"/>
          </w:tcPr>
          <w:p w14:paraId="70DB5B3B" w14:textId="77777777" w:rsidR="006C686E" w:rsidRDefault="00B17E8C">
            <w:pPr>
              <w:pStyle w:val="P68B1DB1-Normal63"/>
              <w:spacing w:after="0" w:line="276" w:lineRule="auto"/>
              <w:jc w:val="center"/>
              <w:rPr>
                <w:noProof/>
              </w:rPr>
            </w:pPr>
            <w:r>
              <w:rPr>
                <w:noProof/>
              </w:rPr>
              <w:t>1.38</w:t>
            </w:r>
          </w:p>
        </w:tc>
        <w:tc>
          <w:tcPr>
            <w:tcW w:w="1760" w:type="dxa"/>
            <w:shd w:val="clear" w:color="auto" w:fill="C4EFCE"/>
            <w:vAlign w:val="center"/>
          </w:tcPr>
          <w:p w14:paraId="2A47D734" w14:textId="77777777" w:rsidR="006C686E" w:rsidRDefault="00B17E8C">
            <w:pPr>
              <w:pStyle w:val="P68B1DB1-Normal63"/>
              <w:spacing w:after="0" w:line="276" w:lineRule="auto"/>
              <w:jc w:val="center"/>
              <w:rPr>
                <w:noProof/>
              </w:rPr>
            </w:pPr>
            <w:r>
              <w:rPr>
                <w:noProof/>
              </w:rPr>
              <w:t>RE-C01-i09</w:t>
            </w:r>
          </w:p>
        </w:tc>
        <w:tc>
          <w:tcPr>
            <w:tcW w:w="1520" w:type="dxa"/>
            <w:shd w:val="clear" w:color="auto" w:fill="C4EFCE"/>
            <w:vAlign w:val="center"/>
          </w:tcPr>
          <w:p w14:paraId="2117A79B" w14:textId="77777777" w:rsidR="006C686E" w:rsidRDefault="00B17E8C">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2385A440" w14:textId="77777777" w:rsidR="006C686E" w:rsidRDefault="00B17E8C">
            <w:pPr>
              <w:pStyle w:val="P68B1DB1-Normal64"/>
              <w:spacing w:after="0" w:line="276" w:lineRule="auto"/>
              <w:jc w:val="both"/>
              <w:rPr>
                <w:noProof/>
                <w:color w:val="000000"/>
                <w:kern w:val="0"/>
                <w14:ligatures w14:val="none"/>
              </w:rPr>
            </w:pPr>
            <w:r>
              <w:rPr>
                <w:noProof/>
              </w:rPr>
              <w:t>Achat de kits de vélos</w:t>
            </w:r>
          </w:p>
        </w:tc>
      </w:tr>
      <w:tr w:rsidR="006C686E" w14:paraId="4BD61B82" w14:textId="77777777">
        <w:trPr>
          <w:trHeight w:val="440"/>
        </w:trPr>
        <w:tc>
          <w:tcPr>
            <w:tcW w:w="1200" w:type="dxa"/>
            <w:shd w:val="clear" w:color="auto" w:fill="C4EFCE"/>
            <w:vAlign w:val="center"/>
          </w:tcPr>
          <w:p w14:paraId="2E9230F7" w14:textId="77777777" w:rsidR="006C686E" w:rsidRDefault="00B17E8C">
            <w:pPr>
              <w:pStyle w:val="P68B1DB1-Normal63"/>
              <w:spacing w:after="0" w:line="276" w:lineRule="auto"/>
              <w:jc w:val="center"/>
              <w:rPr>
                <w:noProof/>
              </w:rPr>
            </w:pPr>
            <w:r>
              <w:rPr>
                <w:noProof/>
              </w:rPr>
              <w:t>1.39</w:t>
            </w:r>
          </w:p>
        </w:tc>
        <w:tc>
          <w:tcPr>
            <w:tcW w:w="1760" w:type="dxa"/>
            <w:shd w:val="clear" w:color="auto" w:fill="C4EFCE"/>
            <w:vAlign w:val="center"/>
          </w:tcPr>
          <w:p w14:paraId="396D2E8D" w14:textId="77777777" w:rsidR="006C686E" w:rsidRDefault="00B17E8C">
            <w:pPr>
              <w:pStyle w:val="P68B1DB1-Normal63"/>
              <w:spacing w:after="0" w:line="276" w:lineRule="auto"/>
              <w:jc w:val="center"/>
              <w:rPr>
                <w:noProof/>
              </w:rPr>
            </w:pPr>
            <w:r>
              <w:rPr>
                <w:noProof/>
              </w:rPr>
              <w:t>RE-C01-i09</w:t>
            </w:r>
          </w:p>
        </w:tc>
        <w:tc>
          <w:tcPr>
            <w:tcW w:w="1520" w:type="dxa"/>
            <w:shd w:val="clear" w:color="auto" w:fill="C4EFCE"/>
            <w:vAlign w:val="center"/>
          </w:tcPr>
          <w:p w14:paraId="2C9FA141"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02F9FFC7" w14:textId="77777777" w:rsidR="006C686E" w:rsidRDefault="00B17E8C">
            <w:pPr>
              <w:pStyle w:val="P68B1DB1-Normal64"/>
              <w:spacing w:after="0" w:line="276" w:lineRule="auto"/>
              <w:jc w:val="both"/>
              <w:rPr>
                <w:noProof/>
                <w:color w:val="000000"/>
                <w:kern w:val="0"/>
                <w14:ligatures w14:val="none"/>
              </w:rPr>
            </w:pPr>
            <w:r>
              <w:rPr>
                <w:noProof/>
              </w:rPr>
              <w:t>Campagne pour le système universel de soutien à la vie active et la plate-forme technologique associée</w:t>
            </w:r>
          </w:p>
        </w:tc>
      </w:tr>
      <w:tr w:rsidR="006C686E" w14:paraId="678CCC16" w14:textId="77777777">
        <w:trPr>
          <w:trHeight w:val="440"/>
        </w:trPr>
        <w:tc>
          <w:tcPr>
            <w:tcW w:w="1200" w:type="dxa"/>
            <w:shd w:val="clear" w:color="auto" w:fill="C4EFCE"/>
            <w:vAlign w:val="center"/>
          </w:tcPr>
          <w:p w14:paraId="6FEA1621" w14:textId="77777777" w:rsidR="006C686E" w:rsidRDefault="00B17E8C">
            <w:pPr>
              <w:pStyle w:val="P68B1DB1-Normal63"/>
              <w:spacing w:after="0" w:line="276" w:lineRule="auto"/>
              <w:jc w:val="center"/>
              <w:rPr>
                <w:noProof/>
              </w:rPr>
            </w:pPr>
            <w:r>
              <w:rPr>
                <w:noProof/>
              </w:rPr>
              <w:t>3.15</w:t>
            </w:r>
          </w:p>
        </w:tc>
        <w:tc>
          <w:tcPr>
            <w:tcW w:w="1760" w:type="dxa"/>
            <w:shd w:val="clear" w:color="auto" w:fill="C4EFCE"/>
            <w:vAlign w:val="center"/>
          </w:tcPr>
          <w:p w14:paraId="025FE0E9" w14:textId="77777777" w:rsidR="006C686E" w:rsidRDefault="00B17E8C">
            <w:pPr>
              <w:pStyle w:val="P68B1DB1-Normal63"/>
              <w:spacing w:after="0" w:line="276" w:lineRule="auto"/>
              <w:jc w:val="center"/>
              <w:rPr>
                <w:noProof/>
              </w:rPr>
            </w:pPr>
            <w:r>
              <w:rPr>
                <w:noProof/>
              </w:rPr>
              <w:t>RE-C03-i04-RAA</w:t>
            </w:r>
          </w:p>
        </w:tc>
        <w:tc>
          <w:tcPr>
            <w:tcW w:w="1520" w:type="dxa"/>
            <w:shd w:val="clear" w:color="auto" w:fill="C4EFCE"/>
            <w:vAlign w:val="center"/>
          </w:tcPr>
          <w:p w14:paraId="3343F3EE" w14:textId="77777777" w:rsidR="006C686E" w:rsidRDefault="00B17E8C">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50F1CE86" w14:textId="77777777" w:rsidR="006C686E" w:rsidRDefault="00B17E8C">
            <w:pPr>
              <w:pStyle w:val="P68B1DB1-Normal64"/>
              <w:spacing w:after="0" w:line="276" w:lineRule="auto"/>
              <w:jc w:val="both"/>
              <w:rPr>
                <w:noProof/>
                <w:color w:val="000000"/>
                <w:kern w:val="0"/>
                <w14:ligatures w14:val="none"/>
              </w:rPr>
            </w:pPr>
            <w:r>
              <w:rPr>
                <w:noProof/>
              </w:rPr>
              <w:t>Programme de projets «Vieillissement en place»</w:t>
            </w:r>
          </w:p>
        </w:tc>
      </w:tr>
      <w:tr w:rsidR="006C686E" w14:paraId="02BDF5B0" w14:textId="77777777">
        <w:trPr>
          <w:trHeight w:val="440"/>
        </w:trPr>
        <w:tc>
          <w:tcPr>
            <w:tcW w:w="1200" w:type="dxa"/>
            <w:shd w:val="clear" w:color="auto" w:fill="C4EFCE"/>
            <w:vAlign w:val="center"/>
          </w:tcPr>
          <w:p w14:paraId="1F7E46EE" w14:textId="77777777" w:rsidR="006C686E" w:rsidRDefault="00B17E8C">
            <w:pPr>
              <w:pStyle w:val="P68B1DB1-Normal63"/>
              <w:spacing w:after="0" w:line="276" w:lineRule="auto"/>
              <w:jc w:val="center"/>
              <w:rPr>
                <w:noProof/>
              </w:rPr>
            </w:pPr>
            <w:r>
              <w:rPr>
                <w:noProof/>
              </w:rPr>
              <w:t>5.20</w:t>
            </w:r>
          </w:p>
        </w:tc>
        <w:tc>
          <w:tcPr>
            <w:tcW w:w="1760" w:type="dxa"/>
            <w:shd w:val="clear" w:color="auto" w:fill="C4EFCE"/>
            <w:vAlign w:val="center"/>
          </w:tcPr>
          <w:p w14:paraId="4A73D142" w14:textId="77777777" w:rsidR="006C686E" w:rsidRDefault="00B17E8C">
            <w:pPr>
              <w:pStyle w:val="P68B1DB1-Normal63"/>
              <w:spacing w:after="0" w:line="276" w:lineRule="auto"/>
              <w:jc w:val="center"/>
              <w:rPr>
                <w:noProof/>
              </w:rPr>
            </w:pPr>
            <w:r>
              <w:rPr>
                <w:noProof/>
              </w:rPr>
              <w:t>RE-C05-i05-RAA</w:t>
            </w:r>
          </w:p>
        </w:tc>
        <w:tc>
          <w:tcPr>
            <w:tcW w:w="1520" w:type="dxa"/>
            <w:shd w:val="clear" w:color="auto" w:fill="C4EFCE"/>
            <w:vAlign w:val="center"/>
          </w:tcPr>
          <w:p w14:paraId="582F9EAD"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35E73A8D" w14:textId="77777777" w:rsidR="006C686E" w:rsidRDefault="00B17E8C">
            <w:pPr>
              <w:pStyle w:val="P68B1DB1-Normal63"/>
              <w:spacing w:after="0" w:line="276" w:lineRule="auto"/>
              <w:jc w:val="both"/>
              <w:rPr>
                <w:noProof/>
              </w:rPr>
            </w:pPr>
            <w:r>
              <w:rPr>
                <w:noProof/>
              </w:rPr>
              <w:t>Projets de restructuration d'entreprises du secteur de la transformation ou de la commercialisation et de restructuration d'exploitations agricoles</w:t>
            </w:r>
          </w:p>
        </w:tc>
      </w:tr>
      <w:tr w:rsidR="006C686E" w14:paraId="6B981E4F" w14:textId="77777777">
        <w:trPr>
          <w:trHeight w:val="440"/>
        </w:trPr>
        <w:tc>
          <w:tcPr>
            <w:tcW w:w="1200" w:type="dxa"/>
            <w:shd w:val="clear" w:color="auto" w:fill="C4EFCE"/>
            <w:vAlign w:val="center"/>
          </w:tcPr>
          <w:p w14:paraId="4C8718D5" w14:textId="77777777" w:rsidR="006C686E" w:rsidRDefault="00B17E8C">
            <w:pPr>
              <w:pStyle w:val="P68B1DB1-Normal63"/>
              <w:spacing w:after="0" w:line="276" w:lineRule="auto"/>
              <w:jc w:val="center"/>
              <w:rPr>
                <w:noProof/>
              </w:rPr>
            </w:pPr>
            <w:r>
              <w:rPr>
                <w:noProof/>
              </w:rPr>
              <w:t>5.53</w:t>
            </w:r>
          </w:p>
        </w:tc>
        <w:tc>
          <w:tcPr>
            <w:tcW w:w="1760" w:type="dxa"/>
            <w:shd w:val="clear" w:color="auto" w:fill="C4EFCE"/>
            <w:vAlign w:val="center"/>
          </w:tcPr>
          <w:p w14:paraId="75D0908C" w14:textId="77777777" w:rsidR="006C686E" w:rsidRDefault="00B17E8C">
            <w:pPr>
              <w:pStyle w:val="P68B1DB1-Normal63"/>
              <w:spacing w:after="0" w:line="276" w:lineRule="auto"/>
              <w:jc w:val="center"/>
              <w:rPr>
                <w:noProof/>
              </w:rPr>
            </w:pPr>
            <w:r>
              <w:rPr>
                <w:noProof/>
              </w:rPr>
              <w:t>RE-C05-i15-RAA</w:t>
            </w:r>
          </w:p>
        </w:tc>
        <w:tc>
          <w:tcPr>
            <w:tcW w:w="1520" w:type="dxa"/>
            <w:shd w:val="clear" w:color="auto" w:fill="C4EFCE"/>
            <w:vAlign w:val="center"/>
          </w:tcPr>
          <w:p w14:paraId="5D4654A7"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6E2A6601" w14:textId="77777777" w:rsidR="006C686E" w:rsidRDefault="00B17E8C">
            <w:pPr>
              <w:pStyle w:val="P68B1DB1-Normal63"/>
              <w:spacing w:after="0" w:line="276" w:lineRule="auto"/>
              <w:jc w:val="both"/>
              <w:rPr>
                <w:noProof/>
              </w:rPr>
            </w:pPr>
            <w:r>
              <w:rPr>
                <w:noProof/>
              </w:rPr>
              <w:t>Accord de mise en œuvre</w:t>
            </w:r>
          </w:p>
        </w:tc>
      </w:tr>
      <w:tr w:rsidR="006C686E" w14:paraId="5D577AF9" w14:textId="77777777">
        <w:trPr>
          <w:trHeight w:val="440"/>
        </w:trPr>
        <w:tc>
          <w:tcPr>
            <w:tcW w:w="1200" w:type="dxa"/>
            <w:shd w:val="clear" w:color="auto" w:fill="C4EFCE"/>
            <w:vAlign w:val="center"/>
          </w:tcPr>
          <w:p w14:paraId="45CFB6E8" w14:textId="77777777" w:rsidR="006C686E" w:rsidRDefault="00B17E8C">
            <w:pPr>
              <w:pStyle w:val="P68B1DB1-Normal63"/>
              <w:spacing w:after="0" w:line="276" w:lineRule="auto"/>
              <w:jc w:val="center"/>
              <w:rPr>
                <w:noProof/>
              </w:rPr>
            </w:pPr>
            <w:r>
              <w:rPr>
                <w:noProof/>
              </w:rPr>
              <w:t>5.51</w:t>
            </w:r>
          </w:p>
        </w:tc>
        <w:tc>
          <w:tcPr>
            <w:tcW w:w="1760" w:type="dxa"/>
            <w:shd w:val="clear" w:color="auto" w:fill="C4EFCE"/>
            <w:vAlign w:val="center"/>
          </w:tcPr>
          <w:p w14:paraId="4CA8C603" w14:textId="77777777" w:rsidR="006C686E" w:rsidRDefault="00B17E8C">
            <w:pPr>
              <w:pStyle w:val="P68B1DB1-Normal63"/>
              <w:spacing w:after="0" w:line="276" w:lineRule="auto"/>
              <w:jc w:val="center"/>
              <w:rPr>
                <w:noProof/>
              </w:rPr>
            </w:pPr>
            <w:r>
              <w:rPr>
                <w:noProof/>
              </w:rPr>
              <w:t>RE-C05-i14</w:t>
            </w:r>
          </w:p>
        </w:tc>
        <w:tc>
          <w:tcPr>
            <w:tcW w:w="1520" w:type="dxa"/>
            <w:shd w:val="clear" w:color="auto" w:fill="C4EFCE"/>
            <w:vAlign w:val="center"/>
          </w:tcPr>
          <w:p w14:paraId="01C131DE"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6BA2BDC7" w14:textId="77777777" w:rsidR="006C686E" w:rsidRDefault="00B17E8C">
            <w:pPr>
              <w:pStyle w:val="P68B1DB1-Normal63"/>
              <w:spacing w:after="0" w:line="276" w:lineRule="auto"/>
              <w:jc w:val="both"/>
              <w:rPr>
                <w:noProof/>
              </w:rPr>
            </w:pPr>
            <w:r>
              <w:rPr>
                <w:noProof/>
              </w:rPr>
              <w:t>Accord de mise en œuvre</w:t>
            </w:r>
          </w:p>
        </w:tc>
      </w:tr>
      <w:tr w:rsidR="006C686E" w14:paraId="361EFF59" w14:textId="77777777">
        <w:trPr>
          <w:trHeight w:val="440"/>
        </w:trPr>
        <w:tc>
          <w:tcPr>
            <w:tcW w:w="1200" w:type="dxa"/>
            <w:shd w:val="clear" w:color="auto" w:fill="C4EFCE"/>
            <w:vAlign w:val="center"/>
          </w:tcPr>
          <w:p w14:paraId="001580CC" w14:textId="77777777" w:rsidR="006C686E" w:rsidRDefault="00B17E8C">
            <w:pPr>
              <w:pStyle w:val="P68B1DB1-Normal63"/>
              <w:spacing w:after="0" w:line="276" w:lineRule="auto"/>
              <w:jc w:val="center"/>
              <w:rPr>
                <w:noProof/>
              </w:rPr>
            </w:pPr>
            <w:r>
              <w:rPr>
                <w:noProof/>
              </w:rPr>
              <w:t>6.7</w:t>
            </w:r>
          </w:p>
        </w:tc>
        <w:tc>
          <w:tcPr>
            <w:tcW w:w="1760" w:type="dxa"/>
            <w:shd w:val="clear" w:color="auto" w:fill="C4EFCE"/>
            <w:vAlign w:val="center"/>
          </w:tcPr>
          <w:p w14:paraId="53FAB985" w14:textId="77777777" w:rsidR="006C686E" w:rsidRDefault="00B17E8C">
            <w:pPr>
              <w:pStyle w:val="P68B1DB1-Normal63"/>
              <w:spacing w:after="0" w:line="276" w:lineRule="auto"/>
              <w:jc w:val="center"/>
              <w:rPr>
                <w:noProof/>
              </w:rPr>
            </w:pPr>
            <w:r>
              <w:rPr>
                <w:noProof/>
              </w:rPr>
              <w:t>RE-C06-i04</w:t>
            </w:r>
          </w:p>
        </w:tc>
        <w:tc>
          <w:tcPr>
            <w:tcW w:w="1520" w:type="dxa"/>
            <w:shd w:val="clear" w:color="auto" w:fill="C4EFCE"/>
            <w:vAlign w:val="center"/>
          </w:tcPr>
          <w:p w14:paraId="54AC11FC"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683AE2E3" w14:textId="77777777" w:rsidR="006C686E" w:rsidRDefault="00B17E8C">
            <w:pPr>
              <w:pStyle w:val="P68B1DB1-Normal63"/>
              <w:spacing w:after="0" w:line="276" w:lineRule="auto"/>
              <w:jc w:val="both"/>
              <w:rPr>
                <w:noProof/>
              </w:rPr>
            </w:pPr>
            <w:r>
              <w:rPr>
                <w:i/>
                <w:noProof/>
              </w:rPr>
              <w:t>Catégorie: Club Ciência Viva</w:t>
            </w:r>
          </w:p>
        </w:tc>
      </w:tr>
      <w:tr w:rsidR="006C686E" w14:paraId="5EF76E29" w14:textId="77777777">
        <w:trPr>
          <w:trHeight w:val="440"/>
        </w:trPr>
        <w:tc>
          <w:tcPr>
            <w:tcW w:w="1200" w:type="dxa"/>
            <w:shd w:val="clear" w:color="auto" w:fill="C4EFCE"/>
            <w:vAlign w:val="center"/>
          </w:tcPr>
          <w:p w14:paraId="5E36CDDA" w14:textId="77777777" w:rsidR="006C686E" w:rsidRDefault="00B17E8C">
            <w:pPr>
              <w:pStyle w:val="P68B1DB1-Normal63"/>
              <w:spacing w:after="0" w:line="276" w:lineRule="auto"/>
              <w:jc w:val="center"/>
              <w:rPr>
                <w:noProof/>
              </w:rPr>
            </w:pPr>
            <w:r>
              <w:rPr>
                <w:noProof/>
              </w:rPr>
              <w:t>6.9</w:t>
            </w:r>
          </w:p>
        </w:tc>
        <w:tc>
          <w:tcPr>
            <w:tcW w:w="1760" w:type="dxa"/>
            <w:shd w:val="clear" w:color="auto" w:fill="C4EFCE"/>
            <w:vAlign w:val="center"/>
          </w:tcPr>
          <w:p w14:paraId="7783F9D6" w14:textId="77777777" w:rsidR="006C686E" w:rsidRDefault="00B17E8C">
            <w:pPr>
              <w:pStyle w:val="P68B1DB1-Normal63"/>
              <w:spacing w:after="0" w:line="276" w:lineRule="auto"/>
              <w:jc w:val="center"/>
              <w:rPr>
                <w:noProof/>
              </w:rPr>
            </w:pPr>
            <w:r>
              <w:rPr>
                <w:noProof/>
              </w:rPr>
              <w:t>RE-C06-i04</w:t>
            </w:r>
          </w:p>
        </w:tc>
        <w:tc>
          <w:tcPr>
            <w:tcW w:w="1520" w:type="dxa"/>
            <w:shd w:val="clear" w:color="auto" w:fill="C4EFCE"/>
            <w:vAlign w:val="center"/>
          </w:tcPr>
          <w:p w14:paraId="1D147830"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35537D37" w14:textId="77777777" w:rsidR="006C686E" w:rsidRDefault="00B17E8C">
            <w:pPr>
              <w:pStyle w:val="P68B1DB1-Normal64"/>
              <w:spacing w:after="0" w:line="276" w:lineRule="auto"/>
              <w:jc w:val="both"/>
              <w:rPr>
                <w:noProof/>
                <w:color w:val="000000"/>
                <w:kern w:val="0"/>
                <w14:ligatures w14:val="none"/>
              </w:rPr>
            </w:pPr>
            <w:r>
              <w:rPr>
                <w:noProof/>
              </w:rPr>
              <w:t xml:space="preserve">Cours en STEAM </w:t>
            </w:r>
          </w:p>
        </w:tc>
      </w:tr>
      <w:tr w:rsidR="006C686E" w14:paraId="005D5BB8" w14:textId="77777777">
        <w:trPr>
          <w:trHeight w:val="440"/>
        </w:trPr>
        <w:tc>
          <w:tcPr>
            <w:tcW w:w="1200" w:type="dxa"/>
            <w:shd w:val="clear" w:color="auto" w:fill="C4EFCE"/>
            <w:vAlign w:val="center"/>
          </w:tcPr>
          <w:p w14:paraId="554A0A29" w14:textId="77777777" w:rsidR="006C686E" w:rsidRDefault="00B17E8C">
            <w:pPr>
              <w:pStyle w:val="P68B1DB1-Normal63"/>
              <w:spacing w:after="0" w:line="276" w:lineRule="auto"/>
              <w:jc w:val="center"/>
              <w:rPr>
                <w:noProof/>
              </w:rPr>
            </w:pPr>
            <w:r>
              <w:rPr>
                <w:noProof/>
              </w:rPr>
              <w:t>6.10</w:t>
            </w:r>
          </w:p>
        </w:tc>
        <w:tc>
          <w:tcPr>
            <w:tcW w:w="1760" w:type="dxa"/>
            <w:shd w:val="clear" w:color="auto" w:fill="C4EFCE"/>
            <w:vAlign w:val="center"/>
          </w:tcPr>
          <w:p w14:paraId="1474BCFC" w14:textId="77777777" w:rsidR="006C686E" w:rsidRDefault="00B17E8C">
            <w:pPr>
              <w:pStyle w:val="P68B1DB1-Normal63"/>
              <w:spacing w:after="0" w:line="276" w:lineRule="auto"/>
              <w:jc w:val="center"/>
              <w:rPr>
                <w:noProof/>
              </w:rPr>
            </w:pPr>
            <w:r>
              <w:rPr>
                <w:noProof/>
              </w:rPr>
              <w:t>RE-C06-i05-RAA</w:t>
            </w:r>
          </w:p>
        </w:tc>
        <w:tc>
          <w:tcPr>
            <w:tcW w:w="1520" w:type="dxa"/>
            <w:shd w:val="clear" w:color="auto" w:fill="C4EFCE"/>
            <w:vAlign w:val="center"/>
          </w:tcPr>
          <w:p w14:paraId="5D82CD36" w14:textId="77777777" w:rsidR="006C686E" w:rsidRDefault="00B17E8C">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7E077D42" w14:textId="77777777" w:rsidR="006C686E" w:rsidRDefault="00B17E8C">
            <w:pPr>
              <w:pStyle w:val="P68B1DB1-Normal64"/>
              <w:spacing w:after="0" w:line="276" w:lineRule="auto"/>
              <w:jc w:val="both"/>
              <w:rPr>
                <w:noProof/>
                <w:color w:val="000000"/>
                <w:kern w:val="0"/>
                <w14:ligatures w14:val="none"/>
              </w:rPr>
            </w:pPr>
            <w:r>
              <w:rPr>
                <w:noProof/>
              </w:rPr>
              <w:t xml:space="preserve">Soutien accordé pour la participation à des études postsecondaires ou supérieures </w:t>
            </w:r>
          </w:p>
        </w:tc>
      </w:tr>
      <w:tr w:rsidR="006C686E" w14:paraId="590B8C5C" w14:textId="77777777">
        <w:trPr>
          <w:trHeight w:val="440"/>
        </w:trPr>
        <w:tc>
          <w:tcPr>
            <w:tcW w:w="1200" w:type="dxa"/>
            <w:shd w:val="clear" w:color="auto" w:fill="C4EFCE"/>
            <w:vAlign w:val="center"/>
          </w:tcPr>
          <w:p w14:paraId="1894565F" w14:textId="77777777" w:rsidR="006C686E" w:rsidRDefault="00B17E8C">
            <w:pPr>
              <w:pStyle w:val="P68B1DB1-Normal63"/>
              <w:spacing w:after="0" w:line="276" w:lineRule="auto"/>
              <w:jc w:val="center"/>
              <w:rPr>
                <w:noProof/>
              </w:rPr>
            </w:pPr>
            <w:r>
              <w:rPr>
                <w:noProof/>
              </w:rPr>
              <w:t>8.3</w:t>
            </w:r>
          </w:p>
        </w:tc>
        <w:tc>
          <w:tcPr>
            <w:tcW w:w="1760" w:type="dxa"/>
            <w:shd w:val="clear" w:color="auto" w:fill="C4EFCE"/>
            <w:vAlign w:val="center"/>
          </w:tcPr>
          <w:p w14:paraId="0DC23AA8" w14:textId="77777777" w:rsidR="006C686E" w:rsidRDefault="00B17E8C">
            <w:pPr>
              <w:pStyle w:val="P68B1DB1-Normal63"/>
              <w:spacing w:after="0" w:line="276" w:lineRule="auto"/>
              <w:jc w:val="center"/>
              <w:rPr>
                <w:noProof/>
              </w:rPr>
            </w:pPr>
            <w:r>
              <w:rPr>
                <w:noProof/>
              </w:rPr>
              <w:t>RE-C08-i01</w:t>
            </w:r>
          </w:p>
        </w:tc>
        <w:tc>
          <w:tcPr>
            <w:tcW w:w="1520" w:type="dxa"/>
            <w:shd w:val="clear" w:color="auto" w:fill="C4EFCE"/>
            <w:vAlign w:val="center"/>
          </w:tcPr>
          <w:p w14:paraId="6F50ED17"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0EA4883F" w14:textId="77777777" w:rsidR="006C686E" w:rsidRDefault="00B17E8C">
            <w:pPr>
              <w:pStyle w:val="P68B1DB1-Normal63"/>
              <w:spacing w:after="0" w:line="276" w:lineRule="auto"/>
              <w:jc w:val="both"/>
              <w:rPr>
                <w:noProof/>
              </w:rPr>
            </w:pPr>
            <w:r>
              <w:rPr>
                <w:noProof/>
              </w:rPr>
              <w:t>Projets de gestion des carburants</w:t>
            </w:r>
          </w:p>
        </w:tc>
      </w:tr>
      <w:tr w:rsidR="006C686E" w14:paraId="4C57331A" w14:textId="77777777">
        <w:trPr>
          <w:trHeight w:val="440"/>
        </w:trPr>
        <w:tc>
          <w:tcPr>
            <w:tcW w:w="1200" w:type="dxa"/>
            <w:shd w:val="clear" w:color="auto" w:fill="C4EFCE"/>
            <w:vAlign w:val="center"/>
          </w:tcPr>
          <w:p w14:paraId="2B149D75" w14:textId="77777777" w:rsidR="006C686E" w:rsidRDefault="00B17E8C">
            <w:pPr>
              <w:pStyle w:val="P68B1DB1-Normal63"/>
              <w:spacing w:after="0" w:line="276" w:lineRule="auto"/>
              <w:jc w:val="center"/>
              <w:rPr>
                <w:noProof/>
              </w:rPr>
            </w:pPr>
            <w:r>
              <w:rPr>
                <w:noProof/>
              </w:rPr>
              <w:t>9.1</w:t>
            </w:r>
          </w:p>
        </w:tc>
        <w:tc>
          <w:tcPr>
            <w:tcW w:w="1760" w:type="dxa"/>
            <w:shd w:val="clear" w:color="auto" w:fill="C4EFCE"/>
            <w:vAlign w:val="center"/>
          </w:tcPr>
          <w:p w14:paraId="50E96AE5" w14:textId="77777777" w:rsidR="006C686E" w:rsidRDefault="00B17E8C">
            <w:pPr>
              <w:pStyle w:val="P68B1DB1-Normal63"/>
              <w:spacing w:after="0" w:line="276" w:lineRule="auto"/>
              <w:jc w:val="center"/>
              <w:rPr>
                <w:noProof/>
              </w:rPr>
            </w:pPr>
            <w:r>
              <w:rPr>
                <w:noProof/>
              </w:rPr>
              <w:t>RE-C09-i01</w:t>
            </w:r>
          </w:p>
        </w:tc>
        <w:tc>
          <w:tcPr>
            <w:tcW w:w="1520" w:type="dxa"/>
            <w:shd w:val="clear" w:color="auto" w:fill="C4EFCE"/>
            <w:vAlign w:val="center"/>
          </w:tcPr>
          <w:p w14:paraId="25B6A16B"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6A5B519F" w14:textId="77777777" w:rsidR="006C686E" w:rsidRDefault="00B17E8C">
            <w:pPr>
              <w:pStyle w:val="P68B1DB1-Normal63"/>
              <w:spacing w:after="0" w:line="276" w:lineRule="auto"/>
              <w:jc w:val="both"/>
              <w:rPr>
                <w:noProof/>
              </w:rPr>
            </w:pPr>
            <w:r>
              <w:rPr>
                <w:noProof/>
              </w:rPr>
              <w:t>Construction de piézomètres</w:t>
            </w:r>
          </w:p>
        </w:tc>
      </w:tr>
      <w:tr w:rsidR="006C686E" w14:paraId="2AD423FC" w14:textId="77777777">
        <w:trPr>
          <w:trHeight w:val="440"/>
        </w:trPr>
        <w:tc>
          <w:tcPr>
            <w:tcW w:w="1200" w:type="dxa"/>
            <w:shd w:val="clear" w:color="auto" w:fill="C4EFCE"/>
            <w:vAlign w:val="center"/>
          </w:tcPr>
          <w:p w14:paraId="48504D54" w14:textId="77777777" w:rsidR="006C686E" w:rsidRDefault="00B17E8C">
            <w:pPr>
              <w:pStyle w:val="P68B1DB1-Normal63"/>
              <w:spacing w:after="0" w:line="276" w:lineRule="auto"/>
              <w:jc w:val="center"/>
              <w:rPr>
                <w:noProof/>
              </w:rPr>
            </w:pPr>
            <w:r>
              <w:rPr>
                <w:noProof/>
              </w:rPr>
              <w:t>11.3</w:t>
            </w:r>
          </w:p>
        </w:tc>
        <w:tc>
          <w:tcPr>
            <w:tcW w:w="1760" w:type="dxa"/>
            <w:shd w:val="clear" w:color="auto" w:fill="C4EFCE"/>
            <w:vAlign w:val="center"/>
          </w:tcPr>
          <w:p w14:paraId="4BB36409" w14:textId="77777777" w:rsidR="006C686E" w:rsidRDefault="00B17E8C">
            <w:pPr>
              <w:pStyle w:val="P68B1DB1-Normal63"/>
              <w:spacing w:after="0" w:line="276" w:lineRule="auto"/>
              <w:jc w:val="center"/>
              <w:rPr>
                <w:noProof/>
              </w:rPr>
            </w:pPr>
            <w:r>
              <w:rPr>
                <w:noProof/>
              </w:rPr>
              <w:t>TC-C11-i01</w:t>
            </w:r>
          </w:p>
        </w:tc>
        <w:tc>
          <w:tcPr>
            <w:tcW w:w="1520" w:type="dxa"/>
            <w:shd w:val="clear" w:color="auto" w:fill="C4EFCE"/>
            <w:vAlign w:val="center"/>
          </w:tcPr>
          <w:p w14:paraId="3C1182EA"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06D81617" w14:textId="77777777" w:rsidR="006C686E" w:rsidRDefault="00B17E8C">
            <w:pPr>
              <w:pStyle w:val="P68B1DB1-Normal64"/>
              <w:spacing w:after="0" w:line="276" w:lineRule="auto"/>
              <w:jc w:val="both"/>
              <w:rPr>
                <w:noProof/>
                <w:color w:val="000000"/>
                <w:kern w:val="0"/>
                <w14:ligatures w14:val="none"/>
              </w:rPr>
            </w:pPr>
            <w:r>
              <w:rPr>
                <w:noProof/>
              </w:rPr>
              <w:t xml:space="preserve">Soutien financier </w:t>
            </w:r>
          </w:p>
        </w:tc>
      </w:tr>
      <w:tr w:rsidR="006C686E" w14:paraId="4EA41315" w14:textId="77777777">
        <w:trPr>
          <w:trHeight w:val="440"/>
        </w:trPr>
        <w:tc>
          <w:tcPr>
            <w:tcW w:w="1200" w:type="dxa"/>
            <w:shd w:val="clear" w:color="auto" w:fill="C4EFCE"/>
            <w:vAlign w:val="center"/>
          </w:tcPr>
          <w:p w14:paraId="277533CB" w14:textId="77777777" w:rsidR="006C686E" w:rsidRDefault="00B17E8C">
            <w:pPr>
              <w:pStyle w:val="P68B1DB1-Normal63"/>
              <w:spacing w:after="0" w:line="276" w:lineRule="auto"/>
              <w:jc w:val="center"/>
              <w:rPr>
                <w:noProof/>
              </w:rPr>
            </w:pPr>
            <w:r>
              <w:rPr>
                <w:noProof/>
              </w:rPr>
              <w:t>14.7</w:t>
            </w:r>
          </w:p>
        </w:tc>
        <w:tc>
          <w:tcPr>
            <w:tcW w:w="1760" w:type="dxa"/>
            <w:shd w:val="clear" w:color="auto" w:fill="C4EFCE"/>
            <w:vAlign w:val="center"/>
          </w:tcPr>
          <w:p w14:paraId="5650C3E4" w14:textId="77777777" w:rsidR="006C686E" w:rsidRDefault="00B17E8C">
            <w:pPr>
              <w:pStyle w:val="P68B1DB1-Normal63"/>
              <w:spacing w:after="0" w:line="276" w:lineRule="auto"/>
              <w:jc w:val="center"/>
              <w:rPr>
                <w:noProof/>
              </w:rPr>
            </w:pPr>
            <w:r>
              <w:rPr>
                <w:noProof/>
              </w:rPr>
              <w:t>TC-C14-i02-RAM</w:t>
            </w:r>
          </w:p>
        </w:tc>
        <w:tc>
          <w:tcPr>
            <w:tcW w:w="1520" w:type="dxa"/>
            <w:shd w:val="clear" w:color="auto" w:fill="C4EFCE"/>
            <w:vAlign w:val="center"/>
          </w:tcPr>
          <w:p w14:paraId="7377F72A"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5C51F154" w14:textId="77777777" w:rsidR="006C686E" w:rsidRDefault="00B17E8C">
            <w:pPr>
              <w:pStyle w:val="P68B1DB1-Normal63"/>
              <w:spacing w:after="0" w:line="276" w:lineRule="auto"/>
              <w:jc w:val="both"/>
              <w:rPr>
                <w:noProof/>
              </w:rPr>
            </w:pPr>
            <w:r>
              <w:rPr>
                <w:noProof/>
              </w:rPr>
              <w:t>Installation de la capacité de stockage de la batterie</w:t>
            </w:r>
          </w:p>
        </w:tc>
      </w:tr>
      <w:tr w:rsidR="006C686E" w14:paraId="6BEE211E" w14:textId="77777777">
        <w:trPr>
          <w:trHeight w:val="440"/>
        </w:trPr>
        <w:tc>
          <w:tcPr>
            <w:tcW w:w="1200" w:type="dxa"/>
            <w:shd w:val="clear" w:color="auto" w:fill="C4EFCE"/>
            <w:vAlign w:val="center"/>
          </w:tcPr>
          <w:p w14:paraId="077CF83B" w14:textId="77777777" w:rsidR="006C686E" w:rsidRDefault="00B17E8C">
            <w:pPr>
              <w:pStyle w:val="P68B1DB1-Normal63"/>
              <w:spacing w:after="0" w:line="276" w:lineRule="auto"/>
              <w:jc w:val="center"/>
              <w:rPr>
                <w:noProof/>
              </w:rPr>
            </w:pPr>
            <w:r>
              <w:rPr>
                <w:noProof/>
              </w:rPr>
              <w:t>15.11</w:t>
            </w:r>
          </w:p>
        </w:tc>
        <w:tc>
          <w:tcPr>
            <w:tcW w:w="1760" w:type="dxa"/>
            <w:shd w:val="clear" w:color="auto" w:fill="C4EFCE"/>
            <w:vAlign w:val="center"/>
          </w:tcPr>
          <w:p w14:paraId="604B9C9D" w14:textId="77777777" w:rsidR="006C686E" w:rsidRDefault="00B17E8C">
            <w:pPr>
              <w:pStyle w:val="P68B1DB1-Normal63"/>
              <w:spacing w:after="0" w:line="276" w:lineRule="auto"/>
              <w:jc w:val="center"/>
              <w:rPr>
                <w:noProof/>
              </w:rPr>
            </w:pPr>
            <w:r>
              <w:rPr>
                <w:noProof/>
              </w:rPr>
              <w:t>TC-C15-i04</w:t>
            </w:r>
          </w:p>
        </w:tc>
        <w:tc>
          <w:tcPr>
            <w:tcW w:w="1520" w:type="dxa"/>
            <w:shd w:val="clear" w:color="auto" w:fill="C4EFCE"/>
            <w:vAlign w:val="center"/>
          </w:tcPr>
          <w:p w14:paraId="4FC4212E"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3239BC00" w14:textId="77777777" w:rsidR="006C686E" w:rsidRDefault="00B17E8C">
            <w:pPr>
              <w:pStyle w:val="P68B1DB1-Normal63"/>
              <w:spacing w:after="0" w:line="276" w:lineRule="auto"/>
              <w:jc w:val="both"/>
              <w:rPr>
                <w:noProof/>
              </w:rPr>
            </w:pPr>
            <w:r>
              <w:rPr>
                <w:noProof/>
              </w:rPr>
              <w:t xml:space="preserve">Construction d'une ligne de bus rapide entre Praça do Império et Praça Albuquerque Mouzinho à Porto </w:t>
            </w:r>
          </w:p>
        </w:tc>
      </w:tr>
      <w:tr w:rsidR="006C686E" w14:paraId="2DE2BA39" w14:textId="77777777">
        <w:trPr>
          <w:trHeight w:val="440"/>
        </w:trPr>
        <w:tc>
          <w:tcPr>
            <w:tcW w:w="1200" w:type="dxa"/>
            <w:shd w:val="clear" w:color="auto" w:fill="C4EFCE"/>
            <w:vAlign w:val="center"/>
          </w:tcPr>
          <w:p w14:paraId="297962ED" w14:textId="77777777" w:rsidR="006C686E" w:rsidRDefault="00B17E8C">
            <w:pPr>
              <w:pStyle w:val="P68B1DB1-Normal63"/>
              <w:spacing w:after="0" w:line="276" w:lineRule="auto"/>
              <w:jc w:val="center"/>
              <w:rPr>
                <w:noProof/>
              </w:rPr>
            </w:pPr>
            <w:r>
              <w:rPr>
                <w:noProof/>
              </w:rPr>
              <w:t>16.3</w:t>
            </w:r>
          </w:p>
        </w:tc>
        <w:tc>
          <w:tcPr>
            <w:tcW w:w="1760" w:type="dxa"/>
            <w:shd w:val="clear" w:color="auto" w:fill="C4EFCE"/>
            <w:vAlign w:val="center"/>
          </w:tcPr>
          <w:p w14:paraId="30D4EEA6" w14:textId="77777777" w:rsidR="006C686E" w:rsidRDefault="00B17E8C">
            <w:pPr>
              <w:pStyle w:val="P68B1DB1-Normal63"/>
              <w:spacing w:after="0" w:line="276" w:lineRule="auto"/>
              <w:jc w:val="center"/>
              <w:rPr>
                <w:noProof/>
              </w:rPr>
            </w:pPr>
            <w:r>
              <w:rPr>
                <w:noProof/>
              </w:rPr>
              <w:t>TD-C16-i01</w:t>
            </w:r>
          </w:p>
        </w:tc>
        <w:tc>
          <w:tcPr>
            <w:tcW w:w="1520" w:type="dxa"/>
            <w:shd w:val="clear" w:color="auto" w:fill="C4EFCE"/>
            <w:vAlign w:val="center"/>
          </w:tcPr>
          <w:p w14:paraId="73D413E5"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2A0C1DDF" w14:textId="77777777" w:rsidR="006C686E" w:rsidRDefault="00B17E8C">
            <w:pPr>
              <w:pStyle w:val="P68B1DB1-Normal63"/>
              <w:spacing w:after="0" w:line="276" w:lineRule="auto"/>
              <w:jc w:val="both"/>
              <w:rPr>
                <w:noProof/>
              </w:rPr>
            </w:pPr>
            <w:r>
              <w:rPr>
                <w:noProof/>
              </w:rPr>
              <w:t xml:space="preserve">Emploi+Formation numérique </w:t>
            </w:r>
          </w:p>
        </w:tc>
      </w:tr>
      <w:tr w:rsidR="006C686E" w14:paraId="014A9062" w14:textId="77777777">
        <w:trPr>
          <w:trHeight w:val="440"/>
        </w:trPr>
        <w:tc>
          <w:tcPr>
            <w:tcW w:w="1200" w:type="dxa"/>
            <w:shd w:val="clear" w:color="auto" w:fill="C4EFCE"/>
            <w:vAlign w:val="center"/>
          </w:tcPr>
          <w:p w14:paraId="6E0ED7BF" w14:textId="77777777" w:rsidR="006C686E" w:rsidRDefault="00B17E8C">
            <w:pPr>
              <w:pStyle w:val="P68B1DB1-Normal63"/>
              <w:spacing w:after="0" w:line="276" w:lineRule="auto"/>
              <w:jc w:val="center"/>
              <w:rPr>
                <w:noProof/>
              </w:rPr>
            </w:pPr>
            <w:r>
              <w:rPr>
                <w:noProof/>
              </w:rPr>
              <w:t>16.4</w:t>
            </w:r>
          </w:p>
        </w:tc>
        <w:tc>
          <w:tcPr>
            <w:tcW w:w="1760" w:type="dxa"/>
            <w:shd w:val="clear" w:color="auto" w:fill="C4EFCE"/>
            <w:vAlign w:val="center"/>
          </w:tcPr>
          <w:p w14:paraId="4A77BFAF" w14:textId="77777777" w:rsidR="006C686E" w:rsidRDefault="00B17E8C">
            <w:pPr>
              <w:pStyle w:val="P68B1DB1-Normal63"/>
              <w:spacing w:after="0" w:line="276" w:lineRule="auto"/>
              <w:jc w:val="center"/>
              <w:rPr>
                <w:noProof/>
              </w:rPr>
            </w:pPr>
            <w:r>
              <w:rPr>
                <w:noProof/>
              </w:rPr>
              <w:t>TD-C16-i01</w:t>
            </w:r>
          </w:p>
        </w:tc>
        <w:tc>
          <w:tcPr>
            <w:tcW w:w="1520" w:type="dxa"/>
            <w:shd w:val="clear" w:color="auto" w:fill="C4EFCE"/>
            <w:vAlign w:val="center"/>
          </w:tcPr>
          <w:p w14:paraId="6F017BCE"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26F788DF" w14:textId="77777777" w:rsidR="006C686E" w:rsidRDefault="00B17E8C">
            <w:pPr>
              <w:pStyle w:val="P68B1DB1-Normal63"/>
              <w:spacing w:after="0" w:line="276" w:lineRule="auto"/>
              <w:jc w:val="both"/>
              <w:rPr>
                <w:noProof/>
              </w:rPr>
            </w:pPr>
            <w:r>
              <w:rPr>
                <w:noProof/>
              </w:rPr>
              <w:t>MOOCs de l'Académie numérique du Portugal</w:t>
            </w:r>
          </w:p>
        </w:tc>
      </w:tr>
      <w:tr w:rsidR="006C686E" w14:paraId="640757A2" w14:textId="77777777">
        <w:trPr>
          <w:trHeight w:val="440"/>
        </w:trPr>
        <w:tc>
          <w:tcPr>
            <w:tcW w:w="1200" w:type="dxa"/>
            <w:shd w:val="clear" w:color="auto" w:fill="C4EFCE"/>
            <w:vAlign w:val="center"/>
          </w:tcPr>
          <w:p w14:paraId="2491AA03" w14:textId="77777777" w:rsidR="006C686E" w:rsidRDefault="00B17E8C">
            <w:pPr>
              <w:pStyle w:val="P68B1DB1-Normal63"/>
              <w:spacing w:after="0" w:line="276" w:lineRule="auto"/>
              <w:jc w:val="center"/>
              <w:rPr>
                <w:noProof/>
              </w:rPr>
            </w:pPr>
            <w:r>
              <w:rPr>
                <w:noProof/>
              </w:rPr>
              <w:t>17.4</w:t>
            </w:r>
          </w:p>
        </w:tc>
        <w:tc>
          <w:tcPr>
            <w:tcW w:w="1760" w:type="dxa"/>
            <w:shd w:val="clear" w:color="auto" w:fill="C4EFCE"/>
            <w:vAlign w:val="center"/>
          </w:tcPr>
          <w:p w14:paraId="03340797" w14:textId="77777777" w:rsidR="006C686E" w:rsidRDefault="00B17E8C">
            <w:pPr>
              <w:pStyle w:val="P68B1DB1-Normal63"/>
              <w:spacing w:after="0" w:line="276" w:lineRule="auto"/>
              <w:jc w:val="center"/>
              <w:rPr>
                <w:noProof/>
              </w:rPr>
            </w:pPr>
            <w:r>
              <w:rPr>
                <w:noProof/>
              </w:rPr>
              <w:t>TD-C17-r32</w:t>
            </w:r>
          </w:p>
        </w:tc>
        <w:tc>
          <w:tcPr>
            <w:tcW w:w="1520" w:type="dxa"/>
            <w:shd w:val="clear" w:color="auto" w:fill="C4EFCE"/>
            <w:vAlign w:val="center"/>
          </w:tcPr>
          <w:p w14:paraId="7E13EA4E"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5D10AE9B" w14:textId="77777777" w:rsidR="006C686E" w:rsidRDefault="00B17E8C">
            <w:pPr>
              <w:pStyle w:val="P68B1DB1-Normal63"/>
              <w:spacing w:after="0" w:line="276" w:lineRule="auto"/>
              <w:jc w:val="both"/>
              <w:rPr>
                <w:noProof/>
              </w:rPr>
            </w:pPr>
            <w:r>
              <w:rPr>
                <w:noProof/>
              </w:rPr>
              <w:t>Entrée en vigueur d'un acte juridique sur la budgétisation des programmes</w:t>
            </w:r>
          </w:p>
        </w:tc>
      </w:tr>
      <w:tr w:rsidR="006C686E" w14:paraId="464A8D58" w14:textId="77777777">
        <w:trPr>
          <w:trHeight w:val="440"/>
        </w:trPr>
        <w:tc>
          <w:tcPr>
            <w:tcW w:w="1200" w:type="dxa"/>
            <w:shd w:val="clear" w:color="auto" w:fill="C4EFCE"/>
            <w:vAlign w:val="center"/>
          </w:tcPr>
          <w:p w14:paraId="08B9CE34" w14:textId="77777777" w:rsidR="006C686E" w:rsidRDefault="00B17E8C">
            <w:pPr>
              <w:pStyle w:val="P68B1DB1-Normal63"/>
              <w:spacing w:after="0" w:line="276" w:lineRule="auto"/>
              <w:jc w:val="center"/>
              <w:rPr>
                <w:noProof/>
              </w:rPr>
            </w:pPr>
            <w:r>
              <w:rPr>
                <w:noProof/>
              </w:rPr>
              <w:t>17.8</w:t>
            </w:r>
          </w:p>
        </w:tc>
        <w:tc>
          <w:tcPr>
            <w:tcW w:w="1760" w:type="dxa"/>
            <w:shd w:val="clear" w:color="auto" w:fill="C4EFCE"/>
            <w:vAlign w:val="center"/>
          </w:tcPr>
          <w:p w14:paraId="5B284707" w14:textId="77777777" w:rsidR="006C686E" w:rsidRDefault="00B17E8C">
            <w:pPr>
              <w:pStyle w:val="P68B1DB1-Normal63"/>
              <w:spacing w:after="0" w:line="276" w:lineRule="auto"/>
              <w:jc w:val="center"/>
              <w:rPr>
                <w:noProof/>
              </w:rPr>
            </w:pPr>
            <w:r>
              <w:rPr>
                <w:noProof/>
              </w:rPr>
              <w:t>TD-C17-r32</w:t>
            </w:r>
          </w:p>
        </w:tc>
        <w:tc>
          <w:tcPr>
            <w:tcW w:w="1520" w:type="dxa"/>
            <w:shd w:val="clear" w:color="auto" w:fill="C4EFCE"/>
            <w:vAlign w:val="center"/>
          </w:tcPr>
          <w:p w14:paraId="3339C2D7"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49F49024" w14:textId="77777777" w:rsidR="006C686E" w:rsidRDefault="00B17E8C">
            <w:pPr>
              <w:pStyle w:val="P68B1DB1-Normal63"/>
              <w:spacing w:after="0" w:line="276" w:lineRule="auto"/>
              <w:jc w:val="both"/>
              <w:rPr>
                <w:noProof/>
              </w:rPr>
            </w:pPr>
            <w:r>
              <w:rPr>
                <w:noProof/>
              </w:rPr>
              <w:t xml:space="preserve">Budget et plans d'activités des entreprises publiques </w:t>
            </w:r>
          </w:p>
        </w:tc>
      </w:tr>
      <w:tr w:rsidR="006C686E" w14:paraId="0FAD5BAE" w14:textId="77777777">
        <w:trPr>
          <w:trHeight w:val="440"/>
        </w:trPr>
        <w:tc>
          <w:tcPr>
            <w:tcW w:w="1200" w:type="dxa"/>
            <w:shd w:val="clear" w:color="auto" w:fill="C4EFCE"/>
            <w:vAlign w:val="center"/>
          </w:tcPr>
          <w:p w14:paraId="351D41C3" w14:textId="77777777" w:rsidR="006C686E" w:rsidRDefault="00B17E8C">
            <w:pPr>
              <w:pStyle w:val="P68B1DB1-Normal63"/>
              <w:spacing w:after="0" w:line="276" w:lineRule="auto"/>
              <w:jc w:val="center"/>
              <w:rPr>
                <w:noProof/>
              </w:rPr>
            </w:pPr>
            <w:r>
              <w:rPr>
                <w:noProof/>
              </w:rPr>
              <w:t>18.10</w:t>
            </w:r>
          </w:p>
        </w:tc>
        <w:tc>
          <w:tcPr>
            <w:tcW w:w="1760" w:type="dxa"/>
            <w:shd w:val="clear" w:color="auto" w:fill="C4EFCE"/>
            <w:vAlign w:val="center"/>
          </w:tcPr>
          <w:p w14:paraId="3E7092AF" w14:textId="77777777" w:rsidR="006C686E" w:rsidRDefault="00B17E8C">
            <w:pPr>
              <w:pStyle w:val="P68B1DB1-Normal63"/>
              <w:spacing w:after="0" w:line="276" w:lineRule="auto"/>
              <w:jc w:val="center"/>
              <w:rPr>
                <w:noProof/>
              </w:rPr>
            </w:pPr>
            <w:r>
              <w:rPr>
                <w:noProof/>
              </w:rPr>
              <w:t>TD-C18-r33</w:t>
            </w:r>
          </w:p>
        </w:tc>
        <w:tc>
          <w:tcPr>
            <w:tcW w:w="1520" w:type="dxa"/>
            <w:shd w:val="clear" w:color="auto" w:fill="C4EFCE"/>
            <w:vAlign w:val="center"/>
          </w:tcPr>
          <w:p w14:paraId="7FB809EE"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5261DECE" w14:textId="77777777" w:rsidR="006C686E" w:rsidRDefault="00B17E8C">
            <w:pPr>
              <w:pStyle w:val="P68B1DB1-Normal63"/>
              <w:spacing w:after="0" w:line="276" w:lineRule="auto"/>
              <w:jc w:val="both"/>
              <w:rPr>
                <w:noProof/>
              </w:rPr>
            </w:pPr>
            <w:r>
              <w:rPr>
                <w:noProof/>
              </w:rPr>
              <w:t>Statuts des greffiers</w:t>
            </w:r>
          </w:p>
        </w:tc>
      </w:tr>
      <w:tr w:rsidR="006C686E" w14:paraId="28FF32E9" w14:textId="77777777">
        <w:trPr>
          <w:trHeight w:val="440"/>
        </w:trPr>
        <w:tc>
          <w:tcPr>
            <w:tcW w:w="1200" w:type="dxa"/>
            <w:shd w:val="clear" w:color="auto" w:fill="C4EFCE"/>
            <w:vAlign w:val="center"/>
          </w:tcPr>
          <w:p w14:paraId="08A2E9B2" w14:textId="77777777" w:rsidR="006C686E" w:rsidRDefault="00B17E8C">
            <w:pPr>
              <w:pStyle w:val="P68B1DB1-Normal63"/>
              <w:spacing w:after="0" w:line="276" w:lineRule="auto"/>
              <w:jc w:val="center"/>
              <w:rPr>
                <w:noProof/>
              </w:rPr>
            </w:pPr>
            <w:r>
              <w:rPr>
                <w:noProof/>
              </w:rPr>
              <w:t>19.27</w:t>
            </w:r>
          </w:p>
        </w:tc>
        <w:tc>
          <w:tcPr>
            <w:tcW w:w="1760" w:type="dxa"/>
            <w:shd w:val="clear" w:color="auto" w:fill="C4EFCE"/>
            <w:vAlign w:val="center"/>
          </w:tcPr>
          <w:p w14:paraId="6CEC1014" w14:textId="77777777" w:rsidR="006C686E" w:rsidRDefault="00B17E8C">
            <w:pPr>
              <w:pStyle w:val="P68B1DB1-Normal63"/>
              <w:spacing w:after="0" w:line="276" w:lineRule="auto"/>
              <w:jc w:val="center"/>
              <w:rPr>
                <w:noProof/>
              </w:rPr>
            </w:pPr>
            <w:r>
              <w:rPr>
                <w:noProof/>
              </w:rPr>
              <w:t>TD-C19-i01</w:t>
            </w:r>
          </w:p>
        </w:tc>
        <w:tc>
          <w:tcPr>
            <w:tcW w:w="1520" w:type="dxa"/>
            <w:shd w:val="clear" w:color="auto" w:fill="C4EFCE"/>
            <w:vAlign w:val="center"/>
          </w:tcPr>
          <w:p w14:paraId="3731B4DF" w14:textId="08C0DA1B"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08F48E2E" w14:textId="77777777" w:rsidR="006C686E" w:rsidRDefault="00B17E8C">
            <w:pPr>
              <w:pStyle w:val="P68B1DB1-Normal63"/>
              <w:spacing w:after="0" w:line="276" w:lineRule="auto"/>
              <w:jc w:val="both"/>
              <w:rPr>
                <w:noProof/>
              </w:rPr>
            </w:pPr>
            <w:r>
              <w:rPr>
                <w:noProof/>
              </w:rPr>
              <w:t>Demande citoyenne</w:t>
            </w:r>
          </w:p>
        </w:tc>
      </w:tr>
      <w:tr w:rsidR="006C686E" w14:paraId="1D524E6C" w14:textId="77777777">
        <w:trPr>
          <w:trHeight w:val="440"/>
        </w:trPr>
        <w:tc>
          <w:tcPr>
            <w:tcW w:w="1200" w:type="dxa"/>
            <w:shd w:val="clear" w:color="auto" w:fill="C4EFCE"/>
            <w:vAlign w:val="center"/>
          </w:tcPr>
          <w:p w14:paraId="6150D0F6" w14:textId="77777777" w:rsidR="006C686E" w:rsidRDefault="00B17E8C">
            <w:pPr>
              <w:pStyle w:val="P68B1DB1-Normal63"/>
              <w:spacing w:after="0" w:line="276" w:lineRule="auto"/>
              <w:jc w:val="center"/>
              <w:rPr>
                <w:noProof/>
              </w:rPr>
            </w:pPr>
            <w:r>
              <w:rPr>
                <w:noProof/>
              </w:rPr>
              <w:t>19.14</w:t>
            </w:r>
          </w:p>
        </w:tc>
        <w:tc>
          <w:tcPr>
            <w:tcW w:w="1760" w:type="dxa"/>
            <w:shd w:val="clear" w:color="auto" w:fill="C4EFCE"/>
            <w:vAlign w:val="center"/>
          </w:tcPr>
          <w:p w14:paraId="746D4FAC" w14:textId="77777777" w:rsidR="006C686E" w:rsidRDefault="00B17E8C">
            <w:pPr>
              <w:pStyle w:val="P68B1DB1-Normal63"/>
              <w:spacing w:after="0" w:line="276" w:lineRule="auto"/>
              <w:jc w:val="center"/>
              <w:rPr>
                <w:noProof/>
              </w:rPr>
            </w:pPr>
            <w:r>
              <w:rPr>
                <w:noProof/>
              </w:rPr>
              <w:t>TD-C19-i04</w:t>
            </w:r>
          </w:p>
        </w:tc>
        <w:tc>
          <w:tcPr>
            <w:tcW w:w="1520" w:type="dxa"/>
            <w:shd w:val="clear" w:color="auto" w:fill="C4EFCE"/>
            <w:vAlign w:val="center"/>
          </w:tcPr>
          <w:p w14:paraId="20965F50"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43D35435" w14:textId="77777777" w:rsidR="006C686E" w:rsidRDefault="00B17E8C">
            <w:pPr>
              <w:pStyle w:val="P68B1DB1-Normal63"/>
              <w:spacing w:after="0" w:line="276" w:lineRule="auto"/>
              <w:jc w:val="both"/>
              <w:rPr>
                <w:noProof/>
              </w:rPr>
            </w:pPr>
            <w:r>
              <w:rPr>
                <w:noProof/>
              </w:rPr>
              <w:t>Systèmes informatiques des forces et services de sécurité</w:t>
            </w:r>
          </w:p>
        </w:tc>
      </w:tr>
      <w:tr w:rsidR="006C686E" w14:paraId="435C7411" w14:textId="77777777">
        <w:trPr>
          <w:trHeight w:val="440"/>
        </w:trPr>
        <w:tc>
          <w:tcPr>
            <w:tcW w:w="1200" w:type="dxa"/>
            <w:shd w:val="clear" w:color="auto" w:fill="C4EFCE"/>
            <w:vAlign w:val="center"/>
          </w:tcPr>
          <w:p w14:paraId="79973E8D" w14:textId="77777777" w:rsidR="006C686E" w:rsidRDefault="00B17E8C">
            <w:pPr>
              <w:pStyle w:val="P68B1DB1-Normal63"/>
              <w:spacing w:after="0" w:line="276" w:lineRule="auto"/>
              <w:jc w:val="center"/>
              <w:rPr>
                <w:noProof/>
              </w:rPr>
            </w:pPr>
            <w:r>
              <w:rPr>
                <w:noProof/>
              </w:rPr>
              <w:t>19.16</w:t>
            </w:r>
          </w:p>
        </w:tc>
        <w:tc>
          <w:tcPr>
            <w:tcW w:w="1760" w:type="dxa"/>
            <w:shd w:val="clear" w:color="auto" w:fill="C4EFCE"/>
            <w:vAlign w:val="center"/>
          </w:tcPr>
          <w:p w14:paraId="3A47A5B4" w14:textId="77777777" w:rsidR="006C686E" w:rsidRDefault="00B17E8C">
            <w:pPr>
              <w:pStyle w:val="P68B1DB1-Normal63"/>
              <w:spacing w:after="0" w:line="276" w:lineRule="auto"/>
              <w:jc w:val="center"/>
              <w:rPr>
                <w:noProof/>
              </w:rPr>
            </w:pPr>
            <w:r>
              <w:rPr>
                <w:noProof/>
              </w:rPr>
              <w:t>TD-C19-i05-RAM</w:t>
            </w:r>
          </w:p>
        </w:tc>
        <w:tc>
          <w:tcPr>
            <w:tcW w:w="1520" w:type="dxa"/>
            <w:shd w:val="clear" w:color="auto" w:fill="C4EFCE"/>
            <w:vAlign w:val="center"/>
          </w:tcPr>
          <w:p w14:paraId="69ACB53E"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21B1F6F9" w14:textId="77777777" w:rsidR="006C686E" w:rsidRDefault="00B17E8C">
            <w:pPr>
              <w:pStyle w:val="P68B1DB1-Normal63"/>
              <w:spacing w:after="0" w:line="276" w:lineRule="auto"/>
              <w:jc w:val="both"/>
              <w:rPr>
                <w:noProof/>
              </w:rPr>
            </w:pPr>
            <w:r>
              <w:rPr>
                <w:noProof/>
              </w:rPr>
              <w:t>Services publics numériques dans l'ARM</w:t>
            </w:r>
          </w:p>
        </w:tc>
      </w:tr>
      <w:tr w:rsidR="006C686E" w14:paraId="41EB62A0" w14:textId="77777777">
        <w:trPr>
          <w:trHeight w:val="440"/>
        </w:trPr>
        <w:tc>
          <w:tcPr>
            <w:tcW w:w="1200" w:type="dxa"/>
            <w:shd w:val="clear" w:color="auto" w:fill="C4EFCE"/>
            <w:vAlign w:val="center"/>
          </w:tcPr>
          <w:p w14:paraId="4CDD8033" w14:textId="77777777" w:rsidR="006C686E" w:rsidRDefault="00B17E8C">
            <w:pPr>
              <w:pStyle w:val="P68B1DB1-Normal63"/>
              <w:spacing w:after="0" w:line="276" w:lineRule="auto"/>
              <w:jc w:val="center"/>
              <w:rPr>
                <w:noProof/>
              </w:rPr>
            </w:pPr>
            <w:r>
              <w:rPr>
                <w:noProof/>
              </w:rPr>
              <w:t>19.34</w:t>
            </w:r>
          </w:p>
        </w:tc>
        <w:tc>
          <w:tcPr>
            <w:tcW w:w="1760" w:type="dxa"/>
            <w:shd w:val="clear" w:color="auto" w:fill="C4EFCE"/>
            <w:vAlign w:val="center"/>
          </w:tcPr>
          <w:p w14:paraId="688BFE11" w14:textId="77777777" w:rsidR="006C686E" w:rsidRDefault="00B17E8C">
            <w:pPr>
              <w:pStyle w:val="P68B1DB1-Normal63"/>
              <w:spacing w:after="0" w:line="276" w:lineRule="auto"/>
              <w:jc w:val="center"/>
              <w:rPr>
                <w:noProof/>
              </w:rPr>
            </w:pPr>
            <w:r>
              <w:rPr>
                <w:noProof/>
              </w:rPr>
              <w:t>TD-C19-i08</w:t>
            </w:r>
          </w:p>
        </w:tc>
        <w:tc>
          <w:tcPr>
            <w:tcW w:w="1520" w:type="dxa"/>
            <w:shd w:val="clear" w:color="auto" w:fill="C4EFCE"/>
            <w:vAlign w:val="center"/>
          </w:tcPr>
          <w:p w14:paraId="5D9EAE56"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2B93031E" w14:textId="77777777" w:rsidR="006C686E" w:rsidRDefault="00B17E8C">
            <w:pPr>
              <w:pStyle w:val="P68B1DB1-Normal63"/>
              <w:spacing w:after="0" w:line="276" w:lineRule="auto"/>
              <w:jc w:val="both"/>
              <w:rPr>
                <w:noProof/>
              </w:rPr>
            </w:pPr>
            <w:r>
              <w:rPr>
                <w:noProof/>
              </w:rPr>
              <w:t>Portail des territoires intelligents</w:t>
            </w:r>
          </w:p>
        </w:tc>
      </w:tr>
      <w:tr w:rsidR="006C686E" w14:paraId="187C4A22" w14:textId="77777777">
        <w:trPr>
          <w:trHeight w:val="440"/>
        </w:trPr>
        <w:tc>
          <w:tcPr>
            <w:tcW w:w="1200" w:type="dxa"/>
            <w:shd w:val="clear" w:color="auto" w:fill="C4EFCE"/>
            <w:vAlign w:val="center"/>
          </w:tcPr>
          <w:p w14:paraId="7E336DF6" w14:textId="77777777" w:rsidR="006C686E" w:rsidRDefault="00B17E8C">
            <w:pPr>
              <w:pStyle w:val="P68B1DB1-Normal63"/>
              <w:spacing w:after="0" w:line="276" w:lineRule="auto"/>
              <w:jc w:val="center"/>
              <w:rPr>
                <w:noProof/>
              </w:rPr>
            </w:pPr>
            <w:r>
              <w:rPr>
                <w:noProof/>
              </w:rPr>
              <w:t>19.36</w:t>
            </w:r>
          </w:p>
        </w:tc>
        <w:tc>
          <w:tcPr>
            <w:tcW w:w="1760" w:type="dxa"/>
            <w:shd w:val="clear" w:color="auto" w:fill="C4EFCE"/>
            <w:vAlign w:val="center"/>
          </w:tcPr>
          <w:p w14:paraId="160E6E68" w14:textId="77777777" w:rsidR="006C686E" w:rsidRDefault="00B17E8C">
            <w:pPr>
              <w:pStyle w:val="P68B1DB1-Normal63"/>
              <w:spacing w:after="0" w:line="276" w:lineRule="auto"/>
              <w:jc w:val="center"/>
              <w:rPr>
                <w:noProof/>
              </w:rPr>
            </w:pPr>
            <w:r>
              <w:rPr>
                <w:noProof/>
              </w:rPr>
              <w:t>TD-C19-i08</w:t>
            </w:r>
          </w:p>
        </w:tc>
        <w:tc>
          <w:tcPr>
            <w:tcW w:w="1520" w:type="dxa"/>
            <w:shd w:val="clear" w:color="auto" w:fill="C4EFCE"/>
            <w:vAlign w:val="center"/>
          </w:tcPr>
          <w:p w14:paraId="42AE3EF5"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31B2192B" w14:textId="77777777" w:rsidR="006C686E" w:rsidRDefault="00B17E8C">
            <w:pPr>
              <w:pStyle w:val="P68B1DB1-Normal63"/>
              <w:spacing w:after="0" w:line="276" w:lineRule="auto"/>
              <w:jc w:val="both"/>
              <w:rPr>
                <w:noProof/>
              </w:rPr>
            </w:pPr>
            <w:r>
              <w:rPr>
                <w:noProof/>
              </w:rPr>
              <w:t>Formation sur les territoires intelligents</w:t>
            </w:r>
          </w:p>
        </w:tc>
      </w:tr>
      <w:tr w:rsidR="006C686E" w14:paraId="0CC87206" w14:textId="77777777">
        <w:trPr>
          <w:trHeight w:val="440"/>
        </w:trPr>
        <w:tc>
          <w:tcPr>
            <w:tcW w:w="1200" w:type="dxa"/>
            <w:shd w:val="clear" w:color="auto" w:fill="C4EFCE"/>
            <w:vAlign w:val="center"/>
          </w:tcPr>
          <w:p w14:paraId="7334C713" w14:textId="77777777" w:rsidR="006C686E" w:rsidRDefault="00B17E8C">
            <w:pPr>
              <w:pStyle w:val="P68B1DB1-Normal63"/>
              <w:spacing w:after="0" w:line="276" w:lineRule="auto"/>
              <w:jc w:val="center"/>
              <w:rPr>
                <w:noProof/>
              </w:rPr>
            </w:pPr>
            <w:r>
              <w:rPr>
                <w:noProof/>
              </w:rPr>
              <w:t>21.1</w:t>
            </w:r>
          </w:p>
        </w:tc>
        <w:tc>
          <w:tcPr>
            <w:tcW w:w="1760" w:type="dxa"/>
            <w:shd w:val="clear" w:color="auto" w:fill="C4EFCE"/>
            <w:vAlign w:val="center"/>
          </w:tcPr>
          <w:p w14:paraId="4AC6241B" w14:textId="77777777" w:rsidR="006C686E" w:rsidRDefault="00B17E8C">
            <w:pPr>
              <w:pStyle w:val="P68B1DB1-Normal63"/>
              <w:spacing w:after="0" w:line="276" w:lineRule="auto"/>
              <w:jc w:val="center"/>
              <w:rPr>
                <w:noProof/>
              </w:rPr>
            </w:pPr>
            <w:r>
              <w:rPr>
                <w:noProof/>
              </w:rPr>
              <w:t>RP-C21-i01</w:t>
            </w:r>
          </w:p>
        </w:tc>
        <w:tc>
          <w:tcPr>
            <w:tcW w:w="1520" w:type="dxa"/>
            <w:shd w:val="clear" w:color="auto" w:fill="C4EFCE"/>
            <w:vAlign w:val="center"/>
          </w:tcPr>
          <w:p w14:paraId="2E63F18F" w14:textId="77777777" w:rsidR="006C686E" w:rsidRDefault="00B17E8C">
            <w:pPr>
              <w:pStyle w:val="P68B1DB1-Normal63"/>
              <w:spacing w:after="0" w:line="276" w:lineRule="auto"/>
              <w:jc w:val="center"/>
              <w:rPr>
                <w:noProof/>
              </w:rPr>
            </w:pPr>
            <w:r>
              <w:rPr>
                <w:noProof/>
              </w:rPr>
              <w:t>T</w:t>
            </w:r>
          </w:p>
        </w:tc>
        <w:tc>
          <w:tcPr>
            <w:tcW w:w="5060" w:type="dxa"/>
            <w:shd w:val="clear" w:color="auto" w:fill="C4EFCE"/>
            <w:vAlign w:val="center"/>
          </w:tcPr>
          <w:p w14:paraId="4B36B4F2" w14:textId="77777777" w:rsidR="006C686E" w:rsidRDefault="00B17E8C">
            <w:pPr>
              <w:pStyle w:val="P68B1DB1-Normal63"/>
              <w:spacing w:after="0" w:line="276" w:lineRule="auto"/>
              <w:jc w:val="both"/>
              <w:rPr>
                <w:noProof/>
              </w:rPr>
            </w:pPr>
            <w:r>
              <w:rPr>
                <w:noProof/>
              </w:rPr>
              <w:t>Soutien financier aux projets de décarbonation industrielle</w:t>
            </w:r>
          </w:p>
        </w:tc>
      </w:tr>
      <w:tr w:rsidR="006C686E" w14:paraId="4249FC7C" w14:textId="77777777">
        <w:trPr>
          <w:trHeight w:val="440"/>
        </w:trPr>
        <w:tc>
          <w:tcPr>
            <w:tcW w:w="1200" w:type="dxa"/>
            <w:shd w:val="clear" w:color="auto" w:fill="C4EFCE"/>
            <w:vAlign w:val="center"/>
          </w:tcPr>
          <w:p w14:paraId="00CAF5F3" w14:textId="77777777" w:rsidR="006C686E" w:rsidRDefault="00B17E8C">
            <w:pPr>
              <w:pStyle w:val="P68B1DB1-Normal63"/>
              <w:spacing w:after="0" w:line="276" w:lineRule="auto"/>
              <w:jc w:val="center"/>
              <w:rPr>
                <w:noProof/>
              </w:rPr>
            </w:pPr>
            <w:r>
              <w:rPr>
                <w:noProof/>
              </w:rPr>
              <w:t>21.8</w:t>
            </w:r>
          </w:p>
        </w:tc>
        <w:tc>
          <w:tcPr>
            <w:tcW w:w="1760" w:type="dxa"/>
            <w:shd w:val="clear" w:color="auto" w:fill="C4EFCE"/>
            <w:vAlign w:val="center"/>
          </w:tcPr>
          <w:p w14:paraId="054A0D60" w14:textId="77777777" w:rsidR="006C686E" w:rsidRDefault="00B17E8C">
            <w:pPr>
              <w:pStyle w:val="P68B1DB1-Normal63"/>
              <w:spacing w:after="0" w:line="276" w:lineRule="auto"/>
              <w:jc w:val="center"/>
              <w:rPr>
                <w:noProof/>
              </w:rPr>
            </w:pPr>
            <w:r>
              <w:rPr>
                <w:noProof/>
              </w:rPr>
              <w:t>RP-C21-r43</w:t>
            </w:r>
          </w:p>
        </w:tc>
        <w:tc>
          <w:tcPr>
            <w:tcW w:w="1520" w:type="dxa"/>
            <w:shd w:val="clear" w:color="auto" w:fill="C4EFCE"/>
            <w:vAlign w:val="center"/>
          </w:tcPr>
          <w:p w14:paraId="04EFC1CB"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7CEA4445" w14:textId="77777777" w:rsidR="006C686E" w:rsidRDefault="00B17E8C">
            <w:pPr>
              <w:pStyle w:val="P68B1DB1-Normal63"/>
              <w:spacing w:after="0" w:line="276" w:lineRule="auto"/>
              <w:jc w:val="both"/>
              <w:rPr>
                <w:noProof/>
              </w:rPr>
            </w:pPr>
            <w:r>
              <w:rPr>
                <w:noProof/>
              </w:rPr>
              <w:t>Instrument de financement pour lutter contre la précarité énergétique</w:t>
            </w:r>
          </w:p>
        </w:tc>
      </w:tr>
      <w:tr w:rsidR="006C686E" w14:paraId="23CE833D" w14:textId="77777777">
        <w:trPr>
          <w:trHeight w:val="440"/>
        </w:trPr>
        <w:tc>
          <w:tcPr>
            <w:tcW w:w="1200" w:type="dxa"/>
            <w:shd w:val="clear" w:color="auto" w:fill="C4EFCE"/>
            <w:vAlign w:val="center"/>
          </w:tcPr>
          <w:p w14:paraId="2B67FB56" w14:textId="77777777" w:rsidR="006C686E" w:rsidRDefault="00B17E8C">
            <w:pPr>
              <w:pStyle w:val="P68B1DB1-Normal63"/>
              <w:spacing w:after="0" w:line="276" w:lineRule="auto"/>
              <w:jc w:val="center"/>
              <w:rPr>
                <w:noProof/>
              </w:rPr>
            </w:pPr>
            <w:r>
              <w:rPr>
                <w:noProof/>
              </w:rPr>
              <w:t>21.11</w:t>
            </w:r>
          </w:p>
        </w:tc>
        <w:tc>
          <w:tcPr>
            <w:tcW w:w="1760" w:type="dxa"/>
            <w:shd w:val="clear" w:color="auto" w:fill="C4EFCE"/>
            <w:vAlign w:val="center"/>
          </w:tcPr>
          <w:p w14:paraId="4F21E75C" w14:textId="77777777" w:rsidR="006C686E" w:rsidRDefault="00B17E8C">
            <w:pPr>
              <w:pStyle w:val="P68B1DB1-Normal63"/>
              <w:spacing w:after="0" w:line="276" w:lineRule="auto"/>
              <w:jc w:val="center"/>
              <w:rPr>
                <w:noProof/>
              </w:rPr>
            </w:pPr>
            <w:r>
              <w:rPr>
                <w:noProof/>
              </w:rPr>
              <w:t>RP-C21-r44</w:t>
            </w:r>
          </w:p>
        </w:tc>
        <w:tc>
          <w:tcPr>
            <w:tcW w:w="1520" w:type="dxa"/>
            <w:shd w:val="clear" w:color="auto" w:fill="C4EFCE"/>
            <w:vAlign w:val="center"/>
          </w:tcPr>
          <w:p w14:paraId="62B59B72"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6C195B3F" w14:textId="77777777" w:rsidR="006C686E" w:rsidRDefault="00B17E8C">
            <w:pPr>
              <w:pStyle w:val="P68B1DB1-Normal63"/>
              <w:spacing w:after="0" w:line="276" w:lineRule="auto"/>
              <w:jc w:val="both"/>
              <w:rPr>
                <w:noProof/>
              </w:rPr>
            </w:pPr>
            <w:r>
              <w:rPr>
                <w:noProof/>
              </w:rPr>
              <w:t>Espaços Cidadão Energia</w:t>
            </w:r>
          </w:p>
        </w:tc>
      </w:tr>
      <w:tr w:rsidR="006C686E" w14:paraId="77A356D0" w14:textId="77777777">
        <w:trPr>
          <w:trHeight w:val="440"/>
        </w:trPr>
        <w:tc>
          <w:tcPr>
            <w:tcW w:w="1200" w:type="dxa"/>
            <w:shd w:val="clear" w:color="auto" w:fill="C4EFCE"/>
            <w:vAlign w:val="center"/>
          </w:tcPr>
          <w:p w14:paraId="448D7EAC" w14:textId="77777777" w:rsidR="006C686E" w:rsidRDefault="00B17E8C">
            <w:pPr>
              <w:pStyle w:val="P68B1DB1-Normal63"/>
              <w:spacing w:after="0" w:line="276" w:lineRule="auto"/>
              <w:jc w:val="center"/>
              <w:rPr>
                <w:noProof/>
              </w:rPr>
            </w:pPr>
            <w:r>
              <w:rPr>
                <w:noProof/>
              </w:rPr>
              <w:t>21.15</w:t>
            </w:r>
          </w:p>
        </w:tc>
        <w:tc>
          <w:tcPr>
            <w:tcW w:w="1760" w:type="dxa"/>
            <w:shd w:val="clear" w:color="auto" w:fill="C4EFCE"/>
            <w:vAlign w:val="center"/>
          </w:tcPr>
          <w:p w14:paraId="03415937" w14:textId="77777777" w:rsidR="006C686E" w:rsidRDefault="00B17E8C">
            <w:pPr>
              <w:pStyle w:val="P68B1DB1-Normal63"/>
              <w:spacing w:after="0" w:line="276" w:lineRule="auto"/>
              <w:jc w:val="center"/>
              <w:rPr>
                <w:noProof/>
              </w:rPr>
            </w:pPr>
            <w:r>
              <w:rPr>
                <w:noProof/>
              </w:rPr>
              <w:t xml:space="preserve"> RP-C21-r45</w:t>
            </w:r>
          </w:p>
        </w:tc>
        <w:tc>
          <w:tcPr>
            <w:tcW w:w="1520" w:type="dxa"/>
            <w:shd w:val="clear" w:color="auto" w:fill="C4EFCE"/>
            <w:vAlign w:val="center"/>
          </w:tcPr>
          <w:p w14:paraId="7D084674" w14:textId="77777777" w:rsidR="006C686E" w:rsidRDefault="00B17E8C">
            <w:pPr>
              <w:pStyle w:val="P68B1DB1-Normal63"/>
              <w:spacing w:after="0" w:line="276" w:lineRule="auto"/>
              <w:jc w:val="center"/>
              <w:rPr>
                <w:noProof/>
              </w:rPr>
            </w:pPr>
            <w:r>
              <w:rPr>
                <w:noProof/>
              </w:rPr>
              <w:t>M</w:t>
            </w:r>
          </w:p>
        </w:tc>
        <w:tc>
          <w:tcPr>
            <w:tcW w:w="5060" w:type="dxa"/>
            <w:shd w:val="clear" w:color="auto" w:fill="C4EFCE"/>
            <w:vAlign w:val="center"/>
          </w:tcPr>
          <w:p w14:paraId="4183C82E" w14:textId="77777777" w:rsidR="006C686E" w:rsidRDefault="00B17E8C">
            <w:pPr>
              <w:pStyle w:val="P68B1DB1-Normal63"/>
              <w:spacing w:after="0" w:line="276" w:lineRule="auto"/>
              <w:jc w:val="both"/>
              <w:rPr>
                <w:noProof/>
              </w:rPr>
            </w:pPr>
            <w:r>
              <w:rPr>
                <w:noProof/>
              </w:rPr>
              <w:t>Centre de formation pour la transition énergétique</w:t>
            </w:r>
          </w:p>
        </w:tc>
      </w:tr>
      <w:tr w:rsidR="006C686E" w14:paraId="0F992E62" w14:textId="77777777">
        <w:trPr>
          <w:trHeight w:val="440"/>
        </w:trPr>
        <w:tc>
          <w:tcPr>
            <w:tcW w:w="1200" w:type="dxa"/>
            <w:shd w:val="clear" w:color="auto" w:fill="C4EFCE"/>
            <w:vAlign w:val="center"/>
            <w:hideMark/>
          </w:tcPr>
          <w:p w14:paraId="4A55FB94"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5FA1401E" w14:textId="77777777" w:rsidR="006C686E" w:rsidRDefault="00B17E8C">
            <w:pPr>
              <w:pStyle w:val="P68B1DB1-Normal60"/>
              <w:spacing w:after="0" w:line="240" w:lineRule="auto"/>
              <w:jc w:val="center"/>
              <w:rPr>
                <w:rFonts w:eastAsia="Times New Roman"/>
                <w:noProof/>
              </w:rPr>
            </w:pPr>
            <w:r>
              <w:rPr>
                <w:noProof/>
              </w:rPr>
              <w:t xml:space="preserve"> </w:t>
            </w:r>
          </w:p>
        </w:tc>
        <w:tc>
          <w:tcPr>
            <w:tcW w:w="1520" w:type="dxa"/>
            <w:shd w:val="clear" w:color="auto" w:fill="C4EFCE"/>
            <w:vAlign w:val="center"/>
            <w:hideMark/>
          </w:tcPr>
          <w:p w14:paraId="4825B98E"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6A4C63AF" w14:textId="61EC79CB" w:rsidR="006C686E" w:rsidRDefault="00B17E8C">
            <w:pPr>
              <w:pStyle w:val="P68B1DB1-Normal61"/>
              <w:spacing w:after="0" w:line="240" w:lineRule="auto"/>
              <w:jc w:val="center"/>
              <w:rPr>
                <w:iCs/>
                <w:noProof/>
                <w:sz w:val="20"/>
                <w:szCs w:val="20"/>
              </w:rPr>
            </w:pPr>
            <w:r>
              <w:rPr>
                <w:noProof/>
              </w:rPr>
              <w:t>941 378 890 EUR</w:t>
            </w:r>
          </w:p>
        </w:tc>
      </w:tr>
    </w:tbl>
    <w:p w14:paraId="0295181B" w14:textId="77777777" w:rsidR="006C686E" w:rsidRDefault="006C686E">
      <w:pPr>
        <w:keepNext/>
        <w:spacing w:before="40"/>
        <w:contextualSpacing/>
        <w:jc w:val="both"/>
        <w:rPr>
          <w:rFonts w:ascii="Times New Roman" w:eastAsia="Times New Roman" w:hAnsi="Times New Roman" w:cs="Times New Roman"/>
          <w:noProof/>
          <w:kern w:val="0"/>
          <w14:ligatures w14:val="none"/>
        </w:rPr>
      </w:pPr>
    </w:p>
    <w:p w14:paraId="2CCA879F"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Neuvième tranche (soutien non remboursable): </w:t>
      </w:r>
    </w:p>
    <w:p w14:paraId="70C1A0FF"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759"/>
        <w:gridCol w:w="1519"/>
        <w:gridCol w:w="5051"/>
      </w:tblGrid>
      <w:tr w:rsidR="006C686E" w14:paraId="7A9D468C" w14:textId="77777777">
        <w:trPr>
          <w:trHeight w:val="1018"/>
          <w:tblHeader/>
        </w:trPr>
        <w:tc>
          <w:tcPr>
            <w:tcW w:w="1211" w:type="dxa"/>
            <w:shd w:val="clear" w:color="auto" w:fill="BDD7EE"/>
            <w:vAlign w:val="center"/>
            <w:hideMark/>
          </w:tcPr>
          <w:p w14:paraId="4F4A5D5B"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59" w:type="dxa"/>
            <w:shd w:val="clear" w:color="auto" w:fill="BDD7EE"/>
            <w:vAlign w:val="center"/>
            <w:hideMark/>
          </w:tcPr>
          <w:p w14:paraId="72EC5CAC"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19" w:type="dxa"/>
            <w:shd w:val="clear" w:color="auto" w:fill="BDD7EE"/>
            <w:vAlign w:val="center"/>
            <w:hideMark/>
          </w:tcPr>
          <w:p w14:paraId="70AC32E9" w14:textId="77777777" w:rsidR="006C686E" w:rsidRDefault="00B17E8C">
            <w:pPr>
              <w:pStyle w:val="P68B1DB1-Normal59"/>
              <w:spacing w:after="0" w:line="240" w:lineRule="auto"/>
              <w:jc w:val="center"/>
              <w:rPr>
                <w:rFonts w:eastAsia="Times New Roman"/>
                <w:bCs/>
                <w:noProof/>
              </w:rPr>
            </w:pPr>
            <w:r>
              <w:rPr>
                <w:noProof/>
              </w:rPr>
              <w:t>Étape/cible</w:t>
            </w:r>
          </w:p>
        </w:tc>
        <w:tc>
          <w:tcPr>
            <w:tcW w:w="5051" w:type="dxa"/>
            <w:shd w:val="clear" w:color="auto" w:fill="BDD7EE"/>
            <w:vAlign w:val="center"/>
            <w:hideMark/>
          </w:tcPr>
          <w:p w14:paraId="1929FB60" w14:textId="77777777" w:rsidR="006C686E" w:rsidRDefault="00B17E8C">
            <w:pPr>
              <w:pStyle w:val="P68B1DB1-Normal59"/>
              <w:spacing w:after="0" w:line="240" w:lineRule="auto"/>
              <w:jc w:val="center"/>
              <w:rPr>
                <w:rFonts w:eastAsia="Times New Roman"/>
                <w:bCs/>
                <w:noProof/>
              </w:rPr>
            </w:pPr>
            <w:r>
              <w:rPr>
                <w:noProof/>
              </w:rPr>
              <w:t>Nom</w:t>
            </w:r>
          </w:p>
        </w:tc>
      </w:tr>
      <w:tr w:rsidR="006C686E" w14:paraId="27C9F9AE" w14:textId="77777777">
        <w:trPr>
          <w:trHeight w:val="440"/>
        </w:trPr>
        <w:tc>
          <w:tcPr>
            <w:tcW w:w="1211" w:type="dxa"/>
            <w:shd w:val="clear" w:color="auto" w:fill="C4EFCE"/>
            <w:vAlign w:val="center"/>
          </w:tcPr>
          <w:p w14:paraId="411C3EE3" w14:textId="77777777" w:rsidR="006C686E" w:rsidRDefault="00B17E8C">
            <w:pPr>
              <w:pStyle w:val="P68B1DB1-Normal63"/>
              <w:spacing w:after="0" w:line="276" w:lineRule="auto"/>
              <w:jc w:val="center"/>
              <w:rPr>
                <w:noProof/>
              </w:rPr>
            </w:pPr>
            <w:r>
              <w:rPr>
                <w:noProof/>
              </w:rPr>
              <w:t>3.12</w:t>
            </w:r>
          </w:p>
        </w:tc>
        <w:tc>
          <w:tcPr>
            <w:tcW w:w="1759" w:type="dxa"/>
            <w:shd w:val="clear" w:color="auto" w:fill="C4EFCE"/>
            <w:vAlign w:val="center"/>
          </w:tcPr>
          <w:p w14:paraId="73A55BAF" w14:textId="77777777" w:rsidR="006C686E" w:rsidRDefault="00B17E8C">
            <w:pPr>
              <w:pStyle w:val="P68B1DB1-Normal63"/>
              <w:spacing w:after="0" w:line="276" w:lineRule="auto"/>
              <w:jc w:val="center"/>
              <w:rPr>
                <w:noProof/>
              </w:rPr>
            </w:pPr>
            <w:r>
              <w:rPr>
                <w:noProof/>
              </w:rPr>
              <w:t>RE-C03-i04-RAA</w:t>
            </w:r>
          </w:p>
        </w:tc>
        <w:tc>
          <w:tcPr>
            <w:tcW w:w="1519" w:type="dxa"/>
            <w:shd w:val="clear" w:color="auto" w:fill="C4EFCE"/>
            <w:vAlign w:val="center"/>
          </w:tcPr>
          <w:p w14:paraId="29BB44E2"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104E52C5" w14:textId="51C6D9EA" w:rsidR="006C686E" w:rsidRDefault="00B17E8C">
            <w:pPr>
              <w:pStyle w:val="P68B1DB1-Normal62"/>
              <w:spacing w:after="0" w:line="240" w:lineRule="auto"/>
              <w:rPr>
                <w:noProof/>
                <w:kern w:val="0"/>
                <w14:ligatures w14:val="none"/>
              </w:rPr>
            </w:pPr>
            <w:r>
              <w:rPr>
                <w:noProof/>
              </w:rPr>
              <w:t>Formations sous contrat entre Direção Regional para a Promoção da Igualdade e Inclusão Prestataires sociaux et de formation</w:t>
            </w:r>
          </w:p>
        </w:tc>
      </w:tr>
      <w:tr w:rsidR="006C686E" w14:paraId="10282EE3" w14:textId="77777777">
        <w:trPr>
          <w:trHeight w:val="440"/>
        </w:trPr>
        <w:tc>
          <w:tcPr>
            <w:tcW w:w="1211" w:type="dxa"/>
            <w:shd w:val="clear" w:color="auto" w:fill="C4EFCE"/>
            <w:vAlign w:val="center"/>
          </w:tcPr>
          <w:p w14:paraId="0A7C3ED6" w14:textId="77777777" w:rsidR="006C686E" w:rsidRDefault="00B17E8C">
            <w:pPr>
              <w:pStyle w:val="P68B1DB1-Normal63"/>
              <w:spacing w:after="0" w:line="276" w:lineRule="auto"/>
              <w:jc w:val="center"/>
              <w:rPr>
                <w:noProof/>
              </w:rPr>
            </w:pPr>
            <w:r>
              <w:rPr>
                <w:noProof/>
              </w:rPr>
              <w:t>3.14</w:t>
            </w:r>
          </w:p>
        </w:tc>
        <w:tc>
          <w:tcPr>
            <w:tcW w:w="1759" w:type="dxa"/>
            <w:shd w:val="clear" w:color="auto" w:fill="C4EFCE"/>
            <w:vAlign w:val="center"/>
          </w:tcPr>
          <w:p w14:paraId="5B835B2D" w14:textId="77777777" w:rsidR="006C686E" w:rsidRDefault="00B17E8C">
            <w:pPr>
              <w:pStyle w:val="P68B1DB1-Normal63"/>
              <w:spacing w:after="0" w:line="276" w:lineRule="auto"/>
              <w:jc w:val="center"/>
              <w:rPr>
                <w:noProof/>
              </w:rPr>
            </w:pPr>
            <w:r>
              <w:rPr>
                <w:noProof/>
              </w:rPr>
              <w:t>RE-C03-i04-RAA</w:t>
            </w:r>
          </w:p>
        </w:tc>
        <w:tc>
          <w:tcPr>
            <w:tcW w:w="1519" w:type="dxa"/>
            <w:shd w:val="clear" w:color="auto" w:fill="C4EFCE"/>
            <w:vAlign w:val="center"/>
          </w:tcPr>
          <w:p w14:paraId="594DB978"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15D10E8F" w14:textId="77777777" w:rsidR="006C686E" w:rsidRDefault="00B17E8C">
            <w:pPr>
              <w:pStyle w:val="P68B1DB1-Normal64"/>
              <w:spacing w:after="0" w:line="276" w:lineRule="auto"/>
              <w:jc w:val="both"/>
              <w:rPr>
                <w:noProof/>
                <w:kern w:val="0"/>
                <w14:ligatures w14:val="none"/>
              </w:rPr>
            </w:pPr>
            <w:r>
              <w:rPr>
                <w:noProof/>
              </w:rPr>
              <w:t>Véhicules</w:t>
            </w:r>
            <w:r>
              <w:rPr>
                <w:noProof/>
                <w:kern w:val="0"/>
                <w14:ligatures w14:val="none"/>
              </w:rPr>
              <w:t xml:space="preserve"> électriques pour les Instituições Particulares de Solidariedade Social </w:t>
            </w:r>
          </w:p>
        </w:tc>
      </w:tr>
      <w:tr w:rsidR="006C686E" w14:paraId="651DEF78" w14:textId="77777777">
        <w:trPr>
          <w:trHeight w:val="440"/>
        </w:trPr>
        <w:tc>
          <w:tcPr>
            <w:tcW w:w="1211" w:type="dxa"/>
            <w:shd w:val="clear" w:color="auto" w:fill="C4EFCE"/>
            <w:vAlign w:val="center"/>
          </w:tcPr>
          <w:p w14:paraId="709B7103" w14:textId="77777777" w:rsidR="006C686E" w:rsidRDefault="00B17E8C">
            <w:pPr>
              <w:pStyle w:val="P68B1DB1-Normal63"/>
              <w:spacing w:after="0" w:line="276" w:lineRule="auto"/>
              <w:jc w:val="center"/>
              <w:rPr>
                <w:noProof/>
              </w:rPr>
            </w:pPr>
            <w:r>
              <w:rPr>
                <w:noProof/>
              </w:rPr>
              <w:t>3.16</w:t>
            </w:r>
          </w:p>
        </w:tc>
        <w:tc>
          <w:tcPr>
            <w:tcW w:w="1759" w:type="dxa"/>
            <w:shd w:val="clear" w:color="auto" w:fill="C4EFCE"/>
            <w:vAlign w:val="center"/>
          </w:tcPr>
          <w:p w14:paraId="164B62EC" w14:textId="77777777" w:rsidR="006C686E" w:rsidRDefault="00B17E8C">
            <w:pPr>
              <w:pStyle w:val="P68B1DB1-Normal63"/>
              <w:spacing w:after="0" w:line="276" w:lineRule="auto"/>
              <w:jc w:val="center"/>
              <w:rPr>
                <w:noProof/>
              </w:rPr>
            </w:pPr>
            <w:r>
              <w:rPr>
                <w:noProof/>
              </w:rPr>
              <w:t>RE-C03-i04-RAA</w:t>
            </w:r>
          </w:p>
        </w:tc>
        <w:tc>
          <w:tcPr>
            <w:tcW w:w="1519" w:type="dxa"/>
            <w:shd w:val="clear" w:color="auto" w:fill="C4EFCE"/>
            <w:vAlign w:val="center"/>
          </w:tcPr>
          <w:p w14:paraId="651EC1B0"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67F9617D" w14:textId="54A2B6A1" w:rsidR="006C686E" w:rsidRDefault="00B17E8C">
            <w:pPr>
              <w:pStyle w:val="P68B1DB1-Normal63"/>
              <w:spacing w:after="0" w:line="276" w:lineRule="auto"/>
              <w:jc w:val="both"/>
              <w:rPr>
                <w:noProof/>
                <w:color w:val="000000" w:themeColor="text1"/>
              </w:rPr>
            </w:pPr>
            <w:r>
              <w:rPr>
                <w:noProof/>
              </w:rPr>
              <w:t>Mesures visant à soutenir l’accès des enfants et des jeunes aux services sociaux et éducatifs</w:t>
            </w:r>
          </w:p>
        </w:tc>
      </w:tr>
      <w:tr w:rsidR="006C686E" w14:paraId="53A887D7" w14:textId="77777777">
        <w:trPr>
          <w:trHeight w:val="440"/>
        </w:trPr>
        <w:tc>
          <w:tcPr>
            <w:tcW w:w="1211" w:type="dxa"/>
            <w:shd w:val="clear" w:color="auto" w:fill="C4EFCE"/>
            <w:vAlign w:val="center"/>
          </w:tcPr>
          <w:p w14:paraId="4878C07C" w14:textId="77777777" w:rsidR="006C686E" w:rsidRDefault="00B17E8C">
            <w:pPr>
              <w:pStyle w:val="P68B1DB1-Normal63"/>
              <w:spacing w:after="0" w:line="276" w:lineRule="auto"/>
              <w:jc w:val="center"/>
              <w:rPr>
                <w:noProof/>
              </w:rPr>
            </w:pPr>
            <w:r>
              <w:rPr>
                <w:noProof/>
              </w:rPr>
              <w:t>3.19</w:t>
            </w:r>
          </w:p>
        </w:tc>
        <w:tc>
          <w:tcPr>
            <w:tcW w:w="1759" w:type="dxa"/>
            <w:shd w:val="clear" w:color="auto" w:fill="C4EFCE"/>
            <w:vAlign w:val="center"/>
          </w:tcPr>
          <w:p w14:paraId="5B7D327B" w14:textId="77777777" w:rsidR="006C686E" w:rsidRDefault="00B17E8C">
            <w:pPr>
              <w:pStyle w:val="P68B1DB1-Normal63"/>
              <w:spacing w:after="0" w:line="276" w:lineRule="auto"/>
              <w:jc w:val="center"/>
              <w:rPr>
                <w:noProof/>
              </w:rPr>
            </w:pPr>
            <w:r>
              <w:rPr>
                <w:noProof/>
              </w:rPr>
              <w:t>RE-C03-i05</w:t>
            </w:r>
          </w:p>
        </w:tc>
        <w:tc>
          <w:tcPr>
            <w:tcW w:w="1519" w:type="dxa"/>
            <w:shd w:val="clear" w:color="auto" w:fill="C4EFCE"/>
            <w:vAlign w:val="center"/>
          </w:tcPr>
          <w:p w14:paraId="6D0685ED"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2E4CCEDC" w14:textId="77777777" w:rsidR="006C686E" w:rsidRDefault="00B17E8C">
            <w:pPr>
              <w:pStyle w:val="P68B1DB1-Normal63"/>
              <w:spacing w:after="0" w:line="276" w:lineRule="auto"/>
              <w:jc w:val="both"/>
              <w:rPr>
                <w:noProof/>
              </w:rPr>
            </w:pPr>
            <w:r>
              <w:rPr>
                <w:noProof/>
              </w:rPr>
              <w:t>Centre d'appels pour la langue des signes portugaise</w:t>
            </w:r>
          </w:p>
        </w:tc>
      </w:tr>
      <w:tr w:rsidR="006C686E" w14:paraId="6F64C8A7" w14:textId="77777777">
        <w:trPr>
          <w:trHeight w:val="440"/>
        </w:trPr>
        <w:tc>
          <w:tcPr>
            <w:tcW w:w="1211" w:type="dxa"/>
            <w:shd w:val="clear" w:color="auto" w:fill="C4EFCE"/>
            <w:vAlign w:val="center"/>
          </w:tcPr>
          <w:p w14:paraId="1D1A549A" w14:textId="77777777" w:rsidR="006C686E" w:rsidRDefault="00B17E8C">
            <w:pPr>
              <w:pStyle w:val="P68B1DB1-Normal63"/>
              <w:spacing w:after="0" w:line="276" w:lineRule="auto"/>
              <w:jc w:val="center"/>
              <w:rPr>
                <w:noProof/>
              </w:rPr>
            </w:pPr>
            <w:r>
              <w:rPr>
                <w:noProof/>
              </w:rPr>
              <w:t>4.3</w:t>
            </w:r>
          </w:p>
        </w:tc>
        <w:tc>
          <w:tcPr>
            <w:tcW w:w="1759" w:type="dxa"/>
            <w:shd w:val="clear" w:color="auto" w:fill="C4EFCE"/>
            <w:vAlign w:val="center"/>
          </w:tcPr>
          <w:p w14:paraId="162C6A72" w14:textId="77777777" w:rsidR="006C686E" w:rsidRDefault="00B17E8C">
            <w:pPr>
              <w:pStyle w:val="P68B1DB1-Normal63"/>
              <w:spacing w:after="0" w:line="276" w:lineRule="auto"/>
              <w:jc w:val="center"/>
              <w:rPr>
                <w:noProof/>
              </w:rPr>
            </w:pPr>
            <w:r>
              <w:rPr>
                <w:noProof/>
              </w:rPr>
              <w:t>RE-C04-i01 </w:t>
            </w:r>
          </w:p>
        </w:tc>
        <w:tc>
          <w:tcPr>
            <w:tcW w:w="1519" w:type="dxa"/>
            <w:shd w:val="clear" w:color="auto" w:fill="C4EFCE"/>
            <w:vAlign w:val="center"/>
          </w:tcPr>
          <w:p w14:paraId="40FC4A5E" w14:textId="2C2FB090"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29BDBF68" w14:textId="39193015" w:rsidR="006C686E" w:rsidRDefault="00B17E8C">
            <w:pPr>
              <w:pStyle w:val="P68B1DB1-Normal63"/>
              <w:spacing w:after="0" w:line="276" w:lineRule="auto"/>
              <w:jc w:val="both"/>
              <w:rPr>
                <w:noProof/>
              </w:rPr>
            </w:pPr>
            <w:r>
              <w:rPr>
                <w:noProof/>
              </w:rPr>
              <w:t xml:space="preserve">Numérisation des documents </w:t>
            </w:r>
          </w:p>
        </w:tc>
      </w:tr>
      <w:tr w:rsidR="006C686E" w14:paraId="759D43D9" w14:textId="77777777">
        <w:trPr>
          <w:trHeight w:val="440"/>
        </w:trPr>
        <w:tc>
          <w:tcPr>
            <w:tcW w:w="1211" w:type="dxa"/>
            <w:shd w:val="clear" w:color="auto" w:fill="C4EFCE"/>
            <w:vAlign w:val="center"/>
          </w:tcPr>
          <w:p w14:paraId="0872A0A3" w14:textId="77777777" w:rsidR="006C686E" w:rsidRDefault="00B17E8C">
            <w:pPr>
              <w:pStyle w:val="P68B1DB1-Normal63"/>
              <w:spacing w:after="0" w:line="276" w:lineRule="auto"/>
              <w:jc w:val="center"/>
              <w:rPr>
                <w:noProof/>
              </w:rPr>
            </w:pPr>
            <w:r>
              <w:rPr>
                <w:noProof/>
              </w:rPr>
              <w:t>5.10</w:t>
            </w:r>
          </w:p>
        </w:tc>
        <w:tc>
          <w:tcPr>
            <w:tcW w:w="1759" w:type="dxa"/>
            <w:shd w:val="clear" w:color="auto" w:fill="C4EFCE"/>
            <w:vAlign w:val="center"/>
          </w:tcPr>
          <w:p w14:paraId="30894B55" w14:textId="77777777" w:rsidR="006C686E" w:rsidRDefault="00B17E8C">
            <w:pPr>
              <w:pStyle w:val="P68B1DB1-Normal63"/>
              <w:spacing w:after="0" w:line="276" w:lineRule="auto"/>
              <w:jc w:val="center"/>
              <w:rPr>
                <w:noProof/>
              </w:rPr>
            </w:pPr>
            <w:r>
              <w:rPr>
                <w:noProof/>
              </w:rPr>
              <w:t>RE-C05-i02</w:t>
            </w:r>
          </w:p>
        </w:tc>
        <w:tc>
          <w:tcPr>
            <w:tcW w:w="1519" w:type="dxa"/>
            <w:shd w:val="clear" w:color="auto" w:fill="C4EFCE"/>
            <w:vAlign w:val="center"/>
          </w:tcPr>
          <w:p w14:paraId="1E1BC59C"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2A78C153" w14:textId="555282B3" w:rsidR="006C686E" w:rsidRDefault="00B17E8C">
            <w:pPr>
              <w:pStyle w:val="P68B1DB1-Normal63"/>
              <w:spacing w:after="0" w:line="276" w:lineRule="auto"/>
              <w:jc w:val="both"/>
              <w:rPr>
                <w:noProof/>
                <w:color w:val="000000" w:themeColor="text1"/>
              </w:rPr>
            </w:pPr>
            <w:r>
              <w:rPr>
                <w:noProof/>
              </w:rPr>
              <w:t>Sociétés ayant conclu des accords ou établi des factures pour des services fournis par des entités d’interface</w:t>
            </w:r>
          </w:p>
        </w:tc>
      </w:tr>
      <w:tr w:rsidR="006C686E" w14:paraId="364E933C" w14:textId="77777777">
        <w:trPr>
          <w:trHeight w:val="440"/>
        </w:trPr>
        <w:tc>
          <w:tcPr>
            <w:tcW w:w="1211" w:type="dxa"/>
            <w:shd w:val="clear" w:color="auto" w:fill="C4EFCE"/>
            <w:vAlign w:val="center"/>
          </w:tcPr>
          <w:p w14:paraId="2D40CC9A" w14:textId="77777777" w:rsidR="006C686E" w:rsidRDefault="00B17E8C">
            <w:pPr>
              <w:pStyle w:val="P68B1DB1-Normal63"/>
              <w:spacing w:after="0" w:line="276" w:lineRule="auto"/>
              <w:jc w:val="center"/>
              <w:rPr>
                <w:noProof/>
              </w:rPr>
            </w:pPr>
            <w:r>
              <w:rPr>
                <w:noProof/>
              </w:rPr>
              <w:t>5.12</w:t>
            </w:r>
          </w:p>
        </w:tc>
        <w:tc>
          <w:tcPr>
            <w:tcW w:w="1759" w:type="dxa"/>
            <w:shd w:val="clear" w:color="auto" w:fill="C4EFCE"/>
            <w:vAlign w:val="center"/>
          </w:tcPr>
          <w:p w14:paraId="29F5F1A9" w14:textId="77777777" w:rsidR="006C686E" w:rsidRDefault="00B17E8C">
            <w:pPr>
              <w:pStyle w:val="P68B1DB1-Normal63"/>
              <w:spacing w:after="0" w:line="276" w:lineRule="auto"/>
              <w:jc w:val="center"/>
              <w:rPr>
                <w:noProof/>
              </w:rPr>
            </w:pPr>
            <w:r>
              <w:rPr>
                <w:noProof/>
              </w:rPr>
              <w:t>RE-C05-i03</w:t>
            </w:r>
          </w:p>
        </w:tc>
        <w:tc>
          <w:tcPr>
            <w:tcW w:w="1519" w:type="dxa"/>
            <w:shd w:val="clear" w:color="auto" w:fill="C4EFCE"/>
            <w:vAlign w:val="center"/>
          </w:tcPr>
          <w:p w14:paraId="5B449F55"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72A16FE5" w14:textId="77777777" w:rsidR="006C686E" w:rsidRDefault="00B17E8C">
            <w:pPr>
              <w:pStyle w:val="P68B1DB1-Normal63"/>
              <w:spacing w:after="0" w:line="276" w:lineRule="auto"/>
              <w:jc w:val="both"/>
              <w:rPr>
                <w:noProof/>
              </w:rPr>
            </w:pPr>
            <w:r>
              <w:rPr>
                <w:noProof/>
              </w:rPr>
              <w:t xml:space="preserve">Projets d’innovation et de recherche axés sur les aspects verts ou numériques du programme d’innovation pour l’agriculture à l’horizon 2030 </w:t>
            </w:r>
          </w:p>
        </w:tc>
      </w:tr>
      <w:tr w:rsidR="006C686E" w14:paraId="648195F3" w14:textId="77777777">
        <w:trPr>
          <w:trHeight w:val="440"/>
        </w:trPr>
        <w:tc>
          <w:tcPr>
            <w:tcW w:w="1211" w:type="dxa"/>
            <w:shd w:val="clear" w:color="auto" w:fill="C4EFCE"/>
            <w:vAlign w:val="center"/>
          </w:tcPr>
          <w:p w14:paraId="415873F3" w14:textId="77777777" w:rsidR="006C686E" w:rsidRDefault="00B17E8C">
            <w:pPr>
              <w:pStyle w:val="P68B1DB1-Normal63"/>
              <w:spacing w:after="0" w:line="276" w:lineRule="auto"/>
              <w:jc w:val="center"/>
              <w:rPr>
                <w:noProof/>
              </w:rPr>
            </w:pPr>
            <w:r>
              <w:rPr>
                <w:noProof/>
              </w:rPr>
              <w:t>5.34</w:t>
            </w:r>
          </w:p>
        </w:tc>
        <w:tc>
          <w:tcPr>
            <w:tcW w:w="1759" w:type="dxa"/>
            <w:shd w:val="clear" w:color="auto" w:fill="C4EFCE"/>
            <w:vAlign w:val="center"/>
          </w:tcPr>
          <w:p w14:paraId="79650651" w14:textId="77777777" w:rsidR="006C686E" w:rsidRDefault="00B17E8C">
            <w:pPr>
              <w:pStyle w:val="P68B1DB1-Normal63"/>
              <w:spacing w:after="0" w:line="276" w:lineRule="auto"/>
              <w:jc w:val="center"/>
              <w:rPr>
                <w:noProof/>
              </w:rPr>
            </w:pPr>
            <w:r>
              <w:rPr>
                <w:noProof/>
              </w:rPr>
              <w:t>RE-C05-i07-RAM</w:t>
            </w:r>
          </w:p>
        </w:tc>
        <w:tc>
          <w:tcPr>
            <w:tcW w:w="1519" w:type="dxa"/>
            <w:shd w:val="clear" w:color="auto" w:fill="C4EFCE"/>
            <w:vAlign w:val="center"/>
          </w:tcPr>
          <w:p w14:paraId="33B057D9"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0F26F494" w14:textId="62BEFF10" w:rsidR="006C686E" w:rsidRDefault="00B17E8C">
            <w:pPr>
              <w:pStyle w:val="P68B1DB1-Normal63"/>
              <w:spacing w:after="0" w:line="276" w:lineRule="auto"/>
              <w:jc w:val="both"/>
              <w:rPr>
                <w:noProof/>
              </w:rPr>
            </w:pPr>
            <w:r>
              <w:rPr>
                <w:noProof/>
              </w:rPr>
              <w:t>Garanties de prêts</w:t>
            </w:r>
          </w:p>
        </w:tc>
      </w:tr>
      <w:tr w:rsidR="006C686E" w14:paraId="66561F8A" w14:textId="77777777">
        <w:trPr>
          <w:trHeight w:val="440"/>
        </w:trPr>
        <w:tc>
          <w:tcPr>
            <w:tcW w:w="1211" w:type="dxa"/>
            <w:shd w:val="clear" w:color="auto" w:fill="C4EFCE"/>
            <w:vAlign w:val="center"/>
          </w:tcPr>
          <w:p w14:paraId="5A62705B" w14:textId="77777777" w:rsidR="006C686E" w:rsidRDefault="00B17E8C">
            <w:pPr>
              <w:pStyle w:val="P68B1DB1-Normal63"/>
              <w:spacing w:after="0" w:line="276" w:lineRule="auto"/>
              <w:jc w:val="center"/>
              <w:rPr>
                <w:noProof/>
              </w:rPr>
            </w:pPr>
            <w:r>
              <w:rPr>
                <w:noProof/>
              </w:rPr>
              <w:t>5.35</w:t>
            </w:r>
          </w:p>
        </w:tc>
        <w:tc>
          <w:tcPr>
            <w:tcW w:w="1759" w:type="dxa"/>
            <w:shd w:val="clear" w:color="auto" w:fill="C4EFCE"/>
            <w:vAlign w:val="center"/>
          </w:tcPr>
          <w:p w14:paraId="0D7D2E2D" w14:textId="77777777" w:rsidR="006C686E" w:rsidRDefault="00B17E8C">
            <w:pPr>
              <w:pStyle w:val="P68B1DB1-Normal63"/>
              <w:spacing w:after="0" w:line="276" w:lineRule="auto"/>
              <w:jc w:val="center"/>
              <w:rPr>
                <w:noProof/>
              </w:rPr>
            </w:pPr>
            <w:r>
              <w:rPr>
                <w:noProof/>
              </w:rPr>
              <w:t>RE-C05-i08</w:t>
            </w:r>
          </w:p>
        </w:tc>
        <w:tc>
          <w:tcPr>
            <w:tcW w:w="1519" w:type="dxa"/>
            <w:shd w:val="clear" w:color="auto" w:fill="C4EFCE"/>
            <w:vAlign w:val="center"/>
          </w:tcPr>
          <w:p w14:paraId="16612308"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2789A39A" w14:textId="38994404" w:rsidR="006C686E" w:rsidRDefault="00B17E8C">
            <w:pPr>
              <w:pStyle w:val="P68B1DB1-Normal63"/>
              <w:spacing w:after="0" w:line="276" w:lineRule="auto"/>
              <w:jc w:val="both"/>
              <w:rPr>
                <w:noProof/>
              </w:rPr>
            </w:pPr>
            <w:r>
              <w:rPr>
                <w:noProof/>
              </w:rPr>
              <w:t>«Campus Science XXI», «Science Desk» et services disponibles</w:t>
            </w:r>
          </w:p>
        </w:tc>
      </w:tr>
      <w:tr w:rsidR="006C686E" w14:paraId="2F0EB533" w14:textId="77777777">
        <w:trPr>
          <w:trHeight w:val="440"/>
        </w:trPr>
        <w:tc>
          <w:tcPr>
            <w:tcW w:w="1211" w:type="dxa"/>
            <w:shd w:val="clear" w:color="auto" w:fill="C4EFCE"/>
            <w:vAlign w:val="center"/>
          </w:tcPr>
          <w:p w14:paraId="33F13524" w14:textId="42A45FD5" w:rsidR="006C686E" w:rsidRDefault="00B17E8C">
            <w:pPr>
              <w:pStyle w:val="P68B1DB1-Normal63"/>
              <w:spacing w:after="0" w:line="276" w:lineRule="auto"/>
              <w:jc w:val="center"/>
              <w:rPr>
                <w:noProof/>
              </w:rPr>
            </w:pPr>
            <w:r>
              <w:rPr>
                <w:noProof/>
              </w:rPr>
              <w:t>5.54</w:t>
            </w:r>
          </w:p>
        </w:tc>
        <w:tc>
          <w:tcPr>
            <w:tcW w:w="1759" w:type="dxa"/>
            <w:shd w:val="clear" w:color="auto" w:fill="C4EFCE"/>
            <w:vAlign w:val="center"/>
          </w:tcPr>
          <w:p w14:paraId="47907ABF" w14:textId="36FD46B8" w:rsidR="006C686E" w:rsidRDefault="00B17E8C">
            <w:pPr>
              <w:pStyle w:val="P68B1DB1-Normal63"/>
              <w:spacing w:after="0" w:line="276" w:lineRule="auto"/>
              <w:jc w:val="center"/>
              <w:rPr>
                <w:noProof/>
              </w:rPr>
            </w:pPr>
            <w:r>
              <w:rPr>
                <w:noProof/>
              </w:rPr>
              <w:t>RE-C05-i15-RAA</w:t>
            </w:r>
          </w:p>
        </w:tc>
        <w:tc>
          <w:tcPr>
            <w:tcW w:w="1519" w:type="dxa"/>
            <w:shd w:val="clear" w:color="auto" w:fill="C4EFCE"/>
            <w:vAlign w:val="center"/>
          </w:tcPr>
          <w:p w14:paraId="0CC1D4F8" w14:textId="2D8EE09B"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0313F0EF" w14:textId="62615C3C" w:rsidR="006C686E" w:rsidRDefault="00B17E8C">
            <w:pPr>
              <w:pStyle w:val="P68B1DB1-Normal64"/>
              <w:spacing w:after="0" w:line="276" w:lineRule="auto"/>
              <w:jc w:val="both"/>
              <w:rPr>
                <w:noProof/>
                <w:color w:val="000000"/>
                <w:kern w:val="0"/>
                <w14:ligatures w14:val="none"/>
              </w:rPr>
            </w:pPr>
            <w:r>
              <w:rPr>
                <w:noProof/>
              </w:rPr>
              <w:t>Conventions de financement juridique et montant transféré</w:t>
            </w:r>
          </w:p>
        </w:tc>
      </w:tr>
      <w:tr w:rsidR="006C686E" w14:paraId="7E4946DD" w14:textId="77777777">
        <w:trPr>
          <w:trHeight w:val="440"/>
        </w:trPr>
        <w:tc>
          <w:tcPr>
            <w:tcW w:w="1211" w:type="dxa"/>
            <w:shd w:val="clear" w:color="auto" w:fill="C4EFCE"/>
            <w:vAlign w:val="center"/>
          </w:tcPr>
          <w:p w14:paraId="4B0B2C1A" w14:textId="77777777" w:rsidR="006C686E" w:rsidRDefault="00B17E8C">
            <w:pPr>
              <w:pStyle w:val="P68B1DB1-Normal63"/>
              <w:spacing w:after="0" w:line="276" w:lineRule="auto"/>
              <w:jc w:val="center"/>
              <w:rPr>
                <w:noProof/>
              </w:rPr>
            </w:pPr>
            <w:r>
              <w:rPr>
                <w:noProof/>
              </w:rPr>
              <w:t>6.4</w:t>
            </w:r>
          </w:p>
        </w:tc>
        <w:tc>
          <w:tcPr>
            <w:tcW w:w="1759" w:type="dxa"/>
            <w:shd w:val="clear" w:color="auto" w:fill="C4EFCE"/>
            <w:vAlign w:val="center"/>
          </w:tcPr>
          <w:p w14:paraId="06A7C52E" w14:textId="77777777" w:rsidR="006C686E" w:rsidRDefault="00B17E8C">
            <w:pPr>
              <w:pStyle w:val="P68B1DB1-Normal63"/>
              <w:spacing w:after="0" w:line="276" w:lineRule="auto"/>
              <w:jc w:val="center"/>
              <w:rPr>
                <w:noProof/>
              </w:rPr>
            </w:pPr>
            <w:r>
              <w:rPr>
                <w:noProof/>
              </w:rPr>
              <w:t>RE-C06-i01</w:t>
            </w:r>
          </w:p>
        </w:tc>
        <w:tc>
          <w:tcPr>
            <w:tcW w:w="1519" w:type="dxa"/>
            <w:shd w:val="clear" w:color="auto" w:fill="C4EFCE"/>
            <w:vAlign w:val="center"/>
          </w:tcPr>
          <w:p w14:paraId="6D44201E"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699117C1" w14:textId="77777777" w:rsidR="006C686E" w:rsidRDefault="00B17E8C">
            <w:pPr>
              <w:pStyle w:val="P68B1DB1-Normal63"/>
              <w:spacing w:after="0" w:line="276" w:lineRule="auto"/>
              <w:jc w:val="both"/>
              <w:rPr>
                <w:noProof/>
              </w:rPr>
            </w:pPr>
            <w:r>
              <w:rPr>
                <w:noProof/>
              </w:rPr>
              <w:t>Emplacements des centres de formation rénovés, construits ou avec de l'équipement acheté</w:t>
            </w:r>
          </w:p>
        </w:tc>
      </w:tr>
      <w:tr w:rsidR="006C686E" w14:paraId="6F3AE58D" w14:textId="77777777">
        <w:trPr>
          <w:trHeight w:val="440"/>
        </w:trPr>
        <w:tc>
          <w:tcPr>
            <w:tcW w:w="1211" w:type="dxa"/>
            <w:shd w:val="clear" w:color="auto" w:fill="C4EFCE"/>
            <w:vAlign w:val="center"/>
          </w:tcPr>
          <w:p w14:paraId="5C3080DF" w14:textId="77777777" w:rsidR="006C686E" w:rsidRDefault="00B17E8C">
            <w:pPr>
              <w:pStyle w:val="P68B1DB1-Normal63"/>
              <w:spacing w:after="0" w:line="276" w:lineRule="auto"/>
              <w:jc w:val="center"/>
              <w:rPr>
                <w:noProof/>
              </w:rPr>
            </w:pPr>
            <w:r>
              <w:rPr>
                <w:noProof/>
              </w:rPr>
              <w:t>6.6</w:t>
            </w:r>
          </w:p>
        </w:tc>
        <w:tc>
          <w:tcPr>
            <w:tcW w:w="1759" w:type="dxa"/>
            <w:shd w:val="clear" w:color="auto" w:fill="C4EFCE"/>
            <w:vAlign w:val="center"/>
          </w:tcPr>
          <w:p w14:paraId="4BCCDD21" w14:textId="77777777" w:rsidR="006C686E" w:rsidRDefault="00B17E8C">
            <w:pPr>
              <w:pStyle w:val="P68B1DB1-Normal63"/>
              <w:spacing w:after="0" w:line="276" w:lineRule="auto"/>
              <w:jc w:val="center"/>
              <w:rPr>
                <w:noProof/>
              </w:rPr>
            </w:pPr>
            <w:r>
              <w:rPr>
                <w:noProof/>
              </w:rPr>
              <w:t>RE-C06-i03</w:t>
            </w:r>
          </w:p>
        </w:tc>
        <w:tc>
          <w:tcPr>
            <w:tcW w:w="1519" w:type="dxa"/>
            <w:shd w:val="clear" w:color="auto" w:fill="C4EFCE"/>
            <w:vAlign w:val="center"/>
          </w:tcPr>
          <w:p w14:paraId="0D4C06F8"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38B4129D" w14:textId="70ABABEB" w:rsidR="006C686E" w:rsidRDefault="00B17E8C">
            <w:pPr>
              <w:pStyle w:val="P68B1DB1-Normal63"/>
              <w:spacing w:after="0" w:line="276" w:lineRule="auto"/>
              <w:jc w:val="both"/>
              <w:rPr>
                <w:noProof/>
              </w:rPr>
            </w:pPr>
            <w:r>
              <w:rPr>
                <w:noProof/>
              </w:rPr>
              <w:t xml:space="preserve">Participation à des cours </w:t>
            </w:r>
          </w:p>
        </w:tc>
      </w:tr>
      <w:tr w:rsidR="006C686E" w14:paraId="0E93A83A" w14:textId="77777777">
        <w:trPr>
          <w:trHeight w:val="440"/>
        </w:trPr>
        <w:tc>
          <w:tcPr>
            <w:tcW w:w="1211" w:type="dxa"/>
            <w:shd w:val="clear" w:color="auto" w:fill="C4EFCE"/>
            <w:vAlign w:val="center"/>
          </w:tcPr>
          <w:p w14:paraId="41854E3B" w14:textId="77777777" w:rsidR="006C686E" w:rsidRDefault="00B17E8C">
            <w:pPr>
              <w:pStyle w:val="P68B1DB1-Normal63"/>
              <w:spacing w:after="0" w:line="276" w:lineRule="auto"/>
              <w:jc w:val="center"/>
              <w:rPr>
                <w:noProof/>
              </w:rPr>
            </w:pPr>
            <w:r>
              <w:rPr>
                <w:noProof/>
              </w:rPr>
              <w:t>6.11</w:t>
            </w:r>
          </w:p>
        </w:tc>
        <w:tc>
          <w:tcPr>
            <w:tcW w:w="1759" w:type="dxa"/>
            <w:shd w:val="clear" w:color="auto" w:fill="C4EFCE"/>
            <w:vAlign w:val="center"/>
          </w:tcPr>
          <w:p w14:paraId="3216F896" w14:textId="77777777" w:rsidR="006C686E" w:rsidRDefault="00B17E8C">
            <w:pPr>
              <w:pStyle w:val="P68B1DB1-Normal63"/>
              <w:spacing w:after="0" w:line="276" w:lineRule="auto"/>
              <w:jc w:val="center"/>
              <w:rPr>
                <w:noProof/>
              </w:rPr>
            </w:pPr>
            <w:r>
              <w:rPr>
                <w:noProof/>
              </w:rPr>
              <w:t>RE-C06-i05-RAA</w:t>
            </w:r>
          </w:p>
        </w:tc>
        <w:tc>
          <w:tcPr>
            <w:tcW w:w="1519" w:type="dxa"/>
            <w:shd w:val="clear" w:color="auto" w:fill="C4EFCE"/>
            <w:vAlign w:val="center"/>
          </w:tcPr>
          <w:p w14:paraId="364B7373"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0798DE45" w14:textId="77777777" w:rsidR="006C686E" w:rsidRDefault="00B17E8C">
            <w:pPr>
              <w:pStyle w:val="P68B1DB1-Normal63"/>
              <w:spacing w:after="0" w:line="276" w:lineRule="auto"/>
              <w:jc w:val="both"/>
              <w:rPr>
                <w:noProof/>
              </w:rPr>
            </w:pPr>
            <w:r>
              <w:rPr>
                <w:noProof/>
              </w:rPr>
              <w:t>Rénovation ou équipement des écoles de la région autonome des Açores</w:t>
            </w:r>
          </w:p>
        </w:tc>
      </w:tr>
      <w:tr w:rsidR="006C686E" w14:paraId="36E256F2" w14:textId="77777777">
        <w:trPr>
          <w:trHeight w:val="440"/>
        </w:trPr>
        <w:tc>
          <w:tcPr>
            <w:tcW w:w="1211" w:type="dxa"/>
            <w:shd w:val="clear" w:color="auto" w:fill="C4EFCE"/>
            <w:vAlign w:val="center"/>
          </w:tcPr>
          <w:p w14:paraId="51A98486" w14:textId="77777777" w:rsidR="006C686E" w:rsidRDefault="00B17E8C">
            <w:pPr>
              <w:pStyle w:val="P68B1DB1-Normal63"/>
              <w:spacing w:after="0" w:line="276" w:lineRule="auto"/>
              <w:jc w:val="center"/>
              <w:rPr>
                <w:noProof/>
              </w:rPr>
            </w:pPr>
            <w:r>
              <w:rPr>
                <w:noProof/>
              </w:rPr>
              <w:t>6.12</w:t>
            </w:r>
          </w:p>
        </w:tc>
        <w:tc>
          <w:tcPr>
            <w:tcW w:w="1759" w:type="dxa"/>
            <w:shd w:val="clear" w:color="auto" w:fill="C4EFCE"/>
            <w:vAlign w:val="center"/>
          </w:tcPr>
          <w:p w14:paraId="6F4DDF25" w14:textId="77777777" w:rsidR="006C686E" w:rsidRDefault="00B17E8C">
            <w:pPr>
              <w:pStyle w:val="P68B1DB1-Normal63"/>
              <w:spacing w:after="0" w:line="276" w:lineRule="auto"/>
              <w:jc w:val="center"/>
              <w:rPr>
                <w:noProof/>
              </w:rPr>
            </w:pPr>
            <w:r>
              <w:rPr>
                <w:noProof/>
              </w:rPr>
              <w:t>RE-C06-r14</w:t>
            </w:r>
          </w:p>
        </w:tc>
        <w:tc>
          <w:tcPr>
            <w:tcW w:w="1519" w:type="dxa"/>
            <w:shd w:val="clear" w:color="auto" w:fill="C4EFCE"/>
            <w:vAlign w:val="center"/>
          </w:tcPr>
          <w:p w14:paraId="19767FD0"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7211FB4B" w14:textId="77777777" w:rsidR="006C686E" w:rsidRDefault="00B17E8C">
            <w:pPr>
              <w:pStyle w:val="P68B1DB1-Normal63"/>
              <w:spacing w:after="0" w:line="276" w:lineRule="auto"/>
              <w:jc w:val="both"/>
              <w:rPr>
                <w:noProof/>
              </w:rPr>
            </w:pPr>
            <w:r>
              <w:rPr>
                <w:noProof/>
              </w:rPr>
              <w:t>Système d'anticipation des besoins en qualifications (SANQ) et offre d'EFP</w:t>
            </w:r>
          </w:p>
        </w:tc>
      </w:tr>
      <w:tr w:rsidR="006C686E" w14:paraId="4E213126" w14:textId="77777777">
        <w:trPr>
          <w:trHeight w:val="440"/>
        </w:trPr>
        <w:tc>
          <w:tcPr>
            <w:tcW w:w="1211" w:type="dxa"/>
            <w:shd w:val="clear" w:color="auto" w:fill="C4EFCE"/>
            <w:vAlign w:val="center"/>
          </w:tcPr>
          <w:p w14:paraId="1756EEE5" w14:textId="77777777" w:rsidR="006C686E" w:rsidRDefault="00B17E8C">
            <w:pPr>
              <w:pStyle w:val="P68B1DB1-Normal64"/>
              <w:spacing w:after="0" w:line="276" w:lineRule="auto"/>
              <w:jc w:val="center"/>
              <w:rPr>
                <w:noProof/>
              </w:rPr>
            </w:pPr>
            <w:r>
              <w:rPr>
                <w:noProof/>
              </w:rPr>
              <w:t>6.19</w:t>
            </w:r>
          </w:p>
        </w:tc>
        <w:tc>
          <w:tcPr>
            <w:tcW w:w="1759" w:type="dxa"/>
            <w:shd w:val="clear" w:color="auto" w:fill="C4EFCE"/>
            <w:vAlign w:val="center"/>
          </w:tcPr>
          <w:p w14:paraId="40EA650F" w14:textId="77777777" w:rsidR="006C686E" w:rsidRDefault="00B17E8C">
            <w:pPr>
              <w:pStyle w:val="P68B1DB1-Normal64"/>
              <w:spacing w:after="0" w:line="276" w:lineRule="auto"/>
              <w:jc w:val="center"/>
              <w:rPr>
                <w:noProof/>
              </w:rPr>
            </w:pPr>
            <w:r>
              <w:rPr>
                <w:noProof/>
              </w:rPr>
              <w:t>RE-C06-i06</w:t>
            </w:r>
          </w:p>
        </w:tc>
        <w:tc>
          <w:tcPr>
            <w:tcW w:w="1519" w:type="dxa"/>
            <w:shd w:val="clear" w:color="auto" w:fill="C4EFCE"/>
            <w:vAlign w:val="center"/>
          </w:tcPr>
          <w:p w14:paraId="2DE116A8" w14:textId="77777777" w:rsidR="006C686E" w:rsidRDefault="00B17E8C">
            <w:pPr>
              <w:pStyle w:val="P68B1DB1-Normal64"/>
              <w:spacing w:after="0" w:line="276" w:lineRule="auto"/>
              <w:jc w:val="center"/>
              <w:rPr>
                <w:noProof/>
              </w:rPr>
            </w:pPr>
            <w:r>
              <w:rPr>
                <w:noProof/>
              </w:rPr>
              <w:t>T</w:t>
            </w:r>
          </w:p>
        </w:tc>
        <w:tc>
          <w:tcPr>
            <w:tcW w:w="5051" w:type="dxa"/>
            <w:shd w:val="clear" w:color="auto" w:fill="C4EFCE"/>
            <w:vAlign w:val="center"/>
          </w:tcPr>
          <w:p w14:paraId="45F4CC64" w14:textId="5355F3E8" w:rsidR="006C686E" w:rsidRDefault="00B17E8C">
            <w:pPr>
              <w:pStyle w:val="P68B1DB1-Normal64"/>
              <w:spacing w:after="0" w:line="276" w:lineRule="auto"/>
              <w:jc w:val="both"/>
              <w:rPr>
                <w:noProof/>
              </w:rPr>
            </w:pPr>
            <w:r>
              <w:rPr>
                <w:noProof/>
              </w:rPr>
              <w:t>Contrats de recherche et de mobilité académique internationale</w:t>
            </w:r>
          </w:p>
        </w:tc>
      </w:tr>
      <w:tr w:rsidR="006C686E" w14:paraId="183F9193" w14:textId="77777777">
        <w:trPr>
          <w:trHeight w:val="440"/>
        </w:trPr>
        <w:tc>
          <w:tcPr>
            <w:tcW w:w="1211" w:type="dxa"/>
            <w:shd w:val="clear" w:color="auto" w:fill="C4EFCE"/>
            <w:vAlign w:val="center"/>
          </w:tcPr>
          <w:p w14:paraId="36563F1F" w14:textId="77777777" w:rsidR="006C686E" w:rsidRDefault="00B17E8C">
            <w:pPr>
              <w:pStyle w:val="P68B1DB1-Normal63"/>
              <w:spacing w:after="0" w:line="276" w:lineRule="auto"/>
              <w:jc w:val="center"/>
              <w:rPr>
                <w:noProof/>
              </w:rPr>
            </w:pPr>
            <w:r>
              <w:rPr>
                <w:noProof/>
              </w:rPr>
              <w:t>8.1</w:t>
            </w:r>
          </w:p>
        </w:tc>
        <w:tc>
          <w:tcPr>
            <w:tcW w:w="1759" w:type="dxa"/>
            <w:shd w:val="clear" w:color="auto" w:fill="C4EFCE"/>
            <w:vAlign w:val="center"/>
          </w:tcPr>
          <w:p w14:paraId="25C048C7" w14:textId="77777777" w:rsidR="006C686E" w:rsidRDefault="00B17E8C">
            <w:pPr>
              <w:pStyle w:val="P68B1DB1-Normal63"/>
              <w:spacing w:after="0" w:line="276" w:lineRule="auto"/>
              <w:jc w:val="center"/>
              <w:rPr>
                <w:noProof/>
              </w:rPr>
            </w:pPr>
            <w:r>
              <w:rPr>
                <w:noProof/>
              </w:rPr>
              <w:t>RE-C08-i01</w:t>
            </w:r>
          </w:p>
        </w:tc>
        <w:tc>
          <w:tcPr>
            <w:tcW w:w="1519" w:type="dxa"/>
            <w:shd w:val="clear" w:color="auto" w:fill="C4EFCE"/>
            <w:vAlign w:val="center"/>
          </w:tcPr>
          <w:p w14:paraId="5CB4BCD4"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1CBCF63F" w14:textId="73FE939E" w:rsidR="006C686E" w:rsidRDefault="00B17E8C">
            <w:pPr>
              <w:pStyle w:val="P68B1DB1-Normal63"/>
              <w:spacing w:after="0" w:line="276" w:lineRule="auto"/>
              <w:jc w:val="both"/>
              <w:rPr>
                <w:noProof/>
              </w:rPr>
            </w:pPr>
            <w:r>
              <w:rPr>
                <w:noProof/>
              </w:rPr>
              <w:t xml:space="preserve">Approbation des programmes de planification et de gestion du paysage (PRGP) </w:t>
            </w:r>
          </w:p>
        </w:tc>
      </w:tr>
      <w:tr w:rsidR="006C686E" w14:paraId="1530FF1D" w14:textId="77777777">
        <w:trPr>
          <w:trHeight w:val="440"/>
        </w:trPr>
        <w:tc>
          <w:tcPr>
            <w:tcW w:w="1211" w:type="dxa"/>
            <w:shd w:val="clear" w:color="auto" w:fill="C4EFCE"/>
            <w:vAlign w:val="center"/>
          </w:tcPr>
          <w:p w14:paraId="59C08134" w14:textId="77777777" w:rsidR="006C686E" w:rsidRDefault="00B17E8C">
            <w:pPr>
              <w:pStyle w:val="P68B1DB1-Normal63"/>
              <w:spacing w:after="0" w:line="276" w:lineRule="auto"/>
              <w:jc w:val="center"/>
              <w:rPr>
                <w:noProof/>
              </w:rPr>
            </w:pPr>
            <w:r>
              <w:rPr>
                <w:noProof/>
              </w:rPr>
              <w:t>8.20</w:t>
            </w:r>
          </w:p>
        </w:tc>
        <w:tc>
          <w:tcPr>
            <w:tcW w:w="1759" w:type="dxa"/>
            <w:shd w:val="clear" w:color="auto" w:fill="C4EFCE"/>
            <w:vAlign w:val="center"/>
          </w:tcPr>
          <w:p w14:paraId="492988B3" w14:textId="44BBCEF0" w:rsidR="006C686E" w:rsidRDefault="00B17E8C">
            <w:pPr>
              <w:pStyle w:val="P68B1DB1-Normal63"/>
              <w:spacing w:after="0" w:line="276" w:lineRule="auto"/>
              <w:jc w:val="center"/>
              <w:rPr>
                <w:noProof/>
              </w:rPr>
            </w:pPr>
            <w:r>
              <w:rPr>
                <w:noProof/>
              </w:rPr>
              <w:t>RE-C08-i01</w:t>
            </w:r>
          </w:p>
        </w:tc>
        <w:tc>
          <w:tcPr>
            <w:tcW w:w="1519" w:type="dxa"/>
            <w:shd w:val="clear" w:color="auto" w:fill="C4EFCE"/>
            <w:vAlign w:val="center"/>
          </w:tcPr>
          <w:p w14:paraId="596E0894"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6D4BEF87" w14:textId="77777777" w:rsidR="006C686E" w:rsidRDefault="00B17E8C">
            <w:pPr>
              <w:pStyle w:val="P68B1DB1-Normal63"/>
              <w:spacing w:after="0" w:line="276" w:lineRule="auto"/>
              <w:jc w:val="both"/>
              <w:rPr>
                <w:noProof/>
                <w:color w:val="000000" w:themeColor="text1"/>
              </w:rPr>
            </w:pPr>
            <w:r>
              <w:rPr>
                <w:noProof/>
              </w:rPr>
              <w:t>Programme «Emparcelar para Ordenar»</w:t>
            </w:r>
          </w:p>
        </w:tc>
      </w:tr>
      <w:tr w:rsidR="006C686E" w14:paraId="3BC882DB" w14:textId="77777777">
        <w:trPr>
          <w:trHeight w:val="440"/>
        </w:trPr>
        <w:tc>
          <w:tcPr>
            <w:tcW w:w="1211" w:type="dxa"/>
            <w:shd w:val="clear" w:color="auto" w:fill="C4EFCE"/>
            <w:vAlign w:val="center"/>
          </w:tcPr>
          <w:p w14:paraId="0EC2E647" w14:textId="6CA5D2BC" w:rsidR="006C686E" w:rsidRDefault="00B17E8C">
            <w:pPr>
              <w:pStyle w:val="P68B1DB1-Normal64"/>
              <w:spacing w:line="276" w:lineRule="auto"/>
              <w:jc w:val="center"/>
              <w:rPr>
                <w:noProof/>
              </w:rPr>
            </w:pPr>
            <w:r>
              <w:rPr>
                <w:noProof/>
              </w:rPr>
              <w:t>8.6</w:t>
            </w:r>
          </w:p>
        </w:tc>
        <w:tc>
          <w:tcPr>
            <w:tcW w:w="1759" w:type="dxa"/>
            <w:shd w:val="clear" w:color="auto" w:fill="C4EFCE"/>
            <w:vAlign w:val="center"/>
          </w:tcPr>
          <w:p w14:paraId="52EECC50" w14:textId="64A2749D" w:rsidR="006C686E" w:rsidRDefault="00B17E8C">
            <w:pPr>
              <w:pStyle w:val="P68B1DB1-Normal64"/>
              <w:spacing w:line="276" w:lineRule="auto"/>
              <w:jc w:val="center"/>
              <w:rPr>
                <w:noProof/>
              </w:rPr>
            </w:pPr>
            <w:r>
              <w:rPr>
                <w:noProof/>
              </w:rPr>
              <w:t>RE-C08-i02</w:t>
            </w:r>
          </w:p>
        </w:tc>
        <w:tc>
          <w:tcPr>
            <w:tcW w:w="1519" w:type="dxa"/>
            <w:shd w:val="clear" w:color="auto" w:fill="C4EFCE"/>
            <w:vAlign w:val="center"/>
          </w:tcPr>
          <w:p w14:paraId="6B783779" w14:textId="778F9BE7" w:rsidR="006C686E" w:rsidRDefault="00B17E8C">
            <w:pPr>
              <w:pStyle w:val="P68B1DB1-Normal64"/>
              <w:spacing w:line="276" w:lineRule="auto"/>
              <w:jc w:val="center"/>
              <w:rPr>
                <w:noProof/>
              </w:rPr>
            </w:pPr>
            <w:r>
              <w:rPr>
                <w:noProof/>
              </w:rPr>
              <w:t>M</w:t>
            </w:r>
          </w:p>
        </w:tc>
        <w:tc>
          <w:tcPr>
            <w:tcW w:w="5051" w:type="dxa"/>
            <w:shd w:val="clear" w:color="auto" w:fill="C4EFCE"/>
            <w:vAlign w:val="center"/>
          </w:tcPr>
          <w:p w14:paraId="6C05B33F" w14:textId="6C3E862A" w:rsidR="006C686E" w:rsidRDefault="00B17E8C">
            <w:pPr>
              <w:pStyle w:val="P68B1DB1-Normal64"/>
              <w:spacing w:line="276" w:lineRule="auto"/>
              <w:jc w:val="both"/>
              <w:rPr>
                <w:noProof/>
              </w:rPr>
            </w:pPr>
            <w:r>
              <w:rPr>
                <w:noProof/>
              </w:rPr>
              <w:t>Cartographie de référence pour le système de surveillance de l’occupation des sols (SMOS)</w:t>
            </w:r>
          </w:p>
        </w:tc>
      </w:tr>
      <w:tr w:rsidR="006C686E" w14:paraId="15FE759A" w14:textId="77777777">
        <w:trPr>
          <w:trHeight w:val="440"/>
        </w:trPr>
        <w:tc>
          <w:tcPr>
            <w:tcW w:w="1211" w:type="dxa"/>
            <w:shd w:val="clear" w:color="auto" w:fill="C4EFCE"/>
            <w:vAlign w:val="center"/>
          </w:tcPr>
          <w:p w14:paraId="13B7B2C3" w14:textId="77777777" w:rsidR="006C686E" w:rsidRDefault="00B17E8C">
            <w:pPr>
              <w:pStyle w:val="P68B1DB1-Normal63"/>
              <w:spacing w:after="0" w:line="276" w:lineRule="auto"/>
              <w:jc w:val="center"/>
              <w:rPr>
                <w:noProof/>
              </w:rPr>
            </w:pPr>
            <w:r>
              <w:rPr>
                <w:noProof/>
              </w:rPr>
              <w:t>8.8</w:t>
            </w:r>
          </w:p>
        </w:tc>
        <w:tc>
          <w:tcPr>
            <w:tcW w:w="1759" w:type="dxa"/>
            <w:shd w:val="clear" w:color="auto" w:fill="C4EFCE"/>
            <w:vAlign w:val="center"/>
          </w:tcPr>
          <w:p w14:paraId="0951914D" w14:textId="77777777" w:rsidR="006C686E" w:rsidRDefault="00B17E8C">
            <w:pPr>
              <w:pStyle w:val="P68B1DB1-Normal63"/>
              <w:spacing w:after="0" w:line="276" w:lineRule="auto"/>
              <w:jc w:val="center"/>
              <w:rPr>
                <w:noProof/>
              </w:rPr>
            </w:pPr>
            <w:r>
              <w:rPr>
                <w:noProof/>
              </w:rPr>
              <w:t>RE-C08-i03</w:t>
            </w:r>
          </w:p>
        </w:tc>
        <w:tc>
          <w:tcPr>
            <w:tcW w:w="1519" w:type="dxa"/>
            <w:shd w:val="clear" w:color="auto" w:fill="C4EFCE"/>
            <w:vAlign w:val="center"/>
          </w:tcPr>
          <w:p w14:paraId="193FDBC4"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41DEA8CC" w14:textId="6D32BB4A" w:rsidR="006C686E" w:rsidRDefault="00B17E8C">
            <w:pPr>
              <w:pStyle w:val="P68B1DB1-Normal63"/>
              <w:spacing w:after="0" w:line="276" w:lineRule="auto"/>
              <w:jc w:val="both"/>
              <w:rPr>
                <w:noProof/>
              </w:rPr>
            </w:pPr>
            <w:r>
              <w:rPr>
                <w:noProof/>
              </w:rPr>
              <w:t>Zone d'assouplissement</w:t>
            </w:r>
          </w:p>
        </w:tc>
      </w:tr>
      <w:tr w:rsidR="006C686E" w14:paraId="520780E9" w14:textId="77777777">
        <w:trPr>
          <w:trHeight w:val="440"/>
        </w:trPr>
        <w:tc>
          <w:tcPr>
            <w:tcW w:w="1211" w:type="dxa"/>
            <w:shd w:val="clear" w:color="auto" w:fill="C4EFCE"/>
            <w:vAlign w:val="center"/>
          </w:tcPr>
          <w:p w14:paraId="5DF2401A" w14:textId="77777777" w:rsidR="006C686E" w:rsidRDefault="00B17E8C">
            <w:pPr>
              <w:pStyle w:val="P68B1DB1-Normal63"/>
              <w:spacing w:after="0" w:line="276" w:lineRule="auto"/>
              <w:jc w:val="center"/>
              <w:rPr>
                <w:noProof/>
              </w:rPr>
            </w:pPr>
            <w:r>
              <w:rPr>
                <w:noProof/>
              </w:rPr>
              <w:t>9.13</w:t>
            </w:r>
          </w:p>
        </w:tc>
        <w:tc>
          <w:tcPr>
            <w:tcW w:w="1759" w:type="dxa"/>
            <w:shd w:val="clear" w:color="auto" w:fill="C4EFCE"/>
            <w:vAlign w:val="center"/>
          </w:tcPr>
          <w:p w14:paraId="31921743" w14:textId="77777777" w:rsidR="006C686E" w:rsidRDefault="00B17E8C">
            <w:pPr>
              <w:pStyle w:val="P68B1DB1-Normal63"/>
              <w:spacing w:after="0" w:line="276" w:lineRule="auto"/>
              <w:jc w:val="center"/>
              <w:rPr>
                <w:noProof/>
              </w:rPr>
            </w:pPr>
            <w:r>
              <w:rPr>
                <w:noProof/>
              </w:rPr>
              <w:t>RE-C09-i03-RAM</w:t>
            </w:r>
          </w:p>
        </w:tc>
        <w:tc>
          <w:tcPr>
            <w:tcW w:w="1519" w:type="dxa"/>
            <w:shd w:val="clear" w:color="auto" w:fill="C4EFCE"/>
            <w:vAlign w:val="center"/>
          </w:tcPr>
          <w:p w14:paraId="4C933BCF"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476A3F34" w14:textId="08720AB7" w:rsidR="006C686E" w:rsidRDefault="00B17E8C">
            <w:pPr>
              <w:pStyle w:val="P68B1DB1-Normal63"/>
              <w:spacing w:after="0" w:line="276" w:lineRule="auto"/>
              <w:jc w:val="both"/>
              <w:rPr>
                <w:noProof/>
              </w:rPr>
            </w:pPr>
            <w:r>
              <w:rPr>
                <w:noProof/>
              </w:rPr>
              <w:t>Construction, rénovation ou installation d'infrastructures hydrauliques</w:t>
            </w:r>
          </w:p>
        </w:tc>
      </w:tr>
      <w:tr w:rsidR="006C686E" w14:paraId="7C57D3F9" w14:textId="77777777">
        <w:trPr>
          <w:trHeight w:val="440"/>
        </w:trPr>
        <w:tc>
          <w:tcPr>
            <w:tcW w:w="1211" w:type="dxa"/>
            <w:shd w:val="clear" w:color="auto" w:fill="C4EFCE"/>
            <w:vAlign w:val="center"/>
          </w:tcPr>
          <w:p w14:paraId="149DEB74" w14:textId="77777777" w:rsidR="006C686E" w:rsidRDefault="00B17E8C">
            <w:pPr>
              <w:pStyle w:val="P68B1DB1-Normal63"/>
              <w:spacing w:after="0" w:line="276" w:lineRule="auto"/>
              <w:jc w:val="center"/>
              <w:rPr>
                <w:noProof/>
              </w:rPr>
            </w:pPr>
            <w:r>
              <w:rPr>
                <w:noProof/>
              </w:rPr>
              <w:t>12.3</w:t>
            </w:r>
          </w:p>
        </w:tc>
        <w:tc>
          <w:tcPr>
            <w:tcW w:w="1759" w:type="dxa"/>
            <w:shd w:val="clear" w:color="auto" w:fill="C4EFCE"/>
            <w:vAlign w:val="center"/>
          </w:tcPr>
          <w:p w14:paraId="095E8CBF" w14:textId="77777777" w:rsidR="006C686E" w:rsidRDefault="00B17E8C">
            <w:pPr>
              <w:pStyle w:val="P68B1DB1-Normal63"/>
              <w:spacing w:after="0" w:line="276" w:lineRule="auto"/>
              <w:jc w:val="center"/>
              <w:rPr>
                <w:noProof/>
              </w:rPr>
            </w:pPr>
            <w:r>
              <w:rPr>
                <w:noProof/>
              </w:rPr>
              <w:t>TC-C12-i01</w:t>
            </w:r>
          </w:p>
        </w:tc>
        <w:tc>
          <w:tcPr>
            <w:tcW w:w="1519" w:type="dxa"/>
            <w:shd w:val="clear" w:color="auto" w:fill="C4EFCE"/>
            <w:vAlign w:val="center"/>
          </w:tcPr>
          <w:p w14:paraId="0B4A396E"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3989F3B9" w14:textId="4E57931C" w:rsidR="006C686E" w:rsidRDefault="00B17E8C">
            <w:pPr>
              <w:pStyle w:val="P68B1DB1-Normal63"/>
              <w:spacing w:after="0" w:line="276" w:lineRule="auto"/>
              <w:jc w:val="both"/>
              <w:rPr>
                <w:noProof/>
              </w:rPr>
            </w:pPr>
            <w:r>
              <w:rPr>
                <w:noProof/>
              </w:rPr>
              <w:t>Produits et processus pilotes</w:t>
            </w:r>
          </w:p>
        </w:tc>
      </w:tr>
      <w:tr w:rsidR="006C686E" w14:paraId="59EAC6E5" w14:textId="77777777">
        <w:trPr>
          <w:trHeight w:val="440"/>
        </w:trPr>
        <w:tc>
          <w:tcPr>
            <w:tcW w:w="1211" w:type="dxa"/>
            <w:shd w:val="clear" w:color="auto" w:fill="C4EFCE"/>
            <w:vAlign w:val="center"/>
          </w:tcPr>
          <w:p w14:paraId="506BFA82" w14:textId="77777777" w:rsidR="006C686E" w:rsidRDefault="00B17E8C">
            <w:pPr>
              <w:pStyle w:val="P68B1DB1-Normal63"/>
              <w:spacing w:after="0" w:line="276" w:lineRule="auto"/>
              <w:jc w:val="center"/>
              <w:rPr>
                <w:noProof/>
              </w:rPr>
            </w:pPr>
            <w:r>
              <w:rPr>
                <w:noProof/>
              </w:rPr>
              <w:t>12.9</w:t>
            </w:r>
          </w:p>
        </w:tc>
        <w:tc>
          <w:tcPr>
            <w:tcW w:w="1759" w:type="dxa"/>
            <w:shd w:val="clear" w:color="auto" w:fill="C4EFCE"/>
            <w:vAlign w:val="center"/>
          </w:tcPr>
          <w:p w14:paraId="59761B3A" w14:textId="77777777" w:rsidR="006C686E" w:rsidRDefault="00B17E8C">
            <w:pPr>
              <w:pStyle w:val="P68B1DB1-Normal63"/>
              <w:spacing w:after="0" w:line="276" w:lineRule="auto"/>
              <w:jc w:val="center"/>
              <w:rPr>
                <w:noProof/>
              </w:rPr>
            </w:pPr>
            <w:r>
              <w:rPr>
                <w:noProof/>
              </w:rPr>
              <w:t>TC-C12-r39</w:t>
            </w:r>
          </w:p>
        </w:tc>
        <w:tc>
          <w:tcPr>
            <w:tcW w:w="1519" w:type="dxa"/>
            <w:shd w:val="clear" w:color="auto" w:fill="C4EFCE"/>
            <w:vAlign w:val="center"/>
          </w:tcPr>
          <w:p w14:paraId="22FF5D49"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39AA6B7F" w14:textId="1A11BAC4" w:rsidR="006C686E" w:rsidRDefault="00B17E8C">
            <w:pPr>
              <w:pStyle w:val="P68B1DB1-Normal64"/>
              <w:spacing w:after="0" w:line="276" w:lineRule="auto"/>
              <w:jc w:val="both"/>
              <w:rPr>
                <w:noProof/>
                <w:kern w:val="0"/>
                <w14:ligatures w14:val="none"/>
              </w:rPr>
            </w:pPr>
            <w:r>
              <w:rPr>
                <w:noProof/>
                <w:kern w:val="0"/>
                <w14:ligatures w14:val="none"/>
              </w:rPr>
              <w:t>Système de reprise des déchets électriques</w:t>
            </w:r>
            <w:r>
              <w:rPr>
                <w:noProof/>
              </w:rPr>
              <w:t xml:space="preserve"> et électroniques</w:t>
            </w:r>
          </w:p>
        </w:tc>
      </w:tr>
      <w:tr w:rsidR="006C686E" w14:paraId="7CE2DA0E" w14:textId="77777777">
        <w:trPr>
          <w:trHeight w:val="440"/>
        </w:trPr>
        <w:tc>
          <w:tcPr>
            <w:tcW w:w="1211" w:type="dxa"/>
            <w:shd w:val="clear" w:color="auto" w:fill="C4EFCE"/>
            <w:vAlign w:val="center"/>
          </w:tcPr>
          <w:p w14:paraId="1EDD1E47" w14:textId="77777777" w:rsidR="006C686E" w:rsidRDefault="00B17E8C">
            <w:pPr>
              <w:pStyle w:val="P68B1DB1-Normal63"/>
              <w:spacing w:after="0" w:line="276" w:lineRule="auto"/>
              <w:jc w:val="center"/>
              <w:rPr>
                <w:noProof/>
              </w:rPr>
            </w:pPr>
            <w:r>
              <w:rPr>
                <w:noProof/>
              </w:rPr>
              <w:t>12.10</w:t>
            </w:r>
          </w:p>
        </w:tc>
        <w:tc>
          <w:tcPr>
            <w:tcW w:w="1759" w:type="dxa"/>
            <w:shd w:val="clear" w:color="auto" w:fill="C4EFCE"/>
            <w:vAlign w:val="center"/>
          </w:tcPr>
          <w:p w14:paraId="23DF5087" w14:textId="77777777" w:rsidR="006C686E" w:rsidRDefault="00B17E8C">
            <w:pPr>
              <w:pStyle w:val="P68B1DB1-Normal63"/>
              <w:spacing w:after="0" w:line="276" w:lineRule="auto"/>
              <w:jc w:val="center"/>
              <w:rPr>
                <w:noProof/>
              </w:rPr>
            </w:pPr>
            <w:r>
              <w:rPr>
                <w:noProof/>
              </w:rPr>
              <w:t>TC-C12-i02</w:t>
            </w:r>
          </w:p>
        </w:tc>
        <w:tc>
          <w:tcPr>
            <w:tcW w:w="1519" w:type="dxa"/>
            <w:shd w:val="clear" w:color="auto" w:fill="C4EFCE"/>
            <w:vAlign w:val="center"/>
          </w:tcPr>
          <w:p w14:paraId="49211080" w14:textId="10B3775C"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1482E6F4" w14:textId="77777777" w:rsidR="006C686E" w:rsidRDefault="00B17E8C">
            <w:pPr>
              <w:pStyle w:val="P68B1DB1-Normal63"/>
              <w:spacing w:after="0" w:line="276" w:lineRule="auto"/>
              <w:jc w:val="both"/>
              <w:rPr>
                <w:noProof/>
              </w:rPr>
            </w:pPr>
            <w:r>
              <w:rPr>
                <w:noProof/>
              </w:rPr>
              <w:t xml:space="preserve">Capacité en matière de déchets, de réutilisation, de recyclage et de valorisation </w:t>
            </w:r>
          </w:p>
        </w:tc>
      </w:tr>
      <w:tr w:rsidR="006C686E" w14:paraId="5DD006BD" w14:textId="77777777">
        <w:trPr>
          <w:trHeight w:val="440"/>
        </w:trPr>
        <w:tc>
          <w:tcPr>
            <w:tcW w:w="1211" w:type="dxa"/>
            <w:shd w:val="clear" w:color="auto" w:fill="C4EFCE"/>
            <w:vAlign w:val="center"/>
          </w:tcPr>
          <w:p w14:paraId="0CF54B42" w14:textId="77777777" w:rsidR="006C686E" w:rsidRDefault="00B17E8C">
            <w:pPr>
              <w:pStyle w:val="P68B1DB1-Normal63"/>
              <w:spacing w:after="0" w:line="276" w:lineRule="auto"/>
              <w:jc w:val="center"/>
              <w:rPr>
                <w:noProof/>
              </w:rPr>
            </w:pPr>
            <w:r>
              <w:rPr>
                <w:noProof/>
              </w:rPr>
              <w:t>16.20</w:t>
            </w:r>
          </w:p>
        </w:tc>
        <w:tc>
          <w:tcPr>
            <w:tcW w:w="1759" w:type="dxa"/>
            <w:shd w:val="clear" w:color="auto" w:fill="C4EFCE"/>
            <w:vAlign w:val="center"/>
          </w:tcPr>
          <w:p w14:paraId="3954D78A" w14:textId="77777777" w:rsidR="006C686E" w:rsidRDefault="00B17E8C">
            <w:pPr>
              <w:pStyle w:val="P68B1DB1-Normal63"/>
              <w:spacing w:after="0" w:line="276" w:lineRule="auto"/>
              <w:jc w:val="center"/>
              <w:rPr>
                <w:noProof/>
              </w:rPr>
            </w:pPr>
            <w:r>
              <w:rPr>
                <w:noProof/>
              </w:rPr>
              <w:t>TD-C16-i06-RAM</w:t>
            </w:r>
          </w:p>
        </w:tc>
        <w:tc>
          <w:tcPr>
            <w:tcW w:w="1519" w:type="dxa"/>
            <w:shd w:val="clear" w:color="auto" w:fill="C4EFCE"/>
            <w:vAlign w:val="center"/>
          </w:tcPr>
          <w:p w14:paraId="06DD9FF1"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7F4D9167" w14:textId="77777777" w:rsidR="006C686E" w:rsidRDefault="00B17E8C">
            <w:pPr>
              <w:pStyle w:val="P68B1DB1-Normal63"/>
              <w:spacing w:after="0" w:line="276" w:lineRule="auto"/>
              <w:jc w:val="both"/>
              <w:rPr>
                <w:noProof/>
              </w:rPr>
            </w:pPr>
            <w:r>
              <w:rPr>
                <w:noProof/>
              </w:rPr>
              <w:t>Projets «+numériques»</w:t>
            </w:r>
          </w:p>
        </w:tc>
      </w:tr>
      <w:tr w:rsidR="006C686E" w14:paraId="5119BEE4" w14:textId="77777777">
        <w:trPr>
          <w:trHeight w:val="440"/>
        </w:trPr>
        <w:tc>
          <w:tcPr>
            <w:tcW w:w="1211" w:type="dxa"/>
            <w:shd w:val="clear" w:color="auto" w:fill="C4EFCE"/>
            <w:vAlign w:val="center"/>
          </w:tcPr>
          <w:p w14:paraId="109F7746" w14:textId="77777777" w:rsidR="006C686E" w:rsidRDefault="00B17E8C">
            <w:pPr>
              <w:pStyle w:val="P68B1DB1-Normal63"/>
              <w:spacing w:after="0" w:line="276" w:lineRule="auto"/>
              <w:jc w:val="center"/>
              <w:rPr>
                <w:noProof/>
              </w:rPr>
            </w:pPr>
            <w:r>
              <w:rPr>
                <w:noProof/>
              </w:rPr>
              <w:t>17.11</w:t>
            </w:r>
          </w:p>
        </w:tc>
        <w:tc>
          <w:tcPr>
            <w:tcW w:w="1759" w:type="dxa"/>
            <w:shd w:val="clear" w:color="auto" w:fill="C4EFCE"/>
            <w:vAlign w:val="center"/>
          </w:tcPr>
          <w:p w14:paraId="50AF8083" w14:textId="77777777" w:rsidR="006C686E" w:rsidRDefault="00B17E8C">
            <w:pPr>
              <w:pStyle w:val="P68B1DB1-Normal63"/>
              <w:spacing w:after="0" w:line="276" w:lineRule="auto"/>
              <w:jc w:val="center"/>
              <w:rPr>
                <w:noProof/>
              </w:rPr>
            </w:pPr>
            <w:r>
              <w:rPr>
                <w:noProof/>
              </w:rPr>
              <w:t>TD-C17-i01</w:t>
            </w:r>
          </w:p>
        </w:tc>
        <w:tc>
          <w:tcPr>
            <w:tcW w:w="1519" w:type="dxa"/>
            <w:shd w:val="clear" w:color="auto" w:fill="C4EFCE"/>
            <w:vAlign w:val="center"/>
          </w:tcPr>
          <w:p w14:paraId="77E1F163"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31F64DF7" w14:textId="77777777" w:rsidR="006C686E" w:rsidRDefault="00B17E8C">
            <w:pPr>
              <w:pStyle w:val="P68B1DB1-Normal60"/>
              <w:spacing w:after="0" w:line="276" w:lineRule="auto"/>
              <w:jc w:val="both"/>
              <w:rPr>
                <w:noProof/>
              </w:rPr>
            </w:pPr>
            <w:r>
              <w:rPr>
                <w:noProof/>
                <w:color w:val="000000"/>
              </w:rPr>
              <w:t>Fonctionnalités de la solution informatique qui soutient la préparation du budget de l'État</w:t>
            </w:r>
            <w:r>
              <w:rPr>
                <w:noProof/>
              </w:rPr>
              <w:t xml:space="preserve"> </w:t>
            </w:r>
          </w:p>
        </w:tc>
      </w:tr>
      <w:tr w:rsidR="006C686E" w14:paraId="76DC3BBB" w14:textId="77777777">
        <w:trPr>
          <w:trHeight w:val="440"/>
        </w:trPr>
        <w:tc>
          <w:tcPr>
            <w:tcW w:w="1211" w:type="dxa"/>
            <w:shd w:val="clear" w:color="auto" w:fill="C4EFCE"/>
            <w:vAlign w:val="center"/>
          </w:tcPr>
          <w:p w14:paraId="63BD1993" w14:textId="77777777" w:rsidR="006C686E" w:rsidRDefault="00B17E8C">
            <w:pPr>
              <w:pStyle w:val="P68B1DB1-Normal63"/>
              <w:spacing w:after="0" w:line="276" w:lineRule="auto"/>
              <w:jc w:val="center"/>
              <w:rPr>
                <w:noProof/>
              </w:rPr>
            </w:pPr>
            <w:r>
              <w:rPr>
                <w:noProof/>
              </w:rPr>
              <w:t>17.16</w:t>
            </w:r>
          </w:p>
        </w:tc>
        <w:tc>
          <w:tcPr>
            <w:tcW w:w="1759" w:type="dxa"/>
            <w:shd w:val="clear" w:color="auto" w:fill="C4EFCE"/>
            <w:vAlign w:val="center"/>
          </w:tcPr>
          <w:p w14:paraId="688B1A0E" w14:textId="77777777" w:rsidR="006C686E" w:rsidRDefault="00B17E8C">
            <w:pPr>
              <w:pStyle w:val="P68B1DB1-Normal63"/>
              <w:spacing w:after="0" w:line="276" w:lineRule="auto"/>
              <w:jc w:val="center"/>
              <w:rPr>
                <w:noProof/>
              </w:rPr>
            </w:pPr>
            <w:r>
              <w:rPr>
                <w:noProof/>
              </w:rPr>
              <w:t>TD-C17-i02</w:t>
            </w:r>
          </w:p>
        </w:tc>
        <w:tc>
          <w:tcPr>
            <w:tcW w:w="1519" w:type="dxa"/>
            <w:shd w:val="clear" w:color="auto" w:fill="C4EFCE"/>
            <w:vAlign w:val="center"/>
          </w:tcPr>
          <w:p w14:paraId="3B737C61"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5877614A" w14:textId="1CB9926D" w:rsidR="006C686E" w:rsidRDefault="00B17E8C">
            <w:pPr>
              <w:pStyle w:val="P68B1DB1-Normal63"/>
              <w:spacing w:after="0" w:line="276" w:lineRule="auto"/>
              <w:jc w:val="both"/>
              <w:rPr>
                <w:noProof/>
              </w:rPr>
            </w:pPr>
            <w:r>
              <w:rPr>
                <w:noProof/>
              </w:rPr>
              <w:t xml:space="preserve">Systèmes d'information pour l'administration fiscale et douanière </w:t>
            </w:r>
          </w:p>
        </w:tc>
      </w:tr>
      <w:tr w:rsidR="006C686E" w14:paraId="79CC9ED0" w14:textId="77777777">
        <w:trPr>
          <w:trHeight w:val="440"/>
        </w:trPr>
        <w:tc>
          <w:tcPr>
            <w:tcW w:w="1211" w:type="dxa"/>
            <w:shd w:val="clear" w:color="auto" w:fill="C4EFCE"/>
            <w:vAlign w:val="center"/>
          </w:tcPr>
          <w:p w14:paraId="79EC6BB1" w14:textId="77777777" w:rsidR="006C686E" w:rsidRDefault="00B17E8C">
            <w:pPr>
              <w:pStyle w:val="P68B1DB1-Normal63"/>
              <w:spacing w:after="0" w:line="276" w:lineRule="auto"/>
              <w:jc w:val="center"/>
              <w:rPr>
                <w:noProof/>
              </w:rPr>
            </w:pPr>
            <w:r>
              <w:rPr>
                <w:noProof/>
              </w:rPr>
              <w:t>17.18</w:t>
            </w:r>
          </w:p>
        </w:tc>
        <w:tc>
          <w:tcPr>
            <w:tcW w:w="1759" w:type="dxa"/>
            <w:shd w:val="clear" w:color="auto" w:fill="C4EFCE"/>
            <w:vAlign w:val="center"/>
          </w:tcPr>
          <w:p w14:paraId="7DEC61C1" w14:textId="77777777" w:rsidR="006C686E" w:rsidRDefault="00B17E8C">
            <w:pPr>
              <w:pStyle w:val="P68B1DB1-Normal63"/>
              <w:spacing w:after="0" w:line="276" w:lineRule="auto"/>
              <w:jc w:val="center"/>
              <w:rPr>
                <w:noProof/>
              </w:rPr>
            </w:pPr>
            <w:r>
              <w:rPr>
                <w:noProof/>
              </w:rPr>
              <w:t>TD-C17-i03</w:t>
            </w:r>
          </w:p>
        </w:tc>
        <w:tc>
          <w:tcPr>
            <w:tcW w:w="1519" w:type="dxa"/>
            <w:shd w:val="clear" w:color="auto" w:fill="C4EFCE"/>
            <w:vAlign w:val="center"/>
          </w:tcPr>
          <w:p w14:paraId="706F1E13"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71E1AD92" w14:textId="77777777" w:rsidR="006C686E" w:rsidRDefault="00B17E8C">
            <w:pPr>
              <w:pStyle w:val="P68B1DB1-Normal63"/>
              <w:spacing w:after="0" w:line="276" w:lineRule="auto"/>
              <w:jc w:val="both"/>
              <w:rPr>
                <w:noProof/>
              </w:rPr>
            </w:pPr>
            <w:r>
              <w:rPr>
                <w:noProof/>
              </w:rPr>
              <w:t xml:space="preserve">Fonctionnalités du site web </w:t>
            </w:r>
            <w:r>
              <w:rPr>
                <w:i/>
                <w:noProof/>
              </w:rPr>
              <w:t>Segurança Social Direta</w:t>
            </w:r>
          </w:p>
        </w:tc>
      </w:tr>
      <w:tr w:rsidR="006C686E" w14:paraId="54876837" w14:textId="77777777">
        <w:trPr>
          <w:trHeight w:val="440"/>
        </w:trPr>
        <w:tc>
          <w:tcPr>
            <w:tcW w:w="1211" w:type="dxa"/>
            <w:shd w:val="clear" w:color="auto" w:fill="C4EFCE"/>
            <w:vAlign w:val="center"/>
          </w:tcPr>
          <w:p w14:paraId="39F59D9B" w14:textId="77777777" w:rsidR="006C686E" w:rsidRDefault="00B17E8C">
            <w:pPr>
              <w:pStyle w:val="P68B1DB1-Normal63"/>
              <w:spacing w:after="0" w:line="276" w:lineRule="auto"/>
              <w:jc w:val="center"/>
              <w:rPr>
                <w:noProof/>
              </w:rPr>
            </w:pPr>
            <w:r>
              <w:rPr>
                <w:noProof/>
              </w:rPr>
              <w:t>17.20</w:t>
            </w:r>
          </w:p>
        </w:tc>
        <w:tc>
          <w:tcPr>
            <w:tcW w:w="1759" w:type="dxa"/>
            <w:shd w:val="clear" w:color="auto" w:fill="C4EFCE"/>
            <w:vAlign w:val="center"/>
          </w:tcPr>
          <w:p w14:paraId="1EAC0985" w14:textId="77777777" w:rsidR="006C686E" w:rsidRDefault="00B17E8C">
            <w:pPr>
              <w:pStyle w:val="P68B1DB1-Normal63"/>
              <w:spacing w:after="0" w:line="276" w:lineRule="auto"/>
              <w:jc w:val="center"/>
              <w:rPr>
                <w:noProof/>
              </w:rPr>
            </w:pPr>
            <w:r>
              <w:rPr>
                <w:noProof/>
              </w:rPr>
              <w:t>TD-C17-i03</w:t>
            </w:r>
          </w:p>
        </w:tc>
        <w:tc>
          <w:tcPr>
            <w:tcW w:w="1519" w:type="dxa"/>
            <w:shd w:val="clear" w:color="auto" w:fill="C4EFCE"/>
            <w:vAlign w:val="center"/>
          </w:tcPr>
          <w:p w14:paraId="48F5EE5C"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1DC61E5C" w14:textId="77777777" w:rsidR="006C686E" w:rsidRDefault="00B17E8C">
            <w:pPr>
              <w:pStyle w:val="P68B1DB1-Normal63"/>
              <w:spacing w:after="0" w:line="276" w:lineRule="auto"/>
              <w:jc w:val="both"/>
              <w:rPr>
                <w:noProof/>
              </w:rPr>
            </w:pPr>
            <w:r>
              <w:rPr>
                <w:noProof/>
              </w:rPr>
              <w:t>Modèles de surveillance intelligents</w:t>
            </w:r>
          </w:p>
        </w:tc>
      </w:tr>
      <w:tr w:rsidR="006C686E" w14:paraId="3E03FA71" w14:textId="77777777">
        <w:trPr>
          <w:trHeight w:val="440"/>
        </w:trPr>
        <w:tc>
          <w:tcPr>
            <w:tcW w:w="1211" w:type="dxa"/>
            <w:shd w:val="clear" w:color="auto" w:fill="C4EFCE"/>
            <w:vAlign w:val="center"/>
          </w:tcPr>
          <w:p w14:paraId="69B5FA0B" w14:textId="77777777" w:rsidR="006C686E" w:rsidRDefault="00B17E8C">
            <w:pPr>
              <w:pStyle w:val="P68B1DB1-Normal63"/>
              <w:spacing w:after="0" w:line="276" w:lineRule="auto"/>
              <w:jc w:val="center"/>
              <w:rPr>
                <w:noProof/>
              </w:rPr>
            </w:pPr>
            <w:r>
              <w:rPr>
                <w:noProof/>
              </w:rPr>
              <w:t>18.4</w:t>
            </w:r>
          </w:p>
        </w:tc>
        <w:tc>
          <w:tcPr>
            <w:tcW w:w="1759" w:type="dxa"/>
            <w:shd w:val="clear" w:color="auto" w:fill="C4EFCE"/>
            <w:vAlign w:val="center"/>
          </w:tcPr>
          <w:p w14:paraId="05465FB3" w14:textId="77777777" w:rsidR="006C686E" w:rsidRDefault="00B17E8C">
            <w:pPr>
              <w:pStyle w:val="P68B1DB1-Normal63"/>
              <w:spacing w:after="0" w:line="276" w:lineRule="auto"/>
              <w:jc w:val="center"/>
              <w:rPr>
                <w:noProof/>
              </w:rPr>
            </w:pPr>
            <w:r>
              <w:rPr>
                <w:noProof/>
              </w:rPr>
              <w:t>TD-C18-r33</w:t>
            </w:r>
          </w:p>
        </w:tc>
        <w:tc>
          <w:tcPr>
            <w:tcW w:w="1519" w:type="dxa"/>
            <w:shd w:val="clear" w:color="auto" w:fill="C4EFCE"/>
            <w:vAlign w:val="center"/>
          </w:tcPr>
          <w:p w14:paraId="77D2187C"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520251AB" w14:textId="40BA4E36" w:rsidR="006C686E" w:rsidRDefault="00B17E8C">
            <w:pPr>
              <w:pStyle w:val="P68B1DB1-Normal63"/>
              <w:spacing w:after="0" w:line="276" w:lineRule="auto"/>
              <w:jc w:val="both"/>
              <w:rPr>
                <w:noProof/>
              </w:rPr>
            </w:pPr>
            <w:r>
              <w:rPr>
                <w:noProof/>
              </w:rPr>
              <w:t>Entrée en vigueur d’un acte juridique sur l’élimination des obstacles à l’octroi de licences environnementales</w:t>
            </w:r>
          </w:p>
        </w:tc>
      </w:tr>
      <w:tr w:rsidR="006C686E" w14:paraId="1DA5626D" w14:textId="77777777">
        <w:trPr>
          <w:trHeight w:val="440"/>
        </w:trPr>
        <w:tc>
          <w:tcPr>
            <w:tcW w:w="1211" w:type="dxa"/>
            <w:shd w:val="clear" w:color="auto" w:fill="C4EFCE"/>
            <w:vAlign w:val="center"/>
          </w:tcPr>
          <w:p w14:paraId="39AB9B6A" w14:textId="77777777" w:rsidR="006C686E" w:rsidRDefault="00B17E8C">
            <w:pPr>
              <w:pStyle w:val="P68B1DB1-Normal63"/>
              <w:spacing w:after="0" w:line="276" w:lineRule="auto"/>
              <w:jc w:val="center"/>
              <w:rPr>
                <w:noProof/>
              </w:rPr>
            </w:pPr>
            <w:r>
              <w:rPr>
                <w:noProof/>
              </w:rPr>
              <w:t>18.7</w:t>
            </w:r>
          </w:p>
        </w:tc>
        <w:tc>
          <w:tcPr>
            <w:tcW w:w="1759" w:type="dxa"/>
            <w:shd w:val="clear" w:color="auto" w:fill="C4EFCE"/>
            <w:vAlign w:val="center"/>
          </w:tcPr>
          <w:p w14:paraId="07760D99" w14:textId="77777777" w:rsidR="006C686E" w:rsidRDefault="00B17E8C">
            <w:pPr>
              <w:pStyle w:val="P68B1DB1-Normal63"/>
              <w:spacing w:after="0" w:line="276" w:lineRule="auto"/>
              <w:jc w:val="center"/>
              <w:rPr>
                <w:noProof/>
              </w:rPr>
            </w:pPr>
            <w:r>
              <w:rPr>
                <w:noProof/>
              </w:rPr>
              <w:t>TD-C18-i01</w:t>
            </w:r>
          </w:p>
        </w:tc>
        <w:tc>
          <w:tcPr>
            <w:tcW w:w="1519" w:type="dxa"/>
            <w:shd w:val="clear" w:color="auto" w:fill="C4EFCE"/>
            <w:vAlign w:val="center"/>
          </w:tcPr>
          <w:p w14:paraId="56F4631F"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788B9378" w14:textId="46574EF3" w:rsidR="006C686E" w:rsidRDefault="00B17E8C">
            <w:pPr>
              <w:pStyle w:val="P68B1DB1-Normal63"/>
              <w:spacing w:after="0" w:line="276" w:lineRule="auto"/>
              <w:jc w:val="both"/>
              <w:rPr>
                <w:noProof/>
              </w:rPr>
            </w:pPr>
            <w:r>
              <w:rPr>
                <w:noProof/>
              </w:rPr>
              <w:t>Système d'information pour le traitement électronique des procédures</w:t>
            </w:r>
          </w:p>
        </w:tc>
      </w:tr>
      <w:tr w:rsidR="006C686E" w14:paraId="367D6FDA" w14:textId="77777777">
        <w:trPr>
          <w:trHeight w:val="440"/>
        </w:trPr>
        <w:tc>
          <w:tcPr>
            <w:tcW w:w="1211" w:type="dxa"/>
            <w:shd w:val="clear" w:color="auto" w:fill="C4EFCE"/>
            <w:vAlign w:val="center"/>
          </w:tcPr>
          <w:p w14:paraId="6CBD9E93" w14:textId="77777777" w:rsidR="006C686E" w:rsidRDefault="00B17E8C">
            <w:pPr>
              <w:pStyle w:val="P68B1DB1-Normal63"/>
              <w:spacing w:after="0" w:line="276" w:lineRule="auto"/>
              <w:jc w:val="center"/>
              <w:rPr>
                <w:noProof/>
              </w:rPr>
            </w:pPr>
            <w:r>
              <w:rPr>
                <w:noProof/>
              </w:rPr>
              <w:t>18.8</w:t>
            </w:r>
          </w:p>
        </w:tc>
        <w:tc>
          <w:tcPr>
            <w:tcW w:w="1759" w:type="dxa"/>
            <w:shd w:val="clear" w:color="auto" w:fill="C4EFCE"/>
            <w:vAlign w:val="center"/>
          </w:tcPr>
          <w:p w14:paraId="41796956" w14:textId="77777777" w:rsidR="006C686E" w:rsidRDefault="00B17E8C">
            <w:pPr>
              <w:pStyle w:val="P68B1DB1-Normal63"/>
              <w:spacing w:after="0" w:line="276" w:lineRule="auto"/>
              <w:jc w:val="center"/>
              <w:rPr>
                <w:noProof/>
              </w:rPr>
            </w:pPr>
            <w:r>
              <w:rPr>
                <w:noProof/>
              </w:rPr>
              <w:t>TD-C18-i01</w:t>
            </w:r>
          </w:p>
        </w:tc>
        <w:tc>
          <w:tcPr>
            <w:tcW w:w="1519" w:type="dxa"/>
            <w:shd w:val="clear" w:color="auto" w:fill="C4EFCE"/>
            <w:vAlign w:val="center"/>
          </w:tcPr>
          <w:p w14:paraId="69CACC80"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2414368C" w14:textId="261E24B3" w:rsidR="006C686E" w:rsidRDefault="00B17E8C">
            <w:pPr>
              <w:pStyle w:val="P68B1DB1-Normal63"/>
              <w:spacing w:after="0" w:line="276" w:lineRule="auto"/>
              <w:jc w:val="both"/>
              <w:rPr>
                <w:noProof/>
              </w:rPr>
            </w:pPr>
            <w:r>
              <w:rPr>
                <w:noProof/>
              </w:rPr>
              <w:t>Livraison de matériel ou de logiciels</w:t>
            </w:r>
          </w:p>
        </w:tc>
      </w:tr>
      <w:tr w:rsidR="006C686E" w14:paraId="193C6A05" w14:textId="77777777">
        <w:trPr>
          <w:trHeight w:val="440"/>
        </w:trPr>
        <w:tc>
          <w:tcPr>
            <w:tcW w:w="1211" w:type="dxa"/>
            <w:shd w:val="clear" w:color="auto" w:fill="C4EFCE"/>
            <w:vAlign w:val="center"/>
          </w:tcPr>
          <w:p w14:paraId="0538D39E" w14:textId="77777777" w:rsidR="006C686E" w:rsidRDefault="00B17E8C">
            <w:pPr>
              <w:pStyle w:val="P68B1DB1-Normal63"/>
              <w:spacing w:after="0" w:line="276" w:lineRule="auto"/>
              <w:jc w:val="center"/>
              <w:rPr>
                <w:noProof/>
              </w:rPr>
            </w:pPr>
            <w:r>
              <w:rPr>
                <w:noProof/>
              </w:rPr>
              <w:t>18.9</w:t>
            </w:r>
          </w:p>
        </w:tc>
        <w:tc>
          <w:tcPr>
            <w:tcW w:w="1759" w:type="dxa"/>
            <w:shd w:val="clear" w:color="auto" w:fill="C4EFCE"/>
            <w:vAlign w:val="center"/>
          </w:tcPr>
          <w:p w14:paraId="701B0A92" w14:textId="77777777" w:rsidR="006C686E" w:rsidRDefault="00B17E8C">
            <w:pPr>
              <w:pStyle w:val="P68B1DB1-Normal63"/>
              <w:spacing w:after="0" w:line="276" w:lineRule="auto"/>
              <w:jc w:val="center"/>
              <w:rPr>
                <w:noProof/>
              </w:rPr>
            </w:pPr>
            <w:r>
              <w:rPr>
                <w:noProof/>
              </w:rPr>
              <w:t>TD-C18-i01</w:t>
            </w:r>
          </w:p>
        </w:tc>
        <w:tc>
          <w:tcPr>
            <w:tcW w:w="1519" w:type="dxa"/>
            <w:shd w:val="clear" w:color="auto" w:fill="C4EFCE"/>
            <w:vAlign w:val="center"/>
          </w:tcPr>
          <w:p w14:paraId="58716964"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11E4FFF7" w14:textId="43E07271" w:rsidR="006C686E" w:rsidRDefault="00B17E8C">
            <w:pPr>
              <w:pStyle w:val="P68B1DB1-Normal63"/>
              <w:spacing w:after="0" w:line="276" w:lineRule="auto"/>
              <w:jc w:val="both"/>
              <w:rPr>
                <w:noProof/>
              </w:rPr>
            </w:pPr>
            <w:r>
              <w:rPr>
                <w:noProof/>
              </w:rPr>
              <w:t>Plateformes pour les services de soutien partagés, les statistiques, la gestion de l'information et les données ouvertes</w:t>
            </w:r>
          </w:p>
        </w:tc>
      </w:tr>
      <w:tr w:rsidR="006C686E" w14:paraId="20F877E6" w14:textId="77777777">
        <w:trPr>
          <w:trHeight w:val="440"/>
        </w:trPr>
        <w:tc>
          <w:tcPr>
            <w:tcW w:w="1211" w:type="dxa"/>
            <w:shd w:val="clear" w:color="auto" w:fill="C4EFCE"/>
            <w:vAlign w:val="center"/>
          </w:tcPr>
          <w:p w14:paraId="4F4756D6" w14:textId="77777777" w:rsidR="006C686E" w:rsidRDefault="00B17E8C">
            <w:pPr>
              <w:pStyle w:val="P68B1DB1-Normal63"/>
              <w:spacing w:after="0" w:line="276" w:lineRule="auto"/>
              <w:jc w:val="center"/>
              <w:rPr>
                <w:noProof/>
              </w:rPr>
            </w:pPr>
            <w:r>
              <w:rPr>
                <w:noProof/>
              </w:rPr>
              <w:t>19.2</w:t>
            </w:r>
          </w:p>
        </w:tc>
        <w:tc>
          <w:tcPr>
            <w:tcW w:w="1759" w:type="dxa"/>
            <w:shd w:val="clear" w:color="auto" w:fill="C4EFCE"/>
            <w:vAlign w:val="center"/>
          </w:tcPr>
          <w:p w14:paraId="7EDB3CFC" w14:textId="77777777" w:rsidR="006C686E" w:rsidRDefault="00B17E8C">
            <w:pPr>
              <w:pStyle w:val="P68B1DB1-Normal63"/>
              <w:spacing w:after="0" w:line="276" w:lineRule="auto"/>
              <w:jc w:val="center"/>
              <w:rPr>
                <w:noProof/>
              </w:rPr>
            </w:pPr>
            <w:r>
              <w:rPr>
                <w:noProof/>
              </w:rPr>
              <w:t>TD-C19-i01</w:t>
            </w:r>
          </w:p>
        </w:tc>
        <w:tc>
          <w:tcPr>
            <w:tcW w:w="1519" w:type="dxa"/>
            <w:shd w:val="clear" w:color="auto" w:fill="C4EFCE"/>
            <w:vAlign w:val="center"/>
          </w:tcPr>
          <w:p w14:paraId="3BBF894E"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3E03559F" w14:textId="3D7EAAC9" w:rsidR="006C686E" w:rsidRDefault="00B17E8C">
            <w:pPr>
              <w:pStyle w:val="P68B1DB1-Normal63"/>
              <w:spacing w:after="0" w:line="276" w:lineRule="auto"/>
              <w:jc w:val="both"/>
              <w:rPr>
                <w:noProof/>
              </w:rPr>
            </w:pPr>
            <w:r>
              <w:rPr>
                <w:noProof/>
              </w:rPr>
              <w:t>Services publics disponibles par différents canaux</w:t>
            </w:r>
          </w:p>
        </w:tc>
      </w:tr>
      <w:tr w:rsidR="006C686E" w14:paraId="1E60B4B5" w14:textId="77777777">
        <w:trPr>
          <w:trHeight w:val="440"/>
        </w:trPr>
        <w:tc>
          <w:tcPr>
            <w:tcW w:w="1211" w:type="dxa"/>
            <w:shd w:val="clear" w:color="auto" w:fill="C4EFCE"/>
            <w:vAlign w:val="center"/>
          </w:tcPr>
          <w:p w14:paraId="771C82CD" w14:textId="77777777" w:rsidR="006C686E" w:rsidRDefault="00B17E8C">
            <w:pPr>
              <w:pStyle w:val="P68B1DB1-Normal63"/>
              <w:spacing w:after="0" w:line="276" w:lineRule="auto"/>
              <w:jc w:val="center"/>
              <w:rPr>
                <w:noProof/>
              </w:rPr>
            </w:pPr>
            <w:r>
              <w:rPr>
                <w:noProof/>
              </w:rPr>
              <w:t>19.3</w:t>
            </w:r>
          </w:p>
        </w:tc>
        <w:tc>
          <w:tcPr>
            <w:tcW w:w="1759" w:type="dxa"/>
            <w:shd w:val="clear" w:color="auto" w:fill="C4EFCE"/>
            <w:vAlign w:val="center"/>
          </w:tcPr>
          <w:p w14:paraId="1BD2E0EB" w14:textId="77777777" w:rsidR="006C686E" w:rsidRDefault="00B17E8C">
            <w:pPr>
              <w:pStyle w:val="P68B1DB1-Normal63"/>
              <w:spacing w:after="0" w:line="276" w:lineRule="auto"/>
              <w:jc w:val="center"/>
              <w:rPr>
                <w:noProof/>
              </w:rPr>
            </w:pPr>
            <w:r>
              <w:rPr>
                <w:noProof/>
              </w:rPr>
              <w:t>TD-C19-i01</w:t>
            </w:r>
          </w:p>
        </w:tc>
        <w:tc>
          <w:tcPr>
            <w:tcW w:w="1519" w:type="dxa"/>
            <w:shd w:val="clear" w:color="auto" w:fill="C4EFCE"/>
            <w:vAlign w:val="center"/>
          </w:tcPr>
          <w:p w14:paraId="040B6753"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4487875C" w14:textId="10F35D2A" w:rsidR="006C686E" w:rsidRDefault="00B17E8C">
            <w:pPr>
              <w:pStyle w:val="P68B1DB1-Normal64"/>
              <w:spacing w:after="0" w:line="276" w:lineRule="auto"/>
              <w:jc w:val="both"/>
              <w:rPr>
                <w:noProof/>
                <w:color w:val="000000"/>
                <w:kern w:val="0"/>
                <w14:ligatures w14:val="none"/>
              </w:rPr>
            </w:pPr>
            <w:r>
              <w:rPr>
                <w:noProof/>
              </w:rPr>
              <w:t>Modèle de gestion consulaire</w:t>
            </w:r>
          </w:p>
        </w:tc>
      </w:tr>
      <w:tr w:rsidR="006C686E" w14:paraId="7DCC6932" w14:textId="77777777">
        <w:trPr>
          <w:trHeight w:val="440"/>
        </w:trPr>
        <w:tc>
          <w:tcPr>
            <w:tcW w:w="1211" w:type="dxa"/>
            <w:shd w:val="clear" w:color="auto" w:fill="C4EFCE"/>
            <w:vAlign w:val="center"/>
          </w:tcPr>
          <w:p w14:paraId="3DBBF9A3" w14:textId="77777777" w:rsidR="006C686E" w:rsidRDefault="00B17E8C">
            <w:pPr>
              <w:pStyle w:val="P68B1DB1-Normal63"/>
              <w:spacing w:after="0" w:line="276" w:lineRule="auto"/>
              <w:jc w:val="center"/>
              <w:rPr>
                <w:noProof/>
              </w:rPr>
            </w:pPr>
            <w:r>
              <w:rPr>
                <w:noProof/>
              </w:rPr>
              <w:t>19.6</w:t>
            </w:r>
          </w:p>
        </w:tc>
        <w:tc>
          <w:tcPr>
            <w:tcW w:w="1759" w:type="dxa"/>
            <w:shd w:val="clear" w:color="auto" w:fill="C4EFCE"/>
            <w:vAlign w:val="center"/>
          </w:tcPr>
          <w:p w14:paraId="6F64C86A" w14:textId="77777777" w:rsidR="006C686E" w:rsidRDefault="00B17E8C">
            <w:pPr>
              <w:pStyle w:val="P68B1DB1-Normal63"/>
              <w:spacing w:after="0" w:line="276" w:lineRule="auto"/>
              <w:jc w:val="center"/>
              <w:rPr>
                <w:noProof/>
              </w:rPr>
            </w:pPr>
            <w:r>
              <w:rPr>
                <w:noProof/>
              </w:rPr>
              <w:t>TD-C19-i02</w:t>
            </w:r>
          </w:p>
        </w:tc>
        <w:tc>
          <w:tcPr>
            <w:tcW w:w="1519" w:type="dxa"/>
            <w:shd w:val="clear" w:color="auto" w:fill="C4EFCE"/>
            <w:vAlign w:val="center"/>
          </w:tcPr>
          <w:p w14:paraId="0869816C"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5296C9E6" w14:textId="77777777" w:rsidR="006C686E" w:rsidRDefault="00B17E8C">
            <w:pPr>
              <w:pStyle w:val="P68B1DB1-Normal63"/>
              <w:spacing w:after="0" w:line="276" w:lineRule="auto"/>
              <w:jc w:val="both"/>
              <w:rPr>
                <w:noProof/>
              </w:rPr>
            </w:pPr>
            <w:r>
              <w:rPr>
                <w:noProof/>
              </w:rPr>
              <w:t>Infrastructure d'information territoriale</w:t>
            </w:r>
          </w:p>
        </w:tc>
      </w:tr>
      <w:tr w:rsidR="006C686E" w14:paraId="4030063A" w14:textId="77777777">
        <w:trPr>
          <w:trHeight w:val="440"/>
        </w:trPr>
        <w:tc>
          <w:tcPr>
            <w:tcW w:w="1211" w:type="dxa"/>
            <w:shd w:val="clear" w:color="auto" w:fill="C4EFCE"/>
            <w:vAlign w:val="center"/>
          </w:tcPr>
          <w:p w14:paraId="25ECB1E8" w14:textId="77777777" w:rsidR="006C686E" w:rsidRDefault="00B17E8C">
            <w:pPr>
              <w:pStyle w:val="P68B1DB1-Normal63"/>
              <w:spacing w:after="0" w:line="276" w:lineRule="auto"/>
              <w:jc w:val="center"/>
              <w:rPr>
                <w:noProof/>
              </w:rPr>
            </w:pPr>
            <w:r>
              <w:rPr>
                <w:noProof/>
              </w:rPr>
              <w:t>19.7</w:t>
            </w:r>
          </w:p>
        </w:tc>
        <w:tc>
          <w:tcPr>
            <w:tcW w:w="1759" w:type="dxa"/>
            <w:shd w:val="clear" w:color="auto" w:fill="C4EFCE"/>
            <w:vAlign w:val="center"/>
          </w:tcPr>
          <w:p w14:paraId="0471C5CF" w14:textId="77777777" w:rsidR="006C686E" w:rsidRDefault="00B17E8C">
            <w:pPr>
              <w:pStyle w:val="P68B1DB1-Normal63"/>
              <w:spacing w:after="0" w:line="276" w:lineRule="auto"/>
              <w:jc w:val="center"/>
              <w:rPr>
                <w:noProof/>
              </w:rPr>
            </w:pPr>
            <w:r>
              <w:rPr>
                <w:noProof/>
              </w:rPr>
              <w:t>TD-C19-i03</w:t>
            </w:r>
          </w:p>
        </w:tc>
        <w:tc>
          <w:tcPr>
            <w:tcW w:w="1519" w:type="dxa"/>
            <w:shd w:val="clear" w:color="auto" w:fill="C4EFCE"/>
            <w:vAlign w:val="center"/>
          </w:tcPr>
          <w:p w14:paraId="1BBE5657"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70030DA9" w14:textId="77777777" w:rsidR="006C686E" w:rsidRDefault="00B17E8C">
            <w:pPr>
              <w:pStyle w:val="P68B1DB1-Normal63"/>
              <w:spacing w:after="0" w:line="276" w:lineRule="auto"/>
              <w:jc w:val="both"/>
              <w:rPr>
                <w:noProof/>
              </w:rPr>
            </w:pPr>
            <w:r>
              <w:rPr>
                <w:noProof/>
              </w:rPr>
              <w:t>Centres de compétences</w:t>
            </w:r>
          </w:p>
        </w:tc>
      </w:tr>
      <w:tr w:rsidR="006C686E" w14:paraId="3B63BD65" w14:textId="77777777">
        <w:trPr>
          <w:trHeight w:val="440"/>
        </w:trPr>
        <w:tc>
          <w:tcPr>
            <w:tcW w:w="1211" w:type="dxa"/>
            <w:shd w:val="clear" w:color="auto" w:fill="C4EFCE"/>
            <w:vAlign w:val="center"/>
          </w:tcPr>
          <w:p w14:paraId="1C4F4FBC" w14:textId="77777777" w:rsidR="006C686E" w:rsidRDefault="00B17E8C">
            <w:pPr>
              <w:pStyle w:val="P68B1DB1-Normal63"/>
              <w:spacing w:after="0" w:line="276" w:lineRule="auto"/>
              <w:jc w:val="center"/>
              <w:rPr>
                <w:noProof/>
              </w:rPr>
            </w:pPr>
            <w:r>
              <w:rPr>
                <w:noProof/>
              </w:rPr>
              <w:t>19.9</w:t>
            </w:r>
          </w:p>
        </w:tc>
        <w:tc>
          <w:tcPr>
            <w:tcW w:w="1759" w:type="dxa"/>
            <w:shd w:val="clear" w:color="auto" w:fill="C4EFCE"/>
            <w:vAlign w:val="center"/>
          </w:tcPr>
          <w:p w14:paraId="29B2ABE0" w14:textId="77777777" w:rsidR="006C686E" w:rsidRDefault="00B17E8C">
            <w:pPr>
              <w:pStyle w:val="P68B1DB1-Normal63"/>
              <w:spacing w:after="0" w:line="276" w:lineRule="auto"/>
              <w:jc w:val="center"/>
              <w:rPr>
                <w:noProof/>
              </w:rPr>
            </w:pPr>
            <w:r>
              <w:rPr>
                <w:noProof/>
              </w:rPr>
              <w:t>TD-C19-i03</w:t>
            </w:r>
          </w:p>
        </w:tc>
        <w:tc>
          <w:tcPr>
            <w:tcW w:w="1519" w:type="dxa"/>
            <w:shd w:val="clear" w:color="auto" w:fill="C4EFCE"/>
            <w:vAlign w:val="center"/>
          </w:tcPr>
          <w:p w14:paraId="46787C47"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174489B6" w14:textId="237ADB62" w:rsidR="006C686E" w:rsidRDefault="00B17E8C">
            <w:pPr>
              <w:pStyle w:val="P68B1DB1-Normal63"/>
              <w:spacing w:after="0" w:line="276" w:lineRule="auto"/>
              <w:jc w:val="both"/>
              <w:rPr>
                <w:noProof/>
              </w:rPr>
            </w:pPr>
            <w:r>
              <w:rPr>
                <w:noProof/>
              </w:rPr>
              <w:t>Cadre national de cybersécurité</w:t>
            </w:r>
          </w:p>
        </w:tc>
      </w:tr>
      <w:tr w:rsidR="006C686E" w14:paraId="7F665248" w14:textId="77777777">
        <w:trPr>
          <w:trHeight w:val="440"/>
        </w:trPr>
        <w:tc>
          <w:tcPr>
            <w:tcW w:w="1211" w:type="dxa"/>
            <w:shd w:val="clear" w:color="auto" w:fill="C4EFCE"/>
            <w:vAlign w:val="center"/>
          </w:tcPr>
          <w:p w14:paraId="0D6BC666" w14:textId="77777777" w:rsidR="006C686E" w:rsidRDefault="00B17E8C">
            <w:pPr>
              <w:pStyle w:val="P68B1DB1-Normal63"/>
              <w:spacing w:after="0" w:line="276" w:lineRule="auto"/>
              <w:jc w:val="center"/>
              <w:rPr>
                <w:noProof/>
              </w:rPr>
            </w:pPr>
            <w:r>
              <w:rPr>
                <w:noProof/>
              </w:rPr>
              <w:t>19.17</w:t>
            </w:r>
          </w:p>
        </w:tc>
        <w:tc>
          <w:tcPr>
            <w:tcW w:w="1759" w:type="dxa"/>
            <w:shd w:val="clear" w:color="auto" w:fill="C4EFCE"/>
            <w:vAlign w:val="center"/>
          </w:tcPr>
          <w:p w14:paraId="7AA6FD09" w14:textId="77777777" w:rsidR="006C686E" w:rsidRDefault="00B17E8C">
            <w:pPr>
              <w:pStyle w:val="P68B1DB1-Normal63"/>
              <w:spacing w:after="0" w:line="276" w:lineRule="auto"/>
              <w:jc w:val="center"/>
              <w:rPr>
                <w:noProof/>
              </w:rPr>
            </w:pPr>
            <w:r>
              <w:rPr>
                <w:noProof/>
              </w:rPr>
              <w:t>TD-C19-i05-RAM</w:t>
            </w:r>
          </w:p>
        </w:tc>
        <w:tc>
          <w:tcPr>
            <w:tcW w:w="1519" w:type="dxa"/>
            <w:shd w:val="clear" w:color="auto" w:fill="C4EFCE"/>
            <w:vAlign w:val="center"/>
          </w:tcPr>
          <w:p w14:paraId="73463522" w14:textId="22FA285D" w:rsidR="006C686E" w:rsidRDefault="00B17E8C">
            <w:pPr>
              <w:pStyle w:val="P68B1DB1-Normal60"/>
              <w:spacing w:after="0" w:line="276" w:lineRule="auto"/>
              <w:jc w:val="center"/>
              <w:rPr>
                <w:noProof/>
              </w:rPr>
            </w:pPr>
            <w:r>
              <w:rPr>
                <w:noProof/>
              </w:rPr>
              <w:t>M</w:t>
            </w:r>
          </w:p>
        </w:tc>
        <w:tc>
          <w:tcPr>
            <w:tcW w:w="5051" w:type="dxa"/>
            <w:shd w:val="clear" w:color="auto" w:fill="C4EFCE"/>
            <w:vAlign w:val="center"/>
          </w:tcPr>
          <w:p w14:paraId="677144B9" w14:textId="77777777" w:rsidR="006C686E" w:rsidRDefault="00B17E8C">
            <w:pPr>
              <w:pStyle w:val="P68B1DB1-Normal64"/>
              <w:spacing w:after="0" w:line="276" w:lineRule="auto"/>
              <w:jc w:val="both"/>
              <w:rPr>
                <w:noProof/>
                <w:kern w:val="0"/>
                <w14:ligatures w14:val="none"/>
              </w:rPr>
            </w:pPr>
            <w:r>
              <w:rPr>
                <w:noProof/>
                <w:kern w:val="0"/>
                <w14:ligatures w14:val="none"/>
              </w:rPr>
              <w:t>Infrastructure informatique de l'administration publique</w:t>
            </w:r>
            <w:r>
              <w:rPr>
                <w:noProof/>
              </w:rPr>
              <w:t xml:space="preserve"> dans ARM</w:t>
            </w:r>
          </w:p>
        </w:tc>
      </w:tr>
      <w:tr w:rsidR="006C686E" w14:paraId="2D4BBF15" w14:textId="77777777">
        <w:trPr>
          <w:trHeight w:val="440"/>
        </w:trPr>
        <w:tc>
          <w:tcPr>
            <w:tcW w:w="1211" w:type="dxa"/>
            <w:shd w:val="clear" w:color="auto" w:fill="C4EFCE"/>
            <w:vAlign w:val="center"/>
          </w:tcPr>
          <w:p w14:paraId="136F95A3" w14:textId="77777777" w:rsidR="006C686E" w:rsidRDefault="00B17E8C">
            <w:pPr>
              <w:pStyle w:val="P68B1DB1-Normal63"/>
              <w:spacing w:after="0" w:line="276" w:lineRule="auto"/>
              <w:jc w:val="center"/>
              <w:rPr>
                <w:noProof/>
              </w:rPr>
            </w:pPr>
            <w:r>
              <w:rPr>
                <w:noProof/>
              </w:rPr>
              <w:t>19.18</w:t>
            </w:r>
          </w:p>
        </w:tc>
        <w:tc>
          <w:tcPr>
            <w:tcW w:w="1759" w:type="dxa"/>
            <w:shd w:val="clear" w:color="auto" w:fill="C4EFCE"/>
            <w:vAlign w:val="center"/>
          </w:tcPr>
          <w:p w14:paraId="3ACC3CE5" w14:textId="77777777" w:rsidR="006C686E" w:rsidRDefault="00B17E8C">
            <w:pPr>
              <w:pStyle w:val="P68B1DB1-Normal63"/>
              <w:spacing w:after="0" w:line="276" w:lineRule="auto"/>
              <w:jc w:val="center"/>
              <w:rPr>
                <w:noProof/>
              </w:rPr>
            </w:pPr>
            <w:r>
              <w:rPr>
                <w:noProof/>
              </w:rPr>
              <w:t>TD-C19-i06-RAA</w:t>
            </w:r>
          </w:p>
        </w:tc>
        <w:tc>
          <w:tcPr>
            <w:tcW w:w="1519" w:type="dxa"/>
            <w:shd w:val="clear" w:color="auto" w:fill="C4EFCE"/>
            <w:vAlign w:val="center"/>
          </w:tcPr>
          <w:p w14:paraId="4848FD40"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332854D8" w14:textId="77777777" w:rsidR="006C686E" w:rsidRDefault="00B17E8C">
            <w:pPr>
              <w:pStyle w:val="P68B1DB1-Normal63"/>
              <w:spacing w:after="0" w:line="276" w:lineRule="auto"/>
              <w:jc w:val="both"/>
              <w:rPr>
                <w:noProof/>
              </w:rPr>
            </w:pPr>
            <w:r>
              <w:rPr>
                <w:noProof/>
              </w:rPr>
              <w:t>Numérisation de l’administration publique régionale de l’ARA</w:t>
            </w:r>
          </w:p>
        </w:tc>
      </w:tr>
      <w:tr w:rsidR="006C686E" w14:paraId="5A2D5CA8" w14:textId="77777777">
        <w:trPr>
          <w:trHeight w:val="440"/>
        </w:trPr>
        <w:tc>
          <w:tcPr>
            <w:tcW w:w="1211" w:type="dxa"/>
            <w:shd w:val="clear" w:color="auto" w:fill="C4EFCE"/>
            <w:vAlign w:val="center"/>
          </w:tcPr>
          <w:p w14:paraId="3AD408D1" w14:textId="77777777" w:rsidR="006C686E" w:rsidRDefault="00B17E8C">
            <w:pPr>
              <w:pStyle w:val="P68B1DB1-Normal63"/>
              <w:spacing w:after="0" w:line="276" w:lineRule="auto"/>
              <w:jc w:val="center"/>
              <w:rPr>
                <w:noProof/>
              </w:rPr>
            </w:pPr>
            <w:r>
              <w:rPr>
                <w:noProof/>
              </w:rPr>
              <w:t>19.21</w:t>
            </w:r>
          </w:p>
        </w:tc>
        <w:tc>
          <w:tcPr>
            <w:tcW w:w="1759" w:type="dxa"/>
            <w:shd w:val="clear" w:color="auto" w:fill="C4EFCE"/>
            <w:vAlign w:val="center"/>
          </w:tcPr>
          <w:p w14:paraId="73630D3E" w14:textId="77777777" w:rsidR="006C686E" w:rsidRDefault="00B17E8C">
            <w:pPr>
              <w:pStyle w:val="P68B1DB1-Normal63"/>
              <w:spacing w:after="0" w:line="276" w:lineRule="auto"/>
              <w:jc w:val="center"/>
              <w:rPr>
                <w:noProof/>
              </w:rPr>
            </w:pPr>
            <w:r>
              <w:rPr>
                <w:noProof/>
              </w:rPr>
              <w:t>TD-C19-i07</w:t>
            </w:r>
          </w:p>
        </w:tc>
        <w:tc>
          <w:tcPr>
            <w:tcW w:w="1519" w:type="dxa"/>
            <w:shd w:val="clear" w:color="auto" w:fill="C4EFCE"/>
            <w:vAlign w:val="center"/>
          </w:tcPr>
          <w:p w14:paraId="3A000321"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2D84C95A" w14:textId="6349D91D" w:rsidR="006C686E" w:rsidRDefault="00B17E8C">
            <w:pPr>
              <w:pStyle w:val="P68B1DB1-Normal64"/>
              <w:spacing w:after="0" w:line="276" w:lineRule="auto"/>
              <w:jc w:val="both"/>
              <w:rPr>
                <w:noProof/>
                <w:color w:val="000000"/>
                <w:kern w:val="0"/>
                <w14:ligatures w14:val="none"/>
              </w:rPr>
            </w:pPr>
            <w:r>
              <w:rPr>
                <w:noProof/>
              </w:rPr>
              <w:t>Formation des employés de l'administration publique</w:t>
            </w:r>
          </w:p>
        </w:tc>
      </w:tr>
      <w:tr w:rsidR="006C686E" w14:paraId="6E3CF9AD" w14:textId="77777777">
        <w:trPr>
          <w:trHeight w:val="440"/>
        </w:trPr>
        <w:tc>
          <w:tcPr>
            <w:tcW w:w="1211" w:type="dxa"/>
            <w:shd w:val="clear" w:color="auto" w:fill="C4EFCE"/>
            <w:vAlign w:val="center"/>
          </w:tcPr>
          <w:p w14:paraId="4DEE4F96" w14:textId="77777777" w:rsidR="006C686E" w:rsidRDefault="00B17E8C">
            <w:pPr>
              <w:pStyle w:val="P68B1DB1-Normal63"/>
              <w:spacing w:after="0" w:line="276" w:lineRule="auto"/>
              <w:jc w:val="center"/>
              <w:rPr>
                <w:noProof/>
              </w:rPr>
            </w:pPr>
            <w:r>
              <w:rPr>
                <w:noProof/>
              </w:rPr>
              <w:t>20.12</w:t>
            </w:r>
          </w:p>
        </w:tc>
        <w:tc>
          <w:tcPr>
            <w:tcW w:w="1759" w:type="dxa"/>
            <w:shd w:val="clear" w:color="auto" w:fill="C4EFCE"/>
            <w:vAlign w:val="center"/>
          </w:tcPr>
          <w:p w14:paraId="4A7007DB" w14:textId="77777777" w:rsidR="006C686E" w:rsidRDefault="00B17E8C">
            <w:pPr>
              <w:pStyle w:val="P68B1DB1-Normal63"/>
              <w:spacing w:after="0" w:line="276" w:lineRule="auto"/>
              <w:jc w:val="center"/>
              <w:rPr>
                <w:noProof/>
              </w:rPr>
            </w:pPr>
            <w:r>
              <w:rPr>
                <w:noProof/>
              </w:rPr>
              <w:t>TD-C20-i02-RAA</w:t>
            </w:r>
          </w:p>
        </w:tc>
        <w:tc>
          <w:tcPr>
            <w:tcW w:w="1519" w:type="dxa"/>
            <w:shd w:val="clear" w:color="auto" w:fill="C4EFCE"/>
            <w:vAlign w:val="center"/>
          </w:tcPr>
          <w:p w14:paraId="46EA38A5"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228BF4D9" w14:textId="231B2AF8" w:rsidR="006C686E" w:rsidRDefault="00B17E8C">
            <w:pPr>
              <w:pStyle w:val="P68B1DB1-Normal63"/>
              <w:spacing w:after="0" w:line="276" w:lineRule="auto"/>
              <w:jc w:val="both"/>
              <w:rPr>
                <w:noProof/>
              </w:rPr>
            </w:pPr>
            <w:r>
              <w:rPr>
                <w:noProof/>
              </w:rPr>
              <w:t>Equipements numériques et manuels numériques</w:t>
            </w:r>
          </w:p>
        </w:tc>
      </w:tr>
      <w:tr w:rsidR="006C686E" w14:paraId="4D5F01DF" w14:textId="77777777">
        <w:trPr>
          <w:trHeight w:val="440"/>
        </w:trPr>
        <w:tc>
          <w:tcPr>
            <w:tcW w:w="1211" w:type="dxa"/>
            <w:shd w:val="clear" w:color="auto" w:fill="C4EFCE"/>
            <w:vAlign w:val="center"/>
          </w:tcPr>
          <w:p w14:paraId="344361AD" w14:textId="77777777" w:rsidR="006C686E" w:rsidRDefault="00B17E8C">
            <w:pPr>
              <w:pStyle w:val="P68B1DB1-Normal63"/>
              <w:spacing w:after="0" w:line="276" w:lineRule="auto"/>
              <w:jc w:val="center"/>
              <w:rPr>
                <w:noProof/>
              </w:rPr>
            </w:pPr>
            <w:r>
              <w:rPr>
                <w:noProof/>
              </w:rPr>
              <w:t>20.16</w:t>
            </w:r>
          </w:p>
        </w:tc>
        <w:tc>
          <w:tcPr>
            <w:tcW w:w="1759" w:type="dxa"/>
            <w:shd w:val="clear" w:color="auto" w:fill="C4EFCE"/>
            <w:vAlign w:val="center"/>
          </w:tcPr>
          <w:p w14:paraId="1806FF32" w14:textId="77777777" w:rsidR="006C686E" w:rsidRDefault="00B17E8C">
            <w:pPr>
              <w:pStyle w:val="P68B1DB1-Normal63"/>
              <w:spacing w:after="0" w:line="276" w:lineRule="auto"/>
              <w:jc w:val="center"/>
              <w:rPr>
                <w:noProof/>
              </w:rPr>
            </w:pPr>
            <w:r>
              <w:rPr>
                <w:noProof/>
              </w:rPr>
              <w:t>TD-C20-i03-RAM</w:t>
            </w:r>
          </w:p>
        </w:tc>
        <w:tc>
          <w:tcPr>
            <w:tcW w:w="1519" w:type="dxa"/>
            <w:shd w:val="clear" w:color="auto" w:fill="C4EFCE"/>
            <w:vAlign w:val="center"/>
          </w:tcPr>
          <w:p w14:paraId="5F78D05E"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38DE909F" w14:textId="57C5B150" w:rsidR="006C686E" w:rsidRDefault="00B17E8C">
            <w:pPr>
              <w:pStyle w:val="P68B1DB1-Normal64"/>
              <w:spacing w:after="0" w:line="276" w:lineRule="auto"/>
              <w:jc w:val="both"/>
              <w:rPr>
                <w:noProof/>
                <w:kern w:val="0"/>
                <w14:ligatures w14:val="none"/>
              </w:rPr>
            </w:pPr>
            <w:r>
              <w:rPr>
                <w:noProof/>
              </w:rPr>
              <w:t xml:space="preserve"> Élèves avec manuels numériques</w:t>
            </w:r>
          </w:p>
        </w:tc>
      </w:tr>
      <w:tr w:rsidR="006C686E" w14:paraId="57FD9A1D" w14:textId="77777777">
        <w:trPr>
          <w:trHeight w:val="440"/>
        </w:trPr>
        <w:tc>
          <w:tcPr>
            <w:tcW w:w="1211" w:type="dxa"/>
            <w:shd w:val="clear" w:color="auto" w:fill="C4EFCE"/>
            <w:vAlign w:val="center"/>
          </w:tcPr>
          <w:p w14:paraId="50D7A73F" w14:textId="77777777" w:rsidR="006C686E" w:rsidRDefault="00B17E8C">
            <w:pPr>
              <w:pStyle w:val="P68B1DB1-Normal63"/>
              <w:spacing w:after="0" w:line="276" w:lineRule="auto"/>
              <w:jc w:val="center"/>
              <w:rPr>
                <w:noProof/>
              </w:rPr>
            </w:pPr>
            <w:r>
              <w:rPr>
                <w:noProof/>
              </w:rPr>
              <w:t>20.17</w:t>
            </w:r>
          </w:p>
        </w:tc>
        <w:tc>
          <w:tcPr>
            <w:tcW w:w="1759" w:type="dxa"/>
            <w:shd w:val="clear" w:color="auto" w:fill="C4EFCE"/>
            <w:vAlign w:val="center"/>
          </w:tcPr>
          <w:p w14:paraId="7C37F08D" w14:textId="77777777" w:rsidR="006C686E" w:rsidRDefault="00B17E8C">
            <w:pPr>
              <w:pStyle w:val="P68B1DB1-Normal63"/>
              <w:spacing w:after="0" w:line="276" w:lineRule="auto"/>
              <w:jc w:val="center"/>
              <w:rPr>
                <w:noProof/>
              </w:rPr>
            </w:pPr>
            <w:r>
              <w:rPr>
                <w:noProof/>
              </w:rPr>
              <w:t>TD-C20-i03-RAM</w:t>
            </w:r>
          </w:p>
        </w:tc>
        <w:tc>
          <w:tcPr>
            <w:tcW w:w="1519" w:type="dxa"/>
            <w:shd w:val="clear" w:color="auto" w:fill="C4EFCE"/>
            <w:vAlign w:val="center"/>
          </w:tcPr>
          <w:p w14:paraId="09145B2B"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6CFA4388" w14:textId="563030CA" w:rsidR="006C686E" w:rsidRDefault="00B17E8C">
            <w:pPr>
              <w:pStyle w:val="P68B1DB1-Normal63"/>
              <w:spacing w:after="0" w:line="276" w:lineRule="auto"/>
              <w:jc w:val="both"/>
              <w:rPr>
                <w:noProof/>
              </w:rPr>
            </w:pPr>
            <w:r>
              <w:rPr>
                <w:noProof/>
              </w:rPr>
              <w:t xml:space="preserve">Formation aux compétences numériques </w:t>
            </w:r>
          </w:p>
        </w:tc>
      </w:tr>
      <w:tr w:rsidR="006C686E" w14:paraId="22460E82" w14:textId="77777777">
        <w:trPr>
          <w:trHeight w:val="440"/>
        </w:trPr>
        <w:tc>
          <w:tcPr>
            <w:tcW w:w="1211" w:type="dxa"/>
            <w:shd w:val="clear" w:color="auto" w:fill="C4EFCE"/>
            <w:vAlign w:val="center"/>
          </w:tcPr>
          <w:p w14:paraId="370E1EFB" w14:textId="77777777" w:rsidR="006C686E" w:rsidRDefault="00B17E8C">
            <w:pPr>
              <w:pStyle w:val="P68B1DB1-Normal63"/>
              <w:spacing w:after="0" w:line="276" w:lineRule="auto"/>
              <w:jc w:val="center"/>
              <w:rPr>
                <w:noProof/>
              </w:rPr>
            </w:pPr>
            <w:r>
              <w:rPr>
                <w:noProof/>
              </w:rPr>
              <w:t>20.18</w:t>
            </w:r>
          </w:p>
        </w:tc>
        <w:tc>
          <w:tcPr>
            <w:tcW w:w="1759" w:type="dxa"/>
            <w:shd w:val="clear" w:color="auto" w:fill="C4EFCE"/>
            <w:vAlign w:val="center"/>
          </w:tcPr>
          <w:p w14:paraId="33C751DC" w14:textId="77777777" w:rsidR="006C686E" w:rsidRDefault="00B17E8C">
            <w:pPr>
              <w:pStyle w:val="P68B1DB1-Normal63"/>
              <w:spacing w:after="0" w:line="276" w:lineRule="auto"/>
              <w:jc w:val="center"/>
              <w:rPr>
                <w:noProof/>
              </w:rPr>
            </w:pPr>
            <w:r>
              <w:rPr>
                <w:noProof/>
              </w:rPr>
              <w:t>TD-C20-i03-RAM</w:t>
            </w:r>
          </w:p>
        </w:tc>
        <w:tc>
          <w:tcPr>
            <w:tcW w:w="1519" w:type="dxa"/>
            <w:shd w:val="clear" w:color="auto" w:fill="C4EFCE"/>
            <w:vAlign w:val="center"/>
          </w:tcPr>
          <w:p w14:paraId="009C3420" w14:textId="77777777" w:rsidR="006C686E" w:rsidRDefault="00B17E8C">
            <w:pPr>
              <w:pStyle w:val="P68B1DB1-Normal63"/>
              <w:spacing w:after="0" w:line="276" w:lineRule="auto"/>
              <w:jc w:val="center"/>
              <w:rPr>
                <w:noProof/>
              </w:rPr>
            </w:pPr>
            <w:r>
              <w:rPr>
                <w:noProof/>
              </w:rPr>
              <w:t>M</w:t>
            </w:r>
          </w:p>
        </w:tc>
        <w:tc>
          <w:tcPr>
            <w:tcW w:w="5051" w:type="dxa"/>
            <w:shd w:val="clear" w:color="auto" w:fill="C4EFCE"/>
            <w:vAlign w:val="center"/>
          </w:tcPr>
          <w:p w14:paraId="038862E1" w14:textId="11CC9059" w:rsidR="006C686E" w:rsidRDefault="00B17E8C">
            <w:pPr>
              <w:pStyle w:val="P68B1DB1-Normal64"/>
              <w:spacing w:after="0" w:line="276" w:lineRule="auto"/>
              <w:jc w:val="both"/>
              <w:rPr>
                <w:noProof/>
                <w:kern w:val="0"/>
                <w14:ligatures w14:val="none"/>
              </w:rPr>
            </w:pPr>
            <w:r>
              <w:rPr>
                <w:noProof/>
              </w:rPr>
              <w:t xml:space="preserve"> Équipements numériques</w:t>
            </w:r>
          </w:p>
        </w:tc>
      </w:tr>
      <w:tr w:rsidR="006C686E" w14:paraId="4DBFFACD" w14:textId="77777777">
        <w:trPr>
          <w:trHeight w:val="440"/>
        </w:trPr>
        <w:tc>
          <w:tcPr>
            <w:tcW w:w="1211" w:type="dxa"/>
            <w:shd w:val="clear" w:color="auto" w:fill="C4EFCE"/>
            <w:vAlign w:val="center"/>
          </w:tcPr>
          <w:p w14:paraId="74A75C1C" w14:textId="77777777" w:rsidR="006C686E" w:rsidRDefault="00B17E8C">
            <w:pPr>
              <w:pStyle w:val="P68B1DB1-Normal63"/>
              <w:spacing w:after="0" w:line="276" w:lineRule="auto"/>
              <w:jc w:val="center"/>
              <w:rPr>
                <w:noProof/>
              </w:rPr>
            </w:pPr>
            <w:r>
              <w:rPr>
                <w:noProof/>
              </w:rPr>
              <w:t>21.2</w:t>
            </w:r>
          </w:p>
        </w:tc>
        <w:tc>
          <w:tcPr>
            <w:tcW w:w="1759" w:type="dxa"/>
            <w:shd w:val="clear" w:color="auto" w:fill="C4EFCE"/>
            <w:vAlign w:val="center"/>
          </w:tcPr>
          <w:p w14:paraId="538598A4" w14:textId="77777777" w:rsidR="006C686E" w:rsidRDefault="00B17E8C">
            <w:pPr>
              <w:pStyle w:val="P68B1DB1-Normal63"/>
              <w:spacing w:after="0" w:line="276" w:lineRule="auto"/>
              <w:jc w:val="center"/>
              <w:rPr>
                <w:noProof/>
              </w:rPr>
            </w:pPr>
            <w:r>
              <w:rPr>
                <w:noProof/>
              </w:rPr>
              <w:t>RP-C21-i02</w:t>
            </w:r>
          </w:p>
        </w:tc>
        <w:tc>
          <w:tcPr>
            <w:tcW w:w="1519" w:type="dxa"/>
            <w:shd w:val="clear" w:color="auto" w:fill="C4EFCE"/>
            <w:vAlign w:val="center"/>
          </w:tcPr>
          <w:p w14:paraId="473DB48D"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2544716C" w14:textId="6FCA6D70" w:rsidR="006C686E" w:rsidRDefault="00B17E8C">
            <w:pPr>
              <w:pStyle w:val="P68B1DB1-Normal63"/>
              <w:spacing w:after="0" w:line="276" w:lineRule="auto"/>
              <w:jc w:val="both"/>
              <w:rPr>
                <w:noProof/>
              </w:rPr>
            </w:pPr>
            <w:r>
              <w:rPr>
                <w:noProof/>
              </w:rPr>
              <w:t>Équipements d'efficacité énergétique pour bâtiments résidentiels</w:t>
            </w:r>
          </w:p>
        </w:tc>
      </w:tr>
      <w:tr w:rsidR="006C686E" w14:paraId="4AE936A6" w14:textId="77777777">
        <w:trPr>
          <w:trHeight w:val="440"/>
        </w:trPr>
        <w:tc>
          <w:tcPr>
            <w:tcW w:w="1211" w:type="dxa"/>
            <w:shd w:val="clear" w:color="auto" w:fill="C4EFCE"/>
            <w:vAlign w:val="center"/>
          </w:tcPr>
          <w:p w14:paraId="590557A6" w14:textId="77777777" w:rsidR="006C686E" w:rsidRDefault="00B17E8C">
            <w:pPr>
              <w:pStyle w:val="P68B1DB1-Normal63"/>
              <w:spacing w:after="0" w:line="276" w:lineRule="auto"/>
              <w:jc w:val="center"/>
              <w:rPr>
                <w:noProof/>
              </w:rPr>
            </w:pPr>
            <w:r>
              <w:rPr>
                <w:noProof/>
              </w:rPr>
              <w:t>21.32</w:t>
            </w:r>
          </w:p>
        </w:tc>
        <w:tc>
          <w:tcPr>
            <w:tcW w:w="1759" w:type="dxa"/>
            <w:shd w:val="clear" w:color="auto" w:fill="C4EFCE"/>
            <w:vAlign w:val="center"/>
          </w:tcPr>
          <w:p w14:paraId="3D005897" w14:textId="77777777" w:rsidR="006C686E" w:rsidRDefault="00B17E8C">
            <w:pPr>
              <w:pStyle w:val="P68B1DB1-Normal63"/>
              <w:spacing w:after="0" w:line="276" w:lineRule="auto"/>
              <w:jc w:val="center"/>
              <w:rPr>
                <w:noProof/>
              </w:rPr>
            </w:pPr>
            <w:r>
              <w:rPr>
                <w:noProof/>
              </w:rPr>
              <w:t>RP-C21-i10-RAA</w:t>
            </w:r>
          </w:p>
        </w:tc>
        <w:tc>
          <w:tcPr>
            <w:tcW w:w="1519" w:type="dxa"/>
            <w:shd w:val="clear" w:color="auto" w:fill="C4EFCE"/>
            <w:vAlign w:val="center"/>
          </w:tcPr>
          <w:p w14:paraId="5153782A" w14:textId="77777777"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0A35BEE6" w14:textId="77777777" w:rsidR="006C686E" w:rsidRDefault="00B17E8C">
            <w:pPr>
              <w:pStyle w:val="P68B1DB1-Normal63"/>
              <w:spacing w:after="0" w:line="276" w:lineRule="auto"/>
              <w:jc w:val="both"/>
              <w:rPr>
                <w:noProof/>
              </w:rPr>
            </w:pPr>
            <w:r>
              <w:rPr>
                <w:noProof/>
              </w:rPr>
              <w:t>Installation de la capacité de stockage</w:t>
            </w:r>
          </w:p>
        </w:tc>
      </w:tr>
      <w:tr w:rsidR="006C686E" w14:paraId="35317F5A" w14:textId="77777777">
        <w:trPr>
          <w:trHeight w:val="440"/>
        </w:trPr>
        <w:tc>
          <w:tcPr>
            <w:tcW w:w="1211" w:type="dxa"/>
            <w:shd w:val="clear" w:color="auto" w:fill="C4EFCE"/>
            <w:vAlign w:val="center"/>
          </w:tcPr>
          <w:p w14:paraId="7D88EFB9" w14:textId="3BAEF8F1" w:rsidR="006C686E" w:rsidRDefault="00B17E8C">
            <w:pPr>
              <w:pStyle w:val="P68B1DB1-Normal63"/>
              <w:spacing w:after="0" w:line="276" w:lineRule="auto"/>
              <w:jc w:val="center"/>
              <w:rPr>
                <w:noProof/>
              </w:rPr>
            </w:pPr>
            <w:r>
              <w:rPr>
                <w:noProof/>
              </w:rPr>
              <w:t>21.33</w:t>
            </w:r>
          </w:p>
        </w:tc>
        <w:tc>
          <w:tcPr>
            <w:tcW w:w="1759" w:type="dxa"/>
            <w:shd w:val="clear" w:color="auto" w:fill="C4EFCE"/>
            <w:vAlign w:val="center"/>
          </w:tcPr>
          <w:p w14:paraId="09618598" w14:textId="398F3FDA" w:rsidR="006C686E" w:rsidRDefault="00B17E8C">
            <w:pPr>
              <w:pStyle w:val="P68B1DB1-Normal63"/>
              <w:spacing w:after="0" w:line="276" w:lineRule="auto"/>
              <w:jc w:val="center"/>
              <w:rPr>
                <w:noProof/>
              </w:rPr>
            </w:pPr>
            <w:r>
              <w:rPr>
                <w:noProof/>
              </w:rPr>
              <w:t>RP-C21-i11-RAM</w:t>
            </w:r>
          </w:p>
        </w:tc>
        <w:tc>
          <w:tcPr>
            <w:tcW w:w="1519" w:type="dxa"/>
            <w:shd w:val="clear" w:color="auto" w:fill="C4EFCE"/>
            <w:vAlign w:val="center"/>
          </w:tcPr>
          <w:p w14:paraId="7D4ED595" w14:textId="0DF4F2F1" w:rsidR="006C686E" w:rsidRDefault="00B17E8C">
            <w:pPr>
              <w:pStyle w:val="P68B1DB1-Normal63"/>
              <w:spacing w:after="0" w:line="276" w:lineRule="auto"/>
              <w:jc w:val="center"/>
              <w:rPr>
                <w:noProof/>
              </w:rPr>
            </w:pPr>
            <w:r>
              <w:rPr>
                <w:noProof/>
              </w:rPr>
              <w:t>T</w:t>
            </w:r>
          </w:p>
        </w:tc>
        <w:tc>
          <w:tcPr>
            <w:tcW w:w="5051" w:type="dxa"/>
            <w:shd w:val="clear" w:color="auto" w:fill="C4EFCE"/>
            <w:vAlign w:val="center"/>
          </w:tcPr>
          <w:p w14:paraId="5464AC44" w14:textId="3BBF710E" w:rsidR="006C686E" w:rsidRDefault="00B17E8C">
            <w:pPr>
              <w:pStyle w:val="P68B1DB1-Normal63"/>
              <w:spacing w:after="0" w:line="276" w:lineRule="auto"/>
              <w:jc w:val="both"/>
              <w:rPr>
                <w:noProof/>
              </w:rPr>
            </w:pPr>
            <w:r>
              <w:rPr>
                <w:noProof/>
              </w:rPr>
              <w:t xml:space="preserve">Installation d'unités photovoltaïques ou capacité de stockage </w:t>
            </w:r>
          </w:p>
        </w:tc>
      </w:tr>
      <w:tr w:rsidR="006C686E" w14:paraId="30DA9A60" w14:textId="77777777">
        <w:trPr>
          <w:trHeight w:val="440"/>
        </w:trPr>
        <w:tc>
          <w:tcPr>
            <w:tcW w:w="1211" w:type="dxa"/>
            <w:shd w:val="clear" w:color="auto" w:fill="C4EFCE"/>
            <w:vAlign w:val="center"/>
          </w:tcPr>
          <w:p w14:paraId="7CFB3888" w14:textId="0A8A7171" w:rsidR="006C686E" w:rsidRDefault="00B17E8C">
            <w:pPr>
              <w:pStyle w:val="P68B1DB1-Normal64"/>
              <w:spacing w:after="0" w:line="240" w:lineRule="auto"/>
              <w:jc w:val="center"/>
              <w:rPr>
                <w:noProof/>
                <w:kern w:val="0"/>
                <w14:ligatures w14:val="none"/>
              </w:rPr>
            </w:pPr>
            <w:r>
              <w:rPr>
                <w:noProof/>
              </w:rPr>
              <w:t>21.47</w:t>
            </w:r>
          </w:p>
        </w:tc>
        <w:tc>
          <w:tcPr>
            <w:tcW w:w="1759" w:type="dxa"/>
            <w:shd w:val="clear" w:color="auto" w:fill="C4EFCE"/>
            <w:vAlign w:val="center"/>
          </w:tcPr>
          <w:p w14:paraId="4CB4A767" w14:textId="36637278" w:rsidR="006C686E" w:rsidRDefault="00B17E8C">
            <w:pPr>
              <w:pStyle w:val="P68B1DB1-Normal62"/>
              <w:spacing w:after="0" w:line="240" w:lineRule="auto"/>
              <w:jc w:val="center"/>
              <w:rPr>
                <w:noProof/>
                <w:kern w:val="0"/>
                <w14:ligatures w14:val="none"/>
              </w:rPr>
            </w:pPr>
            <w:r>
              <w:rPr>
                <w:noProof/>
              </w:rPr>
              <w:t>RP-C21-i18</w:t>
            </w:r>
          </w:p>
        </w:tc>
        <w:tc>
          <w:tcPr>
            <w:tcW w:w="1519" w:type="dxa"/>
            <w:shd w:val="clear" w:color="auto" w:fill="C4EFCE"/>
            <w:vAlign w:val="center"/>
          </w:tcPr>
          <w:p w14:paraId="4986E6C5" w14:textId="51F2F01F" w:rsidR="006C686E" w:rsidRDefault="00B17E8C">
            <w:pPr>
              <w:pStyle w:val="P68B1DB1-Normal64"/>
              <w:spacing w:after="0" w:line="240" w:lineRule="auto"/>
              <w:jc w:val="center"/>
              <w:rPr>
                <w:noProof/>
                <w:kern w:val="0"/>
                <w14:ligatures w14:val="none"/>
              </w:rPr>
            </w:pPr>
            <w:r>
              <w:rPr>
                <w:noProof/>
              </w:rPr>
              <w:t>M</w:t>
            </w:r>
          </w:p>
        </w:tc>
        <w:tc>
          <w:tcPr>
            <w:tcW w:w="5051" w:type="dxa"/>
            <w:shd w:val="clear" w:color="auto" w:fill="C4EFCE"/>
            <w:vAlign w:val="center"/>
          </w:tcPr>
          <w:p w14:paraId="574FF0ED" w14:textId="6FF2C008" w:rsidR="006C686E" w:rsidRDefault="00B17E8C">
            <w:pPr>
              <w:pStyle w:val="P68B1DB1-Normal64"/>
              <w:spacing w:after="0" w:line="240" w:lineRule="auto"/>
              <w:rPr>
                <w:i/>
                <w:noProof/>
                <w:kern w:val="0"/>
                <w14:ligatures w14:val="none"/>
              </w:rPr>
            </w:pPr>
            <w:r>
              <w:rPr>
                <w:noProof/>
              </w:rPr>
              <w:t>Accord d’exécution ou acte(s) juridique(s)</w:t>
            </w:r>
          </w:p>
        </w:tc>
      </w:tr>
      <w:tr w:rsidR="006C686E" w14:paraId="08A5D366" w14:textId="77777777">
        <w:trPr>
          <w:trHeight w:val="440"/>
        </w:trPr>
        <w:tc>
          <w:tcPr>
            <w:tcW w:w="1211" w:type="dxa"/>
            <w:shd w:val="clear" w:color="auto" w:fill="C4EFCE"/>
            <w:vAlign w:val="center"/>
            <w:hideMark/>
          </w:tcPr>
          <w:p w14:paraId="6FE267E0" w14:textId="77777777" w:rsidR="006C686E" w:rsidRDefault="00B17E8C">
            <w:pPr>
              <w:pStyle w:val="P68B1DB1-Normal60"/>
              <w:spacing w:after="0" w:line="240" w:lineRule="auto"/>
              <w:jc w:val="center"/>
              <w:rPr>
                <w:rFonts w:eastAsia="Times New Roman"/>
                <w:noProof/>
              </w:rPr>
            </w:pPr>
            <w:r>
              <w:rPr>
                <w:noProof/>
              </w:rPr>
              <w:t xml:space="preserve"> </w:t>
            </w:r>
          </w:p>
        </w:tc>
        <w:tc>
          <w:tcPr>
            <w:tcW w:w="1759" w:type="dxa"/>
            <w:shd w:val="clear" w:color="auto" w:fill="C4EFCE"/>
            <w:vAlign w:val="center"/>
            <w:hideMark/>
          </w:tcPr>
          <w:p w14:paraId="5BB7F9F4" w14:textId="77777777" w:rsidR="006C686E" w:rsidRDefault="00B17E8C">
            <w:pPr>
              <w:pStyle w:val="P68B1DB1-Normal60"/>
              <w:spacing w:after="0" w:line="240" w:lineRule="auto"/>
              <w:jc w:val="center"/>
              <w:rPr>
                <w:rFonts w:eastAsia="Times New Roman"/>
                <w:noProof/>
              </w:rPr>
            </w:pPr>
            <w:r>
              <w:rPr>
                <w:noProof/>
              </w:rPr>
              <w:t xml:space="preserve"> </w:t>
            </w:r>
          </w:p>
        </w:tc>
        <w:tc>
          <w:tcPr>
            <w:tcW w:w="1519" w:type="dxa"/>
            <w:shd w:val="clear" w:color="auto" w:fill="C4EFCE"/>
            <w:vAlign w:val="center"/>
            <w:hideMark/>
          </w:tcPr>
          <w:p w14:paraId="3BFCEFF7"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51" w:type="dxa"/>
            <w:shd w:val="clear" w:color="auto" w:fill="C4EFCE"/>
            <w:vAlign w:val="center"/>
            <w:hideMark/>
          </w:tcPr>
          <w:p w14:paraId="718EA6E7" w14:textId="35C2AA1F" w:rsidR="006C686E" w:rsidRDefault="00B17E8C">
            <w:pPr>
              <w:pStyle w:val="P68B1DB1-Normal61"/>
              <w:spacing w:after="0" w:line="240" w:lineRule="auto"/>
              <w:jc w:val="center"/>
              <w:rPr>
                <w:iCs/>
                <w:noProof/>
                <w:sz w:val="20"/>
                <w:szCs w:val="20"/>
              </w:rPr>
            </w:pPr>
            <w:r>
              <w:rPr>
                <w:noProof/>
              </w:rPr>
              <w:t>2 111 907 988 EUR</w:t>
            </w:r>
          </w:p>
        </w:tc>
      </w:tr>
    </w:tbl>
    <w:p w14:paraId="6157172F"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Dixième tranche (soutien non remboursable): </w:t>
      </w:r>
    </w:p>
    <w:p w14:paraId="65213D70"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495" w:type="dxa"/>
        <w:tblInd w:w="113" w:type="dxa"/>
        <w:tblLook w:val="04A0" w:firstRow="1" w:lastRow="0" w:firstColumn="1" w:lastColumn="0" w:noHBand="0" w:noVBand="1"/>
      </w:tblPr>
      <w:tblGrid>
        <w:gridCol w:w="1297"/>
        <w:gridCol w:w="2791"/>
        <w:gridCol w:w="1294"/>
        <w:gridCol w:w="4113"/>
      </w:tblGrid>
      <w:tr w:rsidR="006C686E" w14:paraId="6DF158BA" w14:textId="77777777">
        <w:trPr>
          <w:trHeight w:val="1018"/>
          <w:tblHeader/>
        </w:trPr>
        <w:tc>
          <w:tcPr>
            <w:tcW w:w="13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3EE9F3"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28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A1D735"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2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C9F47C" w14:textId="77777777" w:rsidR="006C686E" w:rsidRDefault="00B17E8C">
            <w:pPr>
              <w:pStyle w:val="P68B1DB1-Normal59"/>
              <w:spacing w:after="0" w:line="240" w:lineRule="auto"/>
              <w:jc w:val="center"/>
              <w:rPr>
                <w:rFonts w:eastAsia="Times New Roman"/>
                <w:bCs/>
                <w:noProof/>
              </w:rPr>
            </w:pPr>
            <w:r>
              <w:rPr>
                <w:noProof/>
              </w:rPr>
              <w:t>Étape/cible</w:t>
            </w:r>
          </w:p>
        </w:tc>
        <w:tc>
          <w:tcPr>
            <w:tcW w:w="41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B4DF90" w14:textId="77777777" w:rsidR="006C686E" w:rsidRDefault="00B17E8C">
            <w:pPr>
              <w:pStyle w:val="P68B1DB1-Normal59"/>
              <w:spacing w:after="0" w:line="240" w:lineRule="auto"/>
              <w:jc w:val="center"/>
              <w:rPr>
                <w:rFonts w:eastAsia="Times New Roman"/>
                <w:bCs/>
                <w:noProof/>
              </w:rPr>
            </w:pPr>
            <w:r>
              <w:rPr>
                <w:noProof/>
              </w:rPr>
              <w:t>Nom</w:t>
            </w:r>
          </w:p>
        </w:tc>
      </w:tr>
      <w:tr w:rsidR="006C686E" w14:paraId="0871BD1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EE5B800" w14:textId="77777777" w:rsidR="006C686E" w:rsidRDefault="00B17E8C">
            <w:pPr>
              <w:pStyle w:val="P68B1DB1-Normal63"/>
              <w:spacing w:after="0" w:line="276" w:lineRule="auto"/>
              <w:jc w:val="center"/>
              <w:rPr>
                <w:noProof/>
              </w:rPr>
            </w:pPr>
            <w:r>
              <w:rPr>
                <w:noProof/>
              </w:rPr>
              <w:t>1.17</w:t>
            </w:r>
          </w:p>
        </w:tc>
        <w:tc>
          <w:tcPr>
            <w:tcW w:w="2812" w:type="dxa"/>
            <w:tcBorders>
              <w:top w:val="nil"/>
              <w:left w:val="nil"/>
              <w:bottom w:val="single" w:sz="4" w:space="0" w:color="auto"/>
              <w:right w:val="single" w:sz="4" w:space="0" w:color="auto"/>
            </w:tcBorders>
            <w:shd w:val="clear" w:color="auto" w:fill="C4EFCE"/>
            <w:vAlign w:val="center"/>
          </w:tcPr>
          <w:p w14:paraId="2DD0CF83" w14:textId="77777777" w:rsidR="006C686E" w:rsidRDefault="00B17E8C">
            <w:pPr>
              <w:pStyle w:val="P68B1DB1-Normal63"/>
              <w:spacing w:after="0" w:line="276" w:lineRule="auto"/>
              <w:jc w:val="center"/>
              <w:rPr>
                <w:noProof/>
              </w:rPr>
            </w:pPr>
            <w:r>
              <w:rPr>
                <w:noProof/>
              </w:rPr>
              <w:t>RE-C01-i01</w:t>
            </w:r>
          </w:p>
        </w:tc>
        <w:tc>
          <w:tcPr>
            <w:tcW w:w="1232" w:type="dxa"/>
            <w:tcBorders>
              <w:top w:val="nil"/>
              <w:left w:val="nil"/>
              <w:bottom w:val="single" w:sz="4" w:space="0" w:color="auto"/>
              <w:right w:val="single" w:sz="4" w:space="0" w:color="auto"/>
            </w:tcBorders>
            <w:shd w:val="clear" w:color="auto" w:fill="C4EFCE"/>
            <w:vAlign w:val="center"/>
          </w:tcPr>
          <w:p w14:paraId="3EB5A391"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950B662" w14:textId="77777777" w:rsidR="006C686E" w:rsidRDefault="00B17E8C">
            <w:pPr>
              <w:pStyle w:val="P68B1DB1-Normal64"/>
              <w:spacing w:after="0" w:line="276" w:lineRule="auto"/>
              <w:jc w:val="both"/>
              <w:rPr>
                <w:noProof/>
                <w:kern w:val="0"/>
                <w14:ligatures w14:val="none"/>
              </w:rPr>
            </w:pPr>
            <w:r>
              <w:rPr>
                <w:noProof/>
              </w:rPr>
              <w:t>Achat de matériel et disponibilité de services ou de consultations dans les unités de santé locales</w:t>
            </w:r>
          </w:p>
        </w:tc>
      </w:tr>
      <w:tr w:rsidR="006C686E" w14:paraId="60CD5C7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E70265A" w14:textId="77777777" w:rsidR="006C686E" w:rsidRDefault="00B17E8C">
            <w:pPr>
              <w:pStyle w:val="P68B1DB1-Normal63"/>
              <w:spacing w:after="0" w:line="276" w:lineRule="auto"/>
              <w:jc w:val="center"/>
              <w:rPr>
                <w:noProof/>
              </w:rPr>
            </w:pPr>
            <w:r>
              <w:rPr>
                <w:noProof/>
              </w:rPr>
              <w:t>1.18</w:t>
            </w:r>
          </w:p>
        </w:tc>
        <w:tc>
          <w:tcPr>
            <w:tcW w:w="2812" w:type="dxa"/>
            <w:tcBorders>
              <w:top w:val="nil"/>
              <w:left w:val="nil"/>
              <w:bottom w:val="single" w:sz="4" w:space="0" w:color="auto"/>
              <w:right w:val="single" w:sz="4" w:space="0" w:color="auto"/>
            </w:tcBorders>
            <w:shd w:val="clear" w:color="auto" w:fill="C4EFCE"/>
            <w:vAlign w:val="center"/>
          </w:tcPr>
          <w:p w14:paraId="7F7BFBFF" w14:textId="77777777" w:rsidR="006C686E" w:rsidRDefault="00B17E8C">
            <w:pPr>
              <w:pStyle w:val="P68B1DB1-Normal63"/>
              <w:spacing w:after="0" w:line="276" w:lineRule="auto"/>
              <w:jc w:val="center"/>
              <w:rPr>
                <w:noProof/>
              </w:rPr>
            </w:pPr>
            <w:r>
              <w:rPr>
                <w:noProof/>
              </w:rPr>
              <w:t>RE-C01-i01</w:t>
            </w:r>
          </w:p>
        </w:tc>
        <w:tc>
          <w:tcPr>
            <w:tcW w:w="1232" w:type="dxa"/>
            <w:tcBorders>
              <w:top w:val="nil"/>
              <w:left w:val="nil"/>
              <w:bottom w:val="single" w:sz="4" w:space="0" w:color="auto"/>
              <w:right w:val="single" w:sz="4" w:space="0" w:color="auto"/>
            </w:tcBorders>
            <w:shd w:val="clear" w:color="auto" w:fill="C4EFCE"/>
            <w:vAlign w:val="center"/>
          </w:tcPr>
          <w:p w14:paraId="527F5368"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AF9AAA" w14:textId="77777777" w:rsidR="006C686E" w:rsidRDefault="00B17E8C">
            <w:pPr>
              <w:pStyle w:val="P68B1DB1-Normal62"/>
              <w:spacing w:after="0" w:line="276" w:lineRule="auto"/>
              <w:jc w:val="both"/>
              <w:rPr>
                <w:noProof/>
                <w:kern w:val="0"/>
                <w14:ligatures w14:val="none"/>
              </w:rPr>
            </w:pPr>
            <w:r>
              <w:rPr>
                <w:noProof/>
              </w:rPr>
              <w:t>Construction ou rénovation d'unités de santé</w:t>
            </w:r>
          </w:p>
        </w:tc>
      </w:tr>
      <w:tr w:rsidR="006C686E" w14:paraId="37A613A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B0F3E6A" w14:textId="229D4823" w:rsidR="006C686E" w:rsidRDefault="00B17E8C">
            <w:pPr>
              <w:pStyle w:val="P68B1DB1-Normal63"/>
              <w:spacing w:after="0" w:line="276" w:lineRule="auto"/>
              <w:jc w:val="center"/>
              <w:rPr>
                <w:noProof/>
              </w:rPr>
            </w:pPr>
            <w:r>
              <w:rPr>
                <w:noProof/>
              </w:rPr>
              <w:t>1.21</w:t>
            </w:r>
          </w:p>
        </w:tc>
        <w:tc>
          <w:tcPr>
            <w:tcW w:w="2812" w:type="dxa"/>
            <w:tcBorders>
              <w:top w:val="nil"/>
              <w:left w:val="nil"/>
              <w:bottom w:val="single" w:sz="4" w:space="0" w:color="auto"/>
              <w:right w:val="single" w:sz="4" w:space="0" w:color="auto"/>
            </w:tcBorders>
            <w:shd w:val="clear" w:color="auto" w:fill="C4EFCE"/>
            <w:vAlign w:val="center"/>
          </w:tcPr>
          <w:p w14:paraId="72DA3E13" w14:textId="06E53997" w:rsidR="006C686E" w:rsidRDefault="00B17E8C">
            <w:pPr>
              <w:pStyle w:val="P68B1DB1-Normal63"/>
              <w:spacing w:after="0" w:line="276" w:lineRule="auto"/>
              <w:jc w:val="center"/>
              <w:rPr>
                <w:noProof/>
              </w:rPr>
            </w:pPr>
            <w:r>
              <w:rPr>
                <w:noProof/>
              </w:rPr>
              <w:t>RE-C01-i02</w:t>
            </w:r>
          </w:p>
        </w:tc>
        <w:tc>
          <w:tcPr>
            <w:tcW w:w="1232" w:type="dxa"/>
            <w:tcBorders>
              <w:top w:val="nil"/>
              <w:left w:val="nil"/>
              <w:bottom w:val="single" w:sz="4" w:space="0" w:color="auto"/>
              <w:right w:val="single" w:sz="4" w:space="0" w:color="auto"/>
            </w:tcBorders>
            <w:shd w:val="clear" w:color="auto" w:fill="C4EFCE"/>
            <w:vAlign w:val="center"/>
          </w:tcPr>
          <w:p w14:paraId="398C4960" w14:textId="22DF054A"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5E7C60F" w14:textId="63F2F78A" w:rsidR="006C686E" w:rsidRDefault="00B17E8C">
            <w:pPr>
              <w:pStyle w:val="P68B1DB1-Normal64"/>
              <w:spacing w:after="0" w:line="276" w:lineRule="auto"/>
              <w:jc w:val="both"/>
              <w:rPr>
                <w:noProof/>
                <w:color w:val="000000"/>
                <w:kern w:val="0"/>
                <w14:ligatures w14:val="none"/>
              </w:rPr>
            </w:pPr>
            <w:r>
              <w:rPr>
                <w:noProof/>
              </w:rPr>
              <w:t>Rénovation ou nouveaux lits dans le système de santé</w:t>
            </w:r>
          </w:p>
        </w:tc>
      </w:tr>
      <w:tr w:rsidR="006C686E" w14:paraId="15D466C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88EA21" w14:textId="3D674B84" w:rsidR="006C686E" w:rsidRDefault="00B17E8C">
            <w:pPr>
              <w:pStyle w:val="P68B1DB1-Normal63"/>
              <w:spacing w:after="0" w:line="276" w:lineRule="auto"/>
              <w:jc w:val="center"/>
              <w:rPr>
                <w:noProof/>
              </w:rPr>
            </w:pPr>
            <w:r>
              <w:rPr>
                <w:noProof/>
              </w:rPr>
              <w:t>1.25</w:t>
            </w:r>
          </w:p>
        </w:tc>
        <w:tc>
          <w:tcPr>
            <w:tcW w:w="2812" w:type="dxa"/>
            <w:tcBorders>
              <w:top w:val="nil"/>
              <w:left w:val="nil"/>
              <w:bottom w:val="single" w:sz="4" w:space="0" w:color="auto"/>
              <w:right w:val="single" w:sz="4" w:space="0" w:color="auto"/>
            </w:tcBorders>
            <w:shd w:val="clear" w:color="auto" w:fill="C4EFCE"/>
            <w:vAlign w:val="center"/>
          </w:tcPr>
          <w:p w14:paraId="788ACA27" w14:textId="3EC8E750" w:rsidR="006C686E" w:rsidRDefault="00B17E8C">
            <w:pPr>
              <w:pStyle w:val="P68B1DB1-Normal63"/>
              <w:spacing w:after="0" w:line="276" w:lineRule="auto"/>
              <w:jc w:val="center"/>
              <w:rPr>
                <w:noProof/>
              </w:rPr>
            </w:pPr>
            <w:r>
              <w:rPr>
                <w:noProof/>
              </w:rPr>
              <w:t>RE-C01-i03</w:t>
            </w:r>
          </w:p>
        </w:tc>
        <w:tc>
          <w:tcPr>
            <w:tcW w:w="1232" w:type="dxa"/>
            <w:tcBorders>
              <w:top w:val="nil"/>
              <w:left w:val="nil"/>
              <w:bottom w:val="single" w:sz="4" w:space="0" w:color="auto"/>
              <w:right w:val="single" w:sz="4" w:space="0" w:color="auto"/>
            </w:tcBorders>
            <w:shd w:val="clear" w:color="auto" w:fill="C4EFCE"/>
            <w:vAlign w:val="center"/>
          </w:tcPr>
          <w:p w14:paraId="7F7A3605" w14:textId="3C5EB22B"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E7767C3" w14:textId="17E5E7C0" w:rsidR="006C686E" w:rsidRDefault="00B17E8C">
            <w:pPr>
              <w:pStyle w:val="P68B1DB1-Normal63"/>
              <w:spacing w:after="0" w:line="276" w:lineRule="auto"/>
              <w:jc w:val="both"/>
              <w:rPr>
                <w:noProof/>
              </w:rPr>
            </w:pPr>
            <w:r>
              <w:rPr>
                <w:noProof/>
              </w:rPr>
              <w:t>Réseau de soins de santé mentale</w:t>
            </w:r>
          </w:p>
        </w:tc>
      </w:tr>
      <w:tr w:rsidR="006C686E" w14:paraId="2355761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16088CF" w14:textId="77777777" w:rsidR="006C686E" w:rsidRDefault="00B17E8C">
            <w:pPr>
              <w:pStyle w:val="P68B1DB1-Normal63"/>
              <w:spacing w:after="0" w:line="276" w:lineRule="auto"/>
              <w:jc w:val="center"/>
              <w:rPr>
                <w:noProof/>
              </w:rPr>
            </w:pPr>
            <w:r>
              <w:rPr>
                <w:noProof/>
              </w:rPr>
              <w:t>1.26</w:t>
            </w:r>
          </w:p>
        </w:tc>
        <w:tc>
          <w:tcPr>
            <w:tcW w:w="2812" w:type="dxa"/>
            <w:tcBorders>
              <w:top w:val="nil"/>
              <w:left w:val="nil"/>
              <w:bottom w:val="single" w:sz="4" w:space="0" w:color="auto"/>
              <w:right w:val="single" w:sz="4" w:space="0" w:color="auto"/>
            </w:tcBorders>
            <w:shd w:val="clear" w:color="auto" w:fill="C4EFCE"/>
            <w:vAlign w:val="center"/>
          </w:tcPr>
          <w:p w14:paraId="2F6D4FA8" w14:textId="77777777" w:rsidR="006C686E" w:rsidRDefault="00B17E8C">
            <w:pPr>
              <w:pStyle w:val="P68B1DB1-Normal63"/>
              <w:spacing w:after="0" w:line="276" w:lineRule="auto"/>
              <w:jc w:val="center"/>
              <w:rPr>
                <w:noProof/>
              </w:rPr>
            </w:pPr>
            <w:r>
              <w:rPr>
                <w:noProof/>
              </w:rPr>
              <w:t>RE-C01-i04</w:t>
            </w:r>
          </w:p>
        </w:tc>
        <w:tc>
          <w:tcPr>
            <w:tcW w:w="1232" w:type="dxa"/>
            <w:tcBorders>
              <w:top w:val="nil"/>
              <w:left w:val="nil"/>
              <w:bottom w:val="single" w:sz="4" w:space="0" w:color="auto"/>
              <w:right w:val="single" w:sz="4" w:space="0" w:color="auto"/>
            </w:tcBorders>
            <w:shd w:val="clear" w:color="auto" w:fill="C4EFCE"/>
            <w:vAlign w:val="center"/>
          </w:tcPr>
          <w:p w14:paraId="0F95AD6F"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C2B4726" w14:textId="6A575B4E" w:rsidR="006C686E" w:rsidRDefault="00B17E8C">
            <w:pPr>
              <w:pStyle w:val="P68B1DB1-Normal64"/>
              <w:spacing w:after="0" w:line="276" w:lineRule="auto"/>
              <w:jc w:val="both"/>
              <w:rPr>
                <w:noProof/>
                <w:kern w:val="0"/>
                <w14:ligatures w14:val="none"/>
              </w:rPr>
            </w:pPr>
            <w:r>
              <w:rPr>
                <w:noProof/>
              </w:rPr>
              <w:t>Projets</w:t>
            </w:r>
            <w:r>
              <w:rPr>
                <w:noProof/>
                <w:kern w:val="0"/>
                <w14:ligatures w14:val="none"/>
              </w:rPr>
              <w:t xml:space="preserve"> et équipements d'infrastructures de soins  de santé</w:t>
            </w:r>
          </w:p>
        </w:tc>
      </w:tr>
      <w:tr w:rsidR="006C686E" w14:paraId="568AF3D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0A11360" w14:textId="77777777" w:rsidR="006C686E" w:rsidRDefault="00B17E8C">
            <w:pPr>
              <w:pStyle w:val="P68B1DB1-Normal63"/>
              <w:spacing w:after="0" w:line="276" w:lineRule="auto"/>
              <w:jc w:val="center"/>
              <w:rPr>
                <w:noProof/>
              </w:rPr>
            </w:pPr>
            <w:r>
              <w:rPr>
                <w:noProof/>
              </w:rPr>
              <w:t>1.30</w:t>
            </w:r>
          </w:p>
        </w:tc>
        <w:tc>
          <w:tcPr>
            <w:tcW w:w="2812" w:type="dxa"/>
            <w:tcBorders>
              <w:top w:val="nil"/>
              <w:left w:val="nil"/>
              <w:bottom w:val="single" w:sz="4" w:space="0" w:color="auto"/>
              <w:right w:val="single" w:sz="4" w:space="0" w:color="auto"/>
            </w:tcBorders>
            <w:shd w:val="clear" w:color="auto" w:fill="C4EFCE"/>
            <w:vAlign w:val="center"/>
          </w:tcPr>
          <w:p w14:paraId="5E70FF5F" w14:textId="77777777" w:rsidR="006C686E" w:rsidRDefault="00B17E8C">
            <w:pPr>
              <w:pStyle w:val="P68B1DB1-Normal63"/>
              <w:spacing w:after="0" w:line="276" w:lineRule="auto"/>
              <w:jc w:val="center"/>
              <w:rPr>
                <w:noProof/>
              </w:rPr>
            </w:pPr>
            <w:r>
              <w:rPr>
                <w:noProof/>
              </w:rPr>
              <w:t>RE-C01-i05-RAM</w:t>
            </w:r>
          </w:p>
        </w:tc>
        <w:tc>
          <w:tcPr>
            <w:tcW w:w="1232" w:type="dxa"/>
            <w:tcBorders>
              <w:top w:val="nil"/>
              <w:left w:val="nil"/>
              <w:bottom w:val="single" w:sz="4" w:space="0" w:color="auto"/>
              <w:right w:val="single" w:sz="4" w:space="0" w:color="auto"/>
            </w:tcBorders>
            <w:shd w:val="clear" w:color="auto" w:fill="C4EFCE"/>
            <w:vAlign w:val="center"/>
          </w:tcPr>
          <w:p w14:paraId="3001D3E0"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12A1596" w14:textId="545E59EB" w:rsidR="006C686E" w:rsidRDefault="00B17E8C">
            <w:pPr>
              <w:pStyle w:val="P68B1DB1-Normal64"/>
              <w:spacing w:after="0" w:line="276" w:lineRule="auto"/>
              <w:jc w:val="both"/>
              <w:rPr>
                <w:noProof/>
                <w:kern w:val="0"/>
                <w14:ligatures w14:val="none"/>
              </w:rPr>
            </w:pPr>
            <w:r>
              <w:rPr>
                <w:noProof/>
              </w:rPr>
              <w:t>Construction ou rénovation et création d'équipes de soutien à domicile pour les soins de santé mentale</w:t>
            </w:r>
          </w:p>
        </w:tc>
      </w:tr>
      <w:tr w:rsidR="006C686E" w14:paraId="34F4469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B91224" w14:textId="4923A52E" w:rsidR="006C686E" w:rsidRDefault="00B17E8C">
            <w:pPr>
              <w:pStyle w:val="P68B1DB1-Normal63"/>
              <w:spacing w:after="0" w:line="276" w:lineRule="auto"/>
              <w:jc w:val="center"/>
              <w:rPr>
                <w:noProof/>
              </w:rPr>
            </w:pPr>
            <w:r>
              <w:rPr>
                <w:noProof/>
              </w:rPr>
              <w:t>1.43</w:t>
            </w:r>
          </w:p>
        </w:tc>
        <w:tc>
          <w:tcPr>
            <w:tcW w:w="2812" w:type="dxa"/>
            <w:tcBorders>
              <w:top w:val="nil"/>
              <w:left w:val="nil"/>
              <w:bottom w:val="single" w:sz="4" w:space="0" w:color="auto"/>
              <w:right w:val="single" w:sz="4" w:space="0" w:color="auto"/>
            </w:tcBorders>
            <w:shd w:val="clear" w:color="auto" w:fill="C4EFCE"/>
            <w:vAlign w:val="center"/>
          </w:tcPr>
          <w:p w14:paraId="75F9A7CC" w14:textId="3F7D68A0" w:rsidR="006C686E" w:rsidRDefault="00B17E8C">
            <w:pPr>
              <w:pStyle w:val="P68B1DB1-Normal63"/>
              <w:spacing w:after="0" w:line="276" w:lineRule="auto"/>
              <w:jc w:val="center"/>
              <w:rPr>
                <w:noProof/>
              </w:rPr>
            </w:pPr>
            <w:r>
              <w:rPr>
                <w:noProof/>
              </w:rPr>
              <w:t>RE-C01-i10</w:t>
            </w:r>
          </w:p>
        </w:tc>
        <w:tc>
          <w:tcPr>
            <w:tcW w:w="1232" w:type="dxa"/>
            <w:tcBorders>
              <w:top w:val="nil"/>
              <w:left w:val="nil"/>
              <w:bottom w:val="single" w:sz="4" w:space="0" w:color="auto"/>
              <w:right w:val="single" w:sz="4" w:space="0" w:color="auto"/>
            </w:tcBorders>
            <w:shd w:val="clear" w:color="auto" w:fill="C4EFCE"/>
            <w:vAlign w:val="center"/>
          </w:tcPr>
          <w:p w14:paraId="05A72A35" w14:textId="12A783F1"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0AF8B6" w14:textId="4FD743AE" w:rsidR="006C686E" w:rsidRDefault="00B17E8C">
            <w:pPr>
              <w:pStyle w:val="P68B1DB1-Normal63"/>
              <w:spacing w:after="0" w:line="276" w:lineRule="auto"/>
              <w:jc w:val="both"/>
              <w:rPr>
                <w:noProof/>
              </w:rPr>
            </w:pPr>
            <w:r>
              <w:rPr>
                <w:noProof/>
              </w:rPr>
              <w:t>Achat de matériel médical</w:t>
            </w:r>
          </w:p>
        </w:tc>
      </w:tr>
      <w:tr w:rsidR="006C686E" w14:paraId="2D38545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A440A9C" w14:textId="77777777" w:rsidR="006C686E" w:rsidRDefault="00B17E8C">
            <w:pPr>
              <w:pStyle w:val="P68B1DB1-Normal63"/>
              <w:spacing w:after="0" w:line="276" w:lineRule="auto"/>
              <w:jc w:val="center"/>
              <w:rPr>
                <w:noProof/>
              </w:rPr>
            </w:pPr>
            <w:r>
              <w:rPr>
                <w:noProof/>
              </w:rPr>
              <w:t>1.44</w:t>
            </w:r>
          </w:p>
        </w:tc>
        <w:tc>
          <w:tcPr>
            <w:tcW w:w="2812" w:type="dxa"/>
            <w:tcBorders>
              <w:top w:val="nil"/>
              <w:left w:val="nil"/>
              <w:bottom w:val="single" w:sz="4" w:space="0" w:color="auto"/>
              <w:right w:val="single" w:sz="4" w:space="0" w:color="auto"/>
            </w:tcBorders>
            <w:shd w:val="clear" w:color="auto" w:fill="C4EFCE"/>
            <w:vAlign w:val="center"/>
          </w:tcPr>
          <w:p w14:paraId="3F57C5A8" w14:textId="77777777" w:rsidR="006C686E" w:rsidRDefault="00B17E8C">
            <w:pPr>
              <w:pStyle w:val="P68B1DB1-Normal63"/>
              <w:spacing w:after="0" w:line="276" w:lineRule="auto"/>
              <w:jc w:val="center"/>
              <w:rPr>
                <w:noProof/>
              </w:rPr>
            </w:pPr>
            <w:r>
              <w:rPr>
                <w:noProof/>
              </w:rPr>
              <w:t>RE-C01-i11-RAA</w:t>
            </w:r>
          </w:p>
        </w:tc>
        <w:tc>
          <w:tcPr>
            <w:tcW w:w="1232" w:type="dxa"/>
            <w:tcBorders>
              <w:top w:val="nil"/>
              <w:left w:val="nil"/>
              <w:bottom w:val="single" w:sz="4" w:space="0" w:color="auto"/>
              <w:right w:val="single" w:sz="4" w:space="0" w:color="auto"/>
            </w:tcBorders>
            <w:shd w:val="clear" w:color="auto" w:fill="C4EFCE"/>
            <w:vAlign w:val="center"/>
          </w:tcPr>
          <w:p w14:paraId="2546A6B5" w14:textId="7DE7911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2763E14" w14:textId="77777777" w:rsidR="006C686E" w:rsidRDefault="00B17E8C">
            <w:pPr>
              <w:pStyle w:val="P68B1DB1-Normal63"/>
              <w:spacing w:after="0" w:line="276" w:lineRule="auto"/>
              <w:jc w:val="both"/>
              <w:rPr>
                <w:noProof/>
              </w:rPr>
            </w:pPr>
            <w:r>
              <w:rPr>
                <w:noProof/>
              </w:rPr>
              <w:t>Construction, équipement et véhicules pour le Service régional de santé des Açores</w:t>
            </w:r>
          </w:p>
        </w:tc>
      </w:tr>
      <w:tr w:rsidR="006C686E" w14:paraId="6638327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507731A" w14:textId="77777777" w:rsidR="006C686E" w:rsidRDefault="00B17E8C">
            <w:pPr>
              <w:pStyle w:val="P68B1DB1-Normal63"/>
              <w:spacing w:after="0" w:line="276" w:lineRule="auto"/>
              <w:jc w:val="center"/>
              <w:rPr>
                <w:noProof/>
              </w:rPr>
            </w:pPr>
            <w:r>
              <w:rPr>
                <w:noProof/>
              </w:rPr>
              <w:t>2.3</w:t>
            </w:r>
          </w:p>
        </w:tc>
        <w:tc>
          <w:tcPr>
            <w:tcW w:w="2812" w:type="dxa"/>
            <w:tcBorders>
              <w:top w:val="nil"/>
              <w:left w:val="nil"/>
              <w:bottom w:val="single" w:sz="4" w:space="0" w:color="auto"/>
              <w:right w:val="single" w:sz="4" w:space="0" w:color="auto"/>
            </w:tcBorders>
            <w:shd w:val="clear" w:color="auto" w:fill="C4EFCE"/>
            <w:vAlign w:val="center"/>
          </w:tcPr>
          <w:p w14:paraId="69D797D1" w14:textId="77777777" w:rsidR="006C686E" w:rsidRDefault="00B17E8C">
            <w:pPr>
              <w:pStyle w:val="P68B1DB1-Normal63"/>
              <w:spacing w:after="0" w:line="276" w:lineRule="auto"/>
              <w:jc w:val="center"/>
              <w:rPr>
                <w:noProof/>
              </w:rPr>
            </w:pPr>
            <w:r>
              <w:rPr>
                <w:noProof/>
              </w:rPr>
              <w:t>RE-C02-i01</w:t>
            </w:r>
          </w:p>
        </w:tc>
        <w:tc>
          <w:tcPr>
            <w:tcW w:w="1232" w:type="dxa"/>
            <w:tcBorders>
              <w:top w:val="nil"/>
              <w:left w:val="nil"/>
              <w:bottom w:val="single" w:sz="4" w:space="0" w:color="auto"/>
              <w:right w:val="single" w:sz="4" w:space="0" w:color="auto"/>
            </w:tcBorders>
            <w:shd w:val="clear" w:color="auto" w:fill="C4EFCE"/>
            <w:vAlign w:val="center"/>
          </w:tcPr>
          <w:p w14:paraId="0EE811EF"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804AB9A" w14:textId="42AC774B" w:rsidR="006C686E" w:rsidRDefault="00B17E8C">
            <w:pPr>
              <w:pStyle w:val="P68B1DB1-Normal64"/>
              <w:spacing w:after="0" w:line="276" w:lineRule="auto"/>
              <w:jc w:val="both"/>
              <w:rPr>
                <w:noProof/>
                <w:kern w:val="0"/>
                <w14:ligatures w14:val="none"/>
              </w:rPr>
            </w:pPr>
            <w:r>
              <w:rPr>
                <w:noProof/>
                <w:kern w:val="0"/>
                <w14:ligatures w14:val="none"/>
              </w:rPr>
              <w:t xml:space="preserve">Programme d’aide à l’accès au logement – Logements </w:t>
            </w:r>
            <w:r>
              <w:rPr>
                <w:noProof/>
              </w:rPr>
              <w:t>d’aide au logement</w:t>
            </w:r>
          </w:p>
        </w:tc>
      </w:tr>
      <w:tr w:rsidR="006C686E" w14:paraId="30708BC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4F52BCB" w14:textId="77777777" w:rsidR="006C686E" w:rsidRDefault="00B17E8C">
            <w:pPr>
              <w:pStyle w:val="P68B1DB1-Normal63"/>
              <w:spacing w:after="0" w:line="276" w:lineRule="auto"/>
              <w:jc w:val="center"/>
              <w:rPr>
                <w:noProof/>
              </w:rPr>
            </w:pPr>
            <w:r>
              <w:rPr>
                <w:noProof/>
              </w:rPr>
              <w:t>2.7</w:t>
            </w:r>
          </w:p>
        </w:tc>
        <w:tc>
          <w:tcPr>
            <w:tcW w:w="2812" w:type="dxa"/>
            <w:tcBorders>
              <w:top w:val="nil"/>
              <w:left w:val="nil"/>
              <w:bottom w:val="single" w:sz="4" w:space="0" w:color="auto"/>
              <w:right w:val="single" w:sz="4" w:space="0" w:color="auto"/>
            </w:tcBorders>
            <w:shd w:val="clear" w:color="auto" w:fill="C4EFCE"/>
            <w:vAlign w:val="center"/>
          </w:tcPr>
          <w:p w14:paraId="1C9DCA70" w14:textId="77777777" w:rsidR="006C686E" w:rsidRDefault="00B17E8C">
            <w:pPr>
              <w:pStyle w:val="P68B1DB1-Normal63"/>
              <w:spacing w:after="0" w:line="276" w:lineRule="auto"/>
              <w:jc w:val="center"/>
              <w:rPr>
                <w:noProof/>
              </w:rPr>
            </w:pPr>
            <w:r>
              <w:rPr>
                <w:noProof/>
              </w:rPr>
              <w:t>RE-C02-i02</w:t>
            </w:r>
          </w:p>
        </w:tc>
        <w:tc>
          <w:tcPr>
            <w:tcW w:w="1232" w:type="dxa"/>
            <w:tcBorders>
              <w:top w:val="nil"/>
              <w:left w:val="nil"/>
              <w:bottom w:val="single" w:sz="4" w:space="0" w:color="auto"/>
              <w:right w:val="single" w:sz="4" w:space="0" w:color="auto"/>
            </w:tcBorders>
            <w:shd w:val="clear" w:color="auto" w:fill="C4EFCE"/>
            <w:vAlign w:val="center"/>
          </w:tcPr>
          <w:p w14:paraId="6C6BED4C"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37B68CF" w14:textId="7DA6FA57" w:rsidR="006C686E" w:rsidRDefault="00B17E8C">
            <w:pPr>
              <w:pStyle w:val="P68B1DB1-Normal63"/>
              <w:spacing w:after="0" w:line="276" w:lineRule="auto"/>
              <w:jc w:val="both"/>
              <w:rPr>
                <w:noProof/>
              </w:rPr>
            </w:pPr>
            <w:r>
              <w:rPr>
                <w:noProof/>
              </w:rPr>
              <w:t>Hébergement d'urgence et temporaire</w:t>
            </w:r>
          </w:p>
        </w:tc>
      </w:tr>
      <w:tr w:rsidR="006C686E" w14:paraId="11B6CF5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8AEAB61" w14:textId="77777777" w:rsidR="006C686E" w:rsidRDefault="00B17E8C">
            <w:pPr>
              <w:pStyle w:val="P68B1DB1-Normal63"/>
              <w:spacing w:after="0" w:line="276" w:lineRule="auto"/>
              <w:jc w:val="center"/>
              <w:rPr>
                <w:noProof/>
              </w:rPr>
            </w:pPr>
            <w:r>
              <w:rPr>
                <w:noProof/>
              </w:rPr>
              <w:t>2.11</w:t>
            </w:r>
          </w:p>
        </w:tc>
        <w:tc>
          <w:tcPr>
            <w:tcW w:w="2812" w:type="dxa"/>
            <w:tcBorders>
              <w:top w:val="nil"/>
              <w:left w:val="nil"/>
              <w:bottom w:val="single" w:sz="4" w:space="0" w:color="auto"/>
              <w:right w:val="single" w:sz="4" w:space="0" w:color="auto"/>
            </w:tcBorders>
            <w:shd w:val="clear" w:color="auto" w:fill="C4EFCE"/>
            <w:vAlign w:val="center"/>
          </w:tcPr>
          <w:p w14:paraId="0FF18587" w14:textId="77777777" w:rsidR="006C686E" w:rsidRDefault="00B17E8C">
            <w:pPr>
              <w:pStyle w:val="P68B1DB1-Normal63"/>
              <w:spacing w:after="0" w:line="276" w:lineRule="auto"/>
              <w:jc w:val="center"/>
              <w:rPr>
                <w:noProof/>
              </w:rPr>
            </w:pPr>
            <w:r>
              <w:rPr>
                <w:noProof/>
              </w:rPr>
              <w:t>RE-C02-i03-RAM</w:t>
            </w:r>
          </w:p>
        </w:tc>
        <w:tc>
          <w:tcPr>
            <w:tcW w:w="1232" w:type="dxa"/>
            <w:tcBorders>
              <w:top w:val="nil"/>
              <w:left w:val="nil"/>
              <w:bottom w:val="single" w:sz="4" w:space="0" w:color="auto"/>
              <w:right w:val="single" w:sz="4" w:space="0" w:color="auto"/>
            </w:tcBorders>
            <w:shd w:val="clear" w:color="auto" w:fill="C4EFCE"/>
            <w:vAlign w:val="center"/>
          </w:tcPr>
          <w:p w14:paraId="3F9C44FD"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90F798C" w14:textId="6601FD0E" w:rsidR="006C686E" w:rsidRDefault="00B17E8C">
            <w:pPr>
              <w:pStyle w:val="P68B1DB1-Normal63"/>
              <w:spacing w:after="0" w:line="276" w:lineRule="auto"/>
              <w:jc w:val="both"/>
              <w:rPr>
                <w:noProof/>
              </w:rPr>
            </w:pPr>
            <w:r>
              <w:rPr>
                <w:noProof/>
              </w:rPr>
              <w:t>Logements bénéficiant d'un soutien public dans la région autonome de Madère</w:t>
            </w:r>
          </w:p>
        </w:tc>
      </w:tr>
      <w:tr w:rsidR="006C686E" w14:paraId="40569D9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3C4000" w14:textId="77777777" w:rsidR="006C686E" w:rsidRDefault="00B17E8C">
            <w:pPr>
              <w:pStyle w:val="P68B1DB1-Normal63"/>
              <w:spacing w:after="0" w:line="276" w:lineRule="auto"/>
              <w:jc w:val="center"/>
              <w:rPr>
                <w:noProof/>
              </w:rPr>
            </w:pPr>
            <w:r>
              <w:rPr>
                <w:noProof/>
              </w:rPr>
              <w:t>2.30</w:t>
            </w:r>
          </w:p>
        </w:tc>
        <w:tc>
          <w:tcPr>
            <w:tcW w:w="2812" w:type="dxa"/>
            <w:tcBorders>
              <w:top w:val="nil"/>
              <w:left w:val="nil"/>
              <w:bottom w:val="single" w:sz="4" w:space="0" w:color="auto"/>
              <w:right w:val="single" w:sz="4" w:space="0" w:color="auto"/>
            </w:tcBorders>
            <w:shd w:val="clear" w:color="auto" w:fill="C4EFCE"/>
            <w:vAlign w:val="center"/>
          </w:tcPr>
          <w:p w14:paraId="7B701737" w14:textId="77777777" w:rsidR="006C686E" w:rsidRDefault="00B17E8C">
            <w:pPr>
              <w:pStyle w:val="P68B1DB1-Normal63"/>
              <w:spacing w:after="0" w:line="276" w:lineRule="auto"/>
              <w:jc w:val="center"/>
              <w:rPr>
                <w:noProof/>
              </w:rPr>
            </w:pPr>
            <w:r>
              <w:rPr>
                <w:noProof/>
              </w:rPr>
              <w:t>RE-C02-i07-RAA</w:t>
            </w:r>
          </w:p>
        </w:tc>
        <w:tc>
          <w:tcPr>
            <w:tcW w:w="1232" w:type="dxa"/>
            <w:tcBorders>
              <w:top w:val="nil"/>
              <w:left w:val="nil"/>
              <w:bottom w:val="single" w:sz="4" w:space="0" w:color="auto"/>
              <w:right w:val="single" w:sz="4" w:space="0" w:color="auto"/>
            </w:tcBorders>
            <w:shd w:val="clear" w:color="auto" w:fill="C4EFCE"/>
            <w:vAlign w:val="center"/>
          </w:tcPr>
          <w:p w14:paraId="1637834E"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AB51795" w14:textId="1E67CA29" w:rsidR="006C686E" w:rsidRDefault="00B17E8C">
            <w:pPr>
              <w:pStyle w:val="P68B1DB1-Normal63"/>
              <w:spacing w:after="0" w:line="276" w:lineRule="auto"/>
              <w:jc w:val="both"/>
              <w:rPr>
                <w:noProof/>
              </w:rPr>
            </w:pPr>
            <w:r>
              <w:rPr>
                <w:noProof/>
              </w:rPr>
              <w:t>Parcelles de terres attribuées</w:t>
            </w:r>
          </w:p>
        </w:tc>
      </w:tr>
      <w:tr w:rsidR="006C686E" w14:paraId="5078C1D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5E7E033" w14:textId="77777777" w:rsidR="006C686E" w:rsidRDefault="00B17E8C">
            <w:pPr>
              <w:pStyle w:val="P68B1DB1-Normal63"/>
              <w:spacing w:after="0" w:line="276" w:lineRule="auto"/>
              <w:jc w:val="center"/>
              <w:rPr>
                <w:noProof/>
              </w:rPr>
            </w:pPr>
            <w:r>
              <w:rPr>
                <w:noProof/>
              </w:rPr>
              <w:t>2.17</w:t>
            </w:r>
          </w:p>
        </w:tc>
        <w:tc>
          <w:tcPr>
            <w:tcW w:w="2812" w:type="dxa"/>
            <w:tcBorders>
              <w:top w:val="nil"/>
              <w:left w:val="nil"/>
              <w:bottom w:val="single" w:sz="4" w:space="0" w:color="auto"/>
              <w:right w:val="single" w:sz="4" w:space="0" w:color="auto"/>
            </w:tcBorders>
            <w:shd w:val="clear" w:color="auto" w:fill="C4EFCE"/>
            <w:vAlign w:val="center"/>
          </w:tcPr>
          <w:p w14:paraId="3B90EF87" w14:textId="77777777" w:rsidR="006C686E" w:rsidRDefault="00B17E8C">
            <w:pPr>
              <w:pStyle w:val="P68B1DB1-Normal63"/>
              <w:spacing w:after="0" w:line="276" w:lineRule="auto"/>
              <w:jc w:val="center"/>
              <w:rPr>
                <w:noProof/>
              </w:rPr>
            </w:pPr>
            <w:r>
              <w:rPr>
                <w:noProof/>
              </w:rPr>
              <w:t>RE-C02-i04-RAA</w:t>
            </w:r>
          </w:p>
        </w:tc>
        <w:tc>
          <w:tcPr>
            <w:tcW w:w="1232" w:type="dxa"/>
            <w:tcBorders>
              <w:top w:val="nil"/>
              <w:left w:val="nil"/>
              <w:bottom w:val="single" w:sz="4" w:space="0" w:color="auto"/>
              <w:right w:val="single" w:sz="4" w:space="0" w:color="auto"/>
            </w:tcBorders>
            <w:shd w:val="clear" w:color="auto" w:fill="C4EFCE"/>
            <w:vAlign w:val="center"/>
          </w:tcPr>
          <w:p w14:paraId="4241D034"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1DD43A3" w14:textId="45362ADC" w:rsidR="006C686E" w:rsidRDefault="00B17E8C">
            <w:pPr>
              <w:pStyle w:val="P68B1DB1-Normal64"/>
              <w:spacing w:after="0" w:line="276" w:lineRule="auto"/>
              <w:jc w:val="both"/>
              <w:rPr>
                <w:noProof/>
                <w:color w:val="000000"/>
                <w:kern w:val="0"/>
                <w14:ligatures w14:val="none"/>
              </w:rPr>
            </w:pPr>
            <w:r>
              <w:rPr>
                <w:noProof/>
              </w:rPr>
              <w:t>Construction &amp; bâtiments rénovés dans le parc de logements publics de la région autonome des Açores</w:t>
            </w:r>
          </w:p>
        </w:tc>
      </w:tr>
      <w:tr w:rsidR="006C686E" w14:paraId="222E549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3B25304" w14:textId="77777777" w:rsidR="006C686E" w:rsidRDefault="00B17E8C">
            <w:pPr>
              <w:pStyle w:val="P68B1DB1-Normal63"/>
              <w:spacing w:after="0" w:line="276" w:lineRule="auto"/>
              <w:jc w:val="center"/>
              <w:rPr>
                <w:noProof/>
              </w:rPr>
            </w:pPr>
            <w:r>
              <w:rPr>
                <w:noProof/>
              </w:rPr>
              <w:t>3.1</w:t>
            </w:r>
          </w:p>
        </w:tc>
        <w:tc>
          <w:tcPr>
            <w:tcW w:w="2812" w:type="dxa"/>
            <w:tcBorders>
              <w:top w:val="nil"/>
              <w:left w:val="nil"/>
              <w:bottom w:val="single" w:sz="4" w:space="0" w:color="auto"/>
              <w:right w:val="single" w:sz="4" w:space="0" w:color="auto"/>
            </w:tcBorders>
            <w:shd w:val="clear" w:color="auto" w:fill="C4EFCE"/>
            <w:vAlign w:val="center"/>
          </w:tcPr>
          <w:p w14:paraId="2B27937A" w14:textId="77777777" w:rsidR="006C686E" w:rsidRDefault="00B17E8C">
            <w:pPr>
              <w:pStyle w:val="P68B1DB1-Normal63"/>
              <w:spacing w:after="0" w:line="276" w:lineRule="auto"/>
              <w:jc w:val="center"/>
              <w:rPr>
                <w:noProof/>
              </w:rPr>
            </w:pPr>
            <w:r>
              <w:rPr>
                <w:noProof/>
              </w:rPr>
              <w:t>RE-C03-i01</w:t>
            </w:r>
          </w:p>
        </w:tc>
        <w:tc>
          <w:tcPr>
            <w:tcW w:w="1232" w:type="dxa"/>
            <w:tcBorders>
              <w:top w:val="nil"/>
              <w:left w:val="nil"/>
              <w:bottom w:val="single" w:sz="4" w:space="0" w:color="auto"/>
              <w:right w:val="single" w:sz="4" w:space="0" w:color="auto"/>
            </w:tcBorders>
            <w:shd w:val="clear" w:color="auto" w:fill="C4EFCE"/>
            <w:vAlign w:val="center"/>
          </w:tcPr>
          <w:p w14:paraId="28516CB0"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6C36CB6" w14:textId="77777777" w:rsidR="006C686E" w:rsidRDefault="00B17E8C">
            <w:pPr>
              <w:pStyle w:val="P68B1DB1-Normal64"/>
              <w:spacing w:after="0" w:line="276" w:lineRule="auto"/>
              <w:jc w:val="both"/>
              <w:rPr>
                <w:noProof/>
                <w:kern w:val="0"/>
                <w14:ligatures w14:val="none"/>
              </w:rPr>
            </w:pPr>
            <w:r>
              <w:rPr>
                <w:noProof/>
              </w:rPr>
              <w:t>Véhicules</w:t>
            </w:r>
            <w:r>
              <w:rPr>
                <w:noProof/>
                <w:kern w:val="0"/>
                <w14:ligatures w14:val="none"/>
              </w:rPr>
              <w:t xml:space="preserve"> électriques</w:t>
            </w:r>
          </w:p>
        </w:tc>
      </w:tr>
      <w:tr w:rsidR="006C686E" w14:paraId="0C2F65F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70E459" w14:textId="77777777" w:rsidR="006C686E" w:rsidRDefault="00B17E8C">
            <w:pPr>
              <w:pStyle w:val="P68B1DB1-Normal63"/>
              <w:spacing w:after="0" w:line="276" w:lineRule="auto"/>
              <w:jc w:val="center"/>
              <w:rPr>
                <w:noProof/>
              </w:rPr>
            </w:pPr>
            <w:r>
              <w:rPr>
                <w:noProof/>
              </w:rPr>
              <w:t>3.4</w:t>
            </w:r>
          </w:p>
        </w:tc>
        <w:tc>
          <w:tcPr>
            <w:tcW w:w="2812" w:type="dxa"/>
            <w:tcBorders>
              <w:top w:val="nil"/>
              <w:left w:val="nil"/>
              <w:bottom w:val="single" w:sz="4" w:space="0" w:color="auto"/>
              <w:right w:val="single" w:sz="4" w:space="0" w:color="auto"/>
            </w:tcBorders>
            <w:shd w:val="clear" w:color="auto" w:fill="C4EFCE"/>
            <w:vAlign w:val="center"/>
          </w:tcPr>
          <w:p w14:paraId="13F517F5" w14:textId="77777777" w:rsidR="006C686E" w:rsidRDefault="00B17E8C">
            <w:pPr>
              <w:pStyle w:val="P68B1DB1-Normal63"/>
              <w:spacing w:after="0" w:line="276" w:lineRule="auto"/>
              <w:jc w:val="center"/>
              <w:rPr>
                <w:noProof/>
              </w:rPr>
            </w:pPr>
            <w:r>
              <w:rPr>
                <w:noProof/>
              </w:rPr>
              <w:t>RE-C03-i01</w:t>
            </w:r>
          </w:p>
        </w:tc>
        <w:tc>
          <w:tcPr>
            <w:tcW w:w="1232" w:type="dxa"/>
            <w:tcBorders>
              <w:top w:val="nil"/>
              <w:left w:val="nil"/>
              <w:bottom w:val="single" w:sz="4" w:space="0" w:color="auto"/>
              <w:right w:val="single" w:sz="4" w:space="0" w:color="auto"/>
            </w:tcBorders>
            <w:shd w:val="clear" w:color="auto" w:fill="C4EFCE"/>
            <w:vAlign w:val="center"/>
          </w:tcPr>
          <w:p w14:paraId="3CA4BB84"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6BA828F" w14:textId="38165E40" w:rsidR="006C686E" w:rsidRDefault="00B17E8C">
            <w:pPr>
              <w:pStyle w:val="P68B1DB1-Normal63"/>
              <w:spacing w:after="0" w:line="276" w:lineRule="auto"/>
              <w:jc w:val="both"/>
              <w:rPr>
                <w:noProof/>
              </w:rPr>
            </w:pPr>
            <w:r>
              <w:rPr>
                <w:noProof/>
              </w:rPr>
              <w:t xml:space="preserve">Programme de requalification et d'expansion du réseau d'installations et de services sociaux </w:t>
            </w:r>
          </w:p>
        </w:tc>
      </w:tr>
      <w:tr w:rsidR="006C686E" w14:paraId="21A10E0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6EBEFB6" w14:textId="7732BA39" w:rsidR="006C686E" w:rsidRDefault="00B17E8C">
            <w:pPr>
              <w:pStyle w:val="P68B1DB1-Normal63"/>
              <w:spacing w:after="0" w:line="276" w:lineRule="auto"/>
              <w:jc w:val="center"/>
              <w:rPr>
                <w:noProof/>
              </w:rPr>
            </w:pPr>
            <w:r>
              <w:rPr>
                <w:noProof/>
              </w:rPr>
              <w:t>3.7</w:t>
            </w:r>
          </w:p>
        </w:tc>
        <w:tc>
          <w:tcPr>
            <w:tcW w:w="2812" w:type="dxa"/>
            <w:tcBorders>
              <w:top w:val="nil"/>
              <w:left w:val="nil"/>
              <w:bottom w:val="single" w:sz="4" w:space="0" w:color="auto"/>
              <w:right w:val="single" w:sz="4" w:space="0" w:color="auto"/>
            </w:tcBorders>
            <w:shd w:val="clear" w:color="auto" w:fill="C4EFCE"/>
            <w:vAlign w:val="center"/>
          </w:tcPr>
          <w:p w14:paraId="2457D3CA" w14:textId="4B3EEFA7" w:rsidR="006C686E" w:rsidRDefault="00B17E8C">
            <w:pPr>
              <w:pStyle w:val="P68B1DB1-Normal63"/>
              <w:spacing w:after="0" w:line="276" w:lineRule="auto"/>
              <w:jc w:val="center"/>
              <w:rPr>
                <w:noProof/>
              </w:rPr>
            </w:pPr>
            <w:r>
              <w:rPr>
                <w:noProof/>
              </w:rPr>
              <w:t>RE-C03-i02</w:t>
            </w:r>
          </w:p>
        </w:tc>
        <w:tc>
          <w:tcPr>
            <w:tcW w:w="1232" w:type="dxa"/>
            <w:tcBorders>
              <w:top w:val="nil"/>
              <w:left w:val="nil"/>
              <w:bottom w:val="single" w:sz="4" w:space="0" w:color="auto"/>
              <w:right w:val="single" w:sz="4" w:space="0" w:color="auto"/>
            </w:tcBorders>
            <w:shd w:val="clear" w:color="auto" w:fill="C4EFCE"/>
            <w:vAlign w:val="center"/>
          </w:tcPr>
          <w:p w14:paraId="5864A879" w14:textId="2A54E696"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8A01DB9" w14:textId="7AE9462C" w:rsidR="006C686E" w:rsidRDefault="00B17E8C">
            <w:pPr>
              <w:pStyle w:val="P68B1DB1-Normal63"/>
              <w:spacing w:after="0" w:line="276" w:lineRule="auto"/>
              <w:jc w:val="both"/>
              <w:rPr>
                <w:noProof/>
              </w:rPr>
            </w:pPr>
            <w:r>
              <w:rPr>
                <w:noProof/>
              </w:rPr>
              <w:t>Logements et services publics</w:t>
            </w:r>
          </w:p>
        </w:tc>
      </w:tr>
      <w:tr w:rsidR="006C686E" w14:paraId="35DAEE4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881D8E9" w14:textId="48C1CF40" w:rsidR="006C686E" w:rsidRDefault="00B17E8C">
            <w:pPr>
              <w:pStyle w:val="P68B1DB1-Normal63"/>
              <w:spacing w:after="0" w:line="276" w:lineRule="auto"/>
              <w:jc w:val="center"/>
              <w:rPr>
                <w:noProof/>
              </w:rPr>
            </w:pPr>
            <w:r>
              <w:rPr>
                <w:noProof/>
              </w:rPr>
              <w:t>3.8</w:t>
            </w:r>
          </w:p>
        </w:tc>
        <w:tc>
          <w:tcPr>
            <w:tcW w:w="2812" w:type="dxa"/>
            <w:tcBorders>
              <w:top w:val="nil"/>
              <w:left w:val="nil"/>
              <w:bottom w:val="single" w:sz="4" w:space="0" w:color="auto"/>
              <w:right w:val="single" w:sz="4" w:space="0" w:color="auto"/>
            </w:tcBorders>
            <w:shd w:val="clear" w:color="auto" w:fill="C4EFCE"/>
            <w:vAlign w:val="center"/>
          </w:tcPr>
          <w:p w14:paraId="286B5211" w14:textId="4E38B506" w:rsidR="006C686E" w:rsidRDefault="00B17E8C">
            <w:pPr>
              <w:pStyle w:val="P68B1DB1-Normal63"/>
              <w:spacing w:after="0" w:line="276" w:lineRule="auto"/>
              <w:jc w:val="center"/>
              <w:rPr>
                <w:noProof/>
              </w:rPr>
            </w:pPr>
            <w:r>
              <w:rPr>
                <w:noProof/>
              </w:rPr>
              <w:t>RE-C03-i02</w:t>
            </w:r>
          </w:p>
        </w:tc>
        <w:tc>
          <w:tcPr>
            <w:tcW w:w="1232" w:type="dxa"/>
            <w:tcBorders>
              <w:top w:val="nil"/>
              <w:left w:val="nil"/>
              <w:bottom w:val="single" w:sz="4" w:space="0" w:color="auto"/>
              <w:right w:val="single" w:sz="4" w:space="0" w:color="auto"/>
            </w:tcBorders>
            <w:shd w:val="clear" w:color="auto" w:fill="C4EFCE"/>
            <w:vAlign w:val="center"/>
          </w:tcPr>
          <w:p w14:paraId="38380D8C" w14:textId="70857ACC"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96C969D" w14:textId="7555F805" w:rsidR="006C686E" w:rsidRDefault="00B17E8C">
            <w:pPr>
              <w:pStyle w:val="P68B1DB1-Normal63"/>
              <w:spacing w:after="0" w:line="276" w:lineRule="auto"/>
              <w:jc w:val="both"/>
              <w:rPr>
                <w:noProof/>
              </w:rPr>
            </w:pPr>
            <w:r>
              <w:rPr>
                <w:noProof/>
              </w:rPr>
              <w:t>Programme d'intervention par la voie publique (PIVP)</w:t>
            </w:r>
          </w:p>
        </w:tc>
      </w:tr>
      <w:tr w:rsidR="006C686E" w14:paraId="1DC35E9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168840A" w14:textId="77777777" w:rsidR="006C686E" w:rsidRDefault="00B17E8C">
            <w:pPr>
              <w:pStyle w:val="P68B1DB1-Normal63"/>
              <w:spacing w:after="0" w:line="276" w:lineRule="auto"/>
              <w:jc w:val="center"/>
              <w:rPr>
                <w:noProof/>
              </w:rPr>
            </w:pPr>
            <w:r>
              <w:rPr>
                <w:noProof/>
              </w:rPr>
              <w:t>3.10</w:t>
            </w:r>
          </w:p>
        </w:tc>
        <w:tc>
          <w:tcPr>
            <w:tcW w:w="2812" w:type="dxa"/>
            <w:tcBorders>
              <w:top w:val="nil"/>
              <w:left w:val="nil"/>
              <w:bottom w:val="single" w:sz="4" w:space="0" w:color="auto"/>
              <w:right w:val="single" w:sz="4" w:space="0" w:color="auto"/>
            </w:tcBorders>
            <w:shd w:val="clear" w:color="auto" w:fill="C4EFCE"/>
            <w:vAlign w:val="center"/>
          </w:tcPr>
          <w:p w14:paraId="719E2109" w14:textId="77777777" w:rsidR="006C686E" w:rsidRDefault="00B17E8C">
            <w:pPr>
              <w:pStyle w:val="P68B1DB1-Normal63"/>
              <w:spacing w:after="0" w:line="276" w:lineRule="auto"/>
              <w:jc w:val="center"/>
              <w:rPr>
                <w:noProof/>
              </w:rPr>
            </w:pPr>
            <w:r>
              <w:rPr>
                <w:noProof/>
              </w:rPr>
              <w:t>RE-C03-i03-RAM</w:t>
            </w:r>
          </w:p>
        </w:tc>
        <w:tc>
          <w:tcPr>
            <w:tcW w:w="1232" w:type="dxa"/>
            <w:tcBorders>
              <w:top w:val="nil"/>
              <w:left w:val="nil"/>
              <w:bottom w:val="single" w:sz="4" w:space="0" w:color="auto"/>
              <w:right w:val="single" w:sz="4" w:space="0" w:color="auto"/>
            </w:tcBorders>
            <w:shd w:val="clear" w:color="auto" w:fill="C4EFCE"/>
            <w:vAlign w:val="center"/>
          </w:tcPr>
          <w:p w14:paraId="5A665951"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37D6CCB" w14:textId="7E18D445" w:rsidR="006C686E" w:rsidRDefault="00B17E8C">
            <w:pPr>
              <w:pStyle w:val="P68B1DB1-Normal64"/>
              <w:spacing w:after="0" w:line="276" w:lineRule="auto"/>
              <w:jc w:val="both"/>
              <w:rPr>
                <w:noProof/>
                <w:kern w:val="0"/>
                <w14:ligatures w14:val="none"/>
              </w:rPr>
            </w:pPr>
            <w:r>
              <w:rPr>
                <w:noProof/>
              </w:rPr>
              <w:t>Places nouvelles ou rénovées dans des foyers de soins</w:t>
            </w:r>
          </w:p>
        </w:tc>
      </w:tr>
      <w:tr w:rsidR="006C686E" w14:paraId="727CBB4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10C58F" w14:textId="77777777" w:rsidR="006C686E" w:rsidRDefault="00B17E8C">
            <w:pPr>
              <w:pStyle w:val="P68B1DB1-Normal63"/>
              <w:spacing w:after="0" w:line="276" w:lineRule="auto"/>
              <w:jc w:val="center"/>
              <w:rPr>
                <w:noProof/>
              </w:rPr>
            </w:pPr>
            <w:r>
              <w:rPr>
                <w:noProof/>
              </w:rPr>
              <w:t>3.13</w:t>
            </w:r>
          </w:p>
        </w:tc>
        <w:tc>
          <w:tcPr>
            <w:tcW w:w="2812" w:type="dxa"/>
            <w:tcBorders>
              <w:top w:val="nil"/>
              <w:left w:val="nil"/>
              <w:bottom w:val="single" w:sz="4" w:space="0" w:color="auto"/>
              <w:right w:val="single" w:sz="4" w:space="0" w:color="auto"/>
            </w:tcBorders>
            <w:shd w:val="clear" w:color="auto" w:fill="C4EFCE"/>
            <w:vAlign w:val="center"/>
          </w:tcPr>
          <w:p w14:paraId="7D77DEB4" w14:textId="77777777" w:rsidR="006C686E" w:rsidRDefault="00B17E8C">
            <w:pPr>
              <w:pStyle w:val="P68B1DB1-Normal63"/>
              <w:spacing w:after="0" w:line="276" w:lineRule="auto"/>
              <w:jc w:val="center"/>
              <w:rPr>
                <w:noProof/>
              </w:rPr>
            </w:pPr>
            <w:r>
              <w:rPr>
                <w:noProof/>
              </w:rPr>
              <w:t>RE-C03-i04-RAA</w:t>
            </w:r>
          </w:p>
        </w:tc>
        <w:tc>
          <w:tcPr>
            <w:tcW w:w="1232" w:type="dxa"/>
            <w:tcBorders>
              <w:top w:val="nil"/>
              <w:left w:val="nil"/>
              <w:bottom w:val="single" w:sz="4" w:space="0" w:color="auto"/>
              <w:right w:val="single" w:sz="4" w:space="0" w:color="auto"/>
            </w:tcBorders>
            <w:shd w:val="clear" w:color="auto" w:fill="C4EFCE"/>
            <w:vAlign w:val="center"/>
          </w:tcPr>
          <w:p w14:paraId="7AA7A4FC"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C7152A8" w14:textId="77777777" w:rsidR="006C686E" w:rsidRDefault="00B17E8C">
            <w:pPr>
              <w:pStyle w:val="P68B1DB1-Normal64"/>
              <w:spacing w:after="0" w:line="276" w:lineRule="auto"/>
              <w:jc w:val="both"/>
              <w:rPr>
                <w:noProof/>
                <w:kern w:val="0"/>
                <w14:ligatures w14:val="none"/>
              </w:rPr>
            </w:pPr>
            <w:r>
              <w:rPr>
                <w:noProof/>
              </w:rPr>
              <w:t>Construction ou rénovation de bâtiments</w:t>
            </w:r>
            <w:r>
              <w:rPr>
                <w:noProof/>
                <w:kern w:val="0"/>
                <w14:ligatures w14:val="none"/>
              </w:rPr>
              <w:t xml:space="preserve"> pour personnes handicapées </w:t>
            </w:r>
          </w:p>
        </w:tc>
      </w:tr>
      <w:tr w:rsidR="006C686E" w14:paraId="5A80E2E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8A9F10C" w14:textId="75CE9693" w:rsidR="006C686E" w:rsidRDefault="00B17E8C">
            <w:pPr>
              <w:pStyle w:val="P68B1DB1-Normal63"/>
              <w:spacing w:after="0" w:line="276" w:lineRule="auto"/>
              <w:jc w:val="center"/>
              <w:rPr>
                <w:noProof/>
              </w:rPr>
            </w:pPr>
            <w:r>
              <w:rPr>
                <w:noProof/>
              </w:rPr>
              <w:t>3.26</w:t>
            </w:r>
          </w:p>
        </w:tc>
        <w:tc>
          <w:tcPr>
            <w:tcW w:w="2812" w:type="dxa"/>
            <w:tcBorders>
              <w:top w:val="nil"/>
              <w:left w:val="nil"/>
              <w:bottom w:val="single" w:sz="4" w:space="0" w:color="auto"/>
              <w:right w:val="single" w:sz="4" w:space="0" w:color="auto"/>
            </w:tcBorders>
            <w:shd w:val="clear" w:color="auto" w:fill="C4EFCE"/>
            <w:vAlign w:val="center"/>
          </w:tcPr>
          <w:p w14:paraId="6A912137" w14:textId="11737E1E" w:rsidR="006C686E" w:rsidRDefault="00B17E8C">
            <w:pPr>
              <w:pStyle w:val="P68B1DB1-Normal63"/>
              <w:spacing w:after="0" w:line="276" w:lineRule="auto"/>
              <w:jc w:val="center"/>
              <w:rPr>
                <w:noProof/>
              </w:rPr>
            </w:pPr>
            <w:r>
              <w:rPr>
                <w:noProof/>
              </w:rPr>
              <w:t>RE-C03-i06</w:t>
            </w:r>
          </w:p>
        </w:tc>
        <w:tc>
          <w:tcPr>
            <w:tcW w:w="1232" w:type="dxa"/>
            <w:tcBorders>
              <w:top w:val="nil"/>
              <w:left w:val="nil"/>
              <w:bottom w:val="single" w:sz="4" w:space="0" w:color="auto"/>
              <w:right w:val="single" w:sz="4" w:space="0" w:color="auto"/>
            </w:tcBorders>
            <w:shd w:val="clear" w:color="auto" w:fill="C4EFCE"/>
            <w:vAlign w:val="center"/>
          </w:tcPr>
          <w:p w14:paraId="5CB41C3C" w14:textId="16B9F588"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4AC2129" w14:textId="770D1175" w:rsidR="006C686E" w:rsidRDefault="00B17E8C">
            <w:pPr>
              <w:pStyle w:val="P68B1DB1-Normal64"/>
              <w:spacing w:after="0" w:line="276" w:lineRule="auto"/>
              <w:jc w:val="both"/>
              <w:rPr>
                <w:noProof/>
                <w:color w:val="000000"/>
                <w:kern w:val="0"/>
                <w14:ligatures w14:val="none"/>
              </w:rPr>
            </w:pPr>
            <w:r>
              <w:rPr>
                <w:noProof/>
              </w:rPr>
              <w:t xml:space="preserve">Déboursement pour les </w:t>
            </w:r>
            <w:r>
              <w:rPr>
                <w:noProof/>
                <w:kern w:val="0"/>
                <w14:ligatures w14:val="none"/>
              </w:rPr>
              <w:t>mesures sociales</w:t>
            </w:r>
          </w:p>
        </w:tc>
      </w:tr>
      <w:tr w:rsidR="006C686E" w14:paraId="2E6C89C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629F1EE" w14:textId="77777777" w:rsidR="006C686E" w:rsidRDefault="00B17E8C">
            <w:pPr>
              <w:pStyle w:val="P68B1DB1-Normal63"/>
              <w:spacing w:after="0" w:line="276" w:lineRule="auto"/>
              <w:jc w:val="center"/>
              <w:rPr>
                <w:noProof/>
              </w:rPr>
            </w:pPr>
            <w:r>
              <w:rPr>
                <w:noProof/>
              </w:rPr>
              <w:t>3.28</w:t>
            </w:r>
          </w:p>
        </w:tc>
        <w:tc>
          <w:tcPr>
            <w:tcW w:w="2812" w:type="dxa"/>
            <w:tcBorders>
              <w:top w:val="nil"/>
              <w:left w:val="nil"/>
              <w:bottom w:val="single" w:sz="4" w:space="0" w:color="auto"/>
              <w:right w:val="single" w:sz="4" w:space="0" w:color="auto"/>
            </w:tcBorders>
            <w:shd w:val="clear" w:color="auto" w:fill="C4EFCE"/>
            <w:vAlign w:val="center"/>
          </w:tcPr>
          <w:p w14:paraId="02330E9B" w14:textId="77777777" w:rsidR="006C686E" w:rsidRDefault="00B17E8C">
            <w:pPr>
              <w:pStyle w:val="P68B1DB1-Normal63"/>
              <w:spacing w:after="0" w:line="276" w:lineRule="auto"/>
              <w:jc w:val="center"/>
              <w:rPr>
                <w:noProof/>
              </w:rPr>
            </w:pPr>
            <w:r>
              <w:rPr>
                <w:noProof/>
              </w:rPr>
              <w:t>RE-03-i07-RAA</w:t>
            </w:r>
          </w:p>
        </w:tc>
        <w:tc>
          <w:tcPr>
            <w:tcW w:w="1232" w:type="dxa"/>
            <w:tcBorders>
              <w:top w:val="nil"/>
              <w:left w:val="nil"/>
              <w:bottom w:val="single" w:sz="4" w:space="0" w:color="auto"/>
              <w:right w:val="single" w:sz="4" w:space="0" w:color="auto"/>
            </w:tcBorders>
            <w:shd w:val="clear" w:color="auto" w:fill="C4EFCE"/>
            <w:vAlign w:val="center"/>
          </w:tcPr>
          <w:p w14:paraId="7BC40D4C"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B3F1745" w14:textId="77777777" w:rsidR="006C686E" w:rsidRDefault="00B17E8C">
            <w:pPr>
              <w:pStyle w:val="P68B1DB1-Normal63"/>
              <w:spacing w:after="0" w:line="276" w:lineRule="auto"/>
              <w:jc w:val="both"/>
              <w:rPr>
                <w:noProof/>
              </w:rPr>
            </w:pPr>
            <w:r>
              <w:rPr>
                <w:noProof/>
              </w:rPr>
              <w:t>Places neuves ou rénovées dans des foyers de soins résidentiels</w:t>
            </w:r>
          </w:p>
        </w:tc>
      </w:tr>
      <w:tr w:rsidR="006C686E" w14:paraId="2318896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4EF9894" w14:textId="77777777" w:rsidR="006C686E" w:rsidRDefault="00B17E8C">
            <w:pPr>
              <w:pStyle w:val="P68B1DB1-Normal63"/>
              <w:spacing w:after="0" w:line="276" w:lineRule="auto"/>
              <w:jc w:val="center"/>
              <w:rPr>
                <w:noProof/>
              </w:rPr>
            </w:pPr>
            <w:r>
              <w:rPr>
                <w:noProof/>
              </w:rPr>
              <w:t>3.30</w:t>
            </w:r>
          </w:p>
        </w:tc>
        <w:tc>
          <w:tcPr>
            <w:tcW w:w="2812" w:type="dxa"/>
            <w:tcBorders>
              <w:top w:val="nil"/>
              <w:left w:val="nil"/>
              <w:bottom w:val="single" w:sz="4" w:space="0" w:color="auto"/>
              <w:right w:val="single" w:sz="4" w:space="0" w:color="auto"/>
            </w:tcBorders>
            <w:shd w:val="clear" w:color="auto" w:fill="C4EFCE"/>
            <w:vAlign w:val="center"/>
          </w:tcPr>
          <w:p w14:paraId="46BD1917" w14:textId="77777777" w:rsidR="006C686E" w:rsidRDefault="00B17E8C">
            <w:pPr>
              <w:pStyle w:val="P68B1DB1-Normal63"/>
              <w:spacing w:after="0" w:line="276" w:lineRule="auto"/>
              <w:jc w:val="center"/>
              <w:rPr>
                <w:noProof/>
              </w:rPr>
            </w:pPr>
            <w:r>
              <w:rPr>
                <w:noProof/>
              </w:rPr>
              <w:t>RE-C03-r38</w:t>
            </w:r>
          </w:p>
        </w:tc>
        <w:tc>
          <w:tcPr>
            <w:tcW w:w="1232" w:type="dxa"/>
            <w:tcBorders>
              <w:top w:val="nil"/>
              <w:left w:val="nil"/>
              <w:bottom w:val="single" w:sz="4" w:space="0" w:color="auto"/>
              <w:right w:val="single" w:sz="4" w:space="0" w:color="auto"/>
            </w:tcBorders>
            <w:shd w:val="clear" w:color="auto" w:fill="C4EFCE"/>
            <w:vAlign w:val="center"/>
          </w:tcPr>
          <w:p w14:paraId="5F787174"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AA550C6" w14:textId="5F112C3D" w:rsidR="006C686E" w:rsidRDefault="00B17E8C">
            <w:pPr>
              <w:pStyle w:val="P68B1DB1-Normal63"/>
              <w:spacing w:after="0" w:line="276" w:lineRule="auto"/>
              <w:jc w:val="both"/>
              <w:rPr>
                <w:noProof/>
              </w:rPr>
            </w:pPr>
            <w:r>
              <w:rPr>
                <w:noProof/>
              </w:rPr>
              <w:t>Prestation sociale unique</w:t>
            </w:r>
          </w:p>
        </w:tc>
      </w:tr>
      <w:tr w:rsidR="006C686E" w14:paraId="101828D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F5C2D93" w14:textId="77777777" w:rsidR="006C686E" w:rsidRDefault="00B17E8C">
            <w:pPr>
              <w:pStyle w:val="P68B1DB1-Normal63"/>
              <w:spacing w:after="0" w:line="276" w:lineRule="auto"/>
              <w:jc w:val="center"/>
              <w:rPr>
                <w:noProof/>
              </w:rPr>
            </w:pPr>
            <w:r>
              <w:rPr>
                <w:noProof/>
              </w:rPr>
              <w:t>4.4</w:t>
            </w:r>
          </w:p>
        </w:tc>
        <w:tc>
          <w:tcPr>
            <w:tcW w:w="2812" w:type="dxa"/>
            <w:tcBorders>
              <w:top w:val="nil"/>
              <w:left w:val="nil"/>
              <w:bottom w:val="single" w:sz="4" w:space="0" w:color="auto"/>
              <w:right w:val="single" w:sz="4" w:space="0" w:color="auto"/>
            </w:tcBorders>
            <w:shd w:val="clear" w:color="auto" w:fill="C4EFCE"/>
            <w:vAlign w:val="center"/>
          </w:tcPr>
          <w:p w14:paraId="0E4D5598" w14:textId="30DAFF3F" w:rsidR="006C686E" w:rsidRDefault="00B17E8C">
            <w:pPr>
              <w:pStyle w:val="P68B1DB1-Normal63"/>
              <w:spacing w:after="0" w:line="276" w:lineRule="auto"/>
              <w:jc w:val="center"/>
              <w:rPr>
                <w:noProof/>
              </w:rPr>
            </w:pPr>
            <w:r>
              <w:rPr>
                <w:noProof/>
              </w:rPr>
              <w:t>RE-C04-i01</w:t>
            </w:r>
          </w:p>
        </w:tc>
        <w:tc>
          <w:tcPr>
            <w:tcW w:w="1232" w:type="dxa"/>
            <w:tcBorders>
              <w:top w:val="nil"/>
              <w:left w:val="nil"/>
              <w:bottom w:val="single" w:sz="4" w:space="0" w:color="auto"/>
              <w:right w:val="single" w:sz="4" w:space="0" w:color="auto"/>
            </w:tcBorders>
            <w:shd w:val="clear" w:color="auto" w:fill="C4EFCE"/>
            <w:vAlign w:val="center"/>
          </w:tcPr>
          <w:p w14:paraId="47D95EFE"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1E07A4" w14:textId="3A34E9C3" w:rsidR="006C686E" w:rsidRDefault="00B17E8C">
            <w:pPr>
              <w:pStyle w:val="P68B1DB1-Normal63"/>
              <w:spacing w:after="0" w:line="276" w:lineRule="auto"/>
              <w:jc w:val="both"/>
              <w:rPr>
                <w:noProof/>
              </w:rPr>
            </w:pPr>
            <w:r>
              <w:rPr>
                <w:noProof/>
              </w:rPr>
              <w:t xml:space="preserve">Équipement pour les installations culturelles </w:t>
            </w:r>
          </w:p>
        </w:tc>
      </w:tr>
      <w:tr w:rsidR="006C686E" w14:paraId="1A6330F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9E2DF14" w14:textId="77777777" w:rsidR="006C686E" w:rsidRDefault="00B17E8C">
            <w:pPr>
              <w:pStyle w:val="P68B1DB1-Normal63"/>
              <w:spacing w:after="0" w:line="276" w:lineRule="auto"/>
              <w:jc w:val="center"/>
              <w:rPr>
                <w:noProof/>
              </w:rPr>
            </w:pPr>
            <w:r>
              <w:rPr>
                <w:noProof/>
              </w:rPr>
              <w:t>4.8</w:t>
            </w:r>
          </w:p>
        </w:tc>
        <w:tc>
          <w:tcPr>
            <w:tcW w:w="2812" w:type="dxa"/>
            <w:tcBorders>
              <w:top w:val="nil"/>
              <w:left w:val="nil"/>
              <w:bottom w:val="single" w:sz="4" w:space="0" w:color="auto"/>
              <w:right w:val="single" w:sz="4" w:space="0" w:color="auto"/>
            </w:tcBorders>
            <w:shd w:val="clear" w:color="auto" w:fill="C4EFCE"/>
            <w:vAlign w:val="center"/>
          </w:tcPr>
          <w:p w14:paraId="5F94AD1F" w14:textId="5C7EDA9E" w:rsidR="006C686E" w:rsidRDefault="00B17E8C">
            <w:pPr>
              <w:pStyle w:val="P68B1DB1-Normal63"/>
              <w:spacing w:after="0" w:line="276" w:lineRule="auto"/>
              <w:jc w:val="center"/>
              <w:rPr>
                <w:noProof/>
              </w:rPr>
            </w:pPr>
            <w:r>
              <w:rPr>
                <w:noProof/>
              </w:rPr>
              <w:t>RE-C04-i02</w:t>
            </w:r>
          </w:p>
        </w:tc>
        <w:tc>
          <w:tcPr>
            <w:tcW w:w="1232" w:type="dxa"/>
            <w:tcBorders>
              <w:top w:val="nil"/>
              <w:left w:val="nil"/>
              <w:bottom w:val="single" w:sz="4" w:space="0" w:color="auto"/>
              <w:right w:val="single" w:sz="4" w:space="0" w:color="auto"/>
            </w:tcBorders>
            <w:shd w:val="clear" w:color="auto" w:fill="C4EFCE"/>
            <w:vAlign w:val="center"/>
          </w:tcPr>
          <w:p w14:paraId="65C27A91" w14:textId="2F45323D"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0E4F3A0" w14:textId="16B272E2" w:rsidR="006C686E" w:rsidRDefault="00B17E8C">
            <w:pPr>
              <w:pStyle w:val="P68B1DB1-Normal63"/>
              <w:spacing w:after="0" w:line="276" w:lineRule="auto"/>
              <w:jc w:val="both"/>
              <w:rPr>
                <w:noProof/>
                <w:color w:val="000000" w:themeColor="text1"/>
              </w:rPr>
            </w:pPr>
            <w:r>
              <w:rPr>
                <w:noProof/>
              </w:rPr>
              <w:t xml:space="preserve">Exécution d'œuvres pour des sites culturels </w:t>
            </w:r>
          </w:p>
        </w:tc>
      </w:tr>
      <w:tr w:rsidR="006C686E" w14:paraId="1ABDEB0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AABB450" w14:textId="397C705E" w:rsidR="006C686E" w:rsidRDefault="00B17E8C">
            <w:pPr>
              <w:pStyle w:val="P68B1DB1-Normal63"/>
              <w:spacing w:after="0" w:line="276" w:lineRule="auto"/>
              <w:jc w:val="center"/>
              <w:rPr>
                <w:noProof/>
              </w:rPr>
            </w:pPr>
            <w:r>
              <w:rPr>
                <w:noProof/>
              </w:rPr>
              <w:t>5.6</w:t>
            </w:r>
          </w:p>
        </w:tc>
        <w:tc>
          <w:tcPr>
            <w:tcW w:w="2812" w:type="dxa"/>
            <w:tcBorders>
              <w:top w:val="nil"/>
              <w:left w:val="nil"/>
              <w:bottom w:val="single" w:sz="4" w:space="0" w:color="auto"/>
              <w:right w:val="single" w:sz="4" w:space="0" w:color="auto"/>
            </w:tcBorders>
            <w:shd w:val="clear" w:color="auto" w:fill="C4EFCE"/>
            <w:vAlign w:val="center"/>
          </w:tcPr>
          <w:p w14:paraId="183117C3" w14:textId="69D5B985" w:rsidR="006C686E" w:rsidRDefault="00B17E8C">
            <w:pPr>
              <w:pStyle w:val="P68B1DB1-Normal63"/>
              <w:spacing w:after="0" w:line="276" w:lineRule="auto"/>
              <w:jc w:val="center"/>
              <w:rPr>
                <w:noProof/>
              </w:rPr>
            </w:pPr>
            <w:r>
              <w:rPr>
                <w:noProof/>
              </w:rPr>
              <w:t>RE-C05-i01.01</w:t>
            </w:r>
          </w:p>
        </w:tc>
        <w:tc>
          <w:tcPr>
            <w:tcW w:w="1232" w:type="dxa"/>
            <w:tcBorders>
              <w:top w:val="nil"/>
              <w:left w:val="nil"/>
              <w:bottom w:val="single" w:sz="4" w:space="0" w:color="auto"/>
              <w:right w:val="single" w:sz="4" w:space="0" w:color="auto"/>
            </w:tcBorders>
            <w:shd w:val="clear" w:color="auto" w:fill="C4EFCE"/>
            <w:vAlign w:val="center"/>
          </w:tcPr>
          <w:p w14:paraId="2E695E3F" w14:textId="473B10A3"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B515887" w14:textId="3FFA230B" w:rsidR="006C686E" w:rsidRDefault="00B17E8C">
            <w:pPr>
              <w:pStyle w:val="P68B1DB1-Normal63"/>
              <w:spacing w:after="0" w:line="276" w:lineRule="auto"/>
              <w:jc w:val="both"/>
              <w:rPr>
                <w:noProof/>
              </w:rPr>
            </w:pPr>
            <w:r>
              <w:rPr>
                <w:noProof/>
              </w:rPr>
              <w:t xml:space="preserve">Produits, procédés ou services </w:t>
            </w:r>
          </w:p>
        </w:tc>
      </w:tr>
      <w:tr w:rsidR="006C686E" w14:paraId="213AF860"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CD2F253" w14:textId="6703AF39" w:rsidR="006C686E" w:rsidRDefault="00B17E8C">
            <w:pPr>
              <w:pStyle w:val="P68B1DB1-Normal64"/>
              <w:spacing w:after="0" w:line="276" w:lineRule="auto"/>
              <w:jc w:val="center"/>
              <w:rPr>
                <w:noProof/>
                <w:color w:val="000000"/>
                <w:kern w:val="0"/>
                <w14:ligatures w14:val="none"/>
              </w:rPr>
            </w:pPr>
            <w:r>
              <w:rPr>
                <w:noProof/>
              </w:rPr>
              <w:t>5.14</w:t>
            </w:r>
          </w:p>
        </w:tc>
        <w:tc>
          <w:tcPr>
            <w:tcW w:w="2812" w:type="dxa"/>
            <w:tcBorders>
              <w:top w:val="nil"/>
              <w:left w:val="nil"/>
              <w:bottom w:val="single" w:sz="4" w:space="0" w:color="auto"/>
              <w:right w:val="single" w:sz="4" w:space="0" w:color="auto"/>
            </w:tcBorders>
            <w:shd w:val="clear" w:color="auto" w:fill="C4EFCE"/>
            <w:vAlign w:val="center"/>
          </w:tcPr>
          <w:p w14:paraId="63A713C5" w14:textId="136618D1" w:rsidR="006C686E" w:rsidRDefault="00B17E8C">
            <w:pPr>
              <w:pStyle w:val="P68B1DB1-Normal64"/>
              <w:spacing w:after="0" w:line="276" w:lineRule="auto"/>
              <w:jc w:val="center"/>
              <w:rPr>
                <w:noProof/>
                <w:color w:val="000000"/>
                <w:kern w:val="0"/>
                <w14:ligatures w14:val="none"/>
              </w:rPr>
            </w:pPr>
            <w:r>
              <w:rPr>
                <w:noProof/>
              </w:rPr>
              <w:t>RE-C05-i03</w:t>
            </w:r>
          </w:p>
        </w:tc>
        <w:tc>
          <w:tcPr>
            <w:tcW w:w="1232" w:type="dxa"/>
            <w:tcBorders>
              <w:top w:val="nil"/>
              <w:left w:val="nil"/>
              <w:bottom w:val="single" w:sz="4" w:space="0" w:color="auto"/>
              <w:right w:val="single" w:sz="4" w:space="0" w:color="auto"/>
            </w:tcBorders>
            <w:shd w:val="clear" w:color="auto" w:fill="C4EFCE"/>
            <w:vAlign w:val="center"/>
          </w:tcPr>
          <w:p w14:paraId="1BAE608F" w14:textId="4ED2CE1C" w:rsidR="006C686E" w:rsidRDefault="00B17E8C">
            <w:pPr>
              <w:pStyle w:val="P68B1DB1-Normal64"/>
              <w:spacing w:after="0" w:line="276" w:lineRule="auto"/>
              <w:jc w:val="center"/>
              <w:rPr>
                <w:noProof/>
                <w:color w:val="000000"/>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BBB0852" w14:textId="0839ED41" w:rsidR="006C686E" w:rsidRDefault="00B17E8C">
            <w:pPr>
              <w:pStyle w:val="P68B1DB1-Normal64"/>
              <w:spacing w:after="0" w:line="276" w:lineRule="auto"/>
              <w:jc w:val="both"/>
              <w:rPr>
                <w:noProof/>
              </w:rPr>
            </w:pPr>
            <w:r>
              <w:rPr>
                <w:noProof/>
              </w:rPr>
              <w:t>24 pôles d'innovation agricole</w:t>
            </w:r>
          </w:p>
        </w:tc>
      </w:tr>
      <w:tr w:rsidR="006C686E" w14:paraId="235E842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2CF0E66" w14:textId="3B3E0BC6" w:rsidR="006C686E" w:rsidRDefault="00B17E8C">
            <w:pPr>
              <w:pStyle w:val="P68B1DB1-Normal64"/>
              <w:spacing w:after="0" w:line="276" w:lineRule="auto"/>
              <w:jc w:val="center"/>
              <w:rPr>
                <w:noProof/>
              </w:rPr>
            </w:pPr>
            <w:r>
              <w:rPr>
                <w:noProof/>
              </w:rPr>
              <w:t>5.17</w:t>
            </w:r>
          </w:p>
        </w:tc>
        <w:tc>
          <w:tcPr>
            <w:tcW w:w="2812" w:type="dxa"/>
            <w:tcBorders>
              <w:top w:val="nil"/>
              <w:left w:val="nil"/>
              <w:bottom w:val="single" w:sz="4" w:space="0" w:color="auto"/>
              <w:right w:val="single" w:sz="4" w:space="0" w:color="auto"/>
            </w:tcBorders>
            <w:shd w:val="clear" w:color="auto" w:fill="C4EFCE"/>
            <w:vAlign w:val="center"/>
          </w:tcPr>
          <w:p w14:paraId="4C683A64" w14:textId="56567A43" w:rsidR="006C686E" w:rsidRDefault="00B17E8C">
            <w:pPr>
              <w:pStyle w:val="P68B1DB1-Normal64"/>
              <w:spacing w:after="0" w:line="276" w:lineRule="auto"/>
              <w:jc w:val="center"/>
              <w:rPr>
                <w:noProof/>
              </w:rPr>
            </w:pPr>
            <w:r>
              <w:rPr>
                <w:noProof/>
              </w:rPr>
              <w:t>RE-C05-i04-RAA</w:t>
            </w:r>
          </w:p>
        </w:tc>
        <w:tc>
          <w:tcPr>
            <w:tcW w:w="1232" w:type="dxa"/>
            <w:tcBorders>
              <w:top w:val="nil"/>
              <w:left w:val="nil"/>
              <w:bottom w:val="single" w:sz="4" w:space="0" w:color="auto"/>
              <w:right w:val="single" w:sz="4" w:space="0" w:color="auto"/>
            </w:tcBorders>
            <w:shd w:val="clear" w:color="auto" w:fill="C4EFCE"/>
            <w:vAlign w:val="center"/>
          </w:tcPr>
          <w:p w14:paraId="5594F847" w14:textId="4E9D5366" w:rsidR="006C686E" w:rsidRDefault="00B17E8C">
            <w:pPr>
              <w:pStyle w:val="P68B1DB1-Normal64"/>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F058F7D" w14:textId="52788D8A" w:rsidR="006C686E" w:rsidRDefault="00B17E8C">
            <w:pPr>
              <w:pStyle w:val="P68B1DB1-Normal64"/>
              <w:spacing w:after="0" w:line="276" w:lineRule="auto"/>
              <w:jc w:val="both"/>
              <w:rPr>
                <w:noProof/>
              </w:rPr>
            </w:pPr>
            <w:r>
              <w:rPr>
                <w:noProof/>
              </w:rPr>
              <w:t>Certificats de transfert aux sociétés non financières sous forme de soutien sous forme de fonds propres et de quasi-fonds propres</w:t>
            </w:r>
          </w:p>
        </w:tc>
      </w:tr>
      <w:tr w:rsidR="006C686E" w14:paraId="7ACCA04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6D33855" w14:textId="5BA181CC" w:rsidR="006C686E" w:rsidRDefault="00B17E8C">
            <w:pPr>
              <w:pStyle w:val="P68B1DB1-Normal63"/>
              <w:spacing w:after="0" w:line="276" w:lineRule="auto"/>
              <w:jc w:val="center"/>
              <w:rPr>
                <w:noProof/>
              </w:rPr>
            </w:pPr>
            <w:r>
              <w:rPr>
                <w:noProof/>
              </w:rPr>
              <w:t>5.19</w:t>
            </w:r>
          </w:p>
        </w:tc>
        <w:tc>
          <w:tcPr>
            <w:tcW w:w="2812" w:type="dxa"/>
            <w:tcBorders>
              <w:top w:val="nil"/>
              <w:left w:val="nil"/>
              <w:bottom w:val="single" w:sz="4" w:space="0" w:color="auto"/>
              <w:right w:val="single" w:sz="4" w:space="0" w:color="auto"/>
            </w:tcBorders>
            <w:shd w:val="clear" w:color="auto" w:fill="C4EFCE"/>
            <w:vAlign w:val="center"/>
          </w:tcPr>
          <w:p w14:paraId="4024E115" w14:textId="5DFD516A" w:rsidR="006C686E" w:rsidRDefault="00B17E8C">
            <w:pPr>
              <w:pStyle w:val="P68B1DB1-Normal63"/>
              <w:spacing w:after="0" w:line="276" w:lineRule="auto"/>
              <w:jc w:val="center"/>
              <w:rPr>
                <w:noProof/>
              </w:rPr>
            </w:pPr>
            <w:r>
              <w:rPr>
                <w:noProof/>
              </w:rPr>
              <w:t>RE-C05-i05-RAA</w:t>
            </w:r>
          </w:p>
        </w:tc>
        <w:tc>
          <w:tcPr>
            <w:tcW w:w="1232" w:type="dxa"/>
            <w:tcBorders>
              <w:top w:val="nil"/>
              <w:left w:val="nil"/>
              <w:bottom w:val="single" w:sz="4" w:space="0" w:color="auto"/>
              <w:right w:val="single" w:sz="4" w:space="0" w:color="auto"/>
            </w:tcBorders>
            <w:shd w:val="clear" w:color="auto" w:fill="C4EFCE"/>
            <w:vAlign w:val="center"/>
          </w:tcPr>
          <w:p w14:paraId="61DBB20D" w14:textId="5A293556"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44A8B3E" w14:textId="1C247826" w:rsidR="006C686E" w:rsidRDefault="00B17E8C">
            <w:pPr>
              <w:pStyle w:val="P68B1DB1-Normal64"/>
              <w:spacing w:after="0" w:line="276" w:lineRule="auto"/>
              <w:jc w:val="both"/>
              <w:rPr>
                <w:noProof/>
                <w:color w:val="000000"/>
                <w:kern w:val="0"/>
                <w14:ligatures w14:val="none"/>
              </w:rPr>
            </w:pPr>
            <w:r>
              <w:rPr>
                <w:noProof/>
              </w:rPr>
              <w:t>Bâtiments destinés à l'abattage des animaux ou à la classification de la qualité du lait ou de la sécurité alimentaire</w:t>
            </w:r>
          </w:p>
        </w:tc>
      </w:tr>
      <w:tr w:rsidR="006C686E" w14:paraId="252FA4CF" w14:textId="1C2B73C6">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4A37967" w14:textId="2E0EDC9D" w:rsidR="006C686E" w:rsidRDefault="00B17E8C">
            <w:pPr>
              <w:pStyle w:val="P68B1DB1-Normal64"/>
              <w:spacing w:after="0" w:line="276" w:lineRule="auto"/>
              <w:jc w:val="center"/>
              <w:rPr>
                <w:noProof/>
                <w:kern w:val="0"/>
                <w14:ligatures w14:val="none"/>
              </w:rPr>
            </w:pPr>
            <w:r>
              <w:rPr>
                <w:noProof/>
              </w:rPr>
              <w:t>5.36</w:t>
            </w:r>
          </w:p>
        </w:tc>
        <w:tc>
          <w:tcPr>
            <w:tcW w:w="2812" w:type="dxa"/>
            <w:tcBorders>
              <w:top w:val="nil"/>
              <w:left w:val="nil"/>
              <w:bottom w:val="single" w:sz="4" w:space="0" w:color="auto"/>
              <w:right w:val="single" w:sz="4" w:space="0" w:color="auto"/>
            </w:tcBorders>
            <w:shd w:val="clear" w:color="auto" w:fill="C4EFCE"/>
            <w:vAlign w:val="center"/>
          </w:tcPr>
          <w:p w14:paraId="0E751B7E" w14:textId="0B322C49" w:rsidR="006C686E" w:rsidRDefault="00B17E8C">
            <w:pPr>
              <w:pStyle w:val="P68B1DB1-Normal64"/>
              <w:spacing w:after="0" w:line="276" w:lineRule="auto"/>
              <w:jc w:val="center"/>
              <w:rPr>
                <w:noProof/>
                <w:kern w:val="0"/>
                <w14:ligatures w14:val="none"/>
              </w:rPr>
            </w:pPr>
            <w:r>
              <w:rPr>
                <w:noProof/>
              </w:rPr>
              <w:t>RE-C05-i08</w:t>
            </w:r>
          </w:p>
        </w:tc>
        <w:tc>
          <w:tcPr>
            <w:tcW w:w="1232" w:type="dxa"/>
            <w:tcBorders>
              <w:top w:val="nil"/>
              <w:left w:val="nil"/>
              <w:bottom w:val="single" w:sz="4" w:space="0" w:color="auto"/>
              <w:right w:val="single" w:sz="4" w:space="0" w:color="auto"/>
            </w:tcBorders>
            <w:shd w:val="clear" w:color="auto" w:fill="C4EFCE"/>
            <w:vAlign w:val="center"/>
          </w:tcPr>
          <w:p w14:paraId="3DAC77A8" w14:textId="1ED9974E" w:rsidR="006C686E" w:rsidRDefault="00B17E8C">
            <w:pPr>
              <w:pStyle w:val="P68B1DB1-Normal64"/>
              <w:spacing w:after="0" w:line="276" w:lineRule="auto"/>
              <w:jc w:val="center"/>
              <w:rPr>
                <w:noProof/>
                <w:kern w:val="0"/>
                <w14:ligatures w14:val="none"/>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C773B6E" w14:textId="1C8E5A50" w:rsidR="006C686E" w:rsidRDefault="00B17E8C">
            <w:pPr>
              <w:pStyle w:val="P68B1DB1-Normal64"/>
              <w:spacing w:after="0" w:line="276" w:lineRule="auto"/>
              <w:jc w:val="both"/>
              <w:rPr>
                <w:noProof/>
                <w:kern w:val="0"/>
                <w14:ligatures w14:val="none"/>
              </w:rPr>
            </w:pPr>
            <w:r>
              <w:rPr>
                <w:noProof/>
              </w:rPr>
              <w:t>Projets dans le cadre du programme R&amp;D dans l’administration publique, fonctionnalités d’intelligence artificielle pour les processus de l’administration publique</w:t>
            </w:r>
          </w:p>
        </w:tc>
      </w:tr>
      <w:tr w:rsidR="006C686E" w14:paraId="6CE019B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FD2555E" w14:textId="77777777" w:rsidR="006C686E" w:rsidRDefault="00B17E8C">
            <w:pPr>
              <w:pStyle w:val="P68B1DB1-Normal63"/>
              <w:spacing w:after="0" w:line="276" w:lineRule="auto"/>
              <w:jc w:val="center"/>
              <w:rPr>
                <w:noProof/>
              </w:rPr>
            </w:pPr>
            <w:r>
              <w:rPr>
                <w:noProof/>
              </w:rPr>
              <w:t>5.38</w:t>
            </w:r>
          </w:p>
        </w:tc>
        <w:tc>
          <w:tcPr>
            <w:tcW w:w="2812" w:type="dxa"/>
            <w:tcBorders>
              <w:top w:val="nil"/>
              <w:left w:val="nil"/>
              <w:bottom w:val="single" w:sz="4" w:space="0" w:color="auto"/>
              <w:right w:val="single" w:sz="4" w:space="0" w:color="auto"/>
            </w:tcBorders>
            <w:shd w:val="clear" w:color="auto" w:fill="C4EFCE"/>
            <w:vAlign w:val="center"/>
          </w:tcPr>
          <w:p w14:paraId="3321CB85" w14:textId="77777777" w:rsidR="006C686E" w:rsidRDefault="00B17E8C">
            <w:pPr>
              <w:pStyle w:val="P68B1DB1-Normal63"/>
              <w:spacing w:after="0" w:line="276" w:lineRule="auto"/>
              <w:jc w:val="center"/>
              <w:rPr>
                <w:noProof/>
              </w:rPr>
            </w:pPr>
            <w:r>
              <w:rPr>
                <w:noProof/>
              </w:rPr>
              <w:t>RE-C05-i08</w:t>
            </w:r>
          </w:p>
        </w:tc>
        <w:tc>
          <w:tcPr>
            <w:tcW w:w="1232" w:type="dxa"/>
            <w:tcBorders>
              <w:top w:val="nil"/>
              <w:left w:val="nil"/>
              <w:bottom w:val="single" w:sz="4" w:space="0" w:color="auto"/>
              <w:right w:val="single" w:sz="4" w:space="0" w:color="auto"/>
            </w:tcBorders>
            <w:shd w:val="clear" w:color="auto" w:fill="C4EFCE"/>
            <w:vAlign w:val="center"/>
          </w:tcPr>
          <w:p w14:paraId="32897506"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E5B3A80" w14:textId="09ABFA8A" w:rsidR="006C686E" w:rsidRDefault="00B17E8C">
            <w:pPr>
              <w:pStyle w:val="P68B1DB1-Normal64"/>
              <w:spacing w:after="0" w:line="276" w:lineRule="auto"/>
              <w:jc w:val="both"/>
              <w:rPr>
                <w:noProof/>
                <w:kern w:val="0"/>
                <w14:ligatures w14:val="none"/>
              </w:rPr>
            </w:pPr>
            <w:r>
              <w:rPr>
                <w:noProof/>
              </w:rPr>
              <w:t>Supporting</w:t>
            </w:r>
            <w:r>
              <w:rPr>
                <w:noProof/>
                <w:kern w:val="0"/>
                <w14:ligatures w14:val="none"/>
              </w:rPr>
              <w:t xml:space="preserve"> infrastructure and datacenter for the National Advanced Computing Centre, </w:t>
            </w:r>
            <w:r>
              <w:rPr>
                <w:noProof/>
              </w:rPr>
              <w:t xml:space="preserve">contribution financière portugaise au supercalculateur Deucalion, financement </w:t>
            </w:r>
            <w:r>
              <w:rPr>
                <w:noProof/>
                <w:kern w:val="0"/>
                <w14:ligatures w14:val="none"/>
              </w:rPr>
              <w:t>du supercalculateur Mare Nostrum 5 et grand modèle linguistique (LLM) en portugais</w:t>
            </w:r>
          </w:p>
        </w:tc>
      </w:tr>
      <w:tr w:rsidR="006C686E" w14:paraId="6BFB2E9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484E4F" w14:textId="77777777" w:rsidR="006C686E" w:rsidRDefault="00B17E8C">
            <w:pPr>
              <w:pStyle w:val="P68B1DB1-Normal63"/>
              <w:spacing w:after="0" w:line="276" w:lineRule="auto"/>
              <w:jc w:val="center"/>
              <w:rPr>
                <w:noProof/>
              </w:rPr>
            </w:pPr>
            <w:r>
              <w:rPr>
                <w:noProof/>
              </w:rPr>
              <w:t>5.50</w:t>
            </w:r>
          </w:p>
        </w:tc>
        <w:tc>
          <w:tcPr>
            <w:tcW w:w="2812" w:type="dxa"/>
            <w:tcBorders>
              <w:top w:val="nil"/>
              <w:left w:val="nil"/>
              <w:bottom w:val="single" w:sz="4" w:space="0" w:color="auto"/>
              <w:right w:val="single" w:sz="4" w:space="0" w:color="auto"/>
            </w:tcBorders>
            <w:shd w:val="clear" w:color="auto" w:fill="C4EFCE"/>
            <w:vAlign w:val="center"/>
          </w:tcPr>
          <w:p w14:paraId="2CF12735" w14:textId="77777777" w:rsidR="006C686E" w:rsidRDefault="00B17E8C">
            <w:pPr>
              <w:pStyle w:val="P68B1DB1-Normal63"/>
              <w:spacing w:after="0" w:line="276" w:lineRule="auto"/>
              <w:jc w:val="center"/>
              <w:rPr>
                <w:noProof/>
              </w:rPr>
            </w:pPr>
            <w:r>
              <w:rPr>
                <w:noProof/>
              </w:rPr>
              <w:t>RE-C05-i13</w:t>
            </w:r>
          </w:p>
        </w:tc>
        <w:tc>
          <w:tcPr>
            <w:tcW w:w="1232" w:type="dxa"/>
            <w:tcBorders>
              <w:top w:val="nil"/>
              <w:left w:val="nil"/>
              <w:bottom w:val="single" w:sz="4" w:space="0" w:color="auto"/>
              <w:right w:val="single" w:sz="4" w:space="0" w:color="auto"/>
            </w:tcBorders>
            <w:shd w:val="clear" w:color="auto" w:fill="C4EFCE"/>
            <w:vAlign w:val="center"/>
          </w:tcPr>
          <w:p w14:paraId="3A79F57F"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3CBC96C" w14:textId="4C778197" w:rsidR="006C686E" w:rsidRDefault="00B17E8C">
            <w:pPr>
              <w:pStyle w:val="P68B1DB1-Normal63"/>
              <w:spacing w:after="0" w:line="276" w:lineRule="auto"/>
              <w:jc w:val="both"/>
              <w:rPr>
                <w:noProof/>
              </w:rPr>
            </w:pPr>
            <w:r>
              <w:rPr>
                <w:noProof/>
              </w:rPr>
              <w:t>Acquisition d'équipements ou d'outils pour les unités de recherche</w:t>
            </w:r>
          </w:p>
        </w:tc>
      </w:tr>
      <w:tr w:rsidR="006C686E" w14:paraId="5E52858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E374886" w14:textId="77777777" w:rsidR="006C686E" w:rsidRDefault="00B17E8C">
            <w:pPr>
              <w:pStyle w:val="P68B1DB1-Normal63"/>
              <w:spacing w:after="0" w:line="276" w:lineRule="auto"/>
              <w:jc w:val="center"/>
              <w:rPr>
                <w:noProof/>
              </w:rPr>
            </w:pPr>
            <w:r>
              <w:rPr>
                <w:noProof/>
              </w:rPr>
              <w:t>5.52</w:t>
            </w:r>
          </w:p>
        </w:tc>
        <w:tc>
          <w:tcPr>
            <w:tcW w:w="2812" w:type="dxa"/>
            <w:tcBorders>
              <w:top w:val="nil"/>
              <w:left w:val="nil"/>
              <w:bottom w:val="single" w:sz="4" w:space="0" w:color="auto"/>
              <w:right w:val="single" w:sz="4" w:space="0" w:color="auto"/>
            </w:tcBorders>
            <w:shd w:val="clear" w:color="auto" w:fill="C4EFCE"/>
            <w:vAlign w:val="center"/>
          </w:tcPr>
          <w:p w14:paraId="49E60549" w14:textId="77777777" w:rsidR="006C686E" w:rsidRDefault="00B17E8C">
            <w:pPr>
              <w:pStyle w:val="P68B1DB1-Normal63"/>
              <w:spacing w:after="0" w:line="276" w:lineRule="auto"/>
              <w:jc w:val="center"/>
              <w:rPr>
                <w:noProof/>
              </w:rPr>
            </w:pPr>
            <w:r>
              <w:rPr>
                <w:noProof/>
              </w:rPr>
              <w:t>RE-C05-i14</w:t>
            </w:r>
          </w:p>
        </w:tc>
        <w:tc>
          <w:tcPr>
            <w:tcW w:w="1232" w:type="dxa"/>
            <w:tcBorders>
              <w:top w:val="nil"/>
              <w:left w:val="nil"/>
              <w:bottom w:val="single" w:sz="4" w:space="0" w:color="auto"/>
              <w:right w:val="single" w:sz="4" w:space="0" w:color="auto"/>
            </w:tcBorders>
            <w:shd w:val="clear" w:color="auto" w:fill="C4EFCE"/>
            <w:vAlign w:val="center"/>
          </w:tcPr>
          <w:p w14:paraId="18659BBC"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44973" w14:textId="77777777" w:rsidR="006C686E" w:rsidRDefault="00B17E8C">
            <w:pPr>
              <w:pStyle w:val="P68B1DB1-Normal63"/>
              <w:spacing w:after="0" w:line="276" w:lineRule="auto"/>
              <w:jc w:val="both"/>
              <w:rPr>
                <w:noProof/>
              </w:rPr>
            </w:pPr>
            <w:r>
              <w:rPr>
                <w:noProof/>
              </w:rPr>
              <w:t>Les accords juridiques signés avec les bénéficiaires finaux et le ministère ont achevé l'investissement</w:t>
            </w:r>
          </w:p>
        </w:tc>
      </w:tr>
      <w:tr w:rsidR="006C686E" w14:paraId="120454A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D0E4EF" w14:textId="77777777" w:rsidR="006C686E" w:rsidRDefault="00B17E8C">
            <w:pPr>
              <w:pStyle w:val="P68B1DB1-Normal64"/>
              <w:spacing w:after="0" w:line="276" w:lineRule="auto"/>
              <w:jc w:val="center"/>
              <w:rPr>
                <w:noProof/>
              </w:rPr>
            </w:pPr>
            <w:r>
              <w:rPr>
                <w:noProof/>
              </w:rPr>
              <w:t>6.2</w:t>
            </w:r>
          </w:p>
        </w:tc>
        <w:tc>
          <w:tcPr>
            <w:tcW w:w="2812" w:type="dxa"/>
            <w:tcBorders>
              <w:top w:val="nil"/>
              <w:left w:val="nil"/>
              <w:bottom w:val="single" w:sz="4" w:space="0" w:color="auto"/>
              <w:right w:val="single" w:sz="4" w:space="0" w:color="auto"/>
            </w:tcBorders>
            <w:shd w:val="clear" w:color="auto" w:fill="C4EFCE"/>
            <w:vAlign w:val="center"/>
          </w:tcPr>
          <w:p w14:paraId="47B63404" w14:textId="77777777" w:rsidR="006C686E" w:rsidRDefault="00B17E8C">
            <w:pPr>
              <w:pStyle w:val="P68B1DB1-Normal64"/>
              <w:spacing w:after="0" w:line="276" w:lineRule="auto"/>
              <w:jc w:val="center"/>
              <w:rPr>
                <w:noProof/>
              </w:rPr>
            </w:pPr>
            <w:r>
              <w:rPr>
                <w:noProof/>
              </w:rPr>
              <w:t>RE-C06-i01</w:t>
            </w:r>
          </w:p>
        </w:tc>
        <w:tc>
          <w:tcPr>
            <w:tcW w:w="1232" w:type="dxa"/>
            <w:tcBorders>
              <w:top w:val="nil"/>
              <w:left w:val="nil"/>
              <w:bottom w:val="single" w:sz="4" w:space="0" w:color="auto"/>
              <w:right w:val="single" w:sz="4" w:space="0" w:color="auto"/>
            </w:tcBorders>
            <w:shd w:val="clear" w:color="auto" w:fill="C4EFCE"/>
            <w:vAlign w:val="center"/>
          </w:tcPr>
          <w:p w14:paraId="5D13A3EB" w14:textId="77777777" w:rsidR="006C686E" w:rsidRDefault="00B17E8C">
            <w:pPr>
              <w:pStyle w:val="P68B1DB1-Normal64"/>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1392C6F" w14:textId="3B3F0FC0" w:rsidR="006C686E" w:rsidRDefault="00B17E8C">
            <w:pPr>
              <w:pStyle w:val="P68B1DB1-Normal64"/>
              <w:spacing w:after="0" w:line="276" w:lineRule="auto"/>
              <w:jc w:val="both"/>
              <w:rPr>
                <w:noProof/>
              </w:rPr>
            </w:pPr>
            <w:r>
              <w:rPr>
                <w:noProof/>
              </w:rPr>
              <w:t>Centres technologiques spécialisés rénovés ou construits, ou avec des équipements achetés</w:t>
            </w:r>
          </w:p>
        </w:tc>
      </w:tr>
      <w:tr w:rsidR="006C686E" w14:paraId="3E8882BB"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1D95604" w14:textId="77777777" w:rsidR="006C686E" w:rsidRDefault="00B17E8C">
            <w:pPr>
              <w:pStyle w:val="P68B1DB1-Normal63"/>
              <w:spacing w:after="0" w:line="276" w:lineRule="auto"/>
              <w:jc w:val="center"/>
              <w:rPr>
                <w:noProof/>
              </w:rPr>
            </w:pPr>
            <w:r>
              <w:rPr>
                <w:noProof/>
              </w:rPr>
              <w:t>6.23</w:t>
            </w:r>
          </w:p>
        </w:tc>
        <w:tc>
          <w:tcPr>
            <w:tcW w:w="2812" w:type="dxa"/>
            <w:tcBorders>
              <w:top w:val="nil"/>
              <w:left w:val="nil"/>
              <w:bottom w:val="single" w:sz="4" w:space="0" w:color="auto"/>
              <w:right w:val="single" w:sz="4" w:space="0" w:color="auto"/>
            </w:tcBorders>
            <w:shd w:val="clear" w:color="auto" w:fill="C4EFCE"/>
            <w:vAlign w:val="center"/>
          </w:tcPr>
          <w:p w14:paraId="29C5A2C2" w14:textId="77777777" w:rsidR="006C686E" w:rsidRDefault="00B17E8C">
            <w:pPr>
              <w:pStyle w:val="P68B1DB1-Normal63"/>
              <w:spacing w:after="0" w:line="276" w:lineRule="auto"/>
              <w:jc w:val="center"/>
              <w:rPr>
                <w:noProof/>
              </w:rPr>
            </w:pPr>
            <w:r>
              <w:rPr>
                <w:noProof/>
              </w:rPr>
              <w:t>RE-C06-i07</w:t>
            </w:r>
          </w:p>
        </w:tc>
        <w:tc>
          <w:tcPr>
            <w:tcW w:w="1232" w:type="dxa"/>
            <w:tcBorders>
              <w:top w:val="nil"/>
              <w:left w:val="nil"/>
              <w:bottom w:val="single" w:sz="4" w:space="0" w:color="auto"/>
              <w:right w:val="single" w:sz="4" w:space="0" w:color="auto"/>
            </w:tcBorders>
            <w:shd w:val="clear" w:color="auto" w:fill="C4EFCE"/>
            <w:vAlign w:val="center"/>
          </w:tcPr>
          <w:p w14:paraId="1E01B502"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289E0F9" w14:textId="77777777" w:rsidR="006C686E" w:rsidRDefault="00B17E8C">
            <w:pPr>
              <w:pStyle w:val="P68B1DB1-Normal64"/>
              <w:spacing w:after="0" w:line="276" w:lineRule="auto"/>
              <w:jc w:val="both"/>
              <w:rPr>
                <w:noProof/>
                <w:kern w:val="0"/>
                <w14:ligatures w14:val="none"/>
              </w:rPr>
            </w:pPr>
            <w:r>
              <w:rPr>
                <w:noProof/>
              </w:rPr>
              <w:t>Cours sur les sciences agraires et la formation aux compétences numériques</w:t>
            </w:r>
          </w:p>
        </w:tc>
      </w:tr>
      <w:tr w:rsidR="006C686E" w14:paraId="42A367F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60C0459" w14:textId="77777777" w:rsidR="006C686E" w:rsidRDefault="00B17E8C">
            <w:pPr>
              <w:pStyle w:val="P68B1DB1-Normal64"/>
              <w:spacing w:after="0" w:line="276" w:lineRule="auto"/>
              <w:jc w:val="center"/>
              <w:rPr>
                <w:noProof/>
              </w:rPr>
            </w:pPr>
            <w:r>
              <w:rPr>
                <w:noProof/>
              </w:rPr>
              <w:t>6.25</w:t>
            </w:r>
          </w:p>
        </w:tc>
        <w:tc>
          <w:tcPr>
            <w:tcW w:w="2812" w:type="dxa"/>
            <w:tcBorders>
              <w:top w:val="nil"/>
              <w:left w:val="nil"/>
              <w:bottom w:val="single" w:sz="4" w:space="0" w:color="auto"/>
              <w:right w:val="single" w:sz="4" w:space="0" w:color="auto"/>
            </w:tcBorders>
            <w:shd w:val="clear" w:color="auto" w:fill="C4EFCE"/>
            <w:vAlign w:val="center"/>
          </w:tcPr>
          <w:p w14:paraId="660F7796" w14:textId="77777777" w:rsidR="006C686E" w:rsidRDefault="00B17E8C">
            <w:pPr>
              <w:pStyle w:val="P68B1DB1-Normal64"/>
              <w:spacing w:after="0" w:line="276" w:lineRule="auto"/>
              <w:jc w:val="center"/>
              <w:rPr>
                <w:noProof/>
                <w:kern w:val="0"/>
                <w14:ligatures w14:val="none"/>
              </w:rPr>
            </w:pPr>
            <w:r>
              <w:rPr>
                <w:noProof/>
              </w:rPr>
              <w:t>RE-C06-i07</w:t>
            </w:r>
          </w:p>
        </w:tc>
        <w:tc>
          <w:tcPr>
            <w:tcW w:w="1232" w:type="dxa"/>
            <w:tcBorders>
              <w:top w:val="nil"/>
              <w:left w:val="nil"/>
              <w:bottom w:val="single" w:sz="4" w:space="0" w:color="auto"/>
              <w:right w:val="single" w:sz="4" w:space="0" w:color="auto"/>
            </w:tcBorders>
            <w:shd w:val="clear" w:color="auto" w:fill="C4EFCE"/>
            <w:vAlign w:val="center"/>
          </w:tcPr>
          <w:p w14:paraId="7A6BAA9A" w14:textId="77777777" w:rsidR="006C686E" w:rsidRDefault="00B17E8C">
            <w:pPr>
              <w:pStyle w:val="P68B1DB1-Normal64"/>
              <w:spacing w:after="0" w:line="276" w:lineRule="auto"/>
              <w:jc w:val="center"/>
              <w:rPr>
                <w:noProof/>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F7CD27B" w14:textId="77777777" w:rsidR="006C686E" w:rsidRDefault="00B17E8C">
            <w:pPr>
              <w:pStyle w:val="P68B1DB1-Normal64"/>
              <w:spacing w:after="0" w:line="276" w:lineRule="auto"/>
              <w:jc w:val="both"/>
              <w:rPr>
                <w:noProof/>
                <w:kern w:val="0"/>
                <w14:ligatures w14:val="none"/>
              </w:rPr>
            </w:pPr>
            <w:r>
              <w:rPr>
                <w:noProof/>
              </w:rPr>
              <w:t>Programmes d'abandon scolaire</w:t>
            </w:r>
          </w:p>
        </w:tc>
      </w:tr>
      <w:tr w:rsidR="006C686E" w14:paraId="4E1472A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AD2A9C4" w14:textId="2C749B89" w:rsidR="006C686E" w:rsidRDefault="00B17E8C">
            <w:pPr>
              <w:pStyle w:val="P68B1DB1-Normal63"/>
              <w:spacing w:after="0" w:line="276" w:lineRule="auto"/>
              <w:jc w:val="center"/>
              <w:rPr>
                <w:noProof/>
              </w:rPr>
            </w:pPr>
            <w:r>
              <w:rPr>
                <w:noProof/>
              </w:rPr>
              <w:t>7.3</w:t>
            </w:r>
          </w:p>
        </w:tc>
        <w:tc>
          <w:tcPr>
            <w:tcW w:w="2812" w:type="dxa"/>
            <w:tcBorders>
              <w:top w:val="nil"/>
              <w:left w:val="nil"/>
              <w:bottom w:val="single" w:sz="4" w:space="0" w:color="auto"/>
              <w:right w:val="single" w:sz="4" w:space="0" w:color="auto"/>
            </w:tcBorders>
            <w:shd w:val="clear" w:color="auto" w:fill="C4EFCE"/>
            <w:vAlign w:val="center"/>
          </w:tcPr>
          <w:p w14:paraId="3EC78F95" w14:textId="107F96B0" w:rsidR="006C686E" w:rsidRDefault="00B17E8C">
            <w:pPr>
              <w:pStyle w:val="P68B1DB1-Normal63"/>
              <w:spacing w:after="0" w:line="276" w:lineRule="auto"/>
              <w:jc w:val="center"/>
              <w:rPr>
                <w:noProof/>
              </w:rPr>
            </w:pPr>
            <w:r>
              <w:rPr>
                <w:noProof/>
              </w:rPr>
              <w:t>RE-C07-i00</w:t>
            </w:r>
          </w:p>
        </w:tc>
        <w:tc>
          <w:tcPr>
            <w:tcW w:w="1232" w:type="dxa"/>
            <w:tcBorders>
              <w:top w:val="nil"/>
              <w:left w:val="nil"/>
              <w:bottom w:val="single" w:sz="4" w:space="0" w:color="auto"/>
              <w:right w:val="single" w:sz="4" w:space="0" w:color="auto"/>
            </w:tcBorders>
            <w:shd w:val="clear" w:color="auto" w:fill="C4EFCE"/>
            <w:vAlign w:val="center"/>
          </w:tcPr>
          <w:p w14:paraId="08DC16A2" w14:textId="09C48F18"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E5CED9C" w14:textId="54B24530" w:rsidR="006C686E" w:rsidRDefault="00B17E8C">
            <w:pPr>
              <w:pStyle w:val="P68B1DB1-Normal63"/>
              <w:spacing w:after="0" w:line="276" w:lineRule="auto"/>
              <w:jc w:val="both"/>
              <w:rPr>
                <w:noProof/>
              </w:rPr>
            </w:pPr>
            <w:r>
              <w:rPr>
                <w:noProof/>
              </w:rPr>
              <w:t>Points de recharge pour véhicules électriques accessibles au public</w:t>
            </w:r>
          </w:p>
        </w:tc>
      </w:tr>
      <w:tr w:rsidR="006C686E" w14:paraId="74EA4BF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69CDCD1" w14:textId="01F8E2BB" w:rsidR="006C686E" w:rsidRDefault="00B17E8C">
            <w:pPr>
              <w:pStyle w:val="P68B1DB1-Normal63"/>
              <w:spacing w:after="0" w:line="276" w:lineRule="auto"/>
              <w:jc w:val="center"/>
              <w:rPr>
                <w:noProof/>
              </w:rPr>
            </w:pPr>
            <w:r>
              <w:rPr>
                <w:noProof/>
              </w:rPr>
              <w:t>7.8</w:t>
            </w:r>
          </w:p>
        </w:tc>
        <w:tc>
          <w:tcPr>
            <w:tcW w:w="2812" w:type="dxa"/>
            <w:tcBorders>
              <w:top w:val="nil"/>
              <w:left w:val="nil"/>
              <w:bottom w:val="single" w:sz="4" w:space="0" w:color="auto"/>
              <w:right w:val="single" w:sz="4" w:space="0" w:color="auto"/>
            </w:tcBorders>
            <w:shd w:val="clear" w:color="auto" w:fill="C4EFCE"/>
            <w:vAlign w:val="center"/>
          </w:tcPr>
          <w:p w14:paraId="3AD02135" w14:textId="441EE23F" w:rsidR="006C686E" w:rsidRDefault="00B17E8C">
            <w:pPr>
              <w:pStyle w:val="P68B1DB1-Normal63"/>
              <w:spacing w:after="0" w:line="276" w:lineRule="auto"/>
              <w:jc w:val="center"/>
              <w:rPr>
                <w:noProof/>
              </w:rPr>
            </w:pPr>
            <w:r>
              <w:rPr>
                <w:noProof/>
              </w:rPr>
              <w:t>RE-C07-i02</w:t>
            </w:r>
          </w:p>
        </w:tc>
        <w:tc>
          <w:tcPr>
            <w:tcW w:w="1232" w:type="dxa"/>
            <w:tcBorders>
              <w:top w:val="nil"/>
              <w:left w:val="nil"/>
              <w:bottom w:val="single" w:sz="4" w:space="0" w:color="auto"/>
              <w:right w:val="single" w:sz="4" w:space="0" w:color="auto"/>
            </w:tcBorders>
            <w:shd w:val="clear" w:color="auto" w:fill="C4EFCE"/>
            <w:vAlign w:val="center"/>
          </w:tcPr>
          <w:p w14:paraId="5D96BB94" w14:textId="6FDA5B36"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AA707FC" w14:textId="26EA0CAC" w:rsidR="006C686E" w:rsidRDefault="00B17E8C">
            <w:pPr>
              <w:pStyle w:val="P68B1DB1-Normal63"/>
              <w:spacing w:after="0" w:line="276" w:lineRule="auto"/>
              <w:jc w:val="both"/>
              <w:rPr>
                <w:noProof/>
              </w:rPr>
            </w:pPr>
            <w:r>
              <w:rPr>
                <w:noProof/>
              </w:rPr>
              <w:t xml:space="preserve">Routes construites ou rénovées </w:t>
            </w:r>
          </w:p>
        </w:tc>
      </w:tr>
      <w:tr w:rsidR="006C686E" w14:paraId="2894903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1D839D0" w14:textId="77777777" w:rsidR="006C686E" w:rsidRDefault="00B17E8C">
            <w:pPr>
              <w:pStyle w:val="P68B1DB1-Normal63"/>
              <w:spacing w:after="0" w:line="276" w:lineRule="auto"/>
              <w:jc w:val="center"/>
              <w:rPr>
                <w:noProof/>
              </w:rPr>
            </w:pPr>
            <w:r>
              <w:rPr>
                <w:noProof/>
              </w:rPr>
              <w:t>7.15</w:t>
            </w:r>
          </w:p>
        </w:tc>
        <w:tc>
          <w:tcPr>
            <w:tcW w:w="2812" w:type="dxa"/>
            <w:tcBorders>
              <w:top w:val="nil"/>
              <w:left w:val="nil"/>
              <w:bottom w:val="single" w:sz="4" w:space="0" w:color="auto"/>
              <w:right w:val="single" w:sz="4" w:space="0" w:color="auto"/>
            </w:tcBorders>
            <w:shd w:val="clear" w:color="auto" w:fill="C4EFCE"/>
            <w:vAlign w:val="center"/>
          </w:tcPr>
          <w:p w14:paraId="2F2E9430" w14:textId="77777777" w:rsidR="006C686E" w:rsidRDefault="00B17E8C">
            <w:pPr>
              <w:pStyle w:val="P68B1DB1-Normal63"/>
              <w:spacing w:after="0" w:line="276" w:lineRule="auto"/>
              <w:jc w:val="center"/>
              <w:rPr>
                <w:noProof/>
              </w:rPr>
            </w:pPr>
            <w:r>
              <w:rPr>
                <w:noProof/>
              </w:rPr>
              <w:t>RE-C07-i05-RAA</w:t>
            </w:r>
          </w:p>
        </w:tc>
        <w:tc>
          <w:tcPr>
            <w:tcW w:w="1232" w:type="dxa"/>
            <w:tcBorders>
              <w:top w:val="nil"/>
              <w:left w:val="nil"/>
              <w:bottom w:val="single" w:sz="4" w:space="0" w:color="auto"/>
              <w:right w:val="single" w:sz="4" w:space="0" w:color="auto"/>
            </w:tcBorders>
            <w:shd w:val="clear" w:color="auto" w:fill="C4EFCE"/>
            <w:vAlign w:val="center"/>
          </w:tcPr>
          <w:p w14:paraId="28F7D50C"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6B4FE82" w14:textId="77777777" w:rsidR="006C686E" w:rsidRDefault="00B17E8C">
            <w:pPr>
              <w:pStyle w:val="P68B1DB1-Normal63"/>
              <w:spacing w:after="0" w:line="276" w:lineRule="auto"/>
              <w:jc w:val="both"/>
              <w:rPr>
                <w:noProof/>
              </w:rPr>
            </w:pPr>
            <w:r>
              <w:rPr>
                <w:noProof/>
              </w:rPr>
              <w:t>Routes construites ou rénovées</w:t>
            </w:r>
          </w:p>
        </w:tc>
      </w:tr>
      <w:tr w:rsidR="006C686E" w14:paraId="5945A0F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3B17046" w14:textId="77777777" w:rsidR="006C686E" w:rsidRDefault="00B17E8C">
            <w:pPr>
              <w:pStyle w:val="P68B1DB1-Normal63"/>
              <w:spacing w:after="0" w:line="276" w:lineRule="auto"/>
              <w:jc w:val="center"/>
              <w:rPr>
                <w:noProof/>
              </w:rPr>
            </w:pPr>
            <w:r>
              <w:rPr>
                <w:noProof/>
              </w:rPr>
              <w:t>8.9</w:t>
            </w:r>
          </w:p>
        </w:tc>
        <w:tc>
          <w:tcPr>
            <w:tcW w:w="2812" w:type="dxa"/>
            <w:tcBorders>
              <w:top w:val="nil"/>
              <w:left w:val="nil"/>
              <w:bottom w:val="single" w:sz="4" w:space="0" w:color="auto"/>
              <w:right w:val="single" w:sz="4" w:space="0" w:color="auto"/>
            </w:tcBorders>
            <w:shd w:val="clear" w:color="auto" w:fill="C4EFCE"/>
            <w:vAlign w:val="center"/>
          </w:tcPr>
          <w:p w14:paraId="392CED0B" w14:textId="77777777" w:rsidR="006C686E" w:rsidRDefault="00B17E8C">
            <w:pPr>
              <w:pStyle w:val="P68B1DB1-Normal63"/>
              <w:spacing w:after="0" w:line="276" w:lineRule="auto"/>
              <w:jc w:val="center"/>
              <w:rPr>
                <w:noProof/>
              </w:rPr>
            </w:pPr>
            <w:r>
              <w:rPr>
                <w:noProof/>
              </w:rPr>
              <w:t>RE-C08-i03</w:t>
            </w:r>
          </w:p>
        </w:tc>
        <w:tc>
          <w:tcPr>
            <w:tcW w:w="1232" w:type="dxa"/>
            <w:tcBorders>
              <w:top w:val="nil"/>
              <w:left w:val="nil"/>
              <w:bottom w:val="single" w:sz="4" w:space="0" w:color="auto"/>
              <w:right w:val="single" w:sz="4" w:space="0" w:color="auto"/>
            </w:tcBorders>
            <w:shd w:val="clear" w:color="auto" w:fill="C4EFCE"/>
            <w:vAlign w:val="center"/>
          </w:tcPr>
          <w:p w14:paraId="0B8EA101"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C36D50" w14:textId="77777777" w:rsidR="006C686E" w:rsidRDefault="00B17E8C">
            <w:pPr>
              <w:pStyle w:val="P68B1DB1-Normal64"/>
              <w:spacing w:after="0" w:line="276" w:lineRule="auto"/>
              <w:jc w:val="both"/>
              <w:rPr>
                <w:noProof/>
                <w:color w:val="000000"/>
                <w:kern w:val="0"/>
                <w14:ligatures w14:val="none"/>
              </w:rPr>
            </w:pPr>
            <w:r>
              <w:rPr>
                <w:noProof/>
              </w:rPr>
              <w:t>Réseau de structuration des ruptures de la gestion du carburant primaire (RPFGC)</w:t>
            </w:r>
          </w:p>
        </w:tc>
      </w:tr>
      <w:tr w:rsidR="006C686E" w14:paraId="01BB105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F3D8E08" w14:textId="77777777" w:rsidR="006C686E" w:rsidRDefault="00B17E8C">
            <w:pPr>
              <w:pStyle w:val="P68B1DB1-Normal63"/>
              <w:spacing w:after="0" w:line="276" w:lineRule="auto"/>
              <w:jc w:val="center"/>
              <w:rPr>
                <w:noProof/>
              </w:rPr>
            </w:pPr>
            <w:r>
              <w:rPr>
                <w:noProof/>
              </w:rPr>
              <w:t>8.11</w:t>
            </w:r>
          </w:p>
        </w:tc>
        <w:tc>
          <w:tcPr>
            <w:tcW w:w="2812" w:type="dxa"/>
            <w:tcBorders>
              <w:top w:val="nil"/>
              <w:left w:val="nil"/>
              <w:bottom w:val="single" w:sz="4" w:space="0" w:color="auto"/>
              <w:right w:val="single" w:sz="4" w:space="0" w:color="auto"/>
            </w:tcBorders>
            <w:shd w:val="clear" w:color="auto" w:fill="C4EFCE"/>
            <w:vAlign w:val="center"/>
          </w:tcPr>
          <w:p w14:paraId="577EA25F" w14:textId="77777777" w:rsidR="006C686E" w:rsidRDefault="00B17E8C">
            <w:pPr>
              <w:pStyle w:val="P68B1DB1-Normal63"/>
              <w:spacing w:after="0" w:line="276" w:lineRule="auto"/>
              <w:jc w:val="center"/>
              <w:rPr>
                <w:noProof/>
              </w:rPr>
            </w:pPr>
            <w:r>
              <w:rPr>
                <w:noProof/>
              </w:rPr>
              <w:t>RE-C08-i04</w:t>
            </w:r>
          </w:p>
        </w:tc>
        <w:tc>
          <w:tcPr>
            <w:tcW w:w="1232" w:type="dxa"/>
            <w:tcBorders>
              <w:top w:val="nil"/>
              <w:left w:val="nil"/>
              <w:bottom w:val="single" w:sz="4" w:space="0" w:color="auto"/>
              <w:right w:val="single" w:sz="4" w:space="0" w:color="auto"/>
            </w:tcBorders>
            <w:shd w:val="clear" w:color="auto" w:fill="C4EFCE"/>
            <w:vAlign w:val="center"/>
          </w:tcPr>
          <w:p w14:paraId="3027EBB5"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68A4664" w14:textId="77777777" w:rsidR="006C686E" w:rsidRDefault="00B17E8C">
            <w:pPr>
              <w:pStyle w:val="P68B1DB1-Normal64"/>
              <w:spacing w:after="0" w:line="276" w:lineRule="auto"/>
              <w:jc w:val="both"/>
              <w:rPr>
                <w:noProof/>
                <w:color w:val="000000"/>
                <w:kern w:val="0"/>
                <w14:ligatures w14:val="none"/>
              </w:rPr>
            </w:pPr>
            <w:r>
              <w:rPr>
                <w:noProof/>
              </w:rPr>
              <w:t>Achat d'hélicoptères de pompiers légers et moyens</w:t>
            </w:r>
          </w:p>
        </w:tc>
      </w:tr>
      <w:tr w:rsidR="006C686E" w14:paraId="3F6A513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06DD0CA" w14:textId="77777777" w:rsidR="006C686E" w:rsidRDefault="00B17E8C">
            <w:pPr>
              <w:pStyle w:val="P68B1DB1-Normal63"/>
              <w:spacing w:after="0" w:line="276" w:lineRule="auto"/>
              <w:jc w:val="center"/>
              <w:rPr>
                <w:noProof/>
              </w:rPr>
            </w:pPr>
            <w:r>
              <w:rPr>
                <w:noProof/>
              </w:rPr>
              <w:t>8.22</w:t>
            </w:r>
          </w:p>
        </w:tc>
        <w:tc>
          <w:tcPr>
            <w:tcW w:w="2812" w:type="dxa"/>
            <w:tcBorders>
              <w:top w:val="nil"/>
              <w:left w:val="nil"/>
              <w:bottom w:val="single" w:sz="4" w:space="0" w:color="auto"/>
              <w:right w:val="single" w:sz="4" w:space="0" w:color="auto"/>
            </w:tcBorders>
            <w:shd w:val="clear" w:color="auto" w:fill="C4EFCE"/>
            <w:vAlign w:val="center"/>
          </w:tcPr>
          <w:p w14:paraId="0FEF954D" w14:textId="77777777" w:rsidR="006C686E" w:rsidRDefault="00B17E8C">
            <w:pPr>
              <w:pStyle w:val="P68B1DB1-Normal63"/>
              <w:spacing w:after="0" w:line="276" w:lineRule="auto"/>
              <w:jc w:val="center"/>
              <w:rPr>
                <w:noProof/>
              </w:rPr>
            </w:pPr>
            <w:r>
              <w:rPr>
                <w:noProof/>
              </w:rPr>
              <w:t>RE-C08-i05</w:t>
            </w:r>
          </w:p>
        </w:tc>
        <w:tc>
          <w:tcPr>
            <w:tcW w:w="1232" w:type="dxa"/>
            <w:tcBorders>
              <w:top w:val="nil"/>
              <w:left w:val="nil"/>
              <w:bottom w:val="single" w:sz="4" w:space="0" w:color="auto"/>
              <w:right w:val="single" w:sz="4" w:space="0" w:color="auto"/>
            </w:tcBorders>
            <w:shd w:val="clear" w:color="auto" w:fill="C4EFCE"/>
            <w:vAlign w:val="center"/>
          </w:tcPr>
          <w:p w14:paraId="753F731F"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E305645" w14:textId="77777777" w:rsidR="006C686E" w:rsidRDefault="00B17E8C">
            <w:pPr>
              <w:pStyle w:val="P68B1DB1-Normal63"/>
              <w:spacing w:after="0" w:line="276" w:lineRule="auto"/>
              <w:jc w:val="both"/>
              <w:rPr>
                <w:noProof/>
              </w:rPr>
            </w:pPr>
            <w:r>
              <w:rPr>
                <w:noProof/>
              </w:rPr>
              <w:t>Achat de matériel de gestion forestière</w:t>
            </w:r>
          </w:p>
        </w:tc>
      </w:tr>
      <w:tr w:rsidR="006C686E" w14:paraId="761DECB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BB3F2A" w14:textId="77777777" w:rsidR="006C686E" w:rsidRDefault="00B17E8C">
            <w:pPr>
              <w:pStyle w:val="P68B1DB1-Normal63"/>
              <w:spacing w:after="0" w:line="276" w:lineRule="auto"/>
              <w:jc w:val="center"/>
              <w:rPr>
                <w:noProof/>
              </w:rPr>
            </w:pPr>
            <w:r>
              <w:rPr>
                <w:noProof/>
              </w:rPr>
              <w:t>9.2</w:t>
            </w:r>
          </w:p>
        </w:tc>
        <w:tc>
          <w:tcPr>
            <w:tcW w:w="2812" w:type="dxa"/>
            <w:tcBorders>
              <w:top w:val="nil"/>
              <w:left w:val="nil"/>
              <w:bottom w:val="single" w:sz="4" w:space="0" w:color="auto"/>
              <w:right w:val="single" w:sz="4" w:space="0" w:color="auto"/>
            </w:tcBorders>
            <w:shd w:val="clear" w:color="auto" w:fill="C4EFCE"/>
            <w:vAlign w:val="center"/>
          </w:tcPr>
          <w:p w14:paraId="66731C53" w14:textId="77777777" w:rsidR="006C686E" w:rsidRDefault="00B17E8C">
            <w:pPr>
              <w:pStyle w:val="P68B1DB1-Normal63"/>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691295E9" w14:textId="29CCF34E"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90DEBDB" w14:textId="7035E557" w:rsidR="006C686E" w:rsidRDefault="00B17E8C">
            <w:pPr>
              <w:pStyle w:val="P68B1DB1-Normal63"/>
              <w:spacing w:after="0" w:line="276" w:lineRule="auto"/>
              <w:jc w:val="both"/>
              <w:rPr>
                <w:noProof/>
              </w:rPr>
            </w:pPr>
            <w:r>
              <w:rPr>
                <w:noProof/>
              </w:rPr>
              <w:t>Interventions sur les réseaux d'eau (SM1)</w:t>
            </w:r>
          </w:p>
        </w:tc>
      </w:tr>
      <w:tr w:rsidR="006C686E" w14:paraId="34D4E8A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50F6FF0" w14:textId="77777777" w:rsidR="006C686E" w:rsidRDefault="00B17E8C">
            <w:pPr>
              <w:pStyle w:val="P68B1DB1-Normal63"/>
              <w:spacing w:after="0" w:line="276" w:lineRule="auto"/>
              <w:jc w:val="center"/>
              <w:rPr>
                <w:noProof/>
              </w:rPr>
            </w:pPr>
            <w:r>
              <w:rPr>
                <w:noProof/>
              </w:rPr>
              <w:t>9.3</w:t>
            </w:r>
          </w:p>
        </w:tc>
        <w:tc>
          <w:tcPr>
            <w:tcW w:w="2812" w:type="dxa"/>
            <w:tcBorders>
              <w:top w:val="nil"/>
              <w:left w:val="nil"/>
              <w:bottom w:val="single" w:sz="4" w:space="0" w:color="auto"/>
              <w:right w:val="single" w:sz="4" w:space="0" w:color="auto"/>
            </w:tcBorders>
            <w:shd w:val="clear" w:color="auto" w:fill="C4EFCE"/>
            <w:vAlign w:val="center"/>
          </w:tcPr>
          <w:p w14:paraId="6C463868" w14:textId="77777777" w:rsidR="006C686E" w:rsidRDefault="00B17E8C">
            <w:pPr>
              <w:pStyle w:val="P68B1DB1-Normal63"/>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5CEECF1D"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08C6393" w14:textId="77777777" w:rsidR="006C686E" w:rsidRDefault="00B17E8C">
            <w:pPr>
              <w:pStyle w:val="P68B1DB1-Normal63"/>
              <w:spacing w:after="0" w:line="276" w:lineRule="auto"/>
              <w:jc w:val="both"/>
              <w:rPr>
                <w:noProof/>
              </w:rPr>
            </w:pPr>
            <w:r>
              <w:rPr>
                <w:noProof/>
              </w:rPr>
              <w:t>Modernisation de la superficie des terres (SM2)</w:t>
            </w:r>
          </w:p>
        </w:tc>
      </w:tr>
      <w:tr w:rsidR="006C686E" w14:paraId="3CD4EAE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EE17DF" w14:textId="77777777" w:rsidR="006C686E" w:rsidRDefault="00B17E8C">
            <w:pPr>
              <w:pStyle w:val="P68B1DB1-Normal63"/>
              <w:spacing w:after="0" w:line="276" w:lineRule="auto"/>
              <w:jc w:val="center"/>
              <w:rPr>
                <w:noProof/>
              </w:rPr>
            </w:pPr>
            <w:r>
              <w:rPr>
                <w:noProof/>
              </w:rPr>
              <w:t>9.4</w:t>
            </w:r>
          </w:p>
        </w:tc>
        <w:tc>
          <w:tcPr>
            <w:tcW w:w="2812" w:type="dxa"/>
            <w:tcBorders>
              <w:top w:val="nil"/>
              <w:left w:val="nil"/>
              <w:bottom w:val="single" w:sz="4" w:space="0" w:color="auto"/>
              <w:right w:val="single" w:sz="4" w:space="0" w:color="auto"/>
            </w:tcBorders>
            <w:shd w:val="clear" w:color="auto" w:fill="C4EFCE"/>
            <w:vAlign w:val="center"/>
          </w:tcPr>
          <w:p w14:paraId="5716B19C" w14:textId="77777777" w:rsidR="006C686E" w:rsidRDefault="00B17E8C">
            <w:pPr>
              <w:pStyle w:val="P68B1DB1-Normal63"/>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1CA88138"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7720921" w14:textId="77777777" w:rsidR="006C686E" w:rsidRDefault="00B17E8C">
            <w:pPr>
              <w:pStyle w:val="P68B1DB1-Normal64"/>
              <w:spacing w:after="0" w:line="276" w:lineRule="auto"/>
              <w:jc w:val="both"/>
              <w:rPr>
                <w:noProof/>
                <w:kern w:val="0"/>
                <w14:ligatures w14:val="none"/>
              </w:rPr>
            </w:pPr>
            <w:r>
              <w:rPr>
                <w:noProof/>
              </w:rPr>
              <w:t xml:space="preserve">Construction d'installations pour le traitement de la réutilisation des eaux usées </w:t>
            </w:r>
            <w:r>
              <w:rPr>
                <w:noProof/>
                <w:kern w:val="0"/>
                <w14:ligatures w14:val="none"/>
              </w:rPr>
              <w:t>(SM4)</w:t>
            </w:r>
          </w:p>
        </w:tc>
      </w:tr>
      <w:tr w:rsidR="006C686E" w14:paraId="50EFFA9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F44E820" w14:textId="77777777" w:rsidR="006C686E" w:rsidRDefault="00B17E8C">
            <w:pPr>
              <w:pStyle w:val="P68B1DB1-Normal63"/>
              <w:spacing w:after="0" w:line="276" w:lineRule="auto"/>
              <w:jc w:val="center"/>
              <w:rPr>
                <w:noProof/>
              </w:rPr>
            </w:pPr>
            <w:r>
              <w:rPr>
                <w:noProof/>
              </w:rPr>
              <w:t>9.15</w:t>
            </w:r>
          </w:p>
        </w:tc>
        <w:tc>
          <w:tcPr>
            <w:tcW w:w="2812" w:type="dxa"/>
            <w:tcBorders>
              <w:top w:val="nil"/>
              <w:left w:val="nil"/>
              <w:bottom w:val="single" w:sz="4" w:space="0" w:color="auto"/>
              <w:right w:val="single" w:sz="4" w:space="0" w:color="auto"/>
            </w:tcBorders>
            <w:shd w:val="clear" w:color="auto" w:fill="C4EFCE"/>
            <w:vAlign w:val="center"/>
          </w:tcPr>
          <w:p w14:paraId="2189FAA7" w14:textId="77777777" w:rsidR="006C686E" w:rsidRDefault="00B17E8C">
            <w:pPr>
              <w:pStyle w:val="P68B1DB1-Normal63"/>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4561A924"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4EA2A710" w14:textId="77777777" w:rsidR="006C686E" w:rsidRDefault="00B17E8C">
            <w:pPr>
              <w:pStyle w:val="P68B1DB1-Normal63"/>
              <w:spacing w:after="0" w:line="276" w:lineRule="auto"/>
              <w:jc w:val="both"/>
              <w:rPr>
                <w:noProof/>
              </w:rPr>
            </w:pPr>
            <w:r>
              <w:rPr>
                <w:noProof/>
              </w:rPr>
              <w:t>Construction d'un raccordement à l'eau</w:t>
            </w:r>
          </w:p>
        </w:tc>
      </w:tr>
      <w:tr w:rsidR="006C686E" w14:paraId="1D6280A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16E1ECC" w14:textId="77777777" w:rsidR="006C686E" w:rsidRDefault="00B17E8C">
            <w:pPr>
              <w:pStyle w:val="P68B1DB1-Normal63"/>
              <w:spacing w:after="0" w:line="276" w:lineRule="auto"/>
              <w:jc w:val="center"/>
              <w:rPr>
                <w:noProof/>
              </w:rPr>
            </w:pPr>
            <w:r>
              <w:rPr>
                <w:noProof/>
              </w:rPr>
              <w:t>9.14</w:t>
            </w:r>
          </w:p>
        </w:tc>
        <w:tc>
          <w:tcPr>
            <w:tcW w:w="2812" w:type="dxa"/>
            <w:tcBorders>
              <w:top w:val="nil"/>
              <w:left w:val="nil"/>
              <w:bottom w:val="single" w:sz="4" w:space="0" w:color="auto"/>
              <w:right w:val="single" w:sz="4" w:space="0" w:color="auto"/>
            </w:tcBorders>
            <w:shd w:val="clear" w:color="auto" w:fill="C4EFCE"/>
            <w:vAlign w:val="center"/>
          </w:tcPr>
          <w:p w14:paraId="18A02FB5" w14:textId="77777777" w:rsidR="006C686E" w:rsidRDefault="00B17E8C">
            <w:pPr>
              <w:pStyle w:val="P68B1DB1-Normal63"/>
              <w:spacing w:after="0" w:line="276" w:lineRule="auto"/>
              <w:jc w:val="center"/>
              <w:rPr>
                <w:noProof/>
              </w:rPr>
            </w:pPr>
            <w:r>
              <w:rPr>
                <w:noProof/>
              </w:rPr>
              <w:t>RE-C09-i05</w:t>
            </w:r>
          </w:p>
        </w:tc>
        <w:tc>
          <w:tcPr>
            <w:tcW w:w="1232" w:type="dxa"/>
            <w:tcBorders>
              <w:top w:val="nil"/>
              <w:left w:val="nil"/>
              <w:bottom w:val="single" w:sz="4" w:space="0" w:color="auto"/>
              <w:right w:val="single" w:sz="4" w:space="0" w:color="auto"/>
            </w:tcBorders>
            <w:shd w:val="clear" w:color="auto" w:fill="C4EFCE"/>
            <w:vAlign w:val="center"/>
          </w:tcPr>
          <w:p w14:paraId="5453040D"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FCF43A3" w14:textId="77777777" w:rsidR="006C686E" w:rsidRDefault="00B17E8C">
            <w:pPr>
              <w:pStyle w:val="P68B1DB1-Normal63"/>
              <w:spacing w:after="0" w:line="276" w:lineRule="auto"/>
              <w:jc w:val="both"/>
              <w:rPr>
                <w:noProof/>
              </w:rPr>
            </w:pPr>
            <w:r>
              <w:rPr>
                <w:noProof/>
              </w:rPr>
              <w:t>Installation d'une capacité d'électricité photovoltaïque sur le lac du barrage d'Alqueva</w:t>
            </w:r>
          </w:p>
        </w:tc>
      </w:tr>
      <w:tr w:rsidR="006C686E" w14:paraId="1CA81CA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EF8374" w14:textId="77777777" w:rsidR="006C686E" w:rsidRDefault="00B17E8C">
            <w:pPr>
              <w:pStyle w:val="P68B1DB1-Normal63"/>
              <w:spacing w:after="0" w:line="276" w:lineRule="auto"/>
              <w:jc w:val="center"/>
              <w:rPr>
                <w:noProof/>
              </w:rPr>
            </w:pPr>
            <w:r>
              <w:rPr>
                <w:noProof/>
              </w:rPr>
              <w:t>10.3</w:t>
            </w:r>
          </w:p>
        </w:tc>
        <w:tc>
          <w:tcPr>
            <w:tcW w:w="2812" w:type="dxa"/>
            <w:tcBorders>
              <w:top w:val="nil"/>
              <w:left w:val="nil"/>
              <w:bottom w:val="single" w:sz="4" w:space="0" w:color="auto"/>
              <w:right w:val="single" w:sz="4" w:space="0" w:color="auto"/>
            </w:tcBorders>
            <w:shd w:val="clear" w:color="auto" w:fill="C4EFCE"/>
            <w:vAlign w:val="center"/>
          </w:tcPr>
          <w:p w14:paraId="0D92D6BB" w14:textId="77777777" w:rsidR="006C686E" w:rsidRDefault="00B17E8C">
            <w:pPr>
              <w:pStyle w:val="P68B1DB1-Normal63"/>
              <w:spacing w:after="0" w:line="276" w:lineRule="auto"/>
              <w:jc w:val="center"/>
              <w:rPr>
                <w:noProof/>
              </w:rPr>
            </w:pPr>
            <w:r>
              <w:rPr>
                <w:noProof/>
              </w:rPr>
              <w:t>TC-C10-i01</w:t>
            </w:r>
          </w:p>
        </w:tc>
        <w:tc>
          <w:tcPr>
            <w:tcW w:w="1232" w:type="dxa"/>
            <w:tcBorders>
              <w:top w:val="nil"/>
              <w:left w:val="nil"/>
              <w:bottom w:val="single" w:sz="4" w:space="0" w:color="auto"/>
              <w:right w:val="single" w:sz="4" w:space="0" w:color="auto"/>
            </w:tcBorders>
            <w:shd w:val="clear" w:color="auto" w:fill="C4EFCE"/>
            <w:vAlign w:val="center"/>
          </w:tcPr>
          <w:p w14:paraId="55447263"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3DE5317B" w14:textId="77777777" w:rsidR="006C686E" w:rsidRDefault="00B17E8C">
            <w:pPr>
              <w:pStyle w:val="P68B1DB1-Normal63"/>
              <w:spacing w:after="0" w:line="276" w:lineRule="auto"/>
              <w:jc w:val="both"/>
              <w:rPr>
                <w:noProof/>
                <w:color w:val="000000" w:themeColor="text1"/>
              </w:rPr>
            </w:pPr>
            <w:r>
              <w:rPr>
                <w:noProof/>
              </w:rPr>
              <w:t>Pôles Blue Hub et école Blue Hub</w:t>
            </w:r>
          </w:p>
        </w:tc>
      </w:tr>
      <w:tr w:rsidR="006C686E" w14:paraId="4AF72DF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7467E28" w14:textId="359A003E" w:rsidR="006C686E" w:rsidRDefault="00B17E8C">
            <w:pPr>
              <w:pStyle w:val="P68B1DB1-Normal63"/>
              <w:spacing w:after="0" w:line="276" w:lineRule="auto"/>
              <w:jc w:val="center"/>
              <w:rPr>
                <w:noProof/>
              </w:rPr>
            </w:pPr>
            <w:r>
              <w:rPr>
                <w:noProof/>
              </w:rPr>
              <w:t>10.4</w:t>
            </w:r>
          </w:p>
        </w:tc>
        <w:tc>
          <w:tcPr>
            <w:tcW w:w="2812" w:type="dxa"/>
            <w:tcBorders>
              <w:top w:val="nil"/>
              <w:left w:val="nil"/>
              <w:bottom w:val="single" w:sz="4" w:space="0" w:color="auto"/>
              <w:right w:val="single" w:sz="4" w:space="0" w:color="auto"/>
            </w:tcBorders>
            <w:shd w:val="clear" w:color="auto" w:fill="C4EFCE"/>
            <w:vAlign w:val="center"/>
          </w:tcPr>
          <w:p w14:paraId="76629AB3" w14:textId="70081C45" w:rsidR="006C686E" w:rsidRDefault="00B17E8C">
            <w:pPr>
              <w:pStyle w:val="P68B1DB1-Normal63"/>
              <w:spacing w:after="0" w:line="276" w:lineRule="auto"/>
              <w:jc w:val="center"/>
              <w:rPr>
                <w:noProof/>
              </w:rPr>
            </w:pPr>
            <w:r>
              <w:rPr>
                <w:noProof/>
              </w:rPr>
              <w:t>TC-C10-i02</w:t>
            </w:r>
          </w:p>
        </w:tc>
        <w:tc>
          <w:tcPr>
            <w:tcW w:w="1232" w:type="dxa"/>
            <w:tcBorders>
              <w:top w:val="nil"/>
              <w:left w:val="nil"/>
              <w:bottom w:val="single" w:sz="4" w:space="0" w:color="auto"/>
              <w:right w:val="single" w:sz="4" w:space="0" w:color="auto"/>
            </w:tcBorders>
            <w:shd w:val="clear" w:color="auto" w:fill="C4EFCE"/>
            <w:vAlign w:val="center"/>
          </w:tcPr>
          <w:p w14:paraId="3FD5B186" w14:textId="0231636E"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4083C1F" w14:textId="3BC016DA" w:rsidR="006C686E" w:rsidRDefault="00B17E8C">
            <w:pPr>
              <w:pStyle w:val="P68B1DB1-Normal63"/>
              <w:spacing w:after="0" w:line="276" w:lineRule="auto"/>
              <w:jc w:val="both"/>
              <w:rPr>
                <w:noProof/>
              </w:rPr>
            </w:pPr>
            <w:r>
              <w:rPr>
                <w:noProof/>
              </w:rPr>
              <w:t xml:space="preserve">Approbation des rapports finaux </w:t>
            </w:r>
          </w:p>
        </w:tc>
      </w:tr>
      <w:tr w:rsidR="006C686E" w14:paraId="5364D90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699150A" w14:textId="77777777" w:rsidR="006C686E" w:rsidRDefault="00B17E8C">
            <w:pPr>
              <w:pStyle w:val="P68B1DB1-Normal64"/>
              <w:spacing w:after="0" w:line="276" w:lineRule="auto"/>
              <w:jc w:val="center"/>
              <w:rPr>
                <w:noProof/>
              </w:rPr>
            </w:pPr>
            <w:r>
              <w:rPr>
                <w:noProof/>
              </w:rPr>
              <w:t>10.7</w:t>
            </w:r>
          </w:p>
        </w:tc>
        <w:tc>
          <w:tcPr>
            <w:tcW w:w="2812" w:type="dxa"/>
            <w:tcBorders>
              <w:top w:val="nil"/>
              <w:left w:val="nil"/>
              <w:bottom w:val="single" w:sz="4" w:space="0" w:color="auto"/>
              <w:right w:val="single" w:sz="4" w:space="0" w:color="auto"/>
            </w:tcBorders>
            <w:shd w:val="clear" w:color="auto" w:fill="C4EFCE"/>
            <w:vAlign w:val="center"/>
          </w:tcPr>
          <w:p w14:paraId="4122EA69" w14:textId="77777777" w:rsidR="006C686E" w:rsidRDefault="00B17E8C">
            <w:pPr>
              <w:pStyle w:val="P68B1DB1-Normal64"/>
              <w:spacing w:after="0" w:line="276" w:lineRule="auto"/>
              <w:jc w:val="center"/>
              <w:rPr>
                <w:noProof/>
              </w:rPr>
            </w:pPr>
            <w:r>
              <w:rPr>
                <w:noProof/>
              </w:rPr>
              <w:t>TC-C10-i03</w:t>
            </w:r>
          </w:p>
        </w:tc>
        <w:tc>
          <w:tcPr>
            <w:tcW w:w="1232" w:type="dxa"/>
            <w:tcBorders>
              <w:top w:val="nil"/>
              <w:left w:val="nil"/>
              <w:bottom w:val="single" w:sz="4" w:space="0" w:color="auto"/>
              <w:right w:val="single" w:sz="4" w:space="0" w:color="auto"/>
            </w:tcBorders>
            <w:shd w:val="clear" w:color="auto" w:fill="C4EFCE"/>
            <w:vAlign w:val="center"/>
          </w:tcPr>
          <w:p w14:paraId="589E2807" w14:textId="77777777" w:rsidR="006C686E" w:rsidRDefault="00B17E8C">
            <w:pPr>
              <w:pStyle w:val="P68B1DB1-Normal64"/>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6DF960DE" w14:textId="77777777" w:rsidR="006C686E" w:rsidRDefault="00B17E8C">
            <w:pPr>
              <w:pStyle w:val="P68B1DB1-Normal64"/>
              <w:spacing w:after="0" w:line="276" w:lineRule="auto"/>
              <w:jc w:val="both"/>
              <w:rPr>
                <w:noProof/>
              </w:rPr>
            </w:pPr>
            <w:r>
              <w:rPr>
                <w:noProof/>
              </w:rPr>
              <w:t>Construction de la «plateforme navale multifonctionnelle» et du «centre des opérations»</w:t>
            </w:r>
          </w:p>
        </w:tc>
      </w:tr>
      <w:tr w:rsidR="006C686E" w14:paraId="59CD1E5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85F9B10" w14:textId="77777777" w:rsidR="006C686E" w:rsidRDefault="00B17E8C">
            <w:pPr>
              <w:pStyle w:val="P68B1DB1-Normal63"/>
              <w:spacing w:after="0" w:line="276" w:lineRule="auto"/>
              <w:jc w:val="center"/>
              <w:rPr>
                <w:noProof/>
              </w:rPr>
            </w:pPr>
            <w:r>
              <w:rPr>
                <w:noProof/>
              </w:rPr>
              <w:t>10.9</w:t>
            </w:r>
          </w:p>
        </w:tc>
        <w:tc>
          <w:tcPr>
            <w:tcW w:w="2812" w:type="dxa"/>
            <w:tcBorders>
              <w:top w:val="nil"/>
              <w:left w:val="nil"/>
              <w:bottom w:val="single" w:sz="4" w:space="0" w:color="auto"/>
              <w:right w:val="single" w:sz="4" w:space="0" w:color="auto"/>
            </w:tcBorders>
            <w:shd w:val="clear" w:color="auto" w:fill="C4EFCE"/>
            <w:vAlign w:val="center"/>
          </w:tcPr>
          <w:p w14:paraId="06CCACB4" w14:textId="77777777" w:rsidR="006C686E" w:rsidRDefault="00B17E8C">
            <w:pPr>
              <w:pStyle w:val="P68B1DB1-Normal63"/>
              <w:spacing w:after="0" w:line="276" w:lineRule="auto"/>
              <w:jc w:val="center"/>
              <w:rPr>
                <w:noProof/>
              </w:rPr>
            </w:pPr>
            <w:r>
              <w:rPr>
                <w:noProof/>
              </w:rPr>
              <w:t>TC-C10-i04-RAA</w:t>
            </w:r>
          </w:p>
        </w:tc>
        <w:tc>
          <w:tcPr>
            <w:tcW w:w="1232" w:type="dxa"/>
            <w:tcBorders>
              <w:top w:val="nil"/>
              <w:left w:val="nil"/>
              <w:bottom w:val="single" w:sz="4" w:space="0" w:color="auto"/>
              <w:right w:val="single" w:sz="4" w:space="0" w:color="auto"/>
            </w:tcBorders>
            <w:shd w:val="clear" w:color="auto" w:fill="C4EFCE"/>
            <w:vAlign w:val="center"/>
          </w:tcPr>
          <w:p w14:paraId="750A1A7A" w14:textId="77777777" w:rsidR="006C686E" w:rsidRDefault="00B17E8C">
            <w:pPr>
              <w:pStyle w:val="P68B1DB1-Normal63"/>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1FA6B727" w14:textId="77777777" w:rsidR="006C686E" w:rsidRDefault="00B17E8C">
            <w:pPr>
              <w:pStyle w:val="P68B1DB1-Normal63"/>
              <w:spacing w:after="0" w:line="276" w:lineRule="auto"/>
              <w:jc w:val="both"/>
              <w:rPr>
                <w:noProof/>
              </w:rPr>
            </w:pPr>
            <w:r>
              <w:rPr>
                <w:noProof/>
              </w:rPr>
              <w:t xml:space="preserve">Livraison d'un navire de recherche </w:t>
            </w:r>
          </w:p>
        </w:tc>
      </w:tr>
      <w:tr w:rsidR="006C686E" w14:paraId="586CF530"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1110BF" w14:textId="77777777" w:rsidR="006C686E" w:rsidRDefault="00B17E8C">
            <w:pPr>
              <w:pStyle w:val="P68B1DB1-Normal63"/>
              <w:spacing w:after="0" w:line="276" w:lineRule="auto"/>
              <w:jc w:val="center"/>
              <w:rPr>
                <w:noProof/>
              </w:rPr>
            </w:pPr>
            <w:r>
              <w:rPr>
                <w:noProof/>
              </w:rPr>
              <w:t>10.10</w:t>
            </w:r>
          </w:p>
        </w:tc>
        <w:tc>
          <w:tcPr>
            <w:tcW w:w="2812" w:type="dxa"/>
            <w:tcBorders>
              <w:top w:val="nil"/>
              <w:left w:val="nil"/>
              <w:bottom w:val="single" w:sz="4" w:space="0" w:color="auto"/>
              <w:right w:val="single" w:sz="4" w:space="0" w:color="auto"/>
            </w:tcBorders>
            <w:shd w:val="clear" w:color="auto" w:fill="C4EFCE"/>
            <w:vAlign w:val="center"/>
          </w:tcPr>
          <w:p w14:paraId="02BC4AE1" w14:textId="77777777" w:rsidR="006C686E" w:rsidRDefault="00B17E8C">
            <w:pPr>
              <w:pStyle w:val="P68B1DB1-Normal63"/>
              <w:spacing w:after="0" w:line="276" w:lineRule="auto"/>
              <w:jc w:val="center"/>
              <w:rPr>
                <w:noProof/>
              </w:rPr>
            </w:pPr>
            <w:r>
              <w:rPr>
                <w:noProof/>
              </w:rPr>
              <w:t>TC-C10-i04-RAA</w:t>
            </w:r>
          </w:p>
        </w:tc>
        <w:tc>
          <w:tcPr>
            <w:tcW w:w="1232" w:type="dxa"/>
            <w:tcBorders>
              <w:top w:val="nil"/>
              <w:left w:val="nil"/>
              <w:bottom w:val="single" w:sz="4" w:space="0" w:color="auto"/>
              <w:right w:val="single" w:sz="4" w:space="0" w:color="auto"/>
            </w:tcBorders>
            <w:shd w:val="clear" w:color="auto" w:fill="C4EFCE"/>
            <w:vAlign w:val="center"/>
          </w:tcPr>
          <w:p w14:paraId="0C9144E7" w14:textId="77777777" w:rsidR="006C686E" w:rsidRDefault="00B17E8C">
            <w:pPr>
              <w:pStyle w:val="P68B1DB1-Normal63"/>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3C0CF703" w14:textId="305EF59D" w:rsidR="006C686E" w:rsidRDefault="00B17E8C">
            <w:pPr>
              <w:pStyle w:val="P68B1DB1-Normal63"/>
              <w:spacing w:after="0" w:line="276" w:lineRule="auto"/>
              <w:jc w:val="both"/>
              <w:rPr>
                <w:noProof/>
              </w:rPr>
            </w:pPr>
            <w:r>
              <w:rPr>
                <w:noProof/>
              </w:rPr>
              <w:t>Construction d'un centre de recherche et développement (MARTEC)</w:t>
            </w:r>
          </w:p>
        </w:tc>
      </w:tr>
      <w:tr w:rsidR="006C686E" w14:paraId="1E7CA49B"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7070B73" w14:textId="77777777" w:rsidR="006C686E" w:rsidRDefault="00B17E8C">
            <w:pPr>
              <w:pStyle w:val="P68B1DB1-Normal63"/>
              <w:spacing w:after="0" w:line="276" w:lineRule="auto"/>
              <w:jc w:val="center"/>
              <w:rPr>
                <w:noProof/>
              </w:rPr>
            </w:pPr>
            <w:r>
              <w:rPr>
                <w:noProof/>
              </w:rPr>
              <w:t>10.12</w:t>
            </w:r>
          </w:p>
        </w:tc>
        <w:tc>
          <w:tcPr>
            <w:tcW w:w="2812" w:type="dxa"/>
            <w:tcBorders>
              <w:top w:val="nil"/>
              <w:left w:val="nil"/>
              <w:bottom w:val="single" w:sz="4" w:space="0" w:color="auto"/>
              <w:right w:val="single" w:sz="4" w:space="0" w:color="auto"/>
            </w:tcBorders>
            <w:shd w:val="clear" w:color="auto" w:fill="C4EFCE"/>
            <w:vAlign w:val="center"/>
          </w:tcPr>
          <w:p w14:paraId="144F32E4" w14:textId="77777777" w:rsidR="006C686E" w:rsidRDefault="00B17E8C">
            <w:pPr>
              <w:pStyle w:val="P68B1DB1-Normal63"/>
              <w:spacing w:after="0" w:line="276" w:lineRule="auto"/>
              <w:jc w:val="center"/>
              <w:rPr>
                <w:noProof/>
              </w:rPr>
            </w:pPr>
            <w:r>
              <w:rPr>
                <w:noProof/>
              </w:rPr>
              <w:t>TC-C10-i05-RAA</w:t>
            </w:r>
          </w:p>
        </w:tc>
        <w:tc>
          <w:tcPr>
            <w:tcW w:w="1232" w:type="dxa"/>
            <w:tcBorders>
              <w:top w:val="nil"/>
              <w:left w:val="nil"/>
              <w:bottom w:val="single" w:sz="4" w:space="0" w:color="auto"/>
              <w:right w:val="single" w:sz="4" w:space="0" w:color="auto"/>
            </w:tcBorders>
            <w:shd w:val="clear" w:color="auto" w:fill="C4EFCE"/>
            <w:vAlign w:val="center"/>
          </w:tcPr>
          <w:p w14:paraId="3D600ED3"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9257EC2" w14:textId="46014ACC" w:rsidR="006C686E" w:rsidRDefault="00B17E8C">
            <w:pPr>
              <w:pStyle w:val="P68B1DB1-Normal63"/>
              <w:spacing w:after="0" w:line="276" w:lineRule="auto"/>
              <w:jc w:val="both"/>
              <w:rPr>
                <w:noProof/>
              </w:rPr>
            </w:pPr>
            <w:r>
              <w:rPr>
                <w:noProof/>
              </w:rPr>
              <w:t xml:space="preserve">Achat d'équipements pour soutenir l'activité de pêche </w:t>
            </w:r>
          </w:p>
        </w:tc>
      </w:tr>
      <w:tr w:rsidR="006C686E" w14:paraId="2CB4B21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EC396C4" w14:textId="77777777" w:rsidR="006C686E" w:rsidRDefault="00B17E8C">
            <w:pPr>
              <w:pStyle w:val="P68B1DB1-Normal63"/>
              <w:spacing w:after="0" w:line="276" w:lineRule="auto"/>
              <w:jc w:val="center"/>
              <w:rPr>
                <w:noProof/>
              </w:rPr>
            </w:pPr>
            <w:r>
              <w:rPr>
                <w:noProof/>
              </w:rPr>
              <w:t>10.14</w:t>
            </w:r>
          </w:p>
        </w:tc>
        <w:tc>
          <w:tcPr>
            <w:tcW w:w="2812" w:type="dxa"/>
            <w:tcBorders>
              <w:top w:val="nil"/>
              <w:left w:val="nil"/>
              <w:bottom w:val="single" w:sz="4" w:space="0" w:color="auto"/>
              <w:right w:val="single" w:sz="4" w:space="0" w:color="auto"/>
            </w:tcBorders>
            <w:shd w:val="clear" w:color="auto" w:fill="C4EFCE"/>
            <w:vAlign w:val="center"/>
          </w:tcPr>
          <w:p w14:paraId="207BA97B" w14:textId="77777777" w:rsidR="006C686E" w:rsidRDefault="00B17E8C">
            <w:pPr>
              <w:pStyle w:val="P68B1DB1-Normal63"/>
              <w:spacing w:after="0" w:line="276" w:lineRule="auto"/>
              <w:jc w:val="center"/>
              <w:rPr>
                <w:noProof/>
              </w:rPr>
            </w:pPr>
            <w:r>
              <w:rPr>
                <w:noProof/>
              </w:rPr>
              <w:t>TC-C10-i06-RAM</w:t>
            </w:r>
          </w:p>
        </w:tc>
        <w:tc>
          <w:tcPr>
            <w:tcW w:w="1232" w:type="dxa"/>
            <w:tcBorders>
              <w:top w:val="nil"/>
              <w:left w:val="nil"/>
              <w:bottom w:val="single" w:sz="4" w:space="0" w:color="auto"/>
              <w:right w:val="single" w:sz="4" w:space="0" w:color="auto"/>
            </w:tcBorders>
            <w:shd w:val="clear" w:color="auto" w:fill="C4EFCE"/>
            <w:vAlign w:val="center"/>
          </w:tcPr>
          <w:p w14:paraId="4321AA13"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D86854C" w14:textId="03DD9966" w:rsidR="006C686E" w:rsidRDefault="00B17E8C">
            <w:pPr>
              <w:pStyle w:val="P68B1DB1-Normal63"/>
              <w:keepNext/>
              <w:spacing w:before="40" w:after="0" w:line="276" w:lineRule="auto"/>
              <w:jc w:val="both"/>
              <w:rPr>
                <w:noProof/>
                <w:color w:val="000000" w:themeColor="text1"/>
              </w:rPr>
            </w:pPr>
            <w:r>
              <w:rPr>
                <w:noProof/>
              </w:rPr>
              <w:t>Construction d'un navire de recherche et livraison de véhicules</w:t>
            </w:r>
          </w:p>
        </w:tc>
      </w:tr>
      <w:tr w:rsidR="006C686E" w14:paraId="030F884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21E5F7" w14:textId="77777777" w:rsidR="006C686E" w:rsidRDefault="00B17E8C">
            <w:pPr>
              <w:pStyle w:val="P68B1DB1-Normal63"/>
              <w:spacing w:after="0" w:line="276" w:lineRule="auto"/>
              <w:jc w:val="center"/>
              <w:rPr>
                <w:noProof/>
              </w:rPr>
            </w:pPr>
            <w:r>
              <w:rPr>
                <w:noProof/>
              </w:rPr>
              <w:t>13.3</w:t>
            </w:r>
          </w:p>
        </w:tc>
        <w:tc>
          <w:tcPr>
            <w:tcW w:w="2812" w:type="dxa"/>
            <w:tcBorders>
              <w:top w:val="nil"/>
              <w:left w:val="nil"/>
              <w:bottom w:val="single" w:sz="4" w:space="0" w:color="auto"/>
              <w:right w:val="single" w:sz="4" w:space="0" w:color="auto"/>
            </w:tcBorders>
            <w:shd w:val="clear" w:color="auto" w:fill="C4EFCE"/>
            <w:vAlign w:val="center"/>
          </w:tcPr>
          <w:p w14:paraId="4E800FFE" w14:textId="77777777" w:rsidR="006C686E" w:rsidRDefault="00B17E8C">
            <w:pPr>
              <w:pStyle w:val="P68B1DB1-Normal63"/>
              <w:spacing w:after="0" w:line="276" w:lineRule="auto"/>
              <w:jc w:val="center"/>
              <w:rPr>
                <w:noProof/>
              </w:rPr>
            </w:pPr>
            <w:r>
              <w:rPr>
                <w:noProof/>
              </w:rPr>
              <w:t>TC-C13-i01</w:t>
            </w:r>
          </w:p>
        </w:tc>
        <w:tc>
          <w:tcPr>
            <w:tcW w:w="1232" w:type="dxa"/>
            <w:tcBorders>
              <w:top w:val="nil"/>
              <w:left w:val="nil"/>
              <w:bottom w:val="single" w:sz="4" w:space="0" w:color="auto"/>
              <w:right w:val="single" w:sz="4" w:space="0" w:color="auto"/>
            </w:tcBorders>
            <w:shd w:val="clear" w:color="auto" w:fill="C4EFCE"/>
            <w:vAlign w:val="center"/>
          </w:tcPr>
          <w:p w14:paraId="21F26642"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B49A36D" w14:textId="77777777" w:rsidR="006C686E" w:rsidRDefault="00B17E8C">
            <w:pPr>
              <w:pStyle w:val="P68B1DB1-Normal63"/>
              <w:spacing w:after="0" w:line="276" w:lineRule="auto"/>
              <w:jc w:val="both"/>
              <w:rPr>
                <w:noProof/>
              </w:rPr>
            </w:pPr>
            <w:r>
              <w:rPr>
                <w:noProof/>
              </w:rPr>
              <w:t>« Bons d’efficacité » payés</w:t>
            </w:r>
          </w:p>
        </w:tc>
      </w:tr>
      <w:tr w:rsidR="006C686E" w14:paraId="78E47130"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E513D4E" w14:textId="6FD8B7F9" w:rsidR="006C686E" w:rsidRDefault="00B17E8C">
            <w:pPr>
              <w:pStyle w:val="P68B1DB1-Normal63"/>
              <w:spacing w:after="0" w:line="276" w:lineRule="auto"/>
              <w:jc w:val="center"/>
              <w:rPr>
                <w:noProof/>
              </w:rPr>
            </w:pPr>
            <w:r>
              <w:rPr>
                <w:noProof/>
              </w:rPr>
              <w:t>13.5</w:t>
            </w:r>
          </w:p>
        </w:tc>
        <w:tc>
          <w:tcPr>
            <w:tcW w:w="2812" w:type="dxa"/>
            <w:tcBorders>
              <w:top w:val="nil"/>
              <w:left w:val="nil"/>
              <w:bottom w:val="single" w:sz="4" w:space="0" w:color="auto"/>
              <w:right w:val="single" w:sz="4" w:space="0" w:color="auto"/>
            </w:tcBorders>
            <w:shd w:val="clear" w:color="auto" w:fill="C4EFCE"/>
            <w:vAlign w:val="center"/>
          </w:tcPr>
          <w:p w14:paraId="3DA9C532" w14:textId="3C30C2F7" w:rsidR="006C686E" w:rsidRDefault="00B17E8C">
            <w:pPr>
              <w:pStyle w:val="P68B1DB1-Normal63"/>
              <w:spacing w:after="0" w:line="276" w:lineRule="auto"/>
              <w:jc w:val="center"/>
              <w:rPr>
                <w:noProof/>
              </w:rPr>
            </w:pPr>
            <w:r>
              <w:rPr>
                <w:noProof/>
              </w:rPr>
              <w:t>TC-C13-i02</w:t>
            </w:r>
          </w:p>
        </w:tc>
        <w:tc>
          <w:tcPr>
            <w:tcW w:w="1232" w:type="dxa"/>
            <w:tcBorders>
              <w:top w:val="nil"/>
              <w:left w:val="nil"/>
              <w:bottom w:val="single" w:sz="4" w:space="0" w:color="auto"/>
              <w:right w:val="single" w:sz="4" w:space="0" w:color="auto"/>
            </w:tcBorders>
            <w:shd w:val="clear" w:color="auto" w:fill="C4EFCE"/>
            <w:vAlign w:val="center"/>
          </w:tcPr>
          <w:p w14:paraId="34FEE7F5" w14:textId="1317B6D3"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2155ED9" w14:textId="2DAB4C87" w:rsidR="006C686E" w:rsidRDefault="00B17E8C">
            <w:pPr>
              <w:pStyle w:val="P68B1DB1-Normal64"/>
              <w:spacing w:after="0" w:line="276" w:lineRule="auto"/>
              <w:jc w:val="both"/>
              <w:rPr>
                <w:noProof/>
                <w:color w:val="000000"/>
                <w:kern w:val="0"/>
                <w14:ligatures w14:val="none"/>
              </w:rPr>
            </w:pPr>
            <w:r>
              <w:rPr>
                <w:noProof/>
              </w:rPr>
              <w:t xml:space="preserve">Rénovation de l'efficacité énergétique des bâtiments gouvernementaux ou des bâtiments publics </w:t>
            </w:r>
          </w:p>
        </w:tc>
      </w:tr>
      <w:tr w:rsidR="006C686E" w14:paraId="1DD3DEC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5ECEDFC" w14:textId="74ABB281" w:rsidR="006C686E" w:rsidRDefault="00B17E8C">
            <w:pPr>
              <w:pStyle w:val="P68B1DB1-Normal63"/>
              <w:spacing w:after="0" w:line="276" w:lineRule="auto"/>
              <w:jc w:val="center"/>
              <w:rPr>
                <w:noProof/>
              </w:rPr>
            </w:pPr>
            <w:r>
              <w:rPr>
                <w:noProof/>
              </w:rPr>
              <w:t>13.8</w:t>
            </w:r>
          </w:p>
        </w:tc>
        <w:tc>
          <w:tcPr>
            <w:tcW w:w="2812" w:type="dxa"/>
            <w:tcBorders>
              <w:top w:val="nil"/>
              <w:left w:val="nil"/>
              <w:bottom w:val="single" w:sz="4" w:space="0" w:color="auto"/>
              <w:right w:val="single" w:sz="4" w:space="0" w:color="auto"/>
            </w:tcBorders>
            <w:shd w:val="clear" w:color="auto" w:fill="C4EFCE"/>
            <w:vAlign w:val="center"/>
          </w:tcPr>
          <w:p w14:paraId="6D728143" w14:textId="79EBE882" w:rsidR="006C686E" w:rsidRDefault="00B17E8C">
            <w:pPr>
              <w:pStyle w:val="P68B1DB1-Normal60"/>
              <w:spacing w:after="0" w:line="276" w:lineRule="auto"/>
              <w:jc w:val="center"/>
              <w:rPr>
                <w:noProof/>
                <w:color w:val="000000"/>
              </w:rPr>
            </w:pPr>
            <w:r>
              <w:rPr>
                <w:noProof/>
              </w:rPr>
              <w:t>TC-C13-i03</w:t>
            </w:r>
          </w:p>
        </w:tc>
        <w:tc>
          <w:tcPr>
            <w:tcW w:w="1232" w:type="dxa"/>
            <w:tcBorders>
              <w:top w:val="nil"/>
              <w:left w:val="nil"/>
              <w:bottom w:val="single" w:sz="4" w:space="0" w:color="auto"/>
              <w:right w:val="single" w:sz="4" w:space="0" w:color="auto"/>
            </w:tcBorders>
            <w:shd w:val="clear" w:color="auto" w:fill="C4EFCE"/>
            <w:vAlign w:val="center"/>
          </w:tcPr>
          <w:p w14:paraId="5CD5D852"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2D8AF90" w14:textId="6A43C7EC" w:rsidR="006C686E" w:rsidRDefault="00B17E8C">
            <w:pPr>
              <w:pStyle w:val="P68B1DB1-Normal63"/>
              <w:spacing w:after="0" w:line="276" w:lineRule="auto"/>
              <w:jc w:val="both"/>
              <w:rPr>
                <w:noProof/>
              </w:rPr>
            </w:pPr>
            <w:r>
              <w:rPr>
                <w:noProof/>
              </w:rPr>
              <w:t>Rénovation de l'efficacité énergétique des bâtiments de services</w:t>
            </w:r>
          </w:p>
        </w:tc>
      </w:tr>
      <w:tr w:rsidR="006C686E" w14:paraId="0BA1B40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415A233" w14:textId="77777777" w:rsidR="006C686E" w:rsidRDefault="00B17E8C">
            <w:pPr>
              <w:pStyle w:val="P68B1DB1-Normal63"/>
              <w:spacing w:after="0" w:line="276" w:lineRule="auto"/>
              <w:jc w:val="center"/>
              <w:rPr>
                <w:noProof/>
              </w:rPr>
            </w:pPr>
            <w:r>
              <w:rPr>
                <w:noProof/>
              </w:rPr>
              <w:t>14.9</w:t>
            </w:r>
          </w:p>
        </w:tc>
        <w:tc>
          <w:tcPr>
            <w:tcW w:w="2812" w:type="dxa"/>
            <w:tcBorders>
              <w:top w:val="nil"/>
              <w:left w:val="nil"/>
              <w:bottom w:val="single" w:sz="4" w:space="0" w:color="auto"/>
              <w:right w:val="single" w:sz="4" w:space="0" w:color="auto"/>
            </w:tcBorders>
            <w:shd w:val="clear" w:color="auto" w:fill="C4EFCE"/>
            <w:vAlign w:val="center"/>
          </w:tcPr>
          <w:p w14:paraId="2CFC63AF" w14:textId="77777777" w:rsidR="006C686E" w:rsidRDefault="00B17E8C">
            <w:pPr>
              <w:pStyle w:val="P68B1DB1-Normal63"/>
              <w:spacing w:after="0" w:line="276" w:lineRule="auto"/>
              <w:jc w:val="center"/>
              <w:rPr>
                <w:noProof/>
              </w:rPr>
            </w:pPr>
            <w:r>
              <w:rPr>
                <w:noProof/>
              </w:rPr>
              <w:t>TC-C14-i02-RAM</w:t>
            </w:r>
          </w:p>
        </w:tc>
        <w:tc>
          <w:tcPr>
            <w:tcW w:w="1232" w:type="dxa"/>
            <w:tcBorders>
              <w:top w:val="nil"/>
              <w:left w:val="nil"/>
              <w:bottom w:val="single" w:sz="4" w:space="0" w:color="auto"/>
              <w:right w:val="single" w:sz="4" w:space="0" w:color="auto"/>
            </w:tcBorders>
            <w:shd w:val="clear" w:color="auto" w:fill="C4EFCE"/>
            <w:vAlign w:val="center"/>
          </w:tcPr>
          <w:p w14:paraId="6988EC4A"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44DDCA2B" w14:textId="77777777" w:rsidR="006C686E" w:rsidRDefault="00B17E8C">
            <w:pPr>
              <w:pStyle w:val="P68B1DB1-Normal63"/>
              <w:spacing w:after="0" w:line="276" w:lineRule="auto"/>
              <w:jc w:val="both"/>
              <w:rPr>
                <w:noProof/>
              </w:rPr>
            </w:pPr>
            <w:r>
              <w:rPr>
                <w:noProof/>
              </w:rPr>
              <w:t xml:space="preserve">Installation de compteurs intelligents </w:t>
            </w:r>
          </w:p>
        </w:tc>
      </w:tr>
      <w:tr w:rsidR="006C686E" w14:paraId="1CC7330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5854E28" w14:textId="77777777" w:rsidR="006C686E" w:rsidRDefault="00B17E8C">
            <w:pPr>
              <w:pStyle w:val="P68B1DB1-Normal63"/>
              <w:spacing w:after="0" w:line="276" w:lineRule="auto"/>
              <w:jc w:val="center"/>
              <w:rPr>
                <w:noProof/>
              </w:rPr>
            </w:pPr>
            <w:r>
              <w:rPr>
                <w:noProof/>
              </w:rPr>
              <w:t>14.15</w:t>
            </w:r>
          </w:p>
        </w:tc>
        <w:tc>
          <w:tcPr>
            <w:tcW w:w="2812" w:type="dxa"/>
            <w:tcBorders>
              <w:top w:val="nil"/>
              <w:left w:val="nil"/>
              <w:bottom w:val="single" w:sz="4" w:space="0" w:color="auto"/>
              <w:right w:val="single" w:sz="4" w:space="0" w:color="auto"/>
            </w:tcBorders>
            <w:shd w:val="clear" w:color="auto" w:fill="C4EFCE"/>
            <w:vAlign w:val="center"/>
          </w:tcPr>
          <w:p w14:paraId="761442E6" w14:textId="77777777" w:rsidR="006C686E" w:rsidRDefault="00B17E8C">
            <w:pPr>
              <w:pStyle w:val="P68B1DB1-Normal63"/>
              <w:spacing w:after="0" w:line="276" w:lineRule="auto"/>
              <w:jc w:val="center"/>
              <w:rPr>
                <w:noProof/>
              </w:rPr>
            </w:pPr>
            <w:r>
              <w:rPr>
                <w:noProof/>
              </w:rPr>
              <w:t>TC-C14-i02-RAM</w:t>
            </w:r>
          </w:p>
        </w:tc>
        <w:tc>
          <w:tcPr>
            <w:tcW w:w="1232" w:type="dxa"/>
            <w:tcBorders>
              <w:top w:val="nil"/>
              <w:left w:val="nil"/>
              <w:bottom w:val="single" w:sz="4" w:space="0" w:color="auto"/>
              <w:right w:val="single" w:sz="4" w:space="0" w:color="auto"/>
            </w:tcBorders>
            <w:shd w:val="clear" w:color="auto" w:fill="C4EFCE"/>
            <w:vAlign w:val="center"/>
          </w:tcPr>
          <w:p w14:paraId="025760C1"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6D276E81" w14:textId="77777777" w:rsidR="006C686E" w:rsidRDefault="00B17E8C">
            <w:pPr>
              <w:pStyle w:val="P68B1DB1-Normal63"/>
              <w:spacing w:after="0" w:line="276" w:lineRule="auto"/>
              <w:jc w:val="both"/>
              <w:rPr>
                <w:noProof/>
              </w:rPr>
            </w:pPr>
            <w:r>
              <w:rPr>
                <w:noProof/>
              </w:rPr>
              <w:t>Rénovation de la centrale hydroélectrique de Socorridos</w:t>
            </w:r>
          </w:p>
        </w:tc>
      </w:tr>
      <w:tr w:rsidR="006C686E" w14:paraId="64D4286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0FCFD71" w14:textId="254202FA" w:rsidR="006C686E" w:rsidRDefault="00B17E8C">
            <w:pPr>
              <w:pStyle w:val="P68B1DB1-Normal63"/>
              <w:spacing w:after="0" w:line="276" w:lineRule="auto"/>
              <w:jc w:val="center"/>
              <w:rPr>
                <w:noProof/>
              </w:rPr>
            </w:pPr>
            <w:r>
              <w:rPr>
                <w:noProof/>
              </w:rPr>
              <w:t>14.16</w:t>
            </w:r>
          </w:p>
        </w:tc>
        <w:tc>
          <w:tcPr>
            <w:tcW w:w="2812" w:type="dxa"/>
            <w:tcBorders>
              <w:top w:val="nil"/>
              <w:left w:val="nil"/>
              <w:bottom w:val="single" w:sz="4" w:space="0" w:color="auto"/>
              <w:right w:val="single" w:sz="4" w:space="0" w:color="auto"/>
            </w:tcBorders>
            <w:shd w:val="clear" w:color="auto" w:fill="C4EFCE"/>
            <w:vAlign w:val="center"/>
          </w:tcPr>
          <w:p w14:paraId="24939B7D" w14:textId="77777777" w:rsidR="006C686E" w:rsidRDefault="00B17E8C">
            <w:pPr>
              <w:pStyle w:val="P68B1DB1-Normal65"/>
              <w:spacing w:after="0" w:line="276" w:lineRule="auto"/>
              <w:jc w:val="center"/>
              <w:rPr>
                <w:rFonts w:eastAsia="Calibri"/>
                <w:noProof/>
                <w:color w:val="000000"/>
                <w:kern w:val="0"/>
                <w14:ligatures w14:val="none"/>
              </w:rPr>
            </w:pPr>
            <w:r>
              <w:rPr>
                <w:noProof/>
              </w:rPr>
              <w:t>TC-C14-i04</w:t>
            </w:r>
          </w:p>
        </w:tc>
        <w:tc>
          <w:tcPr>
            <w:tcW w:w="1232" w:type="dxa"/>
            <w:tcBorders>
              <w:top w:val="nil"/>
              <w:left w:val="nil"/>
              <w:bottom w:val="single" w:sz="4" w:space="0" w:color="auto"/>
              <w:right w:val="single" w:sz="4" w:space="0" w:color="auto"/>
            </w:tcBorders>
            <w:shd w:val="clear" w:color="auto" w:fill="C4EFCE"/>
            <w:vAlign w:val="center"/>
          </w:tcPr>
          <w:p w14:paraId="4DC0D02B"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8FEDF94" w14:textId="0EF3BA1E" w:rsidR="006C686E" w:rsidRDefault="00B17E8C">
            <w:pPr>
              <w:pStyle w:val="P68B1DB1-Normal63"/>
              <w:spacing w:after="0" w:line="276" w:lineRule="auto"/>
              <w:jc w:val="both"/>
              <w:rPr>
                <w:noProof/>
              </w:rPr>
            </w:pPr>
            <w:r>
              <w:rPr>
                <w:noProof/>
              </w:rPr>
              <w:t>Accord d’exécution ou acte(s) juridique(s)</w:t>
            </w:r>
          </w:p>
        </w:tc>
      </w:tr>
      <w:tr w:rsidR="006C686E" w14:paraId="136D568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A1FBA96" w14:textId="7078EAE3" w:rsidR="006C686E" w:rsidRDefault="00B17E8C">
            <w:pPr>
              <w:pStyle w:val="P68B1DB1-Normal63"/>
              <w:spacing w:after="0" w:line="276" w:lineRule="auto"/>
              <w:jc w:val="center"/>
              <w:rPr>
                <w:noProof/>
              </w:rPr>
            </w:pPr>
            <w:r>
              <w:rPr>
                <w:noProof/>
              </w:rPr>
              <w:t>14.17</w:t>
            </w:r>
          </w:p>
        </w:tc>
        <w:tc>
          <w:tcPr>
            <w:tcW w:w="2812" w:type="dxa"/>
            <w:tcBorders>
              <w:top w:val="nil"/>
              <w:left w:val="nil"/>
              <w:bottom w:val="single" w:sz="4" w:space="0" w:color="auto"/>
              <w:right w:val="single" w:sz="4" w:space="0" w:color="auto"/>
            </w:tcBorders>
            <w:shd w:val="clear" w:color="auto" w:fill="C4EFCE"/>
            <w:vAlign w:val="center"/>
          </w:tcPr>
          <w:p w14:paraId="6E45CFED" w14:textId="77777777" w:rsidR="006C686E" w:rsidRDefault="00B17E8C">
            <w:pPr>
              <w:pStyle w:val="P68B1DB1-Normal65"/>
              <w:spacing w:after="0" w:line="276" w:lineRule="auto"/>
              <w:jc w:val="center"/>
              <w:rPr>
                <w:rFonts w:eastAsia="Calibri"/>
                <w:noProof/>
                <w:color w:val="000000"/>
                <w:kern w:val="0"/>
                <w14:ligatures w14:val="none"/>
              </w:rPr>
            </w:pPr>
            <w:r>
              <w:rPr>
                <w:noProof/>
              </w:rPr>
              <w:t>TC-C14-i04</w:t>
            </w:r>
          </w:p>
        </w:tc>
        <w:tc>
          <w:tcPr>
            <w:tcW w:w="1232" w:type="dxa"/>
            <w:tcBorders>
              <w:top w:val="nil"/>
              <w:left w:val="nil"/>
              <w:bottom w:val="single" w:sz="4" w:space="0" w:color="auto"/>
              <w:right w:val="single" w:sz="4" w:space="0" w:color="auto"/>
            </w:tcBorders>
            <w:shd w:val="clear" w:color="auto" w:fill="C4EFCE"/>
            <w:vAlign w:val="center"/>
          </w:tcPr>
          <w:p w14:paraId="0746A339"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BF07961" w14:textId="3737BB75" w:rsidR="006C686E" w:rsidRDefault="00B17E8C">
            <w:pPr>
              <w:pStyle w:val="P68B1DB1-Normal66"/>
              <w:spacing w:after="0" w:line="276" w:lineRule="auto"/>
              <w:jc w:val="both"/>
              <w:rPr>
                <w:rFonts w:eastAsia="Calibri"/>
                <w:noProof/>
                <w:color w:val="000000"/>
                <w:kern w:val="0"/>
                <w14:ligatures w14:val="none"/>
              </w:rPr>
            </w:pPr>
            <w:r>
              <w:rPr>
                <w:noProof/>
              </w:rPr>
              <w:t>Signature d’accords juridiques avec les bénéficiaires finaux et achèvement de l’investissement par le ministère</w:t>
            </w:r>
          </w:p>
        </w:tc>
      </w:tr>
      <w:tr w:rsidR="006C686E" w14:paraId="2779B27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49C6BA7" w14:textId="77777777" w:rsidR="006C686E" w:rsidRDefault="00B17E8C">
            <w:pPr>
              <w:pStyle w:val="P68B1DB1-Normal63"/>
              <w:spacing w:after="0" w:line="276" w:lineRule="auto"/>
              <w:jc w:val="center"/>
              <w:rPr>
                <w:noProof/>
              </w:rPr>
            </w:pPr>
            <w:r>
              <w:rPr>
                <w:noProof/>
              </w:rPr>
              <w:t>14.11</w:t>
            </w:r>
          </w:p>
        </w:tc>
        <w:tc>
          <w:tcPr>
            <w:tcW w:w="2812" w:type="dxa"/>
            <w:tcBorders>
              <w:top w:val="nil"/>
              <w:left w:val="nil"/>
              <w:bottom w:val="single" w:sz="4" w:space="0" w:color="auto"/>
              <w:right w:val="single" w:sz="4" w:space="0" w:color="auto"/>
            </w:tcBorders>
            <w:shd w:val="clear" w:color="auto" w:fill="C4EFCE"/>
            <w:vAlign w:val="center"/>
          </w:tcPr>
          <w:p w14:paraId="5FDAC8DF" w14:textId="77777777" w:rsidR="006C686E" w:rsidRDefault="00B17E8C">
            <w:pPr>
              <w:pStyle w:val="P68B1DB1-Normal63"/>
              <w:spacing w:after="0" w:line="276" w:lineRule="auto"/>
              <w:jc w:val="center"/>
              <w:rPr>
                <w:noProof/>
              </w:rPr>
            </w:pPr>
            <w:r>
              <w:rPr>
                <w:noProof/>
              </w:rPr>
              <w:t>TC-C14-i03-RAA</w:t>
            </w:r>
          </w:p>
        </w:tc>
        <w:tc>
          <w:tcPr>
            <w:tcW w:w="1232" w:type="dxa"/>
            <w:tcBorders>
              <w:top w:val="nil"/>
              <w:left w:val="nil"/>
              <w:bottom w:val="single" w:sz="4" w:space="0" w:color="auto"/>
              <w:right w:val="single" w:sz="4" w:space="0" w:color="auto"/>
            </w:tcBorders>
            <w:shd w:val="clear" w:color="auto" w:fill="C4EFCE"/>
            <w:vAlign w:val="center"/>
          </w:tcPr>
          <w:p w14:paraId="6758FFBB"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C579847" w14:textId="19945008" w:rsidR="006C686E" w:rsidRDefault="00B17E8C">
            <w:pPr>
              <w:pStyle w:val="P68B1DB1-Normal63"/>
              <w:spacing w:after="0" w:line="276" w:lineRule="auto"/>
              <w:jc w:val="both"/>
              <w:rPr>
                <w:noProof/>
              </w:rPr>
            </w:pPr>
            <w:r>
              <w:rPr>
                <w:noProof/>
              </w:rPr>
              <w:t>Installation de capacités de production géothermique</w:t>
            </w:r>
          </w:p>
        </w:tc>
      </w:tr>
      <w:tr w:rsidR="006C686E" w14:paraId="0333923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2C11EF6" w14:textId="77777777" w:rsidR="006C686E" w:rsidRDefault="00B17E8C">
            <w:pPr>
              <w:pStyle w:val="P68B1DB1-Normal63"/>
              <w:spacing w:after="0" w:line="276" w:lineRule="auto"/>
              <w:jc w:val="center"/>
              <w:rPr>
                <w:noProof/>
              </w:rPr>
            </w:pPr>
            <w:r>
              <w:rPr>
                <w:noProof/>
              </w:rPr>
              <w:t>14.14</w:t>
            </w:r>
          </w:p>
        </w:tc>
        <w:tc>
          <w:tcPr>
            <w:tcW w:w="2812" w:type="dxa"/>
            <w:tcBorders>
              <w:top w:val="nil"/>
              <w:left w:val="nil"/>
              <w:bottom w:val="single" w:sz="4" w:space="0" w:color="auto"/>
              <w:right w:val="single" w:sz="4" w:space="0" w:color="auto"/>
            </w:tcBorders>
            <w:shd w:val="clear" w:color="auto" w:fill="C4EFCE"/>
            <w:vAlign w:val="center"/>
          </w:tcPr>
          <w:p w14:paraId="45CD63A9" w14:textId="77777777" w:rsidR="006C686E" w:rsidRDefault="00B17E8C">
            <w:pPr>
              <w:pStyle w:val="P68B1DB1-Normal63"/>
              <w:spacing w:after="0" w:line="276" w:lineRule="auto"/>
              <w:jc w:val="center"/>
              <w:rPr>
                <w:noProof/>
              </w:rPr>
            </w:pPr>
            <w:r>
              <w:rPr>
                <w:noProof/>
              </w:rPr>
              <w:t>TC-C14-i03-RAA</w:t>
            </w:r>
          </w:p>
        </w:tc>
        <w:tc>
          <w:tcPr>
            <w:tcW w:w="1232" w:type="dxa"/>
            <w:tcBorders>
              <w:top w:val="nil"/>
              <w:left w:val="nil"/>
              <w:bottom w:val="single" w:sz="4" w:space="0" w:color="auto"/>
              <w:right w:val="single" w:sz="4" w:space="0" w:color="auto"/>
            </w:tcBorders>
            <w:shd w:val="clear" w:color="auto" w:fill="C4EFCE"/>
            <w:vAlign w:val="center"/>
          </w:tcPr>
          <w:p w14:paraId="73752F3F"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1A28775" w14:textId="77777777" w:rsidR="006C686E" w:rsidRDefault="00B17E8C">
            <w:pPr>
              <w:pStyle w:val="P68B1DB1-Normal63"/>
              <w:spacing w:after="0" w:line="276" w:lineRule="auto"/>
              <w:jc w:val="both"/>
              <w:rPr>
                <w:noProof/>
              </w:rPr>
            </w:pPr>
            <w:r>
              <w:rPr>
                <w:noProof/>
              </w:rPr>
              <w:t>Installation d'unités photovoltaïques</w:t>
            </w:r>
          </w:p>
        </w:tc>
      </w:tr>
      <w:tr w:rsidR="006C686E" w14:paraId="19F5A32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7CDB16" w14:textId="77777777" w:rsidR="006C686E" w:rsidRDefault="00B17E8C">
            <w:pPr>
              <w:pStyle w:val="P68B1DB1-Normal63"/>
              <w:spacing w:after="0" w:line="276" w:lineRule="auto"/>
              <w:jc w:val="center"/>
              <w:rPr>
                <w:noProof/>
              </w:rPr>
            </w:pPr>
            <w:r>
              <w:rPr>
                <w:noProof/>
              </w:rPr>
              <w:t>15.16</w:t>
            </w:r>
          </w:p>
        </w:tc>
        <w:tc>
          <w:tcPr>
            <w:tcW w:w="2812" w:type="dxa"/>
            <w:tcBorders>
              <w:top w:val="nil"/>
              <w:left w:val="nil"/>
              <w:bottom w:val="single" w:sz="4" w:space="0" w:color="auto"/>
              <w:right w:val="single" w:sz="4" w:space="0" w:color="auto"/>
            </w:tcBorders>
            <w:shd w:val="clear" w:color="auto" w:fill="C4EFCE"/>
            <w:vAlign w:val="center"/>
          </w:tcPr>
          <w:p w14:paraId="0CEDC10D" w14:textId="77777777" w:rsidR="006C686E" w:rsidRDefault="00B17E8C">
            <w:pPr>
              <w:pStyle w:val="P68B1DB1-Normal63"/>
              <w:spacing w:after="0" w:line="276" w:lineRule="auto"/>
              <w:jc w:val="center"/>
              <w:rPr>
                <w:noProof/>
              </w:rPr>
            </w:pPr>
            <w:r>
              <w:rPr>
                <w:noProof/>
              </w:rPr>
              <w:t>TC-C15-i06</w:t>
            </w:r>
          </w:p>
        </w:tc>
        <w:tc>
          <w:tcPr>
            <w:tcW w:w="1232" w:type="dxa"/>
            <w:tcBorders>
              <w:top w:val="nil"/>
              <w:left w:val="nil"/>
              <w:bottom w:val="single" w:sz="4" w:space="0" w:color="auto"/>
              <w:right w:val="single" w:sz="4" w:space="0" w:color="auto"/>
            </w:tcBorders>
            <w:shd w:val="clear" w:color="auto" w:fill="C4EFCE"/>
            <w:vAlign w:val="center"/>
          </w:tcPr>
          <w:p w14:paraId="1813C30D"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92E8D75" w14:textId="19E6E58E" w:rsidR="006C686E" w:rsidRDefault="00B17E8C">
            <w:pPr>
              <w:pStyle w:val="P68B1DB1-Normal63"/>
              <w:spacing w:after="0" w:line="276" w:lineRule="auto"/>
              <w:jc w:val="both"/>
              <w:rPr>
                <w:noProof/>
              </w:rPr>
            </w:pPr>
            <w:r>
              <w:rPr>
                <w:noProof/>
              </w:rPr>
              <w:t xml:space="preserve">Lignes ferroviaires équipées de systèmes de signalisation électronique </w:t>
            </w:r>
          </w:p>
        </w:tc>
      </w:tr>
      <w:tr w:rsidR="006C686E" w14:paraId="0975DD8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F804330" w14:textId="77777777" w:rsidR="006C686E" w:rsidRDefault="00B17E8C">
            <w:pPr>
              <w:pStyle w:val="P68B1DB1-Normal63"/>
              <w:spacing w:after="0" w:line="276" w:lineRule="auto"/>
              <w:jc w:val="center"/>
              <w:rPr>
                <w:noProof/>
              </w:rPr>
            </w:pPr>
            <w:r>
              <w:rPr>
                <w:noProof/>
              </w:rPr>
              <w:t>16.8</w:t>
            </w:r>
          </w:p>
        </w:tc>
        <w:tc>
          <w:tcPr>
            <w:tcW w:w="2812" w:type="dxa"/>
            <w:tcBorders>
              <w:top w:val="nil"/>
              <w:left w:val="nil"/>
              <w:bottom w:val="single" w:sz="4" w:space="0" w:color="auto"/>
              <w:right w:val="single" w:sz="4" w:space="0" w:color="auto"/>
            </w:tcBorders>
            <w:shd w:val="clear" w:color="auto" w:fill="C4EFCE"/>
            <w:vAlign w:val="center"/>
          </w:tcPr>
          <w:p w14:paraId="769E8198" w14:textId="77777777" w:rsidR="006C686E" w:rsidRDefault="00B17E8C">
            <w:pPr>
              <w:pStyle w:val="P68B1DB1-Normal63"/>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39DE997B"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BB2E7DD" w14:textId="4A0132CE" w:rsidR="006C686E" w:rsidRDefault="00B17E8C">
            <w:pPr>
              <w:pStyle w:val="P68B1DB1-Normal62"/>
              <w:spacing w:after="0" w:line="276" w:lineRule="auto"/>
              <w:jc w:val="both"/>
              <w:rPr>
                <w:noProof/>
                <w:kern w:val="0"/>
                <w14:ligatures w14:val="none"/>
              </w:rPr>
            </w:pPr>
            <w:r>
              <w:rPr>
                <w:noProof/>
              </w:rPr>
              <w:t>Déboursement de 61 000 000 EUR</w:t>
            </w:r>
            <w:r>
              <w:rPr>
                <w:noProof/>
                <w:kern w:val="0"/>
                <w14:ligatures w14:val="none"/>
              </w:rPr>
              <w:t xml:space="preserve"> </w:t>
            </w:r>
            <w:r>
              <w:rPr>
                <w:noProof/>
                <w:color w:val="000000"/>
                <w:kern w:val="0"/>
                <w14:ligatures w14:val="none"/>
              </w:rPr>
              <w:t>en faveur du réseau national de bancs d’essai</w:t>
            </w:r>
          </w:p>
        </w:tc>
      </w:tr>
      <w:tr w:rsidR="006C686E" w14:paraId="7C151FA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9BF7E00" w14:textId="77777777" w:rsidR="006C686E" w:rsidRDefault="00B17E8C">
            <w:pPr>
              <w:pStyle w:val="P68B1DB1-Normal63"/>
              <w:spacing w:after="0" w:line="276" w:lineRule="auto"/>
              <w:jc w:val="center"/>
              <w:rPr>
                <w:noProof/>
              </w:rPr>
            </w:pPr>
            <w:r>
              <w:rPr>
                <w:noProof/>
              </w:rPr>
              <w:t>16.9</w:t>
            </w:r>
          </w:p>
        </w:tc>
        <w:tc>
          <w:tcPr>
            <w:tcW w:w="2812" w:type="dxa"/>
            <w:tcBorders>
              <w:top w:val="nil"/>
              <w:left w:val="nil"/>
              <w:bottom w:val="single" w:sz="4" w:space="0" w:color="auto"/>
              <w:right w:val="single" w:sz="4" w:space="0" w:color="auto"/>
            </w:tcBorders>
            <w:shd w:val="clear" w:color="auto" w:fill="C4EFCE"/>
            <w:vAlign w:val="center"/>
          </w:tcPr>
          <w:p w14:paraId="12517B34" w14:textId="77777777" w:rsidR="006C686E" w:rsidRDefault="00B17E8C">
            <w:pPr>
              <w:pStyle w:val="P68B1DB1-Normal63"/>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5AF02C04"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AD58326" w14:textId="6AD322DE" w:rsidR="006C686E" w:rsidRDefault="00B17E8C">
            <w:pPr>
              <w:pStyle w:val="P68B1DB1-Normal63"/>
              <w:spacing w:after="0" w:line="276" w:lineRule="auto"/>
              <w:jc w:val="both"/>
              <w:rPr>
                <w:noProof/>
              </w:rPr>
            </w:pPr>
            <w:r>
              <w:rPr>
                <w:noProof/>
              </w:rPr>
              <w:t>Quartiers du commerce numérique</w:t>
            </w:r>
          </w:p>
        </w:tc>
      </w:tr>
      <w:tr w:rsidR="006C686E" w14:paraId="6A225FE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16BEAC9" w14:textId="77777777" w:rsidR="006C686E" w:rsidRDefault="00B17E8C">
            <w:pPr>
              <w:pStyle w:val="P68B1DB1-Normal63"/>
              <w:spacing w:after="0" w:line="276" w:lineRule="auto"/>
              <w:jc w:val="center"/>
              <w:rPr>
                <w:noProof/>
              </w:rPr>
            </w:pPr>
            <w:r>
              <w:rPr>
                <w:noProof/>
              </w:rPr>
              <w:t>16.10</w:t>
            </w:r>
          </w:p>
        </w:tc>
        <w:tc>
          <w:tcPr>
            <w:tcW w:w="2812" w:type="dxa"/>
            <w:tcBorders>
              <w:top w:val="nil"/>
              <w:left w:val="nil"/>
              <w:bottom w:val="single" w:sz="4" w:space="0" w:color="auto"/>
              <w:right w:val="single" w:sz="4" w:space="0" w:color="auto"/>
            </w:tcBorders>
            <w:shd w:val="clear" w:color="auto" w:fill="C4EFCE"/>
            <w:vAlign w:val="center"/>
          </w:tcPr>
          <w:p w14:paraId="341B05F3" w14:textId="77777777" w:rsidR="006C686E" w:rsidRDefault="00B17E8C">
            <w:pPr>
              <w:pStyle w:val="P68B1DB1-Normal63"/>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BC00875"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111276D" w14:textId="2B06E7D9" w:rsidR="006C686E" w:rsidRDefault="00B17E8C">
            <w:pPr>
              <w:pStyle w:val="P68B1DB1-Normal62"/>
              <w:spacing w:after="0" w:line="276" w:lineRule="auto"/>
              <w:jc w:val="both"/>
              <w:rPr>
                <w:noProof/>
                <w:color w:val="000000"/>
                <w:kern w:val="0"/>
                <w14:ligatures w14:val="none"/>
              </w:rPr>
            </w:pPr>
            <w:r>
              <w:rPr>
                <w:noProof/>
              </w:rPr>
              <w:t>Services numériques pour les entités</w:t>
            </w:r>
          </w:p>
        </w:tc>
      </w:tr>
      <w:tr w:rsidR="006C686E" w14:paraId="66DD02D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3C622EB" w14:textId="77777777" w:rsidR="006C686E" w:rsidRDefault="00B17E8C">
            <w:pPr>
              <w:pStyle w:val="P68B1DB1-Normal63"/>
              <w:spacing w:after="0" w:line="276" w:lineRule="auto"/>
              <w:jc w:val="center"/>
              <w:rPr>
                <w:noProof/>
              </w:rPr>
            </w:pPr>
            <w:r>
              <w:rPr>
                <w:noProof/>
              </w:rPr>
              <w:t>16.11</w:t>
            </w:r>
          </w:p>
        </w:tc>
        <w:tc>
          <w:tcPr>
            <w:tcW w:w="2812" w:type="dxa"/>
            <w:tcBorders>
              <w:top w:val="nil"/>
              <w:left w:val="nil"/>
              <w:bottom w:val="single" w:sz="4" w:space="0" w:color="auto"/>
              <w:right w:val="single" w:sz="4" w:space="0" w:color="auto"/>
            </w:tcBorders>
            <w:shd w:val="clear" w:color="auto" w:fill="C4EFCE"/>
            <w:vAlign w:val="center"/>
          </w:tcPr>
          <w:p w14:paraId="233670D5" w14:textId="77777777" w:rsidR="006C686E" w:rsidRDefault="00B17E8C">
            <w:pPr>
              <w:pStyle w:val="P68B1DB1-Normal63"/>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7A935E96"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2A09E13" w14:textId="77777777" w:rsidR="006C686E" w:rsidRDefault="00B17E8C">
            <w:pPr>
              <w:pStyle w:val="P68B1DB1-Normal63"/>
              <w:spacing w:after="0" w:line="276" w:lineRule="auto"/>
              <w:jc w:val="both"/>
              <w:rPr>
                <w:noProof/>
              </w:rPr>
            </w:pPr>
            <w:r>
              <w:rPr>
                <w:noProof/>
              </w:rPr>
              <w:t>Programmes de numérisation</w:t>
            </w:r>
          </w:p>
        </w:tc>
      </w:tr>
      <w:tr w:rsidR="006C686E" w14:paraId="653B427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7C3A876" w14:textId="77777777" w:rsidR="006C686E" w:rsidRDefault="00B17E8C">
            <w:pPr>
              <w:pStyle w:val="P68B1DB1-Normal63"/>
              <w:spacing w:after="0" w:line="276" w:lineRule="auto"/>
              <w:jc w:val="center"/>
              <w:rPr>
                <w:noProof/>
              </w:rPr>
            </w:pPr>
            <w:r>
              <w:rPr>
                <w:noProof/>
              </w:rPr>
              <w:t>16.15</w:t>
            </w:r>
          </w:p>
        </w:tc>
        <w:tc>
          <w:tcPr>
            <w:tcW w:w="2812" w:type="dxa"/>
            <w:tcBorders>
              <w:top w:val="nil"/>
              <w:left w:val="nil"/>
              <w:bottom w:val="single" w:sz="4" w:space="0" w:color="auto"/>
              <w:right w:val="single" w:sz="4" w:space="0" w:color="auto"/>
            </w:tcBorders>
            <w:shd w:val="clear" w:color="auto" w:fill="C4EFCE"/>
            <w:vAlign w:val="center"/>
          </w:tcPr>
          <w:p w14:paraId="38228EFC" w14:textId="77777777" w:rsidR="006C686E" w:rsidRDefault="00B17E8C">
            <w:pPr>
              <w:pStyle w:val="P68B1DB1-Normal63"/>
              <w:spacing w:after="0" w:line="276" w:lineRule="auto"/>
              <w:jc w:val="center"/>
              <w:rPr>
                <w:noProof/>
              </w:rPr>
            </w:pPr>
            <w:r>
              <w:rPr>
                <w:noProof/>
              </w:rPr>
              <w:t>TD-C16-i03</w:t>
            </w:r>
          </w:p>
        </w:tc>
        <w:tc>
          <w:tcPr>
            <w:tcW w:w="1232" w:type="dxa"/>
            <w:tcBorders>
              <w:top w:val="nil"/>
              <w:left w:val="nil"/>
              <w:bottom w:val="single" w:sz="4" w:space="0" w:color="auto"/>
              <w:right w:val="single" w:sz="4" w:space="0" w:color="auto"/>
            </w:tcBorders>
            <w:shd w:val="clear" w:color="auto" w:fill="C4EFCE"/>
            <w:vAlign w:val="center"/>
          </w:tcPr>
          <w:p w14:paraId="20D42467"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5854881" w14:textId="42F92F99" w:rsidR="006C686E" w:rsidRDefault="00B17E8C">
            <w:pPr>
              <w:pStyle w:val="P68B1DB1-Normal63"/>
              <w:spacing w:after="0" w:line="276" w:lineRule="auto"/>
              <w:jc w:val="both"/>
              <w:rPr>
                <w:noProof/>
              </w:rPr>
            </w:pPr>
            <w:r>
              <w:rPr>
                <w:noProof/>
              </w:rPr>
              <w:t xml:space="preserve">Déboursement de 20 000 000 EUR en faveur des pôles d’innovation numérique </w:t>
            </w:r>
          </w:p>
        </w:tc>
      </w:tr>
      <w:tr w:rsidR="006C686E" w14:paraId="6F74D8E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71EBFB" w14:textId="77777777" w:rsidR="006C686E" w:rsidRDefault="00B17E8C">
            <w:pPr>
              <w:pStyle w:val="P68B1DB1-Normal63"/>
              <w:spacing w:after="0" w:line="276" w:lineRule="auto"/>
              <w:jc w:val="center"/>
              <w:rPr>
                <w:noProof/>
              </w:rPr>
            </w:pPr>
            <w:r>
              <w:rPr>
                <w:noProof/>
              </w:rPr>
              <w:t>16.17</w:t>
            </w:r>
          </w:p>
        </w:tc>
        <w:tc>
          <w:tcPr>
            <w:tcW w:w="2812" w:type="dxa"/>
            <w:tcBorders>
              <w:top w:val="nil"/>
              <w:left w:val="nil"/>
              <w:bottom w:val="single" w:sz="4" w:space="0" w:color="auto"/>
              <w:right w:val="single" w:sz="4" w:space="0" w:color="auto"/>
            </w:tcBorders>
            <w:shd w:val="clear" w:color="auto" w:fill="C4EFCE"/>
            <w:vAlign w:val="center"/>
          </w:tcPr>
          <w:p w14:paraId="0676D5BA" w14:textId="77777777" w:rsidR="006C686E" w:rsidRDefault="00B17E8C">
            <w:pPr>
              <w:pStyle w:val="P68B1DB1-Normal63"/>
              <w:spacing w:after="0" w:line="276" w:lineRule="auto"/>
              <w:jc w:val="center"/>
              <w:rPr>
                <w:noProof/>
              </w:rPr>
            </w:pPr>
            <w:r>
              <w:rPr>
                <w:noProof/>
              </w:rPr>
              <w:t>TD-C16-i04</w:t>
            </w:r>
          </w:p>
        </w:tc>
        <w:tc>
          <w:tcPr>
            <w:tcW w:w="1232" w:type="dxa"/>
            <w:tcBorders>
              <w:top w:val="nil"/>
              <w:left w:val="nil"/>
              <w:bottom w:val="single" w:sz="4" w:space="0" w:color="auto"/>
              <w:right w:val="single" w:sz="4" w:space="0" w:color="auto"/>
            </w:tcBorders>
            <w:shd w:val="clear" w:color="auto" w:fill="C4EFCE"/>
            <w:vAlign w:val="center"/>
          </w:tcPr>
          <w:p w14:paraId="17F1F65F"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8855E06" w14:textId="77777777" w:rsidR="006C686E" w:rsidRDefault="00B17E8C">
            <w:pPr>
              <w:pStyle w:val="P68B1DB1-Normal63"/>
              <w:spacing w:after="0" w:line="276" w:lineRule="auto"/>
              <w:jc w:val="both"/>
              <w:rPr>
                <w:noProof/>
              </w:rPr>
            </w:pPr>
            <w:r>
              <w:rPr>
                <w:noProof/>
              </w:rPr>
              <w:t>Projets «Industrie 4.0»</w:t>
            </w:r>
          </w:p>
        </w:tc>
      </w:tr>
      <w:tr w:rsidR="006C686E" w14:paraId="759470F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0B2161E" w14:textId="77777777" w:rsidR="006C686E" w:rsidRDefault="00B17E8C">
            <w:pPr>
              <w:pStyle w:val="P68B1DB1-Normal63"/>
              <w:spacing w:after="0" w:line="276" w:lineRule="auto"/>
              <w:jc w:val="center"/>
              <w:rPr>
                <w:noProof/>
              </w:rPr>
            </w:pPr>
            <w:r>
              <w:rPr>
                <w:noProof/>
              </w:rPr>
              <w:t>16.18</w:t>
            </w:r>
          </w:p>
        </w:tc>
        <w:tc>
          <w:tcPr>
            <w:tcW w:w="2812" w:type="dxa"/>
            <w:tcBorders>
              <w:top w:val="nil"/>
              <w:left w:val="nil"/>
              <w:bottom w:val="single" w:sz="4" w:space="0" w:color="auto"/>
              <w:right w:val="single" w:sz="4" w:space="0" w:color="auto"/>
            </w:tcBorders>
            <w:shd w:val="clear" w:color="auto" w:fill="C4EFCE"/>
            <w:vAlign w:val="center"/>
          </w:tcPr>
          <w:p w14:paraId="7B077501" w14:textId="77777777" w:rsidR="006C686E" w:rsidRDefault="00B17E8C">
            <w:pPr>
              <w:pStyle w:val="P68B1DB1-Normal63"/>
              <w:spacing w:after="0" w:line="276" w:lineRule="auto"/>
              <w:jc w:val="center"/>
              <w:rPr>
                <w:noProof/>
              </w:rPr>
            </w:pPr>
            <w:r>
              <w:rPr>
                <w:noProof/>
              </w:rPr>
              <w:t>TD-C16-i05-RAA</w:t>
            </w:r>
          </w:p>
        </w:tc>
        <w:tc>
          <w:tcPr>
            <w:tcW w:w="1232" w:type="dxa"/>
            <w:tcBorders>
              <w:top w:val="nil"/>
              <w:left w:val="nil"/>
              <w:bottom w:val="single" w:sz="4" w:space="0" w:color="auto"/>
              <w:right w:val="single" w:sz="4" w:space="0" w:color="auto"/>
            </w:tcBorders>
            <w:shd w:val="clear" w:color="auto" w:fill="C4EFCE"/>
            <w:vAlign w:val="center"/>
          </w:tcPr>
          <w:p w14:paraId="6820AE28"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8C62C0B" w14:textId="1FA3B275" w:rsidR="006C686E" w:rsidRDefault="00B17E8C">
            <w:pPr>
              <w:pStyle w:val="P68B1DB1-Normal63"/>
              <w:spacing w:after="0" w:line="276" w:lineRule="auto"/>
              <w:jc w:val="both"/>
              <w:rPr>
                <w:noProof/>
                <w:color w:val="000000" w:themeColor="text1"/>
              </w:rPr>
            </w:pPr>
            <w:r>
              <w:rPr>
                <w:noProof/>
              </w:rPr>
              <w:t>Projets «Capacité numérique et transformation des entreprises aux Açores»</w:t>
            </w:r>
          </w:p>
        </w:tc>
      </w:tr>
      <w:tr w:rsidR="006C686E" w14:paraId="573C360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9FF0143" w14:textId="77777777" w:rsidR="006C686E" w:rsidRDefault="00B17E8C">
            <w:pPr>
              <w:pStyle w:val="P68B1DB1-Normal63"/>
              <w:spacing w:after="0" w:line="276" w:lineRule="auto"/>
              <w:jc w:val="center"/>
              <w:rPr>
                <w:noProof/>
              </w:rPr>
            </w:pPr>
            <w:r>
              <w:rPr>
                <w:noProof/>
              </w:rPr>
              <w:t>17.25</w:t>
            </w:r>
          </w:p>
        </w:tc>
        <w:tc>
          <w:tcPr>
            <w:tcW w:w="2812" w:type="dxa"/>
            <w:tcBorders>
              <w:top w:val="nil"/>
              <w:left w:val="nil"/>
              <w:bottom w:val="single" w:sz="4" w:space="0" w:color="auto"/>
              <w:right w:val="single" w:sz="4" w:space="0" w:color="auto"/>
            </w:tcBorders>
            <w:shd w:val="clear" w:color="auto" w:fill="C4EFCE"/>
            <w:vAlign w:val="center"/>
          </w:tcPr>
          <w:p w14:paraId="46E070C2" w14:textId="77777777" w:rsidR="006C686E" w:rsidRDefault="00B17E8C">
            <w:pPr>
              <w:pStyle w:val="P68B1DB1-Normal63"/>
              <w:spacing w:after="0" w:line="276" w:lineRule="auto"/>
              <w:jc w:val="center"/>
              <w:rPr>
                <w:noProof/>
              </w:rPr>
            </w:pPr>
            <w:r>
              <w:rPr>
                <w:noProof/>
              </w:rPr>
              <w:t>TD-C17-r40</w:t>
            </w:r>
          </w:p>
        </w:tc>
        <w:tc>
          <w:tcPr>
            <w:tcW w:w="1232" w:type="dxa"/>
            <w:tcBorders>
              <w:top w:val="nil"/>
              <w:left w:val="nil"/>
              <w:bottom w:val="single" w:sz="4" w:space="0" w:color="auto"/>
              <w:right w:val="single" w:sz="4" w:space="0" w:color="auto"/>
            </w:tcBorders>
            <w:shd w:val="clear" w:color="auto" w:fill="C4EFCE"/>
            <w:vAlign w:val="center"/>
          </w:tcPr>
          <w:p w14:paraId="2B52A16A"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C07184E" w14:textId="77777777" w:rsidR="006C686E" w:rsidRDefault="00B17E8C">
            <w:pPr>
              <w:pStyle w:val="P68B1DB1-Normal63"/>
              <w:spacing w:after="0" w:line="276" w:lineRule="auto"/>
              <w:jc w:val="both"/>
              <w:rPr>
                <w:noProof/>
              </w:rPr>
            </w:pPr>
            <w:r>
              <w:rPr>
                <w:noProof/>
              </w:rPr>
              <w:t>Entrée en vigueur du ou des actes juridiques relatifs aux dépenses fiscales</w:t>
            </w:r>
          </w:p>
        </w:tc>
      </w:tr>
      <w:tr w:rsidR="006C686E" w14:paraId="1EAC35D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C11618" w14:textId="77777777" w:rsidR="006C686E" w:rsidRDefault="00B17E8C">
            <w:pPr>
              <w:pStyle w:val="P68B1DB1-Normal63"/>
              <w:spacing w:after="0" w:line="276" w:lineRule="auto"/>
              <w:jc w:val="center"/>
              <w:rPr>
                <w:noProof/>
              </w:rPr>
            </w:pPr>
            <w:r>
              <w:rPr>
                <w:noProof/>
              </w:rPr>
              <w:t>19.26</w:t>
            </w:r>
          </w:p>
        </w:tc>
        <w:tc>
          <w:tcPr>
            <w:tcW w:w="2812" w:type="dxa"/>
            <w:tcBorders>
              <w:top w:val="nil"/>
              <w:left w:val="nil"/>
              <w:bottom w:val="single" w:sz="4" w:space="0" w:color="auto"/>
              <w:right w:val="single" w:sz="4" w:space="0" w:color="auto"/>
            </w:tcBorders>
            <w:shd w:val="clear" w:color="auto" w:fill="C4EFCE"/>
            <w:vAlign w:val="center"/>
          </w:tcPr>
          <w:p w14:paraId="69799605" w14:textId="77777777" w:rsidR="006C686E" w:rsidRDefault="00B17E8C">
            <w:pPr>
              <w:pStyle w:val="P68B1DB1-Normal63"/>
              <w:spacing w:after="0" w:line="276" w:lineRule="auto"/>
              <w:jc w:val="center"/>
              <w:rPr>
                <w:noProof/>
              </w:rPr>
            </w:pPr>
            <w:r>
              <w:rPr>
                <w:noProof/>
              </w:rPr>
              <w:t>TD-C19-i01</w:t>
            </w:r>
          </w:p>
        </w:tc>
        <w:tc>
          <w:tcPr>
            <w:tcW w:w="1232" w:type="dxa"/>
            <w:tcBorders>
              <w:top w:val="nil"/>
              <w:left w:val="nil"/>
              <w:bottom w:val="single" w:sz="4" w:space="0" w:color="auto"/>
              <w:right w:val="single" w:sz="4" w:space="0" w:color="auto"/>
            </w:tcBorders>
            <w:shd w:val="clear" w:color="auto" w:fill="C4EFCE"/>
            <w:vAlign w:val="center"/>
          </w:tcPr>
          <w:p w14:paraId="787D2F08"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582315A" w14:textId="26EF41B8" w:rsidR="006C686E" w:rsidRDefault="00B17E8C">
            <w:pPr>
              <w:pStyle w:val="P68B1DB1-Normal63"/>
              <w:spacing w:after="0" w:line="276" w:lineRule="auto"/>
              <w:jc w:val="both"/>
              <w:rPr>
                <w:noProof/>
              </w:rPr>
            </w:pPr>
            <w:r>
              <w:rPr>
                <w:noProof/>
              </w:rPr>
              <w:t>Boutiques et espaces citoyens</w:t>
            </w:r>
          </w:p>
        </w:tc>
      </w:tr>
      <w:tr w:rsidR="006C686E" w14:paraId="18BDEC6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86D4B71" w14:textId="77777777" w:rsidR="006C686E" w:rsidRDefault="00B17E8C">
            <w:pPr>
              <w:pStyle w:val="P68B1DB1-Normal63"/>
              <w:spacing w:after="0" w:line="276" w:lineRule="auto"/>
              <w:jc w:val="center"/>
              <w:rPr>
                <w:noProof/>
              </w:rPr>
            </w:pPr>
            <w:r>
              <w:rPr>
                <w:noProof/>
              </w:rPr>
              <w:t>19.8</w:t>
            </w:r>
          </w:p>
        </w:tc>
        <w:tc>
          <w:tcPr>
            <w:tcW w:w="2812" w:type="dxa"/>
            <w:tcBorders>
              <w:top w:val="nil"/>
              <w:left w:val="nil"/>
              <w:bottom w:val="single" w:sz="4" w:space="0" w:color="auto"/>
              <w:right w:val="single" w:sz="4" w:space="0" w:color="auto"/>
            </w:tcBorders>
            <w:shd w:val="clear" w:color="auto" w:fill="C4EFCE"/>
            <w:vAlign w:val="center"/>
          </w:tcPr>
          <w:p w14:paraId="43F40B56" w14:textId="77777777" w:rsidR="006C686E" w:rsidRDefault="00B17E8C">
            <w:pPr>
              <w:pStyle w:val="P68B1DB1-Normal63"/>
              <w:spacing w:after="0" w:line="276" w:lineRule="auto"/>
              <w:jc w:val="center"/>
              <w:rPr>
                <w:noProof/>
              </w:rPr>
            </w:pPr>
            <w:r>
              <w:rPr>
                <w:noProof/>
              </w:rPr>
              <w:t>TD-C19-i03</w:t>
            </w:r>
          </w:p>
        </w:tc>
        <w:tc>
          <w:tcPr>
            <w:tcW w:w="1232" w:type="dxa"/>
            <w:tcBorders>
              <w:top w:val="nil"/>
              <w:left w:val="nil"/>
              <w:bottom w:val="single" w:sz="4" w:space="0" w:color="auto"/>
              <w:right w:val="single" w:sz="4" w:space="0" w:color="auto"/>
            </w:tcBorders>
            <w:shd w:val="clear" w:color="auto" w:fill="C4EFCE"/>
            <w:vAlign w:val="center"/>
          </w:tcPr>
          <w:p w14:paraId="0463C18E"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20519DD" w14:textId="77777777" w:rsidR="006C686E" w:rsidRDefault="00B17E8C">
            <w:pPr>
              <w:pStyle w:val="P68B1DB1-Normal63"/>
              <w:spacing w:after="0" w:line="276" w:lineRule="auto"/>
              <w:jc w:val="both"/>
              <w:rPr>
                <w:noProof/>
              </w:rPr>
            </w:pPr>
            <w:r>
              <w:rPr>
                <w:noProof/>
              </w:rPr>
              <w:t>Achat de matériel cryptographique</w:t>
            </w:r>
          </w:p>
        </w:tc>
      </w:tr>
      <w:tr w:rsidR="006C686E" w14:paraId="2FD3CB7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25731A" w14:textId="77777777" w:rsidR="006C686E" w:rsidRDefault="00B17E8C">
            <w:pPr>
              <w:pStyle w:val="P68B1DB1-Normal63"/>
              <w:spacing w:after="0" w:line="276" w:lineRule="auto"/>
              <w:jc w:val="center"/>
              <w:rPr>
                <w:noProof/>
              </w:rPr>
            </w:pPr>
            <w:r>
              <w:rPr>
                <w:noProof/>
              </w:rPr>
              <w:t>19.13</w:t>
            </w:r>
          </w:p>
        </w:tc>
        <w:tc>
          <w:tcPr>
            <w:tcW w:w="2812" w:type="dxa"/>
            <w:tcBorders>
              <w:top w:val="nil"/>
              <w:left w:val="nil"/>
              <w:bottom w:val="single" w:sz="4" w:space="0" w:color="auto"/>
              <w:right w:val="single" w:sz="4" w:space="0" w:color="auto"/>
            </w:tcBorders>
            <w:shd w:val="clear" w:color="auto" w:fill="C4EFCE"/>
            <w:vAlign w:val="center"/>
          </w:tcPr>
          <w:p w14:paraId="56BD77AC" w14:textId="77777777" w:rsidR="006C686E" w:rsidRDefault="00B17E8C">
            <w:pPr>
              <w:pStyle w:val="P68B1DB1-Normal63"/>
              <w:spacing w:after="0" w:line="276" w:lineRule="auto"/>
              <w:jc w:val="center"/>
              <w:rPr>
                <w:noProof/>
              </w:rPr>
            </w:pPr>
            <w:r>
              <w:rPr>
                <w:noProof/>
              </w:rPr>
              <w:t>TD-C19-i04</w:t>
            </w:r>
          </w:p>
        </w:tc>
        <w:tc>
          <w:tcPr>
            <w:tcW w:w="1232" w:type="dxa"/>
            <w:tcBorders>
              <w:top w:val="nil"/>
              <w:left w:val="nil"/>
              <w:bottom w:val="single" w:sz="4" w:space="0" w:color="auto"/>
              <w:right w:val="single" w:sz="4" w:space="0" w:color="auto"/>
            </w:tcBorders>
            <w:shd w:val="clear" w:color="auto" w:fill="C4EFCE"/>
            <w:vAlign w:val="center"/>
          </w:tcPr>
          <w:p w14:paraId="3DA4E969"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A9B3882" w14:textId="77777777" w:rsidR="006C686E" w:rsidRDefault="00B17E8C">
            <w:pPr>
              <w:pStyle w:val="P68B1DB1-Normal63"/>
              <w:spacing w:after="0" w:line="276" w:lineRule="auto"/>
              <w:jc w:val="both"/>
              <w:rPr>
                <w:noProof/>
              </w:rPr>
            </w:pPr>
            <w:r>
              <w:rPr>
                <w:noProof/>
              </w:rPr>
              <w:t>Infrastructures numériques critiques</w:t>
            </w:r>
          </w:p>
        </w:tc>
      </w:tr>
      <w:tr w:rsidR="006C686E" w14:paraId="62C8B42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32426A" w14:textId="77777777" w:rsidR="006C686E" w:rsidRDefault="00B17E8C">
            <w:pPr>
              <w:pStyle w:val="P68B1DB1-Normal63"/>
              <w:spacing w:after="0" w:line="276" w:lineRule="auto"/>
              <w:jc w:val="center"/>
              <w:rPr>
                <w:noProof/>
              </w:rPr>
            </w:pPr>
            <w:r>
              <w:rPr>
                <w:noProof/>
              </w:rPr>
              <w:t>19.15</w:t>
            </w:r>
          </w:p>
        </w:tc>
        <w:tc>
          <w:tcPr>
            <w:tcW w:w="2812" w:type="dxa"/>
            <w:tcBorders>
              <w:top w:val="nil"/>
              <w:left w:val="nil"/>
              <w:bottom w:val="single" w:sz="4" w:space="0" w:color="auto"/>
              <w:right w:val="single" w:sz="4" w:space="0" w:color="auto"/>
            </w:tcBorders>
            <w:shd w:val="clear" w:color="auto" w:fill="C4EFCE"/>
            <w:vAlign w:val="center"/>
          </w:tcPr>
          <w:p w14:paraId="022ACBB5" w14:textId="77777777" w:rsidR="006C686E" w:rsidRDefault="00B17E8C">
            <w:pPr>
              <w:pStyle w:val="P68B1DB1-Normal63"/>
              <w:spacing w:after="0" w:line="276" w:lineRule="auto"/>
              <w:jc w:val="center"/>
              <w:rPr>
                <w:noProof/>
              </w:rPr>
            </w:pPr>
            <w:r>
              <w:rPr>
                <w:noProof/>
              </w:rPr>
              <w:t>TD-C19-i04</w:t>
            </w:r>
          </w:p>
        </w:tc>
        <w:tc>
          <w:tcPr>
            <w:tcW w:w="1232" w:type="dxa"/>
            <w:tcBorders>
              <w:top w:val="nil"/>
              <w:left w:val="nil"/>
              <w:bottom w:val="single" w:sz="4" w:space="0" w:color="auto"/>
              <w:right w:val="single" w:sz="4" w:space="0" w:color="auto"/>
            </w:tcBorders>
            <w:shd w:val="clear" w:color="auto" w:fill="C4EFCE"/>
            <w:vAlign w:val="center"/>
          </w:tcPr>
          <w:p w14:paraId="3ED58125"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FC85099" w14:textId="04690D8D" w:rsidR="006C686E" w:rsidRDefault="00B17E8C">
            <w:pPr>
              <w:pStyle w:val="P68B1DB1-Normal63"/>
              <w:spacing w:after="0" w:line="276" w:lineRule="auto"/>
              <w:rPr>
                <w:noProof/>
              </w:rPr>
            </w:pPr>
            <w:r>
              <w:rPr>
                <w:noProof/>
              </w:rPr>
              <w:t xml:space="preserve">Centre de gestion du réseau informatique du gouvernement </w:t>
            </w:r>
          </w:p>
        </w:tc>
      </w:tr>
      <w:tr w:rsidR="006C686E" w14:paraId="08BF08A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866490C" w14:textId="77777777" w:rsidR="006C686E" w:rsidRDefault="00B17E8C">
            <w:pPr>
              <w:pStyle w:val="P68B1DB1-Normal63"/>
              <w:spacing w:after="0" w:line="276" w:lineRule="auto"/>
              <w:jc w:val="center"/>
              <w:rPr>
                <w:noProof/>
              </w:rPr>
            </w:pPr>
            <w:r>
              <w:rPr>
                <w:noProof/>
              </w:rPr>
              <w:t>19.35</w:t>
            </w:r>
          </w:p>
        </w:tc>
        <w:tc>
          <w:tcPr>
            <w:tcW w:w="2812" w:type="dxa"/>
            <w:tcBorders>
              <w:top w:val="nil"/>
              <w:left w:val="nil"/>
              <w:bottom w:val="single" w:sz="4" w:space="0" w:color="auto"/>
              <w:right w:val="single" w:sz="4" w:space="0" w:color="auto"/>
            </w:tcBorders>
            <w:shd w:val="clear" w:color="auto" w:fill="C4EFCE"/>
            <w:vAlign w:val="center"/>
          </w:tcPr>
          <w:p w14:paraId="570D06A2" w14:textId="77777777" w:rsidR="006C686E" w:rsidRDefault="00B17E8C">
            <w:pPr>
              <w:pStyle w:val="P68B1DB1-Normal63"/>
              <w:spacing w:after="0" w:line="276" w:lineRule="auto"/>
              <w:jc w:val="center"/>
              <w:rPr>
                <w:noProof/>
              </w:rPr>
            </w:pPr>
            <w:r>
              <w:rPr>
                <w:noProof/>
              </w:rPr>
              <w:t>TD-C19-i08</w:t>
            </w:r>
          </w:p>
        </w:tc>
        <w:tc>
          <w:tcPr>
            <w:tcW w:w="1232" w:type="dxa"/>
            <w:tcBorders>
              <w:top w:val="nil"/>
              <w:left w:val="nil"/>
              <w:bottom w:val="single" w:sz="4" w:space="0" w:color="auto"/>
              <w:right w:val="single" w:sz="4" w:space="0" w:color="auto"/>
            </w:tcBorders>
            <w:shd w:val="clear" w:color="auto" w:fill="C4EFCE"/>
            <w:vAlign w:val="center"/>
          </w:tcPr>
          <w:p w14:paraId="29C45450"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6BE34445" w14:textId="77777777" w:rsidR="006C686E" w:rsidRDefault="00B17E8C">
            <w:pPr>
              <w:pStyle w:val="P68B1DB1-Normal63"/>
              <w:spacing w:after="0" w:line="276" w:lineRule="auto"/>
              <w:jc w:val="both"/>
              <w:rPr>
                <w:noProof/>
              </w:rPr>
            </w:pPr>
            <w:r>
              <w:rPr>
                <w:noProof/>
              </w:rPr>
              <w:t>Territoires intelligents: Plateformes de gestion urbaine, jumelles numériques et tableau de bord des politiques publiques</w:t>
            </w:r>
          </w:p>
        </w:tc>
      </w:tr>
      <w:tr w:rsidR="006C686E" w14:paraId="0A6DCA0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3BB8C44" w14:textId="77777777" w:rsidR="006C686E" w:rsidRDefault="00B17E8C">
            <w:pPr>
              <w:pStyle w:val="P68B1DB1-Normal63"/>
              <w:spacing w:after="0" w:line="276" w:lineRule="auto"/>
              <w:jc w:val="center"/>
              <w:rPr>
                <w:noProof/>
              </w:rPr>
            </w:pPr>
            <w:r>
              <w:rPr>
                <w:noProof/>
              </w:rPr>
              <w:t>20.8</w:t>
            </w:r>
          </w:p>
        </w:tc>
        <w:tc>
          <w:tcPr>
            <w:tcW w:w="2812" w:type="dxa"/>
            <w:tcBorders>
              <w:top w:val="nil"/>
              <w:left w:val="nil"/>
              <w:bottom w:val="single" w:sz="4" w:space="0" w:color="auto"/>
              <w:right w:val="single" w:sz="4" w:space="0" w:color="auto"/>
            </w:tcBorders>
            <w:shd w:val="clear" w:color="auto" w:fill="C4EFCE"/>
            <w:vAlign w:val="center"/>
          </w:tcPr>
          <w:p w14:paraId="6D00DCE0" w14:textId="77777777" w:rsidR="006C686E" w:rsidRDefault="00B17E8C">
            <w:pPr>
              <w:pStyle w:val="P68B1DB1-Normal63"/>
              <w:spacing w:after="0" w:line="276" w:lineRule="auto"/>
              <w:jc w:val="center"/>
              <w:rPr>
                <w:noProof/>
              </w:rPr>
            </w:pPr>
            <w:r>
              <w:rPr>
                <w:noProof/>
              </w:rPr>
              <w:t>TD-C20-i01</w:t>
            </w:r>
          </w:p>
        </w:tc>
        <w:tc>
          <w:tcPr>
            <w:tcW w:w="1232" w:type="dxa"/>
            <w:tcBorders>
              <w:top w:val="nil"/>
              <w:left w:val="nil"/>
              <w:bottom w:val="single" w:sz="4" w:space="0" w:color="auto"/>
              <w:right w:val="single" w:sz="4" w:space="0" w:color="auto"/>
            </w:tcBorders>
            <w:shd w:val="clear" w:color="auto" w:fill="C4EFCE"/>
            <w:vAlign w:val="center"/>
          </w:tcPr>
          <w:p w14:paraId="552664DA"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CF7D331" w14:textId="77777777" w:rsidR="006C686E" w:rsidRDefault="00B17E8C">
            <w:pPr>
              <w:pStyle w:val="P68B1DB1-Normal63"/>
              <w:spacing w:after="0" w:line="276" w:lineRule="auto"/>
              <w:jc w:val="both"/>
              <w:rPr>
                <w:noProof/>
              </w:rPr>
            </w:pPr>
            <w:r>
              <w:rPr>
                <w:noProof/>
              </w:rPr>
              <w:t>Ressources éducatives numériques</w:t>
            </w:r>
          </w:p>
        </w:tc>
      </w:tr>
      <w:tr w:rsidR="006C686E" w14:paraId="67F9164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B3E7C08" w14:textId="77777777" w:rsidR="006C686E" w:rsidRDefault="00B17E8C">
            <w:pPr>
              <w:pStyle w:val="P68B1DB1-Normal63"/>
              <w:spacing w:after="0" w:line="276" w:lineRule="auto"/>
              <w:jc w:val="center"/>
              <w:rPr>
                <w:noProof/>
              </w:rPr>
            </w:pPr>
            <w:r>
              <w:rPr>
                <w:noProof/>
              </w:rPr>
              <w:t>21.6</w:t>
            </w:r>
          </w:p>
        </w:tc>
        <w:tc>
          <w:tcPr>
            <w:tcW w:w="2812" w:type="dxa"/>
            <w:tcBorders>
              <w:top w:val="nil"/>
              <w:left w:val="nil"/>
              <w:bottom w:val="single" w:sz="4" w:space="0" w:color="auto"/>
              <w:right w:val="single" w:sz="4" w:space="0" w:color="auto"/>
            </w:tcBorders>
            <w:shd w:val="clear" w:color="auto" w:fill="C4EFCE"/>
            <w:vAlign w:val="center"/>
          </w:tcPr>
          <w:p w14:paraId="07292723" w14:textId="77777777" w:rsidR="006C686E" w:rsidRDefault="00B17E8C">
            <w:pPr>
              <w:pStyle w:val="P68B1DB1-Normal63"/>
              <w:spacing w:after="0" w:line="276" w:lineRule="auto"/>
              <w:jc w:val="center"/>
              <w:rPr>
                <w:noProof/>
              </w:rPr>
            </w:pPr>
            <w:r>
              <w:rPr>
                <w:noProof/>
              </w:rPr>
              <w:t>RP-21-i04-RAM</w:t>
            </w:r>
          </w:p>
        </w:tc>
        <w:tc>
          <w:tcPr>
            <w:tcW w:w="1232" w:type="dxa"/>
            <w:tcBorders>
              <w:top w:val="nil"/>
              <w:left w:val="nil"/>
              <w:bottom w:val="single" w:sz="4" w:space="0" w:color="auto"/>
              <w:right w:val="single" w:sz="4" w:space="0" w:color="auto"/>
            </w:tcBorders>
            <w:shd w:val="clear" w:color="auto" w:fill="C4EFCE"/>
            <w:vAlign w:val="center"/>
          </w:tcPr>
          <w:p w14:paraId="50CF103A"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2AE68D9" w14:textId="217DA72C" w:rsidR="006C686E" w:rsidRDefault="00B17E8C">
            <w:pPr>
              <w:pStyle w:val="P68B1DB1-Normal64"/>
              <w:spacing w:after="0" w:line="276" w:lineRule="auto"/>
              <w:jc w:val="both"/>
              <w:rPr>
                <w:noProof/>
                <w:kern w:val="0"/>
                <w14:ligatures w14:val="none"/>
              </w:rPr>
            </w:pPr>
            <w:r>
              <w:rPr>
                <w:noProof/>
                <w:kern w:val="0"/>
                <w14:ligatures w14:val="none"/>
              </w:rPr>
              <w:t xml:space="preserve">Rénovation de l'efficacité énergétique dans les bâtiments de l'administration publique </w:t>
            </w:r>
            <w:r>
              <w:rPr>
                <w:noProof/>
              </w:rPr>
              <w:t>ou régionale</w:t>
            </w:r>
          </w:p>
        </w:tc>
      </w:tr>
      <w:tr w:rsidR="006C686E" w14:paraId="1CD7D5BB"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9D7E27A" w14:textId="77777777" w:rsidR="006C686E" w:rsidRDefault="00B17E8C">
            <w:pPr>
              <w:pStyle w:val="P68B1DB1-Normal63"/>
              <w:spacing w:after="0" w:line="276" w:lineRule="auto"/>
              <w:jc w:val="center"/>
              <w:rPr>
                <w:noProof/>
              </w:rPr>
            </w:pPr>
            <w:r>
              <w:rPr>
                <w:noProof/>
              </w:rPr>
              <w:t>21.13</w:t>
            </w:r>
          </w:p>
        </w:tc>
        <w:tc>
          <w:tcPr>
            <w:tcW w:w="2812" w:type="dxa"/>
            <w:tcBorders>
              <w:top w:val="nil"/>
              <w:left w:val="nil"/>
              <w:bottom w:val="single" w:sz="4" w:space="0" w:color="auto"/>
              <w:right w:val="single" w:sz="4" w:space="0" w:color="auto"/>
            </w:tcBorders>
            <w:shd w:val="clear" w:color="auto" w:fill="C4EFCE"/>
            <w:vAlign w:val="center"/>
          </w:tcPr>
          <w:p w14:paraId="4A184FDD" w14:textId="77777777" w:rsidR="006C686E" w:rsidRDefault="00B17E8C">
            <w:pPr>
              <w:pStyle w:val="P68B1DB1-Normal63"/>
              <w:spacing w:after="0" w:line="276" w:lineRule="auto"/>
              <w:jc w:val="center"/>
              <w:rPr>
                <w:noProof/>
              </w:rPr>
            </w:pPr>
            <w:r>
              <w:rPr>
                <w:noProof/>
              </w:rPr>
              <w:t>RP-C21-i05</w:t>
            </w:r>
          </w:p>
        </w:tc>
        <w:tc>
          <w:tcPr>
            <w:tcW w:w="1232" w:type="dxa"/>
            <w:tcBorders>
              <w:top w:val="nil"/>
              <w:left w:val="nil"/>
              <w:bottom w:val="single" w:sz="4" w:space="0" w:color="auto"/>
              <w:right w:val="single" w:sz="4" w:space="0" w:color="auto"/>
            </w:tcBorders>
            <w:shd w:val="clear" w:color="auto" w:fill="C4EFCE"/>
            <w:vAlign w:val="center"/>
          </w:tcPr>
          <w:p w14:paraId="21BCC08E"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133D74F" w14:textId="77777777" w:rsidR="006C686E" w:rsidRDefault="00B17E8C">
            <w:pPr>
              <w:pStyle w:val="P68B1DB1-Normal63"/>
              <w:spacing w:after="0" w:line="276" w:lineRule="auto"/>
              <w:jc w:val="both"/>
              <w:rPr>
                <w:noProof/>
              </w:rPr>
            </w:pPr>
            <w:r>
              <w:rPr>
                <w:noProof/>
              </w:rPr>
              <w:t>Au moins 5 projets industriels dans le domaine des technologies pour la transition climatique</w:t>
            </w:r>
          </w:p>
        </w:tc>
      </w:tr>
      <w:tr w:rsidR="006C686E" w14:paraId="62BC471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F2F2D38" w14:textId="77777777" w:rsidR="006C686E" w:rsidRDefault="00B17E8C">
            <w:pPr>
              <w:pStyle w:val="P68B1DB1-Normal63"/>
              <w:spacing w:after="0" w:line="276" w:lineRule="auto"/>
              <w:jc w:val="center"/>
              <w:rPr>
                <w:noProof/>
              </w:rPr>
            </w:pPr>
            <w:r>
              <w:rPr>
                <w:noProof/>
              </w:rPr>
              <w:t>21.44</w:t>
            </w:r>
          </w:p>
        </w:tc>
        <w:tc>
          <w:tcPr>
            <w:tcW w:w="2812" w:type="dxa"/>
            <w:tcBorders>
              <w:top w:val="nil"/>
              <w:left w:val="nil"/>
              <w:bottom w:val="single" w:sz="4" w:space="0" w:color="auto"/>
              <w:right w:val="single" w:sz="4" w:space="0" w:color="auto"/>
            </w:tcBorders>
            <w:shd w:val="clear" w:color="auto" w:fill="C4EFCE"/>
            <w:vAlign w:val="center"/>
          </w:tcPr>
          <w:p w14:paraId="6FE67F5A" w14:textId="77777777" w:rsidR="006C686E" w:rsidRDefault="00B17E8C">
            <w:pPr>
              <w:pStyle w:val="P68B1DB1-Normal63"/>
              <w:spacing w:after="0" w:line="276" w:lineRule="auto"/>
              <w:jc w:val="center"/>
              <w:rPr>
                <w:noProof/>
              </w:rPr>
            </w:pPr>
            <w:r>
              <w:rPr>
                <w:noProof/>
              </w:rPr>
              <w:t>RP-C21-r48</w:t>
            </w:r>
          </w:p>
        </w:tc>
        <w:tc>
          <w:tcPr>
            <w:tcW w:w="1232" w:type="dxa"/>
            <w:tcBorders>
              <w:top w:val="nil"/>
              <w:left w:val="nil"/>
              <w:bottom w:val="single" w:sz="4" w:space="0" w:color="auto"/>
              <w:right w:val="single" w:sz="4" w:space="0" w:color="auto"/>
            </w:tcBorders>
            <w:shd w:val="clear" w:color="auto" w:fill="C4EFCE"/>
            <w:vAlign w:val="center"/>
          </w:tcPr>
          <w:p w14:paraId="78B0A0DE"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B186A8C" w14:textId="77777777" w:rsidR="006C686E" w:rsidRDefault="00B17E8C">
            <w:pPr>
              <w:pStyle w:val="P68B1DB1-Normal63"/>
              <w:spacing w:after="0" w:line="276" w:lineRule="auto"/>
              <w:jc w:val="both"/>
              <w:rPr>
                <w:noProof/>
              </w:rPr>
            </w:pPr>
            <w:r>
              <w:rPr>
                <w:noProof/>
              </w:rPr>
              <w:t>Formation à l’octroi de permis pour des projets dans le domaine des énergies renouvelables</w:t>
            </w:r>
          </w:p>
        </w:tc>
      </w:tr>
      <w:tr w:rsidR="006C686E" w14:paraId="114099F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00FD99" w14:textId="77777777" w:rsidR="006C686E" w:rsidRDefault="00B17E8C">
            <w:pPr>
              <w:pStyle w:val="P68B1DB1-Normal63"/>
              <w:spacing w:after="0" w:line="276" w:lineRule="auto"/>
              <w:jc w:val="center"/>
              <w:rPr>
                <w:noProof/>
              </w:rPr>
            </w:pPr>
            <w:r>
              <w:rPr>
                <w:noProof/>
              </w:rPr>
              <w:t>21.23</w:t>
            </w:r>
          </w:p>
        </w:tc>
        <w:tc>
          <w:tcPr>
            <w:tcW w:w="2812" w:type="dxa"/>
            <w:tcBorders>
              <w:top w:val="nil"/>
              <w:left w:val="nil"/>
              <w:bottom w:val="single" w:sz="4" w:space="0" w:color="auto"/>
              <w:right w:val="single" w:sz="4" w:space="0" w:color="auto"/>
            </w:tcBorders>
            <w:shd w:val="clear" w:color="auto" w:fill="C4EFCE"/>
            <w:vAlign w:val="center"/>
          </w:tcPr>
          <w:p w14:paraId="7D0DBD28" w14:textId="77777777" w:rsidR="006C686E" w:rsidRDefault="00B17E8C">
            <w:pPr>
              <w:pStyle w:val="P68B1DB1-Normal63"/>
              <w:spacing w:after="0" w:line="276" w:lineRule="auto"/>
              <w:jc w:val="center"/>
              <w:rPr>
                <w:noProof/>
              </w:rPr>
            </w:pPr>
            <w:r>
              <w:rPr>
                <w:noProof/>
              </w:rPr>
              <w:t>RP-C21-r48</w:t>
            </w:r>
          </w:p>
        </w:tc>
        <w:tc>
          <w:tcPr>
            <w:tcW w:w="1232" w:type="dxa"/>
            <w:tcBorders>
              <w:top w:val="nil"/>
              <w:left w:val="nil"/>
              <w:bottom w:val="single" w:sz="4" w:space="0" w:color="auto"/>
              <w:right w:val="single" w:sz="4" w:space="0" w:color="auto"/>
            </w:tcBorders>
            <w:shd w:val="clear" w:color="auto" w:fill="C4EFCE"/>
            <w:vAlign w:val="center"/>
          </w:tcPr>
          <w:p w14:paraId="131E9B00"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82CFF08" w14:textId="77777777" w:rsidR="006C686E" w:rsidRDefault="00B17E8C">
            <w:pPr>
              <w:pStyle w:val="P68B1DB1-Normal63"/>
              <w:spacing w:after="0" w:line="276" w:lineRule="auto"/>
              <w:jc w:val="both"/>
              <w:rPr>
                <w:noProof/>
              </w:rPr>
            </w:pPr>
            <w:r>
              <w:rPr>
                <w:noProof/>
              </w:rPr>
              <w:t>Calendrier d'attribution des nouvelles capacités en matière d'énergies renouvelables</w:t>
            </w:r>
          </w:p>
        </w:tc>
      </w:tr>
      <w:tr w:rsidR="006C686E" w14:paraId="5A6FB2D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65E89B0" w14:textId="77777777" w:rsidR="006C686E" w:rsidRDefault="00B17E8C">
            <w:pPr>
              <w:pStyle w:val="P68B1DB1-Normal63"/>
              <w:spacing w:after="0" w:line="276" w:lineRule="auto"/>
              <w:jc w:val="center"/>
              <w:rPr>
                <w:noProof/>
              </w:rPr>
            </w:pPr>
            <w:r>
              <w:rPr>
                <w:noProof/>
              </w:rPr>
              <w:t>21.27</w:t>
            </w:r>
          </w:p>
        </w:tc>
        <w:tc>
          <w:tcPr>
            <w:tcW w:w="2812" w:type="dxa"/>
            <w:tcBorders>
              <w:top w:val="nil"/>
              <w:left w:val="nil"/>
              <w:bottom w:val="single" w:sz="4" w:space="0" w:color="auto"/>
              <w:right w:val="single" w:sz="4" w:space="0" w:color="auto"/>
            </w:tcBorders>
            <w:shd w:val="clear" w:color="auto" w:fill="C4EFCE"/>
            <w:vAlign w:val="center"/>
          </w:tcPr>
          <w:p w14:paraId="23D52EA8" w14:textId="77777777" w:rsidR="006C686E" w:rsidRDefault="00B17E8C">
            <w:pPr>
              <w:pStyle w:val="P68B1DB1-Normal63"/>
              <w:spacing w:after="0" w:line="276" w:lineRule="auto"/>
              <w:jc w:val="center"/>
              <w:rPr>
                <w:noProof/>
              </w:rPr>
            </w:pPr>
            <w:r>
              <w:rPr>
                <w:noProof/>
              </w:rPr>
              <w:t>RP-C21-i07</w:t>
            </w:r>
          </w:p>
        </w:tc>
        <w:tc>
          <w:tcPr>
            <w:tcW w:w="1232" w:type="dxa"/>
            <w:tcBorders>
              <w:top w:val="nil"/>
              <w:left w:val="nil"/>
              <w:bottom w:val="single" w:sz="4" w:space="0" w:color="auto"/>
              <w:right w:val="single" w:sz="4" w:space="0" w:color="auto"/>
            </w:tcBorders>
            <w:shd w:val="clear" w:color="auto" w:fill="C4EFCE"/>
            <w:vAlign w:val="center"/>
          </w:tcPr>
          <w:p w14:paraId="446BB77A"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36A91FE" w14:textId="77777777" w:rsidR="006C686E" w:rsidRDefault="00B17E8C">
            <w:pPr>
              <w:pStyle w:val="P68B1DB1-Normal63"/>
              <w:spacing w:after="0" w:line="276" w:lineRule="auto"/>
              <w:jc w:val="both"/>
              <w:rPr>
                <w:noProof/>
              </w:rPr>
            </w:pPr>
            <w:r>
              <w:rPr>
                <w:noProof/>
              </w:rPr>
              <w:t>Publication d'études techniques pour l'éolien offshore</w:t>
            </w:r>
          </w:p>
        </w:tc>
      </w:tr>
      <w:tr w:rsidR="006C686E" w14:paraId="3D667BB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0A0EDD" w14:textId="77777777" w:rsidR="006C686E" w:rsidRDefault="00B17E8C">
            <w:pPr>
              <w:pStyle w:val="P68B1DB1-Normal63"/>
              <w:spacing w:after="0" w:line="276" w:lineRule="auto"/>
              <w:jc w:val="center"/>
              <w:rPr>
                <w:noProof/>
              </w:rPr>
            </w:pPr>
            <w:r>
              <w:rPr>
                <w:noProof/>
              </w:rPr>
              <w:t>21.34</w:t>
            </w:r>
          </w:p>
        </w:tc>
        <w:tc>
          <w:tcPr>
            <w:tcW w:w="2812" w:type="dxa"/>
            <w:tcBorders>
              <w:top w:val="nil"/>
              <w:left w:val="nil"/>
              <w:bottom w:val="single" w:sz="4" w:space="0" w:color="auto"/>
              <w:right w:val="single" w:sz="4" w:space="0" w:color="auto"/>
            </w:tcBorders>
            <w:shd w:val="clear" w:color="auto" w:fill="C4EFCE"/>
            <w:vAlign w:val="center"/>
          </w:tcPr>
          <w:p w14:paraId="3BE8F40D" w14:textId="77777777" w:rsidR="006C686E" w:rsidRDefault="00B17E8C">
            <w:pPr>
              <w:pStyle w:val="P68B1DB1-Normal63"/>
              <w:spacing w:after="0" w:line="276" w:lineRule="auto"/>
              <w:jc w:val="center"/>
              <w:rPr>
                <w:noProof/>
              </w:rPr>
            </w:pPr>
            <w:r>
              <w:rPr>
                <w:noProof/>
              </w:rPr>
              <w:t>RP-C21-i11-RAM</w:t>
            </w:r>
          </w:p>
        </w:tc>
        <w:tc>
          <w:tcPr>
            <w:tcW w:w="1232" w:type="dxa"/>
            <w:tcBorders>
              <w:top w:val="nil"/>
              <w:left w:val="nil"/>
              <w:bottom w:val="single" w:sz="4" w:space="0" w:color="auto"/>
              <w:right w:val="single" w:sz="4" w:space="0" w:color="auto"/>
            </w:tcBorders>
            <w:shd w:val="clear" w:color="auto" w:fill="C4EFCE"/>
            <w:vAlign w:val="center"/>
          </w:tcPr>
          <w:p w14:paraId="72E7604D"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166520D" w14:textId="77777777" w:rsidR="006C686E" w:rsidRDefault="00B17E8C">
            <w:pPr>
              <w:pStyle w:val="P68B1DB1-Normal63"/>
              <w:spacing w:after="0" w:line="276" w:lineRule="auto"/>
              <w:jc w:val="both"/>
              <w:rPr>
                <w:noProof/>
              </w:rPr>
            </w:pPr>
            <w:r>
              <w:rPr>
                <w:noProof/>
              </w:rPr>
              <w:t>Installation d'une capacité d'énergie renouvelable</w:t>
            </w:r>
          </w:p>
        </w:tc>
      </w:tr>
      <w:tr w:rsidR="006C686E" w14:paraId="32C587E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FA5D249" w14:textId="77777777" w:rsidR="006C686E" w:rsidRDefault="00B17E8C">
            <w:pPr>
              <w:pStyle w:val="P68B1DB1-Normal63"/>
              <w:spacing w:after="0" w:line="276" w:lineRule="auto"/>
              <w:jc w:val="center"/>
              <w:rPr>
                <w:noProof/>
              </w:rPr>
            </w:pPr>
            <w:r>
              <w:rPr>
                <w:noProof/>
              </w:rPr>
              <w:t>21.36</w:t>
            </w:r>
          </w:p>
        </w:tc>
        <w:tc>
          <w:tcPr>
            <w:tcW w:w="2812" w:type="dxa"/>
            <w:tcBorders>
              <w:top w:val="nil"/>
              <w:left w:val="nil"/>
              <w:bottom w:val="single" w:sz="4" w:space="0" w:color="auto"/>
              <w:right w:val="single" w:sz="4" w:space="0" w:color="auto"/>
            </w:tcBorders>
            <w:shd w:val="clear" w:color="auto" w:fill="C4EFCE"/>
            <w:vAlign w:val="center"/>
          </w:tcPr>
          <w:p w14:paraId="3780FF14" w14:textId="77777777" w:rsidR="006C686E" w:rsidRDefault="00B17E8C">
            <w:pPr>
              <w:pStyle w:val="P68B1DB1-Normal63"/>
              <w:spacing w:after="0" w:line="276" w:lineRule="auto"/>
              <w:jc w:val="center"/>
              <w:rPr>
                <w:noProof/>
              </w:rPr>
            </w:pPr>
            <w:r>
              <w:rPr>
                <w:noProof/>
              </w:rPr>
              <w:t>RP-C21-i12</w:t>
            </w:r>
          </w:p>
        </w:tc>
        <w:tc>
          <w:tcPr>
            <w:tcW w:w="1232" w:type="dxa"/>
            <w:tcBorders>
              <w:top w:val="nil"/>
              <w:left w:val="nil"/>
              <w:bottom w:val="single" w:sz="4" w:space="0" w:color="auto"/>
              <w:right w:val="single" w:sz="4" w:space="0" w:color="auto"/>
            </w:tcBorders>
            <w:shd w:val="clear" w:color="auto" w:fill="C4EFCE"/>
            <w:vAlign w:val="center"/>
          </w:tcPr>
          <w:p w14:paraId="6AC683D2" w14:textId="5DD5A4C7" w:rsidR="006C686E" w:rsidRDefault="00B17E8C">
            <w:pPr>
              <w:pStyle w:val="P68B1DB1-Normal60"/>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CBBFC29" w14:textId="77777777" w:rsidR="006C686E" w:rsidRDefault="00B17E8C">
            <w:pPr>
              <w:pStyle w:val="P68B1DB1-Normal63"/>
              <w:spacing w:after="0" w:line="276" w:lineRule="auto"/>
              <w:jc w:val="both"/>
              <w:rPr>
                <w:noProof/>
              </w:rPr>
            </w:pPr>
            <w:r>
              <w:rPr>
                <w:noProof/>
              </w:rPr>
              <w:t xml:space="preserve">Livraison d’autobus à émissions nulles </w:t>
            </w:r>
          </w:p>
        </w:tc>
      </w:tr>
      <w:tr w:rsidR="006C686E" w14:paraId="38B9869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EFAE4E2" w14:textId="77777777" w:rsidR="006C686E" w:rsidRDefault="00B17E8C">
            <w:pPr>
              <w:pStyle w:val="P68B1DB1-Normal63"/>
              <w:spacing w:after="0" w:line="276" w:lineRule="auto"/>
              <w:jc w:val="center"/>
              <w:rPr>
                <w:noProof/>
              </w:rPr>
            </w:pPr>
            <w:r>
              <w:rPr>
                <w:noProof/>
              </w:rPr>
              <w:t>21.37</w:t>
            </w:r>
          </w:p>
        </w:tc>
        <w:tc>
          <w:tcPr>
            <w:tcW w:w="2812" w:type="dxa"/>
            <w:tcBorders>
              <w:top w:val="nil"/>
              <w:left w:val="nil"/>
              <w:bottom w:val="single" w:sz="4" w:space="0" w:color="auto"/>
              <w:right w:val="single" w:sz="4" w:space="0" w:color="auto"/>
            </w:tcBorders>
            <w:shd w:val="clear" w:color="auto" w:fill="C4EFCE"/>
            <w:vAlign w:val="center"/>
          </w:tcPr>
          <w:p w14:paraId="5A2B8EA3" w14:textId="77777777" w:rsidR="006C686E" w:rsidRDefault="00B17E8C">
            <w:pPr>
              <w:pStyle w:val="P68B1DB1-Normal63"/>
              <w:spacing w:after="0" w:line="276" w:lineRule="auto"/>
              <w:jc w:val="center"/>
              <w:rPr>
                <w:noProof/>
              </w:rPr>
            </w:pPr>
            <w:r>
              <w:rPr>
                <w:noProof/>
              </w:rPr>
              <w:t>RP-C21-i13-RAM</w:t>
            </w:r>
          </w:p>
        </w:tc>
        <w:tc>
          <w:tcPr>
            <w:tcW w:w="1232" w:type="dxa"/>
            <w:tcBorders>
              <w:top w:val="nil"/>
              <w:left w:val="nil"/>
              <w:bottom w:val="single" w:sz="4" w:space="0" w:color="auto"/>
              <w:right w:val="single" w:sz="4" w:space="0" w:color="auto"/>
            </w:tcBorders>
            <w:shd w:val="clear" w:color="auto" w:fill="C4EFCE"/>
            <w:vAlign w:val="center"/>
          </w:tcPr>
          <w:p w14:paraId="540BE991" w14:textId="77777777" w:rsidR="006C686E" w:rsidRDefault="00B17E8C">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80C3E29" w14:textId="3BDEF099" w:rsidR="006C686E" w:rsidRDefault="00B17E8C">
            <w:pPr>
              <w:pStyle w:val="P68B1DB1-Normal63"/>
              <w:spacing w:after="0" w:line="276" w:lineRule="auto"/>
              <w:jc w:val="both"/>
              <w:rPr>
                <w:noProof/>
                <w:color w:val="000000" w:themeColor="text1"/>
              </w:rPr>
            </w:pPr>
            <w:r>
              <w:rPr>
                <w:noProof/>
              </w:rPr>
              <w:t>Livraison d’autobus à émissions nulles, mise au rebut de véhicules et achat de véhicules électriques</w:t>
            </w:r>
          </w:p>
        </w:tc>
      </w:tr>
      <w:tr w:rsidR="006C686E" w14:paraId="415CE12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C7C8278" w14:textId="77777777" w:rsidR="006C686E" w:rsidRDefault="00B17E8C">
            <w:pPr>
              <w:pStyle w:val="P68B1DB1-Normal63"/>
              <w:spacing w:after="0" w:line="276" w:lineRule="auto"/>
              <w:jc w:val="center"/>
              <w:rPr>
                <w:noProof/>
              </w:rPr>
            </w:pPr>
            <w:r>
              <w:rPr>
                <w:noProof/>
              </w:rPr>
              <w:t>21.43</w:t>
            </w:r>
          </w:p>
        </w:tc>
        <w:tc>
          <w:tcPr>
            <w:tcW w:w="2812" w:type="dxa"/>
            <w:tcBorders>
              <w:top w:val="nil"/>
              <w:left w:val="nil"/>
              <w:bottom w:val="single" w:sz="4" w:space="0" w:color="auto"/>
              <w:right w:val="single" w:sz="4" w:space="0" w:color="auto"/>
            </w:tcBorders>
            <w:shd w:val="clear" w:color="auto" w:fill="C4EFCE"/>
            <w:vAlign w:val="center"/>
          </w:tcPr>
          <w:p w14:paraId="0FA5F7E9" w14:textId="77777777" w:rsidR="006C686E" w:rsidRDefault="00B17E8C">
            <w:pPr>
              <w:pStyle w:val="P68B1DB1-Normal63"/>
              <w:spacing w:after="0" w:line="276" w:lineRule="auto"/>
              <w:jc w:val="center"/>
              <w:rPr>
                <w:noProof/>
              </w:rPr>
            </w:pPr>
            <w:r>
              <w:rPr>
                <w:noProof/>
              </w:rPr>
              <w:t>RP-C21-i16</w:t>
            </w:r>
          </w:p>
        </w:tc>
        <w:tc>
          <w:tcPr>
            <w:tcW w:w="1232" w:type="dxa"/>
            <w:tcBorders>
              <w:top w:val="nil"/>
              <w:left w:val="nil"/>
              <w:bottom w:val="single" w:sz="4" w:space="0" w:color="auto"/>
              <w:right w:val="single" w:sz="4" w:space="0" w:color="auto"/>
            </w:tcBorders>
            <w:shd w:val="clear" w:color="auto" w:fill="C4EFCE"/>
            <w:vAlign w:val="center"/>
          </w:tcPr>
          <w:p w14:paraId="6D244F9A" w14:textId="77777777" w:rsidR="006C686E" w:rsidRDefault="00B17E8C">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50EBC5C" w14:textId="77777777" w:rsidR="006C686E" w:rsidRDefault="00B17E8C">
            <w:pPr>
              <w:pStyle w:val="P68B1DB1-Normal63"/>
              <w:spacing w:after="0" w:line="276" w:lineRule="auto"/>
              <w:jc w:val="both"/>
              <w:rPr>
                <w:noProof/>
              </w:rPr>
            </w:pPr>
            <w:r>
              <w:rPr>
                <w:noProof/>
              </w:rPr>
              <w:t>Construction d'un funiculaire</w:t>
            </w:r>
          </w:p>
        </w:tc>
      </w:tr>
      <w:tr w:rsidR="006C686E" w14:paraId="7A23FD2C" w14:textId="77777777">
        <w:trPr>
          <w:trHeight w:val="300"/>
        </w:trPr>
        <w:tc>
          <w:tcPr>
            <w:tcW w:w="1300" w:type="dxa"/>
            <w:tcBorders>
              <w:top w:val="nil"/>
              <w:left w:val="single" w:sz="4" w:space="0" w:color="auto"/>
              <w:bottom w:val="single" w:sz="4" w:space="0" w:color="auto"/>
              <w:right w:val="single" w:sz="4" w:space="0" w:color="auto"/>
            </w:tcBorders>
            <w:shd w:val="clear" w:color="auto" w:fill="C4EFCE"/>
            <w:vAlign w:val="center"/>
          </w:tcPr>
          <w:p w14:paraId="0B9AB5CC" w14:textId="77777777" w:rsidR="006C686E" w:rsidRDefault="00B17E8C">
            <w:pPr>
              <w:pStyle w:val="P68B1DB1-Normal64"/>
              <w:spacing w:line="276" w:lineRule="auto"/>
              <w:jc w:val="center"/>
              <w:rPr>
                <w:noProof/>
              </w:rPr>
            </w:pPr>
            <w:r>
              <w:rPr>
                <w:noProof/>
              </w:rPr>
              <w:t>21.48</w:t>
            </w:r>
          </w:p>
        </w:tc>
        <w:tc>
          <w:tcPr>
            <w:tcW w:w="2812" w:type="dxa"/>
            <w:tcBorders>
              <w:top w:val="nil"/>
              <w:left w:val="nil"/>
              <w:bottom w:val="single" w:sz="4" w:space="0" w:color="auto"/>
              <w:right w:val="single" w:sz="4" w:space="0" w:color="auto"/>
            </w:tcBorders>
            <w:shd w:val="clear" w:color="auto" w:fill="C4EFCE"/>
            <w:vAlign w:val="center"/>
          </w:tcPr>
          <w:p w14:paraId="493D12A6" w14:textId="77777777" w:rsidR="006C686E" w:rsidRDefault="00B17E8C">
            <w:pPr>
              <w:pStyle w:val="P68B1DB1-Normal63"/>
              <w:spacing w:after="0" w:line="240" w:lineRule="auto"/>
              <w:jc w:val="center"/>
              <w:rPr>
                <w:noProof/>
              </w:rPr>
            </w:pPr>
            <w:r>
              <w:rPr>
                <w:noProof/>
              </w:rPr>
              <w:t>RP-C21-i18</w:t>
            </w:r>
          </w:p>
        </w:tc>
        <w:tc>
          <w:tcPr>
            <w:tcW w:w="1232" w:type="dxa"/>
            <w:tcBorders>
              <w:top w:val="nil"/>
              <w:left w:val="nil"/>
              <w:bottom w:val="single" w:sz="4" w:space="0" w:color="auto"/>
              <w:right w:val="single" w:sz="4" w:space="0" w:color="auto"/>
            </w:tcBorders>
            <w:shd w:val="clear" w:color="auto" w:fill="C4EFCE"/>
            <w:vAlign w:val="center"/>
          </w:tcPr>
          <w:p w14:paraId="47014558" w14:textId="77777777" w:rsidR="006C686E" w:rsidRDefault="00B17E8C">
            <w:pPr>
              <w:pStyle w:val="P68B1DB1-Normal64"/>
              <w:spacing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6CE0F0C" w14:textId="77777777" w:rsidR="006C686E" w:rsidRDefault="00B17E8C">
            <w:pPr>
              <w:pStyle w:val="P68B1DB1-Normal64"/>
              <w:spacing w:line="276" w:lineRule="auto"/>
              <w:jc w:val="both"/>
              <w:rPr>
                <w:noProof/>
              </w:rPr>
            </w:pPr>
            <w:r>
              <w:rPr>
                <w:noProof/>
              </w:rPr>
              <w:t>Accords juridiques signés avec les bénéficiaires finaux et le ministère a achevé l'investissement</w:t>
            </w:r>
          </w:p>
        </w:tc>
      </w:tr>
      <w:tr w:rsidR="006C686E" w14:paraId="418CFE3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hideMark/>
          </w:tcPr>
          <w:p w14:paraId="51B47B91" w14:textId="77777777" w:rsidR="006C686E" w:rsidRDefault="006C686E">
            <w:pPr>
              <w:spacing w:after="0" w:line="276" w:lineRule="auto"/>
              <w:jc w:val="center"/>
              <w:rPr>
                <w:rFonts w:ascii="Times New Roman" w:eastAsia="Calibri" w:hAnsi="Times New Roman" w:cs="Times New Roman"/>
                <w:noProof/>
                <w:kern w:val="0"/>
                <w:sz w:val="20"/>
                <w:szCs w:val="20"/>
                <w14:ligatures w14:val="none"/>
              </w:rPr>
            </w:pPr>
          </w:p>
        </w:tc>
        <w:tc>
          <w:tcPr>
            <w:tcW w:w="2812" w:type="dxa"/>
            <w:tcBorders>
              <w:top w:val="nil"/>
              <w:left w:val="nil"/>
              <w:bottom w:val="single" w:sz="4" w:space="0" w:color="auto"/>
              <w:right w:val="single" w:sz="4" w:space="0" w:color="auto"/>
            </w:tcBorders>
            <w:shd w:val="clear" w:color="auto" w:fill="C4EFCE"/>
            <w:vAlign w:val="center"/>
            <w:hideMark/>
          </w:tcPr>
          <w:p w14:paraId="13F549D0" w14:textId="77777777" w:rsidR="006C686E" w:rsidRDefault="006C686E">
            <w:pPr>
              <w:spacing w:after="0" w:line="276" w:lineRule="auto"/>
              <w:jc w:val="center"/>
              <w:rPr>
                <w:rFonts w:ascii="Times New Roman" w:eastAsia="Calibri" w:hAnsi="Times New Roman" w:cs="Times New Roman"/>
                <w:noProof/>
                <w:kern w:val="0"/>
                <w:sz w:val="20"/>
                <w:szCs w:val="20"/>
                <w14:ligatures w14:val="none"/>
              </w:rPr>
            </w:pPr>
          </w:p>
        </w:tc>
        <w:tc>
          <w:tcPr>
            <w:tcW w:w="1232" w:type="dxa"/>
            <w:tcBorders>
              <w:top w:val="nil"/>
              <w:left w:val="nil"/>
              <w:bottom w:val="single" w:sz="4" w:space="0" w:color="auto"/>
              <w:right w:val="single" w:sz="4" w:space="0" w:color="auto"/>
            </w:tcBorders>
            <w:shd w:val="clear" w:color="auto" w:fill="C4EFCE"/>
            <w:vAlign w:val="center"/>
            <w:hideMark/>
          </w:tcPr>
          <w:p w14:paraId="441D65C3"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4151" w:type="dxa"/>
            <w:tcBorders>
              <w:top w:val="nil"/>
              <w:left w:val="nil"/>
              <w:bottom w:val="single" w:sz="4" w:space="0" w:color="auto"/>
              <w:right w:val="single" w:sz="4" w:space="0" w:color="auto"/>
            </w:tcBorders>
            <w:shd w:val="clear" w:color="auto" w:fill="C4EFCE"/>
            <w:vAlign w:val="center"/>
            <w:hideMark/>
          </w:tcPr>
          <w:p w14:paraId="36D5C255" w14:textId="2D0F3702" w:rsidR="006C686E" w:rsidRDefault="00B17E8C">
            <w:pPr>
              <w:pStyle w:val="P68B1DB1-Normal61"/>
              <w:spacing w:after="0" w:line="240" w:lineRule="auto"/>
              <w:jc w:val="center"/>
              <w:rPr>
                <w:iCs/>
                <w:noProof/>
                <w:sz w:val="20"/>
                <w:szCs w:val="20"/>
              </w:rPr>
            </w:pPr>
            <w:r>
              <w:rPr>
                <w:noProof/>
              </w:rPr>
              <w:t>3 667 313 866 EUR</w:t>
            </w:r>
          </w:p>
        </w:tc>
      </w:tr>
    </w:tbl>
    <w:p w14:paraId="1E465A5A" w14:textId="77777777" w:rsidR="006C686E" w:rsidRDefault="00B17E8C">
      <w:pPr>
        <w:pStyle w:val="P68B1DB1-Normal1"/>
        <w:keepNext/>
        <w:numPr>
          <w:ilvl w:val="0"/>
          <w:numId w:val="71"/>
        </w:numPr>
        <w:spacing w:before="40" w:after="0" w:line="276" w:lineRule="auto"/>
        <w:jc w:val="both"/>
        <w:outlineLvl w:val="1"/>
        <w:rPr>
          <w:rFonts w:eastAsia="Times New Roman"/>
          <w:noProof/>
          <w:szCs w:val="26"/>
        </w:rPr>
      </w:pPr>
      <w:r>
        <w:rPr>
          <w:noProof/>
        </w:rPr>
        <w:t xml:space="preserve">Prêt </w:t>
      </w:r>
    </w:p>
    <w:p w14:paraId="0C04ED1D" w14:textId="77777777" w:rsidR="006C686E" w:rsidRDefault="00B17E8C">
      <w:pPr>
        <w:pStyle w:val="P68B1DB1-Normal4"/>
        <w:keepNext/>
        <w:spacing w:before="40" w:after="0"/>
        <w:jc w:val="both"/>
        <w:rPr>
          <w:rFonts w:eastAsia="Times New Roman"/>
          <w:bCs/>
          <w:noProof/>
          <w:szCs w:val="26"/>
        </w:rPr>
      </w:pPr>
      <w:r>
        <w:rPr>
          <w:noProof/>
        </w:rPr>
        <w:t>Les tranches visées à l'article 3, paragraphe 2, sont organisées de la manière suivante:</w:t>
      </w:r>
    </w:p>
    <w:p w14:paraId="340930C7" w14:textId="77777777" w:rsidR="006C686E" w:rsidRDefault="006C686E">
      <w:pPr>
        <w:keepNext/>
        <w:ind w:left="360"/>
        <w:contextualSpacing/>
        <w:jc w:val="both"/>
        <w:rPr>
          <w:rFonts w:ascii="Times New Roman" w:eastAsia="Times New Roman" w:hAnsi="Times New Roman" w:cs="Times New Roman"/>
          <w:bCs/>
          <w:noProof/>
          <w:kern w:val="0"/>
          <w14:ligatures w14:val="none"/>
        </w:rPr>
      </w:pPr>
    </w:p>
    <w:p w14:paraId="5FA10175"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Première tranche (soutien sous forme de prêt):</w:t>
      </w:r>
    </w:p>
    <w:p w14:paraId="3EC1C410"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76393093" w14:textId="77777777">
        <w:trPr>
          <w:trHeight w:val="509"/>
          <w:tblHeader/>
        </w:trPr>
        <w:tc>
          <w:tcPr>
            <w:tcW w:w="1200" w:type="dxa"/>
            <w:vMerge w:val="restart"/>
            <w:shd w:val="clear" w:color="auto" w:fill="BDD7EE"/>
            <w:vAlign w:val="center"/>
            <w:hideMark/>
          </w:tcPr>
          <w:p w14:paraId="2A8B7C7F" w14:textId="77777777" w:rsidR="006C686E" w:rsidRDefault="00B17E8C">
            <w:pPr>
              <w:pStyle w:val="P68B1DB1-Normal59"/>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4433D014" w14:textId="77777777" w:rsidR="006C686E" w:rsidRDefault="00B17E8C">
            <w:pPr>
              <w:pStyle w:val="P68B1DB1-Normal59"/>
              <w:spacing w:after="0" w:line="240" w:lineRule="auto"/>
              <w:jc w:val="center"/>
              <w:rPr>
                <w:rFonts w:eastAsia="Times New Roman"/>
                <w:noProof/>
              </w:rPr>
            </w:pPr>
            <w:r>
              <w:rPr>
                <w:noProof/>
              </w:rPr>
              <w:t>Mesure connexe (réforme ou investissement)</w:t>
            </w:r>
          </w:p>
        </w:tc>
        <w:tc>
          <w:tcPr>
            <w:tcW w:w="1520" w:type="dxa"/>
            <w:vMerge w:val="restart"/>
            <w:shd w:val="clear" w:color="auto" w:fill="BDD7EE"/>
            <w:vAlign w:val="center"/>
            <w:hideMark/>
          </w:tcPr>
          <w:p w14:paraId="12C27519" w14:textId="77777777" w:rsidR="006C686E" w:rsidRDefault="00B17E8C">
            <w:pPr>
              <w:pStyle w:val="P68B1DB1-Normal59"/>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4912EDCA" w14:textId="77777777" w:rsidR="006C686E" w:rsidRDefault="00B17E8C">
            <w:pPr>
              <w:pStyle w:val="P68B1DB1-Normal59"/>
              <w:spacing w:after="0" w:line="240" w:lineRule="auto"/>
              <w:jc w:val="center"/>
              <w:rPr>
                <w:rFonts w:eastAsia="Times New Roman"/>
                <w:noProof/>
              </w:rPr>
            </w:pPr>
            <w:r>
              <w:rPr>
                <w:noProof/>
              </w:rPr>
              <w:t>Nom</w:t>
            </w:r>
          </w:p>
        </w:tc>
      </w:tr>
      <w:tr w:rsidR="006C686E" w14:paraId="2C9E3552" w14:textId="77777777">
        <w:trPr>
          <w:trHeight w:val="509"/>
        </w:trPr>
        <w:tc>
          <w:tcPr>
            <w:tcW w:w="1200" w:type="dxa"/>
            <w:vMerge/>
            <w:vAlign w:val="center"/>
            <w:hideMark/>
          </w:tcPr>
          <w:p w14:paraId="0B098193"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6BC95C9"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BCAE809"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2345499"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r>
      <w:tr w:rsidR="006C686E" w14:paraId="21602CD7" w14:textId="77777777">
        <w:trPr>
          <w:trHeight w:val="440"/>
        </w:trPr>
        <w:tc>
          <w:tcPr>
            <w:tcW w:w="1200" w:type="dxa"/>
            <w:shd w:val="clear" w:color="auto" w:fill="C4EFCE"/>
            <w:vAlign w:val="center"/>
            <w:hideMark/>
          </w:tcPr>
          <w:p w14:paraId="4C70460F" w14:textId="77777777" w:rsidR="006C686E" w:rsidRDefault="00B17E8C">
            <w:pPr>
              <w:pStyle w:val="P68B1DB1-Normal60"/>
              <w:spacing w:after="0" w:line="240" w:lineRule="auto"/>
              <w:jc w:val="center"/>
              <w:rPr>
                <w:rFonts w:eastAsia="Times New Roman"/>
                <w:noProof/>
              </w:rPr>
            </w:pPr>
            <w:r>
              <w:rPr>
                <w:noProof/>
              </w:rPr>
              <w:t>5.23</w:t>
            </w:r>
          </w:p>
        </w:tc>
        <w:tc>
          <w:tcPr>
            <w:tcW w:w="1760" w:type="dxa"/>
            <w:shd w:val="clear" w:color="auto" w:fill="C4EFCE"/>
            <w:vAlign w:val="center"/>
            <w:hideMark/>
          </w:tcPr>
          <w:p w14:paraId="0A3C91EF" w14:textId="0E1C5306" w:rsidR="006C686E" w:rsidRDefault="00B17E8C">
            <w:pPr>
              <w:pStyle w:val="P68B1DB1-Normal60"/>
              <w:spacing w:after="0" w:line="240" w:lineRule="auto"/>
              <w:jc w:val="center"/>
              <w:rPr>
                <w:rFonts w:eastAsia="Times New Roman"/>
                <w:noProof/>
              </w:rPr>
            </w:pPr>
            <w:r>
              <w:rPr>
                <w:noProof/>
              </w:rPr>
              <w:t>RE-C05-r10</w:t>
            </w:r>
          </w:p>
        </w:tc>
        <w:tc>
          <w:tcPr>
            <w:tcW w:w="1520" w:type="dxa"/>
            <w:shd w:val="clear" w:color="auto" w:fill="C4EFCE"/>
            <w:vAlign w:val="center"/>
            <w:hideMark/>
          </w:tcPr>
          <w:p w14:paraId="50B72131" w14:textId="77777777" w:rsidR="006C686E" w:rsidRDefault="00B17E8C">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1C812474" w14:textId="77777777" w:rsidR="006C686E" w:rsidRDefault="00B17E8C">
            <w:pPr>
              <w:pStyle w:val="P68B1DB1-Normal60"/>
              <w:spacing w:after="0" w:line="240" w:lineRule="auto"/>
              <w:jc w:val="both"/>
              <w:rPr>
                <w:rFonts w:eastAsia="Times New Roman"/>
                <w:noProof/>
              </w:rPr>
            </w:pPr>
            <w:r>
              <w:rPr>
                <w:noProof/>
              </w:rPr>
              <w:t>Entrée en vigueur du règlement fixant les activités et les statuts de Banco Português de Fomento (BPF)</w:t>
            </w:r>
          </w:p>
        </w:tc>
      </w:tr>
      <w:tr w:rsidR="006C686E" w14:paraId="743CFD5D" w14:textId="77777777">
        <w:trPr>
          <w:trHeight w:val="440"/>
        </w:trPr>
        <w:tc>
          <w:tcPr>
            <w:tcW w:w="1200" w:type="dxa"/>
            <w:shd w:val="clear" w:color="auto" w:fill="C4EFCE"/>
            <w:vAlign w:val="center"/>
            <w:hideMark/>
          </w:tcPr>
          <w:p w14:paraId="01A4FE83" w14:textId="77777777" w:rsidR="006C686E" w:rsidRDefault="00B17E8C">
            <w:pPr>
              <w:pStyle w:val="P68B1DB1-Normal60"/>
              <w:spacing w:after="0" w:line="240" w:lineRule="auto"/>
              <w:jc w:val="center"/>
              <w:rPr>
                <w:rFonts w:eastAsia="Times New Roman"/>
                <w:noProof/>
              </w:rPr>
            </w:pPr>
            <w:r>
              <w:rPr>
                <w:noProof/>
              </w:rPr>
              <w:t>5.27</w:t>
            </w:r>
          </w:p>
        </w:tc>
        <w:tc>
          <w:tcPr>
            <w:tcW w:w="1760" w:type="dxa"/>
            <w:shd w:val="clear" w:color="auto" w:fill="C4EFCE"/>
            <w:vAlign w:val="center"/>
            <w:hideMark/>
          </w:tcPr>
          <w:p w14:paraId="31C4A93A" w14:textId="6FA9D230" w:rsidR="006C686E" w:rsidRDefault="00B17E8C">
            <w:pPr>
              <w:pStyle w:val="P68B1DB1-Normal60"/>
              <w:spacing w:after="0" w:line="240" w:lineRule="auto"/>
              <w:jc w:val="center"/>
              <w:rPr>
                <w:rFonts w:eastAsia="Times New Roman"/>
                <w:noProof/>
              </w:rPr>
            </w:pPr>
            <w:r>
              <w:rPr>
                <w:noProof/>
              </w:rPr>
              <w:t>RE-C05-i06</w:t>
            </w:r>
          </w:p>
        </w:tc>
        <w:tc>
          <w:tcPr>
            <w:tcW w:w="1520" w:type="dxa"/>
            <w:shd w:val="clear" w:color="auto" w:fill="C4EFCE"/>
            <w:vAlign w:val="center"/>
            <w:hideMark/>
          </w:tcPr>
          <w:p w14:paraId="609CF468" w14:textId="77777777" w:rsidR="006C686E" w:rsidRDefault="00B17E8C">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00591310" w14:textId="77777777" w:rsidR="006C686E" w:rsidRDefault="00B17E8C">
            <w:pPr>
              <w:pStyle w:val="P68B1DB1-Normal60"/>
              <w:spacing w:after="0" w:line="240" w:lineRule="auto"/>
              <w:jc w:val="both"/>
              <w:rPr>
                <w:rFonts w:eastAsia="Times New Roman"/>
                <w:noProof/>
              </w:rPr>
            </w:pPr>
            <w:r>
              <w:rPr>
                <w:noProof/>
              </w:rPr>
              <w:t xml:space="preserve">Entrée en vigueur d'un décret-loi réglementant la mesure de capitalisation de BPF </w:t>
            </w:r>
          </w:p>
        </w:tc>
      </w:tr>
      <w:tr w:rsidR="006C686E" w14:paraId="3751971D" w14:textId="77777777">
        <w:trPr>
          <w:trHeight w:val="440"/>
        </w:trPr>
        <w:tc>
          <w:tcPr>
            <w:tcW w:w="1200" w:type="dxa"/>
            <w:shd w:val="clear" w:color="auto" w:fill="C4EFCE"/>
            <w:vAlign w:val="center"/>
            <w:hideMark/>
          </w:tcPr>
          <w:p w14:paraId="62D0CD99" w14:textId="77777777" w:rsidR="006C686E" w:rsidRDefault="00B17E8C">
            <w:pPr>
              <w:pStyle w:val="P68B1DB1-Normal60"/>
              <w:spacing w:after="0" w:line="240" w:lineRule="auto"/>
              <w:jc w:val="center"/>
              <w:rPr>
                <w:rFonts w:eastAsia="Times New Roman"/>
                <w:noProof/>
              </w:rPr>
            </w:pPr>
            <w:r>
              <w:rPr>
                <w:noProof/>
              </w:rPr>
              <w:t>5.28</w:t>
            </w:r>
          </w:p>
        </w:tc>
        <w:tc>
          <w:tcPr>
            <w:tcW w:w="1760" w:type="dxa"/>
            <w:shd w:val="clear" w:color="auto" w:fill="C4EFCE"/>
            <w:vAlign w:val="center"/>
            <w:hideMark/>
          </w:tcPr>
          <w:p w14:paraId="7F6C55B2" w14:textId="60F17771" w:rsidR="006C686E" w:rsidRDefault="00B17E8C">
            <w:pPr>
              <w:pStyle w:val="P68B1DB1-Normal60"/>
              <w:spacing w:after="0" w:line="240" w:lineRule="auto"/>
              <w:jc w:val="center"/>
              <w:rPr>
                <w:rFonts w:eastAsia="Times New Roman"/>
                <w:noProof/>
              </w:rPr>
            </w:pPr>
            <w:r>
              <w:rPr>
                <w:noProof/>
              </w:rPr>
              <w:t>RE-C05-i06</w:t>
            </w:r>
          </w:p>
        </w:tc>
        <w:tc>
          <w:tcPr>
            <w:tcW w:w="1520" w:type="dxa"/>
            <w:shd w:val="clear" w:color="auto" w:fill="C4EFCE"/>
            <w:vAlign w:val="center"/>
            <w:hideMark/>
          </w:tcPr>
          <w:p w14:paraId="7A209C2D" w14:textId="77777777" w:rsidR="006C686E" w:rsidRDefault="00B17E8C">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501456C5" w14:textId="020B7F39" w:rsidR="006C686E" w:rsidRDefault="00B17E8C">
            <w:pPr>
              <w:pStyle w:val="P68B1DB1-Normal60"/>
              <w:spacing w:after="0" w:line="240" w:lineRule="auto"/>
              <w:jc w:val="both"/>
              <w:rPr>
                <w:rFonts w:eastAsia="Times New Roman"/>
                <w:noProof/>
              </w:rPr>
            </w:pPr>
            <w:r>
              <w:rPr>
                <w:noProof/>
              </w:rPr>
              <w:t>Développement de la politique d'investissement (capitalisation) et adoption par le gestionnaire du véhicule</w:t>
            </w:r>
          </w:p>
        </w:tc>
      </w:tr>
      <w:tr w:rsidR="006C686E" w14:paraId="26A51A26" w14:textId="77777777">
        <w:trPr>
          <w:trHeight w:val="440"/>
        </w:trPr>
        <w:tc>
          <w:tcPr>
            <w:tcW w:w="1200" w:type="dxa"/>
            <w:shd w:val="clear" w:color="auto" w:fill="C4EFCE"/>
            <w:vAlign w:val="center"/>
            <w:hideMark/>
          </w:tcPr>
          <w:p w14:paraId="501EFB51"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4F9C2CB7"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356C3D9A"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1483FD9D" w14:textId="58A2D8D8" w:rsidR="006C686E" w:rsidRDefault="00B17E8C">
            <w:pPr>
              <w:pStyle w:val="P68B1DB1-Normal61"/>
              <w:spacing w:after="0" w:line="240" w:lineRule="auto"/>
              <w:jc w:val="center"/>
              <w:rPr>
                <w:iCs/>
                <w:noProof/>
                <w:sz w:val="20"/>
                <w:szCs w:val="20"/>
              </w:rPr>
            </w:pPr>
            <w:r>
              <w:rPr>
                <w:noProof/>
              </w:rPr>
              <w:t>700 000 000 EUR</w:t>
            </w:r>
            <w:r>
              <w:rPr>
                <w:noProof/>
                <w:sz w:val="20"/>
                <w:szCs w:val="20"/>
              </w:rPr>
              <w:t xml:space="preserve"> </w:t>
            </w:r>
          </w:p>
        </w:tc>
      </w:tr>
    </w:tbl>
    <w:p w14:paraId="4E107165"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Deuxième tranche (soutien sous forme de prêt): </w:t>
      </w:r>
    </w:p>
    <w:p w14:paraId="67DB1BD0"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620B6D15" w14:textId="77777777">
        <w:trPr>
          <w:trHeight w:val="509"/>
          <w:tblHeader/>
        </w:trPr>
        <w:tc>
          <w:tcPr>
            <w:tcW w:w="1200" w:type="dxa"/>
            <w:vMerge w:val="restart"/>
            <w:shd w:val="clear" w:color="auto" w:fill="BDD7EE"/>
            <w:vAlign w:val="center"/>
            <w:hideMark/>
          </w:tcPr>
          <w:p w14:paraId="5BC6D885" w14:textId="77777777" w:rsidR="006C686E" w:rsidRDefault="00B17E8C">
            <w:pPr>
              <w:pStyle w:val="P68B1DB1-Normal59"/>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766D5DF9" w14:textId="77777777" w:rsidR="006C686E" w:rsidRDefault="00B17E8C">
            <w:pPr>
              <w:pStyle w:val="P68B1DB1-Normal59"/>
              <w:spacing w:after="0" w:line="240" w:lineRule="auto"/>
              <w:jc w:val="center"/>
              <w:rPr>
                <w:rFonts w:eastAsia="Times New Roman"/>
                <w:noProof/>
              </w:rPr>
            </w:pPr>
            <w:r>
              <w:rPr>
                <w:noProof/>
              </w:rPr>
              <w:t>Mesure connexe (réforme ou investissement)</w:t>
            </w:r>
          </w:p>
        </w:tc>
        <w:tc>
          <w:tcPr>
            <w:tcW w:w="1520" w:type="dxa"/>
            <w:vMerge w:val="restart"/>
            <w:shd w:val="clear" w:color="auto" w:fill="BDD7EE"/>
            <w:vAlign w:val="center"/>
            <w:hideMark/>
          </w:tcPr>
          <w:p w14:paraId="5CBB1CBB" w14:textId="77777777" w:rsidR="006C686E" w:rsidRDefault="00B17E8C">
            <w:pPr>
              <w:pStyle w:val="P68B1DB1-Normal59"/>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114A14C4" w14:textId="77777777" w:rsidR="006C686E" w:rsidRDefault="00B17E8C">
            <w:pPr>
              <w:pStyle w:val="P68B1DB1-Normal59"/>
              <w:spacing w:after="0" w:line="240" w:lineRule="auto"/>
              <w:jc w:val="center"/>
              <w:rPr>
                <w:rFonts w:eastAsia="Times New Roman"/>
                <w:noProof/>
              </w:rPr>
            </w:pPr>
            <w:r>
              <w:rPr>
                <w:noProof/>
              </w:rPr>
              <w:t>Nom</w:t>
            </w:r>
          </w:p>
        </w:tc>
      </w:tr>
      <w:tr w:rsidR="006C686E" w14:paraId="1D37211E" w14:textId="77777777">
        <w:trPr>
          <w:trHeight w:val="509"/>
        </w:trPr>
        <w:tc>
          <w:tcPr>
            <w:tcW w:w="1200" w:type="dxa"/>
            <w:vMerge/>
            <w:vAlign w:val="center"/>
            <w:hideMark/>
          </w:tcPr>
          <w:p w14:paraId="6B649C36"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C9BECD"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FA989A1"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611A014"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r>
      <w:tr w:rsidR="006C686E" w14:paraId="7F7ACE68" w14:textId="77777777">
        <w:trPr>
          <w:trHeight w:val="440"/>
        </w:trPr>
        <w:tc>
          <w:tcPr>
            <w:tcW w:w="1200" w:type="dxa"/>
            <w:shd w:val="clear" w:color="auto" w:fill="C4EFCE"/>
            <w:vAlign w:val="center"/>
            <w:hideMark/>
          </w:tcPr>
          <w:p w14:paraId="66FE4D7E" w14:textId="77777777" w:rsidR="006C686E" w:rsidRDefault="00B17E8C">
            <w:pPr>
              <w:pStyle w:val="P68B1DB1-Normal60"/>
              <w:spacing w:after="0" w:line="240" w:lineRule="auto"/>
              <w:jc w:val="center"/>
              <w:rPr>
                <w:rFonts w:eastAsia="Times New Roman"/>
                <w:noProof/>
              </w:rPr>
            </w:pPr>
            <w:r>
              <w:rPr>
                <w:noProof/>
              </w:rPr>
              <w:t>5.30</w:t>
            </w:r>
          </w:p>
        </w:tc>
        <w:tc>
          <w:tcPr>
            <w:tcW w:w="1760" w:type="dxa"/>
            <w:shd w:val="clear" w:color="auto" w:fill="C4EFCE"/>
            <w:vAlign w:val="center"/>
            <w:hideMark/>
          </w:tcPr>
          <w:p w14:paraId="44EFD38F" w14:textId="2A801B92" w:rsidR="006C686E" w:rsidRDefault="00B17E8C">
            <w:pPr>
              <w:pStyle w:val="P68B1DB1-Normal60"/>
              <w:spacing w:after="0" w:line="240" w:lineRule="auto"/>
              <w:jc w:val="center"/>
              <w:rPr>
                <w:rFonts w:eastAsia="Times New Roman"/>
                <w:noProof/>
              </w:rPr>
            </w:pPr>
            <w:r>
              <w:rPr>
                <w:noProof/>
              </w:rPr>
              <w:t>RE-C05-i06</w:t>
            </w:r>
          </w:p>
        </w:tc>
        <w:tc>
          <w:tcPr>
            <w:tcW w:w="1520" w:type="dxa"/>
            <w:shd w:val="clear" w:color="auto" w:fill="C4EFCE"/>
            <w:vAlign w:val="center"/>
            <w:hideMark/>
          </w:tcPr>
          <w:p w14:paraId="3F93E74C" w14:textId="77777777" w:rsidR="006C686E" w:rsidRDefault="00B17E8C">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281D19FD" w14:textId="77777777" w:rsidR="006C686E" w:rsidRDefault="00B17E8C">
            <w:pPr>
              <w:pStyle w:val="P68B1DB1-Normal60"/>
              <w:spacing w:after="0" w:line="240" w:lineRule="auto"/>
              <w:jc w:val="both"/>
              <w:rPr>
                <w:rFonts w:eastAsia="Times New Roman"/>
                <w:noProof/>
              </w:rPr>
            </w:pPr>
            <w:r>
              <w:rPr>
                <w:noProof/>
              </w:rPr>
              <w:t>Notification à la Commission européenne de la réussite de l’évaluation des piliers pour le FBP</w:t>
            </w:r>
          </w:p>
        </w:tc>
      </w:tr>
      <w:tr w:rsidR="006C686E" w14:paraId="24A38DAB" w14:textId="77777777">
        <w:trPr>
          <w:trHeight w:val="440"/>
        </w:trPr>
        <w:tc>
          <w:tcPr>
            <w:tcW w:w="1200" w:type="dxa"/>
            <w:shd w:val="clear" w:color="auto" w:fill="C4EFCE"/>
            <w:vAlign w:val="center"/>
            <w:hideMark/>
          </w:tcPr>
          <w:p w14:paraId="254D6145" w14:textId="77777777" w:rsidR="006C686E" w:rsidRDefault="00B17E8C">
            <w:pPr>
              <w:pStyle w:val="P68B1DB1-Normal60"/>
              <w:spacing w:after="0" w:line="240" w:lineRule="auto"/>
              <w:jc w:val="center"/>
              <w:rPr>
                <w:rFonts w:eastAsia="Times New Roman"/>
                <w:noProof/>
              </w:rPr>
            </w:pPr>
            <w:r>
              <w:rPr>
                <w:noProof/>
              </w:rPr>
              <w:t>5.31</w:t>
            </w:r>
          </w:p>
        </w:tc>
        <w:tc>
          <w:tcPr>
            <w:tcW w:w="1760" w:type="dxa"/>
            <w:shd w:val="clear" w:color="auto" w:fill="C4EFCE"/>
            <w:vAlign w:val="center"/>
            <w:hideMark/>
          </w:tcPr>
          <w:p w14:paraId="249966B7" w14:textId="0FAE6AA3" w:rsidR="006C686E" w:rsidRDefault="00B17E8C">
            <w:pPr>
              <w:pStyle w:val="P68B1DB1-Normal60"/>
              <w:spacing w:after="0" w:line="240" w:lineRule="auto"/>
              <w:jc w:val="center"/>
              <w:rPr>
                <w:rFonts w:eastAsia="Times New Roman"/>
                <w:noProof/>
              </w:rPr>
            </w:pPr>
            <w:r>
              <w:rPr>
                <w:noProof/>
              </w:rPr>
              <w:t>RE-C05-i06</w:t>
            </w:r>
          </w:p>
        </w:tc>
        <w:tc>
          <w:tcPr>
            <w:tcW w:w="1520" w:type="dxa"/>
            <w:shd w:val="clear" w:color="auto" w:fill="C4EFCE"/>
            <w:vAlign w:val="center"/>
            <w:hideMark/>
          </w:tcPr>
          <w:p w14:paraId="2C063B5F" w14:textId="77777777" w:rsidR="006C686E" w:rsidRDefault="00B17E8C">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06206A88" w14:textId="4840D47A" w:rsidR="006C686E" w:rsidRDefault="00B17E8C">
            <w:pPr>
              <w:pStyle w:val="P68B1DB1-Normal60"/>
              <w:spacing w:after="0" w:line="240" w:lineRule="auto"/>
              <w:jc w:val="both"/>
              <w:rPr>
                <w:rFonts w:eastAsia="Times New Roman"/>
                <w:noProof/>
              </w:rPr>
            </w:pPr>
            <w:r>
              <w:rPr>
                <w:noProof/>
              </w:rPr>
              <w:t>Transfert en capital de 250 000 000 EUR du gouvernement portugais à BPF et adoption de la politique d'investissement pour BPF</w:t>
            </w:r>
          </w:p>
        </w:tc>
      </w:tr>
      <w:tr w:rsidR="006C686E" w14:paraId="121676BE" w14:textId="77777777">
        <w:trPr>
          <w:trHeight w:val="440"/>
        </w:trPr>
        <w:tc>
          <w:tcPr>
            <w:tcW w:w="1200" w:type="dxa"/>
            <w:shd w:val="clear" w:color="auto" w:fill="C4EFCE"/>
            <w:vAlign w:val="center"/>
            <w:hideMark/>
          </w:tcPr>
          <w:p w14:paraId="317E9DAF"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6173FDC4"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39DB3513"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298FF0D2" w14:textId="66D149B8" w:rsidR="006C686E" w:rsidRDefault="00B17E8C">
            <w:pPr>
              <w:pStyle w:val="P68B1DB1-Normal61"/>
              <w:spacing w:after="0" w:line="240" w:lineRule="auto"/>
              <w:jc w:val="center"/>
              <w:rPr>
                <w:noProof/>
              </w:rPr>
            </w:pPr>
            <w:r>
              <w:rPr>
                <w:noProof/>
              </w:rPr>
              <w:t xml:space="preserve">125 000 000 EUR </w:t>
            </w:r>
          </w:p>
        </w:tc>
      </w:tr>
    </w:tbl>
    <w:p w14:paraId="02D61152"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p w14:paraId="69633667"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Troisième tranche (soutien sous forme de prêt): </w:t>
      </w:r>
    </w:p>
    <w:p w14:paraId="1E2AEF6E" w14:textId="77777777" w:rsidR="006C686E" w:rsidRDefault="006C686E">
      <w:pPr>
        <w:keepNext/>
        <w:spacing w:before="40"/>
        <w:contextualSpacing/>
        <w:jc w:val="both"/>
        <w:rPr>
          <w:rFonts w:ascii="Times New Roman" w:eastAsia="Times New Roman" w:hAnsi="Times New Roman" w:cs="Times New Roman"/>
          <w:bCs/>
          <w:noProof/>
          <w:kern w:val="0"/>
          <w:sz w:val="20"/>
          <w:szCs w:val="2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727A91F3" w14:textId="77777777">
        <w:trPr>
          <w:trHeight w:val="509"/>
          <w:tblHeader/>
        </w:trPr>
        <w:tc>
          <w:tcPr>
            <w:tcW w:w="1200" w:type="dxa"/>
            <w:vMerge w:val="restart"/>
            <w:shd w:val="clear" w:color="auto" w:fill="BDD7EE"/>
            <w:vAlign w:val="center"/>
            <w:hideMark/>
          </w:tcPr>
          <w:p w14:paraId="7030098D" w14:textId="77777777" w:rsidR="006C686E" w:rsidRDefault="00B17E8C">
            <w:pPr>
              <w:pStyle w:val="P68B1DB1-Normal59"/>
              <w:keepNext/>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7DEB6812" w14:textId="77777777" w:rsidR="006C686E" w:rsidRDefault="00B17E8C">
            <w:pPr>
              <w:pStyle w:val="P68B1DB1-Normal59"/>
              <w:keepNext/>
              <w:spacing w:after="0" w:line="240" w:lineRule="auto"/>
              <w:jc w:val="center"/>
              <w:rPr>
                <w:rFonts w:eastAsia="Times New Roman"/>
                <w:noProof/>
              </w:rPr>
            </w:pPr>
            <w:r>
              <w:rPr>
                <w:noProof/>
              </w:rPr>
              <w:t>Mesure connexe (réforme ou investissement)</w:t>
            </w:r>
          </w:p>
        </w:tc>
        <w:tc>
          <w:tcPr>
            <w:tcW w:w="1520" w:type="dxa"/>
            <w:vMerge w:val="restart"/>
            <w:shd w:val="clear" w:color="auto" w:fill="BDD7EE"/>
            <w:vAlign w:val="center"/>
            <w:hideMark/>
          </w:tcPr>
          <w:p w14:paraId="4B047280" w14:textId="77777777" w:rsidR="006C686E" w:rsidRDefault="00B17E8C">
            <w:pPr>
              <w:pStyle w:val="P68B1DB1-Normal59"/>
              <w:keepNext/>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04A96B00" w14:textId="77777777" w:rsidR="006C686E" w:rsidRDefault="00B17E8C">
            <w:pPr>
              <w:pStyle w:val="P68B1DB1-Normal59"/>
              <w:keepNext/>
              <w:spacing w:after="0" w:line="240" w:lineRule="auto"/>
              <w:jc w:val="center"/>
              <w:rPr>
                <w:rFonts w:eastAsia="Times New Roman"/>
                <w:noProof/>
              </w:rPr>
            </w:pPr>
            <w:r>
              <w:rPr>
                <w:noProof/>
              </w:rPr>
              <w:t>Nom</w:t>
            </w:r>
          </w:p>
        </w:tc>
      </w:tr>
      <w:tr w:rsidR="006C686E" w14:paraId="6DD3A3CE" w14:textId="77777777">
        <w:trPr>
          <w:trHeight w:val="509"/>
          <w:tblHeader/>
        </w:trPr>
        <w:tc>
          <w:tcPr>
            <w:tcW w:w="1200" w:type="dxa"/>
            <w:vMerge/>
            <w:vAlign w:val="center"/>
            <w:hideMark/>
          </w:tcPr>
          <w:p w14:paraId="633E04E5"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5D4EBB80"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307C166F"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2375809C"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r>
      <w:tr w:rsidR="006C686E" w14:paraId="4FEB5DB9" w14:textId="77777777">
        <w:trPr>
          <w:trHeight w:val="440"/>
        </w:trPr>
        <w:tc>
          <w:tcPr>
            <w:tcW w:w="1200" w:type="dxa"/>
            <w:shd w:val="clear" w:color="auto" w:fill="C4EFCE"/>
            <w:vAlign w:val="center"/>
          </w:tcPr>
          <w:p w14:paraId="6B400C72" w14:textId="77777777" w:rsidR="006C686E" w:rsidRDefault="00B17E8C">
            <w:pPr>
              <w:pStyle w:val="P68B1DB1-Normal60"/>
              <w:spacing w:after="0" w:line="276" w:lineRule="auto"/>
              <w:jc w:val="center"/>
              <w:rPr>
                <w:noProof/>
              </w:rPr>
            </w:pPr>
            <w:r>
              <w:rPr>
                <w:noProof/>
              </w:rPr>
              <w:t>2.20</w:t>
            </w:r>
          </w:p>
        </w:tc>
        <w:tc>
          <w:tcPr>
            <w:tcW w:w="1760" w:type="dxa"/>
            <w:shd w:val="clear" w:color="auto" w:fill="C4EFCE"/>
            <w:vAlign w:val="center"/>
          </w:tcPr>
          <w:p w14:paraId="132A5FF0" w14:textId="77777777" w:rsidR="006C686E" w:rsidRDefault="00B17E8C">
            <w:pPr>
              <w:pStyle w:val="P68B1DB1-Normal60"/>
              <w:spacing w:after="0" w:line="276" w:lineRule="auto"/>
              <w:jc w:val="center"/>
              <w:rPr>
                <w:noProof/>
              </w:rPr>
            </w:pPr>
            <w:r>
              <w:rPr>
                <w:noProof/>
              </w:rPr>
              <w:t>RE-C02-i05</w:t>
            </w:r>
          </w:p>
        </w:tc>
        <w:tc>
          <w:tcPr>
            <w:tcW w:w="1520" w:type="dxa"/>
            <w:shd w:val="clear" w:color="auto" w:fill="C4EFCE"/>
            <w:vAlign w:val="center"/>
          </w:tcPr>
          <w:p w14:paraId="5BAF2AAA"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tcPr>
          <w:p w14:paraId="6A04A99A" w14:textId="77777777" w:rsidR="006C686E" w:rsidRDefault="00B17E8C">
            <w:pPr>
              <w:pStyle w:val="P68B1DB1-Normal60"/>
              <w:spacing w:after="0" w:line="276" w:lineRule="auto"/>
              <w:jc w:val="both"/>
              <w:rPr>
                <w:noProof/>
              </w:rPr>
            </w:pPr>
            <w:r>
              <w:rPr>
                <w:noProof/>
              </w:rPr>
              <w:t>Stock de logements sociaux abordables - Logements avec travaux commencés (construits avec une efficacité énergétique élevée ou réhabilités avec une performance énergétique améliorée)</w:t>
            </w:r>
          </w:p>
        </w:tc>
      </w:tr>
      <w:tr w:rsidR="006C686E" w14:paraId="42F35D6D" w14:textId="77777777">
        <w:trPr>
          <w:trHeight w:val="440"/>
        </w:trPr>
        <w:tc>
          <w:tcPr>
            <w:tcW w:w="1200" w:type="dxa"/>
            <w:shd w:val="clear" w:color="auto" w:fill="C4EFCE"/>
            <w:vAlign w:val="center"/>
            <w:hideMark/>
          </w:tcPr>
          <w:p w14:paraId="137767D0" w14:textId="77777777" w:rsidR="006C686E" w:rsidRDefault="00B17E8C">
            <w:pPr>
              <w:pStyle w:val="P68B1DB1-Normal60"/>
              <w:spacing w:after="0" w:line="276" w:lineRule="auto"/>
              <w:jc w:val="center"/>
              <w:rPr>
                <w:noProof/>
              </w:rPr>
            </w:pPr>
            <w:r>
              <w:rPr>
                <w:noProof/>
              </w:rPr>
              <w:t>2.25</w:t>
            </w:r>
          </w:p>
        </w:tc>
        <w:tc>
          <w:tcPr>
            <w:tcW w:w="1760" w:type="dxa"/>
            <w:shd w:val="clear" w:color="auto" w:fill="C4EFCE"/>
            <w:vAlign w:val="center"/>
            <w:hideMark/>
          </w:tcPr>
          <w:p w14:paraId="66D655BA" w14:textId="77777777" w:rsidR="006C686E" w:rsidRDefault="00B17E8C">
            <w:pPr>
              <w:pStyle w:val="P68B1DB1-Normal60"/>
              <w:spacing w:after="0" w:line="276" w:lineRule="auto"/>
              <w:jc w:val="center"/>
              <w:rPr>
                <w:noProof/>
              </w:rPr>
            </w:pPr>
            <w:r>
              <w:rPr>
                <w:noProof/>
              </w:rPr>
              <w:t>RE-C02-i06</w:t>
            </w:r>
          </w:p>
        </w:tc>
        <w:tc>
          <w:tcPr>
            <w:tcW w:w="1520" w:type="dxa"/>
            <w:shd w:val="clear" w:color="auto" w:fill="C4EFCE"/>
            <w:vAlign w:val="center"/>
            <w:hideMark/>
          </w:tcPr>
          <w:p w14:paraId="47A39F21"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6B1C97AB" w14:textId="77777777" w:rsidR="006C686E" w:rsidRDefault="00B17E8C">
            <w:pPr>
              <w:pStyle w:val="P68B1DB1-Normal60"/>
              <w:spacing w:after="0" w:line="276" w:lineRule="auto"/>
              <w:jc w:val="both"/>
              <w:rPr>
                <w:noProof/>
              </w:rPr>
            </w:pPr>
            <w:r>
              <w:rPr>
                <w:noProof/>
              </w:rPr>
              <w:t>Logement étudiant à des coûts abordables – nombre de places d’hébergement étudiant faisant l’objet d’appels d’offres lancés</w:t>
            </w:r>
          </w:p>
        </w:tc>
      </w:tr>
      <w:tr w:rsidR="006C686E" w14:paraId="3560AD0C" w14:textId="77777777">
        <w:trPr>
          <w:trHeight w:val="440"/>
        </w:trPr>
        <w:tc>
          <w:tcPr>
            <w:tcW w:w="1200" w:type="dxa"/>
            <w:shd w:val="clear" w:color="auto" w:fill="C4EFCE"/>
            <w:vAlign w:val="center"/>
            <w:hideMark/>
          </w:tcPr>
          <w:p w14:paraId="0D54046E" w14:textId="77777777" w:rsidR="006C686E" w:rsidRDefault="00B17E8C">
            <w:pPr>
              <w:pStyle w:val="P68B1DB1-Normal60"/>
              <w:spacing w:after="0" w:line="276" w:lineRule="auto"/>
              <w:jc w:val="center"/>
              <w:rPr>
                <w:noProof/>
              </w:rPr>
            </w:pPr>
            <w:r>
              <w:rPr>
                <w:noProof/>
              </w:rPr>
              <w:t>5.24</w:t>
            </w:r>
          </w:p>
        </w:tc>
        <w:tc>
          <w:tcPr>
            <w:tcW w:w="1760" w:type="dxa"/>
            <w:shd w:val="clear" w:color="auto" w:fill="C4EFCE"/>
            <w:vAlign w:val="center"/>
            <w:hideMark/>
          </w:tcPr>
          <w:p w14:paraId="6B3A9DAA" w14:textId="77777777" w:rsidR="006C686E" w:rsidRDefault="00B17E8C">
            <w:pPr>
              <w:pStyle w:val="P68B1DB1-Normal60"/>
              <w:spacing w:after="0" w:line="276" w:lineRule="auto"/>
              <w:jc w:val="center"/>
              <w:rPr>
                <w:noProof/>
              </w:rPr>
            </w:pPr>
            <w:r>
              <w:rPr>
                <w:noProof/>
              </w:rPr>
              <w:t>RE-C05-r13</w:t>
            </w:r>
          </w:p>
        </w:tc>
        <w:tc>
          <w:tcPr>
            <w:tcW w:w="1520" w:type="dxa"/>
            <w:shd w:val="clear" w:color="auto" w:fill="C4EFCE"/>
            <w:vAlign w:val="center"/>
            <w:hideMark/>
          </w:tcPr>
          <w:p w14:paraId="42BF7B5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46EAB64E" w14:textId="77777777" w:rsidR="006C686E" w:rsidRDefault="00B17E8C">
            <w:pPr>
              <w:pStyle w:val="P68B1DB1-Normal60"/>
              <w:spacing w:after="0" w:line="276" w:lineRule="auto"/>
              <w:jc w:val="both"/>
              <w:rPr>
                <w:noProof/>
              </w:rPr>
            </w:pPr>
            <w:r>
              <w:rPr>
                <w:noProof/>
              </w:rPr>
              <w:t>Entrée en vigueur de la révision du cadre juridique applicable aux organismes de placement collectif</w:t>
            </w:r>
          </w:p>
        </w:tc>
      </w:tr>
      <w:tr w:rsidR="006C686E" w14:paraId="60E88F87" w14:textId="77777777">
        <w:trPr>
          <w:trHeight w:val="440"/>
        </w:trPr>
        <w:tc>
          <w:tcPr>
            <w:tcW w:w="1200" w:type="dxa"/>
            <w:shd w:val="clear" w:color="auto" w:fill="C4EFCE"/>
            <w:vAlign w:val="center"/>
            <w:hideMark/>
          </w:tcPr>
          <w:p w14:paraId="58DB6F9D" w14:textId="77777777" w:rsidR="006C686E" w:rsidRDefault="00B17E8C">
            <w:pPr>
              <w:pStyle w:val="P68B1DB1-Normal60"/>
              <w:spacing w:after="0" w:line="276" w:lineRule="auto"/>
              <w:jc w:val="center"/>
              <w:rPr>
                <w:noProof/>
              </w:rPr>
            </w:pPr>
            <w:r>
              <w:rPr>
                <w:noProof/>
              </w:rPr>
              <w:t>5.25</w:t>
            </w:r>
          </w:p>
        </w:tc>
        <w:tc>
          <w:tcPr>
            <w:tcW w:w="1760" w:type="dxa"/>
            <w:shd w:val="clear" w:color="auto" w:fill="C4EFCE"/>
            <w:vAlign w:val="center"/>
            <w:hideMark/>
          </w:tcPr>
          <w:p w14:paraId="7555B419" w14:textId="77777777" w:rsidR="006C686E" w:rsidRDefault="00B17E8C">
            <w:pPr>
              <w:pStyle w:val="P68B1DB1-Normal60"/>
              <w:spacing w:after="0" w:line="276" w:lineRule="auto"/>
              <w:jc w:val="center"/>
              <w:rPr>
                <w:noProof/>
              </w:rPr>
            </w:pPr>
            <w:r>
              <w:rPr>
                <w:noProof/>
              </w:rPr>
              <w:t>RE-C05-r13</w:t>
            </w:r>
          </w:p>
        </w:tc>
        <w:tc>
          <w:tcPr>
            <w:tcW w:w="1520" w:type="dxa"/>
            <w:shd w:val="clear" w:color="auto" w:fill="C4EFCE"/>
            <w:vAlign w:val="center"/>
            <w:hideMark/>
          </w:tcPr>
          <w:p w14:paraId="73EB09A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ADE6580" w14:textId="77777777" w:rsidR="006C686E" w:rsidRDefault="00B17E8C">
            <w:pPr>
              <w:pStyle w:val="P68B1DB1-Normal60"/>
              <w:spacing w:after="0" w:line="276" w:lineRule="auto"/>
              <w:jc w:val="both"/>
              <w:rPr>
                <w:noProof/>
              </w:rPr>
            </w:pPr>
            <w:r>
              <w:rPr>
                <w:noProof/>
              </w:rPr>
              <w:t>Entrée en vigueur de la révision de la loi sur le code des valeurs mobilières</w:t>
            </w:r>
          </w:p>
        </w:tc>
      </w:tr>
      <w:tr w:rsidR="006C686E" w14:paraId="3E2798C1" w14:textId="77777777">
        <w:trPr>
          <w:trHeight w:val="440"/>
        </w:trPr>
        <w:tc>
          <w:tcPr>
            <w:tcW w:w="1200" w:type="dxa"/>
            <w:shd w:val="clear" w:color="auto" w:fill="C4EFCE"/>
            <w:vAlign w:val="center"/>
            <w:hideMark/>
          </w:tcPr>
          <w:p w14:paraId="54D71871" w14:textId="77777777" w:rsidR="006C686E" w:rsidRDefault="00B17E8C">
            <w:pPr>
              <w:pStyle w:val="P68B1DB1-Normal60"/>
              <w:spacing w:after="0" w:line="276" w:lineRule="auto"/>
              <w:jc w:val="center"/>
              <w:rPr>
                <w:noProof/>
              </w:rPr>
            </w:pPr>
            <w:r>
              <w:rPr>
                <w:noProof/>
              </w:rPr>
              <w:t>7.9</w:t>
            </w:r>
          </w:p>
        </w:tc>
        <w:tc>
          <w:tcPr>
            <w:tcW w:w="1760" w:type="dxa"/>
            <w:shd w:val="clear" w:color="auto" w:fill="C4EFCE"/>
            <w:vAlign w:val="center"/>
            <w:hideMark/>
          </w:tcPr>
          <w:p w14:paraId="5AD17E31" w14:textId="77777777" w:rsidR="006C686E" w:rsidRDefault="00B17E8C">
            <w:pPr>
              <w:pStyle w:val="P68B1DB1-Normal60"/>
              <w:spacing w:after="0" w:line="276" w:lineRule="auto"/>
              <w:jc w:val="center"/>
              <w:rPr>
                <w:noProof/>
              </w:rPr>
            </w:pPr>
            <w:r>
              <w:rPr>
                <w:noProof/>
              </w:rPr>
              <w:t xml:space="preserve">RE-C07-i03 </w:t>
            </w:r>
          </w:p>
        </w:tc>
        <w:tc>
          <w:tcPr>
            <w:tcW w:w="1520" w:type="dxa"/>
            <w:shd w:val="clear" w:color="auto" w:fill="C4EFCE"/>
            <w:vAlign w:val="center"/>
            <w:hideMark/>
          </w:tcPr>
          <w:p w14:paraId="31E30128"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6CB02FD3" w14:textId="77777777" w:rsidR="006C686E" w:rsidRDefault="00B17E8C">
            <w:pPr>
              <w:pStyle w:val="P68B1DB1-Normal60"/>
              <w:spacing w:after="0" w:line="276" w:lineRule="auto"/>
              <w:jc w:val="both"/>
              <w:rPr>
                <w:noProof/>
              </w:rPr>
            </w:pPr>
            <w:r>
              <w:rPr>
                <w:noProof/>
              </w:rPr>
              <w:t>Achèvement de la première évaluation des incidences sur l'environnement</w:t>
            </w:r>
          </w:p>
        </w:tc>
      </w:tr>
      <w:tr w:rsidR="006C686E" w14:paraId="4EC0E318" w14:textId="77777777">
        <w:trPr>
          <w:trHeight w:val="440"/>
        </w:trPr>
        <w:tc>
          <w:tcPr>
            <w:tcW w:w="1200" w:type="dxa"/>
            <w:shd w:val="clear" w:color="auto" w:fill="C4EFCE"/>
            <w:vAlign w:val="center"/>
            <w:hideMark/>
          </w:tcPr>
          <w:p w14:paraId="101BFB8F"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1C8E4F74"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1A8AD8F4"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5BB1CAE0" w14:textId="6F0B7DFA" w:rsidR="006C686E" w:rsidRDefault="00B17E8C">
            <w:pPr>
              <w:pStyle w:val="P68B1DB1-Normal61"/>
              <w:spacing w:after="0" w:line="240" w:lineRule="auto"/>
              <w:jc w:val="center"/>
              <w:rPr>
                <w:iCs/>
                <w:noProof/>
                <w:sz w:val="20"/>
                <w:szCs w:val="20"/>
              </w:rPr>
            </w:pPr>
            <w:r>
              <w:rPr>
                <w:noProof/>
              </w:rPr>
              <w:t>379 431 726 EUR</w:t>
            </w:r>
          </w:p>
        </w:tc>
      </w:tr>
    </w:tbl>
    <w:p w14:paraId="58D4E2E3" w14:textId="77777777" w:rsidR="006C686E" w:rsidRDefault="006C686E">
      <w:pPr>
        <w:keepNext/>
        <w:spacing w:before="40"/>
        <w:contextualSpacing/>
        <w:jc w:val="both"/>
        <w:rPr>
          <w:rFonts w:ascii="Times New Roman" w:eastAsia="Times New Roman" w:hAnsi="Times New Roman" w:cs="Times New Roman"/>
          <w:bCs/>
          <w:noProof/>
          <w:kern w:val="0"/>
          <w:sz w:val="20"/>
          <w:szCs w:val="20"/>
          <w14:ligatures w14:val="none"/>
        </w:rPr>
      </w:pPr>
    </w:p>
    <w:p w14:paraId="7A111021"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Quatrième tranche (soutien sous forme de prêt): </w:t>
      </w:r>
    </w:p>
    <w:p w14:paraId="7BA4B0E1"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5F1A1312" w14:textId="77777777">
        <w:trPr>
          <w:trHeight w:val="1018"/>
        </w:trPr>
        <w:tc>
          <w:tcPr>
            <w:tcW w:w="1200" w:type="dxa"/>
            <w:shd w:val="clear" w:color="auto" w:fill="BDD7EE"/>
            <w:vAlign w:val="center"/>
            <w:hideMark/>
          </w:tcPr>
          <w:p w14:paraId="7822A158" w14:textId="77777777" w:rsidR="006C686E" w:rsidRDefault="00B17E8C">
            <w:pPr>
              <w:pStyle w:val="P68B1DB1-Normal59"/>
              <w:spacing w:after="0" w:line="240" w:lineRule="auto"/>
              <w:jc w:val="center"/>
              <w:rPr>
                <w:rFonts w:eastAsia="Times New Roman"/>
                <w:noProof/>
              </w:rPr>
            </w:pPr>
            <w:r>
              <w:rPr>
                <w:noProof/>
              </w:rPr>
              <w:t>Numéro séquentiel</w:t>
            </w:r>
          </w:p>
        </w:tc>
        <w:tc>
          <w:tcPr>
            <w:tcW w:w="1760" w:type="dxa"/>
            <w:shd w:val="clear" w:color="auto" w:fill="BDD7EE"/>
            <w:vAlign w:val="center"/>
            <w:hideMark/>
          </w:tcPr>
          <w:p w14:paraId="6394A5AD" w14:textId="77777777" w:rsidR="006C686E" w:rsidRDefault="00B17E8C">
            <w:pPr>
              <w:pStyle w:val="P68B1DB1-Normal59"/>
              <w:spacing w:after="0" w:line="240" w:lineRule="auto"/>
              <w:jc w:val="center"/>
              <w:rPr>
                <w:rFonts w:eastAsia="Times New Roman"/>
                <w:noProof/>
              </w:rPr>
            </w:pPr>
            <w:r>
              <w:rPr>
                <w:noProof/>
              </w:rPr>
              <w:t>Mesure connexe (réforme ou investissement)</w:t>
            </w:r>
          </w:p>
        </w:tc>
        <w:tc>
          <w:tcPr>
            <w:tcW w:w="1520" w:type="dxa"/>
            <w:shd w:val="clear" w:color="auto" w:fill="BDD7EE"/>
            <w:vAlign w:val="center"/>
            <w:hideMark/>
          </w:tcPr>
          <w:p w14:paraId="58A4CFAA" w14:textId="77777777" w:rsidR="006C686E" w:rsidRDefault="00B17E8C">
            <w:pPr>
              <w:pStyle w:val="P68B1DB1-Normal59"/>
              <w:spacing w:after="0" w:line="240" w:lineRule="auto"/>
              <w:jc w:val="center"/>
              <w:rPr>
                <w:rFonts w:eastAsia="Times New Roman"/>
                <w:noProof/>
              </w:rPr>
            </w:pPr>
            <w:r>
              <w:rPr>
                <w:noProof/>
              </w:rPr>
              <w:t>Étape/cible</w:t>
            </w:r>
          </w:p>
        </w:tc>
        <w:tc>
          <w:tcPr>
            <w:tcW w:w="5060" w:type="dxa"/>
            <w:shd w:val="clear" w:color="auto" w:fill="BDD7EE"/>
            <w:vAlign w:val="center"/>
            <w:hideMark/>
          </w:tcPr>
          <w:p w14:paraId="45BF833A" w14:textId="77777777" w:rsidR="006C686E" w:rsidRDefault="00B17E8C">
            <w:pPr>
              <w:pStyle w:val="P68B1DB1-Normal59"/>
              <w:spacing w:after="0" w:line="240" w:lineRule="auto"/>
              <w:jc w:val="center"/>
              <w:rPr>
                <w:rFonts w:eastAsia="Times New Roman"/>
                <w:noProof/>
              </w:rPr>
            </w:pPr>
            <w:r>
              <w:rPr>
                <w:noProof/>
              </w:rPr>
              <w:t>Nom</w:t>
            </w:r>
          </w:p>
        </w:tc>
      </w:tr>
      <w:tr w:rsidR="006C686E" w14:paraId="4FBAB650" w14:textId="77777777">
        <w:trPr>
          <w:trHeight w:val="440"/>
        </w:trPr>
        <w:tc>
          <w:tcPr>
            <w:tcW w:w="1200" w:type="dxa"/>
            <w:shd w:val="clear" w:color="auto" w:fill="C4EFCE"/>
            <w:vAlign w:val="center"/>
            <w:hideMark/>
          </w:tcPr>
          <w:p w14:paraId="065A92ED" w14:textId="77777777" w:rsidR="006C686E" w:rsidRDefault="00B17E8C">
            <w:pPr>
              <w:pStyle w:val="P68B1DB1-Normal60"/>
              <w:spacing w:after="0" w:line="276" w:lineRule="auto"/>
              <w:jc w:val="center"/>
              <w:rPr>
                <w:noProof/>
              </w:rPr>
            </w:pPr>
            <w:r>
              <w:rPr>
                <w:noProof/>
              </w:rPr>
              <w:t>5.44</w:t>
            </w:r>
          </w:p>
        </w:tc>
        <w:tc>
          <w:tcPr>
            <w:tcW w:w="1760" w:type="dxa"/>
            <w:shd w:val="clear" w:color="auto" w:fill="C4EFCE"/>
            <w:vAlign w:val="center"/>
            <w:hideMark/>
          </w:tcPr>
          <w:p w14:paraId="5BC34B76" w14:textId="77777777" w:rsidR="006C686E" w:rsidRDefault="00B17E8C">
            <w:pPr>
              <w:pStyle w:val="P68B1DB1-Normal60"/>
              <w:spacing w:after="0" w:line="276" w:lineRule="auto"/>
              <w:jc w:val="center"/>
              <w:rPr>
                <w:noProof/>
              </w:rPr>
            </w:pPr>
            <w:r>
              <w:rPr>
                <w:noProof/>
              </w:rPr>
              <w:t xml:space="preserve">RE-C05-i11 </w:t>
            </w:r>
          </w:p>
        </w:tc>
        <w:tc>
          <w:tcPr>
            <w:tcW w:w="1520" w:type="dxa"/>
            <w:shd w:val="clear" w:color="auto" w:fill="C4EFCE"/>
            <w:vAlign w:val="center"/>
            <w:hideMark/>
          </w:tcPr>
          <w:p w14:paraId="6E32E500"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318829DC" w14:textId="77777777" w:rsidR="006C686E" w:rsidRDefault="00B17E8C">
            <w:pPr>
              <w:pStyle w:val="P68B1DB1-Normal60"/>
              <w:spacing w:after="0" w:line="276" w:lineRule="auto"/>
              <w:jc w:val="both"/>
              <w:rPr>
                <w:noProof/>
              </w:rPr>
            </w:pPr>
            <w:r>
              <w:rPr>
                <w:noProof/>
              </w:rPr>
              <w:t>Conclusion de contrats pour développer de nouveaux produits, procédés ou services dans des domaines stratégiques pertinents (programmes d’innovation).</w:t>
            </w:r>
          </w:p>
        </w:tc>
      </w:tr>
      <w:tr w:rsidR="006C686E" w14:paraId="5492CA2B" w14:textId="77777777">
        <w:trPr>
          <w:trHeight w:val="440"/>
        </w:trPr>
        <w:tc>
          <w:tcPr>
            <w:tcW w:w="1200" w:type="dxa"/>
            <w:shd w:val="clear" w:color="auto" w:fill="C4EFCE"/>
            <w:vAlign w:val="center"/>
            <w:hideMark/>
          </w:tcPr>
          <w:p w14:paraId="48F0E94A" w14:textId="77777777" w:rsidR="006C686E" w:rsidRDefault="00B17E8C">
            <w:pPr>
              <w:pStyle w:val="P68B1DB1-Normal60"/>
              <w:spacing w:after="0" w:line="276" w:lineRule="auto"/>
              <w:jc w:val="center"/>
              <w:rPr>
                <w:noProof/>
              </w:rPr>
            </w:pPr>
            <w:r>
              <w:rPr>
                <w:noProof/>
              </w:rPr>
              <w:t>7.11</w:t>
            </w:r>
          </w:p>
        </w:tc>
        <w:tc>
          <w:tcPr>
            <w:tcW w:w="1760" w:type="dxa"/>
            <w:shd w:val="clear" w:color="auto" w:fill="C4EFCE"/>
            <w:vAlign w:val="center"/>
            <w:hideMark/>
          </w:tcPr>
          <w:p w14:paraId="5D3287A2" w14:textId="553EDF2A" w:rsidR="006C686E" w:rsidRDefault="00B17E8C">
            <w:pPr>
              <w:pStyle w:val="P68B1DB1-Normal60"/>
              <w:spacing w:after="0" w:line="276" w:lineRule="auto"/>
              <w:jc w:val="center"/>
              <w:rPr>
                <w:noProof/>
              </w:rPr>
            </w:pPr>
            <w:r>
              <w:rPr>
                <w:noProof/>
              </w:rPr>
              <w:t>RE-C07-i04</w:t>
            </w:r>
          </w:p>
        </w:tc>
        <w:tc>
          <w:tcPr>
            <w:tcW w:w="1520" w:type="dxa"/>
            <w:shd w:val="clear" w:color="auto" w:fill="C4EFCE"/>
            <w:vAlign w:val="center"/>
            <w:hideMark/>
          </w:tcPr>
          <w:p w14:paraId="768A4430"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3166ECAF" w14:textId="77777777" w:rsidR="006C686E" w:rsidRDefault="00B17E8C">
            <w:pPr>
              <w:pStyle w:val="P68B1DB1-Normal60"/>
              <w:spacing w:after="0" w:line="276" w:lineRule="auto"/>
              <w:jc w:val="both"/>
              <w:rPr>
                <w:noProof/>
              </w:rPr>
            </w:pPr>
            <w:r>
              <w:rPr>
                <w:noProof/>
              </w:rPr>
              <w:t>Signature d'un contrat pour 10 projets routiers</w:t>
            </w:r>
          </w:p>
        </w:tc>
      </w:tr>
      <w:tr w:rsidR="006C686E" w14:paraId="11AD86B1" w14:textId="77777777">
        <w:trPr>
          <w:trHeight w:val="440"/>
        </w:trPr>
        <w:tc>
          <w:tcPr>
            <w:tcW w:w="1200" w:type="dxa"/>
            <w:shd w:val="clear" w:color="auto" w:fill="C4EFCE"/>
            <w:vAlign w:val="center"/>
            <w:hideMark/>
          </w:tcPr>
          <w:p w14:paraId="1E62B03C"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4B0FB4C1"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34962A7A"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7FE86667" w14:textId="44558320" w:rsidR="006C686E" w:rsidRDefault="00B17E8C">
            <w:pPr>
              <w:pStyle w:val="P68B1DB1-Normal61"/>
              <w:spacing w:after="0" w:line="240" w:lineRule="auto"/>
              <w:jc w:val="center"/>
              <w:rPr>
                <w:noProof/>
              </w:rPr>
            </w:pPr>
            <w:r>
              <w:rPr>
                <w:noProof/>
              </w:rPr>
              <w:t xml:space="preserve">235 337 423 EUR </w:t>
            </w:r>
          </w:p>
        </w:tc>
      </w:tr>
    </w:tbl>
    <w:p w14:paraId="4914DEC9" w14:textId="77777777" w:rsidR="006C686E" w:rsidRDefault="006C686E">
      <w:pPr>
        <w:keepNext/>
        <w:spacing w:before="40"/>
        <w:ind w:left="360"/>
        <w:contextualSpacing/>
        <w:jc w:val="both"/>
        <w:rPr>
          <w:rFonts w:ascii="Times New Roman" w:eastAsia="Times New Roman" w:hAnsi="Times New Roman" w:cs="Times New Roman"/>
          <w:bCs/>
          <w:noProof/>
          <w:kern w:val="0"/>
          <w14:ligatures w14:val="none"/>
        </w:rPr>
      </w:pPr>
    </w:p>
    <w:p w14:paraId="40B39E7C"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Cinquième tranche (soutien sous forme de prêt): </w:t>
      </w:r>
    </w:p>
    <w:p w14:paraId="45D3D03E"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5F548AF5" w14:textId="77777777">
        <w:trPr>
          <w:trHeight w:val="509"/>
          <w:tblHeader/>
        </w:trPr>
        <w:tc>
          <w:tcPr>
            <w:tcW w:w="1200" w:type="dxa"/>
            <w:vMerge w:val="restart"/>
            <w:shd w:val="clear" w:color="auto" w:fill="BDD7EE"/>
            <w:vAlign w:val="center"/>
            <w:hideMark/>
          </w:tcPr>
          <w:p w14:paraId="69E8A227" w14:textId="77777777" w:rsidR="006C686E" w:rsidRDefault="00B17E8C">
            <w:pPr>
              <w:pStyle w:val="P68B1DB1-Normal59"/>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1CA1A4E3" w14:textId="77777777" w:rsidR="006C686E" w:rsidRDefault="00B17E8C">
            <w:pPr>
              <w:pStyle w:val="P68B1DB1-Normal59"/>
              <w:spacing w:after="0" w:line="240" w:lineRule="auto"/>
              <w:jc w:val="center"/>
              <w:rPr>
                <w:rFonts w:eastAsia="Times New Roman"/>
                <w:noProof/>
              </w:rPr>
            </w:pPr>
            <w:r>
              <w:rPr>
                <w:noProof/>
              </w:rPr>
              <w:t>Mesure connexe (réforme ou investissement)</w:t>
            </w:r>
          </w:p>
        </w:tc>
        <w:tc>
          <w:tcPr>
            <w:tcW w:w="1520" w:type="dxa"/>
            <w:vMerge w:val="restart"/>
            <w:shd w:val="clear" w:color="auto" w:fill="BDD7EE"/>
            <w:vAlign w:val="center"/>
            <w:hideMark/>
          </w:tcPr>
          <w:p w14:paraId="003F4F77" w14:textId="77777777" w:rsidR="006C686E" w:rsidRDefault="00B17E8C">
            <w:pPr>
              <w:pStyle w:val="P68B1DB1-Normal59"/>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17D84826" w14:textId="77777777" w:rsidR="006C686E" w:rsidRDefault="00B17E8C">
            <w:pPr>
              <w:pStyle w:val="P68B1DB1-Normal59"/>
              <w:spacing w:after="0" w:line="240" w:lineRule="auto"/>
              <w:jc w:val="center"/>
              <w:rPr>
                <w:rFonts w:eastAsia="Times New Roman"/>
                <w:noProof/>
              </w:rPr>
            </w:pPr>
            <w:r>
              <w:rPr>
                <w:noProof/>
              </w:rPr>
              <w:t>Nom</w:t>
            </w:r>
          </w:p>
        </w:tc>
      </w:tr>
      <w:tr w:rsidR="006C686E" w14:paraId="18BDEB9F" w14:textId="77777777">
        <w:trPr>
          <w:trHeight w:val="509"/>
        </w:trPr>
        <w:tc>
          <w:tcPr>
            <w:tcW w:w="1200" w:type="dxa"/>
            <w:vMerge/>
            <w:vAlign w:val="center"/>
            <w:hideMark/>
          </w:tcPr>
          <w:p w14:paraId="4963C734"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13DDFF05"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468D1039"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2CB43765"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r>
      <w:tr w:rsidR="006C686E" w14:paraId="15EE6FCA" w14:textId="77777777">
        <w:trPr>
          <w:trHeight w:val="440"/>
        </w:trPr>
        <w:tc>
          <w:tcPr>
            <w:tcW w:w="1200" w:type="dxa"/>
            <w:shd w:val="clear" w:color="auto" w:fill="C4EFCE"/>
            <w:vAlign w:val="center"/>
            <w:hideMark/>
          </w:tcPr>
          <w:p w14:paraId="4904E2A4" w14:textId="77777777" w:rsidR="006C686E" w:rsidRDefault="00B17E8C">
            <w:pPr>
              <w:pStyle w:val="P68B1DB1-Normal60"/>
              <w:spacing w:after="0" w:line="276" w:lineRule="auto"/>
              <w:jc w:val="center"/>
              <w:rPr>
                <w:noProof/>
              </w:rPr>
            </w:pPr>
            <w:r>
              <w:rPr>
                <w:noProof/>
              </w:rPr>
              <w:t>5.26</w:t>
            </w:r>
          </w:p>
        </w:tc>
        <w:tc>
          <w:tcPr>
            <w:tcW w:w="1760" w:type="dxa"/>
            <w:shd w:val="clear" w:color="auto" w:fill="C4EFCE"/>
            <w:vAlign w:val="center"/>
            <w:hideMark/>
          </w:tcPr>
          <w:p w14:paraId="5B778A0A" w14:textId="77777777" w:rsidR="006C686E" w:rsidRDefault="00B17E8C">
            <w:pPr>
              <w:pStyle w:val="P68B1DB1-Normal60"/>
              <w:spacing w:after="0" w:line="276" w:lineRule="auto"/>
              <w:jc w:val="center"/>
              <w:rPr>
                <w:noProof/>
              </w:rPr>
            </w:pPr>
            <w:r>
              <w:rPr>
                <w:noProof/>
              </w:rPr>
              <w:t>RE-C05-r13</w:t>
            </w:r>
          </w:p>
        </w:tc>
        <w:tc>
          <w:tcPr>
            <w:tcW w:w="1520" w:type="dxa"/>
            <w:shd w:val="clear" w:color="auto" w:fill="C4EFCE"/>
            <w:vAlign w:val="center"/>
            <w:hideMark/>
          </w:tcPr>
          <w:p w14:paraId="13F78105"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91D5910" w14:textId="77777777" w:rsidR="006C686E" w:rsidRDefault="00B17E8C">
            <w:pPr>
              <w:pStyle w:val="P68B1DB1-Normal60"/>
              <w:spacing w:after="0" w:line="276" w:lineRule="auto"/>
              <w:jc w:val="both"/>
              <w:rPr>
                <w:noProof/>
              </w:rPr>
            </w:pPr>
            <w:r>
              <w:rPr>
                <w:noProof/>
              </w:rPr>
              <w:t>Développement des marchés des capitaux — Entrée en vigueur de la législation</w:t>
            </w:r>
          </w:p>
        </w:tc>
      </w:tr>
      <w:tr w:rsidR="006C686E" w14:paraId="1AA8EB68" w14:textId="77777777">
        <w:trPr>
          <w:trHeight w:val="440"/>
        </w:trPr>
        <w:tc>
          <w:tcPr>
            <w:tcW w:w="1200" w:type="dxa"/>
            <w:shd w:val="clear" w:color="auto" w:fill="C4EFCE"/>
            <w:vAlign w:val="center"/>
            <w:hideMark/>
          </w:tcPr>
          <w:p w14:paraId="77435BF7" w14:textId="77777777" w:rsidR="006C686E" w:rsidRDefault="00B17E8C">
            <w:pPr>
              <w:pStyle w:val="P68B1DB1-Normal60"/>
              <w:spacing w:after="0" w:line="276" w:lineRule="auto"/>
              <w:jc w:val="center"/>
              <w:rPr>
                <w:noProof/>
              </w:rPr>
            </w:pPr>
            <w:r>
              <w:rPr>
                <w:noProof/>
              </w:rPr>
              <w:t>5.43</w:t>
            </w:r>
          </w:p>
        </w:tc>
        <w:tc>
          <w:tcPr>
            <w:tcW w:w="1760" w:type="dxa"/>
            <w:shd w:val="clear" w:color="auto" w:fill="C4EFCE"/>
            <w:vAlign w:val="center"/>
            <w:hideMark/>
          </w:tcPr>
          <w:p w14:paraId="6E2C0CC9" w14:textId="77777777" w:rsidR="006C686E" w:rsidRDefault="00B17E8C">
            <w:pPr>
              <w:pStyle w:val="P68B1DB1-Normal60"/>
              <w:spacing w:after="0" w:line="276" w:lineRule="auto"/>
              <w:jc w:val="center"/>
              <w:rPr>
                <w:noProof/>
              </w:rPr>
            </w:pPr>
            <w:r>
              <w:rPr>
                <w:noProof/>
              </w:rPr>
              <w:t>RE-C05-i06</w:t>
            </w:r>
          </w:p>
        </w:tc>
        <w:tc>
          <w:tcPr>
            <w:tcW w:w="1520" w:type="dxa"/>
            <w:shd w:val="clear" w:color="auto" w:fill="C4EFCE"/>
            <w:vAlign w:val="center"/>
            <w:hideMark/>
          </w:tcPr>
          <w:p w14:paraId="2AF3772D"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592FD270" w14:textId="6399AEB0" w:rsidR="006C686E" w:rsidRDefault="00B17E8C">
            <w:pPr>
              <w:pStyle w:val="P68B1DB1-Normal60"/>
              <w:spacing w:after="0" w:line="276" w:lineRule="auto"/>
              <w:jc w:val="both"/>
              <w:rPr>
                <w:noProof/>
              </w:rPr>
            </w:pPr>
            <w:r>
              <w:rPr>
                <w:noProof/>
              </w:rPr>
              <w:t>Livraison par l'instrument de capitalisation d'un montant total de 650 000 000 EUR à des sociétés non financières établies et/ou opérant au Portugal, en fonds propres et quasi-fonds propres, conformément à sa politique d'investissement</w:t>
            </w:r>
          </w:p>
        </w:tc>
      </w:tr>
      <w:tr w:rsidR="006C686E" w14:paraId="66362663" w14:textId="77777777">
        <w:trPr>
          <w:trHeight w:val="440"/>
        </w:trPr>
        <w:tc>
          <w:tcPr>
            <w:tcW w:w="1200" w:type="dxa"/>
            <w:shd w:val="clear" w:color="auto" w:fill="C4EFCE"/>
            <w:vAlign w:val="center"/>
            <w:hideMark/>
          </w:tcPr>
          <w:p w14:paraId="5D5BAAA7" w14:textId="77777777" w:rsidR="006C686E" w:rsidRDefault="00B17E8C">
            <w:pPr>
              <w:pStyle w:val="P68B1DB1-Normal60"/>
              <w:spacing w:after="0" w:line="276" w:lineRule="auto"/>
              <w:jc w:val="center"/>
              <w:rPr>
                <w:noProof/>
              </w:rPr>
            </w:pPr>
            <w:r>
              <w:rPr>
                <w:noProof/>
              </w:rPr>
              <w:t>5.46</w:t>
            </w:r>
          </w:p>
        </w:tc>
        <w:tc>
          <w:tcPr>
            <w:tcW w:w="1760" w:type="dxa"/>
            <w:shd w:val="clear" w:color="auto" w:fill="C4EFCE"/>
            <w:vAlign w:val="center"/>
            <w:hideMark/>
          </w:tcPr>
          <w:p w14:paraId="20AEB983" w14:textId="77777777" w:rsidR="006C686E" w:rsidRDefault="00B17E8C">
            <w:pPr>
              <w:pStyle w:val="P68B1DB1-Normal60"/>
              <w:spacing w:after="0" w:line="276" w:lineRule="auto"/>
              <w:jc w:val="center"/>
              <w:rPr>
                <w:noProof/>
              </w:rPr>
            </w:pPr>
            <w:r>
              <w:rPr>
                <w:noProof/>
              </w:rPr>
              <w:t>RE-C05-i12</w:t>
            </w:r>
          </w:p>
        </w:tc>
        <w:tc>
          <w:tcPr>
            <w:tcW w:w="1520" w:type="dxa"/>
            <w:shd w:val="clear" w:color="auto" w:fill="C4EFCE"/>
            <w:vAlign w:val="center"/>
            <w:hideMark/>
          </w:tcPr>
          <w:p w14:paraId="6A0F9F31"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745B1B60" w14:textId="77777777" w:rsidR="006C686E" w:rsidRDefault="00B17E8C">
            <w:pPr>
              <w:pStyle w:val="P68B1DB1-Normal60"/>
              <w:spacing w:after="0" w:line="276" w:lineRule="auto"/>
              <w:jc w:val="both"/>
              <w:rPr>
                <w:noProof/>
              </w:rPr>
            </w:pPr>
            <w:r>
              <w:rPr>
                <w:noProof/>
              </w:rPr>
              <w:t>Conclusion de contrats pour développer de nouveaux produits, procédés ou services dans des domaines stratégiques liés à l'économie à faible intensité de carbone, à la résilience et à l'adaptation au changement climatique.</w:t>
            </w:r>
          </w:p>
        </w:tc>
      </w:tr>
      <w:tr w:rsidR="006C686E" w14:paraId="6840C4ED" w14:textId="77777777">
        <w:trPr>
          <w:trHeight w:val="440"/>
        </w:trPr>
        <w:tc>
          <w:tcPr>
            <w:tcW w:w="1200" w:type="dxa"/>
            <w:shd w:val="clear" w:color="auto" w:fill="C4EFCE"/>
            <w:vAlign w:val="center"/>
            <w:hideMark/>
          </w:tcPr>
          <w:p w14:paraId="338FD1D9" w14:textId="77777777" w:rsidR="006C686E" w:rsidRDefault="00B17E8C">
            <w:pPr>
              <w:pStyle w:val="P68B1DB1-Normal60"/>
              <w:spacing w:after="0" w:line="276" w:lineRule="auto"/>
              <w:jc w:val="center"/>
              <w:rPr>
                <w:noProof/>
              </w:rPr>
            </w:pPr>
            <w:r>
              <w:rPr>
                <w:noProof/>
              </w:rPr>
              <w:t>10.17</w:t>
            </w:r>
          </w:p>
        </w:tc>
        <w:tc>
          <w:tcPr>
            <w:tcW w:w="1760" w:type="dxa"/>
            <w:shd w:val="clear" w:color="auto" w:fill="C4EFCE"/>
            <w:vAlign w:val="center"/>
            <w:hideMark/>
          </w:tcPr>
          <w:p w14:paraId="2F724561" w14:textId="77777777" w:rsidR="006C686E" w:rsidRDefault="00B17E8C">
            <w:pPr>
              <w:pStyle w:val="P68B1DB1-Normal60"/>
              <w:spacing w:after="0" w:line="276" w:lineRule="auto"/>
              <w:jc w:val="center"/>
              <w:rPr>
                <w:noProof/>
              </w:rPr>
            </w:pPr>
            <w:r>
              <w:rPr>
                <w:noProof/>
              </w:rPr>
              <w:t>TC-C10-i07</w:t>
            </w:r>
          </w:p>
        </w:tc>
        <w:tc>
          <w:tcPr>
            <w:tcW w:w="1520" w:type="dxa"/>
            <w:shd w:val="clear" w:color="auto" w:fill="C4EFCE"/>
            <w:vAlign w:val="center"/>
            <w:hideMark/>
          </w:tcPr>
          <w:p w14:paraId="4DDC6205"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hideMark/>
          </w:tcPr>
          <w:p w14:paraId="1AA9341C" w14:textId="77777777" w:rsidR="006C686E" w:rsidRDefault="00B17E8C">
            <w:pPr>
              <w:pStyle w:val="P68B1DB1-Normal60"/>
              <w:spacing w:after="0" w:line="276" w:lineRule="auto"/>
              <w:jc w:val="both"/>
              <w:rPr>
                <w:noProof/>
              </w:rPr>
            </w:pPr>
            <w:r>
              <w:rPr>
                <w:noProof/>
              </w:rPr>
              <w:t>Lancement de l’appel d’offres pour la décarbonation des navires</w:t>
            </w:r>
          </w:p>
        </w:tc>
      </w:tr>
      <w:tr w:rsidR="006C686E" w14:paraId="59161494" w14:textId="77777777">
        <w:trPr>
          <w:trHeight w:val="440"/>
        </w:trPr>
        <w:tc>
          <w:tcPr>
            <w:tcW w:w="1200" w:type="dxa"/>
            <w:shd w:val="clear" w:color="auto" w:fill="C4EFCE"/>
            <w:vAlign w:val="center"/>
            <w:hideMark/>
          </w:tcPr>
          <w:p w14:paraId="17CF9F20"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13185F1A"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29051F12"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4485B8F9" w14:textId="1086C9EE" w:rsidR="006C686E" w:rsidRDefault="00B17E8C">
            <w:pPr>
              <w:pStyle w:val="P68B1DB1-Normal61"/>
              <w:spacing w:after="0" w:line="240" w:lineRule="auto"/>
              <w:jc w:val="center"/>
              <w:rPr>
                <w:iCs/>
                <w:noProof/>
                <w:sz w:val="20"/>
                <w:szCs w:val="20"/>
              </w:rPr>
            </w:pPr>
            <w:r>
              <w:rPr>
                <w:noProof/>
              </w:rPr>
              <w:t>1 313 054 513 EUR</w:t>
            </w:r>
            <w:r>
              <w:rPr>
                <w:noProof/>
                <w:sz w:val="20"/>
                <w:szCs w:val="20"/>
              </w:rPr>
              <w:t xml:space="preserve"> </w:t>
            </w:r>
          </w:p>
        </w:tc>
      </w:tr>
    </w:tbl>
    <w:p w14:paraId="3F204FBA" w14:textId="77777777" w:rsidR="006C686E" w:rsidRDefault="006C686E">
      <w:pPr>
        <w:keepNext/>
        <w:spacing w:before="40"/>
        <w:contextualSpacing/>
        <w:jc w:val="both"/>
        <w:rPr>
          <w:rFonts w:ascii="Times New Roman" w:eastAsia="Times New Roman" w:hAnsi="Times New Roman" w:cs="Times New Roman"/>
          <w:bCs/>
          <w:noProof/>
          <w:kern w:val="0"/>
          <w14:ligatures w14:val="none"/>
        </w:rPr>
      </w:pPr>
    </w:p>
    <w:p w14:paraId="559F63DE" w14:textId="77777777" w:rsidR="006C686E" w:rsidRDefault="00B17E8C">
      <w:pPr>
        <w:pStyle w:val="P68B1DB1-Normal4"/>
        <w:keepNext/>
        <w:numPr>
          <w:ilvl w:val="1"/>
          <w:numId w:val="71"/>
        </w:numPr>
        <w:spacing w:before="40" w:after="200" w:line="276" w:lineRule="auto"/>
        <w:contextualSpacing/>
        <w:jc w:val="both"/>
        <w:rPr>
          <w:rFonts w:eastAsia="Times New Roman"/>
          <w:bCs/>
          <w:noProof/>
        </w:rPr>
      </w:pPr>
      <w:r>
        <w:rPr>
          <w:noProof/>
        </w:rPr>
        <w:t xml:space="preserve">Sixième tranche (soutien sous forme de prêt): </w:t>
      </w:r>
    </w:p>
    <w:p w14:paraId="5EC7188F"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6C686E" w14:paraId="3FC95CE4" w14:textId="77777777">
        <w:trPr>
          <w:trHeight w:val="1018"/>
        </w:trPr>
        <w:tc>
          <w:tcPr>
            <w:tcW w:w="1200" w:type="dxa"/>
            <w:shd w:val="clear" w:color="auto" w:fill="BDD7EE"/>
            <w:vAlign w:val="center"/>
            <w:hideMark/>
          </w:tcPr>
          <w:p w14:paraId="170608C8" w14:textId="77777777" w:rsidR="006C686E" w:rsidRDefault="00B17E8C">
            <w:pPr>
              <w:pStyle w:val="P68B1DB1-Normal59"/>
              <w:spacing w:after="0" w:line="240" w:lineRule="auto"/>
              <w:jc w:val="center"/>
              <w:rPr>
                <w:rFonts w:eastAsia="Times New Roman"/>
                <w:noProof/>
              </w:rPr>
            </w:pPr>
            <w:r>
              <w:rPr>
                <w:noProof/>
              </w:rPr>
              <w:t>Numéro séquentiel</w:t>
            </w:r>
          </w:p>
        </w:tc>
        <w:tc>
          <w:tcPr>
            <w:tcW w:w="1760" w:type="dxa"/>
            <w:shd w:val="clear" w:color="auto" w:fill="BDD7EE"/>
            <w:vAlign w:val="center"/>
            <w:hideMark/>
          </w:tcPr>
          <w:p w14:paraId="5D8BAA89" w14:textId="77777777" w:rsidR="006C686E" w:rsidRDefault="00B17E8C">
            <w:pPr>
              <w:pStyle w:val="P68B1DB1-Normal59"/>
              <w:spacing w:after="0" w:line="240" w:lineRule="auto"/>
              <w:jc w:val="center"/>
              <w:rPr>
                <w:rFonts w:eastAsia="Times New Roman"/>
                <w:noProof/>
              </w:rPr>
            </w:pPr>
            <w:r>
              <w:rPr>
                <w:noProof/>
              </w:rPr>
              <w:t>Mesure connexe (réforme ou investissement)</w:t>
            </w:r>
          </w:p>
        </w:tc>
        <w:tc>
          <w:tcPr>
            <w:tcW w:w="1520" w:type="dxa"/>
            <w:shd w:val="clear" w:color="auto" w:fill="BDD7EE"/>
            <w:vAlign w:val="center"/>
            <w:hideMark/>
          </w:tcPr>
          <w:p w14:paraId="521A275B" w14:textId="77777777" w:rsidR="006C686E" w:rsidRDefault="00B17E8C">
            <w:pPr>
              <w:pStyle w:val="P68B1DB1-Normal59"/>
              <w:spacing w:after="0" w:line="240" w:lineRule="auto"/>
              <w:jc w:val="center"/>
              <w:rPr>
                <w:rFonts w:eastAsia="Times New Roman"/>
                <w:noProof/>
              </w:rPr>
            </w:pPr>
            <w:r>
              <w:rPr>
                <w:noProof/>
              </w:rPr>
              <w:t>Étape/cible</w:t>
            </w:r>
          </w:p>
        </w:tc>
        <w:tc>
          <w:tcPr>
            <w:tcW w:w="5060" w:type="dxa"/>
            <w:shd w:val="clear" w:color="auto" w:fill="BDD7EE"/>
            <w:vAlign w:val="center"/>
            <w:hideMark/>
          </w:tcPr>
          <w:p w14:paraId="5064A2E0" w14:textId="77777777" w:rsidR="006C686E" w:rsidRDefault="00B17E8C">
            <w:pPr>
              <w:pStyle w:val="P68B1DB1-Normal59"/>
              <w:spacing w:after="0" w:line="240" w:lineRule="auto"/>
              <w:jc w:val="center"/>
              <w:rPr>
                <w:rFonts w:eastAsia="Times New Roman"/>
                <w:noProof/>
              </w:rPr>
            </w:pPr>
            <w:r>
              <w:rPr>
                <w:noProof/>
              </w:rPr>
              <w:t>Nom</w:t>
            </w:r>
          </w:p>
        </w:tc>
      </w:tr>
      <w:tr w:rsidR="006C686E" w14:paraId="1A22035C" w14:textId="77777777">
        <w:trPr>
          <w:trHeight w:val="440"/>
        </w:trPr>
        <w:tc>
          <w:tcPr>
            <w:tcW w:w="1200" w:type="dxa"/>
            <w:shd w:val="clear" w:color="auto" w:fill="C4EFCE"/>
            <w:vAlign w:val="center"/>
            <w:hideMark/>
          </w:tcPr>
          <w:p w14:paraId="2AFD77C9" w14:textId="77777777" w:rsidR="006C686E" w:rsidRDefault="00B17E8C">
            <w:pPr>
              <w:pStyle w:val="P68B1DB1-Normal60"/>
              <w:spacing w:after="0" w:line="276" w:lineRule="auto"/>
              <w:jc w:val="center"/>
              <w:rPr>
                <w:noProof/>
              </w:rPr>
            </w:pPr>
            <w:r>
              <w:rPr>
                <w:noProof/>
              </w:rPr>
              <w:t>6.28</w:t>
            </w:r>
          </w:p>
        </w:tc>
        <w:tc>
          <w:tcPr>
            <w:tcW w:w="1760" w:type="dxa"/>
            <w:shd w:val="clear" w:color="auto" w:fill="C4EFCE"/>
            <w:vAlign w:val="center"/>
            <w:hideMark/>
          </w:tcPr>
          <w:p w14:paraId="58E93581" w14:textId="77777777" w:rsidR="006C686E" w:rsidRDefault="00B17E8C">
            <w:pPr>
              <w:pStyle w:val="P68B1DB1-Normal60"/>
              <w:spacing w:after="0" w:line="276" w:lineRule="auto"/>
              <w:jc w:val="center"/>
              <w:rPr>
                <w:noProof/>
              </w:rPr>
            </w:pPr>
            <w:r>
              <w:rPr>
                <w:noProof/>
              </w:rPr>
              <w:t>RE-C06-i09</w:t>
            </w:r>
          </w:p>
        </w:tc>
        <w:tc>
          <w:tcPr>
            <w:tcW w:w="1520" w:type="dxa"/>
            <w:shd w:val="clear" w:color="auto" w:fill="C4EFCE"/>
            <w:vAlign w:val="center"/>
            <w:hideMark/>
          </w:tcPr>
          <w:p w14:paraId="05B68DC1" w14:textId="77777777" w:rsidR="006C686E" w:rsidRDefault="00B17E8C">
            <w:pPr>
              <w:pStyle w:val="P68B1DB1-Normal60"/>
              <w:spacing w:after="0" w:line="276" w:lineRule="auto"/>
              <w:jc w:val="center"/>
              <w:rPr>
                <w:noProof/>
              </w:rPr>
            </w:pPr>
            <w:r>
              <w:rPr>
                <w:noProof/>
              </w:rPr>
              <w:t>T</w:t>
            </w:r>
          </w:p>
        </w:tc>
        <w:tc>
          <w:tcPr>
            <w:tcW w:w="5060" w:type="dxa"/>
            <w:shd w:val="clear" w:color="auto" w:fill="C4EFCE"/>
            <w:vAlign w:val="center"/>
            <w:hideMark/>
          </w:tcPr>
          <w:p w14:paraId="4768CA34" w14:textId="77777777" w:rsidR="006C686E" w:rsidRDefault="00B17E8C">
            <w:pPr>
              <w:pStyle w:val="P68B1DB1-Normal60"/>
              <w:spacing w:after="0" w:line="276" w:lineRule="auto"/>
              <w:rPr>
                <w:noProof/>
              </w:rPr>
            </w:pPr>
            <w:r>
              <w:rPr>
                <w:noProof/>
              </w:rPr>
              <w:t>Signature des conditions d'acceptation pour le financement de la construction et de la rénovation des écoles publiques</w:t>
            </w:r>
          </w:p>
        </w:tc>
      </w:tr>
      <w:tr w:rsidR="006C686E" w14:paraId="5FEDC156" w14:textId="77777777">
        <w:trPr>
          <w:trHeight w:val="440"/>
        </w:trPr>
        <w:tc>
          <w:tcPr>
            <w:tcW w:w="1200" w:type="dxa"/>
            <w:shd w:val="clear" w:color="auto" w:fill="C4EFCE"/>
            <w:vAlign w:val="center"/>
          </w:tcPr>
          <w:p w14:paraId="25E7AB6D" w14:textId="77777777" w:rsidR="006C686E" w:rsidRDefault="00B17E8C">
            <w:pPr>
              <w:pStyle w:val="P68B1DB1-Normal60"/>
              <w:spacing w:after="0" w:line="276" w:lineRule="auto"/>
              <w:jc w:val="center"/>
              <w:rPr>
                <w:noProof/>
              </w:rPr>
            </w:pPr>
            <w:r>
              <w:rPr>
                <w:noProof/>
              </w:rPr>
              <w:t>19.30</w:t>
            </w:r>
          </w:p>
        </w:tc>
        <w:tc>
          <w:tcPr>
            <w:tcW w:w="1760" w:type="dxa"/>
            <w:shd w:val="clear" w:color="auto" w:fill="C4EFCE"/>
            <w:vAlign w:val="center"/>
          </w:tcPr>
          <w:p w14:paraId="43A8479E" w14:textId="77777777" w:rsidR="006C686E" w:rsidRDefault="00B17E8C">
            <w:pPr>
              <w:pStyle w:val="P68B1DB1-Normal60"/>
              <w:spacing w:after="0" w:line="276" w:lineRule="auto"/>
              <w:jc w:val="center"/>
              <w:rPr>
                <w:noProof/>
              </w:rPr>
            </w:pPr>
            <w:r>
              <w:rPr>
                <w:noProof/>
              </w:rPr>
              <w:t>TD-C19-r41</w:t>
            </w:r>
          </w:p>
        </w:tc>
        <w:tc>
          <w:tcPr>
            <w:tcW w:w="1520" w:type="dxa"/>
            <w:shd w:val="clear" w:color="auto" w:fill="C4EFCE"/>
            <w:vAlign w:val="center"/>
          </w:tcPr>
          <w:p w14:paraId="29D05C2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396B2EC3" w14:textId="77777777" w:rsidR="006C686E" w:rsidRDefault="00B17E8C">
            <w:pPr>
              <w:pStyle w:val="P68B1DB1-Normal60"/>
              <w:spacing w:after="0" w:line="276" w:lineRule="auto"/>
              <w:rPr>
                <w:noProof/>
              </w:rPr>
            </w:pPr>
            <w:r>
              <w:rPr>
                <w:noProof/>
              </w:rPr>
              <w:t>Entrée en vigueur de l'acte législatif sur l'accès aux services publics</w:t>
            </w:r>
          </w:p>
        </w:tc>
      </w:tr>
      <w:tr w:rsidR="006C686E" w14:paraId="28FCE943" w14:textId="77777777">
        <w:trPr>
          <w:trHeight w:val="440"/>
        </w:trPr>
        <w:tc>
          <w:tcPr>
            <w:tcW w:w="1200" w:type="dxa"/>
            <w:shd w:val="clear" w:color="auto" w:fill="C4EFCE"/>
            <w:vAlign w:val="center"/>
          </w:tcPr>
          <w:p w14:paraId="3F1ED98F" w14:textId="77777777" w:rsidR="006C686E" w:rsidRDefault="00B17E8C">
            <w:pPr>
              <w:pStyle w:val="P68B1DB1-Normal60"/>
              <w:spacing w:after="0" w:line="276" w:lineRule="auto"/>
              <w:jc w:val="center"/>
              <w:rPr>
                <w:noProof/>
              </w:rPr>
            </w:pPr>
            <w:r>
              <w:rPr>
                <w:noProof/>
              </w:rPr>
              <w:t>19.31</w:t>
            </w:r>
          </w:p>
        </w:tc>
        <w:tc>
          <w:tcPr>
            <w:tcW w:w="1760" w:type="dxa"/>
            <w:shd w:val="clear" w:color="auto" w:fill="C4EFCE"/>
            <w:vAlign w:val="center"/>
          </w:tcPr>
          <w:p w14:paraId="1D8D0A35" w14:textId="680420D4" w:rsidR="006C686E" w:rsidRDefault="00B17E8C">
            <w:pPr>
              <w:pStyle w:val="P68B1DB1-Normal60"/>
              <w:spacing w:after="0" w:line="276" w:lineRule="auto"/>
              <w:jc w:val="center"/>
              <w:rPr>
                <w:noProof/>
              </w:rPr>
            </w:pPr>
            <w:r>
              <w:rPr>
                <w:noProof/>
              </w:rPr>
              <w:t>TD-C19-r42</w:t>
            </w:r>
          </w:p>
        </w:tc>
        <w:tc>
          <w:tcPr>
            <w:tcW w:w="1520" w:type="dxa"/>
            <w:shd w:val="clear" w:color="auto" w:fill="C4EFCE"/>
            <w:vAlign w:val="center"/>
          </w:tcPr>
          <w:p w14:paraId="46CD6321"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5060B497" w14:textId="77777777" w:rsidR="006C686E" w:rsidRDefault="00B17E8C">
            <w:pPr>
              <w:pStyle w:val="P68B1DB1-Normal60"/>
              <w:spacing w:after="0" w:line="276" w:lineRule="auto"/>
              <w:jc w:val="both"/>
              <w:rPr>
                <w:noProof/>
              </w:rPr>
            </w:pPr>
            <w:r>
              <w:rPr>
                <w:noProof/>
              </w:rPr>
              <w:t>Entrée en vigueur de l’acte législatif révisant la SIADAP</w:t>
            </w:r>
          </w:p>
        </w:tc>
      </w:tr>
      <w:tr w:rsidR="006C686E" w14:paraId="724FB199" w14:textId="77777777">
        <w:trPr>
          <w:trHeight w:val="440"/>
        </w:trPr>
        <w:tc>
          <w:tcPr>
            <w:tcW w:w="1200" w:type="dxa"/>
            <w:shd w:val="clear" w:color="auto" w:fill="C4EFCE"/>
            <w:vAlign w:val="center"/>
          </w:tcPr>
          <w:p w14:paraId="098D721B" w14:textId="77777777" w:rsidR="006C686E" w:rsidRDefault="00B17E8C">
            <w:pPr>
              <w:pStyle w:val="P68B1DB1-Normal60"/>
              <w:spacing w:after="0" w:line="276" w:lineRule="auto"/>
              <w:jc w:val="center"/>
              <w:rPr>
                <w:noProof/>
              </w:rPr>
            </w:pPr>
            <w:r>
              <w:rPr>
                <w:noProof/>
              </w:rPr>
              <w:t>19.32</w:t>
            </w:r>
          </w:p>
        </w:tc>
        <w:tc>
          <w:tcPr>
            <w:tcW w:w="1760" w:type="dxa"/>
            <w:shd w:val="clear" w:color="auto" w:fill="C4EFCE"/>
            <w:vAlign w:val="center"/>
          </w:tcPr>
          <w:p w14:paraId="125F2338" w14:textId="016C454D" w:rsidR="006C686E" w:rsidRDefault="00B17E8C">
            <w:pPr>
              <w:pStyle w:val="P68B1DB1-Normal60"/>
              <w:spacing w:after="0" w:line="276" w:lineRule="auto"/>
              <w:jc w:val="center"/>
              <w:rPr>
                <w:noProof/>
              </w:rPr>
            </w:pPr>
            <w:r>
              <w:rPr>
                <w:noProof/>
              </w:rPr>
              <w:t>TD-C19-r42</w:t>
            </w:r>
          </w:p>
        </w:tc>
        <w:tc>
          <w:tcPr>
            <w:tcW w:w="1520" w:type="dxa"/>
            <w:shd w:val="clear" w:color="auto" w:fill="C4EFCE"/>
            <w:vAlign w:val="center"/>
          </w:tcPr>
          <w:p w14:paraId="66D6D1AA" w14:textId="77777777" w:rsidR="006C686E" w:rsidRDefault="00B17E8C">
            <w:pPr>
              <w:pStyle w:val="P68B1DB1-Normal60"/>
              <w:spacing w:after="0" w:line="276" w:lineRule="auto"/>
              <w:jc w:val="center"/>
              <w:rPr>
                <w:noProof/>
              </w:rPr>
            </w:pPr>
            <w:r>
              <w:rPr>
                <w:noProof/>
              </w:rPr>
              <w:t>M</w:t>
            </w:r>
          </w:p>
        </w:tc>
        <w:tc>
          <w:tcPr>
            <w:tcW w:w="5060" w:type="dxa"/>
            <w:shd w:val="clear" w:color="auto" w:fill="C4EFCE"/>
            <w:vAlign w:val="center"/>
          </w:tcPr>
          <w:p w14:paraId="5A365B0C" w14:textId="77777777" w:rsidR="006C686E" w:rsidRDefault="00B17E8C">
            <w:pPr>
              <w:pStyle w:val="P68B1DB1-Normal60"/>
              <w:spacing w:after="0" w:line="276" w:lineRule="auto"/>
              <w:jc w:val="both"/>
              <w:rPr>
                <w:noProof/>
              </w:rPr>
            </w:pPr>
            <w:r>
              <w:rPr>
                <w:noProof/>
              </w:rPr>
              <w:t>Entrée en vigueur de l’acte législatif qui révise le profil des compétences de l’administration publique</w:t>
            </w:r>
          </w:p>
        </w:tc>
      </w:tr>
      <w:tr w:rsidR="006C686E" w14:paraId="379787F4" w14:textId="77777777">
        <w:trPr>
          <w:trHeight w:val="440"/>
        </w:trPr>
        <w:tc>
          <w:tcPr>
            <w:tcW w:w="1200" w:type="dxa"/>
            <w:shd w:val="clear" w:color="auto" w:fill="C4EFCE"/>
            <w:vAlign w:val="center"/>
            <w:hideMark/>
          </w:tcPr>
          <w:p w14:paraId="765D3D67"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72099E50"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760B53AD"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2B96145A" w14:textId="76E7AFE9" w:rsidR="006C686E" w:rsidRDefault="00B17E8C">
            <w:pPr>
              <w:pStyle w:val="P68B1DB1-Normal61"/>
              <w:spacing w:after="0" w:line="240" w:lineRule="auto"/>
              <w:jc w:val="center"/>
              <w:rPr>
                <w:iCs/>
                <w:noProof/>
                <w:sz w:val="20"/>
                <w:szCs w:val="20"/>
              </w:rPr>
            </w:pPr>
            <w:r>
              <w:rPr>
                <w:noProof/>
              </w:rPr>
              <w:t>509 920 104 EUR</w:t>
            </w:r>
          </w:p>
        </w:tc>
      </w:tr>
    </w:tbl>
    <w:p w14:paraId="4B476B84" w14:textId="77777777" w:rsidR="006C686E" w:rsidRDefault="006C686E">
      <w:pPr>
        <w:keepNext/>
        <w:spacing w:before="40"/>
        <w:contextualSpacing/>
        <w:jc w:val="both"/>
        <w:rPr>
          <w:rFonts w:ascii="Times New Roman" w:eastAsia="Times New Roman" w:hAnsi="Times New Roman" w:cs="Times New Roman"/>
          <w:noProof/>
          <w:kern w:val="0"/>
          <w14:ligatures w14:val="none"/>
        </w:rPr>
      </w:pPr>
    </w:p>
    <w:p w14:paraId="0DF4728F" w14:textId="77777777" w:rsidR="006C686E" w:rsidRDefault="00B17E8C">
      <w:pPr>
        <w:pStyle w:val="P68B1DB1-Normal4"/>
        <w:keepNext/>
        <w:numPr>
          <w:ilvl w:val="1"/>
          <w:numId w:val="71"/>
        </w:numPr>
        <w:spacing w:before="40" w:after="200" w:line="276" w:lineRule="auto"/>
        <w:contextualSpacing/>
        <w:jc w:val="both"/>
        <w:rPr>
          <w:rFonts w:eastAsia="Times New Roman"/>
          <w:noProof/>
        </w:rPr>
      </w:pPr>
      <w:r>
        <w:rPr>
          <w:noProof/>
        </w:rPr>
        <w:t>Huitième tranche (soutien sous forme de prêt):</w:t>
      </w:r>
    </w:p>
    <w:p w14:paraId="75DB95FD" w14:textId="77777777" w:rsidR="006C686E" w:rsidRDefault="006C686E">
      <w:pPr>
        <w:keepNext/>
        <w:spacing w:before="40"/>
        <w:ind w:left="360"/>
        <w:contextualSpacing/>
        <w:jc w:val="both"/>
        <w:rPr>
          <w:rFonts w:ascii="Times New Roman" w:eastAsia="Times New Roman" w:hAnsi="Times New Roman" w:cs="Times New Roman"/>
          <w:noProof/>
          <w:kern w:val="0"/>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723"/>
        <w:gridCol w:w="1486"/>
        <w:gridCol w:w="4517"/>
      </w:tblGrid>
      <w:tr w:rsidR="006C686E" w14:paraId="08B53EEE" w14:textId="77777777">
        <w:trPr>
          <w:trHeight w:val="1018"/>
        </w:trPr>
        <w:tc>
          <w:tcPr>
            <w:tcW w:w="1200" w:type="dxa"/>
            <w:shd w:val="clear" w:color="auto" w:fill="BDD7EE"/>
            <w:vAlign w:val="center"/>
          </w:tcPr>
          <w:p w14:paraId="0415F40A"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58" w:type="dxa"/>
            <w:shd w:val="clear" w:color="auto" w:fill="BDD7EE"/>
            <w:vAlign w:val="center"/>
          </w:tcPr>
          <w:p w14:paraId="593FD11D"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18" w:type="dxa"/>
            <w:shd w:val="clear" w:color="auto" w:fill="BDD7EE"/>
            <w:vAlign w:val="center"/>
          </w:tcPr>
          <w:p w14:paraId="00462932" w14:textId="77777777" w:rsidR="006C686E" w:rsidRDefault="00B17E8C">
            <w:pPr>
              <w:pStyle w:val="P68B1DB1-Normal59"/>
              <w:spacing w:after="0" w:line="240" w:lineRule="auto"/>
              <w:jc w:val="center"/>
              <w:rPr>
                <w:rFonts w:eastAsia="Times New Roman"/>
                <w:bCs/>
                <w:noProof/>
              </w:rPr>
            </w:pPr>
            <w:r>
              <w:rPr>
                <w:noProof/>
              </w:rPr>
              <w:t>Étape/cible</w:t>
            </w:r>
          </w:p>
        </w:tc>
        <w:tc>
          <w:tcPr>
            <w:tcW w:w="5045" w:type="dxa"/>
            <w:shd w:val="clear" w:color="auto" w:fill="BDD7EE"/>
            <w:vAlign w:val="center"/>
          </w:tcPr>
          <w:p w14:paraId="1EA7069C" w14:textId="77777777" w:rsidR="006C686E" w:rsidRDefault="00B17E8C">
            <w:pPr>
              <w:pStyle w:val="P68B1DB1-Normal59"/>
              <w:spacing w:after="0" w:line="240" w:lineRule="auto"/>
              <w:jc w:val="center"/>
              <w:rPr>
                <w:rFonts w:eastAsia="Times New Roman"/>
                <w:bCs/>
                <w:noProof/>
              </w:rPr>
            </w:pPr>
            <w:r>
              <w:rPr>
                <w:noProof/>
              </w:rPr>
              <w:t>Nom</w:t>
            </w:r>
          </w:p>
        </w:tc>
      </w:tr>
      <w:tr w:rsidR="006C686E" w14:paraId="7506640D" w14:textId="77777777">
        <w:trPr>
          <w:trHeight w:val="440"/>
        </w:trPr>
        <w:tc>
          <w:tcPr>
            <w:tcW w:w="1200" w:type="dxa"/>
            <w:shd w:val="clear" w:color="auto" w:fill="C4EFCE"/>
            <w:vAlign w:val="center"/>
          </w:tcPr>
          <w:p w14:paraId="2C3BF16D" w14:textId="77777777" w:rsidR="006C686E" w:rsidRDefault="00B17E8C">
            <w:pPr>
              <w:pStyle w:val="P68B1DB1-Normal60"/>
              <w:spacing w:after="0" w:line="276" w:lineRule="auto"/>
              <w:jc w:val="center"/>
              <w:rPr>
                <w:noProof/>
              </w:rPr>
            </w:pPr>
            <w:r>
              <w:rPr>
                <w:noProof/>
              </w:rPr>
              <w:t>5.48</w:t>
            </w:r>
          </w:p>
        </w:tc>
        <w:tc>
          <w:tcPr>
            <w:tcW w:w="1758" w:type="dxa"/>
            <w:shd w:val="clear" w:color="auto" w:fill="C4EFCE"/>
            <w:vAlign w:val="center"/>
          </w:tcPr>
          <w:p w14:paraId="12A9A895" w14:textId="77777777" w:rsidR="006C686E" w:rsidRDefault="00B17E8C">
            <w:pPr>
              <w:pStyle w:val="P68B1DB1-Normal60"/>
              <w:spacing w:after="0" w:line="276" w:lineRule="auto"/>
              <w:jc w:val="center"/>
              <w:rPr>
                <w:noProof/>
              </w:rPr>
            </w:pPr>
            <w:r>
              <w:rPr>
                <w:noProof/>
              </w:rPr>
              <w:t>RE-C05-i16</w:t>
            </w:r>
          </w:p>
        </w:tc>
        <w:tc>
          <w:tcPr>
            <w:tcW w:w="1518" w:type="dxa"/>
            <w:shd w:val="clear" w:color="auto" w:fill="C4EFCE"/>
            <w:vAlign w:val="center"/>
          </w:tcPr>
          <w:p w14:paraId="11B528A2" w14:textId="77777777" w:rsidR="006C686E" w:rsidRDefault="00B17E8C">
            <w:pPr>
              <w:pStyle w:val="P68B1DB1-Normal60"/>
              <w:spacing w:after="0" w:line="276" w:lineRule="auto"/>
              <w:jc w:val="center"/>
              <w:rPr>
                <w:noProof/>
              </w:rPr>
            </w:pPr>
            <w:r>
              <w:rPr>
                <w:noProof/>
              </w:rPr>
              <w:t>M</w:t>
            </w:r>
          </w:p>
        </w:tc>
        <w:tc>
          <w:tcPr>
            <w:tcW w:w="5045" w:type="dxa"/>
            <w:shd w:val="clear" w:color="auto" w:fill="C4EFCE"/>
            <w:vAlign w:val="center"/>
          </w:tcPr>
          <w:p w14:paraId="6DE493C8" w14:textId="77777777" w:rsidR="006C686E" w:rsidRDefault="00B17E8C">
            <w:pPr>
              <w:pStyle w:val="P68B1DB1-Normal60"/>
              <w:spacing w:after="0" w:line="276" w:lineRule="auto"/>
              <w:rPr>
                <w:noProof/>
              </w:rPr>
            </w:pPr>
            <w:r>
              <w:rPr>
                <w:noProof/>
              </w:rPr>
              <w:t>Signature de la convention de contribution entre le gouvernement du Portugal et la Commission européenne</w:t>
            </w:r>
          </w:p>
        </w:tc>
      </w:tr>
      <w:tr w:rsidR="006C686E" w14:paraId="467C0E02" w14:textId="77777777">
        <w:trPr>
          <w:trHeight w:val="440"/>
        </w:trPr>
        <w:tc>
          <w:tcPr>
            <w:tcW w:w="1200" w:type="dxa"/>
            <w:shd w:val="clear" w:color="auto" w:fill="C4EFCE"/>
            <w:vAlign w:val="center"/>
          </w:tcPr>
          <w:p w14:paraId="1139456E" w14:textId="77777777" w:rsidR="006C686E" w:rsidRDefault="00B17E8C">
            <w:pPr>
              <w:pStyle w:val="P68B1DB1-Normal60"/>
              <w:spacing w:after="0" w:line="276" w:lineRule="auto"/>
              <w:jc w:val="center"/>
              <w:rPr>
                <w:noProof/>
              </w:rPr>
            </w:pPr>
            <w:r>
              <w:rPr>
                <w:noProof/>
              </w:rPr>
              <w:t>19.33</w:t>
            </w:r>
          </w:p>
        </w:tc>
        <w:tc>
          <w:tcPr>
            <w:tcW w:w="1758" w:type="dxa"/>
            <w:shd w:val="clear" w:color="auto" w:fill="C4EFCE"/>
            <w:vAlign w:val="center"/>
          </w:tcPr>
          <w:p w14:paraId="5D29466E" w14:textId="77777777" w:rsidR="006C686E" w:rsidRDefault="00B17E8C">
            <w:pPr>
              <w:pStyle w:val="P68B1DB1-Normal60"/>
              <w:spacing w:after="0" w:line="276" w:lineRule="auto"/>
              <w:jc w:val="center"/>
              <w:rPr>
                <w:noProof/>
              </w:rPr>
            </w:pPr>
            <w:r>
              <w:rPr>
                <w:noProof/>
              </w:rPr>
              <w:t>TD-C19-r42</w:t>
            </w:r>
          </w:p>
        </w:tc>
        <w:tc>
          <w:tcPr>
            <w:tcW w:w="1518" w:type="dxa"/>
            <w:shd w:val="clear" w:color="auto" w:fill="C4EFCE"/>
            <w:vAlign w:val="center"/>
          </w:tcPr>
          <w:p w14:paraId="137FD004" w14:textId="77777777" w:rsidR="006C686E" w:rsidRDefault="00B17E8C">
            <w:pPr>
              <w:pStyle w:val="P68B1DB1-Normal60"/>
              <w:spacing w:after="0" w:line="276" w:lineRule="auto"/>
              <w:jc w:val="center"/>
              <w:rPr>
                <w:noProof/>
              </w:rPr>
            </w:pPr>
            <w:r>
              <w:rPr>
                <w:noProof/>
              </w:rPr>
              <w:t>M</w:t>
            </w:r>
          </w:p>
        </w:tc>
        <w:tc>
          <w:tcPr>
            <w:tcW w:w="5045" w:type="dxa"/>
            <w:shd w:val="clear" w:color="auto" w:fill="C4EFCE"/>
            <w:vAlign w:val="center"/>
          </w:tcPr>
          <w:p w14:paraId="295BEC11" w14:textId="77777777" w:rsidR="006C686E" w:rsidRDefault="00B17E8C">
            <w:pPr>
              <w:pStyle w:val="P68B1DB1-Normal60"/>
              <w:spacing w:after="0" w:line="276" w:lineRule="auto"/>
              <w:jc w:val="both"/>
              <w:rPr>
                <w:noProof/>
              </w:rPr>
            </w:pPr>
            <w:r>
              <w:rPr>
                <w:noProof/>
              </w:rPr>
              <w:t>Plateforme SIADAP</w:t>
            </w:r>
          </w:p>
        </w:tc>
      </w:tr>
      <w:tr w:rsidR="006C686E" w14:paraId="67529AB0" w14:textId="77777777">
        <w:trPr>
          <w:trHeight w:val="440"/>
        </w:trPr>
        <w:tc>
          <w:tcPr>
            <w:tcW w:w="1200" w:type="dxa"/>
            <w:shd w:val="clear" w:color="auto" w:fill="C4EFCE"/>
            <w:vAlign w:val="center"/>
          </w:tcPr>
          <w:p w14:paraId="203247A8" w14:textId="77777777" w:rsidR="006C686E" w:rsidRDefault="006C686E">
            <w:pPr>
              <w:spacing w:after="0" w:line="240" w:lineRule="auto"/>
              <w:jc w:val="center"/>
              <w:rPr>
                <w:rFonts w:ascii="Times New Roman" w:eastAsia="Times New Roman" w:hAnsi="Times New Roman" w:cs="Times New Roman"/>
                <w:noProof/>
                <w:kern w:val="0"/>
                <w:sz w:val="20"/>
                <w:szCs w:val="20"/>
                <w14:ligatures w14:val="none"/>
              </w:rPr>
            </w:pPr>
          </w:p>
        </w:tc>
        <w:tc>
          <w:tcPr>
            <w:tcW w:w="1758" w:type="dxa"/>
            <w:shd w:val="clear" w:color="auto" w:fill="C4EFCE"/>
            <w:vAlign w:val="center"/>
          </w:tcPr>
          <w:p w14:paraId="43F3C535" w14:textId="77777777" w:rsidR="006C686E" w:rsidRDefault="006C686E">
            <w:pPr>
              <w:spacing w:after="0" w:line="240" w:lineRule="auto"/>
              <w:rPr>
                <w:rFonts w:ascii="Times New Roman" w:eastAsia="Times New Roman" w:hAnsi="Times New Roman" w:cs="Times New Roman"/>
                <w:noProof/>
                <w:kern w:val="0"/>
                <w:sz w:val="20"/>
                <w:szCs w:val="20"/>
                <w14:ligatures w14:val="none"/>
              </w:rPr>
            </w:pPr>
          </w:p>
        </w:tc>
        <w:tc>
          <w:tcPr>
            <w:tcW w:w="1518" w:type="dxa"/>
            <w:shd w:val="clear" w:color="auto" w:fill="C4EFCE"/>
            <w:vAlign w:val="center"/>
          </w:tcPr>
          <w:p w14:paraId="79E15F89"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45" w:type="dxa"/>
            <w:shd w:val="clear" w:color="auto" w:fill="C4EFCE"/>
            <w:vAlign w:val="center"/>
          </w:tcPr>
          <w:p w14:paraId="561B1071" w14:textId="3DF98187" w:rsidR="006C686E" w:rsidRDefault="00B17E8C">
            <w:pPr>
              <w:pStyle w:val="P68B1DB1-Normal61"/>
              <w:spacing w:after="0" w:line="240" w:lineRule="auto"/>
              <w:jc w:val="center"/>
              <w:rPr>
                <w:noProof/>
              </w:rPr>
            </w:pPr>
            <w:r>
              <w:rPr>
                <w:noProof/>
              </w:rPr>
              <w:t>302 504 066 EUR</w:t>
            </w:r>
          </w:p>
        </w:tc>
      </w:tr>
    </w:tbl>
    <w:p w14:paraId="4D44D944" w14:textId="77777777" w:rsidR="006C686E" w:rsidRDefault="00B17E8C">
      <w:pPr>
        <w:pStyle w:val="P68B1DB1-Normal67"/>
        <w:keepNext/>
        <w:numPr>
          <w:ilvl w:val="1"/>
          <w:numId w:val="71"/>
        </w:numPr>
        <w:spacing w:before="40" w:after="200" w:line="276" w:lineRule="auto"/>
        <w:contextualSpacing/>
        <w:jc w:val="both"/>
        <w:rPr>
          <w:noProof/>
        </w:rPr>
      </w:pPr>
      <w:r>
        <w:rPr>
          <w:noProof/>
        </w:rPr>
        <w:t xml:space="preserve"> Neuvième tranche (soutien sous forme de prêt):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760"/>
        <w:gridCol w:w="1520"/>
        <w:gridCol w:w="5042"/>
        <w:gridCol w:w="19"/>
      </w:tblGrid>
      <w:tr w:rsidR="006C686E" w14:paraId="505D4A43" w14:textId="77777777">
        <w:trPr>
          <w:gridAfter w:val="1"/>
          <w:wAfter w:w="19" w:type="dxa"/>
          <w:trHeight w:val="1018"/>
          <w:tblHeader/>
        </w:trPr>
        <w:tc>
          <w:tcPr>
            <w:tcW w:w="1199" w:type="dxa"/>
            <w:shd w:val="clear" w:color="auto" w:fill="BDD7EE"/>
            <w:vAlign w:val="center"/>
          </w:tcPr>
          <w:p w14:paraId="654FDCEB" w14:textId="77777777" w:rsidR="006C686E" w:rsidRDefault="00B17E8C">
            <w:pPr>
              <w:pStyle w:val="P68B1DB1-Normal59"/>
              <w:spacing w:after="0" w:line="240" w:lineRule="auto"/>
              <w:jc w:val="center"/>
              <w:rPr>
                <w:rFonts w:eastAsia="Times New Roman"/>
                <w:bCs/>
                <w:noProof/>
              </w:rPr>
            </w:pPr>
            <w:r>
              <w:rPr>
                <w:noProof/>
              </w:rPr>
              <w:t>Numéro séquentiel</w:t>
            </w:r>
          </w:p>
        </w:tc>
        <w:tc>
          <w:tcPr>
            <w:tcW w:w="1760" w:type="dxa"/>
            <w:shd w:val="clear" w:color="auto" w:fill="BDD7EE"/>
            <w:vAlign w:val="center"/>
          </w:tcPr>
          <w:p w14:paraId="43DB0DB2" w14:textId="77777777" w:rsidR="006C686E" w:rsidRDefault="00B17E8C">
            <w:pPr>
              <w:pStyle w:val="P68B1DB1-Normal59"/>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tcPr>
          <w:p w14:paraId="45A935D6" w14:textId="77777777" w:rsidR="006C686E" w:rsidRDefault="00B17E8C">
            <w:pPr>
              <w:pStyle w:val="P68B1DB1-Normal59"/>
              <w:spacing w:after="0" w:line="240" w:lineRule="auto"/>
              <w:jc w:val="center"/>
              <w:rPr>
                <w:rFonts w:eastAsia="Times New Roman"/>
                <w:bCs/>
                <w:noProof/>
              </w:rPr>
            </w:pPr>
            <w:r>
              <w:rPr>
                <w:noProof/>
              </w:rPr>
              <w:t>Étape/cible</w:t>
            </w:r>
          </w:p>
        </w:tc>
        <w:tc>
          <w:tcPr>
            <w:tcW w:w="5042" w:type="dxa"/>
            <w:shd w:val="clear" w:color="auto" w:fill="BDD7EE"/>
            <w:vAlign w:val="center"/>
          </w:tcPr>
          <w:p w14:paraId="07833A39" w14:textId="77777777" w:rsidR="006C686E" w:rsidRDefault="00B17E8C">
            <w:pPr>
              <w:pStyle w:val="P68B1DB1-Normal59"/>
              <w:spacing w:after="0" w:line="240" w:lineRule="auto"/>
              <w:jc w:val="center"/>
              <w:rPr>
                <w:rFonts w:eastAsia="Times New Roman"/>
                <w:bCs/>
                <w:noProof/>
              </w:rPr>
            </w:pPr>
            <w:r>
              <w:rPr>
                <w:noProof/>
              </w:rPr>
              <w:t>Nom</w:t>
            </w:r>
          </w:p>
        </w:tc>
      </w:tr>
      <w:tr w:rsidR="006C686E" w14:paraId="44D21A02" w14:textId="77777777">
        <w:trPr>
          <w:trHeight w:val="440"/>
        </w:trPr>
        <w:tc>
          <w:tcPr>
            <w:tcW w:w="1199" w:type="dxa"/>
            <w:shd w:val="clear" w:color="auto" w:fill="C4EFCE"/>
            <w:vAlign w:val="center"/>
          </w:tcPr>
          <w:p w14:paraId="18D7716A" w14:textId="1A75CFB6" w:rsidR="006C686E" w:rsidRDefault="00B17E8C">
            <w:pPr>
              <w:pStyle w:val="P68B1DB1-Normal63"/>
              <w:spacing w:after="0" w:line="276" w:lineRule="auto"/>
              <w:jc w:val="center"/>
              <w:rPr>
                <w:noProof/>
              </w:rPr>
            </w:pPr>
            <w:r>
              <w:rPr>
                <w:noProof/>
              </w:rPr>
              <w:t>5.29</w:t>
            </w:r>
          </w:p>
        </w:tc>
        <w:tc>
          <w:tcPr>
            <w:tcW w:w="1760" w:type="dxa"/>
            <w:shd w:val="clear" w:color="auto" w:fill="C4EFCE"/>
            <w:vAlign w:val="center"/>
          </w:tcPr>
          <w:p w14:paraId="1C26C05C" w14:textId="34AE3D3A" w:rsidR="006C686E" w:rsidRDefault="00B17E8C">
            <w:pPr>
              <w:pStyle w:val="P68B1DB1-Normal63"/>
              <w:spacing w:after="0" w:line="276" w:lineRule="auto"/>
              <w:jc w:val="center"/>
              <w:rPr>
                <w:noProof/>
              </w:rPr>
            </w:pPr>
            <w:r>
              <w:rPr>
                <w:noProof/>
              </w:rPr>
              <w:t>RE-C05-i06</w:t>
            </w:r>
          </w:p>
        </w:tc>
        <w:tc>
          <w:tcPr>
            <w:tcW w:w="1520" w:type="dxa"/>
            <w:shd w:val="clear" w:color="auto" w:fill="C4EFCE"/>
            <w:vAlign w:val="center"/>
          </w:tcPr>
          <w:p w14:paraId="15AE3C87" w14:textId="1B6FB82F" w:rsidR="006C686E" w:rsidRDefault="00B17E8C">
            <w:pPr>
              <w:pStyle w:val="P68B1DB1-Normal63"/>
              <w:spacing w:after="0" w:line="276" w:lineRule="auto"/>
              <w:jc w:val="center"/>
              <w:rPr>
                <w:noProof/>
              </w:rPr>
            </w:pPr>
            <w:r>
              <w:rPr>
                <w:noProof/>
              </w:rPr>
              <w:t>T</w:t>
            </w:r>
          </w:p>
        </w:tc>
        <w:tc>
          <w:tcPr>
            <w:tcW w:w="5061" w:type="dxa"/>
            <w:gridSpan w:val="2"/>
            <w:shd w:val="clear" w:color="auto" w:fill="C4EFCE"/>
            <w:vAlign w:val="center"/>
          </w:tcPr>
          <w:p w14:paraId="5854B5DF" w14:textId="5EEC1384" w:rsidR="006C686E" w:rsidRDefault="00B17E8C">
            <w:pPr>
              <w:pStyle w:val="P68B1DB1-Normal62"/>
              <w:spacing w:after="0" w:line="276" w:lineRule="auto"/>
              <w:jc w:val="both"/>
              <w:rPr>
                <w:noProof/>
                <w:color w:val="000000"/>
                <w:kern w:val="0"/>
                <w14:ligatures w14:val="none"/>
              </w:rPr>
            </w:pPr>
            <w:r>
              <w:rPr>
                <w:noProof/>
                <w:color w:val="000000" w:themeColor="text1"/>
              </w:rPr>
              <w:t>Livraison par l’instrument de capitalisation d’un montant total de 1 050 653 000 EUR à des sociétés non financières établies et/ou opérant au Portugal dans le cadre d’un soutien sous forme de fonds propres et de quasi-fonds propres, conformément à sa politique d’investissement</w:t>
            </w:r>
          </w:p>
        </w:tc>
      </w:tr>
      <w:tr w:rsidR="006C686E" w14:paraId="62050EE8" w14:textId="77777777">
        <w:trPr>
          <w:trHeight w:val="440"/>
        </w:trPr>
        <w:tc>
          <w:tcPr>
            <w:tcW w:w="1199" w:type="dxa"/>
            <w:shd w:val="clear" w:color="auto" w:fill="C4EFCE"/>
            <w:vAlign w:val="center"/>
          </w:tcPr>
          <w:p w14:paraId="25F6D6F7" w14:textId="77777777" w:rsidR="006C686E" w:rsidRDefault="00B17E8C">
            <w:pPr>
              <w:pStyle w:val="P68B1DB1-Normal63"/>
              <w:spacing w:after="0" w:line="276" w:lineRule="auto"/>
              <w:jc w:val="center"/>
              <w:rPr>
                <w:noProof/>
              </w:rPr>
            </w:pPr>
            <w:r>
              <w:rPr>
                <w:noProof/>
              </w:rPr>
              <w:t>5.49</w:t>
            </w:r>
          </w:p>
        </w:tc>
        <w:tc>
          <w:tcPr>
            <w:tcW w:w="1760" w:type="dxa"/>
            <w:shd w:val="clear" w:color="auto" w:fill="C4EFCE"/>
            <w:vAlign w:val="center"/>
          </w:tcPr>
          <w:p w14:paraId="09A1876B" w14:textId="77777777" w:rsidR="006C686E" w:rsidRDefault="00B17E8C">
            <w:pPr>
              <w:pStyle w:val="P68B1DB1-Normal63"/>
              <w:spacing w:after="0" w:line="276" w:lineRule="auto"/>
              <w:jc w:val="center"/>
              <w:rPr>
                <w:noProof/>
              </w:rPr>
            </w:pPr>
            <w:r>
              <w:rPr>
                <w:noProof/>
              </w:rPr>
              <w:t>RE-C05-i16</w:t>
            </w:r>
          </w:p>
        </w:tc>
        <w:tc>
          <w:tcPr>
            <w:tcW w:w="1520" w:type="dxa"/>
            <w:shd w:val="clear" w:color="auto" w:fill="C4EFCE"/>
            <w:vAlign w:val="center"/>
          </w:tcPr>
          <w:p w14:paraId="14D4C481" w14:textId="77777777" w:rsidR="006C686E" w:rsidRDefault="00B17E8C">
            <w:pPr>
              <w:pStyle w:val="P68B1DB1-Normal63"/>
              <w:spacing w:after="0" w:line="276" w:lineRule="auto"/>
              <w:jc w:val="center"/>
              <w:rPr>
                <w:noProof/>
              </w:rPr>
            </w:pPr>
            <w:r>
              <w:rPr>
                <w:noProof/>
              </w:rPr>
              <w:t>T</w:t>
            </w:r>
          </w:p>
        </w:tc>
        <w:tc>
          <w:tcPr>
            <w:tcW w:w="5061" w:type="dxa"/>
            <w:gridSpan w:val="2"/>
            <w:shd w:val="clear" w:color="auto" w:fill="C4EFCE"/>
            <w:vAlign w:val="center"/>
          </w:tcPr>
          <w:p w14:paraId="418337EB" w14:textId="77777777" w:rsidR="006C686E" w:rsidRDefault="00B17E8C">
            <w:pPr>
              <w:pStyle w:val="P68B1DB1-Normal63"/>
              <w:spacing w:after="0" w:line="276" w:lineRule="auto"/>
              <w:jc w:val="both"/>
              <w:rPr>
                <w:noProof/>
              </w:rPr>
            </w:pPr>
            <w:r>
              <w:rPr>
                <w:noProof/>
              </w:rPr>
              <w:t>Opérations de financement ou d’investissement approuvées par le comité d’investissement InvestEU.</w:t>
            </w:r>
          </w:p>
        </w:tc>
      </w:tr>
      <w:tr w:rsidR="006C686E" w14:paraId="0A3D608A" w14:textId="77777777">
        <w:trPr>
          <w:gridAfter w:val="1"/>
          <w:wAfter w:w="19" w:type="dxa"/>
          <w:trHeight w:val="440"/>
        </w:trPr>
        <w:tc>
          <w:tcPr>
            <w:tcW w:w="1199" w:type="dxa"/>
            <w:shd w:val="clear" w:color="auto" w:fill="C4EFCE"/>
            <w:vAlign w:val="center"/>
          </w:tcPr>
          <w:p w14:paraId="0A826F49" w14:textId="77777777" w:rsidR="006C686E" w:rsidRDefault="00B17E8C">
            <w:pPr>
              <w:pStyle w:val="P68B1DB1-Normal60"/>
              <w:spacing w:after="0" w:line="276" w:lineRule="auto"/>
              <w:jc w:val="center"/>
              <w:rPr>
                <w:noProof/>
              </w:rPr>
            </w:pPr>
            <w:r>
              <w:rPr>
                <w:noProof/>
              </w:rPr>
              <w:t>7.10</w:t>
            </w:r>
          </w:p>
        </w:tc>
        <w:tc>
          <w:tcPr>
            <w:tcW w:w="1760" w:type="dxa"/>
            <w:shd w:val="clear" w:color="auto" w:fill="C4EFCE"/>
            <w:vAlign w:val="center"/>
          </w:tcPr>
          <w:p w14:paraId="48F40096" w14:textId="77777777" w:rsidR="006C686E" w:rsidRDefault="00B17E8C">
            <w:pPr>
              <w:pStyle w:val="P68B1DB1-Normal60"/>
              <w:spacing w:after="0" w:line="276" w:lineRule="auto"/>
              <w:jc w:val="center"/>
              <w:rPr>
                <w:noProof/>
              </w:rPr>
            </w:pPr>
            <w:r>
              <w:rPr>
                <w:noProof/>
              </w:rPr>
              <w:t>RE-C07-i03</w:t>
            </w:r>
          </w:p>
        </w:tc>
        <w:tc>
          <w:tcPr>
            <w:tcW w:w="1520" w:type="dxa"/>
            <w:shd w:val="clear" w:color="auto" w:fill="C4EFCE"/>
            <w:vAlign w:val="center"/>
          </w:tcPr>
          <w:p w14:paraId="53C755C1" w14:textId="77777777" w:rsidR="006C686E" w:rsidRDefault="00B17E8C">
            <w:pPr>
              <w:pStyle w:val="P68B1DB1-Normal60"/>
              <w:spacing w:after="0" w:line="276" w:lineRule="auto"/>
              <w:jc w:val="center"/>
              <w:rPr>
                <w:noProof/>
              </w:rPr>
            </w:pPr>
            <w:r>
              <w:rPr>
                <w:noProof/>
              </w:rPr>
              <w:t>T</w:t>
            </w:r>
          </w:p>
        </w:tc>
        <w:tc>
          <w:tcPr>
            <w:tcW w:w="5042" w:type="dxa"/>
            <w:shd w:val="clear" w:color="auto" w:fill="C4EFCE"/>
            <w:vAlign w:val="center"/>
          </w:tcPr>
          <w:p w14:paraId="2131B019" w14:textId="77777777" w:rsidR="006C686E" w:rsidRDefault="00B17E8C">
            <w:pPr>
              <w:pStyle w:val="P68B1DB1-Normal60"/>
              <w:spacing w:after="0" w:line="276" w:lineRule="auto"/>
              <w:jc w:val="both"/>
              <w:rPr>
                <w:noProof/>
              </w:rPr>
            </w:pPr>
            <w:r>
              <w:rPr>
                <w:noProof/>
              </w:rPr>
              <w:t>Routes construites ou rénovées</w:t>
            </w:r>
          </w:p>
        </w:tc>
      </w:tr>
      <w:tr w:rsidR="006C686E" w14:paraId="7286FCB2" w14:textId="77777777">
        <w:trPr>
          <w:gridAfter w:val="1"/>
          <w:wAfter w:w="19" w:type="dxa"/>
          <w:trHeight w:val="440"/>
        </w:trPr>
        <w:tc>
          <w:tcPr>
            <w:tcW w:w="1199" w:type="dxa"/>
            <w:shd w:val="clear" w:color="auto" w:fill="C4EFCE"/>
            <w:vAlign w:val="center"/>
          </w:tcPr>
          <w:p w14:paraId="6FAD3D1C" w14:textId="77777777" w:rsidR="006C686E" w:rsidRDefault="00B17E8C">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tcPr>
          <w:p w14:paraId="640E571A" w14:textId="77777777" w:rsidR="006C686E" w:rsidRDefault="00B17E8C">
            <w:pPr>
              <w:pStyle w:val="P68B1DB1-Normal60"/>
              <w:spacing w:after="0" w:line="240" w:lineRule="auto"/>
              <w:rPr>
                <w:rFonts w:eastAsia="Times New Roman"/>
                <w:noProof/>
              </w:rPr>
            </w:pPr>
            <w:r>
              <w:rPr>
                <w:noProof/>
              </w:rPr>
              <w:t xml:space="preserve"> </w:t>
            </w:r>
          </w:p>
        </w:tc>
        <w:tc>
          <w:tcPr>
            <w:tcW w:w="1520" w:type="dxa"/>
            <w:shd w:val="clear" w:color="auto" w:fill="C4EFCE"/>
            <w:vAlign w:val="center"/>
          </w:tcPr>
          <w:p w14:paraId="15306B12"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042" w:type="dxa"/>
            <w:shd w:val="clear" w:color="auto" w:fill="C4EFCE"/>
            <w:vAlign w:val="center"/>
          </w:tcPr>
          <w:p w14:paraId="7D885738" w14:textId="77777777" w:rsidR="006C686E" w:rsidRDefault="00B17E8C">
            <w:pPr>
              <w:pStyle w:val="P68B1DB1-Normal61"/>
              <w:spacing w:after="0" w:line="240" w:lineRule="auto"/>
              <w:jc w:val="center"/>
              <w:rPr>
                <w:iCs/>
                <w:noProof/>
                <w:sz w:val="20"/>
                <w:szCs w:val="20"/>
              </w:rPr>
            </w:pPr>
            <w:r>
              <w:rPr>
                <w:noProof/>
              </w:rPr>
              <w:t>488 671 912 EUR</w:t>
            </w:r>
          </w:p>
        </w:tc>
      </w:tr>
    </w:tbl>
    <w:p w14:paraId="7380B5E5" w14:textId="77777777" w:rsidR="006C686E" w:rsidRDefault="00B17E8C">
      <w:pPr>
        <w:pStyle w:val="P68B1DB1-Normal4"/>
        <w:keepNext/>
        <w:spacing w:before="40"/>
        <w:contextualSpacing/>
        <w:jc w:val="both"/>
        <w:rPr>
          <w:rFonts w:eastAsia="Yu Mincho"/>
          <w:noProof/>
        </w:rPr>
      </w:pPr>
      <w:r>
        <w:rPr>
          <w:noProof/>
        </w:rPr>
        <w:t>2.9. Dixième tranche (soutien sous forme de prêt):</w:t>
      </w:r>
    </w:p>
    <w:p w14:paraId="2BCEFB64"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697"/>
        <w:gridCol w:w="1468"/>
        <w:gridCol w:w="5214"/>
      </w:tblGrid>
      <w:tr w:rsidR="006C686E" w14:paraId="5095EC3B" w14:textId="77777777">
        <w:trPr>
          <w:trHeight w:val="509"/>
          <w:tblHeader/>
        </w:trPr>
        <w:tc>
          <w:tcPr>
            <w:tcW w:w="1161" w:type="dxa"/>
            <w:vMerge w:val="restart"/>
            <w:shd w:val="clear" w:color="auto" w:fill="BDD7EE"/>
            <w:vAlign w:val="center"/>
            <w:hideMark/>
          </w:tcPr>
          <w:p w14:paraId="3E8F0611" w14:textId="77777777" w:rsidR="006C686E" w:rsidRDefault="00B17E8C">
            <w:pPr>
              <w:pStyle w:val="P68B1DB1-Normal59"/>
              <w:spacing w:after="0" w:line="240" w:lineRule="auto"/>
              <w:jc w:val="center"/>
              <w:rPr>
                <w:rFonts w:eastAsia="Times New Roman"/>
                <w:noProof/>
              </w:rPr>
            </w:pPr>
            <w:r>
              <w:rPr>
                <w:noProof/>
              </w:rPr>
              <w:t>Numéro séquentiel</w:t>
            </w:r>
          </w:p>
        </w:tc>
        <w:tc>
          <w:tcPr>
            <w:tcW w:w="1697" w:type="dxa"/>
            <w:vMerge w:val="restart"/>
            <w:shd w:val="clear" w:color="auto" w:fill="BDD7EE"/>
            <w:vAlign w:val="center"/>
            <w:hideMark/>
          </w:tcPr>
          <w:p w14:paraId="0FE892BF" w14:textId="77777777" w:rsidR="006C686E" w:rsidRDefault="00B17E8C">
            <w:pPr>
              <w:pStyle w:val="P68B1DB1-Normal59"/>
              <w:spacing w:after="0" w:line="240" w:lineRule="auto"/>
              <w:jc w:val="center"/>
              <w:rPr>
                <w:rFonts w:eastAsia="Times New Roman"/>
                <w:noProof/>
              </w:rPr>
            </w:pPr>
            <w:r>
              <w:rPr>
                <w:noProof/>
              </w:rPr>
              <w:t>Mesure connexe (réforme ou investissement)</w:t>
            </w:r>
          </w:p>
        </w:tc>
        <w:tc>
          <w:tcPr>
            <w:tcW w:w="1468" w:type="dxa"/>
            <w:vMerge w:val="restart"/>
            <w:shd w:val="clear" w:color="auto" w:fill="BDD7EE"/>
            <w:vAlign w:val="center"/>
            <w:hideMark/>
          </w:tcPr>
          <w:p w14:paraId="68525152" w14:textId="77777777" w:rsidR="006C686E" w:rsidRDefault="00B17E8C">
            <w:pPr>
              <w:pStyle w:val="P68B1DB1-Normal59"/>
              <w:spacing w:after="0" w:line="240" w:lineRule="auto"/>
              <w:jc w:val="center"/>
              <w:rPr>
                <w:rFonts w:eastAsia="Times New Roman"/>
                <w:noProof/>
              </w:rPr>
            </w:pPr>
            <w:r>
              <w:rPr>
                <w:noProof/>
              </w:rPr>
              <w:t>Étape/cible</w:t>
            </w:r>
          </w:p>
        </w:tc>
        <w:tc>
          <w:tcPr>
            <w:tcW w:w="5214" w:type="dxa"/>
            <w:vMerge w:val="restart"/>
            <w:shd w:val="clear" w:color="auto" w:fill="BDD7EE"/>
            <w:vAlign w:val="center"/>
            <w:hideMark/>
          </w:tcPr>
          <w:p w14:paraId="3906AFE0" w14:textId="77777777" w:rsidR="006C686E" w:rsidRDefault="00B17E8C">
            <w:pPr>
              <w:pStyle w:val="P68B1DB1-Normal59"/>
              <w:spacing w:after="0" w:line="240" w:lineRule="auto"/>
              <w:jc w:val="center"/>
              <w:rPr>
                <w:rFonts w:eastAsia="Times New Roman"/>
                <w:noProof/>
              </w:rPr>
            </w:pPr>
            <w:r>
              <w:rPr>
                <w:noProof/>
              </w:rPr>
              <w:t>Nom</w:t>
            </w:r>
          </w:p>
        </w:tc>
      </w:tr>
      <w:tr w:rsidR="006C686E" w14:paraId="7F6BF860" w14:textId="77777777">
        <w:trPr>
          <w:trHeight w:val="509"/>
          <w:tblHeader/>
        </w:trPr>
        <w:tc>
          <w:tcPr>
            <w:tcW w:w="1161" w:type="dxa"/>
            <w:vMerge/>
            <w:vAlign w:val="center"/>
            <w:hideMark/>
          </w:tcPr>
          <w:p w14:paraId="229474B1"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697" w:type="dxa"/>
            <w:vMerge/>
            <w:vAlign w:val="center"/>
            <w:hideMark/>
          </w:tcPr>
          <w:p w14:paraId="344D7B4D"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1468" w:type="dxa"/>
            <w:vMerge/>
            <w:vAlign w:val="center"/>
            <w:hideMark/>
          </w:tcPr>
          <w:p w14:paraId="1B7FFA03"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c>
          <w:tcPr>
            <w:tcW w:w="5214" w:type="dxa"/>
            <w:vMerge/>
            <w:vAlign w:val="center"/>
            <w:hideMark/>
          </w:tcPr>
          <w:p w14:paraId="17A7120B" w14:textId="77777777" w:rsidR="006C686E" w:rsidRDefault="006C686E">
            <w:pPr>
              <w:spacing w:after="0" w:line="240" w:lineRule="auto"/>
              <w:rPr>
                <w:rFonts w:ascii="Times New Roman" w:eastAsia="Times New Roman" w:hAnsi="Times New Roman" w:cs="Times New Roman"/>
                <w:bCs/>
                <w:noProof/>
                <w:kern w:val="0"/>
                <w:sz w:val="20"/>
                <w:szCs w:val="20"/>
                <w14:ligatures w14:val="none"/>
              </w:rPr>
            </w:pPr>
          </w:p>
        </w:tc>
      </w:tr>
      <w:tr w:rsidR="006C686E" w14:paraId="2A28271E" w14:textId="77777777">
        <w:trPr>
          <w:trHeight w:val="440"/>
        </w:trPr>
        <w:tc>
          <w:tcPr>
            <w:tcW w:w="1161" w:type="dxa"/>
            <w:shd w:val="clear" w:color="auto" w:fill="C4EFCE"/>
            <w:vAlign w:val="center"/>
          </w:tcPr>
          <w:p w14:paraId="54522ED9" w14:textId="199CD424" w:rsidR="006C686E" w:rsidRDefault="00B17E8C">
            <w:pPr>
              <w:pStyle w:val="P68B1DB1-Normal64"/>
              <w:spacing w:line="276" w:lineRule="auto"/>
              <w:jc w:val="center"/>
              <w:rPr>
                <w:noProof/>
              </w:rPr>
            </w:pPr>
            <w:r>
              <w:rPr>
                <w:noProof/>
              </w:rPr>
              <w:t>1.46</w:t>
            </w:r>
          </w:p>
        </w:tc>
        <w:tc>
          <w:tcPr>
            <w:tcW w:w="1697" w:type="dxa"/>
            <w:shd w:val="clear" w:color="auto" w:fill="C4EFCE"/>
            <w:vAlign w:val="center"/>
          </w:tcPr>
          <w:p w14:paraId="49887DC4" w14:textId="3127DD07" w:rsidR="006C686E" w:rsidRDefault="00B17E8C">
            <w:pPr>
              <w:pStyle w:val="P68B1DB1-Normal64"/>
              <w:spacing w:line="276" w:lineRule="auto"/>
              <w:jc w:val="center"/>
              <w:rPr>
                <w:noProof/>
              </w:rPr>
            </w:pPr>
            <w:r>
              <w:rPr>
                <w:noProof/>
              </w:rPr>
              <w:t>RE-C01-i13</w:t>
            </w:r>
          </w:p>
        </w:tc>
        <w:tc>
          <w:tcPr>
            <w:tcW w:w="1468" w:type="dxa"/>
            <w:shd w:val="clear" w:color="auto" w:fill="C4EFCE"/>
            <w:vAlign w:val="center"/>
          </w:tcPr>
          <w:p w14:paraId="3226058F" w14:textId="405C9723" w:rsidR="006C686E" w:rsidRDefault="00B17E8C">
            <w:pPr>
              <w:pStyle w:val="P68B1DB1-Normal64"/>
              <w:spacing w:line="276" w:lineRule="auto"/>
              <w:jc w:val="center"/>
              <w:rPr>
                <w:noProof/>
              </w:rPr>
            </w:pPr>
            <w:r>
              <w:rPr>
                <w:noProof/>
              </w:rPr>
              <w:t>T</w:t>
            </w:r>
          </w:p>
        </w:tc>
        <w:tc>
          <w:tcPr>
            <w:tcW w:w="5214" w:type="dxa"/>
            <w:shd w:val="clear" w:color="auto" w:fill="C4EFCE"/>
            <w:vAlign w:val="center"/>
          </w:tcPr>
          <w:p w14:paraId="0B87F5AC" w14:textId="2C640206" w:rsidR="006C686E" w:rsidRDefault="00B17E8C">
            <w:pPr>
              <w:pStyle w:val="FootnoteText"/>
              <w:rPr>
                <w:rFonts w:ascii="Times New Roman" w:eastAsia="Times New Roman" w:hAnsi="Times New Roman" w:cs="Times New Roman"/>
                <w:noProof/>
              </w:rPr>
            </w:pPr>
            <w:r>
              <w:rPr>
                <w:rFonts w:ascii="Times New Roman" w:eastAsia="Times New Roman" w:hAnsi="Times New Roman" w:cs="Times New Roman"/>
                <w:noProof/>
              </w:rPr>
              <w:t>Exécution financière pour la construction ou la rénovation d'unités de santé</w:t>
            </w:r>
            <w:r>
              <w:rPr>
                <w:rFonts w:ascii="Times New Roman" w:eastAsiaTheme="minorEastAsia" w:hAnsi="Times New Roman" w:cs="Times New Roman"/>
                <w:noProof/>
                <w:color w:val="000000" w:themeColor="text1"/>
              </w:rPr>
              <w:t xml:space="preserve"> </w:t>
            </w:r>
          </w:p>
        </w:tc>
      </w:tr>
      <w:tr w:rsidR="006C686E" w14:paraId="3D8E0D04" w14:textId="77777777">
        <w:trPr>
          <w:trHeight w:val="440"/>
        </w:trPr>
        <w:tc>
          <w:tcPr>
            <w:tcW w:w="1161" w:type="dxa"/>
            <w:shd w:val="clear" w:color="auto" w:fill="C4EFCE"/>
            <w:vAlign w:val="center"/>
          </w:tcPr>
          <w:p w14:paraId="6C24668B" w14:textId="77777777" w:rsidR="006C686E" w:rsidRDefault="00B17E8C">
            <w:pPr>
              <w:pStyle w:val="P68B1DB1-Normal63"/>
              <w:spacing w:after="0" w:line="276" w:lineRule="auto"/>
              <w:jc w:val="center"/>
              <w:rPr>
                <w:noProof/>
              </w:rPr>
            </w:pPr>
            <w:r>
              <w:rPr>
                <w:noProof/>
              </w:rPr>
              <w:t>2.24</w:t>
            </w:r>
          </w:p>
        </w:tc>
        <w:tc>
          <w:tcPr>
            <w:tcW w:w="1697" w:type="dxa"/>
            <w:shd w:val="clear" w:color="auto" w:fill="C4EFCE"/>
            <w:vAlign w:val="center"/>
          </w:tcPr>
          <w:p w14:paraId="4B7EE373" w14:textId="77777777" w:rsidR="006C686E" w:rsidRDefault="00B17E8C">
            <w:pPr>
              <w:pStyle w:val="P68B1DB1-Normal63"/>
              <w:spacing w:after="0" w:line="276" w:lineRule="auto"/>
              <w:jc w:val="center"/>
              <w:rPr>
                <w:noProof/>
              </w:rPr>
            </w:pPr>
            <w:r>
              <w:rPr>
                <w:noProof/>
              </w:rPr>
              <w:t>RE-C02-i05</w:t>
            </w:r>
          </w:p>
        </w:tc>
        <w:tc>
          <w:tcPr>
            <w:tcW w:w="1468" w:type="dxa"/>
            <w:shd w:val="clear" w:color="auto" w:fill="C4EFCE"/>
            <w:vAlign w:val="center"/>
          </w:tcPr>
          <w:p w14:paraId="5DE87D7B" w14:textId="0344C3F3" w:rsidR="006C686E" w:rsidRDefault="00B17E8C">
            <w:pPr>
              <w:pStyle w:val="P68B1DB1-Normal63"/>
              <w:spacing w:after="0" w:line="276" w:lineRule="auto"/>
              <w:jc w:val="center"/>
              <w:rPr>
                <w:noProof/>
              </w:rPr>
            </w:pPr>
            <w:r>
              <w:rPr>
                <w:noProof/>
              </w:rPr>
              <w:t xml:space="preserve">M </w:t>
            </w:r>
          </w:p>
        </w:tc>
        <w:tc>
          <w:tcPr>
            <w:tcW w:w="5214" w:type="dxa"/>
            <w:shd w:val="clear" w:color="auto" w:fill="C4EFCE"/>
            <w:vAlign w:val="center"/>
          </w:tcPr>
          <w:p w14:paraId="3B22B532" w14:textId="001DFEDF" w:rsidR="006C686E" w:rsidRDefault="00B17E8C">
            <w:pPr>
              <w:pStyle w:val="P68B1DB1-Normal63"/>
              <w:spacing w:after="0" w:line="276" w:lineRule="auto"/>
              <w:jc w:val="both"/>
              <w:rPr>
                <w:noProof/>
              </w:rPr>
            </w:pPr>
            <w:r>
              <w:rPr>
                <w:noProof/>
              </w:rPr>
              <w:t xml:space="preserve">Logements publics abordables </w:t>
            </w:r>
          </w:p>
        </w:tc>
      </w:tr>
      <w:tr w:rsidR="006C686E" w14:paraId="340A05E7" w14:textId="77777777">
        <w:trPr>
          <w:trHeight w:val="440"/>
        </w:trPr>
        <w:tc>
          <w:tcPr>
            <w:tcW w:w="1161" w:type="dxa"/>
            <w:shd w:val="clear" w:color="auto" w:fill="C4EFCE"/>
            <w:vAlign w:val="center"/>
          </w:tcPr>
          <w:p w14:paraId="0D9621BB" w14:textId="77777777" w:rsidR="006C686E" w:rsidRDefault="00B17E8C">
            <w:pPr>
              <w:pStyle w:val="P68B1DB1-Normal63"/>
              <w:spacing w:after="0" w:line="276" w:lineRule="auto"/>
              <w:jc w:val="center"/>
              <w:rPr>
                <w:noProof/>
              </w:rPr>
            </w:pPr>
            <w:r>
              <w:rPr>
                <w:noProof/>
              </w:rPr>
              <w:t>2.28</w:t>
            </w:r>
          </w:p>
        </w:tc>
        <w:tc>
          <w:tcPr>
            <w:tcW w:w="1697" w:type="dxa"/>
            <w:shd w:val="clear" w:color="auto" w:fill="C4EFCE"/>
            <w:vAlign w:val="center"/>
          </w:tcPr>
          <w:p w14:paraId="5398BD27" w14:textId="77777777" w:rsidR="006C686E" w:rsidRDefault="00B17E8C">
            <w:pPr>
              <w:pStyle w:val="P68B1DB1-Normal63"/>
              <w:spacing w:after="0" w:line="276" w:lineRule="auto"/>
              <w:jc w:val="center"/>
              <w:rPr>
                <w:noProof/>
              </w:rPr>
            </w:pPr>
            <w:r>
              <w:rPr>
                <w:noProof/>
              </w:rPr>
              <w:t>RE-C02-i06</w:t>
            </w:r>
          </w:p>
        </w:tc>
        <w:tc>
          <w:tcPr>
            <w:tcW w:w="1468" w:type="dxa"/>
            <w:shd w:val="clear" w:color="auto" w:fill="C4EFCE"/>
            <w:vAlign w:val="center"/>
          </w:tcPr>
          <w:p w14:paraId="259D602E" w14:textId="77777777" w:rsidR="006C686E" w:rsidRDefault="00B17E8C">
            <w:pPr>
              <w:pStyle w:val="P68B1DB1-Normal63"/>
              <w:spacing w:after="0" w:line="276" w:lineRule="auto"/>
              <w:jc w:val="center"/>
              <w:rPr>
                <w:noProof/>
              </w:rPr>
            </w:pPr>
            <w:r>
              <w:rPr>
                <w:noProof/>
              </w:rPr>
              <w:t>T</w:t>
            </w:r>
          </w:p>
        </w:tc>
        <w:tc>
          <w:tcPr>
            <w:tcW w:w="5214" w:type="dxa"/>
            <w:shd w:val="clear" w:color="auto" w:fill="C4EFCE"/>
            <w:vAlign w:val="center"/>
          </w:tcPr>
          <w:p w14:paraId="217F847A" w14:textId="77777777" w:rsidR="006C686E" w:rsidRDefault="00B17E8C">
            <w:pPr>
              <w:pStyle w:val="P68B1DB1-Normal63"/>
              <w:spacing w:after="0" w:line="276" w:lineRule="auto"/>
              <w:jc w:val="both"/>
              <w:rPr>
                <w:noProof/>
              </w:rPr>
            </w:pPr>
            <w:r>
              <w:rPr>
                <w:noProof/>
              </w:rPr>
              <w:t xml:space="preserve">Logement étudiant à des coûts abordables </w:t>
            </w:r>
          </w:p>
        </w:tc>
      </w:tr>
      <w:tr w:rsidR="006C686E" w14:paraId="2F03A6E0" w14:textId="77777777">
        <w:trPr>
          <w:trHeight w:val="440"/>
        </w:trPr>
        <w:tc>
          <w:tcPr>
            <w:tcW w:w="1161" w:type="dxa"/>
            <w:shd w:val="clear" w:color="auto" w:fill="C4EFCE"/>
            <w:vAlign w:val="center"/>
          </w:tcPr>
          <w:p w14:paraId="4F98F8D5" w14:textId="77777777" w:rsidR="006C686E" w:rsidRDefault="00B17E8C">
            <w:pPr>
              <w:pStyle w:val="P68B1DB1-Normal63"/>
              <w:spacing w:after="0" w:line="276" w:lineRule="auto"/>
              <w:jc w:val="center"/>
              <w:rPr>
                <w:noProof/>
              </w:rPr>
            </w:pPr>
            <w:r>
              <w:rPr>
                <w:noProof/>
              </w:rPr>
              <w:t>5.32</w:t>
            </w:r>
          </w:p>
        </w:tc>
        <w:tc>
          <w:tcPr>
            <w:tcW w:w="1697" w:type="dxa"/>
            <w:shd w:val="clear" w:color="auto" w:fill="C4EFCE"/>
            <w:vAlign w:val="center"/>
          </w:tcPr>
          <w:p w14:paraId="3A8EF259" w14:textId="77777777" w:rsidR="006C686E" w:rsidRDefault="00B17E8C">
            <w:pPr>
              <w:pStyle w:val="P68B1DB1-Normal63"/>
              <w:spacing w:after="0" w:line="276" w:lineRule="auto"/>
              <w:jc w:val="center"/>
              <w:rPr>
                <w:noProof/>
              </w:rPr>
            </w:pPr>
            <w:r>
              <w:rPr>
                <w:noProof/>
              </w:rPr>
              <w:t>RE-C05-i06</w:t>
            </w:r>
          </w:p>
        </w:tc>
        <w:tc>
          <w:tcPr>
            <w:tcW w:w="1468" w:type="dxa"/>
            <w:shd w:val="clear" w:color="auto" w:fill="C4EFCE"/>
            <w:vAlign w:val="center"/>
          </w:tcPr>
          <w:p w14:paraId="18F41A8C" w14:textId="77777777" w:rsidR="006C686E" w:rsidRDefault="00B17E8C">
            <w:pPr>
              <w:pStyle w:val="P68B1DB1-Normal63"/>
              <w:spacing w:after="0" w:line="276" w:lineRule="auto"/>
              <w:jc w:val="center"/>
              <w:rPr>
                <w:noProof/>
              </w:rPr>
            </w:pPr>
            <w:r>
              <w:rPr>
                <w:noProof/>
              </w:rPr>
              <w:t>M</w:t>
            </w:r>
          </w:p>
        </w:tc>
        <w:tc>
          <w:tcPr>
            <w:tcW w:w="5214" w:type="dxa"/>
            <w:shd w:val="clear" w:color="auto" w:fill="C4EFCE"/>
            <w:vAlign w:val="center"/>
          </w:tcPr>
          <w:p w14:paraId="67AB3B02" w14:textId="77777777" w:rsidR="006C686E" w:rsidRDefault="00B17E8C">
            <w:pPr>
              <w:pStyle w:val="P68B1DB1-Normal63"/>
              <w:spacing w:after="0" w:line="276" w:lineRule="auto"/>
              <w:jc w:val="both"/>
              <w:rPr>
                <w:noProof/>
              </w:rPr>
            </w:pPr>
            <w:r>
              <w:rPr>
                <w:noProof/>
              </w:rPr>
              <w:t>Politiques d'investissement</w:t>
            </w:r>
          </w:p>
        </w:tc>
      </w:tr>
      <w:tr w:rsidR="006C686E" w14:paraId="535847A1" w14:textId="77777777">
        <w:trPr>
          <w:trHeight w:val="440"/>
        </w:trPr>
        <w:tc>
          <w:tcPr>
            <w:tcW w:w="1161" w:type="dxa"/>
            <w:shd w:val="clear" w:color="auto" w:fill="C4EFCE"/>
            <w:vAlign w:val="center"/>
          </w:tcPr>
          <w:p w14:paraId="3A25AF79" w14:textId="77777777" w:rsidR="006C686E" w:rsidRDefault="00B17E8C">
            <w:pPr>
              <w:pStyle w:val="P68B1DB1-Normal63"/>
              <w:spacing w:after="0" w:line="276" w:lineRule="auto"/>
              <w:jc w:val="center"/>
              <w:rPr>
                <w:noProof/>
              </w:rPr>
            </w:pPr>
            <w:r>
              <w:rPr>
                <w:noProof/>
              </w:rPr>
              <w:t>5.45</w:t>
            </w:r>
          </w:p>
        </w:tc>
        <w:tc>
          <w:tcPr>
            <w:tcW w:w="1697" w:type="dxa"/>
            <w:shd w:val="clear" w:color="auto" w:fill="C4EFCE"/>
            <w:vAlign w:val="center"/>
          </w:tcPr>
          <w:p w14:paraId="52C99577" w14:textId="77777777" w:rsidR="006C686E" w:rsidRDefault="00B17E8C">
            <w:pPr>
              <w:pStyle w:val="P68B1DB1-Normal63"/>
              <w:spacing w:after="0" w:line="276" w:lineRule="auto"/>
              <w:jc w:val="center"/>
              <w:rPr>
                <w:noProof/>
              </w:rPr>
            </w:pPr>
            <w:r>
              <w:rPr>
                <w:noProof/>
              </w:rPr>
              <w:t>RE-C05-i11</w:t>
            </w:r>
          </w:p>
        </w:tc>
        <w:tc>
          <w:tcPr>
            <w:tcW w:w="1468" w:type="dxa"/>
            <w:shd w:val="clear" w:color="auto" w:fill="C4EFCE"/>
            <w:vAlign w:val="center"/>
          </w:tcPr>
          <w:p w14:paraId="1A77CE46" w14:textId="77777777" w:rsidR="006C686E" w:rsidRDefault="00B17E8C">
            <w:pPr>
              <w:pStyle w:val="P68B1DB1-Normal63"/>
              <w:spacing w:after="0" w:line="276" w:lineRule="auto"/>
              <w:jc w:val="center"/>
              <w:rPr>
                <w:noProof/>
              </w:rPr>
            </w:pPr>
            <w:r>
              <w:rPr>
                <w:noProof/>
              </w:rPr>
              <w:t>T</w:t>
            </w:r>
          </w:p>
        </w:tc>
        <w:tc>
          <w:tcPr>
            <w:tcW w:w="5214" w:type="dxa"/>
            <w:shd w:val="clear" w:color="auto" w:fill="C4EFCE"/>
            <w:vAlign w:val="center"/>
          </w:tcPr>
          <w:p w14:paraId="01311752" w14:textId="77777777" w:rsidR="006C686E" w:rsidRDefault="00B17E8C">
            <w:pPr>
              <w:pStyle w:val="P68B1DB1-Normal63"/>
              <w:spacing w:after="0" w:line="276" w:lineRule="auto"/>
              <w:jc w:val="both"/>
              <w:rPr>
                <w:noProof/>
              </w:rPr>
            </w:pPr>
            <w:r>
              <w:rPr>
                <w:noProof/>
              </w:rPr>
              <w:t>Produits, procédés ou services</w:t>
            </w:r>
          </w:p>
        </w:tc>
      </w:tr>
      <w:tr w:rsidR="006C686E" w14:paraId="591D85C0" w14:textId="77777777">
        <w:trPr>
          <w:trHeight w:val="440"/>
        </w:trPr>
        <w:tc>
          <w:tcPr>
            <w:tcW w:w="1161" w:type="dxa"/>
            <w:shd w:val="clear" w:color="auto" w:fill="C4EFCE"/>
            <w:vAlign w:val="center"/>
          </w:tcPr>
          <w:p w14:paraId="7CC0D715" w14:textId="77777777" w:rsidR="006C686E" w:rsidRDefault="00B17E8C">
            <w:pPr>
              <w:pStyle w:val="P68B1DB1-Normal63"/>
              <w:spacing w:after="0" w:line="276" w:lineRule="auto"/>
              <w:jc w:val="center"/>
              <w:rPr>
                <w:noProof/>
              </w:rPr>
            </w:pPr>
            <w:r>
              <w:rPr>
                <w:noProof/>
              </w:rPr>
              <w:t>6.29</w:t>
            </w:r>
          </w:p>
        </w:tc>
        <w:tc>
          <w:tcPr>
            <w:tcW w:w="1697" w:type="dxa"/>
            <w:shd w:val="clear" w:color="auto" w:fill="C4EFCE"/>
            <w:vAlign w:val="center"/>
          </w:tcPr>
          <w:p w14:paraId="0D084601" w14:textId="77777777" w:rsidR="006C686E" w:rsidRDefault="00B17E8C">
            <w:pPr>
              <w:pStyle w:val="P68B1DB1-Normal63"/>
              <w:spacing w:after="0" w:line="276" w:lineRule="auto"/>
              <w:jc w:val="center"/>
              <w:rPr>
                <w:noProof/>
              </w:rPr>
            </w:pPr>
            <w:r>
              <w:rPr>
                <w:noProof/>
              </w:rPr>
              <w:t>RE-C06-i09</w:t>
            </w:r>
          </w:p>
        </w:tc>
        <w:tc>
          <w:tcPr>
            <w:tcW w:w="1468" w:type="dxa"/>
            <w:shd w:val="clear" w:color="auto" w:fill="C4EFCE"/>
            <w:vAlign w:val="center"/>
          </w:tcPr>
          <w:p w14:paraId="11725421" w14:textId="3A91E1FC" w:rsidR="006C686E" w:rsidRDefault="00B17E8C">
            <w:pPr>
              <w:pStyle w:val="P68B1DB1-Normal63"/>
              <w:spacing w:after="0" w:line="276" w:lineRule="auto"/>
              <w:jc w:val="center"/>
              <w:rPr>
                <w:noProof/>
              </w:rPr>
            </w:pPr>
            <w:r>
              <w:rPr>
                <w:noProof/>
              </w:rPr>
              <w:t xml:space="preserve">M </w:t>
            </w:r>
          </w:p>
        </w:tc>
        <w:tc>
          <w:tcPr>
            <w:tcW w:w="5214" w:type="dxa"/>
            <w:shd w:val="clear" w:color="auto" w:fill="C4EFCE"/>
            <w:vAlign w:val="center"/>
          </w:tcPr>
          <w:p w14:paraId="6A123F91" w14:textId="77777777" w:rsidR="006C686E" w:rsidRDefault="00B17E8C">
            <w:pPr>
              <w:pStyle w:val="P68B1DB1-Normal63"/>
              <w:spacing w:after="0" w:line="276" w:lineRule="auto"/>
              <w:jc w:val="both"/>
              <w:rPr>
                <w:noProof/>
              </w:rPr>
            </w:pPr>
            <w:r>
              <w:rPr>
                <w:noProof/>
              </w:rPr>
              <w:t>Écoles construites ou rénovées ou achat d'équipement pour les écoles</w:t>
            </w:r>
          </w:p>
        </w:tc>
      </w:tr>
      <w:tr w:rsidR="006C686E" w14:paraId="0FBD90D4" w14:textId="77777777">
        <w:trPr>
          <w:trHeight w:val="440"/>
        </w:trPr>
        <w:tc>
          <w:tcPr>
            <w:tcW w:w="1161" w:type="dxa"/>
            <w:shd w:val="clear" w:color="auto" w:fill="C4EFCE"/>
            <w:vAlign w:val="center"/>
          </w:tcPr>
          <w:p w14:paraId="2422E902" w14:textId="02CAFE45" w:rsidR="006C686E" w:rsidRDefault="00B17E8C">
            <w:pPr>
              <w:pStyle w:val="P68B1DB1-Normal63"/>
              <w:spacing w:after="0" w:line="276" w:lineRule="auto"/>
              <w:jc w:val="center"/>
              <w:rPr>
                <w:noProof/>
              </w:rPr>
            </w:pPr>
            <w:r>
              <w:rPr>
                <w:noProof/>
              </w:rPr>
              <w:t>7.5</w:t>
            </w:r>
          </w:p>
        </w:tc>
        <w:tc>
          <w:tcPr>
            <w:tcW w:w="1697" w:type="dxa"/>
            <w:shd w:val="clear" w:color="auto" w:fill="C4EFCE"/>
            <w:vAlign w:val="center"/>
          </w:tcPr>
          <w:p w14:paraId="6A51BB14" w14:textId="4089582F" w:rsidR="006C686E" w:rsidRDefault="00B17E8C">
            <w:pPr>
              <w:pStyle w:val="P68B1DB1-Normal63"/>
              <w:spacing w:after="0" w:line="276" w:lineRule="auto"/>
              <w:jc w:val="center"/>
              <w:rPr>
                <w:noProof/>
              </w:rPr>
            </w:pPr>
            <w:r>
              <w:rPr>
                <w:noProof/>
              </w:rPr>
              <w:t xml:space="preserve">RE-C07-i06 </w:t>
            </w:r>
          </w:p>
        </w:tc>
        <w:tc>
          <w:tcPr>
            <w:tcW w:w="1468" w:type="dxa"/>
            <w:shd w:val="clear" w:color="auto" w:fill="C4EFCE"/>
            <w:vAlign w:val="center"/>
          </w:tcPr>
          <w:p w14:paraId="5C82E7CC" w14:textId="7008E8FA" w:rsidR="006C686E" w:rsidRDefault="00B17E8C">
            <w:pPr>
              <w:pStyle w:val="P68B1DB1-Normal63"/>
              <w:spacing w:after="0" w:line="276" w:lineRule="auto"/>
              <w:jc w:val="center"/>
              <w:rPr>
                <w:noProof/>
              </w:rPr>
            </w:pPr>
            <w:r>
              <w:rPr>
                <w:noProof/>
              </w:rPr>
              <w:t>T</w:t>
            </w:r>
          </w:p>
        </w:tc>
        <w:tc>
          <w:tcPr>
            <w:tcW w:w="5214" w:type="dxa"/>
            <w:shd w:val="clear" w:color="auto" w:fill="C4EFCE"/>
            <w:vAlign w:val="center"/>
          </w:tcPr>
          <w:p w14:paraId="25036EC7" w14:textId="20DEB0DD" w:rsidR="006C686E" w:rsidRDefault="00B17E8C">
            <w:pPr>
              <w:pStyle w:val="P68B1DB1-Normal63"/>
              <w:spacing w:after="0" w:line="276" w:lineRule="auto"/>
              <w:jc w:val="both"/>
              <w:rPr>
                <w:noProof/>
              </w:rPr>
            </w:pPr>
            <w:r>
              <w:rPr>
                <w:noProof/>
              </w:rPr>
              <w:t xml:space="preserve">Interventions dans des zones d'accueil d'entreprises sélectionnées </w:t>
            </w:r>
          </w:p>
        </w:tc>
      </w:tr>
      <w:tr w:rsidR="006C686E" w14:paraId="3E3A6563" w14:textId="77777777">
        <w:trPr>
          <w:trHeight w:val="440"/>
        </w:trPr>
        <w:tc>
          <w:tcPr>
            <w:tcW w:w="1161" w:type="dxa"/>
            <w:shd w:val="clear" w:color="auto" w:fill="C4EFCE"/>
            <w:vAlign w:val="center"/>
          </w:tcPr>
          <w:p w14:paraId="71C9917B" w14:textId="77777777" w:rsidR="006C686E" w:rsidRDefault="00B17E8C">
            <w:pPr>
              <w:pStyle w:val="P68B1DB1-Normal63"/>
              <w:spacing w:after="0" w:line="276" w:lineRule="auto"/>
              <w:jc w:val="center"/>
              <w:rPr>
                <w:noProof/>
              </w:rPr>
            </w:pPr>
            <w:r>
              <w:rPr>
                <w:noProof/>
              </w:rPr>
              <w:t>10.18</w:t>
            </w:r>
          </w:p>
        </w:tc>
        <w:tc>
          <w:tcPr>
            <w:tcW w:w="1697" w:type="dxa"/>
            <w:shd w:val="clear" w:color="auto" w:fill="C4EFCE"/>
            <w:vAlign w:val="center"/>
          </w:tcPr>
          <w:p w14:paraId="5CDF0EB2" w14:textId="77777777" w:rsidR="006C686E" w:rsidRDefault="00B17E8C">
            <w:pPr>
              <w:pStyle w:val="P68B1DB1-Normal63"/>
              <w:spacing w:after="0" w:line="276" w:lineRule="auto"/>
              <w:jc w:val="center"/>
              <w:rPr>
                <w:noProof/>
              </w:rPr>
            </w:pPr>
            <w:r>
              <w:rPr>
                <w:noProof/>
              </w:rPr>
              <w:t>TC-C10-i07</w:t>
            </w:r>
          </w:p>
        </w:tc>
        <w:tc>
          <w:tcPr>
            <w:tcW w:w="1468" w:type="dxa"/>
            <w:shd w:val="clear" w:color="auto" w:fill="C4EFCE"/>
            <w:vAlign w:val="center"/>
          </w:tcPr>
          <w:p w14:paraId="7443BBF8" w14:textId="009DF245" w:rsidR="006C686E" w:rsidRDefault="00B17E8C">
            <w:pPr>
              <w:pStyle w:val="P68B1DB1-Normal63"/>
              <w:spacing w:after="0" w:line="276" w:lineRule="auto"/>
              <w:jc w:val="center"/>
              <w:rPr>
                <w:noProof/>
              </w:rPr>
            </w:pPr>
            <w:r>
              <w:rPr>
                <w:noProof/>
              </w:rPr>
              <w:t xml:space="preserve">M </w:t>
            </w:r>
          </w:p>
        </w:tc>
        <w:tc>
          <w:tcPr>
            <w:tcW w:w="5214" w:type="dxa"/>
            <w:shd w:val="clear" w:color="auto" w:fill="C4EFCE"/>
            <w:vAlign w:val="center"/>
          </w:tcPr>
          <w:p w14:paraId="658F1C37" w14:textId="518E8617" w:rsidR="006C686E" w:rsidRDefault="00B17E8C">
            <w:pPr>
              <w:pStyle w:val="P68B1DB1-Normal62"/>
              <w:spacing w:after="0" w:line="276" w:lineRule="auto"/>
              <w:jc w:val="both"/>
              <w:rPr>
                <w:noProof/>
                <w:kern w:val="0"/>
                <w14:ligatures w14:val="none"/>
              </w:rPr>
            </w:pPr>
            <w:r>
              <w:rPr>
                <w:noProof/>
              </w:rPr>
              <w:t>Paiements pour les appels d'offres lancés par l'IAPMEI</w:t>
            </w:r>
          </w:p>
        </w:tc>
      </w:tr>
      <w:tr w:rsidR="006C686E" w14:paraId="60CC0C81" w14:textId="77777777">
        <w:trPr>
          <w:trHeight w:val="440"/>
        </w:trPr>
        <w:tc>
          <w:tcPr>
            <w:tcW w:w="1161" w:type="dxa"/>
            <w:shd w:val="clear" w:color="auto" w:fill="C4EFCE"/>
            <w:vAlign w:val="center"/>
          </w:tcPr>
          <w:p w14:paraId="61506705" w14:textId="77777777" w:rsidR="006C686E" w:rsidRDefault="00B17E8C">
            <w:pPr>
              <w:pStyle w:val="P68B1DB1-Normal63"/>
              <w:spacing w:after="0" w:line="276" w:lineRule="auto"/>
              <w:jc w:val="center"/>
              <w:rPr>
                <w:noProof/>
              </w:rPr>
            </w:pPr>
            <w:r>
              <w:rPr>
                <w:noProof/>
              </w:rPr>
              <w:t>15.6</w:t>
            </w:r>
          </w:p>
        </w:tc>
        <w:tc>
          <w:tcPr>
            <w:tcW w:w="1697" w:type="dxa"/>
            <w:shd w:val="clear" w:color="auto" w:fill="C4EFCE"/>
            <w:vAlign w:val="center"/>
          </w:tcPr>
          <w:p w14:paraId="648D25C6" w14:textId="77777777" w:rsidR="006C686E" w:rsidRDefault="00B17E8C">
            <w:pPr>
              <w:pStyle w:val="P68B1DB1-Normal63"/>
              <w:spacing w:after="0" w:line="276" w:lineRule="auto"/>
              <w:jc w:val="center"/>
              <w:rPr>
                <w:noProof/>
              </w:rPr>
            </w:pPr>
            <w:r>
              <w:rPr>
                <w:noProof/>
              </w:rPr>
              <w:t>TC-C15-i08</w:t>
            </w:r>
          </w:p>
        </w:tc>
        <w:tc>
          <w:tcPr>
            <w:tcW w:w="1468" w:type="dxa"/>
            <w:shd w:val="clear" w:color="auto" w:fill="C4EFCE"/>
            <w:vAlign w:val="center"/>
          </w:tcPr>
          <w:p w14:paraId="15EEF98B" w14:textId="77777777" w:rsidR="006C686E" w:rsidRDefault="00B17E8C">
            <w:pPr>
              <w:pStyle w:val="P68B1DB1-Normal63"/>
              <w:spacing w:after="0" w:line="276" w:lineRule="auto"/>
              <w:jc w:val="center"/>
              <w:rPr>
                <w:noProof/>
              </w:rPr>
            </w:pPr>
            <w:r>
              <w:rPr>
                <w:noProof/>
              </w:rPr>
              <w:t>T</w:t>
            </w:r>
          </w:p>
        </w:tc>
        <w:tc>
          <w:tcPr>
            <w:tcW w:w="5214" w:type="dxa"/>
            <w:shd w:val="clear" w:color="auto" w:fill="C4EFCE"/>
            <w:vAlign w:val="center"/>
          </w:tcPr>
          <w:p w14:paraId="0BE81075" w14:textId="59B9CC4C" w:rsidR="006C686E" w:rsidRDefault="00B17E8C">
            <w:pPr>
              <w:pStyle w:val="P68B1DB1-Normal63"/>
              <w:spacing w:after="0" w:line="276" w:lineRule="auto"/>
              <w:jc w:val="both"/>
              <w:rPr>
                <w:noProof/>
              </w:rPr>
            </w:pPr>
            <w:r>
              <w:rPr>
                <w:noProof/>
              </w:rPr>
              <w:t xml:space="preserve">Exécution financière </w:t>
            </w:r>
          </w:p>
        </w:tc>
      </w:tr>
      <w:tr w:rsidR="006C686E" w14:paraId="2D7534B9" w14:textId="77777777">
        <w:trPr>
          <w:trHeight w:val="440"/>
        </w:trPr>
        <w:tc>
          <w:tcPr>
            <w:tcW w:w="1161" w:type="dxa"/>
            <w:shd w:val="clear" w:color="auto" w:fill="C4EFCE"/>
            <w:vAlign w:val="center"/>
            <w:hideMark/>
          </w:tcPr>
          <w:p w14:paraId="0F088CF4" w14:textId="77777777" w:rsidR="006C686E" w:rsidRDefault="00B17E8C">
            <w:pPr>
              <w:pStyle w:val="P68B1DB1-Normal60"/>
              <w:spacing w:after="0" w:line="240" w:lineRule="auto"/>
              <w:jc w:val="center"/>
              <w:rPr>
                <w:rFonts w:eastAsia="Times New Roman"/>
                <w:noProof/>
              </w:rPr>
            </w:pPr>
            <w:r>
              <w:rPr>
                <w:noProof/>
              </w:rPr>
              <w:t xml:space="preserve"> </w:t>
            </w:r>
          </w:p>
        </w:tc>
        <w:tc>
          <w:tcPr>
            <w:tcW w:w="1697" w:type="dxa"/>
            <w:shd w:val="clear" w:color="auto" w:fill="C4EFCE"/>
            <w:vAlign w:val="center"/>
            <w:hideMark/>
          </w:tcPr>
          <w:p w14:paraId="5614292F" w14:textId="77777777" w:rsidR="006C686E" w:rsidRDefault="00B17E8C">
            <w:pPr>
              <w:pStyle w:val="P68B1DB1-Normal60"/>
              <w:spacing w:after="0" w:line="240" w:lineRule="auto"/>
              <w:rPr>
                <w:rFonts w:eastAsia="Times New Roman"/>
                <w:noProof/>
              </w:rPr>
            </w:pPr>
            <w:r>
              <w:rPr>
                <w:noProof/>
              </w:rPr>
              <w:t xml:space="preserve"> </w:t>
            </w:r>
          </w:p>
        </w:tc>
        <w:tc>
          <w:tcPr>
            <w:tcW w:w="1468" w:type="dxa"/>
            <w:shd w:val="clear" w:color="auto" w:fill="C4EFCE"/>
            <w:vAlign w:val="center"/>
            <w:hideMark/>
          </w:tcPr>
          <w:p w14:paraId="5E7CC0EC" w14:textId="77777777" w:rsidR="006C686E" w:rsidRDefault="00B17E8C">
            <w:pPr>
              <w:pStyle w:val="P68B1DB1-Normal60"/>
              <w:spacing w:after="0" w:line="240" w:lineRule="auto"/>
              <w:jc w:val="center"/>
              <w:rPr>
                <w:rFonts w:eastAsia="Times New Roman"/>
                <w:noProof/>
              </w:rPr>
            </w:pPr>
            <w:r>
              <w:rPr>
                <w:noProof/>
              </w:rPr>
              <w:t>Montant des acomptes provisionnels</w:t>
            </w:r>
          </w:p>
        </w:tc>
        <w:tc>
          <w:tcPr>
            <w:tcW w:w="5214" w:type="dxa"/>
            <w:shd w:val="clear" w:color="auto" w:fill="C4EFCE"/>
            <w:vAlign w:val="center"/>
            <w:hideMark/>
          </w:tcPr>
          <w:p w14:paraId="7301F732" w14:textId="51F22551" w:rsidR="006C686E" w:rsidRDefault="00B17E8C">
            <w:pPr>
              <w:pStyle w:val="P68B1DB1-Normal61"/>
              <w:spacing w:after="0" w:line="240" w:lineRule="auto"/>
              <w:jc w:val="center"/>
              <w:rPr>
                <w:iCs/>
                <w:noProof/>
                <w:sz w:val="20"/>
                <w:szCs w:val="20"/>
              </w:rPr>
            </w:pPr>
            <w:r>
              <w:rPr>
                <w:noProof/>
              </w:rPr>
              <w:t>1 526 299 465 EUR</w:t>
            </w:r>
          </w:p>
        </w:tc>
      </w:tr>
    </w:tbl>
    <w:p w14:paraId="047464EB" w14:textId="77777777" w:rsidR="006C686E" w:rsidRDefault="006C686E">
      <w:pPr>
        <w:widowControl w:val="0"/>
        <w:shd w:val="clear" w:color="auto" w:fill="FFFFFF"/>
        <w:spacing w:before="140" w:after="140" w:line="226" w:lineRule="exact"/>
        <w:ind w:hanging="640"/>
        <w:rPr>
          <w:rFonts w:ascii="Calibri" w:eastAsia="Calibri" w:hAnsi="Calibri" w:cs="Calibri"/>
          <w:noProof/>
          <w:kern w:val="0"/>
          <w:sz w:val="21"/>
          <w:szCs w:val="21"/>
          <w14:ligatures w14:val="none"/>
        </w:rPr>
      </w:pPr>
    </w:p>
    <w:p w14:paraId="00503855" w14:textId="40EDA18C" w:rsidR="006C686E" w:rsidRDefault="00B17E8C">
      <w:pPr>
        <w:pStyle w:val="P68B1DB1-Normal68"/>
        <w:keepNext/>
        <w:tabs>
          <w:tab w:val="num" w:pos="850"/>
        </w:tabs>
        <w:spacing w:before="360" w:after="0" w:line="276" w:lineRule="auto"/>
        <w:ind w:left="850" w:hanging="850"/>
        <w:jc w:val="both"/>
        <w:outlineLvl w:val="0"/>
        <w:rPr>
          <w:b/>
          <w:bCs/>
          <w:noProof/>
          <w:szCs w:val="28"/>
        </w:rPr>
      </w:pPr>
      <w:r>
        <w:rPr>
          <w:noProof/>
        </w:rPr>
        <w:br w:type="page"/>
      </w:r>
      <w:r>
        <w:rPr>
          <w:b/>
          <w:noProof/>
        </w:rPr>
        <w:t>SECTION 3: DISPOSITIONS SUPPLÉMENTAIRES</w:t>
      </w:r>
    </w:p>
    <w:p w14:paraId="208DC7C2" w14:textId="77777777" w:rsidR="006C686E" w:rsidRDefault="00B17E8C">
      <w:pPr>
        <w:pStyle w:val="P68B1DB1-Normal1"/>
        <w:keepNext/>
        <w:numPr>
          <w:ilvl w:val="1"/>
          <w:numId w:val="72"/>
        </w:numPr>
        <w:spacing w:before="40" w:after="0" w:line="276" w:lineRule="auto"/>
        <w:ind w:left="357" w:hanging="357"/>
        <w:jc w:val="both"/>
        <w:outlineLvl w:val="1"/>
        <w:rPr>
          <w:rFonts w:eastAsia="Times New Roman"/>
          <w:noProof/>
          <w:szCs w:val="26"/>
        </w:rPr>
      </w:pPr>
      <w:r>
        <w:rPr>
          <w:noProof/>
        </w:rPr>
        <w:t>Modalités de suivi et de mise en œuvre du plan pour la reprise et la résilience</w:t>
      </w:r>
    </w:p>
    <w:p w14:paraId="7A351DC3" w14:textId="77777777" w:rsidR="006C686E" w:rsidRDefault="00B17E8C">
      <w:pPr>
        <w:pStyle w:val="P68B1DB1-Normal4"/>
        <w:keepNext/>
        <w:spacing w:before="40" w:after="0"/>
        <w:jc w:val="both"/>
        <w:rPr>
          <w:rFonts w:eastAsia="Times New Roman"/>
          <w:bCs/>
          <w:noProof/>
          <w:szCs w:val="26"/>
        </w:rPr>
      </w:pPr>
      <w:r>
        <w:rPr>
          <w:noProof/>
        </w:rPr>
        <w:t xml:space="preserve">Le suivi et la mise en œuvre du plan pour la reprise et la résilience du Portugal s’effectuent conformément aux dispositions suivantes: </w:t>
      </w:r>
    </w:p>
    <w:p w14:paraId="62C3CA95" w14:textId="77777777" w:rsidR="006C686E" w:rsidRDefault="00B17E8C">
      <w:pPr>
        <w:pStyle w:val="P68B1DB1-Normal4"/>
        <w:keepNext/>
        <w:spacing w:before="40" w:after="0"/>
        <w:jc w:val="both"/>
        <w:rPr>
          <w:rFonts w:eastAsia="Times New Roman"/>
          <w:bCs/>
          <w:noProof/>
          <w:szCs w:val="26"/>
        </w:rPr>
      </w:pPr>
      <w:r>
        <w:rPr>
          <w:noProof/>
        </w:rPr>
        <w:t xml:space="preserve">Le décret-loi no 29-B/2021, modifié par le décret-loi no 61/2023 du 24 juillet, établit un modèle de gouvernance à quatre niveaux: </w:t>
      </w:r>
    </w:p>
    <w:p w14:paraId="0C3FA301" w14:textId="77777777" w:rsidR="006C686E" w:rsidRDefault="00B17E8C">
      <w:pPr>
        <w:pStyle w:val="P68B1DB1-Normal4"/>
        <w:keepNext/>
        <w:numPr>
          <w:ilvl w:val="0"/>
          <w:numId w:val="73"/>
        </w:numPr>
        <w:spacing w:before="40" w:after="200" w:line="276" w:lineRule="auto"/>
        <w:contextualSpacing/>
        <w:jc w:val="both"/>
        <w:rPr>
          <w:rFonts w:eastAsia="Times New Roman"/>
          <w:bCs/>
          <w:noProof/>
        </w:rPr>
      </w:pPr>
      <w:r>
        <w:rPr>
          <w:noProof/>
        </w:rPr>
        <w:t xml:space="preserve">une commission interministérielle, présidée par le Premier ministre, chargée de la coordination stratégique et politique et du pilotage politique général; </w:t>
      </w:r>
    </w:p>
    <w:p w14:paraId="005D0DEC" w14:textId="77777777" w:rsidR="006C686E" w:rsidRDefault="00B17E8C">
      <w:pPr>
        <w:pStyle w:val="P68B1DB1-Normal4"/>
        <w:keepNext/>
        <w:numPr>
          <w:ilvl w:val="0"/>
          <w:numId w:val="73"/>
        </w:numPr>
        <w:spacing w:before="40" w:after="200" w:line="276" w:lineRule="auto"/>
        <w:contextualSpacing/>
        <w:jc w:val="both"/>
        <w:rPr>
          <w:rFonts w:eastAsia="Times New Roman"/>
          <w:bCs/>
          <w:noProof/>
        </w:rPr>
      </w:pPr>
      <w:r>
        <w:rPr>
          <w:noProof/>
        </w:rPr>
        <w:t xml:space="preserve">une commission nationale de suivi, composée de représentants des différents partenaires sociaux et économiques et de personnalités clés de la société civile et présidée par une personne indépendante, chargée de suivre la mise en œuvre du plan pour la reprise et la résilience et ses résultats, de promouvoir sa bonne diffusion auprès des citoyens, des entreprises et d’autres organisations, d’examiner toute question ayant une incidence sur ses performances et de proposer des recommandations; </w:t>
      </w:r>
    </w:p>
    <w:p w14:paraId="0CEBBED3" w14:textId="77777777" w:rsidR="006C686E" w:rsidRDefault="00B17E8C">
      <w:pPr>
        <w:pStyle w:val="P68B1DB1-Normal4"/>
        <w:keepNext/>
        <w:numPr>
          <w:ilvl w:val="0"/>
          <w:numId w:val="73"/>
        </w:numPr>
        <w:spacing w:before="40" w:after="200" w:line="276" w:lineRule="auto"/>
        <w:contextualSpacing/>
        <w:jc w:val="both"/>
        <w:rPr>
          <w:rFonts w:eastAsia="Times New Roman"/>
          <w:bCs/>
          <w:noProof/>
        </w:rPr>
      </w:pPr>
      <w:r>
        <w:rPr>
          <w:noProof/>
        </w:rPr>
        <w:t xml:space="preserve">Une structure administrative </w:t>
      </w:r>
      <w:r>
        <w:rPr>
          <w:i/>
          <w:noProof/>
        </w:rPr>
        <w:t>«Estrutura de Missao Recuperar Portugal»</w:t>
      </w:r>
      <w:r>
        <w:rPr>
          <w:noProof/>
        </w:rPr>
        <w:t xml:space="preserve"> («task force») établie par la résolution du Conseil des ministres no 46-B/2021 est chargée de la mise en œuvre du plan pour la reprise et la résilience, en collaboration avec l’Agence pour le développement et la cohésion (supervisant l’utilisation de la combinaison des fonds de l’UE, contrôlant le risque de double financement et la cohérence avec d’autres initiatives) et le ministère des finances;</w:t>
      </w:r>
    </w:p>
    <w:p w14:paraId="4B045EF3" w14:textId="77777777" w:rsidR="006C686E" w:rsidRDefault="00B17E8C">
      <w:pPr>
        <w:pStyle w:val="P68B1DB1-Normal4"/>
        <w:keepNext/>
        <w:numPr>
          <w:ilvl w:val="0"/>
          <w:numId w:val="73"/>
        </w:numPr>
        <w:spacing w:before="40" w:after="200" w:line="276" w:lineRule="auto"/>
        <w:contextualSpacing/>
        <w:jc w:val="both"/>
        <w:rPr>
          <w:rFonts w:eastAsia="Times New Roman"/>
          <w:bCs/>
          <w:noProof/>
        </w:rPr>
      </w:pPr>
      <w:r>
        <w:rPr>
          <w:noProof/>
        </w:rPr>
        <w:t>Le Comité d'audit et de contrôle (CAC), présidé par l'Inspection générale des finances (IGF), sera responsable des activités d'audit et de contrôle.</w:t>
      </w:r>
    </w:p>
    <w:p w14:paraId="2731755F" w14:textId="77777777" w:rsidR="006C686E" w:rsidRDefault="006C686E">
      <w:pPr>
        <w:keepNext/>
        <w:spacing w:after="0" w:line="240" w:lineRule="auto"/>
        <w:jc w:val="both"/>
        <w:rPr>
          <w:rFonts w:ascii="Times New Roman" w:eastAsia="Calibri" w:hAnsi="Times New Roman" w:cs="Times New Roman"/>
          <w:noProof/>
          <w:kern w:val="0"/>
          <w14:ligatures w14:val="none"/>
        </w:rPr>
      </w:pPr>
    </w:p>
    <w:p w14:paraId="01BB5E46" w14:textId="4D53E97E" w:rsidR="006C686E" w:rsidRDefault="00B17E8C">
      <w:pPr>
        <w:pStyle w:val="P68B1DB1-Normal4"/>
        <w:keepNext/>
        <w:spacing w:after="0" w:line="240" w:lineRule="auto"/>
        <w:jc w:val="both"/>
        <w:rPr>
          <w:rFonts w:eastAsia="Times New Roman"/>
          <w:bCs/>
          <w:noProof/>
          <w:szCs w:val="26"/>
        </w:rPr>
      </w:pPr>
      <w:r>
        <w:rPr>
          <w:noProof/>
        </w:rPr>
        <w:t xml:space="preserve">Le Portugal a mis en place les acteurs institutionnels responsables de la mise en œuvre des différentes réformes et des différents investissements au niveau des composantes. Les ministères ou acteurs responsables participant à l’exécution de chaque réforme et de chaque investissement se concertent régulièrement avec la task force, qui est la structure chargée de coordonner les travaux sur le plan pour la reprise et la résilience, de signer des contrats avec les bénéficiaires directs et intermédiaires, de vérifier la réalisation des jalons et cibles et d’envoyer les demandes de paiement à la Commission européenne. </w:t>
      </w:r>
    </w:p>
    <w:p w14:paraId="0C1C4AFF" w14:textId="77777777" w:rsidR="006C686E" w:rsidRDefault="006C686E">
      <w:pPr>
        <w:keepNext/>
        <w:spacing w:before="40" w:after="0"/>
        <w:jc w:val="both"/>
        <w:rPr>
          <w:rFonts w:ascii="Times New Roman" w:eastAsia="Times New Roman" w:hAnsi="Times New Roman" w:cs="Times New Roman"/>
          <w:bCs/>
          <w:noProof/>
          <w:kern w:val="0"/>
          <w:szCs w:val="26"/>
          <w14:ligatures w14:val="none"/>
        </w:rPr>
      </w:pPr>
    </w:p>
    <w:p w14:paraId="3475C885" w14:textId="77777777" w:rsidR="006C686E" w:rsidRDefault="00B17E8C">
      <w:pPr>
        <w:pStyle w:val="P68B1DB1-Normal1"/>
        <w:keepNext/>
        <w:numPr>
          <w:ilvl w:val="1"/>
          <w:numId w:val="72"/>
        </w:numPr>
        <w:spacing w:before="40" w:after="0" w:line="276" w:lineRule="auto"/>
        <w:ind w:left="357" w:hanging="357"/>
        <w:jc w:val="both"/>
        <w:outlineLvl w:val="1"/>
        <w:rPr>
          <w:rFonts w:eastAsia="Times New Roman"/>
          <w:noProof/>
          <w:szCs w:val="26"/>
        </w:rPr>
      </w:pPr>
      <w:r>
        <w:rPr>
          <w:noProof/>
        </w:rPr>
        <w:t>Modalités permettant à la Commission d'accéder pleinement aux données sous-jacentes</w:t>
      </w:r>
    </w:p>
    <w:p w14:paraId="2EE47A37" w14:textId="77777777" w:rsidR="006C686E" w:rsidRDefault="00B17E8C">
      <w:pPr>
        <w:pStyle w:val="P68B1DB1-Normal4"/>
        <w:keepNext/>
        <w:numPr>
          <w:ilvl w:val="0"/>
          <w:numId w:val="74"/>
        </w:numPr>
        <w:spacing w:before="120" w:after="0" w:line="240" w:lineRule="auto"/>
        <w:ind w:left="714" w:hanging="357"/>
        <w:contextualSpacing/>
        <w:jc w:val="both"/>
        <w:rPr>
          <w:noProof/>
        </w:rPr>
      </w:pPr>
      <w:r>
        <w:rPr>
          <w:noProof/>
        </w:rPr>
        <w:t>La task force «Estrutura de Missao Recuperar Portugal», en tant qu’organe central de coordination du plan pour la reprise et la résilience du Portugal et de sa mise en œuvre, est chargée de la coordination et du suivi globaux du plan, en collaboration avec l’Agence pour le développement et la cohésion et le ministère des finances. En particulier, il joue le rôle d’organe de coordination pour le suivi des progrès accomplis en ce qui concerne les jalons et cibles, pour le suivi et, le cas échéant, la mise en œuvre des activités de contrôle et d’audit, ainsi que pour la présentation de rapports et de demandes de paiement. Il coordonne la communication des jalons et cibles, des indicateurs pertinents, mais aussi des informations financières qualitatives et d’autres données, par exemple sur les bénéficiaires finaux. L'encodage des données s'effectue dans un système informatique centralisé.</w:t>
      </w:r>
    </w:p>
    <w:p w14:paraId="0E31619E" w14:textId="77777777" w:rsidR="006C686E" w:rsidRDefault="00B17E8C">
      <w:pPr>
        <w:pStyle w:val="P68B1DB1-Normal4"/>
        <w:keepNext/>
        <w:numPr>
          <w:ilvl w:val="0"/>
          <w:numId w:val="74"/>
        </w:numPr>
        <w:spacing w:before="120" w:after="120" w:line="240" w:lineRule="auto"/>
        <w:contextualSpacing/>
        <w:jc w:val="both"/>
        <w:rPr>
          <w:rFonts w:ascii="Calibri" w:hAnsi="Calibri"/>
          <w:noProof/>
        </w:rPr>
      </w:pPr>
      <w:r>
        <w:rPr>
          <w:noProof/>
        </w:rPr>
        <w:t>Conformément à l’article 24, paragraphe 2, du règlement (UE) 2021/241, lorsque les jalons et cibles pertinents convenus à la section 2.1 de la présente annexe sont atteints, le Portugal présente à la Commission une demande dûment justifiée de paiement de la contribution financière et, le cas échéant, du prêt. Le Portugal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23DEBD9A" w14:textId="77777777" w:rsidR="006C686E" w:rsidRDefault="006C686E">
      <w:pPr>
        <w:rPr>
          <w:noProof/>
        </w:rPr>
      </w:pPr>
    </w:p>
    <w:sectPr w:rsidR="006C686E">
      <w:headerReference w:type="default" r:id="rId399"/>
      <w:footerReference w:type="default" r:id="rId4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10D62" w14:textId="77777777" w:rsidR="006C686E" w:rsidRDefault="00B17E8C">
      <w:pPr>
        <w:spacing w:after="0" w:line="240" w:lineRule="auto"/>
      </w:pPr>
      <w:r>
        <w:separator/>
      </w:r>
    </w:p>
  </w:endnote>
  <w:endnote w:type="continuationSeparator" w:id="0">
    <w:p w14:paraId="6726551A" w14:textId="77777777" w:rsidR="006C686E" w:rsidRDefault="00B17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 New Roman félkövé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DF35C" w14:textId="1F60216F" w:rsidR="00391DFC" w:rsidRPr="00391DFC" w:rsidRDefault="00391DFC" w:rsidP="00391DFC">
    <w:pPr>
      <w:pStyle w:val="FooterCoverPage"/>
      <w:rPr>
        <w:rFonts w:ascii="Arial" w:hAnsi="Arial" w:cs="Arial"/>
        <w:b/>
        <w:sz w:val="48"/>
      </w:rPr>
    </w:pPr>
    <w:r w:rsidRPr="00391DFC">
      <w:rPr>
        <w:rFonts w:ascii="Arial" w:hAnsi="Arial" w:cs="Arial"/>
        <w:b/>
        <w:sz w:val="48"/>
      </w:rPr>
      <w:t>FR</w:t>
    </w:r>
    <w:r w:rsidRPr="00391DFC">
      <w:rPr>
        <w:rFonts w:ascii="Arial" w:hAnsi="Arial" w:cs="Arial"/>
        <w:b/>
        <w:sz w:val="48"/>
      </w:rPr>
      <w:tab/>
    </w:r>
    <w:r w:rsidRPr="00391DFC">
      <w:rPr>
        <w:rFonts w:ascii="Arial" w:hAnsi="Arial" w:cs="Arial"/>
        <w:b/>
        <w:sz w:val="48"/>
      </w:rPr>
      <w:tab/>
    </w:r>
    <w:r w:rsidRPr="00391DFC">
      <w:tab/>
    </w:r>
    <w:r w:rsidRPr="00391DF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C6E0C" w14:textId="547E4DD4" w:rsidR="00391DFC" w:rsidRPr="00391DFC" w:rsidRDefault="00391DFC" w:rsidP="00391DFC">
    <w:pPr>
      <w:pStyle w:val="FooterCoverPage"/>
      <w:rPr>
        <w:rFonts w:ascii="Arial" w:hAnsi="Arial" w:cs="Arial"/>
        <w:b/>
        <w:sz w:val="48"/>
      </w:rPr>
    </w:pPr>
    <w:r w:rsidRPr="00391DFC">
      <w:rPr>
        <w:rFonts w:ascii="Arial" w:hAnsi="Arial" w:cs="Arial"/>
        <w:b/>
        <w:sz w:val="48"/>
      </w:rPr>
      <w:t>FR</w:t>
    </w:r>
    <w:r w:rsidRPr="00391DFC">
      <w:rPr>
        <w:rFonts w:ascii="Arial" w:hAnsi="Arial" w:cs="Arial"/>
        <w:b/>
        <w:sz w:val="48"/>
      </w:rPr>
      <w:tab/>
    </w:r>
    <w:r w:rsidRPr="00391DFC">
      <w:rPr>
        <w:rFonts w:ascii="Arial" w:hAnsi="Arial" w:cs="Arial"/>
        <w:b/>
        <w:sz w:val="48"/>
      </w:rPr>
      <w:tab/>
    </w:r>
    <w:r w:rsidRPr="00391DFC">
      <w:tab/>
    </w:r>
    <w:r w:rsidRPr="00391DF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E9E9" w14:textId="77777777" w:rsidR="00391DFC" w:rsidRPr="00391DFC" w:rsidRDefault="00391DFC" w:rsidP="00391D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BA648" w14:textId="77777777" w:rsidR="006C686E" w:rsidRDefault="006C68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335339"/>
      <w:docPartObj>
        <w:docPartGallery w:val="Page Numbers (Bottom of Page)"/>
        <w:docPartUnique/>
      </w:docPartObj>
    </w:sdtPr>
    <w:sdtEndPr/>
    <w:sdtContent>
      <w:p w14:paraId="753D352A" w14:textId="11DDAE64" w:rsidR="006C686E" w:rsidRDefault="00B17E8C">
        <w:pPr>
          <w:pStyle w:val="P68B1DB1-Footer69"/>
          <w:jc w:val="center"/>
        </w:pPr>
        <w:r>
          <w:fldChar w:fldCharType="begin"/>
        </w:r>
        <w:r>
          <w:instrText xml:space="preserve"> PAGE   \* MERGEFORMAT </w:instrText>
        </w:r>
        <w:r>
          <w:fldChar w:fldCharType="separate"/>
        </w:r>
        <w:r w:rsidR="00391DFC">
          <w:rPr>
            <w:noProof/>
          </w:rPr>
          <w:t>4</w:t>
        </w:r>
        <w:r>
          <w:fldChar w:fldCharType="end"/>
        </w:r>
      </w:p>
    </w:sdtContent>
  </w:sdt>
  <w:p w14:paraId="482D947A" w14:textId="77777777" w:rsidR="006C686E" w:rsidRDefault="006C68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36C6D" w14:textId="77777777" w:rsidR="006C686E" w:rsidRDefault="006C68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00C98" w14:textId="77777777" w:rsidR="006C686E" w:rsidRDefault="006C686E">
    <w:pPr>
      <w:pStyle w:val="Footer1"/>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633450"/>
      <w:docPartObj>
        <w:docPartGallery w:val="Page Numbers (Bottom of Page)"/>
        <w:docPartUnique/>
      </w:docPartObj>
    </w:sdtPr>
    <w:sdtEndPr/>
    <w:sdtContent>
      <w:p w14:paraId="11AAE229" w14:textId="3BDCAD22" w:rsidR="006C686E" w:rsidRDefault="00B17E8C">
        <w:pPr>
          <w:pStyle w:val="P68B1DB1-Footer69"/>
          <w:jc w:val="center"/>
        </w:pPr>
        <w:r>
          <w:fldChar w:fldCharType="begin"/>
        </w:r>
        <w:r>
          <w:instrText xml:space="preserve"> PAGE   \* MERGEFORMAT </w:instrText>
        </w:r>
        <w:r>
          <w:fldChar w:fldCharType="separate"/>
        </w:r>
        <w:r w:rsidR="00391DFC">
          <w:rPr>
            <w:noProof/>
          </w:rPr>
          <w:t>6</w:t>
        </w:r>
        <w:r>
          <w:fldChar w:fldCharType="end"/>
        </w:r>
      </w:p>
    </w:sdtContent>
  </w:sdt>
  <w:p w14:paraId="63B2EBA0" w14:textId="77777777" w:rsidR="006C686E" w:rsidRDefault="006C68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B00D" w14:textId="77777777" w:rsidR="006C686E" w:rsidRDefault="006C686E">
    <w:pPr>
      <w:pStyle w:val="Footer1"/>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FE674" w14:textId="77777777" w:rsidR="006C686E" w:rsidRDefault="006C686E">
    <w:pPr>
      <w:pStyle w:val="Footer1"/>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799432"/>
      <w:docPartObj>
        <w:docPartGallery w:val="Page Numbers (Bottom of Page)"/>
        <w:docPartUnique/>
      </w:docPartObj>
    </w:sdtPr>
    <w:sdtEndPr/>
    <w:sdtContent>
      <w:p w14:paraId="7DDA1157" w14:textId="1B5F1302" w:rsidR="006C686E" w:rsidRDefault="00B17E8C">
        <w:pPr>
          <w:pStyle w:val="P68B1DB1-Footer69"/>
          <w:jc w:val="center"/>
        </w:pPr>
        <w:r>
          <w:fldChar w:fldCharType="begin"/>
        </w:r>
        <w:r>
          <w:instrText xml:space="preserve"> PAGE   \* MERGEFORMAT </w:instrText>
        </w:r>
        <w:r>
          <w:fldChar w:fldCharType="separate"/>
        </w:r>
        <w:r w:rsidR="00391DFC">
          <w:rPr>
            <w:noProof/>
          </w:rPr>
          <w:t>7</w:t>
        </w:r>
        <w:r>
          <w:fldChar w:fldCharType="end"/>
        </w:r>
      </w:p>
    </w:sdtContent>
  </w:sdt>
  <w:p w14:paraId="31D822E1" w14:textId="77777777" w:rsidR="006C686E" w:rsidRDefault="006C686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2DED2" w14:textId="77777777" w:rsidR="006C686E" w:rsidRDefault="006C686E">
    <w:pPr>
      <w:pStyle w:val="Footer1"/>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653BB" w14:textId="77777777" w:rsidR="006C686E" w:rsidRDefault="006C686E">
    <w:pPr>
      <w:pStyle w:val="Footer1"/>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149343"/>
      <w:docPartObj>
        <w:docPartGallery w:val="Page Numbers (Bottom of Page)"/>
        <w:docPartUnique/>
      </w:docPartObj>
    </w:sdtPr>
    <w:sdtEndPr/>
    <w:sdtContent>
      <w:p w14:paraId="1A6B3DE1" w14:textId="6D8F3EC2" w:rsidR="006C686E" w:rsidRDefault="00B17E8C">
        <w:pPr>
          <w:pStyle w:val="P68B1DB1-Footer69"/>
          <w:jc w:val="center"/>
        </w:pPr>
        <w:r>
          <w:fldChar w:fldCharType="begin"/>
        </w:r>
        <w:r>
          <w:instrText xml:space="preserve"> PAGE   \* MERGEFORMAT </w:instrText>
        </w:r>
        <w:r>
          <w:fldChar w:fldCharType="separate"/>
        </w:r>
        <w:r w:rsidR="00391DFC">
          <w:rPr>
            <w:noProof/>
          </w:rPr>
          <w:t>12</w:t>
        </w:r>
        <w:r>
          <w:fldChar w:fldCharType="end"/>
        </w:r>
      </w:p>
    </w:sdtContent>
  </w:sdt>
  <w:p w14:paraId="1F31A4A0" w14:textId="77777777" w:rsidR="006C686E" w:rsidRDefault="006C686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8AE7D" w14:textId="77777777" w:rsidR="006C686E" w:rsidRDefault="006C686E">
    <w:pPr>
      <w:pStyle w:val="Footer1"/>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55FB" w14:textId="77777777" w:rsidR="006C686E" w:rsidRDefault="006C686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41786"/>
      <w:docPartObj>
        <w:docPartGallery w:val="Page Numbers (Bottom of Page)"/>
        <w:docPartUnique/>
      </w:docPartObj>
    </w:sdtPr>
    <w:sdtEndPr/>
    <w:sdtContent>
      <w:p w14:paraId="5630A23B" w14:textId="0FB9BF4F" w:rsidR="006C686E" w:rsidRDefault="00B17E8C">
        <w:pPr>
          <w:pStyle w:val="P68B1DB1-Footer69"/>
          <w:jc w:val="center"/>
        </w:pPr>
        <w:r>
          <w:fldChar w:fldCharType="begin"/>
        </w:r>
        <w:r>
          <w:instrText xml:space="preserve"> PAGE   \* MERGEFORMAT </w:instrText>
        </w:r>
        <w:r>
          <w:fldChar w:fldCharType="separate"/>
        </w:r>
        <w:r w:rsidR="00174270">
          <w:rPr>
            <w:noProof/>
          </w:rPr>
          <w:t>16</w:t>
        </w:r>
        <w:r>
          <w:fldChar w:fldCharType="end"/>
        </w:r>
      </w:p>
    </w:sdtContent>
  </w:sdt>
  <w:p w14:paraId="22CC9B3C" w14:textId="77777777" w:rsidR="006C686E" w:rsidRDefault="006C686E">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E5E70" w14:textId="77777777" w:rsidR="006C686E" w:rsidRDefault="006C686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125337"/>
      <w:docPartObj>
        <w:docPartGallery w:val="Page Numbers (Bottom of Page)"/>
        <w:docPartUnique/>
      </w:docPartObj>
    </w:sdtPr>
    <w:sdtEndPr/>
    <w:sdtContent>
      <w:p w14:paraId="3345E585" w14:textId="12FD6CE7" w:rsidR="006C686E" w:rsidRDefault="00B17E8C">
        <w:pPr>
          <w:pStyle w:val="P68B1DB1-Footer69"/>
          <w:jc w:val="center"/>
        </w:pPr>
        <w:r>
          <w:fldChar w:fldCharType="begin"/>
        </w:r>
        <w:r>
          <w:instrText xml:space="preserve"> PAGE   \* MERGEFORMAT </w:instrText>
        </w:r>
        <w:r>
          <w:fldChar w:fldCharType="separate"/>
        </w:r>
        <w:r w:rsidR="00174270">
          <w:rPr>
            <w:noProof/>
          </w:rPr>
          <w:t>17</w:t>
        </w:r>
        <w:r>
          <w:fldChar w:fldCharType="end"/>
        </w:r>
      </w:p>
    </w:sdtContent>
  </w:sdt>
  <w:p w14:paraId="1B82FCC1" w14:textId="77777777" w:rsidR="006C686E" w:rsidRDefault="006C686E">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486533"/>
      <w:docPartObj>
        <w:docPartGallery w:val="Page Numbers (Bottom of Page)"/>
        <w:docPartUnique/>
      </w:docPartObj>
    </w:sdtPr>
    <w:sdtEndPr/>
    <w:sdtContent>
      <w:p w14:paraId="1B88B46F" w14:textId="293A4168" w:rsidR="006C686E" w:rsidRDefault="00B17E8C">
        <w:pPr>
          <w:pStyle w:val="P68B1DB1-Footer69"/>
          <w:jc w:val="center"/>
        </w:pPr>
        <w:r>
          <w:fldChar w:fldCharType="begin"/>
        </w:r>
        <w:r>
          <w:instrText xml:space="preserve"> PAGE   \* MERGEFORMAT </w:instrText>
        </w:r>
        <w:r>
          <w:fldChar w:fldCharType="separate"/>
        </w:r>
        <w:r w:rsidR="00174270">
          <w:rPr>
            <w:noProof/>
          </w:rPr>
          <w:t>20</w:t>
        </w:r>
        <w:r>
          <w:fldChar w:fldCharType="end"/>
        </w:r>
      </w:p>
    </w:sdtContent>
  </w:sdt>
  <w:p w14:paraId="667ED346" w14:textId="77777777" w:rsidR="006C686E" w:rsidRDefault="006C686E">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21281" w14:textId="77777777" w:rsidR="006C686E" w:rsidRDefault="006C686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305301"/>
      <w:docPartObj>
        <w:docPartGallery w:val="Page Numbers (Bottom of Page)"/>
        <w:docPartUnique/>
      </w:docPartObj>
    </w:sdtPr>
    <w:sdtEndPr/>
    <w:sdtContent>
      <w:p w14:paraId="72B67DB3" w14:textId="77777777" w:rsidR="006C686E" w:rsidRDefault="00B17E8C">
        <w:pPr>
          <w:pStyle w:val="P68B1DB1-Footer69"/>
          <w:jc w:val="center"/>
        </w:pPr>
        <w:r>
          <w:fldChar w:fldCharType="begin"/>
        </w:r>
        <w:r>
          <w:instrText xml:space="preserve"> PAGE   \* MERGEFORMAT </w:instrText>
        </w:r>
        <w:r>
          <w:fldChar w:fldCharType="separate"/>
        </w:r>
        <w:r>
          <w:t>144</w:t>
        </w:r>
        <w:r>
          <w:fldChar w:fldCharType="end"/>
        </w:r>
      </w:p>
    </w:sdtContent>
  </w:sdt>
  <w:p w14:paraId="5E0140B9" w14:textId="77777777" w:rsidR="006C686E" w:rsidRDefault="006C686E">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6C207" w14:textId="77777777" w:rsidR="006C686E" w:rsidRDefault="006C686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1C2E1" w14:textId="77777777" w:rsidR="006C686E" w:rsidRDefault="006C686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55341"/>
      <w:docPartObj>
        <w:docPartGallery w:val="Page Numbers (Bottom of Page)"/>
        <w:docPartUnique/>
      </w:docPartObj>
    </w:sdtPr>
    <w:sdtEndPr/>
    <w:sdtContent>
      <w:p w14:paraId="4635A675" w14:textId="77777777" w:rsidR="006C686E" w:rsidRDefault="00B17E8C">
        <w:pPr>
          <w:pStyle w:val="P68B1DB1-Footer69"/>
          <w:jc w:val="center"/>
        </w:pPr>
        <w:r>
          <w:fldChar w:fldCharType="begin"/>
        </w:r>
        <w:r>
          <w:instrText xml:space="preserve"> PAGE   \* MERGEFORMAT </w:instrText>
        </w:r>
        <w:r>
          <w:fldChar w:fldCharType="separate"/>
        </w:r>
        <w:r>
          <w:t>33</w:t>
        </w:r>
        <w:r>
          <w:fldChar w:fldCharType="end"/>
        </w:r>
      </w:p>
    </w:sdtContent>
  </w:sdt>
  <w:p w14:paraId="133FB79D" w14:textId="77777777" w:rsidR="006C686E" w:rsidRDefault="006C686E">
    <w:pPr>
      <w:pStyle w:val="FooterCouncil"/>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84955" w14:textId="77777777" w:rsidR="006C686E" w:rsidRDefault="006C686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BB7E5" w14:textId="77777777" w:rsidR="006C686E" w:rsidRDefault="006C686E">
    <w:pPr>
      <w:pStyle w:val="Footer1"/>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628828"/>
      <w:docPartObj>
        <w:docPartGallery w:val="Page Numbers (Bottom of Page)"/>
        <w:docPartUnique/>
      </w:docPartObj>
    </w:sdtPr>
    <w:sdtEndPr/>
    <w:sdtContent>
      <w:p w14:paraId="47884A4D"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52974A28" w14:textId="77777777" w:rsidR="006C686E" w:rsidRDefault="006C686E">
    <w:pPr>
      <w:pStyle w:val="FooterCouncil"/>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C911" w14:textId="77777777" w:rsidR="006C686E" w:rsidRDefault="006C686E">
    <w:pPr>
      <w:pStyle w:val="Footer1"/>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F07D0" w14:textId="77777777" w:rsidR="006C686E" w:rsidRDefault="006C686E">
    <w:pPr>
      <w:pStyle w:val="Footer1"/>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426717"/>
      <w:docPartObj>
        <w:docPartGallery w:val="Page Numbers (Bottom of Page)"/>
        <w:docPartUnique/>
      </w:docPartObj>
    </w:sdtPr>
    <w:sdtEndPr/>
    <w:sdtContent>
      <w:p w14:paraId="7EEF5506"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E9DBB05" w14:textId="77777777" w:rsidR="006C686E" w:rsidRDefault="006C686E">
    <w:pPr>
      <w:pStyle w:val="FooterCouncil"/>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A543A" w14:textId="77777777" w:rsidR="006C686E" w:rsidRDefault="006C686E">
    <w:pPr>
      <w:pStyle w:val="Footer1"/>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3F360" w14:textId="77777777" w:rsidR="006C686E" w:rsidRDefault="006C686E">
    <w:pPr>
      <w:pStyle w:val="Footer1"/>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837486"/>
      <w:docPartObj>
        <w:docPartGallery w:val="Page Numbers (Bottom of Page)"/>
        <w:docPartUnique/>
      </w:docPartObj>
    </w:sdtPr>
    <w:sdtEndPr/>
    <w:sdtContent>
      <w:p w14:paraId="54E8A478"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BFA6E73" w14:textId="77777777" w:rsidR="006C686E" w:rsidRDefault="006C686E">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D2EF" w14:textId="77777777" w:rsidR="006C686E" w:rsidRDefault="006C686E">
    <w:pPr>
      <w:pStyle w:val="Footer1"/>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21793" w14:textId="77777777" w:rsidR="006C686E" w:rsidRDefault="006C686E">
    <w:pPr>
      <w:pStyle w:val="Footer1"/>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544861"/>
      <w:docPartObj>
        <w:docPartGallery w:val="Page Numbers (Bottom of Page)"/>
        <w:docPartUnique/>
      </w:docPartObj>
    </w:sdtPr>
    <w:sdtEndPr/>
    <w:sdtContent>
      <w:p w14:paraId="7762D9A7"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644C851" w14:textId="77777777" w:rsidR="006C686E" w:rsidRDefault="006C686E">
    <w:pPr>
      <w:pStyle w:val="FooterCouncil"/>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F95DB" w14:textId="77777777" w:rsidR="006C686E" w:rsidRDefault="006C686E">
    <w:pPr>
      <w:pStyle w:val="Footer1"/>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C00A7" w14:textId="77777777" w:rsidR="006C686E" w:rsidRDefault="006C686E">
    <w:pPr>
      <w:pStyle w:val="Footer1"/>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671275"/>
      <w:docPartObj>
        <w:docPartGallery w:val="Page Numbers (Bottom of Page)"/>
        <w:docPartUnique/>
      </w:docPartObj>
    </w:sdtPr>
    <w:sdtEndPr/>
    <w:sdtContent>
      <w:p w14:paraId="3FC421EC"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25635C5" w14:textId="77777777" w:rsidR="006C686E" w:rsidRDefault="006C686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9D59E" w14:textId="77777777" w:rsidR="006C686E" w:rsidRDefault="006C686E">
    <w:pPr>
      <w:pStyle w:val="Footer1"/>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3F43A" w14:textId="77777777" w:rsidR="006C686E" w:rsidRDefault="006C686E">
    <w:pPr>
      <w:pStyle w:val="Footer1"/>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700229"/>
      <w:docPartObj>
        <w:docPartGallery w:val="Page Numbers (Bottom of Page)"/>
        <w:docPartUnique/>
      </w:docPartObj>
    </w:sdtPr>
    <w:sdtEndPr/>
    <w:sdtContent>
      <w:p w14:paraId="78E0BE02"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0E657A6" w14:textId="77777777" w:rsidR="006C686E" w:rsidRDefault="006C686E">
    <w:pPr>
      <w:pStyle w:val="FooterCouncil"/>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F2566" w14:textId="77777777" w:rsidR="006C686E" w:rsidRDefault="006C686E">
    <w:pPr>
      <w:pStyle w:val="Footer1"/>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2D262" w14:textId="77777777" w:rsidR="006C686E" w:rsidRDefault="006C686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83275"/>
      <w:docPartObj>
        <w:docPartGallery w:val="Page Numbers (Bottom of Page)"/>
        <w:docPartUnique/>
      </w:docPartObj>
    </w:sdtPr>
    <w:sdtEndPr/>
    <w:sdtContent>
      <w:p w14:paraId="77789435" w14:textId="77777777" w:rsidR="006C686E" w:rsidRDefault="00B17E8C">
        <w:pPr>
          <w:pStyle w:val="P68B1DB1-Footer69"/>
          <w:jc w:val="center"/>
        </w:pPr>
        <w:r>
          <w:fldChar w:fldCharType="begin"/>
        </w:r>
        <w:r>
          <w:instrText xml:space="preserve"> PAGE   \* MERGEFORMAT </w:instrText>
        </w:r>
        <w:r>
          <w:fldChar w:fldCharType="separate"/>
        </w:r>
        <w:r>
          <w:t>144</w:t>
        </w:r>
        <w:r>
          <w:fldChar w:fldCharType="end"/>
        </w:r>
      </w:p>
    </w:sdtContent>
  </w:sdt>
  <w:p w14:paraId="67DAB335" w14:textId="77777777" w:rsidR="006C686E" w:rsidRDefault="006C686E">
    <w:pPr>
      <w:pStyle w:val="FooterCouncil"/>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7995B" w14:textId="77777777" w:rsidR="006C686E" w:rsidRDefault="006C686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2530" w14:textId="77777777" w:rsidR="006C686E" w:rsidRDefault="006C686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077724"/>
      <w:docPartObj>
        <w:docPartGallery w:val="Page Numbers (Bottom of Page)"/>
        <w:docPartUnique/>
      </w:docPartObj>
    </w:sdtPr>
    <w:sdtEndPr/>
    <w:sdtContent>
      <w:p w14:paraId="7E3BA7E9" w14:textId="77777777" w:rsidR="006C686E" w:rsidRDefault="00B17E8C">
        <w:pPr>
          <w:pStyle w:val="P68B1DB1-Footer69"/>
          <w:jc w:val="center"/>
        </w:pPr>
        <w:r>
          <w:fldChar w:fldCharType="begin"/>
        </w:r>
        <w:r>
          <w:instrText xml:space="preserve"> PAGE   \* MERGEFORMAT </w:instrText>
        </w:r>
        <w:r>
          <w:fldChar w:fldCharType="separate"/>
        </w:r>
        <w:r>
          <w:t>144</w:t>
        </w:r>
        <w:r>
          <w:fldChar w:fldCharType="end"/>
        </w:r>
      </w:p>
    </w:sdtContent>
  </w:sdt>
  <w:p w14:paraId="51A59CF7" w14:textId="77777777" w:rsidR="006C686E" w:rsidRDefault="006C686E">
    <w:pPr>
      <w:pStyle w:val="FooterCouncil"/>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68051" w14:textId="77777777" w:rsidR="006C686E" w:rsidRDefault="006C686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0FCDA" w14:textId="77777777" w:rsidR="006C686E" w:rsidRDefault="006C686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180657"/>
      <w:docPartObj>
        <w:docPartGallery w:val="Page Numbers (Bottom of Page)"/>
        <w:docPartUnique/>
      </w:docPartObj>
    </w:sdtPr>
    <w:sdtEndPr/>
    <w:sdtContent>
      <w:p w14:paraId="0176FAC6" w14:textId="77777777" w:rsidR="006C686E" w:rsidRDefault="00B17E8C">
        <w:pPr>
          <w:pStyle w:val="P68B1DB1-Footer69"/>
          <w:jc w:val="center"/>
        </w:pPr>
        <w:r>
          <w:fldChar w:fldCharType="begin"/>
        </w:r>
        <w:r>
          <w:instrText xml:space="preserve"> PAGE   \* MERGEFORMAT </w:instrText>
        </w:r>
        <w:r>
          <w:fldChar w:fldCharType="separate"/>
        </w:r>
        <w:r>
          <w:t>144</w:t>
        </w:r>
        <w:r>
          <w:fldChar w:fldCharType="end"/>
        </w:r>
      </w:p>
    </w:sdtContent>
  </w:sdt>
  <w:p w14:paraId="4C7F3839" w14:textId="77777777" w:rsidR="006C686E" w:rsidRDefault="006C686E">
    <w:pPr>
      <w:pStyle w:val="FooterCouncil"/>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E5475" w14:textId="77777777" w:rsidR="006C686E" w:rsidRDefault="006C686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08406" w14:textId="77777777" w:rsidR="006C686E" w:rsidRDefault="006C686E">
    <w:pPr>
      <w:pStyle w:val="Footer1"/>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535556"/>
      <w:docPartObj>
        <w:docPartGallery w:val="Page Numbers (Bottom of Page)"/>
        <w:docPartUnique/>
      </w:docPartObj>
    </w:sdtPr>
    <w:sdtEndPr/>
    <w:sdtContent>
      <w:p w14:paraId="0DA58BEC"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2F5A677" w14:textId="77777777" w:rsidR="006C686E" w:rsidRDefault="006C686E">
    <w:pPr>
      <w:pStyle w:val="FooterCouncil"/>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EA160" w14:textId="77777777" w:rsidR="006C686E" w:rsidRDefault="006C686E">
    <w:pPr>
      <w:pStyle w:val="Footer1"/>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0F5CE" w14:textId="77777777" w:rsidR="006C686E" w:rsidRDefault="006C686E">
    <w:pPr>
      <w:pStyle w:val="Footer1"/>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283246"/>
      <w:docPartObj>
        <w:docPartGallery w:val="Page Numbers (Bottom of Page)"/>
        <w:docPartUnique/>
      </w:docPartObj>
    </w:sdtPr>
    <w:sdtEndPr/>
    <w:sdtContent>
      <w:p w14:paraId="454069E1"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532AB454" w14:textId="77777777" w:rsidR="006C686E" w:rsidRDefault="006C686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FAC74" w14:textId="77777777" w:rsidR="006C686E" w:rsidRDefault="006C686E">
    <w:pPr>
      <w:pStyle w:val="Footer1"/>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23B5C" w14:textId="77777777" w:rsidR="006C686E" w:rsidRDefault="006C686E">
    <w:pPr>
      <w:pStyle w:val="Footer1"/>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915784"/>
      <w:docPartObj>
        <w:docPartGallery w:val="Page Numbers (Bottom of Page)"/>
        <w:docPartUnique/>
      </w:docPartObj>
    </w:sdtPr>
    <w:sdtEndPr/>
    <w:sdtContent>
      <w:p w14:paraId="7D3BC963"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9A9D971" w14:textId="77777777" w:rsidR="006C686E" w:rsidRDefault="006C686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9A36" w14:textId="77777777" w:rsidR="006C686E" w:rsidRDefault="006C686E">
    <w:pPr>
      <w:pStyle w:val="Footer1"/>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FE721" w14:textId="77777777" w:rsidR="006C686E" w:rsidRDefault="006C686E">
    <w:pPr>
      <w:pStyle w:val="Footer1"/>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639791"/>
      <w:docPartObj>
        <w:docPartGallery w:val="Page Numbers (Bottom of Page)"/>
        <w:docPartUnique/>
      </w:docPartObj>
    </w:sdtPr>
    <w:sdtEndPr/>
    <w:sdtContent>
      <w:p w14:paraId="2132C573"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3CD960F" w14:textId="77777777" w:rsidR="006C686E" w:rsidRDefault="006C686E">
    <w:pPr>
      <w:pStyle w:val="FooterCouncil"/>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8FB24" w14:textId="77777777" w:rsidR="006C686E" w:rsidRDefault="006C686E">
    <w:pPr>
      <w:pStyle w:val="Footer1"/>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C548" w14:textId="77777777" w:rsidR="006C686E" w:rsidRDefault="006C686E">
    <w:pPr>
      <w:pStyle w:val="Footer1"/>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817301"/>
      <w:docPartObj>
        <w:docPartGallery w:val="Page Numbers (Bottom of Page)"/>
        <w:docPartUnique/>
      </w:docPartObj>
    </w:sdtPr>
    <w:sdtEndPr/>
    <w:sdtContent>
      <w:p w14:paraId="048F3F4F"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067C5E0B" w14:textId="77777777" w:rsidR="006C686E" w:rsidRDefault="006C686E">
    <w:pPr>
      <w:pStyle w:val="FooterCouncil"/>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F7AC5" w14:textId="77777777" w:rsidR="006C686E" w:rsidRDefault="006C686E">
    <w:pPr>
      <w:pStyle w:val="Footer1"/>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13B0C" w14:textId="77777777" w:rsidR="006C686E" w:rsidRDefault="006C686E">
    <w:pPr>
      <w:pStyle w:val="Footer1"/>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319366"/>
      <w:docPartObj>
        <w:docPartGallery w:val="Page Numbers (Bottom of Page)"/>
        <w:docPartUnique/>
      </w:docPartObj>
    </w:sdtPr>
    <w:sdtEndPr/>
    <w:sdtContent>
      <w:p w14:paraId="64A8BD4A"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872A44A" w14:textId="77777777" w:rsidR="006C686E" w:rsidRDefault="006C686E">
    <w:pPr>
      <w:pStyle w:val="FooterCouncil"/>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3DCC2" w14:textId="77777777" w:rsidR="006C686E" w:rsidRDefault="006C686E">
    <w:pPr>
      <w:pStyle w:val="Footer1"/>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EF894" w14:textId="77777777" w:rsidR="006C686E" w:rsidRDefault="006C686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697493"/>
      <w:docPartObj>
        <w:docPartGallery w:val="Page Numbers (Bottom of Page)"/>
        <w:docPartUnique/>
      </w:docPartObj>
    </w:sdtPr>
    <w:sdtEndPr/>
    <w:sdtContent>
      <w:p w14:paraId="4C34575F" w14:textId="77777777" w:rsidR="006C686E" w:rsidRDefault="00B17E8C">
        <w:pPr>
          <w:pStyle w:val="P68B1DB1-Footer69"/>
          <w:jc w:val="center"/>
        </w:pPr>
        <w:r>
          <w:fldChar w:fldCharType="begin"/>
        </w:r>
        <w:r>
          <w:instrText xml:space="preserve"> PAGE   \* MERGEFORMAT </w:instrText>
        </w:r>
        <w:r>
          <w:fldChar w:fldCharType="separate"/>
        </w:r>
        <w:r>
          <w:t>144</w:t>
        </w:r>
        <w:r>
          <w:fldChar w:fldCharType="end"/>
        </w:r>
      </w:p>
    </w:sdtContent>
  </w:sdt>
  <w:p w14:paraId="0F08A990" w14:textId="77777777" w:rsidR="006C686E" w:rsidRDefault="006C686E">
    <w:pPr>
      <w:pStyle w:val="FooterCouncil"/>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D0CC" w14:textId="77777777" w:rsidR="006C686E" w:rsidRDefault="006C686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6863" w14:textId="77777777" w:rsidR="006C686E" w:rsidRDefault="006C686E">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7882"/>
      <w:docPartObj>
        <w:docPartGallery w:val="Page Numbers (Bottom of Page)"/>
        <w:docPartUnique/>
      </w:docPartObj>
    </w:sdtPr>
    <w:sdtEndPr/>
    <w:sdtContent>
      <w:p w14:paraId="54C481CF" w14:textId="77777777" w:rsidR="006C686E" w:rsidRDefault="00B17E8C">
        <w:pPr>
          <w:pStyle w:val="P68B1DB1-Footer69"/>
          <w:jc w:val="center"/>
        </w:pPr>
        <w:r>
          <w:fldChar w:fldCharType="begin"/>
        </w:r>
        <w:r>
          <w:instrText xml:space="preserve"> PAGE   \* MERGEFORMAT </w:instrText>
        </w:r>
        <w:r>
          <w:fldChar w:fldCharType="separate"/>
        </w:r>
        <w:r>
          <w:t>144</w:t>
        </w:r>
        <w:r>
          <w:fldChar w:fldCharType="end"/>
        </w:r>
      </w:p>
    </w:sdtContent>
  </w:sdt>
  <w:p w14:paraId="11B4B97E" w14:textId="77777777" w:rsidR="006C686E" w:rsidRDefault="006C686E">
    <w:pPr>
      <w:pStyle w:val="FooterCouncil"/>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D3E50" w14:textId="77777777" w:rsidR="006C686E" w:rsidRDefault="006C686E">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16BB" w14:textId="77777777" w:rsidR="006C686E" w:rsidRDefault="006C686E">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549135"/>
      <w:docPartObj>
        <w:docPartGallery w:val="Page Numbers (Bottom of Page)"/>
        <w:docPartUnique/>
      </w:docPartObj>
    </w:sdtPr>
    <w:sdtEndPr/>
    <w:sdtContent>
      <w:p w14:paraId="5B097AE8" w14:textId="77777777" w:rsidR="006C686E" w:rsidRDefault="00B17E8C">
        <w:pPr>
          <w:pStyle w:val="P68B1DB1-Footer69"/>
          <w:jc w:val="center"/>
        </w:pPr>
        <w:r>
          <w:fldChar w:fldCharType="begin"/>
        </w:r>
        <w:r>
          <w:instrText xml:space="preserve"> PAGE   \* MERGEFORMAT </w:instrText>
        </w:r>
        <w:r>
          <w:fldChar w:fldCharType="separate"/>
        </w:r>
        <w:r>
          <w:t>144</w:t>
        </w:r>
        <w:r>
          <w:fldChar w:fldCharType="end"/>
        </w:r>
      </w:p>
    </w:sdtContent>
  </w:sdt>
  <w:p w14:paraId="15BCEA81" w14:textId="77777777" w:rsidR="006C686E" w:rsidRDefault="006C686E">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1B854" w14:textId="77777777" w:rsidR="006C686E" w:rsidRDefault="006C686E">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FD854" w14:textId="77777777" w:rsidR="006C686E" w:rsidRDefault="006C686E">
    <w:pPr>
      <w:pStyle w:val="Footer1"/>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05963"/>
      <w:docPartObj>
        <w:docPartGallery w:val="Page Numbers (Bottom of Page)"/>
        <w:docPartUnique/>
      </w:docPartObj>
    </w:sdtPr>
    <w:sdtEndPr/>
    <w:sdtContent>
      <w:p w14:paraId="713F15EE"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1C394286" w14:textId="77777777" w:rsidR="006C686E" w:rsidRDefault="006C686E">
    <w:pPr>
      <w:pStyle w:val="FooterCouncil"/>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227AC" w14:textId="77777777" w:rsidR="006C686E" w:rsidRDefault="006C686E">
    <w:pPr>
      <w:pStyle w:val="Footer1"/>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9134A" w14:textId="77777777" w:rsidR="006C686E" w:rsidRDefault="006C686E">
    <w:pPr>
      <w:pStyle w:val="Footer1"/>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389913"/>
      <w:docPartObj>
        <w:docPartGallery w:val="Page Numbers (Bottom of Page)"/>
        <w:docPartUnique/>
      </w:docPartObj>
    </w:sdtPr>
    <w:sdtEndPr/>
    <w:sdtContent>
      <w:p w14:paraId="2D1B234B"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0525C818" w14:textId="77777777" w:rsidR="006C686E" w:rsidRDefault="006C686E">
    <w:pPr>
      <w:pStyle w:val="FooterCouncil"/>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1B23" w14:textId="77777777" w:rsidR="006C686E" w:rsidRDefault="006C686E">
    <w:pPr>
      <w:pStyle w:val="Footer1"/>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43393" w14:textId="77777777" w:rsidR="006C686E" w:rsidRDefault="006C686E">
    <w:pPr>
      <w:pStyle w:val="Footer1"/>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545648"/>
      <w:docPartObj>
        <w:docPartGallery w:val="Page Numbers (Bottom of Page)"/>
        <w:docPartUnique/>
      </w:docPartObj>
    </w:sdtPr>
    <w:sdtEndPr/>
    <w:sdtContent>
      <w:p w14:paraId="0C83540D"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53C2003" w14:textId="77777777" w:rsidR="006C686E" w:rsidRDefault="006C686E">
    <w:pPr>
      <w:pStyle w:val="FooterCouncil"/>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ADD26" w14:textId="77777777" w:rsidR="006C686E" w:rsidRDefault="006C686E">
    <w:pPr>
      <w:pStyle w:val="Footer1"/>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FCD4" w14:textId="77777777" w:rsidR="006C686E" w:rsidRDefault="006C686E">
    <w:pPr>
      <w:pStyle w:val="Footer1"/>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43277"/>
      <w:docPartObj>
        <w:docPartGallery w:val="Page Numbers (Bottom of Page)"/>
        <w:docPartUnique/>
      </w:docPartObj>
    </w:sdtPr>
    <w:sdtEndPr/>
    <w:sdtContent>
      <w:p w14:paraId="46B84EE0"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7B6B108" w14:textId="77777777" w:rsidR="006C686E" w:rsidRDefault="006C686E">
    <w:pPr>
      <w:pStyle w:val="FooterCouncil"/>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F75E5" w14:textId="77777777" w:rsidR="006C686E" w:rsidRDefault="006C686E">
    <w:pPr>
      <w:pStyle w:val="Footer1"/>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AE8F9" w14:textId="77777777" w:rsidR="006C686E" w:rsidRDefault="006C686E">
    <w:pPr>
      <w:pStyle w:val="Footer1"/>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21076"/>
      <w:docPartObj>
        <w:docPartGallery w:val="Page Numbers (Bottom of Page)"/>
        <w:docPartUnique/>
      </w:docPartObj>
    </w:sdtPr>
    <w:sdtEndPr/>
    <w:sdtContent>
      <w:p w14:paraId="67F9B839"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21D5186" w14:textId="77777777" w:rsidR="006C686E" w:rsidRDefault="006C686E">
    <w:pPr>
      <w:pStyle w:val="FooterCouncil"/>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7419" w14:textId="77777777" w:rsidR="006C686E" w:rsidRDefault="006C686E">
    <w:pPr>
      <w:pStyle w:val="Footer1"/>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6C8E" w14:textId="77777777" w:rsidR="006C686E" w:rsidRDefault="006C686E">
    <w:pPr>
      <w:pStyle w:val="Footer1"/>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060032"/>
      <w:docPartObj>
        <w:docPartGallery w:val="Page Numbers (Bottom of Page)"/>
        <w:docPartUnique/>
      </w:docPartObj>
    </w:sdtPr>
    <w:sdtEndPr/>
    <w:sdtContent>
      <w:p w14:paraId="6CED496A"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6264CA9" w14:textId="77777777" w:rsidR="006C686E" w:rsidRDefault="006C686E">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2207C" w14:textId="77777777" w:rsidR="006C686E" w:rsidRDefault="006C686E">
    <w:pPr>
      <w:pStyle w:val="Footer1"/>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4AC37" w14:textId="77777777" w:rsidR="006C686E" w:rsidRDefault="006C686E">
    <w:pPr>
      <w:pStyle w:val="Footer1"/>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597800"/>
      <w:docPartObj>
        <w:docPartGallery w:val="Page Numbers (Bottom of Page)"/>
        <w:docPartUnique/>
      </w:docPartObj>
    </w:sdtPr>
    <w:sdtEndPr/>
    <w:sdtContent>
      <w:p w14:paraId="462E308E"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509A44E" w14:textId="77777777" w:rsidR="006C686E" w:rsidRDefault="006C686E">
    <w:pPr>
      <w:pStyle w:val="FooterCouncil"/>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B89C" w14:textId="77777777" w:rsidR="006C686E" w:rsidRDefault="006C686E">
    <w:pPr>
      <w:pStyle w:val="Footer1"/>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150FE" w14:textId="77777777" w:rsidR="006C686E" w:rsidRDefault="006C686E">
    <w:pPr>
      <w:pStyle w:val="Footer1"/>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77320"/>
      <w:docPartObj>
        <w:docPartGallery w:val="Page Numbers (Bottom of Page)"/>
        <w:docPartUnique/>
      </w:docPartObj>
    </w:sdtPr>
    <w:sdtEndPr/>
    <w:sdtContent>
      <w:p w14:paraId="5B7F1E84"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6C2A47E" w14:textId="77777777" w:rsidR="006C686E" w:rsidRDefault="006C686E">
    <w:pPr>
      <w:pStyle w:val="FooterCouncil"/>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A0EC0" w14:textId="77777777" w:rsidR="006C686E" w:rsidRDefault="006C686E">
    <w:pPr>
      <w:pStyle w:val="Footer1"/>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AED1" w14:textId="77777777" w:rsidR="006C686E" w:rsidRDefault="006C686E">
    <w:pPr>
      <w:pStyle w:val="Footer1"/>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727410"/>
      <w:docPartObj>
        <w:docPartGallery w:val="Page Numbers (Bottom of Page)"/>
        <w:docPartUnique/>
      </w:docPartObj>
    </w:sdtPr>
    <w:sdtEndPr/>
    <w:sdtContent>
      <w:p w14:paraId="309A795F"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12EF360" w14:textId="77777777" w:rsidR="006C686E" w:rsidRDefault="006C686E">
    <w:pPr>
      <w:pStyle w:val="FooterCouncil"/>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372F7" w14:textId="77777777" w:rsidR="006C686E" w:rsidRDefault="006C686E">
    <w:pPr>
      <w:pStyle w:val="Footer1"/>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EC00" w14:textId="77777777" w:rsidR="006C686E" w:rsidRDefault="006C686E">
    <w:pPr>
      <w:pStyle w:val="Footer1"/>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742712"/>
      <w:docPartObj>
        <w:docPartGallery w:val="Page Numbers (Bottom of Page)"/>
        <w:docPartUnique/>
      </w:docPartObj>
    </w:sdtPr>
    <w:sdtEndPr/>
    <w:sdtContent>
      <w:p w14:paraId="45960C9B"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86E6356" w14:textId="77777777" w:rsidR="006C686E" w:rsidRDefault="006C686E">
    <w:pPr>
      <w:pStyle w:val="FooterCouncil"/>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D4B9F" w14:textId="77777777" w:rsidR="006C686E" w:rsidRDefault="006C686E">
    <w:pPr>
      <w:pStyle w:val="Footer1"/>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6E85F" w14:textId="77777777" w:rsidR="006C686E" w:rsidRDefault="006C686E">
    <w:pPr>
      <w:pStyle w:val="Footer1"/>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029557"/>
      <w:docPartObj>
        <w:docPartGallery w:val="Page Numbers (Bottom of Page)"/>
        <w:docPartUnique/>
      </w:docPartObj>
    </w:sdtPr>
    <w:sdtEndPr/>
    <w:sdtContent>
      <w:p w14:paraId="1E3E60B6"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5A10F2EB" w14:textId="77777777" w:rsidR="006C686E" w:rsidRDefault="006C686E">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E7682" w14:textId="77777777" w:rsidR="006C686E" w:rsidRDefault="006C686E">
    <w:pPr>
      <w:pStyle w:val="Footer1"/>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35642" w14:textId="77777777" w:rsidR="006C686E" w:rsidRDefault="006C686E">
    <w:pPr>
      <w:pStyle w:val="Footer1"/>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494460"/>
      <w:docPartObj>
        <w:docPartGallery w:val="Page Numbers (Bottom of Page)"/>
        <w:docPartUnique/>
      </w:docPartObj>
    </w:sdtPr>
    <w:sdtEndPr/>
    <w:sdtContent>
      <w:p w14:paraId="57BC06F5"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363CB21" w14:textId="77777777" w:rsidR="006C686E" w:rsidRDefault="006C686E">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5FD8F" w14:textId="77777777" w:rsidR="006C686E" w:rsidRDefault="006C686E">
    <w:pPr>
      <w:pStyle w:val="Footer1"/>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89E71" w14:textId="77777777" w:rsidR="006C686E" w:rsidRDefault="006C686E">
    <w:pPr>
      <w:pStyle w:val="Footer1"/>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386906"/>
      <w:docPartObj>
        <w:docPartGallery w:val="Page Numbers (Bottom of Page)"/>
        <w:docPartUnique/>
      </w:docPartObj>
    </w:sdtPr>
    <w:sdtEndPr/>
    <w:sdtContent>
      <w:p w14:paraId="4EADD496"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DC153C2" w14:textId="77777777" w:rsidR="006C686E" w:rsidRDefault="006C686E">
    <w:pPr>
      <w:pStyle w:val="FooterCouncil"/>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D9759" w14:textId="77777777" w:rsidR="006C686E" w:rsidRDefault="006C686E">
    <w:pPr>
      <w:pStyle w:val="Footer1"/>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1920C" w14:textId="77777777" w:rsidR="006C686E" w:rsidRDefault="006C686E">
    <w:pPr>
      <w:pStyle w:val="Footer1"/>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474343"/>
      <w:docPartObj>
        <w:docPartGallery w:val="Page Numbers (Bottom of Page)"/>
        <w:docPartUnique/>
      </w:docPartObj>
    </w:sdtPr>
    <w:sdtEndPr/>
    <w:sdtContent>
      <w:p w14:paraId="7BDB3363"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34F5B12" w14:textId="77777777" w:rsidR="006C686E" w:rsidRDefault="006C686E">
    <w:pPr>
      <w:pStyle w:val="FooterCouncil"/>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6DBF" w14:textId="77777777" w:rsidR="006C686E" w:rsidRDefault="006C686E">
    <w:pPr>
      <w:pStyle w:val="Footer1"/>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E02CE" w14:textId="77777777" w:rsidR="006C686E" w:rsidRDefault="006C686E">
    <w:pPr>
      <w:pStyle w:val="Footer1"/>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197440"/>
      <w:docPartObj>
        <w:docPartGallery w:val="Page Numbers (Bottom of Page)"/>
        <w:docPartUnique/>
      </w:docPartObj>
    </w:sdtPr>
    <w:sdtEndPr/>
    <w:sdtContent>
      <w:p w14:paraId="34895926"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142DC8D2" w14:textId="77777777" w:rsidR="006C686E" w:rsidRDefault="006C686E">
    <w:pPr>
      <w:pStyle w:val="FooterCouncil"/>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F9111" w14:textId="77777777" w:rsidR="006C686E" w:rsidRDefault="006C686E">
    <w:pPr>
      <w:pStyle w:val="Footer1"/>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7D8F" w14:textId="77777777" w:rsidR="006C686E" w:rsidRDefault="006C686E">
    <w:pPr>
      <w:pStyle w:val="Footer1"/>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98281"/>
      <w:docPartObj>
        <w:docPartGallery w:val="Page Numbers (Bottom of Page)"/>
        <w:docPartUnique/>
      </w:docPartObj>
    </w:sdtPr>
    <w:sdtEndPr/>
    <w:sdtContent>
      <w:p w14:paraId="1FAE1BCE"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56D79F6" w14:textId="77777777" w:rsidR="006C686E" w:rsidRDefault="006C686E">
    <w:pPr>
      <w:pStyle w:val="FooterCouncil"/>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3234D" w14:textId="77777777" w:rsidR="006C686E" w:rsidRDefault="006C686E">
    <w:pPr>
      <w:pStyle w:val="Footer1"/>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C4D56" w14:textId="77777777" w:rsidR="006C686E" w:rsidRDefault="006C686E">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826591"/>
      <w:docPartObj>
        <w:docPartGallery w:val="Page Numbers (Bottom of Page)"/>
        <w:docPartUnique/>
      </w:docPartObj>
    </w:sdtPr>
    <w:sdtEndPr/>
    <w:sdtContent>
      <w:p w14:paraId="6E64F00D"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15A24E0" w14:textId="77777777" w:rsidR="006C686E" w:rsidRDefault="006C686E">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CFB" w14:textId="77777777" w:rsidR="006C686E" w:rsidRDefault="006C686E">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6BAD" w14:textId="77777777" w:rsidR="006C686E" w:rsidRDefault="006C686E">
    <w:pPr>
      <w:pStyle w:val="Footer1"/>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363259"/>
      <w:docPartObj>
        <w:docPartGallery w:val="Page Numbers (Bottom of Page)"/>
        <w:docPartUnique/>
      </w:docPartObj>
    </w:sdtPr>
    <w:sdtEndPr/>
    <w:sdtContent>
      <w:p w14:paraId="59E1F20E"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4C0FFAE5" w14:textId="77777777" w:rsidR="006C686E" w:rsidRDefault="006C686E">
    <w:pPr>
      <w:pStyle w:val="FooterCouncil"/>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8AC9" w14:textId="77777777" w:rsidR="006C686E" w:rsidRDefault="006C686E">
    <w:pPr>
      <w:pStyle w:val="Footer1"/>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CF17F" w14:textId="77777777" w:rsidR="006C686E" w:rsidRDefault="006C686E">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206050"/>
      <w:docPartObj>
        <w:docPartGallery w:val="Page Numbers (Bottom of Page)"/>
        <w:docPartUnique/>
      </w:docPartObj>
    </w:sdtPr>
    <w:sdtEndPr/>
    <w:sdtContent>
      <w:p w14:paraId="52165887"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E4F0803" w14:textId="77777777" w:rsidR="006C686E" w:rsidRDefault="006C686E">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61238" w14:textId="77777777" w:rsidR="006C686E" w:rsidRDefault="006C686E">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63FF3" w14:textId="77777777" w:rsidR="006C686E" w:rsidRDefault="006C686E">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173031"/>
      <w:docPartObj>
        <w:docPartGallery w:val="Page Numbers (Bottom of Page)"/>
        <w:docPartUnique/>
      </w:docPartObj>
    </w:sdtPr>
    <w:sdtEndPr/>
    <w:sdtContent>
      <w:p w14:paraId="49F680BE"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10B5DDCE" w14:textId="77777777" w:rsidR="006C686E" w:rsidRDefault="006C686E">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733FF" w14:textId="77777777" w:rsidR="006C686E" w:rsidRDefault="006C686E">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2313F" w14:textId="77777777" w:rsidR="006C686E" w:rsidRDefault="006C686E">
    <w:pPr>
      <w:pStyle w:val="Footer1"/>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824972"/>
      <w:docPartObj>
        <w:docPartGallery w:val="Page Numbers (Bottom of Page)"/>
        <w:docPartUnique/>
      </w:docPartObj>
    </w:sdtPr>
    <w:sdtEndPr/>
    <w:sdtContent>
      <w:p w14:paraId="526CE4ED"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6973EAD" w14:textId="77777777" w:rsidR="006C686E" w:rsidRDefault="006C686E">
    <w:pPr>
      <w:pStyle w:val="FooterCouncil"/>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AA884" w14:textId="77777777" w:rsidR="006C686E" w:rsidRDefault="006C686E">
    <w:pPr>
      <w:pStyle w:val="Footer1"/>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031C6" w14:textId="77777777" w:rsidR="006C686E" w:rsidRDefault="006C686E">
    <w:pPr>
      <w:pStyle w:val="Footer1"/>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941293"/>
      <w:docPartObj>
        <w:docPartGallery w:val="Page Numbers (Bottom of Page)"/>
        <w:docPartUnique/>
      </w:docPartObj>
    </w:sdtPr>
    <w:sdtEndPr/>
    <w:sdtContent>
      <w:p w14:paraId="360E8710"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66046FA" w14:textId="77777777" w:rsidR="006C686E" w:rsidRDefault="006C686E">
    <w:pPr>
      <w:pStyle w:val="FooterCouncil"/>
      <w:rPr>
        <w:sz w:val="24"/>
        <w:szCs w:val="24"/>
      </w:rP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138F4" w14:textId="77777777" w:rsidR="006C686E" w:rsidRDefault="006C686E">
    <w:pPr>
      <w:pStyle w:val="Footer1"/>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33C66" w14:textId="77777777" w:rsidR="006C686E" w:rsidRDefault="006C686E">
    <w:pPr>
      <w:pStyle w:val="Footer1"/>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852155"/>
      <w:docPartObj>
        <w:docPartGallery w:val="Page Numbers (Bottom of Page)"/>
        <w:docPartUnique/>
      </w:docPartObj>
    </w:sdtPr>
    <w:sdtEndPr/>
    <w:sdtContent>
      <w:p w14:paraId="06BB9F43"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6D98AC7" w14:textId="77777777" w:rsidR="006C686E" w:rsidRDefault="006C686E">
    <w:pPr>
      <w:pStyle w:val="FooterCouncil"/>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A7468" w14:textId="77777777" w:rsidR="006C686E" w:rsidRDefault="006C686E">
    <w:pPr>
      <w:pStyle w:val="Footer1"/>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4C160" w14:textId="77777777" w:rsidR="006C686E" w:rsidRDefault="006C686E">
    <w:pPr>
      <w:pStyle w:val="Footer1"/>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556983"/>
      <w:docPartObj>
        <w:docPartGallery w:val="Page Numbers (Bottom of Page)"/>
        <w:docPartUnique/>
      </w:docPartObj>
    </w:sdtPr>
    <w:sdtEndPr/>
    <w:sdtContent>
      <w:p w14:paraId="1E8EC1D3"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5AE85E8" w14:textId="77777777" w:rsidR="006C686E" w:rsidRDefault="006C686E">
    <w:pPr>
      <w:pStyle w:val="FooterCouncil"/>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5EFC3" w14:textId="77777777" w:rsidR="006C686E" w:rsidRDefault="006C686E">
    <w:pPr>
      <w:pStyle w:val="Footer1"/>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E253F" w14:textId="77777777" w:rsidR="006C686E" w:rsidRDefault="006C686E">
    <w:pPr>
      <w:pStyle w:val="Footer1"/>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731569"/>
      <w:docPartObj>
        <w:docPartGallery w:val="Page Numbers (Bottom of Page)"/>
        <w:docPartUnique/>
      </w:docPartObj>
    </w:sdtPr>
    <w:sdtEndPr/>
    <w:sdtContent>
      <w:p w14:paraId="0097A894"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552AF5E7" w14:textId="77777777" w:rsidR="006C686E" w:rsidRDefault="006C686E">
    <w:pPr>
      <w:pStyle w:val="FooterCouncil"/>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B02D1" w14:textId="77777777" w:rsidR="006C686E" w:rsidRDefault="006C686E">
    <w:pPr>
      <w:pStyle w:val="Footer1"/>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3550A" w14:textId="77777777" w:rsidR="006C686E" w:rsidRDefault="006C686E">
    <w:pPr>
      <w:pStyle w:val="Footer1"/>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9188"/>
      <w:docPartObj>
        <w:docPartGallery w:val="Page Numbers (Bottom of Page)"/>
        <w:docPartUnique/>
      </w:docPartObj>
    </w:sdtPr>
    <w:sdtEndPr/>
    <w:sdtContent>
      <w:p w14:paraId="6C6BF2E4"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04520526" w14:textId="77777777" w:rsidR="006C686E" w:rsidRDefault="006C686E">
    <w:pPr>
      <w:pStyle w:val="FooterCouncil"/>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A835" w14:textId="77777777" w:rsidR="006C686E" w:rsidRDefault="006C686E">
    <w:pPr>
      <w:pStyle w:val="Footer1"/>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1042E" w14:textId="77777777" w:rsidR="006C686E" w:rsidRDefault="006C686E">
    <w:pPr>
      <w:pStyle w:val="Footer1"/>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395973"/>
      <w:docPartObj>
        <w:docPartGallery w:val="Page Numbers (Bottom of Page)"/>
        <w:docPartUnique/>
      </w:docPartObj>
    </w:sdtPr>
    <w:sdtEndPr/>
    <w:sdtContent>
      <w:p w14:paraId="790418CF"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D38BE14" w14:textId="77777777" w:rsidR="006C686E" w:rsidRDefault="006C686E">
    <w:pPr>
      <w:pStyle w:val="FooterCouncil"/>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8B2ED" w14:textId="77777777" w:rsidR="006C686E" w:rsidRDefault="006C686E">
    <w:pPr>
      <w:pStyle w:val="Footer1"/>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EDA03" w14:textId="77777777" w:rsidR="006C686E" w:rsidRDefault="006C686E">
    <w:pPr>
      <w:pStyle w:val="Footer1"/>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785363"/>
      <w:docPartObj>
        <w:docPartGallery w:val="Page Numbers (Bottom of Page)"/>
        <w:docPartUnique/>
      </w:docPartObj>
    </w:sdtPr>
    <w:sdtEndPr/>
    <w:sdtContent>
      <w:p w14:paraId="7001A496"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0A140FD2" w14:textId="77777777" w:rsidR="006C686E" w:rsidRDefault="006C686E">
    <w:pPr>
      <w:pStyle w:val="FooterCouncil"/>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32B09" w14:textId="77777777" w:rsidR="006C686E" w:rsidRDefault="006C686E">
    <w:pPr>
      <w:pStyle w:val="Footer1"/>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ED80C" w14:textId="77777777" w:rsidR="006C686E" w:rsidRDefault="006C686E">
    <w:pPr>
      <w:pStyle w:val="Footer1"/>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5115311"/>
      <w:docPartObj>
        <w:docPartGallery w:val="Page Numbers (Bottom of Page)"/>
        <w:docPartUnique/>
      </w:docPartObj>
    </w:sdtPr>
    <w:sdtEndPr/>
    <w:sdtContent>
      <w:p w14:paraId="76DBD33C"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A438980" w14:textId="77777777" w:rsidR="006C686E" w:rsidRDefault="006C686E">
    <w:pPr>
      <w:pStyle w:val="FooterCouncil"/>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C4347" w14:textId="77777777" w:rsidR="006C686E" w:rsidRDefault="006C686E">
    <w:pPr>
      <w:pStyle w:val="Footer1"/>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45E95" w14:textId="77777777" w:rsidR="006C686E" w:rsidRDefault="006C686E">
    <w:pPr>
      <w:pStyle w:val="Footer1"/>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64280"/>
      <w:docPartObj>
        <w:docPartGallery w:val="Page Numbers (Bottom of Page)"/>
        <w:docPartUnique/>
      </w:docPartObj>
    </w:sdtPr>
    <w:sdtEndPr/>
    <w:sdtContent>
      <w:p w14:paraId="4F98DA4E"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35FBBF3F" w14:textId="77777777" w:rsidR="006C686E" w:rsidRDefault="006C686E">
    <w:pPr>
      <w:pStyle w:val="FooterCouncil"/>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18891" w14:textId="77777777" w:rsidR="006C686E" w:rsidRDefault="006C686E">
    <w:pPr>
      <w:pStyle w:val="Footer1"/>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5ADD2" w14:textId="77777777" w:rsidR="006C686E" w:rsidRDefault="006C686E">
    <w:pPr>
      <w:pStyle w:val="Footer1"/>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492664"/>
      <w:docPartObj>
        <w:docPartGallery w:val="Page Numbers (Bottom of Page)"/>
        <w:docPartUnique/>
      </w:docPartObj>
    </w:sdtPr>
    <w:sdtEndPr/>
    <w:sdtContent>
      <w:p w14:paraId="4E001312"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3E87360" w14:textId="77777777" w:rsidR="006C686E" w:rsidRDefault="006C686E">
    <w:pPr>
      <w:pStyle w:val="FooterCouncil"/>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35BD2" w14:textId="77777777" w:rsidR="006C686E" w:rsidRDefault="006C686E">
    <w:pPr>
      <w:pStyle w:val="Footer1"/>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2DC34" w14:textId="77777777" w:rsidR="006C686E" w:rsidRDefault="006C686E">
    <w:pPr>
      <w:pStyle w:val="Footer1"/>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161184"/>
      <w:docPartObj>
        <w:docPartGallery w:val="Page Numbers (Bottom of Page)"/>
        <w:docPartUnique/>
      </w:docPartObj>
    </w:sdtPr>
    <w:sdtEndPr/>
    <w:sdtContent>
      <w:p w14:paraId="055D7A8C"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E3305A7" w14:textId="77777777" w:rsidR="006C686E" w:rsidRDefault="006C686E">
    <w:pPr>
      <w:pStyle w:val="FooterCouncil"/>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C5400" w14:textId="77777777" w:rsidR="006C686E" w:rsidRDefault="006C686E">
    <w:pPr>
      <w:pStyle w:val="Footer1"/>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524383"/>
      <w:docPartObj>
        <w:docPartGallery w:val="Page Numbers (Bottom of Page)"/>
        <w:docPartUnique/>
      </w:docPartObj>
    </w:sdtPr>
    <w:sdtEndPr/>
    <w:sdtContent>
      <w:p w14:paraId="0CBC8E29" w14:textId="77777777" w:rsidR="007A21BD" w:rsidRDefault="007A21BD">
        <w:pPr>
          <w:pStyle w:val="P68B1DB1-Footer69"/>
          <w:jc w:val="center"/>
        </w:pPr>
        <w:r>
          <w:fldChar w:fldCharType="begin"/>
        </w:r>
        <w:r>
          <w:instrText xml:space="preserve"> PAGE   \* MERGEFORMAT </w:instrText>
        </w:r>
        <w:r>
          <w:fldChar w:fldCharType="separate"/>
        </w:r>
        <w:r>
          <w:t>2</w:t>
        </w:r>
        <w:r>
          <w:fldChar w:fldCharType="end"/>
        </w:r>
      </w:p>
    </w:sdtContent>
  </w:sdt>
  <w:p w14:paraId="38A678A3" w14:textId="77777777" w:rsidR="007A21BD" w:rsidRDefault="007A21BD">
    <w:pPr>
      <w:pStyle w:val="FooterCouncil"/>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6F58D" w14:textId="77777777" w:rsidR="006C686E" w:rsidRDefault="006C686E">
    <w:pPr>
      <w:pStyle w:val="Footer1"/>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3868"/>
      <w:docPartObj>
        <w:docPartGallery w:val="Page Numbers (Bottom of Page)"/>
        <w:docPartUnique/>
      </w:docPartObj>
    </w:sdtPr>
    <w:sdtEndPr/>
    <w:sdtContent>
      <w:p w14:paraId="422F4A19"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2B3A6D23" w14:textId="77777777" w:rsidR="006C686E" w:rsidRDefault="006C686E">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FB15A" w14:textId="77777777" w:rsidR="006C686E" w:rsidRDefault="006C686E">
    <w:pPr>
      <w:pStyle w:val="Footer1"/>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BFE0A" w14:textId="77777777" w:rsidR="006C686E" w:rsidRDefault="006C686E">
    <w:pPr>
      <w:pStyle w:val="Footer1"/>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583070"/>
      <w:docPartObj>
        <w:docPartGallery w:val="Page Numbers (Bottom of Page)"/>
        <w:docPartUnique/>
      </w:docPartObj>
    </w:sdtPr>
    <w:sdtEndPr/>
    <w:sdtContent>
      <w:p w14:paraId="290F63C0"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4E727BEA" w14:textId="77777777" w:rsidR="006C686E" w:rsidRDefault="006C686E">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819D" w14:textId="77777777" w:rsidR="006C686E" w:rsidRDefault="006C686E">
    <w:pPr>
      <w:pStyle w:val="Footer1"/>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246F" w14:textId="77777777" w:rsidR="006C686E" w:rsidRDefault="006C686E">
    <w:pPr>
      <w:pStyle w:val="Footer1"/>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833972"/>
      <w:docPartObj>
        <w:docPartGallery w:val="Page Numbers (Bottom of Page)"/>
        <w:docPartUnique/>
      </w:docPartObj>
    </w:sdtPr>
    <w:sdtEndPr/>
    <w:sdtContent>
      <w:p w14:paraId="507F7B5B"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45AC411A" w14:textId="77777777" w:rsidR="006C686E" w:rsidRDefault="006C686E">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BC4E6" w14:textId="77777777" w:rsidR="006C686E" w:rsidRDefault="006C686E">
    <w:pPr>
      <w:pStyle w:val="Footer1"/>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5C2A7" w14:textId="77777777" w:rsidR="006C686E" w:rsidRDefault="006C686E">
    <w:pPr>
      <w:pStyle w:val="Footer1"/>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1447"/>
      <w:docPartObj>
        <w:docPartGallery w:val="Page Numbers (Bottom of Page)"/>
        <w:docPartUnique/>
      </w:docPartObj>
    </w:sdtPr>
    <w:sdtEndPr/>
    <w:sdtContent>
      <w:p w14:paraId="297B4667"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79489948" w14:textId="77777777" w:rsidR="006C686E" w:rsidRDefault="006C686E">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A9B6" w14:textId="77777777" w:rsidR="006C686E" w:rsidRDefault="006C686E">
    <w:pPr>
      <w:pStyle w:val="Footer1"/>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27702"/>
      <w:docPartObj>
        <w:docPartGallery w:val="Page Numbers (Bottom of Page)"/>
        <w:docPartUnique/>
      </w:docPartObj>
    </w:sdtPr>
    <w:sdtEndPr/>
    <w:sdtContent>
      <w:p w14:paraId="1CB88D60"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6F144E73" w14:textId="77777777" w:rsidR="006C686E" w:rsidRDefault="006C686E">
    <w:pPr>
      <w:pStyle w:val="FooterCouncil"/>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8A999" w14:textId="77777777" w:rsidR="006C686E" w:rsidRDefault="006C686E">
    <w:pPr>
      <w:pStyle w:val="Footer1"/>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036822"/>
      <w:docPartObj>
        <w:docPartGallery w:val="Page Numbers (Bottom of Page)"/>
        <w:docPartUnique/>
      </w:docPartObj>
    </w:sdtPr>
    <w:sdtEndPr/>
    <w:sdtContent>
      <w:p w14:paraId="7172D8E6"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5DF7E5CA" w14:textId="77777777" w:rsidR="006C686E" w:rsidRDefault="006C686E">
    <w:pPr>
      <w:pStyle w:val="FooterCouncil"/>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D669" w14:textId="77777777" w:rsidR="006C686E" w:rsidRDefault="006C686E">
    <w:pPr>
      <w:pStyle w:val="Footer1"/>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308025"/>
      <w:docPartObj>
        <w:docPartGallery w:val="Page Numbers (Bottom of Page)"/>
        <w:docPartUnique/>
      </w:docPartObj>
    </w:sdtPr>
    <w:sdtEndPr/>
    <w:sdtContent>
      <w:p w14:paraId="536B07EA" w14:textId="77777777" w:rsidR="006C686E" w:rsidRDefault="00B17E8C">
        <w:pPr>
          <w:pStyle w:val="P68B1DB1-Footer69"/>
          <w:jc w:val="center"/>
        </w:pPr>
        <w:r>
          <w:fldChar w:fldCharType="begin"/>
        </w:r>
        <w:r>
          <w:instrText xml:space="preserve"> PAGE   \* MERGEFORMAT </w:instrText>
        </w:r>
        <w:r>
          <w:fldChar w:fldCharType="separate"/>
        </w:r>
        <w:r>
          <w:t>2</w:t>
        </w:r>
        <w:r>
          <w:fldChar w:fldCharType="end"/>
        </w:r>
      </w:p>
    </w:sdtContent>
  </w:sdt>
  <w:p w14:paraId="4C1B9133" w14:textId="77777777" w:rsidR="006C686E" w:rsidRDefault="006C686E">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93EFC" w14:textId="77777777" w:rsidR="006C686E" w:rsidRDefault="00B17E8C">
      <w:pPr>
        <w:spacing w:after="0" w:line="240" w:lineRule="auto"/>
      </w:pPr>
      <w:r>
        <w:separator/>
      </w:r>
    </w:p>
  </w:footnote>
  <w:footnote w:type="continuationSeparator" w:id="0">
    <w:p w14:paraId="353681D0" w14:textId="77777777" w:rsidR="006C686E" w:rsidRDefault="00B17E8C">
      <w:pPr>
        <w:spacing w:after="0" w:line="240" w:lineRule="auto"/>
      </w:pPr>
      <w:r>
        <w:continuationSeparator/>
      </w:r>
    </w:p>
  </w:footnote>
  <w:footnote w:id="1">
    <w:p w14:paraId="177AAD20" w14:textId="534F8107" w:rsidR="006C686E" w:rsidRDefault="00B17E8C">
      <w:pPr>
        <w:pStyle w:val="FootnoteText1"/>
        <w:ind w:left="709" w:hanging="709"/>
      </w:pPr>
      <w:r>
        <w:rPr>
          <w:rStyle w:val="FootnoteReference"/>
        </w:rPr>
        <w:footnoteRef/>
      </w:r>
      <w:r>
        <w:t xml:space="preserve"> </w:t>
      </w:r>
      <w:hyperlink r:id="rId1" w:history="1">
        <w:r>
          <w:rPr>
            <w:rStyle w:val="Hyperlink1"/>
          </w:rPr>
          <w:t>https://www.un.org/development/desa/disabilities/convention-on-the-rights-of-persons-with-disabilities.html</w:t>
        </w:r>
      </w:hyperlink>
      <w:r>
        <w:t>.</w:t>
      </w:r>
    </w:p>
  </w:footnote>
  <w:footnote w:id="2">
    <w:p w14:paraId="585061BA" w14:textId="5CDAF6E8" w:rsidR="006C686E" w:rsidRDefault="00B17E8C">
      <w:pPr>
        <w:pStyle w:val="FootnoteText1"/>
        <w:ind w:left="709" w:hanging="709"/>
      </w:pPr>
      <w:r>
        <w:rPr>
          <w:rStyle w:val="FootnoteReference"/>
        </w:rPr>
        <w:footnoteRef/>
      </w:r>
      <w:r>
        <w:t xml:space="preserve"> </w:t>
      </w:r>
      <w:hyperlink r:id="rId2" w:history="1">
        <w:r>
          <w:rPr>
            <w:rStyle w:val="Hyperlink1"/>
          </w:rPr>
          <w:t>https://ec.europa.eu/social/main.jsp?catId=738&amp;langId=en&amp;pubId=8376&amp;furtherPubs=yes</w:t>
        </w:r>
      </w:hyperlink>
      <w:r>
        <w:t>.</w:t>
      </w:r>
    </w:p>
  </w:footnote>
  <w:footnote w:id="3">
    <w:p w14:paraId="1EC20E80" w14:textId="4EA93C98" w:rsidR="006C686E" w:rsidRDefault="00B17E8C">
      <w:pPr>
        <w:pStyle w:val="FootnoteText1"/>
        <w:ind w:left="709" w:hanging="709"/>
      </w:pPr>
      <w:r>
        <w:rPr>
          <w:rStyle w:val="FootnoteReference"/>
        </w:rPr>
        <w:footnoteRef/>
      </w:r>
      <w:r>
        <w:t xml:space="preserve"> </w:t>
      </w:r>
      <w:hyperlink r:id="rId3" w:history="1">
        <w:r>
          <w:rPr>
            <w:rStyle w:val="Hyperlink1"/>
          </w:rPr>
          <w:t>https://ec.europa.eu/info/sites/default/files/1_en_act_part1_v8_0.pdf</w:t>
        </w:r>
      </w:hyperlink>
      <w:r>
        <w:t>.</w:t>
      </w:r>
    </w:p>
  </w:footnote>
  <w:footnote w:id="4">
    <w:p w14:paraId="15B31247" w14:textId="6A5D94D3" w:rsidR="006C686E" w:rsidRDefault="00B17E8C">
      <w:pPr>
        <w:pStyle w:val="FootnoteText1"/>
        <w:ind w:left="709" w:hanging="709"/>
      </w:pPr>
      <w:r>
        <w:rPr>
          <w:rStyle w:val="FootnoteReference"/>
        </w:rPr>
        <w:footnoteRef/>
      </w:r>
      <w:r>
        <w:t xml:space="preserve"> </w:t>
      </w:r>
      <w:hyperlink r:id="rId4" w:history="1">
        <w:r>
          <w:rPr>
            <w:rStyle w:val="Hyperlink1"/>
          </w:rPr>
          <w:t>https://www.un.org/development/desa/disabilities/convention-on-the-rights-of-persons-with-disabilities.html</w:t>
        </w:r>
      </w:hyperlink>
      <w:r>
        <w:t>.</w:t>
      </w:r>
    </w:p>
  </w:footnote>
  <w:footnote w:id="5">
    <w:p w14:paraId="11D0F61A" w14:textId="77777777" w:rsidR="006C686E" w:rsidRDefault="00B17E8C">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6">
    <w:p w14:paraId="187E01CA" w14:textId="77777777" w:rsidR="006C686E" w:rsidRDefault="00B17E8C">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Lorsque l’activité soutenue atteint des émissions de gaz à effet de serre prévues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7">
    <w:p w14:paraId="35175AA8" w14:textId="77777777" w:rsidR="006C686E" w:rsidRDefault="00B17E8C">
      <w:pPr>
        <w:spacing w:after="0" w:line="240" w:lineRule="auto"/>
        <w:ind w:left="709" w:hanging="709"/>
        <w:jc w:val="both"/>
        <w:rPr>
          <w:rFonts w:ascii="Times New Roman" w:eastAsiaTheme="minorEastAsia"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w:t>
      </w:r>
      <w:r>
        <w:rPr>
          <w:rFonts w:ascii="Times New Roman" w:hAnsi="Times New Roman" w:cs="Times New Roman"/>
        </w:rPr>
        <w:t xml:space="preserve"> </w:t>
      </w:r>
      <w:r>
        <w:rPr>
          <w:rFonts w:ascii="Times New Roman" w:hAnsi="Times New Roman" w:cs="Times New Roman"/>
          <w:sz w:val="20"/>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8">
    <w:p w14:paraId="5BFDA251" w14:textId="77777777" w:rsidR="006C686E" w:rsidRDefault="00B17E8C">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p w14:paraId="2C48DB9D" w14:textId="77777777" w:rsidR="006C686E" w:rsidRDefault="006C686E">
      <w:pPr>
        <w:pStyle w:val="FootnoteText"/>
      </w:pPr>
    </w:p>
  </w:footnote>
  <w:footnote w:id="9">
    <w:p w14:paraId="021DD5E1" w14:textId="77777777" w:rsidR="006C686E" w:rsidRDefault="00B17E8C">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0">
    <w:p w14:paraId="4DA2C2EC" w14:textId="77777777" w:rsidR="006C686E" w:rsidRDefault="00B17E8C">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1">
    <w:p w14:paraId="781CBBB0" w14:textId="77777777" w:rsidR="006C686E" w:rsidRDefault="00B17E8C">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2">
    <w:p w14:paraId="01594B9F" w14:textId="77777777" w:rsidR="006C686E" w:rsidRDefault="00B17E8C">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Les véhicules polluants sont définis comme des véhicules à émissions non nulles.</w:t>
      </w:r>
    </w:p>
  </w:footnote>
  <w:footnote w:id="13">
    <w:p w14:paraId="59B6CFD4" w14:textId="77777777" w:rsidR="006C686E" w:rsidRDefault="00B17E8C">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4">
    <w:p w14:paraId="554FD347" w14:textId="77777777" w:rsidR="006C686E" w:rsidRDefault="00B17E8C">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5">
    <w:p w14:paraId="7269393C" w14:textId="77777777" w:rsidR="006C686E" w:rsidRDefault="00B17E8C">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16">
    <w:p w14:paraId="49C5A8F5"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7">
    <w:p w14:paraId="3EEFAA14"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8">
    <w:p w14:paraId="0B5C8A66"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Les bénéficiaires finaux associés à des projets spécifiques sont tenus de fournir une justification du champ d’intervention sélectionné pour chaque projet soutenu, ainsi qu’une description du projet, aux fins du calcul de la contribution climatique. Aux fins du calcul de la contribution climatique,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19">
    <w:p w14:paraId="78362951" w14:textId="77777777" w:rsidR="006C686E" w:rsidRDefault="00B17E8C">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À l’exception a)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20">
    <w:p w14:paraId="50DC0674" w14:textId="77777777" w:rsidR="006C686E" w:rsidRDefault="00B17E8C">
      <w:pPr>
        <w:spacing w:after="0"/>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1">
    <w:p w14:paraId="23F07E10" w14:textId="12C65C4B" w:rsidR="006C686E" w:rsidRDefault="00B17E8C">
      <w:pPr>
        <w:pStyle w:val="No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dans les installations exclusivement consacrées au traitement des déchets dangereux non recyclables, ni aux installations existantes, lorsque les actions visent à accroître l’efficacité énergétique, à capter les gaz d’échappement en vue de leur stockage ou de leur utilisation ou à récupérer des matériaux à partir de cendres d’incinération, pour autant que ces actions n’entraînent pas une augmentation de la capacité de traitement des déchets des installations ou une prolongation de la durée de vie des installations; pour lesquels des éléments de preuve sont fournis au niveau de l’installation.</w:t>
      </w:r>
    </w:p>
  </w:footnote>
  <w:footnote w:id="22">
    <w:p w14:paraId="5C20F132" w14:textId="77777777" w:rsidR="006C686E" w:rsidRDefault="00B17E8C">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dans les installations de traitement biologique mécanique existantes, lorsque les actions visent à accroître l’efficacité énergétique ou à moderniser les opérations de recyclage des déchets séparés pour composter les biodéchets et la digestion anaérobie des biodéchets, pour autant que ces actions n’entraînent pas une augmentation de la capacité de traitement des déchets des installations ou une prolongation de la durée de vie des installations; pour lesquels des éléments de preuve sont fournis au niveau de l’installation.</w:t>
      </w:r>
    </w:p>
  </w:footnote>
  <w:footnote w:id="23">
    <w:p w14:paraId="76D1ECA5" w14:textId="6C45E881" w:rsidR="006C686E" w:rsidRPr="00093E19" w:rsidRDefault="00B17E8C">
      <w:pPr>
        <w:pStyle w:val="FootnoteText1"/>
        <w:ind w:left="709" w:hanging="709"/>
        <w:rPr>
          <w:lang w:val="en-IE"/>
        </w:rPr>
      </w:pPr>
      <w:r>
        <w:rPr>
          <w:rStyle w:val="FootnoteReference"/>
        </w:rPr>
        <w:footnoteRef/>
      </w:r>
      <w:r w:rsidRPr="00093E19">
        <w:rPr>
          <w:lang w:val="en-IE"/>
        </w:rPr>
        <w:t xml:space="preserve"> </w:t>
      </w:r>
      <w:r w:rsidRPr="00093E19">
        <w:rPr>
          <w:lang w:val="en-IE"/>
        </w:rPr>
        <w:tab/>
        <w:t xml:space="preserve">Decreto Regulamentar n.º 9-A/2017: </w:t>
      </w:r>
      <w:hyperlink r:id="rId5" w:history="1">
        <w:r w:rsidRPr="00093E19">
          <w:rPr>
            <w:rStyle w:val="Hyperlink1"/>
            <w:lang w:val="en-IE"/>
          </w:rPr>
          <w:t>https://dre.pt/application/conteudo/114152782</w:t>
        </w:r>
      </w:hyperlink>
      <w:r w:rsidRPr="00093E19">
        <w:rPr>
          <w:lang w:val="en-IE"/>
        </w:rPr>
        <w:t>.</w:t>
      </w:r>
    </w:p>
  </w:footnote>
  <w:footnote w:id="24">
    <w:p w14:paraId="6E705BD7" w14:textId="77777777" w:rsidR="006C686E" w:rsidRDefault="00B17E8C">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5">
    <w:p w14:paraId="67804881" w14:textId="504DC607" w:rsidR="006C686E" w:rsidRDefault="00B17E8C">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6">
    <w:p w14:paraId="3F6A7161"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7">
    <w:p w14:paraId="718C5B05"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8">
    <w:p w14:paraId="308CC548" w14:textId="77777777" w:rsidR="006C686E" w:rsidRDefault="00B17E8C">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29">
    <w:p w14:paraId="1183689B"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30">
    <w:p w14:paraId="7950B3FC" w14:textId="77777777" w:rsidR="006C686E" w:rsidRDefault="00B17E8C">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31">
    <w:p w14:paraId="2815B4CC" w14:textId="77777777" w:rsidR="006C686E" w:rsidRDefault="00B17E8C">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32">
    <w:p w14:paraId="63C5BF76"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33">
    <w:p w14:paraId="344F0B67" w14:textId="77777777" w:rsidR="006C686E" w:rsidRDefault="00B17E8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BE285" w14:textId="77777777" w:rsidR="00391DFC" w:rsidRPr="00391DFC" w:rsidRDefault="00391DFC" w:rsidP="00391D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1E1ED" w14:textId="77777777" w:rsidR="00391DFC" w:rsidRPr="00391DFC" w:rsidRDefault="00391DFC" w:rsidP="00391D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9593A" w14:textId="77777777" w:rsidR="00391DFC" w:rsidRPr="00391DFC" w:rsidRDefault="00391DFC" w:rsidP="00391D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4B947" w14:textId="77777777" w:rsidR="006C686E" w:rsidRDefault="006C68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C3685" w14:textId="77777777" w:rsidR="006C686E" w:rsidRDefault="00B17E8C">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84B9" w14:textId="77777777" w:rsidR="006C686E" w:rsidRDefault="006C68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943F6" w14:textId="77777777" w:rsidR="006C686E" w:rsidRDefault="006C686E">
    <w:pPr>
      <w:pStyle w:val="Header1"/>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EE95D" w14:textId="77777777" w:rsidR="006C686E" w:rsidRDefault="006C686E"/>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C24E" w14:textId="77777777" w:rsidR="006C686E" w:rsidRDefault="006C686E">
    <w:pPr>
      <w:pStyle w:val="Header1"/>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55A0" w14:textId="77777777" w:rsidR="006C686E" w:rsidRDefault="006C686E">
    <w:pPr>
      <w:pStyle w:val="Header1"/>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6703C" w14:textId="77777777" w:rsidR="006C686E" w:rsidRDefault="00B17E8C">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8415A" w14:textId="77777777" w:rsidR="006C686E" w:rsidRDefault="006C686E">
    <w:pPr>
      <w:pStyle w:val="Header1"/>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0962B" w14:textId="77777777" w:rsidR="006C686E" w:rsidRDefault="006C686E">
    <w:pPr>
      <w:pStyle w:val="Header1"/>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4A2AD" w14:textId="77777777" w:rsidR="006C686E" w:rsidRDefault="006C686E"/>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41D1C" w14:textId="77777777" w:rsidR="006C686E" w:rsidRDefault="006C686E">
    <w:pPr>
      <w:pStyle w:val="Header1"/>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FD57" w14:textId="77777777" w:rsidR="006C686E" w:rsidRDefault="006C686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7B746" w14:textId="77777777" w:rsidR="006C686E" w:rsidRDefault="006C686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AF8C" w14:textId="77777777" w:rsidR="006C686E" w:rsidRDefault="006C686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B1520" w14:textId="77777777" w:rsidR="006C686E" w:rsidRDefault="006C686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A631E" w14:textId="77777777" w:rsidR="006C686E" w:rsidRDefault="006C686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7630E" w14:textId="77777777" w:rsidR="006C686E" w:rsidRDefault="006C686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BE825" w14:textId="77777777" w:rsidR="006C686E" w:rsidRDefault="006C686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1781" w14:textId="77777777" w:rsidR="006C686E" w:rsidRDefault="006C686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B307A" w14:textId="77777777" w:rsidR="006C686E" w:rsidRDefault="006C686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95381" w14:textId="77777777" w:rsidR="006C686E" w:rsidRDefault="006C686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D195E" w14:textId="77777777" w:rsidR="006C686E" w:rsidRDefault="006C686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78FE6" w14:textId="77777777" w:rsidR="006C686E" w:rsidRDefault="006C686E">
    <w:pPr>
      <w:pStyle w:val="Header1"/>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4680C" w14:textId="77777777" w:rsidR="006C686E" w:rsidRDefault="00B17E8C">
    <w:r>
      <w:t>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8EAD7" w14:textId="77777777" w:rsidR="006C686E" w:rsidRDefault="006C686E">
    <w:pPr>
      <w:pStyle w:val="Header1"/>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2364C" w14:textId="77777777" w:rsidR="006C686E" w:rsidRDefault="006C686E">
    <w:pPr>
      <w:pStyle w:val="Header1"/>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EB41" w14:textId="77777777" w:rsidR="006C686E" w:rsidRDefault="006C686E"/>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AF29B" w14:textId="77777777" w:rsidR="006C686E" w:rsidRDefault="006C686E">
    <w:pPr>
      <w:pStyle w:val="Header1"/>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1CD24" w14:textId="77777777" w:rsidR="006C686E" w:rsidRDefault="006C686E">
    <w:pPr>
      <w:pStyle w:val="Header1"/>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6D602" w14:textId="77777777" w:rsidR="006C686E" w:rsidRDefault="00B17E8C">
    <w:r>
      <w:t>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6FEC7" w14:textId="77777777" w:rsidR="006C686E" w:rsidRDefault="006C686E">
    <w:pPr>
      <w:pStyle w:val="Header1"/>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BA5CE" w14:textId="77777777" w:rsidR="006C686E" w:rsidRDefault="006C686E">
    <w:pPr>
      <w:pStyle w:val="Header1"/>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89FD8" w14:textId="77777777" w:rsidR="006C686E" w:rsidRDefault="00B17E8C">
    <w:r>
      <w:t>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59C3E" w14:textId="77777777" w:rsidR="006C686E" w:rsidRDefault="006C686E">
    <w:pPr>
      <w:pStyle w:val="Header1"/>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14E85" w14:textId="77777777" w:rsidR="006C686E" w:rsidRDefault="006C686E">
    <w:pPr>
      <w:pStyle w:val="Header1"/>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4448" w14:textId="77777777" w:rsidR="006C686E" w:rsidRDefault="00B17E8C">
    <w:r>
      <w:t>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7F98B" w14:textId="77777777" w:rsidR="006C686E" w:rsidRDefault="006C686E">
    <w:pPr>
      <w:pStyle w:val="Header1"/>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09D12" w14:textId="77777777" w:rsidR="006C686E" w:rsidRDefault="006C686E">
    <w:pPr>
      <w:pStyle w:val="Header1"/>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39A4" w14:textId="77777777" w:rsidR="006C686E" w:rsidRDefault="006C686E"/>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12E99" w14:textId="77777777" w:rsidR="006C686E" w:rsidRDefault="006C686E">
    <w:pPr>
      <w:pStyle w:val="Header1"/>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8F16F" w14:textId="77777777" w:rsidR="006C686E" w:rsidRDefault="006C686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42908" w14:textId="77777777" w:rsidR="006C686E" w:rsidRDefault="006C686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DDE4" w14:textId="77777777" w:rsidR="006C686E" w:rsidRDefault="006C686E">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E8EF1" w14:textId="77777777" w:rsidR="006C686E" w:rsidRDefault="006C686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B59FE" w14:textId="77777777" w:rsidR="006C686E" w:rsidRDefault="006C686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6749C" w14:textId="77777777" w:rsidR="006C686E" w:rsidRDefault="006C686E">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CEED" w14:textId="77777777" w:rsidR="006C686E" w:rsidRDefault="006C686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C7A46" w14:textId="77777777" w:rsidR="006C686E" w:rsidRDefault="006C686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CF0B" w14:textId="77777777" w:rsidR="006C686E" w:rsidRDefault="006C686E">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F40C9" w14:textId="77777777" w:rsidR="006C686E" w:rsidRDefault="006C686E">
    <w:pPr>
      <w:pStyle w:val="Header1"/>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6E44" w14:textId="77777777" w:rsidR="006C686E" w:rsidRDefault="00B17E8C">
    <w:r>
      <w:t>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57ECD" w14:textId="77777777" w:rsidR="006C686E" w:rsidRDefault="006C686E">
    <w:pPr>
      <w:pStyle w:val="Header1"/>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AEB64" w14:textId="77777777" w:rsidR="006C686E" w:rsidRDefault="006C686E">
    <w:pPr>
      <w:pStyle w:val="Header1"/>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A058" w14:textId="77777777" w:rsidR="006C686E" w:rsidRDefault="00B17E8C">
    <w:r>
      <w:t> </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4C25B" w14:textId="77777777" w:rsidR="006C686E" w:rsidRDefault="006C686E">
    <w:pPr>
      <w:pStyle w:val="Header1"/>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C9810" w14:textId="77777777" w:rsidR="006C686E" w:rsidRDefault="006C686E">
    <w:pPr>
      <w:pStyle w:val="Header1"/>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58991" w14:textId="77777777" w:rsidR="006C686E" w:rsidRDefault="00B17E8C">
    <w:r>
      <w:t>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DD3A" w14:textId="77777777" w:rsidR="006C686E" w:rsidRDefault="006C686E">
    <w:pPr>
      <w:pStyle w:val="Header1"/>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6F343" w14:textId="77777777" w:rsidR="006C686E" w:rsidRDefault="006C686E">
    <w:pPr>
      <w:pStyle w:val="Header1"/>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8FD45" w14:textId="77777777" w:rsidR="006C686E" w:rsidRDefault="00B17E8C">
    <w:r>
      <w:t> </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79B18" w14:textId="77777777" w:rsidR="006C686E" w:rsidRDefault="006C686E">
    <w:pPr>
      <w:pStyle w:val="Header1"/>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4CB8B" w14:textId="77777777" w:rsidR="006C686E" w:rsidRDefault="006C686E">
    <w:pPr>
      <w:pStyle w:val="Header1"/>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17C7A" w14:textId="77777777" w:rsidR="006C686E" w:rsidRDefault="00B17E8C">
    <w:r>
      <w:t> </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3F04B" w14:textId="77777777" w:rsidR="006C686E" w:rsidRDefault="006C686E">
    <w:pPr>
      <w:pStyle w:val="Header1"/>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BF2A4" w14:textId="77777777" w:rsidR="006C686E" w:rsidRDefault="006C686E">
    <w:pPr>
      <w:pStyle w:val="Header1"/>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75578" w14:textId="77777777" w:rsidR="006C686E" w:rsidRDefault="00B17E8C">
    <w:r>
      <w:t>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C26B6" w14:textId="77777777" w:rsidR="006C686E" w:rsidRDefault="006C686E">
    <w:pPr>
      <w:pStyle w:val="Header1"/>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3117" w14:textId="77777777" w:rsidR="006C686E" w:rsidRDefault="006C686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1B44" w14:textId="77777777" w:rsidR="006C686E" w:rsidRDefault="006C686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239E8" w14:textId="77777777" w:rsidR="006C686E" w:rsidRDefault="006C686E">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49EC" w14:textId="77777777" w:rsidR="006C686E" w:rsidRDefault="006C686E">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59D25" w14:textId="77777777" w:rsidR="006C686E" w:rsidRDefault="006C686E">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B8272" w14:textId="77777777" w:rsidR="006C686E" w:rsidRDefault="006C686E">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1FFF9" w14:textId="77777777" w:rsidR="006C686E" w:rsidRDefault="006C686E">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F196" w14:textId="77777777" w:rsidR="006C686E" w:rsidRDefault="006C686E">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26A" w14:textId="77777777" w:rsidR="006C686E" w:rsidRDefault="006C686E">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65FC4" w14:textId="77777777" w:rsidR="006C686E" w:rsidRDefault="006C686E">
    <w:pPr>
      <w:pStyle w:val="Header1"/>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E06FA" w14:textId="77777777" w:rsidR="006C686E" w:rsidRDefault="00B17E8C">
    <w:r>
      <w:t> </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7E090" w14:textId="77777777" w:rsidR="006C686E" w:rsidRDefault="006C686E">
    <w:pPr>
      <w:pStyle w:val="Header1"/>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A3BE8" w14:textId="77777777" w:rsidR="006C686E" w:rsidRDefault="006C686E">
    <w:pPr>
      <w:pStyle w:val="Header1"/>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F3EE" w14:textId="77777777" w:rsidR="006C686E" w:rsidRDefault="00B17E8C">
    <w:r>
      <w:t> </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282E6" w14:textId="77777777" w:rsidR="006C686E" w:rsidRDefault="006C686E">
    <w:pPr>
      <w:pStyle w:val="Header1"/>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7FC0B" w14:textId="77777777" w:rsidR="006C686E" w:rsidRDefault="006C686E">
    <w:pPr>
      <w:pStyle w:val="Header1"/>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5004E" w14:textId="77777777" w:rsidR="006C686E" w:rsidRDefault="00B17E8C">
    <w:r>
      <w:t>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E14C9" w14:textId="77777777" w:rsidR="006C686E" w:rsidRDefault="006C686E">
    <w:pPr>
      <w:pStyle w:val="Header1"/>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86217" w14:textId="77777777" w:rsidR="006C686E" w:rsidRDefault="006C686E">
    <w:pPr>
      <w:pStyle w:val="Header1"/>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9233" w14:textId="77777777" w:rsidR="006C686E" w:rsidRDefault="00B17E8C">
    <w:r>
      <w:t> </w:t>
    </w: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83AD" w14:textId="77777777" w:rsidR="006C686E" w:rsidRDefault="006C686E">
    <w:pPr>
      <w:pStyle w:val="Header1"/>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C551F" w14:textId="77777777" w:rsidR="006C686E" w:rsidRDefault="006C686E">
    <w:pPr>
      <w:pStyle w:val="Header1"/>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A1BE2" w14:textId="77777777" w:rsidR="006C686E" w:rsidRDefault="00B17E8C">
    <w:r>
      <w:t>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44456" w14:textId="77777777" w:rsidR="006C686E" w:rsidRDefault="006C686E">
    <w:pPr>
      <w:pStyle w:val="Header1"/>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26BC6" w14:textId="77777777" w:rsidR="006C686E" w:rsidRDefault="006C686E">
    <w:pPr>
      <w:pStyle w:val="Header1"/>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1205F" w14:textId="77777777" w:rsidR="006C686E" w:rsidRDefault="006C686E"/>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C5FC" w14:textId="77777777" w:rsidR="006C686E" w:rsidRDefault="006C686E">
    <w:pPr>
      <w:pStyle w:val="Header1"/>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E9713" w14:textId="77777777" w:rsidR="006C686E" w:rsidRDefault="006C686E">
    <w:pPr>
      <w:pStyle w:val="Header1"/>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8DAB7" w14:textId="77777777" w:rsidR="006C686E" w:rsidRDefault="00B17E8C">
    <w:r>
      <w:t> </w: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710D" w14:textId="77777777" w:rsidR="006C686E" w:rsidRDefault="006C686E">
    <w:pPr>
      <w:pStyle w:val="Header1"/>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77555" w14:textId="77777777" w:rsidR="006C686E" w:rsidRDefault="006C686E">
    <w:pPr>
      <w:pStyle w:val="Header1"/>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59613" w14:textId="77777777" w:rsidR="006C686E" w:rsidRDefault="00B17E8C">
    <w:r>
      <w:t> </w:t>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F7663" w14:textId="77777777" w:rsidR="006C686E" w:rsidRDefault="006C686E">
    <w:pPr>
      <w:pStyle w:val="Header1"/>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9B64E" w14:textId="77777777" w:rsidR="006C686E" w:rsidRDefault="006C686E">
    <w:pPr>
      <w:pStyle w:val="Header1"/>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A98E" w14:textId="77777777" w:rsidR="006C686E" w:rsidRDefault="00B17E8C">
    <w:r>
      <w:t>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78B87" w14:textId="77777777" w:rsidR="006C686E" w:rsidRDefault="006C686E">
    <w:pPr>
      <w:pStyle w:val="Header1"/>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26E6C" w14:textId="77777777" w:rsidR="006C686E" w:rsidRDefault="006C686E">
    <w:pPr>
      <w:pStyle w:val="Header1"/>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AD89F" w14:textId="77777777" w:rsidR="006C686E" w:rsidRDefault="00B17E8C">
    <w:r>
      <w:t>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7ED68" w14:textId="77777777" w:rsidR="006C686E" w:rsidRDefault="006C686E">
    <w:pPr>
      <w:pStyle w:val="Header1"/>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C818C" w14:textId="77777777" w:rsidR="006C686E" w:rsidRDefault="006C686E">
    <w:pPr>
      <w:pStyle w:val="Header1"/>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7DCE5" w14:textId="77777777" w:rsidR="006C686E" w:rsidRDefault="00B17E8C">
    <w:r>
      <w:t> </w: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6C42" w14:textId="77777777" w:rsidR="006C686E" w:rsidRDefault="006C686E">
    <w:pPr>
      <w:pStyle w:val="Header1"/>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17C4B" w14:textId="77777777" w:rsidR="006C686E" w:rsidRDefault="006C686E">
    <w:pPr>
      <w:pStyle w:val="Header1"/>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44B0" w14:textId="77777777" w:rsidR="006C686E" w:rsidRDefault="00B17E8C">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EB289" w14:textId="77777777" w:rsidR="006C686E" w:rsidRDefault="006C686E">
    <w:pPr>
      <w:pStyle w:val="Header1"/>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344AC" w14:textId="77777777" w:rsidR="006C686E" w:rsidRDefault="006C686E">
    <w:pPr>
      <w:pStyle w:val="Header1"/>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7411D" w14:textId="77777777" w:rsidR="006C686E" w:rsidRDefault="006C686E">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D6D5C" w14:textId="77777777" w:rsidR="006C686E" w:rsidRDefault="006C686E">
    <w:pPr>
      <w:pStyle w:val="Header1"/>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E16B2" w14:textId="77777777" w:rsidR="006C686E" w:rsidRDefault="006C686E">
    <w:pPr>
      <w:pStyle w:val="Header1"/>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04B47" w14:textId="77777777" w:rsidR="006C686E" w:rsidRDefault="00B17E8C">
    <w:r>
      <w:t> </w:t>
    </w: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1BD91" w14:textId="77777777" w:rsidR="006C686E" w:rsidRDefault="006C686E">
    <w:pPr>
      <w:pStyle w:val="Header1"/>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4B9EC" w14:textId="77777777" w:rsidR="006C686E" w:rsidRDefault="006C686E">
    <w:pPr>
      <w:pStyle w:val="Header1"/>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B066B" w14:textId="77777777" w:rsidR="006C686E" w:rsidRDefault="006C686E"/>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73631" w14:textId="77777777" w:rsidR="006C686E" w:rsidRDefault="006C686E">
    <w:pPr>
      <w:pStyle w:val="Header1"/>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573E" w14:textId="77777777" w:rsidR="006C686E" w:rsidRDefault="006C686E">
    <w:pPr>
      <w:pStyle w:val="Header1"/>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7D07C" w14:textId="77777777" w:rsidR="006C686E" w:rsidRDefault="00B17E8C">
    <w:r>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C1ACA" w14:textId="77777777" w:rsidR="006C686E" w:rsidRDefault="006C686E">
    <w:pPr>
      <w:pStyle w:val="Header1"/>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E533F" w14:textId="77777777" w:rsidR="006C686E" w:rsidRDefault="006C686E">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8B60" w14:textId="77777777" w:rsidR="006C686E" w:rsidRDefault="006C686E">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F92FD" w14:textId="77777777" w:rsidR="006C686E" w:rsidRDefault="006C686E">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C851" w14:textId="77777777" w:rsidR="006C686E" w:rsidRDefault="006C686E">
    <w:pPr>
      <w:pStyle w:val="Header1"/>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6B725" w14:textId="77777777" w:rsidR="006C686E" w:rsidRDefault="00B17E8C">
    <w:r>
      <w:t>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C703A" w14:textId="77777777" w:rsidR="006C686E" w:rsidRDefault="006C686E">
    <w:pPr>
      <w:pStyle w:val="Header1"/>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D692C" w14:textId="77777777" w:rsidR="006C686E" w:rsidRDefault="006C686E">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8BC9B" w14:textId="77777777" w:rsidR="006C686E" w:rsidRDefault="00B17E8C">
    <w:r>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5A16E" w14:textId="77777777" w:rsidR="006C686E" w:rsidRDefault="006C686E">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82048" w14:textId="77777777" w:rsidR="006C686E" w:rsidRDefault="006C686E">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C35B2" w14:textId="77777777" w:rsidR="006C686E" w:rsidRDefault="00B17E8C">
    <w:r>
      <w:t> </w: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FA96E" w14:textId="77777777" w:rsidR="006C686E" w:rsidRDefault="006C686E">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EC660" w14:textId="77777777" w:rsidR="006C686E" w:rsidRDefault="006C686E">
    <w:pPr>
      <w:pStyle w:val="Header1"/>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E7E5" w14:textId="77777777" w:rsidR="006C686E" w:rsidRDefault="00B17E8C">
    <w:r>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43B8" w14:textId="77777777" w:rsidR="006C686E" w:rsidRDefault="006C686E">
    <w:pPr>
      <w:pStyle w:val="Header1"/>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E56B9" w14:textId="77777777" w:rsidR="006C686E" w:rsidRDefault="006C686E">
    <w:pPr>
      <w:pStyle w:val="Header1"/>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5F4BA" w14:textId="77777777" w:rsidR="006C686E" w:rsidRDefault="00B17E8C">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B305B" w14:textId="77777777" w:rsidR="006C686E" w:rsidRDefault="006C686E">
    <w:pPr>
      <w:pStyle w:val="Header1"/>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C3B10" w14:textId="77777777" w:rsidR="006C686E" w:rsidRDefault="006C686E">
    <w:pPr>
      <w:pStyle w:val="Header1"/>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40D41" w14:textId="77777777" w:rsidR="006C686E" w:rsidRDefault="00B17E8C">
    <w:r>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016E" w14:textId="77777777" w:rsidR="006C686E" w:rsidRDefault="006C686E">
    <w:pPr>
      <w:pStyle w:val="Header1"/>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74132" w14:textId="77777777" w:rsidR="006C686E" w:rsidRDefault="006C686E">
    <w:pPr>
      <w:pStyle w:val="Header1"/>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182FA" w14:textId="77777777" w:rsidR="006C686E" w:rsidRDefault="00B17E8C">
    <w:r>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1E98B" w14:textId="77777777" w:rsidR="006C686E" w:rsidRDefault="006C686E">
    <w:pPr>
      <w:pStyle w:val="Header1"/>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29B83" w14:textId="77777777" w:rsidR="006C686E" w:rsidRDefault="006C686E">
    <w:pPr>
      <w:pStyle w:val="Header1"/>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37D24" w14:textId="77777777" w:rsidR="006C686E" w:rsidRDefault="00B17E8C">
    <w:r>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6678A" w14:textId="77777777" w:rsidR="006C686E" w:rsidRDefault="006C686E">
    <w:pPr>
      <w:pStyle w:val="Header1"/>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C1110" w14:textId="77777777" w:rsidR="006C686E" w:rsidRDefault="006C686E">
    <w:pPr>
      <w:pStyle w:val="Header1"/>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292CA" w14:textId="77777777" w:rsidR="006C686E" w:rsidRDefault="006C686E"/>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92734" w14:textId="77777777" w:rsidR="006C686E" w:rsidRDefault="006C686E">
    <w:pPr>
      <w:pStyle w:val="Header1"/>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CB830" w14:textId="77777777" w:rsidR="006C686E" w:rsidRDefault="006C686E">
    <w:pPr>
      <w:pStyle w:val="Header1"/>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1E50" w14:textId="77777777" w:rsidR="006C686E" w:rsidRDefault="00B17E8C">
    <w:r>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906C2" w14:textId="77777777" w:rsidR="006C686E" w:rsidRDefault="006C686E">
    <w:pPr>
      <w:pStyle w:val="Header1"/>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E02FD" w14:textId="77777777" w:rsidR="006C686E" w:rsidRDefault="006C686E">
    <w:pPr>
      <w:pStyle w:val="Header1"/>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3B91" w14:textId="77777777" w:rsidR="006C686E" w:rsidRDefault="00B17E8C">
    <w:r>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174BB" w14:textId="77777777" w:rsidR="006C686E" w:rsidRDefault="006C686E">
    <w:pPr>
      <w:pStyle w:val="Header1"/>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D49A7" w14:textId="77777777" w:rsidR="006C686E" w:rsidRDefault="006C686E">
    <w:pPr>
      <w:pStyle w:val="Header1"/>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1DA8D" w14:textId="77777777" w:rsidR="006C686E" w:rsidRDefault="00B17E8C">
    <w:r>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04C00" w14:textId="77777777" w:rsidR="006C686E" w:rsidRDefault="006C686E">
    <w:pPr>
      <w:pStyle w:val="Header1"/>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EAC8F" w14:textId="77777777" w:rsidR="006C686E" w:rsidRDefault="006C686E">
    <w:pPr>
      <w:pStyle w:val="Header1"/>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0199F" w14:textId="77777777" w:rsidR="006C686E" w:rsidRDefault="00B17E8C">
    <w:r>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27ABA" w14:textId="77777777" w:rsidR="006C686E" w:rsidRDefault="006C686E">
    <w:pPr>
      <w:pStyle w:val="Header1"/>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3745" w14:textId="77777777" w:rsidR="006C686E" w:rsidRDefault="006C686E">
    <w:pPr>
      <w:pStyle w:val="Header1"/>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C10B0" w14:textId="77777777" w:rsidR="006C686E" w:rsidRDefault="00B17E8C">
    <w:r>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C12E" w14:textId="77777777" w:rsidR="006C686E" w:rsidRDefault="006C686E">
    <w:pPr>
      <w:pStyle w:val="Header1"/>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2C10B" w14:textId="77777777" w:rsidR="006C686E" w:rsidRDefault="006C686E">
    <w:pPr>
      <w:pStyle w:val="Header1"/>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A64F1" w14:textId="77777777" w:rsidR="006C686E" w:rsidRDefault="006C686E">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0ACB7" w14:textId="77777777" w:rsidR="006C686E" w:rsidRDefault="006C686E">
    <w:pPr>
      <w:pStyle w:val="Header1"/>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E907C" w14:textId="77777777" w:rsidR="007A21BD" w:rsidRDefault="007A21BD">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12FB" w14:textId="77777777" w:rsidR="006C686E" w:rsidRDefault="006C686E">
    <w:pPr>
      <w:pStyle w:val="Header1"/>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E62F" w14:textId="77777777" w:rsidR="006C686E" w:rsidRDefault="006C686E">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04B" w14:textId="77777777" w:rsidR="006C686E" w:rsidRDefault="006C686E">
    <w:pPr>
      <w:pStyle w:val="Header1"/>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755F" w14:textId="77777777" w:rsidR="006C686E" w:rsidRDefault="006C686E">
    <w:pPr>
      <w:pStyle w:val="Header1"/>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A7933" w14:textId="77777777" w:rsidR="006C686E" w:rsidRDefault="006C686E">
    <w:pPr>
      <w:pStyle w:val="Header"/>
    </w:pPr>
  </w:p>
  <w:p w14:paraId="2FC888DF" w14:textId="77777777" w:rsidR="006C686E" w:rsidRDefault="006C686E"/>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8035A" w14:textId="77777777" w:rsidR="006C686E" w:rsidRDefault="006C686E">
    <w:pPr>
      <w:pStyle w:val="Header1"/>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64464" w14:textId="77777777" w:rsidR="006C686E" w:rsidRDefault="006C686E">
    <w:pPr>
      <w:pStyle w:val="Header1"/>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9BC5E" w14:textId="77777777" w:rsidR="006C686E" w:rsidRDefault="00B17E8C">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CE184" w14:textId="77777777" w:rsidR="006C686E" w:rsidRDefault="006C686E">
    <w:pPr>
      <w:pStyle w:val="Header1"/>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C9D6C" w14:textId="77777777" w:rsidR="006C686E" w:rsidRDefault="006C686E">
    <w:pPr>
      <w:pStyle w:val="Header1"/>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478DD" w14:textId="77777777" w:rsidR="006C686E" w:rsidRDefault="00B17E8C">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B593" w14:textId="77777777" w:rsidR="006C686E" w:rsidRDefault="006C686E">
    <w:pPr>
      <w:pStyle w:val="Header1"/>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0898B" w14:textId="77777777" w:rsidR="006C686E" w:rsidRDefault="00B17E8C">
    <w:r>
      <w:t> </w: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4A80B" w14:textId="77777777" w:rsidR="006C686E" w:rsidRDefault="006C686E">
    <w:pPr>
      <w:pStyle w:val="Header1"/>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30B7E" w14:textId="77777777" w:rsidR="006C686E" w:rsidRDefault="00B17E8C">
    <w:r>
      <w:t> </w:t>
    </w: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0C27B" w14:textId="77777777" w:rsidR="006C686E" w:rsidRDefault="006C686E">
    <w:pPr>
      <w:pStyle w:val="Header1"/>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115BD" w14:textId="77777777" w:rsidR="006C686E" w:rsidRDefault="00B17E8C">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9868A0"/>
    <w:multiLevelType w:val="hybridMultilevel"/>
    <w:tmpl w:val="32C2A90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AE53D7"/>
    <w:multiLevelType w:val="hybridMultilevel"/>
    <w:tmpl w:val="D9007FC0"/>
    <w:lvl w:ilvl="0" w:tplc="B838C54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2EC3743"/>
    <w:multiLevelType w:val="hybridMultilevel"/>
    <w:tmpl w:val="1E7E21BE"/>
    <w:lvl w:ilvl="0" w:tplc="F9B098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42720F"/>
    <w:multiLevelType w:val="hybridMultilevel"/>
    <w:tmpl w:val="713EED1E"/>
    <w:lvl w:ilvl="0" w:tplc="7B887A4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6B6E74"/>
    <w:multiLevelType w:val="hybridMultilevel"/>
    <w:tmpl w:val="E9B427FC"/>
    <w:lvl w:ilvl="0" w:tplc="FFFFFFFF">
      <w:start w:val="1"/>
      <w:numFmt w:val="lowerLetter"/>
      <w:lvlText w:val="%1."/>
      <w:lvlJc w:val="left"/>
      <w:pPr>
        <w:ind w:left="720" w:hanging="360"/>
      </w:pPr>
    </w:lvl>
    <w:lvl w:ilvl="1" w:tplc="1809000F">
      <w:start w:val="1"/>
      <w:numFmt w:val="decimal"/>
      <w:lvlText w:val="%2."/>
      <w:lvlJc w:val="left"/>
      <w:pPr>
        <w:ind w:left="36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9A3F81"/>
    <w:multiLevelType w:val="hybridMultilevel"/>
    <w:tmpl w:val="E17CE6D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A015DD"/>
    <w:multiLevelType w:val="hybridMultilevel"/>
    <w:tmpl w:val="F24E4A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27B21B9"/>
    <w:multiLevelType w:val="hybridMultilevel"/>
    <w:tmpl w:val="02501BB4"/>
    <w:lvl w:ilvl="0" w:tplc="162039F2">
      <w:start w:val="1"/>
      <w:numFmt w:val="decimal"/>
      <w:lvlText w:val="%1."/>
      <w:lvlJc w:val="left"/>
      <w:pPr>
        <w:ind w:left="720" w:hanging="360"/>
      </w:pPr>
      <w:rPr>
        <w:rFonts w:eastAsiaTheme="minorEastAsia"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770AF"/>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57F6626"/>
    <w:multiLevelType w:val="hybridMultilevel"/>
    <w:tmpl w:val="3502E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08CF"/>
    <w:multiLevelType w:val="hybridMultilevel"/>
    <w:tmpl w:val="DED8B1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MS Mincho" w:hAnsi="MS Mincho" w:hint="default"/>
      </w:rPr>
    </w:lvl>
    <w:lvl w:ilvl="3" w:tplc="FFFFFFFF" w:tentative="1">
      <w:start w:val="1"/>
      <w:numFmt w:val="bullet"/>
      <w:lvlText w:val=""/>
      <w:lvlJc w:val="left"/>
      <w:pPr>
        <w:ind w:left="2880" w:hanging="360"/>
      </w:pPr>
      <w:rPr>
        <w:rFonts w:ascii="Times New Roman félkövér" w:hAnsi="Times New Roman félkövér"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MS Mincho" w:hAnsi="MS Mincho" w:hint="default"/>
      </w:rPr>
    </w:lvl>
    <w:lvl w:ilvl="6" w:tplc="FFFFFFFF" w:tentative="1">
      <w:start w:val="1"/>
      <w:numFmt w:val="bullet"/>
      <w:lvlText w:val=""/>
      <w:lvlJc w:val="left"/>
      <w:pPr>
        <w:ind w:left="5040" w:hanging="360"/>
      </w:pPr>
      <w:rPr>
        <w:rFonts w:ascii="Times New Roman félkövér" w:hAnsi="Times New Roman félkövér"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MS Mincho" w:hAnsi="MS Mincho" w:hint="default"/>
      </w:rPr>
    </w:lvl>
  </w:abstractNum>
  <w:abstractNum w:abstractNumId="15" w15:restartNumberingAfterBreak="0">
    <w:nsid w:val="1B194EC9"/>
    <w:multiLevelType w:val="hybridMultilevel"/>
    <w:tmpl w:val="97AC0BC2"/>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BEB2B47"/>
    <w:multiLevelType w:val="hybridMultilevel"/>
    <w:tmpl w:val="FA3C66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81216A"/>
    <w:multiLevelType w:val="hybridMultilevel"/>
    <w:tmpl w:val="4B021F8C"/>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4212C34"/>
    <w:multiLevelType w:val="hybridMultilevel"/>
    <w:tmpl w:val="044E8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5A736E1"/>
    <w:multiLevelType w:val="hybridMultilevel"/>
    <w:tmpl w:val="3816E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7812E8C"/>
    <w:multiLevelType w:val="hybridMultilevel"/>
    <w:tmpl w:val="27E608BC"/>
    <w:lvl w:ilvl="0" w:tplc="34AC0DE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2C67BF"/>
    <w:multiLevelType w:val="hybridMultilevel"/>
    <w:tmpl w:val="8CE80548"/>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E35866"/>
    <w:multiLevelType w:val="hybridMultilevel"/>
    <w:tmpl w:val="285A86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AB0B496"/>
    <w:multiLevelType w:val="hybridMultilevel"/>
    <w:tmpl w:val="FFFFFFFF"/>
    <w:lvl w:ilvl="0" w:tplc="819814D2">
      <w:start w:val="1"/>
      <w:numFmt w:val="decimal"/>
      <w:lvlText w:val="%1."/>
      <w:lvlJc w:val="left"/>
      <w:pPr>
        <w:ind w:left="720" w:hanging="360"/>
      </w:pPr>
    </w:lvl>
    <w:lvl w:ilvl="1" w:tplc="42A28E56">
      <w:start w:val="1"/>
      <w:numFmt w:val="lowerLetter"/>
      <w:lvlText w:val="%2."/>
      <w:lvlJc w:val="left"/>
      <w:pPr>
        <w:ind w:left="1440" w:hanging="360"/>
      </w:pPr>
    </w:lvl>
    <w:lvl w:ilvl="2" w:tplc="E9F06356">
      <w:start w:val="1"/>
      <w:numFmt w:val="lowerRoman"/>
      <w:lvlText w:val="%3."/>
      <w:lvlJc w:val="right"/>
      <w:pPr>
        <w:ind w:left="2160" w:hanging="180"/>
      </w:pPr>
    </w:lvl>
    <w:lvl w:ilvl="3" w:tplc="37788538">
      <w:start w:val="1"/>
      <w:numFmt w:val="decimal"/>
      <w:lvlText w:val="%4."/>
      <w:lvlJc w:val="left"/>
      <w:pPr>
        <w:ind w:left="2880" w:hanging="360"/>
      </w:pPr>
    </w:lvl>
    <w:lvl w:ilvl="4" w:tplc="18782116">
      <w:start w:val="1"/>
      <w:numFmt w:val="lowerLetter"/>
      <w:lvlText w:val="%5."/>
      <w:lvlJc w:val="left"/>
      <w:pPr>
        <w:ind w:left="3600" w:hanging="360"/>
      </w:pPr>
    </w:lvl>
    <w:lvl w:ilvl="5" w:tplc="C868FC92">
      <w:start w:val="1"/>
      <w:numFmt w:val="lowerRoman"/>
      <w:lvlText w:val="%6."/>
      <w:lvlJc w:val="right"/>
      <w:pPr>
        <w:ind w:left="4320" w:hanging="180"/>
      </w:pPr>
    </w:lvl>
    <w:lvl w:ilvl="6" w:tplc="F386118C">
      <w:start w:val="1"/>
      <w:numFmt w:val="decimal"/>
      <w:lvlText w:val="%7."/>
      <w:lvlJc w:val="left"/>
      <w:pPr>
        <w:ind w:left="5040" w:hanging="360"/>
      </w:pPr>
    </w:lvl>
    <w:lvl w:ilvl="7" w:tplc="A89C1258">
      <w:start w:val="1"/>
      <w:numFmt w:val="lowerLetter"/>
      <w:lvlText w:val="%8."/>
      <w:lvlJc w:val="left"/>
      <w:pPr>
        <w:ind w:left="5760" w:hanging="360"/>
      </w:pPr>
    </w:lvl>
    <w:lvl w:ilvl="8" w:tplc="F9DE58C0">
      <w:start w:val="1"/>
      <w:numFmt w:val="lowerRoman"/>
      <w:lvlText w:val="%9."/>
      <w:lvlJc w:val="right"/>
      <w:pPr>
        <w:ind w:left="648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3CFB8CA"/>
    <w:multiLevelType w:val="hybridMultilevel"/>
    <w:tmpl w:val="FFFFFFFF"/>
    <w:lvl w:ilvl="0" w:tplc="FC7CADA6">
      <w:start w:val="1"/>
      <w:numFmt w:val="decimal"/>
      <w:lvlText w:val="%1."/>
      <w:lvlJc w:val="left"/>
      <w:pPr>
        <w:ind w:left="720" w:hanging="360"/>
      </w:pPr>
    </w:lvl>
    <w:lvl w:ilvl="1" w:tplc="4E906D50">
      <w:start w:val="1"/>
      <w:numFmt w:val="lowerLetter"/>
      <w:lvlText w:val="%2."/>
      <w:lvlJc w:val="left"/>
      <w:pPr>
        <w:ind w:left="1440" w:hanging="360"/>
      </w:pPr>
    </w:lvl>
    <w:lvl w:ilvl="2" w:tplc="F348C4C0">
      <w:start w:val="1"/>
      <w:numFmt w:val="lowerRoman"/>
      <w:lvlText w:val="%3."/>
      <w:lvlJc w:val="right"/>
      <w:pPr>
        <w:ind w:left="2160" w:hanging="180"/>
      </w:pPr>
    </w:lvl>
    <w:lvl w:ilvl="3" w:tplc="B4A840F6">
      <w:start w:val="1"/>
      <w:numFmt w:val="decimal"/>
      <w:lvlText w:val="%4."/>
      <w:lvlJc w:val="left"/>
      <w:pPr>
        <w:ind w:left="2880" w:hanging="360"/>
      </w:pPr>
    </w:lvl>
    <w:lvl w:ilvl="4" w:tplc="ADD2FD18">
      <w:start w:val="1"/>
      <w:numFmt w:val="lowerLetter"/>
      <w:lvlText w:val="%5."/>
      <w:lvlJc w:val="left"/>
      <w:pPr>
        <w:ind w:left="3600" w:hanging="360"/>
      </w:pPr>
    </w:lvl>
    <w:lvl w:ilvl="5" w:tplc="0A9C749C">
      <w:start w:val="1"/>
      <w:numFmt w:val="lowerRoman"/>
      <w:lvlText w:val="%6."/>
      <w:lvlJc w:val="right"/>
      <w:pPr>
        <w:ind w:left="4320" w:hanging="180"/>
      </w:pPr>
    </w:lvl>
    <w:lvl w:ilvl="6" w:tplc="FF68C8B2">
      <w:start w:val="1"/>
      <w:numFmt w:val="decimal"/>
      <w:lvlText w:val="%7."/>
      <w:lvlJc w:val="left"/>
      <w:pPr>
        <w:ind w:left="5040" w:hanging="360"/>
      </w:pPr>
    </w:lvl>
    <w:lvl w:ilvl="7" w:tplc="CBDC5518">
      <w:start w:val="1"/>
      <w:numFmt w:val="lowerLetter"/>
      <w:lvlText w:val="%8."/>
      <w:lvlJc w:val="left"/>
      <w:pPr>
        <w:ind w:left="5760" w:hanging="360"/>
      </w:pPr>
    </w:lvl>
    <w:lvl w:ilvl="8" w:tplc="FEBC06AE">
      <w:start w:val="1"/>
      <w:numFmt w:val="lowerRoman"/>
      <w:lvlText w:val="%9."/>
      <w:lvlJc w:val="right"/>
      <w:pPr>
        <w:ind w:left="6480" w:hanging="180"/>
      </w:pPr>
    </w:lvl>
  </w:abstractNum>
  <w:abstractNum w:abstractNumId="29" w15:restartNumberingAfterBreak="0">
    <w:nsid w:val="34167CF6"/>
    <w:multiLevelType w:val="hybridMultilevel"/>
    <w:tmpl w:val="68002C5A"/>
    <w:lvl w:ilvl="0" w:tplc="9E50CCBA">
      <w:start w:val="1"/>
      <w:numFmt w:val="decimal"/>
      <w:lvlText w:val="%1)"/>
      <w:lvlJc w:val="left"/>
      <w:pPr>
        <w:ind w:left="720" w:hanging="360"/>
      </w:pPr>
      <w:rPr>
        <w:rFonts w:eastAsiaTheme="minorHAnsi" w:cstheme="minorBidi"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31" w15:restartNumberingAfterBreak="0">
    <w:nsid w:val="377C3E1F"/>
    <w:multiLevelType w:val="hybridMultilevel"/>
    <w:tmpl w:val="507C1A1E"/>
    <w:lvl w:ilvl="0" w:tplc="58F4ED0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38A4179E"/>
    <w:multiLevelType w:val="hybridMultilevel"/>
    <w:tmpl w:val="708626BA"/>
    <w:lvl w:ilvl="0" w:tplc="0212B264">
      <w:start w:val="1"/>
      <w:numFmt w:val="decimal"/>
      <w:lvlText w:val="%1."/>
      <w:lvlJc w:val="left"/>
      <w:pPr>
        <w:ind w:left="1200" w:hanging="360"/>
      </w:pPr>
    </w:lvl>
    <w:lvl w:ilvl="1" w:tplc="2BE2FD86">
      <w:start w:val="1"/>
      <w:numFmt w:val="decimal"/>
      <w:lvlText w:val="%2."/>
      <w:lvlJc w:val="left"/>
      <w:pPr>
        <w:ind w:left="1200" w:hanging="360"/>
      </w:pPr>
    </w:lvl>
    <w:lvl w:ilvl="2" w:tplc="CC50A864">
      <w:start w:val="1"/>
      <w:numFmt w:val="decimal"/>
      <w:lvlText w:val="%3."/>
      <w:lvlJc w:val="left"/>
      <w:pPr>
        <w:ind w:left="1200" w:hanging="360"/>
      </w:pPr>
    </w:lvl>
    <w:lvl w:ilvl="3" w:tplc="75C2FE2C">
      <w:start w:val="1"/>
      <w:numFmt w:val="decimal"/>
      <w:lvlText w:val="%4."/>
      <w:lvlJc w:val="left"/>
      <w:pPr>
        <w:ind w:left="1200" w:hanging="360"/>
      </w:pPr>
    </w:lvl>
    <w:lvl w:ilvl="4" w:tplc="A1B8817E">
      <w:start w:val="1"/>
      <w:numFmt w:val="decimal"/>
      <w:lvlText w:val="%5."/>
      <w:lvlJc w:val="left"/>
      <w:pPr>
        <w:ind w:left="1200" w:hanging="360"/>
      </w:pPr>
    </w:lvl>
    <w:lvl w:ilvl="5" w:tplc="47AAB1A4">
      <w:start w:val="1"/>
      <w:numFmt w:val="decimal"/>
      <w:lvlText w:val="%6."/>
      <w:lvlJc w:val="left"/>
      <w:pPr>
        <w:ind w:left="1200" w:hanging="360"/>
      </w:pPr>
    </w:lvl>
    <w:lvl w:ilvl="6" w:tplc="6D9A4146">
      <w:start w:val="1"/>
      <w:numFmt w:val="decimal"/>
      <w:lvlText w:val="%7."/>
      <w:lvlJc w:val="left"/>
      <w:pPr>
        <w:ind w:left="1200" w:hanging="360"/>
      </w:pPr>
    </w:lvl>
    <w:lvl w:ilvl="7" w:tplc="98F8D204">
      <w:start w:val="1"/>
      <w:numFmt w:val="decimal"/>
      <w:lvlText w:val="%8."/>
      <w:lvlJc w:val="left"/>
      <w:pPr>
        <w:ind w:left="1200" w:hanging="360"/>
      </w:pPr>
    </w:lvl>
    <w:lvl w:ilvl="8" w:tplc="8D486C84">
      <w:start w:val="1"/>
      <w:numFmt w:val="decimal"/>
      <w:lvlText w:val="%9."/>
      <w:lvlJc w:val="left"/>
      <w:pPr>
        <w:ind w:left="1200" w:hanging="360"/>
      </w:pPr>
    </w:lvl>
  </w:abstractNum>
  <w:abstractNum w:abstractNumId="33" w15:restartNumberingAfterBreak="0">
    <w:nsid w:val="39A060BB"/>
    <w:multiLevelType w:val="hybridMultilevel"/>
    <w:tmpl w:val="6F16191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D60958"/>
    <w:multiLevelType w:val="hybridMultilevel"/>
    <w:tmpl w:val="6C1493DE"/>
    <w:lvl w:ilvl="0" w:tplc="0FBAB56A">
      <w:start w:val="1"/>
      <w:numFmt w:val="decimal"/>
      <w:lvlText w:val="%1."/>
      <w:lvlJc w:val="left"/>
      <w:pPr>
        <w:ind w:left="1200" w:hanging="360"/>
      </w:pPr>
    </w:lvl>
    <w:lvl w:ilvl="1" w:tplc="1310998E">
      <w:start w:val="1"/>
      <w:numFmt w:val="decimal"/>
      <w:lvlText w:val="%2."/>
      <w:lvlJc w:val="left"/>
      <w:pPr>
        <w:ind w:left="1200" w:hanging="360"/>
      </w:pPr>
    </w:lvl>
    <w:lvl w:ilvl="2" w:tplc="86722594">
      <w:start w:val="1"/>
      <w:numFmt w:val="decimal"/>
      <w:lvlText w:val="%3."/>
      <w:lvlJc w:val="left"/>
      <w:pPr>
        <w:ind w:left="1200" w:hanging="360"/>
      </w:pPr>
    </w:lvl>
    <w:lvl w:ilvl="3" w:tplc="08945276">
      <w:start w:val="1"/>
      <w:numFmt w:val="decimal"/>
      <w:lvlText w:val="%4."/>
      <w:lvlJc w:val="left"/>
      <w:pPr>
        <w:ind w:left="1200" w:hanging="360"/>
      </w:pPr>
    </w:lvl>
    <w:lvl w:ilvl="4" w:tplc="F9E09796">
      <w:start w:val="1"/>
      <w:numFmt w:val="decimal"/>
      <w:lvlText w:val="%5."/>
      <w:lvlJc w:val="left"/>
      <w:pPr>
        <w:ind w:left="1200" w:hanging="360"/>
      </w:pPr>
    </w:lvl>
    <w:lvl w:ilvl="5" w:tplc="F2C88AA2">
      <w:start w:val="1"/>
      <w:numFmt w:val="decimal"/>
      <w:lvlText w:val="%6."/>
      <w:lvlJc w:val="left"/>
      <w:pPr>
        <w:ind w:left="1200" w:hanging="360"/>
      </w:pPr>
    </w:lvl>
    <w:lvl w:ilvl="6" w:tplc="06E82B94">
      <w:start w:val="1"/>
      <w:numFmt w:val="decimal"/>
      <w:lvlText w:val="%7."/>
      <w:lvlJc w:val="left"/>
      <w:pPr>
        <w:ind w:left="1200" w:hanging="360"/>
      </w:pPr>
    </w:lvl>
    <w:lvl w:ilvl="7" w:tplc="252EB4C4">
      <w:start w:val="1"/>
      <w:numFmt w:val="decimal"/>
      <w:lvlText w:val="%8."/>
      <w:lvlJc w:val="left"/>
      <w:pPr>
        <w:ind w:left="1200" w:hanging="360"/>
      </w:pPr>
    </w:lvl>
    <w:lvl w:ilvl="8" w:tplc="3C0E5A00">
      <w:start w:val="1"/>
      <w:numFmt w:val="decimal"/>
      <w:lvlText w:val="%9."/>
      <w:lvlJc w:val="left"/>
      <w:pPr>
        <w:ind w:left="1200" w:hanging="360"/>
      </w:pPr>
    </w:lvl>
  </w:abstractNum>
  <w:abstractNum w:abstractNumId="35" w15:restartNumberingAfterBreak="0">
    <w:nsid w:val="39E36B87"/>
    <w:multiLevelType w:val="hybridMultilevel"/>
    <w:tmpl w:val="D4507B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3A0873DA"/>
    <w:multiLevelType w:val="hybridMultilevel"/>
    <w:tmpl w:val="305455BC"/>
    <w:lvl w:ilvl="0" w:tplc="D0804734">
      <w:start w:val="1"/>
      <w:numFmt w:val="lowerLetter"/>
      <w:lvlText w:val="(%1)"/>
      <w:lvlJc w:val="left"/>
      <w:pPr>
        <w:ind w:left="785"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EF918D2"/>
    <w:multiLevelType w:val="hybridMultilevel"/>
    <w:tmpl w:val="FFFFFFFF"/>
    <w:lvl w:ilvl="0" w:tplc="7D64C6F8">
      <w:start w:val="1"/>
      <w:numFmt w:val="lowerLetter"/>
      <w:lvlText w:val="%1."/>
      <w:lvlJc w:val="left"/>
      <w:pPr>
        <w:ind w:left="1080" w:hanging="360"/>
      </w:pPr>
    </w:lvl>
    <w:lvl w:ilvl="1" w:tplc="9030FD10">
      <w:start w:val="1"/>
      <w:numFmt w:val="lowerLetter"/>
      <w:lvlText w:val="%2."/>
      <w:lvlJc w:val="left"/>
      <w:pPr>
        <w:ind w:left="1800" w:hanging="360"/>
      </w:pPr>
    </w:lvl>
    <w:lvl w:ilvl="2" w:tplc="19DA0048">
      <w:start w:val="1"/>
      <w:numFmt w:val="lowerRoman"/>
      <w:lvlText w:val="%3."/>
      <w:lvlJc w:val="right"/>
      <w:pPr>
        <w:ind w:left="2520" w:hanging="180"/>
      </w:pPr>
    </w:lvl>
    <w:lvl w:ilvl="3" w:tplc="0AEEACCE">
      <w:start w:val="1"/>
      <w:numFmt w:val="decimal"/>
      <w:lvlText w:val="%4."/>
      <w:lvlJc w:val="left"/>
      <w:pPr>
        <w:ind w:left="3240" w:hanging="360"/>
      </w:pPr>
    </w:lvl>
    <w:lvl w:ilvl="4" w:tplc="09FE9DB8">
      <w:start w:val="1"/>
      <w:numFmt w:val="lowerLetter"/>
      <w:lvlText w:val="%5."/>
      <w:lvlJc w:val="left"/>
      <w:pPr>
        <w:ind w:left="3960" w:hanging="360"/>
      </w:pPr>
    </w:lvl>
    <w:lvl w:ilvl="5" w:tplc="0AA0EB36">
      <w:start w:val="1"/>
      <w:numFmt w:val="lowerRoman"/>
      <w:lvlText w:val="%6."/>
      <w:lvlJc w:val="right"/>
      <w:pPr>
        <w:ind w:left="4680" w:hanging="180"/>
      </w:pPr>
    </w:lvl>
    <w:lvl w:ilvl="6" w:tplc="2F808F98">
      <w:start w:val="1"/>
      <w:numFmt w:val="decimal"/>
      <w:lvlText w:val="%7."/>
      <w:lvlJc w:val="left"/>
      <w:pPr>
        <w:ind w:left="5400" w:hanging="360"/>
      </w:pPr>
    </w:lvl>
    <w:lvl w:ilvl="7" w:tplc="5CA0CDB0">
      <w:start w:val="1"/>
      <w:numFmt w:val="lowerLetter"/>
      <w:lvlText w:val="%8."/>
      <w:lvlJc w:val="left"/>
      <w:pPr>
        <w:ind w:left="6120" w:hanging="360"/>
      </w:pPr>
    </w:lvl>
    <w:lvl w:ilvl="8" w:tplc="8DC679D0">
      <w:start w:val="1"/>
      <w:numFmt w:val="lowerRoman"/>
      <w:lvlText w:val="%9."/>
      <w:lvlJc w:val="right"/>
      <w:pPr>
        <w:ind w:left="6840" w:hanging="180"/>
      </w:pPr>
    </w:lvl>
  </w:abstractNum>
  <w:abstractNum w:abstractNumId="38" w15:restartNumberingAfterBreak="0">
    <w:nsid w:val="400A7B18"/>
    <w:multiLevelType w:val="multilevel"/>
    <w:tmpl w:val="2F7AC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32C32C9"/>
    <w:multiLevelType w:val="multilevel"/>
    <w:tmpl w:val="6136D4B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3B1786A"/>
    <w:multiLevelType w:val="hybridMultilevel"/>
    <w:tmpl w:val="0AA84568"/>
    <w:lvl w:ilvl="0" w:tplc="18090001">
      <w:start w:val="1"/>
      <w:numFmt w:val="bullet"/>
      <w:lvlText w:val=""/>
      <w:lvlJc w:val="left"/>
      <w:pPr>
        <w:ind w:left="720" w:hanging="360"/>
      </w:pPr>
      <w:rPr>
        <w:rFonts w:ascii="Symbol" w:hAnsi="Symbol" w:hint="default"/>
        <w:sz w:val="20"/>
        <w:szCs w:val="20"/>
      </w:rPr>
    </w:lvl>
    <w:lvl w:ilvl="1" w:tplc="260E68B2">
      <w:start w:val="1"/>
      <w:numFmt w:val="bullet"/>
      <w:lvlText w:val="o"/>
      <w:lvlJc w:val="left"/>
      <w:pPr>
        <w:ind w:left="1440" w:hanging="360"/>
      </w:pPr>
      <w:rPr>
        <w:rFonts w:ascii="Segoe UI Emoji" w:hAnsi="Segoe UI Emoji" w:hint="default"/>
      </w:rPr>
    </w:lvl>
    <w:lvl w:ilvl="2" w:tplc="E0024634">
      <w:start w:val="1"/>
      <w:numFmt w:val="bullet"/>
      <w:lvlText w:val=""/>
      <w:lvlJc w:val="left"/>
      <w:pPr>
        <w:ind w:left="2160" w:hanging="360"/>
      </w:pPr>
      <w:rPr>
        <w:rFonts w:ascii="@MS Mincho" w:hAnsi="@MS Mincho" w:hint="default"/>
      </w:rPr>
    </w:lvl>
    <w:lvl w:ilvl="3" w:tplc="92FC7814">
      <w:start w:val="1"/>
      <w:numFmt w:val="bullet"/>
      <w:lvlText w:val=""/>
      <w:lvlJc w:val="left"/>
      <w:pPr>
        <w:ind w:left="2880" w:hanging="360"/>
      </w:pPr>
      <w:rPr>
        <w:rFonts w:ascii="Times New Roman félkövér" w:hAnsi="Times New Roman félkövér" w:hint="default"/>
      </w:rPr>
    </w:lvl>
    <w:lvl w:ilvl="4" w:tplc="0D4A42B8">
      <w:start w:val="1"/>
      <w:numFmt w:val="bullet"/>
      <w:lvlText w:val="o"/>
      <w:lvlJc w:val="left"/>
      <w:pPr>
        <w:ind w:left="3600" w:hanging="360"/>
      </w:pPr>
      <w:rPr>
        <w:rFonts w:ascii="Segoe UI Emoji" w:hAnsi="Segoe UI Emoji" w:hint="default"/>
      </w:rPr>
    </w:lvl>
    <w:lvl w:ilvl="5" w:tplc="E1DAE3B8">
      <w:start w:val="1"/>
      <w:numFmt w:val="bullet"/>
      <w:lvlText w:val=""/>
      <w:lvlJc w:val="left"/>
      <w:pPr>
        <w:ind w:left="4320" w:hanging="360"/>
      </w:pPr>
      <w:rPr>
        <w:rFonts w:ascii="@MS Mincho" w:hAnsi="@MS Mincho" w:hint="default"/>
      </w:rPr>
    </w:lvl>
    <w:lvl w:ilvl="6" w:tplc="8DB4CBD2">
      <w:start w:val="1"/>
      <w:numFmt w:val="bullet"/>
      <w:lvlText w:val=""/>
      <w:lvlJc w:val="left"/>
      <w:pPr>
        <w:ind w:left="5040" w:hanging="360"/>
      </w:pPr>
      <w:rPr>
        <w:rFonts w:ascii="Times New Roman félkövér" w:hAnsi="Times New Roman félkövér" w:hint="default"/>
      </w:rPr>
    </w:lvl>
    <w:lvl w:ilvl="7" w:tplc="BDBA31D6">
      <w:start w:val="1"/>
      <w:numFmt w:val="bullet"/>
      <w:lvlText w:val="o"/>
      <w:lvlJc w:val="left"/>
      <w:pPr>
        <w:ind w:left="5760" w:hanging="360"/>
      </w:pPr>
      <w:rPr>
        <w:rFonts w:ascii="Segoe UI Emoji" w:hAnsi="Segoe UI Emoji" w:hint="default"/>
      </w:rPr>
    </w:lvl>
    <w:lvl w:ilvl="8" w:tplc="270C7E80">
      <w:start w:val="1"/>
      <w:numFmt w:val="bullet"/>
      <w:lvlText w:val=""/>
      <w:lvlJc w:val="left"/>
      <w:pPr>
        <w:ind w:left="6480" w:hanging="360"/>
      </w:pPr>
      <w:rPr>
        <w:rFonts w:ascii="@MS Mincho" w:hAnsi="@MS Mincho" w:hint="default"/>
      </w:r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56A440E"/>
    <w:multiLevelType w:val="hybridMultilevel"/>
    <w:tmpl w:val="193469B6"/>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477D5B"/>
    <w:multiLevelType w:val="hybridMultilevel"/>
    <w:tmpl w:val="A41A242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9226C26"/>
    <w:multiLevelType w:val="hybridMultilevel"/>
    <w:tmpl w:val="517085E8"/>
    <w:lvl w:ilvl="0" w:tplc="18090019">
      <w:start w:val="1"/>
      <w:numFmt w:val="lowerLetter"/>
      <w:lvlText w:val="%1."/>
      <w:lvlJc w:val="left"/>
      <w:pPr>
        <w:ind w:left="1196" w:hanging="360"/>
      </w:p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47" w15:restartNumberingAfterBreak="0">
    <w:nsid w:val="4A5F6CC3"/>
    <w:multiLevelType w:val="hybridMultilevel"/>
    <w:tmpl w:val="AD46D4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A7325BB"/>
    <w:multiLevelType w:val="hybridMultilevel"/>
    <w:tmpl w:val="FFFFFFFF"/>
    <w:lvl w:ilvl="0" w:tplc="873A4484">
      <w:start w:val="1"/>
      <w:numFmt w:val="lowerLetter"/>
      <w:lvlText w:val="%1."/>
      <w:lvlJc w:val="left"/>
      <w:pPr>
        <w:ind w:left="1313" w:hanging="360"/>
      </w:pPr>
    </w:lvl>
    <w:lvl w:ilvl="1" w:tplc="05AE4992">
      <w:start w:val="1"/>
      <w:numFmt w:val="lowerLetter"/>
      <w:lvlText w:val="%2."/>
      <w:lvlJc w:val="left"/>
      <w:pPr>
        <w:ind w:left="2033" w:hanging="360"/>
      </w:pPr>
    </w:lvl>
    <w:lvl w:ilvl="2" w:tplc="C22ED4FA">
      <w:start w:val="1"/>
      <w:numFmt w:val="lowerRoman"/>
      <w:lvlText w:val="%3."/>
      <w:lvlJc w:val="right"/>
      <w:pPr>
        <w:ind w:left="2753" w:hanging="180"/>
      </w:pPr>
    </w:lvl>
    <w:lvl w:ilvl="3" w:tplc="083C1FAC">
      <w:start w:val="1"/>
      <w:numFmt w:val="decimal"/>
      <w:lvlText w:val="%4."/>
      <w:lvlJc w:val="left"/>
      <w:pPr>
        <w:ind w:left="3473" w:hanging="360"/>
      </w:pPr>
    </w:lvl>
    <w:lvl w:ilvl="4" w:tplc="60842830">
      <w:start w:val="1"/>
      <w:numFmt w:val="lowerLetter"/>
      <w:lvlText w:val="%5."/>
      <w:lvlJc w:val="left"/>
      <w:pPr>
        <w:ind w:left="4193" w:hanging="360"/>
      </w:pPr>
    </w:lvl>
    <w:lvl w:ilvl="5" w:tplc="02B66CD6">
      <w:start w:val="1"/>
      <w:numFmt w:val="lowerRoman"/>
      <w:lvlText w:val="%6."/>
      <w:lvlJc w:val="right"/>
      <w:pPr>
        <w:ind w:left="4913" w:hanging="180"/>
      </w:pPr>
    </w:lvl>
    <w:lvl w:ilvl="6" w:tplc="CA2A2464">
      <w:start w:val="1"/>
      <w:numFmt w:val="decimal"/>
      <w:lvlText w:val="%7."/>
      <w:lvlJc w:val="left"/>
      <w:pPr>
        <w:ind w:left="5633" w:hanging="360"/>
      </w:pPr>
    </w:lvl>
    <w:lvl w:ilvl="7" w:tplc="6408EDDC">
      <w:start w:val="1"/>
      <w:numFmt w:val="lowerLetter"/>
      <w:lvlText w:val="%8."/>
      <w:lvlJc w:val="left"/>
      <w:pPr>
        <w:ind w:left="6353" w:hanging="360"/>
      </w:pPr>
    </w:lvl>
    <w:lvl w:ilvl="8" w:tplc="CAC80D6E">
      <w:start w:val="1"/>
      <w:numFmt w:val="lowerRoman"/>
      <w:lvlText w:val="%9."/>
      <w:lvlJc w:val="right"/>
      <w:pPr>
        <w:ind w:left="7073" w:hanging="180"/>
      </w:pPr>
    </w:lvl>
  </w:abstractNum>
  <w:abstractNum w:abstractNumId="49" w15:restartNumberingAfterBreak="0">
    <w:nsid w:val="4B1B1BD9"/>
    <w:multiLevelType w:val="hybridMultilevel"/>
    <w:tmpl w:val="30E29848"/>
    <w:lvl w:ilvl="0" w:tplc="B8D40F1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BE97960"/>
    <w:multiLevelType w:val="hybridMultilevel"/>
    <w:tmpl w:val="997834F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1" w15:restartNumberingAfterBreak="0">
    <w:nsid w:val="4D5F0748"/>
    <w:multiLevelType w:val="hybridMultilevel"/>
    <w:tmpl w:val="FB94E9E2"/>
    <w:lvl w:ilvl="0" w:tplc="242E50E8">
      <w:start w:val="1"/>
      <w:numFmt w:val="lowerRoman"/>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4FEB3B66"/>
    <w:multiLevelType w:val="hybridMultilevel"/>
    <w:tmpl w:val="F1585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4" w15:restartNumberingAfterBreak="0">
    <w:nsid w:val="55722B6B"/>
    <w:multiLevelType w:val="hybridMultilevel"/>
    <w:tmpl w:val="B8C4C9B2"/>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6" w15:restartNumberingAfterBreak="0">
    <w:nsid w:val="5BD3FE46"/>
    <w:multiLevelType w:val="hybridMultilevel"/>
    <w:tmpl w:val="FFFFFFFF"/>
    <w:lvl w:ilvl="0" w:tplc="FD3816B4">
      <w:start w:val="1"/>
      <w:numFmt w:val="lowerRoman"/>
      <w:lvlText w:val="%1)"/>
      <w:lvlJc w:val="left"/>
      <w:pPr>
        <w:ind w:left="720" w:hanging="360"/>
      </w:pPr>
    </w:lvl>
    <w:lvl w:ilvl="1" w:tplc="600E5A82">
      <w:start w:val="1"/>
      <w:numFmt w:val="lowerLetter"/>
      <w:lvlText w:val="%2."/>
      <w:lvlJc w:val="left"/>
      <w:pPr>
        <w:ind w:left="1440" w:hanging="360"/>
      </w:pPr>
    </w:lvl>
    <w:lvl w:ilvl="2" w:tplc="896C8938">
      <w:start w:val="1"/>
      <w:numFmt w:val="lowerRoman"/>
      <w:lvlText w:val="%3."/>
      <w:lvlJc w:val="right"/>
      <w:pPr>
        <w:ind w:left="2160" w:hanging="180"/>
      </w:pPr>
    </w:lvl>
    <w:lvl w:ilvl="3" w:tplc="9AEA80FC">
      <w:start w:val="1"/>
      <w:numFmt w:val="decimal"/>
      <w:lvlText w:val="%4."/>
      <w:lvlJc w:val="left"/>
      <w:pPr>
        <w:ind w:left="2880" w:hanging="360"/>
      </w:pPr>
    </w:lvl>
    <w:lvl w:ilvl="4" w:tplc="B0DA11AA">
      <w:start w:val="1"/>
      <w:numFmt w:val="lowerLetter"/>
      <w:lvlText w:val="%5."/>
      <w:lvlJc w:val="left"/>
      <w:pPr>
        <w:ind w:left="3600" w:hanging="360"/>
      </w:pPr>
    </w:lvl>
    <w:lvl w:ilvl="5" w:tplc="2C065068">
      <w:start w:val="1"/>
      <w:numFmt w:val="lowerRoman"/>
      <w:lvlText w:val="%6."/>
      <w:lvlJc w:val="right"/>
      <w:pPr>
        <w:ind w:left="4320" w:hanging="180"/>
      </w:pPr>
    </w:lvl>
    <w:lvl w:ilvl="6" w:tplc="F5F0A922">
      <w:start w:val="1"/>
      <w:numFmt w:val="decimal"/>
      <w:lvlText w:val="%7."/>
      <w:lvlJc w:val="left"/>
      <w:pPr>
        <w:ind w:left="5040" w:hanging="360"/>
      </w:pPr>
    </w:lvl>
    <w:lvl w:ilvl="7" w:tplc="F8E04904">
      <w:start w:val="1"/>
      <w:numFmt w:val="lowerLetter"/>
      <w:lvlText w:val="%8."/>
      <w:lvlJc w:val="left"/>
      <w:pPr>
        <w:ind w:left="5760" w:hanging="360"/>
      </w:pPr>
    </w:lvl>
    <w:lvl w:ilvl="8" w:tplc="A4AA8DEE">
      <w:start w:val="1"/>
      <w:numFmt w:val="lowerRoman"/>
      <w:lvlText w:val="%9."/>
      <w:lvlJc w:val="right"/>
      <w:pPr>
        <w:ind w:left="6480" w:hanging="180"/>
      </w:pPr>
    </w:lvl>
  </w:abstractNum>
  <w:abstractNum w:abstractNumId="5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8" w15:restartNumberingAfterBreak="0">
    <w:nsid w:val="5C2B15B5"/>
    <w:multiLevelType w:val="hybridMultilevel"/>
    <w:tmpl w:val="D7124D0C"/>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5F481382"/>
    <w:multiLevelType w:val="hybridMultilevel"/>
    <w:tmpl w:val="1630AF0A"/>
    <w:lvl w:ilvl="0" w:tplc="8B026816">
      <w:start w:val="1"/>
      <w:numFmt w:val="decimal"/>
      <w:lvlText w:val="%1)"/>
      <w:lvlJc w:val="left"/>
      <w:pPr>
        <w:ind w:left="1020" w:hanging="360"/>
      </w:pPr>
    </w:lvl>
    <w:lvl w:ilvl="1" w:tplc="A5B476BE">
      <w:start w:val="1"/>
      <w:numFmt w:val="decimal"/>
      <w:lvlText w:val="%2)"/>
      <w:lvlJc w:val="left"/>
      <w:pPr>
        <w:ind w:left="1020" w:hanging="360"/>
      </w:pPr>
    </w:lvl>
    <w:lvl w:ilvl="2" w:tplc="D24892A8">
      <w:start w:val="1"/>
      <w:numFmt w:val="decimal"/>
      <w:lvlText w:val="%3)"/>
      <w:lvlJc w:val="left"/>
      <w:pPr>
        <w:ind w:left="1020" w:hanging="360"/>
      </w:pPr>
    </w:lvl>
    <w:lvl w:ilvl="3" w:tplc="DE2E0590">
      <w:start w:val="1"/>
      <w:numFmt w:val="decimal"/>
      <w:lvlText w:val="%4)"/>
      <w:lvlJc w:val="left"/>
      <w:pPr>
        <w:ind w:left="1020" w:hanging="360"/>
      </w:pPr>
    </w:lvl>
    <w:lvl w:ilvl="4" w:tplc="CE5ADBE2">
      <w:start w:val="1"/>
      <w:numFmt w:val="decimal"/>
      <w:lvlText w:val="%5)"/>
      <w:lvlJc w:val="left"/>
      <w:pPr>
        <w:ind w:left="1020" w:hanging="360"/>
      </w:pPr>
    </w:lvl>
    <w:lvl w:ilvl="5" w:tplc="29C85434">
      <w:start w:val="1"/>
      <w:numFmt w:val="decimal"/>
      <w:lvlText w:val="%6)"/>
      <w:lvlJc w:val="left"/>
      <w:pPr>
        <w:ind w:left="1020" w:hanging="360"/>
      </w:pPr>
    </w:lvl>
    <w:lvl w:ilvl="6" w:tplc="D4FC5058">
      <w:start w:val="1"/>
      <w:numFmt w:val="decimal"/>
      <w:lvlText w:val="%7)"/>
      <w:lvlJc w:val="left"/>
      <w:pPr>
        <w:ind w:left="1020" w:hanging="360"/>
      </w:pPr>
    </w:lvl>
    <w:lvl w:ilvl="7" w:tplc="BBFE8C04">
      <w:start w:val="1"/>
      <w:numFmt w:val="decimal"/>
      <w:lvlText w:val="%8)"/>
      <w:lvlJc w:val="left"/>
      <w:pPr>
        <w:ind w:left="1020" w:hanging="360"/>
      </w:pPr>
    </w:lvl>
    <w:lvl w:ilvl="8" w:tplc="157A4154">
      <w:start w:val="1"/>
      <w:numFmt w:val="decimal"/>
      <w:lvlText w:val="%9)"/>
      <w:lvlJc w:val="left"/>
      <w:pPr>
        <w:ind w:left="1020" w:hanging="360"/>
      </w:pPr>
    </w:lvl>
  </w:abstractNum>
  <w:abstractNum w:abstractNumId="61" w15:restartNumberingAfterBreak="0">
    <w:nsid w:val="607A7908"/>
    <w:multiLevelType w:val="hybridMultilevel"/>
    <w:tmpl w:val="30988D7A"/>
    <w:lvl w:ilvl="0" w:tplc="FFFFFFFF">
      <w:start w:val="1"/>
      <w:numFmt w:val="lowerLetter"/>
      <w:lvlText w:val="%1)"/>
      <w:lvlJc w:val="left"/>
      <w:pPr>
        <w:ind w:left="1196" w:hanging="360"/>
      </w:pPr>
      <w:rPr>
        <w:b w:val="0"/>
        <w:bCs/>
      </w:r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62" w15:restartNumberingAfterBreak="0">
    <w:nsid w:val="647B00E9"/>
    <w:multiLevelType w:val="hybridMultilevel"/>
    <w:tmpl w:val="4E965456"/>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74E5F2B"/>
    <w:multiLevelType w:val="hybridMultilevel"/>
    <w:tmpl w:val="A07C5026"/>
    <w:lvl w:ilvl="0" w:tplc="1430B29A">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5" w15:restartNumberingAfterBreak="0">
    <w:nsid w:val="693606FA"/>
    <w:multiLevelType w:val="hybridMultilevel"/>
    <w:tmpl w:val="8D6280A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9B46E49"/>
    <w:multiLevelType w:val="hybridMultilevel"/>
    <w:tmpl w:val="71CE6D68"/>
    <w:lvl w:ilvl="0" w:tplc="991C3E1E">
      <w:start w:val="1"/>
      <w:numFmt w:val="bullet"/>
      <w:lvlText w:val="-"/>
      <w:lvlJc w:val="left"/>
      <w:pPr>
        <w:ind w:left="776" w:hanging="360"/>
      </w:pPr>
      <w:rPr>
        <w:rFonts w:ascii="Calibri" w:hAnsi="Calibri"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7" w15:restartNumberingAfterBreak="0">
    <w:nsid w:val="6B65415B"/>
    <w:multiLevelType w:val="hybridMultilevel"/>
    <w:tmpl w:val="E76CD6BE"/>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BA97145"/>
    <w:multiLevelType w:val="hybridMultilevel"/>
    <w:tmpl w:val="4A84F69C"/>
    <w:lvl w:ilvl="0" w:tplc="B8D40F1C">
      <w:start w:val="1"/>
      <w:numFmt w:val="bullet"/>
      <w:lvlText w:val="-"/>
      <w:lvlJc w:val="left"/>
      <w:pPr>
        <w:ind w:left="1080" w:hanging="72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E050C4A"/>
    <w:multiLevelType w:val="hybridMultilevel"/>
    <w:tmpl w:val="505EAFF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E5E64AD"/>
    <w:multiLevelType w:val="hybridMultilevel"/>
    <w:tmpl w:val="300A349C"/>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E645108"/>
    <w:multiLevelType w:val="hybridMultilevel"/>
    <w:tmpl w:val="A614D48A"/>
    <w:lvl w:ilvl="0" w:tplc="145C56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0E25F6D"/>
    <w:multiLevelType w:val="hybridMultilevel"/>
    <w:tmpl w:val="CF547BF8"/>
    <w:lvl w:ilvl="0" w:tplc="3C5A9FC0">
      <w:start w:val="1"/>
      <w:numFmt w:val="lowerLetter"/>
      <w:lvlText w:val="%1)"/>
      <w:lvlJc w:val="left"/>
      <w:pPr>
        <w:ind w:left="1196" w:hanging="360"/>
      </w:pPr>
      <w:rPr>
        <w:b w:val="0"/>
        <w:bCs/>
      </w:r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73" w15:restartNumberingAfterBreak="0">
    <w:nsid w:val="716F049A"/>
    <w:multiLevelType w:val="hybridMultilevel"/>
    <w:tmpl w:val="37E82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18268E0"/>
    <w:multiLevelType w:val="hybridMultilevel"/>
    <w:tmpl w:val="E15871AA"/>
    <w:lvl w:ilvl="0" w:tplc="C4882BF6">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1F9394D"/>
    <w:multiLevelType w:val="hybridMultilevel"/>
    <w:tmpl w:val="F4FAAC7A"/>
    <w:lvl w:ilvl="0" w:tplc="38440478">
      <w:start w:val="1"/>
      <w:numFmt w:val="decimal"/>
      <w:lvlText w:val="%1."/>
      <w:lvlJc w:val="left"/>
      <w:pPr>
        <w:ind w:left="1020" w:hanging="360"/>
      </w:pPr>
    </w:lvl>
    <w:lvl w:ilvl="1" w:tplc="D12C0C5E">
      <w:start w:val="1"/>
      <w:numFmt w:val="decimal"/>
      <w:lvlText w:val="%2."/>
      <w:lvlJc w:val="left"/>
      <w:pPr>
        <w:ind w:left="1020" w:hanging="360"/>
      </w:pPr>
    </w:lvl>
    <w:lvl w:ilvl="2" w:tplc="EB04BA36">
      <w:start w:val="1"/>
      <w:numFmt w:val="decimal"/>
      <w:lvlText w:val="%3."/>
      <w:lvlJc w:val="left"/>
      <w:pPr>
        <w:ind w:left="1020" w:hanging="360"/>
      </w:pPr>
    </w:lvl>
    <w:lvl w:ilvl="3" w:tplc="18827828">
      <w:start w:val="1"/>
      <w:numFmt w:val="decimal"/>
      <w:lvlText w:val="%4."/>
      <w:lvlJc w:val="left"/>
      <w:pPr>
        <w:ind w:left="1020" w:hanging="360"/>
      </w:pPr>
    </w:lvl>
    <w:lvl w:ilvl="4" w:tplc="2E02544E">
      <w:start w:val="1"/>
      <w:numFmt w:val="decimal"/>
      <w:lvlText w:val="%5."/>
      <w:lvlJc w:val="left"/>
      <w:pPr>
        <w:ind w:left="1020" w:hanging="360"/>
      </w:pPr>
    </w:lvl>
    <w:lvl w:ilvl="5" w:tplc="C5A83620">
      <w:start w:val="1"/>
      <w:numFmt w:val="decimal"/>
      <w:lvlText w:val="%6."/>
      <w:lvlJc w:val="left"/>
      <w:pPr>
        <w:ind w:left="1020" w:hanging="360"/>
      </w:pPr>
    </w:lvl>
    <w:lvl w:ilvl="6" w:tplc="F87A0A2E">
      <w:start w:val="1"/>
      <w:numFmt w:val="decimal"/>
      <w:lvlText w:val="%7."/>
      <w:lvlJc w:val="left"/>
      <w:pPr>
        <w:ind w:left="1020" w:hanging="360"/>
      </w:pPr>
    </w:lvl>
    <w:lvl w:ilvl="7" w:tplc="CC4E677E">
      <w:start w:val="1"/>
      <w:numFmt w:val="decimal"/>
      <w:lvlText w:val="%8."/>
      <w:lvlJc w:val="left"/>
      <w:pPr>
        <w:ind w:left="1020" w:hanging="360"/>
      </w:pPr>
    </w:lvl>
    <w:lvl w:ilvl="8" w:tplc="B7DE5932">
      <w:start w:val="1"/>
      <w:numFmt w:val="decimal"/>
      <w:lvlText w:val="%9."/>
      <w:lvlJc w:val="left"/>
      <w:pPr>
        <w:ind w:left="1020" w:hanging="360"/>
      </w:pPr>
    </w:lvl>
  </w:abstractNum>
  <w:abstractNum w:abstractNumId="76" w15:restartNumberingAfterBreak="0">
    <w:nsid w:val="7254479E"/>
    <w:multiLevelType w:val="hybridMultilevel"/>
    <w:tmpl w:val="33663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2770BB9"/>
    <w:multiLevelType w:val="hybridMultilevel"/>
    <w:tmpl w:val="B61263DC"/>
    <w:lvl w:ilvl="0" w:tplc="CDB2D0AC">
      <w:start w:val="1"/>
      <w:numFmt w:val="lowerRoman"/>
      <w:lvlText w:val="%1)"/>
      <w:lvlJc w:val="left"/>
      <w:pPr>
        <w:ind w:left="720" w:hanging="360"/>
      </w:pPr>
      <w:rPr>
        <w:rFont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8"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9" w15:restartNumberingAfterBreak="0">
    <w:nsid w:val="775F47F8"/>
    <w:multiLevelType w:val="hybridMultilevel"/>
    <w:tmpl w:val="6E3A0784"/>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0" w15:restartNumberingAfterBreak="0">
    <w:nsid w:val="77B65399"/>
    <w:multiLevelType w:val="hybridMultilevel"/>
    <w:tmpl w:val="946EC61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78262A7E"/>
    <w:multiLevelType w:val="hybridMultilevel"/>
    <w:tmpl w:val="9CA2A382"/>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9"/>
  </w:num>
  <w:num w:numId="2">
    <w:abstractNumId w:val="39"/>
  </w:num>
  <w:num w:numId="3">
    <w:abstractNumId w:val="64"/>
  </w:num>
  <w:num w:numId="4">
    <w:abstractNumId w:val="27"/>
  </w:num>
  <w:num w:numId="5">
    <w:abstractNumId w:val="40"/>
  </w:num>
  <w:num w:numId="6">
    <w:abstractNumId w:val="19"/>
  </w:num>
  <w:num w:numId="7">
    <w:abstractNumId w:val="16"/>
  </w:num>
  <w:num w:numId="8">
    <w:abstractNumId w:val="43"/>
  </w:num>
  <w:num w:numId="9">
    <w:abstractNumId w:val="55"/>
  </w:num>
  <w:num w:numId="10">
    <w:abstractNumId w:val="57"/>
  </w:num>
  <w:num w:numId="11">
    <w:abstractNumId w:val="26"/>
  </w:num>
  <w:num w:numId="12">
    <w:abstractNumId w:val="53"/>
  </w:num>
  <w:num w:numId="13">
    <w:abstractNumId w:val="82"/>
  </w:num>
  <w:num w:numId="14">
    <w:abstractNumId w:val="3"/>
  </w:num>
  <w:num w:numId="15">
    <w:abstractNumId w:val="2"/>
  </w:num>
  <w:num w:numId="16">
    <w:abstractNumId w:val="1"/>
  </w:num>
  <w:num w:numId="17">
    <w:abstractNumId w:val="0"/>
  </w:num>
  <w:num w:numId="18">
    <w:abstractNumId w:val="69"/>
  </w:num>
  <w:num w:numId="19">
    <w:abstractNumId w:val="51"/>
  </w:num>
  <w:num w:numId="20">
    <w:abstractNumId w:val="68"/>
  </w:num>
  <w:num w:numId="21">
    <w:abstractNumId w:val="49"/>
  </w:num>
  <w:num w:numId="22">
    <w:abstractNumId w:val="6"/>
  </w:num>
  <w:num w:numId="23">
    <w:abstractNumId w:val="73"/>
  </w:num>
  <w:num w:numId="24">
    <w:abstractNumId w:val="35"/>
  </w:num>
  <w:num w:numId="25">
    <w:abstractNumId w:val="46"/>
  </w:num>
  <w:num w:numId="26">
    <w:abstractNumId w:val="8"/>
  </w:num>
  <w:num w:numId="27">
    <w:abstractNumId w:val="30"/>
  </w:num>
  <w:num w:numId="28">
    <w:abstractNumId w:val="29"/>
  </w:num>
  <w:num w:numId="29">
    <w:abstractNumId w:val="72"/>
  </w:num>
  <w:num w:numId="30">
    <w:abstractNumId w:val="61"/>
  </w:num>
  <w:num w:numId="31">
    <w:abstractNumId w:val="20"/>
  </w:num>
  <w:num w:numId="32">
    <w:abstractNumId w:val="5"/>
  </w:num>
  <w:num w:numId="33">
    <w:abstractNumId w:val="81"/>
  </w:num>
  <w:num w:numId="34">
    <w:abstractNumId w:val="7"/>
  </w:num>
  <w:num w:numId="35">
    <w:abstractNumId w:val="79"/>
  </w:num>
  <w:num w:numId="36">
    <w:abstractNumId w:val="77"/>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63"/>
  </w:num>
  <w:num w:numId="40">
    <w:abstractNumId w:val="18"/>
  </w:num>
  <w:num w:numId="41">
    <w:abstractNumId w:val="62"/>
  </w:num>
  <w:num w:numId="42">
    <w:abstractNumId w:val="33"/>
  </w:num>
  <w:num w:numId="43">
    <w:abstractNumId w:val="45"/>
  </w:num>
  <w:num w:numId="44">
    <w:abstractNumId w:val="80"/>
  </w:num>
  <w:num w:numId="45">
    <w:abstractNumId w:val="15"/>
  </w:num>
  <w:num w:numId="46">
    <w:abstractNumId w:val="14"/>
  </w:num>
  <w:num w:numId="47">
    <w:abstractNumId w:val="44"/>
  </w:num>
  <w:num w:numId="48">
    <w:abstractNumId w:val="70"/>
  </w:num>
  <w:num w:numId="49">
    <w:abstractNumId w:val="11"/>
  </w:num>
  <w:num w:numId="50">
    <w:abstractNumId w:val="74"/>
  </w:num>
  <w:num w:numId="51">
    <w:abstractNumId w:val="23"/>
  </w:num>
  <w:num w:numId="52">
    <w:abstractNumId w:val="4"/>
  </w:num>
  <w:num w:numId="53">
    <w:abstractNumId w:val="66"/>
  </w:num>
  <w:num w:numId="54">
    <w:abstractNumId w:val="54"/>
  </w:num>
  <w:num w:numId="55">
    <w:abstractNumId w:val="58"/>
  </w:num>
  <w:num w:numId="56">
    <w:abstractNumId w:val="36"/>
  </w:num>
  <w:num w:numId="57">
    <w:abstractNumId w:val="65"/>
  </w:num>
  <w:num w:numId="58">
    <w:abstractNumId w:val="21"/>
  </w:num>
  <w:num w:numId="59">
    <w:abstractNumId w:val="10"/>
  </w:num>
  <w:num w:numId="60">
    <w:abstractNumId w:val="24"/>
  </w:num>
  <w:num w:numId="61">
    <w:abstractNumId w:val="22"/>
  </w:num>
  <w:num w:numId="62">
    <w:abstractNumId w:val="42"/>
  </w:num>
  <w:num w:numId="63">
    <w:abstractNumId w:val="28"/>
  </w:num>
  <w:num w:numId="64">
    <w:abstractNumId w:val="37"/>
  </w:num>
  <w:num w:numId="65">
    <w:abstractNumId w:val="50"/>
  </w:num>
  <w:num w:numId="66">
    <w:abstractNumId w:val="71"/>
  </w:num>
  <w:num w:numId="67">
    <w:abstractNumId w:val="25"/>
  </w:num>
  <w:num w:numId="68">
    <w:abstractNumId w:val="48"/>
  </w:num>
  <w:num w:numId="69">
    <w:abstractNumId w:val="12"/>
  </w:num>
  <w:num w:numId="70">
    <w:abstractNumId w:val="78"/>
  </w:num>
  <w:num w:numId="71">
    <w:abstractNumId w:val="38"/>
  </w:num>
  <w:num w:numId="72">
    <w:abstractNumId w:val="41"/>
  </w:num>
  <w:num w:numId="73">
    <w:abstractNumId w:val="13"/>
  </w:num>
  <w:num w:numId="74">
    <w:abstractNumId w:val="67"/>
  </w:num>
  <w:num w:numId="75">
    <w:abstractNumId w:val="75"/>
  </w:num>
  <w:num w:numId="76">
    <w:abstractNumId w:val="47"/>
  </w:num>
  <w:num w:numId="77">
    <w:abstractNumId w:val="56"/>
  </w:num>
  <w:num w:numId="78">
    <w:abstractNumId w:val="52"/>
  </w:num>
  <w:num w:numId="79">
    <w:abstractNumId w:val="60"/>
  </w:num>
  <w:num w:numId="80">
    <w:abstractNumId w:val="17"/>
  </w:num>
  <w:num w:numId="81">
    <w:abstractNumId w:val="76"/>
  </w:num>
  <w:num w:numId="82">
    <w:abstractNumId w:val="32"/>
  </w:num>
  <w:num w:numId="83">
    <w:abstractNumId w:val="3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248ECE92-AA80-484B-A61A-CA032EC9760C"/>
    <w:docVar w:name="LW_COVERPAGE_TYPE" w:val="1"/>
    <w:docVar w:name="LW_CROSSREFERENCE" w:val="{SWD(2026) 132 final}"/>
    <w:docVar w:name="LW_DocType" w:val="NORMAL"/>
    <w:docVar w:name="LW_EMISSION" w:val="18.5.2026"/>
    <w:docVar w:name="LW_EMISSION_ISODATE" w:val="2026-05-1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e Portugal"/>
    <w:docVar w:name="LW_PART_NBR" w:val="1"/>
    <w:docVar w:name="LW_PART_NBR_TOTAL" w:val="1"/>
    <w:docVar w:name="LW_REF.INST.NEW" w:val="COM"/>
    <w:docVar w:name="LW_REF.INST.NEW_ADOPTED" w:val="final"/>
    <w:docVar w:name="LW_REF.INST.NEW_TEXT" w:val="(2026) 2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C95E00"/>
    <w:rsid w:val="00000507"/>
    <w:rsid w:val="00000526"/>
    <w:rsid w:val="000008B5"/>
    <w:rsid w:val="000009C3"/>
    <w:rsid w:val="00000A74"/>
    <w:rsid w:val="00000B92"/>
    <w:rsid w:val="00000BBC"/>
    <w:rsid w:val="00000E9F"/>
    <w:rsid w:val="00000EF4"/>
    <w:rsid w:val="000011E6"/>
    <w:rsid w:val="00001489"/>
    <w:rsid w:val="000015EE"/>
    <w:rsid w:val="00001BFF"/>
    <w:rsid w:val="0000229B"/>
    <w:rsid w:val="00002C8D"/>
    <w:rsid w:val="00002CAE"/>
    <w:rsid w:val="00002D8F"/>
    <w:rsid w:val="00002E52"/>
    <w:rsid w:val="00002FB0"/>
    <w:rsid w:val="00003001"/>
    <w:rsid w:val="0000304C"/>
    <w:rsid w:val="000030FA"/>
    <w:rsid w:val="000032C7"/>
    <w:rsid w:val="00003328"/>
    <w:rsid w:val="000034CA"/>
    <w:rsid w:val="00003A12"/>
    <w:rsid w:val="00003AB7"/>
    <w:rsid w:val="00003F39"/>
    <w:rsid w:val="0000414B"/>
    <w:rsid w:val="00004327"/>
    <w:rsid w:val="0000441D"/>
    <w:rsid w:val="0000478D"/>
    <w:rsid w:val="00004794"/>
    <w:rsid w:val="0000495F"/>
    <w:rsid w:val="00004A42"/>
    <w:rsid w:val="00004B7E"/>
    <w:rsid w:val="00004C2D"/>
    <w:rsid w:val="000050CB"/>
    <w:rsid w:val="000053FD"/>
    <w:rsid w:val="00005974"/>
    <w:rsid w:val="000059B3"/>
    <w:rsid w:val="00005B43"/>
    <w:rsid w:val="00005E0D"/>
    <w:rsid w:val="0000661B"/>
    <w:rsid w:val="000069A4"/>
    <w:rsid w:val="00006A82"/>
    <w:rsid w:val="00006C89"/>
    <w:rsid w:val="00006CC6"/>
    <w:rsid w:val="00006CD8"/>
    <w:rsid w:val="00006FF1"/>
    <w:rsid w:val="00007370"/>
    <w:rsid w:val="00007432"/>
    <w:rsid w:val="00007919"/>
    <w:rsid w:val="00007EE2"/>
    <w:rsid w:val="000100A1"/>
    <w:rsid w:val="00010256"/>
    <w:rsid w:val="0001029A"/>
    <w:rsid w:val="000106C6"/>
    <w:rsid w:val="000108A8"/>
    <w:rsid w:val="00010B3F"/>
    <w:rsid w:val="00010D56"/>
    <w:rsid w:val="00010E3B"/>
    <w:rsid w:val="00010ED6"/>
    <w:rsid w:val="0001124A"/>
    <w:rsid w:val="000112AC"/>
    <w:rsid w:val="0001143A"/>
    <w:rsid w:val="0001170B"/>
    <w:rsid w:val="000117D0"/>
    <w:rsid w:val="000119E8"/>
    <w:rsid w:val="00011AF4"/>
    <w:rsid w:val="00011B19"/>
    <w:rsid w:val="0001209F"/>
    <w:rsid w:val="00012384"/>
    <w:rsid w:val="000123D5"/>
    <w:rsid w:val="00012598"/>
    <w:rsid w:val="000125EB"/>
    <w:rsid w:val="000126EE"/>
    <w:rsid w:val="00012751"/>
    <w:rsid w:val="00012A65"/>
    <w:rsid w:val="00012E37"/>
    <w:rsid w:val="000132C9"/>
    <w:rsid w:val="000132ED"/>
    <w:rsid w:val="00013F9E"/>
    <w:rsid w:val="0001420B"/>
    <w:rsid w:val="0001422C"/>
    <w:rsid w:val="00014387"/>
    <w:rsid w:val="000146C4"/>
    <w:rsid w:val="00014E35"/>
    <w:rsid w:val="00014EEA"/>
    <w:rsid w:val="00014F4C"/>
    <w:rsid w:val="000151A8"/>
    <w:rsid w:val="000152FA"/>
    <w:rsid w:val="00015797"/>
    <w:rsid w:val="00015A4B"/>
    <w:rsid w:val="00015F83"/>
    <w:rsid w:val="0001661A"/>
    <w:rsid w:val="000167E3"/>
    <w:rsid w:val="00016A2C"/>
    <w:rsid w:val="00016D85"/>
    <w:rsid w:val="000174E4"/>
    <w:rsid w:val="0001751C"/>
    <w:rsid w:val="0001768B"/>
    <w:rsid w:val="000177CC"/>
    <w:rsid w:val="0002009B"/>
    <w:rsid w:val="000200E2"/>
    <w:rsid w:val="0002034E"/>
    <w:rsid w:val="000204F8"/>
    <w:rsid w:val="00020693"/>
    <w:rsid w:val="00020979"/>
    <w:rsid w:val="000209F7"/>
    <w:rsid w:val="00020B8B"/>
    <w:rsid w:val="00020DB0"/>
    <w:rsid w:val="00020FB4"/>
    <w:rsid w:val="00021659"/>
    <w:rsid w:val="00021677"/>
    <w:rsid w:val="0002181C"/>
    <w:rsid w:val="00021946"/>
    <w:rsid w:val="00021B7D"/>
    <w:rsid w:val="00021F3D"/>
    <w:rsid w:val="00021F53"/>
    <w:rsid w:val="000220A4"/>
    <w:rsid w:val="000220A6"/>
    <w:rsid w:val="000224C0"/>
    <w:rsid w:val="0002255C"/>
    <w:rsid w:val="000225F5"/>
    <w:rsid w:val="00022882"/>
    <w:rsid w:val="000228B3"/>
    <w:rsid w:val="0002293C"/>
    <w:rsid w:val="00022FAD"/>
    <w:rsid w:val="000230AD"/>
    <w:rsid w:val="000232AC"/>
    <w:rsid w:val="000232C9"/>
    <w:rsid w:val="000235F5"/>
    <w:rsid w:val="000236FC"/>
    <w:rsid w:val="0002385E"/>
    <w:rsid w:val="00023996"/>
    <w:rsid w:val="00023AFB"/>
    <w:rsid w:val="00023D16"/>
    <w:rsid w:val="00024238"/>
    <w:rsid w:val="0002431C"/>
    <w:rsid w:val="0002436D"/>
    <w:rsid w:val="0002460B"/>
    <w:rsid w:val="00024684"/>
    <w:rsid w:val="00024744"/>
    <w:rsid w:val="00024A52"/>
    <w:rsid w:val="00024B31"/>
    <w:rsid w:val="00024D08"/>
    <w:rsid w:val="00024ECD"/>
    <w:rsid w:val="00025135"/>
    <w:rsid w:val="00025146"/>
    <w:rsid w:val="000252E1"/>
    <w:rsid w:val="0002557F"/>
    <w:rsid w:val="00025968"/>
    <w:rsid w:val="00026165"/>
    <w:rsid w:val="000262B1"/>
    <w:rsid w:val="0002630A"/>
    <w:rsid w:val="0002631B"/>
    <w:rsid w:val="00026416"/>
    <w:rsid w:val="0002657D"/>
    <w:rsid w:val="000266F7"/>
    <w:rsid w:val="00026D70"/>
    <w:rsid w:val="00026DF2"/>
    <w:rsid w:val="00026F20"/>
    <w:rsid w:val="0002704B"/>
    <w:rsid w:val="00027462"/>
    <w:rsid w:val="00027C69"/>
    <w:rsid w:val="00027E88"/>
    <w:rsid w:val="0003007E"/>
    <w:rsid w:val="000301A3"/>
    <w:rsid w:val="000301E8"/>
    <w:rsid w:val="00030225"/>
    <w:rsid w:val="000305FC"/>
    <w:rsid w:val="00030655"/>
    <w:rsid w:val="00030A25"/>
    <w:rsid w:val="00031204"/>
    <w:rsid w:val="00031313"/>
    <w:rsid w:val="000317F2"/>
    <w:rsid w:val="000318EB"/>
    <w:rsid w:val="00031B18"/>
    <w:rsid w:val="00031C79"/>
    <w:rsid w:val="00031E9D"/>
    <w:rsid w:val="00031F8D"/>
    <w:rsid w:val="00032608"/>
    <w:rsid w:val="000328E1"/>
    <w:rsid w:val="00032AAC"/>
    <w:rsid w:val="00032D9F"/>
    <w:rsid w:val="00032E61"/>
    <w:rsid w:val="00032FDE"/>
    <w:rsid w:val="00033099"/>
    <w:rsid w:val="000330F0"/>
    <w:rsid w:val="0003332C"/>
    <w:rsid w:val="0003349A"/>
    <w:rsid w:val="0003358C"/>
    <w:rsid w:val="0003367A"/>
    <w:rsid w:val="000336F0"/>
    <w:rsid w:val="00033E40"/>
    <w:rsid w:val="00033F31"/>
    <w:rsid w:val="00033FB0"/>
    <w:rsid w:val="00034402"/>
    <w:rsid w:val="00034D3F"/>
    <w:rsid w:val="00035092"/>
    <w:rsid w:val="000352C3"/>
    <w:rsid w:val="000357CD"/>
    <w:rsid w:val="000358F3"/>
    <w:rsid w:val="00035AA8"/>
    <w:rsid w:val="00036017"/>
    <w:rsid w:val="000363E0"/>
    <w:rsid w:val="000366B4"/>
    <w:rsid w:val="0003670A"/>
    <w:rsid w:val="0003671B"/>
    <w:rsid w:val="00036905"/>
    <w:rsid w:val="00036DEC"/>
    <w:rsid w:val="00036FDD"/>
    <w:rsid w:val="000370D4"/>
    <w:rsid w:val="0003713D"/>
    <w:rsid w:val="0003722A"/>
    <w:rsid w:val="0003747D"/>
    <w:rsid w:val="0003748E"/>
    <w:rsid w:val="000378D7"/>
    <w:rsid w:val="00037D93"/>
    <w:rsid w:val="000400F9"/>
    <w:rsid w:val="00040368"/>
    <w:rsid w:val="0004044E"/>
    <w:rsid w:val="000404A7"/>
    <w:rsid w:val="000406E6"/>
    <w:rsid w:val="000409F1"/>
    <w:rsid w:val="000409FD"/>
    <w:rsid w:val="00040AD7"/>
    <w:rsid w:val="00040CFA"/>
    <w:rsid w:val="000414A8"/>
    <w:rsid w:val="00041508"/>
    <w:rsid w:val="00041588"/>
    <w:rsid w:val="00041645"/>
    <w:rsid w:val="000417C5"/>
    <w:rsid w:val="000419AD"/>
    <w:rsid w:val="00041D41"/>
    <w:rsid w:val="00041F89"/>
    <w:rsid w:val="0004207D"/>
    <w:rsid w:val="00042242"/>
    <w:rsid w:val="00042457"/>
    <w:rsid w:val="000425F9"/>
    <w:rsid w:val="0004289D"/>
    <w:rsid w:val="00042971"/>
    <w:rsid w:val="000429C6"/>
    <w:rsid w:val="00042B45"/>
    <w:rsid w:val="00042E1C"/>
    <w:rsid w:val="00042F06"/>
    <w:rsid w:val="00043012"/>
    <w:rsid w:val="00043035"/>
    <w:rsid w:val="00043095"/>
    <w:rsid w:val="00043237"/>
    <w:rsid w:val="00043323"/>
    <w:rsid w:val="0004372D"/>
    <w:rsid w:val="0004377F"/>
    <w:rsid w:val="0004380E"/>
    <w:rsid w:val="00043DD4"/>
    <w:rsid w:val="00043F7F"/>
    <w:rsid w:val="00044066"/>
    <w:rsid w:val="00044086"/>
    <w:rsid w:val="0004413C"/>
    <w:rsid w:val="000442D7"/>
    <w:rsid w:val="00044526"/>
    <w:rsid w:val="0004474D"/>
    <w:rsid w:val="00044D69"/>
    <w:rsid w:val="00044DD6"/>
    <w:rsid w:val="00044EAD"/>
    <w:rsid w:val="00044F42"/>
    <w:rsid w:val="00045010"/>
    <w:rsid w:val="000451F5"/>
    <w:rsid w:val="00045248"/>
    <w:rsid w:val="000456DE"/>
    <w:rsid w:val="000457A5"/>
    <w:rsid w:val="00045855"/>
    <w:rsid w:val="00045F12"/>
    <w:rsid w:val="0004676A"/>
    <w:rsid w:val="000468F1"/>
    <w:rsid w:val="00046976"/>
    <w:rsid w:val="00046C8A"/>
    <w:rsid w:val="00046D79"/>
    <w:rsid w:val="00046F07"/>
    <w:rsid w:val="00047EB9"/>
    <w:rsid w:val="00047FD1"/>
    <w:rsid w:val="0005053E"/>
    <w:rsid w:val="00050B1D"/>
    <w:rsid w:val="00050FDC"/>
    <w:rsid w:val="000511CC"/>
    <w:rsid w:val="0005121E"/>
    <w:rsid w:val="00051332"/>
    <w:rsid w:val="00051393"/>
    <w:rsid w:val="0005146C"/>
    <w:rsid w:val="00051A5A"/>
    <w:rsid w:val="00051DCF"/>
    <w:rsid w:val="00051DF3"/>
    <w:rsid w:val="000520F9"/>
    <w:rsid w:val="000524E0"/>
    <w:rsid w:val="00052578"/>
    <w:rsid w:val="00052606"/>
    <w:rsid w:val="0005269F"/>
    <w:rsid w:val="00052D61"/>
    <w:rsid w:val="000531BC"/>
    <w:rsid w:val="0005333C"/>
    <w:rsid w:val="00053404"/>
    <w:rsid w:val="00053460"/>
    <w:rsid w:val="000534EF"/>
    <w:rsid w:val="00053820"/>
    <w:rsid w:val="00053D3D"/>
    <w:rsid w:val="00053DAB"/>
    <w:rsid w:val="00054055"/>
    <w:rsid w:val="000546EA"/>
    <w:rsid w:val="0005475F"/>
    <w:rsid w:val="0005478A"/>
    <w:rsid w:val="0005485A"/>
    <w:rsid w:val="00054874"/>
    <w:rsid w:val="00054CB2"/>
    <w:rsid w:val="00054F1E"/>
    <w:rsid w:val="0005518F"/>
    <w:rsid w:val="00055310"/>
    <w:rsid w:val="0005560D"/>
    <w:rsid w:val="00055854"/>
    <w:rsid w:val="00055A6B"/>
    <w:rsid w:val="00055E9F"/>
    <w:rsid w:val="0005609A"/>
    <w:rsid w:val="000561C4"/>
    <w:rsid w:val="00056AD9"/>
    <w:rsid w:val="00056D4D"/>
    <w:rsid w:val="00056D71"/>
    <w:rsid w:val="00056D76"/>
    <w:rsid w:val="00056DC8"/>
    <w:rsid w:val="00057016"/>
    <w:rsid w:val="00057110"/>
    <w:rsid w:val="00057186"/>
    <w:rsid w:val="0005740E"/>
    <w:rsid w:val="000575BA"/>
    <w:rsid w:val="00057C04"/>
    <w:rsid w:val="000600EC"/>
    <w:rsid w:val="000603AA"/>
    <w:rsid w:val="000604A2"/>
    <w:rsid w:val="00060626"/>
    <w:rsid w:val="00060CC9"/>
    <w:rsid w:val="00060DA3"/>
    <w:rsid w:val="00060DB1"/>
    <w:rsid w:val="00061000"/>
    <w:rsid w:val="000617B5"/>
    <w:rsid w:val="000617D1"/>
    <w:rsid w:val="00061930"/>
    <w:rsid w:val="0006194B"/>
    <w:rsid w:val="00061988"/>
    <w:rsid w:val="00061C7B"/>
    <w:rsid w:val="00061F6D"/>
    <w:rsid w:val="000622E5"/>
    <w:rsid w:val="00062734"/>
    <w:rsid w:val="000627BB"/>
    <w:rsid w:val="00062875"/>
    <w:rsid w:val="000628E8"/>
    <w:rsid w:val="00062F4D"/>
    <w:rsid w:val="000632E8"/>
    <w:rsid w:val="0006376F"/>
    <w:rsid w:val="000639B1"/>
    <w:rsid w:val="00063AB3"/>
    <w:rsid w:val="00063BC0"/>
    <w:rsid w:val="00063E38"/>
    <w:rsid w:val="00063E8D"/>
    <w:rsid w:val="00063F31"/>
    <w:rsid w:val="000641A1"/>
    <w:rsid w:val="00064433"/>
    <w:rsid w:val="00064683"/>
    <w:rsid w:val="00064783"/>
    <w:rsid w:val="00064A17"/>
    <w:rsid w:val="0006511D"/>
    <w:rsid w:val="000653CC"/>
    <w:rsid w:val="00065585"/>
    <w:rsid w:val="000656BD"/>
    <w:rsid w:val="00065A4B"/>
    <w:rsid w:val="00065DE1"/>
    <w:rsid w:val="000662B4"/>
    <w:rsid w:val="00066537"/>
    <w:rsid w:val="000665F2"/>
    <w:rsid w:val="0006699C"/>
    <w:rsid w:val="00066A91"/>
    <w:rsid w:val="00066AA0"/>
    <w:rsid w:val="00066BEB"/>
    <w:rsid w:val="00066EEB"/>
    <w:rsid w:val="00066F2D"/>
    <w:rsid w:val="00067811"/>
    <w:rsid w:val="00067D6A"/>
    <w:rsid w:val="00070295"/>
    <w:rsid w:val="0007043A"/>
    <w:rsid w:val="0007043F"/>
    <w:rsid w:val="0007077F"/>
    <w:rsid w:val="000708C3"/>
    <w:rsid w:val="000709AA"/>
    <w:rsid w:val="000709C4"/>
    <w:rsid w:val="00070DE3"/>
    <w:rsid w:val="00070F1B"/>
    <w:rsid w:val="00071325"/>
    <w:rsid w:val="000714E1"/>
    <w:rsid w:val="00071685"/>
    <w:rsid w:val="00071846"/>
    <w:rsid w:val="000719C8"/>
    <w:rsid w:val="000719DF"/>
    <w:rsid w:val="00071D80"/>
    <w:rsid w:val="0007297D"/>
    <w:rsid w:val="00072ED7"/>
    <w:rsid w:val="0007349E"/>
    <w:rsid w:val="00073543"/>
    <w:rsid w:val="000736A1"/>
    <w:rsid w:val="00073B7F"/>
    <w:rsid w:val="00073C4F"/>
    <w:rsid w:val="00073DF0"/>
    <w:rsid w:val="000742A1"/>
    <w:rsid w:val="000747A9"/>
    <w:rsid w:val="0007485B"/>
    <w:rsid w:val="000749E9"/>
    <w:rsid w:val="000749FC"/>
    <w:rsid w:val="00075614"/>
    <w:rsid w:val="00075649"/>
    <w:rsid w:val="0007623C"/>
    <w:rsid w:val="00076270"/>
    <w:rsid w:val="00076430"/>
    <w:rsid w:val="00076C23"/>
    <w:rsid w:val="00076D14"/>
    <w:rsid w:val="00076E52"/>
    <w:rsid w:val="000770A6"/>
    <w:rsid w:val="0007738B"/>
    <w:rsid w:val="000778B0"/>
    <w:rsid w:val="000778EA"/>
    <w:rsid w:val="00077DE8"/>
    <w:rsid w:val="00080034"/>
    <w:rsid w:val="0008056E"/>
    <w:rsid w:val="0008059C"/>
    <w:rsid w:val="0008073A"/>
    <w:rsid w:val="00080B93"/>
    <w:rsid w:val="00080FE0"/>
    <w:rsid w:val="000820DA"/>
    <w:rsid w:val="0008248F"/>
    <w:rsid w:val="000825A3"/>
    <w:rsid w:val="00082769"/>
    <w:rsid w:val="00082D3C"/>
    <w:rsid w:val="00082DE8"/>
    <w:rsid w:val="0008328A"/>
    <w:rsid w:val="00083FA6"/>
    <w:rsid w:val="000849B0"/>
    <w:rsid w:val="00085018"/>
    <w:rsid w:val="00085208"/>
    <w:rsid w:val="000852DC"/>
    <w:rsid w:val="000857A8"/>
    <w:rsid w:val="000857DA"/>
    <w:rsid w:val="00085986"/>
    <w:rsid w:val="00085FA9"/>
    <w:rsid w:val="000861EE"/>
    <w:rsid w:val="00086578"/>
    <w:rsid w:val="000866BC"/>
    <w:rsid w:val="000866ED"/>
    <w:rsid w:val="00086964"/>
    <w:rsid w:val="000869AF"/>
    <w:rsid w:val="00086AC9"/>
    <w:rsid w:val="00086B77"/>
    <w:rsid w:val="00086DA8"/>
    <w:rsid w:val="00086EA0"/>
    <w:rsid w:val="00086FB2"/>
    <w:rsid w:val="000870AB"/>
    <w:rsid w:val="000873D0"/>
    <w:rsid w:val="0008772B"/>
    <w:rsid w:val="0008776D"/>
    <w:rsid w:val="000879B8"/>
    <w:rsid w:val="00087A62"/>
    <w:rsid w:val="00087EF0"/>
    <w:rsid w:val="000904A5"/>
    <w:rsid w:val="00090D6E"/>
    <w:rsid w:val="00090DAE"/>
    <w:rsid w:val="00090EDB"/>
    <w:rsid w:val="000917F2"/>
    <w:rsid w:val="00091ABC"/>
    <w:rsid w:val="00091BD6"/>
    <w:rsid w:val="00091C15"/>
    <w:rsid w:val="00092102"/>
    <w:rsid w:val="0009222E"/>
    <w:rsid w:val="000923D9"/>
    <w:rsid w:val="000925EB"/>
    <w:rsid w:val="000928A3"/>
    <w:rsid w:val="000928F0"/>
    <w:rsid w:val="000928FA"/>
    <w:rsid w:val="00092B90"/>
    <w:rsid w:val="00092BA3"/>
    <w:rsid w:val="00092BCC"/>
    <w:rsid w:val="00092DE2"/>
    <w:rsid w:val="00092DF0"/>
    <w:rsid w:val="000935D5"/>
    <w:rsid w:val="000935F6"/>
    <w:rsid w:val="000936B6"/>
    <w:rsid w:val="00093A8D"/>
    <w:rsid w:val="00093DFB"/>
    <w:rsid w:val="00093E19"/>
    <w:rsid w:val="000944B4"/>
    <w:rsid w:val="00094710"/>
    <w:rsid w:val="00094970"/>
    <w:rsid w:val="00094F2E"/>
    <w:rsid w:val="000950FB"/>
    <w:rsid w:val="00095157"/>
    <w:rsid w:val="0009533C"/>
    <w:rsid w:val="000955EB"/>
    <w:rsid w:val="000957A9"/>
    <w:rsid w:val="00095952"/>
    <w:rsid w:val="00095959"/>
    <w:rsid w:val="00095965"/>
    <w:rsid w:val="00096094"/>
    <w:rsid w:val="000964A3"/>
    <w:rsid w:val="0009683A"/>
    <w:rsid w:val="00096A59"/>
    <w:rsid w:val="00096AE6"/>
    <w:rsid w:val="00096D23"/>
    <w:rsid w:val="00096F6A"/>
    <w:rsid w:val="0009700E"/>
    <w:rsid w:val="00097013"/>
    <w:rsid w:val="0009708A"/>
    <w:rsid w:val="00097617"/>
    <w:rsid w:val="00097DC2"/>
    <w:rsid w:val="00097E79"/>
    <w:rsid w:val="00097E87"/>
    <w:rsid w:val="000A00F9"/>
    <w:rsid w:val="000A05DF"/>
    <w:rsid w:val="000A0929"/>
    <w:rsid w:val="000A101E"/>
    <w:rsid w:val="000A134C"/>
    <w:rsid w:val="000A145C"/>
    <w:rsid w:val="000A18F6"/>
    <w:rsid w:val="000A1A6A"/>
    <w:rsid w:val="000A1B39"/>
    <w:rsid w:val="000A1C68"/>
    <w:rsid w:val="000A1D55"/>
    <w:rsid w:val="000A1ECA"/>
    <w:rsid w:val="000A20C8"/>
    <w:rsid w:val="000A2249"/>
    <w:rsid w:val="000A23D5"/>
    <w:rsid w:val="000A264B"/>
    <w:rsid w:val="000A2744"/>
    <w:rsid w:val="000A27DA"/>
    <w:rsid w:val="000A28FB"/>
    <w:rsid w:val="000A290A"/>
    <w:rsid w:val="000A2B03"/>
    <w:rsid w:val="000A31E8"/>
    <w:rsid w:val="000A34C3"/>
    <w:rsid w:val="000A3A9C"/>
    <w:rsid w:val="000A3D3F"/>
    <w:rsid w:val="000A44D4"/>
    <w:rsid w:val="000A4860"/>
    <w:rsid w:val="000A4A07"/>
    <w:rsid w:val="000A4D8D"/>
    <w:rsid w:val="000A4E6C"/>
    <w:rsid w:val="000A516A"/>
    <w:rsid w:val="000A5431"/>
    <w:rsid w:val="000A5837"/>
    <w:rsid w:val="000A5B84"/>
    <w:rsid w:val="000A5F22"/>
    <w:rsid w:val="000A63C6"/>
    <w:rsid w:val="000A687A"/>
    <w:rsid w:val="000A6954"/>
    <w:rsid w:val="000A6A84"/>
    <w:rsid w:val="000A6DF1"/>
    <w:rsid w:val="000A6E89"/>
    <w:rsid w:val="000A6FE4"/>
    <w:rsid w:val="000A79BF"/>
    <w:rsid w:val="000A7A40"/>
    <w:rsid w:val="000A7BC7"/>
    <w:rsid w:val="000A7C0C"/>
    <w:rsid w:val="000A7C1F"/>
    <w:rsid w:val="000A7CC1"/>
    <w:rsid w:val="000A7E0B"/>
    <w:rsid w:val="000A7E92"/>
    <w:rsid w:val="000B0460"/>
    <w:rsid w:val="000B050A"/>
    <w:rsid w:val="000B078D"/>
    <w:rsid w:val="000B092D"/>
    <w:rsid w:val="000B09C5"/>
    <w:rsid w:val="000B0A31"/>
    <w:rsid w:val="000B0A61"/>
    <w:rsid w:val="000B0FF9"/>
    <w:rsid w:val="000B10D1"/>
    <w:rsid w:val="000B132A"/>
    <w:rsid w:val="000B145B"/>
    <w:rsid w:val="000B1624"/>
    <w:rsid w:val="000B1DCD"/>
    <w:rsid w:val="000B234C"/>
    <w:rsid w:val="000B265D"/>
    <w:rsid w:val="000B28E4"/>
    <w:rsid w:val="000B2CF5"/>
    <w:rsid w:val="000B2D3F"/>
    <w:rsid w:val="000B2E97"/>
    <w:rsid w:val="000B2F54"/>
    <w:rsid w:val="000B31A7"/>
    <w:rsid w:val="000B3267"/>
    <w:rsid w:val="000B385D"/>
    <w:rsid w:val="000B3AD4"/>
    <w:rsid w:val="000B3CCB"/>
    <w:rsid w:val="000B444C"/>
    <w:rsid w:val="000B449E"/>
    <w:rsid w:val="000B459F"/>
    <w:rsid w:val="000B45DD"/>
    <w:rsid w:val="000B464D"/>
    <w:rsid w:val="000B47B4"/>
    <w:rsid w:val="000B4BDB"/>
    <w:rsid w:val="000B4C7B"/>
    <w:rsid w:val="000B4D43"/>
    <w:rsid w:val="000B4DAE"/>
    <w:rsid w:val="000B53D4"/>
    <w:rsid w:val="000B544F"/>
    <w:rsid w:val="000B555E"/>
    <w:rsid w:val="000B586A"/>
    <w:rsid w:val="000B5BC7"/>
    <w:rsid w:val="000B5C72"/>
    <w:rsid w:val="000B622B"/>
    <w:rsid w:val="000B6239"/>
    <w:rsid w:val="000B700C"/>
    <w:rsid w:val="000B70BF"/>
    <w:rsid w:val="000B7185"/>
    <w:rsid w:val="000B71AC"/>
    <w:rsid w:val="000B74CB"/>
    <w:rsid w:val="000B74E0"/>
    <w:rsid w:val="000B75D3"/>
    <w:rsid w:val="000B76C6"/>
    <w:rsid w:val="000B77B6"/>
    <w:rsid w:val="000B7C9B"/>
    <w:rsid w:val="000B7FD7"/>
    <w:rsid w:val="000C003F"/>
    <w:rsid w:val="000C00AC"/>
    <w:rsid w:val="000C016B"/>
    <w:rsid w:val="000C0418"/>
    <w:rsid w:val="000C0853"/>
    <w:rsid w:val="000C08E7"/>
    <w:rsid w:val="000C08EA"/>
    <w:rsid w:val="000C0A4D"/>
    <w:rsid w:val="000C0A56"/>
    <w:rsid w:val="000C0A66"/>
    <w:rsid w:val="000C0FF6"/>
    <w:rsid w:val="000C10AB"/>
    <w:rsid w:val="000C1142"/>
    <w:rsid w:val="000C16CC"/>
    <w:rsid w:val="000C16D1"/>
    <w:rsid w:val="000C1765"/>
    <w:rsid w:val="000C1A8D"/>
    <w:rsid w:val="000C1E85"/>
    <w:rsid w:val="000C1EC1"/>
    <w:rsid w:val="000C25CB"/>
    <w:rsid w:val="000C2AD2"/>
    <w:rsid w:val="000C309D"/>
    <w:rsid w:val="000C313E"/>
    <w:rsid w:val="000C399C"/>
    <w:rsid w:val="000C3C57"/>
    <w:rsid w:val="000C4191"/>
    <w:rsid w:val="000C4192"/>
    <w:rsid w:val="000C41D0"/>
    <w:rsid w:val="000C44A1"/>
    <w:rsid w:val="000C4837"/>
    <w:rsid w:val="000C4B0B"/>
    <w:rsid w:val="000C4E0D"/>
    <w:rsid w:val="000C5458"/>
    <w:rsid w:val="000C545D"/>
    <w:rsid w:val="000C57AC"/>
    <w:rsid w:val="000C5AD2"/>
    <w:rsid w:val="000C5D31"/>
    <w:rsid w:val="000C61A6"/>
    <w:rsid w:val="000C659F"/>
    <w:rsid w:val="000C6717"/>
    <w:rsid w:val="000C681F"/>
    <w:rsid w:val="000C6A43"/>
    <w:rsid w:val="000C6DBD"/>
    <w:rsid w:val="000C6FE9"/>
    <w:rsid w:val="000C7279"/>
    <w:rsid w:val="000C7385"/>
    <w:rsid w:val="000C739D"/>
    <w:rsid w:val="000C73F0"/>
    <w:rsid w:val="000C7445"/>
    <w:rsid w:val="000C7743"/>
    <w:rsid w:val="000C7B6B"/>
    <w:rsid w:val="000C7C72"/>
    <w:rsid w:val="000C7E6E"/>
    <w:rsid w:val="000D023E"/>
    <w:rsid w:val="000D032A"/>
    <w:rsid w:val="000D0357"/>
    <w:rsid w:val="000D0468"/>
    <w:rsid w:val="000D0971"/>
    <w:rsid w:val="000D09B1"/>
    <w:rsid w:val="000D0CA7"/>
    <w:rsid w:val="000D0D66"/>
    <w:rsid w:val="000D0ED3"/>
    <w:rsid w:val="000D1173"/>
    <w:rsid w:val="000D12A0"/>
    <w:rsid w:val="000D1355"/>
    <w:rsid w:val="000D15A5"/>
    <w:rsid w:val="000D15B5"/>
    <w:rsid w:val="000D1BC9"/>
    <w:rsid w:val="000D1FA7"/>
    <w:rsid w:val="000D20D7"/>
    <w:rsid w:val="000D24BB"/>
    <w:rsid w:val="000D26E6"/>
    <w:rsid w:val="000D26EB"/>
    <w:rsid w:val="000D2A41"/>
    <w:rsid w:val="000D3066"/>
    <w:rsid w:val="000D3524"/>
    <w:rsid w:val="000D35CE"/>
    <w:rsid w:val="000D35E7"/>
    <w:rsid w:val="000D402D"/>
    <w:rsid w:val="000D4192"/>
    <w:rsid w:val="000D4282"/>
    <w:rsid w:val="000D466A"/>
    <w:rsid w:val="000D46F9"/>
    <w:rsid w:val="000D47C6"/>
    <w:rsid w:val="000D528D"/>
    <w:rsid w:val="000D530E"/>
    <w:rsid w:val="000D53AE"/>
    <w:rsid w:val="000D548B"/>
    <w:rsid w:val="000D565A"/>
    <w:rsid w:val="000D5AFA"/>
    <w:rsid w:val="000D68DE"/>
    <w:rsid w:val="000D69B3"/>
    <w:rsid w:val="000D6A4D"/>
    <w:rsid w:val="000D6A87"/>
    <w:rsid w:val="000D6D15"/>
    <w:rsid w:val="000D6EB2"/>
    <w:rsid w:val="000D6EE0"/>
    <w:rsid w:val="000D721C"/>
    <w:rsid w:val="000D74AE"/>
    <w:rsid w:val="000D75E2"/>
    <w:rsid w:val="000D7689"/>
    <w:rsid w:val="000D773D"/>
    <w:rsid w:val="000E0340"/>
    <w:rsid w:val="000E0400"/>
    <w:rsid w:val="000E0976"/>
    <w:rsid w:val="000E0BF2"/>
    <w:rsid w:val="000E0CD4"/>
    <w:rsid w:val="000E0D50"/>
    <w:rsid w:val="000E0D87"/>
    <w:rsid w:val="000E0DCA"/>
    <w:rsid w:val="000E111A"/>
    <w:rsid w:val="000E1494"/>
    <w:rsid w:val="000E15DC"/>
    <w:rsid w:val="000E161A"/>
    <w:rsid w:val="000E185B"/>
    <w:rsid w:val="000E1873"/>
    <w:rsid w:val="000E1B58"/>
    <w:rsid w:val="000E1DAC"/>
    <w:rsid w:val="000E1E61"/>
    <w:rsid w:val="000E233E"/>
    <w:rsid w:val="000E2A29"/>
    <w:rsid w:val="000E2B40"/>
    <w:rsid w:val="000E2EFE"/>
    <w:rsid w:val="000E2FFA"/>
    <w:rsid w:val="000E349D"/>
    <w:rsid w:val="000E34DE"/>
    <w:rsid w:val="000E39BC"/>
    <w:rsid w:val="000E3C90"/>
    <w:rsid w:val="000E3D0B"/>
    <w:rsid w:val="000E4036"/>
    <w:rsid w:val="000E40C7"/>
    <w:rsid w:val="000E413B"/>
    <w:rsid w:val="000E42CC"/>
    <w:rsid w:val="000E4523"/>
    <w:rsid w:val="000E46E8"/>
    <w:rsid w:val="000E4831"/>
    <w:rsid w:val="000E4940"/>
    <w:rsid w:val="000E495A"/>
    <w:rsid w:val="000E4A92"/>
    <w:rsid w:val="000E4B0A"/>
    <w:rsid w:val="000E4B44"/>
    <w:rsid w:val="000E4BEB"/>
    <w:rsid w:val="000E4C9E"/>
    <w:rsid w:val="000E4E94"/>
    <w:rsid w:val="000E518C"/>
    <w:rsid w:val="000E5675"/>
    <w:rsid w:val="000E58D2"/>
    <w:rsid w:val="000E5B4F"/>
    <w:rsid w:val="000E5B74"/>
    <w:rsid w:val="000E5DE9"/>
    <w:rsid w:val="000E6478"/>
    <w:rsid w:val="000E6706"/>
    <w:rsid w:val="000E679D"/>
    <w:rsid w:val="000E6821"/>
    <w:rsid w:val="000E6AF0"/>
    <w:rsid w:val="000E6CE3"/>
    <w:rsid w:val="000E6E86"/>
    <w:rsid w:val="000E741F"/>
    <w:rsid w:val="000E75AA"/>
    <w:rsid w:val="000E75D6"/>
    <w:rsid w:val="000E7952"/>
    <w:rsid w:val="000E7A77"/>
    <w:rsid w:val="000E7B66"/>
    <w:rsid w:val="000F0041"/>
    <w:rsid w:val="000F074A"/>
    <w:rsid w:val="000F07AD"/>
    <w:rsid w:val="000F08A6"/>
    <w:rsid w:val="000F08E7"/>
    <w:rsid w:val="000F0BCD"/>
    <w:rsid w:val="000F0DA4"/>
    <w:rsid w:val="000F0EDA"/>
    <w:rsid w:val="000F11BA"/>
    <w:rsid w:val="000F1232"/>
    <w:rsid w:val="000F12AA"/>
    <w:rsid w:val="000F12B6"/>
    <w:rsid w:val="000F12F9"/>
    <w:rsid w:val="000F13F9"/>
    <w:rsid w:val="000F1426"/>
    <w:rsid w:val="000F1473"/>
    <w:rsid w:val="000F1677"/>
    <w:rsid w:val="000F1819"/>
    <w:rsid w:val="000F199C"/>
    <w:rsid w:val="000F1D8F"/>
    <w:rsid w:val="000F1DC9"/>
    <w:rsid w:val="000F1F44"/>
    <w:rsid w:val="000F23FF"/>
    <w:rsid w:val="000F248E"/>
    <w:rsid w:val="000F27D3"/>
    <w:rsid w:val="000F2B9E"/>
    <w:rsid w:val="000F2D10"/>
    <w:rsid w:val="000F2FCD"/>
    <w:rsid w:val="000F30A3"/>
    <w:rsid w:val="000F3175"/>
    <w:rsid w:val="000F3325"/>
    <w:rsid w:val="000F337C"/>
    <w:rsid w:val="000F3757"/>
    <w:rsid w:val="000F3EF0"/>
    <w:rsid w:val="000F4536"/>
    <w:rsid w:val="000F4583"/>
    <w:rsid w:val="000F4654"/>
    <w:rsid w:val="000F4826"/>
    <w:rsid w:val="000F497B"/>
    <w:rsid w:val="000F4B4D"/>
    <w:rsid w:val="000F4E79"/>
    <w:rsid w:val="000F509E"/>
    <w:rsid w:val="000F5187"/>
    <w:rsid w:val="000F541E"/>
    <w:rsid w:val="000F564C"/>
    <w:rsid w:val="000F5712"/>
    <w:rsid w:val="000F5719"/>
    <w:rsid w:val="000F5945"/>
    <w:rsid w:val="000F5CFE"/>
    <w:rsid w:val="000F615A"/>
    <w:rsid w:val="000F6802"/>
    <w:rsid w:val="000F6989"/>
    <w:rsid w:val="000F69FA"/>
    <w:rsid w:val="000F6AF3"/>
    <w:rsid w:val="000F6BAD"/>
    <w:rsid w:val="000F7214"/>
    <w:rsid w:val="000F7503"/>
    <w:rsid w:val="000F76C8"/>
    <w:rsid w:val="000F77C6"/>
    <w:rsid w:val="000F7855"/>
    <w:rsid w:val="000F7A44"/>
    <w:rsid w:val="001005D0"/>
    <w:rsid w:val="00100607"/>
    <w:rsid w:val="001006E7"/>
    <w:rsid w:val="001007C7"/>
    <w:rsid w:val="0010085F"/>
    <w:rsid w:val="00100A8D"/>
    <w:rsid w:val="00100DAF"/>
    <w:rsid w:val="00100FDC"/>
    <w:rsid w:val="001010BE"/>
    <w:rsid w:val="001015C4"/>
    <w:rsid w:val="0010188D"/>
    <w:rsid w:val="0010227C"/>
    <w:rsid w:val="0010239F"/>
    <w:rsid w:val="001024FB"/>
    <w:rsid w:val="0010290E"/>
    <w:rsid w:val="00102A5F"/>
    <w:rsid w:val="00102AD5"/>
    <w:rsid w:val="00102B6D"/>
    <w:rsid w:val="00102DE7"/>
    <w:rsid w:val="001030D9"/>
    <w:rsid w:val="0010378C"/>
    <w:rsid w:val="001038D5"/>
    <w:rsid w:val="001038DB"/>
    <w:rsid w:val="00103905"/>
    <w:rsid w:val="00103A9C"/>
    <w:rsid w:val="00103D96"/>
    <w:rsid w:val="00103E5D"/>
    <w:rsid w:val="0010426C"/>
    <w:rsid w:val="001043CD"/>
    <w:rsid w:val="00104534"/>
    <w:rsid w:val="0010495C"/>
    <w:rsid w:val="00104ECA"/>
    <w:rsid w:val="001051F9"/>
    <w:rsid w:val="00105663"/>
    <w:rsid w:val="00105901"/>
    <w:rsid w:val="001060C1"/>
    <w:rsid w:val="001060D6"/>
    <w:rsid w:val="00106521"/>
    <w:rsid w:val="00106675"/>
    <w:rsid w:val="00106B5F"/>
    <w:rsid w:val="0010704F"/>
    <w:rsid w:val="00107131"/>
    <w:rsid w:val="0010739A"/>
    <w:rsid w:val="001073CB"/>
    <w:rsid w:val="00107795"/>
    <w:rsid w:val="0010781B"/>
    <w:rsid w:val="00107C48"/>
    <w:rsid w:val="00107D03"/>
    <w:rsid w:val="00107D7E"/>
    <w:rsid w:val="00107D81"/>
    <w:rsid w:val="00107F95"/>
    <w:rsid w:val="001100C2"/>
    <w:rsid w:val="00110133"/>
    <w:rsid w:val="001103C4"/>
    <w:rsid w:val="0011070E"/>
    <w:rsid w:val="001107E3"/>
    <w:rsid w:val="00110C9F"/>
    <w:rsid w:val="00110E68"/>
    <w:rsid w:val="00110FCD"/>
    <w:rsid w:val="001110AD"/>
    <w:rsid w:val="0011117A"/>
    <w:rsid w:val="0011118D"/>
    <w:rsid w:val="001112D3"/>
    <w:rsid w:val="001113B9"/>
    <w:rsid w:val="00111BAB"/>
    <w:rsid w:val="0011235E"/>
    <w:rsid w:val="00112713"/>
    <w:rsid w:val="00112A20"/>
    <w:rsid w:val="00112A5A"/>
    <w:rsid w:val="00112EB9"/>
    <w:rsid w:val="00113380"/>
    <w:rsid w:val="00113405"/>
    <w:rsid w:val="001138F0"/>
    <w:rsid w:val="00113A65"/>
    <w:rsid w:val="001143C5"/>
    <w:rsid w:val="001148D8"/>
    <w:rsid w:val="001149DF"/>
    <w:rsid w:val="00114B25"/>
    <w:rsid w:val="00114B7A"/>
    <w:rsid w:val="00114E20"/>
    <w:rsid w:val="00114E2C"/>
    <w:rsid w:val="00115846"/>
    <w:rsid w:val="001158F8"/>
    <w:rsid w:val="00115A6F"/>
    <w:rsid w:val="00115AAE"/>
    <w:rsid w:val="00115B9E"/>
    <w:rsid w:val="0011600C"/>
    <w:rsid w:val="00116630"/>
    <w:rsid w:val="001166E5"/>
    <w:rsid w:val="00116778"/>
    <w:rsid w:val="00116878"/>
    <w:rsid w:val="00116AF8"/>
    <w:rsid w:val="00116B8B"/>
    <w:rsid w:val="00116D11"/>
    <w:rsid w:val="00116E82"/>
    <w:rsid w:val="00117B23"/>
    <w:rsid w:val="00117C45"/>
    <w:rsid w:val="00117D26"/>
    <w:rsid w:val="00117D2E"/>
    <w:rsid w:val="00117E11"/>
    <w:rsid w:val="00117E69"/>
    <w:rsid w:val="00120489"/>
    <w:rsid w:val="001208D1"/>
    <w:rsid w:val="00120AB7"/>
    <w:rsid w:val="00120B8B"/>
    <w:rsid w:val="00120E8E"/>
    <w:rsid w:val="00121260"/>
    <w:rsid w:val="00121622"/>
    <w:rsid w:val="00121739"/>
    <w:rsid w:val="00121BC8"/>
    <w:rsid w:val="00121E23"/>
    <w:rsid w:val="001221D7"/>
    <w:rsid w:val="001224A2"/>
    <w:rsid w:val="00122509"/>
    <w:rsid w:val="00122529"/>
    <w:rsid w:val="001225D3"/>
    <w:rsid w:val="00122838"/>
    <w:rsid w:val="001228A0"/>
    <w:rsid w:val="00122A86"/>
    <w:rsid w:val="00122A90"/>
    <w:rsid w:val="00122B4B"/>
    <w:rsid w:val="00122DA9"/>
    <w:rsid w:val="00122DBF"/>
    <w:rsid w:val="00122F93"/>
    <w:rsid w:val="001233E7"/>
    <w:rsid w:val="0012350E"/>
    <w:rsid w:val="001235C1"/>
    <w:rsid w:val="001237E6"/>
    <w:rsid w:val="00123826"/>
    <w:rsid w:val="00123B48"/>
    <w:rsid w:val="00123D8F"/>
    <w:rsid w:val="0012407E"/>
    <w:rsid w:val="001243DD"/>
    <w:rsid w:val="0012468C"/>
    <w:rsid w:val="00124A67"/>
    <w:rsid w:val="00124BEE"/>
    <w:rsid w:val="00124E1F"/>
    <w:rsid w:val="001253B1"/>
    <w:rsid w:val="0012577F"/>
    <w:rsid w:val="00125C98"/>
    <w:rsid w:val="00125E29"/>
    <w:rsid w:val="0012685F"/>
    <w:rsid w:val="001268CD"/>
    <w:rsid w:val="00126E8D"/>
    <w:rsid w:val="00127020"/>
    <w:rsid w:val="00127765"/>
    <w:rsid w:val="00127BF5"/>
    <w:rsid w:val="00127D2C"/>
    <w:rsid w:val="0013010F"/>
    <w:rsid w:val="001302C4"/>
    <w:rsid w:val="001303C6"/>
    <w:rsid w:val="001303C8"/>
    <w:rsid w:val="0013055E"/>
    <w:rsid w:val="00130A2B"/>
    <w:rsid w:val="00130C6D"/>
    <w:rsid w:val="00130DF9"/>
    <w:rsid w:val="00131096"/>
    <w:rsid w:val="00131179"/>
    <w:rsid w:val="00131407"/>
    <w:rsid w:val="00131583"/>
    <w:rsid w:val="0013170F"/>
    <w:rsid w:val="00131762"/>
    <w:rsid w:val="00131EC8"/>
    <w:rsid w:val="00131EF2"/>
    <w:rsid w:val="00132073"/>
    <w:rsid w:val="0013265C"/>
    <w:rsid w:val="001329B0"/>
    <w:rsid w:val="00132E52"/>
    <w:rsid w:val="0013359D"/>
    <w:rsid w:val="00133FE1"/>
    <w:rsid w:val="00134441"/>
    <w:rsid w:val="00134AA9"/>
    <w:rsid w:val="00134C3A"/>
    <w:rsid w:val="00134D63"/>
    <w:rsid w:val="001353CC"/>
    <w:rsid w:val="0013554E"/>
    <w:rsid w:val="0013599D"/>
    <w:rsid w:val="00135BE9"/>
    <w:rsid w:val="001360E4"/>
    <w:rsid w:val="0013626B"/>
    <w:rsid w:val="001365FA"/>
    <w:rsid w:val="00136A81"/>
    <w:rsid w:val="00136C82"/>
    <w:rsid w:val="00136DB9"/>
    <w:rsid w:val="00136FC3"/>
    <w:rsid w:val="00137074"/>
    <w:rsid w:val="00137132"/>
    <w:rsid w:val="00137240"/>
    <w:rsid w:val="00137407"/>
    <w:rsid w:val="001374EF"/>
    <w:rsid w:val="00137655"/>
    <w:rsid w:val="00137918"/>
    <w:rsid w:val="00137B45"/>
    <w:rsid w:val="00137F0D"/>
    <w:rsid w:val="00137FCE"/>
    <w:rsid w:val="001403B9"/>
    <w:rsid w:val="001406C5"/>
    <w:rsid w:val="00140706"/>
    <w:rsid w:val="001407EC"/>
    <w:rsid w:val="00140D67"/>
    <w:rsid w:val="00140FE3"/>
    <w:rsid w:val="001411A9"/>
    <w:rsid w:val="001412AE"/>
    <w:rsid w:val="00141369"/>
    <w:rsid w:val="00141662"/>
    <w:rsid w:val="00141BC3"/>
    <w:rsid w:val="00141C34"/>
    <w:rsid w:val="00141CF8"/>
    <w:rsid w:val="00141DA3"/>
    <w:rsid w:val="00141F87"/>
    <w:rsid w:val="0014203A"/>
    <w:rsid w:val="0014232F"/>
    <w:rsid w:val="001423A5"/>
    <w:rsid w:val="00142775"/>
    <w:rsid w:val="0014294A"/>
    <w:rsid w:val="00142B00"/>
    <w:rsid w:val="00142BE4"/>
    <w:rsid w:val="001438D5"/>
    <w:rsid w:val="001439BC"/>
    <w:rsid w:val="00143A40"/>
    <w:rsid w:val="00143C40"/>
    <w:rsid w:val="00143E24"/>
    <w:rsid w:val="00143ED0"/>
    <w:rsid w:val="001441B3"/>
    <w:rsid w:val="00144349"/>
    <w:rsid w:val="0014455E"/>
    <w:rsid w:val="001445B1"/>
    <w:rsid w:val="00144717"/>
    <w:rsid w:val="00144FFB"/>
    <w:rsid w:val="00145CC9"/>
    <w:rsid w:val="00145EFA"/>
    <w:rsid w:val="00145F5C"/>
    <w:rsid w:val="00146A74"/>
    <w:rsid w:val="00146C61"/>
    <w:rsid w:val="00146E44"/>
    <w:rsid w:val="00147197"/>
    <w:rsid w:val="0014728E"/>
    <w:rsid w:val="0014743C"/>
    <w:rsid w:val="0014758A"/>
    <w:rsid w:val="001476B7"/>
    <w:rsid w:val="0014778A"/>
    <w:rsid w:val="00147AFD"/>
    <w:rsid w:val="00147CFD"/>
    <w:rsid w:val="00147DD4"/>
    <w:rsid w:val="00147ED3"/>
    <w:rsid w:val="0015023E"/>
    <w:rsid w:val="0015032C"/>
    <w:rsid w:val="00150413"/>
    <w:rsid w:val="001507F5"/>
    <w:rsid w:val="0015080B"/>
    <w:rsid w:val="00150B1A"/>
    <w:rsid w:val="00150C2A"/>
    <w:rsid w:val="001513CC"/>
    <w:rsid w:val="001515F6"/>
    <w:rsid w:val="001516DA"/>
    <w:rsid w:val="00151729"/>
    <w:rsid w:val="001517B2"/>
    <w:rsid w:val="001518DB"/>
    <w:rsid w:val="00151E75"/>
    <w:rsid w:val="001523CE"/>
    <w:rsid w:val="00152634"/>
    <w:rsid w:val="0015291D"/>
    <w:rsid w:val="00152BD2"/>
    <w:rsid w:val="00152EC8"/>
    <w:rsid w:val="0015328F"/>
    <w:rsid w:val="00153350"/>
    <w:rsid w:val="0015348A"/>
    <w:rsid w:val="0015350E"/>
    <w:rsid w:val="0015386C"/>
    <w:rsid w:val="00153A92"/>
    <w:rsid w:val="00153BF3"/>
    <w:rsid w:val="00153C04"/>
    <w:rsid w:val="00153CC5"/>
    <w:rsid w:val="00153F3B"/>
    <w:rsid w:val="00154471"/>
    <w:rsid w:val="001544E6"/>
    <w:rsid w:val="00154551"/>
    <w:rsid w:val="001549F2"/>
    <w:rsid w:val="001549F4"/>
    <w:rsid w:val="00154E4E"/>
    <w:rsid w:val="00155027"/>
    <w:rsid w:val="001553FD"/>
    <w:rsid w:val="001554A3"/>
    <w:rsid w:val="00155895"/>
    <w:rsid w:val="001559C1"/>
    <w:rsid w:val="00155FD5"/>
    <w:rsid w:val="00156029"/>
    <w:rsid w:val="001561F0"/>
    <w:rsid w:val="001561F5"/>
    <w:rsid w:val="00156B61"/>
    <w:rsid w:val="00156C09"/>
    <w:rsid w:val="00157576"/>
    <w:rsid w:val="001579B6"/>
    <w:rsid w:val="00157A6D"/>
    <w:rsid w:val="00157BE0"/>
    <w:rsid w:val="00157D8E"/>
    <w:rsid w:val="00160189"/>
    <w:rsid w:val="00160264"/>
    <w:rsid w:val="001607B2"/>
    <w:rsid w:val="001609B6"/>
    <w:rsid w:val="00160B5A"/>
    <w:rsid w:val="00160CED"/>
    <w:rsid w:val="001611AA"/>
    <w:rsid w:val="001612DF"/>
    <w:rsid w:val="0016142D"/>
    <w:rsid w:val="001617B2"/>
    <w:rsid w:val="001617C5"/>
    <w:rsid w:val="001617E4"/>
    <w:rsid w:val="00161A87"/>
    <w:rsid w:val="00161A94"/>
    <w:rsid w:val="00161BAC"/>
    <w:rsid w:val="0016216C"/>
    <w:rsid w:val="00162A74"/>
    <w:rsid w:val="00162D16"/>
    <w:rsid w:val="00162E37"/>
    <w:rsid w:val="00162F2B"/>
    <w:rsid w:val="001635CE"/>
    <w:rsid w:val="00163861"/>
    <w:rsid w:val="00163BBD"/>
    <w:rsid w:val="00163C3D"/>
    <w:rsid w:val="00164093"/>
    <w:rsid w:val="00164098"/>
    <w:rsid w:val="0016426A"/>
    <w:rsid w:val="00164416"/>
    <w:rsid w:val="00164469"/>
    <w:rsid w:val="0016465B"/>
    <w:rsid w:val="00164B72"/>
    <w:rsid w:val="0016509D"/>
    <w:rsid w:val="00165851"/>
    <w:rsid w:val="001658C8"/>
    <w:rsid w:val="00165D07"/>
    <w:rsid w:val="00166084"/>
    <w:rsid w:val="00167207"/>
    <w:rsid w:val="0016745A"/>
    <w:rsid w:val="0016761F"/>
    <w:rsid w:val="00167854"/>
    <w:rsid w:val="00167BCA"/>
    <w:rsid w:val="00167D31"/>
    <w:rsid w:val="00167EBD"/>
    <w:rsid w:val="00170012"/>
    <w:rsid w:val="001702B3"/>
    <w:rsid w:val="00170372"/>
    <w:rsid w:val="00170681"/>
    <w:rsid w:val="0017068E"/>
    <w:rsid w:val="001707C1"/>
    <w:rsid w:val="0017088E"/>
    <w:rsid w:val="00170D78"/>
    <w:rsid w:val="00170DD8"/>
    <w:rsid w:val="00170F3E"/>
    <w:rsid w:val="0017124A"/>
    <w:rsid w:val="001713EA"/>
    <w:rsid w:val="00171544"/>
    <w:rsid w:val="001716F1"/>
    <w:rsid w:val="00171870"/>
    <w:rsid w:val="00171E98"/>
    <w:rsid w:val="00172235"/>
    <w:rsid w:val="0017230C"/>
    <w:rsid w:val="00172641"/>
    <w:rsid w:val="0017280C"/>
    <w:rsid w:val="001729A4"/>
    <w:rsid w:val="00172CC7"/>
    <w:rsid w:val="00172E4A"/>
    <w:rsid w:val="00172F2C"/>
    <w:rsid w:val="0017337F"/>
    <w:rsid w:val="00173549"/>
    <w:rsid w:val="00173ED9"/>
    <w:rsid w:val="00173F4B"/>
    <w:rsid w:val="00173FCD"/>
    <w:rsid w:val="00174270"/>
    <w:rsid w:val="001742B7"/>
    <w:rsid w:val="0017446C"/>
    <w:rsid w:val="001745FD"/>
    <w:rsid w:val="001746B3"/>
    <w:rsid w:val="00174734"/>
    <w:rsid w:val="001749C6"/>
    <w:rsid w:val="00175141"/>
    <w:rsid w:val="00175273"/>
    <w:rsid w:val="001753D1"/>
    <w:rsid w:val="00175415"/>
    <w:rsid w:val="001756F4"/>
    <w:rsid w:val="001758C9"/>
    <w:rsid w:val="00175B75"/>
    <w:rsid w:val="00175C77"/>
    <w:rsid w:val="00175DDB"/>
    <w:rsid w:val="00175EA1"/>
    <w:rsid w:val="00175EC5"/>
    <w:rsid w:val="0017639E"/>
    <w:rsid w:val="0017658A"/>
    <w:rsid w:val="00176865"/>
    <w:rsid w:val="0017699F"/>
    <w:rsid w:val="0017714C"/>
    <w:rsid w:val="00177462"/>
    <w:rsid w:val="00177820"/>
    <w:rsid w:val="00177C02"/>
    <w:rsid w:val="00177C18"/>
    <w:rsid w:val="00177CE8"/>
    <w:rsid w:val="00177EF5"/>
    <w:rsid w:val="00180528"/>
    <w:rsid w:val="00180734"/>
    <w:rsid w:val="00180BCF"/>
    <w:rsid w:val="00180E2A"/>
    <w:rsid w:val="0018129E"/>
    <w:rsid w:val="0018159D"/>
    <w:rsid w:val="0018182B"/>
    <w:rsid w:val="00181983"/>
    <w:rsid w:val="00181CA9"/>
    <w:rsid w:val="0018213C"/>
    <w:rsid w:val="001821D0"/>
    <w:rsid w:val="001821F5"/>
    <w:rsid w:val="001823B2"/>
    <w:rsid w:val="00182478"/>
    <w:rsid w:val="00182505"/>
    <w:rsid w:val="00182908"/>
    <w:rsid w:val="0018296E"/>
    <w:rsid w:val="00182AAC"/>
    <w:rsid w:val="00182ACF"/>
    <w:rsid w:val="00182B2E"/>
    <w:rsid w:val="00182FBD"/>
    <w:rsid w:val="00183035"/>
    <w:rsid w:val="00183266"/>
    <w:rsid w:val="00183EE9"/>
    <w:rsid w:val="00184071"/>
    <w:rsid w:val="00184169"/>
    <w:rsid w:val="001844FD"/>
    <w:rsid w:val="00184629"/>
    <w:rsid w:val="0018463D"/>
    <w:rsid w:val="00184BD1"/>
    <w:rsid w:val="00184D37"/>
    <w:rsid w:val="001850B8"/>
    <w:rsid w:val="00185897"/>
    <w:rsid w:val="00185AA0"/>
    <w:rsid w:val="00185CC4"/>
    <w:rsid w:val="00185D2B"/>
    <w:rsid w:val="00186100"/>
    <w:rsid w:val="00186333"/>
    <w:rsid w:val="0018677A"/>
    <w:rsid w:val="00186BCF"/>
    <w:rsid w:val="00186DF3"/>
    <w:rsid w:val="00186FD2"/>
    <w:rsid w:val="001874E4"/>
    <w:rsid w:val="001875CA"/>
    <w:rsid w:val="001875D1"/>
    <w:rsid w:val="00187A30"/>
    <w:rsid w:val="00187C22"/>
    <w:rsid w:val="00190083"/>
    <w:rsid w:val="0019070B"/>
    <w:rsid w:val="001907C6"/>
    <w:rsid w:val="00190944"/>
    <w:rsid w:val="001913D1"/>
    <w:rsid w:val="00191661"/>
    <w:rsid w:val="00191805"/>
    <w:rsid w:val="00191B22"/>
    <w:rsid w:val="00191B6C"/>
    <w:rsid w:val="00191DFA"/>
    <w:rsid w:val="00191F3F"/>
    <w:rsid w:val="001922B0"/>
    <w:rsid w:val="00192436"/>
    <w:rsid w:val="00192A2C"/>
    <w:rsid w:val="00192D94"/>
    <w:rsid w:val="00192DF5"/>
    <w:rsid w:val="00192E4F"/>
    <w:rsid w:val="0019326E"/>
    <w:rsid w:val="00193695"/>
    <w:rsid w:val="0019405E"/>
    <w:rsid w:val="00194497"/>
    <w:rsid w:val="00194781"/>
    <w:rsid w:val="001948C6"/>
    <w:rsid w:val="00194B2F"/>
    <w:rsid w:val="00194BC9"/>
    <w:rsid w:val="00194C93"/>
    <w:rsid w:val="00194D95"/>
    <w:rsid w:val="00194F5E"/>
    <w:rsid w:val="001950C2"/>
    <w:rsid w:val="001955FE"/>
    <w:rsid w:val="0019576B"/>
    <w:rsid w:val="0019578E"/>
    <w:rsid w:val="00195A65"/>
    <w:rsid w:val="00195BE4"/>
    <w:rsid w:val="00196177"/>
    <w:rsid w:val="00196260"/>
    <w:rsid w:val="00196AE1"/>
    <w:rsid w:val="00196FF3"/>
    <w:rsid w:val="00197227"/>
    <w:rsid w:val="00197300"/>
    <w:rsid w:val="001976E7"/>
    <w:rsid w:val="00197858"/>
    <w:rsid w:val="001978C2"/>
    <w:rsid w:val="00197BA4"/>
    <w:rsid w:val="00197D9D"/>
    <w:rsid w:val="001A0758"/>
    <w:rsid w:val="001A0B9E"/>
    <w:rsid w:val="001A1326"/>
    <w:rsid w:val="001A1587"/>
    <w:rsid w:val="001A1657"/>
    <w:rsid w:val="001A1894"/>
    <w:rsid w:val="001A1943"/>
    <w:rsid w:val="001A1C11"/>
    <w:rsid w:val="001A23CD"/>
    <w:rsid w:val="001A2598"/>
    <w:rsid w:val="001A25A6"/>
    <w:rsid w:val="001A2882"/>
    <w:rsid w:val="001A289D"/>
    <w:rsid w:val="001A2AF8"/>
    <w:rsid w:val="001A2BFB"/>
    <w:rsid w:val="001A2ED9"/>
    <w:rsid w:val="001A345B"/>
    <w:rsid w:val="001A359F"/>
    <w:rsid w:val="001A3827"/>
    <w:rsid w:val="001A3DF7"/>
    <w:rsid w:val="001A3F5F"/>
    <w:rsid w:val="001A4421"/>
    <w:rsid w:val="001A4681"/>
    <w:rsid w:val="001A500C"/>
    <w:rsid w:val="001A5156"/>
    <w:rsid w:val="001A529B"/>
    <w:rsid w:val="001A535D"/>
    <w:rsid w:val="001A5501"/>
    <w:rsid w:val="001A5773"/>
    <w:rsid w:val="001A599D"/>
    <w:rsid w:val="001A5BFE"/>
    <w:rsid w:val="001A5D24"/>
    <w:rsid w:val="001A5DA5"/>
    <w:rsid w:val="001A5EA3"/>
    <w:rsid w:val="001A624D"/>
    <w:rsid w:val="001A632A"/>
    <w:rsid w:val="001A6B60"/>
    <w:rsid w:val="001A6DF5"/>
    <w:rsid w:val="001A70EC"/>
    <w:rsid w:val="001A735E"/>
    <w:rsid w:val="001A75BE"/>
    <w:rsid w:val="001A7730"/>
    <w:rsid w:val="001A7BF9"/>
    <w:rsid w:val="001A7C4C"/>
    <w:rsid w:val="001A7C71"/>
    <w:rsid w:val="001A7D58"/>
    <w:rsid w:val="001A7FDA"/>
    <w:rsid w:val="001B05C0"/>
    <w:rsid w:val="001B0FAC"/>
    <w:rsid w:val="001B14ED"/>
    <w:rsid w:val="001B1565"/>
    <w:rsid w:val="001B1663"/>
    <w:rsid w:val="001B1D5B"/>
    <w:rsid w:val="001B1F51"/>
    <w:rsid w:val="001B1F89"/>
    <w:rsid w:val="001B224D"/>
    <w:rsid w:val="001B261C"/>
    <w:rsid w:val="001B28A9"/>
    <w:rsid w:val="001B2A70"/>
    <w:rsid w:val="001B2C10"/>
    <w:rsid w:val="001B2E07"/>
    <w:rsid w:val="001B3754"/>
    <w:rsid w:val="001B37CC"/>
    <w:rsid w:val="001B3AC0"/>
    <w:rsid w:val="001B3E4B"/>
    <w:rsid w:val="001B40B2"/>
    <w:rsid w:val="001B420F"/>
    <w:rsid w:val="001B421C"/>
    <w:rsid w:val="001B477C"/>
    <w:rsid w:val="001B51A3"/>
    <w:rsid w:val="001B5612"/>
    <w:rsid w:val="001B59ED"/>
    <w:rsid w:val="001B5B21"/>
    <w:rsid w:val="001B5F2B"/>
    <w:rsid w:val="001B5F84"/>
    <w:rsid w:val="001B600C"/>
    <w:rsid w:val="001B60C8"/>
    <w:rsid w:val="001B61DF"/>
    <w:rsid w:val="001B63CF"/>
    <w:rsid w:val="001B641B"/>
    <w:rsid w:val="001B65D4"/>
    <w:rsid w:val="001B66F7"/>
    <w:rsid w:val="001B6C5A"/>
    <w:rsid w:val="001B7349"/>
    <w:rsid w:val="001B78B4"/>
    <w:rsid w:val="001B7991"/>
    <w:rsid w:val="001B7F8D"/>
    <w:rsid w:val="001C010B"/>
    <w:rsid w:val="001C0286"/>
    <w:rsid w:val="001C0373"/>
    <w:rsid w:val="001C037D"/>
    <w:rsid w:val="001C04FA"/>
    <w:rsid w:val="001C05C9"/>
    <w:rsid w:val="001C060B"/>
    <w:rsid w:val="001C08AD"/>
    <w:rsid w:val="001C0F5E"/>
    <w:rsid w:val="001C13D0"/>
    <w:rsid w:val="001C20F2"/>
    <w:rsid w:val="001C293E"/>
    <w:rsid w:val="001C2979"/>
    <w:rsid w:val="001C29DF"/>
    <w:rsid w:val="001C2A40"/>
    <w:rsid w:val="001C2B9C"/>
    <w:rsid w:val="001C2D10"/>
    <w:rsid w:val="001C2E50"/>
    <w:rsid w:val="001C319F"/>
    <w:rsid w:val="001C33C1"/>
    <w:rsid w:val="001C3B3C"/>
    <w:rsid w:val="001C3E9D"/>
    <w:rsid w:val="001C3FD5"/>
    <w:rsid w:val="001C42D8"/>
    <w:rsid w:val="001C43BE"/>
    <w:rsid w:val="001C466E"/>
    <w:rsid w:val="001C4848"/>
    <w:rsid w:val="001C4BF0"/>
    <w:rsid w:val="001C4E69"/>
    <w:rsid w:val="001C4EE3"/>
    <w:rsid w:val="001C5063"/>
    <w:rsid w:val="001C50C3"/>
    <w:rsid w:val="001C52AD"/>
    <w:rsid w:val="001C5568"/>
    <w:rsid w:val="001C5629"/>
    <w:rsid w:val="001C5656"/>
    <w:rsid w:val="001C592E"/>
    <w:rsid w:val="001C5CED"/>
    <w:rsid w:val="001C5F77"/>
    <w:rsid w:val="001C6025"/>
    <w:rsid w:val="001C60B5"/>
    <w:rsid w:val="001C60FF"/>
    <w:rsid w:val="001C61DC"/>
    <w:rsid w:val="001C64BC"/>
    <w:rsid w:val="001C672B"/>
    <w:rsid w:val="001C67E0"/>
    <w:rsid w:val="001C68B8"/>
    <w:rsid w:val="001C6B32"/>
    <w:rsid w:val="001C6D50"/>
    <w:rsid w:val="001C71DF"/>
    <w:rsid w:val="001C7722"/>
    <w:rsid w:val="001C786B"/>
    <w:rsid w:val="001C7B9C"/>
    <w:rsid w:val="001C7BB6"/>
    <w:rsid w:val="001C7D9E"/>
    <w:rsid w:val="001C7E89"/>
    <w:rsid w:val="001D0440"/>
    <w:rsid w:val="001D06DC"/>
    <w:rsid w:val="001D0BCD"/>
    <w:rsid w:val="001D106F"/>
    <w:rsid w:val="001D19FA"/>
    <w:rsid w:val="001D232E"/>
    <w:rsid w:val="001D2840"/>
    <w:rsid w:val="001D2D96"/>
    <w:rsid w:val="001D2F78"/>
    <w:rsid w:val="001D319D"/>
    <w:rsid w:val="001D400C"/>
    <w:rsid w:val="001D4124"/>
    <w:rsid w:val="001D471D"/>
    <w:rsid w:val="001D4FAF"/>
    <w:rsid w:val="001D504D"/>
    <w:rsid w:val="001D51D4"/>
    <w:rsid w:val="001D59AA"/>
    <w:rsid w:val="001D5BE7"/>
    <w:rsid w:val="001D5E77"/>
    <w:rsid w:val="001D5E97"/>
    <w:rsid w:val="001D5F2E"/>
    <w:rsid w:val="001D61EA"/>
    <w:rsid w:val="001D6456"/>
    <w:rsid w:val="001D69CD"/>
    <w:rsid w:val="001D6F47"/>
    <w:rsid w:val="001D73A8"/>
    <w:rsid w:val="001D73F6"/>
    <w:rsid w:val="001D74C0"/>
    <w:rsid w:val="001D76E7"/>
    <w:rsid w:val="001D7BFA"/>
    <w:rsid w:val="001D7D91"/>
    <w:rsid w:val="001D7DA8"/>
    <w:rsid w:val="001DD07D"/>
    <w:rsid w:val="001E0213"/>
    <w:rsid w:val="001E057C"/>
    <w:rsid w:val="001E0589"/>
    <w:rsid w:val="001E0625"/>
    <w:rsid w:val="001E072E"/>
    <w:rsid w:val="001E07FB"/>
    <w:rsid w:val="001E089D"/>
    <w:rsid w:val="001E0907"/>
    <w:rsid w:val="001E0B23"/>
    <w:rsid w:val="001E0B24"/>
    <w:rsid w:val="001E0DE4"/>
    <w:rsid w:val="001E146C"/>
    <w:rsid w:val="001E1485"/>
    <w:rsid w:val="001E153E"/>
    <w:rsid w:val="001E1684"/>
    <w:rsid w:val="001E1B60"/>
    <w:rsid w:val="001E2122"/>
    <w:rsid w:val="001E216E"/>
    <w:rsid w:val="001E2264"/>
    <w:rsid w:val="001E2375"/>
    <w:rsid w:val="001E24B7"/>
    <w:rsid w:val="001E284F"/>
    <w:rsid w:val="001E2862"/>
    <w:rsid w:val="001E2923"/>
    <w:rsid w:val="001E2B03"/>
    <w:rsid w:val="001E2B84"/>
    <w:rsid w:val="001E2EF3"/>
    <w:rsid w:val="001E2F46"/>
    <w:rsid w:val="001E3188"/>
    <w:rsid w:val="001E338C"/>
    <w:rsid w:val="001E355D"/>
    <w:rsid w:val="001E361C"/>
    <w:rsid w:val="001E3D7C"/>
    <w:rsid w:val="001E3FB3"/>
    <w:rsid w:val="001E4072"/>
    <w:rsid w:val="001E4255"/>
    <w:rsid w:val="001E4464"/>
    <w:rsid w:val="001E45B5"/>
    <w:rsid w:val="001E4D64"/>
    <w:rsid w:val="001E541A"/>
    <w:rsid w:val="001E5A89"/>
    <w:rsid w:val="001E5B99"/>
    <w:rsid w:val="001E60C1"/>
    <w:rsid w:val="001E61FC"/>
    <w:rsid w:val="001E62C1"/>
    <w:rsid w:val="001E66DF"/>
    <w:rsid w:val="001E6AA5"/>
    <w:rsid w:val="001E6F41"/>
    <w:rsid w:val="001E7112"/>
    <w:rsid w:val="001E72D3"/>
    <w:rsid w:val="001E731B"/>
    <w:rsid w:val="001E7655"/>
    <w:rsid w:val="001E76AA"/>
    <w:rsid w:val="001E7B02"/>
    <w:rsid w:val="001E7B3D"/>
    <w:rsid w:val="001E7C50"/>
    <w:rsid w:val="001E7DD6"/>
    <w:rsid w:val="001E7F46"/>
    <w:rsid w:val="001F0301"/>
    <w:rsid w:val="001F0396"/>
    <w:rsid w:val="001F04DE"/>
    <w:rsid w:val="001F0DC5"/>
    <w:rsid w:val="001F0EC2"/>
    <w:rsid w:val="001F1344"/>
    <w:rsid w:val="001F181A"/>
    <w:rsid w:val="001F1C1B"/>
    <w:rsid w:val="001F1E12"/>
    <w:rsid w:val="001F228C"/>
    <w:rsid w:val="001F254B"/>
    <w:rsid w:val="001F2D6C"/>
    <w:rsid w:val="001F2D8E"/>
    <w:rsid w:val="001F30BB"/>
    <w:rsid w:val="001F3816"/>
    <w:rsid w:val="001F3C1A"/>
    <w:rsid w:val="001F3F75"/>
    <w:rsid w:val="001F42C8"/>
    <w:rsid w:val="001F4313"/>
    <w:rsid w:val="001F43C5"/>
    <w:rsid w:val="001F483D"/>
    <w:rsid w:val="001F48B0"/>
    <w:rsid w:val="001F48BC"/>
    <w:rsid w:val="001F4A2C"/>
    <w:rsid w:val="001F4BF0"/>
    <w:rsid w:val="001F5025"/>
    <w:rsid w:val="001F5883"/>
    <w:rsid w:val="001F58BC"/>
    <w:rsid w:val="001F5999"/>
    <w:rsid w:val="001F5D92"/>
    <w:rsid w:val="001F626F"/>
    <w:rsid w:val="001F642A"/>
    <w:rsid w:val="001F65BE"/>
    <w:rsid w:val="001F6808"/>
    <w:rsid w:val="001F688F"/>
    <w:rsid w:val="001F6BD3"/>
    <w:rsid w:val="001F6D9C"/>
    <w:rsid w:val="001F71BB"/>
    <w:rsid w:val="001F73D7"/>
    <w:rsid w:val="001F76B7"/>
    <w:rsid w:val="001F7994"/>
    <w:rsid w:val="001F7AD2"/>
    <w:rsid w:val="001F7ADE"/>
    <w:rsid w:val="001F7EF6"/>
    <w:rsid w:val="001F7FDB"/>
    <w:rsid w:val="001FA841"/>
    <w:rsid w:val="00200003"/>
    <w:rsid w:val="00200087"/>
    <w:rsid w:val="00200265"/>
    <w:rsid w:val="00200439"/>
    <w:rsid w:val="00200606"/>
    <w:rsid w:val="00200642"/>
    <w:rsid w:val="00200D40"/>
    <w:rsid w:val="00200D83"/>
    <w:rsid w:val="00200EC1"/>
    <w:rsid w:val="00201012"/>
    <w:rsid w:val="00201015"/>
    <w:rsid w:val="002011F8"/>
    <w:rsid w:val="0020200A"/>
    <w:rsid w:val="00202297"/>
    <w:rsid w:val="00202363"/>
    <w:rsid w:val="00202366"/>
    <w:rsid w:val="002025D6"/>
    <w:rsid w:val="00203158"/>
    <w:rsid w:val="002034D3"/>
    <w:rsid w:val="0020383A"/>
    <w:rsid w:val="002038DB"/>
    <w:rsid w:val="00203A40"/>
    <w:rsid w:val="002040DC"/>
    <w:rsid w:val="002042CE"/>
    <w:rsid w:val="00204759"/>
    <w:rsid w:val="00204822"/>
    <w:rsid w:val="00204847"/>
    <w:rsid w:val="00204DBC"/>
    <w:rsid w:val="00204FFF"/>
    <w:rsid w:val="0020540A"/>
    <w:rsid w:val="0020561C"/>
    <w:rsid w:val="00205704"/>
    <w:rsid w:val="00205940"/>
    <w:rsid w:val="00205D8B"/>
    <w:rsid w:val="00205FE9"/>
    <w:rsid w:val="0020631B"/>
    <w:rsid w:val="00206487"/>
    <w:rsid w:val="00206607"/>
    <w:rsid w:val="0020668B"/>
    <w:rsid w:val="00206700"/>
    <w:rsid w:val="002067BB"/>
    <w:rsid w:val="00206841"/>
    <w:rsid w:val="002068E9"/>
    <w:rsid w:val="002070F4"/>
    <w:rsid w:val="002072A4"/>
    <w:rsid w:val="00207425"/>
    <w:rsid w:val="00207957"/>
    <w:rsid w:val="00207A6D"/>
    <w:rsid w:val="00207DB5"/>
    <w:rsid w:val="00207F1A"/>
    <w:rsid w:val="00207F33"/>
    <w:rsid w:val="002101EA"/>
    <w:rsid w:val="002107AE"/>
    <w:rsid w:val="00210894"/>
    <w:rsid w:val="00210BF5"/>
    <w:rsid w:val="00210DAA"/>
    <w:rsid w:val="002110F2"/>
    <w:rsid w:val="0021134F"/>
    <w:rsid w:val="0021173E"/>
    <w:rsid w:val="002119F1"/>
    <w:rsid w:val="002119F7"/>
    <w:rsid w:val="00211A4C"/>
    <w:rsid w:val="00211F5F"/>
    <w:rsid w:val="002124E0"/>
    <w:rsid w:val="002125F7"/>
    <w:rsid w:val="002127DE"/>
    <w:rsid w:val="00212893"/>
    <w:rsid w:val="00212A91"/>
    <w:rsid w:val="00212B59"/>
    <w:rsid w:val="00212DCD"/>
    <w:rsid w:val="00212E08"/>
    <w:rsid w:val="00212F53"/>
    <w:rsid w:val="00213087"/>
    <w:rsid w:val="00213542"/>
    <w:rsid w:val="0021392C"/>
    <w:rsid w:val="00213B5D"/>
    <w:rsid w:val="00213BAC"/>
    <w:rsid w:val="00213D10"/>
    <w:rsid w:val="00214029"/>
    <w:rsid w:val="002141B2"/>
    <w:rsid w:val="00214970"/>
    <w:rsid w:val="00214D50"/>
    <w:rsid w:val="002154D7"/>
    <w:rsid w:val="00215E71"/>
    <w:rsid w:val="00216368"/>
    <w:rsid w:val="002163FC"/>
    <w:rsid w:val="0021653B"/>
    <w:rsid w:val="0021663D"/>
    <w:rsid w:val="002166ED"/>
    <w:rsid w:val="002167D2"/>
    <w:rsid w:val="0021683E"/>
    <w:rsid w:val="00216C58"/>
    <w:rsid w:val="00216DF1"/>
    <w:rsid w:val="0021730B"/>
    <w:rsid w:val="0021744D"/>
    <w:rsid w:val="002176FE"/>
    <w:rsid w:val="00217863"/>
    <w:rsid w:val="00217865"/>
    <w:rsid w:val="0021794B"/>
    <w:rsid w:val="00217BF1"/>
    <w:rsid w:val="00217F4A"/>
    <w:rsid w:val="0022015F"/>
    <w:rsid w:val="00220418"/>
    <w:rsid w:val="0022064F"/>
    <w:rsid w:val="0022088D"/>
    <w:rsid w:val="002209A4"/>
    <w:rsid w:val="00220A84"/>
    <w:rsid w:val="00220BD9"/>
    <w:rsid w:val="0022163B"/>
    <w:rsid w:val="0022167F"/>
    <w:rsid w:val="0022173E"/>
    <w:rsid w:val="00221A00"/>
    <w:rsid w:val="00221D43"/>
    <w:rsid w:val="00221EED"/>
    <w:rsid w:val="00222599"/>
    <w:rsid w:val="00222A0C"/>
    <w:rsid w:val="00222CCF"/>
    <w:rsid w:val="00222EB8"/>
    <w:rsid w:val="00222F71"/>
    <w:rsid w:val="00222FD2"/>
    <w:rsid w:val="002231D8"/>
    <w:rsid w:val="00223BC7"/>
    <w:rsid w:val="00223C5A"/>
    <w:rsid w:val="00223E60"/>
    <w:rsid w:val="00223E7C"/>
    <w:rsid w:val="0022409B"/>
    <w:rsid w:val="00224A13"/>
    <w:rsid w:val="00224DA4"/>
    <w:rsid w:val="00224FB9"/>
    <w:rsid w:val="002257F8"/>
    <w:rsid w:val="0022600A"/>
    <w:rsid w:val="00226604"/>
    <w:rsid w:val="00226739"/>
    <w:rsid w:val="00226882"/>
    <w:rsid w:val="002268E4"/>
    <w:rsid w:val="0022708A"/>
    <w:rsid w:val="002274B1"/>
    <w:rsid w:val="00227D7C"/>
    <w:rsid w:val="00227F98"/>
    <w:rsid w:val="0023024D"/>
    <w:rsid w:val="002305E1"/>
    <w:rsid w:val="00230739"/>
    <w:rsid w:val="002307A3"/>
    <w:rsid w:val="00230A0B"/>
    <w:rsid w:val="002310CB"/>
    <w:rsid w:val="002313C6"/>
    <w:rsid w:val="002319C4"/>
    <w:rsid w:val="00232266"/>
    <w:rsid w:val="002323AE"/>
    <w:rsid w:val="00232D33"/>
    <w:rsid w:val="00232F80"/>
    <w:rsid w:val="00233499"/>
    <w:rsid w:val="00233A96"/>
    <w:rsid w:val="00233CB0"/>
    <w:rsid w:val="00233F3F"/>
    <w:rsid w:val="00234210"/>
    <w:rsid w:val="0023458D"/>
    <w:rsid w:val="002348D3"/>
    <w:rsid w:val="00234986"/>
    <w:rsid w:val="00234A59"/>
    <w:rsid w:val="00234E1F"/>
    <w:rsid w:val="00235058"/>
    <w:rsid w:val="00235667"/>
    <w:rsid w:val="00235B36"/>
    <w:rsid w:val="00235CDD"/>
    <w:rsid w:val="00235F2B"/>
    <w:rsid w:val="002360F8"/>
    <w:rsid w:val="00236210"/>
    <w:rsid w:val="00236693"/>
    <w:rsid w:val="00236919"/>
    <w:rsid w:val="00236946"/>
    <w:rsid w:val="0023694C"/>
    <w:rsid w:val="002375B9"/>
    <w:rsid w:val="002376AC"/>
    <w:rsid w:val="00237972"/>
    <w:rsid w:val="00237ADC"/>
    <w:rsid w:val="00237BD3"/>
    <w:rsid w:val="00237BD4"/>
    <w:rsid w:val="00237DFD"/>
    <w:rsid w:val="00240300"/>
    <w:rsid w:val="00240775"/>
    <w:rsid w:val="002407A9"/>
    <w:rsid w:val="00240C24"/>
    <w:rsid w:val="00240E96"/>
    <w:rsid w:val="00241006"/>
    <w:rsid w:val="00241093"/>
    <w:rsid w:val="00241651"/>
    <w:rsid w:val="002417AC"/>
    <w:rsid w:val="002417C3"/>
    <w:rsid w:val="00241D8A"/>
    <w:rsid w:val="00241F53"/>
    <w:rsid w:val="002425C8"/>
    <w:rsid w:val="0024272F"/>
    <w:rsid w:val="00242AF8"/>
    <w:rsid w:val="00242F1F"/>
    <w:rsid w:val="00242F66"/>
    <w:rsid w:val="0024302D"/>
    <w:rsid w:val="00243134"/>
    <w:rsid w:val="00243440"/>
    <w:rsid w:val="00243930"/>
    <w:rsid w:val="00243AA6"/>
    <w:rsid w:val="00243BDA"/>
    <w:rsid w:val="00244260"/>
    <w:rsid w:val="002449C3"/>
    <w:rsid w:val="00244B0D"/>
    <w:rsid w:val="00244F1D"/>
    <w:rsid w:val="002456E0"/>
    <w:rsid w:val="002458C2"/>
    <w:rsid w:val="002458CC"/>
    <w:rsid w:val="00245D0F"/>
    <w:rsid w:val="002460F0"/>
    <w:rsid w:val="002462A8"/>
    <w:rsid w:val="00246563"/>
    <w:rsid w:val="002465E9"/>
    <w:rsid w:val="00246A57"/>
    <w:rsid w:val="00246B93"/>
    <w:rsid w:val="00246C6E"/>
    <w:rsid w:val="00246E43"/>
    <w:rsid w:val="002471CA"/>
    <w:rsid w:val="0024732C"/>
    <w:rsid w:val="0024749C"/>
    <w:rsid w:val="00247979"/>
    <w:rsid w:val="002479A5"/>
    <w:rsid w:val="00247C3D"/>
    <w:rsid w:val="002500A8"/>
    <w:rsid w:val="00250194"/>
    <w:rsid w:val="002504D8"/>
    <w:rsid w:val="00250B00"/>
    <w:rsid w:val="00250C09"/>
    <w:rsid w:val="00250C8A"/>
    <w:rsid w:val="00251141"/>
    <w:rsid w:val="002517BC"/>
    <w:rsid w:val="002519E1"/>
    <w:rsid w:val="00251B12"/>
    <w:rsid w:val="00251E1A"/>
    <w:rsid w:val="00251E2A"/>
    <w:rsid w:val="0025202B"/>
    <w:rsid w:val="00252038"/>
    <w:rsid w:val="0025229B"/>
    <w:rsid w:val="002523E8"/>
    <w:rsid w:val="002524CE"/>
    <w:rsid w:val="002525D8"/>
    <w:rsid w:val="0025296F"/>
    <w:rsid w:val="00252A08"/>
    <w:rsid w:val="00252AEE"/>
    <w:rsid w:val="00252B70"/>
    <w:rsid w:val="00252C79"/>
    <w:rsid w:val="0025318A"/>
    <w:rsid w:val="0025375A"/>
    <w:rsid w:val="00253A0D"/>
    <w:rsid w:val="00253BE9"/>
    <w:rsid w:val="00253CFC"/>
    <w:rsid w:val="00253D4F"/>
    <w:rsid w:val="002540AE"/>
    <w:rsid w:val="0025425B"/>
    <w:rsid w:val="002543AE"/>
    <w:rsid w:val="00254B9F"/>
    <w:rsid w:val="00254F7E"/>
    <w:rsid w:val="002550BB"/>
    <w:rsid w:val="002550D4"/>
    <w:rsid w:val="002551CA"/>
    <w:rsid w:val="002556DA"/>
    <w:rsid w:val="0025576D"/>
    <w:rsid w:val="002557DD"/>
    <w:rsid w:val="0025583F"/>
    <w:rsid w:val="00255C05"/>
    <w:rsid w:val="00256097"/>
    <w:rsid w:val="00256134"/>
    <w:rsid w:val="002564F1"/>
    <w:rsid w:val="00256711"/>
    <w:rsid w:val="0025681A"/>
    <w:rsid w:val="00256881"/>
    <w:rsid w:val="00256905"/>
    <w:rsid w:val="00256C64"/>
    <w:rsid w:val="00256D43"/>
    <w:rsid w:val="00256DDC"/>
    <w:rsid w:val="00257631"/>
    <w:rsid w:val="002576E6"/>
    <w:rsid w:val="00257AA0"/>
    <w:rsid w:val="00257D91"/>
    <w:rsid w:val="00257F99"/>
    <w:rsid w:val="002603D7"/>
    <w:rsid w:val="002604F9"/>
    <w:rsid w:val="00260543"/>
    <w:rsid w:val="00260A3B"/>
    <w:rsid w:val="00260B10"/>
    <w:rsid w:val="00260B5A"/>
    <w:rsid w:val="00260B7A"/>
    <w:rsid w:val="002610C1"/>
    <w:rsid w:val="002613FA"/>
    <w:rsid w:val="002614EC"/>
    <w:rsid w:val="00261575"/>
    <w:rsid w:val="002616F1"/>
    <w:rsid w:val="00261DF4"/>
    <w:rsid w:val="00261E36"/>
    <w:rsid w:val="002621D0"/>
    <w:rsid w:val="002624EB"/>
    <w:rsid w:val="0026257B"/>
    <w:rsid w:val="0026298B"/>
    <w:rsid w:val="00262A21"/>
    <w:rsid w:val="00262A8C"/>
    <w:rsid w:val="002630D6"/>
    <w:rsid w:val="00263BA4"/>
    <w:rsid w:val="00263CCA"/>
    <w:rsid w:val="002643ED"/>
    <w:rsid w:val="002648E2"/>
    <w:rsid w:val="00264EF1"/>
    <w:rsid w:val="00265247"/>
    <w:rsid w:val="0026569C"/>
    <w:rsid w:val="00265AC8"/>
    <w:rsid w:val="00265B78"/>
    <w:rsid w:val="00265F3F"/>
    <w:rsid w:val="00265FC6"/>
    <w:rsid w:val="0026602A"/>
    <w:rsid w:val="002664D8"/>
    <w:rsid w:val="00266861"/>
    <w:rsid w:val="002668DC"/>
    <w:rsid w:val="002669A1"/>
    <w:rsid w:val="00266BB0"/>
    <w:rsid w:val="00266BD7"/>
    <w:rsid w:val="00266EBF"/>
    <w:rsid w:val="002670E4"/>
    <w:rsid w:val="00267169"/>
    <w:rsid w:val="00267387"/>
    <w:rsid w:val="0026751F"/>
    <w:rsid w:val="00267644"/>
    <w:rsid w:val="002676E6"/>
    <w:rsid w:val="00267CBE"/>
    <w:rsid w:val="00267CDC"/>
    <w:rsid w:val="00270304"/>
    <w:rsid w:val="0027054A"/>
    <w:rsid w:val="0027057D"/>
    <w:rsid w:val="002706B4"/>
    <w:rsid w:val="00270742"/>
    <w:rsid w:val="002709A7"/>
    <w:rsid w:val="00270C09"/>
    <w:rsid w:val="00270C8A"/>
    <w:rsid w:val="00270D87"/>
    <w:rsid w:val="00271168"/>
    <w:rsid w:val="00271544"/>
    <w:rsid w:val="002717B4"/>
    <w:rsid w:val="002719AE"/>
    <w:rsid w:val="00272556"/>
    <w:rsid w:val="00272717"/>
    <w:rsid w:val="00272C35"/>
    <w:rsid w:val="00272F8D"/>
    <w:rsid w:val="00272FE7"/>
    <w:rsid w:val="0027314F"/>
    <w:rsid w:val="00273769"/>
    <w:rsid w:val="00273BCE"/>
    <w:rsid w:val="00273DB1"/>
    <w:rsid w:val="00274CEE"/>
    <w:rsid w:val="00274DC0"/>
    <w:rsid w:val="00274E07"/>
    <w:rsid w:val="00274EA3"/>
    <w:rsid w:val="0027552E"/>
    <w:rsid w:val="002755F3"/>
    <w:rsid w:val="00275957"/>
    <w:rsid w:val="00275A29"/>
    <w:rsid w:val="00275A9A"/>
    <w:rsid w:val="00275C87"/>
    <w:rsid w:val="00275E32"/>
    <w:rsid w:val="00275F39"/>
    <w:rsid w:val="00276140"/>
    <w:rsid w:val="0027626C"/>
    <w:rsid w:val="002762DE"/>
    <w:rsid w:val="002765B4"/>
    <w:rsid w:val="00276661"/>
    <w:rsid w:val="00276858"/>
    <w:rsid w:val="00276A7F"/>
    <w:rsid w:val="00276F92"/>
    <w:rsid w:val="002770B4"/>
    <w:rsid w:val="002770B7"/>
    <w:rsid w:val="0027739C"/>
    <w:rsid w:val="002775EE"/>
    <w:rsid w:val="00277667"/>
    <w:rsid w:val="002779DD"/>
    <w:rsid w:val="00277B20"/>
    <w:rsid w:val="00277C7F"/>
    <w:rsid w:val="00277D34"/>
    <w:rsid w:val="00277DDB"/>
    <w:rsid w:val="002803FA"/>
    <w:rsid w:val="0028072C"/>
    <w:rsid w:val="0028085F"/>
    <w:rsid w:val="00280EB7"/>
    <w:rsid w:val="00281051"/>
    <w:rsid w:val="00281730"/>
    <w:rsid w:val="00281903"/>
    <w:rsid w:val="00281989"/>
    <w:rsid w:val="00281F78"/>
    <w:rsid w:val="00282855"/>
    <w:rsid w:val="00282882"/>
    <w:rsid w:val="00282BDC"/>
    <w:rsid w:val="00282D13"/>
    <w:rsid w:val="00282D57"/>
    <w:rsid w:val="00282DEC"/>
    <w:rsid w:val="00282F8C"/>
    <w:rsid w:val="0028366A"/>
    <w:rsid w:val="002839A8"/>
    <w:rsid w:val="00283AC2"/>
    <w:rsid w:val="00283EB2"/>
    <w:rsid w:val="00283EC8"/>
    <w:rsid w:val="00283F83"/>
    <w:rsid w:val="00284091"/>
    <w:rsid w:val="0028434C"/>
    <w:rsid w:val="002847FD"/>
    <w:rsid w:val="00284862"/>
    <w:rsid w:val="00284897"/>
    <w:rsid w:val="0028493C"/>
    <w:rsid w:val="00284E6D"/>
    <w:rsid w:val="0028511E"/>
    <w:rsid w:val="00285A75"/>
    <w:rsid w:val="00285B4F"/>
    <w:rsid w:val="00285F36"/>
    <w:rsid w:val="002860A0"/>
    <w:rsid w:val="002865C1"/>
    <w:rsid w:val="0028669F"/>
    <w:rsid w:val="00286C08"/>
    <w:rsid w:val="00286FA0"/>
    <w:rsid w:val="00287263"/>
    <w:rsid w:val="002872CF"/>
    <w:rsid w:val="0028742E"/>
    <w:rsid w:val="002874F3"/>
    <w:rsid w:val="00287537"/>
    <w:rsid w:val="00287742"/>
    <w:rsid w:val="0028782A"/>
    <w:rsid w:val="00287927"/>
    <w:rsid w:val="00287B4D"/>
    <w:rsid w:val="00287F24"/>
    <w:rsid w:val="00287FCE"/>
    <w:rsid w:val="002901A0"/>
    <w:rsid w:val="002901EC"/>
    <w:rsid w:val="00290393"/>
    <w:rsid w:val="00290762"/>
    <w:rsid w:val="00290ECB"/>
    <w:rsid w:val="00290F07"/>
    <w:rsid w:val="00290FFE"/>
    <w:rsid w:val="002912EF"/>
    <w:rsid w:val="002913EB"/>
    <w:rsid w:val="00291D64"/>
    <w:rsid w:val="00291DAF"/>
    <w:rsid w:val="00291F8B"/>
    <w:rsid w:val="00292099"/>
    <w:rsid w:val="00292D15"/>
    <w:rsid w:val="00292DD9"/>
    <w:rsid w:val="00292EA7"/>
    <w:rsid w:val="00292FD8"/>
    <w:rsid w:val="002934B8"/>
    <w:rsid w:val="00293630"/>
    <w:rsid w:val="00293638"/>
    <w:rsid w:val="0029387A"/>
    <w:rsid w:val="00293886"/>
    <w:rsid w:val="00293951"/>
    <w:rsid w:val="00293B36"/>
    <w:rsid w:val="00293B5C"/>
    <w:rsid w:val="00293C9D"/>
    <w:rsid w:val="00293CC4"/>
    <w:rsid w:val="00294470"/>
    <w:rsid w:val="002944A6"/>
    <w:rsid w:val="0029451D"/>
    <w:rsid w:val="0029471A"/>
    <w:rsid w:val="0029471E"/>
    <w:rsid w:val="0029480A"/>
    <w:rsid w:val="00294D83"/>
    <w:rsid w:val="00294E7F"/>
    <w:rsid w:val="0029505F"/>
    <w:rsid w:val="002952C5"/>
    <w:rsid w:val="00295617"/>
    <w:rsid w:val="002956A3"/>
    <w:rsid w:val="00295A01"/>
    <w:rsid w:val="00295AE3"/>
    <w:rsid w:val="0029604D"/>
    <w:rsid w:val="002960AD"/>
    <w:rsid w:val="00296571"/>
    <w:rsid w:val="002965DD"/>
    <w:rsid w:val="00296610"/>
    <w:rsid w:val="00296655"/>
    <w:rsid w:val="0029696A"/>
    <w:rsid w:val="00296AB5"/>
    <w:rsid w:val="00296D2F"/>
    <w:rsid w:val="00296ED8"/>
    <w:rsid w:val="00296EF9"/>
    <w:rsid w:val="0029712A"/>
    <w:rsid w:val="002974B5"/>
    <w:rsid w:val="00297829"/>
    <w:rsid w:val="00297991"/>
    <w:rsid w:val="00297ABC"/>
    <w:rsid w:val="00297F97"/>
    <w:rsid w:val="002A0065"/>
    <w:rsid w:val="002A0118"/>
    <w:rsid w:val="002A0397"/>
    <w:rsid w:val="002A08DB"/>
    <w:rsid w:val="002A0F2D"/>
    <w:rsid w:val="002A0FF9"/>
    <w:rsid w:val="002A1719"/>
    <w:rsid w:val="002A1CC9"/>
    <w:rsid w:val="002A1D40"/>
    <w:rsid w:val="002A2022"/>
    <w:rsid w:val="002A288E"/>
    <w:rsid w:val="002A2A22"/>
    <w:rsid w:val="002A2AFE"/>
    <w:rsid w:val="002A2BA5"/>
    <w:rsid w:val="002A2BFE"/>
    <w:rsid w:val="002A2F15"/>
    <w:rsid w:val="002A2FD8"/>
    <w:rsid w:val="002A30CB"/>
    <w:rsid w:val="002A31D6"/>
    <w:rsid w:val="002A3231"/>
    <w:rsid w:val="002A339F"/>
    <w:rsid w:val="002A3659"/>
    <w:rsid w:val="002A4744"/>
    <w:rsid w:val="002A484C"/>
    <w:rsid w:val="002A4F75"/>
    <w:rsid w:val="002A51B5"/>
    <w:rsid w:val="002A5293"/>
    <w:rsid w:val="002A52E1"/>
    <w:rsid w:val="002A5445"/>
    <w:rsid w:val="002A54C9"/>
    <w:rsid w:val="002A5550"/>
    <w:rsid w:val="002A58F6"/>
    <w:rsid w:val="002A5A39"/>
    <w:rsid w:val="002A5B0F"/>
    <w:rsid w:val="002A5FDB"/>
    <w:rsid w:val="002A61BF"/>
    <w:rsid w:val="002A646E"/>
    <w:rsid w:val="002A64E2"/>
    <w:rsid w:val="002A6617"/>
    <w:rsid w:val="002A6A7E"/>
    <w:rsid w:val="002A6D71"/>
    <w:rsid w:val="002A74B6"/>
    <w:rsid w:val="002A7625"/>
    <w:rsid w:val="002A76A7"/>
    <w:rsid w:val="002A76CA"/>
    <w:rsid w:val="002A786E"/>
    <w:rsid w:val="002A7AD7"/>
    <w:rsid w:val="002A7C2F"/>
    <w:rsid w:val="002B0549"/>
    <w:rsid w:val="002B0D3A"/>
    <w:rsid w:val="002B0DB4"/>
    <w:rsid w:val="002B1945"/>
    <w:rsid w:val="002B1A66"/>
    <w:rsid w:val="002B1E65"/>
    <w:rsid w:val="002B201C"/>
    <w:rsid w:val="002B212C"/>
    <w:rsid w:val="002B2898"/>
    <w:rsid w:val="002B2B6E"/>
    <w:rsid w:val="002B2D8A"/>
    <w:rsid w:val="002B359C"/>
    <w:rsid w:val="002B38FE"/>
    <w:rsid w:val="002B3C94"/>
    <w:rsid w:val="002B3D77"/>
    <w:rsid w:val="002B3ECF"/>
    <w:rsid w:val="002B427A"/>
    <w:rsid w:val="002B42B6"/>
    <w:rsid w:val="002B44C0"/>
    <w:rsid w:val="002B46F6"/>
    <w:rsid w:val="002B4744"/>
    <w:rsid w:val="002B4DE0"/>
    <w:rsid w:val="002B5076"/>
    <w:rsid w:val="002B52AC"/>
    <w:rsid w:val="002B55AD"/>
    <w:rsid w:val="002B56A6"/>
    <w:rsid w:val="002B5968"/>
    <w:rsid w:val="002B5983"/>
    <w:rsid w:val="002B5ABA"/>
    <w:rsid w:val="002B6770"/>
    <w:rsid w:val="002B68D0"/>
    <w:rsid w:val="002B6C7D"/>
    <w:rsid w:val="002B6CDE"/>
    <w:rsid w:val="002B6E25"/>
    <w:rsid w:val="002B7260"/>
    <w:rsid w:val="002B7901"/>
    <w:rsid w:val="002B7B83"/>
    <w:rsid w:val="002B7E6D"/>
    <w:rsid w:val="002B7ECD"/>
    <w:rsid w:val="002B7F09"/>
    <w:rsid w:val="002B7F91"/>
    <w:rsid w:val="002BF5EF"/>
    <w:rsid w:val="002C02A0"/>
    <w:rsid w:val="002C060C"/>
    <w:rsid w:val="002C0BB7"/>
    <w:rsid w:val="002C0DF3"/>
    <w:rsid w:val="002C0F12"/>
    <w:rsid w:val="002C0FBE"/>
    <w:rsid w:val="002C1194"/>
    <w:rsid w:val="002C121C"/>
    <w:rsid w:val="002C12B5"/>
    <w:rsid w:val="002C1365"/>
    <w:rsid w:val="002C1474"/>
    <w:rsid w:val="002C17D3"/>
    <w:rsid w:val="002C1821"/>
    <w:rsid w:val="002C184C"/>
    <w:rsid w:val="002C18ED"/>
    <w:rsid w:val="002C1FBA"/>
    <w:rsid w:val="002C21A4"/>
    <w:rsid w:val="002C22AB"/>
    <w:rsid w:val="002C2501"/>
    <w:rsid w:val="002C28EA"/>
    <w:rsid w:val="002C2B17"/>
    <w:rsid w:val="002C33B7"/>
    <w:rsid w:val="002C3535"/>
    <w:rsid w:val="002C3552"/>
    <w:rsid w:val="002C3742"/>
    <w:rsid w:val="002C3E46"/>
    <w:rsid w:val="002C3EC5"/>
    <w:rsid w:val="002C3F0E"/>
    <w:rsid w:val="002C3F22"/>
    <w:rsid w:val="002C455E"/>
    <w:rsid w:val="002C4D46"/>
    <w:rsid w:val="002C4E28"/>
    <w:rsid w:val="002C552F"/>
    <w:rsid w:val="002C5840"/>
    <w:rsid w:val="002C5CE6"/>
    <w:rsid w:val="002C5D8D"/>
    <w:rsid w:val="002C5EDF"/>
    <w:rsid w:val="002C60C4"/>
    <w:rsid w:val="002C6102"/>
    <w:rsid w:val="002C616B"/>
    <w:rsid w:val="002C679D"/>
    <w:rsid w:val="002C6884"/>
    <w:rsid w:val="002C6C3E"/>
    <w:rsid w:val="002C77BD"/>
    <w:rsid w:val="002C7F7A"/>
    <w:rsid w:val="002C8873"/>
    <w:rsid w:val="002D0716"/>
    <w:rsid w:val="002D0803"/>
    <w:rsid w:val="002D0846"/>
    <w:rsid w:val="002D1123"/>
    <w:rsid w:val="002D11D8"/>
    <w:rsid w:val="002D1581"/>
    <w:rsid w:val="002D1778"/>
    <w:rsid w:val="002D1A3D"/>
    <w:rsid w:val="002D1DAE"/>
    <w:rsid w:val="002D1E80"/>
    <w:rsid w:val="002D227C"/>
    <w:rsid w:val="002D2721"/>
    <w:rsid w:val="002D2EF8"/>
    <w:rsid w:val="002D2EFC"/>
    <w:rsid w:val="002D3113"/>
    <w:rsid w:val="002D322E"/>
    <w:rsid w:val="002D37A0"/>
    <w:rsid w:val="002D37ED"/>
    <w:rsid w:val="002D4950"/>
    <w:rsid w:val="002D496E"/>
    <w:rsid w:val="002D4A88"/>
    <w:rsid w:val="002D4B1C"/>
    <w:rsid w:val="002D4EB4"/>
    <w:rsid w:val="002D54E4"/>
    <w:rsid w:val="002D581A"/>
    <w:rsid w:val="002D5B2B"/>
    <w:rsid w:val="002D5D57"/>
    <w:rsid w:val="002D5EC7"/>
    <w:rsid w:val="002D63B7"/>
    <w:rsid w:val="002D6445"/>
    <w:rsid w:val="002D65CF"/>
    <w:rsid w:val="002D65F7"/>
    <w:rsid w:val="002D6AA0"/>
    <w:rsid w:val="002D6D2A"/>
    <w:rsid w:val="002D70E3"/>
    <w:rsid w:val="002D7383"/>
    <w:rsid w:val="002D75A4"/>
    <w:rsid w:val="002D76A0"/>
    <w:rsid w:val="002D7AD4"/>
    <w:rsid w:val="002D7BDB"/>
    <w:rsid w:val="002D7D04"/>
    <w:rsid w:val="002D7E12"/>
    <w:rsid w:val="002E0100"/>
    <w:rsid w:val="002E05E2"/>
    <w:rsid w:val="002E092F"/>
    <w:rsid w:val="002E0998"/>
    <w:rsid w:val="002E0F09"/>
    <w:rsid w:val="002E0F3E"/>
    <w:rsid w:val="002E0F6E"/>
    <w:rsid w:val="002E128E"/>
    <w:rsid w:val="002E137E"/>
    <w:rsid w:val="002E1DF2"/>
    <w:rsid w:val="002E1E02"/>
    <w:rsid w:val="002E1F80"/>
    <w:rsid w:val="002E2109"/>
    <w:rsid w:val="002E234E"/>
    <w:rsid w:val="002E23F8"/>
    <w:rsid w:val="002E28E3"/>
    <w:rsid w:val="002E2B84"/>
    <w:rsid w:val="002E2BA1"/>
    <w:rsid w:val="002E2BBD"/>
    <w:rsid w:val="002E2C3F"/>
    <w:rsid w:val="002E2E07"/>
    <w:rsid w:val="002E2EAC"/>
    <w:rsid w:val="002E30B2"/>
    <w:rsid w:val="002E3146"/>
    <w:rsid w:val="002E31DC"/>
    <w:rsid w:val="002E37F9"/>
    <w:rsid w:val="002E3938"/>
    <w:rsid w:val="002E3A58"/>
    <w:rsid w:val="002E3F4D"/>
    <w:rsid w:val="002E3F8B"/>
    <w:rsid w:val="002E407D"/>
    <w:rsid w:val="002E428B"/>
    <w:rsid w:val="002E42C8"/>
    <w:rsid w:val="002E4ADA"/>
    <w:rsid w:val="002E4DBC"/>
    <w:rsid w:val="002E51BA"/>
    <w:rsid w:val="002E51E3"/>
    <w:rsid w:val="002E535D"/>
    <w:rsid w:val="002E53D6"/>
    <w:rsid w:val="002E54F4"/>
    <w:rsid w:val="002E55A4"/>
    <w:rsid w:val="002E5B29"/>
    <w:rsid w:val="002E5F2A"/>
    <w:rsid w:val="002E5F3B"/>
    <w:rsid w:val="002E5FA0"/>
    <w:rsid w:val="002E642D"/>
    <w:rsid w:val="002E6C8B"/>
    <w:rsid w:val="002E6D3B"/>
    <w:rsid w:val="002E6D87"/>
    <w:rsid w:val="002E6DD3"/>
    <w:rsid w:val="002E6F39"/>
    <w:rsid w:val="002E72E5"/>
    <w:rsid w:val="002E736B"/>
    <w:rsid w:val="002E747C"/>
    <w:rsid w:val="002E7701"/>
    <w:rsid w:val="002E7746"/>
    <w:rsid w:val="002E7A25"/>
    <w:rsid w:val="002E7A4F"/>
    <w:rsid w:val="002E7A93"/>
    <w:rsid w:val="002E7B15"/>
    <w:rsid w:val="002F0382"/>
    <w:rsid w:val="002F0690"/>
    <w:rsid w:val="002F06CC"/>
    <w:rsid w:val="002F0907"/>
    <w:rsid w:val="002F094C"/>
    <w:rsid w:val="002F0A0E"/>
    <w:rsid w:val="002F0BC6"/>
    <w:rsid w:val="002F0E86"/>
    <w:rsid w:val="002F1020"/>
    <w:rsid w:val="002F116D"/>
    <w:rsid w:val="002F131E"/>
    <w:rsid w:val="002F14C4"/>
    <w:rsid w:val="002F1A66"/>
    <w:rsid w:val="002F1A87"/>
    <w:rsid w:val="002F1E63"/>
    <w:rsid w:val="002F22F9"/>
    <w:rsid w:val="002F26DB"/>
    <w:rsid w:val="002F27A8"/>
    <w:rsid w:val="002F2D42"/>
    <w:rsid w:val="002F30C9"/>
    <w:rsid w:val="002F310A"/>
    <w:rsid w:val="002F3A89"/>
    <w:rsid w:val="002F3B8E"/>
    <w:rsid w:val="002F3E89"/>
    <w:rsid w:val="002F3E95"/>
    <w:rsid w:val="002F3F4D"/>
    <w:rsid w:val="002F3F5E"/>
    <w:rsid w:val="002F4547"/>
    <w:rsid w:val="002F4618"/>
    <w:rsid w:val="002F461D"/>
    <w:rsid w:val="002F46FE"/>
    <w:rsid w:val="002F491D"/>
    <w:rsid w:val="002F49B9"/>
    <w:rsid w:val="002F4AF5"/>
    <w:rsid w:val="002F5318"/>
    <w:rsid w:val="002F55EC"/>
    <w:rsid w:val="002F58F6"/>
    <w:rsid w:val="002F5AF0"/>
    <w:rsid w:val="002F5D22"/>
    <w:rsid w:val="002F61F1"/>
    <w:rsid w:val="002F63A2"/>
    <w:rsid w:val="002F6DC7"/>
    <w:rsid w:val="002F72D4"/>
    <w:rsid w:val="002F7695"/>
    <w:rsid w:val="002F7979"/>
    <w:rsid w:val="002F79A7"/>
    <w:rsid w:val="002F7AA2"/>
    <w:rsid w:val="002F7C54"/>
    <w:rsid w:val="002F7E22"/>
    <w:rsid w:val="003000DF"/>
    <w:rsid w:val="00300382"/>
    <w:rsid w:val="003007CD"/>
    <w:rsid w:val="003009D1"/>
    <w:rsid w:val="00300A13"/>
    <w:rsid w:val="00300FF9"/>
    <w:rsid w:val="003010A9"/>
    <w:rsid w:val="00301672"/>
    <w:rsid w:val="003017F5"/>
    <w:rsid w:val="00301992"/>
    <w:rsid w:val="003019D4"/>
    <w:rsid w:val="00301A0F"/>
    <w:rsid w:val="00301F8F"/>
    <w:rsid w:val="00301FDD"/>
    <w:rsid w:val="003020D0"/>
    <w:rsid w:val="003023AB"/>
    <w:rsid w:val="003023CA"/>
    <w:rsid w:val="0030269C"/>
    <w:rsid w:val="00302B27"/>
    <w:rsid w:val="00302CAD"/>
    <w:rsid w:val="00302DDA"/>
    <w:rsid w:val="00302E34"/>
    <w:rsid w:val="00303427"/>
    <w:rsid w:val="00303EE3"/>
    <w:rsid w:val="0030410C"/>
    <w:rsid w:val="003041B4"/>
    <w:rsid w:val="003041D6"/>
    <w:rsid w:val="0030430C"/>
    <w:rsid w:val="00304560"/>
    <w:rsid w:val="00304610"/>
    <w:rsid w:val="00304649"/>
    <w:rsid w:val="0030468F"/>
    <w:rsid w:val="003046E5"/>
    <w:rsid w:val="00304A2E"/>
    <w:rsid w:val="00304A6B"/>
    <w:rsid w:val="00304A98"/>
    <w:rsid w:val="00304C46"/>
    <w:rsid w:val="00304D09"/>
    <w:rsid w:val="00304FB5"/>
    <w:rsid w:val="003053C5"/>
    <w:rsid w:val="003054C6"/>
    <w:rsid w:val="00305D5F"/>
    <w:rsid w:val="00305DBE"/>
    <w:rsid w:val="00305E46"/>
    <w:rsid w:val="00305E7A"/>
    <w:rsid w:val="003064AA"/>
    <w:rsid w:val="00306570"/>
    <w:rsid w:val="00306826"/>
    <w:rsid w:val="0030688A"/>
    <w:rsid w:val="00307018"/>
    <w:rsid w:val="00307228"/>
    <w:rsid w:val="0030748B"/>
    <w:rsid w:val="0030785D"/>
    <w:rsid w:val="00307B68"/>
    <w:rsid w:val="00307E1E"/>
    <w:rsid w:val="00310027"/>
    <w:rsid w:val="0031012A"/>
    <w:rsid w:val="003103B3"/>
    <w:rsid w:val="00310444"/>
    <w:rsid w:val="0031058A"/>
    <w:rsid w:val="00310FCE"/>
    <w:rsid w:val="00310FDA"/>
    <w:rsid w:val="0031146F"/>
    <w:rsid w:val="003116A2"/>
    <w:rsid w:val="003119A5"/>
    <w:rsid w:val="00311A31"/>
    <w:rsid w:val="00311BA8"/>
    <w:rsid w:val="00311C3B"/>
    <w:rsid w:val="00311D97"/>
    <w:rsid w:val="00311F0B"/>
    <w:rsid w:val="00311FC7"/>
    <w:rsid w:val="003121F5"/>
    <w:rsid w:val="00312202"/>
    <w:rsid w:val="00312324"/>
    <w:rsid w:val="003125F5"/>
    <w:rsid w:val="00312A18"/>
    <w:rsid w:val="00312B1B"/>
    <w:rsid w:val="00312E39"/>
    <w:rsid w:val="00313613"/>
    <w:rsid w:val="00313BF8"/>
    <w:rsid w:val="00313D01"/>
    <w:rsid w:val="00314050"/>
    <w:rsid w:val="00314060"/>
    <w:rsid w:val="003141F5"/>
    <w:rsid w:val="00314B0E"/>
    <w:rsid w:val="00314B84"/>
    <w:rsid w:val="00314BD5"/>
    <w:rsid w:val="00314C6D"/>
    <w:rsid w:val="0031501F"/>
    <w:rsid w:val="0031530D"/>
    <w:rsid w:val="0031533B"/>
    <w:rsid w:val="003153BE"/>
    <w:rsid w:val="00315AE6"/>
    <w:rsid w:val="00315C8D"/>
    <w:rsid w:val="00315E2B"/>
    <w:rsid w:val="003161AF"/>
    <w:rsid w:val="003168A7"/>
    <w:rsid w:val="00316FDF"/>
    <w:rsid w:val="00317062"/>
    <w:rsid w:val="003170EC"/>
    <w:rsid w:val="003171C9"/>
    <w:rsid w:val="0031734F"/>
    <w:rsid w:val="0031745F"/>
    <w:rsid w:val="00317579"/>
    <w:rsid w:val="00317BD5"/>
    <w:rsid w:val="00317D80"/>
    <w:rsid w:val="00317FA7"/>
    <w:rsid w:val="00320270"/>
    <w:rsid w:val="003202DF"/>
    <w:rsid w:val="00320585"/>
    <w:rsid w:val="0032086E"/>
    <w:rsid w:val="003208CC"/>
    <w:rsid w:val="00320E34"/>
    <w:rsid w:val="00320E8B"/>
    <w:rsid w:val="003212AC"/>
    <w:rsid w:val="00321525"/>
    <w:rsid w:val="00321536"/>
    <w:rsid w:val="0032197D"/>
    <w:rsid w:val="00321B61"/>
    <w:rsid w:val="00321D8F"/>
    <w:rsid w:val="00321EB5"/>
    <w:rsid w:val="0032219B"/>
    <w:rsid w:val="003228C5"/>
    <w:rsid w:val="00322A5F"/>
    <w:rsid w:val="00322B00"/>
    <w:rsid w:val="00322B34"/>
    <w:rsid w:val="00323242"/>
    <w:rsid w:val="00323535"/>
    <w:rsid w:val="0032358A"/>
    <w:rsid w:val="0032363C"/>
    <w:rsid w:val="003236EB"/>
    <w:rsid w:val="0032371B"/>
    <w:rsid w:val="00323721"/>
    <w:rsid w:val="00323941"/>
    <w:rsid w:val="00323969"/>
    <w:rsid w:val="00324515"/>
    <w:rsid w:val="00324558"/>
    <w:rsid w:val="00324B85"/>
    <w:rsid w:val="0032506F"/>
    <w:rsid w:val="00325297"/>
    <w:rsid w:val="00325434"/>
    <w:rsid w:val="00325C60"/>
    <w:rsid w:val="00325DF4"/>
    <w:rsid w:val="00326329"/>
    <w:rsid w:val="00326425"/>
    <w:rsid w:val="003265AF"/>
    <w:rsid w:val="00326D88"/>
    <w:rsid w:val="00326E43"/>
    <w:rsid w:val="00326E71"/>
    <w:rsid w:val="00326E75"/>
    <w:rsid w:val="003271E2"/>
    <w:rsid w:val="003277DB"/>
    <w:rsid w:val="00327826"/>
    <w:rsid w:val="003278E0"/>
    <w:rsid w:val="00327B15"/>
    <w:rsid w:val="00327FBA"/>
    <w:rsid w:val="003302B4"/>
    <w:rsid w:val="00330579"/>
    <w:rsid w:val="0033066A"/>
    <w:rsid w:val="00330683"/>
    <w:rsid w:val="00330A27"/>
    <w:rsid w:val="00330B26"/>
    <w:rsid w:val="00330DC4"/>
    <w:rsid w:val="00330E40"/>
    <w:rsid w:val="003310D0"/>
    <w:rsid w:val="0033113E"/>
    <w:rsid w:val="00331542"/>
    <w:rsid w:val="00331639"/>
    <w:rsid w:val="00331E60"/>
    <w:rsid w:val="00331ED7"/>
    <w:rsid w:val="00331F8A"/>
    <w:rsid w:val="003321DC"/>
    <w:rsid w:val="00332738"/>
    <w:rsid w:val="00333318"/>
    <w:rsid w:val="00333458"/>
    <w:rsid w:val="003336E2"/>
    <w:rsid w:val="003338CB"/>
    <w:rsid w:val="00333A1C"/>
    <w:rsid w:val="00334E81"/>
    <w:rsid w:val="00334E82"/>
    <w:rsid w:val="00334EB5"/>
    <w:rsid w:val="00335232"/>
    <w:rsid w:val="00335656"/>
    <w:rsid w:val="00335C5D"/>
    <w:rsid w:val="00335EB0"/>
    <w:rsid w:val="00335EB9"/>
    <w:rsid w:val="003368D6"/>
    <w:rsid w:val="003369D6"/>
    <w:rsid w:val="00336D4C"/>
    <w:rsid w:val="00336EB9"/>
    <w:rsid w:val="003371B3"/>
    <w:rsid w:val="00337491"/>
    <w:rsid w:val="00337877"/>
    <w:rsid w:val="00337A89"/>
    <w:rsid w:val="00337BC0"/>
    <w:rsid w:val="00337C6D"/>
    <w:rsid w:val="00337CB3"/>
    <w:rsid w:val="00337ECF"/>
    <w:rsid w:val="00337F55"/>
    <w:rsid w:val="00337FAA"/>
    <w:rsid w:val="0034011E"/>
    <w:rsid w:val="00340541"/>
    <w:rsid w:val="00340619"/>
    <w:rsid w:val="003408EE"/>
    <w:rsid w:val="00340921"/>
    <w:rsid w:val="003414A7"/>
    <w:rsid w:val="003414BD"/>
    <w:rsid w:val="0034153F"/>
    <w:rsid w:val="003416F9"/>
    <w:rsid w:val="00341ADC"/>
    <w:rsid w:val="00341BE2"/>
    <w:rsid w:val="00341EC9"/>
    <w:rsid w:val="00342281"/>
    <w:rsid w:val="0034245B"/>
    <w:rsid w:val="00342952"/>
    <w:rsid w:val="0034297B"/>
    <w:rsid w:val="00342A98"/>
    <w:rsid w:val="003430BA"/>
    <w:rsid w:val="0034334C"/>
    <w:rsid w:val="003439AA"/>
    <w:rsid w:val="00343A5B"/>
    <w:rsid w:val="00343A72"/>
    <w:rsid w:val="00343A8A"/>
    <w:rsid w:val="00343D4B"/>
    <w:rsid w:val="00343D89"/>
    <w:rsid w:val="003441C9"/>
    <w:rsid w:val="0034443A"/>
    <w:rsid w:val="00344639"/>
    <w:rsid w:val="00344965"/>
    <w:rsid w:val="00344A8A"/>
    <w:rsid w:val="00344BE7"/>
    <w:rsid w:val="00344FD8"/>
    <w:rsid w:val="003450B5"/>
    <w:rsid w:val="0034514A"/>
    <w:rsid w:val="00345471"/>
    <w:rsid w:val="003455B2"/>
    <w:rsid w:val="0034579B"/>
    <w:rsid w:val="003459AE"/>
    <w:rsid w:val="00345C93"/>
    <w:rsid w:val="0034618B"/>
    <w:rsid w:val="003462A4"/>
    <w:rsid w:val="00346738"/>
    <w:rsid w:val="003467A4"/>
    <w:rsid w:val="0034685B"/>
    <w:rsid w:val="00346C17"/>
    <w:rsid w:val="00346D52"/>
    <w:rsid w:val="00346DFC"/>
    <w:rsid w:val="00346E51"/>
    <w:rsid w:val="00346FBC"/>
    <w:rsid w:val="00346FCE"/>
    <w:rsid w:val="00347535"/>
    <w:rsid w:val="00347697"/>
    <w:rsid w:val="00347712"/>
    <w:rsid w:val="00347878"/>
    <w:rsid w:val="00347CF7"/>
    <w:rsid w:val="00350004"/>
    <w:rsid w:val="00350186"/>
    <w:rsid w:val="00350B86"/>
    <w:rsid w:val="00350B8A"/>
    <w:rsid w:val="00350D37"/>
    <w:rsid w:val="00350DD3"/>
    <w:rsid w:val="00350DFD"/>
    <w:rsid w:val="00351119"/>
    <w:rsid w:val="003514DB"/>
    <w:rsid w:val="00351631"/>
    <w:rsid w:val="00351981"/>
    <w:rsid w:val="00351B65"/>
    <w:rsid w:val="00351B79"/>
    <w:rsid w:val="00352A92"/>
    <w:rsid w:val="00352E2B"/>
    <w:rsid w:val="00352EC7"/>
    <w:rsid w:val="00353109"/>
    <w:rsid w:val="003534E5"/>
    <w:rsid w:val="00353C6C"/>
    <w:rsid w:val="00353EB6"/>
    <w:rsid w:val="00353EF6"/>
    <w:rsid w:val="00354855"/>
    <w:rsid w:val="003548C5"/>
    <w:rsid w:val="00354D46"/>
    <w:rsid w:val="003550E4"/>
    <w:rsid w:val="0035527D"/>
    <w:rsid w:val="003552A9"/>
    <w:rsid w:val="00355393"/>
    <w:rsid w:val="00355889"/>
    <w:rsid w:val="00355CD9"/>
    <w:rsid w:val="00355D7C"/>
    <w:rsid w:val="00355DBA"/>
    <w:rsid w:val="00355DEA"/>
    <w:rsid w:val="00355FAA"/>
    <w:rsid w:val="00356011"/>
    <w:rsid w:val="0035608F"/>
    <w:rsid w:val="00356158"/>
    <w:rsid w:val="00356322"/>
    <w:rsid w:val="003564F5"/>
    <w:rsid w:val="00356689"/>
    <w:rsid w:val="00356759"/>
    <w:rsid w:val="003569BF"/>
    <w:rsid w:val="00357300"/>
    <w:rsid w:val="003578A2"/>
    <w:rsid w:val="00357A1A"/>
    <w:rsid w:val="00357E1B"/>
    <w:rsid w:val="00357F3D"/>
    <w:rsid w:val="00360041"/>
    <w:rsid w:val="003600E3"/>
    <w:rsid w:val="0036059E"/>
    <w:rsid w:val="003605F0"/>
    <w:rsid w:val="00360703"/>
    <w:rsid w:val="0036100C"/>
    <w:rsid w:val="0036156F"/>
    <w:rsid w:val="0036158E"/>
    <w:rsid w:val="00361886"/>
    <w:rsid w:val="0036199D"/>
    <w:rsid w:val="003619D0"/>
    <w:rsid w:val="0036223E"/>
    <w:rsid w:val="00362978"/>
    <w:rsid w:val="00362B72"/>
    <w:rsid w:val="00362D93"/>
    <w:rsid w:val="00362F82"/>
    <w:rsid w:val="003632C2"/>
    <w:rsid w:val="00363380"/>
    <w:rsid w:val="0036340D"/>
    <w:rsid w:val="0036376D"/>
    <w:rsid w:val="00363882"/>
    <w:rsid w:val="00363A81"/>
    <w:rsid w:val="00363C41"/>
    <w:rsid w:val="003640FB"/>
    <w:rsid w:val="003642B9"/>
    <w:rsid w:val="0036442B"/>
    <w:rsid w:val="00364587"/>
    <w:rsid w:val="00364892"/>
    <w:rsid w:val="003648A9"/>
    <w:rsid w:val="00364C8E"/>
    <w:rsid w:val="00364EA0"/>
    <w:rsid w:val="00364F3E"/>
    <w:rsid w:val="00364FC0"/>
    <w:rsid w:val="00364FF2"/>
    <w:rsid w:val="0036506E"/>
    <w:rsid w:val="0036511F"/>
    <w:rsid w:val="00365333"/>
    <w:rsid w:val="00365969"/>
    <w:rsid w:val="00365A10"/>
    <w:rsid w:val="00365FF2"/>
    <w:rsid w:val="0036647E"/>
    <w:rsid w:val="003669DE"/>
    <w:rsid w:val="00366C59"/>
    <w:rsid w:val="00366D7F"/>
    <w:rsid w:val="00367C32"/>
    <w:rsid w:val="00367D32"/>
    <w:rsid w:val="00370008"/>
    <w:rsid w:val="0037003C"/>
    <w:rsid w:val="003705AA"/>
    <w:rsid w:val="00370695"/>
    <w:rsid w:val="003709A9"/>
    <w:rsid w:val="00370BBF"/>
    <w:rsid w:val="003710B7"/>
    <w:rsid w:val="0037161C"/>
    <w:rsid w:val="003717DD"/>
    <w:rsid w:val="00371A32"/>
    <w:rsid w:val="00371E1E"/>
    <w:rsid w:val="003721C4"/>
    <w:rsid w:val="00372300"/>
    <w:rsid w:val="003723FB"/>
    <w:rsid w:val="0037266B"/>
    <w:rsid w:val="0037290B"/>
    <w:rsid w:val="00372E9A"/>
    <w:rsid w:val="00372FBC"/>
    <w:rsid w:val="0037337B"/>
    <w:rsid w:val="00373430"/>
    <w:rsid w:val="003734C5"/>
    <w:rsid w:val="003739DE"/>
    <w:rsid w:val="00373AA5"/>
    <w:rsid w:val="00373C2E"/>
    <w:rsid w:val="00374341"/>
    <w:rsid w:val="003744BF"/>
    <w:rsid w:val="00374923"/>
    <w:rsid w:val="00374BE0"/>
    <w:rsid w:val="00374DD7"/>
    <w:rsid w:val="00374E4E"/>
    <w:rsid w:val="00375356"/>
    <w:rsid w:val="00375471"/>
    <w:rsid w:val="0037558E"/>
    <w:rsid w:val="00375881"/>
    <w:rsid w:val="00375AA8"/>
    <w:rsid w:val="00375B69"/>
    <w:rsid w:val="00375DBF"/>
    <w:rsid w:val="00376300"/>
    <w:rsid w:val="00376608"/>
    <w:rsid w:val="00376C1A"/>
    <w:rsid w:val="0037707F"/>
    <w:rsid w:val="00377AC5"/>
    <w:rsid w:val="00377AD4"/>
    <w:rsid w:val="00377F7D"/>
    <w:rsid w:val="003800BD"/>
    <w:rsid w:val="003802DA"/>
    <w:rsid w:val="00380409"/>
    <w:rsid w:val="003804D9"/>
    <w:rsid w:val="0038097D"/>
    <w:rsid w:val="00381026"/>
    <w:rsid w:val="00381BC6"/>
    <w:rsid w:val="0038204E"/>
    <w:rsid w:val="003821C5"/>
    <w:rsid w:val="00382A7F"/>
    <w:rsid w:val="00382E35"/>
    <w:rsid w:val="00383169"/>
    <w:rsid w:val="0038324A"/>
    <w:rsid w:val="003832B2"/>
    <w:rsid w:val="003832DA"/>
    <w:rsid w:val="00383AC7"/>
    <w:rsid w:val="00383E60"/>
    <w:rsid w:val="0038405B"/>
    <w:rsid w:val="00384556"/>
    <w:rsid w:val="003848AE"/>
    <w:rsid w:val="003848C3"/>
    <w:rsid w:val="00384F49"/>
    <w:rsid w:val="003853AC"/>
    <w:rsid w:val="0038545B"/>
    <w:rsid w:val="00385781"/>
    <w:rsid w:val="0038587F"/>
    <w:rsid w:val="00385CD8"/>
    <w:rsid w:val="00385E53"/>
    <w:rsid w:val="0038605C"/>
    <w:rsid w:val="00386087"/>
    <w:rsid w:val="00386252"/>
    <w:rsid w:val="003867C7"/>
    <w:rsid w:val="0038684B"/>
    <w:rsid w:val="00386AC3"/>
    <w:rsid w:val="00386B1D"/>
    <w:rsid w:val="003873A4"/>
    <w:rsid w:val="00387837"/>
    <w:rsid w:val="00387920"/>
    <w:rsid w:val="00387D34"/>
    <w:rsid w:val="00387E79"/>
    <w:rsid w:val="00387F40"/>
    <w:rsid w:val="00390297"/>
    <w:rsid w:val="003905A4"/>
    <w:rsid w:val="00390671"/>
    <w:rsid w:val="003907F1"/>
    <w:rsid w:val="00390839"/>
    <w:rsid w:val="0039095D"/>
    <w:rsid w:val="00390A89"/>
    <w:rsid w:val="00390B8B"/>
    <w:rsid w:val="00390C1E"/>
    <w:rsid w:val="00390CD7"/>
    <w:rsid w:val="0039181C"/>
    <w:rsid w:val="00391895"/>
    <w:rsid w:val="00391DAD"/>
    <w:rsid w:val="00391DFC"/>
    <w:rsid w:val="003921D1"/>
    <w:rsid w:val="00392286"/>
    <w:rsid w:val="0039293C"/>
    <w:rsid w:val="003929C9"/>
    <w:rsid w:val="00392A3B"/>
    <w:rsid w:val="00392C1F"/>
    <w:rsid w:val="003934B8"/>
    <w:rsid w:val="003938D0"/>
    <w:rsid w:val="00393D2A"/>
    <w:rsid w:val="00393E8D"/>
    <w:rsid w:val="00393EE7"/>
    <w:rsid w:val="00394007"/>
    <w:rsid w:val="00394229"/>
    <w:rsid w:val="0039444B"/>
    <w:rsid w:val="00394808"/>
    <w:rsid w:val="00394DF6"/>
    <w:rsid w:val="003957A6"/>
    <w:rsid w:val="003958AB"/>
    <w:rsid w:val="00395901"/>
    <w:rsid w:val="00395C62"/>
    <w:rsid w:val="003960CD"/>
    <w:rsid w:val="00396501"/>
    <w:rsid w:val="003965A1"/>
    <w:rsid w:val="00396A18"/>
    <w:rsid w:val="00396D3B"/>
    <w:rsid w:val="00396DC8"/>
    <w:rsid w:val="00396DC9"/>
    <w:rsid w:val="003970A4"/>
    <w:rsid w:val="00397225"/>
    <w:rsid w:val="003973EC"/>
    <w:rsid w:val="003973ED"/>
    <w:rsid w:val="00397452"/>
    <w:rsid w:val="00397CDE"/>
    <w:rsid w:val="00397E2D"/>
    <w:rsid w:val="003A0038"/>
    <w:rsid w:val="003A03A6"/>
    <w:rsid w:val="003A0406"/>
    <w:rsid w:val="003A0786"/>
    <w:rsid w:val="003A079C"/>
    <w:rsid w:val="003A07F2"/>
    <w:rsid w:val="003A08EF"/>
    <w:rsid w:val="003A0BEC"/>
    <w:rsid w:val="003A0FC5"/>
    <w:rsid w:val="003A10BC"/>
    <w:rsid w:val="003A11D2"/>
    <w:rsid w:val="003A12A5"/>
    <w:rsid w:val="003A1301"/>
    <w:rsid w:val="003A142E"/>
    <w:rsid w:val="003A14CD"/>
    <w:rsid w:val="003A186D"/>
    <w:rsid w:val="003A1DEA"/>
    <w:rsid w:val="003A1ED3"/>
    <w:rsid w:val="003A202C"/>
    <w:rsid w:val="003A26E2"/>
    <w:rsid w:val="003A2DA7"/>
    <w:rsid w:val="003A3585"/>
    <w:rsid w:val="003A3A3E"/>
    <w:rsid w:val="003A3BF7"/>
    <w:rsid w:val="003A3D29"/>
    <w:rsid w:val="003A3DB9"/>
    <w:rsid w:val="003A3F02"/>
    <w:rsid w:val="003A4154"/>
    <w:rsid w:val="003A4475"/>
    <w:rsid w:val="003A4765"/>
    <w:rsid w:val="003A4E87"/>
    <w:rsid w:val="003A4FD2"/>
    <w:rsid w:val="003A5617"/>
    <w:rsid w:val="003A56BB"/>
    <w:rsid w:val="003A58A2"/>
    <w:rsid w:val="003A5BB5"/>
    <w:rsid w:val="003A5DB3"/>
    <w:rsid w:val="003A6056"/>
    <w:rsid w:val="003A61BF"/>
    <w:rsid w:val="003A6533"/>
    <w:rsid w:val="003A653B"/>
    <w:rsid w:val="003A6670"/>
    <w:rsid w:val="003A66B1"/>
    <w:rsid w:val="003A670F"/>
    <w:rsid w:val="003A6782"/>
    <w:rsid w:val="003A689A"/>
    <w:rsid w:val="003A6B8F"/>
    <w:rsid w:val="003A6CC2"/>
    <w:rsid w:val="003A6F8C"/>
    <w:rsid w:val="003A726A"/>
    <w:rsid w:val="003A7447"/>
    <w:rsid w:val="003A7665"/>
    <w:rsid w:val="003A7699"/>
    <w:rsid w:val="003A786C"/>
    <w:rsid w:val="003A7F79"/>
    <w:rsid w:val="003B027B"/>
    <w:rsid w:val="003B0638"/>
    <w:rsid w:val="003B06DD"/>
    <w:rsid w:val="003B0F61"/>
    <w:rsid w:val="003B1077"/>
    <w:rsid w:val="003B1198"/>
    <w:rsid w:val="003B1425"/>
    <w:rsid w:val="003B14B0"/>
    <w:rsid w:val="003B1719"/>
    <w:rsid w:val="003B1AD6"/>
    <w:rsid w:val="003B1B25"/>
    <w:rsid w:val="003B1C3B"/>
    <w:rsid w:val="003B1D4B"/>
    <w:rsid w:val="003B1E36"/>
    <w:rsid w:val="003B230F"/>
    <w:rsid w:val="003B23F1"/>
    <w:rsid w:val="003B241B"/>
    <w:rsid w:val="003B2474"/>
    <w:rsid w:val="003B2843"/>
    <w:rsid w:val="003B2923"/>
    <w:rsid w:val="003B2F05"/>
    <w:rsid w:val="003B32E3"/>
    <w:rsid w:val="003B33AA"/>
    <w:rsid w:val="003B33E8"/>
    <w:rsid w:val="003B340C"/>
    <w:rsid w:val="003B3610"/>
    <w:rsid w:val="003B377A"/>
    <w:rsid w:val="003B387A"/>
    <w:rsid w:val="003B3899"/>
    <w:rsid w:val="003B38F1"/>
    <w:rsid w:val="003B3B30"/>
    <w:rsid w:val="003B3C26"/>
    <w:rsid w:val="003B3E60"/>
    <w:rsid w:val="003B43CD"/>
    <w:rsid w:val="003B4605"/>
    <w:rsid w:val="003B47FD"/>
    <w:rsid w:val="003B4976"/>
    <w:rsid w:val="003B4A4D"/>
    <w:rsid w:val="003B4B81"/>
    <w:rsid w:val="003B4CF7"/>
    <w:rsid w:val="003B4E99"/>
    <w:rsid w:val="003B510C"/>
    <w:rsid w:val="003B5CF7"/>
    <w:rsid w:val="003B5E37"/>
    <w:rsid w:val="003B6058"/>
    <w:rsid w:val="003B61D4"/>
    <w:rsid w:val="003B68AE"/>
    <w:rsid w:val="003B6A0B"/>
    <w:rsid w:val="003B6B5A"/>
    <w:rsid w:val="003B6B81"/>
    <w:rsid w:val="003B6FE3"/>
    <w:rsid w:val="003B7804"/>
    <w:rsid w:val="003B7859"/>
    <w:rsid w:val="003B7C0A"/>
    <w:rsid w:val="003B7D72"/>
    <w:rsid w:val="003B7EA2"/>
    <w:rsid w:val="003C00FC"/>
    <w:rsid w:val="003C020D"/>
    <w:rsid w:val="003C032D"/>
    <w:rsid w:val="003C06C7"/>
    <w:rsid w:val="003C0A7F"/>
    <w:rsid w:val="003C159A"/>
    <w:rsid w:val="003C1884"/>
    <w:rsid w:val="003C1C85"/>
    <w:rsid w:val="003C1F92"/>
    <w:rsid w:val="003C200A"/>
    <w:rsid w:val="003C216C"/>
    <w:rsid w:val="003C218D"/>
    <w:rsid w:val="003C2202"/>
    <w:rsid w:val="003C24C8"/>
    <w:rsid w:val="003C2793"/>
    <w:rsid w:val="003C2F8B"/>
    <w:rsid w:val="003C2FB8"/>
    <w:rsid w:val="003C3028"/>
    <w:rsid w:val="003C3203"/>
    <w:rsid w:val="003C3439"/>
    <w:rsid w:val="003C3506"/>
    <w:rsid w:val="003C374B"/>
    <w:rsid w:val="003C374E"/>
    <w:rsid w:val="003C38F1"/>
    <w:rsid w:val="003C3B9C"/>
    <w:rsid w:val="003C3EA4"/>
    <w:rsid w:val="003C4137"/>
    <w:rsid w:val="003C4180"/>
    <w:rsid w:val="003C4A0D"/>
    <w:rsid w:val="003C51E8"/>
    <w:rsid w:val="003C54BF"/>
    <w:rsid w:val="003C557E"/>
    <w:rsid w:val="003C5899"/>
    <w:rsid w:val="003C6184"/>
    <w:rsid w:val="003C61D2"/>
    <w:rsid w:val="003C62EE"/>
    <w:rsid w:val="003C661C"/>
    <w:rsid w:val="003C67BE"/>
    <w:rsid w:val="003C67CB"/>
    <w:rsid w:val="003C6A58"/>
    <w:rsid w:val="003C6B22"/>
    <w:rsid w:val="003C6C23"/>
    <w:rsid w:val="003C7000"/>
    <w:rsid w:val="003C71E8"/>
    <w:rsid w:val="003C7308"/>
    <w:rsid w:val="003C73EA"/>
    <w:rsid w:val="003C7D3F"/>
    <w:rsid w:val="003D0068"/>
    <w:rsid w:val="003D0330"/>
    <w:rsid w:val="003D048C"/>
    <w:rsid w:val="003D083F"/>
    <w:rsid w:val="003D08E0"/>
    <w:rsid w:val="003D0A13"/>
    <w:rsid w:val="003D0C70"/>
    <w:rsid w:val="003D0C7E"/>
    <w:rsid w:val="003D0EB7"/>
    <w:rsid w:val="003D0F39"/>
    <w:rsid w:val="003D0FA8"/>
    <w:rsid w:val="003D10E3"/>
    <w:rsid w:val="003D1733"/>
    <w:rsid w:val="003D1ACE"/>
    <w:rsid w:val="003D1B0F"/>
    <w:rsid w:val="003D1DF6"/>
    <w:rsid w:val="003D2093"/>
    <w:rsid w:val="003D2834"/>
    <w:rsid w:val="003D2900"/>
    <w:rsid w:val="003D2949"/>
    <w:rsid w:val="003D2B01"/>
    <w:rsid w:val="003D2BDE"/>
    <w:rsid w:val="003D3ABA"/>
    <w:rsid w:val="003D3AD4"/>
    <w:rsid w:val="003D3D4A"/>
    <w:rsid w:val="003D3EFF"/>
    <w:rsid w:val="003D3FB3"/>
    <w:rsid w:val="003D4124"/>
    <w:rsid w:val="003D41CF"/>
    <w:rsid w:val="003D44F1"/>
    <w:rsid w:val="003D4580"/>
    <w:rsid w:val="003D479F"/>
    <w:rsid w:val="003D4B4F"/>
    <w:rsid w:val="003D56C2"/>
    <w:rsid w:val="003D56E1"/>
    <w:rsid w:val="003D5A0B"/>
    <w:rsid w:val="003D5F37"/>
    <w:rsid w:val="003D6163"/>
    <w:rsid w:val="003D657F"/>
    <w:rsid w:val="003D6607"/>
    <w:rsid w:val="003D6867"/>
    <w:rsid w:val="003D6953"/>
    <w:rsid w:val="003D6C2D"/>
    <w:rsid w:val="003D6DEF"/>
    <w:rsid w:val="003D7046"/>
    <w:rsid w:val="003D76AD"/>
    <w:rsid w:val="003E01D6"/>
    <w:rsid w:val="003E027E"/>
    <w:rsid w:val="003E038B"/>
    <w:rsid w:val="003E052E"/>
    <w:rsid w:val="003E05C4"/>
    <w:rsid w:val="003E06BA"/>
    <w:rsid w:val="003E0A28"/>
    <w:rsid w:val="003E0D60"/>
    <w:rsid w:val="003E138A"/>
    <w:rsid w:val="003E1497"/>
    <w:rsid w:val="003E14CA"/>
    <w:rsid w:val="003E16BE"/>
    <w:rsid w:val="003E179A"/>
    <w:rsid w:val="003E194A"/>
    <w:rsid w:val="003E1D4D"/>
    <w:rsid w:val="003E22A0"/>
    <w:rsid w:val="003E2651"/>
    <w:rsid w:val="003E2A4F"/>
    <w:rsid w:val="003E2AA4"/>
    <w:rsid w:val="003E2AD7"/>
    <w:rsid w:val="003E2BE4"/>
    <w:rsid w:val="003E2E6D"/>
    <w:rsid w:val="003E342B"/>
    <w:rsid w:val="003E371D"/>
    <w:rsid w:val="003E37D8"/>
    <w:rsid w:val="003E3886"/>
    <w:rsid w:val="003E391F"/>
    <w:rsid w:val="003E3BEC"/>
    <w:rsid w:val="003E3CAC"/>
    <w:rsid w:val="003E3E1A"/>
    <w:rsid w:val="003E3FC0"/>
    <w:rsid w:val="003E42E8"/>
    <w:rsid w:val="003E47BC"/>
    <w:rsid w:val="003E483F"/>
    <w:rsid w:val="003E4A5F"/>
    <w:rsid w:val="003E4A61"/>
    <w:rsid w:val="003E4D89"/>
    <w:rsid w:val="003E5101"/>
    <w:rsid w:val="003E5391"/>
    <w:rsid w:val="003E55E2"/>
    <w:rsid w:val="003E5B1D"/>
    <w:rsid w:val="003E640A"/>
    <w:rsid w:val="003E6421"/>
    <w:rsid w:val="003E65CC"/>
    <w:rsid w:val="003E6723"/>
    <w:rsid w:val="003E698E"/>
    <w:rsid w:val="003E6B05"/>
    <w:rsid w:val="003E6D8A"/>
    <w:rsid w:val="003E6E33"/>
    <w:rsid w:val="003E7030"/>
    <w:rsid w:val="003E7356"/>
    <w:rsid w:val="003E739A"/>
    <w:rsid w:val="003E7410"/>
    <w:rsid w:val="003E743D"/>
    <w:rsid w:val="003E761A"/>
    <w:rsid w:val="003E7671"/>
    <w:rsid w:val="003E79E0"/>
    <w:rsid w:val="003E7A00"/>
    <w:rsid w:val="003E7BC9"/>
    <w:rsid w:val="003E7E10"/>
    <w:rsid w:val="003E7F47"/>
    <w:rsid w:val="003E7F8E"/>
    <w:rsid w:val="003E7FAE"/>
    <w:rsid w:val="003F03B1"/>
    <w:rsid w:val="003F053D"/>
    <w:rsid w:val="003F0800"/>
    <w:rsid w:val="003F0BE8"/>
    <w:rsid w:val="003F0EAF"/>
    <w:rsid w:val="003F0F1E"/>
    <w:rsid w:val="003F122F"/>
    <w:rsid w:val="003F139A"/>
    <w:rsid w:val="003F15AD"/>
    <w:rsid w:val="003F15B2"/>
    <w:rsid w:val="003F15E8"/>
    <w:rsid w:val="003F1627"/>
    <w:rsid w:val="003F1740"/>
    <w:rsid w:val="003F1776"/>
    <w:rsid w:val="003F18E5"/>
    <w:rsid w:val="003F19FB"/>
    <w:rsid w:val="003F1BD3"/>
    <w:rsid w:val="003F216A"/>
    <w:rsid w:val="003F2623"/>
    <w:rsid w:val="003F27E0"/>
    <w:rsid w:val="003F29B7"/>
    <w:rsid w:val="003F29DD"/>
    <w:rsid w:val="003F2DF3"/>
    <w:rsid w:val="003F2E7A"/>
    <w:rsid w:val="003F3256"/>
    <w:rsid w:val="003F35EF"/>
    <w:rsid w:val="003F362D"/>
    <w:rsid w:val="003F38E5"/>
    <w:rsid w:val="003F3DFE"/>
    <w:rsid w:val="003F403F"/>
    <w:rsid w:val="003F4199"/>
    <w:rsid w:val="003F4BB0"/>
    <w:rsid w:val="003F4C46"/>
    <w:rsid w:val="003F4EFF"/>
    <w:rsid w:val="003F530E"/>
    <w:rsid w:val="003F5538"/>
    <w:rsid w:val="003F554F"/>
    <w:rsid w:val="003F5A1D"/>
    <w:rsid w:val="003F5A85"/>
    <w:rsid w:val="003F5AE8"/>
    <w:rsid w:val="003F5C1A"/>
    <w:rsid w:val="003F5CA5"/>
    <w:rsid w:val="003F6183"/>
    <w:rsid w:val="003F62C1"/>
    <w:rsid w:val="003F654E"/>
    <w:rsid w:val="003F67DC"/>
    <w:rsid w:val="003F6E9D"/>
    <w:rsid w:val="003F6FCA"/>
    <w:rsid w:val="003F746F"/>
    <w:rsid w:val="003F76BF"/>
    <w:rsid w:val="003F77CF"/>
    <w:rsid w:val="003F7821"/>
    <w:rsid w:val="003F7856"/>
    <w:rsid w:val="003F7936"/>
    <w:rsid w:val="003F7BE4"/>
    <w:rsid w:val="003F7C18"/>
    <w:rsid w:val="003F7EE6"/>
    <w:rsid w:val="00400121"/>
    <w:rsid w:val="004007C3"/>
    <w:rsid w:val="00400B45"/>
    <w:rsid w:val="004017E0"/>
    <w:rsid w:val="00401814"/>
    <w:rsid w:val="00401AB1"/>
    <w:rsid w:val="00401AD3"/>
    <w:rsid w:val="00401B61"/>
    <w:rsid w:val="00401C78"/>
    <w:rsid w:val="00401C98"/>
    <w:rsid w:val="00402601"/>
    <w:rsid w:val="00402739"/>
    <w:rsid w:val="00402945"/>
    <w:rsid w:val="00402CCA"/>
    <w:rsid w:val="004030E3"/>
    <w:rsid w:val="004032CC"/>
    <w:rsid w:val="004036D6"/>
    <w:rsid w:val="00403EC3"/>
    <w:rsid w:val="0040402C"/>
    <w:rsid w:val="0040437F"/>
    <w:rsid w:val="004043C3"/>
    <w:rsid w:val="004046C3"/>
    <w:rsid w:val="004048C9"/>
    <w:rsid w:val="00404C44"/>
    <w:rsid w:val="00404E5F"/>
    <w:rsid w:val="00405694"/>
    <w:rsid w:val="0040584C"/>
    <w:rsid w:val="004059F5"/>
    <w:rsid w:val="0040634F"/>
    <w:rsid w:val="0040637F"/>
    <w:rsid w:val="00406723"/>
    <w:rsid w:val="00406752"/>
    <w:rsid w:val="00406A3C"/>
    <w:rsid w:val="00406C4E"/>
    <w:rsid w:val="00406DB6"/>
    <w:rsid w:val="00407081"/>
    <w:rsid w:val="00407B1A"/>
    <w:rsid w:val="00407C3B"/>
    <w:rsid w:val="00407E8F"/>
    <w:rsid w:val="00410070"/>
    <w:rsid w:val="00410794"/>
    <w:rsid w:val="00410C34"/>
    <w:rsid w:val="00410F12"/>
    <w:rsid w:val="004114C1"/>
    <w:rsid w:val="00411639"/>
    <w:rsid w:val="004116AA"/>
    <w:rsid w:val="00411CDA"/>
    <w:rsid w:val="00411D15"/>
    <w:rsid w:val="00411E29"/>
    <w:rsid w:val="004121FE"/>
    <w:rsid w:val="00412294"/>
    <w:rsid w:val="0041280C"/>
    <w:rsid w:val="00412B54"/>
    <w:rsid w:val="00412E60"/>
    <w:rsid w:val="00412F0F"/>
    <w:rsid w:val="00413028"/>
    <w:rsid w:val="004130DB"/>
    <w:rsid w:val="00413373"/>
    <w:rsid w:val="0041341C"/>
    <w:rsid w:val="004134EB"/>
    <w:rsid w:val="004138AD"/>
    <w:rsid w:val="00413F4F"/>
    <w:rsid w:val="00414840"/>
    <w:rsid w:val="004148D2"/>
    <w:rsid w:val="00414CBE"/>
    <w:rsid w:val="00414EF0"/>
    <w:rsid w:val="004150B7"/>
    <w:rsid w:val="00415387"/>
    <w:rsid w:val="00415667"/>
    <w:rsid w:val="00415A8B"/>
    <w:rsid w:val="00415B6C"/>
    <w:rsid w:val="00415BD4"/>
    <w:rsid w:val="0041654B"/>
    <w:rsid w:val="00416572"/>
    <w:rsid w:val="00416958"/>
    <w:rsid w:val="00416A8D"/>
    <w:rsid w:val="00416CBF"/>
    <w:rsid w:val="00416D09"/>
    <w:rsid w:val="0041782B"/>
    <w:rsid w:val="004179F9"/>
    <w:rsid w:val="00417B6B"/>
    <w:rsid w:val="00420168"/>
    <w:rsid w:val="00420424"/>
    <w:rsid w:val="0042055E"/>
    <w:rsid w:val="0042056F"/>
    <w:rsid w:val="00420705"/>
    <w:rsid w:val="0042070D"/>
    <w:rsid w:val="004207DD"/>
    <w:rsid w:val="0042092F"/>
    <w:rsid w:val="00420B3A"/>
    <w:rsid w:val="00420B7E"/>
    <w:rsid w:val="00420E67"/>
    <w:rsid w:val="0042133A"/>
    <w:rsid w:val="00421BF2"/>
    <w:rsid w:val="004220E3"/>
    <w:rsid w:val="00422C0E"/>
    <w:rsid w:val="00423356"/>
    <w:rsid w:val="00423397"/>
    <w:rsid w:val="00423400"/>
    <w:rsid w:val="004238BA"/>
    <w:rsid w:val="004238CB"/>
    <w:rsid w:val="00423B71"/>
    <w:rsid w:val="0042428D"/>
    <w:rsid w:val="004243A3"/>
    <w:rsid w:val="0042440B"/>
    <w:rsid w:val="00424414"/>
    <w:rsid w:val="00424922"/>
    <w:rsid w:val="00424DC2"/>
    <w:rsid w:val="00424FC7"/>
    <w:rsid w:val="004250F1"/>
    <w:rsid w:val="0042579D"/>
    <w:rsid w:val="00425FFE"/>
    <w:rsid w:val="00426052"/>
    <w:rsid w:val="004261CF"/>
    <w:rsid w:val="004261ED"/>
    <w:rsid w:val="00426235"/>
    <w:rsid w:val="004264F8"/>
    <w:rsid w:val="00426D17"/>
    <w:rsid w:val="00426DFD"/>
    <w:rsid w:val="00426FDC"/>
    <w:rsid w:val="004271D5"/>
    <w:rsid w:val="0042742E"/>
    <w:rsid w:val="00427642"/>
    <w:rsid w:val="00427749"/>
    <w:rsid w:val="004278D8"/>
    <w:rsid w:val="004278E8"/>
    <w:rsid w:val="00427B61"/>
    <w:rsid w:val="00427BBD"/>
    <w:rsid w:val="0042BFE1"/>
    <w:rsid w:val="004306A8"/>
    <w:rsid w:val="00430E4B"/>
    <w:rsid w:val="00430EE9"/>
    <w:rsid w:val="0043102A"/>
    <w:rsid w:val="00431040"/>
    <w:rsid w:val="00431558"/>
    <w:rsid w:val="00431861"/>
    <w:rsid w:val="00431CE0"/>
    <w:rsid w:val="00431E69"/>
    <w:rsid w:val="00431FB7"/>
    <w:rsid w:val="0043216D"/>
    <w:rsid w:val="004323EB"/>
    <w:rsid w:val="00432429"/>
    <w:rsid w:val="0043245A"/>
    <w:rsid w:val="004325F7"/>
    <w:rsid w:val="004326C3"/>
    <w:rsid w:val="004326F8"/>
    <w:rsid w:val="0043281D"/>
    <w:rsid w:val="00432A2E"/>
    <w:rsid w:val="00432C6D"/>
    <w:rsid w:val="00432D7F"/>
    <w:rsid w:val="00432E4D"/>
    <w:rsid w:val="004330FE"/>
    <w:rsid w:val="00433268"/>
    <w:rsid w:val="00433397"/>
    <w:rsid w:val="00433597"/>
    <w:rsid w:val="004338E3"/>
    <w:rsid w:val="00433A29"/>
    <w:rsid w:val="00433A8E"/>
    <w:rsid w:val="00433CAB"/>
    <w:rsid w:val="00433E63"/>
    <w:rsid w:val="00433FFB"/>
    <w:rsid w:val="0043416A"/>
    <w:rsid w:val="0043419A"/>
    <w:rsid w:val="004341B1"/>
    <w:rsid w:val="004341FA"/>
    <w:rsid w:val="00434C69"/>
    <w:rsid w:val="00434EA5"/>
    <w:rsid w:val="004350E9"/>
    <w:rsid w:val="004351A9"/>
    <w:rsid w:val="00435B74"/>
    <w:rsid w:val="00435C39"/>
    <w:rsid w:val="00435D65"/>
    <w:rsid w:val="00435EB7"/>
    <w:rsid w:val="00435F13"/>
    <w:rsid w:val="00436013"/>
    <w:rsid w:val="00436416"/>
    <w:rsid w:val="00436759"/>
    <w:rsid w:val="00436868"/>
    <w:rsid w:val="0043687D"/>
    <w:rsid w:val="00436E55"/>
    <w:rsid w:val="0043703C"/>
    <w:rsid w:val="00437159"/>
    <w:rsid w:val="00437165"/>
    <w:rsid w:val="00437352"/>
    <w:rsid w:val="0043743A"/>
    <w:rsid w:val="004374C7"/>
    <w:rsid w:val="004375D3"/>
    <w:rsid w:val="00440311"/>
    <w:rsid w:val="00440415"/>
    <w:rsid w:val="00440ABB"/>
    <w:rsid w:val="004410BA"/>
    <w:rsid w:val="00441DA4"/>
    <w:rsid w:val="004420AA"/>
    <w:rsid w:val="0044214B"/>
    <w:rsid w:val="004426F4"/>
    <w:rsid w:val="00442724"/>
    <w:rsid w:val="0044282E"/>
    <w:rsid w:val="00442B92"/>
    <w:rsid w:val="0044315F"/>
    <w:rsid w:val="0044383D"/>
    <w:rsid w:val="004438F5"/>
    <w:rsid w:val="00443A68"/>
    <w:rsid w:val="00443EBE"/>
    <w:rsid w:val="00443EE0"/>
    <w:rsid w:val="00444287"/>
    <w:rsid w:val="004442B1"/>
    <w:rsid w:val="004442D5"/>
    <w:rsid w:val="00444C74"/>
    <w:rsid w:val="00444D69"/>
    <w:rsid w:val="00445049"/>
    <w:rsid w:val="004452E9"/>
    <w:rsid w:val="00445306"/>
    <w:rsid w:val="00445446"/>
    <w:rsid w:val="0044546F"/>
    <w:rsid w:val="0044588B"/>
    <w:rsid w:val="004458C2"/>
    <w:rsid w:val="00445ADB"/>
    <w:rsid w:val="00445B45"/>
    <w:rsid w:val="00445CD9"/>
    <w:rsid w:val="00445D88"/>
    <w:rsid w:val="00445F69"/>
    <w:rsid w:val="00446087"/>
    <w:rsid w:val="004464E2"/>
    <w:rsid w:val="00446877"/>
    <w:rsid w:val="00446C4B"/>
    <w:rsid w:val="00446D8E"/>
    <w:rsid w:val="00446EC1"/>
    <w:rsid w:val="004470F0"/>
    <w:rsid w:val="004474F3"/>
    <w:rsid w:val="004476D1"/>
    <w:rsid w:val="00447728"/>
    <w:rsid w:val="00447AAA"/>
    <w:rsid w:val="0045028B"/>
    <w:rsid w:val="00450652"/>
    <w:rsid w:val="004508DE"/>
    <w:rsid w:val="00450986"/>
    <w:rsid w:val="00450AD0"/>
    <w:rsid w:val="00450B0C"/>
    <w:rsid w:val="00450EB8"/>
    <w:rsid w:val="00450FB1"/>
    <w:rsid w:val="00451253"/>
    <w:rsid w:val="00451495"/>
    <w:rsid w:val="004516FA"/>
    <w:rsid w:val="00451945"/>
    <w:rsid w:val="00451B17"/>
    <w:rsid w:val="00451C1A"/>
    <w:rsid w:val="0045213F"/>
    <w:rsid w:val="00452344"/>
    <w:rsid w:val="0045254F"/>
    <w:rsid w:val="004525A9"/>
    <w:rsid w:val="00452ABC"/>
    <w:rsid w:val="00452C47"/>
    <w:rsid w:val="00452E84"/>
    <w:rsid w:val="00453D80"/>
    <w:rsid w:val="004544DA"/>
    <w:rsid w:val="00454539"/>
    <w:rsid w:val="004546ED"/>
    <w:rsid w:val="00454876"/>
    <w:rsid w:val="00454979"/>
    <w:rsid w:val="004549DF"/>
    <w:rsid w:val="00455086"/>
    <w:rsid w:val="004553C7"/>
    <w:rsid w:val="004557E7"/>
    <w:rsid w:val="00455C86"/>
    <w:rsid w:val="00455D11"/>
    <w:rsid w:val="00455E74"/>
    <w:rsid w:val="0045631B"/>
    <w:rsid w:val="00456742"/>
    <w:rsid w:val="0045679A"/>
    <w:rsid w:val="00456D6B"/>
    <w:rsid w:val="00457805"/>
    <w:rsid w:val="004578CD"/>
    <w:rsid w:val="00457C28"/>
    <w:rsid w:val="0046010A"/>
    <w:rsid w:val="00460408"/>
    <w:rsid w:val="00460409"/>
    <w:rsid w:val="00460865"/>
    <w:rsid w:val="00460E20"/>
    <w:rsid w:val="00460F60"/>
    <w:rsid w:val="00460FE0"/>
    <w:rsid w:val="004610FE"/>
    <w:rsid w:val="00461231"/>
    <w:rsid w:val="00461403"/>
    <w:rsid w:val="00461429"/>
    <w:rsid w:val="00461841"/>
    <w:rsid w:val="004618BA"/>
    <w:rsid w:val="004619BF"/>
    <w:rsid w:val="00461D13"/>
    <w:rsid w:val="00461E43"/>
    <w:rsid w:val="00461FC2"/>
    <w:rsid w:val="00462491"/>
    <w:rsid w:val="00462976"/>
    <w:rsid w:val="00462B75"/>
    <w:rsid w:val="00462F11"/>
    <w:rsid w:val="0046309C"/>
    <w:rsid w:val="004631B1"/>
    <w:rsid w:val="0046333F"/>
    <w:rsid w:val="00463549"/>
    <w:rsid w:val="004637DF"/>
    <w:rsid w:val="00463814"/>
    <w:rsid w:val="00463D9E"/>
    <w:rsid w:val="004640BE"/>
    <w:rsid w:val="00464279"/>
    <w:rsid w:val="0046456B"/>
    <w:rsid w:val="0046466B"/>
    <w:rsid w:val="004646DB"/>
    <w:rsid w:val="00464746"/>
    <w:rsid w:val="004649E3"/>
    <w:rsid w:val="00464B96"/>
    <w:rsid w:val="00464EF9"/>
    <w:rsid w:val="004655C3"/>
    <w:rsid w:val="0046583C"/>
    <w:rsid w:val="00465908"/>
    <w:rsid w:val="00465E56"/>
    <w:rsid w:val="00465FEE"/>
    <w:rsid w:val="004662DC"/>
    <w:rsid w:val="00466659"/>
    <w:rsid w:val="0046668C"/>
    <w:rsid w:val="004669B9"/>
    <w:rsid w:val="00466F79"/>
    <w:rsid w:val="00466F94"/>
    <w:rsid w:val="00466FBB"/>
    <w:rsid w:val="004672BD"/>
    <w:rsid w:val="00467D5F"/>
    <w:rsid w:val="00470061"/>
    <w:rsid w:val="0047020C"/>
    <w:rsid w:val="004702B6"/>
    <w:rsid w:val="00470A45"/>
    <w:rsid w:val="00470BA7"/>
    <w:rsid w:val="00470CB9"/>
    <w:rsid w:val="00470D67"/>
    <w:rsid w:val="00470DFB"/>
    <w:rsid w:val="00470F6D"/>
    <w:rsid w:val="0047120E"/>
    <w:rsid w:val="00471310"/>
    <w:rsid w:val="0047153D"/>
    <w:rsid w:val="004715FD"/>
    <w:rsid w:val="00471618"/>
    <w:rsid w:val="00471850"/>
    <w:rsid w:val="0047189B"/>
    <w:rsid w:val="004718A3"/>
    <w:rsid w:val="00471AFA"/>
    <w:rsid w:val="00471B2F"/>
    <w:rsid w:val="00471B72"/>
    <w:rsid w:val="00472438"/>
    <w:rsid w:val="0047277F"/>
    <w:rsid w:val="00472A79"/>
    <w:rsid w:val="00472E36"/>
    <w:rsid w:val="004732B2"/>
    <w:rsid w:val="004733C1"/>
    <w:rsid w:val="00473BDC"/>
    <w:rsid w:val="00473BEB"/>
    <w:rsid w:val="00473E3D"/>
    <w:rsid w:val="00473E40"/>
    <w:rsid w:val="00473F4C"/>
    <w:rsid w:val="00473F68"/>
    <w:rsid w:val="00473F85"/>
    <w:rsid w:val="0047413D"/>
    <w:rsid w:val="004743B9"/>
    <w:rsid w:val="004744AE"/>
    <w:rsid w:val="0047450B"/>
    <w:rsid w:val="004745E3"/>
    <w:rsid w:val="00474AA5"/>
    <w:rsid w:val="00474AAC"/>
    <w:rsid w:val="00474B87"/>
    <w:rsid w:val="00474D54"/>
    <w:rsid w:val="004754C9"/>
    <w:rsid w:val="00475989"/>
    <w:rsid w:val="00475EF6"/>
    <w:rsid w:val="0047624F"/>
    <w:rsid w:val="0047668E"/>
    <w:rsid w:val="004767B9"/>
    <w:rsid w:val="0047685E"/>
    <w:rsid w:val="00476A80"/>
    <w:rsid w:val="00476C2B"/>
    <w:rsid w:val="00476D53"/>
    <w:rsid w:val="00476E2A"/>
    <w:rsid w:val="00476E84"/>
    <w:rsid w:val="00476EB1"/>
    <w:rsid w:val="0047724A"/>
    <w:rsid w:val="004775FB"/>
    <w:rsid w:val="004776A3"/>
    <w:rsid w:val="00477CE3"/>
    <w:rsid w:val="0047FD00"/>
    <w:rsid w:val="00480050"/>
    <w:rsid w:val="004802A9"/>
    <w:rsid w:val="00480557"/>
    <w:rsid w:val="00480C98"/>
    <w:rsid w:val="00480E2B"/>
    <w:rsid w:val="0048116C"/>
    <w:rsid w:val="0048151B"/>
    <w:rsid w:val="004815E2"/>
    <w:rsid w:val="004816F4"/>
    <w:rsid w:val="00481706"/>
    <w:rsid w:val="004819EB"/>
    <w:rsid w:val="004821E9"/>
    <w:rsid w:val="004825CB"/>
    <w:rsid w:val="00482FAB"/>
    <w:rsid w:val="00482FF5"/>
    <w:rsid w:val="004830F2"/>
    <w:rsid w:val="004835A0"/>
    <w:rsid w:val="00483733"/>
    <w:rsid w:val="00483814"/>
    <w:rsid w:val="00483BAC"/>
    <w:rsid w:val="004841AD"/>
    <w:rsid w:val="00484322"/>
    <w:rsid w:val="00484408"/>
    <w:rsid w:val="004847A2"/>
    <w:rsid w:val="00484874"/>
    <w:rsid w:val="00484914"/>
    <w:rsid w:val="00485028"/>
    <w:rsid w:val="00485047"/>
    <w:rsid w:val="004851E1"/>
    <w:rsid w:val="00485845"/>
    <w:rsid w:val="00485879"/>
    <w:rsid w:val="00485D0E"/>
    <w:rsid w:val="00485F41"/>
    <w:rsid w:val="00485F68"/>
    <w:rsid w:val="004862D6"/>
    <w:rsid w:val="0048644C"/>
    <w:rsid w:val="004867C4"/>
    <w:rsid w:val="004867CC"/>
    <w:rsid w:val="00486C88"/>
    <w:rsid w:val="00486FCB"/>
    <w:rsid w:val="00486FF1"/>
    <w:rsid w:val="00487075"/>
    <w:rsid w:val="00487363"/>
    <w:rsid w:val="00487771"/>
    <w:rsid w:val="0048790A"/>
    <w:rsid w:val="00487B3E"/>
    <w:rsid w:val="00487D68"/>
    <w:rsid w:val="00487D74"/>
    <w:rsid w:val="00487ED7"/>
    <w:rsid w:val="004900F9"/>
    <w:rsid w:val="00490148"/>
    <w:rsid w:val="00490268"/>
    <w:rsid w:val="0049038E"/>
    <w:rsid w:val="00490621"/>
    <w:rsid w:val="0049066D"/>
    <w:rsid w:val="004909FF"/>
    <w:rsid w:val="004910FC"/>
    <w:rsid w:val="00491148"/>
    <w:rsid w:val="00491172"/>
    <w:rsid w:val="004911C7"/>
    <w:rsid w:val="00491213"/>
    <w:rsid w:val="004914F0"/>
    <w:rsid w:val="004917C3"/>
    <w:rsid w:val="0049182F"/>
    <w:rsid w:val="00491849"/>
    <w:rsid w:val="004918F9"/>
    <w:rsid w:val="00491A46"/>
    <w:rsid w:val="00491D30"/>
    <w:rsid w:val="00491E27"/>
    <w:rsid w:val="00491F2C"/>
    <w:rsid w:val="00492942"/>
    <w:rsid w:val="00492B7B"/>
    <w:rsid w:val="00492E06"/>
    <w:rsid w:val="00492E24"/>
    <w:rsid w:val="00492EA5"/>
    <w:rsid w:val="00492EC9"/>
    <w:rsid w:val="00493295"/>
    <w:rsid w:val="00493446"/>
    <w:rsid w:val="0049359E"/>
    <w:rsid w:val="00493610"/>
    <w:rsid w:val="004937B9"/>
    <w:rsid w:val="004938F7"/>
    <w:rsid w:val="00493D33"/>
    <w:rsid w:val="00493EF2"/>
    <w:rsid w:val="00493F68"/>
    <w:rsid w:val="004942B4"/>
    <w:rsid w:val="00494530"/>
    <w:rsid w:val="004949CF"/>
    <w:rsid w:val="00494CEF"/>
    <w:rsid w:val="00494E7C"/>
    <w:rsid w:val="00494E9C"/>
    <w:rsid w:val="004952AC"/>
    <w:rsid w:val="00495482"/>
    <w:rsid w:val="004956A2"/>
    <w:rsid w:val="0049580D"/>
    <w:rsid w:val="004962CC"/>
    <w:rsid w:val="00496887"/>
    <w:rsid w:val="00496DD7"/>
    <w:rsid w:val="00496F9F"/>
    <w:rsid w:val="0049717B"/>
    <w:rsid w:val="004976C5"/>
    <w:rsid w:val="004979CC"/>
    <w:rsid w:val="00497DE6"/>
    <w:rsid w:val="00497E55"/>
    <w:rsid w:val="004A00AE"/>
    <w:rsid w:val="004A0646"/>
    <w:rsid w:val="004A0884"/>
    <w:rsid w:val="004A0A85"/>
    <w:rsid w:val="004A0B0B"/>
    <w:rsid w:val="004A0E4E"/>
    <w:rsid w:val="004A0F27"/>
    <w:rsid w:val="004A0FC6"/>
    <w:rsid w:val="004A1173"/>
    <w:rsid w:val="004A14E8"/>
    <w:rsid w:val="004A1771"/>
    <w:rsid w:val="004A1925"/>
    <w:rsid w:val="004A19AB"/>
    <w:rsid w:val="004A1BD5"/>
    <w:rsid w:val="004A1CBD"/>
    <w:rsid w:val="004A1F71"/>
    <w:rsid w:val="004A2407"/>
    <w:rsid w:val="004A241B"/>
    <w:rsid w:val="004A262A"/>
    <w:rsid w:val="004A26DF"/>
    <w:rsid w:val="004A28AC"/>
    <w:rsid w:val="004A306F"/>
    <w:rsid w:val="004A34A8"/>
    <w:rsid w:val="004A34AF"/>
    <w:rsid w:val="004A3612"/>
    <w:rsid w:val="004A36E6"/>
    <w:rsid w:val="004A37F7"/>
    <w:rsid w:val="004A39F8"/>
    <w:rsid w:val="004A3A0D"/>
    <w:rsid w:val="004A3ED9"/>
    <w:rsid w:val="004A43CB"/>
    <w:rsid w:val="004A465A"/>
    <w:rsid w:val="004A48BC"/>
    <w:rsid w:val="004A48E5"/>
    <w:rsid w:val="004A4B73"/>
    <w:rsid w:val="004A4D69"/>
    <w:rsid w:val="004A4F22"/>
    <w:rsid w:val="004A4F79"/>
    <w:rsid w:val="004A500B"/>
    <w:rsid w:val="004A5112"/>
    <w:rsid w:val="004A522A"/>
    <w:rsid w:val="004A530C"/>
    <w:rsid w:val="004A5414"/>
    <w:rsid w:val="004A5447"/>
    <w:rsid w:val="004A5720"/>
    <w:rsid w:val="004A5A22"/>
    <w:rsid w:val="004A5C78"/>
    <w:rsid w:val="004A5EFA"/>
    <w:rsid w:val="004A60AE"/>
    <w:rsid w:val="004A61D8"/>
    <w:rsid w:val="004A6A51"/>
    <w:rsid w:val="004A6ABD"/>
    <w:rsid w:val="004A6D3C"/>
    <w:rsid w:val="004A7049"/>
    <w:rsid w:val="004A7052"/>
    <w:rsid w:val="004A71EA"/>
    <w:rsid w:val="004A7260"/>
    <w:rsid w:val="004A7279"/>
    <w:rsid w:val="004A7645"/>
    <w:rsid w:val="004A76A6"/>
    <w:rsid w:val="004A77A4"/>
    <w:rsid w:val="004A77F3"/>
    <w:rsid w:val="004A793F"/>
    <w:rsid w:val="004A7998"/>
    <w:rsid w:val="004A7C14"/>
    <w:rsid w:val="004A7E5A"/>
    <w:rsid w:val="004B023E"/>
    <w:rsid w:val="004B0691"/>
    <w:rsid w:val="004B0771"/>
    <w:rsid w:val="004B07EC"/>
    <w:rsid w:val="004B0F29"/>
    <w:rsid w:val="004B109E"/>
    <w:rsid w:val="004B11DB"/>
    <w:rsid w:val="004B14BA"/>
    <w:rsid w:val="004B16F6"/>
    <w:rsid w:val="004B1746"/>
    <w:rsid w:val="004B1BC2"/>
    <w:rsid w:val="004B2181"/>
    <w:rsid w:val="004B2295"/>
    <w:rsid w:val="004B23FF"/>
    <w:rsid w:val="004B250A"/>
    <w:rsid w:val="004B25E3"/>
    <w:rsid w:val="004B265C"/>
    <w:rsid w:val="004B2AD3"/>
    <w:rsid w:val="004B2DA2"/>
    <w:rsid w:val="004B2E51"/>
    <w:rsid w:val="004B2E7A"/>
    <w:rsid w:val="004B2FFD"/>
    <w:rsid w:val="004B300C"/>
    <w:rsid w:val="004B32DA"/>
    <w:rsid w:val="004B3306"/>
    <w:rsid w:val="004B3A8C"/>
    <w:rsid w:val="004B3C3D"/>
    <w:rsid w:val="004B3CF6"/>
    <w:rsid w:val="004B3E03"/>
    <w:rsid w:val="004B4E42"/>
    <w:rsid w:val="004B4E9F"/>
    <w:rsid w:val="004B5235"/>
    <w:rsid w:val="004B58BD"/>
    <w:rsid w:val="004B5931"/>
    <w:rsid w:val="004B5A30"/>
    <w:rsid w:val="004B5C0A"/>
    <w:rsid w:val="004B5DD7"/>
    <w:rsid w:val="004B5DF5"/>
    <w:rsid w:val="004B61C1"/>
    <w:rsid w:val="004B61DE"/>
    <w:rsid w:val="004B628D"/>
    <w:rsid w:val="004B68FE"/>
    <w:rsid w:val="004B6952"/>
    <w:rsid w:val="004B6A2C"/>
    <w:rsid w:val="004B6BE3"/>
    <w:rsid w:val="004B6BE8"/>
    <w:rsid w:val="004B6DB7"/>
    <w:rsid w:val="004B76D9"/>
    <w:rsid w:val="004B7B5B"/>
    <w:rsid w:val="004B7D4F"/>
    <w:rsid w:val="004B7DCE"/>
    <w:rsid w:val="004C00E3"/>
    <w:rsid w:val="004C04AF"/>
    <w:rsid w:val="004C04ED"/>
    <w:rsid w:val="004C05F1"/>
    <w:rsid w:val="004C062A"/>
    <w:rsid w:val="004C06A5"/>
    <w:rsid w:val="004C073D"/>
    <w:rsid w:val="004C079C"/>
    <w:rsid w:val="004C0985"/>
    <w:rsid w:val="004C0CA9"/>
    <w:rsid w:val="004C0D23"/>
    <w:rsid w:val="004C12BF"/>
    <w:rsid w:val="004C1425"/>
    <w:rsid w:val="004C1566"/>
    <w:rsid w:val="004C193E"/>
    <w:rsid w:val="004C1EB7"/>
    <w:rsid w:val="004C2034"/>
    <w:rsid w:val="004C2372"/>
    <w:rsid w:val="004C25D6"/>
    <w:rsid w:val="004C2E34"/>
    <w:rsid w:val="004C2FD3"/>
    <w:rsid w:val="004C2FE9"/>
    <w:rsid w:val="004C3919"/>
    <w:rsid w:val="004C39E2"/>
    <w:rsid w:val="004C3C82"/>
    <w:rsid w:val="004C3F0D"/>
    <w:rsid w:val="004C3FAC"/>
    <w:rsid w:val="004C47F5"/>
    <w:rsid w:val="004C4D12"/>
    <w:rsid w:val="004C4D17"/>
    <w:rsid w:val="004C5124"/>
    <w:rsid w:val="004C524C"/>
    <w:rsid w:val="004C53EE"/>
    <w:rsid w:val="004C5890"/>
    <w:rsid w:val="004C5A47"/>
    <w:rsid w:val="004C5B66"/>
    <w:rsid w:val="004C5EF4"/>
    <w:rsid w:val="004C60EF"/>
    <w:rsid w:val="004C62A6"/>
    <w:rsid w:val="004C62C6"/>
    <w:rsid w:val="004C62E4"/>
    <w:rsid w:val="004C64D9"/>
    <w:rsid w:val="004C658A"/>
    <w:rsid w:val="004C6927"/>
    <w:rsid w:val="004C6E0C"/>
    <w:rsid w:val="004C6E71"/>
    <w:rsid w:val="004C7295"/>
    <w:rsid w:val="004C72E8"/>
    <w:rsid w:val="004C75EB"/>
    <w:rsid w:val="004C76E0"/>
    <w:rsid w:val="004C775A"/>
    <w:rsid w:val="004D0423"/>
    <w:rsid w:val="004D07D2"/>
    <w:rsid w:val="004D0BD6"/>
    <w:rsid w:val="004D0C35"/>
    <w:rsid w:val="004D0E94"/>
    <w:rsid w:val="004D1239"/>
    <w:rsid w:val="004D13C4"/>
    <w:rsid w:val="004D152D"/>
    <w:rsid w:val="004D15FE"/>
    <w:rsid w:val="004D1B94"/>
    <w:rsid w:val="004D21B2"/>
    <w:rsid w:val="004D23A5"/>
    <w:rsid w:val="004D275B"/>
    <w:rsid w:val="004D2EB5"/>
    <w:rsid w:val="004D322A"/>
    <w:rsid w:val="004D33BC"/>
    <w:rsid w:val="004D354C"/>
    <w:rsid w:val="004D37C1"/>
    <w:rsid w:val="004D390C"/>
    <w:rsid w:val="004D3B69"/>
    <w:rsid w:val="004D3BE6"/>
    <w:rsid w:val="004D3DB2"/>
    <w:rsid w:val="004D3FE0"/>
    <w:rsid w:val="004D4197"/>
    <w:rsid w:val="004D45D2"/>
    <w:rsid w:val="004D47BF"/>
    <w:rsid w:val="004D4868"/>
    <w:rsid w:val="004D48F8"/>
    <w:rsid w:val="004D4A7B"/>
    <w:rsid w:val="004D4AF7"/>
    <w:rsid w:val="004D4CA2"/>
    <w:rsid w:val="004D4E32"/>
    <w:rsid w:val="004D52A1"/>
    <w:rsid w:val="004D54E4"/>
    <w:rsid w:val="004D5A8A"/>
    <w:rsid w:val="004D5BDB"/>
    <w:rsid w:val="004D5C24"/>
    <w:rsid w:val="004D6048"/>
    <w:rsid w:val="004D604F"/>
    <w:rsid w:val="004D60D4"/>
    <w:rsid w:val="004D63E9"/>
    <w:rsid w:val="004D64B0"/>
    <w:rsid w:val="004D6ACC"/>
    <w:rsid w:val="004D6D31"/>
    <w:rsid w:val="004D6D40"/>
    <w:rsid w:val="004D6E03"/>
    <w:rsid w:val="004D71FB"/>
    <w:rsid w:val="004D7590"/>
    <w:rsid w:val="004D7B1D"/>
    <w:rsid w:val="004D7CBD"/>
    <w:rsid w:val="004D7EF8"/>
    <w:rsid w:val="004E052A"/>
    <w:rsid w:val="004E091D"/>
    <w:rsid w:val="004E09D4"/>
    <w:rsid w:val="004E1228"/>
    <w:rsid w:val="004E1766"/>
    <w:rsid w:val="004E17CB"/>
    <w:rsid w:val="004E1848"/>
    <w:rsid w:val="004E19FB"/>
    <w:rsid w:val="004E1A98"/>
    <w:rsid w:val="004E1BA8"/>
    <w:rsid w:val="004E1D9B"/>
    <w:rsid w:val="004E1DEA"/>
    <w:rsid w:val="004E2433"/>
    <w:rsid w:val="004E2564"/>
    <w:rsid w:val="004E25BB"/>
    <w:rsid w:val="004E261B"/>
    <w:rsid w:val="004E275F"/>
    <w:rsid w:val="004E28EA"/>
    <w:rsid w:val="004E2AE5"/>
    <w:rsid w:val="004E2C1F"/>
    <w:rsid w:val="004E39AB"/>
    <w:rsid w:val="004E3C6E"/>
    <w:rsid w:val="004E3DE9"/>
    <w:rsid w:val="004E3DFB"/>
    <w:rsid w:val="004E44A1"/>
    <w:rsid w:val="004E4534"/>
    <w:rsid w:val="004E4B5D"/>
    <w:rsid w:val="004E4CE5"/>
    <w:rsid w:val="004E5205"/>
    <w:rsid w:val="004E5242"/>
    <w:rsid w:val="004E54D4"/>
    <w:rsid w:val="004E54EA"/>
    <w:rsid w:val="004E555C"/>
    <w:rsid w:val="004E56F9"/>
    <w:rsid w:val="004E595A"/>
    <w:rsid w:val="004E5BBD"/>
    <w:rsid w:val="004E607A"/>
    <w:rsid w:val="004E616D"/>
    <w:rsid w:val="004E6176"/>
    <w:rsid w:val="004E6503"/>
    <w:rsid w:val="004E6A2B"/>
    <w:rsid w:val="004E6EA5"/>
    <w:rsid w:val="004E7630"/>
    <w:rsid w:val="004E7981"/>
    <w:rsid w:val="004E7984"/>
    <w:rsid w:val="004F02FB"/>
    <w:rsid w:val="004F065C"/>
    <w:rsid w:val="004F075A"/>
    <w:rsid w:val="004F0C03"/>
    <w:rsid w:val="004F138F"/>
    <w:rsid w:val="004F1397"/>
    <w:rsid w:val="004F13BD"/>
    <w:rsid w:val="004F170F"/>
    <w:rsid w:val="004F17B7"/>
    <w:rsid w:val="004F1BD0"/>
    <w:rsid w:val="004F2021"/>
    <w:rsid w:val="004F20FF"/>
    <w:rsid w:val="004F210C"/>
    <w:rsid w:val="004F221B"/>
    <w:rsid w:val="004F2441"/>
    <w:rsid w:val="004F2604"/>
    <w:rsid w:val="004F2FD0"/>
    <w:rsid w:val="004F311F"/>
    <w:rsid w:val="004F3150"/>
    <w:rsid w:val="004F32BA"/>
    <w:rsid w:val="004F36B0"/>
    <w:rsid w:val="004F3956"/>
    <w:rsid w:val="004F3EB4"/>
    <w:rsid w:val="004F40FD"/>
    <w:rsid w:val="004F4196"/>
    <w:rsid w:val="004F45BE"/>
    <w:rsid w:val="004F461A"/>
    <w:rsid w:val="004F4859"/>
    <w:rsid w:val="004F4A91"/>
    <w:rsid w:val="004F5510"/>
    <w:rsid w:val="004F5A5E"/>
    <w:rsid w:val="004F5CE9"/>
    <w:rsid w:val="004F5FB0"/>
    <w:rsid w:val="004F5FC0"/>
    <w:rsid w:val="004F5FEB"/>
    <w:rsid w:val="004F6139"/>
    <w:rsid w:val="004F61EB"/>
    <w:rsid w:val="004F63BB"/>
    <w:rsid w:val="004F6A89"/>
    <w:rsid w:val="004F702D"/>
    <w:rsid w:val="004F70CC"/>
    <w:rsid w:val="004F70D3"/>
    <w:rsid w:val="004F7176"/>
    <w:rsid w:val="004F7709"/>
    <w:rsid w:val="004F79E4"/>
    <w:rsid w:val="004F7A1E"/>
    <w:rsid w:val="004F7A95"/>
    <w:rsid w:val="004F7F7A"/>
    <w:rsid w:val="00500516"/>
    <w:rsid w:val="005005E9"/>
    <w:rsid w:val="005009FC"/>
    <w:rsid w:val="00500BA9"/>
    <w:rsid w:val="005013CE"/>
    <w:rsid w:val="0050148F"/>
    <w:rsid w:val="00502755"/>
    <w:rsid w:val="00502E00"/>
    <w:rsid w:val="00502F7B"/>
    <w:rsid w:val="005033E4"/>
    <w:rsid w:val="00504058"/>
    <w:rsid w:val="00504176"/>
    <w:rsid w:val="00504528"/>
    <w:rsid w:val="00504812"/>
    <w:rsid w:val="00504835"/>
    <w:rsid w:val="00504CCE"/>
    <w:rsid w:val="00504E6C"/>
    <w:rsid w:val="00504F05"/>
    <w:rsid w:val="00505190"/>
    <w:rsid w:val="005055BD"/>
    <w:rsid w:val="005056AE"/>
    <w:rsid w:val="00505749"/>
    <w:rsid w:val="0050581C"/>
    <w:rsid w:val="00505FF8"/>
    <w:rsid w:val="005061F5"/>
    <w:rsid w:val="0050626E"/>
    <w:rsid w:val="00506420"/>
    <w:rsid w:val="00506617"/>
    <w:rsid w:val="0050662A"/>
    <w:rsid w:val="00506637"/>
    <w:rsid w:val="00506A60"/>
    <w:rsid w:val="00506ED2"/>
    <w:rsid w:val="005073E6"/>
    <w:rsid w:val="0050740E"/>
    <w:rsid w:val="0050750B"/>
    <w:rsid w:val="005075F3"/>
    <w:rsid w:val="00507961"/>
    <w:rsid w:val="00507C47"/>
    <w:rsid w:val="00507F20"/>
    <w:rsid w:val="005105E4"/>
    <w:rsid w:val="0051061B"/>
    <w:rsid w:val="00510857"/>
    <w:rsid w:val="00510BAF"/>
    <w:rsid w:val="00510DDD"/>
    <w:rsid w:val="00510E28"/>
    <w:rsid w:val="00510F57"/>
    <w:rsid w:val="00511B1D"/>
    <w:rsid w:val="00512E15"/>
    <w:rsid w:val="0051311E"/>
    <w:rsid w:val="005131D7"/>
    <w:rsid w:val="0051342A"/>
    <w:rsid w:val="0051344C"/>
    <w:rsid w:val="0051346D"/>
    <w:rsid w:val="0051351A"/>
    <w:rsid w:val="0051369A"/>
    <w:rsid w:val="0051376E"/>
    <w:rsid w:val="00513777"/>
    <w:rsid w:val="00513A48"/>
    <w:rsid w:val="00513E0E"/>
    <w:rsid w:val="00514312"/>
    <w:rsid w:val="00514496"/>
    <w:rsid w:val="00514547"/>
    <w:rsid w:val="00514745"/>
    <w:rsid w:val="00514BF2"/>
    <w:rsid w:val="00514C4B"/>
    <w:rsid w:val="00515370"/>
    <w:rsid w:val="005155C8"/>
    <w:rsid w:val="00515B42"/>
    <w:rsid w:val="00515DFE"/>
    <w:rsid w:val="005163A9"/>
    <w:rsid w:val="005167E1"/>
    <w:rsid w:val="005167F8"/>
    <w:rsid w:val="0051690D"/>
    <w:rsid w:val="00516A7B"/>
    <w:rsid w:val="00516ACD"/>
    <w:rsid w:val="00516B70"/>
    <w:rsid w:val="00516C45"/>
    <w:rsid w:val="00516C9E"/>
    <w:rsid w:val="00516E0B"/>
    <w:rsid w:val="00516E31"/>
    <w:rsid w:val="00516E6F"/>
    <w:rsid w:val="00517139"/>
    <w:rsid w:val="00517503"/>
    <w:rsid w:val="005175FC"/>
    <w:rsid w:val="005179C6"/>
    <w:rsid w:val="00517B02"/>
    <w:rsid w:val="00517E48"/>
    <w:rsid w:val="00517E8E"/>
    <w:rsid w:val="00517EA3"/>
    <w:rsid w:val="0052010C"/>
    <w:rsid w:val="00520250"/>
    <w:rsid w:val="00520372"/>
    <w:rsid w:val="00520527"/>
    <w:rsid w:val="0052057F"/>
    <w:rsid w:val="00520975"/>
    <w:rsid w:val="00520C33"/>
    <w:rsid w:val="00520F3B"/>
    <w:rsid w:val="00520FEA"/>
    <w:rsid w:val="00521139"/>
    <w:rsid w:val="005211B7"/>
    <w:rsid w:val="0052138F"/>
    <w:rsid w:val="005214D1"/>
    <w:rsid w:val="00521583"/>
    <w:rsid w:val="0052166E"/>
    <w:rsid w:val="00521F33"/>
    <w:rsid w:val="005222C8"/>
    <w:rsid w:val="005224A7"/>
    <w:rsid w:val="0052271A"/>
    <w:rsid w:val="00522B7B"/>
    <w:rsid w:val="00522BF8"/>
    <w:rsid w:val="005230BF"/>
    <w:rsid w:val="0052335B"/>
    <w:rsid w:val="005233DF"/>
    <w:rsid w:val="00523592"/>
    <w:rsid w:val="005235F8"/>
    <w:rsid w:val="00523AA8"/>
    <w:rsid w:val="00523C20"/>
    <w:rsid w:val="00523CDE"/>
    <w:rsid w:val="0052457E"/>
    <w:rsid w:val="00524650"/>
    <w:rsid w:val="00524895"/>
    <w:rsid w:val="00524F1C"/>
    <w:rsid w:val="0052525B"/>
    <w:rsid w:val="0052574B"/>
    <w:rsid w:val="005261B5"/>
    <w:rsid w:val="0052634D"/>
    <w:rsid w:val="0052653C"/>
    <w:rsid w:val="00526740"/>
    <w:rsid w:val="00526766"/>
    <w:rsid w:val="00526AD0"/>
    <w:rsid w:val="00526AEC"/>
    <w:rsid w:val="00526D3D"/>
    <w:rsid w:val="00526E4F"/>
    <w:rsid w:val="00526FC1"/>
    <w:rsid w:val="005270C5"/>
    <w:rsid w:val="00527860"/>
    <w:rsid w:val="0053035E"/>
    <w:rsid w:val="005303A0"/>
    <w:rsid w:val="00530453"/>
    <w:rsid w:val="00530A91"/>
    <w:rsid w:val="00530B00"/>
    <w:rsid w:val="00530B48"/>
    <w:rsid w:val="005311EC"/>
    <w:rsid w:val="0053142F"/>
    <w:rsid w:val="0053159E"/>
    <w:rsid w:val="00531B98"/>
    <w:rsid w:val="00531EB1"/>
    <w:rsid w:val="00531F1F"/>
    <w:rsid w:val="00532181"/>
    <w:rsid w:val="005322B3"/>
    <w:rsid w:val="00532354"/>
    <w:rsid w:val="00532412"/>
    <w:rsid w:val="00532423"/>
    <w:rsid w:val="00532591"/>
    <w:rsid w:val="00532995"/>
    <w:rsid w:val="00532E48"/>
    <w:rsid w:val="00532EFA"/>
    <w:rsid w:val="00533022"/>
    <w:rsid w:val="005330F5"/>
    <w:rsid w:val="00533485"/>
    <w:rsid w:val="00533773"/>
    <w:rsid w:val="005337BB"/>
    <w:rsid w:val="005339B0"/>
    <w:rsid w:val="00533C55"/>
    <w:rsid w:val="00533C78"/>
    <w:rsid w:val="00533F9F"/>
    <w:rsid w:val="0053404C"/>
    <w:rsid w:val="00534B8A"/>
    <w:rsid w:val="00534C7B"/>
    <w:rsid w:val="00534C81"/>
    <w:rsid w:val="00535235"/>
    <w:rsid w:val="00535245"/>
    <w:rsid w:val="005352F9"/>
    <w:rsid w:val="005354FC"/>
    <w:rsid w:val="005355DF"/>
    <w:rsid w:val="0053590D"/>
    <w:rsid w:val="00535A3C"/>
    <w:rsid w:val="00535DA9"/>
    <w:rsid w:val="00535DCB"/>
    <w:rsid w:val="00536027"/>
    <w:rsid w:val="005361D5"/>
    <w:rsid w:val="005362B9"/>
    <w:rsid w:val="005364CA"/>
    <w:rsid w:val="00536795"/>
    <w:rsid w:val="005368DD"/>
    <w:rsid w:val="00536959"/>
    <w:rsid w:val="005369CB"/>
    <w:rsid w:val="00536ABF"/>
    <w:rsid w:val="00536F7C"/>
    <w:rsid w:val="00537452"/>
    <w:rsid w:val="005375E4"/>
    <w:rsid w:val="00537646"/>
    <w:rsid w:val="0053771E"/>
    <w:rsid w:val="00537866"/>
    <w:rsid w:val="00537DA4"/>
    <w:rsid w:val="0054037B"/>
    <w:rsid w:val="005407A2"/>
    <w:rsid w:val="005407FD"/>
    <w:rsid w:val="00540CA6"/>
    <w:rsid w:val="00540CA8"/>
    <w:rsid w:val="00540DC5"/>
    <w:rsid w:val="00541045"/>
    <w:rsid w:val="00541120"/>
    <w:rsid w:val="00541143"/>
    <w:rsid w:val="00541272"/>
    <w:rsid w:val="00541404"/>
    <w:rsid w:val="005415E8"/>
    <w:rsid w:val="0054167C"/>
    <w:rsid w:val="00541898"/>
    <w:rsid w:val="00541CAC"/>
    <w:rsid w:val="0054216E"/>
    <w:rsid w:val="005421BE"/>
    <w:rsid w:val="0054290F"/>
    <w:rsid w:val="00542A6E"/>
    <w:rsid w:val="00542B87"/>
    <w:rsid w:val="00543163"/>
    <w:rsid w:val="005432CC"/>
    <w:rsid w:val="005433B8"/>
    <w:rsid w:val="00543685"/>
    <w:rsid w:val="00543CBD"/>
    <w:rsid w:val="00543FDF"/>
    <w:rsid w:val="005442F3"/>
    <w:rsid w:val="00544751"/>
    <w:rsid w:val="005447EC"/>
    <w:rsid w:val="00544A10"/>
    <w:rsid w:val="00544B3A"/>
    <w:rsid w:val="00544C97"/>
    <w:rsid w:val="0054532F"/>
    <w:rsid w:val="0054536F"/>
    <w:rsid w:val="005455AA"/>
    <w:rsid w:val="00545743"/>
    <w:rsid w:val="005457A6"/>
    <w:rsid w:val="00545EFE"/>
    <w:rsid w:val="005462B4"/>
    <w:rsid w:val="005463F1"/>
    <w:rsid w:val="0054670D"/>
    <w:rsid w:val="00546D13"/>
    <w:rsid w:val="0054740B"/>
    <w:rsid w:val="00547D2A"/>
    <w:rsid w:val="00547D76"/>
    <w:rsid w:val="00550142"/>
    <w:rsid w:val="00550262"/>
    <w:rsid w:val="00550380"/>
    <w:rsid w:val="0055042D"/>
    <w:rsid w:val="005504FB"/>
    <w:rsid w:val="00550BB0"/>
    <w:rsid w:val="00550DEC"/>
    <w:rsid w:val="00550DF2"/>
    <w:rsid w:val="00551112"/>
    <w:rsid w:val="005511A5"/>
    <w:rsid w:val="00551204"/>
    <w:rsid w:val="005512CF"/>
    <w:rsid w:val="005513E9"/>
    <w:rsid w:val="00551701"/>
    <w:rsid w:val="00551E20"/>
    <w:rsid w:val="00551F4D"/>
    <w:rsid w:val="0055270B"/>
    <w:rsid w:val="00552A6E"/>
    <w:rsid w:val="00552C03"/>
    <w:rsid w:val="00552F79"/>
    <w:rsid w:val="00552FA1"/>
    <w:rsid w:val="00553105"/>
    <w:rsid w:val="0055334D"/>
    <w:rsid w:val="005533ED"/>
    <w:rsid w:val="00553892"/>
    <w:rsid w:val="0055391E"/>
    <w:rsid w:val="00553A58"/>
    <w:rsid w:val="00553B64"/>
    <w:rsid w:val="00553BC5"/>
    <w:rsid w:val="00553DBF"/>
    <w:rsid w:val="00553F47"/>
    <w:rsid w:val="0055422D"/>
    <w:rsid w:val="00554241"/>
    <w:rsid w:val="0055424E"/>
    <w:rsid w:val="00554511"/>
    <w:rsid w:val="0055491A"/>
    <w:rsid w:val="00554B00"/>
    <w:rsid w:val="00554B36"/>
    <w:rsid w:val="00554C56"/>
    <w:rsid w:val="0055513C"/>
    <w:rsid w:val="005551AB"/>
    <w:rsid w:val="005551B9"/>
    <w:rsid w:val="0055527A"/>
    <w:rsid w:val="0055529C"/>
    <w:rsid w:val="0055529F"/>
    <w:rsid w:val="00555316"/>
    <w:rsid w:val="0055542B"/>
    <w:rsid w:val="0055577F"/>
    <w:rsid w:val="0055584B"/>
    <w:rsid w:val="005559D7"/>
    <w:rsid w:val="00555C04"/>
    <w:rsid w:val="00555EC2"/>
    <w:rsid w:val="005560B5"/>
    <w:rsid w:val="0055624A"/>
    <w:rsid w:val="00556575"/>
    <w:rsid w:val="00556CBC"/>
    <w:rsid w:val="00556DD9"/>
    <w:rsid w:val="00557228"/>
    <w:rsid w:val="00557287"/>
    <w:rsid w:val="0055735B"/>
    <w:rsid w:val="00557E2A"/>
    <w:rsid w:val="00557F32"/>
    <w:rsid w:val="0056008F"/>
    <w:rsid w:val="005605BA"/>
    <w:rsid w:val="0056115E"/>
    <w:rsid w:val="00561396"/>
    <w:rsid w:val="0056139D"/>
    <w:rsid w:val="0056140A"/>
    <w:rsid w:val="005615BA"/>
    <w:rsid w:val="005616E8"/>
    <w:rsid w:val="0056181D"/>
    <w:rsid w:val="00561894"/>
    <w:rsid w:val="005618DD"/>
    <w:rsid w:val="00561A56"/>
    <w:rsid w:val="00561BBD"/>
    <w:rsid w:val="00561DA0"/>
    <w:rsid w:val="00561F70"/>
    <w:rsid w:val="005625E3"/>
    <w:rsid w:val="00562A54"/>
    <w:rsid w:val="00562AA7"/>
    <w:rsid w:val="005630F8"/>
    <w:rsid w:val="0056311D"/>
    <w:rsid w:val="0056326D"/>
    <w:rsid w:val="005634AC"/>
    <w:rsid w:val="005635C4"/>
    <w:rsid w:val="0056364C"/>
    <w:rsid w:val="00563730"/>
    <w:rsid w:val="00563F3F"/>
    <w:rsid w:val="00563FC2"/>
    <w:rsid w:val="00564149"/>
    <w:rsid w:val="005641EC"/>
    <w:rsid w:val="00564217"/>
    <w:rsid w:val="005644F5"/>
    <w:rsid w:val="0056453E"/>
    <w:rsid w:val="00564E22"/>
    <w:rsid w:val="00564F7D"/>
    <w:rsid w:val="00565226"/>
    <w:rsid w:val="005652DA"/>
    <w:rsid w:val="00565439"/>
    <w:rsid w:val="0056564D"/>
    <w:rsid w:val="005657EE"/>
    <w:rsid w:val="005659EF"/>
    <w:rsid w:val="00565A25"/>
    <w:rsid w:val="00565B32"/>
    <w:rsid w:val="00565C36"/>
    <w:rsid w:val="00565CAD"/>
    <w:rsid w:val="00565DFA"/>
    <w:rsid w:val="0056608E"/>
    <w:rsid w:val="00566153"/>
    <w:rsid w:val="0056637B"/>
    <w:rsid w:val="00566518"/>
    <w:rsid w:val="00566A17"/>
    <w:rsid w:val="00566CA5"/>
    <w:rsid w:val="00567022"/>
    <w:rsid w:val="005674F5"/>
    <w:rsid w:val="00567680"/>
    <w:rsid w:val="005676D8"/>
    <w:rsid w:val="00567BAA"/>
    <w:rsid w:val="00567C12"/>
    <w:rsid w:val="00567CC8"/>
    <w:rsid w:val="00567D0E"/>
    <w:rsid w:val="005703B2"/>
    <w:rsid w:val="0057047B"/>
    <w:rsid w:val="00570A38"/>
    <w:rsid w:val="00571210"/>
    <w:rsid w:val="00571500"/>
    <w:rsid w:val="005719D4"/>
    <w:rsid w:val="00571BDA"/>
    <w:rsid w:val="00571DA3"/>
    <w:rsid w:val="00571F98"/>
    <w:rsid w:val="00572023"/>
    <w:rsid w:val="00572186"/>
    <w:rsid w:val="00572245"/>
    <w:rsid w:val="005727DE"/>
    <w:rsid w:val="005729AA"/>
    <w:rsid w:val="00572A39"/>
    <w:rsid w:val="00572B9D"/>
    <w:rsid w:val="00572F50"/>
    <w:rsid w:val="00573109"/>
    <w:rsid w:val="0057375B"/>
    <w:rsid w:val="00573B14"/>
    <w:rsid w:val="00573C5D"/>
    <w:rsid w:val="00573DB5"/>
    <w:rsid w:val="00573DFF"/>
    <w:rsid w:val="00573E3D"/>
    <w:rsid w:val="00573EDC"/>
    <w:rsid w:val="00573FAA"/>
    <w:rsid w:val="00574608"/>
    <w:rsid w:val="00574942"/>
    <w:rsid w:val="005752E5"/>
    <w:rsid w:val="00575324"/>
    <w:rsid w:val="005757DC"/>
    <w:rsid w:val="00575AA5"/>
    <w:rsid w:val="00575C2E"/>
    <w:rsid w:val="00575EB6"/>
    <w:rsid w:val="0057627C"/>
    <w:rsid w:val="00576395"/>
    <w:rsid w:val="00576534"/>
    <w:rsid w:val="00576733"/>
    <w:rsid w:val="00576BB9"/>
    <w:rsid w:val="00576BED"/>
    <w:rsid w:val="00576E03"/>
    <w:rsid w:val="00577158"/>
    <w:rsid w:val="005773C9"/>
    <w:rsid w:val="0057773F"/>
    <w:rsid w:val="005779B3"/>
    <w:rsid w:val="00577F36"/>
    <w:rsid w:val="00580057"/>
    <w:rsid w:val="005801DF"/>
    <w:rsid w:val="005801F3"/>
    <w:rsid w:val="00580973"/>
    <w:rsid w:val="00580D8C"/>
    <w:rsid w:val="00581072"/>
    <w:rsid w:val="00581380"/>
    <w:rsid w:val="005813D0"/>
    <w:rsid w:val="005813D1"/>
    <w:rsid w:val="00581493"/>
    <w:rsid w:val="005815FB"/>
    <w:rsid w:val="005817E9"/>
    <w:rsid w:val="00581A97"/>
    <w:rsid w:val="00581C0E"/>
    <w:rsid w:val="00581C9B"/>
    <w:rsid w:val="00581EEA"/>
    <w:rsid w:val="00581F32"/>
    <w:rsid w:val="00582216"/>
    <w:rsid w:val="005824D8"/>
    <w:rsid w:val="0058290F"/>
    <w:rsid w:val="00582D99"/>
    <w:rsid w:val="0058339A"/>
    <w:rsid w:val="0058355B"/>
    <w:rsid w:val="00583825"/>
    <w:rsid w:val="00583A13"/>
    <w:rsid w:val="00584542"/>
    <w:rsid w:val="00584A3B"/>
    <w:rsid w:val="00584AE2"/>
    <w:rsid w:val="00584FB9"/>
    <w:rsid w:val="00585048"/>
    <w:rsid w:val="0058572A"/>
    <w:rsid w:val="005858B2"/>
    <w:rsid w:val="00585A6C"/>
    <w:rsid w:val="00586144"/>
    <w:rsid w:val="005861B4"/>
    <w:rsid w:val="005861C8"/>
    <w:rsid w:val="00586262"/>
    <w:rsid w:val="00586492"/>
    <w:rsid w:val="00586F10"/>
    <w:rsid w:val="00586FCE"/>
    <w:rsid w:val="00586FDB"/>
    <w:rsid w:val="00587112"/>
    <w:rsid w:val="00587184"/>
    <w:rsid w:val="00587344"/>
    <w:rsid w:val="005877C3"/>
    <w:rsid w:val="005877FF"/>
    <w:rsid w:val="005879A4"/>
    <w:rsid w:val="005879DF"/>
    <w:rsid w:val="00587BBE"/>
    <w:rsid w:val="00587C6E"/>
    <w:rsid w:val="005903C1"/>
    <w:rsid w:val="00590470"/>
    <w:rsid w:val="0059099E"/>
    <w:rsid w:val="00590CCC"/>
    <w:rsid w:val="00590FF8"/>
    <w:rsid w:val="00591291"/>
    <w:rsid w:val="00591523"/>
    <w:rsid w:val="00591704"/>
    <w:rsid w:val="00591786"/>
    <w:rsid w:val="00591B5D"/>
    <w:rsid w:val="00591BF8"/>
    <w:rsid w:val="00591D94"/>
    <w:rsid w:val="00591E7B"/>
    <w:rsid w:val="00592137"/>
    <w:rsid w:val="005922C4"/>
    <w:rsid w:val="0059244A"/>
    <w:rsid w:val="005928D1"/>
    <w:rsid w:val="005934DA"/>
    <w:rsid w:val="00593A69"/>
    <w:rsid w:val="00593D7D"/>
    <w:rsid w:val="00593E34"/>
    <w:rsid w:val="00594BA9"/>
    <w:rsid w:val="00595334"/>
    <w:rsid w:val="00595392"/>
    <w:rsid w:val="00595917"/>
    <w:rsid w:val="00595935"/>
    <w:rsid w:val="00595943"/>
    <w:rsid w:val="00595A75"/>
    <w:rsid w:val="00595D0D"/>
    <w:rsid w:val="0059616D"/>
    <w:rsid w:val="005965AA"/>
    <w:rsid w:val="00596DE8"/>
    <w:rsid w:val="00596ECD"/>
    <w:rsid w:val="0059717A"/>
    <w:rsid w:val="005972A8"/>
    <w:rsid w:val="0059746C"/>
    <w:rsid w:val="00597B82"/>
    <w:rsid w:val="00597DC4"/>
    <w:rsid w:val="00597E54"/>
    <w:rsid w:val="00597FFD"/>
    <w:rsid w:val="005A0300"/>
    <w:rsid w:val="005A069C"/>
    <w:rsid w:val="005A0A9A"/>
    <w:rsid w:val="005A158B"/>
    <w:rsid w:val="005A1621"/>
    <w:rsid w:val="005A1725"/>
    <w:rsid w:val="005A1810"/>
    <w:rsid w:val="005A18D8"/>
    <w:rsid w:val="005A1927"/>
    <w:rsid w:val="005A194F"/>
    <w:rsid w:val="005A1AB9"/>
    <w:rsid w:val="005A1C20"/>
    <w:rsid w:val="005A2381"/>
    <w:rsid w:val="005A2548"/>
    <w:rsid w:val="005A266B"/>
    <w:rsid w:val="005A2673"/>
    <w:rsid w:val="005A2827"/>
    <w:rsid w:val="005A2B64"/>
    <w:rsid w:val="005A2E12"/>
    <w:rsid w:val="005A3027"/>
    <w:rsid w:val="005A312C"/>
    <w:rsid w:val="005A326D"/>
    <w:rsid w:val="005A359C"/>
    <w:rsid w:val="005A3944"/>
    <w:rsid w:val="005A39CF"/>
    <w:rsid w:val="005A39E2"/>
    <w:rsid w:val="005A3AD5"/>
    <w:rsid w:val="005A3BCA"/>
    <w:rsid w:val="005A3E92"/>
    <w:rsid w:val="005A3EA6"/>
    <w:rsid w:val="005A4405"/>
    <w:rsid w:val="005A488B"/>
    <w:rsid w:val="005A4B8C"/>
    <w:rsid w:val="005A4E1A"/>
    <w:rsid w:val="005A4F02"/>
    <w:rsid w:val="005A5010"/>
    <w:rsid w:val="005A5029"/>
    <w:rsid w:val="005A51E2"/>
    <w:rsid w:val="005A52F5"/>
    <w:rsid w:val="005A5304"/>
    <w:rsid w:val="005A55A3"/>
    <w:rsid w:val="005A55DF"/>
    <w:rsid w:val="005A56AD"/>
    <w:rsid w:val="005A56C1"/>
    <w:rsid w:val="005A56D5"/>
    <w:rsid w:val="005A5804"/>
    <w:rsid w:val="005A5AB6"/>
    <w:rsid w:val="005A5C1B"/>
    <w:rsid w:val="005A5EE5"/>
    <w:rsid w:val="005A62B8"/>
    <w:rsid w:val="005A639C"/>
    <w:rsid w:val="005A6617"/>
    <w:rsid w:val="005A6737"/>
    <w:rsid w:val="005A6947"/>
    <w:rsid w:val="005A69EE"/>
    <w:rsid w:val="005A6B92"/>
    <w:rsid w:val="005A6C2F"/>
    <w:rsid w:val="005A6C52"/>
    <w:rsid w:val="005A6FEF"/>
    <w:rsid w:val="005A7183"/>
    <w:rsid w:val="005A7204"/>
    <w:rsid w:val="005A73CD"/>
    <w:rsid w:val="005A788F"/>
    <w:rsid w:val="005B02F3"/>
    <w:rsid w:val="005B04D7"/>
    <w:rsid w:val="005B0EA9"/>
    <w:rsid w:val="005B105D"/>
    <w:rsid w:val="005B1357"/>
    <w:rsid w:val="005B14D4"/>
    <w:rsid w:val="005B18C1"/>
    <w:rsid w:val="005B1FF9"/>
    <w:rsid w:val="005B2208"/>
    <w:rsid w:val="005B222E"/>
    <w:rsid w:val="005B2351"/>
    <w:rsid w:val="005B2431"/>
    <w:rsid w:val="005B27C9"/>
    <w:rsid w:val="005B2C68"/>
    <w:rsid w:val="005B2DCF"/>
    <w:rsid w:val="005B3188"/>
    <w:rsid w:val="005B318A"/>
    <w:rsid w:val="005B32C8"/>
    <w:rsid w:val="005B33DC"/>
    <w:rsid w:val="005B352C"/>
    <w:rsid w:val="005B3773"/>
    <w:rsid w:val="005B39A6"/>
    <w:rsid w:val="005B3B91"/>
    <w:rsid w:val="005B3FB1"/>
    <w:rsid w:val="005B3FB2"/>
    <w:rsid w:val="005B42D9"/>
    <w:rsid w:val="005B45B8"/>
    <w:rsid w:val="005B45D1"/>
    <w:rsid w:val="005B46AE"/>
    <w:rsid w:val="005B510A"/>
    <w:rsid w:val="005B55D4"/>
    <w:rsid w:val="005B5690"/>
    <w:rsid w:val="005B5AA9"/>
    <w:rsid w:val="005B5ACA"/>
    <w:rsid w:val="005B5E29"/>
    <w:rsid w:val="005B6132"/>
    <w:rsid w:val="005B6CF6"/>
    <w:rsid w:val="005B6D31"/>
    <w:rsid w:val="005B71B0"/>
    <w:rsid w:val="005B7342"/>
    <w:rsid w:val="005B7559"/>
    <w:rsid w:val="005B77B0"/>
    <w:rsid w:val="005B7865"/>
    <w:rsid w:val="005B7AA1"/>
    <w:rsid w:val="005C00B4"/>
    <w:rsid w:val="005C024A"/>
    <w:rsid w:val="005C0633"/>
    <w:rsid w:val="005C06AE"/>
    <w:rsid w:val="005C0BB7"/>
    <w:rsid w:val="005C0CF5"/>
    <w:rsid w:val="005C0DBD"/>
    <w:rsid w:val="005C1247"/>
    <w:rsid w:val="005C161A"/>
    <w:rsid w:val="005C1B79"/>
    <w:rsid w:val="005C1CC7"/>
    <w:rsid w:val="005C218D"/>
    <w:rsid w:val="005C228B"/>
    <w:rsid w:val="005C27B3"/>
    <w:rsid w:val="005C2A38"/>
    <w:rsid w:val="005C2BD1"/>
    <w:rsid w:val="005C311C"/>
    <w:rsid w:val="005C3198"/>
    <w:rsid w:val="005C3326"/>
    <w:rsid w:val="005C335D"/>
    <w:rsid w:val="005C378C"/>
    <w:rsid w:val="005C3816"/>
    <w:rsid w:val="005C3A38"/>
    <w:rsid w:val="005C3B54"/>
    <w:rsid w:val="005C3BA3"/>
    <w:rsid w:val="005C3CE1"/>
    <w:rsid w:val="005C3E60"/>
    <w:rsid w:val="005C3EE0"/>
    <w:rsid w:val="005C403F"/>
    <w:rsid w:val="005C461C"/>
    <w:rsid w:val="005C4724"/>
    <w:rsid w:val="005C4DD3"/>
    <w:rsid w:val="005C51A4"/>
    <w:rsid w:val="005C51A9"/>
    <w:rsid w:val="005C521A"/>
    <w:rsid w:val="005C56DA"/>
    <w:rsid w:val="005C5916"/>
    <w:rsid w:val="005C5B1B"/>
    <w:rsid w:val="005C5C31"/>
    <w:rsid w:val="005C5C6C"/>
    <w:rsid w:val="005C5CC8"/>
    <w:rsid w:val="005C5F58"/>
    <w:rsid w:val="005C6EAB"/>
    <w:rsid w:val="005C6EC8"/>
    <w:rsid w:val="005C6ED3"/>
    <w:rsid w:val="005C7423"/>
    <w:rsid w:val="005C7834"/>
    <w:rsid w:val="005C7895"/>
    <w:rsid w:val="005C7BBC"/>
    <w:rsid w:val="005C7C14"/>
    <w:rsid w:val="005C7C9B"/>
    <w:rsid w:val="005D006E"/>
    <w:rsid w:val="005D0149"/>
    <w:rsid w:val="005D04A4"/>
    <w:rsid w:val="005D0D79"/>
    <w:rsid w:val="005D199E"/>
    <w:rsid w:val="005D1A63"/>
    <w:rsid w:val="005D1A7F"/>
    <w:rsid w:val="005D1C48"/>
    <w:rsid w:val="005D1DBB"/>
    <w:rsid w:val="005D1DD1"/>
    <w:rsid w:val="005D1F0D"/>
    <w:rsid w:val="005D210F"/>
    <w:rsid w:val="005D223C"/>
    <w:rsid w:val="005D283D"/>
    <w:rsid w:val="005D29BE"/>
    <w:rsid w:val="005D2AFF"/>
    <w:rsid w:val="005D2B8F"/>
    <w:rsid w:val="005D2D15"/>
    <w:rsid w:val="005D2D88"/>
    <w:rsid w:val="005D2E6B"/>
    <w:rsid w:val="005D2FC5"/>
    <w:rsid w:val="005D301A"/>
    <w:rsid w:val="005D3074"/>
    <w:rsid w:val="005D3413"/>
    <w:rsid w:val="005D3541"/>
    <w:rsid w:val="005D41B7"/>
    <w:rsid w:val="005D447E"/>
    <w:rsid w:val="005D451A"/>
    <w:rsid w:val="005D49B5"/>
    <w:rsid w:val="005D5544"/>
    <w:rsid w:val="005D5736"/>
    <w:rsid w:val="005D5BB6"/>
    <w:rsid w:val="005D5F65"/>
    <w:rsid w:val="005D6022"/>
    <w:rsid w:val="005D61C5"/>
    <w:rsid w:val="005D6EAF"/>
    <w:rsid w:val="005D6F2C"/>
    <w:rsid w:val="005D72EB"/>
    <w:rsid w:val="005D776D"/>
    <w:rsid w:val="005D77D8"/>
    <w:rsid w:val="005D7975"/>
    <w:rsid w:val="005D7FFE"/>
    <w:rsid w:val="005E0036"/>
    <w:rsid w:val="005E02AE"/>
    <w:rsid w:val="005E035B"/>
    <w:rsid w:val="005E0400"/>
    <w:rsid w:val="005E0576"/>
    <w:rsid w:val="005E067C"/>
    <w:rsid w:val="005E0A62"/>
    <w:rsid w:val="005E0E50"/>
    <w:rsid w:val="005E0E74"/>
    <w:rsid w:val="005E0F3C"/>
    <w:rsid w:val="005E1042"/>
    <w:rsid w:val="005E1083"/>
    <w:rsid w:val="005E155A"/>
    <w:rsid w:val="005E159C"/>
    <w:rsid w:val="005E1AE8"/>
    <w:rsid w:val="005E1B02"/>
    <w:rsid w:val="005E1B26"/>
    <w:rsid w:val="005E1B50"/>
    <w:rsid w:val="005E1E45"/>
    <w:rsid w:val="005E1E6B"/>
    <w:rsid w:val="005E2028"/>
    <w:rsid w:val="005E2440"/>
    <w:rsid w:val="005E24D4"/>
    <w:rsid w:val="005E2920"/>
    <w:rsid w:val="005E2A37"/>
    <w:rsid w:val="005E2D37"/>
    <w:rsid w:val="005E3219"/>
    <w:rsid w:val="005E326B"/>
    <w:rsid w:val="005E346F"/>
    <w:rsid w:val="005E3E43"/>
    <w:rsid w:val="005E4108"/>
    <w:rsid w:val="005E4200"/>
    <w:rsid w:val="005E4288"/>
    <w:rsid w:val="005E431F"/>
    <w:rsid w:val="005E4637"/>
    <w:rsid w:val="005E4FC4"/>
    <w:rsid w:val="005E52F5"/>
    <w:rsid w:val="005E597E"/>
    <w:rsid w:val="005E5CEA"/>
    <w:rsid w:val="005E5D1F"/>
    <w:rsid w:val="005E6060"/>
    <w:rsid w:val="005E620A"/>
    <w:rsid w:val="005E65A4"/>
    <w:rsid w:val="005E69BD"/>
    <w:rsid w:val="005E6AA5"/>
    <w:rsid w:val="005E6AFF"/>
    <w:rsid w:val="005E6B2F"/>
    <w:rsid w:val="005E6BCC"/>
    <w:rsid w:val="005E6D04"/>
    <w:rsid w:val="005E6D9D"/>
    <w:rsid w:val="005E6EDB"/>
    <w:rsid w:val="005E6F85"/>
    <w:rsid w:val="005E70A6"/>
    <w:rsid w:val="005E73A9"/>
    <w:rsid w:val="005E75A6"/>
    <w:rsid w:val="005E75BA"/>
    <w:rsid w:val="005E76CF"/>
    <w:rsid w:val="005E78E8"/>
    <w:rsid w:val="005E79EB"/>
    <w:rsid w:val="005E7E38"/>
    <w:rsid w:val="005E7FF0"/>
    <w:rsid w:val="005F0953"/>
    <w:rsid w:val="005F113C"/>
    <w:rsid w:val="005F1207"/>
    <w:rsid w:val="005F126C"/>
    <w:rsid w:val="005F14B8"/>
    <w:rsid w:val="005F173F"/>
    <w:rsid w:val="005F1F39"/>
    <w:rsid w:val="005F209F"/>
    <w:rsid w:val="005F2322"/>
    <w:rsid w:val="005F2330"/>
    <w:rsid w:val="005F2365"/>
    <w:rsid w:val="005F28B0"/>
    <w:rsid w:val="005F29D0"/>
    <w:rsid w:val="005F2CB2"/>
    <w:rsid w:val="005F3457"/>
    <w:rsid w:val="005F34AB"/>
    <w:rsid w:val="005F34FB"/>
    <w:rsid w:val="005F3685"/>
    <w:rsid w:val="005F3909"/>
    <w:rsid w:val="005F3A71"/>
    <w:rsid w:val="005F3C4E"/>
    <w:rsid w:val="005F4123"/>
    <w:rsid w:val="005F42B9"/>
    <w:rsid w:val="005F43F2"/>
    <w:rsid w:val="005F457A"/>
    <w:rsid w:val="005F49E8"/>
    <w:rsid w:val="005F4C77"/>
    <w:rsid w:val="005F4D69"/>
    <w:rsid w:val="005F4DDF"/>
    <w:rsid w:val="005F4FD6"/>
    <w:rsid w:val="005F500A"/>
    <w:rsid w:val="005F53E1"/>
    <w:rsid w:val="005F5622"/>
    <w:rsid w:val="005F56C0"/>
    <w:rsid w:val="005F5810"/>
    <w:rsid w:val="005F5857"/>
    <w:rsid w:val="005F595C"/>
    <w:rsid w:val="005F5BE4"/>
    <w:rsid w:val="005F5D9E"/>
    <w:rsid w:val="005F5FEB"/>
    <w:rsid w:val="005F60A0"/>
    <w:rsid w:val="005F6115"/>
    <w:rsid w:val="005F617D"/>
    <w:rsid w:val="005F635F"/>
    <w:rsid w:val="005F63AA"/>
    <w:rsid w:val="005F658A"/>
    <w:rsid w:val="005F66FB"/>
    <w:rsid w:val="005F6C09"/>
    <w:rsid w:val="005F6C71"/>
    <w:rsid w:val="005F7004"/>
    <w:rsid w:val="005F7154"/>
    <w:rsid w:val="005F728C"/>
    <w:rsid w:val="005F748D"/>
    <w:rsid w:val="005F7CA7"/>
    <w:rsid w:val="005F7E03"/>
    <w:rsid w:val="00600169"/>
    <w:rsid w:val="006008F1"/>
    <w:rsid w:val="006009F0"/>
    <w:rsid w:val="00600A79"/>
    <w:rsid w:val="00600E94"/>
    <w:rsid w:val="00600F0D"/>
    <w:rsid w:val="006012B8"/>
    <w:rsid w:val="00601423"/>
    <w:rsid w:val="0060193A"/>
    <w:rsid w:val="00601B54"/>
    <w:rsid w:val="00602211"/>
    <w:rsid w:val="00602215"/>
    <w:rsid w:val="0060234A"/>
    <w:rsid w:val="006023A7"/>
    <w:rsid w:val="00602590"/>
    <w:rsid w:val="00602617"/>
    <w:rsid w:val="00602646"/>
    <w:rsid w:val="006026A5"/>
    <w:rsid w:val="00602892"/>
    <w:rsid w:val="00602BDF"/>
    <w:rsid w:val="00602CE8"/>
    <w:rsid w:val="00602ED5"/>
    <w:rsid w:val="00603108"/>
    <w:rsid w:val="00603252"/>
    <w:rsid w:val="0060329E"/>
    <w:rsid w:val="00603858"/>
    <w:rsid w:val="00603D54"/>
    <w:rsid w:val="00603FD9"/>
    <w:rsid w:val="00604096"/>
    <w:rsid w:val="006042D8"/>
    <w:rsid w:val="006044E7"/>
    <w:rsid w:val="006045F0"/>
    <w:rsid w:val="0060465C"/>
    <w:rsid w:val="00604792"/>
    <w:rsid w:val="006047E9"/>
    <w:rsid w:val="006047EE"/>
    <w:rsid w:val="00604CB1"/>
    <w:rsid w:val="00604D47"/>
    <w:rsid w:val="00604FCA"/>
    <w:rsid w:val="006050D4"/>
    <w:rsid w:val="0060511F"/>
    <w:rsid w:val="0060536B"/>
    <w:rsid w:val="0060561E"/>
    <w:rsid w:val="00605665"/>
    <w:rsid w:val="00605B9C"/>
    <w:rsid w:val="00605F24"/>
    <w:rsid w:val="006060C0"/>
    <w:rsid w:val="0060616E"/>
    <w:rsid w:val="006061F7"/>
    <w:rsid w:val="006063CB"/>
    <w:rsid w:val="00606614"/>
    <w:rsid w:val="00606906"/>
    <w:rsid w:val="00606CF4"/>
    <w:rsid w:val="00606F74"/>
    <w:rsid w:val="0060734E"/>
    <w:rsid w:val="0060754D"/>
    <w:rsid w:val="006079F6"/>
    <w:rsid w:val="0061040F"/>
    <w:rsid w:val="006107F9"/>
    <w:rsid w:val="00610997"/>
    <w:rsid w:val="00610BD0"/>
    <w:rsid w:val="00610D8E"/>
    <w:rsid w:val="00610E6D"/>
    <w:rsid w:val="00610E8D"/>
    <w:rsid w:val="00610F65"/>
    <w:rsid w:val="006111F5"/>
    <w:rsid w:val="00611358"/>
    <w:rsid w:val="00611891"/>
    <w:rsid w:val="00611978"/>
    <w:rsid w:val="00611D3B"/>
    <w:rsid w:val="00612180"/>
    <w:rsid w:val="0061234F"/>
    <w:rsid w:val="006124C5"/>
    <w:rsid w:val="006124D1"/>
    <w:rsid w:val="00612B6E"/>
    <w:rsid w:val="00612B9E"/>
    <w:rsid w:val="00612BC8"/>
    <w:rsid w:val="00613100"/>
    <w:rsid w:val="00613115"/>
    <w:rsid w:val="00613187"/>
    <w:rsid w:val="00613393"/>
    <w:rsid w:val="006136F6"/>
    <w:rsid w:val="0061386D"/>
    <w:rsid w:val="0061389D"/>
    <w:rsid w:val="00613D23"/>
    <w:rsid w:val="00613F06"/>
    <w:rsid w:val="006146F7"/>
    <w:rsid w:val="0061485B"/>
    <w:rsid w:val="00614F9B"/>
    <w:rsid w:val="00614FA2"/>
    <w:rsid w:val="006150C0"/>
    <w:rsid w:val="00615531"/>
    <w:rsid w:val="0061555A"/>
    <w:rsid w:val="0061574D"/>
    <w:rsid w:val="0061587C"/>
    <w:rsid w:val="00615A92"/>
    <w:rsid w:val="00615D39"/>
    <w:rsid w:val="00615EC7"/>
    <w:rsid w:val="00616324"/>
    <w:rsid w:val="0061633C"/>
    <w:rsid w:val="006164A8"/>
    <w:rsid w:val="00616AE5"/>
    <w:rsid w:val="00616E4D"/>
    <w:rsid w:val="0061701C"/>
    <w:rsid w:val="00617076"/>
    <w:rsid w:val="00617131"/>
    <w:rsid w:val="00617553"/>
    <w:rsid w:val="00617560"/>
    <w:rsid w:val="00617621"/>
    <w:rsid w:val="00617632"/>
    <w:rsid w:val="006179A0"/>
    <w:rsid w:val="00617B6D"/>
    <w:rsid w:val="00617BB8"/>
    <w:rsid w:val="00617DD3"/>
    <w:rsid w:val="00617E5A"/>
    <w:rsid w:val="0062002D"/>
    <w:rsid w:val="006200C7"/>
    <w:rsid w:val="00620623"/>
    <w:rsid w:val="00620849"/>
    <w:rsid w:val="006208C3"/>
    <w:rsid w:val="00620AAC"/>
    <w:rsid w:val="00620B6D"/>
    <w:rsid w:val="00620E12"/>
    <w:rsid w:val="00621016"/>
    <w:rsid w:val="0062123C"/>
    <w:rsid w:val="006216AB"/>
    <w:rsid w:val="00621EF5"/>
    <w:rsid w:val="00621F9E"/>
    <w:rsid w:val="006223FD"/>
    <w:rsid w:val="006225D5"/>
    <w:rsid w:val="0062260D"/>
    <w:rsid w:val="00622778"/>
    <w:rsid w:val="0062282E"/>
    <w:rsid w:val="00622A97"/>
    <w:rsid w:val="00622B3F"/>
    <w:rsid w:val="0062304F"/>
    <w:rsid w:val="00623099"/>
    <w:rsid w:val="00623A0F"/>
    <w:rsid w:val="00623A77"/>
    <w:rsid w:val="00623B67"/>
    <w:rsid w:val="00623BA5"/>
    <w:rsid w:val="00623E20"/>
    <w:rsid w:val="00623FE2"/>
    <w:rsid w:val="00624308"/>
    <w:rsid w:val="006245C0"/>
    <w:rsid w:val="006246FF"/>
    <w:rsid w:val="00624AC5"/>
    <w:rsid w:val="00624DEA"/>
    <w:rsid w:val="00624E52"/>
    <w:rsid w:val="006253BC"/>
    <w:rsid w:val="00625C48"/>
    <w:rsid w:val="00625C80"/>
    <w:rsid w:val="0062625E"/>
    <w:rsid w:val="0062636F"/>
    <w:rsid w:val="00626385"/>
    <w:rsid w:val="00626443"/>
    <w:rsid w:val="006264CE"/>
    <w:rsid w:val="006265EF"/>
    <w:rsid w:val="00626B72"/>
    <w:rsid w:val="0062786D"/>
    <w:rsid w:val="006279F8"/>
    <w:rsid w:val="00627A06"/>
    <w:rsid w:val="00627A90"/>
    <w:rsid w:val="00627A94"/>
    <w:rsid w:val="00627D07"/>
    <w:rsid w:val="00627F0B"/>
    <w:rsid w:val="0063008C"/>
    <w:rsid w:val="0063031E"/>
    <w:rsid w:val="00630433"/>
    <w:rsid w:val="00630506"/>
    <w:rsid w:val="00630632"/>
    <w:rsid w:val="00630663"/>
    <w:rsid w:val="00630855"/>
    <w:rsid w:val="006308F7"/>
    <w:rsid w:val="00630DBB"/>
    <w:rsid w:val="006312C9"/>
    <w:rsid w:val="006314CE"/>
    <w:rsid w:val="0063167B"/>
    <w:rsid w:val="00631771"/>
    <w:rsid w:val="00631E8C"/>
    <w:rsid w:val="00632141"/>
    <w:rsid w:val="006330BD"/>
    <w:rsid w:val="0063310B"/>
    <w:rsid w:val="006333AB"/>
    <w:rsid w:val="0063350F"/>
    <w:rsid w:val="006337DA"/>
    <w:rsid w:val="00633AB5"/>
    <w:rsid w:val="00634023"/>
    <w:rsid w:val="00634082"/>
    <w:rsid w:val="0063442F"/>
    <w:rsid w:val="00634494"/>
    <w:rsid w:val="006345E1"/>
    <w:rsid w:val="00634650"/>
    <w:rsid w:val="00634827"/>
    <w:rsid w:val="00634AE0"/>
    <w:rsid w:val="00634E01"/>
    <w:rsid w:val="00634E7D"/>
    <w:rsid w:val="0063538B"/>
    <w:rsid w:val="00635405"/>
    <w:rsid w:val="00635802"/>
    <w:rsid w:val="00636242"/>
    <w:rsid w:val="0063651F"/>
    <w:rsid w:val="00636597"/>
    <w:rsid w:val="00636A86"/>
    <w:rsid w:val="00636E15"/>
    <w:rsid w:val="00637098"/>
    <w:rsid w:val="0063717C"/>
    <w:rsid w:val="006372CF"/>
    <w:rsid w:val="00637486"/>
    <w:rsid w:val="006374CA"/>
    <w:rsid w:val="00637778"/>
    <w:rsid w:val="006379E2"/>
    <w:rsid w:val="00637B9B"/>
    <w:rsid w:val="00637BB1"/>
    <w:rsid w:val="00637D4E"/>
    <w:rsid w:val="0064004F"/>
    <w:rsid w:val="006400DB"/>
    <w:rsid w:val="006401BA"/>
    <w:rsid w:val="006401C0"/>
    <w:rsid w:val="006401FD"/>
    <w:rsid w:val="006405CF"/>
    <w:rsid w:val="006405E7"/>
    <w:rsid w:val="00640E93"/>
    <w:rsid w:val="006410DB"/>
    <w:rsid w:val="0064112C"/>
    <w:rsid w:val="006414A6"/>
    <w:rsid w:val="006416B1"/>
    <w:rsid w:val="0064180A"/>
    <w:rsid w:val="00641844"/>
    <w:rsid w:val="00641B5C"/>
    <w:rsid w:val="00641DF5"/>
    <w:rsid w:val="006425E8"/>
    <w:rsid w:val="0064272C"/>
    <w:rsid w:val="00642842"/>
    <w:rsid w:val="006428FA"/>
    <w:rsid w:val="0064290E"/>
    <w:rsid w:val="00642BAE"/>
    <w:rsid w:val="00643358"/>
    <w:rsid w:val="00643833"/>
    <w:rsid w:val="00643EB3"/>
    <w:rsid w:val="00643FE7"/>
    <w:rsid w:val="006441BA"/>
    <w:rsid w:val="00644342"/>
    <w:rsid w:val="006443D1"/>
    <w:rsid w:val="006443FB"/>
    <w:rsid w:val="0064477B"/>
    <w:rsid w:val="006447D9"/>
    <w:rsid w:val="00644D5F"/>
    <w:rsid w:val="0064507B"/>
    <w:rsid w:val="0064531A"/>
    <w:rsid w:val="00645434"/>
    <w:rsid w:val="00645576"/>
    <w:rsid w:val="00645831"/>
    <w:rsid w:val="006458BD"/>
    <w:rsid w:val="00645A9E"/>
    <w:rsid w:val="00645CAF"/>
    <w:rsid w:val="00645F65"/>
    <w:rsid w:val="0064606A"/>
    <w:rsid w:val="006463C5"/>
    <w:rsid w:val="006463D3"/>
    <w:rsid w:val="006464BB"/>
    <w:rsid w:val="0064660B"/>
    <w:rsid w:val="00646702"/>
    <w:rsid w:val="0064679C"/>
    <w:rsid w:val="00646F81"/>
    <w:rsid w:val="006475B3"/>
    <w:rsid w:val="0064784A"/>
    <w:rsid w:val="006479AB"/>
    <w:rsid w:val="00647EC6"/>
    <w:rsid w:val="006500B8"/>
    <w:rsid w:val="00650174"/>
    <w:rsid w:val="0065030E"/>
    <w:rsid w:val="0065044A"/>
    <w:rsid w:val="0065097A"/>
    <w:rsid w:val="00651148"/>
    <w:rsid w:val="0065133E"/>
    <w:rsid w:val="0065154B"/>
    <w:rsid w:val="00651565"/>
    <w:rsid w:val="006517BE"/>
    <w:rsid w:val="00651D1D"/>
    <w:rsid w:val="00651E82"/>
    <w:rsid w:val="006520C2"/>
    <w:rsid w:val="00652462"/>
    <w:rsid w:val="00652A2E"/>
    <w:rsid w:val="00652A92"/>
    <w:rsid w:val="00652BC8"/>
    <w:rsid w:val="006530D5"/>
    <w:rsid w:val="00653425"/>
    <w:rsid w:val="00653DA7"/>
    <w:rsid w:val="00654161"/>
    <w:rsid w:val="006541F7"/>
    <w:rsid w:val="00654727"/>
    <w:rsid w:val="00654BF7"/>
    <w:rsid w:val="00654E3C"/>
    <w:rsid w:val="00654F0E"/>
    <w:rsid w:val="00654F60"/>
    <w:rsid w:val="00655161"/>
    <w:rsid w:val="0065548B"/>
    <w:rsid w:val="00655729"/>
    <w:rsid w:val="00655780"/>
    <w:rsid w:val="00655791"/>
    <w:rsid w:val="00655844"/>
    <w:rsid w:val="0065585D"/>
    <w:rsid w:val="00655888"/>
    <w:rsid w:val="006559E3"/>
    <w:rsid w:val="00656198"/>
    <w:rsid w:val="00656216"/>
    <w:rsid w:val="00656423"/>
    <w:rsid w:val="00656497"/>
    <w:rsid w:val="00656F52"/>
    <w:rsid w:val="006572F4"/>
    <w:rsid w:val="00657526"/>
    <w:rsid w:val="00657934"/>
    <w:rsid w:val="00657ED1"/>
    <w:rsid w:val="00657FE6"/>
    <w:rsid w:val="00660081"/>
    <w:rsid w:val="006601EB"/>
    <w:rsid w:val="006606A9"/>
    <w:rsid w:val="00660769"/>
    <w:rsid w:val="00660ECA"/>
    <w:rsid w:val="00661238"/>
    <w:rsid w:val="00661463"/>
    <w:rsid w:val="00661607"/>
    <w:rsid w:val="00661AE3"/>
    <w:rsid w:val="00661B39"/>
    <w:rsid w:val="00661B8B"/>
    <w:rsid w:val="00662436"/>
    <w:rsid w:val="00662672"/>
    <w:rsid w:val="00662690"/>
    <w:rsid w:val="0066288E"/>
    <w:rsid w:val="006629E3"/>
    <w:rsid w:val="0066301A"/>
    <w:rsid w:val="006630C0"/>
    <w:rsid w:val="006632FE"/>
    <w:rsid w:val="0066351B"/>
    <w:rsid w:val="006637B3"/>
    <w:rsid w:val="0066386F"/>
    <w:rsid w:val="006639DC"/>
    <w:rsid w:val="00663B8D"/>
    <w:rsid w:val="00663E7E"/>
    <w:rsid w:val="006641C7"/>
    <w:rsid w:val="006642E8"/>
    <w:rsid w:val="0066478F"/>
    <w:rsid w:val="006647DA"/>
    <w:rsid w:val="006648DC"/>
    <w:rsid w:val="00664971"/>
    <w:rsid w:val="00664B44"/>
    <w:rsid w:val="00664E9E"/>
    <w:rsid w:val="006650B3"/>
    <w:rsid w:val="006651C3"/>
    <w:rsid w:val="00665444"/>
    <w:rsid w:val="00665677"/>
    <w:rsid w:val="00666069"/>
    <w:rsid w:val="006661DE"/>
    <w:rsid w:val="0066624D"/>
    <w:rsid w:val="0066628A"/>
    <w:rsid w:val="006668A0"/>
    <w:rsid w:val="00666A5E"/>
    <w:rsid w:val="00666F3A"/>
    <w:rsid w:val="00667076"/>
    <w:rsid w:val="00667178"/>
    <w:rsid w:val="006672ED"/>
    <w:rsid w:val="0066754F"/>
    <w:rsid w:val="006676DA"/>
    <w:rsid w:val="006678A2"/>
    <w:rsid w:val="0066795D"/>
    <w:rsid w:val="006679E2"/>
    <w:rsid w:val="00667A52"/>
    <w:rsid w:val="00667AB7"/>
    <w:rsid w:val="00667E06"/>
    <w:rsid w:val="00667E1B"/>
    <w:rsid w:val="0067000D"/>
    <w:rsid w:val="00670099"/>
    <w:rsid w:val="00670391"/>
    <w:rsid w:val="00670AA1"/>
    <w:rsid w:val="00670BE0"/>
    <w:rsid w:val="00670CB1"/>
    <w:rsid w:val="00670CB8"/>
    <w:rsid w:val="00670F25"/>
    <w:rsid w:val="0067108C"/>
    <w:rsid w:val="006713BD"/>
    <w:rsid w:val="006718AA"/>
    <w:rsid w:val="006719A6"/>
    <w:rsid w:val="00671A8D"/>
    <w:rsid w:val="00671B2D"/>
    <w:rsid w:val="00671EA4"/>
    <w:rsid w:val="00671F39"/>
    <w:rsid w:val="0067208C"/>
    <w:rsid w:val="006720F3"/>
    <w:rsid w:val="0067210A"/>
    <w:rsid w:val="0067237D"/>
    <w:rsid w:val="00672559"/>
    <w:rsid w:val="00672606"/>
    <w:rsid w:val="0067270B"/>
    <w:rsid w:val="0067280C"/>
    <w:rsid w:val="006728F6"/>
    <w:rsid w:val="00672990"/>
    <w:rsid w:val="00672BD4"/>
    <w:rsid w:val="00672CF2"/>
    <w:rsid w:val="00672E09"/>
    <w:rsid w:val="006730E5"/>
    <w:rsid w:val="00673485"/>
    <w:rsid w:val="006734BC"/>
    <w:rsid w:val="006735DA"/>
    <w:rsid w:val="00673AB1"/>
    <w:rsid w:val="00673C3D"/>
    <w:rsid w:val="00673FA5"/>
    <w:rsid w:val="00674460"/>
    <w:rsid w:val="00674563"/>
    <w:rsid w:val="00674B93"/>
    <w:rsid w:val="006751DF"/>
    <w:rsid w:val="006752D1"/>
    <w:rsid w:val="006752EC"/>
    <w:rsid w:val="0067542B"/>
    <w:rsid w:val="00675869"/>
    <w:rsid w:val="00675882"/>
    <w:rsid w:val="00675B8E"/>
    <w:rsid w:val="00676232"/>
    <w:rsid w:val="0067632F"/>
    <w:rsid w:val="00676515"/>
    <w:rsid w:val="006765AF"/>
    <w:rsid w:val="00676645"/>
    <w:rsid w:val="006767E8"/>
    <w:rsid w:val="006768FD"/>
    <w:rsid w:val="00676D4E"/>
    <w:rsid w:val="00676DA4"/>
    <w:rsid w:val="00677075"/>
    <w:rsid w:val="00677289"/>
    <w:rsid w:val="006772E1"/>
    <w:rsid w:val="006773F5"/>
    <w:rsid w:val="006774E5"/>
    <w:rsid w:val="00677A52"/>
    <w:rsid w:val="00677F6F"/>
    <w:rsid w:val="00680058"/>
    <w:rsid w:val="00680291"/>
    <w:rsid w:val="0068102A"/>
    <w:rsid w:val="006819FC"/>
    <w:rsid w:val="00681ACD"/>
    <w:rsid w:val="00681BA7"/>
    <w:rsid w:val="00682294"/>
    <w:rsid w:val="0068238C"/>
    <w:rsid w:val="0068282A"/>
    <w:rsid w:val="00682B04"/>
    <w:rsid w:val="00683A4A"/>
    <w:rsid w:val="00683D42"/>
    <w:rsid w:val="00683D81"/>
    <w:rsid w:val="006840C7"/>
    <w:rsid w:val="006844E6"/>
    <w:rsid w:val="0068485B"/>
    <w:rsid w:val="006848DD"/>
    <w:rsid w:val="00684C54"/>
    <w:rsid w:val="00684EA6"/>
    <w:rsid w:val="006851BC"/>
    <w:rsid w:val="00685365"/>
    <w:rsid w:val="006853AB"/>
    <w:rsid w:val="006853FE"/>
    <w:rsid w:val="00685CB5"/>
    <w:rsid w:val="00685DDA"/>
    <w:rsid w:val="0068629E"/>
    <w:rsid w:val="00686417"/>
    <w:rsid w:val="006866DC"/>
    <w:rsid w:val="00686A1B"/>
    <w:rsid w:val="00686EA3"/>
    <w:rsid w:val="00686F71"/>
    <w:rsid w:val="00687033"/>
    <w:rsid w:val="0068714C"/>
    <w:rsid w:val="0068733B"/>
    <w:rsid w:val="00687406"/>
    <w:rsid w:val="00687690"/>
    <w:rsid w:val="00687809"/>
    <w:rsid w:val="00687C40"/>
    <w:rsid w:val="00690199"/>
    <w:rsid w:val="006901F0"/>
    <w:rsid w:val="00690335"/>
    <w:rsid w:val="00690367"/>
    <w:rsid w:val="006904B6"/>
    <w:rsid w:val="006904F2"/>
    <w:rsid w:val="00690912"/>
    <w:rsid w:val="00690AFB"/>
    <w:rsid w:val="00690C9F"/>
    <w:rsid w:val="00690D79"/>
    <w:rsid w:val="006911B4"/>
    <w:rsid w:val="006915DA"/>
    <w:rsid w:val="00691637"/>
    <w:rsid w:val="0069231F"/>
    <w:rsid w:val="006925F3"/>
    <w:rsid w:val="0069267C"/>
    <w:rsid w:val="006927DA"/>
    <w:rsid w:val="00692A78"/>
    <w:rsid w:val="00692AB9"/>
    <w:rsid w:val="00692C56"/>
    <w:rsid w:val="00692CFA"/>
    <w:rsid w:val="00692E13"/>
    <w:rsid w:val="00692FFD"/>
    <w:rsid w:val="00693233"/>
    <w:rsid w:val="006933A6"/>
    <w:rsid w:val="00693415"/>
    <w:rsid w:val="0069352A"/>
    <w:rsid w:val="006936EB"/>
    <w:rsid w:val="00693B66"/>
    <w:rsid w:val="00693C6E"/>
    <w:rsid w:val="00693D2C"/>
    <w:rsid w:val="00693F78"/>
    <w:rsid w:val="00694419"/>
    <w:rsid w:val="00694EB9"/>
    <w:rsid w:val="00694F73"/>
    <w:rsid w:val="00695333"/>
    <w:rsid w:val="00695AA0"/>
    <w:rsid w:val="00695AB8"/>
    <w:rsid w:val="00695CFC"/>
    <w:rsid w:val="00695E4A"/>
    <w:rsid w:val="006961B2"/>
    <w:rsid w:val="006968D4"/>
    <w:rsid w:val="0069692A"/>
    <w:rsid w:val="00696C3E"/>
    <w:rsid w:val="00696C41"/>
    <w:rsid w:val="0069707A"/>
    <w:rsid w:val="006970C6"/>
    <w:rsid w:val="00697162"/>
    <w:rsid w:val="0069797B"/>
    <w:rsid w:val="0069798B"/>
    <w:rsid w:val="00697A70"/>
    <w:rsid w:val="00697AED"/>
    <w:rsid w:val="00697B10"/>
    <w:rsid w:val="00697B87"/>
    <w:rsid w:val="00697D80"/>
    <w:rsid w:val="006A04C6"/>
    <w:rsid w:val="006A065C"/>
    <w:rsid w:val="006A07C2"/>
    <w:rsid w:val="006A08B8"/>
    <w:rsid w:val="006A08BA"/>
    <w:rsid w:val="006A0AB2"/>
    <w:rsid w:val="006A0C11"/>
    <w:rsid w:val="006A0CD7"/>
    <w:rsid w:val="006A0FF6"/>
    <w:rsid w:val="006A1439"/>
    <w:rsid w:val="006A164F"/>
    <w:rsid w:val="006A16A8"/>
    <w:rsid w:val="006A17EB"/>
    <w:rsid w:val="006A1AE9"/>
    <w:rsid w:val="006A1C15"/>
    <w:rsid w:val="006A1F32"/>
    <w:rsid w:val="006A257D"/>
    <w:rsid w:val="006A25A0"/>
    <w:rsid w:val="006A25CB"/>
    <w:rsid w:val="006A271F"/>
    <w:rsid w:val="006A286C"/>
    <w:rsid w:val="006A289A"/>
    <w:rsid w:val="006A2A97"/>
    <w:rsid w:val="006A2BBD"/>
    <w:rsid w:val="006A345B"/>
    <w:rsid w:val="006A3609"/>
    <w:rsid w:val="006A3C90"/>
    <w:rsid w:val="006A3CBE"/>
    <w:rsid w:val="006A3F1C"/>
    <w:rsid w:val="006A42A9"/>
    <w:rsid w:val="006A42B8"/>
    <w:rsid w:val="006A4545"/>
    <w:rsid w:val="006A4AB7"/>
    <w:rsid w:val="006A4B1A"/>
    <w:rsid w:val="006A4F33"/>
    <w:rsid w:val="006A52BF"/>
    <w:rsid w:val="006A541E"/>
    <w:rsid w:val="006A59C0"/>
    <w:rsid w:val="006A5B2E"/>
    <w:rsid w:val="006A5CA2"/>
    <w:rsid w:val="006A5E54"/>
    <w:rsid w:val="006A5EEE"/>
    <w:rsid w:val="006A6194"/>
    <w:rsid w:val="006A6515"/>
    <w:rsid w:val="006A66F9"/>
    <w:rsid w:val="006A67D5"/>
    <w:rsid w:val="006A6926"/>
    <w:rsid w:val="006A6D5F"/>
    <w:rsid w:val="006A7010"/>
    <w:rsid w:val="006A719A"/>
    <w:rsid w:val="006A761A"/>
    <w:rsid w:val="006A769A"/>
    <w:rsid w:val="006A7B8F"/>
    <w:rsid w:val="006A7C68"/>
    <w:rsid w:val="006A7E94"/>
    <w:rsid w:val="006A7FAE"/>
    <w:rsid w:val="006B0435"/>
    <w:rsid w:val="006B0536"/>
    <w:rsid w:val="006B1100"/>
    <w:rsid w:val="006B15E4"/>
    <w:rsid w:val="006B174D"/>
    <w:rsid w:val="006B1A5D"/>
    <w:rsid w:val="006B1A6B"/>
    <w:rsid w:val="006B1D61"/>
    <w:rsid w:val="006B2114"/>
    <w:rsid w:val="006B2A75"/>
    <w:rsid w:val="006B2AC1"/>
    <w:rsid w:val="006B2B52"/>
    <w:rsid w:val="006B2E26"/>
    <w:rsid w:val="006B3281"/>
    <w:rsid w:val="006B3A0B"/>
    <w:rsid w:val="006B3BF7"/>
    <w:rsid w:val="006B3DE8"/>
    <w:rsid w:val="006B4331"/>
    <w:rsid w:val="006B464F"/>
    <w:rsid w:val="006B48C3"/>
    <w:rsid w:val="006B4B6A"/>
    <w:rsid w:val="006B4DCA"/>
    <w:rsid w:val="006B55D5"/>
    <w:rsid w:val="006B577D"/>
    <w:rsid w:val="006B5897"/>
    <w:rsid w:val="006B5913"/>
    <w:rsid w:val="006B5A10"/>
    <w:rsid w:val="006B5AC7"/>
    <w:rsid w:val="006B624B"/>
    <w:rsid w:val="006B65AD"/>
    <w:rsid w:val="006B673C"/>
    <w:rsid w:val="006B674C"/>
    <w:rsid w:val="006B6D5E"/>
    <w:rsid w:val="006B6DF3"/>
    <w:rsid w:val="006B6E9E"/>
    <w:rsid w:val="006B781F"/>
    <w:rsid w:val="006B7B8C"/>
    <w:rsid w:val="006B7CD8"/>
    <w:rsid w:val="006C0260"/>
    <w:rsid w:val="006C04BA"/>
    <w:rsid w:val="006C09EF"/>
    <w:rsid w:val="006C0A51"/>
    <w:rsid w:val="006C0B72"/>
    <w:rsid w:val="006C0C05"/>
    <w:rsid w:val="006C0E0B"/>
    <w:rsid w:val="006C0EAC"/>
    <w:rsid w:val="006C0F5E"/>
    <w:rsid w:val="006C127C"/>
    <w:rsid w:val="006C175E"/>
    <w:rsid w:val="006C17B7"/>
    <w:rsid w:val="006C1BC8"/>
    <w:rsid w:val="006C1D74"/>
    <w:rsid w:val="006C1F7E"/>
    <w:rsid w:val="006C1F87"/>
    <w:rsid w:val="006C20A7"/>
    <w:rsid w:val="006C27A1"/>
    <w:rsid w:val="006C27E9"/>
    <w:rsid w:val="006C2A40"/>
    <w:rsid w:val="006C2B67"/>
    <w:rsid w:val="006C2CB1"/>
    <w:rsid w:val="006C2DC5"/>
    <w:rsid w:val="006C2F3A"/>
    <w:rsid w:val="006C313A"/>
    <w:rsid w:val="006C3715"/>
    <w:rsid w:val="006C3755"/>
    <w:rsid w:val="006C3785"/>
    <w:rsid w:val="006C3F90"/>
    <w:rsid w:val="006C45E0"/>
    <w:rsid w:val="006C45E8"/>
    <w:rsid w:val="006C4CC3"/>
    <w:rsid w:val="006C511A"/>
    <w:rsid w:val="006C5199"/>
    <w:rsid w:val="006C56FF"/>
    <w:rsid w:val="006C61D7"/>
    <w:rsid w:val="006C67BE"/>
    <w:rsid w:val="006C6827"/>
    <w:rsid w:val="006C6829"/>
    <w:rsid w:val="006C686E"/>
    <w:rsid w:val="006C6C1D"/>
    <w:rsid w:val="006C6C52"/>
    <w:rsid w:val="006C6DEF"/>
    <w:rsid w:val="006C6E49"/>
    <w:rsid w:val="006C6F78"/>
    <w:rsid w:val="006C702E"/>
    <w:rsid w:val="006C75DD"/>
    <w:rsid w:val="006C7644"/>
    <w:rsid w:val="006C7795"/>
    <w:rsid w:val="006C78CA"/>
    <w:rsid w:val="006C7A23"/>
    <w:rsid w:val="006C7C6E"/>
    <w:rsid w:val="006C7F0E"/>
    <w:rsid w:val="006D0033"/>
    <w:rsid w:val="006D07D8"/>
    <w:rsid w:val="006D0A02"/>
    <w:rsid w:val="006D0A8E"/>
    <w:rsid w:val="006D11E5"/>
    <w:rsid w:val="006D13AC"/>
    <w:rsid w:val="006D1505"/>
    <w:rsid w:val="006D1A95"/>
    <w:rsid w:val="006D22F0"/>
    <w:rsid w:val="006D25FC"/>
    <w:rsid w:val="006D281E"/>
    <w:rsid w:val="006D29CD"/>
    <w:rsid w:val="006D2F98"/>
    <w:rsid w:val="006D3312"/>
    <w:rsid w:val="006D33A4"/>
    <w:rsid w:val="006D365D"/>
    <w:rsid w:val="006D374B"/>
    <w:rsid w:val="006D3F30"/>
    <w:rsid w:val="006D46D6"/>
    <w:rsid w:val="006D4CFF"/>
    <w:rsid w:val="006D4E1A"/>
    <w:rsid w:val="006D5014"/>
    <w:rsid w:val="006D5051"/>
    <w:rsid w:val="006D5184"/>
    <w:rsid w:val="006D52BF"/>
    <w:rsid w:val="006D52D2"/>
    <w:rsid w:val="006D59CD"/>
    <w:rsid w:val="006D5D71"/>
    <w:rsid w:val="006D5E40"/>
    <w:rsid w:val="006D5ECF"/>
    <w:rsid w:val="006D5F28"/>
    <w:rsid w:val="006D6196"/>
    <w:rsid w:val="006D63CD"/>
    <w:rsid w:val="006D6415"/>
    <w:rsid w:val="006D66BB"/>
    <w:rsid w:val="006D6F6D"/>
    <w:rsid w:val="006D79DE"/>
    <w:rsid w:val="006D7DD6"/>
    <w:rsid w:val="006D7F28"/>
    <w:rsid w:val="006E03C7"/>
    <w:rsid w:val="006E06DF"/>
    <w:rsid w:val="006E0C38"/>
    <w:rsid w:val="006E0CC5"/>
    <w:rsid w:val="006E0EC7"/>
    <w:rsid w:val="006E0F53"/>
    <w:rsid w:val="006E0F97"/>
    <w:rsid w:val="006E1258"/>
    <w:rsid w:val="006E136E"/>
    <w:rsid w:val="006E1649"/>
    <w:rsid w:val="006E19B9"/>
    <w:rsid w:val="006E19BA"/>
    <w:rsid w:val="006E1A0C"/>
    <w:rsid w:val="006E1ADA"/>
    <w:rsid w:val="006E1D3A"/>
    <w:rsid w:val="006E211B"/>
    <w:rsid w:val="006E2673"/>
    <w:rsid w:val="006E2682"/>
    <w:rsid w:val="006E2A2D"/>
    <w:rsid w:val="006E2CBB"/>
    <w:rsid w:val="006E2D03"/>
    <w:rsid w:val="006E2D3F"/>
    <w:rsid w:val="006E36CC"/>
    <w:rsid w:val="006E3731"/>
    <w:rsid w:val="006E387D"/>
    <w:rsid w:val="006E3B9B"/>
    <w:rsid w:val="006E3BA8"/>
    <w:rsid w:val="006E446B"/>
    <w:rsid w:val="006E462B"/>
    <w:rsid w:val="006E4807"/>
    <w:rsid w:val="006E4B4A"/>
    <w:rsid w:val="006E4B8A"/>
    <w:rsid w:val="006E4E65"/>
    <w:rsid w:val="006E4E97"/>
    <w:rsid w:val="006E587D"/>
    <w:rsid w:val="006E5D41"/>
    <w:rsid w:val="006E5F08"/>
    <w:rsid w:val="006E613A"/>
    <w:rsid w:val="006E62F7"/>
    <w:rsid w:val="006E642E"/>
    <w:rsid w:val="006E6889"/>
    <w:rsid w:val="006E6915"/>
    <w:rsid w:val="006E6C40"/>
    <w:rsid w:val="006E6E8E"/>
    <w:rsid w:val="006E6F59"/>
    <w:rsid w:val="006E7432"/>
    <w:rsid w:val="006E7A11"/>
    <w:rsid w:val="006E7B49"/>
    <w:rsid w:val="006E7B9C"/>
    <w:rsid w:val="006E7FDF"/>
    <w:rsid w:val="006F01BF"/>
    <w:rsid w:val="006F0393"/>
    <w:rsid w:val="006F08EA"/>
    <w:rsid w:val="006F090A"/>
    <w:rsid w:val="006F0F19"/>
    <w:rsid w:val="006F1507"/>
    <w:rsid w:val="006F1555"/>
    <w:rsid w:val="006F1B42"/>
    <w:rsid w:val="006F1DDB"/>
    <w:rsid w:val="006F1E82"/>
    <w:rsid w:val="006F1ECF"/>
    <w:rsid w:val="006F1F5E"/>
    <w:rsid w:val="006F235B"/>
    <w:rsid w:val="006F25A2"/>
    <w:rsid w:val="006F2679"/>
    <w:rsid w:val="006F2722"/>
    <w:rsid w:val="006F276B"/>
    <w:rsid w:val="006F280B"/>
    <w:rsid w:val="006F2DFB"/>
    <w:rsid w:val="006F2FCA"/>
    <w:rsid w:val="006F2FF1"/>
    <w:rsid w:val="006F316D"/>
    <w:rsid w:val="006F3217"/>
    <w:rsid w:val="006F32EB"/>
    <w:rsid w:val="006F3773"/>
    <w:rsid w:val="006F3804"/>
    <w:rsid w:val="006F3806"/>
    <w:rsid w:val="006F3965"/>
    <w:rsid w:val="006F3A04"/>
    <w:rsid w:val="006F3AEF"/>
    <w:rsid w:val="006F3BB5"/>
    <w:rsid w:val="006F3D5B"/>
    <w:rsid w:val="006F4510"/>
    <w:rsid w:val="006F4518"/>
    <w:rsid w:val="006F45B7"/>
    <w:rsid w:val="006F489C"/>
    <w:rsid w:val="006F4FE7"/>
    <w:rsid w:val="006F5163"/>
    <w:rsid w:val="006F58F2"/>
    <w:rsid w:val="006F5B89"/>
    <w:rsid w:val="006F5BC3"/>
    <w:rsid w:val="006F5EEC"/>
    <w:rsid w:val="006F5F29"/>
    <w:rsid w:val="006F671C"/>
    <w:rsid w:val="006F68B7"/>
    <w:rsid w:val="006F712A"/>
    <w:rsid w:val="006F733C"/>
    <w:rsid w:val="006F73BE"/>
    <w:rsid w:val="006F753A"/>
    <w:rsid w:val="006F760F"/>
    <w:rsid w:val="006F7DB7"/>
    <w:rsid w:val="006F7DC2"/>
    <w:rsid w:val="006F7DFB"/>
    <w:rsid w:val="006F7F02"/>
    <w:rsid w:val="0070035E"/>
    <w:rsid w:val="007004C9"/>
    <w:rsid w:val="00700533"/>
    <w:rsid w:val="007006CE"/>
    <w:rsid w:val="0070084D"/>
    <w:rsid w:val="0070150B"/>
    <w:rsid w:val="007015DE"/>
    <w:rsid w:val="0070171A"/>
    <w:rsid w:val="00701BAC"/>
    <w:rsid w:val="00701E3C"/>
    <w:rsid w:val="00701E62"/>
    <w:rsid w:val="00701FED"/>
    <w:rsid w:val="0070203D"/>
    <w:rsid w:val="0070255E"/>
    <w:rsid w:val="00702BC5"/>
    <w:rsid w:val="00702D23"/>
    <w:rsid w:val="00702DAE"/>
    <w:rsid w:val="00703393"/>
    <w:rsid w:val="0070365D"/>
    <w:rsid w:val="007038A5"/>
    <w:rsid w:val="00703948"/>
    <w:rsid w:val="0070417E"/>
    <w:rsid w:val="00704383"/>
    <w:rsid w:val="007045E6"/>
    <w:rsid w:val="00704759"/>
    <w:rsid w:val="0070508C"/>
    <w:rsid w:val="007052A5"/>
    <w:rsid w:val="0070534E"/>
    <w:rsid w:val="00705CBD"/>
    <w:rsid w:val="00705D3D"/>
    <w:rsid w:val="00705DA5"/>
    <w:rsid w:val="007060F4"/>
    <w:rsid w:val="00706802"/>
    <w:rsid w:val="00706F85"/>
    <w:rsid w:val="0070714E"/>
    <w:rsid w:val="00707208"/>
    <w:rsid w:val="007077BB"/>
    <w:rsid w:val="00707915"/>
    <w:rsid w:val="00707962"/>
    <w:rsid w:val="00707AAB"/>
    <w:rsid w:val="00707F29"/>
    <w:rsid w:val="007100B6"/>
    <w:rsid w:val="00710573"/>
    <w:rsid w:val="00710D18"/>
    <w:rsid w:val="007116E7"/>
    <w:rsid w:val="0071171E"/>
    <w:rsid w:val="00711FF8"/>
    <w:rsid w:val="00712231"/>
    <w:rsid w:val="00712324"/>
    <w:rsid w:val="0071251A"/>
    <w:rsid w:val="0071282F"/>
    <w:rsid w:val="00712F3C"/>
    <w:rsid w:val="00712FFA"/>
    <w:rsid w:val="00713058"/>
    <w:rsid w:val="0071309A"/>
    <w:rsid w:val="0071340E"/>
    <w:rsid w:val="0071360E"/>
    <w:rsid w:val="00713BA7"/>
    <w:rsid w:val="00713C09"/>
    <w:rsid w:val="00713F3D"/>
    <w:rsid w:val="00713FA6"/>
    <w:rsid w:val="00714108"/>
    <w:rsid w:val="007144DB"/>
    <w:rsid w:val="0071452A"/>
    <w:rsid w:val="0071482E"/>
    <w:rsid w:val="00714DC0"/>
    <w:rsid w:val="00714F7B"/>
    <w:rsid w:val="00715139"/>
    <w:rsid w:val="00715212"/>
    <w:rsid w:val="00715635"/>
    <w:rsid w:val="007156AD"/>
    <w:rsid w:val="007156E3"/>
    <w:rsid w:val="0071596F"/>
    <w:rsid w:val="00715E30"/>
    <w:rsid w:val="00716136"/>
    <w:rsid w:val="0071679A"/>
    <w:rsid w:val="00716BC5"/>
    <w:rsid w:val="00716D3E"/>
    <w:rsid w:val="007173AD"/>
    <w:rsid w:val="00717557"/>
    <w:rsid w:val="00717B01"/>
    <w:rsid w:val="00720201"/>
    <w:rsid w:val="0072047A"/>
    <w:rsid w:val="007205A6"/>
    <w:rsid w:val="007207F9"/>
    <w:rsid w:val="007209F2"/>
    <w:rsid w:val="007213C3"/>
    <w:rsid w:val="00721966"/>
    <w:rsid w:val="0072214A"/>
    <w:rsid w:val="007226F9"/>
    <w:rsid w:val="00722899"/>
    <w:rsid w:val="00722E06"/>
    <w:rsid w:val="00723338"/>
    <w:rsid w:val="0072347F"/>
    <w:rsid w:val="0072397B"/>
    <w:rsid w:val="007239D1"/>
    <w:rsid w:val="00723F02"/>
    <w:rsid w:val="00724013"/>
    <w:rsid w:val="007243C5"/>
    <w:rsid w:val="00724745"/>
    <w:rsid w:val="00724781"/>
    <w:rsid w:val="0072487E"/>
    <w:rsid w:val="00724B2B"/>
    <w:rsid w:val="00724C24"/>
    <w:rsid w:val="00724F06"/>
    <w:rsid w:val="0072500B"/>
    <w:rsid w:val="007250B9"/>
    <w:rsid w:val="0072537A"/>
    <w:rsid w:val="0072539A"/>
    <w:rsid w:val="00725458"/>
    <w:rsid w:val="007257BB"/>
    <w:rsid w:val="00725867"/>
    <w:rsid w:val="00725A4E"/>
    <w:rsid w:val="00726164"/>
    <w:rsid w:val="00726403"/>
    <w:rsid w:val="0072641E"/>
    <w:rsid w:val="007268C4"/>
    <w:rsid w:val="00726A76"/>
    <w:rsid w:val="00726DDA"/>
    <w:rsid w:val="007272BD"/>
    <w:rsid w:val="00727410"/>
    <w:rsid w:val="007274AB"/>
    <w:rsid w:val="00727653"/>
    <w:rsid w:val="007276E4"/>
    <w:rsid w:val="00727CCD"/>
    <w:rsid w:val="00727CD3"/>
    <w:rsid w:val="00727D30"/>
    <w:rsid w:val="00727D76"/>
    <w:rsid w:val="00727EB0"/>
    <w:rsid w:val="007301B1"/>
    <w:rsid w:val="007303DC"/>
    <w:rsid w:val="0073042F"/>
    <w:rsid w:val="00730529"/>
    <w:rsid w:val="00730593"/>
    <w:rsid w:val="00730752"/>
    <w:rsid w:val="00730788"/>
    <w:rsid w:val="007307B6"/>
    <w:rsid w:val="00730B38"/>
    <w:rsid w:val="0073112B"/>
    <w:rsid w:val="007312C5"/>
    <w:rsid w:val="007314D3"/>
    <w:rsid w:val="007318A6"/>
    <w:rsid w:val="0073197C"/>
    <w:rsid w:val="00731DE9"/>
    <w:rsid w:val="00731E3F"/>
    <w:rsid w:val="007322C3"/>
    <w:rsid w:val="00732427"/>
    <w:rsid w:val="007324D4"/>
    <w:rsid w:val="007326D7"/>
    <w:rsid w:val="00732824"/>
    <w:rsid w:val="00732843"/>
    <w:rsid w:val="007329E1"/>
    <w:rsid w:val="00732B37"/>
    <w:rsid w:val="00732C92"/>
    <w:rsid w:val="00733190"/>
    <w:rsid w:val="007333C1"/>
    <w:rsid w:val="00733C70"/>
    <w:rsid w:val="00733CBF"/>
    <w:rsid w:val="00733D95"/>
    <w:rsid w:val="00733E64"/>
    <w:rsid w:val="0073486F"/>
    <w:rsid w:val="0073499D"/>
    <w:rsid w:val="00734E9A"/>
    <w:rsid w:val="00734F06"/>
    <w:rsid w:val="007354C7"/>
    <w:rsid w:val="007355C1"/>
    <w:rsid w:val="00735848"/>
    <w:rsid w:val="007358A6"/>
    <w:rsid w:val="0073593E"/>
    <w:rsid w:val="00735C55"/>
    <w:rsid w:val="00735DD2"/>
    <w:rsid w:val="00735F97"/>
    <w:rsid w:val="00735FAA"/>
    <w:rsid w:val="00736542"/>
    <w:rsid w:val="00736AAF"/>
    <w:rsid w:val="00736E31"/>
    <w:rsid w:val="00736F10"/>
    <w:rsid w:val="00737203"/>
    <w:rsid w:val="0073747F"/>
    <w:rsid w:val="00737544"/>
    <w:rsid w:val="00737748"/>
    <w:rsid w:val="007377D6"/>
    <w:rsid w:val="00737D88"/>
    <w:rsid w:val="00737DE8"/>
    <w:rsid w:val="00740116"/>
    <w:rsid w:val="00740250"/>
    <w:rsid w:val="007404E9"/>
    <w:rsid w:val="007405DA"/>
    <w:rsid w:val="007405FA"/>
    <w:rsid w:val="0074078E"/>
    <w:rsid w:val="00740E6E"/>
    <w:rsid w:val="00741971"/>
    <w:rsid w:val="00741986"/>
    <w:rsid w:val="00741A3C"/>
    <w:rsid w:val="00741E59"/>
    <w:rsid w:val="00742149"/>
    <w:rsid w:val="00742194"/>
    <w:rsid w:val="00742210"/>
    <w:rsid w:val="007423CB"/>
    <w:rsid w:val="007424C0"/>
    <w:rsid w:val="00742B7E"/>
    <w:rsid w:val="00743020"/>
    <w:rsid w:val="00743411"/>
    <w:rsid w:val="007435E9"/>
    <w:rsid w:val="00743CB6"/>
    <w:rsid w:val="00743FB8"/>
    <w:rsid w:val="007440C1"/>
    <w:rsid w:val="0074441B"/>
    <w:rsid w:val="00744456"/>
    <w:rsid w:val="00744B5A"/>
    <w:rsid w:val="00744C54"/>
    <w:rsid w:val="00744D34"/>
    <w:rsid w:val="00744FE8"/>
    <w:rsid w:val="0074517B"/>
    <w:rsid w:val="0074554D"/>
    <w:rsid w:val="00745739"/>
    <w:rsid w:val="007459D8"/>
    <w:rsid w:val="00745BAE"/>
    <w:rsid w:val="00745C1B"/>
    <w:rsid w:val="00745C2E"/>
    <w:rsid w:val="00746317"/>
    <w:rsid w:val="007466CB"/>
    <w:rsid w:val="00746740"/>
    <w:rsid w:val="007469B2"/>
    <w:rsid w:val="00746A56"/>
    <w:rsid w:val="00746D5E"/>
    <w:rsid w:val="00747166"/>
    <w:rsid w:val="0074757E"/>
    <w:rsid w:val="0074773E"/>
    <w:rsid w:val="00747BEB"/>
    <w:rsid w:val="00750416"/>
    <w:rsid w:val="00750497"/>
    <w:rsid w:val="007506B9"/>
    <w:rsid w:val="00750C6E"/>
    <w:rsid w:val="00750EAE"/>
    <w:rsid w:val="00750EDF"/>
    <w:rsid w:val="00750EF9"/>
    <w:rsid w:val="00751413"/>
    <w:rsid w:val="0075143A"/>
    <w:rsid w:val="00751969"/>
    <w:rsid w:val="00751F08"/>
    <w:rsid w:val="00751FA3"/>
    <w:rsid w:val="00752137"/>
    <w:rsid w:val="0075214E"/>
    <w:rsid w:val="007521F3"/>
    <w:rsid w:val="00752521"/>
    <w:rsid w:val="0075289A"/>
    <w:rsid w:val="00752EC5"/>
    <w:rsid w:val="00752F81"/>
    <w:rsid w:val="00753086"/>
    <w:rsid w:val="0075311C"/>
    <w:rsid w:val="0075342A"/>
    <w:rsid w:val="00753544"/>
    <w:rsid w:val="00753591"/>
    <w:rsid w:val="00753A46"/>
    <w:rsid w:val="00753ABE"/>
    <w:rsid w:val="00753DF9"/>
    <w:rsid w:val="00753E97"/>
    <w:rsid w:val="00753EF6"/>
    <w:rsid w:val="00754258"/>
    <w:rsid w:val="007542D8"/>
    <w:rsid w:val="0075450D"/>
    <w:rsid w:val="0075453A"/>
    <w:rsid w:val="007545DA"/>
    <w:rsid w:val="00754625"/>
    <w:rsid w:val="0075467A"/>
    <w:rsid w:val="00754EFA"/>
    <w:rsid w:val="00754F64"/>
    <w:rsid w:val="00755014"/>
    <w:rsid w:val="0075519B"/>
    <w:rsid w:val="007553FB"/>
    <w:rsid w:val="00755851"/>
    <w:rsid w:val="00755910"/>
    <w:rsid w:val="00755A24"/>
    <w:rsid w:val="00755C2E"/>
    <w:rsid w:val="00755D84"/>
    <w:rsid w:val="00755E91"/>
    <w:rsid w:val="007561CE"/>
    <w:rsid w:val="00756316"/>
    <w:rsid w:val="00756330"/>
    <w:rsid w:val="00756473"/>
    <w:rsid w:val="00756487"/>
    <w:rsid w:val="00756DF6"/>
    <w:rsid w:val="00756F3B"/>
    <w:rsid w:val="0075719A"/>
    <w:rsid w:val="007571BB"/>
    <w:rsid w:val="00757724"/>
    <w:rsid w:val="007578DD"/>
    <w:rsid w:val="007579B1"/>
    <w:rsid w:val="00757BE2"/>
    <w:rsid w:val="00757ED0"/>
    <w:rsid w:val="00760002"/>
    <w:rsid w:val="00760040"/>
    <w:rsid w:val="00760088"/>
    <w:rsid w:val="0076040F"/>
    <w:rsid w:val="007606D1"/>
    <w:rsid w:val="00760D1F"/>
    <w:rsid w:val="00760DBA"/>
    <w:rsid w:val="00760E4D"/>
    <w:rsid w:val="00760EF4"/>
    <w:rsid w:val="00761074"/>
    <w:rsid w:val="007613BD"/>
    <w:rsid w:val="0076147B"/>
    <w:rsid w:val="00761602"/>
    <w:rsid w:val="007617EE"/>
    <w:rsid w:val="00761959"/>
    <w:rsid w:val="00761BEC"/>
    <w:rsid w:val="0076200F"/>
    <w:rsid w:val="00762060"/>
    <w:rsid w:val="00762090"/>
    <w:rsid w:val="0076283D"/>
    <w:rsid w:val="00762AF1"/>
    <w:rsid w:val="00762B16"/>
    <w:rsid w:val="00762BF8"/>
    <w:rsid w:val="00762C60"/>
    <w:rsid w:val="00762D29"/>
    <w:rsid w:val="00762FBF"/>
    <w:rsid w:val="007633DF"/>
    <w:rsid w:val="0076340C"/>
    <w:rsid w:val="007635D6"/>
    <w:rsid w:val="00763775"/>
    <w:rsid w:val="00763BEF"/>
    <w:rsid w:val="00763E53"/>
    <w:rsid w:val="007642BB"/>
    <w:rsid w:val="0076440C"/>
    <w:rsid w:val="00764C05"/>
    <w:rsid w:val="00765459"/>
    <w:rsid w:val="007654D2"/>
    <w:rsid w:val="00765DD6"/>
    <w:rsid w:val="00766014"/>
    <w:rsid w:val="00766108"/>
    <w:rsid w:val="00766144"/>
    <w:rsid w:val="00766570"/>
    <w:rsid w:val="00766BAE"/>
    <w:rsid w:val="00766F52"/>
    <w:rsid w:val="00766F85"/>
    <w:rsid w:val="007671FD"/>
    <w:rsid w:val="007674D8"/>
    <w:rsid w:val="007675E7"/>
    <w:rsid w:val="007675F0"/>
    <w:rsid w:val="00767751"/>
    <w:rsid w:val="007677C8"/>
    <w:rsid w:val="007679B6"/>
    <w:rsid w:val="00767C64"/>
    <w:rsid w:val="007701E7"/>
    <w:rsid w:val="007701FA"/>
    <w:rsid w:val="0077035A"/>
    <w:rsid w:val="0077068D"/>
    <w:rsid w:val="00770727"/>
    <w:rsid w:val="007707F2"/>
    <w:rsid w:val="007709CC"/>
    <w:rsid w:val="00770AF5"/>
    <w:rsid w:val="00770B42"/>
    <w:rsid w:val="00770CDB"/>
    <w:rsid w:val="00770DA4"/>
    <w:rsid w:val="00771118"/>
    <w:rsid w:val="0077112E"/>
    <w:rsid w:val="007712EC"/>
    <w:rsid w:val="0077134F"/>
    <w:rsid w:val="0077172D"/>
    <w:rsid w:val="00771738"/>
    <w:rsid w:val="0077173C"/>
    <w:rsid w:val="0077175F"/>
    <w:rsid w:val="00771820"/>
    <w:rsid w:val="00771B97"/>
    <w:rsid w:val="00771D1B"/>
    <w:rsid w:val="0077226D"/>
    <w:rsid w:val="00772364"/>
    <w:rsid w:val="007724F3"/>
    <w:rsid w:val="00772590"/>
    <w:rsid w:val="0077394F"/>
    <w:rsid w:val="00774190"/>
    <w:rsid w:val="0077437C"/>
    <w:rsid w:val="00774405"/>
    <w:rsid w:val="007747AF"/>
    <w:rsid w:val="00774811"/>
    <w:rsid w:val="00774D4E"/>
    <w:rsid w:val="0077531D"/>
    <w:rsid w:val="007756D6"/>
    <w:rsid w:val="00775BF4"/>
    <w:rsid w:val="00775D20"/>
    <w:rsid w:val="00775F4F"/>
    <w:rsid w:val="00776A30"/>
    <w:rsid w:val="007772E2"/>
    <w:rsid w:val="00777376"/>
    <w:rsid w:val="00777534"/>
    <w:rsid w:val="007776E5"/>
    <w:rsid w:val="00777705"/>
    <w:rsid w:val="00777B58"/>
    <w:rsid w:val="00777C11"/>
    <w:rsid w:val="00777C31"/>
    <w:rsid w:val="00777DEE"/>
    <w:rsid w:val="00777F9C"/>
    <w:rsid w:val="00780248"/>
    <w:rsid w:val="007804AD"/>
    <w:rsid w:val="00780736"/>
    <w:rsid w:val="0078080F"/>
    <w:rsid w:val="00780AA1"/>
    <w:rsid w:val="00780D77"/>
    <w:rsid w:val="00780E8C"/>
    <w:rsid w:val="007813D9"/>
    <w:rsid w:val="00781416"/>
    <w:rsid w:val="00781929"/>
    <w:rsid w:val="00781961"/>
    <w:rsid w:val="00781BD5"/>
    <w:rsid w:val="00781DD4"/>
    <w:rsid w:val="00781DE9"/>
    <w:rsid w:val="00781F15"/>
    <w:rsid w:val="0078215D"/>
    <w:rsid w:val="007825F1"/>
    <w:rsid w:val="0078279C"/>
    <w:rsid w:val="00782A52"/>
    <w:rsid w:val="0078310C"/>
    <w:rsid w:val="007834B3"/>
    <w:rsid w:val="007834CE"/>
    <w:rsid w:val="007835FF"/>
    <w:rsid w:val="007837B1"/>
    <w:rsid w:val="0078387A"/>
    <w:rsid w:val="00783979"/>
    <w:rsid w:val="00783A73"/>
    <w:rsid w:val="00783BD9"/>
    <w:rsid w:val="00783C87"/>
    <w:rsid w:val="00783F94"/>
    <w:rsid w:val="007840DF"/>
    <w:rsid w:val="00784189"/>
    <w:rsid w:val="00784645"/>
    <w:rsid w:val="00784660"/>
    <w:rsid w:val="00784729"/>
    <w:rsid w:val="0078479E"/>
    <w:rsid w:val="00784855"/>
    <w:rsid w:val="00784897"/>
    <w:rsid w:val="00784B87"/>
    <w:rsid w:val="00784C4A"/>
    <w:rsid w:val="0078531E"/>
    <w:rsid w:val="007853CA"/>
    <w:rsid w:val="00785586"/>
    <w:rsid w:val="00785633"/>
    <w:rsid w:val="007859FC"/>
    <w:rsid w:val="00785BE1"/>
    <w:rsid w:val="00785C5E"/>
    <w:rsid w:val="00785E35"/>
    <w:rsid w:val="00786118"/>
    <w:rsid w:val="00786232"/>
    <w:rsid w:val="0078698E"/>
    <w:rsid w:val="00786D84"/>
    <w:rsid w:val="00786E77"/>
    <w:rsid w:val="00786FCF"/>
    <w:rsid w:val="007874F7"/>
    <w:rsid w:val="0078760E"/>
    <w:rsid w:val="007876DF"/>
    <w:rsid w:val="0078775D"/>
    <w:rsid w:val="0078788D"/>
    <w:rsid w:val="007879AF"/>
    <w:rsid w:val="007879E0"/>
    <w:rsid w:val="00787C55"/>
    <w:rsid w:val="00787CE4"/>
    <w:rsid w:val="00787E6F"/>
    <w:rsid w:val="00787F5B"/>
    <w:rsid w:val="00787FB3"/>
    <w:rsid w:val="00787FD1"/>
    <w:rsid w:val="00790013"/>
    <w:rsid w:val="007903A4"/>
    <w:rsid w:val="0079098A"/>
    <w:rsid w:val="007911CA"/>
    <w:rsid w:val="0079195E"/>
    <w:rsid w:val="00791B18"/>
    <w:rsid w:val="00791B71"/>
    <w:rsid w:val="00791BFC"/>
    <w:rsid w:val="00792285"/>
    <w:rsid w:val="0079237D"/>
    <w:rsid w:val="0079243F"/>
    <w:rsid w:val="007925D5"/>
    <w:rsid w:val="007925E5"/>
    <w:rsid w:val="00792D9A"/>
    <w:rsid w:val="007930EC"/>
    <w:rsid w:val="007931A2"/>
    <w:rsid w:val="007932D9"/>
    <w:rsid w:val="00793ABF"/>
    <w:rsid w:val="00793B89"/>
    <w:rsid w:val="00793CC9"/>
    <w:rsid w:val="00794370"/>
    <w:rsid w:val="007944A2"/>
    <w:rsid w:val="007944F9"/>
    <w:rsid w:val="007945E0"/>
    <w:rsid w:val="00794A0E"/>
    <w:rsid w:val="00794B69"/>
    <w:rsid w:val="00794E01"/>
    <w:rsid w:val="007951A4"/>
    <w:rsid w:val="00795718"/>
    <w:rsid w:val="00795894"/>
    <w:rsid w:val="00795C7A"/>
    <w:rsid w:val="00795F1B"/>
    <w:rsid w:val="00796126"/>
    <w:rsid w:val="00796186"/>
    <w:rsid w:val="00796608"/>
    <w:rsid w:val="00796779"/>
    <w:rsid w:val="007967E3"/>
    <w:rsid w:val="0079693B"/>
    <w:rsid w:val="00796D2A"/>
    <w:rsid w:val="00797054"/>
    <w:rsid w:val="0079760C"/>
    <w:rsid w:val="00797641"/>
    <w:rsid w:val="00797870"/>
    <w:rsid w:val="00797904"/>
    <w:rsid w:val="00797B72"/>
    <w:rsid w:val="00797D44"/>
    <w:rsid w:val="007A04B9"/>
    <w:rsid w:val="007A058A"/>
    <w:rsid w:val="007A06BE"/>
    <w:rsid w:val="007A07F5"/>
    <w:rsid w:val="007A0A39"/>
    <w:rsid w:val="007A0F2F"/>
    <w:rsid w:val="007A0FFE"/>
    <w:rsid w:val="007A1829"/>
    <w:rsid w:val="007A1868"/>
    <w:rsid w:val="007A1A0D"/>
    <w:rsid w:val="007A1ECF"/>
    <w:rsid w:val="007A1ED0"/>
    <w:rsid w:val="007A2051"/>
    <w:rsid w:val="007A21BD"/>
    <w:rsid w:val="007A2258"/>
    <w:rsid w:val="007A2285"/>
    <w:rsid w:val="007A232A"/>
    <w:rsid w:val="007A27C5"/>
    <w:rsid w:val="007A2DD4"/>
    <w:rsid w:val="007A2F6F"/>
    <w:rsid w:val="007A3112"/>
    <w:rsid w:val="007A42D8"/>
    <w:rsid w:val="007A432B"/>
    <w:rsid w:val="007A432D"/>
    <w:rsid w:val="007A4471"/>
    <w:rsid w:val="007A4519"/>
    <w:rsid w:val="007A4570"/>
    <w:rsid w:val="007A49B7"/>
    <w:rsid w:val="007A4A62"/>
    <w:rsid w:val="007A4CC2"/>
    <w:rsid w:val="007A5146"/>
    <w:rsid w:val="007A5157"/>
    <w:rsid w:val="007A5239"/>
    <w:rsid w:val="007A567F"/>
    <w:rsid w:val="007A586E"/>
    <w:rsid w:val="007A5A00"/>
    <w:rsid w:val="007A5AEE"/>
    <w:rsid w:val="007A5B8A"/>
    <w:rsid w:val="007A5DA0"/>
    <w:rsid w:val="007A5DD8"/>
    <w:rsid w:val="007A5DF0"/>
    <w:rsid w:val="007A5E8E"/>
    <w:rsid w:val="007A5EF0"/>
    <w:rsid w:val="007A6058"/>
    <w:rsid w:val="007A623C"/>
    <w:rsid w:val="007A65DC"/>
    <w:rsid w:val="007A6603"/>
    <w:rsid w:val="007A660F"/>
    <w:rsid w:val="007A661A"/>
    <w:rsid w:val="007A678D"/>
    <w:rsid w:val="007A6AE9"/>
    <w:rsid w:val="007A6AFD"/>
    <w:rsid w:val="007A6D55"/>
    <w:rsid w:val="007A6FCF"/>
    <w:rsid w:val="007A7094"/>
    <w:rsid w:val="007A75AC"/>
    <w:rsid w:val="007A79C0"/>
    <w:rsid w:val="007A7B8C"/>
    <w:rsid w:val="007A7F28"/>
    <w:rsid w:val="007A7F57"/>
    <w:rsid w:val="007B00D6"/>
    <w:rsid w:val="007B0137"/>
    <w:rsid w:val="007B0A55"/>
    <w:rsid w:val="007B0B36"/>
    <w:rsid w:val="007B0C0A"/>
    <w:rsid w:val="007B10BD"/>
    <w:rsid w:val="007B11EC"/>
    <w:rsid w:val="007B126F"/>
    <w:rsid w:val="007B2096"/>
    <w:rsid w:val="007B28D6"/>
    <w:rsid w:val="007B2977"/>
    <w:rsid w:val="007B2B4F"/>
    <w:rsid w:val="007B2D86"/>
    <w:rsid w:val="007B2FEF"/>
    <w:rsid w:val="007B3250"/>
    <w:rsid w:val="007B3265"/>
    <w:rsid w:val="007B3356"/>
    <w:rsid w:val="007B33ED"/>
    <w:rsid w:val="007B344F"/>
    <w:rsid w:val="007B3549"/>
    <w:rsid w:val="007B37A1"/>
    <w:rsid w:val="007B3B4D"/>
    <w:rsid w:val="007B3CB9"/>
    <w:rsid w:val="007B3FBE"/>
    <w:rsid w:val="007B4130"/>
    <w:rsid w:val="007B42A7"/>
    <w:rsid w:val="007B4575"/>
    <w:rsid w:val="007B45EE"/>
    <w:rsid w:val="007B476C"/>
    <w:rsid w:val="007B479F"/>
    <w:rsid w:val="007B481D"/>
    <w:rsid w:val="007B49D8"/>
    <w:rsid w:val="007B4CE1"/>
    <w:rsid w:val="007B4D1A"/>
    <w:rsid w:val="007B4E51"/>
    <w:rsid w:val="007B4F4A"/>
    <w:rsid w:val="007B578E"/>
    <w:rsid w:val="007B581E"/>
    <w:rsid w:val="007B5835"/>
    <w:rsid w:val="007B5887"/>
    <w:rsid w:val="007B58B4"/>
    <w:rsid w:val="007B59A4"/>
    <w:rsid w:val="007B5C18"/>
    <w:rsid w:val="007B5ED1"/>
    <w:rsid w:val="007B5ED7"/>
    <w:rsid w:val="007B5EE8"/>
    <w:rsid w:val="007B6991"/>
    <w:rsid w:val="007B7187"/>
    <w:rsid w:val="007B72CC"/>
    <w:rsid w:val="007B7825"/>
    <w:rsid w:val="007B7A66"/>
    <w:rsid w:val="007B7A72"/>
    <w:rsid w:val="007B7BE5"/>
    <w:rsid w:val="007B7D2A"/>
    <w:rsid w:val="007B7F27"/>
    <w:rsid w:val="007C0394"/>
    <w:rsid w:val="007C06CE"/>
    <w:rsid w:val="007C0903"/>
    <w:rsid w:val="007C0B14"/>
    <w:rsid w:val="007C0D9D"/>
    <w:rsid w:val="007C123D"/>
    <w:rsid w:val="007C14C8"/>
    <w:rsid w:val="007C163D"/>
    <w:rsid w:val="007C18A2"/>
    <w:rsid w:val="007C1B6D"/>
    <w:rsid w:val="007C1C1C"/>
    <w:rsid w:val="007C1F0A"/>
    <w:rsid w:val="007C20EE"/>
    <w:rsid w:val="007C2423"/>
    <w:rsid w:val="007C24EF"/>
    <w:rsid w:val="007C25BA"/>
    <w:rsid w:val="007C26BC"/>
    <w:rsid w:val="007C26F2"/>
    <w:rsid w:val="007C2866"/>
    <w:rsid w:val="007C288D"/>
    <w:rsid w:val="007C2AD7"/>
    <w:rsid w:val="007C2B65"/>
    <w:rsid w:val="007C2C3A"/>
    <w:rsid w:val="007C2DE7"/>
    <w:rsid w:val="007C2ECE"/>
    <w:rsid w:val="007C31A2"/>
    <w:rsid w:val="007C31CB"/>
    <w:rsid w:val="007C31F4"/>
    <w:rsid w:val="007C3500"/>
    <w:rsid w:val="007C3591"/>
    <w:rsid w:val="007C3592"/>
    <w:rsid w:val="007C3E4B"/>
    <w:rsid w:val="007C43C9"/>
    <w:rsid w:val="007C4704"/>
    <w:rsid w:val="007C482E"/>
    <w:rsid w:val="007C4993"/>
    <w:rsid w:val="007C4BD4"/>
    <w:rsid w:val="007C4C1E"/>
    <w:rsid w:val="007C4C28"/>
    <w:rsid w:val="007C4CC8"/>
    <w:rsid w:val="007C4CE1"/>
    <w:rsid w:val="007C4F2E"/>
    <w:rsid w:val="007C5276"/>
    <w:rsid w:val="007C53AB"/>
    <w:rsid w:val="007C58AD"/>
    <w:rsid w:val="007C5C63"/>
    <w:rsid w:val="007C5C87"/>
    <w:rsid w:val="007C5F34"/>
    <w:rsid w:val="007C60BD"/>
    <w:rsid w:val="007C6546"/>
    <w:rsid w:val="007C65EA"/>
    <w:rsid w:val="007C6616"/>
    <w:rsid w:val="007C664B"/>
    <w:rsid w:val="007C69A1"/>
    <w:rsid w:val="007C6A6E"/>
    <w:rsid w:val="007C6B25"/>
    <w:rsid w:val="007C6D3C"/>
    <w:rsid w:val="007C704C"/>
    <w:rsid w:val="007C73F2"/>
    <w:rsid w:val="007C74A4"/>
    <w:rsid w:val="007C7767"/>
    <w:rsid w:val="007C786C"/>
    <w:rsid w:val="007C7B5A"/>
    <w:rsid w:val="007C7FFE"/>
    <w:rsid w:val="007D01F8"/>
    <w:rsid w:val="007D0513"/>
    <w:rsid w:val="007D0773"/>
    <w:rsid w:val="007D0927"/>
    <w:rsid w:val="007D0A35"/>
    <w:rsid w:val="007D0D50"/>
    <w:rsid w:val="007D0F07"/>
    <w:rsid w:val="007D108F"/>
    <w:rsid w:val="007D14FF"/>
    <w:rsid w:val="007D1656"/>
    <w:rsid w:val="007D17AB"/>
    <w:rsid w:val="007D18FE"/>
    <w:rsid w:val="007D19B5"/>
    <w:rsid w:val="007D1CEB"/>
    <w:rsid w:val="007D1F96"/>
    <w:rsid w:val="007D213E"/>
    <w:rsid w:val="007D24EC"/>
    <w:rsid w:val="007D2A46"/>
    <w:rsid w:val="007D2B91"/>
    <w:rsid w:val="007D3052"/>
    <w:rsid w:val="007D31A8"/>
    <w:rsid w:val="007D34AF"/>
    <w:rsid w:val="007D35D0"/>
    <w:rsid w:val="007D3E64"/>
    <w:rsid w:val="007D407D"/>
    <w:rsid w:val="007D416B"/>
    <w:rsid w:val="007D43DD"/>
    <w:rsid w:val="007D53B2"/>
    <w:rsid w:val="007D5414"/>
    <w:rsid w:val="007D5464"/>
    <w:rsid w:val="007D596C"/>
    <w:rsid w:val="007D5AAE"/>
    <w:rsid w:val="007D5B01"/>
    <w:rsid w:val="007D5B69"/>
    <w:rsid w:val="007D5D29"/>
    <w:rsid w:val="007D5EE9"/>
    <w:rsid w:val="007D5F9F"/>
    <w:rsid w:val="007D6055"/>
    <w:rsid w:val="007D60E2"/>
    <w:rsid w:val="007D6123"/>
    <w:rsid w:val="007D6630"/>
    <w:rsid w:val="007D6A4C"/>
    <w:rsid w:val="007D6C89"/>
    <w:rsid w:val="007D6D09"/>
    <w:rsid w:val="007D6ECD"/>
    <w:rsid w:val="007D71C1"/>
    <w:rsid w:val="007D7717"/>
    <w:rsid w:val="007D791C"/>
    <w:rsid w:val="007D7F8A"/>
    <w:rsid w:val="007E00F6"/>
    <w:rsid w:val="007E01A3"/>
    <w:rsid w:val="007E01E7"/>
    <w:rsid w:val="007E0216"/>
    <w:rsid w:val="007E0485"/>
    <w:rsid w:val="007E066D"/>
    <w:rsid w:val="007E08A6"/>
    <w:rsid w:val="007E0976"/>
    <w:rsid w:val="007E0A6F"/>
    <w:rsid w:val="007E0C62"/>
    <w:rsid w:val="007E0CEC"/>
    <w:rsid w:val="007E0D87"/>
    <w:rsid w:val="007E0DF2"/>
    <w:rsid w:val="007E0F2A"/>
    <w:rsid w:val="007E0FB5"/>
    <w:rsid w:val="007E1011"/>
    <w:rsid w:val="007E116D"/>
    <w:rsid w:val="007E1A8F"/>
    <w:rsid w:val="007E1B3E"/>
    <w:rsid w:val="007E250A"/>
    <w:rsid w:val="007E266F"/>
    <w:rsid w:val="007E2687"/>
    <w:rsid w:val="007E268C"/>
    <w:rsid w:val="007E2B08"/>
    <w:rsid w:val="007E2C4A"/>
    <w:rsid w:val="007E310E"/>
    <w:rsid w:val="007E3C3C"/>
    <w:rsid w:val="007E3CF0"/>
    <w:rsid w:val="007E3D09"/>
    <w:rsid w:val="007E3E01"/>
    <w:rsid w:val="007E4241"/>
    <w:rsid w:val="007E44DB"/>
    <w:rsid w:val="007E4797"/>
    <w:rsid w:val="007E49DB"/>
    <w:rsid w:val="007E4C43"/>
    <w:rsid w:val="007E4F2B"/>
    <w:rsid w:val="007E51E3"/>
    <w:rsid w:val="007E5249"/>
    <w:rsid w:val="007E5404"/>
    <w:rsid w:val="007E56AA"/>
    <w:rsid w:val="007E56BC"/>
    <w:rsid w:val="007E6067"/>
    <w:rsid w:val="007E61DB"/>
    <w:rsid w:val="007E61FF"/>
    <w:rsid w:val="007E6232"/>
    <w:rsid w:val="007E66A4"/>
    <w:rsid w:val="007E6930"/>
    <w:rsid w:val="007E6D3E"/>
    <w:rsid w:val="007E6E4C"/>
    <w:rsid w:val="007E728E"/>
    <w:rsid w:val="007E7347"/>
    <w:rsid w:val="007E7355"/>
    <w:rsid w:val="007E7CFC"/>
    <w:rsid w:val="007E7D5F"/>
    <w:rsid w:val="007F0003"/>
    <w:rsid w:val="007F00B1"/>
    <w:rsid w:val="007F011F"/>
    <w:rsid w:val="007F019D"/>
    <w:rsid w:val="007F01AD"/>
    <w:rsid w:val="007F0289"/>
    <w:rsid w:val="007F032D"/>
    <w:rsid w:val="007F038A"/>
    <w:rsid w:val="007F06C7"/>
    <w:rsid w:val="007F098E"/>
    <w:rsid w:val="007F0AE9"/>
    <w:rsid w:val="007F0C2C"/>
    <w:rsid w:val="007F0E50"/>
    <w:rsid w:val="007F11BD"/>
    <w:rsid w:val="007F135F"/>
    <w:rsid w:val="007F15A5"/>
    <w:rsid w:val="007F1619"/>
    <w:rsid w:val="007F1B9D"/>
    <w:rsid w:val="007F1BB1"/>
    <w:rsid w:val="007F1D6F"/>
    <w:rsid w:val="007F1E78"/>
    <w:rsid w:val="007F23A8"/>
    <w:rsid w:val="007F23FD"/>
    <w:rsid w:val="007F2488"/>
    <w:rsid w:val="007F24FE"/>
    <w:rsid w:val="007F2746"/>
    <w:rsid w:val="007F2943"/>
    <w:rsid w:val="007F323C"/>
    <w:rsid w:val="007F34D0"/>
    <w:rsid w:val="007F36DB"/>
    <w:rsid w:val="007F3820"/>
    <w:rsid w:val="007F390A"/>
    <w:rsid w:val="007F3BED"/>
    <w:rsid w:val="007F3D27"/>
    <w:rsid w:val="007F3DA6"/>
    <w:rsid w:val="007F3E45"/>
    <w:rsid w:val="007F3FEA"/>
    <w:rsid w:val="007F4016"/>
    <w:rsid w:val="007F40FA"/>
    <w:rsid w:val="007F428F"/>
    <w:rsid w:val="007F4633"/>
    <w:rsid w:val="007F47BA"/>
    <w:rsid w:val="007F530E"/>
    <w:rsid w:val="007F532E"/>
    <w:rsid w:val="007F5340"/>
    <w:rsid w:val="007F5380"/>
    <w:rsid w:val="007F53EC"/>
    <w:rsid w:val="007F5750"/>
    <w:rsid w:val="007F57AA"/>
    <w:rsid w:val="007F5808"/>
    <w:rsid w:val="007F585E"/>
    <w:rsid w:val="007F5C8D"/>
    <w:rsid w:val="007F5DC6"/>
    <w:rsid w:val="007F5E2E"/>
    <w:rsid w:val="007F60A6"/>
    <w:rsid w:val="007F6247"/>
    <w:rsid w:val="007F62DF"/>
    <w:rsid w:val="007F63E3"/>
    <w:rsid w:val="007F6587"/>
    <w:rsid w:val="007F661D"/>
    <w:rsid w:val="007F680A"/>
    <w:rsid w:val="007F6B3E"/>
    <w:rsid w:val="007F6C3D"/>
    <w:rsid w:val="007F6D90"/>
    <w:rsid w:val="007F7670"/>
    <w:rsid w:val="007F7A52"/>
    <w:rsid w:val="007F7CD7"/>
    <w:rsid w:val="007F7DD4"/>
    <w:rsid w:val="00800313"/>
    <w:rsid w:val="00800605"/>
    <w:rsid w:val="00800832"/>
    <w:rsid w:val="0080086B"/>
    <w:rsid w:val="00800928"/>
    <w:rsid w:val="0080099C"/>
    <w:rsid w:val="00800ADB"/>
    <w:rsid w:val="00800C3E"/>
    <w:rsid w:val="00800F77"/>
    <w:rsid w:val="00801711"/>
    <w:rsid w:val="008017D6"/>
    <w:rsid w:val="00801E20"/>
    <w:rsid w:val="00801E8C"/>
    <w:rsid w:val="008020A5"/>
    <w:rsid w:val="00802379"/>
    <w:rsid w:val="00802502"/>
    <w:rsid w:val="00802A71"/>
    <w:rsid w:val="00802CF6"/>
    <w:rsid w:val="00802EA2"/>
    <w:rsid w:val="00802F69"/>
    <w:rsid w:val="0080320C"/>
    <w:rsid w:val="00803283"/>
    <w:rsid w:val="008035EC"/>
    <w:rsid w:val="00803936"/>
    <w:rsid w:val="00803A18"/>
    <w:rsid w:val="00803AB5"/>
    <w:rsid w:val="00803F48"/>
    <w:rsid w:val="0080410E"/>
    <w:rsid w:val="008042DD"/>
    <w:rsid w:val="008044CE"/>
    <w:rsid w:val="008044F5"/>
    <w:rsid w:val="008048C1"/>
    <w:rsid w:val="00804AE8"/>
    <w:rsid w:val="00804CB3"/>
    <w:rsid w:val="0080556F"/>
    <w:rsid w:val="0080559C"/>
    <w:rsid w:val="00805875"/>
    <w:rsid w:val="00805A7B"/>
    <w:rsid w:val="00806406"/>
    <w:rsid w:val="008068FF"/>
    <w:rsid w:val="00806E5D"/>
    <w:rsid w:val="00806EE1"/>
    <w:rsid w:val="0080735C"/>
    <w:rsid w:val="00807580"/>
    <w:rsid w:val="0080763E"/>
    <w:rsid w:val="00807948"/>
    <w:rsid w:val="00807B7C"/>
    <w:rsid w:val="00807C94"/>
    <w:rsid w:val="00810617"/>
    <w:rsid w:val="00810B2B"/>
    <w:rsid w:val="00810C4E"/>
    <w:rsid w:val="00810EDE"/>
    <w:rsid w:val="00811056"/>
    <w:rsid w:val="008112B6"/>
    <w:rsid w:val="008113EB"/>
    <w:rsid w:val="00811477"/>
    <w:rsid w:val="008122F7"/>
    <w:rsid w:val="00812397"/>
    <w:rsid w:val="008123BF"/>
    <w:rsid w:val="008125F5"/>
    <w:rsid w:val="00812657"/>
    <w:rsid w:val="00812A4B"/>
    <w:rsid w:val="00812C95"/>
    <w:rsid w:val="00812E70"/>
    <w:rsid w:val="0081335B"/>
    <w:rsid w:val="00813B16"/>
    <w:rsid w:val="00814033"/>
    <w:rsid w:val="0081421D"/>
    <w:rsid w:val="0081483B"/>
    <w:rsid w:val="00814DB1"/>
    <w:rsid w:val="00814FA2"/>
    <w:rsid w:val="008152D6"/>
    <w:rsid w:val="0081530A"/>
    <w:rsid w:val="008155C0"/>
    <w:rsid w:val="008155D9"/>
    <w:rsid w:val="008156B9"/>
    <w:rsid w:val="00815846"/>
    <w:rsid w:val="00815BF5"/>
    <w:rsid w:val="00815DC1"/>
    <w:rsid w:val="00815E4A"/>
    <w:rsid w:val="00815F25"/>
    <w:rsid w:val="00816012"/>
    <w:rsid w:val="008160AB"/>
    <w:rsid w:val="0081670B"/>
    <w:rsid w:val="0081670F"/>
    <w:rsid w:val="008167EC"/>
    <w:rsid w:val="00816BFB"/>
    <w:rsid w:val="0081748D"/>
    <w:rsid w:val="008175AA"/>
    <w:rsid w:val="00817D5D"/>
    <w:rsid w:val="00817E5C"/>
    <w:rsid w:val="00817F84"/>
    <w:rsid w:val="00820253"/>
    <w:rsid w:val="008202C1"/>
    <w:rsid w:val="00820574"/>
    <w:rsid w:val="008205CD"/>
    <w:rsid w:val="00820B76"/>
    <w:rsid w:val="00820DAA"/>
    <w:rsid w:val="00820F04"/>
    <w:rsid w:val="00821C58"/>
    <w:rsid w:val="00821F4D"/>
    <w:rsid w:val="00822114"/>
    <w:rsid w:val="00822401"/>
    <w:rsid w:val="00822441"/>
    <w:rsid w:val="008225A8"/>
    <w:rsid w:val="00822A95"/>
    <w:rsid w:val="008233C7"/>
    <w:rsid w:val="0082366B"/>
    <w:rsid w:val="00823852"/>
    <w:rsid w:val="00823C48"/>
    <w:rsid w:val="00823E86"/>
    <w:rsid w:val="00823FA4"/>
    <w:rsid w:val="0082402B"/>
    <w:rsid w:val="008241B5"/>
    <w:rsid w:val="008245D8"/>
    <w:rsid w:val="00824D4B"/>
    <w:rsid w:val="00824E36"/>
    <w:rsid w:val="0082518A"/>
    <w:rsid w:val="008252CE"/>
    <w:rsid w:val="008257A0"/>
    <w:rsid w:val="00825866"/>
    <w:rsid w:val="00825F72"/>
    <w:rsid w:val="00826300"/>
    <w:rsid w:val="0082631E"/>
    <w:rsid w:val="008266C4"/>
    <w:rsid w:val="00826719"/>
    <w:rsid w:val="00826743"/>
    <w:rsid w:val="008268F6"/>
    <w:rsid w:val="00826D07"/>
    <w:rsid w:val="00826D70"/>
    <w:rsid w:val="00826E85"/>
    <w:rsid w:val="00827051"/>
    <w:rsid w:val="0082748A"/>
    <w:rsid w:val="00827677"/>
    <w:rsid w:val="0082773F"/>
    <w:rsid w:val="00827A6B"/>
    <w:rsid w:val="00827B47"/>
    <w:rsid w:val="00827C96"/>
    <w:rsid w:val="00827D29"/>
    <w:rsid w:val="0083019F"/>
    <w:rsid w:val="00830785"/>
    <w:rsid w:val="00830819"/>
    <w:rsid w:val="00830846"/>
    <w:rsid w:val="00830A3D"/>
    <w:rsid w:val="00830DD5"/>
    <w:rsid w:val="0083143A"/>
    <w:rsid w:val="00831628"/>
    <w:rsid w:val="00831803"/>
    <w:rsid w:val="008319FA"/>
    <w:rsid w:val="00831A8E"/>
    <w:rsid w:val="00831AF0"/>
    <w:rsid w:val="00831B84"/>
    <w:rsid w:val="008324E0"/>
    <w:rsid w:val="008327ED"/>
    <w:rsid w:val="00832817"/>
    <w:rsid w:val="0083287E"/>
    <w:rsid w:val="008329CE"/>
    <w:rsid w:val="00832CD7"/>
    <w:rsid w:val="00832FF6"/>
    <w:rsid w:val="00833142"/>
    <w:rsid w:val="00833155"/>
    <w:rsid w:val="008332AF"/>
    <w:rsid w:val="00833420"/>
    <w:rsid w:val="008334C4"/>
    <w:rsid w:val="00833588"/>
    <w:rsid w:val="0083358C"/>
    <w:rsid w:val="00833683"/>
    <w:rsid w:val="00833849"/>
    <w:rsid w:val="00833BCF"/>
    <w:rsid w:val="00833C73"/>
    <w:rsid w:val="00833CA1"/>
    <w:rsid w:val="00833DBA"/>
    <w:rsid w:val="00833E62"/>
    <w:rsid w:val="00833F35"/>
    <w:rsid w:val="00834A37"/>
    <w:rsid w:val="00834EDA"/>
    <w:rsid w:val="008350DA"/>
    <w:rsid w:val="00835590"/>
    <w:rsid w:val="0083570B"/>
    <w:rsid w:val="00835E56"/>
    <w:rsid w:val="00835F5B"/>
    <w:rsid w:val="00836039"/>
    <w:rsid w:val="00836919"/>
    <w:rsid w:val="00836A0E"/>
    <w:rsid w:val="00836B8C"/>
    <w:rsid w:val="00836D3F"/>
    <w:rsid w:val="0083703C"/>
    <w:rsid w:val="00837726"/>
    <w:rsid w:val="0083778B"/>
    <w:rsid w:val="00840184"/>
    <w:rsid w:val="008405FC"/>
    <w:rsid w:val="008408B5"/>
    <w:rsid w:val="00840A36"/>
    <w:rsid w:val="00840B9E"/>
    <w:rsid w:val="00841C43"/>
    <w:rsid w:val="00841DA1"/>
    <w:rsid w:val="00842147"/>
    <w:rsid w:val="008422CD"/>
    <w:rsid w:val="00842A17"/>
    <w:rsid w:val="00842D03"/>
    <w:rsid w:val="00843549"/>
    <w:rsid w:val="0084368C"/>
    <w:rsid w:val="00843E0C"/>
    <w:rsid w:val="00843E2D"/>
    <w:rsid w:val="0084421A"/>
    <w:rsid w:val="008446C1"/>
    <w:rsid w:val="00844766"/>
    <w:rsid w:val="0084486F"/>
    <w:rsid w:val="00844877"/>
    <w:rsid w:val="008449F0"/>
    <w:rsid w:val="00844B8B"/>
    <w:rsid w:val="00844E17"/>
    <w:rsid w:val="00844FBC"/>
    <w:rsid w:val="00845123"/>
    <w:rsid w:val="008452B2"/>
    <w:rsid w:val="008456F5"/>
    <w:rsid w:val="00845744"/>
    <w:rsid w:val="008457D8"/>
    <w:rsid w:val="008458B5"/>
    <w:rsid w:val="00845A45"/>
    <w:rsid w:val="00845A78"/>
    <w:rsid w:val="008463E2"/>
    <w:rsid w:val="00846442"/>
    <w:rsid w:val="0084664A"/>
    <w:rsid w:val="008466ED"/>
    <w:rsid w:val="00846BAE"/>
    <w:rsid w:val="00846C7F"/>
    <w:rsid w:val="00846DF1"/>
    <w:rsid w:val="00846EA5"/>
    <w:rsid w:val="00846FA7"/>
    <w:rsid w:val="0084728E"/>
    <w:rsid w:val="008477BA"/>
    <w:rsid w:val="00847AA7"/>
    <w:rsid w:val="00847AEC"/>
    <w:rsid w:val="00847E14"/>
    <w:rsid w:val="00847F58"/>
    <w:rsid w:val="008502FE"/>
    <w:rsid w:val="008508E4"/>
    <w:rsid w:val="00850B0B"/>
    <w:rsid w:val="00850BBC"/>
    <w:rsid w:val="00850CE4"/>
    <w:rsid w:val="00850D48"/>
    <w:rsid w:val="008510A6"/>
    <w:rsid w:val="008512B9"/>
    <w:rsid w:val="00851411"/>
    <w:rsid w:val="0085142C"/>
    <w:rsid w:val="0085170D"/>
    <w:rsid w:val="008517E5"/>
    <w:rsid w:val="0085187E"/>
    <w:rsid w:val="00851BD1"/>
    <w:rsid w:val="008520AD"/>
    <w:rsid w:val="0085275D"/>
    <w:rsid w:val="0085294B"/>
    <w:rsid w:val="008529D7"/>
    <w:rsid w:val="00852ABD"/>
    <w:rsid w:val="00852AF8"/>
    <w:rsid w:val="00852B38"/>
    <w:rsid w:val="00852BE0"/>
    <w:rsid w:val="00852D79"/>
    <w:rsid w:val="008532E2"/>
    <w:rsid w:val="0085335C"/>
    <w:rsid w:val="008533D4"/>
    <w:rsid w:val="00853487"/>
    <w:rsid w:val="00853493"/>
    <w:rsid w:val="00853810"/>
    <w:rsid w:val="00853AEA"/>
    <w:rsid w:val="00853BA4"/>
    <w:rsid w:val="00853D7B"/>
    <w:rsid w:val="00853EFC"/>
    <w:rsid w:val="00853F45"/>
    <w:rsid w:val="00853FA8"/>
    <w:rsid w:val="00854150"/>
    <w:rsid w:val="00854258"/>
    <w:rsid w:val="008542C0"/>
    <w:rsid w:val="008546C7"/>
    <w:rsid w:val="008546FA"/>
    <w:rsid w:val="008547FE"/>
    <w:rsid w:val="008548A5"/>
    <w:rsid w:val="0085497A"/>
    <w:rsid w:val="00854A18"/>
    <w:rsid w:val="00854D39"/>
    <w:rsid w:val="00854DCB"/>
    <w:rsid w:val="0085508B"/>
    <w:rsid w:val="008550DB"/>
    <w:rsid w:val="00855228"/>
    <w:rsid w:val="008552ED"/>
    <w:rsid w:val="0085538C"/>
    <w:rsid w:val="00855A27"/>
    <w:rsid w:val="00855DAE"/>
    <w:rsid w:val="00855F4A"/>
    <w:rsid w:val="00855F5C"/>
    <w:rsid w:val="00856006"/>
    <w:rsid w:val="0085623A"/>
    <w:rsid w:val="00856795"/>
    <w:rsid w:val="00856887"/>
    <w:rsid w:val="0085692E"/>
    <w:rsid w:val="008569A0"/>
    <w:rsid w:val="008569ED"/>
    <w:rsid w:val="00856A8D"/>
    <w:rsid w:val="00856A9A"/>
    <w:rsid w:val="00856C69"/>
    <w:rsid w:val="00856D07"/>
    <w:rsid w:val="008570CA"/>
    <w:rsid w:val="0085737A"/>
    <w:rsid w:val="0085762F"/>
    <w:rsid w:val="008576C1"/>
    <w:rsid w:val="0085774E"/>
    <w:rsid w:val="008578FC"/>
    <w:rsid w:val="00857FB1"/>
    <w:rsid w:val="008604E0"/>
    <w:rsid w:val="00860F1D"/>
    <w:rsid w:val="0086103D"/>
    <w:rsid w:val="00861266"/>
    <w:rsid w:val="00861337"/>
    <w:rsid w:val="008616A4"/>
    <w:rsid w:val="00861A3D"/>
    <w:rsid w:val="00861C3D"/>
    <w:rsid w:val="00861F21"/>
    <w:rsid w:val="00862004"/>
    <w:rsid w:val="0086208C"/>
    <w:rsid w:val="00862742"/>
    <w:rsid w:val="008627B9"/>
    <w:rsid w:val="008627C3"/>
    <w:rsid w:val="00862961"/>
    <w:rsid w:val="00862B4E"/>
    <w:rsid w:val="0086315B"/>
    <w:rsid w:val="00863241"/>
    <w:rsid w:val="00863337"/>
    <w:rsid w:val="00863399"/>
    <w:rsid w:val="0086382D"/>
    <w:rsid w:val="00863CFC"/>
    <w:rsid w:val="00863FF8"/>
    <w:rsid w:val="0086435D"/>
    <w:rsid w:val="00864782"/>
    <w:rsid w:val="008649D3"/>
    <w:rsid w:val="008652DF"/>
    <w:rsid w:val="008657E7"/>
    <w:rsid w:val="00865DC3"/>
    <w:rsid w:val="0086627F"/>
    <w:rsid w:val="00866717"/>
    <w:rsid w:val="008667CF"/>
    <w:rsid w:val="00866CB8"/>
    <w:rsid w:val="00866DFA"/>
    <w:rsid w:val="00866F7B"/>
    <w:rsid w:val="00866FF1"/>
    <w:rsid w:val="00867137"/>
    <w:rsid w:val="008673FC"/>
    <w:rsid w:val="00867C39"/>
    <w:rsid w:val="00870089"/>
    <w:rsid w:val="008703CD"/>
    <w:rsid w:val="00870466"/>
    <w:rsid w:val="00870673"/>
    <w:rsid w:val="008707C5"/>
    <w:rsid w:val="008708F8"/>
    <w:rsid w:val="008709D3"/>
    <w:rsid w:val="008709F7"/>
    <w:rsid w:val="00870A03"/>
    <w:rsid w:val="00870A52"/>
    <w:rsid w:val="00870ABA"/>
    <w:rsid w:val="00870DF6"/>
    <w:rsid w:val="00871416"/>
    <w:rsid w:val="00871496"/>
    <w:rsid w:val="00871A1D"/>
    <w:rsid w:val="00871AE0"/>
    <w:rsid w:val="00871B44"/>
    <w:rsid w:val="00871C86"/>
    <w:rsid w:val="0087205D"/>
    <w:rsid w:val="008721A4"/>
    <w:rsid w:val="00872581"/>
    <w:rsid w:val="008729DC"/>
    <w:rsid w:val="00872C53"/>
    <w:rsid w:val="00872D12"/>
    <w:rsid w:val="00872E5C"/>
    <w:rsid w:val="0087356C"/>
    <w:rsid w:val="00873744"/>
    <w:rsid w:val="00873872"/>
    <w:rsid w:val="00874289"/>
    <w:rsid w:val="0087431C"/>
    <w:rsid w:val="008745C6"/>
    <w:rsid w:val="00874C36"/>
    <w:rsid w:val="00874CC0"/>
    <w:rsid w:val="00874E6E"/>
    <w:rsid w:val="00875140"/>
    <w:rsid w:val="0087526E"/>
    <w:rsid w:val="0087552D"/>
    <w:rsid w:val="00875557"/>
    <w:rsid w:val="00875A0F"/>
    <w:rsid w:val="00875EC5"/>
    <w:rsid w:val="0087612B"/>
    <w:rsid w:val="0087621E"/>
    <w:rsid w:val="008765D4"/>
    <w:rsid w:val="008768FF"/>
    <w:rsid w:val="00876C48"/>
    <w:rsid w:val="00876EF9"/>
    <w:rsid w:val="00877075"/>
    <w:rsid w:val="008773C0"/>
    <w:rsid w:val="008773FE"/>
    <w:rsid w:val="00877A62"/>
    <w:rsid w:val="00877D4D"/>
    <w:rsid w:val="00877D56"/>
    <w:rsid w:val="008801DA"/>
    <w:rsid w:val="00880482"/>
    <w:rsid w:val="0088060E"/>
    <w:rsid w:val="008807A4"/>
    <w:rsid w:val="00880D22"/>
    <w:rsid w:val="00880DF1"/>
    <w:rsid w:val="00881100"/>
    <w:rsid w:val="00881204"/>
    <w:rsid w:val="0088134A"/>
    <w:rsid w:val="0088136C"/>
    <w:rsid w:val="00881370"/>
    <w:rsid w:val="008816CD"/>
    <w:rsid w:val="00881701"/>
    <w:rsid w:val="00881838"/>
    <w:rsid w:val="0088192D"/>
    <w:rsid w:val="00881D2C"/>
    <w:rsid w:val="00882643"/>
    <w:rsid w:val="008828A8"/>
    <w:rsid w:val="008829D1"/>
    <w:rsid w:val="00882A24"/>
    <w:rsid w:val="00882A6C"/>
    <w:rsid w:val="00883665"/>
    <w:rsid w:val="00883AFF"/>
    <w:rsid w:val="00883B35"/>
    <w:rsid w:val="00883CA1"/>
    <w:rsid w:val="00883DE1"/>
    <w:rsid w:val="00883EBE"/>
    <w:rsid w:val="008849DF"/>
    <w:rsid w:val="00884CC1"/>
    <w:rsid w:val="00885C4E"/>
    <w:rsid w:val="00885C52"/>
    <w:rsid w:val="00886050"/>
    <w:rsid w:val="00886350"/>
    <w:rsid w:val="00886416"/>
    <w:rsid w:val="008866F4"/>
    <w:rsid w:val="008869BE"/>
    <w:rsid w:val="008869E8"/>
    <w:rsid w:val="00886ED1"/>
    <w:rsid w:val="00886F60"/>
    <w:rsid w:val="00887231"/>
    <w:rsid w:val="00887280"/>
    <w:rsid w:val="00887418"/>
    <w:rsid w:val="00887631"/>
    <w:rsid w:val="00887A12"/>
    <w:rsid w:val="00887ABA"/>
    <w:rsid w:val="00887BC0"/>
    <w:rsid w:val="00887EB1"/>
    <w:rsid w:val="00887F91"/>
    <w:rsid w:val="0089004D"/>
    <w:rsid w:val="008905BE"/>
    <w:rsid w:val="008905F2"/>
    <w:rsid w:val="0089074B"/>
    <w:rsid w:val="00890847"/>
    <w:rsid w:val="00890879"/>
    <w:rsid w:val="00890F98"/>
    <w:rsid w:val="00891666"/>
    <w:rsid w:val="0089172A"/>
    <w:rsid w:val="0089182B"/>
    <w:rsid w:val="00891A0E"/>
    <w:rsid w:val="00891BAE"/>
    <w:rsid w:val="0089207B"/>
    <w:rsid w:val="0089221E"/>
    <w:rsid w:val="00892307"/>
    <w:rsid w:val="00892407"/>
    <w:rsid w:val="008924C7"/>
    <w:rsid w:val="00892868"/>
    <w:rsid w:val="00892C4A"/>
    <w:rsid w:val="00892DAD"/>
    <w:rsid w:val="00892E91"/>
    <w:rsid w:val="00893332"/>
    <w:rsid w:val="008934E4"/>
    <w:rsid w:val="008935BE"/>
    <w:rsid w:val="00893797"/>
    <w:rsid w:val="00893852"/>
    <w:rsid w:val="008938D0"/>
    <w:rsid w:val="00893A92"/>
    <w:rsid w:val="00893C40"/>
    <w:rsid w:val="00893C6F"/>
    <w:rsid w:val="00893CB1"/>
    <w:rsid w:val="00893CBE"/>
    <w:rsid w:val="00893E8D"/>
    <w:rsid w:val="008940D6"/>
    <w:rsid w:val="0089415A"/>
    <w:rsid w:val="0089433C"/>
    <w:rsid w:val="00894A24"/>
    <w:rsid w:val="00895330"/>
    <w:rsid w:val="008954BF"/>
    <w:rsid w:val="0089567D"/>
    <w:rsid w:val="00895767"/>
    <w:rsid w:val="00895841"/>
    <w:rsid w:val="00895893"/>
    <w:rsid w:val="008959FF"/>
    <w:rsid w:val="00895A45"/>
    <w:rsid w:val="00895B63"/>
    <w:rsid w:val="00895C69"/>
    <w:rsid w:val="00895C94"/>
    <w:rsid w:val="00895D1A"/>
    <w:rsid w:val="00895E45"/>
    <w:rsid w:val="008963B2"/>
    <w:rsid w:val="008963D9"/>
    <w:rsid w:val="0089654F"/>
    <w:rsid w:val="0089695F"/>
    <w:rsid w:val="00896AE7"/>
    <w:rsid w:val="00896D90"/>
    <w:rsid w:val="00896E51"/>
    <w:rsid w:val="00897043"/>
    <w:rsid w:val="00897A14"/>
    <w:rsid w:val="008A00D6"/>
    <w:rsid w:val="008A044A"/>
    <w:rsid w:val="008A06C7"/>
    <w:rsid w:val="008A0836"/>
    <w:rsid w:val="008A0A2D"/>
    <w:rsid w:val="008A0C7A"/>
    <w:rsid w:val="008A1031"/>
    <w:rsid w:val="008A13E5"/>
    <w:rsid w:val="008A1634"/>
    <w:rsid w:val="008A1705"/>
    <w:rsid w:val="008A1977"/>
    <w:rsid w:val="008A206E"/>
    <w:rsid w:val="008A209E"/>
    <w:rsid w:val="008A20DE"/>
    <w:rsid w:val="008A2359"/>
    <w:rsid w:val="008A2800"/>
    <w:rsid w:val="008A28D7"/>
    <w:rsid w:val="008A29BA"/>
    <w:rsid w:val="008A2A26"/>
    <w:rsid w:val="008A2B1B"/>
    <w:rsid w:val="008A2E26"/>
    <w:rsid w:val="008A3493"/>
    <w:rsid w:val="008A3747"/>
    <w:rsid w:val="008A38EC"/>
    <w:rsid w:val="008A3AB1"/>
    <w:rsid w:val="008A3DFA"/>
    <w:rsid w:val="008A42B3"/>
    <w:rsid w:val="008A49BD"/>
    <w:rsid w:val="008A4BFF"/>
    <w:rsid w:val="008A5006"/>
    <w:rsid w:val="008A512A"/>
    <w:rsid w:val="008A52D8"/>
    <w:rsid w:val="008A532A"/>
    <w:rsid w:val="008A54B6"/>
    <w:rsid w:val="008A5718"/>
    <w:rsid w:val="008A5987"/>
    <w:rsid w:val="008A5A17"/>
    <w:rsid w:val="008A5F3C"/>
    <w:rsid w:val="008A6025"/>
    <w:rsid w:val="008A6AE4"/>
    <w:rsid w:val="008A6B18"/>
    <w:rsid w:val="008A7530"/>
    <w:rsid w:val="008A76CB"/>
    <w:rsid w:val="008A7B8C"/>
    <w:rsid w:val="008A7B96"/>
    <w:rsid w:val="008A7C40"/>
    <w:rsid w:val="008A7CC4"/>
    <w:rsid w:val="008B053B"/>
    <w:rsid w:val="008B0611"/>
    <w:rsid w:val="008B06B0"/>
    <w:rsid w:val="008B0E27"/>
    <w:rsid w:val="008B1369"/>
    <w:rsid w:val="008B157B"/>
    <w:rsid w:val="008B16CB"/>
    <w:rsid w:val="008B1709"/>
    <w:rsid w:val="008B1728"/>
    <w:rsid w:val="008B1945"/>
    <w:rsid w:val="008B19D3"/>
    <w:rsid w:val="008B1AAD"/>
    <w:rsid w:val="008B1CAA"/>
    <w:rsid w:val="008B1CC2"/>
    <w:rsid w:val="008B1E30"/>
    <w:rsid w:val="008B2246"/>
    <w:rsid w:val="008B2256"/>
    <w:rsid w:val="008B2697"/>
    <w:rsid w:val="008B2734"/>
    <w:rsid w:val="008B27AF"/>
    <w:rsid w:val="008B2DB7"/>
    <w:rsid w:val="008B300D"/>
    <w:rsid w:val="008B320D"/>
    <w:rsid w:val="008B36E1"/>
    <w:rsid w:val="008B39A0"/>
    <w:rsid w:val="008B3AF8"/>
    <w:rsid w:val="008B3BAE"/>
    <w:rsid w:val="008B3C9B"/>
    <w:rsid w:val="008B3FA7"/>
    <w:rsid w:val="008B4057"/>
    <w:rsid w:val="008B43CF"/>
    <w:rsid w:val="008B45E8"/>
    <w:rsid w:val="008B4967"/>
    <w:rsid w:val="008B4AB6"/>
    <w:rsid w:val="008B4DC4"/>
    <w:rsid w:val="008B4E09"/>
    <w:rsid w:val="008B4EA3"/>
    <w:rsid w:val="008B54F2"/>
    <w:rsid w:val="008B56BD"/>
    <w:rsid w:val="008B57D2"/>
    <w:rsid w:val="008B5EF3"/>
    <w:rsid w:val="008B5F1A"/>
    <w:rsid w:val="008B6322"/>
    <w:rsid w:val="008B6481"/>
    <w:rsid w:val="008B6666"/>
    <w:rsid w:val="008B6F54"/>
    <w:rsid w:val="008B7212"/>
    <w:rsid w:val="008B74E8"/>
    <w:rsid w:val="008B7571"/>
    <w:rsid w:val="008B77EA"/>
    <w:rsid w:val="008B7968"/>
    <w:rsid w:val="008B7E1F"/>
    <w:rsid w:val="008C0006"/>
    <w:rsid w:val="008C04E6"/>
    <w:rsid w:val="008C0933"/>
    <w:rsid w:val="008C0C4B"/>
    <w:rsid w:val="008C0FFB"/>
    <w:rsid w:val="008C1226"/>
    <w:rsid w:val="008C1742"/>
    <w:rsid w:val="008C17BD"/>
    <w:rsid w:val="008C191A"/>
    <w:rsid w:val="008C1E9E"/>
    <w:rsid w:val="008C21B1"/>
    <w:rsid w:val="008C2733"/>
    <w:rsid w:val="008C2A1D"/>
    <w:rsid w:val="008C2AAC"/>
    <w:rsid w:val="008C2D4E"/>
    <w:rsid w:val="008C2D55"/>
    <w:rsid w:val="008C2EFF"/>
    <w:rsid w:val="008C309E"/>
    <w:rsid w:val="008C3421"/>
    <w:rsid w:val="008C34E8"/>
    <w:rsid w:val="008C3679"/>
    <w:rsid w:val="008C371F"/>
    <w:rsid w:val="008C3886"/>
    <w:rsid w:val="008C3920"/>
    <w:rsid w:val="008C3949"/>
    <w:rsid w:val="008C3CF9"/>
    <w:rsid w:val="008C3F3D"/>
    <w:rsid w:val="008C4120"/>
    <w:rsid w:val="008C412C"/>
    <w:rsid w:val="008C433D"/>
    <w:rsid w:val="008C43D2"/>
    <w:rsid w:val="008C4521"/>
    <w:rsid w:val="008C4606"/>
    <w:rsid w:val="008C4C98"/>
    <w:rsid w:val="008C4E13"/>
    <w:rsid w:val="008C50F8"/>
    <w:rsid w:val="008C514C"/>
    <w:rsid w:val="008C520C"/>
    <w:rsid w:val="008C5339"/>
    <w:rsid w:val="008C5AB0"/>
    <w:rsid w:val="008C5EFA"/>
    <w:rsid w:val="008C654D"/>
    <w:rsid w:val="008C6CF0"/>
    <w:rsid w:val="008C6FEC"/>
    <w:rsid w:val="008C728D"/>
    <w:rsid w:val="008C7448"/>
    <w:rsid w:val="008C7454"/>
    <w:rsid w:val="008C7661"/>
    <w:rsid w:val="008C7B1B"/>
    <w:rsid w:val="008C7BFE"/>
    <w:rsid w:val="008C7D21"/>
    <w:rsid w:val="008C7F91"/>
    <w:rsid w:val="008C7F9D"/>
    <w:rsid w:val="008D0119"/>
    <w:rsid w:val="008D0301"/>
    <w:rsid w:val="008D056C"/>
    <w:rsid w:val="008D058D"/>
    <w:rsid w:val="008D08BB"/>
    <w:rsid w:val="008D09D4"/>
    <w:rsid w:val="008D0C23"/>
    <w:rsid w:val="008D0F23"/>
    <w:rsid w:val="008D1014"/>
    <w:rsid w:val="008D1114"/>
    <w:rsid w:val="008D1C62"/>
    <w:rsid w:val="008D2405"/>
    <w:rsid w:val="008D2414"/>
    <w:rsid w:val="008D2559"/>
    <w:rsid w:val="008D2883"/>
    <w:rsid w:val="008D2B10"/>
    <w:rsid w:val="008D2B14"/>
    <w:rsid w:val="008D2BC7"/>
    <w:rsid w:val="008D322D"/>
    <w:rsid w:val="008D3274"/>
    <w:rsid w:val="008D343C"/>
    <w:rsid w:val="008D35CB"/>
    <w:rsid w:val="008D3647"/>
    <w:rsid w:val="008D3AF8"/>
    <w:rsid w:val="008D3BE6"/>
    <w:rsid w:val="008D3F0C"/>
    <w:rsid w:val="008D41A4"/>
    <w:rsid w:val="008D44A8"/>
    <w:rsid w:val="008D44E0"/>
    <w:rsid w:val="008D46EA"/>
    <w:rsid w:val="008D4835"/>
    <w:rsid w:val="008D495C"/>
    <w:rsid w:val="008D4F61"/>
    <w:rsid w:val="008D502B"/>
    <w:rsid w:val="008D5254"/>
    <w:rsid w:val="008D531B"/>
    <w:rsid w:val="008D53E4"/>
    <w:rsid w:val="008D550C"/>
    <w:rsid w:val="008D5795"/>
    <w:rsid w:val="008D5887"/>
    <w:rsid w:val="008D5ABC"/>
    <w:rsid w:val="008D5BA0"/>
    <w:rsid w:val="008D5F21"/>
    <w:rsid w:val="008D5FA9"/>
    <w:rsid w:val="008D617A"/>
    <w:rsid w:val="008D63F1"/>
    <w:rsid w:val="008D671E"/>
    <w:rsid w:val="008D6848"/>
    <w:rsid w:val="008D6877"/>
    <w:rsid w:val="008D6A2B"/>
    <w:rsid w:val="008D6B14"/>
    <w:rsid w:val="008D6B2E"/>
    <w:rsid w:val="008D73C1"/>
    <w:rsid w:val="008D7444"/>
    <w:rsid w:val="008D7E5F"/>
    <w:rsid w:val="008D7EA0"/>
    <w:rsid w:val="008D7F05"/>
    <w:rsid w:val="008E08E6"/>
    <w:rsid w:val="008E09B4"/>
    <w:rsid w:val="008E0BAE"/>
    <w:rsid w:val="008E0F75"/>
    <w:rsid w:val="008E1053"/>
    <w:rsid w:val="008E10BF"/>
    <w:rsid w:val="008E10CB"/>
    <w:rsid w:val="008E126C"/>
    <w:rsid w:val="008E160B"/>
    <w:rsid w:val="008E1BFF"/>
    <w:rsid w:val="008E1FEE"/>
    <w:rsid w:val="008E2037"/>
    <w:rsid w:val="008E213A"/>
    <w:rsid w:val="008E21BC"/>
    <w:rsid w:val="008E2287"/>
    <w:rsid w:val="008E2325"/>
    <w:rsid w:val="008E2501"/>
    <w:rsid w:val="008E2845"/>
    <w:rsid w:val="008E2CA3"/>
    <w:rsid w:val="008E2D09"/>
    <w:rsid w:val="008E2D6D"/>
    <w:rsid w:val="008E2F6B"/>
    <w:rsid w:val="008E318F"/>
    <w:rsid w:val="008E336E"/>
    <w:rsid w:val="008E3677"/>
    <w:rsid w:val="008E37F3"/>
    <w:rsid w:val="008E3A8F"/>
    <w:rsid w:val="008E3B11"/>
    <w:rsid w:val="008E3B1E"/>
    <w:rsid w:val="008E3D35"/>
    <w:rsid w:val="008E3D84"/>
    <w:rsid w:val="008E4265"/>
    <w:rsid w:val="008E4804"/>
    <w:rsid w:val="008E49FC"/>
    <w:rsid w:val="008E4A1C"/>
    <w:rsid w:val="008E4EA7"/>
    <w:rsid w:val="008E54D0"/>
    <w:rsid w:val="008E563E"/>
    <w:rsid w:val="008E5CF0"/>
    <w:rsid w:val="008E5D25"/>
    <w:rsid w:val="008E5DC8"/>
    <w:rsid w:val="008E6103"/>
    <w:rsid w:val="008E615A"/>
    <w:rsid w:val="008E695E"/>
    <w:rsid w:val="008E6AB6"/>
    <w:rsid w:val="008E6F5B"/>
    <w:rsid w:val="008E7350"/>
    <w:rsid w:val="008E73FB"/>
    <w:rsid w:val="008E7580"/>
    <w:rsid w:val="008E76FF"/>
    <w:rsid w:val="008E79F6"/>
    <w:rsid w:val="008E7BC5"/>
    <w:rsid w:val="008E7D7B"/>
    <w:rsid w:val="008E7E1E"/>
    <w:rsid w:val="008F0053"/>
    <w:rsid w:val="008F010D"/>
    <w:rsid w:val="008F07D3"/>
    <w:rsid w:val="008F080F"/>
    <w:rsid w:val="008F09B9"/>
    <w:rsid w:val="008F0D8C"/>
    <w:rsid w:val="008F1049"/>
    <w:rsid w:val="008F1447"/>
    <w:rsid w:val="008F14EF"/>
    <w:rsid w:val="008F1CEE"/>
    <w:rsid w:val="008F2313"/>
    <w:rsid w:val="008F2A3E"/>
    <w:rsid w:val="008F2BE4"/>
    <w:rsid w:val="008F2E8F"/>
    <w:rsid w:val="008F2F11"/>
    <w:rsid w:val="008F3104"/>
    <w:rsid w:val="008F3259"/>
    <w:rsid w:val="008F363A"/>
    <w:rsid w:val="008F3754"/>
    <w:rsid w:val="008F3CB0"/>
    <w:rsid w:val="008F3FCF"/>
    <w:rsid w:val="008F4050"/>
    <w:rsid w:val="008F42FA"/>
    <w:rsid w:val="008F4BFA"/>
    <w:rsid w:val="008F5164"/>
    <w:rsid w:val="008F5229"/>
    <w:rsid w:val="008F55F7"/>
    <w:rsid w:val="008F5B70"/>
    <w:rsid w:val="008F5CA5"/>
    <w:rsid w:val="008F5E83"/>
    <w:rsid w:val="008F6045"/>
    <w:rsid w:val="008F6204"/>
    <w:rsid w:val="008F6489"/>
    <w:rsid w:val="008F6493"/>
    <w:rsid w:val="008F6628"/>
    <w:rsid w:val="008F667B"/>
    <w:rsid w:val="008F68EF"/>
    <w:rsid w:val="008F6A7E"/>
    <w:rsid w:val="008F6C5C"/>
    <w:rsid w:val="008F6C80"/>
    <w:rsid w:val="008F6E46"/>
    <w:rsid w:val="008F6E86"/>
    <w:rsid w:val="008F72DB"/>
    <w:rsid w:val="008F7355"/>
    <w:rsid w:val="008F73B8"/>
    <w:rsid w:val="008F7A5D"/>
    <w:rsid w:val="008F7A67"/>
    <w:rsid w:val="008F7B7E"/>
    <w:rsid w:val="00900251"/>
    <w:rsid w:val="009005A8"/>
    <w:rsid w:val="00900898"/>
    <w:rsid w:val="009008D6"/>
    <w:rsid w:val="00900E64"/>
    <w:rsid w:val="00900E93"/>
    <w:rsid w:val="00901026"/>
    <w:rsid w:val="00901284"/>
    <w:rsid w:val="0090130B"/>
    <w:rsid w:val="009017DC"/>
    <w:rsid w:val="00901821"/>
    <w:rsid w:val="0090205B"/>
    <w:rsid w:val="0090270A"/>
    <w:rsid w:val="0090297A"/>
    <w:rsid w:val="00902A23"/>
    <w:rsid w:val="00902D06"/>
    <w:rsid w:val="00902E57"/>
    <w:rsid w:val="0090302F"/>
    <w:rsid w:val="00903571"/>
    <w:rsid w:val="0090382F"/>
    <w:rsid w:val="009045B6"/>
    <w:rsid w:val="00904D06"/>
    <w:rsid w:val="00904FA9"/>
    <w:rsid w:val="009051B4"/>
    <w:rsid w:val="00905250"/>
    <w:rsid w:val="0090546B"/>
    <w:rsid w:val="009059C4"/>
    <w:rsid w:val="00905D4B"/>
    <w:rsid w:val="00906343"/>
    <w:rsid w:val="009067A3"/>
    <w:rsid w:val="009068B7"/>
    <w:rsid w:val="009068F4"/>
    <w:rsid w:val="00906D37"/>
    <w:rsid w:val="00906DC5"/>
    <w:rsid w:val="009072A0"/>
    <w:rsid w:val="009072B6"/>
    <w:rsid w:val="00907302"/>
    <w:rsid w:val="00907312"/>
    <w:rsid w:val="009074C5"/>
    <w:rsid w:val="009074D3"/>
    <w:rsid w:val="009074F2"/>
    <w:rsid w:val="00907663"/>
    <w:rsid w:val="00907709"/>
    <w:rsid w:val="0090788D"/>
    <w:rsid w:val="009078B0"/>
    <w:rsid w:val="0090795D"/>
    <w:rsid w:val="00907DEE"/>
    <w:rsid w:val="0091026E"/>
    <w:rsid w:val="009105E4"/>
    <w:rsid w:val="009106CA"/>
    <w:rsid w:val="00910A87"/>
    <w:rsid w:val="00910D6D"/>
    <w:rsid w:val="00910E12"/>
    <w:rsid w:val="009114D3"/>
    <w:rsid w:val="0091152B"/>
    <w:rsid w:val="00911A8E"/>
    <w:rsid w:val="00911B60"/>
    <w:rsid w:val="00911C28"/>
    <w:rsid w:val="00911E3E"/>
    <w:rsid w:val="00911F5B"/>
    <w:rsid w:val="00912018"/>
    <w:rsid w:val="00912213"/>
    <w:rsid w:val="00912233"/>
    <w:rsid w:val="0091240B"/>
    <w:rsid w:val="00912AF9"/>
    <w:rsid w:val="00912FB1"/>
    <w:rsid w:val="00913626"/>
    <w:rsid w:val="00913631"/>
    <w:rsid w:val="009138A9"/>
    <w:rsid w:val="00913ACE"/>
    <w:rsid w:val="00913B76"/>
    <w:rsid w:val="00913BF7"/>
    <w:rsid w:val="00913CEB"/>
    <w:rsid w:val="00913CF1"/>
    <w:rsid w:val="0091414B"/>
    <w:rsid w:val="00914405"/>
    <w:rsid w:val="0091448F"/>
    <w:rsid w:val="009144D2"/>
    <w:rsid w:val="009146A0"/>
    <w:rsid w:val="00914718"/>
    <w:rsid w:val="009147B5"/>
    <w:rsid w:val="009148A8"/>
    <w:rsid w:val="00914B77"/>
    <w:rsid w:val="00915019"/>
    <w:rsid w:val="00915488"/>
    <w:rsid w:val="00915493"/>
    <w:rsid w:val="0091551B"/>
    <w:rsid w:val="0091566F"/>
    <w:rsid w:val="00915718"/>
    <w:rsid w:val="00915969"/>
    <w:rsid w:val="00915FC3"/>
    <w:rsid w:val="00916012"/>
    <w:rsid w:val="0091618C"/>
    <w:rsid w:val="00916247"/>
    <w:rsid w:val="00916353"/>
    <w:rsid w:val="009166E5"/>
    <w:rsid w:val="009166EB"/>
    <w:rsid w:val="009167B0"/>
    <w:rsid w:val="009168D3"/>
    <w:rsid w:val="00916BB6"/>
    <w:rsid w:val="00916DE6"/>
    <w:rsid w:val="009171C9"/>
    <w:rsid w:val="00917212"/>
    <w:rsid w:val="009178FB"/>
    <w:rsid w:val="00917B69"/>
    <w:rsid w:val="00917B9B"/>
    <w:rsid w:val="00917D11"/>
    <w:rsid w:val="00917DC3"/>
    <w:rsid w:val="00920518"/>
    <w:rsid w:val="00920A14"/>
    <w:rsid w:val="00920DD1"/>
    <w:rsid w:val="00920EAE"/>
    <w:rsid w:val="00920F32"/>
    <w:rsid w:val="009213BF"/>
    <w:rsid w:val="009213D3"/>
    <w:rsid w:val="00921771"/>
    <w:rsid w:val="00921803"/>
    <w:rsid w:val="009218FA"/>
    <w:rsid w:val="00921C64"/>
    <w:rsid w:val="00921DF2"/>
    <w:rsid w:val="00922012"/>
    <w:rsid w:val="00922105"/>
    <w:rsid w:val="0092242A"/>
    <w:rsid w:val="00922655"/>
    <w:rsid w:val="0092271A"/>
    <w:rsid w:val="00922BCE"/>
    <w:rsid w:val="00922BEA"/>
    <w:rsid w:val="00922C95"/>
    <w:rsid w:val="00922CF5"/>
    <w:rsid w:val="00923231"/>
    <w:rsid w:val="0092340C"/>
    <w:rsid w:val="0092357A"/>
    <w:rsid w:val="00923AD2"/>
    <w:rsid w:val="00923D1F"/>
    <w:rsid w:val="0092419F"/>
    <w:rsid w:val="00924239"/>
    <w:rsid w:val="0092427C"/>
    <w:rsid w:val="00924369"/>
    <w:rsid w:val="0092471D"/>
    <w:rsid w:val="009249AE"/>
    <w:rsid w:val="00924CD8"/>
    <w:rsid w:val="00924DA5"/>
    <w:rsid w:val="00925012"/>
    <w:rsid w:val="0092501A"/>
    <w:rsid w:val="009250CF"/>
    <w:rsid w:val="009251D9"/>
    <w:rsid w:val="00925495"/>
    <w:rsid w:val="00925945"/>
    <w:rsid w:val="00925A7C"/>
    <w:rsid w:val="00925CC3"/>
    <w:rsid w:val="00925CC8"/>
    <w:rsid w:val="00925F5B"/>
    <w:rsid w:val="00925FA5"/>
    <w:rsid w:val="00926058"/>
    <w:rsid w:val="0092638B"/>
    <w:rsid w:val="00926486"/>
    <w:rsid w:val="00926530"/>
    <w:rsid w:val="00926807"/>
    <w:rsid w:val="009269EB"/>
    <w:rsid w:val="00926B23"/>
    <w:rsid w:val="00926BD0"/>
    <w:rsid w:val="0092718D"/>
    <w:rsid w:val="00927387"/>
    <w:rsid w:val="0092764D"/>
    <w:rsid w:val="009276EC"/>
    <w:rsid w:val="00927884"/>
    <w:rsid w:val="0092794E"/>
    <w:rsid w:val="00927B71"/>
    <w:rsid w:val="00927B8F"/>
    <w:rsid w:val="00927CAF"/>
    <w:rsid w:val="00927DF5"/>
    <w:rsid w:val="00930107"/>
    <w:rsid w:val="00930275"/>
    <w:rsid w:val="0093030A"/>
    <w:rsid w:val="00930518"/>
    <w:rsid w:val="009309A1"/>
    <w:rsid w:val="009309DB"/>
    <w:rsid w:val="00931BA9"/>
    <w:rsid w:val="00931E7F"/>
    <w:rsid w:val="009322D8"/>
    <w:rsid w:val="00932366"/>
    <w:rsid w:val="0093275B"/>
    <w:rsid w:val="00932862"/>
    <w:rsid w:val="00932D5C"/>
    <w:rsid w:val="00932F0C"/>
    <w:rsid w:val="00932F4E"/>
    <w:rsid w:val="00933619"/>
    <w:rsid w:val="00933939"/>
    <w:rsid w:val="00933D91"/>
    <w:rsid w:val="00933DD2"/>
    <w:rsid w:val="00933F97"/>
    <w:rsid w:val="009340F6"/>
    <w:rsid w:val="009341F3"/>
    <w:rsid w:val="00934201"/>
    <w:rsid w:val="00934470"/>
    <w:rsid w:val="00934733"/>
    <w:rsid w:val="00934A68"/>
    <w:rsid w:val="00934AB7"/>
    <w:rsid w:val="00934B69"/>
    <w:rsid w:val="00934D26"/>
    <w:rsid w:val="00935075"/>
    <w:rsid w:val="009352B9"/>
    <w:rsid w:val="009359A2"/>
    <w:rsid w:val="00935C13"/>
    <w:rsid w:val="0093635A"/>
    <w:rsid w:val="009364CD"/>
    <w:rsid w:val="00936932"/>
    <w:rsid w:val="009369B0"/>
    <w:rsid w:val="00936A00"/>
    <w:rsid w:val="00936C78"/>
    <w:rsid w:val="00936FE9"/>
    <w:rsid w:val="00937006"/>
    <w:rsid w:val="009372A5"/>
    <w:rsid w:val="00937350"/>
    <w:rsid w:val="00937537"/>
    <w:rsid w:val="0093772B"/>
    <w:rsid w:val="0093777D"/>
    <w:rsid w:val="00937F81"/>
    <w:rsid w:val="00940069"/>
    <w:rsid w:val="00940144"/>
    <w:rsid w:val="009401F5"/>
    <w:rsid w:val="009403A9"/>
    <w:rsid w:val="00940556"/>
    <w:rsid w:val="009419D1"/>
    <w:rsid w:val="009419FD"/>
    <w:rsid w:val="00941AA2"/>
    <w:rsid w:val="00941B5F"/>
    <w:rsid w:val="00941B6A"/>
    <w:rsid w:val="00941B8B"/>
    <w:rsid w:val="00941CAB"/>
    <w:rsid w:val="00941CD6"/>
    <w:rsid w:val="00941CEE"/>
    <w:rsid w:val="00942044"/>
    <w:rsid w:val="00942094"/>
    <w:rsid w:val="0094211E"/>
    <w:rsid w:val="00942331"/>
    <w:rsid w:val="009423D2"/>
    <w:rsid w:val="00942722"/>
    <w:rsid w:val="00942DB3"/>
    <w:rsid w:val="00942FF5"/>
    <w:rsid w:val="009431C5"/>
    <w:rsid w:val="00943C3C"/>
    <w:rsid w:val="00943DE1"/>
    <w:rsid w:val="00944299"/>
    <w:rsid w:val="00944345"/>
    <w:rsid w:val="00944670"/>
    <w:rsid w:val="00944BC5"/>
    <w:rsid w:val="00945267"/>
    <w:rsid w:val="009454B8"/>
    <w:rsid w:val="009454FC"/>
    <w:rsid w:val="009455D4"/>
    <w:rsid w:val="00945749"/>
    <w:rsid w:val="009457FF"/>
    <w:rsid w:val="00945A2C"/>
    <w:rsid w:val="00945FB7"/>
    <w:rsid w:val="009462AD"/>
    <w:rsid w:val="00946371"/>
    <w:rsid w:val="00946427"/>
    <w:rsid w:val="009467DA"/>
    <w:rsid w:val="00946C75"/>
    <w:rsid w:val="00946EDF"/>
    <w:rsid w:val="0094711C"/>
    <w:rsid w:val="0094719C"/>
    <w:rsid w:val="0094726D"/>
    <w:rsid w:val="0094729B"/>
    <w:rsid w:val="009474AC"/>
    <w:rsid w:val="009476EE"/>
    <w:rsid w:val="00947724"/>
    <w:rsid w:val="00947890"/>
    <w:rsid w:val="009479CA"/>
    <w:rsid w:val="00947B8F"/>
    <w:rsid w:val="00947C2B"/>
    <w:rsid w:val="00947D0A"/>
    <w:rsid w:val="00947D92"/>
    <w:rsid w:val="00947FDF"/>
    <w:rsid w:val="009500BC"/>
    <w:rsid w:val="0095053B"/>
    <w:rsid w:val="0095084C"/>
    <w:rsid w:val="00950EC4"/>
    <w:rsid w:val="00951260"/>
    <w:rsid w:val="009514DA"/>
    <w:rsid w:val="00951599"/>
    <w:rsid w:val="009515CF"/>
    <w:rsid w:val="009517E7"/>
    <w:rsid w:val="009517F2"/>
    <w:rsid w:val="00951B9F"/>
    <w:rsid w:val="0095256E"/>
    <w:rsid w:val="0095291A"/>
    <w:rsid w:val="00952C70"/>
    <w:rsid w:val="00952D63"/>
    <w:rsid w:val="00952FF0"/>
    <w:rsid w:val="009533D2"/>
    <w:rsid w:val="0095342E"/>
    <w:rsid w:val="009537CD"/>
    <w:rsid w:val="00953848"/>
    <w:rsid w:val="00953CC3"/>
    <w:rsid w:val="009540F5"/>
    <w:rsid w:val="009541CD"/>
    <w:rsid w:val="0095447F"/>
    <w:rsid w:val="0095448C"/>
    <w:rsid w:val="009545E5"/>
    <w:rsid w:val="0095461C"/>
    <w:rsid w:val="00954CE7"/>
    <w:rsid w:val="00955136"/>
    <w:rsid w:val="0095528A"/>
    <w:rsid w:val="00955CAB"/>
    <w:rsid w:val="00955E2E"/>
    <w:rsid w:val="00955EA9"/>
    <w:rsid w:val="00955F59"/>
    <w:rsid w:val="009560BE"/>
    <w:rsid w:val="009564FE"/>
    <w:rsid w:val="0095660F"/>
    <w:rsid w:val="00956FE6"/>
    <w:rsid w:val="009571D3"/>
    <w:rsid w:val="009572AB"/>
    <w:rsid w:val="009572C9"/>
    <w:rsid w:val="00957B25"/>
    <w:rsid w:val="00957D51"/>
    <w:rsid w:val="00957D89"/>
    <w:rsid w:val="0096005E"/>
    <w:rsid w:val="00960A4C"/>
    <w:rsid w:val="00960D4B"/>
    <w:rsid w:val="00960E88"/>
    <w:rsid w:val="00961187"/>
    <w:rsid w:val="00961264"/>
    <w:rsid w:val="00961643"/>
    <w:rsid w:val="009617A0"/>
    <w:rsid w:val="00961C0D"/>
    <w:rsid w:val="00961D50"/>
    <w:rsid w:val="00961F71"/>
    <w:rsid w:val="0096278B"/>
    <w:rsid w:val="00962861"/>
    <w:rsid w:val="00962A87"/>
    <w:rsid w:val="00962A9F"/>
    <w:rsid w:val="00962FE7"/>
    <w:rsid w:val="00963399"/>
    <w:rsid w:val="00963570"/>
    <w:rsid w:val="00963617"/>
    <w:rsid w:val="009636E5"/>
    <w:rsid w:val="009638E3"/>
    <w:rsid w:val="00963CE6"/>
    <w:rsid w:val="00963F93"/>
    <w:rsid w:val="0096407A"/>
    <w:rsid w:val="009642B1"/>
    <w:rsid w:val="009643B5"/>
    <w:rsid w:val="00964520"/>
    <w:rsid w:val="009647F1"/>
    <w:rsid w:val="0096495A"/>
    <w:rsid w:val="00964962"/>
    <w:rsid w:val="009649AD"/>
    <w:rsid w:val="00964AF7"/>
    <w:rsid w:val="00964C25"/>
    <w:rsid w:val="00964EAD"/>
    <w:rsid w:val="0096515B"/>
    <w:rsid w:val="009651E7"/>
    <w:rsid w:val="00965558"/>
    <w:rsid w:val="0096581B"/>
    <w:rsid w:val="0096593B"/>
    <w:rsid w:val="009659D4"/>
    <w:rsid w:val="00965E3D"/>
    <w:rsid w:val="00965EB9"/>
    <w:rsid w:val="0096661A"/>
    <w:rsid w:val="009666AB"/>
    <w:rsid w:val="009667A9"/>
    <w:rsid w:val="0096687B"/>
    <w:rsid w:val="00966892"/>
    <w:rsid w:val="0096693F"/>
    <w:rsid w:val="00966BA1"/>
    <w:rsid w:val="00966C5B"/>
    <w:rsid w:val="00966D60"/>
    <w:rsid w:val="00966F61"/>
    <w:rsid w:val="00966FEE"/>
    <w:rsid w:val="0096730D"/>
    <w:rsid w:val="00967399"/>
    <w:rsid w:val="00967A34"/>
    <w:rsid w:val="00967DE8"/>
    <w:rsid w:val="009703C8"/>
    <w:rsid w:val="009705E8"/>
    <w:rsid w:val="00970B40"/>
    <w:rsid w:val="00970CAA"/>
    <w:rsid w:val="00970DB5"/>
    <w:rsid w:val="00971812"/>
    <w:rsid w:val="00971B1C"/>
    <w:rsid w:val="00971BE1"/>
    <w:rsid w:val="00971C5B"/>
    <w:rsid w:val="00971EA0"/>
    <w:rsid w:val="00971F4F"/>
    <w:rsid w:val="00971FE5"/>
    <w:rsid w:val="009721FB"/>
    <w:rsid w:val="00972202"/>
    <w:rsid w:val="0097226D"/>
    <w:rsid w:val="009726F4"/>
    <w:rsid w:val="009729C5"/>
    <w:rsid w:val="00973142"/>
    <w:rsid w:val="009733B0"/>
    <w:rsid w:val="00973479"/>
    <w:rsid w:val="009735D1"/>
    <w:rsid w:val="00973631"/>
    <w:rsid w:val="00973C43"/>
    <w:rsid w:val="00973E0E"/>
    <w:rsid w:val="00974185"/>
    <w:rsid w:val="00974657"/>
    <w:rsid w:val="00974695"/>
    <w:rsid w:val="009746E6"/>
    <w:rsid w:val="00974951"/>
    <w:rsid w:val="009749DE"/>
    <w:rsid w:val="00974A91"/>
    <w:rsid w:val="00974F45"/>
    <w:rsid w:val="009750BF"/>
    <w:rsid w:val="00975475"/>
    <w:rsid w:val="009756FF"/>
    <w:rsid w:val="00975818"/>
    <w:rsid w:val="0097581A"/>
    <w:rsid w:val="00975C31"/>
    <w:rsid w:val="00975C6E"/>
    <w:rsid w:val="00975F37"/>
    <w:rsid w:val="0097602D"/>
    <w:rsid w:val="009762F0"/>
    <w:rsid w:val="00976659"/>
    <w:rsid w:val="00976A0C"/>
    <w:rsid w:val="00976A0D"/>
    <w:rsid w:val="00976BD5"/>
    <w:rsid w:val="00976DBE"/>
    <w:rsid w:val="00976EB7"/>
    <w:rsid w:val="00976EE7"/>
    <w:rsid w:val="00976F3B"/>
    <w:rsid w:val="0097750E"/>
    <w:rsid w:val="009777B6"/>
    <w:rsid w:val="00977A33"/>
    <w:rsid w:val="00977EB2"/>
    <w:rsid w:val="00980703"/>
    <w:rsid w:val="00980776"/>
    <w:rsid w:val="00980BA9"/>
    <w:rsid w:val="00980BCF"/>
    <w:rsid w:val="00980C27"/>
    <w:rsid w:val="00980CFE"/>
    <w:rsid w:val="00980D22"/>
    <w:rsid w:val="00981000"/>
    <w:rsid w:val="009812C8"/>
    <w:rsid w:val="009812E1"/>
    <w:rsid w:val="00981369"/>
    <w:rsid w:val="00981800"/>
    <w:rsid w:val="0098192D"/>
    <w:rsid w:val="00981C2E"/>
    <w:rsid w:val="00981EA1"/>
    <w:rsid w:val="00981FA5"/>
    <w:rsid w:val="0098260F"/>
    <w:rsid w:val="0098280D"/>
    <w:rsid w:val="009828AF"/>
    <w:rsid w:val="00982C7A"/>
    <w:rsid w:val="00983766"/>
    <w:rsid w:val="009837E9"/>
    <w:rsid w:val="009839A3"/>
    <w:rsid w:val="00983CD4"/>
    <w:rsid w:val="00983D41"/>
    <w:rsid w:val="00983EBE"/>
    <w:rsid w:val="00984469"/>
    <w:rsid w:val="00984A86"/>
    <w:rsid w:val="00984B1F"/>
    <w:rsid w:val="00984E5D"/>
    <w:rsid w:val="00984FFC"/>
    <w:rsid w:val="0098505A"/>
    <w:rsid w:val="0098538D"/>
    <w:rsid w:val="00985646"/>
    <w:rsid w:val="00985A5A"/>
    <w:rsid w:val="00985B3A"/>
    <w:rsid w:val="009861FC"/>
    <w:rsid w:val="009863DB"/>
    <w:rsid w:val="0098645F"/>
    <w:rsid w:val="009866E4"/>
    <w:rsid w:val="009867FD"/>
    <w:rsid w:val="0098684C"/>
    <w:rsid w:val="009868CF"/>
    <w:rsid w:val="00986E8F"/>
    <w:rsid w:val="00986EC7"/>
    <w:rsid w:val="00987005"/>
    <w:rsid w:val="00987547"/>
    <w:rsid w:val="00987638"/>
    <w:rsid w:val="009876BD"/>
    <w:rsid w:val="0098771B"/>
    <w:rsid w:val="00987958"/>
    <w:rsid w:val="009879B7"/>
    <w:rsid w:val="00987BB4"/>
    <w:rsid w:val="00990539"/>
    <w:rsid w:val="0099063F"/>
    <w:rsid w:val="00990758"/>
    <w:rsid w:val="009909AC"/>
    <w:rsid w:val="00990BEB"/>
    <w:rsid w:val="00990D96"/>
    <w:rsid w:val="0099130C"/>
    <w:rsid w:val="009913CA"/>
    <w:rsid w:val="0099153C"/>
    <w:rsid w:val="00991763"/>
    <w:rsid w:val="0099187C"/>
    <w:rsid w:val="00991976"/>
    <w:rsid w:val="009919F6"/>
    <w:rsid w:val="00991A79"/>
    <w:rsid w:val="00991ABE"/>
    <w:rsid w:val="00991B41"/>
    <w:rsid w:val="00991DAF"/>
    <w:rsid w:val="0099221B"/>
    <w:rsid w:val="00992391"/>
    <w:rsid w:val="0099249B"/>
    <w:rsid w:val="0099254A"/>
    <w:rsid w:val="00992ABE"/>
    <w:rsid w:val="00992D5C"/>
    <w:rsid w:val="009931DA"/>
    <w:rsid w:val="009938C5"/>
    <w:rsid w:val="0099392E"/>
    <w:rsid w:val="00993953"/>
    <w:rsid w:val="009939C1"/>
    <w:rsid w:val="00993A36"/>
    <w:rsid w:val="00993BF9"/>
    <w:rsid w:val="00993F5F"/>
    <w:rsid w:val="00993FCE"/>
    <w:rsid w:val="0099407E"/>
    <w:rsid w:val="00994631"/>
    <w:rsid w:val="009948BD"/>
    <w:rsid w:val="00994927"/>
    <w:rsid w:val="00994A7B"/>
    <w:rsid w:val="00994B78"/>
    <w:rsid w:val="009959E5"/>
    <w:rsid w:val="00995A7B"/>
    <w:rsid w:val="00995B07"/>
    <w:rsid w:val="00995C99"/>
    <w:rsid w:val="009965C7"/>
    <w:rsid w:val="009965EB"/>
    <w:rsid w:val="00996A1A"/>
    <w:rsid w:val="00996B50"/>
    <w:rsid w:val="00996C0C"/>
    <w:rsid w:val="00996D78"/>
    <w:rsid w:val="00996E30"/>
    <w:rsid w:val="00997654"/>
    <w:rsid w:val="009977B3"/>
    <w:rsid w:val="009977B8"/>
    <w:rsid w:val="00997C0F"/>
    <w:rsid w:val="00997C6E"/>
    <w:rsid w:val="00997C9E"/>
    <w:rsid w:val="00997E6C"/>
    <w:rsid w:val="00997F01"/>
    <w:rsid w:val="009A0243"/>
    <w:rsid w:val="009A0259"/>
    <w:rsid w:val="009A0716"/>
    <w:rsid w:val="009A0D89"/>
    <w:rsid w:val="009A167B"/>
    <w:rsid w:val="009A172D"/>
    <w:rsid w:val="009A1A4F"/>
    <w:rsid w:val="009A1AEB"/>
    <w:rsid w:val="009A1E27"/>
    <w:rsid w:val="009A1FA4"/>
    <w:rsid w:val="009A2191"/>
    <w:rsid w:val="009A268C"/>
    <w:rsid w:val="009A2752"/>
    <w:rsid w:val="009A2CF1"/>
    <w:rsid w:val="009A2DDA"/>
    <w:rsid w:val="009A2F0A"/>
    <w:rsid w:val="009A2F33"/>
    <w:rsid w:val="009A31F5"/>
    <w:rsid w:val="009A33F3"/>
    <w:rsid w:val="009A36CE"/>
    <w:rsid w:val="009A395B"/>
    <w:rsid w:val="009A39D0"/>
    <w:rsid w:val="009A41F2"/>
    <w:rsid w:val="009A43FF"/>
    <w:rsid w:val="009A48A0"/>
    <w:rsid w:val="009A4A07"/>
    <w:rsid w:val="009A4B5D"/>
    <w:rsid w:val="009A4CAA"/>
    <w:rsid w:val="009A51E1"/>
    <w:rsid w:val="009A58D2"/>
    <w:rsid w:val="009A597D"/>
    <w:rsid w:val="009A5A83"/>
    <w:rsid w:val="009A67A0"/>
    <w:rsid w:val="009A6B01"/>
    <w:rsid w:val="009A6D42"/>
    <w:rsid w:val="009A7345"/>
    <w:rsid w:val="009A73DC"/>
    <w:rsid w:val="009A7597"/>
    <w:rsid w:val="009A7620"/>
    <w:rsid w:val="009A7639"/>
    <w:rsid w:val="009A7718"/>
    <w:rsid w:val="009A7920"/>
    <w:rsid w:val="009A7921"/>
    <w:rsid w:val="009A7AED"/>
    <w:rsid w:val="009B010B"/>
    <w:rsid w:val="009B0231"/>
    <w:rsid w:val="009B03F5"/>
    <w:rsid w:val="009B0818"/>
    <w:rsid w:val="009B0A09"/>
    <w:rsid w:val="009B10AF"/>
    <w:rsid w:val="009B1645"/>
    <w:rsid w:val="009B1794"/>
    <w:rsid w:val="009B1A47"/>
    <w:rsid w:val="009B1A91"/>
    <w:rsid w:val="009B1AAA"/>
    <w:rsid w:val="009B1AC0"/>
    <w:rsid w:val="009B1BD1"/>
    <w:rsid w:val="009B1C76"/>
    <w:rsid w:val="009B2498"/>
    <w:rsid w:val="009B24D6"/>
    <w:rsid w:val="009B2743"/>
    <w:rsid w:val="009B2EFB"/>
    <w:rsid w:val="009B2F5C"/>
    <w:rsid w:val="009B31F9"/>
    <w:rsid w:val="009B3265"/>
    <w:rsid w:val="009B3575"/>
    <w:rsid w:val="009B3696"/>
    <w:rsid w:val="009B37D6"/>
    <w:rsid w:val="009B38B3"/>
    <w:rsid w:val="009B395A"/>
    <w:rsid w:val="009B41C1"/>
    <w:rsid w:val="009B431E"/>
    <w:rsid w:val="009B4549"/>
    <w:rsid w:val="009B46D7"/>
    <w:rsid w:val="009B4968"/>
    <w:rsid w:val="009B49A6"/>
    <w:rsid w:val="009B4C71"/>
    <w:rsid w:val="009B4DF1"/>
    <w:rsid w:val="009B4F88"/>
    <w:rsid w:val="009B57DC"/>
    <w:rsid w:val="009B57EE"/>
    <w:rsid w:val="009B5C53"/>
    <w:rsid w:val="009B6830"/>
    <w:rsid w:val="009B68B0"/>
    <w:rsid w:val="009B6981"/>
    <w:rsid w:val="009B6E0E"/>
    <w:rsid w:val="009B6F63"/>
    <w:rsid w:val="009B708D"/>
    <w:rsid w:val="009B714C"/>
    <w:rsid w:val="009B7199"/>
    <w:rsid w:val="009B76DB"/>
    <w:rsid w:val="009B7B66"/>
    <w:rsid w:val="009B7BC0"/>
    <w:rsid w:val="009C0218"/>
    <w:rsid w:val="009C03E8"/>
    <w:rsid w:val="009C087C"/>
    <w:rsid w:val="009C08D2"/>
    <w:rsid w:val="009C0991"/>
    <w:rsid w:val="009C0CCA"/>
    <w:rsid w:val="009C11D0"/>
    <w:rsid w:val="009C168B"/>
    <w:rsid w:val="009C1AEC"/>
    <w:rsid w:val="009C1B09"/>
    <w:rsid w:val="009C1B6B"/>
    <w:rsid w:val="009C1FD7"/>
    <w:rsid w:val="009C2156"/>
    <w:rsid w:val="009C29C1"/>
    <w:rsid w:val="009C2ABF"/>
    <w:rsid w:val="009C2C16"/>
    <w:rsid w:val="009C2D1C"/>
    <w:rsid w:val="009C2DC1"/>
    <w:rsid w:val="009C2E88"/>
    <w:rsid w:val="009C3126"/>
    <w:rsid w:val="009C36C6"/>
    <w:rsid w:val="009C3993"/>
    <w:rsid w:val="009C39B7"/>
    <w:rsid w:val="009C3BDF"/>
    <w:rsid w:val="009C3C9C"/>
    <w:rsid w:val="009C4108"/>
    <w:rsid w:val="009C412A"/>
    <w:rsid w:val="009C42C7"/>
    <w:rsid w:val="009C4312"/>
    <w:rsid w:val="009C45E5"/>
    <w:rsid w:val="009C46D1"/>
    <w:rsid w:val="009C4DA7"/>
    <w:rsid w:val="009C535C"/>
    <w:rsid w:val="009C563C"/>
    <w:rsid w:val="009C5750"/>
    <w:rsid w:val="009C5C3D"/>
    <w:rsid w:val="009C614C"/>
    <w:rsid w:val="009C619D"/>
    <w:rsid w:val="009C651B"/>
    <w:rsid w:val="009C68A8"/>
    <w:rsid w:val="009C68B5"/>
    <w:rsid w:val="009C6912"/>
    <w:rsid w:val="009C6A1E"/>
    <w:rsid w:val="009C6CF0"/>
    <w:rsid w:val="009C7687"/>
    <w:rsid w:val="009C7836"/>
    <w:rsid w:val="009C783D"/>
    <w:rsid w:val="009C7B28"/>
    <w:rsid w:val="009C7CEB"/>
    <w:rsid w:val="009C7D43"/>
    <w:rsid w:val="009D026D"/>
    <w:rsid w:val="009D0425"/>
    <w:rsid w:val="009D071C"/>
    <w:rsid w:val="009D0B12"/>
    <w:rsid w:val="009D0EBF"/>
    <w:rsid w:val="009D102B"/>
    <w:rsid w:val="009D123A"/>
    <w:rsid w:val="009D1403"/>
    <w:rsid w:val="009D157A"/>
    <w:rsid w:val="009D1C50"/>
    <w:rsid w:val="009D1D2C"/>
    <w:rsid w:val="009D2252"/>
    <w:rsid w:val="009D2331"/>
    <w:rsid w:val="009D23C0"/>
    <w:rsid w:val="009D24A3"/>
    <w:rsid w:val="009D2835"/>
    <w:rsid w:val="009D2909"/>
    <w:rsid w:val="009D2F07"/>
    <w:rsid w:val="009D3227"/>
    <w:rsid w:val="009D3275"/>
    <w:rsid w:val="009D3408"/>
    <w:rsid w:val="009D34C8"/>
    <w:rsid w:val="009D35BF"/>
    <w:rsid w:val="009D35DA"/>
    <w:rsid w:val="009D3B18"/>
    <w:rsid w:val="009D3DD0"/>
    <w:rsid w:val="009D4050"/>
    <w:rsid w:val="009D41E1"/>
    <w:rsid w:val="009D44CA"/>
    <w:rsid w:val="009D44E0"/>
    <w:rsid w:val="009D4A61"/>
    <w:rsid w:val="009D50D1"/>
    <w:rsid w:val="009D519D"/>
    <w:rsid w:val="009D5228"/>
    <w:rsid w:val="009D542F"/>
    <w:rsid w:val="009D5857"/>
    <w:rsid w:val="009D5AEF"/>
    <w:rsid w:val="009D5E9D"/>
    <w:rsid w:val="009D5EDC"/>
    <w:rsid w:val="009D5F66"/>
    <w:rsid w:val="009D5FE4"/>
    <w:rsid w:val="009D617D"/>
    <w:rsid w:val="009D6518"/>
    <w:rsid w:val="009D7017"/>
    <w:rsid w:val="009D71A8"/>
    <w:rsid w:val="009D7F77"/>
    <w:rsid w:val="009E014C"/>
    <w:rsid w:val="009E01C2"/>
    <w:rsid w:val="009E056D"/>
    <w:rsid w:val="009E0648"/>
    <w:rsid w:val="009E0E22"/>
    <w:rsid w:val="009E1034"/>
    <w:rsid w:val="009E1263"/>
    <w:rsid w:val="009E1343"/>
    <w:rsid w:val="009E14AE"/>
    <w:rsid w:val="009E15EB"/>
    <w:rsid w:val="009E16D3"/>
    <w:rsid w:val="009E16FA"/>
    <w:rsid w:val="009E18A5"/>
    <w:rsid w:val="009E19D8"/>
    <w:rsid w:val="009E1CB8"/>
    <w:rsid w:val="009E1E52"/>
    <w:rsid w:val="009E2006"/>
    <w:rsid w:val="009E223E"/>
    <w:rsid w:val="009E26BB"/>
    <w:rsid w:val="009E2910"/>
    <w:rsid w:val="009E2A12"/>
    <w:rsid w:val="009E2A21"/>
    <w:rsid w:val="009E2D76"/>
    <w:rsid w:val="009E2DAA"/>
    <w:rsid w:val="009E2F0F"/>
    <w:rsid w:val="009E3104"/>
    <w:rsid w:val="009E313C"/>
    <w:rsid w:val="009E334E"/>
    <w:rsid w:val="009E367C"/>
    <w:rsid w:val="009E396C"/>
    <w:rsid w:val="009E3B3B"/>
    <w:rsid w:val="009E3C1F"/>
    <w:rsid w:val="009E3CA0"/>
    <w:rsid w:val="009E3DB6"/>
    <w:rsid w:val="009E3FFB"/>
    <w:rsid w:val="009E403E"/>
    <w:rsid w:val="009E4463"/>
    <w:rsid w:val="009E45F1"/>
    <w:rsid w:val="009E514C"/>
    <w:rsid w:val="009E5439"/>
    <w:rsid w:val="009E56BD"/>
    <w:rsid w:val="009E5762"/>
    <w:rsid w:val="009E5A55"/>
    <w:rsid w:val="009E5BAA"/>
    <w:rsid w:val="009E5C39"/>
    <w:rsid w:val="009E5DCC"/>
    <w:rsid w:val="009E61D8"/>
    <w:rsid w:val="009E61EC"/>
    <w:rsid w:val="009E6674"/>
    <w:rsid w:val="009E67B4"/>
    <w:rsid w:val="009E687E"/>
    <w:rsid w:val="009E6B45"/>
    <w:rsid w:val="009E6F69"/>
    <w:rsid w:val="009E7357"/>
    <w:rsid w:val="009E799E"/>
    <w:rsid w:val="009E7D3E"/>
    <w:rsid w:val="009F06FF"/>
    <w:rsid w:val="009F0894"/>
    <w:rsid w:val="009F094E"/>
    <w:rsid w:val="009F0AD4"/>
    <w:rsid w:val="009F132B"/>
    <w:rsid w:val="009F144D"/>
    <w:rsid w:val="009F16EF"/>
    <w:rsid w:val="009F1C9D"/>
    <w:rsid w:val="009F201A"/>
    <w:rsid w:val="009F207D"/>
    <w:rsid w:val="009F2854"/>
    <w:rsid w:val="009F2881"/>
    <w:rsid w:val="009F2993"/>
    <w:rsid w:val="009F2A74"/>
    <w:rsid w:val="009F3229"/>
    <w:rsid w:val="009F3465"/>
    <w:rsid w:val="009F35B0"/>
    <w:rsid w:val="009F35DE"/>
    <w:rsid w:val="009F3975"/>
    <w:rsid w:val="009F44AC"/>
    <w:rsid w:val="009F45B5"/>
    <w:rsid w:val="009F4650"/>
    <w:rsid w:val="009F4829"/>
    <w:rsid w:val="009F48E2"/>
    <w:rsid w:val="009F4972"/>
    <w:rsid w:val="009F4F82"/>
    <w:rsid w:val="009F556C"/>
    <w:rsid w:val="009F5779"/>
    <w:rsid w:val="009F577B"/>
    <w:rsid w:val="009F58CF"/>
    <w:rsid w:val="009F5B27"/>
    <w:rsid w:val="009F5B29"/>
    <w:rsid w:val="009F5D8C"/>
    <w:rsid w:val="009F5E48"/>
    <w:rsid w:val="009F60AC"/>
    <w:rsid w:val="009F60B4"/>
    <w:rsid w:val="009F631F"/>
    <w:rsid w:val="009F67A6"/>
    <w:rsid w:val="009F68DC"/>
    <w:rsid w:val="009F69A6"/>
    <w:rsid w:val="009F6BC7"/>
    <w:rsid w:val="009F6E89"/>
    <w:rsid w:val="009F6F49"/>
    <w:rsid w:val="009F7532"/>
    <w:rsid w:val="009F7660"/>
    <w:rsid w:val="009F771B"/>
    <w:rsid w:val="009F7787"/>
    <w:rsid w:val="009F792A"/>
    <w:rsid w:val="009F7A99"/>
    <w:rsid w:val="009F7D10"/>
    <w:rsid w:val="009F7D3E"/>
    <w:rsid w:val="009F7DE3"/>
    <w:rsid w:val="00A002A2"/>
    <w:rsid w:val="00A00464"/>
    <w:rsid w:val="00A00476"/>
    <w:rsid w:val="00A00746"/>
    <w:rsid w:val="00A00969"/>
    <w:rsid w:val="00A009C3"/>
    <w:rsid w:val="00A00A08"/>
    <w:rsid w:val="00A00C81"/>
    <w:rsid w:val="00A00E85"/>
    <w:rsid w:val="00A00FCC"/>
    <w:rsid w:val="00A011CB"/>
    <w:rsid w:val="00A01391"/>
    <w:rsid w:val="00A013A2"/>
    <w:rsid w:val="00A019BD"/>
    <w:rsid w:val="00A01BD6"/>
    <w:rsid w:val="00A01C2B"/>
    <w:rsid w:val="00A01C41"/>
    <w:rsid w:val="00A01E49"/>
    <w:rsid w:val="00A01E95"/>
    <w:rsid w:val="00A01EC3"/>
    <w:rsid w:val="00A0227F"/>
    <w:rsid w:val="00A02C40"/>
    <w:rsid w:val="00A02D7F"/>
    <w:rsid w:val="00A02ECB"/>
    <w:rsid w:val="00A032CB"/>
    <w:rsid w:val="00A03362"/>
    <w:rsid w:val="00A033FF"/>
    <w:rsid w:val="00A03586"/>
    <w:rsid w:val="00A03880"/>
    <w:rsid w:val="00A0395A"/>
    <w:rsid w:val="00A03A0C"/>
    <w:rsid w:val="00A040DC"/>
    <w:rsid w:val="00A04221"/>
    <w:rsid w:val="00A04565"/>
    <w:rsid w:val="00A046B0"/>
    <w:rsid w:val="00A0493F"/>
    <w:rsid w:val="00A04BBC"/>
    <w:rsid w:val="00A04D29"/>
    <w:rsid w:val="00A05193"/>
    <w:rsid w:val="00A05311"/>
    <w:rsid w:val="00A055E7"/>
    <w:rsid w:val="00A05791"/>
    <w:rsid w:val="00A0589A"/>
    <w:rsid w:val="00A05C45"/>
    <w:rsid w:val="00A05F01"/>
    <w:rsid w:val="00A060CB"/>
    <w:rsid w:val="00A06203"/>
    <w:rsid w:val="00A06421"/>
    <w:rsid w:val="00A06645"/>
    <w:rsid w:val="00A068F9"/>
    <w:rsid w:val="00A06A31"/>
    <w:rsid w:val="00A06C1B"/>
    <w:rsid w:val="00A06F99"/>
    <w:rsid w:val="00A07053"/>
    <w:rsid w:val="00A078BF"/>
    <w:rsid w:val="00A07AAA"/>
    <w:rsid w:val="00A10481"/>
    <w:rsid w:val="00A10601"/>
    <w:rsid w:val="00A10672"/>
    <w:rsid w:val="00A107CE"/>
    <w:rsid w:val="00A108BC"/>
    <w:rsid w:val="00A1156D"/>
    <w:rsid w:val="00A115A3"/>
    <w:rsid w:val="00A116E3"/>
    <w:rsid w:val="00A11854"/>
    <w:rsid w:val="00A11B3D"/>
    <w:rsid w:val="00A120A4"/>
    <w:rsid w:val="00A1244D"/>
    <w:rsid w:val="00A12919"/>
    <w:rsid w:val="00A12A71"/>
    <w:rsid w:val="00A12A74"/>
    <w:rsid w:val="00A13250"/>
    <w:rsid w:val="00A1326B"/>
    <w:rsid w:val="00A133CF"/>
    <w:rsid w:val="00A138C5"/>
    <w:rsid w:val="00A13AF0"/>
    <w:rsid w:val="00A13C6C"/>
    <w:rsid w:val="00A1442C"/>
    <w:rsid w:val="00A14493"/>
    <w:rsid w:val="00A1464E"/>
    <w:rsid w:val="00A14A4B"/>
    <w:rsid w:val="00A14AE7"/>
    <w:rsid w:val="00A14C2B"/>
    <w:rsid w:val="00A14E75"/>
    <w:rsid w:val="00A15015"/>
    <w:rsid w:val="00A15190"/>
    <w:rsid w:val="00A154A1"/>
    <w:rsid w:val="00A1557D"/>
    <w:rsid w:val="00A15B28"/>
    <w:rsid w:val="00A1606E"/>
    <w:rsid w:val="00A1647B"/>
    <w:rsid w:val="00A169ED"/>
    <w:rsid w:val="00A16C5C"/>
    <w:rsid w:val="00A1720F"/>
    <w:rsid w:val="00A1750E"/>
    <w:rsid w:val="00A17574"/>
    <w:rsid w:val="00A176A7"/>
    <w:rsid w:val="00A177C2"/>
    <w:rsid w:val="00A179E4"/>
    <w:rsid w:val="00A17B32"/>
    <w:rsid w:val="00A2014F"/>
    <w:rsid w:val="00A202B4"/>
    <w:rsid w:val="00A20564"/>
    <w:rsid w:val="00A205FB"/>
    <w:rsid w:val="00A20664"/>
    <w:rsid w:val="00A2071B"/>
    <w:rsid w:val="00A20BFB"/>
    <w:rsid w:val="00A20C68"/>
    <w:rsid w:val="00A21390"/>
    <w:rsid w:val="00A215E5"/>
    <w:rsid w:val="00A217F2"/>
    <w:rsid w:val="00A2196C"/>
    <w:rsid w:val="00A21A2E"/>
    <w:rsid w:val="00A21C8F"/>
    <w:rsid w:val="00A21D6F"/>
    <w:rsid w:val="00A2239A"/>
    <w:rsid w:val="00A22766"/>
    <w:rsid w:val="00A227E8"/>
    <w:rsid w:val="00A22933"/>
    <w:rsid w:val="00A22AD7"/>
    <w:rsid w:val="00A22B8E"/>
    <w:rsid w:val="00A22EC0"/>
    <w:rsid w:val="00A23047"/>
    <w:rsid w:val="00A231EB"/>
    <w:rsid w:val="00A234F2"/>
    <w:rsid w:val="00A23660"/>
    <w:rsid w:val="00A236AB"/>
    <w:rsid w:val="00A237C1"/>
    <w:rsid w:val="00A23983"/>
    <w:rsid w:val="00A23E49"/>
    <w:rsid w:val="00A24C38"/>
    <w:rsid w:val="00A24E74"/>
    <w:rsid w:val="00A25107"/>
    <w:rsid w:val="00A2575F"/>
    <w:rsid w:val="00A25F08"/>
    <w:rsid w:val="00A26137"/>
    <w:rsid w:val="00A261F2"/>
    <w:rsid w:val="00A26219"/>
    <w:rsid w:val="00A264A6"/>
    <w:rsid w:val="00A26664"/>
    <w:rsid w:val="00A26738"/>
    <w:rsid w:val="00A267D2"/>
    <w:rsid w:val="00A268F9"/>
    <w:rsid w:val="00A26A25"/>
    <w:rsid w:val="00A26C2B"/>
    <w:rsid w:val="00A271B4"/>
    <w:rsid w:val="00A2750B"/>
    <w:rsid w:val="00A27668"/>
    <w:rsid w:val="00A2773E"/>
    <w:rsid w:val="00A278C7"/>
    <w:rsid w:val="00A27BA6"/>
    <w:rsid w:val="00A27BBF"/>
    <w:rsid w:val="00A27E88"/>
    <w:rsid w:val="00A3070B"/>
    <w:rsid w:val="00A30BAF"/>
    <w:rsid w:val="00A30D5A"/>
    <w:rsid w:val="00A31106"/>
    <w:rsid w:val="00A31415"/>
    <w:rsid w:val="00A3143A"/>
    <w:rsid w:val="00A315EF"/>
    <w:rsid w:val="00A31813"/>
    <w:rsid w:val="00A318FA"/>
    <w:rsid w:val="00A3198D"/>
    <w:rsid w:val="00A31A4D"/>
    <w:rsid w:val="00A31D90"/>
    <w:rsid w:val="00A31E0A"/>
    <w:rsid w:val="00A31F8C"/>
    <w:rsid w:val="00A3204A"/>
    <w:rsid w:val="00A320A1"/>
    <w:rsid w:val="00A331F0"/>
    <w:rsid w:val="00A3338D"/>
    <w:rsid w:val="00A33428"/>
    <w:rsid w:val="00A3353D"/>
    <w:rsid w:val="00A337A9"/>
    <w:rsid w:val="00A3383E"/>
    <w:rsid w:val="00A3390A"/>
    <w:rsid w:val="00A33CBD"/>
    <w:rsid w:val="00A3470B"/>
    <w:rsid w:val="00A348BD"/>
    <w:rsid w:val="00A34985"/>
    <w:rsid w:val="00A34A45"/>
    <w:rsid w:val="00A34A4C"/>
    <w:rsid w:val="00A34AFB"/>
    <w:rsid w:val="00A34C60"/>
    <w:rsid w:val="00A34C87"/>
    <w:rsid w:val="00A3535C"/>
    <w:rsid w:val="00A353FE"/>
    <w:rsid w:val="00A35502"/>
    <w:rsid w:val="00A3556B"/>
    <w:rsid w:val="00A358BF"/>
    <w:rsid w:val="00A35976"/>
    <w:rsid w:val="00A35ED0"/>
    <w:rsid w:val="00A35EEB"/>
    <w:rsid w:val="00A35F86"/>
    <w:rsid w:val="00A36EFB"/>
    <w:rsid w:val="00A36F82"/>
    <w:rsid w:val="00A3712F"/>
    <w:rsid w:val="00A3718D"/>
    <w:rsid w:val="00A371E0"/>
    <w:rsid w:val="00A37363"/>
    <w:rsid w:val="00A37AC2"/>
    <w:rsid w:val="00A37C9F"/>
    <w:rsid w:val="00A37EC3"/>
    <w:rsid w:val="00A406A6"/>
    <w:rsid w:val="00A40C03"/>
    <w:rsid w:val="00A40DFB"/>
    <w:rsid w:val="00A40E45"/>
    <w:rsid w:val="00A4114D"/>
    <w:rsid w:val="00A4122F"/>
    <w:rsid w:val="00A4128F"/>
    <w:rsid w:val="00A412B1"/>
    <w:rsid w:val="00A416D9"/>
    <w:rsid w:val="00A417FC"/>
    <w:rsid w:val="00A41856"/>
    <w:rsid w:val="00A4185E"/>
    <w:rsid w:val="00A41CD6"/>
    <w:rsid w:val="00A41DBD"/>
    <w:rsid w:val="00A41E70"/>
    <w:rsid w:val="00A41FB5"/>
    <w:rsid w:val="00A42020"/>
    <w:rsid w:val="00A4219B"/>
    <w:rsid w:val="00A42467"/>
    <w:rsid w:val="00A42639"/>
    <w:rsid w:val="00A42E46"/>
    <w:rsid w:val="00A42E48"/>
    <w:rsid w:val="00A436CD"/>
    <w:rsid w:val="00A438F7"/>
    <w:rsid w:val="00A43C3A"/>
    <w:rsid w:val="00A43D23"/>
    <w:rsid w:val="00A43F36"/>
    <w:rsid w:val="00A445CA"/>
    <w:rsid w:val="00A44A96"/>
    <w:rsid w:val="00A44DCB"/>
    <w:rsid w:val="00A44F5A"/>
    <w:rsid w:val="00A44F79"/>
    <w:rsid w:val="00A45BDB"/>
    <w:rsid w:val="00A460F1"/>
    <w:rsid w:val="00A4615A"/>
    <w:rsid w:val="00A46412"/>
    <w:rsid w:val="00A46842"/>
    <w:rsid w:val="00A46C57"/>
    <w:rsid w:val="00A46D69"/>
    <w:rsid w:val="00A46E80"/>
    <w:rsid w:val="00A47D04"/>
    <w:rsid w:val="00A47F31"/>
    <w:rsid w:val="00A50102"/>
    <w:rsid w:val="00A501C6"/>
    <w:rsid w:val="00A50507"/>
    <w:rsid w:val="00A50BF1"/>
    <w:rsid w:val="00A50F6C"/>
    <w:rsid w:val="00A510B6"/>
    <w:rsid w:val="00A510E9"/>
    <w:rsid w:val="00A514D7"/>
    <w:rsid w:val="00A515CF"/>
    <w:rsid w:val="00A51879"/>
    <w:rsid w:val="00A51D14"/>
    <w:rsid w:val="00A51D2F"/>
    <w:rsid w:val="00A51E39"/>
    <w:rsid w:val="00A52300"/>
    <w:rsid w:val="00A5236A"/>
    <w:rsid w:val="00A526C3"/>
    <w:rsid w:val="00A52749"/>
    <w:rsid w:val="00A52896"/>
    <w:rsid w:val="00A52D98"/>
    <w:rsid w:val="00A531B0"/>
    <w:rsid w:val="00A53239"/>
    <w:rsid w:val="00A5374D"/>
    <w:rsid w:val="00A53999"/>
    <w:rsid w:val="00A53E42"/>
    <w:rsid w:val="00A54237"/>
    <w:rsid w:val="00A5438F"/>
    <w:rsid w:val="00A54419"/>
    <w:rsid w:val="00A547B9"/>
    <w:rsid w:val="00A547FB"/>
    <w:rsid w:val="00A54B40"/>
    <w:rsid w:val="00A54BE5"/>
    <w:rsid w:val="00A54DC6"/>
    <w:rsid w:val="00A555BD"/>
    <w:rsid w:val="00A55625"/>
    <w:rsid w:val="00A558B7"/>
    <w:rsid w:val="00A55D4A"/>
    <w:rsid w:val="00A55FE6"/>
    <w:rsid w:val="00A5643D"/>
    <w:rsid w:val="00A56743"/>
    <w:rsid w:val="00A56C0E"/>
    <w:rsid w:val="00A56C61"/>
    <w:rsid w:val="00A56CB0"/>
    <w:rsid w:val="00A570F7"/>
    <w:rsid w:val="00A57512"/>
    <w:rsid w:val="00A57BA2"/>
    <w:rsid w:val="00A602E0"/>
    <w:rsid w:val="00A6047C"/>
    <w:rsid w:val="00A606E2"/>
    <w:rsid w:val="00A60732"/>
    <w:rsid w:val="00A60A3E"/>
    <w:rsid w:val="00A60BA6"/>
    <w:rsid w:val="00A60BEE"/>
    <w:rsid w:val="00A60C04"/>
    <w:rsid w:val="00A61040"/>
    <w:rsid w:val="00A61115"/>
    <w:rsid w:val="00A61367"/>
    <w:rsid w:val="00A61370"/>
    <w:rsid w:val="00A616E5"/>
    <w:rsid w:val="00A6186D"/>
    <w:rsid w:val="00A619C7"/>
    <w:rsid w:val="00A61AFB"/>
    <w:rsid w:val="00A61C7B"/>
    <w:rsid w:val="00A61E43"/>
    <w:rsid w:val="00A61E96"/>
    <w:rsid w:val="00A62614"/>
    <w:rsid w:val="00A62615"/>
    <w:rsid w:val="00A6294C"/>
    <w:rsid w:val="00A62F57"/>
    <w:rsid w:val="00A62F5D"/>
    <w:rsid w:val="00A63878"/>
    <w:rsid w:val="00A638B9"/>
    <w:rsid w:val="00A63FA4"/>
    <w:rsid w:val="00A641C0"/>
    <w:rsid w:val="00A641DA"/>
    <w:rsid w:val="00A6421E"/>
    <w:rsid w:val="00A64256"/>
    <w:rsid w:val="00A6465B"/>
    <w:rsid w:val="00A6479E"/>
    <w:rsid w:val="00A649A6"/>
    <w:rsid w:val="00A64AA5"/>
    <w:rsid w:val="00A6522F"/>
    <w:rsid w:val="00A65291"/>
    <w:rsid w:val="00A653C4"/>
    <w:rsid w:val="00A65582"/>
    <w:rsid w:val="00A655BF"/>
    <w:rsid w:val="00A6640A"/>
    <w:rsid w:val="00A667F6"/>
    <w:rsid w:val="00A66AF2"/>
    <w:rsid w:val="00A66B7B"/>
    <w:rsid w:val="00A66BC8"/>
    <w:rsid w:val="00A67396"/>
    <w:rsid w:val="00A673A8"/>
    <w:rsid w:val="00A67613"/>
    <w:rsid w:val="00A67616"/>
    <w:rsid w:val="00A677AB"/>
    <w:rsid w:val="00A6788C"/>
    <w:rsid w:val="00A67A6F"/>
    <w:rsid w:val="00A704CF"/>
    <w:rsid w:val="00A7051D"/>
    <w:rsid w:val="00A70925"/>
    <w:rsid w:val="00A70E30"/>
    <w:rsid w:val="00A7105F"/>
    <w:rsid w:val="00A7117B"/>
    <w:rsid w:val="00A7123F"/>
    <w:rsid w:val="00A71728"/>
    <w:rsid w:val="00A71815"/>
    <w:rsid w:val="00A71B21"/>
    <w:rsid w:val="00A71DEF"/>
    <w:rsid w:val="00A71DFD"/>
    <w:rsid w:val="00A722F2"/>
    <w:rsid w:val="00A724FE"/>
    <w:rsid w:val="00A725DF"/>
    <w:rsid w:val="00A729EB"/>
    <w:rsid w:val="00A72EBE"/>
    <w:rsid w:val="00A72EFE"/>
    <w:rsid w:val="00A72FD6"/>
    <w:rsid w:val="00A73125"/>
    <w:rsid w:val="00A731BD"/>
    <w:rsid w:val="00A731D8"/>
    <w:rsid w:val="00A7345E"/>
    <w:rsid w:val="00A73727"/>
    <w:rsid w:val="00A738CC"/>
    <w:rsid w:val="00A740DF"/>
    <w:rsid w:val="00A74529"/>
    <w:rsid w:val="00A747D8"/>
    <w:rsid w:val="00A74F12"/>
    <w:rsid w:val="00A75255"/>
    <w:rsid w:val="00A752CE"/>
    <w:rsid w:val="00A75577"/>
    <w:rsid w:val="00A75578"/>
    <w:rsid w:val="00A756BB"/>
    <w:rsid w:val="00A757A2"/>
    <w:rsid w:val="00A75B48"/>
    <w:rsid w:val="00A75B80"/>
    <w:rsid w:val="00A75C6D"/>
    <w:rsid w:val="00A75F95"/>
    <w:rsid w:val="00A75FDB"/>
    <w:rsid w:val="00A76191"/>
    <w:rsid w:val="00A76874"/>
    <w:rsid w:val="00A768CC"/>
    <w:rsid w:val="00A76B25"/>
    <w:rsid w:val="00A76BB8"/>
    <w:rsid w:val="00A76C71"/>
    <w:rsid w:val="00A76D7C"/>
    <w:rsid w:val="00A76E4B"/>
    <w:rsid w:val="00A774AE"/>
    <w:rsid w:val="00A778DC"/>
    <w:rsid w:val="00A77B41"/>
    <w:rsid w:val="00A77C94"/>
    <w:rsid w:val="00A77D56"/>
    <w:rsid w:val="00A77D72"/>
    <w:rsid w:val="00A77E01"/>
    <w:rsid w:val="00A77EF4"/>
    <w:rsid w:val="00A80134"/>
    <w:rsid w:val="00A80452"/>
    <w:rsid w:val="00A806B3"/>
    <w:rsid w:val="00A806E2"/>
    <w:rsid w:val="00A80717"/>
    <w:rsid w:val="00A8079E"/>
    <w:rsid w:val="00A8083D"/>
    <w:rsid w:val="00A80935"/>
    <w:rsid w:val="00A80F7F"/>
    <w:rsid w:val="00A80F9B"/>
    <w:rsid w:val="00A81066"/>
    <w:rsid w:val="00A814CF"/>
    <w:rsid w:val="00A81D56"/>
    <w:rsid w:val="00A81FBC"/>
    <w:rsid w:val="00A82269"/>
    <w:rsid w:val="00A8260D"/>
    <w:rsid w:val="00A826BF"/>
    <w:rsid w:val="00A82876"/>
    <w:rsid w:val="00A82B26"/>
    <w:rsid w:val="00A82C03"/>
    <w:rsid w:val="00A82D4B"/>
    <w:rsid w:val="00A82D89"/>
    <w:rsid w:val="00A82E38"/>
    <w:rsid w:val="00A830B5"/>
    <w:rsid w:val="00A83511"/>
    <w:rsid w:val="00A83564"/>
    <w:rsid w:val="00A83713"/>
    <w:rsid w:val="00A838AC"/>
    <w:rsid w:val="00A83A45"/>
    <w:rsid w:val="00A83CD4"/>
    <w:rsid w:val="00A83EAA"/>
    <w:rsid w:val="00A83F4D"/>
    <w:rsid w:val="00A84021"/>
    <w:rsid w:val="00A842C4"/>
    <w:rsid w:val="00A84322"/>
    <w:rsid w:val="00A843BB"/>
    <w:rsid w:val="00A848C7"/>
    <w:rsid w:val="00A84B3A"/>
    <w:rsid w:val="00A84B51"/>
    <w:rsid w:val="00A851E1"/>
    <w:rsid w:val="00A853D9"/>
    <w:rsid w:val="00A85557"/>
    <w:rsid w:val="00A8579F"/>
    <w:rsid w:val="00A857B5"/>
    <w:rsid w:val="00A85C21"/>
    <w:rsid w:val="00A85F89"/>
    <w:rsid w:val="00A85FA4"/>
    <w:rsid w:val="00A86319"/>
    <w:rsid w:val="00A865C3"/>
    <w:rsid w:val="00A86CE0"/>
    <w:rsid w:val="00A86D7A"/>
    <w:rsid w:val="00A86EDF"/>
    <w:rsid w:val="00A870E9"/>
    <w:rsid w:val="00A87282"/>
    <w:rsid w:val="00A874B9"/>
    <w:rsid w:val="00A875F2"/>
    <w:rsid w:val="00A8762F"/>
    <w:rsid w:val="00A87B0E"/>
    <w:rsid w:val="00A87CFB"/>
    <w:rsid w:val="00A90424"/>
    <w:rsid w:val="00A90C84"/>
    <w:rsid w:val="00A90CC5"/>
    <w:rsid w:val="00A910E7"/>
    <w:rsid w:val="00A912A6"/>
    <w:rsid w:val="00A917B2"/>
    <w:rsid w:val="00A91815"/>
    <w:rsid w:val="00A91CA9"/>
    <w:rsid w:val="00A91F04"/>
    <w:rsid w:val="00A91F8B"/>
    <w:rsid w:val="00A91F8C"/>
    <w:rsid w:val="00A922CD"/>
    <w:rsid w:val="00A92543"/>
    <w:rsid w:val="00A9274D"/>
    <w:rsid w:val="00A927EE"/>
    <w:rsid w:val="00A928CC"/>
    <w:rsid w:val="00A92AD9"/>
    <w:rsid w:val="00A93144"/>
    <w:rsid w:val="00A932F6"/>
    <w:rsid w:val="00A933DF"/>
    <w:rsid w:val="00A934EC"/>
    <w:rsid w:val="00A935FA"/>
    <w:rsid w:val="00A9381A"/>
    <w:rsid w:val="00A93CD7"/>
    <w:rsid w:val="00A93DF5"/>
    <w:rsid w:val="00A93EDB"/>
    <w:rsid w:val="00A93F37"/>
    <w:rsid w:val="00A93FD1"/>
    <w:rsid w:val="00A940D2"/>
    <w:rsid w:val="00A9421E"/>
    <w:rsid w:val="00A943A9"/>
    <w:rsid w:val="00A94483"/>
    <w:rsid w:val="00A944BD"/>
    <w:rsid w:val="00A94602"/>
    <w:rsid w:val="00A9461E"/>
    <w:rsid w:val="00A94D3A"/>
    <w:rsid w:val="00A95271"/>
    <w:rsid w:val="00A95744"/>
    <w:rsid w:val="00A95859"/>
    <w:rsid w:val="00A958D9"/>
    <w:rsid w:val="00A95C90"/>
    <w:rsid w:val="00A95EDC"/>
    <w:rsid w:val="00A966C7"/>
    <w:rsid w:val="00A96994"/>
    <w:rsid w:val="00A96A55"/>
    <w:rsid w:val="00A96B78"/>
    <w:rsid w:val="00A972A9"/>
    <w:rsid w:val="00A976C0"/>
    <w:rsid w:val="00A97BEC"/>
    <w:rsid w:val="00AA01F7"/>
    <w:rsid w:val="00AA023A"/>
    <w:rsid w:val="00AA0379"/>
    <w:rsid w:val="00AA0C9A"/>
    <w:rsid w:val="00AA0CEE"/>
    <w:rsid w:val="00AA0CFB"/>
    <w:rsid w:val="00AA0D15"/>
    <w:rsid w:val="00AA0F10"/>
    <w:rsid w:val="00AA0F44"/>
    <w:rsid w:val="00AA11AB"/>
    <w:rsid w:val="00AA135E"/>
    <w:rsid w:val="00AA151D"/>
    <w:rsid w:val="00AA15BC"/>
    <w:rsid w:val="00AA161C"/>
    <w:rsid w:val="00AA1860"/>
    <w:rsid w:val="00AA2805"/>
    <w:rsid w:val="00AA2CA9"/>
    <w:rsid w:val="00AA2CBC"/>
    <w:rsid w:val="00AA2F2D"/>
    <w:rsid w:val="00AA3253"/>
    <w:rsid w:val="00AA32FD"/>
    <w:rsid w:val="00AA33BC"/>
    <w:rsid w:val="00AA3461"/>
    <w:rsid w:val="00AA3760"/>
    <w:rsid w:val="00AA3C2A"/>
    <w:rsid w:val="00AA4211"/>
    <w:rsid w:val="00AA457E"/>
    <w:rsid w:val="00AA4795"/>
    <w:rsid w:val="00AA47E4"/>
    <w:rsid w:val="00AA4C52"/>
    <w:rsid w:val="00AA4CD9"/>
    <w:rsid w:val="00AA5382"/>
    <w:rsid w:val="00AA5727"/>
    <w:rsid w:val="00AA5858"/>
    <w:rsid w:val="00AA585C"/>
    <w:rsid w:val="00AA5ECF"/>
    <w:rsid w:val="00AA63A8"/>
    <w:rsid w:val="00AA6483"/>
    <w:rsid w:val="00AA6489"/>
    <w:rsid w:val="00AA668F"/>
    <w:rsid w:val="00AA66DA"/>
    <w:rsid w:val="00AA68AC"/>
    <w:rsid w:val="00AA72D1"/>
    <w:rsid w:val="00AA76F3"/>
    <w:rsid w:val="00AA7E6E"/>
    <w:rsid w:val="00AB0506"/>
    <w:rsid w:val="00AB060A"/>
    <w:rsid w:val="00AB07AA"/>
    <w:rsid w:val="00AB07C3"/>
    <w:rsid w:val="00AB0B75"/>
    <w:rsid w:val="00AB0F4E"/>
    <w:rsid w:val="00AB10A1"/>
    <w:rsid w:val="00AB1101"/>
    <w:rsid w:val="00AB1588"/>
    <w:rsid w:val="00AB17C1"/>
    <w:rsid w:val="00AB1D29"/>
    <w:rsid w:val="00AB1F90"/>
    <w:rsid w:val="00AB2303"/>
    <w:rsid w:val="00AB2356"/>
    <w:rsid w:val="00AB28F0"/>
    <w:rsid w:val="00AB2D78"/>
    <w:rsid w:val="00AB2E64"/>
    <w:rsid w:val="00AB2E90"/>
    <w:rsid w:val="00AB3104"/>
    <w:rsid w:val="00AB3265"/>
    <w:rsid w:val="00AB32FD"/>
    <w:rsid w:val="00AB3315"/>
    <w:rsid w:val="00AB347D"/>
    <w:rsid w:val="00AB349D"/>
    <w:rsid w:val="00AB34A7"/>
    <w:rsid w:val="00AB3655"/>
    <w:rsid w:val="00AB3871"/>
    <w:rsid w:val="00AB3A70"/>
    <w:rsid w:val="00AB3B5E"/>
    <w:rsid w:val="00AB3C78"/>
    <w:rsid w:val="00AB3DA3"/>
    <w:rsid w:val="00AB4D8B"/>
    <w:rsid w:val="00AB5049"/>
    <w:rsid w:val="00AB508C"/>
    <w:rsid w:val="00AB52CC"/>
    <w:rsid w:val="00AB5308"/>
    <w:rsid w:val="00AB5462"/>
    <w:rsid w:val="00AB57DE"/>
    <w:rsid w:val="00AB5B42"/>
    <w:rsid w:val="00AB614B"/>
    <w:rsid w:val="00AB627A"/>
    <w:rsid w:val="00AB6907"/>
    <w:rsid w:val="00AB6C68"/>
    <w:rsid w:val="00AB6FDB"/>
    <w:rsid w:val="00AB722E"/>
    <w:rsid w:val="00AB75B7"/>
    <w:rsid w:val="00AB75E7"/>
    <w:rsid w:val="00AB7916"/>
    <w:rsid w:val="00AB7A34"/>
    <w:rsid w:val="00AC0155"/>
    <w:rsid w:val="00AC0678"/>
    <w:rsid w:val="00AC0832"/>
    <w:rsid w:val="00AC0887"/>
    <w:rsid w:val="00AC0964"/>
    <w:rsid w:val="00AC0B1B"/>
    <w:rsid w:val="00AC1285"/>
    <w:rsid w:val="00AC12D1"/>
    <w:rsid w:val="00AC131C"/>
    <w:rsid w:val="00AC14AD"/>
    <w:rsid w:val="00AC15D9"/>
    <w:rsid w:val="00AC1951"/>
    <w:rsid w:val="00AC1BC7"/>
    <w:rsid w:val="00AC1C3D"/>
    <w:rsid w:val="00AC1DF5"/>
    <w:rsid w:val="00AC1F63"/>
    <w:rsid w:val="00AC1F69"/>
    <w:rsid w:val="00AC2099"/>
    <w:rsid w:val="00AC2211"/>
    <w:rsid w:val="00AC228C"/>
    <w:rsid w:val="00AC24FC"/>
    <w:rsid w:val="00AC257A"/>
    <w:rsid w:val="00AC261C"/>
    <w:rsid w:val="00AC2711"/>
    <w:rsid w:val="00AC2FC1"/>
    <w:rsid w:val="00AC3152"/>
    <w:rsid w:val="00AC3558"/>
    <w:rsid w:val="00AC3951"/>
    <w:rsid w:val="00AC3CF2"/>
    <w:rsid w:val="00AC3F0F"/>
    <w:rsid w:val="00AC3FA7"/>
    <w:rsid w:val="00AC416A"/>
    <w:rsid w:val="00AC42B6"/>
    <w:rsid w:val="00AC4514"/>
    <w:rsid w:val="00AC4BB3"/>
    <w:rsid w:val="00AC4E54"/>
    <w:rsid w:val="00AC4EE2"/>
    <w:rsid w:val="00AC54CD"/>
    <w:rsid w:val="00AC5556"/>
    <w:rsid w:val="00AC55E5"/>
    <w:rsid w:val="00AC5646"/>
    <w:rsid w:val="00AC5BED"/>
    <w:rsid w:val="00AC5C89"/>
    <w:rsid w:val="00AC5DDB"/>
    <w:rsid w:val="00AC5F96"/>
    <w:rsid w:val="00AC6275"/>
    <w:rsid w:val="00AC644A"/>
    <w:rsid w:val="00AC6533"/>
    <w:rsid w:val="00AC65EA"/>
    <w:rsid w:val="00AC68EA"/>
    <w:rsid w:val="00AC6BAF"/>
    <w:rsid w:val="00AC6D02"/>
    <w:rsid w:val="00AC701F"/>
    <w:rsid w:val="00AC705E"/>
    <w:rsid w:val="00AC73B9"/>
    <w:rsid w:val="00AC74C0"/>
    <w:rsid w:val="00AC755C"/>
    <w:rsid w:val="00AC77BC"/>
    <w:rsid w:val="00AC7910"/>
    <w:rsid w:val="00AC7BF0"/>
    <w:rsid w:val="00AC7FB9"/>
    <w:rsid w:val="00AD005F"/>
    <w:rsid w:val="00AD050B"/>
    <w:rsid w:val="00AD077D"/>
    <w:rsid w:val="00AD07C7"/>
    <w:rsid w:val="00AD0816"/>
    <w:rsid w:val="00AD0918"/>
    <w:rsid w:val="00AD0AD1"/>
    <w:rsid w:val="00AD0DC5"/>
    <w:rsid w:val="00AD13AD"/>
    <w:rsid w:val="00AD1713"/>
    <w:rsid w:val="00AD17CD"/>
    <w:rsid w:val="00AD17D4"/>
    <w:rsid w:val="00AD1BBF"/>
    <w:rsid w:val="00AD1D81"/>
    <w:rsid w:val="00AD2002"/>
    <w:rsid w:val="00AD226D"/>
    <w:rsid w:val="00AD26A7"/>
    <w:rsid w:val="00AD2AF9"/>
    <w:rsid w:val="00AD2EAE"/>
    <w:rsid w:val="00AD331E"/>
    <w:rsid w:val="00AD343F"/>
    <w:rsid w:val="00AD368C"/>
    <w:rsid w:val="00AD37A0"/>
    <w:rsid w:val="00AD3BDF"/>
    <w:rsid w:val="00AD3C0F"/>
    <w:rsid w:val="00AD4203"/>
    <w:rsid w:val="00AD426A"/>
    <w:rsid w:val="00AD4B4F"/>
    <w:rsid w:val="00AD4F2E"/>
    <w:rsid w:val="00AD5021"/>
    <w:rsid w:val="00AD5466"/>
    <w:rsid w:val="00AD5C7D"/>
    <w:rsid w:val="00AD5E53"/>
    <w:rsid w:val="00AD5E8E"/>
    <w:rsid w:val="00AD5FB2"/>
    <w:rsid w:val="00AD6154"/>
    <w:rsid w:val="00AD67BE"/>
    <w:rsid w:val="00AD6A88"/>
    <w:rsid w:val="00AD6E3C"/>
    <w:rsid w:val="00AD6ED9"/>
    <w:rsid w:val="00AD6FAC"/>
    <w:rsid w:val="00AD734C"/>
    <w:rsid w:val="00AD7469"/>
    <w:rsid w:val="00AD74A7"/>
    <w:rsid w:val="00AD74C7"/>
    <w:rsid w:val="00AD754B"/>
    <w:rsid w:val="00AD7A3F"/>
    <w:rsid w:val="00AD7BA1"/>
    <w:rsid w:val="00AD7D11"/>
    <w:rsid w:val="00AD7E00"/>
    <w:rsid w:val="00AD7E6E"/>
    <w:rsid w:val="00AD7EA1"/>
    <w:rsid w:val="00AD7F1C"/>
    <w:rsid w:val="00AE002A"/>
    <w:rsid w:val="00AE007E"/>
    <w:rsid w:val="00AE0329"/>
    <w:rsid w:val="00AE0446"/>
    <w:rsid w:val="00AE04A6"/>
    <w:rsid w:val="00AE06B7"/>
    <w:rsid w:val="00AE0803"/>
    <w:rsid w:val="00AE080C"/>
    <w:rsid w:val="00AE0D9A"/>
    <w:rsid w:val="00AE1193"/>
    <w:rsid w:val="00AE159F"/>
    <w:rsid w:val="00AE16BF"/>
    <w:rsid w:val="00AE16D9"/>
    <w:rsid w:val="00AE1821"/>
    <w:rsid w:val="00AE1906"/>
    <w:rsid w:val="00AE1CEF"/>
    <w:rsid w:val="00AE1D8E"/>
    <w:rsid w:val="00AE1F97"/>
    <w:rsid w:val="00AE20F3"/>
    <w:rsid w:val="00AE2244"/>
    <w:rsid w:val="00AE2630"/>
    <w:rsid w:val="00AE28C8"/>
    <w:rsid w:val="00AE28DB"/>
    <w:rsid w:val="00AE2A3D"/>
    <w:rsid w:val="00AE2A40"/>
    <w:rsid w:val="00AE2CE6"/>
    <w:rsid w:val="00AE2D3C"/>
    <w:rsid w:val="00AE2EAF"/>
    <w:rsid w:val="00AE3028"/>
    <w:rsid w:val="00AE3112"/>
    <w:rsid w:val="00AE3519"/>
    <w:rsid w:val="00AE3597"/>
    <w:rsid w:val="00AE3A74"/>
    <w:rsid w:val="00AE3C15"/>
    <w:rsid w:val="00AE40D9"/>
    <w:rsid w:val="00AE41D5"/>
    <w:rsid w:val="00AE46F6"/>
    <w:rsid w:val="00AE4C0E"/>
    <w:rsid w:val="00AE4E6C"/>
    <w:rsid w:val="00AE50B1"/>
    <w:rsid w:val="00AE5313"/>
    <w:rsid w:val="00AE5350"/>
    <w:rsid w:val="00AE55F7"/>
    <w:rsid w:val="00AE56EC"/>
    <w:rsid w:val="00AE584A"/>
    <w:rsid w:val="00AE5CA0"/>
    <w:rsid w:val="00AE5D1E"/>
    <w:rsid w:val="00AE5D24"/>
    <w:rsid w:val="00AE65CC"/>
    <w:rsid w:val="00AE66B4"/>
    <w:rsid w:val="00AE67AF"/>
    <w:rsid w:val="00AE6864"/>
    <w:rsid w:val="00AE6CB1"/>
    <w:rsid w:val="00AE6DCE"/>
    <w:rsid w:val="00AE6F79"/>
    <w:rsid w:val="00AE70D0"/>
    <w:rsid w:val="00AE71C0"/>
    <w:rsid w:val="00AE722D"/>
    <w:rsid w:val="00AE739C"/>
    <w:rsid w:val="00AE7475"/>
    <w:rsid w:val="00AE7A8F"/>
    <w:rsid w:val="00AE7C34"/>
    <w:rsid w:val="00AE7DDD"/>
    <w:rsid w:val="00AF00DA"/>
    <w:rsid w:val="00AF03FD"/>
    <w:rsid w:val="00AF0529"/>
    <w:rsid w:val="00AF06E0"/>
    <w:rsid w:val="00AF076B"/>
    <w:rsid w:val="00AF07AF"/>
    <w:rsid w:val="00AF0995"/>
    <w:rsid w:val="00AF09D0"/>
    <w:rsid w:val="00AF0AAF"/>
    <w:rsid w:val="00AF0B0E"/>
    <w:rsid w:val="00AF0F50"/>
    <w:rsid w:val="00AF1041"/>
    <w:rsid w:val="00AF108E"/>
    <w:rsid w:val="00AF1450"/>
    <w:rsid w:val="00AF14F2"/>
    <w:rsid w:val="00AF16FA"/>
    <w:rsid w:val="00AF1869"/>
    <w:rsid w:val="00AF1FD1"/>
    <w:rsid w:val="00AF200A"/>
    <w:rsid w:val="00AF2374"/>
    <w:rsid w:val="00AF25BB"/>
    <w:rsid w:val="00AF2A80"/>
    <w:rsid w:val="00AF2B09"/>
    <w:rsid w:val="00AF2C67"/>
    <w:rsid w:val="00AF2C75"/>
    <w:rsid w:val="00AF2CAB"/>
    <w:rsid w:val="00AF2E78"/>
    <w:rsid w:val="00AF2F02"/>
    <w:rsid w:val="00AF31D7"/>
    <w:rsid w:val="00AF3581"/>
    <w:rsid w:val="00AF36EE"/>
    <w:rsid w:val="00AF39B1"/>
    <w:rsid w:val="00AF3D5F"/>
    <w:rsid w:val="00AF4167"/>
    <w:rsid w:val="00AF417D"/>
    <w:rsid w:val="00AF4909"/>
    <w:rsid w:val="00AF4EBC"/>
    <w:rsid w:val="00AF5325"/>
    <w:rsid w:val="00AF5404"/>
    <w:rsid w:val="00AF568F"/>
    <w:rsid w:val="00AF5A74"/>
    <w:rsid w:val="00AF5B70"/>
    <w:rsid w:val="00AF5DC9"/>
    <w:rsid w:val="00AF6253"/>
    <w:rsid w:val="00AF64DB"/>
    <w:rsid w:val="00AF64EB"/>
    <w:rsid w:val="00AF6617"/>
    <w:rsid w:val="00AF6961"/>
    <w:rsid w:val="00AF6D96"/>
    <w:rsid w:val="00AF6DEB"/>
    <w:rsid w:val="00AF6E4E"/>
    <w:rsid w:val="00AF6F6E"/>
    <w:rsid w:val="00AF6F71"/>
    <w:rsid w:val="00AF7091"/>
    <w:rsid w:val="00AF72BA"/>
    <w:rsid w:val="00AF7650"/>
    <w:rsid w:val="00AF77BD"/>
    <w:rsid w:val="00AF788B"/>
    <w:rsid w:val="00AF78B9"/>
    <w:rsid w:val="00AF7D05"/>
    <w:rsid w:val="00B002F5"/>
    <w:rsid w:val="00B00661"/>
    <w:rsid w:val="00B006F9"/>
    <w:rsid w:val="00B0081D"/>
    <w:rsid w:val="00B00884"/>
    <w:rsid w:val="00B00901"/>
    <w:rsid w:val="00B00AC3"/>
    <w:rsid w:val="00B01033"/>
    <w:rsid w:val="00B017A5"/>
    <w:rsid w:val="00B01846"/>
    <w:rsid w:val="00B018CD"/>
    <w:rsid w:val="00B01BAA"/>
    <w:rsid w:val="00B0261D"/>
    <w:rsid w:val="00B02951"/>
    <w:rsid w:val="00B02A4D"/>
    <w:rsid w:val="00B031D5"/>
    <w:rsid w:val="00B034CD"/>
    <w:rsid w:val="00B03580"/>
    <w:rsid w:val="00B03B26"/>
    <w:rsid w:val="00B03CD9"/>
    <w:rsid w:val="00B03DA0"/>
    <w:rsid w:val="00B03F4F"/>
    <w:rsid w:val="00B04225"/>
    <w:rsid w:val="00B04388"/>
    <w:rsid w:val="00B04651"/>
    <w:rsid w:val="00B04877"/>
    <w:rsid w:val="00B04D39"/>
    <w:rsid w:val="00B04E6A"/>
    <w:rsid w:val="00B0523F"/>
    <w:rsid w:val="00B0526A"/>
    <w:rsid w:val="00B052A8"/>
    <w:rsid w:val="00B05374"/>
    <w:rsid w:val="00B05768"/>
    <w:rsid w:val="00B0598F"/>
    <w:rsid w:val="00B05B24"/>
    <w:rsid w:val="00B05DA8"/>
    <w:rsid w:val="00B05E65"/>
    <w:rsid w:val="00B05EEA"/>
    <w:rsid w:val="00B0669D"/>
    <w:rsid w:val="00B06B84"/>
    <w:rsid w:val="00B06DBA"/>
    <w:rsid w:val="00B0709D"/>
    <w:rsid w:val="00B071FD"/>
    <w:rsid w:val="00B07281"/>
    <w:rsid w:val="00B07611"/>
    <w:rsid w:val="00B0792E"/>
    <w:rsid w:val="00B07BFD"/>
    <w:rsid w:val="00B07F7B"/>
    <w:rsid w:val="00B10372"/>
    <w:rsid w:val="00B1042A"/>
    <w:rsid w:val="00B10504"/>
    <w:rsid w:val="00B10554"/>
    <w:rsid w:val="00B107FF"/>
    <w:rsid w:val="00B10E7E"/>
    <w:rsid w:val="00B11244"/>
    <w:rsid w:val="00B112D9"/>
    <w:rsid w:val="00B114E6"/>
    <w:rsid w:val="00B11520"/>
    <w:rsid w:val="00B1170A"/>
    <w:rsid w:val="00B1182B"/>
    <w:rsid w:val="00B11D30"/>
    <w:rsid w:val="00B11DED"/>
    <w:rsid w:val="00B11F30"/>
    <w:rsid w:val="00B11FFE"/>
    <w:rsid w:val="00B1232A"/>
    <w:rsid w:val="00B1232D"/>
    <w:rsid w:val="00B1238E"/>
    <w:rsid w:val="00B12510"/>
    <w:rsid w:val="00B1296F"/>
    <w:rsid w:val="00B12DCD"/>
    <w:rsid w:val="00B12F4E"/>
    <w:rsid w:val="00B133FC"/>
    <w:rsid w:val="00B13F17"/>
    <w:rsid w:val="00B14673"/>
    <w:rsid w:val="00B14BF1"/>
    <w:rsid w:val="00B14F85"/>
    <w:rsid w:val="00B15393"/>
    <w:rsid w:val="00B154DB"/>
    <w:rsid w:val="00B15554"/>
    <w:rsid w:val="00B15ABF"/>
    <w:rsid w:val="00B15D2F"/>
    <w:rsid w:val="00B15DA5"/>
    <w:rsid w:val="00B16072"/>
    <w:rsid w:val="00B16403"/>
    <w:rsid w:val="00B1676A"/>
    <w:rsid w:val="00B1680E"/>
    <w:rsid w:val="00B16A4D"/>
    <w:rsid w:val="00B16E15"/>
    <w:rsid w:val="00B17A7B"/>
    <w:rsid w:val="00B17E8C"/>
    <w:rsid w:val="00B17F5D"/>
    <w:rsid w:val="00B17F69"/>
    <w:rsid w:val="00B20016"/>
    <w:rsid w:val="00B2099B"/>
    <w:rsid w:val="00B20BBB"/>
    <w:rsid w:val="00B2127C"/>
    <w:rsid w:val="00B213C1"/>
    <w:rsid w:val="00B2148D"/>
    <w:rsid w:val="00B214AF"/>
    <w:rsid w:val="00B217EF"/>
    <w:rsid w:val="00B21EA0"/>
    <w:rsid w:val="00B21EA2"/>
    <w:rsid w:val="00B21ED4"/>
    <w:rsid w:val="00B21F31"/>
    <w:rsid w:val="00B21FDC"/>
    <w:rsid w:val="00B22075"/>
    <w:rsid w:val="00B2232A"/>
    <w:rsid w:val="00B226AC"/>
    <w:rsid w:val="00B22AB8"/>
    <w:rsid w:val="00B23422"/>
    <w:rsid w:val="00B23437"/>
    <w:rsid w:val="00B2354A"/>
    <w:rsid w:val="00B23573"/>
    <w:rsid w:val="00B237F7"/>
    <w:rsid w:val="00B2380D"/>
    <w:rsid w:val="00B23815"/>
    <w:rsid w:val="00B23AC9"/>
    <w:rsid w:val="00B23C3B"/>
    <w:rsid w:val="00B23E79"/>
    <w:rsid w:val="00B2401C"/>
    <w:rsid w:val="00B24020"/>
    <w:rsid w:val="00B24180"/>
    <w:rsid w:val="00B241F9"/>
    <w:rsid w:val="00B244E6"/>
    <w:rsid w:val="00B24615"/>
    <w:rsid w:val="00B2471D"/>
    <w:rsid w:val="00B247A6"/>
    <w:rsid w:val="00B24966"/>
    <w:rsid w:val="00B24F93"/>
    <w:rsid w:val="00B25311"/>
    <w:rsid w:val="00B25646"/>
    <w:rsid w:val="00B259AD"/>
    <w:rsid w:val="00B25A39"/>
    <w:rsid w:val="00B25B15"/>
    <w:rsid w:val="00B25CEF"/>
    <w:rsid w:val="00B25E9D"/>
    <w:rsid w:val="00B25FF8"/>
    <w:rsid w:val="00B262A1"/>
    <w:rsid w:val="00B26351"/>
    <w:rsid w:val="00B264FD"/>
    <w:rsid w:val="00B26661"/>
    <w:rsid w:val="00B26942"/>
    <w:rsid w:val="00B26A1F"/>
    <w:rsid w:val="00B26BE9"/>
    <w:rsid w:val="00B26BF2"/>
    <w:rsid w:val="00B26D03"/>
    <w:rsid w:val="00B26E88"/>
    <w:rsid w:val="00B27264"/>
    <w:rsid w:val="00B27725"/>
    <w:rsid w:val="00B27CCE"/>
    <w:rsid w:val="00B301E2"/>
    <w:rsid w:val="00B308E1"/>
    <w:rsid w:val="00B309E2"/>
    <w:rsid w:val="00B30ADD"/>
    <w:rsid w:val="00B30CFE"/>
    <w:rsid w:val="00B30D01"/>
    <w:rsid w:val="00B30D18"/>
    <w:rsid w:val="00B30F87"/>
    <w:rsid w:val="00B312A8"/>
    <w:rsid w:val="00B31371"/>
    <w:rsid w:val="00B31792"/>
    <w:rsid w:val="00B317EF"/>
    <w:rsid w:val="00B318A6"/>
    <w:rsid w:val="00B31AFB"/>
    <w:rsid w:val="00B31B77"/>
    <w:rsid w:val="00B3227D"/>
    <w:rsid w:val="00B32413"/>
    <w:rsid w:val="00B3264F"/>
    <w:rsid w:val="00B327E0"/>
    <w:rsid w:val="00B327EA"/>
    <w:rsid w:val="00B328BB"/>
    <w:rsid w:val="00B32950"/>
    <w:rsid w:val="00B32D35"/>
    <w:rsid w:val="00B32DA1"/>
    <w:rsid w:val="00B32F7E"/>
    <w:rsid w:val="00B3305E"/>
    <w:rsid w:val="00B33288"/>
    <w:rsid w:val="00B332E1"/>
    <w:rsid w:val="00B332EE"/>
    <w:rsid w:val="00B33863"/>
    <w:rsid w:val="00B3398D"/>
    <w:rsid w:val="00B33A50"/>
    <w:rsid w:val="00B33A6C"/>
    <w:rsid w:val="00B340CA"/>
    <w:rsid w:val="00B34882"/>
    <w:rsid w:val="00B34993"/>
    <w:rsid w:val="00B34AA7"/>
    <w:rsid w:val="00B34F79"/>
    <w:rsid w:val="00B350BC"/>
    <w:rsid w:val="00B35484"/>
    <w:rsid w:val="00B355ED"/>
    <w:rsid w:val="00B3560B"/>
    <w:rsid w:val="00B3564B"/>
    <w:rsid w:val="00B35802"/>
    <w:rsid w:val="00B35B3E"/>
    <w:rsid w:val="00B35DEB"/>
    <w:rsid w:val="00B362C9"/>
    <w:rsid w:val="00B3636B"/>
    <w:rsid w:val="00B363EE"/>
    <w:rsid w:val="00B365EE"/>
    <w:rsid w:val="00B366C0"/>
    <w:rsid w:val="00B36885"/>
    <w:rsid w:val="00B36BFC"/>
    <w:rsid w:val="00B36CF4"/>
    <w:rsid w:val="00B36E72"/>
    <w:rsid w:val="00B36E96"/>
    <w:rsid w:val="00B36F25"/>
    <w:rsid w:val="00B375D1"/>
    <w:rsid w:val="00B3780D"/>
    <w:rsid w:val="00B37914"/>
    <w:rsid w:val="00B37B1F"/>
    <w:rsid w:val="00B37C72"/>
    <w:rsid w:val="00B37D17"/>
    <w:rsid w:val="00B401FC"/>
    <w:rsid w:val="00B403D1"/>
    <w:rsid w:val="00B404ED"/>
    <w:rsid w:val="00B40AA3"/>
    <w:rsid w:val="00B40D38"/>
    <w:rsid w:val="00B4111C"/>
    <w:rsid w:val="00B411E7"/>
    <w:rsid w:val="00B41305"/>
    <w:rsid w:val="00B4138A"/>
    <w:rsid w:val="00B41567"/>
    <w:rsid w:val="00B42033"/>
    <w:rsid w:val="00B423C1"/>
    <w:rsid w:val="00B42511"/>
    <w:rsid w:val="00B4271D"/>
    <w:rsid w:val="00B42B9D"/>
    <w:rsid w:val="00B42E94"/>
    <w:rsid w:val="00B42EB7"/>
    <w:rsid w:val="00B42F07"/>
    <w:rsid w:val="00B4345C"/>
    <w:rsid w:val="00B434AF"/>
    <w:rsid w:val="00B435C6"/>
    <w:rsid w:val="00B43E92"/>
    <w:rsid w:val="00B444E0"/>
    <w:rsid w:val="00B445BE"/>
    <w:rsid w:val="00B446D3"/>
    <w:rsid w:val="00B4478D"/>
    <w:rsid w:val="00B44A56"/>
    <w:rsid w:val="00B44CD8"/>
    <w:rsid w:val="00B44D47"/>
    <w:rsid w:val="00B44DB3"/>
    <w:rsid w:val="00B44EAA"/>
    <w:rsid w:val="00B44EAD"/>
    <w:rsid w:val="00B451C4"/>
    <w:rsid w:val="00B45265"/>
    <w:rsid w:val="00B45292"/>
    <w:rsid w:val="00B452C6"/>
    <w:rsid w:val="00B4540C"/>
    <w:rsid w:val="00B45611"/>
    <w:rsid w:val="00B45665"/>
    <w:rsid w:val="00B46706"/>
    <w:rsid w:val="00B46727"/>
    <w:rsid w:val="00B4677C"/>
    <w:rsid w:val="00B46BB0"/>
    <w:rsid w:val="00B46CC8"/>
    <w:rsid w:val="00B47478"/>
    <w:rsid w:val="00B475BE"/>
    <w:rsid w:val="00B477D6"/>
    <w:rsid w:val="00B478C4"/>
    <w:rsid w:val="00B47A0F"/>
    <w:rsid w:val="00B47BF4"/>
    <w:rsid w:val="00B47ECE"/>
    <w:rsid w:val="00B500DD"/>
    <w:rsid w:val="00B502F7"/>
    <w:rsid w:val="00B503A3"/>
    <w:rsid w:val="00B50717"/>
    <w:rsid w:val="00B50859"/>
    <w:rsid w:val="00B508C2"/>
    <w:rsid w:val="00B50999"/>
    <w:rsid w:val="00B50E9F"/>
    <w:rsid w:val="00B50F9E"/>
    <w:rsid w:val="00B510B4"/>
    <w:rsid w:val="00B5147A"/>
    <w:rsid w:val="00B5163D"/>
    <w:rsid w:val="00B51BF4"/>
    <w:rsid w:val="00B51C1B"/>
    <w:rsid w:val="00B51C7D"/>
    <w:rsid w:val="00B52252"/>
    <w:rsid w:val="00B52566"/>
    <w:rsid w:val="00B5283A"/>
    <w:rsid w:val="00B52C69"/>
    <w:rsid w:val="00B52EC4"/>
    <w:rsid w:val="00B53138"/>
    <w:rsid w:val="00B532D6"/>
    <w:rsid w:val="00B53383"/>
    <w:rsid w:val="00B53522"/>
    <w:rsid w:val="00B5354E"/>
    <w:rsid w:val="00B53DD8"/>
    <w:rsid w:val="00B53E65"/>
    <w:rsid w:val="00B54382"/>
    <w:rsid w:val="00B544B3"/>
    <w:rsid w:val="00B544BB"/>
    <w:rsid w:val="00B547A7"/>
    <w:rsid w:val="00B54AD9"/>
    <w:rsid w:val="00B54C03"/>
    <w:rsid w:val="00B553AF"/>
    <w:rsid w:val="00B554CB"/>
    <w:rsid w:val="00B555BE"/>
    <w:rsid w:val="00B555E3"/>
    <w:rsid w:val="00B55F8E"/>
    <w:rsid w:val="00B56BE0"/>
    <w:rsid w:val="00B56E74"/>
    <w:rsid w:val="00B57061"/>
    <w:rsid w:val="00B57309"/>
    <w:rsid w:val="00B57323"/>
    <w:rsid w:val="00B574F3"/>
    <w:rsid w:val="00B579E9"/>
    <w:rsid w:val="00B57C99"/>
    <w:rsid w:val="00B60140"/>
    <w:rsid w:val="00B607C4"/>
    <w:rsid w:val="00B60E19"/>
    <w:rsid w:val="00B61282"/>
    <w:rsid w:val="00B61477"/>
    <w:rsid w:val="00B61844"/>
    <w:rsid w:val="00B61922"/>
    <w:rsid w:val="00B62205"/>
    <w:rsid w:val="00B622F0"/>
    <w:rsid w:val="00B631F4"/>
    <w:rsid w:val="00B635AB"/>
    <w:rsid w:val="00B63694"/>
    <w:rsid w:val="00B637E6"/>
    <w:rsid w:val="00B63AFB"/>
    <w:rsid w:val="00B642E2"/>
    <w:rsid w:val="00B64368"/>
    <w:rsid w:val="00B645A2"/>
    <w:rsid w:val="00B64A12"/>
    <w:rsid w:val="00B64C76"/>
    <w:rsid w:val="00B64E44"/>
    <w:rsid w:val="00B64E5E"/>
    <w:rsid w:val="00B64FCE"/>
    <w:rsid w:val="00B65AEE"/>
    <w:rsid w:val="00B660AE"/>
    <w:rsid w:val="00B66EAE"/>
    <w:rsid w:val="00B67308"/>
    <w:rsid w:val="00B67737"/>
    <w:rsid w:val="00B67797"/>
    <w:rsid w:val="00B67B80"/>
    <w:rsid w:val="00B67C34"/>
    <w:rsid w:val="00B67F43"/>
    <w:rsid w:val="00B70041"/>
    <w:rsid w:val="00B7023E"/>
    <w:rsid w:val="00B70452"/>
    <w:rsid w:val="00B70457"/>
    <w:rsid w:val="00B70522"/>
    <w:rsid w:val="00B70530"/>
    <w:rsid w:val="00B707E7"/>
    <w:rsid w:val="00B70867"/>
    <w:rsid w:val="00B70B06"/>
    <w:rsid w:val="00B70B6C"/>
    <w:rsid w:val="00B70CCD"/>
    <w:rsid w:val="00B70E27"/>
    <w:rsid w:val="00B710F7"/>
    <w:rsid w:val="00B7150C"/>
    <w:rsid w:val="00B72142"/>
    <w:rsid w:val="00B722FB"/>
    <w:rsid w:val="00B723AF"/>
    <w:rsid w:val="00B72408"/>
    <w:rsid w:val="00B72A82"/>
    <w:rsid w:val="00B72A9F"/>
    <w:rsid w:val="00B72AE3"/>
    <w:rsid w:val="00B72B73"/>
    <w:rsid w:val="00B72D41"/>
    <w:rsid w:val="00B72E4E"/>
    <w:rsid w:val="00B72FF0"/>
    <w:rsid w:val="00B72FF6"/>
    <w:rsid w:val="00B7300D"/>
    <w:rsid w:val="00B73BB3"/>
    <w:rsid w:val="00B73C38"/>
    <w:rsid w:val="00B73ED2"/>
    <w:rsid w:val="00B73FC1"/>
    <w:rsid w:val="00B74B8E"/>
    <w:rsid w:val="00B74E0C"/>
    <w:rsid w:val="00B74EFF"/>
    <w:rsid w:val="00B757E6"/>
    <w:rsid w:val="00B7594E"/>
    <w:rsid w:val="00B759CC"/>
    <w:rsid w:val="00B75AB4"/>
    <w:rsid w:val="00B7613A"/>
    <w:rsid w:val="00B761D0"/>
    <w:rsid w:val="00B76380"/>
    <w:rsid w:val="00B76673"/>
    <w:rsid w:val="00B76870"/>
    <w:rsid w:val="00B768EB"/>
    <w:rsid w:val="00B7693E"/>
    <w:rsid w:val="00B76E0C"/>
    <w:rsid w:val="00B77792"/>
    <w:rsid w:val="00B80189"/>
    <w:rsid w:val="00B802A5"/>
    <w:rsid w:val="00B805E4"/>
    <w:rsid w:val="00B80654"/>
    <w:rsid w:val="00B80655"/>
    <w:rsid w:val="00B809EF"/>
    <w:rsid w:val="00B810C2"/>
    <w:rsid w:val="00B8122E"/>
    <w:rsid w:val="00B81273"/>
    <w:rsid w:val="00B815F5"/>
    <w:rsid w:val="00B81728"/>
    <w:rsid w:val="00B81819"/>
    <w:rsid w:val="00B81988"/>
    <w:rsid w:val="00B81AEA"/>
    <w:rsid w:val="00B81C07"/>
    <w:rsid w:val="00B81CEC"/>
    <w:rsid w:val="00B81D41"/>
    <w:rsid w:val="00B81EB5"/>
    <w:rsid w:val="00B81F69"/>
    <w:rsid w:val="00B823EB"/>
    <w:rsid w:val="00B82507"/>
    <w:rsid w:val="00B82519"/>
    <w:rsid w:val="00B82B05"/>
    <w:rsid w:val="00B82B4C"/>
    <w:rsid w:val="00B82C6C"/>
    <w:rsid w:val="00B82C91"/>
    <w:rsid w:val="00B82CF2"/>
    <w:rsid w:val="00B82D45"/>
    <w:rsid w:val="00B82F03"/>
    <w:rsid w:val="00B831C6"/>
    <w:rsid w:val="00B83403"/>
    <w:rsid w:val="00B83887"/>
    <w:rsid w:val="00B83BD3"/>
    <w:rsid w:val="00B83D0E"/>
    <w:rsid w:val="00B83E8B"/>
    <w:rsid w:val="00B84041"/>
    <w:rsid w:val="00B840F4"/>
    <w:rsid w:val="00B843D3"/>
    <w:rsid w:val="00B844CD"/>
    <w:rsid w:val="00B850DE"/>
    <w:rsid w:val="00B85249"/>
    <w:rsid w:val="00B85589"/>
    <w:rsid w:val="00B8570E"/>
    <w:rsid w:val="00B8571A"/>
    <w:rsid w:val="00B8596B"/>
    <w:rsid w:val="00B85D67"/>
    <w:rsid w:val="00B860A0"/>
    <w:rsid w:val="00B8657F"/>
    <w:rsid w:val="00B865DB"/>
    <w:rsid w:val="00B86AAA"/>
    <w:rsid w:val="00B86B89"/>
    <w:rsid w:val="00B86FD5"/>
    <w:rsid w:val="00B87B88"/>
    <w:rsid w:val="00B87C76"/>
    <w:rsid w:val="00B90212"/>
    <w:rsid w:val="00B902D5"/>
    <w:rsid w:val="00B90335"/>
    <w:rsid w:val="00B90542"/>
    <w:rsid w:val="00B90585"/>
    <w:rsid w:val="00B908BE"/>
    <w:rsid w:val="00B90BE6"/>
    <w:rsid w:val="00B90EC3"/>
    <w:rsid w:val="00B91288"/>
    <w:rsid w:val="00B91321"/>
    <w:rsid w:val="00B91446"/>
    <w:rsid w:val="00B9187E"/>
    <w:rsid w:val="00B91C87"/>
    <w:rsid w:val="00B92146"/>
    <w:rsid w:val="00B924D6"/>
    <w:rsid w:val="00B92679"/>
    <w:rsid w:val="00B92CA5"/>
    <w:rsid w:val="00B92F75"/>
    <w:rsid w:val="00B93067"/>
    <w:rsid w:val="00B933AE"/>
    <w:rsid w:val="00B93501"/>
    <w:rsid w:val="00B93540"/>
    <w:rsid w:val="00B938F4"/>
    <w:rsid w:val="00B93A00"/>
    <w:rsid w:val="00B93B71"/>
    <w:rsid w:val="00B93BA9"/>
    <w:rsid w:val="00B93E90"/>
    <w:rsid w:val="00B93E97"/>
    <w:rsid w:val="00B93F1A"/>
    <w:rsid w:val="00B94941"/>
    <w:rsid w:val="00B94CEF"/>
    <w:rsid w:val="00B94F99"/>
    <w:rsid w:val="00B94FAB"/>
    <w:rsid w:val="00B95026"/>
    <w:rsid w:val="00B9510C"/>
    <w:rsid w:val="00B952BF"/>
    <w:rsid w:val="00B95302"/>
    <w:rsid w:val="00B9540D"/>
    <w:rsid w:val="00B95481"/>
    <w:rsid w:val="00B954D8"/>
    <w:rsid w:val="00B95D3E"/>
    <w:rsid w:val="00B96000"/>
    <w:rsid w:val="00B96325"/>
    <w:rsid w:val="00B964BC"/>
    <w:rsid w:val="00B96603"/>
    <w:rsid w:val="00B96640"/>
    <w:rsid w:val="00B9683D"/>
    <w:rsid w:val="00B969BC"/>
    <w:rsid w:val="00B96DE1"/>
    <w:rsid w:val="00B9710F"/>
    <w:rsid w:val="00B97311"/>
    <w:rsid w:val="00B9779C"/>
    <w:rsid w:val="00B97872"/>
    <w:rsid w:val="00B97D3E"/>
    <w:rsid w:val="00B97E9E"/>
    <w:rsid w:val="00BA0258"/>
    <w:rsid w:val="00BA0355"/>
    <w:rsid w:val="00BA09CC"/>
    <w:rsid w:val="00BA0B2B"/>
    <w:rsid w:val="00BA0CF3"/>
    <w:rsid w:val="00BA1024"/>
    <w:rsid w:val="00BA1026"/>
    <w:rsid w:val="00BA126B"/>
    <w:rsid w:val="00BA1271"/>
    <w:rsid w:val="00BA2123"/>
    <w:rsid w:val="00BA2143"/>
    <w:rsid w:val="00BA246B"/>
    <w:rsid w:val="00BA2B1E"/>
    <w:rsid w:val="00BA2B3B"/>
    <w:rsid w:val="00BA3135"/>
    <w:rsid w:val="00BA318D"/>
    <w:rsid w:val="00BA3280"/>
    <w:rsid w:val="00BA3429"/>
    <w:rsid w:val="00BA3CC3"/>
    <w:rsid w:val="00BA439E"/>
    <w:rsid w:val="00BA47F2"/>
    <w:rsid w:val="00BA48EF"/>
    <w:rsid w:val="00BA4A69"/>
    <w:rsid w:val="00BA4B77"/>
    <w:rsid w:val="00BA4C11"/>
    <w:rsid w:val="00BA558D"/>
    <w:rsid w:val="00BA5914"/>
    <w:rsid w:val="00BA601B"/>
    <w:rsid w:val="00BA6057"/>
    <w:rsid w:val="00BA646D"/>
    <w:rsid w:val="00BA64B2"/>
    <w:rsid w:val="00BA685E"/>
    <w:rsid w:val="00BA6A38"/>
    <w:rsid w:val="00BA6A64"/>
    <w:rsid w:val="00BA6D91"/>
    <w:rsid w:val="00BA6D9C"/>
    <w:rsid w:val="00BA73EA"/>
    <w:rsid w:val="00BA76B3"/>
    <w:rsid w:val="00BA78AA"/>
    <w:rsid w:val="00BB03FB"/>
    <w:rsid w:val="00BB0720"/>
    <w:rsid w:val="00BB0A22"/>
    <w:rsid w:val="00BB13E3"/>
    <w:rsid w:val="00BB15E5"/>
    <w:rsid w:val="00BB1B72"/>
    <w:rsid w:val="00BB211A"/>
    <w:rsid w:val="00BB2288"/>
    <w:rsid w:val="00BB25B5"/>
    <w:rsid w:val="00BB2703"/>
    <w:rsid w:val="00BB2BC2"/>
    <w:rsid w:val="00BB2F28"/>
    <w:rsid w:val="00BB2F48"/>
    <w:rsid w:val="00BB320B"/>
    <w:rsid w:val="00BB332A"/>
    <w:rsid w:val="00BB3575"/>
    <w:rsid w:val="00BB35D4"/>
    <w:rsid w:val="00BB3DFB"/>
    <w:rsid w:val="00BB40DE"/>
    <w:rsid w:val="00BB420D"/>
    <w:rsid w:val="00BB49CA"/>
    <w:rsid w:val="00BB4D7A"/>
    <w:rsid w:val="00BB5128"/>
    <w:rsid w:val="00BB5541"/>
    <w:rsid w:val="00BB5768"/>
    <w:rsid w:val="00BB5F3A"/>
    <w:rsid w:val="00BB612C"/>
    <w:rsid w:val="00BB617E"/>
    <w:rsid w:val="00BB636D"/>
    <w:rsid w:val="00BB6614"/>
    <w:rsid w:val="00BB669F"/>
    <w:rsid w:val="00BB66B5"/>
    <w:rsid w:val="00BB70E4"/>
    <w:rsid w:val="00BB7109"/>
    <w:rsid w:val="00BB7481"/>
    <w:rsid w:val="00BB7BF4"/>
    <w:rsid w:val="00BB7F92"/>
    <w:rsid w:val="00BC0021"/>
    <w:rsid w:val="00BC0F15"/>
    <w:rsid w:val="00BC10DC"/>
    <w:rsid w:val="00BC10E5"/>
    <w:rsid w:val="00BC1E6E"/>
    <w:rsid w:val="00BC1F67"/>
    <w:rsid w:val="00BC24A3"/>
    <w:rsid w:val="00BC2759"/>
    <w:rsid w:val="00BC294C"/>
    <w:rsid w:val="00BC2B39"/>
    <w:rsid w:val="00BC2B76"/>
    <w:rsid w:val="00BC2BF3"/>
    <w:rsid w:val="00BC3069"/>
    <w:rsid w:val="00BC31C5"/>
    <w:rsid w:val="00BC3224"/>
    <w:rsid w:val="00BC3342"/>
    <w:rsid w:val="00BC3364"/>
    <w:rsid w:val="00BC3500"/>
    <w:rsid w:val="00BC3502"/>
    <w:rsid w:val="00BC3A16"/>
    <w:rsid w:val="00BC3CF6"/>
    <w:rsid w:val="00BC3D24"/>
    <w:rsid w:val="00BC3D9D"/>
    <w:rsid w:val="00BC3F27"/>
    <w:rsid w:val="00BC4122"/>
    <w:rsid w:val="00BC44D8"/>
    <w:rsid w:val="00BC46F0"/>
    <w:rsid w:val="00BC4733"/>
    <w:rsid w:val="00BC49D9"/>
    <w:rsid w:val="00BC4B5B"/>
    <w:rsid w:val="00BC4BE0"/>
    <w:rsid w:val="00BC4C20"/>
    <w:rsid w:val="00BC4C60"/>
    <w:rsid w:val="00BC505A"/>
    <w:rsid w:val="00BC509A"/>
    <w:rsid w:val="00BC5549"/>
    <w:rsid w:val="00BC5649"/>
    <w:rsid w:val="00BC5C02"/>
    <w:rsid w:val="00BC5FC2"/>
    <w:rsid w:val="00BC63FD"/>
    <w:rsid w:val="00BC657E"/>
    <w:rsid w:val="00BC6586"/>
    <w:rsid w:val="00BC684D"/>
    <w:rsid w:val="00BC6857"/>
    <w:rsid w:val="00BC6CCF"/>
    <w:rsid w:val="00BC6F8A"/>
    <w:rsid w:val="00BC7335"/>
    <w:rsid w:val="00BC7565"/>
    <w:rsid w:val="00BC7883"/>
    <w:rsid w:val="00BC78CA"/>
    <w:rsid w:val="00BC79CA"/>
    <w:rsid w:val="00BC79FD"/>
    <w:rsid w:val="00BC7A5F"/>
    <w:rsid w:val="00BC7F68"/>
    <w:rsid w:val="00BD036F"/>
    <w:rsid w:val="00BD0A6B"/>
    <w:rsid w:val="00BD0DC3"/>
    <w:rsid w:val="00BD0FB0"/>
    <w:rsid w:val="00BD1161"/>
    <w:rsid w:val="00BD11AD"/>
    <w:rsid w:val="00BD19D2"/>
    <w:rsid w:val="00BD1C00"/>
    <w:rsid w:val="00BD1F29"/>
    <w:rsid w:val="00BD1F51"/>
    <w:rsid w:val="00BD29F8"/>
    <w:rsid w:val="00BD2CAE"/>
    <w:rsid w:val="00BD3458"/>
    <w:rsid w:val="00BD3475"/>
    <w:rsid w:val="00BD361B"/>
    <w:rsid w:val="00BD3686"/>
    <w:rsid w:val="00BD384A"/>
    <w:rsid w:val="00BD3952"/>
    <w:rsid w:val="00BD3D65"/>
    <w:rsid w:val="00BD3DD5"/>
    <w:rsid w:val="00BD420C"/>
    <w:rsid w:val="00BD4313"/>
    <w:rsid w:val="00BD4592"/>
    <w:rsid w:val="00BD495E"/>
    <w:rsid w:val="00BD4C51"/>
    <w:rsid w:val="00BD4DD5"/>
    <w:rsid w:val="00BD5051"/>
    <w:rsid w:val="00BD50CC"/>
    <w:rsid w:val="00BD546F"/>
    <w:rsid w:val="00BD557A"/>
    <w:rsid w:val="00BD55EB"/>
    <w:rsid w:val="00BD59F0"/>
    <w:rsid w:val="00BD6039"/>
    <w:rsid w:val="00BD61C5"/>
    <w:rsid w:val="00BD698B"/>
    <w:rsid w:val="00BD6B1F"/>
    <w:rsid w:val="00BD6BD9"/>
    <w:rsid w:val="00BD7014"/>
    <w:rsid w:val="00BD708C"/>
    <w:rsid w:val="00BD70F8"/>
    <w:rsid w:val="00BD7390"/>
    <w:rsid w:val="00BD7478"/>
    <w:rsid w:val="00BD755A"/>
    <w:rsid w:val="00BD75E0"/>
    <w:rsid w:val="00BD76CB"/>
    <w:rsid w:val="00BD77C9"/>
    <w:rsid w:val="00BD7FB6"/>
    <w:rsid w:val="00BE00C2"/>
    <w:rsid w:val="00BE07BB"/>
    <w:rsid w:val="00BE087F"/>
    <w:rsid w:val="00BE08B9"/>
    <w:rsid w:val="00BE09E0"/>
    <w:rsid w:val="00BE0AC9"/>
    <w:rsid w:val="00BE0B4F"/>
    <w:rsid w:val="00BE0C80"/>
    <w:rsid w:val="00BE0D41"/>
    <w:rsid w:val="00BE0F0C"/>
    <w:rsid w:val="00BE1000"/>
    <w:rsid w:val="00BE138D"/>
    <w:rsid w:val="00BE147C"/>
    <w:rsid w:val="00BE150F"/>
    <w:rsid w:val="00BE1694"/>
    <w:rsid w:val="00BE1E0D"/>
    <w:rsid w:val="00BE1FD8"/>
    <w:rsid w:val="00BE2B6F"/>
    <w:rsid w:val="00BE2D3C"/>
    <w:rsid w:val="00BE2EC4"/>
    <w:rsid w:val="00BE2FE7"/>
    <w:rsid w:val="00BE33A5"/>
    <w:rsid w:val="00BE396D"/>
    <w:rsid w:val="00BE3DD4"/>
    <w:rsid w:val="00BE3EB6"/>
    <w:rsid w:val="00BE40FB"/>
    <w:rsid w:val="00BE4169"/>
    <w:rsid w:val="00BE4197"/>
    <w:rsid w:val="00BE45FB"/>
    <w:rsid w:val="00BE48DA"/>
    <w:rsid w:val="00BE497B"/>
    <w:rsid w:val="00BE4A06"/>
    <w:rsid w:val="00BE4A5F"/>
    <w:rsid w:val="00BE4AAE"/>
    <w:rsid w:val="00BE4E11"/>
    <w:rsid w:val="00BE52D4"/>
    <w:rsid w:val="00BE5303"/>
    <w:rsid w:val="00BE54F5"/>
    <w:rsid w:val="00BE5511"/>
    <w:rsid w:val="00BE5E7F"/>
    <w:rsid w:val="00BE5F20"/>
    <w:rsid w:val="00BE5F2D"/>
    <w:rsid w:val="00BE6059"/>
    <w:rsid w:val="00BE651B"/>
    <w:rsid w:val="00BE657C"/>
    <w:rsid w:val="00BE671E"/>
    <w:rsid w:val="00BE6E9E"/>
    <w:rsid w:val="00BE70DA"/>
    <w:rsid w:val="00BE7274"/>
    <w:rsid w:val="00BE748A"/>
    <w:rsid w:val="00BE7835"/>
    <w:rsid w:val="00BE7F84"/>
    <w:rsid w:val="00BF017C"/>
    <w:rsid w:val="00BF03CF"/>
    <w:rsid w:val="00BF079E"/>
    <w:rsid w:val="00BF08E0"/>
    <w:rsid w:val="00BF0BD0"/>
    <w:rsid w:val="00BF13DF"/>
    <w:rsid w:val="00BF14B7"/>
    <w:rsid w:val="00BF16B0"/>
    <w:rsid w:val="00BF17E6"/>
    <w:rsid w:val="00BF1CCF"/>
    <w:rsid w:val="00BF1E0E"/>
    <w:rsid w:val="00BF1E46"/>
    <w:rsid w:val="00BF1F71"/>
    <w:rsid w:val="00BF1FA4"/>
    <w:rsid w:val="00BF27C8"/>
    <w:rsid w:val="00BF2A2C"/>
    <w:rsid w:val="00BF2C33"/>
    <w:rsid w:val="00BF2F1D"/>
    <w:rsid w:val="00BF2FEF"/>
    <w:rsid w:val="00BF3076"/>
    <w:rsid w:val="00BF3184"/>
    <w:rsid w:val="00BF3346"/>
    <w:rsid w:val="00BF367D"/>
    <w:rsid w:val="00BF3723"/>
    <w:rsid w:val="00BF3798"/>
    <w:rsid w:val="00BF38E8"/>
    <w:rsid w:val="00BF3C45"/>
    <w:rsid w:val="00BF3E2B"/>
    <w:rsid w:val="00BF3EEF"/>
    <w:rsid w:val="00BF3FAA"/>
    <w:rsid w:val="00BF4159"/>
    <w:rsid w:val="00BF4282"/>
    <w:rsid w:val="00BF431E"/>
    <w:rsid w:val="00BF4379"/>
    <w:rsid w:val="00BF43B9"/>
    <w:rsid w:val="00BF4D5E"/>
    <w:rsid w:val="00BF4D7D"/>
    <w:rsid w:val="00BF4E8F"/>
    <w:rsid w:val="00BF5231"/>
    <w:rsid w:val="00BF5311"/>
    <w:rsid w:val="00BF53B4"/>
    <w:rsid w:val="00BF53DF"/>
    <w:rsid w:val="00BF542F"/>
    <w:rsid w:val="00BF58B4"/>
    <w:rsid w:val="00BF5DEA"/>
    <w:rsid w:val="00BF60BE"/>
    <w:rsid w:val="00BF6250"/>
    <w:rsid w:val="00BF62AA"/>
    <w:rsid w:val="00BF66FC"/>
    <w:rsid w:val="00BF6794"/>
    <w:rsid w:val="00BF6886"/>
    <w:rsid w:val="00BF69D4"/>
    <w:rsid w:val="00BF6AA3"/>
    <w:rsid w:val="00BF6B7D"/>
    <w:rsid w:val="00BF6D6D"/>
    <w:rsid w:val="00BF7044"/>
    <w:rsid w:val="00BF71A8"/>
    <w:rsid w:val="00BF7698"/>
    <w:rsid w:val="00BF7964"/>
    <w:rsid w:val="00BF7BC0"/>
    <w:rsid w:val="00BF7FBE"/>
    <w:rsid w:val="00BF7FF2"/>
    <w:rsid w:val="00C0017D"/>
    <w:rsid w:val="00C00632"/>
    <w:rsid w:val="00C0089D"/>
    <w:rsid w:val="00C0098A"/>
    <w:rsid w:val="00C00CC6"/>
    <w:rsid w:val="00C01C78"/>
    <w:rsid w:val="00C02069"/>
    <w:rsid w:val="00C0272C"/>
    <w:rsid w:val="00C02E00"/>
    <w:rsid w:val="00C0317F"/>
    <w:rsid w:val="00C0319C"/>
    <w:rsid w:val="00C03266"/>
    <w:rsid w:val="00C03318"/>
    <w:rsid w:val="00C03334"/>
    <w:rsid w:val="00C03723"/>
    <w:rsid w:val="00C037C0"/>
    <w:rsid w:val="00C040E8"/>
    <w:rsid w:val="00C0415B"/>
    <w:rsid w:val="00C0422B"/>
    <w:rsid w:val="00C044AC"/>
    <w:rsid w:val="00C04ECD"/>
    <w:rsid w:val="00C052D6"/>
    <w:rsid w:val="00C05378"/>
    <w:rsid w:val="00C0556F"/>
    <w:rsid w:val="00C05704"/>
    <w:rsid w:val="00C0586F"/>
    <w:rsid w:val="00C058E8"/>
    <w:rsid w:val="00C05ABB"/>
    <w:rsid w:val="00C05C79"/>
    <w:rsid w:val="00C05EC1"/>
    <w:rsid w:val="00C05EF6"/>
    <w:rsid w:val="00C060BD"/>
    <w:rsid w:val="00C060D4"/>
    <w:rsid w:val="00C063F5"/>
    <w:rsid w:val="00C06464"/>
    <w:rsid w:val="00C0661F"/>
    <w:rsid w:val="00C0664A"/>
    <w:rsid w:val="00C067B2"/>
    <w:rsid w:val="00C067C0"/>
    <w:rsid w:val="00C06BFC"/>
    <w:rsid w:val="00C0705B"/>
    <w:rsid w:val="00C072B3"/>
    <w:rsid w:val="00C0742E"/>
    <w:rsid w:val="00C078A6"/>
    <w:rsid w:val="00C07AEF"/>
    <w:rsid w:val="00C07B37"/>
    <w:rsid w:val="00C07B5F"/>
    <w:rsid w:val="00C07C06"/>
    <w:rsid w:val="00C07CD7"/>
    <w:rsid w:val="00C07D80"/>
    <w:rsid w:val="00C07E03"/>
    <w:rsid w:val="00C10349"/>
    <w:rsid w:val="00C103BA"/>
    <w:rsid w:val="00C10733"/>
    <w:rsid w:val="00C10960"/>
    <w:rsid w:val="00C10CB6"/>
    <w:rsid w:val="00C10D60"/>
    <w:rsid w:val="00C10D9A"/>
    <w:rsid w:val="00C1121F"/>
    <w:rsid w:val="00C114FE"/>
    <w:rsid w:val="00C116E2"/>
    <w:rsid w:val="00C11CA5"/>
    <w:rsid w:val="00C11F54"/>
    <w:rsid w:val="00C1257B"/>
    <w:rsid w:val="00C1261D"/>
    <w:rsid w:val="00C12CDD"/>
    <w:rsid w:val="00C12DB0"/>
    <w:rsid w:val="00C1303A"/>
    <w:rsid w:val="00C1318A"/>
    <w:rsid w:val="00C1324B"/>
    <w:rsid w:val="00C1326B"/>
    <w:rsid w:val="00C1344B"/>
    <w:rsid w:val="00C135ED"/>
    <w:rsid w:val="00C13AAC"/>
    <w:rsid w:val="00C13E17"/>
    <w:rsid w:val="00C13E66"/>
    <w:rsid w:val="00C13F52"/>
    <w:rsid w:val="00C141B5"/>
    <w:rsid w:val="00C141BD"/>
    <w:rsid w:val="00C1458A"/>
    <w:rsid w:val="00C14611"/>
    <w:rsid w:val="00C1465B"/>
    <w:rsid w:val="00C14682"/>
    <w:rsid w:val="00C14E4E"/>
    <w:rsid w:val="00C14F3E"/>
    <w:rsid w:val="00C1514D"/>
    <w:rsid w:val="00C15620"/>
    <w:rsid w:val="00C15640"/>
    <w:rsid w:val="00C158B4"/>
    <w:rsid w:val="00C15AB6"/>
    <w:rsid w:val="00C15FC3"/>
    <w:rsid w:val="00C16226"/>
    <w:rsid w:val="00C1626D"/>
    <w:rsid w:val="00C1655C"/>
    <w:rsid w:val="00C1687E"/>
    <w:rsid w:val="00C16A0F"/>
    <w:rsid w:val="00C16C2B"/>
    <w:rsid w:val="00C17228"/>
    <w:rsid w:val="00C17494"/>
    <w:rsid w:val="00C1770D"/>
    <w:rsid w:val="00C17F37"/>
    <w:rsid w:val="00C20046"/>
    <w:rsid w:val="00C200B0"/>
    <w:rsid w:val="00C20341"/>
    <w:rsid w:val="00C203A0"/>
    <w:rsid w:val="00C2069A"/>
    <w:rsid w:val="00C208FE"/>
    <w:rsid w:val="00C20A7C"/>
    <w:rsid w:val="00C20D05"/>
    <w:rsid w:val="00C21375"/>
    <w:rsid w:val="00C21602"/>
    <w:rsid w:val="00C21981"/>
    <w:rsid w:val="00C22069"/>
    <w:rsid w:val="00C22749"/>
    <w:rsid w:val="00C2289A"/>
    <w:rsid w:val="00C22B49"/>
    <w:rsid w:val="00C23183"/>
    <w:rsid w:val="00C2320B"/>
    <w:rsid w:val="00C232DD"/>
    <w:rsid w:val="00C2334C"/>
    <w:rsid w:val="00C233B8"/>
    <w:rsid w:val="00C234CA"/>
    <w:rsid w:val="00C2370D"/>
    <w:rsid w:val="00C2372E"/>
    <w:rsid w:val="00C239EE"/>
    <w:rsid w:val="00C23A88"/>
    <w:rsid w:val="00C23B35"/>
    <w:rsid w:val="00C23CC8"/>
    <w:rsid w:val="00C23D87"/>
    <w:rsid w:val="00C24032"/>
    <w:rsid w:val="00C243F2"/>
    <w:rsid w:val="00C24A49"/>
    <w:rsid w:val="00C24D00"/>
    <w:rsid w:val="00C24D59"/>
    <w:rsid w:val="00C252B2"/>
    <w:rsid w:val="00C25309"/>
    <w:rsid w:val="00C2546B"/>
    <w:rsid w:val="00C258B4"/>
    <w:rsid w:val="00C26113"/>
    <w:rsid w:val="00C26184"/>
    <w:rsid w:val="00C265D4"/>
    <w:rsid w:val="00C267A6"/>
    <w:rsid w:val="00C267AF"/>
    <w:rsid w:val="00C267E4"/>
    <w:rsid w:val="00C268C7"/>
    <w:rsid w:val="00C26AB9"/>
    <w:rsid w:val="00C26C0E"/>
    <w:rsid w:val="00C26E1B"/>
    <w:rsid w:val="00C26FB1"/>
    <w:rsid w:val="00C27094"/>
    <w:rsid w:val="00C272D7"/>
    <w:rsid w:val="00C279DB"/>
    <w:rsid w:val="00C27B0B"/>
    <w:rsid w:val="00C306BF"/>
    <w:rsid w:val="00C3071D"/>
    <w:rsid w:val="00C308AB"/>
    <w:rsid w:val="00C308E2"/>
    <w:rsid w:val="00C30937"/>
    <w:rsid w:val="00C30A53"/>
    <w:rsid w:val="00C30DF8"/>
    <w:rsid w:val="00C310B2"/>
    <w:rsid w:val="00C31BC0"/>
    <w:rsid w:val="00C31CC9"/>
    <w:rsid w:val="00C31D85"/>
    <w:rsid w:val="00C321B0"/>
    <w:rsid w:val="00C3237A"/>
    <w:rsid w:val="00C32583"/>
    <w:rsid w:val="00C32CFC"/>
    <w:rsid w:val="00C33244"/>
    <w:rsid w:val="00C33B3A"/>
    <w:rsid w:val="00C33D89"/>
    <w:rsid w:val="00C33F9E"/>
    <w:rsid w:val="00C3452A"/>
    <w:rsid w:val="00C346A6"/>
    <w:rsid w:val="00C3477E"/>
    <w:rsid w:val="00C348D4"/>
    <w:rsid w:val="00C348E7"/>
    <w:rsid w:val="00C34D10"/>
    <w:rsid w:val="00C34E80"/>
    <w:rsid w:val="00C35104"/>
    <w:rsid w:val="00C35565"/>
    <w:rsid w:val="00C359D5"/>
    <w:rsid w:val="00C35AE6"/>
    <w:rsid w:val="00C35B34"/>
    <w:rsid w:val="00C35D9B"/>
    <w:rsid w:val="00C35E51"/>
    <w:rsid w:val="00C35E78"/>
    <w:rsid w:val="00C3642F"/>
    <w:rsid w:val="00C3671F"/>
    <w:rsid w:val="00C36B75"/>
    <w:rsid w:val="00C36FB8"/>
    <w:rsid w:val="00C37A12"/>
    <w:rsid w:val="00C37AB7"/>
    <w:rsid w:val="00C40574"/>
    <w:rsid w:val="00C40C1E"/>
    <w:rsid w:val="00C40D69"/>
    <w:rsid w:val="00C40F48"/>
    <w:rsid w:val="00C40FF3"/>
    <w:rsid w:val="00C411D7"/>
    <w:rsid w:val="00C4133B"/>
    <w:rsid w:val="00C4137D"/>
    <w:rsid w:val="00C41587"/>
    <w:rsid w:val="00C415C5"/>
    <w:rsid w:val="00C41A3D"/>
    <w:rsid w:val="00C41AC0"/>
    <w:rsid w:val="00C41C83"/>
    <w:rsid w:val="00C41E98"/>
    <w:rsid w:val="00C42B80"/>
    <w:rsid w:val="00C42CC9"/>
    <w:rsid w:val="00C42FE6"/>
    <w:rsid w:val="00C430BA"/>
    <w:rsid w:val="00C435B3"/>
    <w:rsid w:val="00C4363C"/>
    <w:rsid w:val="00C43702"/>
    <w:rsid w:val="00C437F9"/>
    <w:rsid w:val="00C43884"/>
    <w:rsid w:val="00C43BD1"/>
    <w:rsid w:val="00C43C45"/>
    <w:rsid w:val="00C43CCC"/>
    <w:rsid w:val="00C440A0"/>
    <w:rsid w:val="00C441D0"/>
    <w:rsid w:val="00C44B28"/>
    <w:rsid w:val="00C44CB2"/>
    <w:rsid w:val="00C44CE9"/>
    <w:rsid w:val="00C44FFC"/>
    <w:rsid w:val="00C4525C"/>
    <w:rsid w:val="00C45765"/>
    <w:rsid w:val="00C4589A"/>
    <w:rsid w:val="00C45B06"/>
    <w:rsid w:val="00C45C4E"/>
    <w:rsid w:val="00C45E4F"/>
    <w:rsid w:val="00C46350"/>
    <w:rsid w:val="00C46469"/>
    <w:rsid w:val="00C464BE"/>
    <w:rsid w:val="00C464ED"/>
    <w:rsid w:val="00C46853"/>
    <w:rsid w:val="00C4689B"/>
    <w:rsid w:val="00C46A38"/>
    <w:rsid w:val="00C46A6D"/>
    <w:rsid w:val="00C46ABE"/>
    <w:rsid w:val="00C46E7E"/>
    <w:rsid w:val="00C470CE"/>
    <w:rsid w:val="00C47429"/>
    <w:rsid w:val="00C47D9D"/>
    <w:rsid w:val="00C502D5"/>
    <w:rsid w:val="00C503BB"/>
    <w:rsid w:val="00C505A4"/>
    <w:rsid w:val="00C50643"/>
    <w:rsid w:val="00C511D4"/>
    <w:rsid w:val="00C51418"/>
    <w:rsid w:val="00C517C5"/>
    <w:rsid w:val="00C51807"/>
    <w:rsid w:val="00C5185C"/>
    <w:rsid w:val="00C51A4C"/>
    <w:rsid w:val="00C51B45"/>
    <w:rsid w:val="00C51EC4"/>
    <w:rsid w:val="00C51F92"/>
    <w:rsid w:val="00C524B9"/>
    <w:rsid w:val="00C52576"/>
    <w:rsid w:val="00C5264D"/>
    <w:rsid w:val="00C527CE"/>
    <w:rsid w:val="00C529B3"/>
    <w:rsid w:val="00C529EA"/>
    <w:rsid w:val="00C52DCC"/>
    <w:rsid w:val="00C53154"/>
    <w:rsid w:val="00C53324"/>
    <w:rsid w:val="00C53801"/>
    <w:rsid w:val="00C53879"/>
    <w:rsid w:val="00C54207"/>
    <w:rsid w:val="00C54292"/>
    <w:rsid w:val="00C54382"/>
    <w:rsid w:val="00C54685"/>
    <w:rsid w:val="00C548C5"/>
    <w:rsid w:val="00C54987"/>
    <w:rsid w:val="00C549B7"/>
    <w:rsid w:val="00C54A93"/>
    <w:rsid w:val="00C54B03"/>
    <w:rsid w:val="00C54B83"/>
    <w:rsid w:val="00C54BBC"/>
    <w:rsid w:val="00C5516E"/>
    <w:rsid w:val="00C55563"/>
    <w:rsid w:val="00C557EA"/>
    <w:rsid w:val="00C559A5"/>
    <w:rsid w:val="00C562E4"/>
    <w:rsid w:val="00C56392"/>
    <w:rsid w:val="00C564F8"/>
    <w:rsid w:val="00C565C4"/>
    <w:rsid w:val="00C56649"/>
    <w:rsid w:val="00C56651"/>
    <w:rsid w:val="00C56990"/>
    <w:rsid w:val="00C56C59"/>
    <w:rsid w:val="00C56C96"/>
    <w:rsid w:val="00C56FE6"/>
    <w:rsid w:val="00C570E5"/>
    <w:rsid w:val="00C57365"/>
    <w:rsid w:val="00C5756B"/>
    <w:rsid w:val="00C57718"/>
    <w:rsid w:val="00C57784"/>
    <w:rsid w:val="00C578E7"/>
    <w:rsid w:val="00C57A1E"/>
    <w:rsid w:val="00C57C11"/>
    <w:rsid w:val="00C57D2B"/>
    <w:rsid w:val="00C57D77"/>
    <w:rsid w:val="00C60331"/>
    <w:rsid w:val="00C6043F"/>
    <w:rsid w:val="00C6081D"/>
    <w:rsid w:val="00C60B3B"/>
    <w:rsid w:val="00C61227"/>
    <w:rsid w:val="00C61348"/>
    <w:rsid w:val="00C6174D"/>
    <w:rsid w:val="00C61B05"/>
    <w:rsid w:val="00C61D84"/>
    <w:rsid w:val="00C61DEE"/>
    <w:rsid w:val="00C61E9B"/>
    <w:rsid w:val="00C6205B"/>
    <w:rsid w:val="00C62116"/>
    <w:rsid w:val="00C62314"/>
    <w:rsid w:val="00C6235F"/>
    <w:rsid w:val="00C62539"/>
    <w:rsid w:val="00C627CB"/>
    <w:rsid w:val="00C6293A"/>
    <w:rsid w:val="00C62F5F"/>
    <w:rsid w:val="00C63040"/>
    <w:rsid w:val="00C63250"/>
    <w:rsid w:val="00C6347D"/>
    <w:rsid w:val="00C635C9"/>
    <w:rsid w:val="00C635EA"/>
    <w:rsid w:val="00C63728"/>
    <w:rsid w:val="00C638FE"/>
    <w:rsid w:val="00C63D6F"/>
    <w:rsid w:val="00C63D91"/>
    <w:rsid w:val="00C6426B"/>
    <w:rsid w:val="00C6427A"/>
    <w:rsid w:val="00C643E6"/>
    <w:rsid w:val="00C64592"/>
    <w:rsid w:val="00C64648"/>
    <w:rsid w:val="00C648E7"/>
    <w:rsid w:val="00C64966"/>
    <w:rsid w:val="00C64B35"/>
    <w:rsid w:val="00C64FC4"/>
    <w:rsid w:val="00C6571A"/>
    <w:rsid w:val="00C65AD5"/>
    <w:rsid w:val="00C65EC0"/>
    <w:rsid w:val="00C660A4"/>
    <w:rsid w:val="00C66458"/>
    <w:rsid w:val="00C666F8"/>
    <w:rsid w:val="00C668B5"/>
    <w:rsid w:val="00C668EE"/>
    <w:rsid w:val="00C6698C"/>
    <w:rsid w:val="00C66A3D"/>
    <w:rsid w:val="00C66E5B"/>
    <w:rsid w:val="00C66F40"/>
    <w:rsid w:val="00C67024"/>
    <w:rsid w:val="00C6740E"/>
    <w:rsid w:val="00C676CD"/>
    <w:rsid w:val="00C67753"/>
    <w:rsid w:val="00C678B1"/>
    <w:rsid w:val="00C70275"/>
    <w:rsid w:val="00C7051C"/>
    <w:rsid w:val="00C709BF"/>
    <w:rsid w:val="00C70E56"/>
    <w:rsid w:val="00C70EB7"/>
    <w:rsid w:val="00C711CB"/>
    <w:rsid w:val="00C71AA3"/>
    <w:rsid w:val="00C71FC5"/>
    <w:rsid w:val="00C722B8"/>
    <w:rsid w:val="00C72847"/>
    <w:rsid w:val="00C72960"/>
    <w:rsid w:val="00C72ABB"/>
    <w:rsid w:val="00C73354"/>
    <w:rsid w:val="00C74030"/>
    <w:rsid w:val="00C74298"/>
    <w:rsid w:val="00C743AD"/>
    <w:rsid w:val="00C74433"/>
    <w:rsid w:val="00C74989"/>
    <w:rsid w:val="00C74AEF"/>
    <w:rsid w:val="00C74EE5"/>
    <w:rsid w:val="00C75102"/>
    <w:rsid w:val="00C7529F"/>
    <w:rsid w:val="00C75399"/>
    <w:rsid w:val="00C75837"/>
    <w:rsid w:val="00C75887"/>
    <w:rsid w:val="00C758DD"/>
    <w:rsid w:val="00C75CB5"/>
    <w:rsid w:val="00C75E12"/>
    <w:rsid w:val="00C76002"/>
    <w:rsid w:val="00C76101"/>
    <w:rsid w:val="00C76134"/>
    <w:rsid w:val="00C7625F"/>
    <w:rsid w:val="00C763EE"/>
    <w:rsid w:val="00C7645B"/>
    <w:rsid w:val="00C7676F"/>
    <w:rsid w:val="00C76927"/>
    <w:rsid w:val="00C769EF"/>
    <w:rsid w:val="00C76B71"/>
    <w:rsid w:val="00C771F6"/>
    <w:rsid w:val="00C7724A"/>
    <w:rsid w:val="00C77A25"/>
    <w:rsid w:val="00C77E3C"/>
    <w:rsid w:val="00C77E5B"/>
    <w:rsid w:val="00C801BC"/>
    <w:rsid w:val="00C803AF"/>
    <w:rsid w:val="00C806D0"/>
    <w:rsid w:val="00C80C63"/>
    <w:rsid w:val="00C8112D"/>
    <w:rsid w:val="00C8117A"/>
    <w:rsid w:val="00C8183F"/>
    <w:rsid w:val="00C82048"/>
    <w:rsid w:val="00C822E4"/>
    <w:rsid w:val="00C825F0"/>
    <w:rsid w:val="00C8263B"/>
    <w:rsid w:val="00C82A5A"/>
    <w:rsid w:val="00C82B80"/>
    <w:rsid w:val="00C82BC7"/>
    <w:rsid w:val="00C82F3B"/>
    <w:rsid w:val="00C831AF"/>
    <w:rsid w:val="00C831C3"/>
    <w:rsid w:val="00C83B49"/>
    <w:rsid w:val="00C83C37"/>
    <w:rsid w:val="00C83E78"/>
    <w:rsid w:val="00C83EB8"/>
    <w:rsid w:val="00C84171"/>
    <w:rsid w:val="00C8467B"/>
    <w:rsid w:val="00C846D9"/>
    <w:rsid w:val="00C8473E"/>
    <w:rsid w:val="00C84A6B"/>
    <w:rsid w:val="00C84BE6"/>
    <w:rsid w:val="00C84EC1"/>
    <w:rsid w:val="00C85003"/>
    <w:rsid w:val="00C8555C"/>
    <w:rsid w:val="00C85614"/>
    <w:rsid w:val="00C85766"/>
    <w:rsid w:val="00C8592C"/>
    <w:rsid w:val="00C859A0"/>
    <w:rsid w:val="00C86043"/>
    <w:rsid w:val="00C860AE"/>
    <w:rsid w:val="00C860BB"/>
    <w:rsid w:val="00C86529"/>
    <w:rsid w:val="00C866D2"/>
    <w:rsid w:val="00C869E1"/>
    <w:rsid w:val="00C86C9E"/>
    <w:rsid w:val="00C86E96"/>
    <w:rsid w:val="00C86FF2"/>
    <w:rsid w:val="00C8712F"/>
    <w:rsid w:val="00C872A4"/>
    <w:rsid w:val="00C876A2"/>
    <w:rsid w:val="00C90353"/>
    <w:rsid w:val="00C90873"/>
    <w:rsid w:val="00C90E48"/>
    <w:rsid w:val="00C913F1"/>
    <w:rsid w:val="00C91520"/>
    <w:rsid w:val="00C9168F"/>
    <w:rsid w:val="00C91787"/>
    <w:rsid w:val="00C91914"/>
    <w:rsid w:val="00C9191E"/>
    <w:rsid w:val="00C91CC1"/>
    <w:rsid w:val="00C9219B"/>
    <w:rsid w:val="00C922F0"/>
    <w:rsid w:val="00C9239A"/>
    <w:rsid w:val="00C924B1"/>
    <w:rsid w:val="00C92558"/>
    <w:rsid w:val="00C926F3"/>
    <w:rsid w:val="00C92B4E"/>
    <w:rsid w:val="00C92C32"/>
    <w:rsid w:val="00C92C9B"/>
    <w:rsid w:val="00C92CA2"/>
    <w:rsid w:val="00C9300A"/>
    <w:rsid w:val="00C932DB"/>
    <w:rsid w:val="00C93C79"/>
    <w:rsid w:val="00C941CC"/>
    <w:rsid w:val="00C94397"/>
    <w:rsid w:val="00C943EA"/>
    <w:rsid w:val="00C946D1"/>
    <w:rsid w:val="00C94B25"/>
    <w:rsid w:val="00C94CAA"/>
    <w:rsid w:val="00C95449"/>
    <w:rsid w:val="00C95BEF"/>
    <w:rsid w:val="00C95E00"/>
    <w:rsid w:val="00C9657A"/>
    <w:rsid w:val="00C96A79"/>
    <w:rsid w:val="00C96DBC"/>
    <w:rsid w:val="00C9719F"/>
    <w:rsid w:val="00C9790B"/>
    <w:rsid w:val="00C97D87"/>
    <w:rsid w:val="00C97FE8"/>
    <w:rsid w:val="00CA043E"/>
    <w:rsid w:val="00CA0874"/>
    <w:rsid w:val="00CA0E98"/>
    <w:rsid w:val="00CA152C"/>
    <w:rsid w:val="00CA1588"/>
    <w:rsid w:val="00CA1606"/>
    <w:rsid w:val="00CA16BD"/>
    <w:rsid w:val="00CA16C4"/>
    <w:rsid w:val="00CA171C"/>
    <w:rsid w:val="00CA1B4D"/>
    <w:rsid w:val="00CA1EB3"/>
    <w:rsid w:val="00CA20BA"/>
    <w:rsid w:val="00CA2818"/>
    <w:rsid w:val="00CA28A3"/>
    <w:rsid w:val="00CA290E"/>
    <w:rsid w:val="00CA2936"/>
    <w:rsid w:val="00CA2B6F"/>
    <w:rsid w:val="00CA2C56"/>
    <w:rsid w:val="00CA319F"/>
    <w:rsid w:val="00CA3364"/>
    <w:rsid w:val="00CA336C"/>
    <w:rsid w:val="00CA36D1"/>
    <w:rsid w:val="00CA3736"/>
    <w:rsid w:val="00CA38E0"/>
    <w:rsid w:val="00CA3970"/>
    <w:rsid w:val="00CA3B17"/>
    <w:rsid w:val="00CA3B7C"/>
    <w:rsid w:val="00CA3B80"/>
    <w:rsid w:val="00CA3FEE"/>
    <w:rsid w:val="00CA4014"/>
    <w:rsid w:val="00CA407F"/>
    <w:rsid w:val="00CA4627"/>
    <w:rsid w:val="00CA4655"/>
    <w:rsid w:val="00CA4894"/>
    <w:rsid w:val="00CA48A6"/>
    <w:rsid w:val="00CA48D4"/>
    <w:rsid w:val="00CA5209"/>
    <w:rsid w:val="00CA5387"/>
    <w:rsid w:val="00CA5A11"/>
    <w:rsid w:val="00CA5BBE"/>
    <w:rsid w:val="00CA5C4C"/>
    <w:rsid w:val="00CA5CA2"/>
    <w:rsid w:val="00CA5DA2"/>
    <w:rsid w:val="00CA61AD"/>
    <w:rsid w:val="00CA65F9"/>
    <w:rsid w:val="00CA6A4E"/>
    <w:rsid w:val="00CA6EE1"/>
    <w:rsid w:val="00CA6F70"/>
    <w:rsid w:val="00CA79C3"/>
    <w:rsid w:val="00CA7BE9"/>
    <w:rsid w:val="00CA7FA9"/>
    <w:rsid w:val="00CA7FCD"/>
    <w:rsid w:val="00CB0016"/>
    <w:rsid w:val="00CB01D5"/>
    <w:rsid w:val="00CB0DE6"/>
    <w:rsid w:val="00CB0E53"/>
    <w:rsid w:val="00CB0F17"/>
    <w:rsid w:val="00CB1212"/>
    <w:rsid w:val="00CB18B3"/>
    <w:rsid w:val="00CB1B37"/>
    <w:rsid w:val="00CB1DF4"/>
    <w:rsid w:val="00CB219D"/>
    <w:rsid w:val="00CB21FC"/>
    <w:rsid w:val="00CB2677"/>
    <w:rsid w:val="00CB28E7"/>
    <w:rsid w:val="00CB2B21"/>
    <w:rsid w:val="00CB2CE3"/>
    <w:rsid w:val="00CB2E20"/>
    <w:rsid w:val="00CB3300"/>
    <w:rsid w:val="00CB341B"/>
    <w:rsid w:val="00CB3793"/>
    <w:rsid w:val="00CB4206"/>
    <w:rsid w:val="00CB4350"/>
    <w:rsid w:val="00CB4761"/>
    <w:rsid w:val="00CB4903"/>
    <w:rsid w:val="00CB4973"/>
    <w:rsid w:val="00CB4B0D"/>
    <w:rsid w:val="00CB4BC0"/>
    <w:rsid w:val="00CB4D94"/>
    <w:rsid w:val="00CB4E08"/>
    <w:rsid w:val="00CB4FAB"/>
    <w:rsid w:val="00CB5289"/>
    <w:rsid w:val="00CB52B6"/>
    <w:rsid w:val="00CB54A6"/>
    <w:rsid w:val="00CB5669"/>
    <w:rsid w:val="00CB5B1F"/>
    <w:rsid w:val="00CB5C34"/>
    <w:rsid w:val="00CB623C"/>
    <w:rsid w:val="00CB6339"/>
    <w:rsid w:val="00CB6B44"/>
    <w:rsid w:val="00CB743F"/>
    <w:rsid w:val="00CB79A1"/>
    <w:rsid w:val="00CB7AD7"/>
    <w:rsid w:val="00CB7BA6"/>
    <w:rsid w:val="00CC02E7"/>
    <w:rsid w:val="00CC03A4"/>
    <w:rsid w:val="00CC0DCE"/>
    <w:rsid w:val="00CC1118"/>
    <w:rsid w:val="00CC11DD"/>
    <w:rsid w:val="00CC11DF"/>
    <w:rsid w:val="00CC1412"/>
    <w:rsid w:val="00CC1790"/>
    <w:rsid w:val="00CC2027"/>
    <w:rsid w:val="00CC20B2"/>
    <w:rsid w:val="00CC2176"/>
    <w:rsid w:val="00CC22F0"/>
    <w:rsid w:val="00CC2420"/>
    <w:rsid w:val="00CC2651"/>
    <w:rsid w:val="00CC2897"/>
    <w:rsid w:val="00CC29AE"/>
    <w:rsid w:val="00CC2A03"/>
    <w:rsid w:val="00CC2C44"/>
    <w:rsid w:val="00CC35AA"/>
    <w:rsid w:val="00CC3B8E"/>
    <w:rsid w:val="00CC3CAA"/>
    <w:rsid w:val="00CC490C"/>
    <w:rsid w:val="00CC4A6C"/>
    <w:rsid w:val="00CC508F"/>
    <w:rsid w:val="00CC52DA"/>
    <w:rsid w:val="00CC5449"/>
    <w:rsid w:val="00CC5468"/>
    <w:rsid w:val="00CC54DA"/>
    <w:rsid w:val="00CC55D2"/>
    <w:rsid w:val="00CC55E4"/>
    <w:rsid w:val="00CC56AE"/>
    <w:rsid w:val="00CC5B77"/>
    <w:rsid w:val="00CC5E38"/>
    <w:rsid w:val="00CC60F9"/>
    <w:rsid w:val="00CC614A"/>
    <w:rsid w:val="00CC6267"/>
    <w:rsid w:val="00CC66AA"/>
    <w:rsid w:val="00CC6DB8"/>
    <w:rsid w:val="00CC71E7"/>
    <w:rsid w:val="00CC7DB0"/>
    <w:rsid w:val="00CC7F09"/>
    <w:rsid w:val="00CD01B9"/>
    <w:rsid w:val="00CD06AF"/>
    <w:rsid w:val="00CD06C0"/>
    <w:rsid w:val="00CD07B2"/>
    <w:rsid w:val="00CD08C1"/>
    <w:rsid w:val="00CD0C13"/>
    <w:rsid w:val="00CD1218"/>
    <w:rsid w:val="00CD1999"/>
    <w:rsid w:val="00CD199B"/>
    <w:rsid w:val="00CD2053"/>
    <w:rsid w:val="00CD214C"/>
    <w:rsid w:val="00CD2249"/>
    <w:rsid w:val="00CD24D2"/>
    <w:rsid w:val="00CD24DA"/>
    <w:rsid w:val="00CD25FB"/>
    <w:rsid w:val="00CD289A"/>
    <w:rsid w:val="00CD2FEF"/>
    <w:rsid w:val="00CD3461"/>
    <w:rsid w:val="00CD3500"/>
    <w:rsid w:val="00CD3521"/>
    <w:rsid w:val="00CD3593"/>
    <w:rsid w:val="00CD3668"/>
    <w:rsid w:val="00CD380E"/>
    <w:rsid w:val="00CD3A2E"/>
    <w:rsid w:val="00CD3A3D"/>
    <w:rsid w:val="00CD3BD0"/>
    <w:rsid w:val="00CD3E4C"/>
    <w:rsid w:val="00CD3F91"/>
    <w:rsid w:val="00CD41EF"/>
    <w:rsid w:val="00CD450F"/>
    <w:rsid w:val="00CD47AF"/>
    <w:rsid w:val="00CD48BE"/>
    <w:rsid w:val="00CD5047"/>
    <w:rsid w:val="00CD5EF4"/>
    <w:rsid w:val="00CD60DB"/>
    <w:rsid w:val="00CD631C"/>
    <w:rsid w:val="00CD658F"/>
    <w:rsid w:val="00CD66B4"/>
    <w:rsid w:val="00CD67FB"/>
    <w:rsid w:val="00CD6954"/>
    <w:rsid w:val="00CD6A0C"/>
    <w:rsid w:val="00CD6F04"/>
    <w:rsid w:val="00CD729B"/>
    <w:rsid w:val="00CD7480"/>
    <w:rsid w:val="00CD76E6"/>
    <w:rsid w:val="00CD7981"/>
    <w:rsid w:val="00CD7DC0"/>
    <w:rsid w:val="00CD7E60"/>
    <w:rsid w:val="00CE02D3"/>
    <w:rsid w:val="00CE0310"/>
    <w:rsid w:val="00CE04D7"/>
    <w:rsid w:val="00CE06E9"/>
    <w:rsid w:val="00CE085E"/>
    <w:rsid w:val="00CE0A0B"/>
    <w:rsid w:val="00CE0ACE"/>
    <w:rsid w:val="00CE15E5"/>
    <w:rsid w:val="00CE18CE"/>
    <w:rsid w:val="00CE1D6B"/>
    <w:rsid w:val="00CE1DBC"/>
    <w:rsid w:val="00CE1F96"/>
    <w:rsid w:val="00CE2718"/>
    <w:rsid w:val="00CE2779"/>
    <w:rsid w:val="00CE29D0"/>
    <w:rsid w:val="00CE2A21"/>
    <w:rsid w:val="00CE2DB3"/>
    <w:rsid w:val="00CE2E2D"/>
    <w:rsid w:val="00CE321C"/>
    <w:rsid w:val="00CE3305"/>
    <w:rsid w:val="00CE3435"/>
    <w:rsid w:val="00CE3656"/>
    <w:rsid w:val="00CE3985"/>
    <w:rsid w:val="00CE3D27"/>
    <w:rsid w:val="00CE3EE4"/>
    <w:rsid w:val="00CE429A"/>
    <w:rsid w:val="00CE4611"/>
    <w:rsid w:val="00CE4DDD"/>
    <w:rsid w:val="00CE4E27"/>
    <w:rsid w:val="00CE5686"/>
    <w:rsid w:val="00CE57CB"/>
    <w:rsid w:val="00CE5AA0"/>
    <w:rsid w:val="00CE5F52"/>
    <w:rsid w:val="00CE65A0"/>
    <w:rsid w:val="00CE66EB"/>
    <w:rsid w:val="00CE679C"/>
    <w:rsid w:val="00CE6AC7"/>
    <w:rsid w:val="00CE6F59"/>
    <w:rsid w:val="00CE70EF"/>
    <w:rsid w:val="00CE725D"/>
    <w:rsid w:val="00CE7278"/>
    <w:rsid w:val="00CE73FC"/>
    <w:rsid w:val="00CE751C"/>
    <w:rsid w:val="00CE7A69"/>
    <w:rsid w:val="00CE7CA9"/>
    <w:rsid w:val="00CE7CC9"/>
    <w:rsid w:val="00CF0194"/>
    <w:rsid w:val="00CF01A3"/>
    <w:rsid w:val="00CF03EC"/>
    <w:rsid w:val="00CF09D2"/>
    <w:rsid w:val="00CF0A22"/>
    <w:rsid w:val="00CF0B89"/>
    <w:rsid w:val="00CF0DD8"/>
    <w:rsid w:val="00CF14DD"/>
    <w:rsid w:val="00CF1518"/>
    <w:rsid w:val="00CF156B"/>
    <w:rsid w:val="00CF17F6"/>
    <w:rsid w:val="00CF19B8"/>
    <w:rsid w:val="00CF1B94"/>
    <w:rsid w:val="00CF1D3F"/>
    <w:rsid w:val="00CF256F"/>
    <w:rsid w:val="00CF26BF"/>
    <w:rsid w:val="00CF2880"/>
    <w:rsid w:val="00CF298F"/>
    <w:rsid w:val="00CF2A8F"/>
    <w:rsid w:val="00CF2B54"/>
    <w:rsid w:val="00CF2B68"/>
    <w:rsid w:val="00CF2BAA"/>
    <w:rsid w:val="00CF2CB2"/>
    <w:rsid w:val="00CF2ED2"/>
    <w:rsid w:val="00CF2F4B"/>
    <w:rsid w:val="00CF314B"/>
    <w:rsid w:val="00CF319F"/>
    <w:rsid w:val="00CF31A1"/>
    <w:rsid w:val="00CF331E"/>
    <w:rsid w:val="00CF34F8"/>
    <w:rsid w:val="00CF3909"/>
    <w:rsid w:val="00CF39CD"/>
    <w:rsid w:val="00CF3B5E"/>
    <w:rsid w:val="00CF3BB2"/>
    <w:rsid w:val="00CF3BE2"/>
    <w:rsid w:val="00CF435B"/>
    <w:rsid w:val="00CF43B2"/>
    <w:rsid w:val="00CF44C2"/>
    <w:rsid w:val="00CF45DD"/>
    <w:rsid w:val="00CF4BCE"/>
    <w:rsid w:val="00CF4E15"/>
    <w:rsid w:val="00CF4EAB"/>
    <w:rsid w:val="00CF51C3"/>
    <w:rsid w:val="00CF57A3"/>
    <w:rsid w:val="00CF5E83"/>
    <w:rsid w:val="00CF5EE0"/>
    <w:rsid w:val="00CF60D4"/>
    <w:rsid w:val="00CF60DA"/>
    <w:rsid w:val="00CF64ED"/>
    <w:rsid w:val="00CF653B"/>
    <w:rsid w:val="00CF66E2"/>
    <w:rsid w:val="00CF6A4D"/>
    <w:rsid w:val="00CF6AA6"/>
    <w:rsid w:val="00CF6AD6"/>
    <w:rsid w:val="00CF6BBF"/>
    <w:rsid w:val="00CF6F8C"/>
    <w:rsid w:val="00CF7015"/>
    <w:rsid w:val="00CF7083"/>
    <w:rsid w:val="00CF73AC"/>
    <w:rsid w:val="00CF7549"/>
    <w:rsid w:val="00CF75AD"/>
    <w:rsid w:val="00CF75F9"/>
    <w:rsid w:val="00CF7971"/>
    <w:rsid w:val="00CF79CC"/>
    <w:rsid w:val="00CF7F06"/>
    <w:rsid w:val="00D0032B"/>
    <w:rsid w:val="00D0092C"/>
    <w:rsid w:val="00D01648"/>
    <w:rsid w:val="00D01B05"/>
    <w:rsid w:val="00D01E09"/>
    <w:rsid w:val="00D0202F"/>
    <w:rsid w:val="00D0243F"/>
    <w:rsid w:val="00D02553"/>
    <w:rsid w:val="00D02720"/>
    <w:rsid w:val="00D02CB4"/>
    <w:rsid w:val="00D03282"/>
    <w:rsid w:val="00D03436"/>
    <w:rsid w:val="00D03700"/>
    <w:rsid w:val="00D03C3D"/>
    <w:rsid w:val="00D03D6D"/>
    <w:rsid w:val="00D041C2"/>
    <w:rsid w:val="00D042E4"/>
    <w:rsid w:val="00D0432E"/>
    <w:rsid w:val="00D044A7"/>
    <w:rsid w:val="00D0460F"/>
    <w:rsid w:val="00D04B7A"/>
    <w:rsid w:val="00D0506D"/>
    <w:rsid w:val="00D05373"/>
    <w:rsid w:val="00D055BA"/>
    <w:rsid w:val="00D05810"/>
    <w:rsid w:val="00D05A82"/>
    <w:rsid w:val="00D05D38"/>
    <w:rsid w:val="00D05D4B"/>
    <w:rsid w:val="00D06196"/>
    <w:rsid w:val="00D0683D"/>
    <w:rsid w:val="00D06847"/>
    <w:rsid w:val="00D06997"/>
    <w:rsid w:val="00D06C91"/>
    <w:rsid w:val="00D06CD3"/>
    <w:rsid w:val="00D07116"/>
    <w:rsid w:val="00D07437"/>
    <w:rsid w:val="00D07DB0"/>
    <w:rsid w:val="00D100B8"/>
    <w:rsid w:val="00D1082C"/>
    <w:rsid w:val="00D1098F"/>
    <w:rsid w:val="00D10D1B"/>
    <w:rsid w:val="00D10D51"/>
    <w:rsid w:val="00D10E00"/>
    <w:rsid w:val="00D110FB"/>
    <w:rsid w:val="00D1128F"/>
    <w:rsid w:val="00D11394"/>
    <w:rsid w:val="00D11537"/>
    <w:rsid w:val="00D11688"/>
    <w:rsid w:val="00D118EA"/>
    <w:rsid w:val="00D11992"/>
    <w:rsid w:val="00D1264C"/>
    <w:rsid w:val="00D12910"/>
    <w:rsid w:val="00D12A5C"/>
    <w:rsid w:val="00D12C1D"/>
    <w:rsid w:val="00D12DF7"/>
    <w:rsid w:val="00D12E47"/>
    <w:rsid w:val="00D12F72"/>
    <w:rsid w:val="00D133C3"/>
    <w:rsid w:val="00D13504"/>
    <w:rsid w:val="00D13745"/>
    <w:rsid w:val="00D139C7"/>
    <w:rsid w:val="00D13A06"/>
    <w:rsid w:val="00D13A71"/>
    <w:rsid w:val="00D13BBE"/>
    <w:rsid w:val="00D14258"/>
    <w:rsid w:val="00D14281"/>
    <w:rsid w:val="00D14762"/>
    <w:rsid w:val="00D1480A"/>
    <w:rsid w:val="00D14823"/>
    <w:rsid w:val="00D14BCD"/>
    <w:rsid w:val="00D14DFC"/>
    <w:rsid w:val="00D14E43"/>
    <w:rsid w:val="00D156B2"/>
    <w:rsid w:val="00D158EB"/>
    <w:rsid w:val="00D15B27"/>
    <w:rsid w:val="00D15B53"/>
    <w:rsid w:val="00D15D5F"/>
    <w:rsid w:val="00D15F0C"/>
    <w:rsid w:val="00D16327"/>
    <w:rsid w:val="00D1666C"/>
    <w:rsid w:val="00D16815"/>
    <w:rsid w:val="00D16837"/>
    <w:rsid w:val="00D16867"/>
    <w:rsid w:val="00D1706B"/>
    <w:rsid w:val="00D172F7"/>
    <w:rsid w:val="00D17C2D"/>
    <w:rsid w:val="00D17F1F"/>
    <w:rsid w:val="00D17FD5"/>
    <w:rsid w:val="00D2007D"/>
    <w:rsid w:val="00D20440"/>
    <w:rsid w:val="00D2060C"/>
    <w:rsid w:val="00D206E4"/>
    <w:rsid w:val="00D20A3E"/>
    <w:rsid w:val="00D20A55"/>
    <w:rsid w:val="00D20B55"/>
    <w:rsid w:val="00D20B9D"/>
    <w:rsid w:val="00D20CED"/>
    <w:rsid w:val="00D20F0D"/>
    <w:rsid w:val="00D21084"/>
    <w:rsid w:val="00D210BB"/>
    <w:rsid w:val="00D21486"/>
    <w:rsid w:val="00D221BA"/>
    <w:rsid w:val="00D225F3"/>
    <w:rsid w:val="00D227BD"/>
    <w:rsid w:val="00D228E9"/>
    <w:rsid w:val="00D22B6A"/>
    <w:rsid w:val="00D22D9C"/>
    <w:rsid w:val="00D22DAF"/>
    <w:rsid w:val="00D22FB7"/>
    <w:rsid w:val="00D23133"/>
    <w:rsid w:val="00D236B4"/>
    <w:rsid w:val="00D239E7"/>
    <w:rsid w:val="00D23AFF"/>
    <w:rsid w:val="00D23EB3"/>
    <w:rsid w:val="00D23F88"/>
    <w:rsid w:val="00D2416C"/>
    <w:rsid w:val="00D2420A"/>
    <w:rsid w:val="00D2429E"/>
    <w:rsid w:val="00D242CB"/>
    <w:rsid w:val="00D24405"/>
    <w:rsid w:val="00D24654"/>
    <w:rsid w:val="00D24F62"/>
    <w:rsid w:val="00D25537"/>
    <w:rsid w:val="00D2567A"/>
    <w:rsid w:val="00D25774"/>
    <w:rsid w:val="00D25ADF"/>
    <w:rsid w:val="00D25CBD"/>
    <w:rsid w:val="00D25DAE"/>
    <w:rsid w:val="00D25E08"/>
    <w:rsid w:val="00D25F4D"/>
    <w:rsid w:val="00D2617C"/>
    <w:rsid w:val="00D266F4"/>
    <w:rsid w:val="00D267B5"/>
    <w:rsid w:val="00D26814"/>
    <w:rsid w:val="00D269F2"/>
    <w:rsid w:val="00D26DDE"/>
    <w:rsid w:val="00D27398"/>
    <w:rsid w:val="00D27678"/>
    <w:rsid w:val="00D27E86"/>
    <w:rsid w:val="00D27EDC"/>
    <w:rsid w:val="00D27F39"/>
    <w:rsid w:val="00D301C7"/>
    <w:rsid w:val="00D30220"/>
    <w:rsid w:val="00D30339"/>
    <w:rsid w:val="00D3044E"/>
    <w:rsid w:val="00D30A67"/>
    <w:rsid w:val="00D30BDA"/>
    <w:rsid w:val="00D30D0B"/>
    <w:rsid w:val="00D30F94"/>
    <w:rsid w:val="00D317F2"/>
    <w:rsid w:val="00D31919"/>
    <w:rsid w:val="00D31A87"/>
    <w:rsid w:val="00D31D36"/>
    <w:rsid w:val="00D31E9F"/>
    <w:rsid w:val="00D32142"/>
    <w:rsid w:val="00D3237B"/>
    <w:rsid w:val="00D324F0"/>
    <w:rsid w:val="00D32642"/>
    <w:rsid w:val="00D328F4"/>
    <w:rsid w:val="00D32BB7"/>
    <w:rsid w:val="00D32C20"/>
    <w:rsid w:val="00D32E9B"/>
    <w:rsid w:val="00D33051"/>
    <w:rsid w:val="00D3353C"/>
    <w:rsid w:val="00D33911"/>
    <w:rsid w:val="00D33BB7"/>
    <w:rsid w:val="00D33DF0"/>
    <w:rsid w:val="00D34A75"/>
    <w:rsid w:val="00D350A9"/>
    <w:rsid w:val="00D354D7"/>
    <w:rsid w:val="00D355DB"/>
    <w:rsid w:val="00D35947"/>
    <w:rsid w:val="00D35A6F"/>
    <w:rsid w:val="00D35BBB"/>
    <w:rsid w:val="00D35CA6"/>
    <w:rsid w:val="00D35D59"/>
    <w:rsid w:val="00D35E64"/>
    <w:rsid w:val="00D35FEA"/>
    <w:rsid w:val="00D3604B"/>
    <w:rsid w:val="00D3607A"/>
    <w:rsid w:val="00D3625F"/>
    <w:rsid w:val="00D362F5"/>
    <w:rsid w:val="00D364A5"/>
    <w:rsid w:val="00D368D8"/>
    <w:rsid w:val="00D37150"/>
    <w:rsid w:val="00D371BD"/>
    <w:rsid w:val="00D37427"/>
    <w:rsid w:val="00D3785C"/>
    <w:rsid w:val="00D379FA"/>
    <w:rsid w:val="00D40267"/>
    <w:rsid w:val="00D402E4"/>
    <w:rsid w:val="00D40528"/>
    <w:rsid w:val="00D40574"/>
    <w:rsid w:val="00D40603"/>
    <w:rsid w:val="00D40681"/>
    <w:rsid w:val="00D40972"/>
    <w:rsid w:val="00D40980"/>
    <w:rsid w:val="00D40A99"/>
    <w:rsid w:val="00D40B22"/>
    <w:rsid w:val="00D40B2B"/>
    <w:rsid w:val="00D4100A"/>
    <w:rsid w:val="00D4109F"/>
    <w:rsid w:val="00D41339"/>
    <w:rsid w:val="00D413AA"/>
    <w:rsid w:val="00D4151F"/>
    <w:rsid w:val="00D41657"/>
    <w:rsid w:val="00D41B69"/>
    <w:rsid w:val="00D41C1C"/>
    <w:rsid w:val="00D41CFD"/>
    <w:rsid w:val="00D41DE5"/>
    <w:rsid w:val="00D41E02"/>
    <w:rsid w:val="00D41E81"/>
    <w:rsid w:val="00D42275"/>
    <w:rsid w:val="00D427D5"/>
    <w:rsid w:val="00D427D9"/>
    <w:rsid w:val="00D42A97"/>
    <w:rsid w:val="00D42F84"/>
    <w:rsid w:val="00D42FB2"/>
    <w:rsid w:val="00D430AD"/>
    <w:rsid w:val="00D432E5"/>
    <w:rsid w:val="00D4337A"/>
    <w:rsid w:val="00D43489"/>
    <w:rsid w:val="00D436E9"/>
    <w:rsid w:val="00D43C68"/>
    <w:rsid w:val="00D44001"/>
    <w:rsid w:val="00D44240"/>
    <w:rsid w:val="00D4425D"/>
    <w:rsid w:val="00D44571"/>
    <w:rsid w:val="00D4460A"/>
    <w:rsid w:val="00D44793"/>
    <w:rsid w:val="00D449B3"/>
    <w:rsid w:val="00D45107"/>
    <w:rsid w:val="00D45248"/>
    <w:rsid w:val="00D453F2"/>
    <w:rsid w:val="00D454B1"/>
    <w:rsid w:val="00D45689"/>
    <w:rsid w:val="00D459FD"/>
    <w:rsid w:val="00D45C62"/>
    <w:rsid w:val="00D4603B"/>
    <w:rsid w:val="00D46324"/>
    <w:rsid w:val="00D46396"/>
    <w:rsid w:val="00D463AF"/>
    <w:rsid w:val="00D463BA"/>
    <w:rsid w:val="00D47009"/>
    <w:rsid w:val="00D4716E"/>
    <w:rsid w:val="00D47455"/>
    <w:rsid w:val="00D47472"/>
    <w:rsid w:val="00D475CA"/>
    <w:rsid w:val="00D47AFE"/>
    <w:rsid w:val="00D47BD0"/>
    <w:rsid w:val="00D47C72"/>
    <w:rsid w:val="00D47C8E"/>
    <w:rsid w:val="00D47EC2"/>
    <w:rsid w:val="00D500C2"/>
    <w:rsid w:val="00D50279"/>
    <w:rsid w:val="00D5033A"/>
    <w:rsid w:val="00D50A51"/>
    <w:rsid w:val="00D50E74"/>
    <w:rsid w:val="00D510DB"/>
    <w:rsid w:val="00D51261"/>
    <w:rsid w:val="00D512AE"/>
    <w:rsid w:val="00D515C4"/>
    <w:rsid w:val="00D51654"/>
    <w:rsid w:val="00D516A2"/>
    <w:rsid w:val="00D51B48"/>
    <w:rsid w:val="00D51B9B"/>
    <w:rsid w:val="00D51D27"/>
    <w:rsid w:val="00D51D81"/>
    <w:rsid w:val="00D51E1A"/>
    <w:rsid w:val="00D51FA3"/>
    <w:rsid w:val="00D52201"/>
    <w:rsid w:val="00D5223B"/>
    <w:rsid w:val="00D52523"/>
    <w:rsid w:val="00D528C0"/>
    <w:rsid w:val="00D529B5"/>
    <w:rsid w:val="00D52C1E"/>
    <w:rsid w:val="00D52CCD"/>
    <w:rsid w:val="00D530AF"/>
    <w:rsid w:val="00D531A0"/>
    <w:rsid w:val="00D533BD"/>
    <w:rsid w:val="00D537F0"/>
    <w:rsid w:val="00D53C74"/>
    <w:rsid w:val="00D53CA9"/>
    <w:rsid w:val="00D53E34"/>
    <w:rsid w:val="00D53E4B"/>
    <w:rsid w:val="00D5406A"/>
    <w:rsid w:val="00D5443C"/>
    <w:rsid w:val="00D54F1D"/>
    <w:rsid w:val="00D555D9"/>
    <w:rsid w:val="00D558DA"/>
    <w:rsid w:val="00D55C38"/>
    <w:rsid w:val="00D55F00"/>
    <w:rsid w:val="00D560E6"/>
    <w:rsid w:val="00D560FA"/>
    <w:rsid w:val="00D56551"/>
    <w:rsid w:val="00D56590"/>
    <w:rsid w:val="00D567CD"/>
    <w:rsid w:val="00D568D7"/>
    <w:rsid w:val="00D56955"/>
    <w:rsid w:val="00D56AA1"/>
    <w:rsid w:val="00D56BD2"/>
    <w:rsid w:val="00D56E35"/>
    <w:rsid w:val="00D570FA"/>
    <w:rsid w:val="00D57796"/>
    <w:rsid w:val="00D578E6"/>
    <w:rsid w:val="00D5792B"/>
    <w:rsid w:val="00D57DE3"/>
    <w:rsid w:val="00D57F0A"/>
    <w:rsid w:val="00D6001A"/>
    <w:rsid w:val="00D6061E"/>
    <w:rsid w:val="00D60739"/>
    <w:rsid w:val="00D60B48"/>
    <w:rsid w:val="00D60B51"/>
    <w:rsid w:val="00D60BF0"/>
    <w:rsid w:val="00D60F4D"/>
    <w:rsid w:val="00D60FD4"/>
    <w:rsid w:val="00D61322"/>
    <w:rsid w:val="00D61C80"/>
    <w:rsid w:val="00D61E31"/>
    <w:rsid w:val="00D61EB2"/>
    <w:rsid w:val="00D61FA1"/>
    <w:rsid w:val="00D6227E"/>
    <w:rsid w:val="00D627D7"/>
    <w:rsid w:val="00D62CEE"/>
    <w:rsid w:val="00D62CF9"/>
    <w:rsid w:val="00D62F72"/>
    <w:rsid w:val="00D63063"/>
    <w:rsid w:val="00D630D7"/>
    <w:rsid w:val="00D630E8"/>
    <w:rsid w:val="00D63376"/>
    <w:rsid w:val="00D6355A"/>
    <w:rsid w:val="00D63A2E"/>
    <w:rsid w:val="00D63ABE"/>
    <w:rsid w:val="00D63AFA"/>
    <w:rsid w:val="00D63C07"/>
    <w:rsid w:val="00D63C12"/>
    <w:rsid w:val="00D63E20"/>
    <w:rsid w:val="00D63E35"/>
    <w:rsid w:val="00D6405F"/>
    <w:rsid w:val="00D641BB"/>
    <w:rsid w:val="00D64640"/>
    <w:rsid w:val="00D64774"/>
    <w:rsid w:val="00D648E2"/>
    <w:rsid w:val="00D64A01"/>
    <w:rsid w:val="00D64E5F"/>
    <w:rsid w:val="00D64EDB"/>
    <w:rsid w:val="00D64EEA"/>
    <w:rsid w:val="00D64F0F"/>
    <w:rsid w:val="00D650D4"/>
    <w:rsid w:val="00D65478"/>
    <w:rsid w:val="00D654D1"/>
    <w:rsid w:val="00D655A1"/>
    <w:rsid w:val="00D65777"/>
    <w:rsid w:val="00D658E4"/>
    <w:rsid w:val="00D65D13"/>
    <w:rsid w:val="00D65E29"/>
    <w:rsid w:val="00D65FAF"/>
    <w:rsid w:val="00D65FC0"/>
    <w:rsid w:val="00D6616C"/>
    <w:rsid w:val="00D66350"/>
    <w:rsid w:val="00D66412"/>
    <w:rsid w:val="00D66903"/>
    <w:rsid w:val="00D66944"/>
    <w:rsid w:val="00D669A5"/>
    <w:rsid w:val="00D66E2D"/>
    <w:rsid w:val="00D670B8"/>
    <w:rsid w:val="00D67137"/>
    <w:rsid w:val="00D6716A"/>
    <w:rsid w:val="00D672A9"/>
    <w:rsid w:val="00D672D6"/>
    <w:rsid w:val="00D67306"/>
    <w:rsid w:val="00D6735C"/>
    <w:rsid w:val="00D6754B"/>
    <w:rsid w:val="00D679A1"/>
    <w:rsid w:val="00D679C0"/>
    <w:rsid w:val="00D67C42"/>
    <w:rsid w:val="00D67ECF"/>
    <w:rsid w:val="00D67F85"/>
    <w:rsid w:val="00D703DF"/>
    <w:rsid w:val="00D7047D"/>
    <w:rsid w:val="00D70485"/>
    <w:rsid w:val="00D70634"/>
    <w:rsid w:val="00D707ED"/>
    <w:rsid w:val="00D707F7"/>
    <w:rsid w:val="00D71047"/>
    <w:rsid w:val="00D71B47"/>
    <w:rsid w:val="00D71FDE"/>
    <w:rsid w:val="00D7250E"/>
    <w:rsid w:val="00D7264D"/>
    <w:rsid w:val="00D72857"/>
    <w:rsid w:val="00D72B7A"/>
    <w:rsid w:val="00D72CA6"/>
    <w:rsid w:val="00D72D3E"/>
    <w:rsid w:val="00D72D77"/>
    <w:rsid w:val="00D73BB0"/>
    <w:rsid w:val="00D73D31"/>
    <w:rsid w:val="00D73EFB"/>
    <w:rsid w:val="00D73FF1"/>
    <w:rsid w:val="00D7425F"/>
    <w:rsid w:val="00D74479"/>
    <w:rsid w:val="00D7480F"/>
    <w:rsid w:val="00D74925"/>
    <w:rsid w:val="00D749F5"/>
    <w:rsid w:val="00D74B6D"/>
    <w:rsid w:val="00D752D5"/>
    <w:rsid w:val="00D75738"/>
    <w:rsid w:val="00D7574D"/>
    <w:rsid w:val="00D75773"/>
    <w:rsid w:val="00D75830"/>
    <w:rsid w:val="00D75A79"/>
    <w:rsid w:val="00D75DE1"/>
    <w:rsid w:val="00D75EB4"/>
    <w:rsid w:val="00D76017"/>
    <w:rsid w:val="00D761EA"/>
    <w:rsid w:val="00D763A1"/>
    <w:rsid w:val="00D764ED"/>
    <w:rsid w:val="00D7653D"/>
    <w:rsid w:val="00D7659F"/>
    <w:rsid w:val="00D767C2"/>
    <w:rsid w:val="00D76C62"/>
    <w:rsid w:val="00D76E93"/>
    <w:rsid w:val="00D770AC"/>
    <w:rsid w:val="00D770C4"/>
    <w:rsid w:val="00D7715E"/>
    <w:rsid w:val="00D77436"/>
    <w:rsid w:val="00D7785C"/>
    <w:rsid w:val="00D77A77"/>
    <w:rsid w:val="00D77A89"/>
    <w:rsid w:val="00D77D3E"/>
    <w:rsid w:val="00D77FA6"/>
    <w:rsid w:val="00D800E3"/>
    <w:rsid w:val="00D80567"/>
    <w:rsid w:val="00D80895"/>
    <w:rsid w:val="00D8092C"/>
    <w:rsid w:val="00D80948"/>
    <w:rsid w:val="00D80A6E"/>
    <w:rsid w:val="00D81139"/>
    <w:rsid w:val="00D81324"/>
    <w:rsid w:val="00D8148C"/>
    <w:rsid w:val="00D8165D"/>
    <w:rsid w:val="00D81785"/>
    <w:rsid w:val="00D81921"/>
    <w:rsid w:val="00D81DC0"/>
    <w:rsid w:val="00D81E1B"/>
    <w:rsid w:val="00D81FEB"/>
    <w:rsid w:val="00D82085"/>
    <w:rsid w:val="00D8208A"/>
    <w:rsid w:val="00D8208F"/>
    <w:rsid w:val="00D820AB"/>
    <w:rsid w:val="00D82209"/>
    <w:rsid w:val="00D82336"/>
    <w:rsid w:val="00D828A3"/>
    <w:rsid w:val="00D82FA7"/>
    <w:rsid w:val="00D831E3"/>
    <w:rsid w:val="00D83663"/>
    <w:rsid w:val="00D83B9E"/>
    <w:rsid w:val="00D83BF0"/>
    <w:rsid w:val="00D83C1E"/>
    <w:rsid w:val="00D83D9E"/>
    <w:rsid w:val="00D84331"/>
    <w:rsid w:val="00D84349"/>
    <w:rsid w:val="00D8442E"/>
    <w:rsid w:val="00D845E2"/>
    <w:rsid w:val="00D84BAB"/>
    <w:rsid w:val="00D84D4C"/>
    <w:rsid w:val="00D84FAF"/>
    <w:rsid w:val="00D85116"/>
    <w:rsid w:val="00D8528F"/>
    <w:rsid w:val="00D852B8"/>
    <w:rsid w:val="00D856F1"/>
    <w:rsid w:val="00D85F43"/>
    <w:rsid w:val="00D85FDC"/>
    <w:rsid w:val="00D8602C"/>
    <w:rsid w:val="00D8611A"/>
    <w:rsid w:val="00D861FF"/>
    <w:rsid w:val="00D862F7"/>
    <w:rsid w:val="00D868F3"/>
    <w:rsid w:val="00D86B00"/>
    <w:rsid w:val="00D86CAF"/>
    <w:rsid w:val="00D871A0"/>
    <w:rsid w:val="00D8735A"/>
    <w:rsid w:val="00D87534"/>
    <w:rsid w:val="00D875AD"/>
    <w:rsid w:val="00D877F9"/>
    <w:rsid w:val="00D87BC9"/>
    <w:rsid w:val="00D87C18"/>
    <w:rsid w:val="00D87C9C"/>
    <w:rsid w:val="00D90450"/>
    <w:rsid w:val="00D90517"/>
    <w:rsid w:val="00D9067F"/>
    <w:rsid w:val="00D90725"/>
    <w:rsid w:val="00D90859"/>
    <w:rsid w:val="00D90A8F"/>
    <w:rsid w:val="00D90F43"/>
    <w:rsid w:val="00D9105A"/>
    <w:rsid w:val="00D91335"/>
    <w:rsid w:val="00D9136B"/>
    <w:rsid w:val="00D91846"/>
    <w:rsid w:val="00D919F0"/>
    <w:rsid w:val="00D91C79"/>
    <w:rsid w:val="00D9213D"/>
    <w:rsid w:val="00D9231D"/>
    <w:rsid w:val="00D92357"/>
    <w:rsid w:val="00D92721"/>
    <w:rsid w:val="00D92730"/>
    <w:rsid w:val="00D927F1"/>
    <w:rsid w:val="00D92AF2"/>
    <w:rsid w:val="00D92BCF"/>
    <w:rsid w:val="00D92E37"/>
    <w:rsid w:val="00D9350B"/>
    <w:rsid w:val="00D9371F"/>
    <w:rsid w:val="00D9373B"/>
    <w:rsid w:val="00D937B8"/>
    <w:rsid w:val="00D93C3D"/>
    <w:rsid w:val="00D94011"/>
    <w:rsid w:val="00D94136"/>
    <w:rsid w:val="00D942CC"/>
    <w:rsid w:val="00D944EA"/>
    <w:rsid w:val="00D94533"/>
    <w:rsid w:val="00D945B0"/>
    <w:rsid w:val="00D946F9"/>
    <w:rsid w:val="00D947A1"/>
    <w:rsid w:val="00D94930"/>
    <w:rsid w:val="00D951EE"/>
    <w:rsid w:val="00D952A1"/>
    <w:rsid w:val="00D95401"/>
    <w:rsid w:val="00D9549D"/>
    <w:rsid w:val="00D95A9A"/>
    <w:rsid w:val="00D95B21"/>
    <w:rsid w:val="00D95C9E"/>
    <w:rsid w:val="00D95E03"/>
    <w:rsid w:val="00D95F66"/>
    <w:rsid w:val="00D9636B"/>
    <w:rsid w:val="00D96382"/>
    <w:rsid w:val="00D96AA6"/>
    <w:rsid w:val="00D96CAC"/>
    <w:rsid w:val="00D96EF5"/>
    <w:rsid w:val="00D970FB"/>
    <w:rsid w:val="00D97398"/>
    <w:rsid w:val="00D97401"/>
    <w:rsid w:val="00D97EC1"/>
    <w:rsid w:val="00D97FC1"/>
    <w:rsid w:val="00DA02C0"/>
    <w:rsid w:val="00DA0777"/>
    <w:rsid w:val="00DA0BD3"/>
    <w:rsid w:val="00DA0D00"/>
    <w:rsid w:val="00DA1418"/>
    <w:rsid w:val="00DA17AE"/>
    <w:rsid w:val="00DA1A35"/>
    <w:rsid w:val="00DA1CC5"/>
    <w:rsid w:val="00DA2029"/>
    <w:rsid w:val="00DA235D"/>
    <w:rsid w:val="00DA2540"/>
    <w:rsid w:val="00DA2A26"/>
    <w:rsid w:val="00DA2DF6"/>
    <w:rsid w:val="00DA30DB"/>
    <w:rsid w:val="00DA3390"/>
    <w:rsid w:val="00DA33E9"/>
    <w:rsid w:val="00DA34C2"/>
    <w:rsid w:val="00DA3531"/>
    <w:rsid w:val="00DA37F1"/>
    <w:rsid w:val="00DA390F"/>
    <w:rsid w:val="00DA3AB7"/>
    <w:rsid w:val="00DA3B9F"/>
    <w:rsid w:val="00DA3E5F"/>
    <w:rsid w:val="00DA3E87"/>
    <w:rsid w:val="00DA3F9B"/>
    <w:rsid w:val="00DA414E"/>
    <w:rsid w:val="00DA45D5"/>
    <w:rsid w:val="00DA488C"/>
    <w:rsid w:val="00DA4924"/>
    <w:rsid w:val="00DA497E"/>
    <w:rsid w:val="00DA49EA"/>
    <w:rsid w:val="00DA4C2A"/>
    <w:rsid w:val="00DA5148"/>
    <w:rsid w:val="00DA535A"/>
    <w:rsid w:val="00DA5516"/>
    <w:rsid w:val="00DA566A"/>
    <w:rsid w:val="00DA599E"/>
    <w:rsid w:val="00DA5B1E"/>
    <w:rsid w:val="00DA5CFE"/>
    <w:rsid w:val="00DA6188"/>
    <w:rsid w:val="00DA628B"/>
    <w:rsid w:val="00DA6313"/>
    <w:rsid w:val="00DA6388"/>
    <w:rsid w:val="00DA6E91"/>
    <w:rsid w:val="00DA6F70"/>
    <w:rsid w:val="00DA7156"/>
    <w:rsid w:val="00DA743E"/>
    <w:rsid w:val="00DA752B"/>
    <w:rsid w:val="00DA757D"/>
    <w:rsid w:val="00DA785D"/>
    <w:rsid w:val="00DA78D0"/>
    <w:rsid w:val="00DA78EB"/>
    <w:rsid w:val="00DA7DDF"/>
    <w:rsid w:val="00DB0086"/>
    <w:rsid w:val="00DB0884"/>
    <w:rsid w:val="00DB091E"/>
    <w:rsid w:val="00DB0DF0"/>
    <w:rsid w:val="00DB0EBD"/>
    <w:rsid w:val="00DB0FB6"/>
    <w:rsid w:val="00DB105A"/>
    <w:rsid w:val="00DB18FA"/>
    <w:rsid w:val="00DB1964"/>
    <w:rsid w:val="00DB1B24"/>
    <w:rsid w:val="00DB1B74"/>
    <w:rsid w:val="00DB220B"/>
    <w:rsid w:val="00DB2739"/>
    <w:rsid w:val="00DB2AF1"/>
    <w:rsid w:val="00DB2B0A"/>
    <w:rsid w:val="00DB2CED"/>
    <w:rsid w:val="00DB30A4"/>
    <w:rsid w:val="00DB370A"/>
    <w:rsid w:val="00DB3927"/>
    <w:rsid w:val="00DB3C54"/>
    <w:rsid w:val="00DB3D25"/>
    <w:rsid w:val="00DB3E61"/>
    <w:rsid w:val="00DB3F75"/>
    <w:rsid w:val="00DB40E4"/>
    <w:rsid w:val="00DB41A6"/>
    <w:rsid w:val="00DB439E"/>
    <w:rsid w:val="00DB45B5"/>
    <w:rsid w:val="00DB4AA5"/>
    <w:rsid w:val="00DB4AB1"/>
    <w:rsid w:val="00DB4D91"/>
    <w:rsid w:val="00DB4F0F"/>
    <w:rsid w:val="00DB50D2"/>
    <w:rsid w:val="00DB5273"/>
    <w:rsid w:val="00DB5831"/>
    <w:rsid w:val="00DB5999"/>
    <w:rsid w:val="00DB5DED"/>
    <w:rsid w:val="00DB5E79"/>
    <w:rsid w:val="00DB5E8A"/>
    <w:rsid w:val="00DB5F1C"/>
    <w:rsid w:val="00DB5F38"/>
    <w:rsid w:val="00DB60CE"/>
    <w:rsid w:val="00DB61E5"/>
    <w:rsid w:val="00DB640A"/>
    <w:rsid w:val="00DB652A"/>
    <w:rsid w:val="00DB656A"/>
    <w:rsid w:val="00DB66E1"/>
    <w:rsid w:val="00DB6EBB"/>
    <w:rsid w:val="00DB6F5C"/>
    <w:rsid w:val="00DB74C3"/>
    <w:rsid w:val="00DB7658"/>
    <w:rsid w:val="00DB7804"/>
    <w:rsid w:val="00DB78A3"/>
    <w:rsid w:val="00DB78C7"/>
    <w:rsid w:val="00DB78F4"/>
    <w:rsid w:val="00DB797E"/>
    <w:rsid w:val="00DB7C92"/>
    <w:rsid w:val="00DB7CD7"/>
    <w:rsid w:val="00DC00F3"/>
    <w:rsid w:val="00DC03CE"/>
    <w:rsid w:val="00DC05E5"/>
    <w:rsid w:val="00DC05FC"/>
    <w:rsid w:val="00DC0614"/>
    <w:rsid w:val="00DC07ED"/>
    <w:rsid w:val="00DC094D"/>
    <w:rsid w:val="00DC09FB"/>
    <w:rsid w:val="00DC0B5E"/>
    <w:rsid w:val="00DC0D14"/>
    <w:rsid w:val="00DC0D63"/>
    <w:rsid w:val="00DC11FD"/>
    <w:rsid w:val="00DC1263"/>
    <w:rsid w:val="00DC16F7"/>
    <w:rsid w:val="00DC1719"/>
    <w:rsid w:val="00DC17FA"/>
    <w:rsid w:val="00DC19BC"/>
    <w:rsid w:val="00DC19CC"/>
    <w:rsid w:val="00DC1CB2"/>
    <w:rsid w:val="00DC1D6C"/>
    <w:rsid w:val="00DC1F33"/>
    <w:rsid w:val="00DC233B"/>
    <w:rsid w:val="00DC2700"/>
    <w:rsid w:val="00DC273B"/>
    <w:rsid w:val="00DC2EC6"/>
    <w:rsid w:val="00DC3042"/>
    <w:rsid w:val="00DC322F"/>
    <w:rsid w:val="00DC37DE"/>
    <w:rsid w:val="00DC432C"/>
    <w:rsid w:val="00DC4972"/>
    <w:rsid w:val="00DC49E1"/>
    <w:rsid w:val="00DC4B71"/>
    <w:rsid w:val="00DC4F18"/>
    <w:rsid w:val="00DC4F2A"/>
    <w:rsid w:val="00DC5292"/>
    <w:rsid w:val="00DC5436"/>
    <w:rsid w:val="00DC563C"/>
    <w:rsid w:val="00DC565D"/>
    <w:rsid w:val="00DC58FB"/>
    <w:rsid w:val="00DC599A"/>
    <w:rsid w:val="00DC5A21"/>
    <w:rsid w:val="00DC5D1A"/>
    <w:rsid w:val="00DC5E74"/>
    <w:rsid w:val="00DC5EC1"/>
    <w:rsid w:val="00DC5F59"/>
    <w:rsid w:val="00DC5FC9"/>
    <w:rsid w:val="00DC6049"/>
    <w:rsid w:val="00DC6244"/>
    <w:rsid w:val="00DC63B7"/>
    <w:rsid w:val="00DC63EE"/>
    <w:rsid w:val="00DC6631"/>
    <w:rsid w:val="00DC697E"/>
    <w:rsid w:val="00DC6A66"/>
    <w:rsid w:val="00DC6A8D"/>
    <w:rsid w:val="00DC6AD4"/>
    <w:rsid w:val="00DC6B21"/>
    <w:rsid w:val="00DC6BCB"/>
    <w:rsid w:val="00DC6D6A"/>
    <w:rsid w:val="00DC6E54"/>
    <w:rsid w:val="00DC7794"/>
    <w:rsid w:val="00DC7EFB"/>
    <w:rsid w:val="00DD02BF"/>
    <w:rsid w:val="00DD040E"/>
    <w:rsid w:val="00DD0464"/>
    <w:rsid w:val="00DD08F3"/>
    <w:rsid w:val="00DD0A02"/>
    <w:rsid w:val="00DD0CF8"/>
    <w:rsid w:val="00DD0FDE"/>
    <w:rsid w:val="00DD1625"/>
    <w:rsid w:val="00DD190E"/>
    <w:rsid w:val="00DD1B3B"/>
    <w:rsid w:val="00DD1C62"/>
    <w:rsid w:val="00DD1C63"/>
    <w:rsid w:val="00DD1E25"/>
    <w:rsid w:val="00DD1EDD"/>
    <w:rsid w:val="00DD1F6D"/>
    <w:rsid w:val="00DD226B"/>
    <w:rsid w:val="00DD22ED"/>
    <w:rsid w:val="00DD237C"/>
    <w:rsid w:val="00DD23CF"/>
    <w:rsid w:val="00DD250B"/>
    <w:rsid w:val="00DD2794"/>
    <w:rsid w:val="00DD27C8"/>
    <w:rsid w:val="00DD2A19"/>
    <w:rsid w:val="00DD2A93"/>
    <w:rsid w:val="00DD2BE2"/>
    <w:rsid w:val="00DD2E52"/>
    <w:rsid w:val="00DD2F78"/>
    <w:rsid w:val="00DD3210"/>
    <w:rsid w:val="00DD354D"/>
    <w:rsid w:val="00DD365B"/>
    <w:rsid w:val="00DD36DC"/>
    <w:rsid w:val="00DD3744"/>
    <w:rsid w:val="00DD3768"/>
    <w:rsid w:val="00DD3779"/>
    <w:rsid w:val="00DD3902"/>
    <w:rsid w:val="00DD3D91"/>
    <w:rsid w:val="00DD4128"/>
    <w:rsid w:val="00DD4632"/>
    <w:rsid w:val="00DD473B"/>
    <w:rsid w:val="00DD4B8E"/>
    <w:rsid w:val="00DD4CB5"/>
    <w:rsid w:val="00DD4D4A"/>
    <w:rsid w:val="00DD4DE5"/>
    <w:rsid w:val="00DD4E81"/>
    <w:rsid w:val="00DD4EFD"/>
    <w:rsid w:val="00DD5178"/>
    <w:rsid w:val="00DD6146"/>
    <w:rsid w:val="00DD619A"/>
    <w:rsid w:val="00DD61DA"/>
    <w:rsid w:val="00DD65A7"/>
    <w:rsid w:val="00DD66F2"/>
    <w:rsid w:val="00DD69F5"/>
    <w:rsid w:val="00DD6DCC"/>
    <w:rsid w:val="00DD6E8F"/>
    <w:rsid w:val="00DD7023"/>
    <w:rsid w:val="00DD715F"/>
    <w:rsid w:val="00DD72ED"/>
    <w:rsid w:val="00DD7472"/>
    <w:rsid w:val="00DD7594"/>
    <w:rsid w:val="00DD7776"/>
    <w:rsid w:val="00DD7B40"/>
    <w:rsid w:val="00DD7CB5"/>
    <w:rsid w:val="00DE03A0"/>
    <w:rsid w:val="00DE03C6"/>
    <w:rsid w:val="00DE047A"/>
    <w:rsid w:val="00DE0688"/>
    <w:rsid w:val="00DE06EA"/>
    <w:rsid w:val="00DE080C"/>
    <w:rsid w:val="00DE0A14"/>
    <w:rsid w:val="00DE0A85"/>
    <w:rsid w:val="00DE183F"/>
    <w:rsid w:val="00DE19EF"/>
    <w:rsid w:val="00DE1BD9"/>
    <w:rsid w:val="00DE1CDD"/>
    <w:rsid w:val="00DE1F57"/>
    <w:rsid w:val="00DE24CD"/>
    <w:rsid w:val="00DE27F3"/>
    <w:rsid w:val="00DE287E"/>
    <w:rsid w:val="00DE2BBC"/>
    <w:rsid w:val="00DE30DE"/>
    <w:rsid w:val="00DE3102"/>
    <w:rsid w:val="00DE321E"/>
    <w:rsid w:val="00DE3354"/>
    <w:rsid w:val="00DE33C2"/>
    <w:rsid w:val="00DE36B9"/>
    <w:rsid w:val="00DE39B5"/>
    <w:rsid w:val="00DE39BB"/>
    <w:rsid w:val="00DE3A38"/>
    <w:rsid w:val="00DE3A6C"/>
    <w:rsid w:val="00DE3BB2"/>
    <w:rsid w:val="00DE44EB"/>
    <w:rsid w:val="00DE46A9"/>
    <w:rsid w:val="00DE4707"/>
    <w:rsid w:val="00DE4A0E"/>
    <w:rsid w:val="00DE4B7F"/>
    <w:rsid w:val="00DE4C25"/>
    <w:rsid w:val="00DE4CD9"/>
    <w:rsid w:val="00DE4DEA"/>
    <w:rsid w:val="00DE4EA2"/>
    <w:rsid w:val="00DE4EE5"/>
    <w:rsid w:val="00DE4F15"/>
    <w:rsid w:val="00DE4FDD"/>
    <w:rsid w:val="00DE5064"/>
    <w:rsid w:val="00DE5330"/>
    <w:rsid w:val="00DE54F1"/>
    <w:rsid w:val="00DE5588"/>
    <w:rsid w:val="00DE57E4"/>
    <w:rsid w:val="00DE5809"/>
    <w:rsid w:val="00DE58EB"/>
    <w:rsid w:val="00DE58F7"/>
    <w:rsid w:val="00DE5B99"/>
    <w:rsid w:val="00DE63BC"/>
    <w:rsid w:val="00DE6466"/>
    <w:rsid w:val="00DE64A2"/>
    <w:rsid w:val="00DE64C8"/>
    <w:rsid w:val="00DE6B02"/>
    <w:rsid w:val="00DE6C2F"/>
    <w:rsid w:val="00DE6CC0"/>
    <w:rsid w:val="00DE71C5"/>
    <w:rsid w:val="00DE7497"/>
    <w:rsid w:val="00DE75A4"/>
    <w:rsid w:val="00DE781D"/>
    <w:rsid w:val="00DE793A"/>
    <w:rsid w:val="00DF0216"/>
    <w:rsid w:val="00DF052E"/>
    <w:rsid w:val="00DF05AA"/>
    <w:rsid w:val="00DF0753"/>
    <w:rsid w:val="00DF0C04"/>
    <w:rsid w:val="00DF0CE8"/>
    <w:rsid w:val="00DF0E2F"/>
    <w:rsid w:val="00DF1245"/>
    <w:rsid w:val="00DF146F"/>
    <w:rsid w:val="00DF1615"/>
    <w:rsid w:val="00DF2146"/>
    <w:rsid w:val="00DF236E"/>
    <w:rsid w:val="00DF2469"/>
    <w:rsid w:val="00DF3292"/>
    <w:rsid w:val="00DF33B6"/>
    <w:rsid w:val="00DF348C"/>
    <w:rsid w:val="00DF34B0"/>
    <w:rsid w:val="00DF3640"/>
    <w:rsid w:val="00DF380E"/>
    <w:rsid w:val="00DF3A6D"/>
    <w:rsid w:val="00DF3AE4"/>
    <w:rsid w:val="00DF3B78"/>
    <w:rsid w:val="00DF3DDF"/>
    <w:rsid w:val="00DF3E41"/>
    <w:rsid w:val="00DF3F0D"/>
    <w:rsid w:val="00DF4476"/>
    <w:rsid w:val="00DF46D1"/>
    <w:rsid w:val="00DF49D6"/>
    <w:rsid w:val="00DF4DF4"/>
    <w:rsid w:val="00DF4F9F"/>
    <w:rsid w:val="00DF51F4"/>
    <w:rsid w:val="00DF5520"/>
    <w:rsid w:val="00DF5AA3"/>
    <w:rsid w:val="00DF5C77"/>
    <w:rsid w:val="00DF5CC2"/>
    <w:rsid w:val="00DF5E18"/>
    <w:rsid w:val="00DF5E6D"/>
    <w:rsid w:val="00DF5F00"/>
    <w:rsid w:val="00DF6156"/>
    <w:rsid w:val="00DF6509"/>
    <w:rsid w:val="00DF6616"/>
    <w:rsid w:val="00DF7051"/>
    <w:rsid w:val="00DF769A"/>
    <w:rsid w:val="00DF77A5"/>
    <w:rsid w:val="00DF7D73"/>
    <w:rsid w:val="00DF7EBD"/>
    <w:rsid w:val="00E00A67"/>
    <w:rsid w:val="00E00D76"/>
    <w:rsid w:val="00E00DAA"/>
    <w:rsid w:val="00E01115"/>
    <w:rsid w:val="00E01399"/>
    <w:rsid w:val="00E01F17"/>
    <w:rsid w:val="00E0237A"/>
    <w:rsid w:val="00E0250B"/>
    <w:rsid w:val="00E02539"/>
    <w:rsid w:val="00E02CF0"/>
    <w:rsid w:val="00E02D58"/>
    <w:rsid w:val="00E030F2"/>
    <w:rsid w:val="00E03253"/>
    <w:rsid w:val="00E03287"/>
    <w:rsid w:val="00E035C6"/>
    <w:rsid w:val="00E039D2"/>
    <w:rsid w:val="00E03AA5"/>
    <w:rsid w:val="00E0409A"/>
    <w:rsid w:val="00E04DEB"/>
    <w:rsid w:val="00E04EF5"/>
    <w:rsid w:val="00E05155"/>
    <w:rsid w:val="00E0523C"/>
    <w:rsid w:val="00E052B7"/>
    <w:rsid w:val="00E058D6"/>
    <w:rsid w:val="00E05E68"/>
    <w:rsid w:val="00E05ED2"/>
    <w:rsid w:val="00E05F76"/>
    <w:rsid w:val="00E062C0"/>
    <w:rsid w:val="00E0651C"/>
    <w:rsid w:val="00E06587"/>
    <w:rsid w:val="00E06778"/>
    <w:rsid w:val="00E06D19"/>
    <w:rsid w:val="00E06DB4"/>
    <w:rsid w:val="00E07204"/>
    <w:rsid w:val="00E07632"/>
    <w:rsid w:val="00E0766C"/>
    <w:rsid w:val="00E07939"/>
    <w:rsid w:val="00E079E6"/>
    <w:rsid w:val="00E079ED"/>
    <w:rsid w:val="00E07B41"/>
    <w:rsid w:val="00E07BE0"/>
    <w:rsid w:val="00E10239"/>
    <w:rsid w:val="00E10A37"/>
    <w:rsid w:val="00E10D3A"/>
    <w:rsid w:val="00E11203"/>
    <w:rsid w:val="00E11A03"/>
    <w:rsid w:val="00E123C3"/>
    <w:rsid w:val="00E12717"/>
    <w:rsid w:val="00E128B1"/>
    <w:rsid w:val="00E128BB"/>
    <w:rsid w:val="00E12B0B"/>
    <w:rsid w:val="00E12D58"/>
    <w:rsid w:val="00E130FD"/>
    <w:rsid w:val="00E138BD"/>
    <w:rsid w:val="00E13C14"/>
    <w:rsid w:val="00E13E7E"/>
    <w:rsid w:val="00E13EB1"/>
    <w:rsid w:val="00E13EBB"/>
    <w:rsid w:val="00E13EDA"/>
    <w:rsid w:val="00E1407B"/>
    <w:rsid w:val="00E140A7"/>
    <w:rsid w:val="00E143BE"/>
    <w:rsid w:val="00E14575"/>
    <w:rsid w:val="00E14C12"/>
    <w:rsid w:val="00E14C9C"/>
    <w:rsid w:val="00E1524D"/>
    <w:rsid w:val="00E156C2"/>
    <w:rsid w:val="00E15BE8"/>
    <w:rsid w:val="00E15EB6"/>
    <w:rsid w:val="00E1635A"/>
    <w:rsid w:val="00E16541"/>
    <w:rsid w:val="00E16576"/>
    <w:rsid w:val="00E1675C"/>
    <w:rsid w:val="00E1678B"/>
    <w:rsid w:val="00E16A24"/>
    <w:rsid w:val="00E16A2D"/>
    <w:rsid w:val="00E16CA2"/>
    <w:rsid w:val="00E171F3"/>
    <w:rsid w:val="00E17327"/>
    <w:rsid w:val="00E17457"/>
    <w:rsid w:val="00E174D8"/>
    <w:rsid w:val="00E17538"/>
    <w:rsid w:val="00E176DC"/>
    <w:rsid w:val="00E176E0"/>
    <w:rsid w:val="00E178E1"/>
    <w:rsid w:val="00E17CB0"/>
    <w:rsid w:val="00E201AD"/>
    <w:rsid w:val="00E202F1"/>
    <w:rsid w:val="00E203B0"/>
    <w:rsid w:val="00E203C1"/>
    <w:rsid w:val="00E20783"/>
    <w:rsid w:val="00E20AB1"/>
    <w:rsid w:val="00E20ADC"/>
    <w:rsid w:val="00E20F5E"/>
    <w:rsid w:val="00E21298"/>
    <w:rsid w:val="00E2171D"/>
    <w:rsid w:val="00E21970"/>
    <w:rsid w:val="00E22050"/>
    <w:rsid w:val="00E220EF"/>
    <w:rsid w:val="00E22112"/>
    <w:rsid w:val="00E223ED"/>
    <w:rsid w:val="00E227D6"/>
    <w:rsid w:val="00E229C1"/>
    <w:rsid w:val="00E22A64"/>
    <w:rsid w:val="00E22CE0"/>
    <w:rsid w:val="00E22E49"/>
    <w:rsid w:val="00E22F93"/>
    <w:rsid w:val="00E231D8"/>
    <w:rsid w:val="00E231F7"/>
    <w:rsid w:val="00E237D2"/>
    <w:rsid w:val="00E2395C"/>
    <w:rsid w:val="00E23D49"/>
    <w:rsid w:val="00E23F98"/>
    <w:rsid w:val="00E24181"/>
    <w:rsid w:val="00E242ED"/>
    <w:rsid w:val="00E243D5"/>
    <w:rsid w:val="00E24556"/>
    <w:rsid w:val="00E24727"/>
    <w:rsid w:val="00E2472B"/>
    <w:rsid w:val="00E2488B"/>
    <w:rsid w:val="00E24A35"/>
    <w:rsid w:val="00E24BAD"/>
    <w:rsid w:val="00E24F4B"/>
    <w:rsid w:val="00E24F4D"/>
    <w:rsid w:val="00E25053"/>
    <w:rsid w:val="00E25163"/>
    <w:rsid w:val="00E251D4"/>
    <w:rsid w:val="00E2567D"/>
    <w:rsid w:val="00E25836"/>
    <w:rsid w:val="00E26652"/>
    <w:rsid w:val="00E26851"/>
    <w:rsid w:val="00E2686B"/>
    <w:rsid w:val="00E26CA3"/>
    <w:rsid w:val="00E270B2"/>
    <w:rsid w:val="00E273D8"/>
    <w:rsid w:val="00E273FF"/>
    <w:rsid w:val="00E276BA"/>
    <w:rsid w:val="00E27758"/>
    <w:rsid w:val="00E27935"/>
    <w:rsid w:val="00E27937"/>
    <w:rsid w:val="00E30897"/>
    <w:rsid w:val="00E308D4"/>
    <w:rsid w:val="00E30B88"/>
    <w:rsid w:val="00E3122F"/>
    <w:rsid w:val="00E3152E"/>
    <w:rsid w:val="00E3158D"/>
    <w:rsid w:val="00E31684"/>
    <w:rsid w:val="00E316F4"/>
    <w:rsid w:val="00E31730"/>
    <w:rsid w:val="00E31780"/>
    <w:rsid w:val="00E31FA9"/>
    <w:rsid w:val="00E32012"/>
    <w:rsid w:val="00E321C9"/>
    <w:rsid w:val="00E32602"/>
    <w:rsid w:val="00E3298C"/>
    <w:rsid w:val="00E32B66"/>
    <w:rsid w:val="00E32D98"/>
    <w:rsid w:val="00E32F4C"/>
    <w:rsid w:val="00E33063"/>
    <w:rsid w:val="00E331D3"/>
    <w:rsid w:val="00E3382D"/>
    <w:rsid w:val="00E33CFE"/>
    <w:rsid w:val="00E33DBC"/>
    <w:rsid w:val="00E34055"/>
    <w:rsid w:val="00E34576"/>
    <w:rsid w:val="00E34EC7"/>
    <w:rsid w:val="00E34FFE"/>
    <w:rsid w:val="00E35026"/>
    <w:rsid w:val="00E35103"/>
    <w:rsid w:val="00E35479"/>
    <w:rsid w:val="00E35D0E"/>
    <w:rsid w:val="00E3623D"/>
    <w:rsid w:val="00E36676"/>
    <w:rsid w:val="00E368BD"/>
    <w:rsid w:val="00E36E4F"/>
    <w:rsid w:val="00E36E53"/>
    <w:rsid w:val="00E36EEA"/>
    <w:rsid w:val="00E37179"/>
    <w:rsid w:val="00E3726A"/>
    <w:rsid w:val="00E374F5"/>
    <w:rsid w:val="00E37629"/>
    <w:rsid w:val="00E37750"/>
    <w:rsid w:val="00E377CB"/>
    <w:rsid w:val="00E37904"/>
    <w:rsid w:val="00E37B96"/>
    <w:rsid w:val="00E40318"/>
    <w:rsid w:val="00E40396"/>
    <w:rsid w:val="00E403C6"/>
    <w:rsid w:val="00E404BE"/>
    <w:rsid w:val="00E4062E"/>
    <w:rsid w:val="00E4069E"/>
    <w:rsid w:val="00E40934"/>
    <w:rsid w:val="00E40A2A"/>
    <w:rsid w:val="00E40BAE"/>
    <w:rsid w:val="00E41199"/>
    <w:rsid w:val="00E4159B"/>
    <w:rsid w:val="00E415B8"/>
    <w:rsid w:val="00E41624"/>
    <w:rsid w:val="00E4262A"/>
    <w:rsid w:val="00E42841"/>
    <w:rsid w:val="00E42882"/>
    <w:rsid w:val="00E429E3"/>
    <w:rsid w:val="00E42BBF"/>
    <w:rsid w:val="00E42F88"/>
    <w:rsid w:val="00E430C1"/>
    <w:rsid w:val="00E4346A"/>
    <w:rsid w:val="00E43A87"/>
    <w:rsid w:val="00E43A9B"/>
    <w:rsid w:val="00E43B32"/>
    <w:rsid w:val="00E440EF"/>
    <w:rsid w:val="00E4428C"/>
    <w:rsid w:val="00E449DF"/>
    <w:rsid w:val="00E44ABC"/>
    <w:rsid w:val="00E4540E"/>
    <w:rsid w:val="00E4555D"/>
    <w:rsid w:val="00E459CF"/>
    <w:rsid w:val="00E45C90"/>
    <w:rsid w:val="00E45CD0"/>
    <w:rsid w:val="00E45D1E"/>
    <w:rsid w:val="00E45DF9"/>
    <w:rsid w:val="00E46418"/>
    <w:rsid w:val="00E465FE"/>
    <w:rsid w:val="00E46D2B"/>
    <w:rsid w:val="00E4744E"/>
    <w:rsid w:val="00E4758B"/>
    <w:rsid w:val="00E47620"/>
    <w:rsid w:val="00E47A42"/>
    <w:rsid w:val="00E5000A"/>
    <w:rsid w:val="00E50011"/>
    <w:rsid w:val="00E5039C"/>
    <w:rsid w:val="00E5059E"/>
    <w:rsid w:val="00E50C2D"/>
    <w:rsid w:val="00E50CD5"/>
    <w:rsid w:val="00E51207"/>
    <w:rsid w:val="00E51346"/>
    <w:rsid w:val="00E513E5"/>
    <w:rsid w:val="00E517B4"/>
    <w:rsid w:val="00E51903"/>
    <w:rsid w:val="00E51B90"/>
    <w:rsid w:val="00E51F79"/>
    <w:rsid w:val="00E52051"/>
    <w:rsid w:val="00E52246"/>
    <w:rsid w:val="00E52B15"/>
    <w:rsid w:val="00E52CBB"/>
    <w:rsid w:val="00E52D11"/>
    <w:rsid w:val="00E535A8"/>
    <w:rsid w:val="00E53608"/>
    <w:rsid w:val="00E53A6D"/>
    <w:rsid w:val="00E53D9E"/>
    <w:rsid w:val="00E54079"/>
    <w:rsid w:val="00E54099"/>
    <w:rsid w:val="00E54198"/>
    <w:rsid w:val="00E54AC7"/>
    <w:rsid w:val="00E54B9D"/>
    <w:rsid w:val="00E54E86"/>
    <w:rsid w:val="00E54F6C"/>
    <w:rsid w:val="00E55535"/>
    <w:rsid w:val="00E557AC"/>
    <w:rsid w:val="00E55871"/>
    <w:rsid w:val="00E55CC1"/>
    <w:rsid w:val="00E55ED3"/>
    <w:rsid w:val="00E56120"/>
    <w:rsid w:val="00E5614D"/>
    <w:rsid w:val="00E5643C"/>
    <w:rsid w:val="00E56506"/>
    <w:rsid w:val="00E565FC"/>
    <w:rsid w:val="00E56682"/>
    <w:rsid w:val="00E56B01"/>
    <w:rsid w:val="00E56C18"/>
    <w:rsid w:val="00E56D39"/>
    <w:rsid w:val="00E56E60"/>
    <w:rsid w:val="00E571E5"/>
    <w:rsid w:val="00E572DB"/>
    <w:rsid w:val="00E5780F"/>
    <w:rsid w:val="00E5793B"/>
    <w:rsid w:val="00E5798E"/>
    <w:rsid w:val="00E57A1F"/>
    <w:rsid w:val="00E57A88"/>
    <w:rsid w:val="00E57E00"/>
    <w:rsid w:val="00E57F7C"/>
    <w:rsid w:val="00E57F9A"/>
    <w:rsid w:val="00E601CD"/>
    <w:rsid w:val="00E60458"/>
    <w:rsid w:val="00E605C6"/>
    <w:rsid w:val="00E605CD"/>
    <w:rsid w:val="00E60621"/>
    <w:rsid w:val="00E6087A"/>
    <w:rsid w:val="00E60AA8"/>
    <w:rsid w:val="00E60D43"/>
    <w:rsid w:val="00E60E6E"/>
    <w:rsid w:val="00E60EE2"/>
    <w:rsid w:val="00E61053"/>
    <w:rsid w:val="00E61121"/>
    <w:rsid w:val="00E61479"/>
    <w:rsid w:val="00E61578"/>
    <w:rsid w:val="00E6179F"/>
    <w:rsid w:val="00E618FF"/>
    <w:rsid w:val="00E61902"/>
    <w:rsid w:val="00E619E8"/>
    <w:rsid w:val="00E61C78"/>
    <w:rsid w:val="00E61CFE"/>
    <w:rsid w:val="00E61D4A"/>
    <w:rsid w:val="00E61FA5"/>
    <w:rsid w:val="00E621D3"/>
    <w:rsid w:val="00E62511"/>
    <w:rsid w:val="00E62C90"/>
    <w:rsid w:val="00E62CDE"/>
    <w:rsid w:val="00E62E45"/>
    <w:rsid w:val="00E62E94"/>
    <w:rsid w:val="00E62FFB"/>
    <w:rsid w:val="00E630F2"/>
    <w:rsid w:val="00E63412"/>
    <w:rsid w:val="00E6372B"/>
    <w:rsid w:val="00E63809"/>
    <w:rsid w:val="00E63921"/>
    <w:rsid w:val="00E63CCC"/>
    <w:rsid w:val="00E63E6D"/>
    <w:rsid w:val="00E640C0"/>
    <w:rsid w:val="00E64158"/>
    <w:rsid w:val="00E6436D"/>
    <w:rsid w:val="00E64709"/>
    <w:rsid w:val="00E648DE"/>
    <w:rsid w:val="00E6490E"/>
    <w:rsid w:val="00E64B4D"/>
    <w:rsid w:val="00E64CD4"/>
    <w:rsid w:val="00E65598"/>
    <w:rsid w:val="00E65681"/>
    <w:rsid w:val="00E65785"/>
    <w:rsid w:val="00E65802"/>
    <w:rsid w:val="00E65920"/>
    <w:rsid w:val="00E6631D"/>
    <w:rsid w:val="00E66391"/>
    <w:rsid w:val="00E66742"/>
    <w:rsid w:val="00E66B16"/>
    <w:rsid w:val="00E66ECE"/>
    <w:rsid w:val="00E66EFB"/>
    <w:rsid w:val="00E67128"/>
    <w:rsid w:val="00E671AB"/>
    <w:rsid w:val="00E67474"/>
    <w:rsid w:val="00E674D0"/>
    <w:rsid w:val="00E676F4"/>
    <w:rsid w:val="00E6789D"/>
    <w:rsid w:val="00E67CAC"/>
    <w:rsid w:val="00E67DB2"/>
    <w:rsid w:val="00E67DD1"/>
    <w:rsid w:val="00E67E46"/>
    <w:rsid w:val="00E67E4B"/>
    <w:rsid w:val="00E7015D"/>
    <w:rsid w:val="00E702BF"/>
    <w:rsid w:val="00E703A8"/>
    <w:rsid w:val="00E703B9"/>
    <w:rsid w:val="00E705CA"/>
    <w:rsid w:val="00E707B4"/>
    <w:rsid w:val="00E714EA"/>
    <w:rsid w:val="00E71713"/>
    <w:rsid w:val="00E71853"/>
    <w:rsid w:val="00E71FC8"/>
    <w:rsid w:val="00E72018"/>
    <w:rsid w:val="00E725FB"/>
    <w:rsid w:val="00E728D7"/>
    <w:rsid w:val="00E72EB6"/>
    <w:rsid w:val="00E73198"/>
    <w:rsid w:val="00E73745"/>
    <w:rsid w:val="00E73888"/>
    <w:rsid w:val="00E73CB4"/>
    <w:rsid w:val="00E743C5"/>
    <w:rsid w:val="00E74527"/>
    <w:rsid w:val="00E74B26"/>
    <w:rsid w:val="00E74C9D"/>
    <w:rsid w:val="00E7535E"/>
    <w:rsid w:val="00E75C19"/>
    <w:rsid w:val="00E75E84"/>
    <w:rsid w:val="00E76226"/>
    <w:rsid w:val="00E765AC"/>
    <w:rsid w:val="00E766B5"/>
    <w:rsid w:val="00E76CA7"/>
    <w:rsid w:val="00E76D0A"/>
    <w:rsid w:val="00E770C2"/>
    <w:rsid w:val="00E77274"/>
    <w:rsid w:val="00E77329"/>
    <w:rsid w:val="00E774D2"/>
    <w:rsid w:val="00E777E8"/>
    <w:rsid w:val="00E77A13"/>
    <w:rsid w:val="00E77B5B"/>
    <w:rsid w:val="00E77DD0"/>
    <w:rsid w:val="00E77E0D"/>
    <w:rsid w:val="00E77F16"/>
    <w:rsid w:val="00E80528"/>
    <w:rsid w:val="00E8064A"/>
    <w:rsid w:val="00E80B67"/>
    <w:rsid w:val="00E80C3E"/>
    <w:rsid w:val="00E80C4E"/>
    <w:rsid w:val="00E815AF"/>
    <w:rsid w:val="00E81F53"/>
    <w:rsid w:val="00E82142"/>
    <w:rsid w:val="00E82295"/>
    <w:rsid w:val="00E8233D"/>
    <w:rsid w:val="00E8246D"/>
    <w:rsid w:val="00E8287A"/>
    <w:rsid w:val="00E83050"/>
    <w:rsid w:val="00E83643"/>
    <w:rsid w:val="00E83BE8"/>
    <w:rsid w:val="00E840D4"/>
    <w:rsid w:val="00E840F9"/>
    <w:rsid w:val="00E843EE"/>
    <w:rsid w:val="00E845C8"/>
    <w:rsid w:val="00E84A37"/>
    <w:rsid w:val="00E84CB9"/>
    <w:rsid w:val="00E84E31"/>
    <w:rsid w:val="00E84FD3"/>
    <w:rsid w:val="00E851DA"/>
    <w:rsid w:val="00E854EE"/>
    <w:rsid w:val="00E85658"/>
    <w:rsid w:val="00E85840"/>
    <w:rsid w:val="00E85889"/>
    <w:rsid w:val="00E85C99"/>
    <w:rsid w:val="00E85FFA"/>
    <w:rsid w:val="00E860E5"/>
    <w:rsid w:val="00E8610E"/>
    <w:rsid w:val="00E8638A"/>
    <w:rsid w:val="00E8638C"/>
    <w:rsid w:val="00E86744"/>
    <w:rsid w:val="00E86F29"/>
    <w:rsid w:val="00E8721F"/>
    <w:rsid w:val="00E873BA"/>
    <w:rsid w:val="00E876EF"/>
    <w:rsid w:val="00E878A7"/>
    <w:rsid w:val="00E87AC1"/>
    <w:rsid w:val="00E87B2C"/>
    <w:rsid w:val="00E87B3E"/>
    <w:rsid w:val="00E87D4B"/>
    <w:rsid w:val="00E87D86"/>
    <w:rsid w:val="00E9041E"/>
    <w:rsid w:val="00E90567"/>
    <w:rsid w:val="00E9092D"/>
    <w:rsid w:val="00E90B0D"/>
    <w:rsid w:val="00E91001"/>
    <w:rsid w:val="00E9104D"/>
    <w:rsid w:val="00E910F5"/>
    <w:rsid w:val="00E9117A"/>
    <w:rsid w:val="00E914DC"/>
    <w:rsid w:val="00E917B0"/>
    <w:rsid w:val="00E918C8"/>
    <w:rsid w:val="00E91915"/>
    <w:rsid w:val="00E9222F"/>
    <w:rsid w:val="00E924DE"/>
    <w:rsid w:val="00E924E1"/>
    <w:rsid w:val="00E92841"/>
    <w:rsid w:val="00E92869"/>
    <w:rsid w:val="00E92948"/>
    <w:rsid w:val="00E92B99"/>
    <w:rsid w:val="00E92BDD"/>
    <w:rsid w:val="00E92C74"/>
    <w:rsid w:val="00E92D4C"/>
    <w:rsid w:val="00E92D72"/>
    <w:rsid w:val="00E93180"/>
    <w:rsid w:val="00E93201"/>
    <w:rsid w:val="00E9324D"/>
    <w:rsid w:val="00E933A1"/>
    <w:rsid w:val="00E93B89"/>
    <w:rsid w:val="00E9449B"/>
    <w:rsid w:val="00E9490F"/>
    <w:rsid w:val="00E94E0C"/>
    <w:rsid w:val="00E94EC1"/>
    <w:rsid w:val="00E94F65"/>
    <w:rsid w:val="00E95043"/>
    <w:rsid w:val="00E9516D"/>
    <w:rsid w:val="00E9518E"/>
    <w:rsid w:val="00E9541A"/>
    <w:rsid w:val="00E954AC"/>
    <w:rsid w:val="00E95677"/>
    <w:rsid w:val="00E957BA"/>
    <w:rsid w:val="00E95D54"/>
    <w:rsid w:val="00E95F03"/>
    <w:rsid w:val="00E95F2B"/>
    <w:rsid w:val="00E9607D"/>
    <w:rsid w:val="00E96091"/>
    <w:rsid w:val="00E9687E"/>
    <w:rsid w:val="00E96A64"/>
    <w:rsid w:val="00E97374"/>
    <w:rsid w:val="00E974DA"/>
    <w:rsid w:val="00E97976"/>
    <w:rsid w:val="00E97F0D"/>
    <w:rsid w:val="00EA009D"/>
    <w:rsid w:val="00EA011E"/>
    <w:rsid w:val="00EA0197"/>
    <w:rsid w:val="00EA01BF"/>
    <w:rsid w:val="00EA02D9"/>
    <w:rsid w:val="00EA04CD"/>
    <w:rsid w:val="00EA0744"/>
    <w:rsid w:val="00EA0748"/>
    <w:rsid w:val="00EA0798"/>
    <w:rsid w:val="00EA0AFB"/>
    <w:rsid w:val="00EA0C58"/>
    <w:rsid w:val="00EA0CDF"/>
    <w:rsid w:val="00EA0F41"/>
    <w:rsid w:val="00EA0F86"/>
    <w:rsid w:val="00EA1C39"/>
    <w:rsid w:val="00EA1FE3"/>
    <w:rsid w:val="00EA235B"/>
    <w:rsid w:val="00EA2927"/>
    <w:rsid w:val="00EA32CA"/>
    <w:rsid w:val="00EA3568"/>
    <w:rsid w:val="00EA35DC"/>
    <w:rsid w:val="00EA3A24"/>
    <w:rsid w:val="00EA3B49"/>
    <w:rsid w:val="00EA3E84"/>
    <w:rsid w:val="00EA3F17"/>
    <w:rsid w:val="00EA4526"/>
    <w:rsid w:val="00EA4797"/>
    <w:rsid w:val="00EA4DB3"/>
    <w:rsid w:val="00EA4F5B"/>
    <w:rsid w:val="00EA4FA1"/>
    <w:rsid w:val="00EA5075"/>
    <w:rsid w:val="00EA50B0"/>
    <w:rsid w:val="00EA50C5"/>
    <w:rsid w:val="00EA53B2"/>
    <w:rsid w:val="00EA5480"/>
    <w:rsid w:val="00EA54F4"/>
    <w:rsid w:val="00EA58BF"/>
    <w:rsid w:val="00EA5D1B"/>
    <w:rsid w:val="00EA670F"/>
    <w:rsid w:val="00EA6B4C"/>
    <w:rsid w:val="00EA6D37"/>
    <w:rsid w:val="00EA6D6F"/>
    <w:rsid w:val="00EA733A"/>
    <w:rsid w:val="00EA7626"/>
    <w:rsid w:val="00EA7959"/>
    <w:rsid w:val="00EA7AED"/>
    <w:rsid w:val="00EB00EA"/>
    <w:rsid w:val="00EB01A4"/>
    <w:rsid w:val="00EB0291"/>
    <w:rsid w:val="00EB0569"/>
    <w:rsid w:val="00EB0603"/>
    <w:rsid w:val="00EB09B7"/>
    <w:rsid w:val="00EB0B1B"/>
    <w:rsid w:val="00EB0E8C"/>
    <w:rsid w:val="00EB0FD9"/>
    <w:rsid w:val="00EB129B"/>
    <w:rsid w:val="00EB13FF"/>
    <w:rsid w:val="00EB14F6"/>
    <w:rsid w:val="00EB1528"/>
    <w:rsid w:val="00EB1841"/>
    <w:rsid w:val="00EB23A2"/>
    <w:rsid w:val="00EB2888"/>
    <w:rsid w:val="00EB288B"/>
    <w:rsid w:val="00EB2924"/>
    <w:rsid w:val="00EB29B2"/>
    <w:rsid w:val="00EB2A48"/>
    <w:rsid w:val="00EB2BB1"/>
    <w:rsid w:val="00EB2E23"/>
    <w:rsid w:val="00EB2EDB"/>
    <w:rsid w:val="00EB3372"/>
    <w:rsid w:val="00EB3450"/>
    <w:rsid w:val="00EB35E3"/>
    <w:rsid w:val="00EB364E"/>
    <w:rsid w:val="00EB3960"/>
    <w:rsid w:val="00EB457D"/>
    <w:rsid w:val="00EB4613"/>
    <w:rsid w:val="00EB4972"/>
    <w:rsid w:val="00EB49B0"/>
    <w:rsid w:val="00EB4A14"/>
    <w:rsid w:val="00EB4D56"/>
    <w:rsid w:val="00EB4E52"/>
    <w:rsid w:val="00EB4FE8"/>
    <w:rsid w:val="00EB50BD"/>
    <w:rsid w:val="00EB5229"/>
    <w:rsid w:val="00EB554A"/>
    <w:rsid w:val="00EB629D"/>
    <w:rsid w:val="00EB65E4"/>
    <w:rsid w:val="00EB668B"/>
    <w:rsid w:val="00EB6A12"/>
    <w:rsid w:val="00EB6F0F"/>
    <w:rsid w:val="00EB7359"/>
    <w:rsid w:val="00EB7619"/>
    <w:rsid w:val="00EB78F2"/>
    <w:rsid w:val="00EB7F43"/>
    <w:rsid w:val="00EC02BB"/>
    <w:rsid w:val="00EC0F02"/>
    <w:rsid w:val="00EC10DA"/>
    <w:rsid w:val="00EC122B"/>
    <w:rsid w:val="00EC13AB"/>
    <w:rsid w:val="00EC1803"/>
    <w:rsid w:val="00EC1952"/>
    <w:rsid w:val="00EC1A3A"/>
    <w:rsid w:val="00EC1C1F"/>
    <w:rsid w:val="00EC1F99"/>
    <w:rsid w:val="00EC237A"/>
    <w:rsid w:val="00EC25A7"/>
    <w:rsid w:val="00EC2886"/>
    <w:rsid w:val="00EC2BAC"/>
    <w:rsid w:val="00EC2C8F"/>
    <w:rsid w:val="00EC2CB3"/>
    <w:rsid w:val="00EC3968"/>
    <w:rsid w:val="00EC3AF5"/>
    <w:rsid w:val="00EC40E6"/>
    <w:rsid w:val="00EC45F7"/>
    <w:rsid w:val="00EC4746"/>
    <w:rsid w:val="00EC4A0A"/>
    <w:rsid w:val="00EC4C3C"/>
    <w:rsid w:val="00EC4CC3"/>
    <w:rsid w:val="00EC5176"/>
    <w:rsid w:val="00EC5231"/>
    <w:rsid w:val="00EC53E6"/>
    <w:rsid w:val="00EC5575"/>
    <w:rsid w:val="00EC599F"/>
    <w:rsid w:val="00EC5B3D"/>
    <w:rsid w:val="00EC6185"/>
    <w:rsid w:val="00EC64BA"/>
    <w:rsid w:val="00EC6564"/>
    <w:rsid w:val="00EC674D"/>
    <w:rsid w:val="00EC6BA8"/>
    <w:rsid w:val="00EC71F6"/>
    <w:rsid w:val="00EC7495"/>
    <w:rsid w:val="00EC74AA"/>
    <w:rsid w:val="00EC765D"/>
    <w:rsid w:val="00EC778D"/>
    <w:rsid w:val="00EC7A29"/>
    <w:rsid w:val="00EC7C5D"/>
    <w:rsid w:val="00EC7CBA"/>
    <w:rsid w:val="00EC7E25"/>
    <w:rsid w:val="00EC7EF1"/>
    <w:rsid w:val="00EC7F02"/>
    <w:rsid w:val="00ED0094"/>
    <w:rsid w:val="00ED0506"/>
    <w:rsid w:val="00ED066F"/>
    <w:rsid w:val="00ED0679"/>
    <w:rsid w:val="00ED0ABA"/>
    <w:rsid w:val="00ED0BDB"/>
    <w:rsid w:val="00ED0C7E"/>
    <w:rsid w:val="00ED0CE8"/>
    <w:rsid w:val="00ED0ED8"/>
    <w:rsid w:val="00ED1045"/>
    <w:rsid w:val="00ED1284"/>
    <w:rsid w:val="00ED14EC"/>
    <w:rsid w:val="00ED15BB"/>
    <w:rsid w:val="00ED16A5"/>
    <w:rsid w:val="00ED17B7"/>
    <w:rsid w:val="00ED19F4"/>
    <w:rsid w:val="00ED1A8A"/>
    <w:rsid w:val="00ED1C64"/>
    <w:rsid w:val="00ED1FD1"/>
    <w:rsid w:val="00ED21DF"/>
    <w:rsid w:val="00ED22A4"/>
    <w:rsid w:val="00ED2DD3"/>
    <w:rsid w:val="00ED371C"/>
    <w:rsid w:val="00ED381F"/>
    <w:rsid w:val="00ED3932"/>
    <w:rsid w:val="00ED3C34"/>
    <w:rsid w:val="00ED3F78"/>
    <w:rsid w:val="00ED440F"/>
    <w:rsid w:val="00ED4B5B"/>
    <w:rsid w:val="00ED4BBE"/>
    <w:rsid w:val="00ED4C3D"/>
    <w:rsid w:val="00ED4CBF"/>
    <w:rsid w:val="00ED4D9E"/>
    <w:rsid w:val="00ED4F0C"/>
    <w:rsid w:val="00ED5755"/>
    <w:rsid w:val="00ED5CA0"/>
    <w:rsid w:val="00ED6052"/>
    <w:rsid w:val="00ED61CA"/>
    <w:rsid w:val="00ED6347"/>
    <w:rsid w:val="00ED6910"/>
    <w:rsid w:val="00ED702E"/>
    <w:rsid w:val="00ED7482"/>
    <w:rsid w:val="00ED77E1"/>
    <w:rsid w:val="00ED7A4F"/>
    <w:rsid w:val="00ED7AA1"/>
    <w:rsid w:val="00ED7C48"/>
    <w:rsid w:val="00ED7D00"/>
    <w:rsid w:val="00ED7ECA"/>
    <w:rsid w:val="00EE068A"/>
    <w:rsid w:val="00EE0AE6"/>
    <w:rsid w:val="00EE0AF2"/>
    <w:rsid w:val="00EE0BAB"/>
    <w:rsid w:val="00EE1032"/>
    <w:rsid w:val="00EE121F"/>
    <w:rsid w:val="00EE1787"/>
    <w:rsid w:val="00EE1793"/>
    <w:rsid w:val="00EE1BF2"/>
    <w:rsid w:val="00EE1CA4"/>
    <w:rsid w:val="00EE2252"/>
    <w:rsid w:val="00EE226C"/>
    <w:rsid w:val="00EE2309"/>
    <w:rsid w:val="00EE2568"/>
    <w:rsid w:val="00EE2601"/>
    <w:rsid w:val="00EE2872"/>
    <w:rsid w:val="00EE293A"/>
    <w:rsid w:val="00EE2C4B"/>
    <w:rsid w:val="00EE303A"/>
    <w:rsid w:val="00EE3164"/>
    <w:rsid w:val="00EE346D"/>
    <w:rsid w:val="00EE3681"/>
    <w:rsid w:val="00EE37E4"/>
    <w:rsid w:val="00EE3840"/>
    <w:rsid w:val="00EE3846"/>
    <w:rsid w:val="00EE4189"/>
    <w:rsid w:val="00EE4225"/>
    <w:rsid w:val="00EE42D3"/>
    <w:rsid w:val="00EE4488"/>
    <w:rsid w:val="00EE4557"/>
    <w:rsid w:val="00EE4763"/>
    <w:rsid w:val="00EE4913"/>
    <w:rsid w:val="00EE4994"/>
    <w:rsid w:val="00EE4A64"/>
    <w:rsid w:val="00EE4AD8"/>
    <w:rsid w:val="00EE4E22"/>
    <w:rsid w:val="00EE4E9A"/>
    <w:rsid w:val="00EE4ECD"/>
    <w:rsid w:val="00EE50BB"/>
    <w:rsid w:val="00EE539B"/>
    <w:rsid w:val="00EE55E7"/>
    <w:rsid w:val="00EE5828"/>
    <w:rsid w:val="00EE5878"/>
    <w:rsid w:val="00EE5ADE"/>
    <w:rsid w:val="00EE60B7"/>
    <w:rsid w:val="00EE6817"/>
    <w:rsid w:val="00EE6B4C"/>
    <w:rsid w:val="00EE7187"/>
    <w:rsid w:val="00EE7757"/>
    <w:rsid w:val="00EE775E"/>
    <w:rsid w:val="00EE79E9"/>
    <w:rsid w:val="00EE7CE4"/>
    <w:rsid w:val="00EF0266"/>
    <w:rsid w:val="00EF0292"/>
    <w:rsid w:val="00EF02A4"/>
    <w:rsid w:val="00EF04E4"/>
    <w:rsid w:val="00EF070C"/>
    <w:rsid w:val="00EF085A"/>
    <w:rsid w:val="00EF0B15"/>
    <w:rsid w:val="00EF0C28"/>
    <w:rsid w:val="00EF0ED0"/>
    <w:rsid w:val="00EF0EDC"/>
    <w:rsid w:val="00EF0F71"/>
    <w:rsid w:val="00EF1195"/>
    <w:rsid w:val="00EF133B"/>
    <w:rsid w:val="00EF1B33"/>
    <w:rsid w:val="00EF1C34"/>
    <w:rsid w:val="00EF1C9F"/>
    <w:rsid w:val="00EF1FF6"/>
    <w:rsid w:val="00EF2241"/>
    <w:rsid w:val="00EF247A"/>
    <w:rsid w:val="00EF2482"/>
    <w:rsid w:val="00EF26DD"/>
    <w:rsid w:val="00EF2711"/>
    <w:rsid w:val="00EF3319"/>
    <w:rsid w:val="00EF3487"/>
    <w:rsid w:val="00EF3507"/>
    <w:rsid w:val="00EF3547"/>
    <w:rsid w:val="00EF3729"/>
    <w:rsid w:val="00EF3B78"/>
    <w:rsid w:val="00EF3FBF"/>
    <w:rsid w:val="00EF409F"/>
    <w:rsid w:val="00EF40B9"/>
    <w:rsid w:val="00EF4243"/>
    <w:rsid w:val="00EF42AF"/>
    <w:rsid w:val="00EF4485"/>
    <w:rsid w:val="00EF4592"/>
    <w:rsid w:val="00EF48EC"/>
    <w:rsid w:val="00EF5194"/>
    <w:rsid w:val="00EF551B"/>
    <w:rsid w:val="00EF56D0"/>
    <w:rsid w:val="00EF5788"/>
    <w:rsid w:val="00EF584D"/>
    <w:rsid w:val="00EF5AC8"/>
    <w:rsid w:val="00EF5F8F"/>
    <w:rsid w:val="00EF600E"/>
    <w:rsid w:val="00EF60AE"/>
    <w:rsid w:val="00EF61E4"/>
    <w:rsid w:val="00EF62F2"/>
    <w:rsid w:val="00EF6540"/>
    <w:rsid w:val="00EF6B05"/>
    <w:rsid w:val="00EF6C2A"/>
    <w:rsid w:val="00EF6C52"/>
    <w:rsid w:val="00EF6E07"/>
    <w:rsid w:val="00EF7140"/>
    <w:rsid w:val="00EF71A9"/>
    <w:rsid w:val="00EF7269"/>
    <w:rsid w:val="00EF7FD8"/>
    <w:rsid w:val="00F00041"/>
    <w:rsid w:val="00F0019A"/>
    <w:rsid w:val="00F00310"/>
    <w:rsid w:val="00F00776"/>
    <w:rsid w:val="00F00838"/>
    <w:rsid w:val="00F00C4D"/>
    <w:rsid w:val="00F00CCB"/>
    <w:rsid w:val="00F00CEA"/>
    <w:rsid w:val="00F0150D"/>
    <w:rsid w:val="00F017B9"/>
    <w:rsid w:val="00F01B76"/>
    <w:rsid w:val="00F0209A"/>
    <w:rsid w:val="00F02121"/>
    <w:rsid w:val="00F02781"/>
    <w:rsid w:val="00F02799"/>
    <w:rsid w:val="00F02BF5"/>
    <w:rsid w:val="00F030E8"/>
    <w:rsid w:val="00F030FC"/>
    <w:rsid w:val="00F0337B"/>
    <w:rsid w:val="00F03452"/>
    <w:rsid w:val="00F03C53"/>
    <w:rsid w:val="00F03D90"/>
    <w:rsid w:val="00F03FA9"/>
    <w:rsid w:val="00F04461"/>
    <w:rsid w:val="00F04510"/>
    <w:rsid w:val="00F045B8"/>
    <w:rsid w:val="00F04A7A"/>
    <w:rsid w:val="00F04BBA"/>
    <w:rsid w:val="00F05227"/>
    <w:rsid w:val="00F0522E"/>
    <w:rsid w:val="00F05267"/>
    <w:rsid w:val="00F058FE"/>
    <w:rsid w:val="00F05A22"/>
    <w:rsid w:val="00F05C25"/>
    <w:rsid w:val="00F05C64"/>
    <w:rsid w:val="00F05E61"/>
    <w:rsid w:val="00F06130"/>
    <w:rsid w:val="00F0658C"/>
    <w:rsid w:val="00F06593"/>
    <w:rsid w:val="00F06652"/>
    <w:rsid w:val="00F06AE0"/>
    <w:rsid w:val="00F06C60"/>
    <w:rsid w:val="00F0735A"/>
    <w:rsid w:val="00F07784"/>
    <w:rsid w:val="00F078E1"/>
    <w:rsid w:val="00F07AD9"/>
    <w:rsid w:val="00F10115"/>
    <w:rsid w:val="00F10297"/>
    <w:rsid w:val="00F10547"/>
    <w:rsid w:val="00F106C2"/>
    <w:rsid w:val="00F10F16"/>
    <w:rsid w:val="00F10F9A"/>
    <w:rsid w:val="00F1111E"/>
    <w:rsid w:val="00F112F3"/>
    <w:rsid w:val="00F11860"/>
    <w:rsid w:val="00F118D6"/>
    <w:rsid w:val="00F11A84"/>
    <w:rsid w:val="00F11E6C"/>
    <w:rsid w:val="00F125B1"/>
    <w:rsid w:val="00F1296A"/>
    <w:rsid w:val="00F12A8F"/>
    <w:rsid w:val="00F12AF9"/>
    <w:rsid w:val="00F12B91"/>
    <w:rsid w:val="00F12DC7"/>
    <w:rsid w:val="00F12EB1"/>
    <w:rsid w:val="00F1310B"/>
    <w:rsid w:val="00F13353"/>
    <w:rsid w:val="00F13523"/>
    <w:rsid w:val="00F13756"/>
    <w:rsid w:val="00F1396F"/>
    <w:rsid w:val="00F13ABC"/>
    <w:rsid w:val="00F13B89"/>
    <w:rsid w:val="00F13D4D"/>
    <w:rsid w:val="00F13EB4"/>
    <w:rsid w:val="00F14729"/>
    <w:rsid w:val="00F149E0"/>
    <w:rsid w:val="00F14E6F"/>
    <w:rsid w:val="00F14E93"/>
    <w:rsid w:val="00F14EBA"/>
    <w:rsid w:val="00F15274"/>
    <w:rsid w:val="00F155ED"/>
    <w:rsid w:val="00F156EB"/>
    <w:rsid w:val="00F15CC2"/>
    <w:rsid w:val="00F15F30"/>
    <w:rsid w:val="00F1608F"/>
    <w:rsid w:val="00F16092"/>
    <w:rsid w:val="00F16381"/>
    <w:rsid w:val="00F164AB"/>
    <w:rsid w:val="00F164D9"/>
    <w:rsid w:val="00F165D0"/>
    <w:rsid w:val="00F166D8"/>
    <w:rsid w:val="00F16C8A"/>
    <w:rsid w:val="00F173BC"/>
    <w:rsid w:val="00F179A2"/>
    <w:rsid w:val="00F17B57"/>
    <w:rsid w:val="00F17C33"/>
    <w:rsid w:val="00F17CB9"/>
    <w:rsid w:val="00F17FB7"/>
    <w:rsid w:val="00F20733"/>
    <w:rsid w:val="00F2076E"/>
    <w:rsid w:val="00F2092D"/>
    <w:rsid w:val="00F20D56"/>
    <w:rsid w:val="00F2188F"/>
    <w:rsid w:val="00F21CF0"/>
    <w:rsid w:val="00F2209C"/>
    <w:rsid w:val="00F2225B"/>
    <w:rsid w:val="00F22362"/>
    <w:rsid w:val="00F22543"/>
    <w:rsid w:val="00F2255D"/>
    <w:rsid w:val="00F225FC"/>
    <w:rsid w:val="00F22691"/>
    <w:rsid w:val="00F22696"/>
    <w:rsid w:val="00F22AC6"/>
    <w:rsid w:val="00F22ED3"/>
    <w:rsid w:val="00F233EB"/>
    <w:rsid w:val="00F235DB"/>
    <w:rsid w:val="00F2376B"/>
    <w:rsid w:val="00F239F9"/>
    <w:rsid w:val="00F23C87"/>
    <w:rsid w:val="00F2410F"/>
    <w:rsid w:val="00F24769"/>
    <w:rsid w:val="00F24952"/>
    <w:rsid w:val="00F252F4"/>
    <w:rsid w:val="00F2554C"/>
    <w:rsid w:val="00F25578"/>
    <w:rsid w:val="00F255FD"/>
    <w:rsid w:val="00F257F9"/>
    <w:rsid w:val="00F25C1E"/>
    <w:rsid w:val="00F25E3A"/>
    <w:rsid w:val="00F262CB"/>
    <w:rsid w:val="00F26730"/>
    <w:rsid w:val="00F26850"/>
    <w:rsid w:val="00F26BCA"/>
    <w:rsid w:val="00F27164"/>
    <w:rsid w:val="00F27992"/>
    <w:rsid w:val="00F27D40"/>
    <w:rsid w:val="00F27F3F"/>
    <w:rsid w:val="00F30350"/>
    <w:rsid w:val="00F307FC"/>
    <w:rsid w:val="00F3082D"/>
    <w:rsid w:val="00F30953"/>
    <w:rsid w:val="00F30B0E"/>
    <w:rsid w:val="00F3112A"/>
    <w:rsid w:val="00F31163"/>
    <w:rsid w:val="00F31619"/>
    <w:rsid w:val="00F3185F"/>
    <w:rsid w:val="00F31E2E"/>
    <w:rsid w:val="00F31EE1"/>
    <w:rsid w:val="00F327C2"/>
    <w:rsid w:val="00F32E3A"/>
    <w:rsid w:val="00F332D2"/>
    <w:rsid w:val="00F3330D"/>
    <w:rsid w:val="00F3336D"/>
    <w:rsid w:val="00F337A5"/>
    <w:rsid w:val="00F33926"/>
    <w:rsid w:val="00F3399C"/>
    <w:rsid w:val="00F33D26"/>
    <w:rsid w:val="00F33FBC"/>
    <w:rsid w:val="00F34021"/>
    <w:rsid w:val="00F344C3"/>
    <w:rsid w:val="00F349B6"/>
    <w:rsid w:val="00F34BB9"/>
    <w:rsid w:val="00F35255"/>
    <w:rsid w:val="00F35509"/>
    <w:rsid w:val="00F35962"/>
    <w:rsid w:val="00F35C8B"/>
    <w:rsid w:val="00F35D4B"/>
    <w:rsid w:val="00F35DB8"/>
    <w:rsid w:val="00F35F66"/>
    <w:rsid w:val="00F360E1"/>
    <w:rsid w:val="00F3611B"/>
    <w:rsid w:val="00F36528"/>
    <w:rsid w:val="00F36AFE"/>
    <w:rsid w:val="00F36C20"/>
    <w:rsid w:val="00F370B2"/>
    <w:rsid w:val="00F370CA"/>
    <w:rsid w:val="00F3769A"/>
    <w:rsid w:val="00F37808"/>
    <w:rsid w:val="00F3793E"/>
    <w:rsid w:val="00F37988"/>
    <w:rsid w:val="00F37B7C"/>
    <w:rsid w:val="00F37B8D"/>
    <w:rsid w:val="00F40007"/>
    <w:rsid w:val="00F4013D"/>
    <w:rsid w:val="00F403F4"/>
    <w:rsid w:val="00F405C9"/>
    <w:rsid w:val="00F4075F"/>
    <w:rsid w:val="00F408B4"/>
    <w:rsid w:val="00F40CB2"/>
    <w:rsid w:val="00F412EF"/>
    <w:rsid w:val="00F41436"/>
    <w:rsid w:val="00F41543"/>
    <w:rsid w:val="00F41814"/>
    <w:rsid w:val="00F419EE"/>
    <w:rsid w:val="00F41A36"/>
    <w:rsid w:val="00F41AFD"/>
    <w:rsid w:val="00F42051"/>
    <w:rsid w:val="00F42321"/>
    <w:rsid w:val="00F425D1"/>
    <w:rsid w:val="00F42681"/>
    <w:rsid w:val="00F427D1"/>
    <w:rsid w:val="00F429D6"/>
    <w:rsid w:val="00F42A15"/>
    <w:rsid w:val="00F42D8E"/>
    <w:rsid w:val="00F430BD"/>
    <w:rsid w:val="00F43427"/>
    <w:rsid w:val="00F43520"/>
    <w:rsid w:val="00F43730"/>
    <w:rsid w:val="00F43A4B"/>
    <w:rsid w:val="00F43A60"/>
    <w:rsid w:val="00F43D6A"/>
    <w:rsid w:val="00F43EC2"/>
    <w:rsid w:val="00F44433"/>
    <w:rsid w:val="00F44A57"/>
    <w:rsid w:val="00F44E9B"/>
    <w:rsid w:val="00F44EFE"/>
    <w:rsid w:val="00F457E7"/>
    <w:rsid w:val="00F458A0"/>
    <w:rsid w:val="00F458F4"/>
    <w:rsid w:val="00F4601A"/>
    <w:rsid w:val="00F46C5D"/>
    <w:rsid w:val="00F4707B"/>
    <w:rsid w:val="00F4717D"/>
    <w:rsid w:val="00F471A5"/>
    <w:rsid w:val="00F476DD"/>
    <w:rsid w:val="00F477C6"/>
    <w:rsid w:val="00F4791E"/>
    <w:rsid w:val="00F47993"/>
    <w:rsid w:val="00F47C3B"/>
    <w:rsid w:val="00F47E74"/>
    <w:rsid w:val="00F501A9"/>
    <w:rsid w:val="00F509EC"/>
    <w:rsid w:val="00F50BB2"/>
    <w:rsid w:val="00F510A9"/>
    <w:rsid w:val="00F510FF"/>
    <w:rsid w:val="00F51172"/>
    <w:rsid w:val="00F51874"/>
    <w:rsid w:val="00F51E21"/>
    <w:rsid w:val="00F52061"/>
    <w:rsid w:val="00F5238A"/>
    <w:rsid w:val="00F5281C"/>
    <w:rsid w:val="00F528F1"/>
    <w:rsid w:val="00F5292F"/>
    <w:rsid w:val="00F52FA8"/>
    <w:rsid w:val="00F5338A"/>
    <w:rsid w:val="00F536AB"/>
    <w:rsid w:val="00F538CD"/>
    <w:rsid w:val="00F53B46"/>
    <w:rsid w:val="00F53FE6"/>
    <w:rsid w:val="00F541DD"/>
    <w:rsid w:val="00F54349"/>
    <w:rsid w:val="00F5440E"/>
    <w:rsid w:val="00F544CD"/>
    <w:rsid w:val="00F5480B"/>
    <w:rsid w:val="00F54967"/>
    <w:rsid w:val="00F54CEC"/>
    <w:rsid w:val="00F5511B"/>
    <w:rsid w:val="00F5538C"/>
    <w:rsid w:val="00F55794"/>
    <w:rsid w:val="00F55A79"/>
    <w:rsid w:val="00F55A8E"/>
    <w:rsid w:val="00F55B35"/>
    <w:rsid w:val="00F55B76"/>
    <w:rsid w:val="00F55B9A"/>
    <w:rsid w:val="00F55E0C"/>
    <w:rsid w:val="00F56663"/>
    <w:rsid w:val="00F56858"/>
    <w:rsid w:val="00F56870"/>
    <w:rsid w:val="00F56B05"/>
    <w:rsid w:val="00F56B92"/>
    <w:rsid w:val="00F56BF1"/>
    <w:rsid w:val="00F56EDF"/>
    <w:rsid w:val="00F571A8"/>
    <w:rsid w:val="00F575FC"/>
    <w:rsid w:val="00F5785E"/>
    <w:rsid w:val="00F6048F"/>
    <w:rsid w:val="00F60880"/>
    <w:rsid w:val="00F60898"/>
    <w:rsid w:val="00F611A8"/>
    <w:rsid w:val="00F61362"/>
    <w:rsid w:val="00F615E7"/>
    <w:rsid w:val="00F61759"/>
    <w:rsid w:val="00F617EE"/>
    <w:rsid w:val="00F61D19"/>
    <w:rsid w:val="00F61FDB"/>
    <w:rsid w:val="00F6243F"/>
    <w:rsid w:val="00F624E3"/>
    <w:rsid w:val="00F628F7"/>
    <w:rsid w:val="00F62A0C"/>
    <w:rsid w:val="00F62DDD"/>
    <w:rsid w:val="00F636A4"/>
    <w:rsid w:val="00F63829"/>
    <w:rsid w:val="00F63A0F"/>
    <w:rsid w:val="00F63BB6"/>
    <w:rsid w:val="00F63C4D"/>
    <w:rsid w:val="00F640DC"/>
    <w:rsid w:val="00F642EF"/>
    <w:rsid w:val="00F64354"/>
    <w:rsid w:val="00F6438C"/>
    <w:rsid w:val="00F643D7"/>
    <w:rsid w:val="00F64796"/>
    <w:rsid w:val="00F64817"/>
    <w:rsid w:val="00F64A61"/>
    <w:rsid w:val="00F64BFA"/>
    <w:rsid w:val="00F64C8D"/>
    <w:rsid w:val="00F64DCE"/>
    <w:rsid w:val="00F64DE9"/>
    <w:rsid w:val="00F64EB0"/>
    <w:rsid w:val="00F65309"/>
    <w:rsid w:val="00F6544A"/>
    <w:rsid w:val="00F6548F"/>
    <w:rsid w:val="00F65687"/>
    <w:rsid w:val="00F659F8"/>
    <w:rsid w:val="00F65ACA"/>
    <w:rsid w:val="00F65D4A"/>
    <w:rsid w:val="00F65D5C"/>
    <w:rsid w:val="00F65DF3"/>
    <w:rsid w:val="00F65F3C"/>
    <w:rsid w:val="00F661A1"/>
    <w:rsid w:val="00F66228"/>
    <w:rsid w:val="00F66A46"/>
    <w:rsid w:val="00F66C37"/>
    <w:rsid w:val="00F6705C"/>
    <w:rsid w:val="00F6791B"/>
    <w:rsid w:val="00F679D9"/>
    <w:rsid w:val="00F67A5E"/>
    <w:rsid w:val="00F67BC9"/>
    <w:rsid w:val="00F67D66"/>
    <w:rsid w:val="00F67E5C"/>
    <w:rsid w:val="00F700F9"/>
    <w:rsid w:val="00F702D2"/>
    <w:rsid w:val="00F70521"/>
    <w:rsid w:val="00F705F2"/>
    <w:rsid w:val="00F706AC"/>
    <w:rsid w:val="00F7073C"/>
    <w:rsid w:val="00F707CF"/>
    <w:rsid w:val="00F70905"/>
    <w:rsid w:val="00F709EC"/>
    <w:rsid w:val="00F70AAE"/>
    <w:rsid w:val="00F710B8"/>
    <w:rsid w:val="00F71385"/>
    <w:rsid w:val="00F71574"/>
    <w:rsid w:val="00F71582"/>
    <w:rsid w:val="00F71661"/>
    <w:rsid w:val="00F7186D"/>
    <w:rsid w:val="00F7197A"/>
    <w:rsid w:val="00F71BB1"/>
    <w:rsid w:val="00F71E5E"/>
    <w:rsid w:val="00F720A3"/>
    <w:rsid w:val="00F720EC"/>
    <w:rsid w:val="00F72302"/>
    <w:rsid w:val="00F723DB"/>
    <w:rsid w:val="00F72502"/>
    <w:rsid w:val="00F7268F"/>
    <w:rsid w:val="00F72881"/>
    <w:rsid w:val="00F72A29"/>
    <w:rsid w:val="00F72F3E"/>
    <w:rsid w:val="00F732C8"/>
    <w:rsid w:val="00F732EC"/>
    <w:rsid w:val="00F735EB"/>
    <w:rsid w:val="00F73B60"/>
    <w:rsid w:val="00F73D34"/>
    <w:rsid w:val="00F73E0C"/>
    <w:rsid w:val="00F74682"/>
    <w:rsid w:val="00F746C1"/>
    <w:rsid w:val="00F74745"/>
    <w:rsid w:val="00F748CE"/>
    <w:rsid w:val="00F74BF8"/>
    <w:rsid w:val="00F74F4B"/>
    <w:rsid w:val="00F7520E"/>
    <w:rsid w:val="00F752C8"/>
    <w:rsid w:val="00F753F7"/>
    <w:rsid w:val="00F75603"/>
    <w:rsid w:val="00F75B5F"/>
    <w:rsid w:val="00F75BC5"/>
    <w:rsid w:val="00F75C00"/>
    <w:rsid w:val="00F7648C"/>
    <w:rsid w:val="00F7663D"/>
    <w:rsid w:val="00F76A32"/>
    <w:rsid w:val="00F76AB9"/>
    <w:rsid w:val="00F76B34"/>
    <w:rsid w:val="00F76BD8"/>
    <w:rsid w:val="00F76D78"/>
    <w:rsid w:val="00F76F36"/>
    <w:rsid w:val="00F772D3"/>
    <w:rsid w:val="00F777F1"/>
    <w:rsid w:val="00F77AFF"/>
    <w:rsid w:val="00F77C25"/>
    <w:rsid w:val="00F8012E"/>
    <w:rsid w:val="00F80547"/>
    <w:rsid w:val="00F80961"/>
    <w:rsid w:val="00F80CE5"/>
    <w:rsid w:val="00F80FB2"/>
    <w:rsid w:val="00F81466"/>
    <w:rsid w:val="00F814F3"/>
    <w:rsid w:val="00F81FC8"/>
    <w:rsid w:val="00F82019"/>
    <w:rsid w:val="00F82283"/>
    <w:rsid w:val="00F82308"/>
    <w:rsid w:val="00F8230A"/>
    <w:rsid w:val="00F82418"/>
    <w:rsid w:val="00F82423"/>
    <w:rsid w:val="00F829E6"/>
    <w:rsid w:val="00F82AE5"/>
    <w:rsid w:val="00F82C2D"/>
    <w:rsid w:val="00F831D2"/>
    <w:rsid w:val="00F831E3"/>
    <w:rsid w:val="00F83411"/>
    <w:rsid w:val="00F83506"/>
    <w:rsid w:val="00F83749"/>
    <w:rsid w:val="00F83932"/>
    <w:rsid w:val="00F83A0F"/>
    <w:rsid w:val="00F83CFB"/>
    <w:rsid w:val="00F83D16"/>
    <w:rsid w:val="00F83D6C"/>
    <w:rsid w:val="00F8412C"/>
    <w:rsid w:val="00F84167"/>
    <w:rsid w:val="00F841C3"/>
    <w:rsid w:val="00F842B7"/>
    <w:rsid w:val="00F847C1"/>
    <w:rsid w:val="00F8486F"/>
    <w:rsid w:val="00F849E8"/>
    <w:rsid w:val="00F84C8C"/>
    <w:rsid w:val="00F84CEF"/>
    <w:rsid w:val="00F84E2C"/>
    <w:rsid w:val="00F84FCE"/>
    <w:rsid w:val="00F85696"/>
    <w:rsid w:val="00F857FE"/>
    <w:rsid w:val="00F858C7"/>
    <w:rsid w:val="00F85949"/>
    <w:rsid w:val="00F85BCC"/>
    <w:rsid w:val="00F85C01"/>
    <w:rsid w:val="00F85E2F"/>
    <w:rsid w:val="00F86158"/>
    <w:rsid w:val="00F866AF"/>
    <w:rsid w:val="00F866E7"/>
    <w:rsid w:val="00F866FB"/>
    <w:rsid w:val="00F86AE1"/>
    <w:rsid w:val="00F86B28"/>
    <w:rsid w:val="00F86C2F"/>
    <w:rsid w:val="00F86EE5"/>
    <w:rsid w:val="00F86EF4"/>
    <w:rsid w:val="00F87036"/>
    <w:rsid w:val="00F8713A"/>
    <w:rsid w:val="00F87581"/>
    <w:rsid w:val="00F87584"/>
    <w:rsid w:val="00F87739"/>
    <w:rsid w:val="00F87934"/>
    <w:rsid w:val="00F87AD1"/>
    <w:rsid w:val="00F87C01"/>
    <w:rsid w:val="00F87D96"/>
    <w:rsid w:val="00F87DE3"/>
    <w:rsid w:val="00F87E55"/>
    <w:rsid w:val="00F87E5D"/>
    <w:rsid w:val="00F87F79"/>
    <w:rsid w:val="00F900D4"/>
    <w:rsid w:val="00F904B3"/>
    <w:rsid w:val="00F907E7"/>
    <w:rsid w:val="00F90812"/>
    <w:rsid w:val="00F9081F"/>
    <w:rsid w:val="00F90C41"/>
    <w:rsid w:val="00F910C7"/>
    <w:rsid w:val="00F915ED"/>
    <w:rsid w:val="00F9184A"/>
    <w:rsid w:val="00F918EF"/>
    <w:rsid w:val="00F91AAC"/>
    <w:rsid w:val="00F91DC2"/>
    <w:rsid w:val="00F91EF7"/>
    <w:rsid w:val="00F91F1B"/>
    <w:rsid w:val="00F92159"/>
    <w:rsid w:val="00F92DB1"/>
    <w:rsid w:val="00F92EC3"/>
    <w:rsid w:val="00F92FFE"/>
    <w:rsid w:val="00F9329E"/>
    <w:rsid w:val="00F93413"/>
    <w:rsid w:val="00F93424"/>
    <w:rsid w:val="00F937EF"/>
    <w:rsid w:val="00F93ADA"/>
    <w:rsid w:val="00F93C55"/>
    <w:rsid w:val="00F93E15"/>
    <w:rsid w:val="00F9402A"/>
    <w:rsid w:val="00F94129"/>
    <w:rsid w:val="00F946CC"/>
    <w:rsid w:val="00F94759"/>
    <w:rsid w:val="00F94800"/>
    <w:rsid w:val="00F94C2D"/>
    <w:rsid w:val="00F954B5"/>
    <w:rsid w:val="00F95518"/>
    <w:rsid w:val="00F95714"/>
    <w:rsid w:val="00F95955"/>
    <w:rsid w:val="00F95A0E"/>
    <w:rsid w:val="00F95CB6"/>
    <w:rsid w:val="00F9603D"/>
    <w:rsid w:val="00F96160"/>
    <w:rsid w:val="00F962BD"/>
    <w:rsid w:val="00F964F2"/>
    <w:rsid w:val="00F967D8"/>
    <w:rsid w:val="00F96BA9"/>
    <w:rsid w:val="00F96CCC"/>
    <w:rsid w:val="00F96CFB"/>
    <w:rsid w:val="00F96FA8"/>
    <w:rsid w:val="00F97182"/>
    <w:rsid w:val="00F9780B"/>
    <w:rsid w:val="00F9798B"/>
    <w:rsid w:val="00F97ACE"/>
    <w:rsid w:val="00F97D4F"/>
    <w:rsid w:val="00F97D70"/>
    <w:rsid w:val="00F97F6A"/>
    <w:rsid w:val="00FA01A5"/>
    <w:rsid w:val="00FA0228"/>
    <w:rsid w:val="00FA02FE"/>
    <w:rsid w:val="00FA047A"/>
    <w:rsid w:val="00FA05BC"/>
    <w:rsid w:val="00FA06C5"/>
    <w:rsid w:val="00FA083F"/>
    <w:rsid w:val="00FA09F6"/>
    <w:rsid w:val="00FA0ACA"/>
    <w:rsid w:val="00FA0B1F"/>
    <w:rsid w:val="00FA0B46"/>
    <w:rsid w:val="00FA0D25"/>
    <w:rsid w:val="00FA1097"/>
    <w:rsid w:val="00FA1315"/>
    <w:rsid w:val="00FA139A"/>
    <w:rsid w:val="00FA16C5"/>
    <w:rsid w:val="00FA18BD"/>
    <w:rsid w:val="00FA1C2D"/>
    <w:rsid w:val="00FA1D36"/>
    <w:rsid w:val="00FA1ED2"/>
    <w:rsid w:val="00FA1F40"/>
    <w:rsid w:val="00FA2280"/>
    <w:rsid w:val="00FA233A"/>
    <w:rsid w:val="00FA237E"/>
    <w:rsid w:val="00FA2BC7"/>
    <w:rsid w:val="00FA2C03"/>
    <w:rsid w:val="00FA300B"/>
    <w:rsid w:val="00FA30FF"/>
    <w:rsid w:val="00FA3DEB"/>
    <w:rsid w:val="00FA42ED"/>
    <w:rsid w:val="00FA45BE"/>
    <w:rsid w:val="00FA484A"/>
    <w:rsid w:val="00FA4D1E"/>
    <w:rsid w:val="00FA50C8"/>
    <w:rsid w:val="00FA50EF"/>
    <w:rsid w:val="00FA51B5"/>
    <w:rsid w:val="00FA5306"/>
    <w:rsid w:val="00FA5601"/>
    <w:rsid w:val="00FA58DC"/>
    <w:rsid w:val="00FA59D8"/>
    <w:rsid w:val="00FA5B19"/>
    <w:rsid w:val="00FA5C2D"/>
    <w:rsid w:val="00FA5C8A"/>
    <w:rsid w:val="00FA5D0A"/>
    <w:rsid w:val="00FA623C"/>
    <w:rsid w:val="00FA6640"/>
    <w:rsid w:val="00FA66F5"/>
    <w:rsid w:val="00FA6C29"/>
    <w:rsid w:val="00FA7441"/>
    <w:rsid w:val="00FA74CF"/>
    <w:rsid w:val="00FA765D"/>
    <w:rsid w:val="00FA76A1"/>
    <w:rsid w:val="00FA7B53"/>
    <w:rsid w:val="00FA7BAD"/>
    <w:rsid w:val="00FA7DE9"/>
    <w:rsid w:val="00FB0048"/>
    <w:rsid w:val="00FB0204"/>
    <w:rsid w:val="00FB0356"/>
    <w:rsid w:val="00FB0597"/>
    <w:rsid w:val="00FB099B"/>
    <w:rsid w:val="00FB0A8A"/>
    <w:rsid w:val="00FB0AF3"/>
    <w:rsid w:val="00FB145D"/>
    <w:rsid w:val="00FB1466"/>
    <w:rsid w:val="00FB1691"/>
    <w:rsid w:val="00FB16AD"/>
    <w:rsid w:val="00FB18AB"/>
    <w:rsid w:val="00FB2084"/>
    <w:rsid w:val="00FB23AC"/>
    <w:rsid w:val="00FB2504"/>
    <w:rsid w:val="00FB2725"/>
    <w:rsid w:val="00FB2AB8"/>
    <w:rsid w:val="00FB31C4"/>
    <w:rsid w:val="00FB359C"/>
    <w:rsid w:val="00FB3838"/>
    <w:rsid w:val="00FB395E"/>
    <w:rsid w:val="00FB3B24"/>
    <w:rsid w:val="00FB3BBE"/>
    <w:rsid w:val="00FB4D00"/>
    <w:rsid w:val="00FB5168"/>
    <w:rsid w:val="00FB52B8"/>
    <w:rsid w:val="00FB549C"/>
    <w:rsid w:val="00FB554C"/>
    <w:rsid w:val="00FB58AD"/>
    <w:rsid w:val="00FB5C87"/>
    <w:rsid w:val="00FB5E60"/>
    <w:rsid w:val="00FB5F38"/>
    <w:rsid w:val="00FB6189"/>
    <w:rsid w:val="00FB62BA"/>
    <w:rsid w:val="00FB64C3"/>
    <w:rsid w:val="00FB652E"/>
    <w:rsid w:val="00FB65A5"/>
    <w:rsid w:val="00FB6726"/>
    <w:rsid w:val="00FB6A7E"/>
    <w:rsid w:val="00FB6A92"/>
    <w:rsid w:val="00FB6EA6"/>
    <w:rsid w:val="00FB7285"/>
    <w:rsid w:val="00FB7365"/>
    <w:rsid w:val="00FB761A"/>
    <w:rsid w:val="00FB7F3A"/>
    <w:rsid w:val="00FC003F"/>
    <w:rsid w:val="00FC02E2"/>
    <w:rsid w:val="00FC02F1"/>
    <w:rsid w:val="00FC04FF"/>
    <w:rsid w:val="00FC0869"/>
    <w:rsid w:val="00FC0AA5"/>
    <w:rsid w:val="00FC0C0D"/>
    <w:rsid w:val="00FC127F"/>
    <w:rsid w:val="00FC1287"/>
    <w:rsid w:val="00FC1360"/>
    <w:rsid w:val="00FC14F1"/>
    <w:rsid w:val="00FC15D8"/>
    <w:rsid w:val="00FC1693"/>
    <w:rsid w:val="00FC1A38"/>
    <w:rsid w:val="00FC20B4"/>
    <w:rsid w:val="00FC20BA"/>
    <w:rsid w:val="00FC26AB"/>
    <w:rsid w:val="00FC2701"/>
    <w:rsid w:val="00FC2A5D"/>
    <w:rsid w:val="00FC303F"/>
    <w:rsid w:val="00FC304E"/>
    <w:rsid w:val="00FC3095"/>
    <w:rsid w:val="00FC3403"/>
    <w:rsid w:val="00FC3675"/>
    <w:rsid w:val="00FC3A13"/>
    <w:rsid w:val="00FC3B29"/>
    <w:rsid w:val="00FC3CB4"/>
    <w:rsid w:val="00FC3EF0"/>
    <w:rsid w:val="00FC409B"/>
    <w:rsid w:val="00FC4204"/>
    <w:rsid w:val="00FC4269"/>
    <w:rsid w:val="00FC44B9"/>
    <w:rsid w:val="00FC4569"/>
    <w:rsid w:val="00FC507C"/>
    <w:rsid w:val="00FC52ED"/>
    <w:rsid w:val="00FC549A"/>
    <w:rsid w:val="00FC5617"/>
    <w:rsid w:val="00FC56B5"/>
    <w:rsid w:val="00FC5A91"/>
    <w:rsid w:val="00FC5CFD"/>
    <w:rsid w:val="00FC5E1F"/>
    <w:rsid w:val="00FC5ED4"/>
    <w:rsid w:val="00FC6556"/>
    <w:rsid w:val="00FC6652"/>
    <w:rsid w:val="00FC6BA5"/>
    <w:rsid w:val="00FC6BEF"/>
    <w:rsid w:val="00FC6D19"/>
    <w:rsid w:val="00FC6F35"/>
    <w:rsid w:val="00FC753A"/>
    <w:rsid w:val="00FC7A4F"/>
    <w:rsid w:val="00FC7D20"/>
    <w:rsid w:val="00FC7FC6"/>
    <w:rsid w:val="00FD023F"/>
    <w:rsid w:val="00FD03BE"/>
    <w:rsid w:val="00FD0A3F"/>
    <w:rsid w:val="00FD0C0A"/>
    <w:rsid w:val="00FD0C27"/>
    <w:rsid w:val="00FD0C51"/>
    <w:rsid w:val="00FD0C8B"/>
    <w:rsid w:val="00FD0E26"/>
    <w:rsid w:val="00FD0F23"/>
    <w:rsid w:val="00FD1816"/>
    <w:rsid w:val="00FD1B1A"/>
    <w:rsid w:val="00FD1ECA"/>
    <w:rsid w:val="00FD2030"/>
    <w:rsid w:val="00FD2193"/>
    <w:rsid w:val="00FD2393"/>
    <w:rsid w:val="00FD285E"/>
    <w:rsid w:val="00FD2AFB"/>
    <w:rsid w:val="00FD2FAB"/>
    <w:rsid w:val="00FD3078"/>
    <w:rsid w:val="00FD312B"/>
    <w:rsid w:val="00FD347E"/>
    <w:rsid w:val="00FD3626"/>
    <w:rsid w:val="00FD3732"/>
    <w:rsid w:val="00FD38C8"/>
    <w:rsid w:val="00FD3FD2"/>
    <w:rsid w:val="00FD409B"/>
    <w:rsid w:val="00FD40D4"/>
    <w:rsid w:val="00FD4257"/>
    <w:rsid w:val="00FD42F7"/>
    <w:rsid w:val="00FD44FD"/>
    <w:rsid w:val="00FD46B8"/>
    <w:rsid w:val="00FD46D7"/>
    <w:rsid w:val="00FD49BF"/>
    <w:rsid w:val="00FD49CA"/>
    <w:rsid w:val="00FD4A50"/>
    <w:rsid w:val="00FD4ABE"/>
    <w:rsid w:val="00FD4B34"/>
    <w:rsid w:val="00FD5246"/>
    <w:rsid w:val="00FD5279"/>
    <w:rsid w:val="00FD5397"/>
    <w:rsid w:val="00FD59C9"/>
    <w:rsid w:val="00FD59CC"/>
    <w:rsid w:val="00FD5AC0"/>
    <w:rsid w:val="00FD5B68"/>
    <w:rsid w:val="00FD5B76"/>
    <w:rsid w:val="00FD5C60"/>
    <w:rsid w:val="00FD5C95"/>
    <w:rsid w:val="00FD5F10"/>
    <w:rsid w:val="00FD6000"/>
    <w:rsid w:val="00FD6202"/>
    <w:rsid w:val="00FD632F"/>
    <w:rsid w:val="00FD6572"/>
    <w:rsid w:val="00FD66FA"/>
    <w:rsid w:val="00FD67C5"/>
    <w:rsid w:val="00FD69C5"/>
    <w:rsid w:val="00FD6B06"/>
    <w:rsid w:val="00FD6B23"/>
    <w:rsid w:val="00FD6E9D"/>
    <w:rsid w:val="00FD7007"/>
    <w:rsid w:val="00FD707B"/>
    <w:rsid w:val="00FD707C"/>
    <w:rsid w:val="00FD7366"/>
    <w:rsid w:val="00FD774B"/>
    <w:rsid w:val="00FD78FE"/>
    <w:rsid w:val="00FD7949"/>
    <w:rsid w:val="00FD7A09"/>
    <w:rsid w:val="00FD7D8B"/>
    <w:rsid w:val="00FE02F2"/>
    <w:rsid w:val="00FE03A5"/>
    <w:rsid w:val="00FE057B"/>
    <w:rsid w:val="00FE0802"/>
    <w:rsid w:val="00FE0941"/>
    <w:rsid w:val="00FE0A2D"/>
    <w:rsid w:val="00FE0B71"/>
    <w:rsid w:val="00FE139E"/>
    <w:rsid w:val="00FE1985"/>
    <w:rsid w:val="00FE1B04"/>
    <w:rsid w:val="00FE1C56"/>
    <w:rsid w:val="00FE2130"/>
    <w:rsid w:val="00FE21E7"/>
    <w:rsid w:val="00FE21F5"/>
    <w:rsid w:val="00FE2267"/>
    <w:rsid w:val="00FE229E"/>
    <w:rsid w:val="00FE2625"/>
    <w:rsid w:val="00FE26DD"/>
    <w:rsid w:val="00FE28F5"/>
    <w:rsid w:val="00FE28F8"/>
    <w:rsid w:val="00FE2E40"/>
    <w:rsid w:val="00FE2F67"/>
    <w:rsid w:val="00FE342F"/>
    <w:rsid w:val="00FE366D"/>
    <w:rsid w:val="00FE37F8"/>
    <w:rsid w:val="00FE388D"/>
    <w:rsid w:val="00FE41A0"/>
    <w:rsid w:val="00FE43FB"/>
    <w:rsid w:val="00FE461A"/>
    <w:rsid w:val="00FE4863"/>
    <w:rsid w:val="00FE49E8"/>
    <w:rsid w:val="00FE4C11"/>
    <w:rsid w:val="00FE4E30"/>
    <w:rsid w:val="00FE4E5D"/>
    <w:rsid w:val="00FE4FD8"/>
    <w:rsid w:val="00FE5342"/>
    <w:rsid w:val="00FE542B"/>
    <w:rsid w:val="00FE5A9E"/>
    <w:rsid w:val="00FE5B92"/>
    <w:rsid w:val="00FE5EB4"/>
    <w:rsid w:val="00FE5F79"/>
    <w:rsid w:val="00FE6105"/>
    <w:rsid w:val="00FE651D"/>
    <w:rsid w:val="00FE6832"/>
    <w:rsid w:val="00FE6B10"/>
    <w:rsid w:val="00FE6B9C"/>
    <w:rsid w:val="00FE6C70"/>
    <w:rsid w:val="00FE6D49"/>
    <w:rsid w:val="00FE6D53"/>
    <w:rsid w:val="00FE6FB7"/>
    <w:rsid w:val="00FE72D6"/>
    <w:rsid w:val="00FE7380"/>
    <w:rsid w:val="00FE75FB"/>
    <w:rsid w:val="00FE77D8"/>
    <w:rsid w:val="00FE7A3A"/>
    <w:rsid w:val="00FE7AC0"/>
    <w:rsid w:val="00FE7C9A"/>
    <w:rsid w:val="00FE7E4B"/>
    <w:rsid w:val="00FE7E54"/>
    <w:rsid w:val="00FE7F05"/>
    <w:rsid w:val="00FF04DD"/>
    <w:rsid w:val="00FF0746"/>
    <w:rsid w:val="00FF0EF4"/>
    <w:rsid w:val="00FF175B"/>
    <w:rsid w:val="00FF1BE1"/>
    <w:rsid w:val="00FF1E0B"/>
    <w:rsid w:val="00FF1F44"/>
    <w:rsid w:val="00FF1FAC"/>
    <w:rsid w:val="00FF1FB5"/>
    <w:rsid w:val="00FF21FD"/>
    <w:rsid w:val="00FF2552"/>
    <w:rsid w:val="00FF276B"/>
    <w:rsid w:val="00FF29E8"/>
    <w:rsid w:val="00FF2BA1"/>
    <w:rsid w:val="00FF2C3B"/>
    <w:rsid w:val="00FF2C89"/>
    <w:rsid w:val="00FF305C"/>
    <w:rsid w:val="00FF3138"/>
    <w:rsid w:val="00FF31FF"/>
    <w:rsid w:val="00FF3357"/>
    <w:rsid w:val="00FF3467"/>
    <w:rsid w:val="00FF3551"/>
    <w:rsid w:val="00FF35FE"/>
    <w:rsid w:val="00FF39BA"/>
    <w:rsid w:val="00FF3EEE"/>
    <w:rsid w:val="00FF3F4B"/>
    <w:rsid w:val="00FF4323"/>
    <w:rsid w:val="00FF43E7"/>
    <w:rsid w:val="00FF4429"/>
    <w:rsid w:val="00FF4715"/>
    <w:rsid w:val="00FF4778"/>
    <w:rsid w:val="00FF47B3"/>
    <w:rsid w:val="00FF4D5E"/>
    <w:rsid w:val="00FF4E8F"/>
    <w:rsid w:val="00FF4FDA"/>
    <w:rsid w:val="00FF508F"/>
    <w:rsid w:val="00FF5151"/>
    <w:rsid w:val="00FF51FA"/>
    <w:rsid w:val="00FF5456"/>
    <w:rsid w:val="00FF54F2"/>
    <w:rsid w:val="00FF554A"/>
    <w:rsid w:val="00FF55F6"/>
    <w:rsid w:val="00FF5C07"/>
    <w:rsid w:val="00FF5DF5"/>
    <w:rsid w:val="00FF67A5"/>
    <w:rsid w:val="00FF6AEA"/>
    <w:rsid w:val="00FF6E07"/>
    <w:rsid w:val="00FF7102"/>
    <w:rsid w:val="00FF71B0"/>
    <w:rsid w:val="00FF74DA"/>
    <w:rsid w:val="00FF7506"/>
    <w:rsid w:val="00FF771E"/>
    <w:rsid w:val="00FF7FCD"/>
    <w:rsid w:val="01028C03"/>
    <w:rsid w:val="01046536"/>
    <w:rsid w:val="010EE3BB"/>
    <w:rsid w:val="01107805"/>
    <w:rsid w:val="0148A193"/>
    <w:rsid w:val="016F6ADA"/>
    <w:rsid w:val="016FFD3A"/>
    <w:rsid w:val="0189598B"/>
    <w:rsid w:val="0189F961"/>
    <w:rsid w:val="01A8280A"/>
    <w:rsid w:val="01AB7967"/>
    <w:rsid w:val="01BC81E8"/>
    <w:rsid w:val="01C17B7C"/>
    <w:rsid w:val="01C36EAE"/>
    <w:rsid w:val="01CA3FD8"/>
    <w:rsid w:val="01EB131F"/>
    <w:rsid w:val="021670B6"/>
    <w:rsid w:val="0219DBD0"/>
    <w:rsid w:val="021EB6BC"/>
    <w:rsid w:val="0235931B"/>
    <w:rsid w:val="02361249"/>
    <w:rsid w:val="024BAD50"/>
    <w:rsid w:val="02546DEE"/>
    <w:rsid w:val="02634358"/>
    <w:rsid w:val="02652117"/>
    <w:rsid w:val="026C9993"/>
    <w:rsid w:val="0272A1B8"/>
    <w:rsid w:val="0275CD7E"/>
    <w:rsid w:val="029B1855"/>
    <w:rsid w:val="029EE17B"/>
    <w:rsid w:val="02A7B56C"/>
    <w:rsid w:val="02BA680D"/>
    <w:rsid w:val="02EB49AD"/>
    <w:rsid w:val="02EF5EBC"/>
    <w:rsid w:val="02F7E657"/>
    <w:rsid w:val="02FEA8DA"/>
    <w:rsid w:val="0304248E"/>
    <w:rsid w:val="03201351"/>
    <w:rsid w:val="032362FF"/>
    <w:rsid w:val="03327438"/>
    <w:rsid w:val="03384B26"/>
    <w:rsid w:val="03744DAD"/>
    <w:rsid w:val="038F2113"/>
    <w:rsid w:val="039D26FD"/>
    <w:rsid w:val="03B1F6FF"/>
    <w:rsid w:val="03C0460C"/>
    <w:rsid w:val="03F14BE7"/>
    <w:rsid w:val="03F23927"/>
    <w:rsid w:val="03F54070"/>
    <w:rsid w:val="04273B0D"/>
    <w:rsid w:val="04364B9F"/>
    <w:rsid w:val="044008A6"/>
    <w:rsid w:val="04494505"/>
    <w:rsid w:val="04589E3F"/>
    <w:rsid w:val="0458CB78"/>
    <w:rsid w:val="046315FD"/>
    <w:rsid w:val="0470EDD7"/>
    <w:rsid w:val="04771558"/>
    <w:rsid w:val="047CAC51"/>
    <w:rsid w:val="04CFC1C3"/>
    <w:rsid w:val="0506DC99"/>
    <w:rsid w:val="0520A5DB"/>
    <w:rsid w:val="054A9BC8"/>
    <w:rsid w:val="054B0BCF"/>
    <w:rsid w:val="0576BB2A"/>
    <w:rsid w:val="05814AF2"/>
    <w:rsid w:val="0594E002"/>
    <w:rsid w:val="059B743E"/>
    <w:rsid w:val="05B3741F"/>
    <w:rsid w:val="05BCC601"/>
    <w:rsid w:val="05E78BA6"/>
    <w:rsid w:val="05EC70F8"/>
    <w:rsid w:val="05F199B4"/>
    <w:rsid w:val="06512A98"/>
    <w:rsid w:val="0668B1E2"/>
    <w:rsid w:val="0675553B"/>
    <w:rsid w:val="067CB06C"/>
    <w:rsid w:val="06976DEC"/>
    <w:rsid w:val="069E1077"/>
    <w:rsid w:val="06A60616"/>
    <w:rsid w:val="06AEDE5B"/>
    <w:rsid w:val="06AF0902"/>
    <w:rsid w:val="06C08B7F"/>
    <w:rsid w:val="06CCA748"/>
    <w:rsid w:val="06CFDDF9"/>
    <w:rsid w:val="06D88688"/>
    <w:rsid w:val="06EA0297"/>
    <w:rsid w:val="06F98C7C"/>
    <w:rsid w:val="072F3F2F"/>
    <w:rsid w:val="07436068"/>
    <w:rsid w:val="07533EF5"/>
    <w:rsid w:val="0767A046"/>
    <w:rsid w:val="077033B5"/>
    <w:rsid w:val="07765F3F"/>
    <w:rsid w:val="078E4EF0"/>
    <w:rsid w:val="07B13938"/>
    <w:rsid w:val="07C1CB2C"/>
    <w:rsid w:val="07C23E13"/>
    <w:rsid w:val="07CB395B"/>
    <w:rsid w:val="07E59A79"/>
    <w:rsid w:val="07EA90F8"/>
    <w:rsid w:val="07F64DE8"/>
    <w:rsid w:val="081A478A"/>
    <w:rsid w:val="082A8E5B"/>
    <w:rsid w:val="084EE7A7"/>
    <w:rsid w:val="08517F9E"/>
    <w:rsid w:val="085E82B2"/>
    <w:rsid w:val="0868A0B4"/>
    <w:rsid w:val="08746F79"/>
    <w:rsid w:val="087D45D0"/>
    <w:rsid w:val="08830A58"/>
    <w:rsid w:val="08AD00B5"/>
    <w:rsid w:val="08B33975"/>
    <w:rsid w:val="08C42A8F"/>
    <w:rsid w:val="08C9CB3A"/>
    <w:rsid w:val="08CA6849"/>
    <w:rsid w:val="08CD7B40"/>
    <w:rsid w:val="08D04095"/>
    <w:rsid w:val="08FB365D"/>
    <w:rsid w:val="08FE4DC1"/>
    <w:rsid w:val="09003684"/>
    <w:rsid w:val="0907ACB0"/>
    <w:rsid w:val="0909DA0D"/>
    <w:rsid w:val="091A59BA"/>
    <w:rsid w:val="091ED001"/>
    <w:rsid w:val="0946D901"/>
    <w:rsid w:val="0976A729"/>
    <w:rsid w:val="097F8FF3"/>
    <w:rsid w:val="098949A6"/>
    <w:rsid w:val="098C18DB"/>
    <w:rsid w:val="099DAC1D"/>
    <w:rsid w:val="09B68EFC"/>
    <w:rsid w:val="09C280C9"/>
    <w:rsid w:val="09CC4F3D"/>
    <w:rsid w:val="09D391EE"/>
    <w:rsid w:val="09D8C53C"/>
    <w:rsid w:val="09E1DDF5"/>
    <w:rsid w:val="0A054DDC"/>
    <w:rsid w:val="0A084202"/>
    <w:rsid w:val="0A08DE1B"/>
    <w:rsid w:val="0A1BC21F"/>
    <w:rsid w:val="0A279B66"/>
    <w:rsid w:val="0A2B6FD6"/>
    <w:rsid w:val="0A628696"/>
    <w:rsid w:val="0A66A76A"/>
    <w:rsid w:val="0A7211A4"/>
    <w:rsid w:val="0A9F4F20"/>
    <w:rsid w:val="0AA34785"/>
    <w:rsid w:val="0AC6067C"/>
    <w:rsid w:val="0ACA31E8"/>
    <w:rsid w:val="0AD29B9F"/>
    <w:rsid w:val="0ADACB7B"/>
    <w:rsid w:val="0AE30CC2"/>
    <w:rsid w:val="0AF06B94"/>
    <w:rsid w:val="0B25793A"/>
    <w:rsid w:val="0B4BA98D"/>
    <w:rsid w:val="0B4BD97B"/>
    <w:rsid w:val="0B647596"/>
    <w:rsid w:val="0B799548"/>
    <w:rsid w:val="0B91550F"/>
    <w:rsid w:val="0BC94007"/>
    <w:rsid w:val="0BCEDCF6"/>
    <w:rsid w:val="0BDC4795"/>
    <w:rsid w:val="0BDD4B79"/>
    <w:rsid w:val="0C10CA6A"/>
    <w:rsid w:val="0C204A34"/>
    <w:rsid w:val="0C2C4848"/>
    <w:rsid w:val="0C426760"/>
    <w:rsid w:val="0C4534E6"/>
    <w:rsid w:val="0C54D3B5"/>
    <w:rsid w:val="0C69F314"/>
    <w:rsid w:val="0C7D2A03"/>
    <w:rsid w:val="0C8D6EC8"/>
    <w:rsid w:val="0C96667C"/>
    <w:rsid w:val="0C96B81B"/>
    <w:rsid w:val="0CA24624"/>
    <w:rsid w:val="0CA64ECD"/>
    <w:rsid w:val="0CA89167"/>
    <w:rsid w:val="0CBBDBB2"/>
    <w:rsid w:val="0CC355FA"/>
    <w:rsid w:val="0CC7D679"/>
    <w:rsid w:val="0CE453CB"/>
    <w:rsid w:val="0CED76D2"/>
    <w:rsid w:val="0D16AE61"/>
    <w:rsid w:val="0D35B57D"/>
    <w:rsid w:val="0D4AF9D7"/>
    <w:rsid w:val="0D626965"/>
    <w:rsid w:val="0D7C666C"/>
    <w:rsid w:val="0D80615F"/>
    <w:rsid w:val="0DAF4693"/>
    <w:rsid w:val="0DB9B250"/>
    <w:rsid w:val="0DBB17A0"/>
    <w:rsid w:val="0DBB6589"/>
    <w:rsid w:val="0DBCA241"/>
    <w:rsid w:val="0DBE7D6D"/>
    <w:rsid w:val="0DDC4A76"/>
    <w:rsid w:val="0DE080CE"/>
    <w:rsid w:val="0DE8E8EC"/>
    <w:rsid w:val="0E1921A0"/>
    <w:rsid w:val="0E323A0A"/>
    <w:rsid w:val="0E38B732"/>
    <w:rsid w:val="0E55C84D"/>
    <w:rsid w:val="0E59370E"/>
    <w:rsid w:val="0EA36B78"/>
    <w:rsid w:val="0EABD6B8"/>
    <w:rsid w:val="0EB123D7"/>
    <w:rsid w:val="0ECC1BC2"/>
    <w:rsid w:val="0EEDF675"/>
    <w:rsid w:val="0EF2D9DD"/>
    <w:rsid w:val="0EF7A5DD"/>
    <w:rsid w:val="0F046BA2"/>
    <w:rsid w:val="0F2B93CA"/>
    <w:rsid w:val="0F50FCB9"/>
    <w:rsid w:val="0F5EE5EB"/>
    <w:rsid w:val="0F8CE696"/>
    <w:rsid w:val="0F9DC014"/>
    <w:rsid w:val="0FB5EC35"/>
    <w:rsid w:val="0FC2092D"/>
    <w:rsid w:val="0FDE7E8C"/>
    <w:rsid w:val="0FE12B02"/>
    <w:rsid w:val="0FF6F020"/>
    <w:rsid w:val="1019CD0D"/>
    <w:rsid w:val="101EFE7A"/>
    <w:rsid w:val="103F6AE7"/>
    <w:rsid w:val="10401F60"/>
    <w:rsid w:val="10406DAC"/>
    <w:rsid w:val="104D21E0"/>
    <w:rsid w:val="105CDB1A"/>
    <w:rsid w:val="105D92F1"/>
    <w:rsid w:val="10602958"/>
    <w:rsid w:val="1064C6E5"/>
    <w:rsid w:val="107A4441"/>
    <w:rsid w:val="10828A43"/>
    <w:rsid w:val="10A72F50"/>
    <w:rsid w:val="10B98BA2"/>
    <w:rsid w:val="10BC8F85"/>
    <w:rsid w:val="10C6E34F"/>
    <w:rsid w:val="10C7E2AB"/>
    <w:rsid w:val="10F7E984"/>
    <w:rsid w:val="10F8696B"/>
    <w:rsid w:val="10F8BFB0"/>
    <w:rsid w:val="1108A8B8"/>
    <w:rsid w:val="11137E9C"/>
    <w:rsid w:val="111DD5A4"/>
    <w:rsid w:val="112D6123"/>
    <w:rsid w:val="112F49BC"/>
    <w:rsid w:val="1147EA4C"/>
    <w:rsid w:val="1148635C"/>
    <w:rsid w:val="115D0716"/>
    <w:rsid w:val="11658B31"/>
    <w:rsid w:val="11765F93"/>
    <w:rsid w:val="117B556B"/>
    <w:rsid w:val="11980153"/>
    <w:rsid w:val="11A12153"/>
    <w:rsid w:val="11A32B4E"/>
    <w:rsid w:val="11AD51AC"/>
    <w:rsid w:val="11CA612C"/>
    <w:rsid w:val="11D6C4A7"/>
    <w:rsid w:val="11D9B829"/>
    <w:rsid w:val="11EB3697"/>
    <w:rsid w:val="11F42476"/>
    <w:rsid w:val="11FC8155"/>
    <w:rsid w:val="122E7393"/>
    <w:rsid w:val="124BE79A"/>
    <w:rsid w:val="1258E603"/>
    <w:rsid w:val="1259922A"/>
    <w:rsid w:val="126398F1"/>
    <w:rsid w:val="126407E3"/>
    <w:rsid w:val="126A1200"/>
    <w:rsid w:val="12718A1C"/>
    <w:rsid w:val="128FDFA7"/>
    <w:rsid w:val="12ADC5CF"/>
    <w:rsid w:val="12B9845F"/>
    <w:rsid w:val="12CEB0B6"/>
    <w:rsid w:val="12CF0B4F"/>
    <w:rsid w:val="12CF6CAF"/>
    <w:rsid w:val="12D29134"/>
    <w:rsid w:val="12D4F546"/>
    <w:rsid w:val="12EE7FF8"/>
    <w:rsid w:val="12F4849A"/>
    <w:rsid w:val="130066A3"/>
    <w:rsid w:val="1316DCA0"/>
    <w:rsid w:val="132CF79C"/>
    <w:rsid w:val="13465273"/>
    <w:rsid w:val="1357467B"/>
    <w:rsid w:val="135BA4AC"/>
    <w:rsid w:val="136045FA"/>
    <w:rsid w:val="13674B3E"/>
    <w:rsid w:val="1376805A"/>
    <w:rsid w:val="138571A7"/>
    <w:rsid w:val="138E659B"/>
    <w:rsid w:val="138FDDA4"/>
    <w:rsid w:val="13AC3514"/>
    <w:rsid w:val="13B66D85"/>
    <w:rsid w:val="13BBDC84"/>
    <w:rsid w:val="13C81CAE"/>
    <w:rsid w:val="13D481D6"/>
    <w:rsid w:val="13E8845F"/>
    <w:rsid w:val="1462E3C6"/>
    <w:rsid w:val="147B1E3B"/>
    <w:rsid w:val="1484C742"/>
    <w:rsid w:val="1485B683"/>
    <w:rsid w:val="14B290C1"/>
    <w:rsid w:val="14BD4C8E"/>
    <w:rsid w:val="14BF030E"/>
    <w:rsid w:val="14EE4686"/>
    <w:rsid w:val="150AD3CF"/>
    <w:rsid w:val="151951F6"/>
    <w:rsid w:val="1530190A"/>
    <w:rsid w:val="153C445A"/>
    <w:rsid w:val="1541E73F"/>
    <w:rsid w:val="15440350"/>
    <w:rsid w:val="15479A1B"/>
    <w:rsid w:val="1547FCB7"/>
    <w:rsid w:val="157FD1E8"/>
    <w:rsid w:val="1598C2F6"/>
    <w:rsid w:val="15B1821B"/>
    <w:rsid w:val="15B5E173"/>
    <w:rsid w:val="15C1175A"/>
    <w:rsid w:val="15C686CC"/>
    <w:rsid w:val="15D702F7"/>
    <w:rsid w:val="15DE1424"/>
    <w:rsid w:val="15FBAA90"/>
    <w:rsid w:val="15FC490F"/>
    <w:rsid w:val="15FF5694"/>
    <w:rsid w:val="1605A31D"/>
    <w:rsid w:val="160651FE"/>
    <w:rsid w:val="160A4918"/>
    <w:rsid w:val="1625880A"/>
    <w:rsid w:val="16287E4B"/>
    <w:rsid w:val="1629BFDD"/>
    <w:rsid w:val="162B3DDA"/>
    <w:rsid w:val="162F76FC"/>
    <w:rsid w:val="164DBAC2"/>
    <w:rsid w:val="1664EAEC"/>
    <w:rsid w:val="16A384A2"/>
    <w:rsid w:val="16AF6F20"/>
    <w:rsid w:val="16C310B3"/>
    <w:rsid w:val="16C700A6"/>
    <w:rsid w:val="16C9CAA7"/>
    <w:rsid w:val="16D8D3DC"/>
    <w:rsid w:val="16E14C1A"/>
    <w:rsid w:val="16E68476"/>
    <w:rsid w:val="1714F66E"/>
    <w:rsid w:val="173812DD"/>
    <w:rsid w:val="175036F0"/>
    <w:rsid w:val="17639652"/>
    <w:rsid w:val="1763CFD9"/>
    <w:rsid w:val="176F6CEB"/>
    <w:rsid w:val="17700F36"/>
    <w:rsid w:val="177439EA"/>
    <w:rsid w:val="17818773"/>
    <w:rsid w:val="17D30B83"/>
    <w:rsid w:val="17E067D2"/>
    <w:rsid w:val="17E3E2D5"/>
    <w:rsid w:val="17E47A6D"/>
    <w:rsid w:val="17F5E8A9"/>
    <w:rsid w:val="180C0D40"/>
    <w:rsid w:val="184FD319"/>
    <w:rsid w:val="1851041B"/>
    <w:rsid w:val="185657B9"/>
    <w:rsid w:val="186779BA"/>
    <w:rsid w:val="18756512"/>
    <w:rsid w:val="187AB9F7"/>
    <w:rsid w:val="18996D69"/>
    <w:rsid w:val="18A59BFB"/>
    <w:rsid w:val="18D74D20"/>
    <w:rsid w:val="18E6485C"/>
    <w:rsid w:val="18EFF92A"/>
    <w:rsid w:val="18F1F5DC"/>
    <w:rsid w:val="18F2998D"/>
    <w:rsid w:val="19107B86"/>
    <w:rsid w:val="1939664D"/>
    <w:rsid w:val="19641CDD"/>
    <w:rsid w:val="1968D99B"/>
    <w:rsid w:val="19AFC298"/>
    <w:rsid w:val="19C96CFB"/>
    <w:rsid w:val="19D1F2EC"/>
    <w:rsid w:val="19D23032"/>
    <w:rsid w:val="19D684B1"/>
    <w:rsid w:val="19E26F8E"/>
    <w:rsid w:val="19EDEE46"/>
    <w:rsid w:val="1A0C9D14"/>
    <w:rsid w:val="1A0DFF08"/>
    <w:rsid w:val="1A1674C5"/>
    <w:rsid w:val="1A19B90B"/>
    <w:rsid w:val="1A1AC509"/>
    <w:rsid w:val="1A1ADAC9"/>
    <w:rsid w:val="1A242184"/>
    <w:rsid w:val="1A43FFB9"/>
    <w:rsid w:val="1A6AC0C7"/>
    <w:rsid w:val="1A6CD4DD"/>
    <w:rsid w:val="1A6D66B1"/>
    <w:rsid w:val="1A925280"/>
    <w:rsid w:val="1AA9044E"/>
    <w:rsid w:val="1AC3123B"/>
    <w:rsid w:val="1AFEC669"/>
    <w:rsid w:val="1B1169B1"/>
    <w:rsid w:val="1B271D7C"/>
    <w:rsid w:val="1B43B248"/>
    <w:rsid w:val="1B538421"/>
    <w:rsid w:val="1B57DED9"/>
    <w:rsid w:val="1B6095BA"/>
    <w:rsid w:val="1B67F534"/>
    <w:rsid w:val="1B6D5AA8"/>
    <w:rsid w:val="1B7628F6"/>
    <w:rsid w:val="1B7C0EC0"/>
    <w:rsid w:val="1B84CA07"/>
    <w:rsid w:val="1B9DE480"/>
    <w:rsid w:val="1BAE82C0"/>
    <w:rsid w:val="1BF1EFA7"/>
    <w:rsid w:val="1BF55B36"/>
    <w:rsid w:val="1C1B59E1"/>
    <w:rsid w:val="1C222AC0"/>
    <w:rsid w:val="1C23A6C9"/>
    <w:rsid w:val="1C23C816"/>
    <w:rsid w:val="1C390DF7"/>
    <w:rsid w:val="1C3AD89A"/>
    <w:rsid w:val="1C587A60"/>
    <w:rsid w:val="1C5C0232"/>
    <w:rsid w:val="1C5FE3AB"/>
    <w:rsid w:val="1C618BC7"/>
    <w:rsid w:val="1C694238"/>
    <w:rsid w:val="1C72C136"/>
    <w:rsid w:val="1C828393"/>
    <w:rsid w:val="1CB6B460"/>
    <w:rsid w:val="1CB91062"/>
    <w:rsid w:val="1CC954A9"/>
    <w:rsid w:val="1CCD06BC"/>
    <w:rsid w:val="1D1CD612"/>
    <w:rsid w:val="1D23C8EE"/>
    <w:rsid w:val="1D2A6E0C"/>
    <w:rsid w:val="1D5A4A37"/>
    <w:rsid w:val="1D6D6711"/>
    <w:rsid w:val="1D72BFF9"/>
    <w:rsid w:val="1D74AA51"/>
    <w:rsid w:val="1D869455"/>
    <w:rsid w:val="1D8960A4"/>
    <w:rsid w:val="1D94BE5C"/>
    <w:rsid w:val="1D9A76C1"/>
    <w:rsid w:val="1DB9FCBD"/>
    <w:rsid w:val="1DE4ADAF"/>
    <w:rsid w:val="1DE9677F"/>
    <w:rsid w:val="1E0C39D6"/>
    <w:rsid w:val="1E1E9500"/>
    <w:rsid w:val="1E2695E8"/>
    <w:rsid w:val="1E28E5E7"/>
    <w:rsid w:val="1E754774"/>
    <w:rsid w:val="1EDC75F9"/>
    <w:rsid w:val="1EDD4078"/>
    <w:rsid w:val="1EECC65F"/>
    <w:rsid w:val="1EEFF822"/>
    <w:rsid w:val="1F141FED"/>
    <w:rsid w:val="1F2CB72D"/>
    <w:rsid w:val="1F3A2BF5"/>
    <w:rsid w:val="1F462FF3"/>
    <w:rsid w:val="1F683F7E"/>
    <w:rsid w:val="1FB10EDA"/>
    <w:rsid w:val="1FC2A63B"/>
    <w:rsid w:val="1FE32386"/>
    <w:rsid w:val="1FF1DD93"/>
    <w:rsid w:val="200623EE"/>
    <w:rsid w:val="200A9CA7"/>
    <w:rsid w:val="20114EEB"/>
    <w:rsid w:val="201E7915"/>
    <w:rsid w:val="2028CCF3"/>
    <w:rsid w:val="2041EADC"/>
    <w:rsid w:val="205A96D2"/>
    <w:rsid w:val="205E914F"/>
    <w:rsid w:val="2089917A"/>
    <w:rsid w:val="2096A093"/>
    <w:rsid w:val="20A0A9CB"/>
    <w:rsid w:val="20C9F4CE"/>
    <w:rsid w:val="20D3D76F"/>
    <w:rsid w:val="20F81E04"/>
    <w:rsid w:val="20FAC4E4"/>
    <w:rsid w:val="2109FBAC"/>
    <w:rsid w:val="21325ABA"/>
    <w:rsid w:val="213AC96D"/>
    <w:rsid w:val="21944F1C"/>
    <w:rsid w:val="2194C961"/>
    <w:rsid w:val="219B2E6F"/>
    <w:rsid w:val="21ADDB68"/>
    <w:rsid w:val="21AF2E20"/>
    <w:rsid w:val="21BF9F02"/>
    <w:rsid w:val="21C872F7"/>
    <w:rsid w:val="21DB1C09"/>
    <w:rsid w:val="21DF44D1"/>
    <w:rsid w:val="21E8DCF5"/>
    <w:rsid w:val="220CF324"/>
    <w:rsid w:val="22147F63"/>
    <w:rsid w:val="221E3304"/>
    <w:rsid w:val="22218A05"/>
    <w:rsid w:val="222DE7AA"/>
    <w:rsid w:val="223BE051"/>
    <w:rsid w:val="223E7BAB"/>
    <w:rsid w:val="2254FDB3"/>
    <w:rsid w:val="227EC994"/>
    <w:rsid w:val="2291510B"/>
    <w:rsid w:val="22995128"/>
    <w:rsid w:val="2299F0E7"/>
    <w:rsid w:val="22C0F554"/>
    <w:rsid w:val="22C6C1CE"/>
    <w:rsid w:val="22CBD666"/>
    <w:rsid w:val="22D6B9D4"/>
    <w:rsid w:val="22EA128A"/>
    <w:rsid w:val="22F74C1C"/>
    <w:rsid w:val="2308E239"/>
    <w:rsid w:val="23256631"/>
    <w:rsid w:val="233CD160"/>
    <w:rsid w:val="23487034"/>
    <w:rsid w:val="23509E34"/>
    <w:rsid w:val="23645FB2"/>
    <w:rsid w:val="23765CB0"/>
    <w:rsid w:val="23790624"/>
    <w:rsid w:val="23799A13"/>
    <w:rsid w:val="2380C9FE"/>
    <w:rsid w:val="23842D51"/>
    <w:rsid w:val="239B8E81"/>
    <w:rsid w:val="23A1D9AE"/>
    <w:rsid w:val="23B731D1"/>
    <w:rsid w:val="23C11484"/>
    <w:rsid w:val="23DF6BCF"/>
    <w:rsid w:val="23ED3BD4"/>
    <w:rsid w:val="240A7F4A"/>
    <w:rsid w:val="2410C67F"/>
    <w:rsid w:val="242E4672"/>
    <w:rsid w:val="243259F8"/>
    <w:rsid w:val="2436B006"/>
    <w:rsid w:val="2451E2B9"/>
    <w:rsid w:val="246BC26A"/>
    <w:rsid w:val="248B50D3"/>
    <w:rsid w:val="24AF70ED"/>
    <w:rsid w:val="24B1A06A"/>
    <w:rsid w:val="24C54E37"/>
    <w:rsid w:val="24C5EDFD"/>
    <w:rsid w:val="24CC6549"/>
    <w:rsid w:val="24D682B0"/>
    <w:rsid w:val="24EDA0FB"/>
    <w:rsid w:val="24F4920B"/>
    <w:rsid w:val="250AA7D3"/>
    <w:rsid w:val="253AEFB2"/>
    <w:rsid w:val="25421B46"/>
    <w:rsid w:val="2543A792"/>
    <w:rsid w:val="254798D9"/>
    <w:rsid w:val="2548E6AA"/>
    <w:rsid w:val="2553C2A2"/>
    <w:rsid w:val="256BBA44"/>
    <w:rsid w:val="256E8AEF"/>
    <w:rsid w:val="2573BC21"/>
    <w:rsid w:val="2577D5A3"/>
    <w:rsid w:val="25B25BFE"/>
    <w:rsid w:val="25DAE6A9"/>
    <w:rsid w:val="2622A11D"/>
    <w:rsid w:val="262F904B"/>
    <w:rsid w:val="266A0FA5"/>
    <w:rsid w:val="267F1FDB"/>
    <w:rsid w:val="267FD9C9"/>
    <w:rsid w:val="26B83C13"/>
    <w:rsid w:val="26CA34CF"/>
    <w:rsid w:val="26D971A0"/>
    <w:rsid w:val="26E4E65E"/>
    <w:rsid w:val="26F60356"/>
    <w:rsid w:val="270182BC"/>
    <w:rsid w:val="2709D69F"/>
    <w:rsid w:val="2718E65E"/>
    <w:rsid w:val="271C4777"/>
    <w:rsid w:val="27286DF5"/>
    <w:rsid w:val="27302A34"/>
    <w:rsid w:val="2742297A"/>
    <w:rsid w:val="2750CDF3"/>
    <w:rsid w:val="275C4A53"/>
    <w:rsid w:val="277858D1"/>
    <w:rsid w:val="27999AC0"/>
    <w:rsid w:val="27A7484B"/>
    <w:rsid w:val="27ACA37D"/>
    <w:rsid w:val="27BBB5E1"/>
    <w:rsid w:val="27D325AC"/>
    <w:rsid w:val="27F49EA8"/>
    <w:rsid w:val="27FCEA29"/>
    <w:rsid w:val="28237480"/>
    <w:rsid w:val="28340AFC"/>
    <w:rsid w:val="2837D9F8"/>
    <w:rsid w:val="2844DD13"/>
    <w:rsid w:val="289091A6"/>
    <w:rsid w:val="289A7609"/>
    <w:rsid w:val="28A047FD"/>
    <w:rsid w:val="28BD9950"/>
    <w:rsid w:val="28D37C9F"/>
    <w:rsid w:val="28F1D300"/>
    <w:rsid w:val="29189A1F"/>
    <w:rsid w:val="2918FB9B"/>
    <w:rsid w:val="291AA443"/>
    <w:rsid w:val="2921AD2B"/>
    <w:rsid w:val="292D603E"/>
    <w:rsid w:val="2935C6B5"/>
    <w:rsid w:val="29394994"/>
    <w:rsid w:val="294B6CE9"/>
    <w:rsid w:val="29611BAA"/>
    <w:rsid w:val="296D1ACF"/>
    <w:rsid w:val="298731B1"/>
    <w:rsid w:val="29903597"/>
    <w:rsid w:val="29AD64AC"/>
    <w:rsid w:val="29D8AC6B"/>
    <w:rsid w:val="29E6DDB0"/>
    <w:rsid w:val="29F5170D"/>
    <w:rsid w:val="29FD44A3"/>
    <w:rsid w:val="2A2515E3"/>
    <w:rsid w:val="2A359CD0"/>
    <w:rsid w:val="2A442759"/>
    <w:rsid w:val="2A4E7530"/>
    <w:rsid w:val="2A50CD4C"/>
    <w:rsid w:val="2A881515"/>
    <w:rsid w:val="2A929045"/>
    <w:rsid w:val="2AA0CC08"/>
    <w:rsid w:val="2ABB2EC9"/>
    <w:rsid w:val="2ABB5BC4"/>
    <w:rsid w:val="2AC49B64"/>
    <w:rsid w:val="2AC53709"/>
    <w:rsid w:val="2AD11806"/>
    <w:rsid w:val="2AD7D166"/>
    <w:rsid w:val="2B1F65E3"/>
    <w:rsid w:val="2B3B528A"/>
    <w:rsid w:val="2B3C104D"/>
    <w:rsid w:val="2B3E0C18"/>
    <w:rsid w:val="2B40AD38"/>
    <w:rsid w:val="2B5A4FF6"/>
    <w:rsid w:val="2B669864"/>
    <w:rsid w:val="2B692711"/>
    <w:rsid w:val="2B6D1C91"/>
    <w:rsid w:val="2B6FA12B"/>
    <w:rsid w:val="2B7A8C3A"/>
    <w:rsid w:val="2B8194DB"/>
    <w:rsid w:val="2B8673D4"/>
    <w:rsid w:val="2B8CB191"/>
    <w:rsid w:val="2BCA6843"/>
    <w:rsid w:val="2BCBE810"/>
    <w:rsid w:val="2BDD3B23"/>
    <w:rsid w:val="2BEEB58B"/>
    <w:rsid w:val="2BF263C2"/>
    <w:rsid w:val="2BF9A921"/>
    <w:rsid w:val="2BFF4694"/>
    <w:rsid w:val="2C029234"/>
    <w:rsid w:val="2C0DFD33"/>
    <w:rsid w:val="2C108EA6"/>
    <w:rsid w:val="2C1957CF"/>
    <w:rsid w:val="2C2FF1DC"/>
    <w:rsid w:val="2C3A429E"/>
    <w:rsid w:val="2C464A3F"/>
    <w:rsid w:val="2C4F5EEE"/>
    <w:rsid w:val="2C53D1D9"/>
    <w:rsid w:val="2C5F0B0C"/>
    <w:rsid w:val="2C60F4B8"/>
    <w:rsid w:val="2C611455"/>
    <w:rsid w:val="2C63C05C"/>
    <w:rsid w:val="2C66DC78"/>
    <w:rsid w:val="2C6ADC1F"/>
    <w:rsid w:val="2C7385FE"/>
    <w:rsid w:val="2C73C2E3"/>
    <w:rsid w:val="2C9018DD"/>
    <w:rsid w:val="2C9A75B6"/>
    <w:rsid w:val="2C9D5B65"/>
    <w:rsid w:val="2CC22CFE"/>
    <w:rsid w:val="2CD28D47"/>
    <w:rsid w:val="2D0110CE"/>
    <w:rsid w:val="2D0DEAC9"/>
    <w:rsid w:val="2D11B72E"/>
    <w:rsid w:val="2D12C4E0"/>
    <w:rsid w:val="2D27FFC0"/>
    <w:rsid w:val="2D398619"/>
    <w:rsid w:val="2D3D80C5"/>
    <w:rsid w:val="2D41B226"/>
    <w:rsid w:val="2D45D3C2"/>
    <w:rsid w:val="2D5B1DEB"/>
    <w:rsid w:val="2D633AFB"/>
    <w:rsid w:val="2D7D51E8"/>
    <w:rsid w:val="2D8BE86F"/>
    <w:rsid w:val="2D8C206B"/>
    <w:rsid w:val="2DA40DCD"/>
    <w:rsid w:val="2DA55769"/>
    <w:rsid w:val="2DAD64BB"/>
    <w:rsid w:val="2E003C24"/>
    <w:rsid w:val="2E329B54"/>
    <w:rsid w:val="2E684CDA"/>
    <w:rsid w:val="2E88123E"/>
    <w:rsid w:val="2E8C446A"/>
    <w:rsid w:val="2ED3202C"/>
    <w:rsid w:val="2EE6F2D5"/>
    <w:rsid w:val="2F07F422"/>
    <w:rsid w:val="2F0D70E0"/>
    <w:rsid w:val="2F2D1DA9"/>
    <w:rsid w:val="2F4E977D"/>
    <w:rsid w:val="2F544B78"/>
    <w:rsid w:val="2F56EFFF"/>
    <w:rsid w:val="2F8D7587"/>
    <w:rsid w:val="2F991137"/>
    <w:rsid w:val="2F99E926"/>
    <w:rsid w:val="2FAC099F"/>
    <w:rsid w:val="2FB8F4F8"/>
    <w:rsid w:val="2FC8EA05"/>
    <w:rsid w:val="2FC9272A"/>
    <w:rsid w:val="2FD01AAC"/>
    <w:rsid w:val="2FD07CB5"/>
    <w:rsid w:val="2FE78C15"/>
    <w:rsid w:val="2FF5661F"/>
    <w:rsid w:val="2FF6DE40"/>
    <w:rsid w:val="2FF71F8D"/>
    <w:rsid w:val="30030CDF"/>
    <w:rsid w:val="301E1BAC"/>
    <w:rsid w:val="301F5BD2"/>
    <w:rsid w:val="30378740"/>
    <w:rsid w:val="30492C5B"/>
    <w:rsid w:val="306B4E64"/>
    <w:rsid w:val="306F945E"/>
    <w:rsid w:val="30913D95"/>
    <w:rsid w:val="3092F50D"/>
    <w:rsid w:val="309A0C1B"/>
    <w:rsid w:val="30AF31E8"/>
    <w:rsid w:val="30C1D079"/>
    <w:rsid w:val="30C84522"/>
    <w:rsid w:val="30CFA894"/>
    <w:rsid w:val="30CFDC34"/>
    <w:rsid w:val="30D7EE77"/>
    <w:rsid w:val="30DC91E9"/>
    <w:rsid w:val="30DDB4BD"/>
    <w:rsid w:val="30EBDA87"/>
    <w:rsid w:val="30F8502D"/>
    <w:rsid w:val="30FA5905"/>
    <w:rsid w:val="311F98B5"/>
    <w:rsid w:val="31236936"/>
    <w:rsid w:val="314877A0"/>
    <w:rsid w:val="315A981F"/>
    <w:rsid w:val="315ACF9A"/>
    <w:rsid w:val="315F42ED"/>
    <w:rsid w:val="3167BB0F"/>
    <w:rsid w:val="316CDDD2"/>
    <w:rsid w:val="316E3507"/>
    <w:rsid w:val="31715FD8"/>
    <w:rsid w:val="318CC4A1"/>
    <w:rsid w:val="319085C9"/>
    <w:rsid w:val="319A79A9"/>
    <w:rsid w:val="31BBC430"/>
    <w:rsid w:val="31C7BE9A"/>
    <w:rsid w:val="31EC7F65"/>
    <w:rsid w:val="3205C0BC"/>
    <w:rsid w:val="32141523"/>
    <w:rsid w:val="323C5F8C"/>
    <w:rsid w:val="32437BC6"/>
    <w:rsid w:val="324B92E5"/>
    <w:rsid w:val="326A9077"/>
    <w:rsid w:val="32977D43"/>
    <w:rsid w:val="32A06209"/>
    <w:rsid w:val="32C7B9E1"/>
    <w:rsid w:val="32D03E17"/>
    <w:rsid w:val="32E51111"/>
    <w:rsid w:val="32FD71A0"/>
    <w:rsid w:val="332083AB"/>
    <w:rsid w:val="332E0847"/>
    <w:rsid w:val="33352620"/>
    <w:rsid w:val="33443FA1"/>
    <w:rsid w:val="335115D3"/>
    <w:rsid w:val="33828760"/>
    <w:rsid w:val="33866849"/>
    <w:rsid w:val="33874A23"/>
    <w:rsid w:val="339D50E5"/>
    <w:rsid w:val="339F04A3"/>
    <w:rsid w:val="33A8D0D0"/>
    <w:rsid w:val="33ACED82"/>
    <w:rsid w:val="33B1FDD3"/>
    <w:rsid w:val="33C788F0"/>
    <w:rsid w:val="33E256FB"/>
    <w:rsid w:val="33EE3001"/>
    <w:rsid w:val="33FCB3F7"/>
    <w:rsid w:val="341729D7"/>
    <w:rsid w:val="341B999B"/>
    <w:rsid w:val="341E68D5"/>
    <w:rsid w:val="342C21CC"/>
    <w:rsid w:val="343317A9"/>
    <w:rsid w:val="34661EAD"/>
    <w:rsid w:val="34701A0E"/>
    <w:rsid w:val="3489014C"/>
    <w:rsid w:val="349BBD5A"/>
    <w:rsid w:val="34A8DC52"/>
    <w:rsid w:val="34AB19F9"/>
    <w:rsid w:val="34B5B408"/>
    <w:rsid w:val="34C29ECF"/>
    <w:rsid w:val="34CE0E09"/>
    <w:rsid w:val="34DB8CF4"/>
    <w:rsid w:val="34DE72FC"/>
    <w:rsid w:val="34F41872"/>
    <w:rsid w:val="34FCB15A"/>
    <w:rsid w:val="35113039"/>
    <w:rsid w:val="351A31CD"/>
    <w:rsid w:val="35217529"/>
    <w:rsid w:val="3523B2F7"/>
    <w:rsid w:val="3532F9FD"/>
    <w:rsid w:val="354D8E30"/>
    <w:rsid w:val="35508909"/>
    <w:rsid w:val="3553648D"/>
    <w:rsid w:val="3577F8A9"/>
    <w:rsid w:val="358688B9"/>
    <w:rsid w:val="358AC079"/>
    <w:rsid w:val="358E811A"/>
    <w:rsid w:val="35983BDA"/>
    <w:rsid w:val="359F22C7"/>
    <w:rsid w:val="35CA6103"/>
    <w:rsid w:val="35ED1E85"/>
    <w:rsid w:val="35F54762"/>
    <w:rsid w:val="35F5844E"/>
    <w:rsid w:val="36095225"/>
    <w:rsid w:val="361692E9"/>
    <w:rsid w:val="363AE84C"/>
    <w:rsid w:val="364153A4"/>
    <w:rsid w:val="3651D35D"/>
    <w:rsid w:val="366C7BBF"/>
    <w:rsid w:val="3677E167"/>
    <w:rsid w:val="3682BC49"/>
    <w:rsid w:val="36B800DC"/>
    <w:rsid w:val="36C1ECF1"/>
    <w:rsid w:val="36D65753"/>
    <w:rsid w:val="36DE13F7"/>
    <w:rsid w:val="36E9F410"/>
    <w:rsid w:val="371223DB"/>
    <w:rsid w:val="37215B71"/>
    <w:rsid w:val="3728A045"/>
    <w:rsid w:val="3728E8DE"/>
    <w:rsid w:val="372C6281"/>
    <w:rsid w:val="373A225B"/>
    <w:rsid w:val="373F25D2"/>
    <w:rsid w:val="373FDA46"/>
    <w:rsid w:val="37407256"/>
    <w:rsid w:val="3749A9B0"/>
    <w:rsid w:val="375AC32D"/>
    <w:rsid w:val="3760FE31"/>
    <w:rsid w:val="378D1ED6"/>
    <w:rsid w:val="3791699A"/>
    <w:rsid w:val="37B01238"/>
    <w:rsid w:val="37B4F6B2"/>
    <w:rsid w:val="37C231F1"/>
    <w:rsid w:val="37D5D969"/>
    <w:rsid w:val="3804444F"/>
    <w:rsid w:val="381EB35F"/>
    <w:rsid w:val="383D5F99"/>
    <w:rsid w:val="383E7544"/>
    <w:rsid w:val="384E854B"/>
    <w:rsid w:val="386D689F"/>
    <w:rsid w:val="387A80B8"/>
    <w:rsid w:val="387D7360"/>
    <w:rsid w:val="388852D1"/>
    <w:rsid w:val="38B42239"/>
    <w:rsid w:val="38CB4D44"/>
    <w:rsid w:val="38D94862"/>
    <w:rsid w:val="38E98DB4"/>
    <w:rsid w:val="38F136FA"/>
    <w:rsid w:val="391693C4"/>
    <w:rsid w:val="393E112E"/>
    <w:rsid w:val="39787D46"/>
    <w:rsid w:val="39B49685"/>
    <w:rsid w:val="39BED4C3"/>
    <w:rsid w:val="39D8E906"/>
    <w:rsid w:val="3A08019D"/>
    <w:rsid w:val="3A09E24B"/>
    <w:rsid w:val="3A28E0CD"/>
    <w:rsid w:val="3A31949B"/>
    <w:rsid w:val="3A365D88"/>
    <w:rsid w:val="3A444666"/>
    <w:rsid w:val="3A611D22"/>
    <w:rsid w:val="3A69297A"/>
    <w:rsid w:val="3A728DF6"/>
    <w:rsid w:val="3A9586E9"/>
    <w:rsid w:val="3ABC4826"/>
    <w:rsid w:val="3AD2E1E4"/>
    <w:rsid w:val="3AD820EE"/>
    <w:rsid w:val="3AE41552"/>
    <w:rsid w:val="3AE7A16D"/>
    <w:rsid w:val="3B0AAB96"/>
    <w:rsid w:val="3B0BF4EC"/>
    <w:rsid w:val="3B0D7CE3"/>
    <w:rsid w:val="3B18F5AD"/>
    <w:rsid w:val="3B1A2A1B"/>
    <w:rsid w:val="3B32BBBE"/>
    <w:rsid w:val="3B59E278"/>
    <w:rsid w:val="3B683DF1"/>
    <w:rsid w:val="3B6C41FF"/>
    <w:rsid w:val="3B84C5C8"/>
    <w:rsid w:val="3B934B21"/>
    <w:rsid w:val="3B94C3D0"/>
    <w:rsid w:val="3B9C09CF"/>
    <w:rsid w:val="3B9C0ABB"/>
    <w:rsid w:val="3BBF116E"/>
    <w:rsid w:val="3BC00565"/>
    <w:rsid w:val="3BCE064E"/>
    <w:rsid w:val="3BEB0DA2"/>
    <w:rsid w:val="3C0BBB61"/>
    <w:rsid w:val="3C18EC65"/>
    <w:rsid w:val="3C1B1A4E"/>
    <w:rsid w:val="3C231224"/>
    <w:rsid w:val="3C3BC853"/>
    <w:rsid w:val="3C479FE2"/>
    <w:rsid w:val="3C51C54E"/>
    <w:rsid w:val="3C890990"/>
    <w:rsid w:val="3C915C95"/>
    <w:rsid w:val="3C994459"/>
    <w:rsid w:val="3CA0AAB8"/>
    <w:rsid w:val="3CA6A010"/>
    <w:rsid w:val="3CAD257B"/>
    <w:rsid w:val="3CE7F096"/>
    <w:rsid w:val="3D00B965"/>
    <w:rsid w:val="3D2218C0"/>
    <w:rsid w:val="3D232BE7"/>
    <w:rsid w:val="3D2A3CED"/>
    <w:rsid w:val="3D51B5BB"/>
    <w:rsid w:val="3D648566"/>
    <w:rsid w:val="3D8067F5"/>
    <w:rsid w:val="3DB1E1E1"/>
    <w:rsid w:val="3DF1E69A"/>
    <w:rsid w:val="3DF59386"/>
    <w:rsid w:val="3E006657"/>
    <w:rsid w:val="3E21ADB2"/>
    <w:rsid w:val="3E3B41E1"/>
    <w:rsid w:val="3E3EAC97"/>
    <w:rsid w:val="3E51066F"/>
    <w:rsid w:val="3E532FF9"/>
    <w:rsid w:val="3E533F42"/>
    <w:rsid w:val="3E56ADB7"/>
    <w:rsid w:val="3E6DBEAB"/>
    <w:rsid w:val="3E6F2043"/>
    <w:rsid w:val="3E893A0C"/>
    <w:rsid w:val="3E8F3B4D"/>
    <w:rsid w:val="3E92010B"/>
    <w:rsid w:val="3EAAECC6"/>
    <w:rsid w:val="3EBAADD6"/>
    <w:rsid w:val="3EBC0910"/>
    <w:rsid w:val="3EC3693F"/>
    <w:rsid w:val="3ED3AC35"/>
    <w:rsid w:val="3EE9ECCA"/>
    <w:rsid w:val="3EF15BB6"/>
    <w:rsid w:val="3EF4AF25"/>
    <w:rsid w:val="3F0247FC"/>
    <w:rsid w:val="3F04ED60"/>
    <w:rsid w:val="3F10065A"/>
    <w:rsid w:val="3F1AA38F"/>
    <w:rsid w:val="3F296267"/>
    <w:rsid w:val="3F2C0211"/>
    <w:rsid w:val="3F35E8D2"/>
    <w:rsid w:val="3F3652CA"/>
    <w:rsid w:val="3F5E7E5D"/>
    <w:rsid w:val="3F67757C"/>
    <w:rsid w:val="3F84DDC7"/>
    <w:rsid w:val="3F889B3A"/>
    <w:rsid w:val="3F9D721A"/>
    <w:rsid w:val="3FA5AD19"/>
    <w:rsid w:val="3FB4BE69"/>
    <w:rsid w:val="3FB6065A"/>
    <w:rsid w:val="3FD188E0"/>
    <w:rsid w:val="3FFE84B8"/>
    <w:rsid w:val="4002E71F"/>
    <w:rsid w:val="400A20FF"/>
    <w:rsid w:val="4016992D"/>
    <w:rsid w:val="4033B90C"/>
    <w:rsid w:val="40404C7D"/>
    <w:rsid w:val="4061CD6E"/>
    <w:rsid w:val="40695137"/>
    <w:rsid w:val="406F3B09"/>
    <w:rsid w:val="407B4A25"/>
    <w:rsid w:val="408F4132"/>
    <w:rsid w:val="40961839"/>
    <w:rsid w:val="409F4ACF"/>
    <w:rsid w:val="40A51A2C"/>
    <w:rsid w:val="40A984CC"/>
    <w:rsid w:val="40BEA3F7"/>
    <w:rsid w:val="40C5C143"/>
    <w:rsid w:val="40C5CD97"/>
    <w:rsid w:val="40D25437"/>
    <w:rsid w:val="40DE56A8"/>
    <w:rsid w:val="4106F823"/>
    <w:rsid w:val="411D4994"/>
    <w:rsid w:val="411F7CB6"/>
    <w:rsid w:val="41289BC7"/>
    <w:rsid w:val="4130E10E"/>
    <w:rsid w:val="4134CD05"/>
    <w:rsid w:val="41445152"/>
    <w:rsid w:val="414C9A4E"/>
    <w:rsid w:val="4154F11F"/>
    <w:rsid w:val="4157F24B"/>
    <w:rsid w:val="416015B6"/>
    <w:rsid w:val="4162946F"/>
    <w:rsid w:val="4162D201"/>
    <w:rsid w:val="416D77CA"/>
    <w:rsid w:val="418785C9"/>
    <w:rsid w:val="4193C32D"/>
    <w:rsid w:val="419F931F"/>
    <w:rsid w:val="41B0CC7B"/>
    <w:rsid w:val="41B781FD"/>
    <w:rsid w:val="41BA1099"/>
    <w:rsid w:val="41C5FC4E"/>
    <w:rsid w:val="41CD0F1B"/>
    <w:rsid w:val="41D028C5"/>
    <w:rsid w:val="41E45666"/>
    <w:rsid w:val="41E68080"/>
    <w:rsid w:val="42022779"/>
    <w:rsid w:val="420CDEEA"/>
    <w:rsid w:val="4246FCE2"/>
    <w:rsid w:val="428B1E53"/>
    <w:rsid w:val="428E7F3A"/>
    <w:rsid w:val="42B56E21"/>
    <w:rsid w:val="42B6A453"/>
    <w:rsid w:val="42BA88B8"/>
    <w:rsid w:val="42BE8EA2"/>
    <w:rsid w:val="42C31221"/>
    <w:rsid w:val="42D68854"/>
    <w:rsid w:val="42E467BB"/>
    <w:rsid w:val="42E6E1AE"/>
    <w:rsid w:val="42FB25BB"/>
    <w:rsid w:val="4300882B"/>
    <w:rsid w:val="43029BCF"/>
    <w:rsid w:val="432782E1"/>
    <w:rsid w:val="43478962"/>
    <w:rsid w:val="434896E3"/>
    <w:rsid w:val="434A8B26"/>
    <w:rsid w:val="434B402D"/>
    <w:rsid w:val="436F1B08"/>
    <w:rsid w:val="437EFB94"/>
    <w:rsid w:val="439055D1"/>
    <w:rsid w:val="439A1C0A"/>
    <w:rsid w:val="439EA4CB"/>
    <w:rsid w:val="43BFE4C3"/>
    <w:rsid w:val="43C32EA8"/>
    <w:rsid w:val="43D1F8EA"/>
    <w:rsid w:val="43D74077"/>
    <w:rsid w:val="43DBDCF5"/>
    <w:rsid w:val="43E61508"/>
    <w:rsid w:val="43E7BD24"/>
    <w:rsid w:val="43EBCFE2"/>
    <w:rsid w:val="43F04C53"/>
    <w:rsid w:val="43F2B6B5"/>
    <w:rsid w:val="442EC601"/>
    <w:rsid w:val="44374106"/>
    <w:rsid w:val="4439D878"/>
    <w:rsid w:val="443CC8EA"/>
    <w:rsid w:val="445A5576"/>
    <w:rsid w:val="4462BDE2"/>
    <w:rsid w:val="4465B2F6"/>
    <w:rsid w:val="449D294B"/>
    <w:rsid w:val="449E49F0"/>
    <w:rsid w:val="44A6D10E"/>
    <w:rsid w:val="44A80431"/>
    <w:rsid w:val="44BF83DF"/>
    <w:rsid w:val="44C0165B"/>
    <w:rsid w:val="44D57F11"/>
    <w:rsid w:val="44DEB458"/>
    <w:rsid w:val="44F44487"/>
    <w:rsid w:val="45085EAF"/>
    <w:rsid w:val="45215766"/>
    <w:rsid w:val="45216F0B"/>
    <w:rsid w:val="45337A23"/>
    <w:rsid w:val="4540B976"/>
    <w:rsid w:val="454F145C"/>
    <w:rsid w:val="455B4578"/>
    <w:rsid w:val="4569D5E4"/>
    <w:rsid w:val="456D61B6"/>
    <w:rsid w:val="4591AA95"/>
    <w:rsid w:val="45927869"/>
    <w:rsid w:val="4597CA8E"/>
    <w:rsid w:val="45A8E5AE"/>
    <w:rsid w:val="45ABF1DA"/>
    <w:rsid w:val="45B370C8"/>
    <w:rsid w:val="45CE83A7"/>
    <w:rsid w:val="45E4770D"/>
    <w:rsid w:val="45E93BD7"/>
    <w:rsid w:val="45EE56A7"/>
    <w:rsid w:val="45F775DE"/>
    <w:rsid w:val="4606198C"/>
    <w:rsid w:val="461433F1"/>
    <w:rsid w:val="46502F2F"/>
    <w:rsid w:val="46589B30"/>
    <w:rsid w:val="4663317E"/>
    <w:rsid w:val="46707510"/>
    <w:rsid w:val="46EF9D14"/>
    <w:rsid w:val="46F7A69B"/>
    <w:rsid w:val="471BF84A"/>
    <w:rsid w:val="471C808C"/>
    <w:rsid w:val="4724429B"/>
    <w:rsid w:val="474A738C"/>
    <w:rsid w:val="475E012B"/>
    <w:rsid w:val="4774B31A"/>
    <w:rsid w:val="477A3A21"/>
    <w:rsid w:val="477DED28"/>
    <w:rsid w:val="477FD0A2"/>
    <w:rsid w:val="47806F19"/>
    <w:rsid w:val="4790D7FD"/>
    <w:rsid w:val="47B934F5"/>
    <w:rsid w:val="47BC8BC2"/>
    <w:rsid w:val="47C65ED4"/>
    <w:rsid w:val="47C89166"/>
    <w:rsid w:val="47CD287C"/>
    <w:rsid w:val="47D3F7F8"/>
    <w:rsid w:val="47DA3557"/>
    <w:rsid w:val="47E5141A"/>
    <w:rsid w:val="47E6D07E"/>
    <w:rsid w:val="47F3300C"/>
    <w:rsid w:val="47FBDF1E"/>
    <w:rsid w:val="481026C5"/>
    <w:rsid w:val="48148CC0"/>
    <w:rsid w:val="482362EB"/>
    <w:rsid w:val="4839654C"/>
    <w:rsid w:val="484B738A"/>
    <w:rsid w:val="4856BA2E"/>
    <w:rsid w:val="48576141"/>
    <w:rsid w:val="485E6F63"/>
    <w:rsid w:val="48623927"/>
    <w:rsid w:val="486646D5"/>
    <w:rsid w:val="486A9DAB"/>
    <w:rsid w:val="487CF29A"/>
    <w:rsid w:val="48816DDC"/>
    <w:rsid w:val="4881DEE4"/>
    <w:rsid w:val="48924107"/>
    <w:rsid w:val="489BB52A"/>
    <w:rsid w:val="48AC479E"/>
    <w:rsid w:val="48B4C20D"/>
    <w:rsid w:val="48CD5776"/>
    <w:rsid w:val="48E0E6BF"/>
    <w:rsid w:val="48F6F9B2"/>
    <w:rsid w:val="48F7979A"/>
    <w:rsid w:val="49137BA1"/>
    <w:rsid w:val="4916267E"/>
    <w:rsid w:val="49192169"/>
    <w:rsid w:val="491957CC"/>
    <w:rsid w:val="493050B3"/>
    <w:rsid w:val="4947B21F"/>
    <w:rsid w:val="496AEE5B"/>
    <w:rsid w:val="496E2466"/>
    <w:rsid w:val="49926217"/>
    <w:rsid w:val="499A8800"/>
    <w:rsid w:val="49A2AE97"/>
    <w:rsid w:val="49A72D27"/>
    <w:rsid w:val="49B1E1A7"/>
    <w:rsid w:val="49B6C28D"/>
    <w:rsid w:val="49DA4383"/>
    <w:rsid w:val="49DCE871"/>
    <w:rsid w:val="49FE38CE"/>
    <w:rsid w:val="4A15F4C1"/>
    <w:rsid w:val="4A23F83B"/>
    <w:rsid w:val="4A2606B4"/>
    <w:rsid w:val="4A2C2B6F"/>
    <w:rsid w:val="4A3A996E"/>
    <w:rsid w:val="4A6105B2"/>
    <w:rsid w:val="4A6C9FF5"/>
    <w:rsid w:val="4A729E1B"/>
    <w:rsid w:val="4A72A4D0"/>
    <w:rsid w:val="4A7A36C8"/>
    <w:rsid w:val="4A9DFDED"/>
    <w:rsid w:val="4ABCD32B"/>
    <w:rsid w:val="4AE6B532"/>
    <w:rsid w:val="4AF90E68"/>
    <w:rsid w:val="4AFA847C"/>
    <w:rsid w:val="4B05AD8A"/>
    <w:rsid w:val="4B0DA566"/>
    <w:rsid w:val="4B16067F"/>
    <w:rsid w:val="4B367A99"/>
    <w:rsid w:val="4B470D2C"/>
    <w:rsid w:val="4B4CA69F"/>
    <w:rsid w:val="4B5289F8"/>
    <w:rsid w:val="4B588FBD"/>
    <w:rsid w:val="4B5B95C3"/>
    <w:rsid w:val="4B688E7B"/>
    <w:rsid w:val="4B80AA89"/>
    <w:rsid w:val="4B9B5C24"/>
    <w:rsid w:val="4BB3ED8C"/>
    <w:rsid w:val="4BB53E89"/>
    <w:rsid w:val="4BBB3DA8"/>
    <w:rsid w:val="4BC8AD40"/>
    <w:rsid w:val="4BD2F90E"/>
    <w:rsid w:val="4C057BF5"/>
    <w:rsid w:val="4C07E863"/>
    <w:rsid w:val="4C0DAD5F"/>
    <w:rsid w:val="4C14AB5B"/>
    <w:rsid w:val="4C181A0A"/>
    <w:rsid w:val="4C4979E3"/>
    <w:rsid w:val="4C53AA4B"/>
    <w:rsid w:val="4C5D02D4"/>
    <w:rsid w:val="4C64CDB6"/>
    <w:rsid w:val="4C857E52"/>
    <w:rsid w:val="4C95DD1E"/>
    <w:rsid w:val="4CD0DE6A"/>
    <w:rsid w:val="4CDB551D"/>
    <w:rsid w:val="4CDFFE9D"/>
    <w:rsid w:val="4CECE0A3"/>
    <w:rsid w:val="4CFB0FE4"/>
    <w:rsid w:val="4D299C15"/>
    <w:rsid w:val="4D325EB3"/>
    <w:rsid w:val="4D3A33FC"/>
    <w:rsid w:val="4D3E8F83"/>
    <w:rsid w:val="4D4CBA06"/>
    <w:rsid w:val="4D52E9AE"/>
    <w:rsid w:val="4D5CE59E"/>
    <w:rsid w:val="4D5DE8D4"/>
    <w:rsid w:val="4D608CFA"/>
    <w:rsid w:val="4D668735"/>
    <w:rsid w:val="4D82828F"/>
    <w:rsid w:val="4DA1F275"/>
    <w:rsid w:val="4DB08BFB"/>
    <w:rsid w:val="4DBAF800"/>
    <w:rsid w:val="4DC0972D"/>
    <w:rsid w:val="4DCC6F99"/>
    <w:rsid w:val="4DDEA0B6"/>
    <w:rsid w:val="4DE208F6"/>
    <w:rsid w:val="4DE7E02F"/>
    <w:rsid w:val="4DFB218F"/>
    <w:rsid w:val="4E4B80CF"/>
    <w:rsid w:val="4E7F38AB"/>
    <w:rsid w:val="4EB46C32"/>
    <w:rsid w:val="4EC98EA4"/>
    <w:rsid w:val="4F0483CC"/>
    <w:rsid w:val="4F125425"/>
    <w:rsid w:val="4F1E2B04"/>
    <w:rsid w:val="4F25C308"/>
    <w:rsid w:val="4F2684A1"/>
    <w:rsid w:val="4F2F8021"/>
    <w:rsid w:val="4F4E62AF"/>
    <w:rsid w:val="4F7DE81B"/>
    <w:rsid w:val="4F7E610D"/>
    <w:rsid w:val="4F93115E"/>
    <w:rsid w:val="4F9651D2"/>
    <w:rsid w:val="4F9F54FB"/>
    <w:rsid w:val="4FC28AAB"/>
    <w:rsid w:val="4FD35B17"/>
    <w:rsid w:val="4FE7B5BA"/>
    <w:rsid w:val="4FEC1417"/>
    <w:rsid w:val="5005970B"/>
    <w:rsid w:val="500D4CE2"/>
    <w:rsid w:val="50374243"/>
    <w:rsid w:val="505C5B5A"/>
    <w:rsid w:val="505E92A5"/>
    <w:rsid w:val="505EA776"/>
    <w:rsid w:val="5074D840"/>
    <w:rsid w:val="50A11639"/>
    <w:rsid w:val="50AD34F9"/>
    <w:rsid w:val="50AFC2DC"/>
    <w:rsid w:val="50BB1FB4"/>
    <w:rsid w:val="50E2A0D2"/>
    <w:rsid w:val="50E7895D"/>
    <w:rsid w:val="50E7B743"/>
    <w:rsid w:val="5107E118"/>
    <w:rsid w:val="51391A76"/>
    <w:rsid w:val="513F85C2"/>
    <w:rsid w:val="515A7807"/>
    <w:rsid w:val="5172CA4C"/>
    <w:rsid w:val="51796FD9"/>
    <w:rsid w:val="51927261"/>
    <w:rsid w:val="5193A10A"/>
    <w:rsid w:val="51A16F72"/>
    <w:rsid w:val="51A9F513"/>
    <w:rsid w:val="51C1C185"/>
    <w:rsid w:val="51E8B62B"/>
    <w:rsid w:val="5205FCD3"/>
    <w:rsid w:val="5222B435"/>
    <w:rsid w:val="5228F1BD"/>
    <w:rsid w:val="5249538C"/>
    <w:rsid w:val="52545149"/>
    <w:rsid w:val="5276250D"/>
    <w:rsid w:val="527C30FA"/>
    <w:rsid w:val="5282D8FD"/>
    <w:rsid w:val="5283ECF3"/>
    <w:rsid w:val="52931146"/>
    <w:rsid w:val="52AFB729"/>
    <w:rsid w:val="52B2F30D"/>
    <w:rsid w:val="52B769A5"/>
    <w:rsid w:val="52BD7C4C"/>
    <w:rsid w:val="52E3AB92"/>
    <w:rsid w:val="52E873FC"/>
    <w:rsid w:val="53003D5A"/>
    <w:rsid w:val="530E1E47"/>
    <w:rsid w:val="531243E5"/>
    <w:rsid w:val="531CB056"/>
    <w:rsid w:val="53217289"/>
    <w:rsid w:val="5343D040"/>
    <w:rsid w:val="53458F52"/>
    <w:rsid w:val="53826402"/>
    <w:rsid w:val="53845475"/>
    <w:rsid w:val="5392615C"/>
    <w:rsid w:val="53ACE74B"/>
    <w:rsid w:val="53BA01FF"/>
    <w:rsid w:val="53D2B06A"/>
    <w:rsid w:val="53E2BCA0"/>
    <w:rsid w:val="53F93DDF"/>
    <w:rsid w:val="53FA4DEE"/>
    <w:rsid w:val="5402B009"/>
    <w:rsid w:val="540DDAF9"/>
    <w:rsid w:val="544C5712"/>
    <w:rsid w:val="546F544D"/>
    <w:rsid w:val="547A7AE2"/>
    <w:rsid w:val="548A320A"/>
    <w:rsid w:val="548C7ECD"/>
    <w:rsid w:val="54DA8F3C"/>
    <w:rsid w:val="54E8E47C"/>
    <w:rsid w:val="55099B2D"/>
    <w:rsid w:val="550F9A3C"/>
    <w:rsid w:val="551852D3"/>
    <w:rsid w:val="554EC15B"/>
    <w:rsid w:val="55530F74"/>
    <w:rsid w:val="55686FF0"/>
    <w:rsid w:val="5590D407"/>
    <w:rsid w:val="559451F5"/>
    <w:rsid w:val="55A521F1"/>
    <w:rsid w:val="55A755C1"/>
    <w:rsid w:val="55AAF60B"/>
    <w:rsid w:val="55B1C6B2"/>
    <w:rsid w:val="55BEC5F2"/>
    <w:rsid w:val="55BFD661"/>
    <w:rsid w:val="55CC896D"/>
    <w:rsid w:val="55EE9008"/>
    <w:rsid w:val="5644813A"/>
    <w:rsid w:val="56648E6E"/>
    <w:rsid w:val="566EFAB5"/>
    <w:rsid w:val="56A3CBD2"/>
    <w:rsid w:val="56C4F6D5"/>
    <w:rsid w:val="56C689EB"/>
    <w:rsid w:val="56F9E208"/>
    <w:rsid w:val="56FA0E7F"/>
    <w:rsid w:val="57047BCF"/>
    <w:rsid w:val="571DF968"/>
    <w:rsid w:val="5720D4D9"/>
    <w:rsid w:val="5724172A"/>
    <w:rsid w:val="572DE508"/>
    <w:rsid w:val="57555EC2"/>
    <w:rsid w:val="575FA5E6"/>
    <w:rsid w:val="57878113"/>
    <w:rsid w:val="578D99C0"/>
    <w:rsid w:val="578E6C27"/>
    <w:rsid w:val="5797F84C"/>
    <w:rsid w:val="57AB574E"/>
    <w:rsid w:val="57B78B8F"/>
    <w:rsid w:val="57BB94D1"/>
    <w:rsid w:val="57C60715"/>
    <w:rsid w:val="57CFB16A"/>
    <w:rsid w:val="57D4F9CA"/>
    <w:rsid w:val="57D5D80F"/>
    <w:rsid w:val="57E18D6D"/>
    <w:rsid w:val="5804F673"/>
    <w:rsid w:val="58092949"/>
    <w:rsid w:val="581E3576"/>
    <w:rsid w:val="58285B66"/>
    <w:rsid w:val="58374768"/>
    <w:rsid w:val="58398463"/>
    <w:rsid w:val="583A1E6C"/>
    <w:rsid w:val="5844110D"/>
    <w:rsid w:val="584A6E17"/>
    <w:rsid w:val="58768A93"/>
    <w:rsid w:val="587CA1F1"/>
    <w:rsid w:val="588A6ED2"/>
    <w:rsid w:val="58A998FB"/>
    <w:rsid w:val="58A9B4AC"/>
    <w:rsid w:val="58AFBB36"/>
    <w:rsid w:val="58B62D70"/>
    <w:rsid w:val="58C00300"/>
    <w:rsid w:val="58C19D23"/>
    <w:rsid w:val="58DCDF23"/>
    <w:rsid w:val="58EE26D6"/>
    <w:rsid w:val="58FC1404"/>
    <w:rsid w:val="591441A0"/>
    <w:rsid w:val="591EB465"/>
    <w:rsid w:val="593B4001"/>
    <w:rsid w:val="598D6B2B"/>
    <w:rsid w:val="599AB950"/>
    <w:rsid w:val="59C448A9"/>
    <w:rsid w:val="59C7DCFA"/>
    <w:rsid w:val="59D56880"/>
    <w:rsid w:val="59DFFABC"/>
    <w:rsid w:val="5A20C4BC"/>
    <w:rsid w:val="5A28870E"/>
    <w:rsid w:val="5A299019"/>
    <w:rsid w:val="5A322C6D"/>
    <w:rsid w:val="5A55C8E1"/>
    <w:rsid w:val="5A6901B8"/>
    <w:rsid w:val="5A69688D"/>
    <w:rsid w:val="5A6FF76C"/>
    <w:rsid w:val="5A955E9F"/>
    <w:rsid w:val="5AAB4B2A"/>
    <w:rsid w:val="5AABD37B"/>
    <w:rsid w:val="5AB0BB11"/>
    <w:rsid w:val="5ABF73EB"/>
    <w:rsid w:val="5AC2A072"/>
    <w:rsid w:val="5ACBF935"/>
    <w:rsid w:val="5AD279E3"/>
    <w:rsid w:val="5B0B4875"/>
    <w:rsid w:val="5B1720C2"/>
    <w:rsid w:val="5B2F9409"/>
    <w:rsid w:val="5B40332E"/>
    <w:rsid w:val="5B603AB5"/>
    <w:rsid w:val="5B6538DB"/>
    <w:rsid w:val="5B6E4FF1"/>
    <w:rsid w:val="5B7E654F"/>
    <w:rsid w:val="5B8A1E82"/>
    <w:rsid w:val="5B8DEF9A"/>
    <w:rsid w:val="5B945C8C"/>
    <w:rsid w:val="5BBEA2EE"/>
    <w:rsid w:val="5BC2DE5E"/>
    <w:rsid w:val="5BD84F35"/>
    <w:rsid w:val="5BDD52DE"/>
    <w:rsid w:val="5C02D5BB"/>
    <w:rsid w:val="5C135FAD"/>
    <w:rsid w:val="5C1E0E03"/>
    <w:rsid w:val="5C3F8A89"/>
    <w:rsid w:val="5C4434EA"/>
    <w:rsid w:val="5C5807BA"/>
    <w:rsid w:val="5C5B73CD"/>
    <w:rsid w:val="5C6D6B5A"/>
    <w:rsid w:val="5C7CD99E"/>
    <w:rsid w:val="5C8D73D6"/>
    <w:rsid w:val="5CAA3012"/>
    <w:rsid w:val="5CBF29A3"/>
    <w:rsid w:val="5CCBBEC5"/>
    <w:rsid w:val="5CDD40F0"/>
    <w:rsid w:val="5CDD5F01"/>
    <w:rsid w:val="5CE847FC"/>
    <w:rsid w:val="5CED193D"/>
    <w:rsid w:val="5D055F5E"/>
    <w:rsid w:val="5D0967FE"/>
    <w:rsid w:val="5D20AA66"/>
    <w:rsid w:val="5D2B29D7"/>
    <w:rsid w:val="5D34E5B7"/>
    <w:rsid w:val="5D3BA4E0"/>
    <w:rsid w:val="5D42A290"/>
    <w:rsid w:val="5D4AF11B"/>
    <w:rsid w:val="5D5BEF29"/>
    <w:rsid w:val="5D618A69"/>
    <w:rsid w:val="5D6318F3"/>
    <w:rsid w:val="5D635CCD"/>
    <w:rsid w:val="5D6AA397"/>
    <w:rsid w:val="5D6AB42A"/>
    <w:rsid w:val="5D95597A"/>
    <w:rsid w:val="5D9A2644"/>
    <w:rsid w:val="5D9BD553"/>
    <w:rsid w:val="5D9ED47B"/>
    <w:rsid w:val="5DD157DD"/>
    <w:rsid w:val="5DD575F2"/>
    <w:rsid w:val="5DD607C5"/>
    <w:rsid w:val="5DE19FE7"/>
    <w:rsid w:val="5DE46F83"/>
    <w:rsid w:val="5DFEFA7D"/>
    <w:rsid w:val="5E069F81"/>
    <w:rsid w:val="5E27B276"/>
    <w:rsid w:val="5E5A3D33"/>
    <w:rsid w:val="5E7AAC84"/>
    <w:rsid w:val="5E7F450F"/>
    <w:rsid w:val="5E83AD36"/>
    <w:rsid w:val="5E98F81C"/>
    <w:rsid w:val="5EA17DA7"/>
    <w:rsid w:val="5EA7CF72"/>
    <w:rsid w:val="5EAD6ECC"/>
    <w:rsid w:val="5EC266F2"/>
    <w:rsid w:val="5ED001DF"/>
    <w:rsid w:val="5EF9CFEA"/>
    <w:rsid w:val="5F033B08"/>
    <w:rsid w:val="5F28A2F3"/>
    <w:rsid w:val="5F351D5B"/>
    <w:rsid w:val="5F36F43E"/>
    <w:rsid w:val="5F4BF701"/>
    <w:rsid w:val="5F59B7A4"/>
    <w:rsid w:val="5F6E6417"/>
    <w:rsid w:val="5F90EACB"/>
    <w:rsid w:val="5F9F8F44"/>
    <w:rsid w:val="5FB274F7"/>
    <w:rsid w:val="5FBA7D3F"/>
    <w:rsid w:val="5FC0FAFB"/>
    <w:rsid w:val="5FC87BA1"/>
    <w:rsid w:val="5FD7C67E"/>
    <w:rsid w:val="5FD91685"/>
    <w:rsid w:val="5FDAE155"/>
    <w:rsid w:val="5FEA7471"/>
    <w:rsid w:val="5FEA771C"/>
    <w:rsid w:val="5FEA8CC5"/>
    <w:rsid w:val="5FF2321B"/>
    <w:rsid w:val="5FFA0599"/>
    <w:rsid w:val="600739CE"/>
    <w:rsid w:val="60423487"/>
    <w:rsid w:val="60523CEE"/>
    <w:rsid w:val="606447EE"/>
    <w:rsid w:val="6074FB89"/>
    <w:rsid w:val="60A8BFE6"/>
    <w:rsid w:val="60E3FFCA"/>
    <w:rsid w:val="60E8C75D"/>
    <w:rsid w:val="60E9CB28"/>
    <w:rsid w:val="60F33FB2"/>
    <w:rsid w:val="60F8B35C"/>
    <w:rsid w:val="60FBFF99"/>
    <w:rsid w:val="6101BAD1"/>
    <w:rsid w:val="610452D8"/>
    <w:rsid w:val="61228224"/>
    <w:rsid w:val="6131DB20"/>
    <w:rsid w:val="6147934C"/>
    <w:rsid w:val="614DD520"/>
    <w:rsid w:val="615B192D"/>
    <w:rsid w:val="6168B237"/>
    <w:rsid w:val="6172EDF0"/>
    <w:rsid w:val="617D416D"/>
    <w:rsid w:val="617D4293"/>
    <w:rsid w:val="618756DA"/>
    <w:rsid w:val="61A8D3C9"/>
    <w:rsid w:val="61B381EA"/>
    <w:rsid w:val="61C079E7"/>
    <w:rsid w:val="61C26720"/>
    <w:rsid w:val="61DF11A0"/>
    <w:rsid w:val="61E537C1"/>
    <w:rsid w:val="61E802A2"/>
    <w:rsid w:val="61FC8757"/>
    <w:rsid w:val="621FE963"/>
    <w:rsid w:val="6233D3EB"/>
    <w:rsid w:val="62371CF3"/>
    <w:rsid w:val="627475C2"/>
    <w:rsid w:val="62765610"/>
    <w:rsid w:val="627E3515"/>
    <w:rsid w:val="62A8A468"/>
    <w:rsid w:val="62A8A670"/>
    <w:rsid w:val="62C95A92"/>
    <w:rsid w:val="62CF5E67"/>
    <w:rsid w:val="62DB7532"/>
    <w:rsid w:val="62E45D53"/>
    <w:rsid w:val="62E67A43"/>
    <w:rsid w:val="62EAE8B1"/>
    <w:rsid w:val="62FE5DC0"/>
    <w:rsid w:val="6318C07A"/>
    <w:rsid w:val="6322B117"/>
    <w:rsid w:val="632DA4C8"/>
    <w:rsid w:val="634C2C99"/>
    <w:rsid w:val="634E57FB"/>
    <w:rsid w:val="63529305"/>
    <w:rsid w:val="63657987"/>
    <w:rsid w:val="636E3FB3"/>
    <w:rsid w:val="63726E82"/>
    <w:rsid w:val="639F5B2E"/>
    <w:rsid w:val="63AAA681"/>
    <w:rsid w:val="63ABA57D"/>
    <w:rsid w:val="63B8662E"/>
    <w:rsid w:val="63CB6FC8"/>
    <w:rsid w:val="63CD222B"/>
    <w:rsid w:val="63D0B22C"/>
    <w:rsid w:val="63E48F9F"/>
    <w:rsid w:val="63EB7934"/>
    <w:rsid w:val="63F2614D"/>
    <w:rsid w:val="64059648"/>
    <w:rsid w:val="640A09ED"/>
    <w:rsid w:val="640E6AFA"/>
    <w:rsid w:val="641467AE"/>
    <w:rsid w:val="6426B727"/>
    <w:rsid w:val="643C4B0D"/>
    <w:rsid w:val="643FB44A"/>
    <w:rsid w:val="646247E6"/>
    <w:rsid w:val="64628227"/>
    <w:rsid w:val="6466733E"/>
    <w:rsid w:val="646DD020"/>
    <w:rsid w:val="64744855"/>
    <w:rsid w:val="647D62A6"/>
    <w:rsid w:val="6486FA25"/>
    <w:rsid w:val="64B16A36"/>
    <w:rsid w:val="64C3E840"/>
    <w:rsid w:val="64E605B1"/>
    <w:rsid w:val="64EAE9DB"/>
    <w:rsid w:val="64F58251"/>
    <w:rsid w:val="64FC4D5A"/>
    <w:rsid w:val="64FD6003"/>
    <w:rsid w:val="650E2E9A"/>
    <w:rsid w:val="6517C129"/>
    <w:rsid w:val="651AC9A0"/>
    <w:rsid w:val="6529A2BF"/>
    <w:rsid w:val="656056CE"/>
    <w:rsid w:val="6577E588"/>
    <w:rsid w:val="6581EDBF"/>
    <w:rsid w:val="658BD75C"/>
    <w:rsid w:val="65B38034"/>
    <w:rsid w:val="65C06DA6"/>
    <w:rsid w:val="65C38BD4"/>
    <w:rsid w:val="65F8BBD5"/>
    <w:rsid w:val="65F93E2D"/>
    <w:rsid w:val="6618F4A6"/>
    <w:rsid w:val="662C2893"/>
    <w:rsid w:val="6631024B"/>
    <w:rsid w:val="665CCEB2"/>
    <w:rsid w:val="6666994E"/>
    <w:rsid w:val="6694B4A2"/>
    <w:rsid w:val="66C8A229"/>
    <w:rsid w:val="66D3C89C"/>
    <w:rsid w:val="66E57409"/>
    <w:rsid w:val="66EA8AF1"/>
    <w:rsid w:val="66F5248B"/>
    <w:rsid w:val="66FF792F"/>
    <w:rsid w:val="671E347C"/>
    <w:rsid w:val="671EECCE"/>
    <w:rsid w:val="67209888"/>
    <w:rsid w:val="6728EC51"/>
    <w:rsid w:val="6736A892"/>
    <w:rsid w:val="674E9F61"/>
    <w:rsid w:val="67866746"/>
    <w:rsid w:val="6788516C"/>
    <w:rsid w:val="679C8064"/>
    <w:rsid w:val="67A19AA4"/>
    <w:rsid w:val="67CBF40B"/>
    <w:rsid w:val="67D35ED3"/>
    <w:rsid w:val="67D4D282"/>
    <w:rsid w:val="67DFE027"/>
    <w:rsid w:val="67E8005D"/>
    <w:rsid w:val="67E9B3D6"/>
    <w:rsid w:val="67FCDBB2"/>
    <w:rsid w:val="67FDA070"/>
    <w:rsid w:val="680A6803"/>
    <w:rsid w:val="6812447A"/>
    <w:rsid w:val="68194F77"/>
    <w:rsid w:val="681F2147"/>
    <w:rsid w:val="683AFEB4"/>
    <w:rsid w:val="683D0AAD"/>
    <w:rsid w:val="68540345"/>
    <w:rsid w:val="685680CB"/>
    <w:rsid w:val="68705188"/>
    <w:rsid w:val="68982581"/>
    <w:rsid w:val="68B5F632"/>
    <w:rsid w:val="68B712D8"/>
    <w:rsid w:val="68CB3599"/>
    <w:rsid w:val="68D4BCC7"/>
    <w:rsid w:val="68DCEA5E"/>
    <w:rsid w:val="68E166BD"/>
    <w:rsid w:val="68F7B3DF"/>
    <w:rsid w:val="6906FD49"/>
    <w:rsid w:val="690B5522"/>
    <w:rsid w:val="691BDFD2"/>
    <w:rsid w:val="694A0044"/>
    <w:rsid w:val="69520692"/>
    <w:rsid w:val="696A9CFA"/>
    <w:rsid w:val="697AC556"/>
    <w:rsid w:val="698D4EC5"/>
    <w:rsid w:val="69A70C93"/>
    <w:rsid w:val="69BFF3EB"/>
    <w:rsid w:val="69C86A02"/>
    <w:rsid w:val="69D136D0"/>
    <w:rsid w:val="69D821C8"/>
    <w:rsid w:val="69DE4AD9"/>
    <w:rsid w:val="69F29469"/>
    <w:rsid w:val="69F94506"/>
    <w:rsid w:val="6A288486"/>
    <w:rsid w:val="6A40EBE6"/>
    <w:rsid w:val="6A4883B1"/>
    <w:rsid w:val="6A4895D1"/>
    <w:rsid w:val="6A58508A"/>
    <w:rsid w:val="6A62A5A5"/>
    <w:rsid w:val="6A7C2A53"/>
    <w:rsid w:val="6A85B480"/>
    <w:rsid w:val="6A89230E"/>
    <w:rsid w:val="6A8CAB65"/>
    <w:rsid w:val="6A9C5548"/>
    <w:rsid w:val="6AA12403"/>
    <w:rsid w:val="6AAE41E8"/>
    <w:rsid w:val="6AB82DEB"/>
    <w:rsid w:val="6ABA9265"/>
    <w:rsid w:val="6ACF4CDD"/>
    <w:rsid w:val="6AF96447"/>
    <w:rsid w:val="6B092407"/>
    <w:rsid w:val="6B125414"/>
    <w:rsid w:val="6B2359AB"/>
    <w:rsid w:val="6B2D7D50"/>
    <w:rsid w:val="6B738B45"/>
    <w:rsid w:val="6B78CC78"/>
    <w:rsid w:val="6BAEE1E0"/>
    <w:rsid w:val="6BE1782B"/>
    <w:rsid w:val="6BFD2103"/>
    <w:rsid w:val="6C0AEB21"/>
    <w:rsid w:val="6C12033B"/>
    <w:rsid w:val="6C1CE46A"/>
    <w:rsid w:val="6C2C692F"/>
    <w:rsid w:val="6C2CA6A9"/>
    <w:rsid w:val="6C3500E9"/>
    <w:rsid w:val="6C792EC9"/>
    <w:rsid w:val="6C858C0B"/>
    <w:rsid w:val="6C876358"/>
    <w:rsid w:val="6C9205B3"/>
    <w:rsid w:val="6C9931CB"/>
    <w:rsid w:val="6CB06C2A"/>
    <w:rsid w:val="6CB37CF4"/>
    <w:rsid w:val="6CC633CC"/>
    <w:rsid w:val="6CD2CFDF"/>
    <w:rsid w:val="6CDF5F63"/>
    <w:rsid w:val="6D02A00A"/>
    <w:rsid w:val="6D109709"/>
    <w:rsid w:val="6D289384"/>
    <w:rsid w:val="6D2AA9A1"/>
    <w:rsid w:val="6D2C88E4"/>
    <w:rsid w:val="6D43A71A"/>
    <w:rsid w:val="6D499365"/>
    <w:rsid w:val="6D582A0E"/>
    <w:rsid w:val="6D709AF8"/>
    <w:rsid w:val="6D97427A"/>
    <w:rsid w:val="6DABBD22"/>
    <w:rsid w:val="6DB860E4"/>
    <w:rsid w:val="6DC24013"/>
    <w:rsid w:val="6DC476E8"/>
    <w:rsid w:val="6DD11D53"/>
    <w:rsid w:val="6DE350C4"/>
    <w:rsid w:val="6E11597E"/>
    <w:rsid w:val="6E148472"/>
    <w:rsid w:val="6E233686"/>
    <w:rsid w:val="6E24354F"/>
    <w:rsid w:val="6E30CEBB"/>
    <w:rsid w:val="6E4C2178"/>
    <w:rsid w:val="6E55D58C"/>
    <w:rsid w:val="6E56D266"/>
    <w:rsid w:val="6E6EA7E3"/>
    <w:rsid w:val="6E740650"/>
    <w:rsid w:val="6E7A3598"/>
    <w:rsid w:val="6E8B307D"/>
    <w:rsid w:val="6E8B5601"/>
    <w:rsid w:val="6EA02D0E"/>
    <w:rsid w:val="6EBF6D95"/>
    <w:rsid w:val="6EDE425C"/>
    <w:rsid w:val="6EE946AE"/>
    <w:rsid w:val="6F085C15"/>
    <w:rsid w:val="6F08FA97"/>
    <w:rsid w:val="6F1673A8"/>
    <w:rsid w:val="6F4BC9AE"/>
    <w:rsid w:val="6F59A80A"/>
    <w:rsid w:val="6F5CCF97"/>
    <w:rsid w:val="6F5F09F4"/>
    <w:rsid w:val="6F655690"/>
    <w:rsid w:val="6F7CF983"/>
    <w:rsid w:val="6F940360"/>
    <w:rsid w:val="6F9EF97E"/>
    <w:rsid w:val="6FA00DF6"/>
    <w:rsid w:val="6FAFFF99"/>
    <w:rsid w:val="6FB0508B"/>
    <w:rsid w:val="6FD24A87"/>
    <w:rsid w:val="6FD36645"/>
    <w:rsid w:val="6FEAF6B1"/>
    <w:rsid w:val="70088D84"/>
    <w:rsid w:val="7038EACD"/>
    <w:rsid w:val="703A770F"/>
    <w:rsid w:val="70401509"/>
    <w:rsid w:val="70583F60"/>
    <w:rsid w:val="70849805"/>
    <w:rsid w:val="7089C5E9"/>
    <w:rsid w:val="70934893"/>
    <w:rsid w:val="7096052D"/>
    <w:rsid w:val="709AE632"/>
    <w:rsid w:val="709DDE02"/>
    <w:rsid w:val="70F06C88"/>
    <w:rsid w:val="7102E487"/>
    <w:rsid w:val="710AB423"/>
    <w:rsid w:val="71154EBA"/>
    <w:rsid w:val="71261068"/>
    <w:rsid w:val="71370A22"/>
    <w:rsid w:val="7153B943"/>
    <w:rsid w:val="715914E4"/>
    <w:rsid w:val="715EEAAA"/>
    <w:rsid w:val="7166CDAE"/>
    <w:rsid w:val="718D014E"/>
    <w:rsid w:val="7193611A"/>
    <w:rsid w:val="71CBB48A"/>
    <w:rsid w:val="71CEBF43"/>
    <w:rsid w:val="7215472F"/>
    <w:rsid w:val="72166509"/>
    <w:rsid w:val="7217B259"/>
    <w:rsid w:val="721BD689"/>
    <w:rsid w:val="722F4DEE"/>
    <w:rsid w:val="7243A3F5"/>
    <w:rsid w:val="72526AF0"/>
    <w:rsid w:val="726A4F35"/>
    <w:rsid w:val="72731157"/>
    <w:rsid w:val="72777C51"/>
    <w:rsid w:val="729974D8"/>
    <w:rsid w:val="72B3CD2F"/>
    <w:rsid w:val="72BAE7CE"/>
    <w:rsid w:val="72BC8B8E"/>
    <w:rsid w:val="72E26D3D"/>
    <w:rsid w:val="72E5E391"/>
    <w:rsid w:val="730638CE"/>
    <w:rsid w:val="730B23F9"/>
    <w:rsid w:val="73384DF0"/>
    <w:rsid w:val="733A5F33"/>
    <w:rsid w:val="733DBAF1"/>
    <w:rsid w:val="73425975"/>
    <w:rsid w:val="735316BC"/>
    <w:rsid w:val="7354DB5F"/>
    <w:rsid w:val="73818EC4"/>
    <w:rsid w:val="7394CC04"/>
    <w:rsid w:val="7395C73F"/>
    <w:rsid w:val="73E74E0E"/>
    <w:rsid w:val="741595DC"/>
    <w:rsid w:val="741C2663"/>
    <w:rsid w:val="74233871"/>
    <w:rsid w:val="7424E75F"/>
    <w:rsid w:val="742AFC10"/>
    <w:rsid w:val="7433C2C3"/>
    <w:rsid w:val="746EEA55"/>
    <w:rsid w:val="74B20B5A"/>
    <w:rsid w:val="74D4C0A8"/>
    <w:rsid w:val="74D824A4"/>
    <w:rsid w:val="74E191E8"/>
    <w:rsid w:val="74F27809"/>
    <w:rsid w:val="74FB7A81"/>
    <w:rsid w:val="74FF028B"/>
    <w:rsid w:val="7529AFB2"/>
    <w:rsid w:val="755059E9"/>
    <w:rsid w:val="7556602D"/>
    <w:rsid w:val="755E52F2"/>
    <w:rsid w:val="7560FD47"/>
    <w:rsid w:val="7574F976"/>
    <w:rsid w:val="757727C4"/>
    <w:rsid w:val="7580C70C"/>
    <w:rsid w:val="75855E24"/>
    <w:rsid w:val="759DC1F4"/>
    <w:rsid w:val="75ABD645"/>
    <w:rsid w:val="75ACC1ED"/>
    <w:rsid w:val="75CCD451"/>
    <w:rsid w:val="75D1826B"/>
    <w:rsid w:val="75D8E3F3"/>
    <w:rsid w:val="75DB1529"/>
    <w:rsid w:val="75E18579"/>
    <w:rsid w:val="75F5800C"/>
    <w:rsid w:val="75F5ACDE"/>
    <w:rsid w:val="75FE19E3"/>
    <w:rsid w:val="7601B4ED"/>
    <w:rsid w:val="7616A074"/>
    <w:rsid w:val="76335CB8"/>
    <w:rsid w:val="764210E5"/>
    <w:rsid w:val="76447A54"/>
    <w:rsid w:val="7648F992"/>
    <w:rsid w:val="764E4A29"/>
    <w:rsid w:val="7688706F"/>
    <w:rsid w:val="76ABD0C0"/>
    <w:rsid w:val="76B3E570"/>
    <w:rsid w:val="76BD6093"/>
    <w:rsid w:val="76C585F6"/>
    <w:rsid w:val="76E8A6CA"/>
    <w:rsid w:val="76ECB9D5"/>
    <w:rsid w:val="76FC4041"/>
    <w:rsid w:val="770B3C74"/>
    <w:rsid w:val="774864E9"/>
    <w:rsid w:val="778BFC9D"/>
    <w:rsid w:val="77926A17"/>
    <w:rsid w:val="77A2A09A"/>
    <w:rsid w:val="77AB083A"/>
    <w:rsid w:val="77ACBDCA"/>
    <w:rsid w:val="77E2FA87"/>
    <w:rsid w:val="780C2302"/>
    <w:rsid w:val="781629EB"/>
    <w:rsid w:val="781D0581"/>
    <w:rsid w:val="7839BCAE"/>
    <w:rsid w:val="7844F449"/>
    <w:rsid w:val="78741190"/>
    <w:rsid w:val="787B775A"/>
    <w:rsid w:val="78974D0D"/>
    <w:rsid w:val="78A93F4E"/>
    <w:rsid w:val="78CE4630"/>
    <w:rsid w:val="78F65348"/>
    <w:rsid w:val="79003952"/>
    <w:rsid w:val="7902E757"/>
    <w:rsid w:val="791325BA"/>
    <w:rsid w:val="79152B5E"/>
    <w:rsid w:val="792529D7"/>
    <w:rsid w:val="792B4992"/>
    <w:rsid w:val="7967E3CE"/>
    <w:rsid w:val="797F1ADD"/>
    <w:rsid w:val="7993C83F"/>
    <w:rsid w:val="7998B303"/>
    <w:rsid w:val="79A3544C"/>
    <w:rsid w:val="79B11B7F"/>
    <w:rsid w:val="79F6250B"/>
    <w:rsid w:val="7A1274B1"/>
    <w:rsid w:val="7A350881"/>
    <w:rsid w:val="7A81BE82"/>
    <w:rsid w:val="7A8BF078"/>
    <w:rsid w:val="7A9EF9FA"/>
    <w:rsid w:val="7AB77B1D"/>
    <w:rsid w:val="7B5F7076"/>
    <w:rsid w:val="7B604DC9"/>
    <w:rsid w:val="7B66EE3B"/>
    <w:rsid w:val="7B684872"/>
    <w:rsid w:val="7B71B98F"/>
    <w:rsid w:val="7B8C9BAA"/>
    <w:rsid w:val="7BD79729"/>
    <w:rsid w:val="7BDEA02A"/>
    <w:rsid w:val="7BEE4567"/>
    <w:rsid w:val="7BF39D8E"/>
    <w:rsid w:val="7C07B6D9"/>
    <w:rsid w:val="7C156FF0"/>
    <w:rsid w:val="7C1A4A29"/>
    <w:rsid w:val="7C1BAA86"/>
    <w:rsid w:val="7C376389"/>
    <w:rsid w:val="7C3E8288"/>
    <w:rsid w:val="7C4CDA22"/>
    <w:rsid w:val="7C4DA0BB"/>
    <w:rsid w:val="7C53DA0F"/>
    <w:rsid w:val="7C5FE6CF"/>
    <w:rsid w:val="7CAB8A57"/>
    <w:rsid w:val="7CB8E3A5"/>
    <w:rsid w:val="7CEDCAD8"/>
    <w:rsid w:val="7D0A0B8F"/>
    <w:rsid w:val="7D0F740F"/>
    <w:rsid w:val="7D13DFBD"/>
    <w:rsid w:val="7D419199"/>
    <w:rsid w:val="7D63F2DD"/>
    <w:rsid w:val="7D67B33F"/>
    <w:rsid w:val="7D89E7BC"/>
    <w:rsid w:val="7DB11947"/>
    <w:rsid w:val="7DB90204"/>
    <w:rsid w:val="7DBF746B"/>
    <w:rsid w:val="7DD7E8A9"/>
    <w:rsid w:val="7DE7E8D4"/>
    <w:rsid w:val="7DEECA85"/>
    <w:rsid w:val="7DF67019"/>
    <w:rsid w:val="7E2D01AA"/>
    <w:rsid w:val="7E38AAAA"/>
    <w:rsid w:val="7E41330B"/>
    <w:rsid w:val="7E4227FB"/>
    <w:rsid w:val="7E455CAB"/>
    <w:rsid w:val="7E485460"/>
    <w:rsid w:val="7E5442CC"/>
    <w:rsid w:val="7E5B84FA"/>
    <w:rsid w:val="7E7B29C8"/>
    <w:rsid w:val="7E7DDDE6"/>
    <w:rsid w:val="7E95D0DA"/>
    <w:rsid w:val="7F018BCC"/>
    <w:rsid w:val="7F154600"/>
    <w:rsid w:val="7F19F98A"/>
    <w:rsid w:val="7F37D9BA"/>
    <w:rsid w:val="7F44EB7A"/>
    <w:rsid w:val="7F6D4FDE"/>
    <w:rsid w:val="7F707829"/>
    <w:rsid w:val="7F7C4B4C"/>
    <w:rsid w:val="7F959993"/>
    <w:rsid w:val="7FA392FC"/>
    <w:rsid w:val="7FA3BF62"/>
    <w:rsid w:val="7FB9119E"/>
    <w:rsid w:val="7FBBD960"/>
    <w:rsid w:val="7FCF190F"/>
    <w:rsid w:val="7FD45142"/>
    <w:rsid w:val="7FDEAE19"/>
    <w:rsid w:val="7FF35FF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29FB8B9"/>
  <w15:chartTrackingRefBased/>
  <w15:docId w15:val="{0F927B60-4518-458A-84FA-624BF754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E00"/>
  </w:style>
  <w:style w:type="paragraph" w:styleId="Heading1">
    <w:name w:val="heading 1"/>
    <w:basedOn w:val="Normal"/>
    <w:next w:val="Normal"/>
    <w:link w:val="Heading1Char"/>
    <w:uiPriority w:val="9"/>
    <w:qFormat/>
    <w:rsid w:val="00C9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5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5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95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95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95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5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5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5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5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95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95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95E0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5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5E00"/>
    <w:rPr>
      <w:rFonts w:eastAsiaTheme="majorEastAsia" w:cstheme="majorBidi"/>
      <w:color w:val="272727" w:themeColor="text1" w:themeTint="D8"/>
    </w:rPr>
  </w:style>
  <w:style w:type="paragraph" w:styleId="Title">
    <w:name w:val="Title"/>
    <w:basedOn w:val="Normal"/>
    <w:next w:val="Normal"/>
    <w:link w:val="TitleChar"/>
    <w:uiPriority w:val="10"/>
    <w:qFormat/>
    <w:rsid w:val="00C95E00"/>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C95E00"/>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C95E00"/>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C95E00"/>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C95E00"/>
    <w:pPr>
      <w:spacing w:before="160"/>
      <w:jc w:val="center"/>
    </w:pPr>
    <w:rPr>
      <w:i/>
      <w:iCs/>
      <w:color w:val="404040" w:themeColor="text1" w:themeTint="BF"/>
    </w:rPr>
  </w:style>
  <w:style w:type="character" w:customStyle="1" w:styleId="QuoteChar">
    <w:name w:val="Quote Char"/>
    <w:basedOn w:val="DefaultParagraphFont"/>
    <w:link w:val="Quote"/>
    <w:uiPriority w:val="29"/>
    <w:rsid w:val="00C95E00"/>
    <w:rPr>
      <w:i/>
      <w:iCs/>
      <w:color w:val="404040" w:themeColor="text1" w:themeTint="BF"/>
    </w:rPr>
  </w:style>
  <w:style w:type="paragraph" w:styleId="ListParagraph">
    <w:name w:val="List Paragraph"/>
    <w:aliases w:val="2,OBC Bullet,Normal 1,Task Body,Viñetas (Inicio Parrafo),Paragrafo elenco,3 Txt tabla,Zerrenda-paragrafoa,Fiche List Paragraph,Dot pt,F5 List Paragraph,List Paragraph1,No Spacing1,List Paragraph Char Char Char,Indicator Text,Bullets,L,EC"/>
    <w:basedOn w:val="Normal"/>
    <w:link w:val="ListParagraphChar"/>
    <w:uiPriority w:val="34"/>
    <w:qFormat/>
    <w:rsid w:val="00C95E00"/>
    <w:pPr>
      <w:ind w:left="720"/>
      <w:contextualSpacing/>
    </w:pPr>
  </w:style>
  <w:style w:type="character" w:styleId="IntenseEmphasis">
    <w:name w:val="Intense Emphasis"/>
    <w:basedOn w:val="DefaultParagraphFont"/>
    <w:uiPriority w:val="21"/>
    <w:qFormat/>
    <w:rsid w:val="00C95E00"/>
    <w:rPr>
      <w:i/>
      <w:iCs/>
      <w:color w:val="0F4761" w:themeColor="accent1" w:themeShade="BF"/>
    </w:rPr>
  </w:style>
  <w:style w:type="paragraph" w:styleId="IntenseQuote">
    <w:name w:val="Intense Quote"/>
    <w:basedOn w:val="Normal"/>
    <w:next w:val="Normal"/>
    <w:link w:val="IntenseQuoteChar"/>
    <w:uiPriority w:val="30"/>
    <w:qFormat/>
    <w:rsid w:val="00C9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E00"/>
    <w:rPr>
      <w:i/>
      <w:iCs/>
      <w:color w:val="0F4761" w:themeColor="accent1" w:themeShade="BF"/>
    </w:rPr>
  </w:style>
  <w:style w:type="character" w:styleId="IntenseReference">
    <w:name w:val="Intense Reference"/>
    <w:basedOn w:val="DefaultParagraphFont"/>
    <w:uiPriority w:val="32"/>
    <w:qFormat/>
    <w:rsid w:val="00C95E00"/>
    <w:rPr>
      <w:b/>
      <w:bCs/>
      <w:smallCaps/>
      <w:color w:val="0F4761" w:themeColor="accent1" w:themeShade="BF"/>
    </w:rPr>
  </w:style>
  <w:style w:type="paragraph" w:customStyle="1" w:styleId="TechnicalBlockBase">
    <w:name w:val="TechnicalBlockBase"/>
    <w:link w:val="TechnicalBlockBaseChar"/>
    <w:rsid w:val="00C95E00"/>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C95E00"/>
    <w:pPr>
      <w:spacing w:before="0" w:after="0" w:line="240" w:lineRule="auto"/>
      <w:ind w:left="0" w:right="0"/>
    </w:pPr>
    <w:rPr>
      <w:rFonts w:ascii="Arial" w:hAnsi="Arial"/>
      <w:i w:val="0"/>
      <w:dstrike w:val="0"/>
      <w:color w:val="auto"/>
      <w:sz w:val="23"/>
      <w:u w:val="none"/>
    </w:rPr>
  </w:style>
  <w:style w:type="paragraph" w:customStyle="1" w:styleId="TBDistrbMarkers">
    <w:name w:val="TBDistrbMarkers"/>
    <w:basedOn w:val="TBEntRefer"/>
    <w:qFormat/>
    <w:rsid w:val="00C95E00"/>
    <w:pPr>
      <w:tabs>
        <w:tab w:val="left" w:pos="2262"/>
      </w:tabs>
    </w:pPr>
    <w:rPr>
      <w:i/>
      <w:iCs/>
      <w:szCs w:val="23"/>
    </w:rPr>
  </w:style>
  <w:style w:type="paragraph" w:customStyle="1" w:styleId="TBEntACP">
    <w:name w:val="TBEntACP"/>
    <w:basedOn w:val="TechnicalBlockBase"/>
    <w:rsid w:val="00C95E0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95E0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95E00"/>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95E00"/>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95E00"/>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95E00"/>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95E00"/>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95E00"/>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95E00"/>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95E00"/>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95E00"/>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95E00"/>
    <w:pPr>
      <w:spacing w:before="1200" w:after="120"/>
      <w:ind w:left="1440" w:hanging="1440"/>
    </w:pPr>
    <w:rPr>
      <w:rFonts w:ascii="Times New Roman" w:hAnsi="Times New Roman"/>
    </w:rPr>
  </w:style>
  <w:style w:type="numbering" w:customStyle="1" w:styleId="NoList1">
    <w:name w:val="No List1"/>
    <w:next w:val="NoList"/>
    <w:uiPriority w:val="99"/>
    <w:semiHidden/>
    <w:unhideWhenUsed/>
    <w:rsid w:val="00C95E00"/>
  </w:style>
  <w:style w:type="character" w:customStyle="1" w:styleId="TechnicalBlockBaseChar">
    <w:name w:val="TechnicalBlockBase Char"/>
    <w:basedOn w:val="EntInstitChar"/>
    <w:link w:val="TechnicalBlockBase"/>
    <w:rsid w:val="00C95E00"/>
    <w:rPr>
      <w:rFonts w:ascii="Arial New Roman" w:eastAsia="Times New Roman" w:hAnsi="Arial New Roman" w:cs="Arial"/>
      <w:b/>
      <w:i/>
      <w:dstrike/>
      <w:color w:val="606060"/>
      <w:kern w:val="0"/>
      <w:sz w:val="10"/>
      <w:szCs w:val="20"/>
      <w:u w:val="words" w:color="606060"/>
    </w:rPr>
  </w:style>
  <w:style w:type="character" w:customStyle="1" w:styleId="EntReferChar">
    <w:name w:val="EntRefer Char"/>
    <w:basedOn w:val="DefaultParagraphFont"/>
    <w:link w:val="TBEntRefer"/>
    <w:rsid w:val="00C95E00"/>
    <w:rPr>
      <w:rFonts w:ascii="Arial" w:eastAsia="Times New Roman" w:hAnsi="Arial" w:cs="Arial"/>
      <w:b/>
      <w:kern w:val="0"/>
      <w:sz w:val="23"/>
      <w:szCs w:val="20"/>
      <w:u w:color="606060"/>
    </w:rPr>
  </w:style>
  <w:style w:type="character" w:customStyle="1" w:styleId="EntInstitChar">
    <w:name w:val="EntInstit Char"/>
    <w:basedOn w:val="DefaultParagraphFont"/>
    <w:link w:val="TBEntInstit"/>
    <w:rsid w:val="00C95E00"/>
    <w:rPr>
      <w:rFonts w:ascii="Arial" w:eastAsia="Times New Roman" w:hAnsi="Arial" w:cs="Arial"/>
      <w:b/>
      <w:kern w:val="0"/>
      <w:sz w:val="23"/>
      <w:szCs w:val="20"/>
      <w:u w:color="606060"/>
    </w:rPr>
  </w:style>
  <w:style w:type="paragraph" w:customStyle="1" w:styleId="Header1">
    <w:name w:val="Header1"/>
    <w:basedOn w:val="Normal"/>
    <w:next w:val="Header"/>
    <w:link w:val="HeaderChar"/>
    <w:uiPriority w:val="99"/>
    <w:unhideWhenUsed/>
    <w:rsid w:val="00C95E00"/>
    <w:pPr>
      <w:tabs>
        <w:tab w:val="center" w:pos="4535"/>
        <w:tab w:val="right" w:pos="9071"/>
      </w:tabs>
      <w:spacing w:after="120" w:line="276" w:lineRule="auto"/>
      <w:jc w:val="both"/>
    </w:pPr>
    <w:rPr>
      <w:rFonts w:ascii="Times New Roman" w:eastAsia="Times New Roman" w:hAnsi="Times New Roman" w:cs="Times New Roman"/>
    </w:rPr>
  </w:style>
  <w:style w:type="character" w:customStyle="1" w:styleId="HeaderChar">
    <w:name w:val="Header Char"/>
    <w:basedOn w:val="DefaultParagraphFont"/>
    <w:link w:val="Header1"/>
    <w:uiPriority w:val="99"/>
    <w:rsid w:val="00C95E00"/>
    <w:rPr>
      <w:rFonts w:ascii="Times New Roman" w:eastAsia="Times New Roman" w:hAnsi="Times New Roman" w:cs="Times New Roman"/>
    </w:rPr>
  </w:style>
  <w:style w:type="paragraph" w:customStyle="1" w:styleId="Footer1">
    <w:name w:val="Footer1"/>
    <w:basedOn w:val="Normal"/>
    <w:next w:val="Footer"/>
    <w:link w:val="FooterChar"/>
    <w:uiPriority w:val="99"/>
    <w:unhideWhenUsed/>
    <w:rsid w:val="00C95E00"/>
    <w:pPr>
      <w:tabs>
        <w:tab w:val="center" w:pos="4535"/>
        <w:tab w:val="right" w:pos="9071"/>
        <w:tab w:val="right" w:pos="9921"/>
      </w:tabs>
      <w:spacing w:before="360" w:after="0" w:line="276" w:lineRule="auto"/>
      <w:ind w:left="-850" w:right="-850"/>
    </w:pPr>
    <w:rPr>
      <w:rFonts w:ascii="Times New Roman" w:eastAsia="Times New Roman" w:hAnsi="Times New Roman" w:cs="Times New Roman"/>
    </w:rPr>
  </w:style>
  <w:style w:type="character" w:customStyle="1" w:styleId="FooterChar">
    <w:name w:val="Footer Char"/>
    <w:basedOn w:val="DefaultParagraphFont"/>
    <w:link w:val="Footer1"/>
    <w:uiPriority w:val="99"/>
    <w:rsid w:val="00C95E00"/>
    <w:rPr>
      <w:rFonts w:ascii="Times New Roman" w:eastAsia="Times New Roman" w:hAnsi="Times New Roman" w:cs="Times New Roman"/>
    </w:rPr>
  </w:style>
  <w:style w:type="paragraph" w:customStyle="1" w:styleId="FootnoteText1">
    <w:name w:val="Footnote Text1"/>
    <w:basedOn w:val="Normal"/>
    <w:next w:val="FootnoteText"/>
    <w:link w:val="FootnoteTextChar"/>
    <w:uiPriority w:val="99"/>
    <w:unhideWhenUsed/>
    <w:rsid w:val="00C95E00"/>
    <w:pPr>
      <w:keepNext/>
      <w:spacing w:after="0" w:line="276"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1"/>
    <w:uiPriority w:val="99"/>
    <w:rsid w:val="00C95E00"/>
    <w:rPr>
      <w:rFonts w:ascii="Times New Roman" w:eastAsia="Times New Roman" w:hAnsi="Times New Roman" w:cs="Times New Roman"/>
      <w:sz w:val="20"/>
      <w:szCs w:val="20"/>
    </w:rPr>
  </w:style>
  <w:style w:type="paragraph" w:customStyle="1" w:styleId="TOCHeading1">
    <w:name w:val="TOC Heading1"/>
    <w:basedOn w:val="Normal"/>
    <w:next w:val="Normal"/>
    <w:uiPriority w:val="39"/>
    <w:unhideWhenUsed/>
    <w:qFormat/>
    <w:rsid w:val="00C95E00"/>
    <w:pPr>
      <w:keepNext/>
      <w:spacing w:before="40" w:after="0" w:line="276" w:lineRule="auto"/>
      <w:jc w:val="center"/>
    </w:pPr>
    <w:rPr>
      <w:rFonts w:ascii="Times New Roman" w:eastAsia="Times New Roman" w:hAnsi="Times New Roman" w:cs="Times New Roman"/>
      <w:b/>
      <w:bCs/>
      <w:kern w:val="0"/>
      <w:sz w:val="28"/>
      <w:szCs w:val="28"/>
    </w:rPr>
  </w:style>
  <w:style w:type="paragraph" w:customStyle="1" w:styleId="TOC11">
    <w:name w:val="TOC 1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21">
    <w:name w:val="TOC 2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31">
    <w:name w:val="TOC 3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41">
    <w:name w:val="TOC 4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51">
    <w:name w:val="TOC 51"/>
    <w:basedOn w:val="Normal"/>
    <w:next w:val="Normal"/>
    <w:uiPriority w:val="39"/>
    <w:unhideWhenUsed/>
    <w:rsid w:val="00C95E00"/>
    <w:pPr>
      <w:keepNext/>
      <w:tabs>
        <w:tab w:val="right" w:leader="dot" w:pos="9071"/>
      </w:tabs>
      <w:spacing w:before="300" w:after="0" w:line="276" w:lineRule="auto"/>
      <w:jc w:val="both"/>
    </w:pPr>
    <w:rPr>
      <w:rFonts w:ascii="Times New Roman" w:eastAsia="Times New Roman" w:hAnsi="Times New Roman" w:cs="Times New Roman"/>
      <w:kern w:val="0"/>
    </w:rPr>
  </w:style>
  <w:style w:type="paragraph" w:customStyle="1" w:styleId="TOC61">
    <w:name w:val="TOC 61"/>
    <w:basedOn w:val="Normal"/>
    <w:next w:val="Normal"/>
    <w:uiPriority w:val="39"/>
    <w:unhideWhenUsed/>
    <w:rsid w:val="00C95E00"/>
    <w:pPr>
      <w:keepNext/>
      <w:tabs>
        <w:tab w:val="right" w:leader="dot" w:pos="9071"/>
      </w:tabs>
      <w:spacing w:before="240" w:after="0" w:line="276" w:lineRule="auto"/>
      <w:jc w:val="both"/>
    </w:pPr>
    <w:rPr>
      <w:rFonts w:ascii="Times New Roman" w:eastAsia="Times New Roman" w:hAnsi="Times New Roman" w:cs="Times New Roman"/>
      <w:kern w:val="0"/>
    </w:rPr>
  </w:style>
  <w:style w:type="paragraph" w:customStyle="1" w:styleId="TOC71">
    <w:name w:val="TOC 71"/>
    <w:basedOn w:val="Normal"/>
    <w:next w:val="Normal"/>
    <w:uiPriority w:val="39"/>
    <w:unhideWhenUsed/>
    <w:rsid w:val="00C95E00"/>
    <w:pPr>
      <w:keepNext/>
      <w:tabs>
        <w:tab w:val="right" w:leader="dot" w:pos="9071"/>
      </w:tabs>
      <w:spacing w:before="180" w:after="0" w:line="276" w:lineRule="auto"/>
      <w:jc w:val="both"/>
    </w:pPr>
    <w:rPr>
      <w:rFonts w:ascii="Times New Roman" w:eastAsia="Times New Roman" w:hAnsi="Times New Roman" w:cs="Times New Roman"/>
      <w:kern w:val="0"/>
    </w:rPr>
  </w:style>
  <w:style w:type="paragraph" w:customStyle="1" w:styleId="TOC81">
    <w:name w:val="TOC 8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TOC91">
    <w:name w:val="TOC 9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HeaderLandscape">
    <w:name w:val="HeaderLandscape"/>
    <w:basedOn w:val="Normal"/>
    <w:uiPriority w:val="1"/>
    <w:rsid w:val="00C95E00"/>
    <w:pPr>
      <w:tabs>
        <w:tab w:val="center" w:pos="7285"/>
        <w:tab w:val="right" w:pos="14003"/>
      </w:tabs>
      <w:spacing w:after="120" w:line="276" w:lineRule="auto"/>
      <w:jc w:val="both"/>
    </w:pPr>
    <w:rPr>
      <w:rFonts w:ascii="Times New Roman" w:eastAsia="Times New Roman" w:hAnsi="Times New Roman" w:cs="Times New Roman"/>
      <w:kern w:val="0"/>
    </w:rPr>
  </w:style>
  <w:style w:type="paragraph" w:customStyle="1" w:styleId="FooterLandscape">
    <w:name w:val="FooterLandscape"/>
    <w:basedOn w:val="Normal"/>
    <w:uiPriority w:val="1"/>
    <w:rsid w:val="00C95E00"/>
    <w:pPr>
      <w:tabs>
        <w:tab w:val="center" w:pos="7285"/>
        <w:tab w:val="center" w:pos="10913"/>
        <w:tab w:val="right" w:pos="15137"/>
      </w:tabs>
      <w:spacing w:before="360" w:after="0" w:line="276" w:lineRule="auto"/>
      <w:ind w:left="-567" w:right="-567"/>
    </w:pPr>
    <w:rPr>
      <w:rFonts w:ascii="Times New Roman" w:eastAsia="Times New Roman" w:hAnsi="Times New Roman" w:cs="Times New Roman"/>
      <w:kern w:val="0"/>
    </w:rPr>
  </w:style>
  <w:style w:type="character" w:styleId="FootnoteReference">
    <w:name w:val="footnote reference"/>
    <w:basedOn w:val="DefaultParagraphFont"/>
    <w:uiPriority w:val="99"/>
    <w:unhideWhenUsed/>
    <w:rsid w:val="00C95E00"/>
    <w:rPr>
      <w:shd w:val="clear" w:color="auto" w:fill="auto"/>
      <w:vertAlign w:val="superscript"/>
    </w:rPr>
  </w:style>
  <w:style w:type="paragraph" w:customStyle="1" w:styleId="HeaderSensitivity">
    <w:name w:val="Header Sensitivity"/>
    <w:basedOn w:val="Normal"/>
    <w:uiPriority w:val="1"/>
    <w:rsid w:val="00C95E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uiPriority w:val="1"/>
    <w:rsid w:val="00C95E00"/>
    <w:pPr>
      <w:spacing w:after="120" w:line="240" w:lineRule="auto"/>
      <w:jc w:val="right"/>
    </w:pPr>
    <w:rPr>
      <w:rFonts w:ascii="Times New Roman" w:hAnsi="Times New Roman" w:cs="Times New Roman"/>
      <w:sz w:val="28"/>
    </w:rPr>
  </w:style>
  <w:style w:type="paragraph" w:customStyle="1" w:styleId="FooterSensitivity">
    <w:name w:val="Footer Sensitivity"/>
    <w:basedOn w:val="Normal"/>
    <w:uiPriority w:val="1"/>
    <w:rsid w:val="00C95E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Text2">
    <w:name w:val="Text 2"/>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Text3">
    <w:name w:val="Text 3"/>
    <w:basedOn w:val="Normal"/>
    <w:uiPriority w:val="1"/>
    <w:rsid w:val="00C95E00"/>
    <w:pPr>
      <w:keepNext/>
      <w:spacing w:before="40" w:after="0" w:line="276" w:lineRule="auto"/>
      <w:ind w:left="1984"/>
      <w:jc w:val="both"/>
    </w:pPr>
    <w:rPr>
      <w:rFonts w:ascii="Times New Roman" w:eastAsia="Times New Roman" w:hAnsi="Times New Roman" w:cs="Times New Roman"/>
      <w:kern w:val="0"/>
    </w:rPr>
  </w:style>
  <w:style w:type="paragraph" w:customStyle="1" w:styleId="Text4">
    <w:name w:val="Text 4"/>
    <w:basedOn w:val="Normal"/>
    <w:uiPriority w:val="1"/>
    <w:rsid w:val="00C95E00"/>
    <w:pPr>
      <w:keepNext/>
      <w:spacing w:before="40" w:after="0" w:line="276" w:lineRule="auto"/>
      <w:ind w:left="2551"/>
      <w:jc w:val="both"/>
    </w:pPr>
    <w:rPr>
      <w:rFonts w:ascii="Times New Roman" w:eastAsia="Times New Roman" w:hAnsi="Times New Roman" w:cs="Times New Roman"/>
      <w:kern w:val="0"/>
    </w:rPr>
  </w:style>
  <w:style w:type="paragraph" w:customStyle="1" w:styleId="NormalCentered">
    <w:name w:val="Normal Centered"/>
    <w:basedOn w:val="Normal"/>
    <w:uiPriority w:val="1"/>
    <w:rsid w:val="00C95E00"/>
    <w:pPr>
      <w:keepNext/>
      <w:spacing w:before="40" w:after="0" w:line="276" w:lineRule="auto"/>
      <w:jc w:val="center"/>
    </w:pPr>
    <w:rPr>
      <w:rFonts w:ascii="Times New Roman" w:eastAsia="Times New Roman" w:hAnsi="Times New Roman" w:cs="Times New Roman"/>
      <w:kern w:val="0"/>
    </w:rPr>
  </w:style>
  <w:style w:type="paragraph" w:customStyle="1" w:styleId="NormalLeft">
    <w:name w:val="Normal Left"/>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NormalRight">
    <w:name w:val="Normal Right"/>
    <w:basedOn w:val="Normal"/>
    <w:uiPriority w:val="1"/>
    <w:rsid w:val="00C95E00"/>
    <w:pPr>
      <w:keepNext/>
      <w:spacing w:before="40" w:after="0" w:line="276" w:lineRule="auto"/>
      <w:jc w:val="right"/>
    </w:pPr>
    <w:rPr>
      <w:rFonts w:ascii="Times New Roman" w:eastAsia="Times New Roman" w:hAnsi="Times New Roman" w:cs="Times New Roman"/>
      <w:kern w:val="0"/>
    </w:rPr>
  </w:style>
  <w:style w:type="paragraph" w:customStyle="1" w:styleId="QuotedText">
    <w:name w:val="Quoted Text"/>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Point0">
    <w:name w:val="Point 0"/>
    <w:basedOn w:val="Normal"/>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Point1">
    <w:name w:val="Point 1"/>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Point2">
    <w:name w:val="Point 2"/>
    <w:basedOn w:val="Normal"/>
    <w:uiPriority w:val="1"/>
    <w:rsid w:val="00C95E00"/>
    <w:pPr>
      <w:keepNext/>
      <w:spacing w:before="40" w:after="0" w:line="276" w:lineRule="auto"/>
      <w:ind w:left="1984" w:hanging="567"/>
      <w:jc w:val="both"/>
    </w:pPr>
    <w:rPr>
      <w:rFonts w:ascii="Times New Roman" w:eastAsia="Times New Roman" w:hAnsi="Times New Roman" w:cs="Times New Roman"/>
      <w:kern w:val="0"/>
    </w:rPr>
  </w:style>
  <w:style w:type="paragraph" w:customStyle="1" w:styleId="Point3">
    <w:name w:val="Point 3"/>
    <w:basedOn w:val="Normal"/>
    <w:uiPriority w:val="1"/>
    <w:rsid w:val="00C95E00"/>
    <w:pPr>
      <w:keepNext/>
      <w:spacing w:before="40" w:after="0" w:line="276" w:lineRule="auto"/>
      <w:ind w:left="2551" w:hanging="567"/>
      <w:jc w:val="both"/>
    </w:pPr>
    <w:rPr>
      <w:rFonts w:ascii="Times New Roman" w:eastAsia="Times New Roman" w:hAnsi="Times New Roman" w:cs="Times New Roman"/>
      <w:kern w:val="0"/>
    </w:rPr>
  </w:style>
  <w:style w:type="paragraph" w:customStyle="1" w:styleId="Point4">
    <w:name w:val="Point 4"/>
    <w:basedOn w:val="Normal"/>
    <w:uiPriority w:val="1"/>
    <w:rsid w:val="00C95E00"/>
    <w:pPr>
      <w:keepNext/>
      <w:spacing w:before="40" w:after="0" w:line="276" w:lineRule="auto"/>
      <w:ind w:left="3118" w:hanging="567"/>
      <w:jc w:val="both"/>
    </w:pPr>
    <w:rPr>
      <w:rFonts w:ascii="Times New Roman" w:eastAsia="Times New Roman" w:hAnsi="Times New Roman" w:cs="Times New Roman"/>
      <w:kern w:val="0"/>
    </w:rPr>
  </w:style>
  <w:style w:type="paragraph" w:customStyle="1" w:styleId="Tiret0">
    <w:name w:val="Tiret 0"/>
    <w:basedOn w:val="Point0"/>
    <w:uiPriority w:val="1"/>
    <w:rsid w:val="00C95E00"/>
    <w:pPr>
      <w:numPr>
        <w:numId w:val="1"/>
      </w:numPr>
      <w:tabs>
        <w:tab w:val="clear" w:pos="850"/>
        <w:tab w:val="num" w:pos="360"/>
        <w:tab w:val="num" w:pos="1417"/>
      </w:tabs>
      <w:ind w:left="0" w:firstLine="0"/>
    </w:pPr>
  </w:style>
  <w:style w:type="paragraph" w:customStyle="1" w:styleId="Tiret1">
    <w:name w:val="Tiret 1"/>
    <w:basedOn w:val="Point1"/>
    <w:uiPriority w:val="1"/>
    <w:rsid w:val="00C95E00"/>
    <w:pPr>
      <w:numPr>
        <w:numId w:val="2"/>
      </w:numPr>
      <w:tabs>
        <w:tab w:val="clear" w:pos="1417"/>
        <w:tab w:val="num" w:pos="360"/>
        <w:tab w:val="num" w:pos="1984"/>
      </w:tabs>
      <w:ind w:left="0" w:firstLine="0"/>
    </w:pPr>
  </w:style>
  <w:style w:type="paragraph" w:customStyle="1" w:styleId="Tiret2">
    <w:name w:val="Tiret 2"/>
    <w:basedOn w:val="Point2"/>
    <w:uiPriority w:val="1"/>
    <w:rsid w:val="00C95E00"/>
    <w:pPr>
      <w:numPr>
        <w:numId w:val="3"/>
      </w:numPr>
      <w:tabs>
        <w:tab w:val="clear" w:pos="1984"/>
        <w:tab w:val="num" w:pos="360"/>
        <w:tab w:val="num" w:pos="2551"/>
      </w:tabs>
      <w:ind w:left="0" w:firstLine="0"/>
    </w:pPr>
  </w:style>
  <w:style w:type="paragraph" w:customStyle="1" w:styleId="Tiret3">
    <w:name w:val="Tiret 3"/>
    <w:basedOn w:val="Point3"/>
    <w:uiPriority w:val="1"/>
    <w:rsid w:val="00C95E00"/>
    <w:pPr>
      <w:numPr>
        <w:numId w:val="4"/>
      </w:numPr>
      <w:tabs>
        <w:tab w:val="clear" w:pos="2551"/>
        <w:tab w:val="num" w:pos="360"/>
        <w:tab w:val="num" w:pos="3118"/>
      </w:tabs>
      <w:ind w:left="0" w:firstLine="0"/>
    </w:pPr>
  </w:style>
  <w:style w:type="paragraph" w:customStyle="1" w:styleId="Tiret4">
    <w:name w:val="Tiret 4"/>
    <w:basedOn w:val="Point4"/>
    <w:uiPriority w:val="1"/>
    <w:rsid w:val="00C95E00"/>
    <w:pPr>
      <w:numPr>
        <w:numId w:val="5"/>
      </w:numPr>
      <w:tabs>
        <w:tab w:val="clear" w:pos="3118"/>
        <w:tab w:val="num" w:pos="360"/>
        <w:tab w:val="num" w:pos="850"/>
      </w:tabs>
      <w:ind w:left="0" w:firstLine="0"/>
    </w:pPr>
  </w:style>
  <w:style w:type="paragraph" w:customStyle="1" w:styleId="PointDouble0">
    <w:name w:val="PointDouble 0"/>
    <w:basedOn w:val="Normal"/>
    <w:uiPriority w:val="1"/>
    <w:rsid w:val="00C95E00"/>
    <w:pPr>
      <w:keepNext/>
      <w:tabs>
        <w:tab w:val="left" w:pos="850"/>
      </w:tabs>
      <w:spacing w:before="40" w:after="0" w:line="276" w:lineRule="auto"/>
      <w:ind w:left="1417" w:hanging="1417"/>
      <w:jc w:val="both"/>
    </w:pPr>
    <w:rPr>
      <w:rFonts w:ascii="Times New Roman" w:eastAsia="Times New Roman" w:hAnsi="Times New Roman" w:cs="Times New Roman"/>
      <w:kern w:val="0"/>
    </w:rPr>
  </w:style>
  <w:style w:type="paragraph" w:customStyle="1" w:styleId="PointDouble1">
    <w:name w:val="PointDouble 1"/>
    <w:basedOn w:val="Normal"/>
    <w:uiPriority w:val="1"/>
    <w:rsid w:val="00C95E00"/>
    <w:pPr>
      <w:keepNext/>
      <w:tabs>
        <w:tab w:val="left" w:pos="1417"/>
      </w:tabs>
      <w:spacing w:before="40" w:after="0" w:line="276" w:lineRule="auto"/>
      <w:ind w:left="1984" w:hanging="1134"/>
      <w:jc w:val="both"/>
    </w:pPr>
    <w:rPr>
      <w:rFonts w:ascii="Times New Roman" w:eastAsia="Times New Roman" w:hAnsi="Times New Roman" w:cs="Times New Roman"/>
      <w:kern w:val="0"/>
    </w:rPr>
  </w:style>
  <w:style w:type="paragraph" w:customStyle="1" w:styleId="PointDouble2">
    <w:name w:val="PointDouble 2"/>
    <w:basedOn w:val="Normal"/>
    <w:uiPriority w:val="1"/>
    <w:rsid w:val="00C95E00"/>
    <w:pPr>
      <w:keepNext/>
      <w:tabs>
        <w:tab w:val="left" w:pos="1984"/>
      </w:tabs>
      <w:spacing w:before="40" w:after="0" w:line="276" w:lineRule="auto"/>
      <w:ind w:left="2551" w:hanging="1134"/>
      <w:jc w:val="both"/>
    </w:pPr>
    <w:rPr>
      <w:rFonts w:ascii="Times New Roman" w:eastAsia="Times New Roman" w:hAnsi="Times New Roman" w:cs="Times New Roman"/>
      <w:kern w:val="0"/>
    </w:rPr>
  </w:style>
  <w:style w:type="paragraph" w:customStyle="1" w:styleId="PointDouble3">
    <w:name w:val="PointDouble 3"/>
    <w:basedOn w:val="Normal"/>
    <w:uiPriority w:val="1"/>
    <w:rsid w:val="00C95E00"/>
    <w:pPr>
      <w:keepNext/>
      <w:tabs>
        <w:tab w:val="left" w:pos="2551"/>
      </w:tabs>
      <w:spacing w:before="40" w:after="0" w:line="276" w:lineRule="auto"/>
      <w:ind w:left="3118" w:hanging="1134"/>
      <w:jc w:val="both"/>
    </w:pPr>
    <w:rPr>
      <w:rFonts w:ascii="Times New Roman" w:eastAsia="Times New Roman" w:hAnsi="Times New Roman" w:cs="Times New Roman"/>
      <w:kern w:val="0"/>
    </w:rPr>
  </w:style>
  <w:style w:type="paragraph" w:customStyle="1" w:styleId="PointDouble4">
    <w:name w:val="PointDouble 4"/>
    <w:basedOn w:val="Normal"/>
    <w:uiPriority w:val="1"/>
    <w:rsid w:val="00C95E00"/>
    <w:pPr>
      <w:keepNext/>
      <w:tabs>
        <w:tab w:val="left" w:pos="3118"/>
      </w:tabs>
      <w:spacing w:before="40" w:after="0" w:line="276" w:lineRule="auto"/>
      <w:ind w:left="3685" w:hanging="1134"/>
      <w:jc w:val="both"/>
    </w:pPr>
    <w:rPr>
      <w:rFonts w:ascii="Times New Roman" w:eastAsia="Times New Roman" w:hAnsi="Times New Roman" w:cs="Times New Roman"/>
      <w:kern w:val="0"/>
    </w:rPr>
  </w:style>
  <w:style w:type="paragraph" w:customStyle="1" w:styleId="PointTriple0">
    <w:name w:val="PointTriple 0"/>
    <w:basedOn w:val="Normal"/>
    <w:uiPriority w:val="1"/>
    <w:rsid w:val="00C95E00"/>
    <w:pPr>
      <w:keepNext/>
      <w:tabs>
        <w:tab w:val="left" w:pos="850"/>
        <w:tab w:val="left" w:pos="1417"/>
      </w:tabs>
      <w:spacing w:before="40" w:after="0" w:line="276" w:lineRule="auto"/>
      <w:ind w:left="1984" w:hanging="1984"/>
      <w:jc w:val="both"/>
    </w:pPr>
    <w:rPr>
      <w:rFonts w:ascii="Times New Roman" w:eastAsia="Times New Roman" w:hAnsi="Times New Roman" w:cs="Times New Roman"/>
      <w:kern w:val="0"/>
    </w:rPr>
  </w:style>
  <w:style w:type="paragraph" w:customStyle="1" w:styleId="PointTriple1">
    <w:name w:val="PointTriple 1"/>
    <w:basedOn w:val="Normal"/>
    <w:uiPriority w:val="1"/>
    <w:rsid w:val="00C95E00"/>
    <w:pPr>
      <w:keepNext/>
      <w:tabs>
        <w:tab w:val="left" w:pos="1417"/>
        <w:tab w:val="left" w:pos="1984"/>
      </w:tabs>
      <w:spacing w:before="40" w:after="0" w:line="276" w:lineRule="auto"/>
      <w:ind w:left="2551" w:hanging="1701"/>
      <w:jc w:val="both"/>
    </w:pPr>
    <w:rPr>
      <w:rFonts w:ascii="Times New Roman" w:eastAsia="Times New Roman" w:hAnsi="Times New Roman" w:cs="Times New Roman"/>
      <w:kern w:val="0"/>
    </w:rPr>
  </w:style>
  <w:style w:type="paragraph" w:customStyle="1" w:styleId="PointTriple2">
    <w:name w:val="PointTriple 2"/>
    <w:basedOn w:val="Normal"/>
    <w:uiPriority w:val="1"/>
    <w:rsid w:val="00C95E00"/>
    <w:pPr>
      <w:keepNext/>
      <w:tabs>
        <w:tab w:val="left" w:pos="1984"/>
        <w:tab w:val="left" w:pos="2551"/>
      </w:tabs>
      <w:spacing w:before="40" w:after="0" w:line="276" w:lineRule="auto"/>
      <w:ind w:left="3118" w:hanging="1701"/>
      <w:jc w:val="both"/>
    </w:pPr>
    <w:rPr>
      <w:rFonts w:ascii="Times New Roman" w:eastAsia="Times New Roman" w:hAnsi="Times New Roman" w:cs="Times New Roman"/>
      <w:kern w:val="0"/>
    </w:rPr>
  </w:style>
  <w:style w:type="paragraph" w:customStyle="1" w:styleId="PointTriple3">
    <w:name w:val="PointTriple 3"/>
    <w:basedOn w:val="Normal"/>
    <w:uiPriority w:val="1"/>
    <w:rsid w:val="00C95E00"/>
    <w:pPr>
      <w:keepNext/>
      <w:tabs>
        <w:tab w:val="left" w:pos="2551"/>
        <w:tab w:val="left" w:pos="3118"/>
      </w:tabs>
      <w:spacing w:before="40" w:after="0" w:line="276" w:lineRule="auto"/>
      <w:ind w:left="3685" w:hanging="1701"/>
      <w:jc w:val="both"/>
    </w:pPr>
    <w:rPr>
      <w:rFonts w:ascii="Times New Roman" w:eastAsia="Times New Roman" w:hAnsi="Times New Roman" w:cs="Times New Roman"/>
      <w:kern w:val="0"/>
    </w:rPr>
  </w:style>
  <w:style w:type="paragraph" w:customStyle="1" w:styleId="PointTriple4">
    <w:name w:val="PointTriple 4"/>
    <w:basedOn w:val="Normal"/>
    <w:uiPriority w:val="1"/>
    <w:rsid w:val="00C95E00"/>
    <w:pPr>
      <w:keepNext/>
      <w:tabs>
        <w:tab w:val="left" w:pos="3118"/>
        <w:tab w:val="left" w:pos="3685"/>
      </w:tabs>
      <w:spacing w:before="40" w:after="0" w:line="276" w:lineRule="auto"/>
      <w:ind w:left="4252" w:hanging="1701"/>
      <w:jc w:val="both"/>
    </w:pPr>
    <w:rPr>
      <w:rFonts w:ascii="Times New Roman" w:eastAsia="Times New Roman" w:hAnsi="Times New Roman" w:cs="Times New Roman"/>
      <w:kern w:val="0"/>
    </w:rPr>
  </w:style>
  <w:style w:type="paragraph" w:customStyle="1" w:styleId="NumPar1">
    <w:name w:val="NumPar 1"/>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2">
    <w:name w:val="NumPar 2"/>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3">
    <w:name w:val="NumPar 3"/>
    <w:basedOn w:val="Normal"/>
    <w:next w:val="Text1"/>
    <w:uiPriority w:val="1"/>
    <w:rsid w:val="00C95E00"/>
    <w:pPr>
      <w:keepNext/>
      <w:numPr>
        <w:ilvl w:val="2"/>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NumPar4">
    <w:name w:val="NumPar 4"/>
    <w:basedOn w:val="Normal"/>
    <w:next w:val="Text1"/>
    <w:uiPriority w:val="1"/>
    <w:rsid w:val="00C95E00"/>
    <w:pPr>
      <w:keepNext/>
      <w:numPr>
        <w:ilvl w:val="3"/>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ManualNumPar1">
    <w:name w:val="Manual NumPar 1"/>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2">
    <w:name w:val="Manual NumPar 2"/>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3">
    <w:name w:val="Manual NumPar 3"/>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4">
    <w:name w:val="Manual NumPar 4"/>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QuotedNumPar">
    <w:name w:val="Quoted NumPar"/>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ManualHeading1">
    <w:name w:val="Manual Heading 1"/>
    <w:basedOn w:val="Normal"/>
    <w:next w:val="Text1"/>
    <w:uiPriority w:val="1"/>
    <w:rsid w:val="00C95E00"/>
    <w:pPr>
      <w:keepNext/>
      <w:tabs>
        <w:tab w:val="left" w:pos="850"/>
      </w:tabs>
      <w:spacing w:before="360" w:after="0" w:line="276" w:lineRule="auto"/>
      <w:ind w:hanging="850"/>
      <w:jc w:val="both"/>
      <w:outlineLvl w:val="0"/>
    </w:pPr>
    <w:rPr>
      <w:rFonts w:ascii="Times New Roman" w:eastAsia="Times New Roman" w:hAnsi="Times New Roman" w:cs="Times New Roman"/>
      <w:b/>
      <w:bCs/>
      <w:smallCaps/>
      <w:kern w:val="0"/>
    </w:rPr>
  </w:style>
  <w:style w:type="paragraph" w:customStyle="1" w:styleId="ManualHeading2">
    <w:name w:val="Manual Heading 2"/>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b/>
      <w:bCs/>
      <w:kern w:val="0"/>
    </w:rPr>
  </w:style>
  <w:style w:type="paragraph" w:customStyle="1" w:styleId="ManualHeading3">
    <w:name w:val="Manual Heading 3"/>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i/>
      <w:iCs/>
      <w:kern w:val="0"/>
    </w:rPr>
  </w:style>
  <w:style w:type="paragraph" w:customStyle="1" w:styleId="ManualHeading4">
    <w:name w:val="Manual Heading 4"/>
    <w:basedOn w:val="Normal"/>
    <w:next w:val="Text1"/>
    <w:uiPriority w:val="1"/>
    <w:rsid w:val="00C95E00"/>
    <w:pPr>
      <w:keepNext/>
      <w:tabs>
        <w:tab w:val="left" w:pos="850"/>
      </w:tabs>
      <w:spacing w:before="40" w:after="0" w:line="276" w:lineRule="auto"/>
      <w:ind w:hanging="850"/>
      <w:jc w:val="both"/>
      <w:outlineLvl w:val="3"/>
    </w:pPr>
    <w:rPr>
      <w:rFonts w:ascii="Times New Roman" w:eastAsia="Times New Roman" w:hAnsi="Times New Roman" w:cs="Times New Roman"/>
      <w:kern w:val="0"/>
    </w:rPr>
  </w:style>
  <w:style w:type="paragraph" w:customStyle="1" w:styleId="ChapterTitle">
    <w:name w:val="ChapterTitle"/>
    <w:basedOn w:val="Normal"/>
    <w:next w:val="Normal"/>
    <w:uiPriority w:val="1"/>
    <w:rsid w:val="00C95E00"/>
    <w:pPr>
      <w:keepNext/>
      <w:spacing w:before="40" w:after="360" w:line="276" w:lineRule="auto"/>
      <w:jc w:val="center"/>
    </w:pPr>
    <w:rPr>
      <w:rFonts w:ascii="Times New Roman" w:eastAsia="Times New Roman" w:hAnsi="Times New Roman" w:cs="Times New Roman"/>
      <w:b/>
      <w:bCs/>
      <w:kern w:val="0"/>
      <w:sz w:val="32"/>
      <w:szCs w:val="32"/>
    </w:rPr>
  </w:style>
  <w:style w:type="paragraph" w:customStyle="1" w:styleId="PartTitle">
    <w:name w:val="PartTitle"/>
    <w:basedOn w:val="Normal"/>
    <w:next w:val="ChapterTitle"/>
    <w:uiPriority w:val="1"/>
    <w:rsid w:val="00C95E00"/>
    <w:pPr>
      <w:keepNext/>
      <w:spacing w:before="40" w:after="360" w:line="276" w:lineRule="auto"/>
      <w:jc w:val="center"/>
    </w:pPr>
    <w:rPr>
      <w:rFonts w:ascii="Times New Roman" w:eastAsia="Times New Roman" w:hAnsi="Times New Roman" w:cs="Times New Roman"/>
      <w:b/>
      <w:bCs/>
      <w:kern w:val="0"/>
      <w:sz w:val="36"/>
      <w:szCs w:val="36"/>
    </w:rPr>
  </w:style>
  <w:style w:type="paragraph" w:customStyle="1" w:styleId="SectionTitle">
    <w:name w:val="SectionTitle"/>
    <w:basedOn w:val="Normal"/>
    <w:next w:val="Heading1"/>
    <w:uiPriority w:val="1"/>
    <w:rsid w:val="00C95E00"/>
    <w:pPr>
      <w:keepNext/>
      <w:spacing w:before="40" w:after="360" w:line="276" w:lineRule="auto"/>
      <w:jc w:val="center"/>
    </w:pPr>
    <w:rPr>
      <w:rFonts w:ascii="Times New Roman" w:eastAsia="Times New Roman" w:hAnsi="Times New Roman" w:cs="Times New Roman"/>
      <w:b/>
      <w:bCs/>
      <w:smallCaps/>
      <w:kern w:val="0"/>
      <w:sz w:val="28"/>
      <w:szCs w:val="28"/>
    </w:rPr>
  </w:style>
  <w:style w:type="paragraph" w:customStyle="1" w:styleId="TableTitle">
    <w:name w:val="Table Titl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rPr>
  </w:style>
  <w:style w:type="character" w:customStyle="1" w:styleId="Marker">
    <w:name w:val="Marker"/>
    <w:basedOn w:val="DefaultParagraphFont"/>
    <w:rsid w:val="00C95E00"/>
    <w:rPr>
      <w:color w:val="0000FF"/>
      <w:bdr w:val="none" w:sz="0" w:space="0" w:color="auto"/>
      <w:shd w:val="clear" w:color="auto" w:fill="auto"/>
    </w:rPr>
  </w:style>
  <w:style w:type="character" w:customStyle="1" w:styleId="Marker1">
    <w:name w:val="Marker1"/>
    <w:basedOn w:val="DefaultParagraphFont"/>
    <w:rsid w:val="00C95E00"/>
    <w:rPr>
      <w:color w:val="008000"/>
      <w:shd w:val="clear" w:color="auto" w:fill="auto"/>
    </w:rPr>
  </w:style>
  <w:style w:type="character" w:customStyle="1" w:styleId="Marker2">
    <w:name w:val="Marker2"/>
    <w:basedOn w:val="DefaultParagraphFont"/>
    <w:rsid w:val="00C95E00"/>
    <w:rPr>
      <w:color w:val="FF0000"/>
      <w:shd w:val="clear" w:color="auto" w:fill="auto"/>
    </w:rPr>
  </w:style>
  <w:style w:type="paragraph" w:customStyle="1" w:styleId="Point0number">
    <w:name w:val="Point 0 (numb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number">
    <w:name w:val="Point 1 (number)"/>
    <w:basedOn w:val="Normal"/>
    <w:uiPriority w:val="1"/>
    <w:rsid w:val="00C95E00"/>
    <w:pPr>
      <w:keepNext/>
      <w:numPr>
        <w:ilvl w:val="2"/>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number">
    <w:name w:val="Point 2 (number)"/>
    <w:basedOn w:val="Normal"/>
    <w:uiPriority w:val="1"/>
    <w:rsid w:val="00C95E00"/>
    <w:pPr>
      <w:keepNext/>
      <w:numPr>
        <w:ilvl w:val="4"/>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number">
    <w:name w:val="Point 3 (number)"/>
    <w:basedOn w:val="Normal"/>
    <w:uiPriority w:val="1"/>
    <w:rsid w:val="00C95E00"/>
    <w:pPr>
      <w:keepNext/>
      <w:numPr>
        <w:ilvl w:val="6"/>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0letter">
    <w:name w:val="Point 0 (lett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letter">
    <w:name w:val="Point 1 (letter)"/>
    <w:basedOn w:val="Normal"/>
    <w:uiPriority w:val="1"/>
    <w:rsid w:val="00C95E00"/>
    <w:pPr>
      <w:keepNext/>
      <w:numPr>
        <w:ilvl w:val="3"/>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letter">
    <w:name w:val="Point 2 (letter)"/>
    <w:basedOn w:val="Normal"/>
    <w:uiPriority w:val="1"/>
    <w:rsid w:val="00C95E00"/>
    <w:pPr>
      <w:keepNext/>
      <w:numPr>
        <w:ilvl w:val="5"/>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letter">
    <w:name w:val="Point 3 (letter)"/>
    <w:basedOn w:val="Normal"/>
    <w:uiPriority w:val="1"/>
    <w:rsid w:val="00C95E00"/>
    <w:pPr>
      <w:keepNext/>
      <w:numPr>
        <w:ilvl w:val="7"/>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4letter">
    <w:name w:val="Point 4 (letter)"/>
    <w:basedOn w:val="Normal"/>
    <w:uiPriority w:val="1"/>
    <w:rsid w:val="00C95E00"/>
    <w:pPr>
      <w:keepNext/>
      <w:numPr>
        <w:ilvl w:val="8"/>
        <w:numId w:val="7"/>
      </w:numPr>
      <w:tabs>
        <w:tab w:val="clear" w:pos="3118"/>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Bullet0">
    <w:name w:val="Bullet 0"/>
    <w:basedOn w:val="Normal"/>
    <w:uiPriority w:val="1"/>
    <w:rsid w:val="00C95E00"/>
    <w:pPr>
      <w:keepNext/>
      <w:numPr>
        <w:numId w:val="8"/>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Bullet1">
    <w:name w:val="Bullet 1"/>
    <w:basedOn w:val="Normal"/>
    <w:uiPriority w:val="1"/>
    <w:rsid w:val="00C95E00"/>
    <w:pPr>
      <w:keepNext/>
      <w:numPr>
        <w:numId w:val="9"/>
      </w:numPr>
      <w:tabs>
        <w:tab w:val="clear" w:pos="1417"/>
        <w:tab w:val="num" w:pos="360"/>
        <w:tab w:val="num" w:pos="1984"/>
      </w:tabs>
      <w:spacing w:before="40" w:after="0" w:line="276" w:lineRule="auto"/>
      <w:ind w:left="0" w:firstLine="0"/>
      <w:jc w:val="both"/>
    </w:pPr>
    <w:rPr>
      <w:rFonts w:ascii="Times New Roman" w:eastAsia="Times New Roman" w:hAnsi="Times New Roman" w:cs="Times New Roman"/>
      <w:kern w:val="0"/>
    </w:rPr>
  </w:style>
  <w:style w:type="paragraph" w:customStyle="1" w:styleId="Bullet2">
    <w:name w:val="Bullet 2"/>
    <w:basedOn w:val="Normal"/>
    <w:uiPriority w:val="1"/>
    <w:rsid w:val="00C95E00"/>
    <w:pPr>
      <w:keepNext/>
      <w:numPr>
        <w:numId w:val="10"/>
      </w:numPr>
      <w:tabs>
        <w:tab w:val="clear" w:pos="1984"/>
        <w:tab w:val="num" w:pos="360"/>
        <w:tab w:val="num" w:pos="2551"/>
      </w:tabs>
      <w:spacing w:before="40" w:after="0" w:line="276" w:lineRule="auto"/>
      <w:ind w:left="0" w:firstLine="0"/>
      <w:jc w:val="both"/>
    </w:pPr>
    <w:rPr>
      <w:rFonts w:ascii="Times New Roman" w:eastAsia="Times New Roman" w:hAnsi="Times New Roman" w:cs="Times New Roman"/>
      <w:kern w:val="0"/>
    </w:rPr>
  </w:style>
  <w:style w:type="paragraph" w:customStyle="1" w:styleId="Bullet3">
    <w:name w:val="Bullet 3"/>
    <w:basedOn w:val="Normal"/>
    <w:uiPriority w:val="1"/>
    <w:rsid w:val="00C95E00"/>
    <w:pPr>
      <w:keepNext/>
      <w:numPr>
        <w:numId w:val="11"/>
      </w:numPr>
      <w:tabs>
        <w:tab w:val="clear" w:pos="2551"/>
        <w:tab w:val="num" w:pos="360"/>
        <w:tab w:val="num" w:pos="3118"/>
      </w:tabs>
      <w:spacing w:before="40" w:after="0" w:line="276" w:lineRule="auto"/>
      <w:ind w:left="0" w:firstLine="0"/>
      <w:jc w:val="both"/>
    </w:pPr>
    <w:rPr>
      <w:rFonts w:ascii="Times New Roman" w:eastAsia="Times New Roman" w:hAnsi="Times New Roman" w:cs="Times New Roman"/>
      <w:kern w:val="0"/>
    </w:rPr>
  </w:style>
  <w:style w:type="paragraph" w:customStyle="1" w:styleId="Bullet4">
    <w:name w:val="Bullet 4"/>
    <w:basedOn w:val="Normal"/>
    <w:uiPriority w:val="1"/>
    <w:rsid w:val="00C95E00"/>
    <w:pPr>
      <w:keepNext/>
      <w:numPr>
        <w:numId w:val="12"/>
      </w:numPr>
      <w:tabs>
        <w:tab w:val="clear" w:pos="3118"/>
        <w:tab w:val="num" w:pos="360"/>
        <w:tab w:val="num" w:pos="709"/>
      </w:tabs>
      <w:spacing w:before="40" w:after="0" w:line="276" w:lineRule="auto"/>
      <w:ind w:left="0" w:firstLine="0"/>
      <w:jc w:val="both"/>
    </w:pPr>
    <w:rPr>
      <w:rFonts w:ascii="Times New Roman" w:eastAsia="Times New Roman" w:hAnsi="Times New Roman" w:cs="Times New Roman"/>
      <w:kern w:val="0"/>
    </w:rPr>
  </w:style>
  <w:style w:type="paragraph" w:customStyle="1" w:styleId="Langue">
    <w:name w:val="Langue"/>
    <w:basedOn w:val="Normal"/>
    <w:next w:val="Rfrenceinterne"/>
    <w:uiPriority w:val="1"/>
    <w:rsid w:val="00C95E00"/>
    <w:pPr>
      <w:keepNext/>
      <w:spacing w:after="600" w:line="276" w:lineRule="auto"/>
      <w:jc w:val="center"/>
    </w:pPr>
    <w:rPr>
      <w:rFonts w:ascii="Times New Roman" w:eastAsia="Times New Roman" w:hAnsi="Times New Roman" w:cs="Times New Roman"/>
      <w:b/>
      <w:bCs/>
      <w:caps/>
      <w:kern w:val="0"/>
    </w:rPr>
  </w:style>
  <w:style w:type="paragraph" w:customStyle="1" w:styleId="Nomdelinstitution">
    <w:name w:val="Nom de l'institution"/>
    <w:basedOn w:val="Normal"/>
    <w:next w:val="Emission"/>
    <w:uiPriority w:val="1"/>
    <w:rsid w:val="00C95E00"/>
    <w:pPr>
      <w:keepNext/>
      <w:spacing w:after="0" w:line="276" w:lineRule="auto"/>
      <w:jc w:val="both"/>
    </w:pPr>
    <w:rPr>
      <w:rFonts w:ascii="Arial" w:eastAsia="Times New Roman" w:hAnsi="Arial" w:cs="Arial"/>
      <w:kern w:val="0"/>
    </w:rPr>
  </w:style>
  <w:style w:type="paragraph" w:customStyle="1" w:styleId="Emission">
    <w:name w:val="Emission"/>
    <w:basedOn w:val="Normal"/>
    <w:next w:val="Rfrence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stitutionnelle">
    <w:name w:val="Référence institutionnell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Pagedecouverture">
    <w:name w:val="Page de couverture"/>
    <w:basedOn w:val="Normal"/>
    <w:next w:val="Normal"/>
    <w:link w:val="PagedecouvertureChar"/>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eclassification">
    <w:name w:val="Declassification"/>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isclaimer">
    <w:name w:val="Disclaimer"/>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SecurityMarking">
    <w:name w:val="SecurityMarking"/>
    <w:basedOn w:val="Normal"/>
    <w:uiPriority w:val="1"/>
    <w:rsid w:val="00C95E00"/>
    <w:pPr>
      <w:spacing w:after="0" w:line="276" w:lineRule="auto"/>
      <w:ind w:left="5103"/>
    </w:pPr>
    <w:rPr>
      <w:rFonts w:ascii="Times New Roman" w:hAnsi="Times New Roman" w:cs="Times New Roman"/>
      <w:kern w:val="0"/>
      <w:sz w:val="28"/>
      <w:szCs w:val="22"/>
    </w:rPr>
  </w:style>
  <w:style w:type="paragraph" w:customStyle="1" w:styleId="DateMarking">
    <w:name w:val="DateMarking"/>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ReleasableTo">
    <w:name w:val="ReleasableTo"/>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Annexetitreexpos">
    <w:name w:val="Annexe titre (exposé)"/>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
    <w:name w:val="Annex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fichefinancire">
    <w:name w:val="Annexe titre (fiche financiè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pplicationdirecte">
    <w:name w:val="Application directe"/>
    <w:basedOn w:val="Normal"/>
    <w:next w:val="Fait"/>
    <w:uiPriority w:val="1"/>
    <w:rsid w:val="00C95E00"/>
    <w:pPr>
      <w:keepNext/>
      <w:spacing w:before="480" w:after="0" w:line="276" w:lineRule="auto"/>
      <w:jc w:val="both"/>
    </w:pPr>
    <w:rPr>
      <w:rFonts w:ascii="Times New Roman" w:eastAsia="Times New Roman" w:hAnsi="Times New Roman" w:cs="Times New Roman"/>
      <w:kern w:val="0"/>
    </w:rPr>
  </w:style>
  <w:style w:type="paragraph" w:customStyle="1" w:styleId="Avertissementtitre">
    <w:name w:val="Avertissement titre"/>
    <w:basedOn w:val="Normal"/>
    <w:next w:val="Normal"/>
    <w:uiPriority w:val="1"/>
    <w:rsid w:val="00C95E00"/>
    <w:pPr>
      <w:keepNext/>
      <w:spacing w:before="480" w:after="0" w:line="276" w:lineRule="auto"/>
      <w:jc w:val="both"/>
    </w:pPr>
    <w:rPr>
      <w:rFonts w:ascii="Times New Roman" w:eastAsia="Times New Roman" w:hAnsi="Times New Roman" w:cs="Times New Roman"/>
      <w:kern w:val="0"/>
      <w:u w:val="single"/>
    </w:rPr>
  </w:style>
  <w:style w:type="paragraph" w:customStyle="1" w:styleId="Confidence">
    <w:name w:val="Confidenc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Confidentialit">
    <w:name w:val="Confidentialité"/>
    <w:basedOn w:val="Normal"/>
    <w:next w:val="TypedudocumentPagedecouverture"/>
    <w:uiPriority w:val="1"/>
    <w:rsid w:val="00C95E00"/>
    <w:pPr>
      <w:keepNext/>
      <w:spacing w:before="240" w:after="0" w:line="276" w:lineRule="auto"/>
      <w:ind w:left="5103"/>
      <w:jc w:val="both"/>
    </w:pPr>
    <w:rPr>
      <w:rFonts w:ascii="Times New Roman" w:eastAsia="Times New Roman" w:hAnsi="Times New Roman" w:cs="Times New Roman"/>
      <w:i/>
      <w:iCs/>
      <w:kern w:val="0"/>
      <w:sz w:val="32"/>
      <w:szCs w:val="32"/>
    </w:rPr>
  </w:style>
  <w:style w:type="paragraph" w:customStyle="1" w:styleId="Considrant">
    <w:name w:val="Considérant"/>
    <w:basedOn w:val="Normal"/>
    <w:uiPriority w:val="1"/>
    <w:rsid w:val="00C95E00"/>
    <w:pPr>
      <w:keepNext/>
      <w:numPr>
        <w:numId w:val="13"/>
      </w:numPr>
      <w:tabs>
        <w:tab w:val="clear" w:pos="709"/>
        <w:tab w:val="num" w:pos="360"/>
      </w:tabs>
      <w:spacing w:before="40" w:after="0" w:line="276" w:lineRule="auto"/>
      <w:ind w:left="0" w:firstLine="0"/>
      <w:jc w:val="both"/>
    </w:pPr>
    <w:rPr>
      <w:rFonts w:ascii="Times New Roman" w:eastAsia="Times New Roman" w:hAnsi="Times New Roman" w:cs="Times New Roman"/>
      <w:kern w:val="0"/>
    </w:rPr>
  </w:style>
  <w:style w:type="paragraph" w:customStyle="1" w:styleId="Corrigendum">
    <w:name w:val="Corrigendum"/>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atedadoption">
    <w:name w:val="Date d'adoption"/>
    <w:basedOn w:val="Normal"/>
    <w:next w:val="IntrtEEE"/>
    <w:uiPriority w:val="1"/>
    <w:rsid w:val="00C95E00"/>
    <w:pPr>
      <w:keepNext/>
      <w:spacing w:before="360" w:after="0" w:line="276" w:lineRule="auto"/>
      <w:jc w:val="center"/>
    </w:pPr>
    <w:rPr>
      <w:rFonts w:ascii="Times New Roman" w:eastAsia="Times New Roman" w:hAnsi="Times New Roman" w:cs="Times New Roman"/>
      <w:b/>
      <w:bCs/>
      <w:kern w:val="0"/>
    </w:rPr>
  </w:style>
  <w:style w:type="paragraph" w:customStyle="1" w:styleId="Exposdesmotifstitre">
    <w:name w:val="Exposé des motifs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Fait">
    <w:name w:val="Fait à"/>
    <w:basedOn w:val="Normal"/>
    <w:next w:val="Institutionquisign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Formuledadoption">
    <w:name w:val="Formule d'adoption"/>
    <w:basedOn w:val="Normal"/>
    <w:next w:val="Titrearticl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Institutionquiagit">
    <w:name w:val="Institution qui agit"/>
    <w:basedOn w:val="Normal"/>
    <w:next w:val="Normal"/>
    <w:uiPriority w:val="1"/>
    <w:rsid w:val="00C95E00"/>
    <w:pPr>
      <w:keepNext/>
      <w:spacing w:before="600" w:after="0" w:line="276" w:lineRule="auto"/>
      <w:jc w:val="both"/>
    </w:pPr>
    <w:rPr>
      <w:rFonts w:ascii="Times New Roman" w:eastAsia="Times New Roman" w:hAnsi="Times New Roman" w:cs="Times New Roman"/>
      <w:kern w:val="0"/>
    </w:rPr>
  </w:style>
  <w:style w:type="paragraph" w:customStyle="1" w:styleId="Institutionquisigne">
    <w:name w:val="Institution qui signe"/>
    <w:basedOn w:val="Normal"/>
    <w:next w:val="Personnequisigne"/>
    <w:uiPriority w:val="1"/>
    <w:rsid w:val="00C95E00"/>
    <w:pPr>
      <w:keepNext/>
      <w:tabs>
        <w:tab w:val="left" w:pos="4252"/>
      </w:tabs>
      <w:spacing w:before="720" w:after="0" w:line="276" w:lineRule="auto"/>
      <w:jc w:val="both"/>
    </w:pPr>
    <w:rPr>
      <w:rFonts w:ascii="Times New Roman" w:eastAsia="Times New Roman" w:hAnsi="Times New Roman" w:cs="Times New Roman"/>
      <w:i/>
      <w:iCs/>
      <w:kern w:val="0"/>
    </w:rPr>
  </w:style>
  <w:style w:type="paragraph" w:customStyle="1" w:styleId="ManualConsidrant">
    <w:name w:val="Manual Considérant"/>
    <w:basedOn w:val="Normal"/>
    <w:uiPriority w:val="1"/>
    <w:rsid w:val="00C95E00"/>
    <w:pPr>
      <w:keepNext/>
      <w:spacing w:before="40" w:after="0" w:line="276" w:lineRule="auto"/>
      <w:ind w:left="709" w:hanging="709"/>
      <w:jc w:val="both"/>
    </w:pPr>
    <w:rPr>
      <w:rFonts w:ascii="Times New Roman" w:eastAsia="Times New Roman" w:hAnsi="Times New Roman" w:cs="Times New Roman"/>
      <w:kern w:val="0"/>
    </w:rPr>
  </w:style>
  <w:style w:type="paragraph" w:customStyle="1" w:styleId="Personnequisigne">
    <w:name w:val="Personne qui signe"/>
    <w:basedOn w:val="Normal"/>
    <w:next w:val="Institutionquisigne"/>
    <w:uiPriority w:val="1"/>
    <w:rsid w:val="00C95E00"/>
    <w:pPr>
      <w:keepNext/>
      <w:tabs>
        <w:tab w:val="left" w:pos="4252"/>
      </w:tabs>
      <w:spacing w:after="0" w:line="276" w:lineRule="auto"/>
      <w:jc w:val="both"/>
    </w:pPr>
    <w:rPr>
      <w:rFonts w:ascii="Times New Roman" w:eastAsia="Times New Roman" w:hAnsi="Times New Roman" w:cs="Times New Roman"/>
      <w:i/>
      <w:iCs/>
      <w:kern w:val="0"/>
    </w:rPr>
  </w:style>
  <w:style w:type="paragraph" w:customStyle="1" w:styleId="Rfrenceinterinstitutionnelle">
    <w:name w:val="Référence interinstitutionnelle"/>
    <w:basedOn w:val="Normal"/>
    <w:next w:val="Statu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terne">
    <w:name w:val="Référence interne"/>
    <w:basedOn w:val="Normal"/>
    <w:next w:val="Rfrenceinter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Statut">
    <w:name w:val="Statut"/>
    <w:basedOn w:val="Normal"/>
    <w:next w:val="Typedudocument"/>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Titrearticle">
    <w:name w:val="Titre article"/>
    <w:basedOn w:val="Normal"/>
    <w:next w:val="Normal"/>
    <w:uiPriority w:val="1"/>
    <w:rsid w:val="00C95E00"/>
    <w:pPr>
      <w:keepNext/>
      <w:spacing w:before="360" w:after="0" w:line="276" w:lineRule="auto"/>
      <w:jc w:val="center"/>
    </w:pPr>
    <w:rPr>
      <w:rFonts w:ascii="Times New Roman" w:eastAsia="Times New Roman" w:hAnsi="Times New Roman" w:cs="Times New Roman"/>
      <w:i/>
      <w:iCs/>
      <w:kern w:val="0"/>
    </w:rPr>
  </w:style>
  <w:style w:type="paragraph" w:customStyle="1" w:styleId="Typedudocument">
    <w:name w:val="Type du document"/>
    <w:basedOn w:val="Normal"/>
    <w:next w:val="Accompagnant"/>
    <w:uiPriority w:val="1"/>
    <w:rsid w:val="00C95E00"/>
    <w:pPr>
      <w:keepNext/>
      <w:spacing w:before="360" w:after="180" w:line="276" w:lineRule="auto"/>
      <w:jc w:val="center"/>
    </w:pPr>
    <w:rPr>
      <w:rFonts w:ascii="Times New Roman" w:eastAsia="Times New Roman" w:hAnsi="Times New Roman" w:cs="Times New Roman"/>
      <w:b/>
      <w:bCs/>
      <w:kern w:val="0"/>
    </w:rPr>
  </w:style>
  <w:style w:type="character" w:customStyle="1" w:styleId="Added">
    <w:name w:val="Added"/>
    <w:basedOn w:val="DefaultParagraphFont"/>
    <w:rsid w:val="00C95E00"/>
    <w:rPr>
      <w:b/>
      <w:u w:val="single"/>
      <w:shd w:val="clear" w:color="auto" w:fill="auto"/>
    </w:rPr>
  </w:style>
  <w:style w:type="character" w:customStyle="1" w:styleId="Deleted">
    <w:name w:val="Deleted"/>
    <w:basedOn w:val="DefaultParagraphFont"/>
    <w:rsid w:val="00C95E00"/>
    <w:rPr>
      <w:strike/>
      <w:dstrike w:val="0"/>
      <w:shd w:val="clear" w:color="auto" w:fill="auto"/>
    </w:rPr>
  </w:style>
  <w:style w:type="paragraph" w:customStyle="1" w:styleId="Address">
    <w:name w:val="Address"/>
    <w:basedOn w:val="Normal"/>
    <w:next w:val="Normal"/>
    <w:uiPriority w:val="1"/>
    <w:rsid w:val="00C95E00"/>
    <w:pPr>
      <w:keepNext/>
      <w:keepLines/>
      <w:spacing w:before="40" w:after="0" w:line="276" w:lineRule="auto"/>
      <w:ind w:left="3402"/>
      <w:jc w:val="both"/>
    </w:pPr>
    <w:rPr>
      <w:rFonts w:ascii="Times New Roman" w:eastAsia="Times New Roman" w:hAnsi="Times New Roman" w:cs="Times New Roman"/>
      <w:kern w:val="0"/>
    </w:rPr>
  </w:style>
  <w:style w:type="paragraph" w:customStyle="1" w:styleId="Objetexterne">
    <w:name w:val="Objet externe"/>
    <w:basedOn w:val="Normal"/>
    <w:next w:val="Normal"/>
    <w:uiPriority w:val="1"/>
    <w:rsid w:val="00C95E00"/>
    <w:pPr>
      <w:keepNext/>
      <w:spacing w:before="40" w:after="0" w:line="276" w:lineRule="auto"/>
      <w:jc w:val="both"/>
    </w:pPr>
    <w:rPr>
      <w:rFonts w:ascii="Times New Roman" w:eastAsia="Times New Roman" w:hAnsi="Times New Roman" w:cs="Times New Roman"/>
      <w:i/>
      <w:iCs/>
      <w:caps/>
      <w:kern w:val="0"/>
    </w:rPr>
  </w:style>
  <w:style w:type="paragraph" w:customStyle="1" w:styleId="Supertitre">
    <w:name w:val="Supertitre"/>
    <w:basedOn w:val="Normal"/>
    <w:next w:val="Normal"/>
    <w:uiPriority w:val="1"/>
    <w:rsid w:val="00C95E00"/>
    <w:pPr>
      <w:keepNext/>
      <w:spacing w:after="600" w:line="276" w:lineRule="auto"/>
      <w:jc w:val="center"/>
    </w:pPr>
    <w:rPr>
      <w:rFonts w:ascii="Times New Roman" w:eastAsia="Times New Roman" w:hAnsi="Times New Roman" w:cs="Times New Roman"/>
      <w:b/>
      <w:bCs/>
      <w:kern w:val="0"/>
    </w:rPr>
  </w:style>
  <w:style w:type="paragraph" w:customStyle="1" w:styleId="Languesfaisantfoi">
    <w:name w:val="Langues faisant foi"/>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Rfrencecroise">
    <w:name w:val="Référence croisée"/>
    <w:basedOn w:val="Normal"/>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Fichefinanciretitre">
    <w:name w:val="Fiche financièr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DatedadoptionPagedecouverture">
    <w:name w:val="Date d'adoption (Page de couverture)"/>
    <w:basedOn w:val="Datedadoption"/>
    <w:next w:val="IntrtEEEPagedecouverture"/>
    <w:uiPriority w:val="1"/>
    <w:rsid w:val="00C95E00"/>
  </w:style>
  <w:style w:type="paragraph" w:customStyle="1" w:styleId="RfrenceinterinstitutionnellePagedecouverture">
    <w:name w:val="Référence interinstitutionnelle (Page de couverture)"/>
    <w:basedOn w:val="Rfrenceinterinstitutionnelle"/>
    <w:next w:val="Confidentialit"/>
    <w:uiPriority w:val="1"/>
    <w:rsid w:val="00C95E00"/>
  </w:style>
  <w:style w:type="paragraph" w:customStyle="1" w:styleId="StatutPagedecouverture">
    <w:name w:val="Statut (Page de couverture)"/>
    <w:basedOn w:val="Statut"/>
    <w:next w:val="TypedudocumentPagedecouverture"/>
    <w:uiPriority w:val="1"/>
    <w:rsid w:val="00C95E00"/>
  </w:style>
  <w:style w:type="paragraph" w:customStyle="1" w:styleId="TypedudocumentPagedecouverture">
    <w:name w:val="Type du document (Page de couverture)"/>
    <w:basedOn w:val="Typedudocument"/>
    <w:next w:val="AccompagnantPagedecouverture"/>
    <w:uiPriority w:val="1"/>
    <w:rsid w:val="00C95E00"/>
  </w:style>
  <w:style w:type="paragraph" w:customStyle="1" w:styleId="Volume">
    <w:name w:val="Volum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IntrtEEE">
    <w:name w:val="Intérêt EEE"/>
    <w:basedOn w:val="Languesfaisantfoi"/>
    <w:next w:val="Normal"/>
    <w:uiPriority w:val="1"/>
    <w:rsid w:val="00C95E00"/>
  </w:style>
  <w:style w:type="paragraph" w:customStyle="1" w:styleId="Accompagnant">
    <w:name w:val="Accompagnant"/>
    <w:basedOn w:val="Normal"/>
    <w:next w:val="Typeacteprincipal"/>
    <w:uiPriority w:val="1"/>
    <w:rsid w:val="00C95E00"/>
    <w:pPr>
      <w:keepNext/>
      <w:spacing w:before="180" w:after="0" w:line="276" w:lineRule="auto"/>
      <w:jc w:val="center"/>
    </w:pPr>
    <w:rPr>
      <w:rFonts w:ascii="Times New Roman" w:eastAsia="Times New Roman" w:hAnsi="Times New Roman" w:cs="Times New Roman"/>
      <w:b/>
      <w:bCs/>
      <w:kern w:val="0"/>
    </w:rPr>
  </w:style>
  <w:style w:type="paragraph" w:customStyle="1" w:styleId="Typeacteprincipal">
    <w:name w:val="Type acte principal"/>
    <w:basedOn w:val="Normal"/>
    <w:next w:val="Objetacteprincipal"/>
    <w:uiPriority w:val="1"/>
    <w:rsid w:val="00C95E00"/>
    <w:pPr>
      <w:keepNext/>
      <w:spacing w:after="0" w:line="276" w:lineRule="auto"/>
      <w:jc w:val="center"/>
    </w:pPr>
    <w:rPr>
      <w:rFonts w:ascii="Times New Roman" w:eastAsia="Times New Roman" w:hAnsi="Times New Roman" w:cs="Times New Roman"/>
      <w:b/>
      <w:bCs/>
      <w:kern w:val="0"/>
    </w:rPr>
  </w:style>
  <w:style w:type="paragraph" w:customStyle="1" w:styleId="Objetacteprincipal">
    <w:name w:val="Objet acte principal"/>
    <w:basedOn w:val="Normal"/>
    <w:next w:val="Titrearticle"/>
    <w:uiPriority w:val="1"/>
    <w:rsid w:val="00C95E00"/>
    <w:pPr>
      <w:keepNext/>
      <w:spacing w:after="360" w:line="276" w:lineRule="auto"/>
      <w:jc w:val="center"/>
    </w:pPr>
    <w:rPr>
      <w:rFonts w:ascii="Times New Roman" w:eastAsia="Times New Roman" w:hAnsi="Times New Roman" w:cs="Times New Roman"/>
      <w:b/>
      <w:bCs/>
      <w:kern w:val="0"/>
    </w:rPr>
  </w:style>
  <w:style w:type="paragraph" w:customStyle="1" w:styleId="IntrtEEEPagedecouverture">
    <w:name w:val="Intérêt EEE (Page de couverture)"/>
    <w:basedOn w:val="IntrtEEE"/>
    <w:next w:val="Rfrencecroise"/>
    <w:uiPriority w:val="1"/>
    <w:rsid w:val="00C95E00"/>
  </w:style>
  <w:style w:type="paragraph" w:customStyle="1" w:styleId="AccompagnantPagedecouverture">
    <w:name w:val="Accompagnant (Page de couverture)"/>
    <w:basedOn w:val="Accompagnant"/>
    <w:next w:val="TypeacteprincipalPagedecouverture"/>
    <w:uiPriority w:val="1"/>
    <w:rsid w:val="00C95E00"/>
  </w:style>
  <w:style w:type="paragraph" w:customStyle="1" w:styleId="TypeacteprincipalPagedecouverture">
    <w:name w:val="Type acte principal (Page de couverture)"/>
    <w:basedOn w:val="Typeacteprincipal"/>
    <w:next w:val="ObjetacteprincipalPagedecouverture"/>
    <w:uiPriority w:val="1"/>
    <w:rsid w:val="00C95E00"/>
  </w:style>
  <w:style w:type="paragraph" w:customStyle="1" w:styleId="ObjetacteprincipalPagedecouverture">
    <w:name w:val="Objet acte principal (Page de couverture)"/>
    <w:basedOn w:val="Objetacteprincipal"/>
    <w:next w:val="Rfrencecroise"/>
    <w:uiPriority w:val="1"/>
    <w:rsid w:val="00C95E00"/>
  </w:style>
  <w:style w:type="paragraph" w:customStyle="1" w:styleId="LanguesfaisantfoiPagedecouverture">
    <w:name w:val="Langues faisant foi (Page de couvertur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character" w:styleId="CommentReference">
    <w:name w:val="annotation reference"/>
    <w:basedOn w:val="DefaultParagraphFont"/>
    <w:uiPriority w:val="99"/>
    <w:unhideWhenUsed/>
    <w:rsid w:val="00C95E00"/>
    <w:rPr>
      <w:sz w:val="16"/>
      <w:szCs w:val="16"/>
    </w:rPr>
  </w:style>
  <w:style w:type="paragraph" w:customStyle="1" w:styleId="CommentText1">
    <w:name w:val="Comment Text1"/>
    <w:basedOn w:val="Normal"/>
    <w:next w:val="CommentText"/>
    <w:link w:val="CommentTextChar"/>
    <w:uiPriority w:val="99"/>
    <w:unhideWhenUsed/>
    <w:rsid w:val="00C95E00"/>
    <w:pPr>
      <w:keepNext/>
      <w:spacing w:before="40" w:after="0" w:line="276"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1"/>
    <w:uiPriority w:val="99"/>
    <w:rsid w:val="00C95E00"/>
    <w:rPr>
      <w:rFonts w:ascii="Times New Roman" w:eastAsia="Times New Roman" w:hAnsi="Times New Roman" w:cs="Times New Roman"/>
      <w:sz w:val="20"/>
      <w:szCs w:val="20"/>
    </w:rPr>
  </w:style>
  <w:style w:type="character" w:customStyle="1" w:styleId="ListParagraphChar">
    <w:name w:val="List Paragraph Char"/>
    <w:aliases w:val="2 Char,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qFormat/>
    <w:rsid w:val="00C95E00"/>
  </w:style>
  <w:style w:type="paragraph" w:customStyle="1" w:styleId="BalloonText1">
    <w:name w:val="Balloon Text1"/>
    <w:basedOn w:val="Normal"/>
    <w:next w:val="BalloonText"/>
    <w:link w:val="BalloonTextChar"/>
    <w:uiPriority w:val="99"/>
    <w:semiHidden/>
    <w:unhideWhenUsed/>
    <w:rsid w:val="00C95E00"/>
    <w:pPr>
      <w:keepNext/>
      <w:spacing w:after="0" w:line="276" w:lineRule="auto"/>
      <w:jc w:val="both"/>
    </w:pPr>
    <w:rPr>
      <w:rFonts w:ascii="Segoe UI" w:eastAsia="Times New Roman" w:hAnsi="Segoe UI" w:cs="Segoe UI"/>
      <w:sz w:val="18"/>
      <w:szCs w:val="18"/>
    </w:rPr>
  </w:style>
  <w:style w:type="character" w:customStyle="1" w:styleId="BalloonTextChar">
    <w:name w:val="Balloon Text Char"/>
    <w:basedOn w:val="DefaultParagraphFont"/>
    <w:link w:val="BalloonText1"/>
    <w:uiPriority w:val="99"/>
    <w:semiHidden/>
    <w:rsid w:val="00C95E00"/>
    <w:rPr>
      <w:rFonts w:ascii="Segoe UI" w:eastAsia="Times New Roman" w:hAnsi="Segoe UI" w:cs="Segoe UI"/>
      <w:sz w:val="18"/>
      <w:szCs w:val="18"/>
    </w:rPr>
  </w:style>
  <w:style w:type="paragraph" w:customStyle="1" w:styleId="ListBullet1">
    <w:name w:val="List Bullet1"/>
    <w:basedOn w:val="Normal"/>
    <w:next w:val="ListBullet"/>
    <w:uiPriority w:val="99"/>
    <w:semiHidden/>
    <w:unhideWhenUsed/>
    <w:rsid w:val="00C95E00"/>
    <w:pPr>
      <w:keepNext/>
      <w:numPr>
        <w:numId w:val="14"/>
      </w:numPr>
      <w:tabs>
        <w:tab w:val="clear" w:pos="360"/>
        <w:tab w:val="num" w:pos="643"/>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21">
    <w:name w:val="List Bullet 21"/>
    <w:basedOn w:val="Normal"/>
    <w:next w:val="ListBullet2"/>
    <w:uiPriority w:val="99"/>
    <w:semiHidden/>
    <w:unhideWhenUsed/>
    <w:rsid w:val="00C95E00"/>
    <w:pPr>
      <w:keepNext/>
      <w:numPr>
        <w:numId w:val="15"/>
      </w:numPr>
      <w:tabs>
        <w:tab w:val="clear" w:pos="643"/>
        <w:tab w:val="num" w:pos="360"/>
        <w:tab w:val="num" w:pos="926"/>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31">
    <w:name w:val="List Bullet 31"/>
    <w:basedOn w:val="Normal"/>
    <w:next w:val="ListBullet3"/>
    <w:uiPriority w:val="99"/>
    <w:semiHidden/>
    <w:unhideWhenUsed/>
    <w:rsid w:val="00C95E00"/>
    <w:pPr>
      <w:keepNext/>
      <w:numPr>
        <w:numId w:val="16"/>
      </w:numPr>
      <w:tabs>
        <w:tab w:val="clear" w:pos="926"/>
        <w:tab w:val="num" w:pos="360"/>
        <w:tab w:val="num" w:pos="1209"/>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41">
    <w:name w:val="List Bullet 41"/>
    <w:basedOn w:val="Normal"/>
    <w:next w:val="ListBullet4"/>
    <w:uiPriority w:val="99"/>
    <w:semiHidden/>
    <w:unhideWhenUsed/>
    <w:rsid w:val="00C95E00"/>
    <w:pPr>
      <w:keepNext/>
      <w:numPr>
        <w:numId w:val="17"/>
      </w:numPr>
      <w:tabs>
        <w:tab w:val="clear" w:pos="1209"/>
        <w:tab w:val="num" w:pos="360"/>
      </w:tabs>
      <w:spacing w:before="40" w:after="0" w:line="276" w:lineRule="auto"/>
      <w:ind w:left="0" w:firstLine="0"/>
      <w:contextualSpacing/>
      <w:jc w:val="both"/>
    </w:pPr>
    <w:rPr>
      <w:rFonts w:ascii="Times New Roman" w:eastAsia="Times New Roman" w:hAnsi="Times New Roman" w:cs="Times New Roman"/>
      <w:kern w:val="0"/>
    </w:rPr>
  </w:style>
  <w:style w:type="paragraph" w:styleId="CommentText">
    <w:name w:val="annotation text"/>
    <w:basedOn w:val="Normal"/>
    <w:link w:val="CommentTextChar1"/>
    <w:uiPriority w:val="99"/>
    <w:unhideWhenUsed/>
    <w:rsid w:val="00C95E00"/>
    <w:pPr>
      <w:spacing w:line="240" w:lineRule="auto"/>
    </w:pPr>
    <w:rPr>
      <w:sz w:val="20"/>
      <w:szCs w:val="20"/>
    </w:rPr>
  </w:style>
  <w:style w:type="character" w:customStyle="1" w:styleId="CommentTextChar1">
    <w:name w:val="Comment Text Char1"/>
    <w:basedOn w:val="DefaultParagraphFont"/>
    <w:link w:val="CommentText"/>
    <w:uiPriority w:val="99"/>
    <w:rsid w:val="00C95E00"/>
    <w:rPr>
      <w:sz w:val="20"/>
      <w:szCs w:val="20"/>
    </w:rPr>
  </w:style>
  <w:style w:type="paragraph" w:styleId="CommentSubject">
    <w:name w:val="annotation subject"/>
    <w:basedOn w:val="CommentText"/>
    <w:next w:val="CommentText"/>
    <w:link w:val="CommentSubjectChar"/>
    <w:uiPriority w:val="99"/>
    <w:semiHidden/>
    <w:unhideWhenUsed/>
    <w:rsid w:val="00C95E00"/>
    <w:pPr>
      <w:keepNext/>
      <w:spacing w:before="40" w:after="0" w:line="276" w:lineRule="auto"/>
      <w:jc w:val="both"/>
    </w:pPr>
    <w:rPr>
      <w:rFonts w:ascii="Times New Roman" w:eastAsia="Times New Roman" w:hAnsi="Times New Roman" w:cs="Times New Roman"/>
      <w:b/>
      <w:bCs/>
      <w:kern w:val="0"/>
    </w:rPr>
  </w:style>
  <w:style w:type="character" w:customStyle="1" w:styleId="CommentSubjectChar">
    <w:name w:val="Comment Subject Char"/>
    <w:basedOn w:val="CommentTextChar1"/>
    <w:link w:val="CommentSubject"/>
    <w:uiPriority w:val="99"/>
    <w:semiHidden/>
    <w:rsid w:val="00C95E00"/>
    <w:rPr>
      <w:rFonts w:ascii="Times New Roman" w:eastAsia="Times New Roman" w:hAnsi="Times New Roman" w:cs="Times New Roman"/>
      <w:b/>
      <w:bCs/>
      <w:kern w:val="0"/>
      <w:sz w:val="20"/>
      <w:szCs w:val="20"/>
    </w:rPr>
  </w:style>
  <w:style w:type="paragraph" w:styleId="Revision">
    <w:name w:val="Revision"/>
    <w:hidden/>
    <w:uiPriority w:val="99"/>
    <w:semiHidden/>
    <w:rsid w:val="00C95E00"/>
    <w:pPr>
      <w:spacing w:after="0" w:line="240" w:lineRule="auto"/>
    </w:pPr>
    <w:rPr>
      <w:rFonts w:ascii="Times New Roman" w:hAnsi="Times New Roman" w:cs="Times New Roman"/>
      <w:kern w:val="0"/>
      <w:szCs w:val="22"/>
    </w:rPr>
  </w:style>
  <w:style w:type="paragraph" w:customStyle="1" w:styleId="Default">
    <w:name w:val="Default"/>
    <w:rsid w:val="00C95E00"/>
    <w:pPr>
      <w:autoSpaceDE w:val="0"/>
      <w:autoSpaceDN w:val="0"/>
      <w:adjustRightInd w:val="0"/>
      <w:spacing w:after="0" w:line="240" w:lineRule="auto"/>
    </w:pPr>
    <w:rPr>
      <w:rFonts w:ascii="Times New Roman" w:hAnsi="Times New Roman" w:cs="Times New Roman"/>
      <w:color w:val="000000"/>
      <w:kern w:val="0"/>
    </w:rPr>
  </w:style>
  <w:style w:type="character" w:customStyle="1" w:styleId="Hyperlink1">
    <w:name w:val="Hyperlink1"/>
    <w:basedOn w:val="DefaultParagraphFont"/>
    <w:uiPriority w:val="99"/>
    <w:unhideWhenUsed/>
    <w:rsid w:val="00C95E00"/>
    <w:rPr>
      <w:color w:val="0000FF"/>
      <w:u w:val="single"/>
    </w:rPr>
  </w:style>
  <w:style w:type="paragraph" w:customStyle="1" w:styleId="paragraph">
    <w:name w:val="paragraph"/>
    <w:basedOn w:val="Normal"/>
    <w:rsid w:val="00C95E00"/>
    <w:pPr>
      <w:spacing w:beforeAutospacing="1" w:after="200" w:afterAutospacing="1" w:line="276" w:lineRule="auto"/>
      <w:ind w:left="851"/>
    </w:pPr>
    <w:rPr>
      <w:rFonts w:ascii="Times New Roman" w:eastAsia="Times New Roman" w:hAnsi="Times New Roman" w:cs="Times New Roman"/>
      <w:kern w:val="0"/>
    </w:rPr>
  </w:style>
  <w:style w:type="character" w:customStyle="1" w:styleId="normaltextrun">
    <w:name w:val="normaltextrun"/>
    <w:basedOn w:val="DefaultParagraphFont"/>
    <w:rsid w:val="00C95E00"/>
  </w:style>
  <w:style w:type="table" w:customStyle="1" w:styleId="TableGrid1">
    <w:name w:val="Table Grid1"/>
    <w:basedOn w:val="TableNormal"/>
    <w:next w:val="TableGrid"/>
    <w:uiPriority w:val="59"/>
    <w:rsid w:val="00C95E00"/>
    <w:pPr>
      <w:spacing w:after="0" w:line="240" w:lineRule="auto"/>
    </w:pPr>
    <w:rPr>
      <w:kern w:val="0"/>
      <w:sz w:val="22"/>
      <w:szCs w:val="22"/>
    </w:rPr>
    <w:tblPr/>
  </w:style>
  <w:style w:type="table" w:customStyle="1" w:styleId="GridTable1Light-Accent11">
    <w:name w:val="Grid Table 1 Light - Accent 11"/>
    <w:basedOn w:val="TableNormal"/>
    <w:uiPriority w:val="46"/>
    <w:rsid w:val="00C95E00"/>
    <w:pPr>
      <w:spacing w:after="0" w:line="240" w:lineRule="auto"/>
    </w:pPr>
    <w:rPr>
      <w:kern w:val="0"/>
      <w:sz w:val="22"/>
      <w:szCs w:val="22"/>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Bodytext2">
    <w:name w:val="Body text|2_"/>
    <w:basedOn w:val="DefaultParagraphFont"/>
    <w:link w:val="Bodytext20"/>
    <w:rsid w:val="00C95E00"/>
    <w:rPr>
      <w:rFonts w:ascii="Calibri" w:eastAsia="Calibri" w:hAnsi="Calibri" w:cs="Calibri"/>
      <w:sz w:val="21"/>
      <w:szCs w:val="21"/>
      <w:shd w:val="clear" w:color="auto" w:fill="FFFFFF"/>
    </w:rPr>
  </w:style>
  <w:style w:type="character" w:customStyle="1" w:styleId="Bodytext2Italic">
    <w:name w:val="Body text|2 + Italic"/>
    <w:basedOn w:val="Bodytext2"/>
    <w:semiHidden/>
    <w:unhideWhenUsed/>
    <w:rsid w:val="00C95E00"/>
    <w:rPr>
      <w:rFonts w:ascii="Calibri" w:eastAsia="Calibri" w:hAnsi="Calibri" w:cs="Calibri"/>
      <w:i/>
      <w:iCs/>
      <w:color w:val="000000"/>
      <w:position w:val="0"/>
      <w:sz w:val="21"/>
      <w:szCs w:val="21"/>
      <w:shd w:val="clear" w:color="auto" w:fill="FFFFFF"/>
    </w:rPr>
  </w:style>
  <w:style w:type="character" w:customStyle="1" w:styleId="Heading81">
    <w:name w:val="Heading #8|1_"/>
    <w:basedOn w:val="DefaultParagraphFont"/>
    <w:link w:val="Heading810"/>
    <w:rsid w:val="00C95E00"/>
    <w:rPr>
      <w:rFonts w:ascii="Calibri" w:eastAsia="Calibri" w:hAnsi="Calibri" w:cs="Calibri"/>
      <w:b/>
      <w:bCs/>
      <w:sz w:val="21"/>
      <w:szCs w:val="21"/>
      <w:shd w:val="clear" w:color="auto" w:fill="FFFFFF"/>
    </w:rPr>
  </w:style>
  <w:style w:type="paragraph" w:customStyle="1" w:styleId="Bodytext20">
    <w:name w:val="Body text|2"/>
    <w:basedOn w:val="Normal"/>
    <w:link w:val="Bodytext2"/>
    <w:qFormat/>
    <w:rsid w:val="00C95E00"/>
    <w:pPr>
      <w:widowControl w:val="0"/>
      <w:shd w:val="clear" w:color="auto" w:fill="FFFFFF"/>
      <w:spacing w:before="140" w:after="140" w:line="226" w:lineRule="exact"/>
      <w:ind w:hanging="640"/>
    </w:pPr>
    <w:rPr>
      <w:rFonts w:ascii="Calibri" w:eastAsia="Calibri" w:hAnsi="Calibri" w:cs="Calibri"/>
      <w:sz w:val="21"/>
      <w:szCs w:val="21"/>
    </w:rPr>
  </w:style>
  <w:style w:type="paragraph" w:customStyle="1" w:styleId="Heading810">
    <w:name w:val="Heading #8|1"/>
    <w:basedOn w:val="Normal"/>
    <w:link w:val="Heading81"/>
    <w:qFormat/>
    <w:rsid w:val="00C95E00"/>
    <w:pPr>
      <w:widowControl w:val="0"/>
      <w:shd w:val="clear" w:color="auto" w:fill="FFFFFF"/>
      <w:spacing w:before="120" w:after="0" w:line="256" w:lineRule="exact"/>
      <w:ind w:hanging="580"/>
      <w:outlineLvl w:val="7"/>
    </w:pPr>
    <w:rPr>
      <w:rFonts w:ascii="Calibri" w:eastAsia="Calibri" w:hAnsi="Calibri" w:cs="Calibri"/>
      <w:b/>
      <w:bCs/>
      <w:sz w:val="21"/>
      <w:szCs w:val="21"/>
    </w:rPr>
  </w:style>
  <w:style w:type="character" w:customStyle="1" w:styleId="eop">
    <w:name w:val="eop"/>
    <w:basedOn w:val="DefaultParagraphFont"/>
    <w:rsid w:val="00C95E00"/>
  </w:style>
  <w:style w:type="character" w:customStyle="1" w:styleId="Heading81NotBold">
    <w:name w:val="Heading #8|1 + Not Bold"/>
    <w:basedOn w:val="Heading81"/>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Bodytext2Bold">
    <w:name w:val="Body text|2 + Bold"/>
    <w:basedOn w:val="Bodytext2"/>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Tablecaption7">
    <w:name w:val="Table caption|7_"/>
    <w:basedOn w:val="DefaultParagraphFont"/>
    <w:link w:val="Tablecaption70"/>
    <w:rsid w:val="00C95E00"/>
    <w:rPr>
      <w:rFonts w:ascii="Calibri" w:eastAsia="Calibri" w:hAnsi="Calibri" w:cs="Calibri"/>
      <w:sz w:val="21"/>
      <w:szCs w:val="21"/>
      <w:shd w:val="clear" w:color="auto" w:fill="FFFFFF"/>
    </w:rPr>
  </w:style>
  <w:style w:type="character" w:customStyle="1" w:styleId="Heading71NotBold">
    <w:name w:val="Heading #7|1 + Not Bold"/>
    <w:basedOn w:val="DefaultParagraphFont"/>
    <w:semiHidden/>
    <w:unhideWhenUsed/>
    <w:rsid w:val="00C95E00"/>
    <w:rPr>
      <w:rFonts w:ascii="Calibri" w:eastAsia="Calibri" w:hAnsi="Calibri" w:cs="Calibri"/>
      <w:b/>
      <w:bCs/>
      <w:i w:val="0"/>
      <w:iCs w:val="0"/>
      <w:smallCaps w:val="0"/>
      <w:strike w:val="0"/>
      <w:color w:val="000000"/>
      <w:position w:val="0"/>
      <w:sz w:val="21"/>
      <w:szCs w:val="21"/>
      <w:u w:val="none"/>
    </w:rPr>
  </w:style>
  <w:style w:type="paragraph" w:customStyle="1" w:styleId="Tablecaption70">
    <w:name w:val="Table caption|7"/>
    <w:basedOn w:val="Normal"/>
    <w:link w:val="Tablecaption7"/>
    <w:rsid w:val="00C95E00"/>
    <w:pPr>
      <w:widowControl w:val="0"/>
      <w:shd w:val="clear" w:color="auto" w:fill="FFFFFF"/>
      <w:spacing w:after="0" w:line="256" w:lineRule="exact"/>
    </w:pPr>
    <w:rPr>
      <w:rFonts w:ascii="Calibri" w:eastAsia="Calibri" w:hAnsi="Calibri" w:cs="Calibri"/>
      <w:sz w:val="21"/>
      <w:szCs w:val="21"/>
    </w:rPr>
  </w:style>
  <w:style w:type="paragraph" w:customStyle="1" w:styleId="LegalNumPar">
    <w:name w:val="LegalNumPar"/>
    <w:basedOn w:val="Normal"/>
    <w:uiPriority w:val="1"/>
    <w:rsid w:val="00C95E00"/>
    <w:pPr>
      <w:keepNext/>
      <w:spacing w:before="40" w:after="0" w:line="276" w:lineRule="auto"/>
      <w:ind w:left="476" w:hanging="476"/>
      <w:jc w:val="both"/>
    </w:pPr>
    <w:rPr>
      <w:rFonts w:ascii="Times New Roman" w:eastAsia="Times New Roman" w:hAnsi="Times New Roman" w:cs="Times New Roman"/>
      <w:kern w:val="0"/>
    </w:rPr>
  </w:style>
  <w:style w:type="paragraph" w:customStyle="1" w:styleId="LegalNumPar2">
    <w:name w:val="LegalNumPar2"/>
    <w:basedOn w:val="Normal"/>
    <w:uiPriority w:val="1"/>
    <w:rsid w:val="00C95E00"/>
    <w:pPr>
      <w:keepNext/>
      <w:spacing w:before="40" w:after="0" w:line="276" w:lineRule="auto"/>
      <w:ind w:left="953" w:hanging="477"/>
      <w:jc w:val="both"/>
    </w:pPr>
    <w:rPr>
      <w:rFonts w:ascii="Times New Roman" w:eastAsia="Times New Roman" w:hAnsi="Times New Roman" w:cs="Times New Roman"/>
      <w:kern w:val="0"/>
    </w:rPr>
  </w:style>
  <w:style w:type="paragraph" w:customStyle="1" w:styleId="LegalNumPar3">
    <w:name w:val="LegalNumPar3"/>
    <w:basedOn w:val="Normal"/>
    <w:uiPriority w:val="1"/>
    <w:rsid w:val="00C95E00"/>
    <w:pPr>
      <w:keepNext/>
      <w:spacing w:before="40" w:after="0" w:line="276" w:lineRule="auto"/>
      <w:ind w:left="1429" w:hanging="476"/>
      <w:jc w:val="both"/>
    </w:pPr>
    <w:rPr>
      <w:rFonts w:ascii="Times New Roman" w:eastAsia="Times New Roman" w:hAnsi="Times New Roman" w:cs="Times New Roman"/>
      <w:kern w:val="0"/>
    </w:rPr>
  </w:style>
  <w:style w:type="paragraph" w:styleId="NormalWeb">
    <w:name w:val="Normal (Web)"/>
    <w:basedOn w:val="Normal"/>
    <w:uiPriority w:val="99"/>
    <w:semiHidden/>
    <w:unhideWhenUsed/>
    <w:rsid w:val="00C95E00"/>
    <w:pPr>
      <w:spacing w:beforeAutospacing="1" w:after="200" w:afterAutospacing="1" w:line="276" w:lineRule="auto"/>
    </w:pPr>
    <w:rPr>
      <w:rFonts w:ascii="Times New Roman" w:eastAsia="Times New Roman" w:hAnsi="Times New Roman" w:cs="Times New Roman"/>
      <w:kern w:val="0"/>
    </w:rPr>
  </w:style>
  <w:style w:type="character" w:styleId="Strong">
    <w:name w:val="Strong"/>
    <w:basedOn w:val="DefaultParagraphFont"/>
    <w:uiPriority w:val="22"/>
    <w:qFormat/>
    <w:rsid w:val="00C95E00"/>
    <w:rPr>
      <w:b/>
      <w:bCs/>
    </w:rPr>
  </w:style>
  <w:style w:type="character" w:customStyle="1" w:styleId="h5">
    <w:name w:val="h5"/>
    <w:basedOn w:val="DefaultParagraphFont"/>
    <w:rsid w:val="00C95E00"/>
  </w:style>
  <w:style w:type="character" w:customStyle="1" w:styleId="viiyi">
    <w:name w:val="viiyi"/>
    <w:basedOn w:val="DefaultParagraphFont"/>
    <w:rsid w:val="00C95E00"/>
  </w:style>
  <w:style w:type="character" w:customStyle="1" w:styleId="jlqj4b">
    <w:name w:val="jlqj4b"/>
    <w:basedOn w:val="DefaultParagraphFont"/>
    <w:rsid w:val="00C95E00"/>
  </w:style>
  <w:style w:type="paragraph" w:customStyle="1" w:styleId="oj-doc-ti">
    <w:name w:val="oj-doc-ti"/>
    <w:basedOn w:val="Normal"/>
    <w:uiPriority w:val="1"/>
    <w:rsid w:val="00C95E00"/>
    <w:pPr>
      <w:spacing w:beforeAutospacing="1" w:after="200" w:afterAutospacing="1" w:line="276" w:lineRule="auto"/>
    </w:pPr>
    <w:rPr>
      <w:rFonts w:ascii="Times New Roman" w:eastAsia="Times New Roman" w:hAnsi="Times New Roman" w:cs="Times New Roman"/>
      <w:kern w:val="0"/>
    </w:rPr>
  </w:style>
  <w:style w:type="character" w:customStyle="1" w:styleId="acopre">
    <w:name w:val="acopre"/>
    <w:basedOn w:val="DefaultParagraphFont"/>
    <w:rsid w:val="00C95E00"/>
  </w:style>
  <w:style w:type="character" w:customStyle="1" w:styleId="FollowedHyperlink1">
    <w:name w:val="FollowedHyperlink1"/>
    <w:basedOn w:val="DefaultParagraphFont"/>
    <w:uiPriority w:val="99"/>
    <w:semiHidden/>
    <w:unhideWhenUsed/>
    <w:rsid w:val="00C95E00"/>
    <w:rPr>
      <w:color w:val="800080"/>
      <w:u w:val="single"/>
    </w:rPr>
  </w:style>
  <w:style w:type="character" w:styleId="PlaceholderText">
    <w:name w:val="Placeholder Text"/>
    <w:basedOn w:val="DefaultParagraphFont"/>
    <w:uiPriority w:val="99"/>
    <w:semiHidden/>
    <w:rsid w:val="00C95E00"/>
    <w:rPr>
      <w:color w:val="808080"/>
    </w:rPr>
  </w:style>
  <w:style w:type="paragraph" w:customStyle="1" w:styleId="FooterCoverPage">
    <w:name w:val="Footer Cover Page"/>
    <w:basedOn w:val="Normal"/>
    <w:link w:val="FooterCoverPageChar"/>
    <w:uiPriority w:val="1"/>
    <w:rsid w:val="00C95E00"/>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C95E00"/>
    <w:rPr>
      <w:rFonts w:ascii="Times New Roman" w:hAnsi="Times New Roman" w:cs="Times New Roman"/>
    </w:rPr>
  </w:style>
  <w:style w:type="paragraph" w:customStyle="1" w:styleId="HeaderCoverPage">
    <w:name w:val="Header Cover Page"/>
    <w:basedOn w:val="Normal"/>
    <w:link w:val="HeaderCoverPageChar"/>
    <w:uiPriority w:val="1"/>
    <w:rsid w:val="00C95E00"/>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C95E00"/>
    <w:rPr>
      <w:rFonts w:ascii="Times New Roman" w:hAnsi="Times New Roman" w:cs="Times New Roman"/>
    </w:rPr>
  </w:style>
  <w:style w:type="paragraph" w:styleId="NoSpacing">
    <w:name w:val="No Spacing"/>
    <w:uiPriority w:val="1"/>
    <w:qFormat/>
    <w:rsid w:val="00C95E00"/>
    <w:pPr>
      <w:spacing w:after="0" w:line="240" w:lineRule="auto"/>
    </w:pPr>
    <w:rPr>
      <w:kern w:val="0"/>
      <w:sz w:val="22"/>
      <w:szCs w:val="22"/>
    </w:rPr>
  </w:style>
  <w:style w:type="paragraph" w:customStyle="1" w:styleId="TechnicalBlock">
    <w:name w:val="Technical Block"/>
    <w:basedOn w:val="Pagedecouverture"/>
    <w:link w:val="TechnicalBlockChar"/>
    <w:uiPriority w:val="1"/>
    <w:rsid w:val="00C95E00"/>
    <w:pPr>
      <w:spacing w:after="240"/>
      <w:jc w:val="center"/>
    </w:pPr>
  </w:style>
  <w:style w:type="character" w:customStyle="1" w:styleId="PagedecouvertureChar">
    <w:name w:val="Page de couverture Char"/>
    <w:basedOn w:val="DefaultParagraphFont"/>
    <w:link w:val="Pagedecouverture"/>
    <w:uiPriority w:val="1"/>
    <w:rsid w:val="00C95E00"/>
    <w:rPr>
      <w:rFonts w:ascii="Times New Roman" w:eastAsia="Times New Roman" w:hAnsi="Times New Roman" w:cs="Times New Roman"/>
      <w:kern w:val="0"/>
    </w:rPr>
  </w:style>
  <w:style w:type="character" w:customStyle="1" w:styleId="TechnicalBlockChar">
    <w:name w:val="Technical Block Char"/>
    <w:basedOn w:val="PagedecouvertureChar"/>
    <w:link w:val="TechnicalBlock"/>
    <w:uiPriority w:val="1"/>
    <w:rsid w:val="00C95E00"/>
    <w:rPr>
      <w:rFonts w:ascii="Times New Roman" w:eastAsia="Times New Roman" w:hAnsi="Times New Roman" w:cs="Times New Roman"/>
      <w:kern w:val="0"/>
    </w:rPr>
  </w:style>
  <w:style w:type="paragraph" w:customStyle="1" w:styleId="EntText">
    <w:name w:val="EntText"/>
    <w:basedOn w:val="Normal"/>
    <w:rsid w:val="00C95E00"/>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C95E00"/>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nbbordered">
    <w:name w:val="nb bordered"/>
    <w:basedOn w:val="Normal"/>
    <w:link w:val="nbborderedChar"/>
    <w:uiPriority w:val="1"/>
    <w:rsid w:val="00C95E00"/>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imes New Roman" w:hAnsi="Times New Roman" w:cs="Times New Roman"/>
      <w:b/>
      <w:kern w:val="0"/>
    </w:rPr>
  </w:style>
  <w:style w:type="character" w:customStyle="1" w:styleId="nbborderedChar">
    <w:name w:val="nb bordered Char"/>
    <w:basedOn w:val="PagedecouvertureChar"/>
    <w:link w:val="nbbordered"/>
    <w:uiPriority w:val="1"/>
    <w:rsid w:val="00C95E00"/>
    <w:rPr>
      <w:rFonts w:ascii="Times New Roman" w:eastAsia="Times New Roman" w:hAnsi="Times New Roman" w:cs="Times New Roman"/>
      <w:b/>
      <w:kern w:val="0"/>
    </w:rPr>
  </w:style>
  <w:style w:type="paragraph" w:customStyle="1" w:styleId="HeaderCouncil">
    <w:name w:val="Header Council"/>
    <w:basedOn w:val="Normal"/>
    <w:link w:val="HeaderCouncilChar"/>
    <w:rsid w:val="00C95E00"/>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C95E00"/>
    <w:rPr>
      <w:rFonts w:ascii="Times New Roman" w:hAnsi="Times New Roman"/>
      <w:kern w:val="0"/>
      <w:sz w:val="2"/>
      <w:szCs w:val="22"/>
    </w:rPr>
  </w:style>
  <w:style w:type="paragraph" w:customStyle="1" w:styleId="HeaderCouncilLarge">
    <w:name w:val="Header Council Large"/>
    <w:basedOn w:val="Normal"/>
    <w:link w:val="HeaderCouncilLargeChar"/>
    <w:rsid w:val="00C95E00"/>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C95E00"/>
    <w:rPr>
      <w:rFonts w:ascii="Times New Roman" w:hAnsi="Times New Roman"/>
      <w:kern w:val="0"/>
      <w:sz w:val="2"/>
      <w:szCs w:val="22"/>
    </w:rPr>
  </w:style>
  <w:style w:type="paragraph" w:customStyle="1" w:styleId="FooterCouncil">
    <w:name w:val="Footer Council"/>
    <w:basedOn w:val="Normal"/>
    <w:link w:val="FooterCouncilChar"/>
    <w:rsid w:val="00C95E00"/>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C95E00"/>
    <w:rPr>
      <w:rFonts w:ascii="Times New Roman" w:hAnsi="Times New Roman"/>
      <w:kern w:val="0"/>
      <w:sz w:val="2"/>
      <w:szCs w:val="22"/>
    </w:rPr>
  </w:style>
  <w:style w:type="paragraph" w:customStyle="1" w:styleId="FooterText">
    <w:name w:val="Footer Text"/>
    <w:basedOn w:val="Normal"/>
    <w:rsid w:val="00C95E00"/>
    <w:pPr>
      <w:spacing w:after="0" w:line="240" w:lineRule="auto"/>
    </w:pPr>
    <w:rPr>
      <w:rFonts w:ascii="Times New Roman" w:eastAsia="Times New Roman" w:hAnsi="Times New Roman" w:cs="Times New Roman"/>
      <w:kern w:val="0"/>
    </w:rPr>
  </w:style>
  <w:style w:type="character" w:customStyle="1" w:styleId="Bodytext1">
    <w:name w:val="Body text|1_"/>
    <w:basedOn w:val="DefaultParagraphFont"/>
    <w:link w:val="Bodytext10"/>
    <w:rsid w:val="00C95E00"/>
    <w:rPr>
      <w:rFonts w:ascii="Arial" w:eastAsia="Arial" w:hAnsi="Arial" w:cs="Arial"/>
      <w:sz w:val="20"/>
    </w:rPr>
  </w:style>
  <w:style w:type="paragraph" w:customStyle="1" w:styleId="Bodytext10">
    <w:name w:val="Body text|1"/>
    <w:basedOn w:val="Normal"/>
    <w:link w:val="Bodytext1"/>
    <w:rsid w:val="00C95E00"/>
    <w:pPr>
      <w:widowControl w:val="0"/>
      <w:spacing w:after="260" w:line="276" w:lineRule="auto"/>
    </w:pPr>
    <w:rPr>
      <w:rFonts w:ascii="Arial" w:eastAsia="Arial" w:hAnsi="Arial" w:cs="Arial"/>
      <w:sz w:val="20"/>
    </w:rPr>
  </w:style>
  <w:style w:type="character" w:customStyle="1" w:styleId="Other1">
    <w:name w:val="Other|1_"/>
    <w:basedOn w:val="DefaultParagraphFont"/>
    <w:link w:val="Other10"/>
    <w:rsid w:val="00C95E00"/>
    <w:rPr>
      <w:rFonts w:ascii="Arial" w:eastAsia="Arial" w:hAnsi="Arial" w:cs="Arial"/>
      <w:sz w:val="20"/>
    </w:rPr>
  </w:style>
  <w:style w:type="paragraph" w:customStyle="1" w:styleId="Other10">
    <w:name w:val="Other|1"/>
    <w:basedOn w:val="Normal"/>
    <w:link w:val="Other1"/>
    <w:rsid w:val="00C95E00"/>
    <w:pPr>
      <w:widowControl w:val="0"/>
      <w:spacing w:after="0" w:line="276" w:lineRule="auto"/>
    </w:pPr>
    <w:rPr>
      <w:rFonts w:ascii="Arial" w:eastAsia="Arial" w:hAnsi="Arial" w:cs="Arial"/>
      <w:sz w:val="20"/>
    </w:rPr>
  </w:style>
  <w:style w:type="character" w:customStyle="1" w:styleId="Mention1">
    <w:name w:val="Mention1"/>
    <w:basedOn w:val="DefaultParagraphFont"/>
    <w:uiPriority w:val="99"/>
    <w:unhideWhenUsed/>
    <w:rsid w:val="00C95E00"/>
    <w:rPr>
      <w:color w:val="2B579A"/>
      <w:shd w:val="clear" w:color="auto" w:fill="E6E6E6"/>
    </w:rPr>
  </w:style>
  <w:style w:type="character" w:customStyle="1" w:styleId="UnresolvedMention1">
    <w:name w:val="Unresolved Mention1"/>
    <w:basedOn w:val="DefaultParagraphFont"/>
    <w:uiPriority w:val="99"/>
    <w:unhideWhenUsed/>
    <w:rsid w:val="00C95E00"/>
    <w:rPr>
      <w:color w:val="605E5C"/>
      <w:shd w:val="clear" w:color="auto" w:fill="E1DFDD"/>
    </w:rPr>
  </w:style>
  <w:style w:type="character" w:customStyle="1" w:styleId="UnresolvedMention2">
    <w:name w:val="Unresolved Mention2"/>
    <w:basedOn w:val="DefaultParagraphFont"/>
    <w:uiPriority w:val="99"/>
    <w:unhideWhenUsed/>
    <w:rsid w:val="00C95E00"/>
    <w:rPr>
      <w:color w:val="605E5C"/>
      <w:shd w:val="clear" w:color="auto" w:fill="E1DFDD"/>
    </w:rPr>
  </w:style>
  <w:style w:type="character" w:customStyle="1" w:styleId="Mention2">
    <w:name w:val="Mention2"/>
    <w:basedOn w:val="DefaultParagraphFont"/>
    <w:uiPriority w:val="99"/>
    <w:unhideWhenUsed/>
    <w:rsid w:val="00C95E00"/>
    <w:rPr>
      <w:color w:val="2B579A"/>
      <w:shd w:val="clear" w:color="auto" w:fill="E1DFDD"/>
    </w:rPr>
  </w:style>
  <w:style w:type="paragraph" w:styleId="EndnoteText">
    <w:name w:val="endnote text"/>
    <w:basedOn w:val="Normal"/>
    <w:link w:val="EndnoteTextChar"/>
    <w:uiPriority w:val="99"/>
    <w:semiHidden/>
    <w:unhideWhenUsed/>
    <w:rsid w:val="00C95E00"/>
    <w:pPr>
      <w:spacing w:after="0" w:line="276" w:lineRule="auto"/>
    </w:pPr>
    <w:rPr>
      <w:kern w:val="0"/>
      <w:sz w:val="20"/>
      <w:szCs w:val="20"/>
    </w:rPr>
  </w:style>
  <w:style w:type="character" w:customStyle="1" w:styleId="EndnoteTextChar">
    <w:name w:val="Endnote Text Char"/>
    <w:basedOn w:val="DefaultParagraphFont"/>
    <w:link w:val="EndnoteText"/>
    <w:uiPriority w:val="99"/>
    <w:semiHidden/>
    <w:rsid w:val="00C95E00"/>
    <w:rPr>
      <w:kern w:val="0"/>
      <w:sz w:val="20"/>
      <w:szCs w:val="20"/>
    </w:rPr>
  </w:style>
  <w:style w:type="character" w:customStyle="1" w:styleId="findhit">
    <w:name w:val="findhit"/>
    <w:basedOn w:val="DefaultParagraphFont"/>
    <w:rsid w:val="00C95E00"/>
  </w:style>
  <w:style w:type="character" w:customStyle="1" w:styleId="Mention3">
    <w:name w:val="Mention3"/>
    <w:basedOn w:val="DefaultParagraphFont"/>
    <w:uiPriority w:val="99"/>
    <w:unhideWhenUsed/>
    <w:rsid w:val="00C95E00"/>
    <w:rPr>
      <w:color w:val="2B579A"/>
      <w:shd w:val="clear" w:color="auto" w:fill="E6E6E6"/>
    </w:rPr>
  </w:style>
  <w:style w:type="character" w:customStyle="1" w:styleId="UnresolvedMention3">
    <w:name w:val="Unresolved Mention3"/>
    <w:basedOn w:val="DefaultParagraphFont"/>
    <w:uiPriority w:val="99"/>
    <w:unhideWhenUsed/>
    <w:rsid w:val="00C95E00"/>
    <w:rPr>
      <w:color w:val="605E5C"/>
      <w:shd w:val="clear" w:color="auto" w:fill="E1DFDD"/>
    </w:rPr>
  </w:style>
  <w:style w:type="character" w:customStyle="1" w:styleId="UnresolvedMention4">
    <w:name w:val="Unresolved Mention4"/>
    <w:basedOn w:val="DefaultParagraphFont"/>
    <w:uiPriority w:val="99"/>
    <w:unhideWhenUsed/>
    <w:rsid w:val="00C95E00"/>
    <w:rPr>
      <w:color w:val="605E5C"/>
      <w:shd w:val="clear" w:color="auto" w:fill="E1DFDD"/>
    </w:rPr>
  </w:style>
  <w:style w:type="character" w:customStyle="1" w:styleId="Mention4">
    <w:name w:val="Mention4"/>
    <w:basedOn w:val="DefaultParagraphFont"/>
    <w:uiPriority w:val="99"/>
    <w:unhideWhenUsed/>
    <w:rsid w:val="00C95E00"/>
    <w:rPr>
      <w:color w:val="2B579A"/>
      <w:shd w:val="clear" w:color="auto" w:fill="E1DFDD"/>
    </w:rPr>
  </w:style>
  <w:style w:type="paragraph" w:customStyle="1" w:styleId="commentcontentpara">
    <w:name w:val="commentcontentpara"/>
    <w:basedOn w:val="Normal"/>
    <w:rsid w:val="00C95E00"/>
    <w:pPr>
      <w:spacing w:before="100" w:beforeAutospacing="1" w:after="100" w:afterAutospacing="1" w:line="240" w:lineRule="auto"/>
    </w:pPr>
    <w:rPr>
      <w:rFonts w:ascii="Times New Roman" w:eastAsia="Times New Roman" w:hAnsi="Times New Roman" w:cs="Times New Roman"/>
      <w:kern w:val="0"/>
    </w:rPr>
  </w:style>
  <w:style w:type="character" w:customStyle="1" w:styleId="Bodytext3">
    <w:name w:val="Body text|3_"/>
    <w:basedOn w:val="DefaultParagraphFont"/>
    <w:link w:val="Bodytext30"/>
    <w:rsid w:val="00C95E00"/>
    <w:rPr>
      <w:rFonts w:ascii="@MS Mincho" w:eastAsia="@MS Mincho" w:hAnsi="@MS Mincho" w:cs="@MS Mincho"/>
      <w:sz w:val="20"/>
    </w:rPr>
  </w:style>
  <w:style w:type="paragraph" w:customStyle="1" w:styleId="Bodytext30">
    <w:name w:val="Body text|3"/>
    <w:basedOn w:val="Normal"/>
    <w:link w:val="Bodytext3"/>
    <w:rsid w:val="00C95E00"/>
    <w:pPr>
      <w:widowControl w:val="0"/>
      <w:spacing w:after="140" w:line="293" w:lineRule="auto"/>
    </w:pPr>
    <w:rPr>
      <w:rFonts w:ascii="@MS Mincho" w:eastAsia="@MS Mincho" w:hAnsi="@MS Mincho" w:cs="@MS Mincho"/>
      <w:sz w:val="20"/>
    </w:rPr>
  </w:style>
  <w:style w:type="character" w:customStyle="1" w:styleId="Mention5">
    <w:name w:val="Mention5"/>
    <w:basedOn w:val="DefaultParagraphFont"/>
    <w:uiPriority w:val="99"/>
    <w:unhideWhenUsed/>
    <w:rsid w:val="00C95E00"/>
    <w:rPr>
      <w:color w:val="2B579A"/>
      <w:shd w:val="clear" w:color="auto" w:fill="E1DFDD"/>
    </w:rPr>
  </w:style>
  <w:style w:type="character" w:customStyle="1" w:styleId="UnresolvedMention5">
    <w:name w:val="Unresolved Mention5"/>
    <w:basedOn w:val="DefaultParagraphFont"/>
    <w:uiPriority w:val="99"/>
    <w:unhideWhenUsed/>
    <w:rsid w:val="00C95E00"/>
    <w:rPr>
      <w:color w:val="605E5C"/>
      <w:shd w:val="clear" w:color="auto" w:fill="E1DFDD"/>
    </w:rPr>
  </w:style>
  <w:style w:type="character" w:customStyle="1" w:styleId="Mention6">
    <w:name w:val="Mention6"/>
    <w:basedOn w:val="DefaultParagraphFont"/>
    <w:uiPriority w:val="99"/>
    <w:unhideWhenUsed/>
    <w:rsid w:val="00C95E00"/>
    <w:rPr>
      <w:color w:val="2B579A"/>
      <w:shd w:val="clear" w:color="auto" w:fill="E1DFDD"/>
    </w:rPr>
  </w:style>
  <w:style w:type="character" w:customStyle="1" w:styleId="Mention7">
    <w:name w:val="Mention7"/>
    <w:basedOn w:val="DefaultParagraphFont"/>
    <w:uiPriority w:val="99"/>
    <w:unhideWhenUsed/>
    <w:rsid w:val="00C95E00"/>
    <w:rPr>
      <w:color w:val="2B579A"/>
      <w:shd w:val="clear" w:color="auto" w:fill="E6E6E6"/>
    </w:rPr>
  </w:style>
  <w:style w:type="character" w:customStyle="1" w:styleId="Mention8">
    <w:name w:val="Mention8"/>
    <w:basedOn w:val="DefaultParagraphFont"/>
    <w:uiPriority w:val="99"/>
    <w:unhideWhenUsed/>
    <w:rsid w:val="00C95E00"/>
    <w:rPr>
      <w:color w:val="2B579A"/>
      <w:shd w:val="clear" w:color="auto" w:fill="E1DFDD"/>
    </w:rPr>
  </w:style>
  <w:style w:type="paragraph" w:customStyle="1" w:styleId="NumPar5">
    <w:name w:val="NumPar 5"/>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6">
    <w:name w:val="NumPar 6"/>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7">
    <w:name w:val="NumPar 7"/>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character" w:customStyle="1" w:styleId="Mention80">
    <w:name w:val="Mention80"/>
    <w:basedOn w:val="DefaultParagraphFont"/>
    <w:uiPriority w:val="99"/>
    <w:unhideWhenUsed/>
    <w:rsid w:val="00C95E00"/>
    <w:rPr>
      <w:color w:val="2B579A"/>
      <w:shd w:val="clear" w:color="auto" w:fill="E1DFDD"/>
    </w:rPr>
  </w:style>
  <w:style w:type="character" w:customStyle="1" w:styleId="Mention9">
    <w:name w:val="Mention9"/>
    <w:basedOn w:val="DefaultParagraphFont"/>
    <w:uiPriority w:val="99"/>
    <w:unhideWhenUsed/>
    <w:rsid w:val="00C95E00"/>
    <w:rPr>
      <w:color w:val="2B579A"/>
      <w:shd w:val="clear" w:color="auto" w:fill="E1DFDD"/>
    </w:rPr>
  </w:style>
  <w:style w:type="character" w:customStyle="1" w:styleId="Mention10">
    <w:name w:val="Mention10"/>
    <w:basedOn w:val="DefaultParagraphFont"/>
    <w:uiPriority w:val="99"/>
    <w:unhideWhenUsed/>
    <w:rsid w:val="00C95E00"/>
    <w:rPr>
      <w:color w:val="2B579A"/>
      <w:shd w:val="clear" w:color="auto" w:fill="E1DFDD"/>
    </w:rPr>
  </w:style>
  <w:style w:type="character" w:customStyle="1" w:styleId="Mention11">
    <w:name w:val="Mention11"/>
    <w:basedOn w:val="DefaultParagraphFont"/>
    <w:uiPriority w:val="99"/>
    <w:unhideWhenUsed/>
    <w:rsid w:val="00C95E00"/>
    <w:rPr>
      <w:color w:val="2B579A"/>
      <w:shd w:val="clear" w:color="auto" w:fill="E1DFDD"/>
    </w:rPr>
  </w:style>
  <w:style w:type="character" w:customStyle="1" w:styleId="Mention110">
    <w:name w:val="Mention110"/>
    <w:basedOn w:val="DefaultParagraphFont"/>
    <w:uiPriority w:val="99"/>
    <w:unhideWhenUsed/>
    <w:rsid w:val="00C95E00"/>
    <w:rPr>
      <w:color w:val="2B579A"/>
      <w:shd w:val="clear" w:color="auto" w:fill="E1DFDD"/>
    </w:rPr>
  </w:style>
  <w:style w:type="character" w:customStyle="1" w:styleId="UnresolvedMention6">
    <w:name w:val="Unresolved Mention6"/>
    <w:basedOn w:val="DefaultParagraphFont"/>
    <w:uiPriority w:val="99"/>
    <w:semiHidden/>
    <w:unhideWhenUsed/>
    <w:rsid w:val="00C95E00"/>
    <w:rPr>
      <w:color w:val="605E5C"/>
      <w:shd w:val="clear" w:color="auto" w:fill="E1DFDD"/>
    </w:rPr>
  </w:style>
  <w:style w:type="character" w:customStyle="1" w:styleId="Mention13">
    <w:name w:val="Mention13"/>
    <w:basedOn w:val="DefaultParagraphFont"/>
    <w:uiPriority w:val="99"/>
    <w:unhideWhenUsed/>
    <w:rsid w:val="00C95E00"/>
    <w:rPr>
      <w:color w:val="2B579A"/>
      <w:shd w:val="clear" w:color="auto" w:fill="E1DFDD"/>
    </w:rPr>
  </w:style>
  <w:style w:type="character" w:customStyle="1" w:styleId="Mention12">
    <w:name w:val="Mention12"/>
    <w:basedOn w:val="DefaultParagraphFont"/>
    <w:uiPriority w:val="99"/>
    <w:unhideWhenUsed/>
    <w:rsid w:val="00C95E00"/>
    <w:rPr>
      <w:color w:val="2B579A"/>
      <w:shd w:val="clear" w:color="auto" w:fill="E1DFDD"/>
    </w:rPr>
  </w:style>
  <w:style w:type="character" w:customStyle="1" w:styleId="Mention14">
    <w:name w:val="Mention14"/>
    <w:basedOn w:val="DefaultParagraphFont"/>
    <w:uiPriority w:val="99"/>
    <w:unhideWhenUsed/>
    <w:rsid w:val="00C95E00"/>
    <w:rPr>
      <w:color w:val="2B579A"/>
      <w:shd w:val="clear" w:color="auto" w:fill="E1DFDD"/>
    </w:rPr>
  </w:style>
  <w:style w:type="character" w:customStyle="1" w:styleId="Mention15">
    <w:name w:val="Mention15"/>
    <w:basedOn w:val="DefaultParagraphFont"/>
    <w:uiPriority w:val="99"/>
    <w:unhideWhenUsed/>
    <w:rsid w:val="00C95E00"/>
    <w:rPr>
      <w:color w:val="2B579A"/>
      <w:shd w:val="clear" w:color="auto" w:fill="E1DFDD"/>
    </w:rPr>
  </w:style>
  <w:style w:type="character" w:customStyle="1" w:styleId="UnresolvedMention7">
    <w:name w:val="Unresolved Mention7"/>
    <w:basedOn w:val="DefaultParagraphFont"/>
    <w:uiPriority w:val="99"/>
    <w:semiHidden/>
    <w:unhideWhenUsed/>
    <w:rsid w:val="00C95E00"/>
    <w:rPr>
      <w:color w:val="605E5C"/>
      <w:shd w:val="clear" w:color="auto" w:fill="E1DFDD"/>
    </w:rPr>
  </w:style>
  <w:style w:type="character" w:customStyle="1" w:styleId="Mention16">
    <w:name w:val="Mention16"/>
    <w:basedOn w:val="DefaultParagraphFont"/>
    <w:uiPriority w:val="99"/>
    <w:unhideWhenUsed/>
    <w:rsid w:val="00C95E00"/>
    <w:rPr>
      <w:color w:val="2B579A"/>
      <w:shd w:val="clear" w:color="auto" w:fill="E1DFDD"/>
    </w:rPr>
  </w:style>
  <w:style w:type="paragraph" w:styleId="Header">
    <w:name w:val="header"/>
    <w:basedOn w:val="Normal"/>
    <w:link w:val="HeaderChar1"/>
    <w:uiPriority w:val="99"/>
    <w:unhideWhenUsed/>
    <w:rsid w:val="00C95E00"/>
    <w:pPr>
      <w:tabs>
        <w:tab w:val="center" w:pos="4513"/>
        <w:tab w:val="right" w:pos="9026"/>
      </w:tabs>
      <w:spacing w:after="0" w:line="240" w:lineRule="auto"/>
    </w:pPr>
    <w:rPr>
      <w:sz w:val="22"/>
      <w:szCs w:val="22"/>
    </w:rPr>
  </w:style>
  <w:style w:type="character" w:customStyle="1" w:styleId="HeaderChar1">
    <w:name w:val="Header Char1"/>
    <w:basedOn w:val="DefaultParagraphFont"/>
    <w:link w:val="Header"/>
    <w:uiPriority w:val="99"/>
    <w:rsid w:val="00C95E00"/>
    <w:rPr>
      <w:sz w:val="22"/>
      <w:szCs w:val="22"/>
    </w:rPr>
  </w:style>
  <w:style w:type="paragraph" w:styleId="Footer">
    <w:name w:val="footer"/>
    <w:basedOn w:val="Normal"/>
    <w:link w:val="FooterChar1"/>
    <w:uiPriority w:val="99"/>
    <w:unhideWhenUsed/>
    <w:rsid w:val="00C95E00"/>
    <w:pPr>
      <w:tabs>
        <w:tab w:val="center" w:pos="4513"/>
        <w:tab w:val="right" w:pos="9026"/>
      </w:tabs>
      <w:spacing w:after="0" w:line="240" w:lineRule="auto"/>
    </w:pPr>
    <w:rPr>
      <w:sz w:val="22"/>
      <w:szCs w:val="22"/>
    </w:rPr>
  </w:style>
  <w:style w:type="character" w:customStyle="1" w:styleId="FooterChar1">
    <w:name w:val="Footer Char1"/>
    <w:basedOn w:val="DefaultParagraphFont"/>
    <w:link w:val="Footer"/>
    <w:uiPriority w:val="99"/>
    <w:rsid w:val="00C95E00"/>
    <w:rPr>
      <w:sz w:val="22"/>
      <w:szCs w:val="22"/>
    </w:rPr>
  </w:style>
  <w:style w:type="paragraph" w:styleId="FootnoteText">
    <w:name w:val="footnote text"/>
    <w:basedOn w:val="Normal"/>
    <w:link w:val="FootnoteTextChar1"/>
    <w:uiPriority w:val="99"/>
    <w:unhideWhenUsed/>
    <w:rsid w:val="00C95E00"/>
    <w:pPr>
      <w:spacing w:after="0" w:line="240" w:lineRule="auto"/>
    </w:pPr>
    <w:rPr>
      <w:sz w:val="20"/>
      <w:szCs w:val="20"/>
    </w:rPr>
  </w:style>
  <w:style w:type="character" w:customStyle="1" w:styleId="FootnoteTextChar1">
    <w:name w:val="Footnote Text Char1"/>
    <w:basedOn w:val="DefaultParagraphFont"/>
    <w:link w:val="FootnoteText"/>
    <w:uiPriority w:val="99"/>
    <w:rsid w:val="00C95E00"/>
    <w:rPr>
      <w:sz w:val="20"/>
      <w:szCs w:val="20"/>
    </w:rPr>
  </w:style>
  <w:style w:type="paragraph" w:styleId="BalloonText">
    <w:name w:val="Balloon Text"/>
    <w:basedOn w:val="Normal"/>
    <w:link w:val="BalloonTextChar1"/>
    <w:uiPriority w:val="99"/>
    <w:semiHidden/>
    <w:unhideWhenUsed/>
    <w:rsid w:val="00C95E00"/>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C95E00"/>
    <w:rPr>
      <w:rFonts w:ascii="Segoe UI" w:hAnsi="Segoe UI" w:cs="Segoe UI"/>
      <w:sz w:val="18"/>
      <w:szCs w:val="18"/>
    </w:rPr>
  </w:style>
  <w:style w:type="paragraph" w:styleId="ListBullet">
    <w:name w:val="List Bullet"/>
    <w:basedOn w:val="Normal"/>
    <w:uiPriority w:val="99"/>
    <w:semiHidden/>
    <w:unhideWhenUsed/>
    <w:rsid w:val="00C95E00"/>
    <w:pPr>
      <w:tabs>
        <w:tab w:val="num" w:pos="850"/>
      </w:tabs>
      <w:spacing w:line="259" w:lineRule="auto"/>
      <w:ind w:left="850" w:hanging="850"/>
      <w:contextualSpacing/>
    </w:pPr>
    <w:rPr>
      <w:sz w:val="22"/>
      <w:szCs w:val="22"/>
    </w:rPr>
  </w:style>
  <w:style w:type="paragraph" w:styleId="ListBullet2">
    <w:name w:val="List Bullet 2"/>
    <w:basedOn w:val="Normal"/>
    <w:uiPriority w:val="99"/>
    <w:semiHidden/>
    <w:unhideWhenUsed/>
    <w:rsid w:val="00C95E00"/>
    <w:pPr>
      <w:tabs>
        <w:tab w:val="num" w:pos="1417"/>
      </w:tabs>
      <w:spacing w:line="259" w:lineRule="auto"/>
      <w:ind w:left="1417" w:hanging="567"/>
      <w:contextualSpacing/>
    </w:pPr>
    <w:rPr>
      <w:sz w:val="22"/>
      <w:szCs w:val="22"/>
    </w:rPr>
  </w:style>
  <w:style w:type="paragraph" w:styleId="ListBullet3">
    <w:name w:val="List Bullet 3"/>
    <w:basedOn w:val="Normal"/>
    <w:uiPriority w:val="99"/>
    <w:semiHidden/>
    <w:unhideWhenUsed/>
    <w:rsid w:val="00C95E00"/>
    <w:pPr>
      <w:tabs>
        <w:tab w:val="num" w:pos="1984"/>
      </w:tabs>
      <w:spacing w:line="259" w:lineRule="auto"/>
      <w:ind w:left="1984" w:hanging="567"/>
      <w:contextualSpacing/>
    </w:pPr>
    <w:rPr>
      <w:sz w:val="22"/>
      <w:szCs w:val="22"/>
    </w:rPr>
  </w:style>
  <w:style w:type="paragraph" w:styleId="ListBullet4">
    <w:name w:val="List Bullet 4"/>
    <w:basedOn w:val="Normal"/>
    <w:uiPriority w:val="99"/>
    <w:semiHidden/>
    <w:unhideWhenUsed/>
    <w:rsid w:val="00C95E00"/>
    <w:pPr>
      <w:tabs>
        <w:tab w:val="num" w:pos="2551"/>
      </w:tabs>
      <w:spacing w:line="259" w:lineRule="auto"/>
      <w:ind w:left="2551" w:hanging="567"/>
      <w:contextualSpacing/>
    </w:pPr>
    <w:rPr>
      <w:sz w:val="22"/>
      <w:szCs w:val="22"/>
    </w:rPr>
  </w:style>
  <w:style w:type="character" w:styleId="Hyperlink">
    <w:name w:val="Hyperlink"/>
    <w:basedOn w:val="DefaultParagraphFont"/>
    <w:uiPriority w:val="99"/>
    <w:unhideWhenUsed/>
    <w:rsid w:val="00C95E00"/>
    <w:rPr>
      <w:color w:val="467886" w:themeColor="hyperlink"/>
      <w:u w:val="single"/>
    </w:rPr>
  </w:style>
  <w:style w:type="table" w:styleId="TableGrid">
    <w:name w:val="Table Grid"/>
    <w:basedOn w:val="TableNormal"/>
    <w:uiPriority w:val="39"/>
    <w:rsid w:val="00C95E00"/>
    <w:pPr>
      <w:spacing w:after="0" w:line="240" w:lineRule="auto"/>
    </w:pPr>
    <w:rPr>
      <w:sz w:val="22"/>
      <w:szCs w:val="22"/>
    </w:rPr>
    <w:tblPr/>
  </w:style>
  <w:style w:type="character" w:styleId="FollowedHyperlink">
    <w:name w:val="FollowedHyperlink"/>
    <w:basedOn w:val="DefaultParagraphFont"/>
    <w:uiPriority w:val="99"/>
    <w:semiHidden/>
    <w:unhideWhenUsed/>
    <w:rsid w:val="00C95E00"/>
    <w:rPr>
      <w:color w:val="96607D" w:themeColor="followedHyperlink"/>
      <w:u w:val="single"/>
    </w:rPr>
  </w:style>
  <w:style w:type="character" w:customStyle="1" w:styleId="Mention17">
    <w:name w:val="Mention17"/>
    <w:basedOn w:val="DefaultParagraphFont"/>
    <w:uiPriority w:val="99"/>
    <w:unhideWhenUsed/>
    <w:rsid w:val="00C95E00"/>
    <w:rPr>
      <w:color w:val="2B579A"/>
      <w:shd w:val="clear" w:color="auto" w:fill="E1DFDD"/>
    </w:rPr>
  </w:style>
  <w:style w:type="paragraph" w:styleId="TOCHeading">
    <w:name w:val="TOC Heading"/>
    <w:basedOn w:val="Normal"/>
    <w:next w:val="Normal"/>
    <w:uiPriority w:val="39"/>
    <w:unhideWhenUsed/>
    <w:qFormat/>
    <w:rsid w:val="00C95E00"/>
    <w:pPr>
      <w:keepNext/>
      <w:spacing w:before="40" w:after="0" w:line="276" w:lineRule="auto"/>
      <w:jc w:val="center"/>
    </w:pPr>
    <w:rPr>
      <w:rFonts w:ascii="Times New Roman" w:eastAsiaTheme="minorEastAsia" w:hAnsi="Times New Roman" w:cs="Times New Roman"/>
      <w:b/>
      <w:bCs/>
      <w:kern w:val="0"/>
      <w:sz w:val="28"/>
      <w:szCs w:val="28"/>
    </w:rPr>
  </w:style>
  <w:style w:type="paragraph" w:styleId="TOC1">
    <w:name w:val="toc 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2">
    <w:name w:val="toc 2"/>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3">
    <w:name w:val="toc 3"/>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4">
    <w:name w:val="toc 4"/>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5">
    <w:name w:val="toc 5"/>
    <w:basedOn w:val="Normal"/>
    <w:next w:val="Normal"/>
    <w:uiPriority w:val="39"/>
    <w:unhideWhenUsed/>
    <w:rsid w:val="00C95E00"/>
    <w:pPr>
      <w:keepNext/>
      <w:tabs>
        <w:tab w:val="right" w:leader="dot" w:pos="9071"/>
      </w:tabs>
      <w:spacing w:before="300" w:after="0" w:line="276" w:lineRule="auto"/>
      <w:jc w:val="both"/>
    </w:pPr>
    <w:rPr>
      <w:rFonts w:ascii="Times New Roman" w:eastAsiaTheme="minorEastAsia" w:hAnsi="Times New Roman" w:cs="Times New Roman"/>
      <w:kern w:val="0"/>
    </w:rPr>
  </w:style>
  <w:style w:type="paragraph" w:styleId="TOC6">
    <w:name w:val="toc 6"/>
    <w:basedOn w:val="Normal"/>
    <w:next w:val="Normal"/>
    <w:uiPriority w:val="39"/>
    <w:unhideWhenUsed/>
    <w:rsid w:val="00C95E00"/>
    <w:pPr>
      <w:keepNext/>
      <w:tabs>
        <w:tab w:val="right" w:leader="dot" w:pos="9071"/>
      </w:tabs>
      <w:spacing w:before="240" w:after="0" w:line="276" w:lineRule="auto"/>
      <w:jc w:val="both"/>
    </w:pPr>
    <w:rPr>
      <w:rFonts w:ascii="Times New Roman" w:eastAsiaTheme="minorEastAsia" w:hAnsi="Times New Roman" w:cs="Times New Roman"/>
      <w:kern w:val="0"/>
    </w:rPr>
  </w:style>
  <w:style w:type="paragraph" w:styleId="TOC7">
    <w:name w:val="toc 7"/>
    <w:basedOn w:val="Normal"/>
    <w:next w:val="Normal"/>
    <w:uiPriority w:val="39"/>
    <w:unhideWhenUsed/>
    <w:rsid w:val="00C95E00"/>
    <w:pPr>
      <w:keepNext/>
      <w:tabs>
        <w:tab w:val="right" w:leader="dot" w:pos="9071"/>
      </w:tabs>
      <w:spacing w:before="180" w:after="0" w:line="276" w:lineRule="auto"/>
      <w:jc w:val="both"/>
    </w:pPr>
    <w:rPr>
      <w:rFonts w:ascii="Times New Roman" w:eastAsiaTheme="minorEastAsia" w:hAnsi="Times New Roman" w:cs="Times New Roman"/>
      <w:kern w:val="0"/>
    </w:rPr>
  </w:style>
  <w:style w:type="paragraph" w:styleId="TOC8">
    <w:name w:val="toc 8"/>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paragraph" w:styleId="TOC9">
    <w:name w:val="toc 9"/>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character" w:customStyle="1" w:styleId="Mention">
    <w:name w:val="Mention"/>
    <w:basedOn w:val="DefaultParagraphFont"/>
    <w:uiPriority w:val="99"/>
    <w:unhideWhenUsed/>
    <w:rsid w:val="00892DAD"/>
    <w:rPr>
      <w:color w:val="2B579A"/>
      <w:shd w:val="clear" w:color="auto" w:fill="E1DFDD"/>
    </w:rPr>
  </w:style>
  <w:style w:type="character" w:customStyle="1" w:styleId="UnresolvedMention">
    <w:name w:val="Unresolved Mention"/>
    <w:basedOn w:val="DefaultParagraphFont"/>
    <w:uiPriority w:val="99"/>
    <w:semiHidden/>
    <w:unhideWhenUsed/>
    <w:rsid w:val="00E97F0D"/>
    <w:rPr>
      <w:color w:val="605E5C"/>
      <w:shd w:val="clear" w:color="auto" w:fill="E1DFDD"/>
    </w:rPr>
  </w:style>
  <w:style w:type="character" w:customStyle="1" w:styleId="Bodytext2Arial95ptBold">
    <w:name w:val="Body text|2 + Arial.9.5 pt.Bold"/>
    <w:basedOn w:val="Bodytext2"/>
    <w:semiHidden/>
    <w:unhideWhenUsed/>
    <w:rsid w:val="007E268C"/>
    <w:rPr>
      <w:rFonts w:ascii="Arial" w:eastAsia="Arial" w:hAnsi="Arial" w:cs="Arial"/>
      <w:b/>
      <w:bCs/>
      <w:i w:val="0"/>
      <w:iCs w:val="0"/>
      <w:smallCaps w:val="0"/>
      <w:strike w:val="0"/>
      <w:color w:val="000000"/>
      <w:position w:val="0"/>
      <w:sz w:val="19"/>
      <w:szCs w:val="19"/>
      <w:u w:val="none"/>
      <w:shd w:val="clear" w:color="auto" w:fill="FFFFFF"/>
    </w:rPr>
  </w:style>
  <w:style w:type="paragraph" w:customStyle="1" w:styleId="P68B1DB1-Normal1">
    <w:name w:val="P68B1DB1-Normal1"/>
    <w:basedOn w:val="Normal"/>
    <w:rPr>
      <w:rFonts w:ascii="Times New Roman" w:eastAsia="Calibri" w:hAnsi="Times New Roman" w:cs="Times New Roman"/>
      <w:b/>
      <w:kern w:val="0"/>
      <w:u w:val="single"/>
      <w14:ligatures w14:val="none"/>
    </w:rPr>
  </w:style>
  <w:style w:type="paragraph" w:customStyle="1" w:styleId="P68B1DB1-Normal2">
    <w:name w:val="P68B1DB1-Normal2"/>
    <w:basedOn w:val="Normal"/>
    <w:rPr>
      <w:rFonts w:ascii="Times New Roman" w:eastAsia="Calibri" w:hAnsi="Times New Roman" w:cs="Times New Roman"/>
      <w:b/>
      <w:smallCaps/>
      <w:kern w:val="0"/>
      <w14:ligatures w14:val="none"/>
    </w:rPr>
  </w:style>
  <w:style w:type="paragraph" w:customStyle="1" w:styleId="P68B1DB1-Normal3">
    <w:name w:val="P68B1DB1-Normal3"/>
    <w:basedOn w:val="Normal"/>
    <w:rPr>
      <w:rFonts w:ascii="Times New Roman" w:eastAsia="Calibri" w:hAnsi="Times New Roman" w:cs="Times New Roman"/>
    </w:rPr>
  </w:style>
  <w:style w:type="paragraph" w:customStyle="1" w:styleId="P68B1DB1-Normal4">
    <w:name w:val="P68B1DB1-Normal4"/>
    <w:basedOn w:val="Normal"/>
    <w:rPr>
      <w:rFonts w:ascii="Times New Roman" w:eastAsia="Calibri" w:hAnsi="Times New Roman" w:cs="Times New Roman"/>
      <w:kern w:val="0"/>
      <w14:ligatures w14:val="none"/>
    </w:rPr>
  </w:style>
  <w:style w:type="paragraph" w:customStyle="1" w:styleId="P68B1DB1-Normal5">
    <w:name w:val="P68B1DB1-Normal5"/>
    <w:basedOn w:val="Normal"/>
    <w:rPr>
      <w:rFonts w:ascii="Times New Roman" w:eastAsia="Calibri" w:hAnsi="Times New Roman" w:cs="Times New Roman"/>
      <w:kern w:val="0"/>
      <w:u w:val="single"/>
      <w14:ligatures w14:val="none"/>
    </w:rPr>
  </w:style>
  <w:style w:type="paragraph" w:customStyle="1" w:styleId="P68B1DB1-Normal6">
    <w:name w:val="P68B1DB1-Normal6"/>
    <w:basedOn w:val="Normal"/>
    <w:rPr>
      <w:rFonts w:ascii="Calibri" w:eastAsia="Calibri" w:hAnsi="Calibri" w:cs="Times New Roman"/>
      <w:kern w:val="0"/>
      <w14:ligatures w14:val="none"/>
    </w:rPr>
  </w:style>
  <w:style w:type="paragraph" w:customStyle="1" w:styleId="P68B1DB1-Normal7">
    <w:name w:val="P68B1DB1-Normal7"/>
    <w:basedOn w:val="Normal"/>
    <w:rPr>
      <w:rFonts w:ascii="Times New Roman" w:eastAsia="Times New Roman" w:hAnsi="Times New Roman" w:cs="Times New Roman"/>
      <w:kern w:val="0"/>
      <w:u w:val="single"/>
      <w14:ligatures w14:val="none"/>
    </w:rPr>
  </w:style>
  <w:style w:type="paragraph" w:customStyle="1" w:styleId="P68B1DB1-Normal8">
    <w:name w:val="P68B1DB1-Normal8"/>
    <w:basedOn w:val="Normal"/>
    <w:rPr>
      <w:rFonts w:ascii="Times New Roman" w:eastAsia="Times New Roman" w:hAnsi="Times New Roman" w:cs="Times New Roman"/>
    </w:rPr>
  </w:style>
  <w:style w:type="paragraph" w:customStyle="1" w:styleId="P68B1DB1-Normal9">
    <w:name w:val="P68B1DB1-Normal9"/>
    <w:basedOn w:val="Normal"/>
    <w:rPr>
      <w:rFonts w:ascii="Times New Roman" w:eastAsia="Calibri" w:hAnsi="Times New Roman" w:cs="Times New Roman"/>
      <w:b/>
      <w:kern w:val="0"/>
      <w:sz w:val="18"/>
      <w:szCs w:val="18"/>
      <w14:ligatures w14:val="none"/>
    </w:rPr>
  </w:style>
  <w:style w:type="paragraph" w:customStyle="1" w:styleId="P68B1DB1-Normal10">
    <w:name w:val="P68B1DB1-Normal10"/>
    <w:basedOn w:val="Normal"/>
    <w:rPr>
      <w:rFonts w:ascii="Times New Roman" w:eastAsia="Calibri" w:hAnsi="Times New Roman" w:cs="Times New Roman"/>
      <w:b/>
      <w:kern w:val="0"/>
      <w:sz w:val="16"/>
      <w:szCs w:val="16"/>
      <w14:ligatures w14:val="none"/>
    </w:rPr>
  </w:style>
  <w:style w:type="paragraph" w:customStyle="1" w:styleId="P68B1DB1-Normal11">
    <w:name w:val="P68B1DB1-Normal11"/>
    <w:basedOn w:val="Normal"/>
    <w:rPr>
      <w:rFonts w:ascii="Times New Roman" w:eastAsia="Calibri" w:hAnsi="Times New Roman" w:cs="Times New Roman"/>
      <w:kern w:val="0"/>
      <w:sz w:val="16"/>
      <w:szCs w:val="16"/>
      <w14:ligatures w14:val="none"/>
    </w:rPr>
  </w:style>
  <w:style w:type="paragraph" w:customStyle="1" w:styleId="P68B1DB1-Normal12">
    <w:name w:val="P68B1DB1-Normal12"/>
    <w:basedOn w:val="Normal"/>
    <w:rPr>
      <w:rFonts w:ascii="Times New Roman" w:eastAsia="Times New Roman" w:hAnsi="Times New Roman" w:cs="Times New Roman"/>
      <w:kern w:val="0"/>
      <w:sz w:val="16"/>
      <w:szCs w:val="16"/>
      <w14:ligatures w14:val="none"/>
    </w:rPr>
  </w:style>
  <w:style w:type="paragraph" w:customStyle="1" w:styleId="P68B1DB1-Normal13">
    <w:name w:val="P68B1DB1-Normal13"/>
    <w:basedOn w:val="Normal"/>
    <w:rPr>
      <w:rFonts w:ascii="Times New Roman" w:eastAsia="Calibri" w:hAnsi="Times New Roman" w:cs="Times New Roman"/>
      <w:sz w:val="16"/>
      <w:szCs w:val="16"/>
    </w:rPr>
  </w:style>
  <w:style w:type="paragraph" w:customStyle="1" w:styleId="P68B1DB1-Normal14">
    <w:name w:val="P68B1DB1-Normal14"/>
    <w:basedOn w:val="Normal"/>
    <w:rPr>
      <w:rFonts w:ascii="Times New Roman" w:eastAsia="Calibri" w:hAnsi="Times New Roman" w:cs="Times New Roman"/>
      <w:kern w:val="0"/>
      <w:sz w:val="16"/>
      <w:szCs w:val="16"/>
      <w:shd w:val="clear" w:color="auto" w:fill="E6E6E6"/>
      <w14:ligatures w14:val="none"/>
    </w:rPr>
  </w:style>
  <w:style w:type="paragraph" w:customStyle="1" w:styleId="P68B1DB1-Normal15">
    <w:name w:val="P68B1DB1-Normal15"/>
    <w:basedOn w:val="Normal"/>
    <w:rPr>
      <w:rFonts w:ascii="Times New Roman" w:eastAsia="Times New Roman" w:hAnsi="Times New Roman" w:cs="Times New Roman"/>
      <w:sz w:val="16"/>
      <w:szCs w:val="16"/>
    </w:rPr>
  </w:style>
  <w:style w:type="paragraph" w:customStyle="1" w:styleId="P68B1DB1-Normal16">
    <w:name w:val="P68B1DB1-Normal16"/>
    <w:basedOn w:val="Normal"/>
    <w:rPr>
      <w:rFonts w:ascii="Times New Roman" w:eastAsia="Arial" w:hAnsi="Times New Roman" w:cs="Times New Roman"/>
      <w:kern w:val="0"/>
      <w:sz w:val="16"/>
      <w:szCs w:val="16"/>
      <w14:ligatures w14:val="none"/>
    </w:rPr>
  </w:style>
  <w:style w:type="paragraph" w:customStyle="1" w:styleId="P68B1DB1-Normal17">
    <w:name w:val="P68B1DB1-Normal17"/>
    <w:basedOn w:val="Normal"/>
    <w:rPr>
      <w:rFonts w:ascii="Times New Roman" w:eastAsia="Calibri" w:hAnsi="Times New Roman" w:cs="Times New Roman"/>
      <w:b/>
      <w:sz w:val="16"/>
      <w:szCs w:val="16"/>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Calibri" w:hAnsi="Times New Roman" w:cs="Times New Roman"/>
      <w:b/>
      <w:kern w:val="0"/>
      <w:sz w:val="18"/>
      <w14:ligatures w14:val="none"/>
    </w:rPr>
  </w:style>
  <w:style w:type="paragraph" w:customStyle="1" w:styleId="P68B1DB1-Normal20">
    <w:name w:val="P68B1DB1-Normal20"/>
    <w:basedOn w:val="Normal"/>
    <w:rPr>
      <w:rFonts w:ascii="Times New Roman" w:eastAsia="Times New Roman" w:hAnsi="Times New Roman" w:cs="Times New Roman"/>
      <w:b/>
      <w:kern w:val="0"/>
      <w:sz w:val="16"/>
      <w:szCs w:val="16"/>
      <w14:ligatures w14:val="none"/>
    </w:rPr>
  </w:style>
  <w:style w:type="paragraph" w:customStyle="1" w:styleId="P68B1DB1-Normal21">
    <w:name w:val="P68B1DB1-Normal21"/>
    <w:basedOn w:val="Normal"/>
    <w:rPr>
      <w:rFonts w:ascii="Times New Roman" w:hAnsi="Times New Roman"/>
      <w:u w:val="single"/>
    </w:rPr>
  </w:style>
  <w:style w:type="paragraph" w:customStyle="1" w:styleId="P68B1DB1-Normal22">
    <w:name w:val="P68B1DB1-Normal22"/>
    <w:basedOn w:val="Normal"/>
    <w:rPr>
      <w:rFonts w:ascii="Times New Roman" w:hAnsi="Times New Roman"/>
    </w:rPr>
  </w:style>
  <w:style w:type="paragraph" w:customStyle="1" w:styleId="P68B1DB1-Normal23">
    <w:name w:val="P68B1DB1-Normal23"/>
    <w:basedOn w:val="Normal"/>
    <w:rPr>
      <w:rFonts w:ascii="Times New Roman" w:eastAsiaTheme="minorEastAsia" w:hAnsi="Times New Roman" w:cs="Times New Roman"/>
    </w:rPr>
  </w:style>
  <w:style w:type="paragraph" w:customStyle="1" w:styleId="P68B1DB1-Normal24">
    <w:name w:val="P68B1DB1-Normal24"/>
    <w:basedOn w:val="Normal"/>
    <w:rPr>
      <w:rFonts w:ascii="Times New Roman" w:hAnsi="Times New Roman" w:cs="Times New Roman"/>
      <w:b/>
      <w:sz w:val="18"/>
      <w:szCs w:val="18"/>
    </w:rPr>
  </w:style>
  <w:style w:type="paragraph" w:customStyle="1" w:styleId="P68B1DB1-Normal25">
    <w:name w:val="P68B1DB1-Normal25"/>
    <w:basedOn w:val="Normal"/>
    <w:rPr>
      <w:rFonts w:ascii="Times New Roman" w:hAnsi="Times New Roman" w:cs="Times New Roman"/>
      <w:b/>
      <w:sz w:val="16"/>
      <w:szCs w:val="16"/>
    </w:rPr>
  </w:style>
  <w:style w:type="paragraph" w:customStyle="1" w:styleId="P68B1DB1-Normal26">
    <w:name w:val="P68B1DB1-Normal26"/>
    <w:basedOn w:val="Normal"/>
    <w:rPr>
      <w:rFonts w:ascii="Times New Roman" w:hAnsi="Times New Roman" w:cs="Times New Roman"/>
      <w:sz w:val="16"/>
      <w:szCs w:val="16"/>
    </w:rPr>
  </w:style>
  <w:style w:type="paragraph" w:customStyle="1" w:styleId="P68B1DB1-Normal27">
    <w:name w:val="P68B1DB1-Normal27"/>
    <w:basedOn w:val="Normal"/>
    <w:rPr>
      <w:sz w:val="16"/>
      <w:szCs w:val="16"/>
    </w:rPr>
  </w:style>
  <w:style w:type="paragraph" w:customStyle="1" w:styleId="P68B1DB1-Normal28">
    <w:name w:val="P68B1DB1-Normal28"/>
    <w:basedOn w:val="Normal"/>
    <w:rPr>
      <w:kern w:val="0"/>
      <w14:ligatures w14:val="none"/>
    </w:rPr>
  </w:style>
  <w:style w:type="paragraph" w:customStyle="1" w:styleId="P68B1DB1-Normal29">
    <w:name w:val="P68B1DB1-Normal29"/>
    <w:basedOn w:val="Normal"/>
    <w:rPr>
      <w:rFonts w:ascii="Times New Roman" w:hAnsi="Times New Roman" w:cs="Times New Roman"/>
      <w:kern w:val="0"/>
      <w14:ligatures w14:val="none"/>
    </w:rPr>
  </w:style>
  <w:style w:type="paragraph" w:customStyle="1" w:styleId="P68B1DB1-Normal30">
    <w:name w:val="P68B1DB1-Normal30"/>
    <w:basedOn w:val="Normal"/>
    <w:rPr>
      <w:rFonts w:ascii="Times New Roman" w:hAnsi="Times New Roman" w:cs="Times New Roman"/>
      <w:kern w:val="0"/>
      <w:sz w:val="16"/>
      <w:szCs w:val="16"/>
      <w14:ligatures w14:val="none"/>
    </w:rPr>
  </w:style>
  <w:style w:type="paragraph" w:customStyle="1" w:styleId="P68B1DB1-Normal31">
    <w:name w:val="P68B1DB1-Normal31"/>
    <w:basedOn w:val="Normal"/>
    <w:rPr>
      <w:rFonts w:ascii="Times New Roman" w:eastAsia="Calibri" w:hAnsi="Times New Roman" w:cs="Times New Roman"/>
      <w:kern w:val="0"/>
      <w:sz w:val="18"/>
      <w:szCs w:val="18"/>
      <w14:ligatures w14:val="none"/>
    </w:rPr>
  </w:style>
  <w:style w:type="paragraph" w:customStyle="1" w:styleId="P68B1DB1-Normal32">
    <w:name w:val="P68B1DB1-Normal32"/>
    <w:basedOn w:val="Normal"/>
    <w:rPr>
      <w:rFonts w:ascii="Times New Roman" w:eastAsia="Calibri" w:hAnsi="Times New Roman" w:cs="Times New Roman"/>
      <w:color w:val="000000" w:themeColor="text1"/>
      <w:sz w:val="16"/>
      <w:szCs w:val="16"/>
    </w:rPr>
  </w:style>
  <w:style w:type="paragraph" w:customStyle="1" w:styleId="P68B1DB1-ListParagraph33">
    <w:name w:val="P68B1DB1-ListParagraph33"/>
    <w:basedOn w:val="ListParagraph"/>
    <w:rPr>
      <w:rFonts w:ascii="Times New Roman" w:hAnsi="Times New Roman" w:cs="Times New Roman"/>
    </w:rPr>
  </w:style>
  <w:style w:type="paragraph" w:customStyle="1" w:styleId="P68B1DB1-Normal34">
    <w:name w:val="P68B1DB1-Normal34"/>
    <w:basedOn w:val="Normal"/>
    <w:rPr>
      <w:rFonts w:ascii="Times New Roman" w:hAnsi="Times New Roman" w:cs="Times New Roman"/>
    </w:rPr>
  </w:style>
  <w:style w:type="paragraph" w:customStyle="1" w:styleId="P68B1DB1-ListParagraph35">
    <w:name w:val="P68B1DB1-ListParagraph35"/>
    <w:basedOn w:val="ListParagraph"/>
    <w:rPr>
      <w:rFonts w:ascii="Times New Roman" w:hAnsi="Times New Roman" w:cs="Times New Roman"/>
      <w:sz w:val="16"/>
      <w:szCs w:val="16"/>
    </w:rPr>
  </w:style>
  <w:style w:type="paragraph" w:customStyle="1" w:styleId="P68B1DB1-Bodytext1036">
    <w:name w:val="P68B1DB1-Bodytext1036"/>
    <w:basedOn w:val="Bodytext10"/>
    <w:rPr>
      <w:rFonts w:ascii="Times New Roman" w:hAnsi="Times New Roman" w:cs="Times New Roman"/>
      <w:sz w:val="16"/>
      <w:szCs w:val="16"/>
    </w:rPr>
  </w:style>
  <w:style w:type="paragraph" w:customStyle="1" w:styleId="P68B1DB1-Bodytext1037">
    <w:name w:val="P68B1DB1-Bodytext1037"/>
    <w:basedOn w:val="Bodytext10"/>
    <w:rPr>
      <w:sz w:val="16"/>
      <w:szCs w:val="16"/>
    </w:rPr>
  </w:style>
  <w:style w:type="paragraph" w:customStyle="1" w:styleId="P68B1DB1-Normal38">
    <w:name w:val="P68B1DB1-Normal38"/>
    <w:basedOn w:val="Normal"/>
    <w:rPr>
      <w:rFonts w:ascii="Times New Roman" w:hAnsi="Times New Roman" w:cs="Times New Roman"/>
      <w:sz w:val="18"/>
      <w:szCs w:val="18"/>
    </w:rPr>
  </w:style>
  <w:style w:type="paragraph" w:customStyle="1" w:styleId="P68B1DB1-Normal39">
    <w:name w:val="P68B1DB1-Normal39"/>
    <w:basedOn w:val="Normal"/>
    <w:rPr>
      <w:rFonts w:ascii="Times New Roman" w:eastAsia="Arial" w:hAnsi="Times New Roman" w:cs="Times New Roman"/>
      <w:sz w:val="16"/>
      <w:szCs w:val="16"/>
    </w:rPr>
  </w:style>
  <w:style w:type="paragraph" w:customStyle="1" w:styleId="P68B1DB1-Normal40">
    <w:name w:val="P68B1DB1-Normal40"/>
    <w:basedOn w:val="Normal"/>
    <w:rPr>
      <w:rFonts w:ascii="Times New Roman" w:eastAsia="Calibri" w:hAnsi="Times New Roman" w:cs="Times New Roman"/>
      <w:b/>
      <w:sz w:val="18"/>
      <w:szCs w:val="18"/>
      <w14:ligatures w14:val="none"/>
    </w:rPr>
  </w:style>
  <w:style w:type="paragraph" w:customStyle="1" w:styleId="P68B1DB1-Normal41">
    <w:name w:val="P68B1DB1-Normal41"/>
    <w:basedOn w:val="Normal"/>
    <w:rPr>
      <w:rFonts w:ascii="Times New Roman" w:eastAsia="Calibri" w:hAnsi="Times New Roman" w:cs="Times New Roman"/>
      <w:b/>
      <w:sz w:val="16"/>
      <w:szCs w:val="16"/>
      <w14:ligatures w14:val="none"/>
    </w:rPr>
  </w:style>
  <w:style w:type="paragraph" w:customStyle="1" w:styleId="P68B1DB1-Normal42">
    <w:name w:val="P68B1DB1-Normal42"/>
    <w:basedOn w:val="Normal"/>
    <w:rPr>
      <w:rFonts w:ascii="Times New Roman" w:eastAsia="Calibri" w:hAnsi="Times New Roman" w:cs="Times New Roman"/>
      <w:sz w:val="16"/>
      <w:szCs w:val="16"/>
      <w14:ligatures w14:val="none"/>
    </w:rPr>
  </w:style>
  <w:style w:type="paragraph" w:customStyle="1" w:styleId="P68B1DB1-ListParagraph43">
    <w:name w:val="P68B1DB1-ListParagraph43"/>
    <w:basedOn w:val="ListParagraph"/>
    <w:rPr>
      <w:rFonts w:ascii="Times New Roman" w:eastAsia="Calibri" w:hAnsi="Times New Roman" w:cs="Times New Roman"/>
      <w:sz w:val="16"/>
      <w:szCs w:val="16"/>
      <w14:ligatures w14:val="none"/>
    </w:rPr>
  </w:style>
  <w:style w:type="paragraph" w:customStyle="1" w:styleId="P68B1DB1-ListParagraph44">
    <w:name w:val="P68B1DB1-ListParagraph44"/>
    <w:basedOn w:val="ListParagraph"/>
    <w:rPr>
      <w:rFonts w:ascii="Times New Roman" w:eastAsia="Calibri" w:hAnsi="Times New Roman" w:cs="Times New Roman"/>
      <w:sz w:val="16"/>
      <w:szCs w:val="16"/>
    </w:rPr>
  </w:style>
  <w:style w:type="paragraph" w:customStyle="1" w:styleId="P68B1DB1-Normal45">
    <w:name w:val="P68B1DB1-Normal45"/>
    <w:basedOn w:val="Normal"/>
    <w:rPr>
      <w:rFonts w:ascii="Times New Roman" w:eastAsia="Arial" w:hAnsi="Times New Roman" w:cs="Times New Roman"/>
      <w:sz w:val="16"/>
      <w:szCs w:val="16"/>
      <w14:ligatures w14:val="none"/>
    </w:rPr>
  </w:style>
  <w:style w:type="paragraph" w:customStyle="1" w:styleId="P68B1DB1-Normal46">
    <w:name w:val="P68B1DB1-Normal46"/>
    <w:basedOn w:val="Normal"/>
    <w:rPr>
      <w:rFonts w:ascii="Times New Roman" w:eastAsiaTheme="minorEastAsia" w:hAnsi="Times New Roman" w:cs="Times New Roman"/>
      <w:szCs w:val="26"/>
    </w:rPr>
  </w:style>
  <w:style w:type="paragraph" w:customStyle="1" w:styleId="P68B1DB1-Normal47">
    <w:name w:val="P68B1DB1-Normal47"/>
    <w:basedOn w:val="Normal"/>
    <w:rPr>
      <w:rFonts w:ascii="Times New Roman" w:eastAsia="Calibri" w:hAnsi="Times New Roman" w:cs="Times New Roman"/>
      <w:u w:val="single"/>
    </w:rPr>
  </w:style>
  <w:style w:type="paragraph" w:customStyle="1" w:styleId="P68B1DB1-Normal48">
    <w:name w:val="P68B1DB1-Normal48"/>
    <w:basedOn w:val="Normal"/>
    <w:rPr>
      <w:rFonts w:ascii="Times New Roman" w:eastAsia="Calibri" w:hAnsi="Times New Roman" w:cs="Times New Roman"/>
      <w:color w:val="000000"/>
      <w:kern w:val="0"/>
      <w:sz w:val="16"/>
      <w:szCs w:val="16"/>
      <w14:ligatures w14:val="none"/>
    </w:rPr>
  </w:style>
  <w:style w:type="paragraph" w:customStyle="1" w:styleId="P68B1DB1-Normal49">
    <w:name w:val="P68B1DB1-Normal49"/>
    <w:basedOn w:val="Normal"/>
    <w:rPr>
      <w:rFonts w:ascii="Times New Roman" w:eastAsiaTheme="minorEastAsia" w:hAnsi="Times New Roman" w:cs="Times New Roman"/>
      <w:sz w:val="16"/>
      <w:szCs w:val="16"/>
    </w:rPr>
  </w:style>
  <w:style w:type="paragraph" w:customStyle="1" w:styleId="P68B1DB1-ListParagraph50">
    <w:name w:val="P68B1DB1-ListParagraph50"/>
    <w:basedOn w:val="ListParagraph"/>
    <w:rPr>
      <w:rFonts w:ascii="Times New Roman" w:eastAsia="Times New Roman" w:hAnsi="Times New Roman" w:cs="Times New Roman"/>
      <w:kern w:val="0"/>
      <w:sz w:val="16"/>
      <w:szCs w:val="16"/>
      <w14:ligatures w14:val="none"/>
    </w:rPr>
  </w:style>
  <w:style w:type="paragraph" w:customStyle="1" w:styleId="P68B1DB1-Normal51">
    <w:name w:val="P68B1DB1-Normal51"/>
    <w:basedOn w:val="Normal"/>
    <w:rPr>
      <w:rFonts w:ascii="Times New Roman" w:hAnsi="Times New Roman"/>
      <w:b/>
      <w:kern w:val="0"/>
      <w:u w:val="single"/>
      <w14:ligatures w14:val="none"/>
    </w:rPr>
  </w:style>
  <w:style w:type="paragraph" w:customStyle="1" w:styleId="P68B1DB1-Normal52">
    <w:name w:val="P68B1DB1-Normal52"/>
    <w:basedOn w:val="Normal"/>
    <w:rPr>
      <w:rFonts w:ascii="Times New Roman" w:hAnsi="Times New Roman"/>
      <w:kern w:val="0"/>
      <w14:ligatures w14:val="none"/>
    </w:rPr>
  </w:style>
  <w:style w:type="paragraph" w:customStyle="1" w:styleId="P68B1DB1-Normal53">
    <w:name w:val="P68B1DB1-Normal53"/>
    <w:basedOn w:val="Normal"/>
    <w:rPr>
      <w:rFonts w:ascii="Times New Roman" w:hAnsi="Times New Roman"/>
      <w:kern w:val="0"/>
      <w:u w:val="single"/>
      <w14:ligatures w14:val="none"/>
    </w:rPr>
  </w:style>
  <w:style w:type="paragraph" w:customStyle="1" w:styleId="P68B1DB1-Normal54">
    <w:name w:val="P68B1DB1-Normal54"/>
    <w:basedOn w:val="Normal"/>
    <w:rPr>
      <w:rFonts w:ascii="Times New Roman" w:hAnsi="Times New Roman" w:cs="Times New Roman"/>
      <w:b/>
      <w:kern w:val="0"/>
      <w:sz w:val="18"/>
      <w:szCs w:val="18"/>
      <w14:ligatures w14:val="none"/>
    </w:rPr>
  </w:style>
  <w:style w:type="paragraph" w:customStyle="1" w:styleId="P68B1DB1-Normal55">
    <w:name w:val="P68B1DB1-Normal55"/>
    <w:basedOn w:val="Normal"/>
    <w:rPr>
      <w:rFonts w:ascii="Times New Roman" w:hAnsi="Times New Roman" w:cs="Times New Roman"/>
      <w:b/>
      <w:kern w:val="0"/>
      <w:sz w:val="16"/>
      <w:szCs w:val="16"/>
      <w14:ligatures w14:val="none"/>
    </w:rPr>
  </w:style>
  <w:style w:type="paragraph" w:customStyle="1" w:styleId="P68B1DB1-ListParagraph56">
    <w:name w:val="P68B1DB1-ListParagraph56"/>
    <w:basedOn w:val="ListParagraph"/>
    <w:rPr>
      <w:rFonts w:ascii="Times New Roman" w:eastAsia="Calibri" w:hAnsi="Times New Roman" w:cs="Times New Roman"/>
      <w:kern w:val="0"/>
      <w:sz w:val="16"/>
      <w:szCs w:val="16"/>
      <w14:ligatures w14:val="none"/>
    </w:rPr>
  </w:style>
  <w:style w:type="paragraph" w:customStyle="1" w:styleId="P68B1DB1-ListParagraph57">
    <w:name w:val="P68B1DB1-ListParagraph57"/>
    <w:basedOn w:val="ListParagraph"/>
    <w:rPr>
      <w:rFonts w:ascii="Times New Roman" w:hAnsi="Times New Roman" w:cs="Times New Roman"/>
      <w:kern w:val="0"/>
      <w:sz w:val="16"/>
      <w:szCs w:val="16"/>
      <w14:ligatures w14:val="none"/>
    </w:rPr>
  </w:style>
  <w:style w:type="paragraph" w:customStyle="1" w:styleId="P68B1DB1-Normal58">
    <w:name w:val="P68B1DB1-Normal58"/>
    <w:basedOn w:val="Normal"/>
    <w:rPr>
      <w:rFonts w:ascii="Times New Roman" w:eastAsia="Times New Roman" w:hAnsi="Times New Roman" w:cs="Times New Roman"/>
      <w:b/>
      <w:sz w:val="16"/>
      <w:szCs w:val="16"/>
    </w:rPr>
  </w:style>
  <w:style w:type="paragraph" w:customStyle="1" w:styleId="P68B1DB1-Normal59">
    <w:name w:val="P68B1DB1-Normal59"/>
    <w:basedOn w:val="Normal"/>
    <w:rPr>
      <w:rFonts w:ascii="Times New Roman" w:eastAsia="Calibri" w:hAnsi="Times New Roman" w:cs="Times New Roman"/>
      <w:b/>
      <w:kern w:val="0"/>
      <w:sz w:val="20"/>
      <w:szCs w:val="20"/>
      <w14:ligatures w14:val="none"/>
    </w:rPr>
  </w:style>
  <w:style w:type="paragraph" w:customStyle="1" w:styleId="P68B1DB1-Normal60">
    <w:name w:val="P68B1DB1-Normal60"/>
    <w:basedOn w:val="Normal"/>
    <w:rPr>
      <w:rFonts w:ascii="Times New Roman" w:eastAsia="Calibri" w:hAnsi="Times New Roman" w:cs="Times New Roman"/>
      <w:kern w:val="0"/>
      <w:sz w:val="20"/>
      <w:szCs w:val="20"/>
      <w14:ligatures w14:val="none"/>
    </w:rPr>
  </w:style>
  <w:style w:type="paragraph" w:customStyle="1" w:styleId="P68B1DB1-Normal61">
    <w:name w:val="P68B1DB1-Normal61"/>
    <w:basedOn w:val="Normal"/>
    <w:rPr>
      <w:rFonts w:ascii="Times New Roman" w:eastAsia="Calibri" w:hAnsi="Times New Roman" w:cs="Times New Roman"/>
      <w:i/>
      <w:kern w:val="0"/>
      <w14:ligatures w14:val="none"/>
    </w:rPr>
  </w:style>
  <w:style w:type="paragraph" w:customStyle="1" w:styleId="P68B1DB1-Normal62">
    <w:name w:val="P68B1DB1-Normal62"/>
    <w:basedOn w:val="Normal"/>
    <w:rPr>
      <w:rFonts w:ascii="Times New Roman" w:eastAsia="Calibri" w:hAnsi="Times New Roman" w:cs="Times New Roman"/>
      <w:sz w:val="20"/>
      <w:szCs w:val="20"/>
    </w:rPr>
  </w:style>
  <w:style w:type="paragraph" w:customStyle="1" w:styleId="P68B1DB1-Normal63">
    <w:name w:val="P68B1DB1-Normal63"/>
    <w:basedOn w:val="Normal"/>
    <w:rPr>
      <w:rFonts w:ascii="Times New Roman" w:eastAsia="Calibri" w:hAnsi="Times New Roman" w:cs="Times New Roman"/>
      <w:color w:val="000000"/>
      <w:kern w:val="0"/>
      <w:sz w:val="20"/>
      <w:szCs w:val="20"/>
      <w14:ligatures w14:val="none"/>
    </w:rPr>
  </w:style>
  <w:style w:type="paragraph" w:customStyle="1" w:styleId="P68B1DB1-Normal64">
    <w:name w:val="P68B1DB1-Normal64"/>
    <w:basedOn w:val="Normal"/>
    <w:rPr>
      <w:rFonts w:ascii="Times New Roman" w:eastAsia="Calibri" w:hAnsi="Times New Roman" w:cs="Times New Roman"/>
      <w:color w:val="000000" w:themeColor="text1"/>
      <w:sz w:val="20"/>
      <w:szCs w:val="20"/>
    </w:rPr>
  </w:style>
  <w:style w:type="paragraph" w:customStyle="1" w:styleId="P68B1DB1-Normal65">
    <w:name w:val="P68B1DB1-Normal65"/>
    <w:basedOn w:val="Normal"/>
    <w:rPr>
      <w:rFonts w:ascii="Times New Roman" w:hAnsi="Times New Roman" w:cs="Times New Roman"/>
      <w:sz w:val="20"/>
      <w:szCs w:val="20"/>
    </w:rPr>
  </w:style>
  <w:style w:type="paragraph" w:customStyle="1" w:styleId="P68B1DB1-Normal66">
    <w:name w:val="P68B1DB1-Normal66"/>
    <w:basedOn w:val="Normal"/>
    <w:rPr>
      <w:rFonts w:ascii="Times New Roman" w:eastAsia="Times New Roman" w:hAnsi="Times New Roman" w:cs="Times New Roman"/>
      <w:sz w:val="20"/>
      <w:szCs w:val="20"/>
    </w:rPr>
  </w:style>
  <w:style w:type="paragraph" w:customStyle="1" w:styleId="P68B1DB1-Normal67">
    <w:name w:val="P68B1DB1-Normal67"/>
    <w:basedOn w:val="Normal"/>
    <w:rPr>
      <w:rFonts w:ascii="Times New Roman" w:eastAsia="Times New Roman" w:hAnsi="Times New Roman" w:cs="Times New Roman"/>
      <w:kern w:val="0"/>
      <w14:ligatures w14:val="none"/>
    </w:rPr>
  </w:style>
  <w:style w:type="paragraph" w:customStyle="1" w:styleId="P68B1DB1-Normal68">
    <w:name w:val="P68B1DB1-Normal68"/>
    <w:basedOn w:val="Normal"/>
    <w:rPr>
      <w:rFonts w:ascii="Times New Roman" w:eastAsia="Times New Roman" w:hAnsi="Times New Roman" w:cs="Times New Roman"/>
      <w:smallCaps/>
      <w:kern w:val="0"/>
      <w14:ligatures w14:val="none"/>
    </w:rPr>
  </w:style>
  <w:style w:type="paragraph" w:customStyle="1" w:styleId="P68B1DB1-Footer69">
    <w:name w:val="P68B1DB1-Footer69"/>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2642">
      <w:bodyDiv w:val="1"/>
      <w:marLeft w:val="0"/>
      <w:marRight w:val="0"/>
      <w:marTop w:val="0"/>
      <w:marBottom w:val="0"/>
      <w:divBdr>
        <w:top w:val="none" w:sz="0" w:space="0" w:color="auto"/>
        <w:left w:val="none" w:sz="0" w:space="0" w:color="auto"/>
        <w:bottom w:val="none" w:sz="0" w:space="0" w:color="auto"/>
        <w:right w:val="none" w:sz="0" w:space="0" w:color="auto"/>
      </w:divBdr>
    </w:div>
    <w:div w:id="193815278">
      <w:bodyDiv w:val="1"/>
      <w:marLeft w:val="0"/>
      <w:marRight w:val="0"/>
      <w:marTop w:val="0"/>
      <w:marBottom w:val="0"/>
      <w:divBdr>
        <w:top w:val="none" w:sz="0" w:space="0" w:color="auto"/>
        <w:left w:val="none" w:sz="0" w:space="0" w:color="auto"/>
        <w:bottom w:val="none" w:sz="0" w:space="0" w:color="auto"/>
        <w:right w:val="none" w:sz="0" w:space="0" w:color="auto"/>
      </w:divBdr>
    </w:div>
    <w:div w:id="279991370">
      <w:bodyDiv w:val="1"/>
      <w:marLeft w:val="0"/>
      <w:marRight w:val="0"/>
      <w:marTop w:val="0"/>
      <w:marBottom w:val="0"/>
      <w:divBdr>
        <w:top w:val="none" w:sz="0" w:space="0" w:color="auto"/>
        <w:left w:val="none" w:sz="0" w:space="0" w:color="auto"/>
        <w:bottom w:val="none" w:sz="0" w:space="0" w:color="auto"/>
        <w:right w:val="none" w:sz="0" w:space="0" w:color="auto"/>
      </w:divBdr>
    </w:div>
    <w:div w:id="286545720">
      <w:bodyDiv w:val="1"/>
      <w:marLeft w:val="0"/>
      <w:marRight w:val="0"/>
      <w:marTop w:val="0"/>
      <w:marBottom w:val="0"/>
      <w:divBdr>
        <w:top w:val="none" w:sz="0" w:space="0" w:color="auto"/>
        <w:left w:val="none" w:sz="0" w:space="0" w:color="auto"/>
        <w:bottom w:val="none" w:sz="0" w:space="0" w:color="auto"/>
        <w:right w:val="none" w:sz="0" w:space="0" w:color="auto"/>
      </w:divBdr>
    </w:div>
    <w:div w:id="349184184">
      <w:bodyDiv w:val="1"/>
      <w:marLeft w:val="0"/>
      <w:marRight w:val="0"/>
      <w:marTop w:val="0"/>
      <w:marBottom w:val="0"/>
      <w:divBdr>
        <w:top w:val="none" w:sz="0" w:space="0" w:color="auto"/>
        <w:left w:val="none" w:sz="0" w:space="0" w:color="auto"/>
        <w:bottom w:val="none" w:sz="0" w:space="0" w:color="auto"/>
        <w:right w:val="none" w:sz="0" w:space="0" w:color="auto"/>
      </w:divBdr>
    </w:div>
    <w:div w:id="497774079">
      <w:bodyDiv w:val="1"/>
      <w:marLeft w:val="0"/>
      <w:marRight w:val="0"/>
      <w:marTop w:val="0"/>
      <w:marBottom w:val="0"/>
      <w:divBdr>
        <w:top w:val="none" w:sz="0" w:space="0" w:color="auto"/>
        <w:left w:val="none" w:sz="0" w:space="0" w:color="auto"/>
        <w:bottom w:val="none" w:sz="0" w:space="0" w:color="auto"/>
        <w:right w:val="none" w:sz="0" w:space="0" w:color="auto"/>
      </w:divBdr>
    </w:div>
    <w:div w:id="1401439192">
      <w:bodyDiv w:val="1"/>
      <w:marLeft w:val="0"/>
      <w:marRight w:val="0"/>
      <w:marTop w:val="0"/>
      <w:marBottom w:val="0"/>
      <w:divBdr>
        <w:top w:val="none" w:sz="0" w:space="0" w:color="auto"/>
        <w:left w:val="none" w:sz="0" w:space="0" w:color="auto"/>
        <w:bottom w:val="none" w:sz="0" w:space="0" w:color="auto"/>
        <w:right w:val="none" w:sz="0" w:space="0" w:color="auto"/>
      </w:divBdr>
    </w:div>
    <w:div w:id="1493838029">
      <w:bodyDiv w:val="1"/>
      <w:marLeft w:val="0"/>
      <w:marRight w:val="0"/>
      <w:marTop w:val="0"/>
      <w:marBottom w:val="0"/>
      <w:divBdr>
        <w:top w:val="none" w:sz="0" w:space="0" w:color="auto"/>
        <w:left w:val="none" w:sz="0" w:space="0" w:color="auto"/>
        <w:bottom w:val="none" w:sz="0" w:space="0" w:color="auto"/>
        <w:right w:val="none" w:sz="0" w:space="0" w:color="auto"/>
      </w:divBdr>
    </w:div>
    <w:div w:id="1570114434">
      <w:bodyDiv w:val="1"/>
      <w:marLeft w:val="0"/>
      <w:marRight w:val="0"/>
      <w:marTop w:val="0"/>
      <w:marBottom w:val="0"/>
      <w:divBdr>
        <w:top w:val="none" w:sz="0" w:space="0" w:color="auto"/>
        <w:left w:val="none" w:sz="0" w:space="0" w:color="auto"/>
        <w:bottom w:val="none" w:sz="0" w:space="0" w:color="auto"/>
        <w:right w:val="none" w:sz="0" w:space="0" w:color="auto"/>
      </w:divBdr>
    </w:div>
    <w:div w:id="1777211700">
      <w:bodyDiv w:val="1"/>
      <w:marLeft w:val="0"/>
      <w:marRight w:val="0"/>
      <w:marTop w:val="0"/>
      <w:marBottom w:val="0"/>
      <w:divBdr>
        <w:top w:val="none" w:sz="0" w:space="0" w:color="auto"/>
        <w:left w:val="none" w:sz="0" w:space="0" w:color="auto"/>
        <w:bottom w:val="none" w:sz="0" w:space="0" w:color="auto"/>
        <w:right w:val="none" w:sz="0" w:space="0" w:color="auto"/>
      </w:divBdr>
    </w:div>
    <w:div w:id="1802268042">
      <w:bodyDiv w:val="1"/>
      <w:marLeft w:val="0"/>
      <w:marRight w:val="0"/>
      <w:marTop w:val="0"/>
      <w:marBottom w:val="0"/>
      <w:divBdr>
        <w:top w:val="none" w:sz="0" w:space="0" w:color="auto"/>
        <w:left w:val="none" w:sz="0" w:space="0" w:color="auto"/>
        <w:bottom w:val="none" w:sz="0" w:space="0" w:color="auto"/>
        <w:right w:val="none" w:sz="0" w:space="0" w:color="auto"/>
      </w:divBdr>
    </w:div>
    <w:div w:id="1821538944">
      <w:bodyDiv w:val="1"/>
      <w:marLeft w:val="0"/>
      <w:marRight w:val="0"/>
      <w:marTop w:val="0"/>
      <w:marBottom w:val="0"/>
      <w:divBdr>
        <w:top w:val="none" w:sz="0" w:space="0" w:color="auto"/>
        <w:left w:val="none" w:sz="0" w:space="0" w:color="auto"/>
        <w:bottom w:val="none" w:sz="0" w:space="0" w:color="auto"/>
        <w:right w:val="none" w:sz="0" w:space="0" w:color="auto"/>
      </w:divBdr>
    </w:div>
    <w:div w:id="1965500669">
      <w:bodyDiv w:val="1"/>
      <w:marLeft w:val="0"/>
      <w:marRight w:val="0"/>
      <w:marTop w:val="0"/>
      <w:marBottom w:val="0"/>
      <w:divBdr>
        <w:top w:val="none" w:sz="0" w:space="0" w:color="auto"/>
        <w:left w:val="none" w:sz="0" w:space="0" w:color="auto"/>
        <w:bottom w:val="none" w:sz="0" w:space="0" w:color="auto"/>
        <w:right w:val="none" w:sz="0" w:space="0" w:color="auto"/>
      </w:divBdr>
    </w:div>
    <w:div w:id="208872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footer" Target="footer156.xml"/><Relationship Id="rId366" Type="http://schemas.openxmlformats.org/officeDocument/2006/relationships/footer" Target="footer177.xml"/><Relationship Id="rId170" Type="http://schemas.openxmlformats.org/officeDocument/2006/relationships/header" Target="header80.xml"/><Relationship Id="rId226" Type="http://schemas.openxmlformats.org/officeDocument/2006/relationships/header" Target="header10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header" Target="header22.xml"/><Relationship Id="rId74" Type="http://schemas.openxmlformats.org/officeDocument/2006/relationships/header" Target="header32.xml"/><Relationship Id="rId128" Type="http://schemas.openxmlformats.org/officeDocument/2006/relationships/header" Target="header59.xml"/><Relationship Id="rId149" Type="http://schemas.openxmlformats.org/officeDocument/2006/relationships/header" Target="header70.xml"/><Relationship Id="rId314" Type="http://schemas.openxmlformats.org/officeDocument/2006/relationships/header" Target="header152.xml"/><Relationship Id="rId335" Type="http://schemas.openxmlformats.org/officeDocument/2006/relationships/header" Target="header163.xml"/><Relationship Id="rId356" Type="http://schemas.openxmlformats.org/officeDocument/2006/relationships/footer" Target="footer172.xml"/><Relationship Id="rId377" Type="http://schemas.openxmlformats.org/officeDocument/2006/relationships/header" Target="header183.xml"/><Relationship Id="rId398" Type="http://schemas.openxmlformats.org/officeDocument/2006/relationships/footer" Target="footer193.xml"/><Relationship Id="rId5" Type="http://schemas.openxmlformats.org/officeDocument/2006/relationships/numbering" Target="numbering.xml"/><Relationship Id="rId95" Type="http://schemas.openxmlformats.org/officeDocument/2006/relationships/header" Target="header43.xml"/><Relationship Id="rId160" Type="http://schemas.openxmlformats.org/officeDocument/2006/relationships/header" Target="header75.xml"/><Relationship Id="rId181" Type="http://schemas.openxmlformats.org/officeDocument/2006/relationships/footer" Target="footer85.xml"/><Relationship Id="rId216" Type="http://schemas.openxmlformats.org/officeDocument/2006/relationships/footer" Target="footer102.xml"/><Relationship Id="rId237" Type="http://schemas.openxmlformats.org/officeDocument/2006/relationships/footer" Target="footer113.xml"/><Relationship Id="rId402" Type="http://schemas.openxmlformats.org/officeDocument/2006/relationships/theme" Target="theme/theme1.xml"/><Relationship Id="rId258" Type="http://schemas.openxmlformats.org/officeDocument/2006/relationships/footer" Target="footer123.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footer" Target="footer64.xml"/><Relationship Id="rId290" Type="http://schemas.openxmlformats.org/officeDocument/2006/relationships/header" Target="header140.xml"/><Relationship Id="rId304" Type="http://schemas.openxmlformats.org/officeDocument/2006/relationships/header" Target="header147.xml"/><Relationship Id="rId325" Type="http://schemas.openxmlformats.org/officeDocument/2006/relationships/footer" Target="footer157.xml"/><Relationship Id="rId346" Type="http://schemas.openxmlformats.org/officeDocument/2006/relationships/hyperlink" Target="http://www.dados.gov.pt/" TargetMode="External"/><Relationship Id="rId367" Type="http://schemas.openxmlformats.org/officeDocument/2006/relationships/header" Target="header178.xml"/><Relationship Id="rId388" Type="http://schemas.openxmlformats.org/officeDocument/2006/relationships/footer" Target="footer188.xml"/><Relationship Id="rId85" Type="http://schemas.openxmlformats.org/officeDocument/2006/relationships/footer" Target="footer37.xml"/><Relationship Id="rId150" Type="http://schemas.openxmlformats.org/officeDocument/2006/relationships/footer" Target="footer69.xml"/><Relationship Id="rId171" Type="http://schemas.openxmlformats.org/officeDocument/2006/relationships/footer" Target="footer80.xml"/><Relationship Id="rId192" Type="http://schemas.openxmlformats.org/officeDocument/2006/relationships/footer" Target="footer90.xml"/><Relationship Id="rId206" Type="http://schemas.openxmlformats.org/officeDocument/2006/relationships/header" Target="header98.xml"/><Relationship Id="rId227" Type="http://schemas.openxmlformats.org/officeDocument/2006/relationships/header" Target="header109.xml"/><Relationship Id="rId248" Type="http://schemas.openxmlformats.org/officeDocument/2006/relationships/header" Target="header119.xml"/><Relationship Id="rId269" Type="http://schemas.openxmlformats.org/officeDocument/2006/relationships/header" Target="header130.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footer" Target="footer48.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footer" Target="footer162.xml"/><Relationship Id="rId357" Type="http://schemas.openxmlformats.org/officeDocument/2006/relationships/header" Target="header173.xml"/><Relationship Id="rId54" Type="http://schemas.openxmlformats.org/officeDocument/2006/relationships/footer" Target="footer21.xml"/><Relationship Id="rId75" Type="http://schemas.openxmlformats.org/officeDocument/2006/relationships/footer" Target="footer32.xml"/><Relationship Id="rId96" Type="http://schemas.openxmlformats.org/officeDocument/2006/relationships/footer" Target="footer42.xml"/><Relationship Id="rId140" Type="http://schemas.openxmlformats.org/officeDocument/2006/relationships/header" Target="header65.xml"/><Relationship Id="rId161" Type="http://schemas.openxmlformats.org/officeDocument/2006/relationships/header" Target="header76.xml"/><Relationship Id="rId182" Type="http://schemas.openxmlformats.org/officeDocument/2006/relationships/header" Target="header86.xml"/><Relationship Id="rId217" Type="http://schemas.openxmlformats.org/officeDocument/2006/relationships/footer" Target="footer103.xml"/><Relationship Id="rId378" Type="http://schemas.openxmlformats.org/officeDocument/2006/relationships/footer" Target="footer183.xml"/><Relationship Id="rId399" Type="http://schemas.openxmlformats.org/officeDocument/2006/relationships/header" Target="header194.xml"/><Relationship Id="rId403" Type="http://schemas.microsoft.com/office/2019/05/relationships/documenttasks" Target="documenttasks/documenttasks1.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footer" Target="footer124.xml"/><Relationship Id="rId23" Type="http://schemas.openxmlformats.org/officeDocument/2006/relationships/footer" Target="footer6.xml"/><Relationship Id="rId119" Type="http://schemas.openxmlformats.org/officeDocument/2006/relationships/header" Target="header55.xml"/><Relationship Id="rId270" Type="http://schemas.openxmlformats.org/officeDocument/2006/relationships/footer" Target="footer129.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header" Target="header158.xml"/><Relationship Id="rId347" Type="http://schemas.openxmlformats.org/officeDocument/2006/relationships/header" Target="header168.xml"/><Relationship Id="rId44" Type="http://schemas.openxmlformats.org/officeDocument/2006/relationships/footer" Target="footer16.xml"/><Relationship Id="rId65" Type="http://schemas.openxmlformats.org/officeDocument/2006/relationships/header" Target="header28.xml"/><Relationship Id="rId86" Type="http://schemas.openxmlformats.org/officeDocument/2006/relationships/header" Target="header38.xml"/><Relationship Id="rId130" Type="http://schemas.openxmlformats.org/officeDocument/2006/relationships/header" Target="header60.xml"/><Relationship Id="rId151" Type="http://schemas.openxmlformats.org/officeDocument/2006/relationships/footer" Target="footer70.xml"/><Relationship Id="rId368" Type="http://schemas.openxmlformats.org/officeDocument/2006/relationships/header" Target="header179.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footer" Target="footer91.xml"/><Relationship Id="rId207" Type="http://schemas.openxmlformats.org/officeDocument/2006/relationships/footer" Target="footer98.xml"/><Relationship Id="rId228" Type="http://schemas.openxmlformats.org/officeDocument/2006/relationships/footer" Target="footer108.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footer" Target="footer49.xml"/><Relationship Id="rId260" Type="http://schemas.openxmlformats.org/officeDocument/2006/relationships/header" Target="header125.xml"/><Relationship Id="rId281" Type="http://schemas.openxmlformats.org/officeDocument/2006/relationships/header" Target="header136.xml"/><Relationship Id="rId316" Type="http://schemas.openxmlformats.org/officeDocument/2006/relationships/header" Target="header153.xml"/><Relationship Id="rId337" Type="http://schemas.openxmlformats.org/officeDocument/2006/relationships/footer" Target="footer163.xml"/><Relationship Id="rId34" Type="http://schemas.openxmlformats.org/officeDocument/2006/relationships/header" Target="header12.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footer" Target="footer43.xml"/><Relationship Id="rId120" Type="http://schemas.openxmlformats.org/officeDocument/2006/relationships/footer" Target="footer54.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header" Target="header184.xml"/><Relationship Id="rId7" Type="http://schemas.openxmlformats.org/officeDocument/2006/relationships/settings" Target="settings.xml"/><Relationship Id="rId162" Type="http://schemas.openxmlformats.org/officeDocument/2006/relationships/footer" Target="footer75.xml"/><Relationship Id="rId183" Type="http://schemas.openxmlformats.org/officeDocument/2006/relationships/footer" Target="footer86.xml"/><Relationship Id="rId218" Type="http://schemas.openxmlformats.org/officeDocument/2006/relationships/header" Target="header104.xml"/><Relationship Id="rId239" Type="http://schemas.openxmlformats.org/officeDocument/2006/relationships/header" Target="header115.xml"/><Relationship Id="rId390" Type="http://schemas.openxmlformats.org/officeDocument/2006/relationships/footer" Target="footer189.xml"/><Relationship Id="rId250" Type="http://schemas.openxmlformats.org/officeDocument/2006/relationships/header" Target="header120.xml"/><Relationship Id="rId271" Type="http://schemas.openxmlformats.org/officeDocument/2006/relationships/footer" Target="footer130.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footer" Target="footer27.xml"/><Relationship Id="rId87" Type="http://schemas.openxmlformats.org/officeDocument/2006/relationships/footer" Target="footer38.xml"/><Relationship Id="rId110" Type="http://schemas.openxmlformats.org/officeDocument/2006/relationships/header" Target="header50.xml"/><Relationship Id="rId131" Type="http://schemas.openxmlformats.org/officeDocument/2006/relationships/header" Target="header61.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8.xml"/><Relationship Id="rId152" Type="http://schemas.openxmlformats.org/officeDocument/2006/relationships/header" Target="header71.xml"/><Relationship Id="rId173" Type="http://schemas.openxmlformats.org/officeDocument/2006/relationships/header" Target="header82.xml"/><Relationship Id="rId194" Type="http://schemas.openxmlformats.org/officeDocument/2006/relationships/header" Target="header92.xml"/><Relationship Id="rId208" Type="http://schemas.openxmlformats.org/officeDocument/2006/relationships/header" Target="header99.xml"/><Relationship Id="rId229" Type="http://schemas.openxmlformats.org/officeDocument/2006/relationships/footer" Target="footer109.xml"/><Relationship Id="rId380" Type="http://schemas.openxmlformats.org/officeDocument/2006/relationships/header" Target="header185.xml"/><Relationship Id="rId240" Type="http://schemas.openxmlformats.org/officeDocument/2006/relationships/footer" Target="footer114.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header" Target="header34.xml"/><Relationship Id="rId100" Type="http://schemas.openxmlformats.org/officeDocument/2006/relationships/header" Target="header45.xml"/><Relationship Id="rId282" Type="http://schemas.openxmlformats.org/officeDocument/2006/relationships/footer" Target="footer135.xml"/><Relationship Id="rId317" Type="http://schemas.openxmlformats.org/officeDocument/2006/relationships/header" Target="header154.xml"/><Relationship Id="rId338" Type="http://schemas.openxmlformats.org/officeDocument/2006/relationships/header" Target="header164.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header" Target="header66.xml"/><Relationship Id="rId163" Type="http://schemas.openxmlformats.org/officeDocument/2006/relationships/footer" Target="footer76.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header" Target="header190.xml"/><Relationship Id="rId230" Type="http://schemas.openxmlformats.org/officeDocument/2006/relationships/header" Target="header110.xml"/><Relationship Id="rId251" Type="http://schemas.openxmlformats.org/officeDocument/2006/relationships/header" Target="header121.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footer" Target="footer28.xml"/><Relationship Id="rId272" Type="http://schemas.openxmlformats.org/officeDocument/2006/relationships/header" Target="header131.xml"/><Relationship Id="rId293" Type="http://schemas.openxmlformats.org/officeDocument/2006/relationships/header" Target="header142.xml"/><Relationship Id="rId307" Type="http://schemas.openxmlformats.org/officeDocument/2006/relationships/footer" Target="footer148.xml"/><Relationship Id="rId328" Type="http://schemas.openxmlformats.org/officeDocument/2006/relationships/header" Target="header159.xml"/><Relationship Id="rId349" Type="http://schemas.openxmlformats.org/officeDocument/2006/relationships/footer" Target="footer168.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footer" Target="footer60.xml"/><Relationship Id="rId153" Type="http://schemas.openxmlformats.org/officeDocument/2006/relationships/footer" Target="footer71.xml"/><Relationship Id="rId174" Type="http://schemas.openxmlformats.org/officeDocument/2006/relationships/footer" Target="footer81.xml"/><Relationship Id="rId195" Type="http://schemas.openxmlformats.org/officeDocument/2006/relationships/footer" Target="footer92.xml"/><Relationship Id="rId209" Type="http://schemas.openxmlformats.org/officeDocument/2006/relationships/header" Target="header100.xml"/><Relationship Id="rId360" Type="http://schemas.openxmlformats.org/officeDocument/2006/relationships/header" Target="header175.xml"/><Relationship Id="rId381" Type="http://schemas.openxmlformats.org/officeDocument/2006/relationships/footer" Target="footer184.xml"/><Relationship Id="rId220" Type="http://schemas.openxmlformats.org/officeDocument/2006/relationships/header" Target="header105.xml"/><Relationship Id="rId241" Type="http://schemas.openxmlformats.org/officeDocument/2006/relationships/footer" Target="footer115.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footer" Target="footer136.xml"/><Relationship Id="rId318" Type="http://schemas.openxmlformats.org/officeDocument/2006/relationships/footer" Target="footer153.xml"/><Relationship Id="rId339" Type="http://schemas.openxmlformats.org/officeDocument/2006/relationships/footer" Target="footer164.xml"/><Relationship Id="rId78" Type="http://schemas.openxmlformats.org/officeDocument/2006/relationships/footer" Target="footer33.xml"/><Relationship Id="rId99" Type="http://schemas.openxmlformats.org/officeDocument/2006/relationships/footer" Target="footer44.xml"/><Relationship Id="rId101" Type="http://schemas.openxmlformats.org/officeDocument/2006/relationships/header" Target="header46.xml"/><Relationship Id="rId122" Type="http://schemas.openxmlformats.org/officeDocument/2006/relationships/header" Target="header56.xml"/><Relationship Id="rId143" Type="http://schemas.openxmlformats.org/officeDocument/2006/relationships/header" Target="header67.xml"/><Relationship Id="rId164" Type="http://schemas.openxmlformats.org/officeDocument/2006/relationships/header" Target="header77.xml"/><Relationship Id="rId185" Type="http://schemas.openxmlformats.org/officeDocument/2006/relationships/header" Target="header88.xml"/><Relationship Id="rId350" Type="http://schemas.openxmlformats.org/officeDocument/2006/relationships/footer" Target="footer169.xml"/><Relationship Id="rId371" Type="http://schemas.openxmlformats.org/officeDocument/2006/relationships/header" Target="header180.xml"/><Relationship Id="rId9" Type="http://schemas.openxmlformats.org/officeDocument/2006/relationships/footnotes" Target="footnotes.xml"/><Relationship Id="rId210" Type="http://schemas.openxmlformats.org/officeDocument/2006/relationships/footer" Target="footer99.xml"/><Relationship Id="rId392" Type="http://schemas.openxmlformats.org/officeDocument/2006/relationships/footer" Target="footer19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footer" Target="footer120.xml"/><Relationship Id="rId273" Type="http://schemas.openxmlformats.org/officeDocument/2006/relationships/footer" Target="footer131.xml"/><Relationship Id="rId294" Type="http://schemas.openxmlformats.org/officeDocument/2006/relationships/footer" Target="footer141.xml"/><Relationship Id="rId308" Type="http://schemas.openxmlformats.org/officeDocument/2006/relationships/header" Target="header149.xml"/><Relationship Id="rId329" Type="http://schemas.openxmlformats.org/officeDocument/2006/relationships/header" Target="header160.xml"/><Relationship Id="rId47" Type="http://schemas.openxmlformats.org/officeDocument/2006/relationships/footer" Target="footer18.xml"/><Relationship Id="rId68" Type="http://schemas.openxmlformats.org/officeDocument/2006/relationships/header" Target="header29.xml"/><Relationship Id="rId89" Type="http://schemas.openxmlformats.org/officeDocument/2006/relationships/header" Target="header40.xml"/><Relationship Id="rId112" Type="http://schemas.openxmlformats.org/officeDocument/2006/relationships/header" Target="header51.xml"/><Relationship Id="rId133" Type="http://schemas.openxmlformats.org/officeDocument/2006/relationships/footer" Target="footer61.xml"/><Relationship Id="rId154" Type="http://schemas.openxmlformats.org/officeDocument/2006/relationships/header" Target="header72.xml"/><Relationship Id="rId175" Type="http://schemas.openxmlformats.org/officeDocument/2006/relationships/footer" Target="footer82.xml"/><Relationship Id="rId340" Type="http://schemas.openxmlformats.org/officeDocument/2006/relationships/header" Target="header165.xml"/><Relationship Id="rId361" Type="http://schemas.openxmlformats.org/officeDocument/2006/relationships/footer" Target="footer174.xml"/><Relationship Id="rId196" Type="http://schemas.openxmlformats.org/officeDocument/2006/relationships/header" Target="header93.xml"/><Relationship Id="rId200" Type="http://schemas.openxmlformats.org/officeDocument/2006/relationships/header" Target="header95.xml"/><Relationship Id="rId382" Type="http://schemas.openxmlformats.org/officeDocument/2006/relationships/footer" Target="footer185.xml"/><Relationship Id="rId16" Type="http://schemas.openxmlformats.org/officeDocument/2006/relationships/header" Target="header3.xml"/><Relationship Id="rId221" Type="http://schemas.openxmlformats.org/officeDocument/2006/relationships/header" Target="header106.xml"/><Relationship Id="rId242" Type="http://schemas.openxmlformats.org/officeDocument/2006/relationships/header" Target="header116.xml"/><Relationship Id="rId263" Type="http://schemas.openxmlformats.org/officeDocument/2006/relationships/header" Target="header127.xml"/><Relationship Id="rId284" Type="http://schemas.openxmlformats.org/officeDocument/2006/relationships/header" Target="header137.xml"/><Relationship Id="rId319" Type="http://schemas.openxmlformats.org/officeDocument/2006/relationships/footer" Target="footer154.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footer" Target="footer34.xml"/><Relationship Id="rId102" Type="http://schemas.openxmlformats.org/officeDocument/2006/relationships/footer" Target="footer45.xml"/><Relationship Id="rId123" Type="http://schemas.openxmlformats.org/officeDocument/2006/relationships/footer" Target="footer56.xml"/><Relationship Id="rId144" Type="http://schemas.openxmlformats.org/officeDocument/2006/relationships/footer" Target="footer66.xml"/><Relationship Id="rId330" Type="http://schemas.openxmlformats.org/officeDocument/2006/relationships/footer" Target="footer159.xml"/><Relationship Id="rId90" Type="http://schemas.openxmlformats.org/officeDocument/2006/relationships/footer" Target="footer39.xml"/><Relationship Id="rId165" Type="http://schemas.openxmlformats.org/officeDocument/2006/relationships/footer" Target="footer77.xml"/><Relationship Id="rId186" Type="http://schemas.openxmlformats.org/officeDocument/2006/relationships/footer" Target="footer87.xml"/><Relationship Id="rId351" Type="http://schemas.openxmlformats.org/officeDocument/2006/relationships/header" Target="header170.xml"/><Relationship Id="rId372" Type="http://schemas.openxmlformats.org/officeDocument/2006/relationships/footer" Target="footer180.xml"/><Relationship Id="rId393" Type="http://schemas.openxmlformats.org/officeDocument/2006/relationships/header" Target="header191.xml"/><Relationship Id="rId211" Type="http://schemas.openxmlformats.org/officeDocument/2006/relationships/footer" Target="footer100.xml"/><Relationship Id="rId232" Type="http://schemas.openxmlformats.org/officeDocument/2006/relationships/header" Target="header111.xml"/><Relationship Id="rId253" Type="http://schemas.openxmlformats.org/officeDocument/2006/relationships/footer" Target="footer121.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header" Target="header52.xml"/><Relationship Id="rId134" Type="http://schemas.openxmlformats.org/officeDocument/2006/relationships/header" Target="header62.xml"/><Relationship Id="rId320" Type="http://schemas.openxmlformats.org/officeDocument/2006/relationships/header" Target="header155.xml"/><Relationship Id="rId80" Type="http://schemas.openxmlformats.org/officeDocument/2006/relationships/header" Target="header35.xml"/><Relationship Id="rId155" Type="http://schemas.openxmlformats.org/officeDocument/2006/relationships/header" Target="header73.xml"/><Relationship Id="rId176" Type="http://schemas.openxmlformats.org/officeDocument/2006/relationships/header" Target="header83.xml"/><Relationship Id="rId197" Type="http://schemas.openxmlformats.org/officeDocument/2006/relationships/header" Target="header94.xml"/><Relationship Id="rId341" Type="http://schemas.openxmlformats.org/officeDocument/2006/relationships/header" Target="header166.xml"/><Relationship Id="rId362" Type="http://schemas.openxmlformats.org/officeDocument/2006/relationships/footer" Target="footer175.xml"/><Relationship Id="rId383" Type="http://schemas.openxmlformats.org/officeDocument/2006/relationships/header" Target="header186.xml"/><Relationship Id="rId201" Type="http://schemas.openxmlformats.org/officeDocument/2006/relationships/footer" Target="footer95.xml"/><Relationship Id="rId222" Type="http://schemas.openxmlformats.org/officeDocument/2006/relationships/footer" Target="footer105.xml"/><Relationship Id="rId243" Type="http://schemas.openxmlformats.org/officeDocument/2006/relationships/footer" Target="footer116.xml"/><Relationship Id="rId264" Type="http://schemas.openxmlformats.org/officeDocument/2006/relationships/footer" Target="footer126.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footer" Target="footer67.xml"/><Relationship Id="rId166" Type="http://schemas.openxmlformats.org/officeDocument/2006/relationships/header" Target="header78.xml"/><Relationship Id="rId187" Type="http://schemas.openxmlformats.org/officeDocument/2006/relationships/footer" Target="footer88.xml"/><Relationship Id="rId331" Type="http://schemas.openxmlformats.org/officeDocument/2006/relationships/footer" Target="footer160.xml"/><Relationship Id="rId352" Type="http://schemas.openxmlformats.org/officeDocument/2006/relationships/footer" Target="footer170.xml"/><Relationship Id="rId373" Type="http://schemas.openxmlformats.org/officeDocument/2006/relationships/header" Target="header181.xml"/><Relationship Id="rId394" Type="http://schemas.openxmlformats.org/officeDocument/2006/relationships/header" Target="header192.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header" Target="header112.xml"/><Relationship Id="rId254" Type="http://schemas.openxmlformats.org/officeDocument/2006/relationships/header" Target="header122.xml"/><Relationship Id="rId28" Type="http://schemas.openxmlformats.org/officeDocument/2006/relationships/header" Target="header9.xml"/><Relationship Id="rId49" Type="http://schemas.openxmlformats.org/officeDocument/2006/relationships/footer" Target="footer19.xml"/><Relationship Id="rId114" Type="http://schemas.openxmlformats.org/officeDocument/2006/relationships/footer" Target="footer51.xml"/><Relationship Id="rId275" Type="http://schemas.openxmlformats.org/officeDocument/2006/relationships/header" Target="header133.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footer" Target="footer24.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footer" Target="footer72.xml"/><Relationship Id="rId177" Type="http://schemas.openxmlformats.org/officeDocument/2006/relationships/footer" Target="footer83.xml"/><Relationship Id="rId198" Type="http://schemas.openxmlformats.org/officeDocument/2006/relationships/footer" Target="footer93.xml"/><Relationship Id="rId321" Type="http://schemas.openxmlformats.org/officeDocument/2006/relationships/footer" Target="footer155.xml"/><Relationship Id="rId342" Type="http://schemas.openxmlformats.org/officeDocument/2006/relationships/footer" Target="footer165.xml"/><Relationship Id="rId363" Type="http://schemas.openxmlformats.org/officeDocument/2006/relationships/header" Target="header176.xml"/><Relationship Id="rId384" Type="http://schemas.openxmlformats.org/officeDocument/2006/relationships/footer" Target="footer186.xml"/><Relationship Id="rId202" Type="http://schemas.openxmlformats.org/officeDocument/2006/relationships/header" Target="header96.xml"/><Relationship Id="rId223" Type="http://schemas.openxmlformats.org/officeDocument/2006/relationships/footer" Target="footer106.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footer" Target="footer127.xml"/><Relationship Id="rId286" Type="http://schemas.openxmlformats.org/officeDocument/2006/relationships/header" Target="header138.xml"/><Relationship Id="rId50" Type="http://schemas.openxmlformats.org/officeDocument/2006/relationships/header" Target="header20.xml"/><Relationship Id="rId104" Type="http://schemas.openxmlformats.org/officeDocument/2006/relationships/header" Target="header47.xml"/><Relationship Id="rId125" Type="http://schemas.openxmlformats.org/officeDocument/2006/relationships/header" Target="header58.xml"/><Relationship Id="rId146" Type="http://schemas.openxmlformats.org/officeDocument/2006/relationships/header" Target="header68.xml"/><Relationship Id="rId167" Type="http://schemas.openxmlformats.org/officeDocument/2006/relationships/header" Target="header79.xml"/><Relationship Id="rId188" Type="http://schemas.openxmlformats.org/officeDocument/2006/relationships/header" Target="header89.xml"/><Relationship Id="rId311" Type="http://schemas.openxmlformats.org/officeDocument/2006/relationships/header" Target="header151.xml"/><Relationship Id="rId332" Type="http://schemas.openxmlformats.org/officeDocument/2006/relationships/header" Target="header161.xml"/><Relationship Id="rId353" Type="http://schemas.openxmlformats.org/officeDocument/2006/relationships/header" Target="header171.xml"/><Relationship Id="rId374" Type="http://schemas.openxmlformats.org/officeDocument/2006/relationships/header" Target="header182.xml"/><Relationship Id="rId395" Type="http://schemas.openxmlformats.org/officeDocument/2006/relationships/footer" Target="footer191.xml"/><Relationship Id="rId71" Type="http://schemas.openxmlformats.org/officeDocument/2006/relationships/header" Target="header31.xml"/><Relationship Id="rId92" Type="http://schemas.openxmlformats.org/officeDocument/2006/relationships/header" Target="header41.xml"/><Relationship Id="rId213" Type="http://schemas.openxmlformats.org/officeDocument/2006/relationships/footer" Target="footer101.xml"/><Relationship Id="rId234" Type="http://schemas.openxmlformats.org/officeDocument/2006/relationships/footer" Target="footer111.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footer" Target="footer132.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footer" Target="footer52.xml"/><Relationship Id="rId136" Type="http://schemas.openxmlformats.org/officeDocument/2006/relationships/header" Target="header63.xml"/><Relationship Id="rId157" Type="http://schemas.openxmlformats.org/officeDocument/2006/relationships/footer" Target="footer73.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6.xml"/><Relationship Id="rId364" Type="http://schemas.openxmlformats.org/officeDocument/2006/relationships/footer" Target="footer176.xml"/><Relationship Id="rId61" Type="http://schemas.openxmlformats.org/officeDocument/2006/relationships/footer" Target="footer25.xml"/><Relationship Id="rId82" Type="http://schemas.openxmlformats.org/officeDocument/2006/relationships/header" Target="header36.xml"/><Relationship Id="rId199" Type="http://schemas.openxmlformats.org/officeDocument/2006/relationships/footer" Target="footer94.xml"/><Relationship Id="rId203" Type="http://schemas.openxmlformats.org/officeDocument/2006/relationships/header" Target="header97.xml"/><Relationship Id="rId385" Type="http://schemas.openxmlformats.org/officeDocument/2006/relationships/header" Target="header187.xml"/><Relationship Id="rId19" Type="http://schemas.openxmlformats.org/officeDocument/2006/relationships/header" Target="header5.xml"/><Relationship Id="rId224" Type="http://schemas.openxmlformats.org/officeDocument/2006/relationships/header" Target="header107.xml"/><Relationship Id="rId245" Type="http://schemas.openxmlformats.org/officeDocument/2006/relationships/header" Target="header118.xml"/><Relationship Id="rId266" Type="http://schemas.openxmlformats.org/officeDocument/2006/relationships/header" Target="header128.xml"/><Relationship Id="rId287" Type="http://schemas.openxmlformats.org/officeDocument/2006/relationships/header" Target="header139.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footer" Target="footer68.xml"/><Relationship Id="rId168" Type="http://schemas.openxmlformats.org/officeDocument/2006/relationships/footer" Target="footer78.xml"/><Relationship Id="rId312" Type="http://schemas.openxmlformats.org/officeDocument/2006/relationships/footer" Target="footer150.xml"/><Relationship Id="rId333" Type="http://schemas.openxmlformats.org/officeDocument/2006/relationships/footer" Target="foot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footer" Target="footer30.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1.xml"/><Relationship Id="rId396" Type="http://schemas.openxmlformats.org/officeDocument/2006/relationships/footer" Target="footer192.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footer" Target="footer112.xml"/><Relationship Id="rId256" Type="http://schemas.openxmlformats.org/officeDocument/2006/relationships/header" Target="header123.xml"/><Relationship Id="rId277" Type="http://schemas.openxmlformats.org/officeDocument/2006/relationships/footer" Target="footer133.xml"/><Relationship Id="rId298" Type="http://schemas.openxmlformats.org/officeDocument/2006/relationships/header" Target="header144.xml"/><Relationship Id="rId400" Type="http://schemas.openxmlformats.org/officeDocument/2006/relationships/footer" Target="footer194.xml"/><Relationship Id="rId116" Type="http://schemas.openxmlformats.org/officeDocument/2006/relationships/header" Target="header53.xml"/><Relationship Id="rId137" Type="http://schemas.openxmlformats.org/officeDocument/2006/relationships/header" Target="header64.xml"/><Relationship Id="rId158" Type="http://schemas.openxmlformats.org/officeDocument/2006/relationships/header" Target="header74.xml"/><Relationship Id="rId302" Type="http://schemas.openxmlformats.org/officeDocument/2006/relationships/header" Target="header146.xml"/><Relationship Id="rId323" Type="http://schemas.openxmlformats.org/officeDocument/2006/relationships/header" Target="header157.xml"/><Relationship Id="rId344" Type="http://schemas.openxmlformats.org/officeDocument/2006/relationships/header" Target="header167.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header" Target="header37.xml"/><Relationship Id="rId179" Type="http://schemas.openxmlformats.org/officeDocument/2006/relationships/header" Target="header85.xml"/><Relationship Id="rId365" Type="http://schemas.openxmlformats.org/officeDocument/2006/relationships/header" Target="header177.xml"/><Relationship Id="rId386" Type="http://schemas.openxmlformats.org/officeDocument/2006/relationships/header" Target="header188.xml"/><Relationship Id="rId190" Type="http://schemas.openxmlformats.org/officeDocument/2006/relationships/header" Target="header90.xml"/><Relationship Id="rId204" Type="http://schemas.openxmlformats.org/officeDocument/2006/relationships/footer" Target="footer96.xml"/><Relationship Id="rId225" Type="http://schemas.openxmlformats.org/officeDocument/2006/relationships/footer" Target="footer107.xml"/><Relationship Id="rId246" Type="http://schemas.openxmlformats.org/officeDocument/2006/relationships/footer" Target="footer117.xml"/><Relationship Id="rId267" Type="http://schemas.openxmlformats.org/officeDocument/2006/relationships/footer" Target="footer128.xml"/><Relationship Id="rId288" Type="http://schemas.openxmlformats.org/officeDocument/2006/relationships/footer" Target="footer138.xml"/><Relationship Id="rId106" Type="http://schemas.openxmlformats.org/officeDocument/2006/relationships/header" Target="header48.xml"/><Relationship Id="rId127" Type="http://schemas.openxmlformats.org/officeDocument/2006/relationships/footer" Target="footer58.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footer" Target="footer31.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footer" Target="footer79.xml"/><Relationship Id="rId334" Type="http://schemas.openxmlformats.org/officeDocument/2006/relationships/header" Target="header162.xml"/><Relationship Id="rId355" Type="http://schemas.openxmlformats.org/officeDocument/2006/relationships/footer" Target="footer171.xml"/><Relationship Id="rId376" Type="http://schemas.openxmlformats.org/officeDocument/2006/relationships/footer" Target="footer182.xml"/><Relationship Id="rId397" Type="http://schemas.openxmlformats.org/officeDocument/2006/relationships/header" Target="header193.xml"/><Relationship Id="rId4" Type="http://schemas.openxmlformats.org/officeDocument/2006/relationships/customXml" Target="../customXml/item4.xml"/><Relationship Id="rId180" Type="http://schemas.openxmlformats.org/officeDocument/2006/relationships/footer" Target="footer84.xml"/><Relationship Id="rId215" Type="http://schemas.openxmlformats.org/officeDocument/2006/relationships/header" Target="header103.xml"/><Relationship Id="rId236" Type="http://schemas.openxmlformats.org/officeDocument/2006/relationships/header" Target="header113.xml"/><Relationship Id="rId257" Type="http://schemas.openxmlformats.org/officeDocument/2006/relationships/header" Target="header124.xml"/><Relationship Id="rId278" Type="http://schemas.openxmlformats.org/officeDocument/2006/relationships/header" Target="header134.xml"/><Relationship Id="rId401" Type="http://schemas.openxmlformats.org/officeDocument/2006/relationships/fontTable" Target="fontTable.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footer" Target="footer36.xml"/><Relationship Id="rId138" Type="http://schemas.openxmlformats.org/officeDocument/2006/relationships/footer" Target="footer63.xml"/><Relationship Id="rId345" Type="http://schemas.openxmlformats.org/officeDocument/2006/relationships/footer" Target="footer167.xml"/><Relationship Id="rId387" Type="http://schemas.openxmlformats.org/officeDocument/2006/relationships/footer" Target="footer187.xml"/><Relationship Id="rId191" Type="http://schemas.openxmlformats.org/officeDocument/2006/relationships/header" Target="header91.xml"/><Relationship Id="rId205" Type="http://schemas.openxmlformats.org/officeDocument/2006/relationships/footer" Target="footer97.xml"/><Relationship Id="rId247" Type="http://schemas.openxmlformats.org/officeDocument/2006/relationships/footer" Target="footer118.xml"/><Relationship Id="rId107" Type="http://schemas.openxmlformats.org/officeDocument/2006/relationships/header" Target="header49.xml"/><Relationship Id="rId289" Type="http://schemas.openxmlformats.org/officeDocument/2006/relationships/footer" Target="footer13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default/files/1_en_act_part1_v8_0.pdf" TargetMode="External"/><Relationship Id="rId2" Type="http://schemas.openxmlformats.org/officeDocument/2006/relationships/hyperlink" Target="https://ec.europa.eu/social/main.jsp?catId=738&amp;langId=en&amp;pubId=8376&amp;furtherPubs=yes" TargetMode="External"/><Relationship Id="rId1" Type="http://schemas.openxmlformats.org/officeDocument/2006/relationships/hyperlink" Target="https://www.un.org/development/desa/disabilities/convention-on-the-rights-of-persons-with-disabilities.html" TargetMode="External"/><Relationship Id="rId5" Type="http://schemas.openxmlformats.org/officeDocument/2006/relationships/hyperlink" Target="https://dre.pt/application/conteudo/114152782" TargetMode="External"/><Relationship Id="rId4" Type="http://schemas.openxmlformats.org/officeDocument/2006/relationships/hyperlink" Target="https://www.un.org/development/desa/disabilities/convention-on-the-rights-of-persons-with-disabilities.html" TargetMode="External"/></Relationships>
</file>

<file path=word/documenttasks/documenttasks1.xml><?xml version="1.0" encoding="utf-8"?>
<t:Tasks xmlns:t="http://schemas.microsoft.com/office/tasks/2019/documenttasks" xmlns:oel="http://schemas.microsoft.com/office/2019/extlst">
  <t:Task id="{0AD8512F-FBDF-4D8A-9151-EA9C2D096D55}">
    <t:Anchor>
      <t:Comment id="1886883471"/>
    </t:Anchor>
    <t:History>
      <t:Event time="2026-02-25T13:03:56.986Z" id="{3182CA77-3F20-4815-B277-47F228BD5A52}">
        <t:Attribution userId="S::kayrin.gauci1@ec.europa.eu::f3ab8eb7-2dc0-4a4d-93c7-59a4a17e948a" userName="GAUCI Kayrin (ECFIN)" userProvider="AD"/>
        <t:Anchor>
          <t:Comment id="1886883471"/>
        </t:Anchor>
        <t:Create/>
      </t:Event>
      <t:Event time="2026-02-25T13:03:56.986Z" id="{1E2E2106-271A-4C53-BFE4-A385EA06F7A3}">
        <t:Attribution userId="S::kayrin.gauci1@ec.europa.eu::f3ab8eb7-2dc0-4a4d-93c7-59a4a17e948a" userName="GAUCI Kayrin (ECFIN)" userProvider="AD"/>
        <t:Anchor>
          <t:Comment id="1886883471"/>
        </t:Anchor>
        <t:Assign userId="S::Enrico.MARANI@ec.europa.eu::65da0221-0647-4e57-a415-d117f763f7d9" userName="MARANI Enrico (SG REFORM)" userProvider="AD"/>
      </t:Event>
      <t:Event time="2026-02-25T13:03:56.986Z" id="{40EBB9CF-2C6F-472F-8A04-75BCE195B663}">
        <t:Attribution userId="S::kayrin.gauci1@ec.europa.eu::f3ab8eb7-2dc0-4a4d-93c7-59a4a17e948a" userName="GAUCI Kayrin (ECFIN)" userProvider="AD"/>
        <t:Anchor>
          <t:Comment id="1886883471"/>
        </t:Anchor>
        <t:SetTitle title="@MARANI Enrico (SG REFORM) @GASTON Helene (ECFIN) could you add the qualitative indicator and putting a comment to say this is a clerical error from the last revision"/>
      </t:Event>
      <t:Event time="2026-03-02T12:36:50.792Z" id="{15C09C6A-5CE0-46CC-B857-DE70710FB2EB}">
        <t:Attribution userId="S::helene.gaston@ec.europa.eu::992fcf65-5317-44de-855d-c85d8c50ddd0" userName="GASTON Helene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f95eb4f94ea9887c18f521fa66848bfe">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47829a4629addfa2432fd3df8d094388"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E3F29-A7F8-4199-B576-E49E9D9A1794}">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E9421398-2ED6-41E9-A8A8-9129B23765FE}">
  <ds:schemaRefs>
    <ds:schemaRef ds:uri="http://schemas.microsoft.com/sharepoint/v3/contenttype/forms"/>
  </ds:schemaRefs>
</ds:datastoreItem>
</file>

<file path=customXml/itemProps3.xml><?xml version="1.0" encoding="utf-8"?>
<ds:datastoreItem xmlns:ds="http://schemas.openxmlformats.org/officeDocument/2006/customXml" ds:itemID="{A71D90ED-9F31-4A6B-9345-917BB7839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13D2B-F8CD-4D4C-88E2-A39035267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14</Pages>
  <Words>64044</Words>
  <Characters>365055</Characters>
  <Application>Microsoft Office Word</Application>
  <DocSecurity>0</DocSecurity>
  <Lines>3042</Lines>
  <Paragraphs>856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428243</CharactersWithSpaces>
  <SharedDoc>false</SharedDoc>
  <HLinks>
    <vt:vector size="36" baseType="variant">
      <vt:variant>
        <vt:i4>1441861</vt:i4>
      </vt:variant>
      <vt:variant>
        <vt:i4>0</vt:i4>
      </vt:variant>
      <vt:variant>
        <vt:i4>0</vt:i4>
      </vt:variant>
      <vt:variant>
        <vt:i4>5</vt:i4>
      </vt:variant>
      <vt:variant>
        <vt:lpwstr>http://www.dados.gov.pt/</vt:lpwstr>
      </vt:variant>
      <vt:variant>
        <vt:lpwstr/>
      </vt:variant>
      <vt:variant>
        <vt:i4>917587</vt:i4>
      </vt:variant>
      <vt:variant>
        <vt:i4>12</vt:i4>
      </vt:variant>
      <vt:variant>
        <vt:i4>0</vt:i4>
      </vt:variant>
      <vt:variant>
        <vt:i4>5</vt:i4>
      </vt:variant>
      <vt:variant>
        <vt:lpwstr>https://dre.pt/application/conteudo/114152782</vt:lpwstr>
      </vt:variant>
      <vt:variant>
        <vt:lpwstr/>
      </vt:variant>
      <vt:variant>
        <vt:i4>3604583</vt:i4>
      </vt:variant>
      <vt:variant>
        <vt:i4>9</vt:i4>
      </vt:variant>
      <vt:variant>
        <vt:i4>0</vt:i4>
      </vt:variant>
      <vt:variant>
        <vt:i4>5</vt:i4>
      </vt:variant>
      <vt:variant>
        <vt:lpwstr>https://www.un.org/development/desa/disabilities/convention-on-the-rights-of-persons-with-disabilities.html</vt:lpwstr>
      </vt:variant>
      <vt:variant>
        <vt:lpwstr/>
      </vt:variant>
      <vt:variant>
        <vt:i4>6094896</vt:i4>
      </vt:variant>
      <vt:variant>
        <vt:i4>6</vt:i4>
      </vt:variant>
      <vt:variant>
        <vt:i4>0</vt:i4>
      </vt:variant>
      <vt:variant>
        <vt:i4>5</vt:i4>
      </vt:variant>
      <vt:variant>
        <vt:lpwstr>https://ec.europa.eu/info/sites/default/files/1_en_act_part1_v8_0.pdf</vt:lpwstr>
      </vt:variant>
      <vt:variant>
        <vt:lpwstr/>
      </vt:variant>
      <vt:variant>
        <vt:i4>3145826</vt:i4>
      </vt:variant>
      <vt:variant>
        <vt:i4>3</vt:i4>
      </vt:variant>
      <vt:variant>
        <vt:i4>0</vt:i4>
      </vt:variant>
      <vt:variant>
        <vt:i4>5</vt:i4>
      </vt:variant>
      <vt:variant>
        <vt:lpwstr>https://ec.europa.eu/social/main.jsp?catId=738&amp;langId=en&amp;pubId=8376&amp;furtherPubs=yes</vt:lpwstr>
      </vt:variant>
      <vt:variant>
        <vt:lpwstr/>
      </vt:variant>
      <vt:variant>
        <vt:i4>3604583</vt:i4>
      </vt:variant>
      <vt:variant>
        <vt:i4>0</vt:i4>
      </vt:variant>
      <vt:variant>
        <vt:i4>0</vt:i4>
      </vt:variant>
      <vt:variant>
        <vt:i4>5</vt:i4>
      </vt:variant>
      <vt:variant>
        <vt:lpwstr>https://www.un.org/development/desa/disabilities/convention-on-the-rights-of-persons-with-disabilities.html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1945</cp:revision>
  <dcterms:created xsi:type="dcterms:W3CDTF">2026-02-27T11:50:00Z</dcterms:created>
  <dcterms:modified xsi:type="dcterms:W3CDTF">2026-05-28T09:58:00Z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2026-02-13T14:55:08Z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d52bf68e-553d-4455-9f14-3d760e47ec97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0x01010062094E9F29D6C04F85860C631ABC812A</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