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484746" w:rsidRDefault="00A5104D" w:rsidP="00A5104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5BB2B0-DEB5-4ED2-8210-E08EB888CDA6" style="width:455.25pt;height:342.75pt">
            <v:imagedata r:id="rId11" o:title=""/>
          </v:shape>
        </w:pict>
      </w:r>
    </w:p>
    <w:p w:rsidR="00920595" w:rsidRPr="00484746" w:rsidRDefault="00920595" w:rsidP="00723A68">
      <w:pPr>
        <w:pStyle w:val="Pagedecouverture"/>
        <w:rPr>
          <w:noProof/>
        </w:rPr>
        <w:sectPr w:rsidR="00920595" w:rsidRPr="00484746" w:rsidSect="00A5104D">
          <w:footerReference w:type="even" r:id="rId12"/>
          <w:footerReference w:type="default" r:id="rId13"/>
          <w:pgSz w:w="11907" w:h="16839"/>
          <w:pgMar w:top="1134" w:right="1417" w:bottom="1134" w:left="1417" w:header="709" w:footer="709" w:gutter="0"/>
          <w:pgNumType w:start="0"/>
          <w:cols w:space="720"/>
          <w:docGrid w:linePitch="360"/>
        </w:sectPr>
      </w:pPr>
    </w:p>
    <w:p w:rsidR="004719C4" w:rsidRDefault="00BD2A7B">
      <w:pPr>
        <w:pStyle w:val="Rfrenceinterinstitutionnelle"/>
        <w:rPr>
          <w:noProof/>
        </w:rPr>
      </w:pPr>
      <w:bookmarkStart w:id="0" w:name="_GoBack"/>
      <w:bookmarkEnd w:id="0"/>
      <w:r>
        <w:rPr>
          <w:noProof/>
        </w:rPr>
        <w:lastRenderedPageBreak/>
        <w:t>2026/0016 (NLE)</w:t>
      </w:r>
    </w:p>
    <w:p w:rsidR="00920595" w:rsidRPr="00484746" w:rsidRDefault="00484746" w:rsidP="00484746">
      <w:pPr>
        <w:pStyle w:val="Statut"/>
        <w:rPr>
          <w:noProof/>
        </w:rPr>
      </w:pPr>
      <w:r w:rsidRPr="00484746">
        <w:rPr>
          <w:noProof/>
        </w:rPr>
        <w:t>Proposition de</w:t>
      </w:r>
    </w:p>
    <w:p w:rsidR="00920595" w:rsidRPr="00484746" w:rsidRDefault="00484746" w:rsidP="00484746">
      <w:pPr>
        <w:pStyle w:val="Typedudocument"/>
        <w:rPr>
          <w:noProof/>
        </w:rPr>
      </w:pPr>
      <w:r w:rsidRPr="00484746">
        <w:rPr>
          <w:noProof/>
        </w:rPr>
        <w:t>DÉCISION D’EXÉCUTION DU CONSEIL</w:t>
      </w:r>
    </w:p>
    <w:p w:rsidR="00920595" w:rsidRPr="00484746" w:rsidRDefault="00484746" w:rsidP="00484746">
      <w:pPr>
        <w:pStyle w:val="Titreobjet"/>
        <w:rPr>
          <w:noProof/>
        </w:rPr>
      </w:pPr>
      <w:r w:rsidRPr="00484746">
        <w:rPr>
          <w:noProof/>
        </w:rPr>
        <w:t>relative à la mise à disposition  de l’assistance financière au titre du règlement (UE) 2025/1106 en ce qui concerne le Portugal</w:t>
      </w:r>
    </w:p>
    <w:p w:rsidR="00FE6B92" w:rsidRPr="00484746" w:rsidRDefault="00FE6B92" w:rsidP="00FE6B92">
      <w:pPr>
        <w:rPr>
          <w:noProof/>
        </w:rPr>
      </w:pPr>
      <w:r w:rsidRPr="00484746">
        <w:rPr>
          <w:noProof/>
        </w:rPr>
        <w:t>LE CONSEIL DE L’UNION EUROPÉENNE,</w:t>
      </w:r>
    </w:p>
    <w:p w:rsidR="00920595" w:rsidRPr="00484746" w:rsidRDefault="00920595" w:rsidP="00D31C35">
      <w:pPr>
        <w:rPr>
          <w:rFonts w:eastAsia="Times New Roman"/>
          <w:noProof/>
        </w:rPr>
      </w:pPr>
      <w:r w:rsidRPr="00484746">
        <w:rPr>
          <w:noProof/>
        </w:rPr>
        <w:t>vu le traité sur le fonctionnement de l’Union européenne,</w:t>
      </w:r>
    </w:p>
    <w:p w:rsidR="00920595" w:rsidRPr="00484746" w:rsidRDefault="00B877D0" w:rsidP="00D31C35">
      <w:pPr>
        <w:rPr>
          <w:rFonts w:eastAsia="Times New Roman"/>
          <w:noProof/>
        </w:rPr>
      </w:pPr>
      <w:bookmarkStart w:id="1" w:name="_Hlk218870434"/>
      <w:r w:rsidRPr="00484746">
        <w:rPr>
          <w:noProof/>
        </w:rPr>
        <w:t>vu le règlement (UE) 2025/1106 du Conseil du 27 mai 2025 établissant l’instrument «Agir pour la sécurité de l’Europe par le renforcement de l’industrie européenne de la défense» («instrument SAFE»)</w:t>
      </w:r>
      <w:r w:rsidRPr="00484746">
        <w:rPr>
          <w:rStyle w:val="FootnoteReference"/>
          <w:noProof/>
        </w:rPr>
        <w:footnoteReference w:id="1"/>
      </w:r>
      <w:r w:rsidRPr="00484746">
        <w:rPr>
          <w:noProof/>
        </w:rPr>
        <w:t>, et notamment son article 8, paragraphe 6</w:t>
      </w:r>
      <w:bookmarkEnd w:id="1"/>
      <w:r w:rsidRPr="00484746">
        <w:rPr>
          <w:noProof/>
        </w:rPr>
        <w:t>,</w:t>
      </w:r>
    </w:p>
    <w:p w:rsidR="00920595" w:rsidRPr="00484746" w:rsidRDefault="00920595" w:rsidP="00D31C35">
      <w:pPr>
        <w:rPr>
          <w:rFonts w:eastAsia="Times New Roman"/>
          <w:noProof/>
        </w:rPr>
      </w:pPr>
      <w:r w:rsidRPr="00484746">
        <w:rPr>
          <w:noProof/>
        </w:rPr>
        <w:t>vu la proposition de la Commission européenne,</w:t>
      </w:r>
    </w:p>
    <w:p w:rsidR="00920595" w:rsidRPr="00484746" w:rsidRDefault="00920595" w:rsidP="00D31C35">
      <w:pPr>
        <w:rPr>
          <w:rFonts w:eastAsia="Times New Roman"/>
          <w:noProof/>
        </w:rPr>
      </w:pPr>
      <w:bookmarkStart w:id="2" w:name="_Hlk216364633"/>
      <w:r w:rsidRPr="00484746">
        <w:rPr>
          <w:noProof/>
        </w:rPr>
        <w:t>considérant ce qui suit:</w:t>
      </w:r>
    </w:p>
    <w:p w:rsidR="00B877D0" w:rsidRPr="00484746" w:rsidRDefault="00801883" w:rsidP="00801883">
      <w:pPr>
        <w:pStyle w:val="Point0"/>
        <w:rPr>
          <w:noProof/>
        </w:rPr>
      </w:pPr>
      <w:r w:rsidRPr="00801883">
        <w:rPr>
          <w:noProof/>
        </w:rPr>
        <w:t>(1)</w:t>
      </w:r>
      <w:r w:rsidRPr="00801883">
        <w:rPr>
          <w:noProof/>
        </w:rPr>
        <w:tab/>
      </w:r>
      <w:r w:rsidR="00B877D0" w:rsidRPr="00484746">
        <w:rPr>
          <w:noProof/>
        </w:rPr>
        <w:t>La Commission a lancé un appel à manifestation d’intérêt à l’intention des États membres qui souhaiteraient bénéficier d’une assistance financière au titre de l’</w:t>
      </w:r>
      <w:bookmarkStart w:id="3" w:name="_Hlk218868365"/>
      <w:r w:rsidR="00B877D0" w:rsidRPr="00484746">
        <w:rPr>
          <w:noProof/>
        </w:rPr>
        <w:t>instrument «Agir pour la sécurité de l’Europe par le renforcement de l’industrie européenne de la défense» (ci-après l’«</w:t>
      </w:r>
      <w:bookmarkEnd w:id="3"/>
      <w:r w:rsidR="00B877D0" w:rsidRPr="00484746">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484746" w:rsidRDefault="00801883" w:rsidP="00801883">
      <w:pPr>
        <w:pStyle w:val="Point0"/>
        <w:rPr>
          <w:noProof/>
        </w:rPr>
      </w:pPr>
      <w:bookmarkStart w:id="4" w:name="_Hlk218868880"/>
      <w:r w:rsidRPr="00801883">
        <w:rPr>
          <w:noProof/>
        </w:rPr>
        <w:t>(2)</w:t>
      </w:r>
      <w:r w:rsidRPr="00801883">
        <w:rPr>
          <w:noProof/>
        </w:rPr>
        <w:tab/>
      </w:r>
      <w:r w:rsidR="00B877D0" w:rsidRPr="00484746">
        <w:rPr>
          <w:noProof/>
        </w:rPr>
        <w:t>Le 9 septembre 2025, la Commission a informé les États membres demandeurs de la répartition</w:t>
      </w:r>
      <w:bookmarkEnd w:id="4"/>
      <w:r w:rsidR="00B877D0" w:rsidRPr="00484746">
        <w:rPr>
          <w:noProof/>
        </w:rPr>
        <w:t xml:space="preserve"> provisoire des montants des prêts par État membre.</w:t>
      </w:r>
    </w:p>
    <w:p w:rsidR="00920595" w:rsidRPr="00484746" w:rsidRDefault="00801883" w:rsidP="00801883">
      <w:pPr>
        <w:pStyle w:val="Point0"/>
        <w:rPr>
          <w:noProof/>
        </w:rPr>
      </w:pPr>
      <w:bookmarkStart w:id="5" w:name="_Hlk218870488"/>
      <w:r w:rsidRPr="00801883">
        <w:rPr>
          <w:noProof/>
        </w:rPr>
        <w:t>(3)</w:t>
      </w:r>
      <w:r w:rsidRPr="00801883">
        <w:rPr>
          <w:noProof/>
        </w:rPr>
        <w:tab/>
      </w:r>
      <w:r w:rsidR="00B877D0" w:rsidRPr="00484746">
        <w:rPr>
          <w:noProof/>
        </w:rPr>
        <w:t xml:space="preserve">Le 29 novembre 2025, le Portugal a présenté, conformément à l’article 7, paragraphe 1, </w:t>
      </w:r>
      <w:r w:rsidR="00B877D0" w:rsidRPr="00484746">
        <w:rPr>
          <w:noProof/>
          <w:color w:val="333333"/>
        </w:rPr>
        <w:t>du règlement (UE) 2025/1106</w:t>
      </w:r>
      <w:r w:rsidR="00B877D0" w:rsidRPr="00484746">
        <w:rPr>
          <w:noProof/>
        </w:rPr>
        <w:t>, une demande d’assistance financière (ci-après la «demande»)</w:t>
      </w:r>
      <w:bookmarkEnd w:id="5"/>
      <w:r w:rsidR="00B877D0" w:rsidRPr="00484746">
        <w:rPr>
          <w:noProof/>
        </w:rPr>
        <w:t xml:space="preserve"> accompagnée d’un plan d’investissement pour l’industrie européenne de la défense (ci-après le «plan»).</w:t>
      </w:r>
    </w:p>
    <w:p w:rsidR="007B5A04" w:rsidRPr="00484746" w:rsidRDefault="00801883" w:rsidP="00801883">
      <w:pPr>
        <w:pStyle w:val="Point0"/>
        <w:rPr>
          <w:noProof/>
        </w:rPr>
      </w:pPr>
      <w:bookmarkStart w:id="6" w:name="_Hlk218870606"/>
      <w:r w:rsidRPr="00801883">
        <w:rPr>
          <w:noProof/>
        </w:rPr>
        <w:t>(4)</w:t>
      </w:r>
      <w:r w:rsidRPr="00801883">
        <w:rPr>
          <w:noProof/>
        </w:rPr>
        <w:tab/>
      </w:r>
      <w:r w:rsidR="00B877D0" w:rsidRPr="00484746">
        <w:rPr>
          <w:noProof/>
        </w:rPr>
        <w:t xml:space="preserve">La Commission a évalué la demande au regard des </w:t>
      </w:r>
      <w:r w:rsidR="00B877D0" w:rsidRPr="00484746">
        <w:rPr>
          <w:noProof/>
          <w:color w:val="333333"/>
        </w:rPr>
        <w:t>conditions fixées dans le règlement (UE) 2025/1106.</w:t>
      </w:r>
      <w:bookmarkEnd w:id="6"/>
    </w:p>
    <w:p w:rsidR="00AE4AB6" w:rsidRPr="00484746" w:rsidRDefault="00801883" w:rsidP="00801883">
      <w:pPr>
        <w:pStyle w:val="Point0"/>
        <w:rPr>
          <w:noProof/>
        </w:rPr>
      </w:pPr>
      <w:r w:rsidRPr="00801883">
        <w:rPr>
          <w:noProof/>
        </w:rPr>
        <w:t>(5)</w:t>
      </w:r>
      <w:r w:rsidRPr="00801883">
        <w:rPr>
          <w:noProof/>
        </w:rPr>
        <w:tab/>
      </w:r>
      <w:r w:rsidR="00AE4AB6" w:rsidRPr="00484746">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484746" w:rsidRDefault="00801883" w:rsidP="00801883">
      <w:pPr>
        <w:pStyle w:val="Point0"/>
        <w:rPr>
          <w:noProof/>
        </w:rPr>
      </w:pPr>
      <w:r w:rsidRPr="00801883">
        <w:rPr>
          <w:noProof/>
        </w:rPr>
        <w:t>(6)</w:t>
      </w:r>
      <w:r w:rsidRPr="00801883">
        <w:rPr>
          <w:noProof/>
        </w:rPr>
        <w:tab/>
      </w:r>
      <w:r w:rsidR="00B877D0" w:rsidRPr="00484746">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des produits de défense, et/ou à assurer l’interopérabilité et l’interchangeabilité dans l’ensemble de l’Union. </w:t>
      </w:r>
    </w:p>
    <w:p w:rsidR="00B877D0" w:rsidRPr="00484746" w:rsidRDefault="00801883" w:rsidP="00801883">
      <w:pPr>
        <w:pStyle w:val="Point0"/>
        <w:rPr>
          <w:noProof/>
        </w:rPr>
      </w:pPr>
      <w:r w:rsidRPr="00801883">
        <w:rPr>
          <w:noProof/>
        </w:rPr>
        <w:t>(7)</w:t>
      </w:r>
      <w:r w:rsidRPr="00801883">
        <w:rPr>
          <w:noProof/>
        </w:rPr>
        <w:tab/>
      </w:r>
      <w:r w:rsidR="00B877D0" w:rsidRPr="00484746">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484746" w:rsidRDefault="00801883" w:rsidP="00801883">
      <w:pPr>
        <w:pStyle w:val="Point0"/>
        <w:rPr>
          <w:noProof/>
        </w:rPr>
      </w:pPr>
      <w:r w:rsidRPr="00801883">
        <w:rPr>
          <w:noProof/>
        </w:rPr>
        <w:t>(8)</w:t>
      </w:r>
      <w:r w:rsidRPr="00801883">
        <w:rPr>
          <w:noProof/>
        </w:rPr>
        <w:tab/>
      </w:r>
      <w:r w:rsidR="00AE4AB6" w:rsidRPr="00484746">
        <w:rPr>
          <w:noProof/>
        </w:rPr>
        <w:t>Par conséquent, conformément à l’article 8, paragraphe 3, du règlement (UE) 2025/1106, la Commission est à même de confirmer que la demande satisfait aux conditions énoncées dans ledit règlement.</w:t>
      </w:r>
    </w:p>
    <w:p w:rsidR="00AE4AB6" w:rsidRPr="00484746" w:rsidRDefault="00801883" w:rsidP="00801883">
      <w:pPr>
        <w:pStyle w:val="Point0"/>
        <w:rPr>
          <w:noProof/>
        </w:rPr>
      </w:pPr>
      <w:r w:rsidRPr="00801883">
        <w:rPr>
          <w:noProof/>
        </w:rPr>
        <w:t>(9)</w:t>
      </w:r>
      <w:r w:rsidRPr="00801883">
        <w:rPr>
          <w:noProof/>
        </w:rPr>
        <w:tab/>
      </w:r>
      <w:r w:rsidR="00AE4AB6" w:rsidRPr="00484746">
        <w:rPr>
          <w:noProof/>
        </w:rPr>
        <w:t>Conformément à l’article 8, paragraphe 5, du règlement (UE) 2025/1106, la Commission a examiné les besoins de financement existants et attendus du Portugal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B877D0" w:rsidRPr="00484746" w:rsidRDefault="00801883" w:rsidP="00801883">
      <w:pPr>
        <w:pStyle w:val="Point0"/>
        <w:rPr>
          <w:noProof/>
          <w:szCs w:val="24"/>
        </w:rPr>
      </w:pPr>
      <w:r w:rsidRPr="00801883">
        <w:rPr>
          <w:noProof/>
        </w:rPr>
        <w:t>(10)</w:t>
      </w:r>
      <w:r w:rsidRPr="00801883">
        <w:rPr>
          <w:noProof/>
        </w:rPr>
        <w:tab/>
      </w:r>
      <w:r w:rsidR="00B877D0" w:rsidRPr="00484746">
        <w:rPr>
          <w:noProof/>
        </w:rPr>
        <w:t>La présente décision devrait s’entendre sans préjudice de l’obligation et de l’issue de toute procédure au titre du règlement (UE) 2024/1263 du Parlement européen et du Conseil</w:t>
      </w:r>
      <w:r w:rsidR="00B877D0" w:rsidRPr="00484746">
        <w:rPr>
          <w:rStyle w:val="FootnoteReference"/>
          <w:noProof/>
        </w:rPr>
        <w:footnoteReference w:id="2"/>
      </w:r>
      <w:r w:rsidR="00B877D0" w:rsidRPr="00484746">
        <w:rPr>
          <w:noProof/>
        </w:rPr>
        <w:t xml:space="preserve"> et du règlement (CE) nº 1467/97 du Conseil</w:t>
      </w:r>
      <w:r w:rsidR="00B877D0" w:rsidRPr="00484746">
        <w:rPr>
          <w:rStyle w:val="FootnoteReference"/>
          <w:noProof/>
        </w:rPr>
        <w:footnoteReference w:id="3"/>
      </w:r>
      <w:r w:rsidR="00B877D0" w:rsidRPr="00484746">
        <w:rPr>
          <w:noProof/>
        </w:rPr>
        <w:t>.</w:t>
      </w:r>
    </w:p>
    <w:p w:rsidR="00DD1E20" w:rsidRPr="00484746" w:rsidRDefault="00801883" w:rsidP="00801883">
      <w:pPr>
        <w:pStyle w:val="Point0"/>
        <w:rPr>
          <w:noProof/>
          <w:szCs w:val="24"/>
        </w:rPr>
      </w:pPr>
      <w:r w:rsidRPr="00801883">
        <w:rPr>
          <w:noProof/>
        </w:rPr>
        <w:t>(11)</w:t>
      </w:r>
      <w:r w:rsidRPr="00801883">
        <w:rPr>
          <w:noProof/>
        </w:rPr>
        <w:tab/>
      </w:r>
      <w:r w:rsidR="00DD1E20" w:rsidRPr="00484746">
        <w:rPr>
          <w:noProof/>
        </w:rPr>
        <w:t>La présente décision s’entend sans préjudice des règles pertinentes adoptées en vertu de l’article 322 du traité sur le fonctionnement de l’Union européenne (TFUE), en particulier le règlement financier et le règlement (UE, Euratom) 2020/2092 du Parlement européen et du Conseil</w:t>
      </w:r>
      <w:r w:rsidR="00DD1E20" w:rsidRPr="00484746">
        <w:rPr>
          <w:rStyle w:val="FootnoteReference"/>
          <w:noProof/>
        </w:rPr>
        <w:footnoteReference w:id="4"/>
      </w:r>
      <w:r w:rsidR="00DD1E20" w:rsidRPr="00484746">
        <w:rPr>
          <w:noProof/>
        </w:rPr>
        <w:t>. Conformément à l’article 10, paragraphe 2, du règlement SAFE, l’accord de prêt devrait définir toutes les mesures appropriées nécessaires à la protection des intérêts financiers de l’Union,</w:t>
      </w:r>
    </w:p>
    <w:p w:rsidR="00920595" w:rsidRPr="00484746" w:rsidRDefault="00920595" w:rsidP="00B20124">
      <w:pPr>
        <w:pStyle w:val="HeaderLandscape"/>
        <w:rPr>
          <w:noProof/>
        </w:rPr>
      </w:pPr>
      <w:r w:rsidRPr="00484746">
        <w:rPr>
          <w:noProof/>
        </w:rPr>
        <w:t xml:space="preserve">A ADOPTÉ LA PRÉSENTE DÉCISION: </w:t>
      </w:r>
    </w:p>
    <w:p w:rsidR="00B877D0" w:rsidRPr="00484746" w:rsidRDefault="00B877D0" w:rsidP="00B877D0">
      <w:pPr>
        <w:pStyle w:val="Titrearticle"/>
        <w:rPr>
          <w:noProof/>
        </w:rPr>
      </w:pPr>
      <w:bookmarkStart w:id="7" w:name="_Hlk218870749"/>
      <w:r w:rsidRPr="00484746">
        <w:rPr>
          <w:noProof/>
        </w:rPr>
        <w:t>Article premier</w:t>
      </w:r>
    </w:p>
    <w:bookmarkEnd w:id="7"/>
    <w:p w:rsidR="00920595" w:rsidRPr="00484746" w:rsidRDefault="00B877D0" w:rsidP="00D31C35">
      <w:pPr>
        <w:rPr>
          <w:rFonts w:eastAsia="Times New Roman"/>
          <w:noProof/>
        </w:rPr>
      </w:pPr>
      <w:r w:rsidRPr="00484746">
        <w:rPr>
          <w:noProof/>
        </w:rPr>
        <w:t>La demande d’assistance financière au titre de l’instrument «Agir pour la sécurité de l’Europe par le renforcement de l’industrie européenne de la défense» («instrument SAFE») présentée par le Portugal le 29 novembre 2025 remplit les conditions fixées dans le règlement (UE) 2025/1106, notamment celles prévues à l’article 4, à l’article 7, paragraphe 2, et à l’article 16.</w:t>
      </w:r>
    </w:p>
    <w:p w:rsidR="00920595" w:rsidRPr="00484746" w:rsidRDefault="00920595" w:rsidP="00D31C35">
      <w:pPr>
        <w:pStyle w:val="Titrearticle"/>
        <w:rPr>
          <w:noProof/>
        </w:rPr>
      </w:pPr>
      <w:r w:rsidRPr="00484746">
        <w:rPr>
          <w:noProof/>
        </w:rPr>
        <w:t>Article 2</w:t>
      </w:r>
    </w:p>
    <w:p w:rsidR="00920595" w:rsidRPr="00484746" w:rsidRDefault="00920595" w:rsidP="00D31C35">
      <w:pPr>
        <w:rPr>
          <w:noProof/>
        </w:rPr>
      </w:pPr>
      <w:r w:rsidRPr="00484746">
        <w:rPr>
          <w:noProof/>
        </w:rPr>
        <w:t>1. L’Union met à disposition du Portugal un prêt d’un montant maximal de 5 841 179 332,00 EUR.</w:t>
      </w:r>
    </w:p>
    <w:p w:rsidR="00920595" w:rsidRPr="00484746" w:rsidRDefault="00E53456" w:rsidP="00E53456">
      <w:pPr>
        <w:rPr>
          <w:noProof/>
          <w:highlight w:val="yellow"/>
        </w:rPr>
      </w:pPr>
      <w:r w:rsidRPr="00484746">
        <w:rPr>
          <w:noProof/>
        </w:rPr>
        <w:t>2. L’Union met le soutien sous forme de prêt à disposition du Portugal. Elle met à disposition un montant de 876 176 899,80 EUR sous forme d’un versement de préfinancement.</w:t>
      </w:r>
    </w:p>
    <w:p w:rsidR="00920595" w:rsidRPr="00484746" w:rsidRDefault="00920595" w:rsidP="00B37F45">
      <w:pPr>
        <w:pStyle w:val="Titrearticle"/>
        <w:rPr>
          <w:noProof/>
        </w:rPr>
      </w:pPr>
      <w:r w:rsidRPr="00484746">
        <w:rPr>
          <w:noProof/>
        </w:rPr>
        <w:t>Article 3</w:t>
      </w:r>
    </w:p>
    <w:p w:rsidR="00920595" w:rsidRPr="00484746" w:rsidRDefault="00920595" w:rsidP="00D31C35">
      <w:pPr>
        <w:rPr>
          <w:noProof/>
        </w:rPr>
      </w:pPr>
      <w:r w:rsidRPr="00484746">
        <w:rPr>
          <w:noProof/>
        </w:rPr>
        <w:t>La République portugaise est destinataire de la présente décision.</w:t>
      </w:r>
    </w:p>
    <w:p w:rsidR="00920595" w:rsidRPr="00484746" w:rsidRDefault="00484746" w:rsidP="00B37F45">
      <w:pPr>
        <w:pStyle w:val="Fait"/>
        <w:rPr>
          <w:noProof/>
        </w:rPr>
      </w:pPr>
      <w:r>
        <w:rPr>
          <w:noProof/>
        </w:rPr>
        <w:t>Fait à Bruxelles, le</w:t>
      </w:r>
    </w:p>
    <w:p w:rsidR="00920595" w:rsidRPr="00484746" w:rsidRDefault="00920595" w:rsidP="00B37F45">
      <w:pPr>
        <w:pStyle w:val="Institutionquisigne"/>
        <w:rPr>
          <w:noProof/>
        </w:rPr>
      </w:pPr>
      <w:r w:rsidRPr="00484746">
        <w:rPr>
          <w:noProof/>
        </w:rPr>
        <w:tab/>
        <w:t>Par le Conseil</w:t>
      </w:r>
    </w:p>
    <w:p w:rsidR="00920595" w:rsidRPr="00484746" w:rsidRDefault="00920595" w:rsidP="00D31C35">
      <w:pPr>
        <w:pStyle w:val="Personnequisigne"/>
        <w:rPr>
          <w:noProof/>
        </w:rPr>
      </w:pPr>
      <w:r w:rsidRPr="00484746">
        <w:rPr>
          <w:noProof/>
        </w:rPr>
        <w:tab/>
        <w:t>Le président/La présidente</w:t>
      </w:r>
    </w:p>
    <w:sectPr w:rsidR="00920595" w:rsidRPr="00484746" w:rsidSect="00A5104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04D" w:rsidRPr="00A5104D" w:rsidRDefault="00A5104D" w:rsidP="00A5104D">
    <w:pPr>
      <w:pStyle w:val="Footer"/>
      <w:rPr>
        <w:rFonts w:ascii="Arial" w:hAnsi="Arial" w:cs="Arial"/>
        <w:b/>
        <w:sz w:val="48"/>
      </w:rPr>
    </w:pPr>
    <w:r w:rsidRPr="00A5104D">
      <w:rPr>
        <w:rFonts w:ascii="Arial" w:hAnsi="Arial" w:cs="Arial"/>
        <w:b/>
        <w:sz w:val="48"/>
      </w:rPr>
      <w:t>FR</w:t>
    </w:r>
    <w:r w:rsidRPr="00A5104D">
      <w:rPr>
        <w:rFonts w:ascii="Arial" w:hAnsi="Arial" w:cs="Arial"/>
        <w:b/>
        <w:sz w:val="48"/>
      </w:rPr>
      <w:tab/>
    </w:r>
    <w:r w:rsidRPr="00A5104D">
      <w:rPr>
        <w:rFonts w:ascii="Arial" w:hAnsi="Arial" w:cs="Arial"/>
        <w:b/>
        <w:sz w:val="48"/>
      </w:rPr>
      <w:tab/>
    </w:r>
    <w:r w:rsidRPr="00A5104D">
      <w:tab/>
    </w:r>
    <w:r w:rsidRPr="00A5104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04D" w:rsidRPr="00A5104D" w:rsidRDefault="00A5104D" w:rsidP="00A5104D">
    <w:pPr>
      <w:pStyle w:val="Footer"/>
      <w:rPr>
        <w:rFonts w:ascii="Arial" w:hAnsi="Arial" w:cs="Arial"/>
        <w:b/>
        <w:sz w:val="48"/>
      </w:rPr>
    </w:pPr>
    <w:r w:rsidRPr="00A5104D">
      <w:rPr>
        <w:rFonts w:ascii="Arial" w:hAnsi="Arial" w:cs="Arial"/>
        <w:b/>
        <w:sz w:val="48"/>
      </w:rPr>
      <w:t>FR</w:t>
    </w:r>
    <w:r w:rsidRPr="00A5104D">
      <w:rPr>
        <w:rFonts w:ascii="Arial" w:hAnsi="Arial" w:cs="Arial"/>
        <w:b/>
        <w:sz w:val="48"/>
      </w:rPr>
      <w:tab/>
    </w:r>
    <w:r w:rsidRPr="00A5104D">
      <w:rPr>
        <w:rFonts w:ascii="Arial" w:hAnsi="Arial" w:cs="Arial"/>
        <w:b/>
        <w:sz w:val="48"/>
      </w:rPr>
      <w:tab/>
    </w:r>
    <w:r w:rsidRPr="00A5104D">
      <w:tab/>
    </w:r>
    <w:r w:rsidRPr="00A5104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04D" w:rsidRDefault="00A510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04D" w:rsidRPr="00A5104D" w:rsidRDefault="00A5104D" w:rsidP="00A5104D">
    <w:pPr>
      <w:pStyle w:val="Footer"/>
      <w:rPr>
        <w:rFonts w:ascii="Arial" w:hAnsi="Arial" w:cs="Arial"/>
        <w:b/>
        <w:sz w:val="48"/>
      </w:rPr>
    </w:pPr>
    <w:r w:rsidRPr="00A5104D">
      <w:rPr>
        <w:rFonts w:ascii="Arial" w:hAnsi="Arial" w:cs="Arial"/>
        <w:b/>
        <w:sz w:val="48"/>
      </w:rPr>
      <w:t>FR</w:t>
    </w:r>
    <w:r w:rsidRPr="00A5104D">
      <w:rPr>
        <w:rFonts w:ascii="Arial" w:hAnsi="Arial" w:cs="Arial"/>
        <w:b/>
        <w:sz w:val="48"/>
      </w:rPr>
      <w:tab/>
    </w:r>
    <w:r>
      <w:fldChar w:fldCharType="begin"/>
    </w:r>
    <w:r>
      <w:instrText xml:space="preserve"> PAGE  \* MERGEFORMAT </w:instrText>
    </w:r>
    <w:r>
      <w:fldChar w:fldCharType="separate"/>
    </w:r>
    <w:r w:rsidR="00B37F45">
      <w:rPr>
        <w:noProof/>
      </w:rPr>
      <w:t>3</w:t>
    </w:r>
    <w:r>
      <w:fldChar w:fldCharType="end"/>
    </w:r>
    <w:r>
      <w:tab/>
    </w:r>
    <w:r w:rsidRPr="00A5104D">
      <w:tab/>
    </w:r>
    <w:r w:rsidRPr="00A5104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04D" w:rsidRDefault="00A5104D" w:rsidP="00A51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484746" w:rsidRDefault="00B877D0" w:rsidP="00B877D0">
      <w:pPr>
        <w:pStyle w:val="FootnoteText"/>
        <w:rPr>
          <w:lang w:val="fr-BE"/>
        </w:rPr>
      </w:pPr>
      <w:r>
        <w:rPr>
          <w:rStyle w:val="FootnoteReference"/>
        </w:rPr>
        <w:footnoteRef/>
      </w:r>
      <w:r w:rsidRPr="00484746">
        <w:rPr>
          <w:lang w:val="fr-BE"/>
        </w:rPr>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484746">
          <w:rPr>
            <w:rStyle w:val="Hyperlink"/>
            <w:lang w:val="fr-BE"/>
          </w:rPr>
          <w:t>http://data.europa.eu/eli/reg/2025/1106/oj</w:t>
        </w:r>
      </w:hyperlink>
      <w:r w:rsidRPr="00484746">
        <w:rPr>
          <w:lang w:val="fr-BE"/>
        </w:rPr>
        <w:t>).</w:t>
      </w:r>
    </w:p>
  </w:footnote>
  <w:footnote w:id="2">
    <w:p w:rsidR="00B877D0" w:rsidRPr="00484746" w:rsidRDefault="00B877D0" w:rsidP="00B877D0">
      <w:pPr>
        <w:pStyle w:val="FootnoteText"/>
        <w:rPr>
          <w:lang w:val="fr-BE"/>
        </w:rPr>
      </w:pPr>
      <w:r>
        <w:rPr>
          <w:rStyle w:val="FootnoteReference"/>
        </w:rPr>
        <w:footnoteRef/>
      </w:r>
      <w:r w:rsidRPr="00484746">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484746">
          <w:rPr>
            <w:rStyle w:val="Hyperlink"/>
            <w:lang w:val="fr-BE"/>
          </w:rPr>
          <w:t>http://data.europa.eu/eli/reg/2024/1263/oj</w:t>
        </w:r>
      </w:hyperlink>
      <w:r w:rsidRPr="00484746">
        <w:rPr>
          <w:lang w:val="fr-BE"/>
        </w:rPr>
        <w:t>).</w:t>
      </w:r>
    </w:p>
  </w:footnote>
  <w:footnote w:id="3">
    <w:p w:rsidR="00B877D0" w:rsidRPr="00484746" w:rsidRDefault="00B877D0" w:rsidP="00B877D0">
      <w:pPr>
        <w:pStyle w:val="FootnoteText"/>
        <w:rPr>
          <w:lang w:val="fr-BE"/>
        </w:rPr>
      </w:pPr>
      <w:r>
        <w:rPr>
          <w:rStyle w:val="FootnoteReference"/>
        </w:rPr>
        <w:footnoteRef/>
      </w:r>
      <w:r w:rsidRPr="00484746">
        <w:rPr>
          <w:lang w:val="fr-BE"/>
        </w:rPr>
        <w:tab/>
        <w:t>Règlement (CE) nº 1467/97 du Conseil du 7 juillet 1997 visant à accélérer et à clarifier la mise en œuvre de la procédure concernant les déficits excessifs (JO L 209 du 2.8.1997, p. 6, ELI: http://data.europa.eu/eli/reg/1997/1467/oj).</w:t>
      </w:r>
    </w:p>
  </w:footnote>
  <w:footnote w:id="4">
    <w:p w:rsidR="00DD1E20" w:rsidRPr="00484746" w:rsidRDefault="00DD1E20" w:rsidP="00DD1E20">
      <w:pPr>
        <w:pStyle w:val="FootnoteText"/>
        <w:rPr>
          <w:lang w:val="fr-BE"/>
        </w:rPr>
      </w:pPr>
      <w:r>
        <w:rPr>
          <w:rStyle w:val="FootnoteReference"/>
        </w:rPr>
        <w:footnoteRef/>
      </w:r>
      <w:r w:rsidRPr="00484746">
        <w:rPr>
          <w:lang w:val="fr-BE"/>
        </w:rPr>
        <w:tab/>
        <w:t>Règlement (UE, Euratom) 2024/2509 du Parlement européen et du Conseil du 23 septembre 2024 relatif aux règles financières applicables au budget général de l’Union (JO L, 2024/2509, 26.9.2024) et règlement (UE, Euratom) 2020/2092 du Parlement européen et du Conseil du 16 décembre 2020 relatif à un régime général de conditionnalité pour la protection du budget de l’Union (JO L 433I du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04D" w:rsidRDefault="00A510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04D" w:rsidRDefault="00A510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2 19:04: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05BB2B0-DEB5-4ED2-8210-E08EB888CDA6"/>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16"/>
    <w:docVar w:name="LW_REF.II.NEW.CP_YEAR" w:val="2026"/>
    <w:docVar w:name="LW_REF.INST.NEW" w:val="COM"/>
    <w:docVar w:name="LW_REF.INST.NEW_ADOPTED" w:val="final"/>
    <w:docVar w:name="LW_REF.INST.NEW_TEXT" w:val="(2026) 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e Portugal"/>
    <w:docVar w:name="LW_TYPE.DOC.CP" w:val="DÉCISION D\u8217?EXÉCUTION DU CONSEIL"/>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34E5"/>
    <w:rsid w:val="0008275D"/>
    <w:rsid w:val="00084F77"/>
    <w:rsid w:val="00085500"/>
    <w:rsid w:val="000A094F"/>
    <w:rsid w:val="000B3287"/>
    <w:rsid w:val="000C3D45"/>
    <w:rsid w:val="000C6756"/>
    <w:rsid w:val="000D7D98"/>
    <w:rsid w:val="00101BF0"/>
    <w:rsid w:val="00102573"/>
    <w:rsid w:val="001065F5"/>
    <w:rsid w:val="00106A2F"/>
    <w:rsid w:val="00120CA5"/>
    <w:rsid w:val="00121EC4"/>
    <w:rsid w:val="001238EF"/>
    <w:rsid w:val="001329FA"/>
    <w:rsid w:val="00132A96"/>
    <w:rsid w:val="001441D7"/>
    <w:rsid w:val="00154E62"/>
    <w:rsid w:val="00160BC8"/>
    <w:rsid w:val="00162A07"/>
    <w:rsid w:val="001727F5"/>
    <w:rsid w:val="001745FC"/>
    <w:rsid w:val="00175CE7"/>
    <w:rsid w:val="00197613"/>
    <w:rsid w:val="001A2B5B"/>
    <w:rsid w:val="001A32E0"/>
    <w:rsid w:val="001A3BCF"/>
    <w:rsid w:val="001C0950"/>
    <w:rsid w:val="001C2E71"/>
    <w:rsid w:val="001E37DF"/>
    <w:rsid w:val="001E76BC"/>
    <w:rsid w:val="001F7F53"/>
    <w:rsid w:val="00210512"/>
    <w:rsid w:val="00215E60"/>
    <w:rsid w:val="00222DD0"/>
    <w:rsid w:val="00224C1F"/>
    <w:rsid w:val="0022590B"/>
    <w:rsid w:val="0023343F"/>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245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A507B"/>
    <w:rsid w:val="003B3980"/>
    <w:rsid w:val="003B3D76"/>
    <w:rsid w:val="003B4D33"/>
    <w:rsid w:val="003B5531"/>
    <w:rsid w:val="003B6926"/>
    <w:rsid w:val="003C07A7"/>
    <w:rsid w:val="003C702A"/>
    <w:rsid w:val="003C78CC"/>
    <w:rsid w:val="003D44C1"/>
    <w:rsid w:val="003E04C7"/>
    <w:rsid w:val="0040604C"/>
    <w:rsid w:val="004203E0"/>
    <w:rsid w:val="004220AD"/>
    <w:rsid w:val="00422C20"/>
    <w:rsid w:val="0042648E"/>
    <w:rsid w:val="00427ED6"/>
    <w:rsid w:val="004337FD"/>
    <w:rsid w:val="00462B13"/>
    <w:rsid w:val="00464C84"/>
    <w:rsid w:val="004656DA"/>
    <w:rsid w:val="00467087"/>
    <w:rsid w:val="0046771E"/>
    <w:rsid w:val="004719C4"/>
    <w:rsid w:val="00474A5D"/>
    <w:rsid w:val="00484746"/>
    <w:rsid w:val="00486BAC"/>
    <w:rsid w:val="004936D2"/>
    <w:rsid w:val="004A1CA7"/>
    <w:rsid w:val="004A3C4E"/>
    <w:rsid w:val="004A4627"/>
    <w:rsid w:val="004B053E"/>
    <w:rsid w:val="004B0948"/>
    <w:rsid w:val="004B525C"/>
    <w:rsid w:val="004C2FFE"/>
    <w:rsid w:val="004C4ED2"/>
    <w:rsid w:val="004C6A80"/>
    <w:rsid w:val="004E0C4C"/>
    <w:rsid w:val="004E5A78"/>
    <w:rsid w:val="004F2D0F"/>
    <w:rsid w:val="004F34AE"/>
    <w:rsid w:val="005136DE"/>
    <w:rsid w:val="00514EC4"/>
    <w:rsid w:val="0051597B"/>
    <w:rsid w:val="00517C38"/>
    <w:rsid w:val="00525C30"/>
    <w:rsid w:val="005326BD"/>
    <w:rsid w:val="005338EE"/>
    <w:rsid w:val="005370E0"/>
    <w:rsid w:val="00554E71"/>
    <w:rsid w:val="00563676"/>
    <w:rsid w:val="00567388"/>
    <w:rsid w:val="00576487"/>
    <w:rsid w:val="00582547"/>
    <w:rsid w:val="005829EE"/>
    <w:rsid w:val="005A2D96"/>
    <w:rsid w:val="005B1EB6"/>
    <w:rsid w:val="005B23A5"/>
    <w:rsid w:val="005B5370"/>
    <w:rsid w:val="005B63E2"/>
    <w:rsid w:val="005D0FC9"/>
    <w:rsid w:val="005D1F90"/>
    <w:rsid w:val="005E4A2F"/>
    <w:rsid w:val="005E68EB"/>
    <w:rsid w:val="005F62F4"/>
    <w:rsid w:val="0061287A"/>
    <w:rsid w:val="0061326F"/>
    <w:rsid w:val="00625F6A"/>
    <w:rsid w:val="0063593A"/>
    <w:rsid w:val="00647F57"/>
    <w:rsid w:val="00653DA2"/>
    <w:rsid w:val="006547C6"/>
    <w:rsid w:val="00671DCA"/>
    <w:rsid w:val="006743AD"/>
    <w:rsid w:val="006746B5"/>
    <w:rsid w:val="00683CE7"/>
    <w:rsid w:val="006958C5"/>
    <w:rsid w:val="0069594B"/>
    <w:rsid w:val="006972E9"/>
    <w:rsid w:val="006C00A7"/>
    <w:rsid w:val="006C5866"/>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371E3"/>
    <w:rsid w:val="00742314"/>
    <w:rsid w:val="00764997"/>
    <w:rsid w:val="00773331"/>
    <w:rsid w:val="00780678"/>
    <w:rsid w:val="0078224A"/>
    <w:rsid w:val="007872CA"/>
    <w:rsid w:val="007913C6"/>
    <w:rsid w:val="0079286A"/>
    <w:rsid w:val="007932EF"/>
    <w:rsid w:val="0079339C"/>
    <w:rsid w:val="007B5A04"/>
    <w:rsid w:val="007C0CB8"/>
    <w:rsid w:val="007C4B72"/>
    <w:rsid w:val="007D63F2"/>
    <w:rsid w:val="007D7D8B"/>
    <w:rsid w:val="007E05B0"/>
    <w:rsid w:val="007E28E0"/>
    <w:rsid w:val="007E475D"/>
    <w:rsid w:val="007F22EB"/>
    <w:rsid w:val="00801883"/>
    <w:rsid w:val="00815F5B"/>
    <w:rsid w:val="0081616B"/>
    <w:rsid w:val="00823DF6"/>
    <w:rsid w:val="00824065"/>
    <w:rsid w:val="00824DF8"/>
    <w:rsid w:val="0083135C"/>
    <w:rsid w:val="00855816"/>
    <w:rsid w:val="00855B01"/>
    <w:rsid w:val="0087203A"/>
    <w:rsid w:val="0087318A"/>
    <w:rsid w:val="00874D22"/>
    <w:rsid w:val="00887F76"/>
    <w:rsid w:val="008A1986"/>
    <w:rsid w:val="008A2914"/>
    <w:rsid w:val="008A5A22"/>
    <w:rsid w:val="008A65FB"/>
    <w:rsid w:val="008B3381"/>
    <w:rsid w:val="008B3E15"/>
    <w:rsid w:val="008C5AEE"/>
    <w:rsid w:val="008C5B6D"/>
    <w:rsid w:val="008E4C53"/>
    <w:rsid w:val="008E4D8E"/>
    <w:rsid w:val="008F232D"/>
    <w:rsid w:val="0090283E"/>
    <w:rsid w:val="00911264"/>
    <w:rsid w:val="00915191"/>
    <w:rsid w:val="00920595"/>
    <w:rsid w:val="00922DB7"/>
    <w:rsid w:val="00930F91"/>
    <w:rsid w:val="00943323"/>
    <w:rsid w:val="00960AEB"/>
    <w:rsid w:val="009615F9"/>
    <w:rsid w:val="00964FD6"/>
    <w:rsid w:val="00973318"/>
    <w:rsid w:val="00990A08"/>
    <w:rsid w:val="00995282"/>
    <w:rsid w:val="0099627F"/>
    <w:rsid w:val="009B28B1"/>
    <w:rsid w:val="009C128D"/>
    <w:rsid w:val="009C3F06"/>
    <w:rsid w:val="009D126D"/>
    <w:rsid w:val="009F755E"/>
    <w:rsid w:val="00A101B8"/>
    <w:rsid w:val="00A10FC7"/>
    <w:rsid w:val="00A12687"/>
    <w:rsid w:val="00A21E11"/>
    <w:rsid w:val="00A22507"/>
    <w:rsid w:val="00A23C77"/>
    <w:rsid w:val="00A26901"/>
    <w:rsid w:val="00A33427"/>
    <w:rsid w:val="00A42D5C"/>
    <w:rsid w:val="00A5104D"/>
    <w:rsid w:val="00A6328F"/>
    <w:rsid w:val="00A6623D"/>
    <w:rsid w:val="00A70346"/>
    <w:rsid w:val="00A71B03"/>
    <w:rsid w:val="00A77164"/>
    <w:rsid w:val="00A85F9B"/>
    <w:rsid w:val="00A87B26"/>
    <w:rsid w:val="00A920D1"/>
    <w:rsid w:val="00A9224A"/>
    <w:rsid w:val="00A97B21"/>
    <w:rsid w:val="00AA168E"/>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178C9"/>
    <w:rsid w:val="00B20124"/>
    <w:rsid w:val="00B30909"/>
    <w:rsid w:val="00B34A53"/>
    <w:rsid w:val="00B34EDF"/>
    <w:rsid w:val="00B37F45"/>
    <w:rsid w:val="00B459FD"/>
    <w:rsid w:val="00B47D28"/>
    <w:rsid w:val="00B5303B"/>
    <w:rsid w:val="00B860E3"/>
    <w:rsid w:val="00B8740E"/>
    <w:rsid w:val="00B877D0"/>
    <w:rsid w:val="00B922AB"/>
    <w:rsid w:val="00B938D8"/>
    <w:rsid w:val="00BA723C"/>
    <w:rsid w:val="00BB1994"/>
    <w:rsid w:val="00BB5431"/>
    <w:rsid w:val="00BB7E54"/>
    <w:rsid w:val="00BC2651"/>
    <w:rsid w:val="00BC3714"/>
    <w:rsid w:val="00BC41C7"/>
    <w:rsid w:val="00BD2A7B"/>
    <w:rsid w:val="00BD389C"/>
    <w:rsid w:val="00BD7C53"/>
    <w:rsid w:val="00BE4A26"/>
    <w:rsid w:val="00C020B0"/>
    <w:rsid w:val="00C063A8"/>
    <w:rsid w:val="00C06C69"/>
    <w:rsid w:val="00C12301"/>
    <w:rsid w:val="00C17991"/>
    <w:rsid w:val="00C22A1C"/>
    <w:rsid w:val="00C3233E"/>
    <w:rsid w:val="00C360CC"/>
    <w:rsid w:val="00C373E3"/>
    <w:rsid w:val="00C45188"/>
    <w:rsid w:val="00C64AA0"/>
    <w:rsid w:val="00C75322"/>
    <w:rsid w:val="00C760F6"/>
    <w:rsid w:val="00C8524B"/>
    <w:rsid w:val="00C85A96"/>
    <w:rsid w:val="00C86A9C"/>
    <w:rsid w:val="00C86EB6"/>
    <w:rsid w:val="00C907D7"/>
    <w:rsid w:val="00CA7B94"/>
    <w:rsid w:val="00CB4A09"/>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2D13"/>
    <w:rsid w:val="00D17151"/>
    <w:rsid w:val="00D20381"/>
    <w:rsid w:val="00D23467"/>
    <w:rsid w:val="00D2376C"/>
    <w:rsid w:val="00D30D0F"/>
    <w:rsid w:val="00D31581"/>
    <w:rsid w:val="00D31C35"/>
    <w:rsid w:val="00D44A8A"/>
    <w:rsid w:val="00D55690"/>
    <w:rsid w:val="00D5635C"/>
    <w:rsid w:val="00D601C5"/>
    <w:rsid w:val="00D622C1"/>
    <w:rsid w:val="00D761A7"/>
    <w:rsid w:val="00D762B1"/>
    <w:rsid w:val="00D807AE"/>
    <w:rsid w:val="00D87B8E"/>
    <w:rsid w:val="00DB457E"/>
    <w:rsid w:val="00DD0804"/>
    <w:rsid w:val="00DD1E20"/>
    <w:rsid w:val="00DD6FA8"/>
    <w:rsid w:val="00DE10A2"/>
    <w:rsid w:val="00DE491C"/>
    <w:rsid w:val="00DE6B69"/>
    <w:rsid w:val="00DF4808"/>
    <w:rsid w:val="00DF485D"/>
    <w:rsid w:val="00DF67CF"/>
    <w:rsid w:val="00E0508F"/>
    <w:rsid w:val="00E10169"/>
    <w:rsid w:val="00E12876"/>
    <w:rsid w:val="00E13151"/>
    <w:rsid w:val="00E17287"/>
    <w:rsid w:val="00E218A1"/>
    <w:rsid w:val="00E25DB1"/>
    <w:rsid w:val="00E31786"/>
    <w:rsid w:val="00E33132"/>
    <w:rsid w:val="00E33907"/>
    <w:rsid w:val="00E452B7"/>
    <w:rsid w:val="00E53456"/>
    <w:rsid w:val="00E53B7D"/>
    <w:rsid w:val="00E62214"/>
    <w:rsid w:val="00E664ED"/>
    <w:rsid w:val="00E72DC8"/>
    <w:rsid w:val="00E74E62"/>
    <w:rsid w:val="00EA47FF"/>
    <w:rsid w:val="00EA5DDF"/>
    <w:rsid w:val="00EA5EAB"/>
    <w:rsid w:val="00EB604B"/>
    <w:rsid w:val="00EC65F1"/>
    <w:rsid w:val="00ED667C"/>
    <w:rsid w:val="00EE620D"/>
    <w:rsid w:val="00EE6EFF"/>
    <w:rsid w:val="00F02A7C"/>
    <w:rsid w:val="00F02CCD"/>
    <w:rsid w:val="00F0379A"/>
    <w:rsid w:val="00F07502"/>
    <w:rsid w:val="00F1017E"/>
    <w:rsid w:val="00F12C99"/>
    <w:rsid w:val="00F26003"/>
    <w:rsid w:val="00F36D7C"/>
    <w:rsid w:val="00F521DB"/>
    <w:rsid w:val="00F5343C"/>
    <w:rsid w:val="00F55211"/>
    <w:rsid w:val="00F60C88"/>
    <w:rsid w:val="00F6721B"/>
    <w:rsid w:val="00F7715C"/>
    <w:rsid w:val="00F822C9"/>
    <w:rsid w:val="00F93286"/>
    <w:rsid w:val="00F9366A"/>
    <w:rsid w:val="00F9659C"/>
    <w:rsid w:val="00FA0913"/>
    <w:rsid w:val="00FA1AFA"/>
    <w:rsid w:val="00FA4D60"/>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A5104D"/>
    <w:rPr>
      <w:rFonts w:ascii="Times New Roman" w:hAnsi="Times New Roman" w:cs="Times New Roman"/>
      <w:sz w:val="24"/>
      <w:lang w:val="fr-FR"/>
    </w:rPr>
  </w:style>
  <w:style w:type="character" w:customStyle="1" w:styleId="FooterChar">
    <w:name w:val="Footer Char"/>
    <w:basedOn w:val="DefaultParagraphFont"/>
    <w:link w:val="Footer"/>
    <w:uiPriority w:val="99"/>
    <w:rsid w:val="00A5104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5104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5104D"/>
    <w:pPr>
      <w:spacing w:before="0"/>
      <w:jc w:val="right"/>
    </w:pPr>
    <w:rPr>
      <w:sz w:val="28"/>
    </w:rPr>
  </w:style>
  <w:style w:type="paragraph" w:customStyle="1" w:styleId="FooterSensitivity">
    <w:name w:val="Footer Sensitivity"/>
    <w:basedOn w:val="Normal"/>
    <w:rsid w:val="00A5104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5104D"/>
    <w:pPr>
      <w:tabs>
        <w:tab w:val="center" w:pos="4535"/>
        <w:tab w:val="right" w:pos="9071"/>
      </w:tabs>
      <w:spacing w:before="0"/>
    </w:pPr>
  </w:style>
  <w:style w:type="paragraph" w:customStyle="1" w:styleId="HeaderLandscape">
    <w:name w:val="HeaderLandscape"/>
    <w:basedOn w:val="Normal"/>
    <w:rsid w:val="00A5104D"/>
    <w:pPr>
      <w:tabs>
        <w:tab w:val="center" w:pos="7285"/>
        <w:tab w:val="right" w:pos="14003"/>
      </w:tabs>
      <w:spacing w:before="0"/>
    </w:pPr>
  </w:style>
  <w:style w:type="paragraph" w:styleId="Footer">
    <w:name w:val="footer"/>
    <w:basedOn w:val="Normal"/>
    <w:link w:val="FooterChar"/>
    <w:uiPriority w:val="99"/>
    <w:unhideWhenUsed/>
    <w:rsid w:val="00A5104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5104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F3D5B4AF-AD8D-41BB-ACCD-406EBC2F7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4</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2026-01-14T14:28:00Z</dcterms:created>
  <dcterms:modified xsi:type="dcterms:W3CDTF">2026-01-22T18:04:00Z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