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F00" w:rsidRPr="00E52BFA" w:rsidRDefault="00F13E3A" w:rsidP="00F13E3A">
      <w:pPr>
        <w:pStyle w:val="Pagedecouverture"/>
        <w:rPr>
          <w:noProof/>
          <w:lang w:val="en-IE"/>
        </w:rPr>
      </w:pPr>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1E5DCFE-D7C9-4F8A-9301-83DB8E37A4C6" style="width:455.25pt;height:399pt">
            <v:imagedata r:id="rId8" o:title=""/>
          </v:shape>
        </w:pict>
      </w:r>
    </w:p>
    <w:p w:rsidR="00682F00" w:rsidRPr="00E52BFA" w:rsidRDefault="00682F00" w:rsidP="00682F00">
      <w:pPr>
        <w:rPr>
          <w:noProof/>
          <w:lang w:val="en-IE"/>
        </w:rPr>
        <w:sectPr w:rsidR="00682F00" w:rsidRPr="00E52BFA" w:rsidSect="00F13E3A">
          <w:footerReference w:type="even" r:id="rId9"/>
          <w:footerReference w:type="default" r:id="rId10"/>
          <w:pgSz w:w="11907" w:h="16839"/>
          <w:pgMar w:top="1134" w:right="1417" w:bottom="1134" w:left="1417" w:header="709" w:footer="709" w:gutter="0"/>
          <w:pgNumType w:start="0"/>
          <w:cols w:space="720"/>
          <w:docGrid w:linePitch="360"/>
        </w:sectPr>
      </w:pPr>
    </w:p>
    <w:p w:rsidR="00682F00" w:rsidRPr="00E52BFA" w:rsidRDefault="00682F00" w:rsidP="00817FA5">
      <w:pPr>
        <w:pStyle w:val="Exposdesmotifstitre"/>
        <w:rPr>
          <w:noProof/>
          <w:lang w:val="en-IE"/>
        </w:rPr>
      </w:pPr>
      <w:bookmarkStart w:id="0" w:name="_GoBack"/>
      <w:bookmarkEnd w:id="0"/>
      <w:r w:rsidRPr="00E52BFA">
        <w:rPr>
          <w:noProof/>
          <w:lang w:val="en-IE"/>
        </w:rPr>
        <w:lastRenderedPageBreak/>
        <w:t>EXPLANATORY MEMORANDUM</w:t>
      </w:r>
    </w:p>
    <w:p w:rsidR="00682F00" w:rsidRPr="00E52BFA" w:rsidRDefault="00682F00" w:rsidP="00ED1ADE">
      <w:pPr>
        <w:pStyle w:val="ManualHeading1"/>
        <w:rPr>
          <w:rFonts w:eastAsia="Arial Unicode MS"/>
          <w:noProof/>
          <w:lang w:val="en-IE"/>
        </w:rPr>
      </w:pPr>
      <w:r>
        <w:rPr>
          <w:noProof/>
        </w:rPr>
        <w:t>1.</w:t>
      </w:r>
      <w:r>
        <w:rPr>
          <w:noProof/>
        </w:rPr>
        <w:tab/>
      </w:r>
      <w:r w:rsidRPr="00E52BFA">
        <w:rPr>
          <w:rFonts w:eastAsia="Arial Unicode MS"/>
          <w:noProof/>
          <w:lang w:val="en-IE"/>
        </w:rPr>
        <w:t>Subject matter of the proposal</w:t>
      </w:r>
    </w:p>
    <w:p w:rsidR="00682F00" w:rsidRPr="00E52BFA" w:rsidRDefault="00682F00" w:rsidP="00817FA5">
      <w:pPr>
        <w:rPr>
          <w:rFonts w:eastAsia="Arial Unicode MS"/>
          <w:noProof/>
          <w:lang w:val="en-IE"/>
        </w:rPr>
      </w:pPr>
      <w:r w:rsidRPr="00E52BFA">
        <w:rPr>
          <w:rFonts w:eastAsia="Arial Unicode MS"/>
          <w:noProof/>
          <w:lang w:val="en-IE"/>
        </w:rPr>
        <w:t xml:space="preserve">This proposal concerns the </w:t>
      </w:r>
      <w:r w:rsidR="00584AEF">
        <w:rPr>
          <w:rFonts w:eastAsia="Arial Unicode MS"/>
          <w:noProof/>
          <w:lang w:val="en-IE"/>
        </w:rPr>
        <w:t>D</w:t>
      </w:r>
      <w:r w:rsidRPr="00E52BFA">
        <w:rPr>
          <w:rFonts w:eastAsia="Arial Unicode MS"/>
          <w:noProof/>
          <w:lang w:val="en-IE"/>
        </w:rPr>
        <w:t xml:space="preserve">ecision establishing the position to be taken on </w:t>
      </w:r>
      <w:r w:rsidR="00090E4E">
        <w:rPr>
          <w:rFonts w:eastAsia="Arial Unicode MS"/>
          <w:noProof/>
          <w:lang w:val="en-IE"/>
        </w:rPr>
        <w:t xml:space="preserve">behalf of the European Union </w:t>
      </w:r>
      <w:r w:rsidR="00F412B9" w:rsidRPr="00E52BFA">
        <w:rPr>
          <w:rFonts w:eastAsia="Arial Unicode MS"/>
          <w:noProof/>
          <w:lang w:val="en-IE"/>
        </w:rPr>
        <w:t xml:space="preserve">in the Trade Committee set up by the </w:t>
      </w:r>
      <w:bookmarkStart w:id="1" w:name="_Hlk201222973"/>
      <w:r w:rsidR="00F412B9" w:rsidRPr="00E52BFA">
        <w:rPr>
          <w:rFonts w:eastAsia="Arial Unicode MS"/>
          <w:noProof/>
          <w:lang w:val="en-IE"/>
        </w:rPr>
        <w:t xml:space="preserve">Free Trade Agreement between the European Union and its Member States, of the one part, and the Republic of Korea, of the other part </w:t>
      </w:r>
      <w:bookmarkEnd w:id="1"/>
      <w:r w:rsidR="00F412B9" w:rsidRPr="00E52BFA">
        <w:rPr>
          <w:rFonts w:eastAsia="Arial Unicode MS"/>
          <w:noProof/>
          <w:lang w:val="en-IE"/>
        </w:rPr>
        <w:t xml:space="preserve">(hereinafter referred to as "Agreement"), as regards the </w:t>
      </w:r>
      <w:r w:rsidRPr="00E52BFA">
        <w:rPr>
          <w:rFonts w:eastAsia="Arial Unicode MS"/>
          <w:noProof/>
          <w:lang w:val="en-IE"/>
        </w:rPr>
        <w:t xml:space="preserve">envisaged adoption of </w:t>
      </w:r>
      <w:r w:rsidR="002F0DE3" w:rsidRPr="00E52BFA">
        <w:rPr>
          <w:noProof/>
          <w:lang w:val="en-IE"/>
        </w:rPr>
        <w:t xml:space="preserve">two </w:t>
      </w:r>
      <w:r w:rsidR="00F412B9" w:rsidRPr="00E52BFA">
        <w:rPr>
          <w:noProof/>
          <w:lang w:val="en-IE"/>
        </w:rPr>
        <w:t>decision</w:t>
      </w:r>
      <w:r w:rsidR="002F0DE3" w:rsidRPr="00E52BFA">
        <w:rPr>
          <w:noProof/>
          <w:lang w:val="en-IE"/>
        </w:rPr>
        <w:t>s</w:t>
      </w:r>
      <w:r w:rsidR="00F412B9" w:rsidRPr="00E52BFA">
        <w:rPr>
          <w:noProof/>
          <w:lang w:val="en-IE"/>
        </w:rPr>
        <w:t xml:space="preserve"> </w:t>
      </w:r>
      <w:r w:rsidR="00817FA5" w:rsidRPr="00E52BFA">
        <w:rPr>
          <w:noProof/>
          <w:lang w:val="en-IE"/>
        </w:rPr>
        <w:t xml:space="preserve">of the Trade Committee </w:t>
      </w:r>
      <w:r w:rsidR="00F412B9" w:rsidRPr="00E52BFA">
        <w:rPr>
          <w:noProof/>
          <w:lang w:val="en-IE"/>
        </w:rPr>
        <w:t xml:space="preserve">concerning the </w:t>
      </w:r>
      <w:r w:rsidR="00F412B9" w:rsidRPr="00E52BFA">
        <w:rPr>
          <w:rFonts w:eastAsia="Arial Unicode MS"/>
          <w:noProof/>
          <w:lang w:val="en-IE"/>
        </w:rPr>
        <w:t xml:space="preserve">revision of the list of individuals who are willing and able to serve as arbitrators in accordance with Article 14.18 of the Agreement </w:t>
      </w:r>
      <w:r w:rsidR="00584AEF">
        <w:rPr>
          <w:rFonts w:eastAsia="Arial Unicode MS"/>
          <w:noProof/>
          <w:lang w:val="en-IE"/>
        </w:rPr>
        <w:t xml:space="preserve">(general dispute settlement procedure) </w:t>
      </w:r>
      <w:r w:rsidR="00F412B9" w:rsidRPr="00E52BFA">
        <w:rPr>
          <w:rFonts w:eastAsia="Arial Unicode MS"/>
          <w:noProof/>
          <w:lang w:val="en-IE"/>
        </w:rPr>
        <w:t xml:space="preserve">and the revision of the list of experts </w:t>
      </w:r>
      <w:r w:rsidR="003D2908">
        <w:rPr>
          <w:rFonts w:eastAsia="Arial Unicode MS"/>
          <w:noProof/>
          <w:lang w:val="en-IE"/>
        </w:rPr>
        <w:t xml:space="preserve">who are </w:t>
      </w:r>
      <w:r w:rsidR="00F412B9" w:rsidRPr="00E52BFA">
        <w:rPr>
          <w:rFonts w:eastAsia="Arial Unicode MS"/>
          <w:noProof/>
          <w:lang w:val="en-IE"/>
        </w:rPr>
        <w:t>willing and able to serve as panellists in accordance with Article 13.15 of the Agreement</w:t>
      </w:r>
      <w:r w:rsidR="00584AEF">
        <w:rPr>
          <w:rFonts w:eastAsia="Arial Unicode MS"/>
          <w:noProof/>
          <w:lang w:val="en-IE"/>
        </w:rPr>
        <w:t xml:space="preserve"> (dispute settlement procedure under the trade and sustainable development provisions)</w:t>
      </w:r>
      <w:r w:rsidR="00F412B9" w:rsidRPr="00E52BFA">
        <w:rPr>
          <w:rFonts w:eastAsia="Arial Unicode MS"/>
          <w:noProof/>
          <w:lang w:val="en-IE"/>
        </w:rPr>
        <w:t>.</w:t>
      </w:r>
    </w:p>
    <w:p w:rsidR="00682F00" w:rsidRPr="00E52BFA" w:rsidRDefault="00682F00" w:rsidP="00817FA5">
      <w:pPr>
        <w:pStyle w:val="ManualHeading1"/>
        <w:rPr>
          <w:noProof/>
          <w:lang w:val="en-IE"/>
        </w:rPr>
      </w:pPr>
      <w:r>
        <w:rPr>
          <w:noProof/>
        </w:rPr>
        <w:t>2.</w:t>
      </w:r>
      <w:r>
        <w:rPr>
          <w:noProof/>
        </w:rPr>
        <w:tab/>
      </w:r>
      <w:r w:rsidRPr="00E52BFA">
        <w:rPr>
          <w:noProof/>
          <w:lang w:val="en-IE"/>
        </w:rPr>
        <w:t>Context of the proposal</w:t>
      </w:r>
    </w:p>
    <w:p w:rsidR="00682F00" w:rsidRPr="00E52BFA" w:rsidRDefault="00682F00" w:rsidP="00817FA5">
      <w:pPr>
        <w:pStyle w:val="ManualHeading2"/>
        <w:rPr>
          <w:noProof/>
          <w:lang w:val="en-IE"/>
        </w:rPr>
      </w:pPr>
      <w:r>
        <w:rPr>
          <w:noProof/>
        </w:rPr>
        <w:t>2.1.</w:t>
      </w:r>
      <w:r>
        <w:rPr>
          <w:noProof/>
        </w:rPr>
        <w:tab/>
      </w:r>
      <w:r w:rsidRPr="00E52BFA">
        <w:rPr>
          <w:noProof/>
          <w:lang w:val="en-IE"/>
        </w:rPr>
        <w:t xml:space="preserve">The </w:t>
      </w:r>
      <w:r w:rsidR="00F412B9" w:rsidRPr="00E52BFA">
        <w:rPr>
          <w:rFonts w:eastAsia="Arial Unicode MS"/>
          <w:noProof/>
          <w:lang w:val="en-IE"/>
        </w:rPr>
        <w:t>Free Trade Agreement between the European Union and its Member States, of the one part, and the Republic of Korea, of the other part</w:t>
      </w:r>
    </w:p>
    <w:p w:rsidR="00682F00" w:rsidRPr="00E52BFA" w:rsidRDefault="00682F00" w:rsidP="00FB272A">
      <w:pPr>
        <w:rPr>
          <w:rFonts w:eastAsia="Arial Unicode MS"/>
          <w:noProof/>
          <w:color w:val="0000FF"/>
          <w:lang w:val="en-IE"/>
        </w:rPr>
      </w:pPr>
      <w:r w:rsidRPr="00E52BFA">
        <w:rPr>
          <w:rFonts w:eastAsia="Arial Unicode MS"/>
          <w:noProof/>
          <w:lang w:val="en-IE"/>
        </w:rPr>
        <w:t xml:space="preserve">The </w:t>
      </w:r>
      <w:r w:rsidR="00F412B9" w:rsidRPr="00E52BFA">
        <w:rPr>
          <w:rFonts w:eastAsia="Arial Unicode MS"/>
          <w:noProof/>
          <w:lang w:val="en-IE"/>
        </w:rPr>
        <w:t>Agreemen</w:t>
      </w:r>
      <w:r w:rsidR="00A21E6F">
        <w:rPr>
          <w:rFonts w:eastAsia="Arial Unicode MS"/>
          <w:noProof/>
          <w:lang w:val="en-IE"/>
        </w:rPr>
        <w:t xml:space="preserve">t, which </w:t>
      </w:r>
      <w:r w:rsidR="00A21E6F" w:rsidRPr="00E52BFA">
        <w:rPr>
          <w:rFonts w:eastAsia="Arial Unicode MS"/>
          <w:noProof/>
          <w:lang w:val="en-IE"/>
        </w:rPr>
        <w:t>was provisionally applied since July 2011 and entered into force on 13 December 2015</w:t>
      </w:r>
      <w:r w:rsidR="00A21E6F">
        <w:rPr>
          <w:rFonts w:eastAsia="Arial Unicode MS"/>
          <w:noProof/>
          <w:lang w:val="en-IE"/>
        </w:rPr>
        <w:t>,</w:t>
      </w:r>
      <w:r w:rsidR="00F412B9" w:rsidRPr="00E52BFA">
        <w:rPr>
          <w:rFonts w:eastAsia="Arial Unicode MS"/>
          <w:noProof/>
          <w:lang w:val="en-IE"/>
        </w:rPr>
        <w:t xml:space="preserve"> </w:t>
      </w:r>
      <w:r w:rsidRPr="00E52BFA">
        <w:rPr>
          <w:rFonts w:eastAsia="Arial Unicode MS"/>
          <w:noProof/>
          <w:lang w:val="en-IE"/>
        </w:rPr>
        <w:t xml:space="preserve">aims to </w:t>
      </w:r>
      <w:r w:rsidR="00FB272A" w:rsidRPr="001952F9">
        <w:rPr>
          <w:noProof/>
        </w:rPr>
        <w:t>liberalize and facilitate trade in goods and services between the Parties</w:t>
      </w:r>
      <w:r w:rsidR="00A21E6F" w:rsidRPr="001952F9">
        <w:rPr>
          <w:noProof/>
        </w:rPr>
        <w:t xml:space="preserve"> to the Agreement </w:t>
      </w:r>
      <w:r w:rsidR="00A21E6F" w:rsidRPr="00E52BFA">
        <w:rPr>
          <w:rFonts w:eastAsia="Arial Unicode MS"/>
          <w:noProof/>
          <w:lang w:val="en-IE"/>
        </w:rPr>
        <w:t>(hereinafter referred to as "</w:t>
      </w:r>
      <w:r w:rsidR="00A21E6F">
        <w:rPr>
          <w:rFonts w:eastAsia="Arial Unicode MS"/>
          <w:noProof/>
          <w:lang w:val="en-IE"/>
        </w:rPr>
        <w:t>the Parties</w:t>
      </w:r>
      <w:r w:rsidR="00A21E6F" w:rsidRPr="00E52BFA">
        <w:rPr>
          <w:rFonts w:eastAsia="Arial Unicode MS"/>
          <w:noProof/>
          <w:lang w:val="en-IE"/>
        </w:rPr>
        <w:t>")</w:t>
      </w:r>
      <w:r w:rsidR="00FB272A" w:rsidRPr="001952F9">
        <w:rPr>
          <w:noProof/>
        </w:rPr>
        <w:t>; promote economic competition; mutually open government procurement markets; protect intellectual property rights; enhance global trade through barrier removal and encourage investment; commit to sustainable development within international trade practices; and promote foreign direct investment without compromising environmental, labour, or health and safety standards.</w:t>
      </w:r>
      <w:r w:rsidR="00584AEF">
        <w:rPr>
          <w:rFonts w:eastAsia="Arial Unicode MS"/>
          <w:noProof/>
          <w:lang w:val="en-IE"/>
        </w:rPr>
        <w:t xml:space="preserve"> In case of disputes between the Parties, the </w:t>
      </w:r>
      <w:r w:rsidR="00A21E6F">
        <w:rPr>
          <w:rFonts w:eastAsia="Arial Unicode MS"/>
          <w:noProof/>
          <w:lang w:val="en-IE"/>
        </w:rPr>
        <w:t>Agreement foresees</w:t>
      </w:r>
      <w:r w:rsidR="00584AEF">
        <w:rPr>
          <w:rFonts w:eastAsia="Arial Unicode MS"/>
          <w:noProof/>
          <w:lang w:val="en-IE"/>
        </w:rPr>
        <w:t xml:space="preserve"> specific dispute settlement proceedings to resolve the matter. </w:t>
      </w:r>
    </w:p>
    <w:p w:rsidR="00682F00" w:rsidRPr="00E52BFA" w:rsidRDefault="00682F00" w:rsidP="00817FA5">
      <w:pPr>
        <w:pStyle w:val="ManualHeading2"/>
        <w:rPr>
          <w:noProof/>
          <w:lang w:val="en-IE"/>
        </w:rPr>
      </w:pPr>
      <w:r>
        <w:rPr>
          <w:noProof/>
        </w:rPr>
        <w:t>2.2.</w:t>
      </w:r>
      <w:r>
        <w:rPr>
          <w:noProof/>
        </w:rPr>
        <w:tab/>
      </w:r>
      <w:r w:rsidRPr="00E52BFA">
        <w:rPr>
          <w:noProof/>
          <w:lang w:val="en-IE"/>
        </w:rPr>
        <w:t xml:space="preserve">The </w:t>
      </w:r>
      <w:r w:rsidR="007B2137" w:rsidRPr="00E52BFA">
        <w:rPr>
          <w:rFonts w:eastAsia="Arial Unicode MS"/>
          <w:noProof/>
          <w:lang w:val="en-IE"/>
        </w:rPr>
        <w:t xml:space="preserve">Trade Committee </w:t>
      </w:r>
    </w:p>
    <w:p w:rsidR="00C66BAF" w:rsidRPr="00E52BFA" w:rsidRDefault="00682F00" w:rsidP="00C66BAF">
      <w:pPr>
        <w:rPr>
          <w:rFonts w:eastAsia="Arial Unicode MS"/>
          <w:noProof/>
          <w:lang w:val="en-IE"/>
        </w:rPr>
      </w:pPr>
      <w:r w:rsidRPr="00E52BFA">
        <w:rPr>
          <w:rFonts w:eastAsia="Arial Unicode MS"/>
          <w:noProof/>
          <w:lang w:val="en-IE"/>
        </w:rPr>
        <w:t xml:space="preserve">The </w:t>
      </w:r>
      <w:r w:rsidR="007B2137" w:rsidRPr="00E52BFA">
        <w:rPr>
          <w:rFonts w:eastAsia="Arial Unicode MS"/>
          <w:noProof/>
          <w:lang w:val="en-IE"/>
        </w:rPr>
        <w:t xml:space="preserve">Trade Committee </w:t>
      </w:r>
      <w:r w:rsidR="00C66BAF" w:rsidRPr="00E52BFA">
        <w:rPr>
          <w:rFonts w:eastAsia="Arial Unicode MS"/>
          <w:noProof/>
          <w:lang w:val="en-IE"/>
        </w:rPr>
        <w:t xml:space="preserve">is established pursuant to Article 15.1 of the Agreement and has decision making powers under the framework of the Agreement. </w:t>
      </w:r>
    </w:p>
    <w:p w:rsidR="00682F00" w:rsidRPr="00E52BFA" w:rsidRDefault="00682F00" w:rsidP="00817FA5">
      <w:pPr>
        <w:pStyle w:val="ManualHeading2"/>
        <w:rPr>
          <w:noProof/>
          <w:lang w:val="en-IE"/>
        </w:rPr>
      </w:pPr>
      <w:r>
        <w:rPr>
          <w:noProof/>
        </w:rPr>
        <w:t>2.3.</w:t>
      </w:r>
      <w:r>
        <w:rPr>
          <w:noProof/>
        </w:rPr>
        <w:tab/>
      </w:r>
      <w:r w:rsidRPr="00E52BFA">
        <w:rPr>
          <w:noProof/>
          <w:lang w:val="en-IE"/>
        </w:rPr>
        <w:t>The envisaged act of the</w:t>
      </w:r>
      <w:r w:rsidR="007B2137" w:rsidRPr="00E52BFA">
        <w:rPr>
          <w:noProof/>
          <w:lang w:val="en-IE"/>
        </w:rPr>
        <w:t xml:space="preserve"> </w:t>
      </w:r>
      <w:r w:rsidR="007B2137" w:rsidRPr="00E52BFA">
        <w:rPr>
          <w:rFonts w:eastAsia="Arial Unicode MS"/>
          <w:noProof/>
          <w:lang w:val="en-IE"/>
        </w:rPr>
        <w:t>Trade Committee and the Trade and Sustainable Development Committee</w:t>
      </w:r>
    </w:p>
    <w:p w:rsidR="00682F00" w:rsidRPr="00E52BFA" w:rsidRDefault="00D2125B" w:rsidP="00817FA5">
      <w:pPr>
        <w:rPr>
          <w:rFonts w:eastAsia="Arial Unicode MS"/>
          <w:noProof/>
          <w:lang w:val="en-IE"/>
        </w:rPr>
      </w:pPr>
      <w:r w:rsidRPr="00E52BFA">
        <w:rPr>
          <w:rFonts w:eastAsia="Arial Unicode MS"/>
          <w:noProof/>
          <w:lang w:val="en-IE"/>
        </w:rPr>
        <w:t xml:space="preserve">The Trade Committee </w:t>
      </w:r>
      <w:r w:rsidR="00C66BAF" w:rsidRPr="00E52BFA">
        <w:rPr>
          <w:rFonts w:eastAsia="Arial Unicode MS"/>
          <w:noProof/>
          <w:lang w:val="en-IE"/>
        </w:rPr>
        <w:t>is</w:t>
      </w:r>
      <w:r w:rsidRPr="00E52BFA">
        <w:rPr>
          <w:rFonts w:eastAsia="Arial Unicode MS"/>
          <w:noProof/>
          <w:lang w:val="en-IE"/>
        </w:rPr>
        <w:t xml:space="preserve"> envisaged </w:t>
      </w:r>
      <w:r w:rsidR="00682F00" w:rsidRPr="00E52BFA">
        <w:rPr>
          <w:rFonts w:eastAsia="Arial Unicode MS"/>
          <w:noProof/>
          <w:lang w:val="en-IE"/>
        </w:rPr>
        <w:t xml:space="preserve">to adopt </w:t>
      </w:r>
      <w:r w:rsidRPr="00E52BFA">
        <w:rPr>
          <w:rFonts w:eastAsia="Arial Unicode MS"/>
          <w:noProof/>
          <w:lang w:val="en-IE"/>
        </w:rPr>
        <w:t xml:space="preserve">two </w:t>
      </w:r>
      <w:r w:rsidR="00A21E6F">
        <w:rPr>
          <w:rFonts w:eastAsia="Arial Unicode MS"/>
          <w:noProof/>
          <w:lang w:val="en-IE"/>
        </w:rPr>
        <w:t>D</w:t>
      </w:r>
      <w:r w:rsidRPr="00E52BFA">
        <w:rPr>
          <w:rFonts w:eastAsia="Arial Unicode MS"/>
          <w:noProof/>
          <w:lang w:val="en-IE"/>
        </w:rPr>
        <w:t>ecisions</w:t>
      </w:r>
      <w:r w:rsidR="00682F00" w:rsidRPr="00E52BFA">
        <w:rPr>
          <w:rFonts w:eastAsia="Arial Unicode MS"/>
          <w:noProof/>
          <w:lang w:val="en-IE"/>
        </w:rPr>
        <w:t xml:space="preserve"> (‘the envisaged act</w:t>
      </w:r>
      <w:r w:rsidRPr="00E52BFA">
        <w:rPr>
          <w:rFonts w:eastAsia="Arial Unicode MS"/>
          <w:noProof/>
          <w:lang w:val="en-IE"/>
        </w:rPr>
        <w:t>s</w:t>
      </w:r>
      <w:r w:rsidR="00682F00" w:rsidRPr="00E52BFA">
        <w:rPr>
          <w:rFonts w:eastAsia="Arial Unicode MS"/>
          <w:noProof/>
          <w:lang w:val="en-IE"/>
        </w:rPr>
        <w:t>’)</w:t>
      </w:r>
      <w:r w:rsidRPr="00E52BFA">
        <w:rPr>
          <w:rFonts w:eastAsia="Arial Unicode MS"/>
          <w:noProof/>
          <w:lang w:val="en-IE"/>
        </w:rPr>
        <w:t xml:space="preserve"> </w:t>
      </w:r>
      <w:r w:rsidR="00A21E6F" w:rsidRPr="00A21E6F">
        <w:rPr>
          <w:rFonts w:eastAsia="Arial Unicode MS"/>
          <w:noProof/>
          <w:lang w:val="en-IE"/>
        </w:rPr>
        <w:t>either during its next meeting or through a written procedure, whichever is sooner.</w:t>
      </w:r>
    </w:p>
    <w:p w:rsidR="00682F00" w:rsidRPr="00E52BFA" w:rsidRDefault="00682F00" w:rsidP="00817FA5">
      <w:pPr>
        <w:rPr>
          <w:rFonts w:eastAsia="Arial Unicode MS"/>
          <w:noProof/>
          <w:lang w:val="en-IE"/>
        </w:rPr>
      </w:pPr>
      <w:r w:rsidRPr="00E52BFA">
        <w:rPr>
          <w:rFonts w:eastAsia="Arial Unicode MS"/>
          <w:noProof/>
          <w:lang w:val="en-IE"/>
        </w:rPr>
        <w:t>The purpose of the envisaged act</w:t>
      </w:r>
      <w:r w:rsidR="00D2125B" w:rsidRPr="00E52BFA">
        <w:rPr>
          <w:rFonts w:eastAsia="Arial Unicode MS"/>
          <w:noProof/>
          <w:lang w:val="en-IE"/>
        </w:rPr>
        <w:t>s</w:t>
      </w:r>
      <w:r w:rsidRPr="00E52BFA">
        <w:rPr>
          <w:rFonts w:eastAsia="Arial Unicode MS"/>
          <w:noProof/>
          <w:lang w:val="en-IE"/>
        </w:rPr>
        <w:t xml:space="preserve"> is to</w:t>
      </w:r>
      <w:r w:rsidR="00D2125B" w:rsidRPr="00E52BFA">
        <w:rPr>
          <w:rFonts w:eastAsia="Arial Unicode MS"/>
          <w:noProof/>
          <w:lang w:val="en-IE"/>
        </w:rPr>
        <w:t xml:space="preserve"> update the lists of individuals who are willing and able to serve as arbitrators or panellists in accordance with Articles 14.18 and 13.15 of the Agreement.</w:t>
      </w:r>
    </w:p>
    <w:p w:rsidR="00682F00" w:rsidRPr="00E52BFA" w:rsidRDefault="00682F00" w:rsidP="00817FA5">
      <w:pPr>
        <w:rPr>
          <w:rFonts w:eastAsia="Arial Unicode MS"/>
          <w:noProof/>
          <w:lang w:val="en-IE"/>
        </w:rPr>
      </w:pPr>
      <w:r w:rsidRPr="00E52BFA">
        <w:rPr>
          <w:rFonts w:eastAsia="Arial Unicode MS"/>
          <w:noProof/>
          <w:lang w:val="en-IE"/>
        </w:rPr>
        <w:t>The envisaged act</w:t>
      </w:r>
      <w:r w:rsidR="00D2125B" w:rsidRPr="00E52BFA">
        <w:rPr>
          <w:rFonts w:eastAsia="Arial Unicode MS"/>
          <w:noProof/>
          <w:lang w:val="en-IE"/>
        </w:rPr>
        <w:t>s</w:t>
      </w:r>
      <w:r w:rsidRPr="00E52BFA">
        <w:rPr>
          <w:rFonts w:eastAsia="Arial Unicode MS"/>
          <w:noProof/>
          <w:lang w:val="en-IE"/>
        </w:rPr>
        <w:t xml:space="preserve"> will become binding on the </w:t>
      </w:r>
      <w:r w:rsidR="00A21E6F">
        <w:rPr>
          <w:rFonts w:eastAsia="Arial Unicode MS"/>
          <w:noProof/>
          <w:lang w:val="en-IE"/>
        </w:rPr>
        <w:t>P</w:t>
      </w:r>
      <w:r w:rsidRPr="00E52BFA">
        <w:rPr>
          <w:rFonts w:eastAsia="Arial Unicode MS"/>
          <w:noProof/>
          <w:lang w:val="en-IE"/>
        </w:rPr>
        <w:t>arties</w:t>
      </w:r>
      <w:r w:rsidR="00A21E6F">
        <w:rPr>
          <w:rFonts w:eastAsia="Arial Unicode MS"/>
          <w:noProof/>
          <w:lang w:val="en-IE"/>
        </w:rPr>
        <w:t xml:space="preserve"> </w:t>
      </w:r>
      <w:r w:rsidRPr="00E52BFA">
        <w:rPr>
          <w:rFonts w:eastAsia="Arial Unicode MS"/>
          <w:noProof/>
          <w:lang w:val="en-IE"/>
        </w:rPr>
        <w:t>in accordance with Article</w:t>
      </w:r>
      <w:r w:rsidR="00D2125B" w:rsidRPr="00E52BFA">
        <w:rPr>
          <w:rFonts w:eastAsia="Arial Unicode MS"/>
          <w:noProof/>
          <w:lang w:val="en-IE"/>
        </w:rPr>
        <w:t>s 14.18 and 13.15 o</w:t>
      </w:r>
      <w:r w:rsidRPr="00E52BFA">
        <w:rPr>
          <w:rFonts w:eastAsia="Arial Unicode MS"/>
          <w:noProof/>
          <w:lang w:val="en-IE"/>
        </w:rPr>
        <w:t xml:space="preserve">f the Agreement, which </w:t>
      </w:r>
      <w:r w:rsidR="008333A9">
        <w:rPr>
          <w:rFonts w:eastAsia="Arial Unicode MS"/>
          <w:noProof/>
          <w:lang w:val="en-IE"/>
        </w:rPr>
        <w:t>provide for</w:t>
      </w:r>
      <w:r w:rsidR="008333A9" w:rsidRPr="00E52BFA">
        <w:rPr>
          <w:rFonts w:eastAsia="Arial Unicode MS"/>
          <w:noProof/>
          <w:lang w:val="en-IE"/>
        </w:rPr>
        <w:t xml:space="preserve"> </w:t>
      </w:r>
      <w:r w:rsidR="00D2125B" w:rsidRPr="00E52BFA">
        <w:rPr>
          <w:rFonts w:eastAsia="Arial Unicode MS"/>
          <w:noProof/>
          <w:lang w:val="en-IE"/>
        </w:rPr>
        <w:t>the establishment of the two lists</w:t>
      </w:r>
      <w:r w:rsidRPr="00E52BFA">
        <w:rPr>
          <w:rFonts w:eastAsia="Arial Unicode MS"/>
          <w:noProof/>
          <w:lang w:val="en-IE"/>
        </w:rPr>
        <w:t xml:space="preserve">. </w:t>
      </w:r>
    </w:p>
    <w:p w:rsidR="00682F00" w:rsidRPr="00E52BFA" w:rsidRDefault="00682F00" w:rsidP="00682F00">
      <w:pPr>
        <w:pStyle w:val="ManualHeading1"/>
        <w:rPr>
          <w:rFonts w:eastAsia="Arial Unicode MS"/>
          <w:noProof/>
          <w:lang w:val="en-IE"/>
        </w:rPr>
      </w:pPr>
      <w:r>
        <w:rPr>
          <w:noProof/>
        </w:rPr>
        <w:t>3.</w:t>
      </w:r>
      <w:r>
        <w:rPr>
          <w:noProof/>
        </w:rPr>
        <w:tab/>
      </w:r>
      <w:r w:rsidRPr="00E52BFA">
        <w:rPr>
          <w:rFonts w:eastAsia="Arial Unicode MS"/>
          <w:noProof/>
          <w:lang w:val="en-IE"/>
        </w:rPr>
        <w:t>Position to be taken on the Union's behalf</w:t>
      </w:r>
    </w:p>
    <w:p w:rsidR="00C66BAF" w:rsidRPr="00E52BFA" w:rsidRDefault="00C66BAF" w:rsidP="00C66BAF">
      <w:pPr>
        <w:rPr>
          <w:rFonts w:eastAsia="Arial Unicode MS"/>
          <w:noProof/>
          <w:lang w:val="en-IE"/>
        </w:rPr>
      </w:pPr>
      <w:r w:rsidRPr="00E52BFA">
        <w:rPr>
          <w:rFonts w:eastAsia="Arial Unicode MS"/>
          <w:noProof/>
          <w:lang w:val="en-IE"/>
        </w:rPr>
        <w:t xml:space="preserve">The Trade Committee is established pursuant to Article 15.1 of the Agreement and has decision making powers under the framework of the Agreement. </w:t>
      </w:r>
    </w:p>
    <w:p w:rsidR="00D2125B" w:rsidRPr="00E52BFA" w:rsidRDefault="00D2125B" w:rsidP="0030099A">
      <w:pPr>
        <w:rPr>
          <w:noProof/>
          <w:lang w:val="en-IE"/>
        </w:rPr>
      </w:pPr>
      <w:r w:rsidRPr="00E52BFA">
        <w:rPr>
          <w:noProof/>
          <w:lang w:val="en-IE"/>
        </w:rPr>
        <w:t xml:space="preserve">Pursuant to Article 14.18 of the Agreement the Trade Committee is to establish a list of 15 individuals to serve as arbitrators. </w:t>
      </w:r>
      <w:r w:rsidR="00E52BFA" w:rsidRPr="00E52BFA">
        <w:rPr>
          <w:noProof/>
          <w:lang w:val="en-IE"/>
        </w:rPr>
        <w:t xml:space="preserve">On 23 December 2011, the EU-Korea Trade Committee </w:t>
      </w:r>
      <w:r w:rsidR="00E52BFA" w:rsidRPr="00E52BFA">
        <w:rPr>
          <w:noProof/>
          <w:lang w:val="en-IE"/>
        </w:rPr>
        <w:lastRenderedPageBreak/>
        <w:t>adopted Decision No 2</w:t>
      </w:r>
      <w:r w:rsidR="00E52BFA">
        <w:rPr>
          <w:rStyle w:val="FootnoteReference"/>
          <w:rFonts w:eastAsia="Arial Unicode MS"/>
          <w:noProof/>
          <w:lang w:val="en-IE"/>
        </w:rPr>
        <w:footnoteReference w:id="1"/>
      </w:r>
      <w:r w:rsidR="00E52BFA" w:rsidRPr="00E52BFA">
        <w:rPr>
          <w:noProof/>
          <w:lang w:val="en-IE"/>
        </w:rPr>
        <w:t xml:space="preserve"> establishing a list of 15 individuals that may serve as arbitrators in the </w:t>
      </w:r>
      <w:r w:rsidR="008333A9">
        <w:rPr>
          <w:noProof/>
          <w:lang w:val="en-IE"/>
        </w:rPr>
        <w:t>arbitration p</w:t>
      </w:r>
      <w:r w:rsidR="00E52BFA" w:rsidRPr="00E52BFA">
        <w:rPr>
          <w:noProof/>
          <w:lang w:val="en-IE"/>
        </w:rPr>
        <w:t>anel procedures pursuant to Article 14.18 of the Agreement.</w:t>
      </w:r>
      <w:r w:rsidR="00E52BFA">
        <w:rPr>
          <w:noProof/>
          <w:lang w:val="en-IE"/>
        </w:rPr>
        <w:t xml:space="preserve"> </w:t>
      </w:r>
      <w:r w:rsidR="00E52BFA" w:rsidRPr="00E52BFA">
        <w:rPr>
          <w:noProof/>
          <w:lang w:val="en-IE"/>
        </w:rPr>
        <w:t>The Parties have expressed their wish to replace some of the Korean nationals, nationals of the Member States of the European Union and non-nationals serving as chairs on the list of arbitrators. In order for this amendment to take effect, the revised list of individuals should be approved by the EU-Korea Trade Committee.</w:t>
      </w:r>
    </w:p>
    <w:p w:rsidR="00E52BFA" w:rsidRDefault="00E52BFA" w:rsidP="0030099A">
      <w:pPr>
        <w:rPr>
          <w:noProof/>
          <w:lang w:val="en-IE"/>
        </w:rPr>
      </w:pPr>
      <w:r w:rsidRPr="00E52BFA">
        <w:rPr>
          <w:noProof/>
          <w:lang w:val="en-IE"/>
        </w:rPr>
        <w:t xml:space="preserve">Pursuant to Article 13.15 (3) of the Agreement, the Parties </w:t>
      </w:r>
      <w:r w:rsidR="00BB38E0">
        <w:rPr>
          <w:noProof/>
          <w:lang w:val="en-IE"/>
        </w:rPr>
        <w:t xml:space="preserve">shall agree on </w:t>
      </w:r>
      <w:r w:rsidRPr="00E52BFA">
        <w:rPr>
          <w:noProof/>
          <w:lang w:val="en-IE"/>
        </w:rPr>
        <w:t xml:space="preserve">a list of at least 15 persons willing and able to serve as panellists with regard to matters arising under Chapter 13 </w:t>
      </w:r>
      <w:r>
        <w:rPr>
          <w:noProof/>
          <w:lang w:val="en-IE"/>
        </w:rPr>
        <w:t>of the Agreement</w:t>
      </w:r>
      <w:r w:rsidR="00A21E6F">
        <w:rPr>
          <w:noProof/>
          <w:lang w:val="en-IE"/>
        </w:rPr>
        <w:t xml:space="preserve"> (Chapter on t</w:t>
      </w:r>
      <w:r w:rsidRPr="00E52BFA">
        <w:rPr>
          <w:noProof/>
          <w:lang w:val="en-IE"/>
        </w:rPr>
        <w:t xml:space="preserve">rade and </w:t>
      </w:r>
      <w:r w:rsidR="00A21E6F">
        <w:rPr>
          <w:noProof/>
          <w:lang w:val="en-IE"/>
        </w:rPr>
        <w:t>s</w:t>
      </w:r>
      <w:r w:rsidRPr="00E52BFA">
        <w:rPr>
          <w:noProof/>
          <w:lang w:val="en-IE"/>
        </w:rPr>
        <w:t xml:space="preserve">ustainable </w:t>
      </w:r>
      <w:r w:rsidR="00A21E6F">
        <w:rPr>
          <w:noProof/>
          <w:lang w:val="en-IE"/>
        </w:rPr>
        <w:t>d</w:t>
      </w:r>
      <w:r w:rsidRPr="00E52BFA">
        <w:rPr>
          <w:noProof/>
          <w:lang w:val="en-IE"/>
        </w:rPr>
        <w:t>evelopment</w:t>
      </w:r>
      <w:r w:rsidR="00A21E6F">
        <w:rPr>
          <w:noProof/>
          <w:lang w:val="en-IE"/>
        </w:rPr>
        <w:t>)</w:t>
      </w:r>
      <w:r w:rsidRPr="00E52BFA">
        <w:rPr>
          <w:noProof/>
          <w:lang w:val="en-IE"/>
        </w:rPr>
        <w:t xml:space="preserve"> and who have expertise in the issues covered by that Chapter. </w:t>
      </w:r>
      <w:r>
        <w:rPr>
          <w:noProof/>
          <w:lang w:val="en-IE"/>
        </w:rPr>
        <w:t xml:space="preserve">The list was </w:t>
      </w:r>
      <w:r w:rsidRPr="00E52BFA">
        <w:rPr>
          <w:noProof/>
          <w:lang w:val="en-IE"/>
        </w:rPr>
        <w:t>first established on 27 June 2012</w:t>
      </w:r>
      <w:r w:rsidR="00A21E6F">
        <w:rPr>
          <w:noProof/>
          <w:lang w:val="en-IE"/>
        </w:rPr>
        <w:t xml:space="preserve"> through the </w:t>
      </w:r>
      <w:r w:rsidR="00A21E6F" w:rsidRPr="00E52BFA">
        <w:rPr>
          <w:noProof/>
          <w:lang w:val="en-IE"/>
        </w:rPr>
        <w:t>Decision No 2/2012</w:t>
      </w:r>
      <w:r>
        <w:rPr>
          <w:rStyle w:val="FootnoteReference"/>
          <w:noProof/>
          <w:lang w:val="en-IE"/>
        </w:rPr>
        <w:footnoteReference w:id="2"/>
      </w:r>
      <w:r w:rsidR="00A21E6F">
        <w:rPr>
          <w:noProof/>
          <w:lang w:val="en-IE"/>
        </w:rPr>
        <w:t xml:space="preserve"> of </w:t>
      </w:r>
      <w:r w:rsidRPr="00E52BFA">
        <w:rPr>
          <w:noProof/>
          <w:lang w:val="en-IE"/>
        </w:rPr>
        <w:t>the EU-Korea Committee on Trade and Sustainable Development</w:t>
      </w:r>
      <w:r w:rsidR="00A21E6F">
        <w:rPr>
          <w:noProof/>
          <w:lang w:val="en-IE"/>
        </w:rPr>
        <w:t xml:space="preserve">, </w:t>
      </w:r>
      <w:r w:rsidRPr="00E52BFA">
        <w:rPr>
          <w:noProof/>
          <w:lang w:val="en-IE"/>
        </w:rPr>
        <w:t>establishing a list of 18 experts that may serve as panellists.</w:t>
      </w:r>
      <w:r>
        <w:rPr>
          <w:noProof/>
          <w:lang w:val="en-IE"/>
        </w:rPr>
        <w:t xml:space="preserve"> </w:t>
      </w:r>
      <w:r w:rsidRPr="00E52BFA">
        <w:rPr>
          <w:noProof/>
          <w:lang w:val="en-IE"/>
        </w:rPr>
        <w:t>Th</w:t>
      </w:r>
      <w:r w:rsidR="00A21E6F">
        <w:rPr>
          <w:noProof/>
          <w:lang w:val="en-IE"/>
        </w:rPr>
        <w:t>e</w:t>
      </w:r>
      <w:r w:rsidRPr="00E52BFA">
        <w:rPr>
          <w:noProof/>
          <w:lang w:val="en-IE"/>
        </w:rPr>
        <w:t xml:space="preserve"> list has been last revised in 2019 through Decision No. 1/2019</w:t>
      </w:r>
      <w:r>
        <w:rPr>
          <w:rStyle w:val="FootnoteReference"/>
          <w:noProof/>
          <w:lang w:val="en-IE"/>
        </w:rPr>
        <w:footnoteReference w:id="3"/>
      </w:r>
      <w:r>
        <w:rPr>
          <w:noProof/>
          <w:lang w:val="en-IE"/>
        </w:rPr>
        <w:t xml:space="preserve"> </w:t>
      </w:r>
      <w:r w:rsidRPr="00E52BFA">
        <w:rPr>
          <w:noProof/>
          <w:lang w:val="en-IE"/>
        </w:rPr>
        <w:t xml:space="preserve">of the same Committee. The Parties have expressed their wish to replace </w:t>
      </w:r>
      <w:r>
        <w:rPr>
          <w:noProof/>
          <w:lang w:val="en-IE"/>
        </w:rPr>
        <w:t>some</w:t>
      </w:r>
      <w:r w:rsidRPr="00E52BFA">
        <w:rPr>
          <w:noProof/>
          <w:lang w:val="en-IE"/>
        </w:rPr>
        <w:t xml:space="preserve"> of the non-nationals serving as chairs on the list of experts. </w:t>
      </w:r>
    </w:p>
    <w:p w:rsidR="00E52BFA" w:rsidRDefault="00BB38E0" w:rsidP="0030099A">
      <w:pPr>
        <w:rPr>
          <w:noProof/>
          <w:lang w:val="en-IE"/>
        </w:rPr>
      </w:pPr>
      <w:r w:rsidRPr="00E52BFA">
        <w:rPr>
          <w:noProof/>
          <w:lang w:val="en-IE"/>
        </w:rPr>
        <w:t xml:space="preserve">In case of a dispute, the </w:t>
      </w:r>
      <w:r>
        <w:rPr>
          <w:noProof/>
          <w:lang w:val="en-IE"/>
        </w:rPr>
        <w:t>P</w:t>
      </w:r>
      <w:r w:rsidRPr="00E52BFA">
        <w:rPr>
          <w:noProof/>
          <w:lang w:val="en-IE"/>
        </w:rPr>
        <w:t xml:space="preserve">arties will consult with a view to agreeing on the arbitrators who would sit on an arbitration panel. </w:t>
      </w:r>
      <w:r>
        <w:rPr>
          <w:noProof/>
          <w:lang w:val="en-IE"/>
        </w:rPr>
        <w:t xml:space="preserve">Ensuring that the </w:t>
      </w:r>
      <w:r w:rsidR="00A21E6F">
        <w:rPr>
          <w:noProof/>
          <w:lang w:val="en-IE"/>
        </w:rPr>
        <w:t>two lists are</w:t>
      </w:r>
      <w:r>
        <w:rPr>
          <w:noProof/>
          <w:lang w:val="en-IE"/>
        </w:rPr>
        <w:t xml:space="preserve"> at all times updated</w:t>
      </w:r>
      <w:r w:rsidRPr="00E52BFA">
        <w:rPr>
          <w:noProof/>
          <w:lang w:val="en-IE"/>
        </w:rPr>
        <w:t xml:space="preserve"> is therefore </w:t>
      </w:r>
      <w:r w:rsidR="00A21E6F">
        <w:rPr>
          <w:noProof/>
          <w:lang w:val="en-IE"/>
        </w:rPr>
        <w:t>essential</w:t>
      </w:r>
      <w:r w:rsidRPr="00E52BFA">
        <w:rPr>
          <w:noProof/>
          <w:lang w:val="en-IE"/>
        </w:rPr>
        <w:t xml:space="preserve"> in ensuring that the dispute settlement procedure</w:t>
      </w:r>
      <w:r w:rsidR="00A21E6F">
        <w:rPr>
          <w:noProof/>
          <w:lang w:val="en-IE"/>
        </w:rPr>
        <w:t>s</w:t>
      </w:r>
      <w:r w:rsidRPr="00E52BFA">
        <w:rPr>
          <w:noProof/>
          <w:lang w:val="en-IE"/>
        </w:rPr>
        <w:t xml:space="preserve"> under the Agreement </w:t>
      </w:r>
      <w:r w:rsidR="00A21E6F">
        <w:rPr>
          <w:noProof/>
          <w:lang w:val="en-IE"/>
        </w:rPr>
        <w:t>are</w:t>
      </w:r>
      <w:r w:rsidRPr="00E52BFA">
        <w:rPr>
          <w:noProof/>
          <w:lang w:val="en-IE"/>
        </w:rPr>
        <w:t xml:space="preserve"> effectively available.</w:t>
      </w:r>
    </w:p>
    <w:p w:rsidR="00E52BFA" w:rsidRPr="00E52BFA" w:rsidRDefault="00E52BFA" w:rsidP="0030099A">
      <w:pPr>
        <w:rPr>
          <w:noProof/>
          <w:lang w:val="en-IE"/>
        </w:rPr>
      </w:pPr>
      <w:r w:rsidRPr="00BB38E0">
        <w:rPr>
          <w:noProof/>
          <w:lang w:val="en-IE"/>
        </w:rPr>
        <w:t>The attached proposal constitutes the proposal for a legal instrument approving the position that the European Union will be taking in the Trade Committee on the above mentioned two issues.</w:t>
      </w:r>
      <w:r w:rsidRPr="00E52BFA">
        <w:rPr>
          <w:noProof/>
          <w:lang w:val="en-IE"/>
        </w:rPr>
        <w:t xml:space="preserve"> </w:t>
      </w:r>
    </w:p>
    <w:p w:rsidR="00682F00" w:rsidRPr="00E52BFA" w:rsidRDefault="00682F00" w:rsidP="00817FA5">
      <w:pPr>
        <w:pStyle w:val="ManualHeading1"/>
        <w:rPr>
          <w:noProof/>
          <w:lang w:val="en-IE"/>
        </w:rPr>
      </w:pPr>
      <w:r>
        <w:rPr>
          <w:noProof/>
        </w:rPr>
        <w:t>4.</w:t>
      </w:r>
      <w:r>
        <w:rPr>
          <w:noProof/>
        </w:rPr>
        <w:tab/>
      </w:r>
      <w:r w:rsidRPr="00E52BFA">
        <w:rPr>
          <w:noProof/>
          <w:lang w:val="en-IE"/>
        </w:rPr>
        <w:t>Legal basis</w:t>
      </w:r>
    </w:p>
    <w:p w:rsidR="00682F00" w:rsidRPr="00E52BFA" w:rsidRDefault="00682F00" w:rsidP="00817FA5">
      <w:pPr>
        <w:pStyle w:val="ManualHeading2"/>
        <w:rPr>
          <w:noProof/>
          <w:lang w:val="en-IE"/>
        </w:rPr>
      </w:pPr>
      <w:r>
        <w:rPr>
          <w:noProof/>
        </w:rPr>
        <w:t>4.1.</w:t>
      </w:r>
      <w:r>
        <w:rPr>
          <w:noProof/>
        </w:rPr>
        <w:tab/>
      </w:r>
      <w:r w:rsidRPr="00E52BFA">
        <w:rPr>
          <w:noProof/>
          <w:lang w:val="en-IE"/>
        </w:rPr>
        <w:t>Procedural legal basis</w:t>
      </w:r>
    </w:p>
    <w:p w:rsidR="00682F00" w:rsidRPr="00E52BFA" w:rsidRDefault="00682F00" w:rsidP="00F406AC">
      <w:pPr>
        <w:pStyle w:val="ManualHeading3"/>
        <w:rPr>
          <w:noProof/>
          <w:lang w:val="en-IE"/>
        </w:rPr>
      </w:pPr>
      <w:r>
        <w:rPr>
          <w:noProof/>
        </w:rPr>
        <w:t>4.1.1.</w:t>
      </w:r>
      <w:r>
        <w:rPr>
          <w:noProof/>
        </w:rPr>
        <w:tab/>
      </w:r>
      <w:r w:rsidRPr="00E52BFA">
        <w:rPr>
          <w:noProof/>
          <w:lang w:val="en-IE"/>
        </w:rPr>
        <w:t>Principles</w:t>
      </w:r>
    </w:p>
    <w:p w:rsidR="00682F00" w:rsidRPr="00E52BFA" w:rsidRDefault="00682F00" w:rsidP="00817FA5">
      <w:pPr>
        <w:rPr>
          <w:noProof/>
          <w:lang w:val="en-IE"/>
        </w:rPr>
      </w:pPr>
      <w:r w:rsidRPr="00E52BFA">
        <w:rPr>
          <w:noProof/>
          <w:lang w:val="en-IE"/>
        </w:rPr>
        <w:t>Article 218(9) of the Treaty on the Functioning of the European Union (TFEU) provides for decisions establishing ‘</w:t>
      </w:r>
      <w:r w:rsidRPr="00E52BFA">
        <w:rPr>
          <w:i/>
          <w:noProof/>
          <w:lang w:val="en-IE"/>
        </w:rPr>
        <w:t>the positions to be adopted on the Union’s behalf in a body set up by an agreement, when that body is called upon to adopt acts having legal effects, with the exception of acts supplementing or amending the institutional framework of the agreement</w:t>
      </w:r>
      <w:r w:rsidRPr="00E52BFA">
        <w:rPr>
          <w:noProof/>
          <w:lang w:val="en-IE"/>
        </w:rPr>
        <w:t>.’</w:t>
      </w:r>
    </w:p>
    <w:p w:rsidR="00682F00" w:rsidRPr="00E52BFA" w:rsidRDefault="00682F00" w:rsidP="00817FA5">
      <w:pPr>
        <w:rPr>
          <w:noProof/>
          <w:lang w:val="en-IE"/>
        </w:rPr>
      </w:pPr>
      <w:r w:rsidRPr="00E52BFA">
        <w:rPr>
          <w:noProof/>
          <w:lang w:val="en-IE"/>
        </w:rPr>
        <w:t>The concept of ‘</w:t>
      </w:r>
      <w:r w:rsidRPr="00E52BFA">
        <w:rPr>
          <w:i/>
          <w:noProof/>
          <w:lang w:val="en-IE"/>
        </w:rPr>
        <w:t>acts having legal effects</w:t>
      </w:r>
      <w:r w:rsidRPr="00E52BFA">
        <w:rPr>
          <w:noProof/>
          <w:lang w:val="en-IE"/>
        </w:rPr>
        <w:t>’ includes acts that have legal effects by virtue of the rules of international law governing the body in question. It also includes instruments that do not have a binding effect under international law, but that are ‘</w:t>
      </w:r>
      <w:r w:rsidRPr="00E52BFA">
        <w:rPr>
          <w:i/>
          <w:noProof/>
          <w:lang w:val="en-IE"/>
        </w:rPr>
        <w:t>capable of decisively influencing the content of the legislation adopted by the EU legislature</w:t>
      </w:r>
      <w:r w:rsidRPr="00E52BFA">
        <w:rPr>
          <w:noProof/>
          <w:lang w:val="en-IE"/>
        </w:rPr>
        <w:t>’</w:t>
      </w:r>
      <w:r w:rsidRPr="00E52BFA">
        <w:rPr>
          <w:rStyle w:val="FootnoteReference"/>
          <w:noProof/>
          <w:lang w:val="en-IE"/>
        </w:rPr>
        <w:footnoteReference w:id="4"/>
      </w:r>
      <w:r w:rsidRPr="00E52BFA">
        <w:rPr>
          <w:noProof/>
          <w:lang w:val="en-IE"/>
        </w:rPr>
        <w:t>.</w:t>
      </w:r>
    </w:p>
    <w:p w:rsidR="00682F00" w:rsidRPr="00E52BFA" w:rsidRDefault="00682F00" w:rsidP="00F406AC">
      <w:pPr>
        <w:pStyle w:val="ManualHeading3"/>
        <w:rPr>
          <w:noProof/>
          <w:lang w:val="en-IE"/>
        </w:rPr>
      </w:pPr>
      <w:r>
        <w:rPr>
          <w:noProof/>
        </w:rPr>
        <w:t>4.1.2.</w:t>
      </w:r>
      <w:r>
        <w:rPr>
          <w:noProof/>
        </w:rPr>
        <w:tab/>
      </w:r>
      <w:r w:rsidRPr="00E52BFA">
        <w:rPr>
          <w:noProof/>
          <w:lang w:val="en-IE"/>
        </w:rPr>
        <w:t>Application to the present case</w:t>
      </w:r>
    </w:p>
    <w:p w:rsidR="00682F00" w:rsidRPr="00E52BFA" w:rsidRDefault="00682F00" w:rsidP="00817FA5">
      <w:pPr>
        <w:rPr>
          <w:noProof/>
          <w:lang w:val="en-IE"/>
        </w:rPr>
      </w:pPr>
      <w:r w:rsidRPr="00E52BFA">
        <w:rPr>
          <w:noProof/>
          <w:lang w:val="en-IE"/>
        </w:rPr>
        <w:t>The</w:t>
      </w:r>
      <w:r w:rsidR="00BB38E0">
        <w:rPr>
          <w:noProof/>
          <w:lang w:val="en-IE"/>
        </w:rPr>
        <w:t xml:space="preserve"> Trade Committee</w:t>
      </w:r>
      <w:r w:rsidRPr="00E52BFA">
        <w:rPr>
          <w:noProof/>
          <w:lang w:val="en-IE"/>
        </w:rPr>
        <w:t xml:space="preserve"> is a body set up by </w:t>
      </w:r>
      <w:r w:rsidR="00BB38E0">
        <w:rPr>
          <w:noProof/>
          <w:lang w:val="en-IE"/>
        </w:rPr>
        <w:t>the A</w:t>
      </w:r>
      <w:r w:rsidRPr="00E52BFA">
        <w:rPr>
          <w:noProof/>
          <w:lang w:val="en-IE"/>
        </w:rPr>
        <w:t>greement</w:t>
      </w:r>
      <w:r w:rsidR="00BB38E0">
        <w:rPr>
          <w:noProof/>
          <w:lang w:val="en-IE"/>
        </w:rPr>
        <w:t>.</w:t>
      </w:r>
    </w:p>
    <w:p w:rsidR="00682F00" w:rsidRPr="00E52BFA" w:rsidRDefault="00682F00" w:rsidP="00817FA5">
      <w:pPr>
        <w:rPr>
          <w:noProof/>
          <w:lang w:val="en-IE"/>
        </w:rPr>
      </w:pPr>
      <w:r w:rsidRPr="00E52BFA">
        <w:rPr>
          <w:noProof/>
          <w:lang w:val="en-IE"/>
        </w:rPr>
        <w:lastRenderedPageBreak/>
        <w:t xml:space="preserve">The act which the </w:t>
      </w:r>
      <w:r w:rsidR="00BB38E0">
        <w:rPr>
          <w:noProof/>
          <w:lang w:val="en-IE"/>
        </w:rPr>
        <w:t>Trade Committee</w:t>
      </w:r>
      <w:r w:rsidRPr="00E52BFA">
        <w:rPr>
          <w:noProof/>
          <w:lang w:val="en-IE"/>
        </w:rPr>
        <w:t xml:space="preserve"> is called upon to adopt constitutes an act having legal effects. </w:t>
      </w:r>
    </w:p>
    <w:p w:rsidR="00682F00" w:rsidRPr="00E52BFA" w:rsidRDefault="00682F00" w:rsidP="00817FA5">
      <w:pPr>
        <w:rPr>
          <w:noProof/>
          <w:lang w:val="en-IE"/>
        </w:rPr>
      </w:pPr>
      <w:r w:rsidRPr="00E52BFA">
        <w:rPr>
          <w:noProof/>
          <w:lang w:val="en-IE"/>
        </w:rPr>
        <w:t>The envisaged act does not supplement or amend the institutional framework of the Agreement.</w:t>
      </w:r>
    </w:p>
    <w:p w:rsidR="00682F00" w:rsidRPr="00E52BFA" w:rsidRDefault="00682F00" w:rsidP="00817FA5">
      <w:pPr>
        <w:rPr>
          <w:noProof/>
          <w:lang w:val="en-IE"/>
        </w:rPr>
      </w:pPr>
      <w:r w:rsidRPr="00E52BFA">
        <w:rPr>
          <w:noProof/>
          <w:lang w:val="en-IE"/>
        </w:rPr>
        <w:t>Therefore, the procedural legal basis for the proposed decision is Article 218(9) TFEU.</w:t>
      </w:r>
    </w:p>
    <w:p w:rsidR="00682F00" w:rsidRPr="00E52BFA" w:rsidRDefault="00682F00" w:rsidP="00817FA5">
      <w:pPr>
        <w:pStyle w:val="ManualHeading2"/>
        <w:rPr>
          <w:noProof/>
          <w:lang w:val="en-IE"/>
        </w:rPr>
      </w:pPr>
      <w:r>
        <w:rPr>
          <w:noProof/>
        </w:rPr>
        <w:t>4.2.</w:t>
      </w:r>
      <w:r>
        <w:rPr>
          <w:noProof/>
        </w:rPr>
        <w:tab/>
      </w:r>
      <w:r w:rsidRPr="00E52BFA">
        <w:rPr>
          <w:noProof/>
          <w:lang w:val="en-IE"/>
        </w:rPr>
        <w:t>Substantive legal basis</w:t>
      </w:r>
    </w:p>
    <w:p w:rsidR="00682F00" w:rsidRPr="00E52BFA" w:rsidRDefault="00682F00" w:rsidP="00F406AC">
      <w:pPr>
        <w:pStyle w:val="ManualHeading3"/>
        <w:rPr>
          <w:noProof/>
          <w:lang w:val="en-IE"/>
        </w:rPr>
      </w:pPr>
      <w:r>
        <w:rPr>
          <w:noProof/>
        </w:rPr>
        <w:t>4.2.1.</w:t>
      </w:r>
      <w:r>
        <w:rPr>
          <w:noProof/>
        </w:rPr>
        <w:tab/>
      </w:r>
      <w:r w:rsidRPr="00E52BFA">
        <w:rPr>
          <w:noProof/>
          <w:lang w:val="en-IE"/>
        </w:rPr>
        <w:t>Principles</w:t>
      </w:r>
    </w:p>
    <w:p w:rsidR="00682F00" w:rsidRPr="00E52BFA" w:rsidRDefault="00682F00" w:rsidP="00817FA5">
      <w:pPr>
        <w:rPr>
          <w:noProof/>
          <w:lang w:val="en-IE"/>
        </w:rPr>
      </w:pPr>
      <w:r w:rsidRPr="00E52BFA">
        <w:rPr>
          <w:noProof/>
          <w:lang w:val="en-IE"/>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682F00" w:rsidRPr="00E52BFA" w:rsidRDefault="00682F00" w:rsidP="00F406AC">
      <w:pPr>
        <w:pStyle w:val="ManualHeading3"/>
        <w:rPr>
          <w:noProof/>
          <w:lang w:val="en-IE"/>
        </w:rPr>
      </w:pPr>
      <w:r>
        <w:rPr>
          <w:noProof/>
        </w:rPr>
        <w:t>4.2.2.</w:t>
      </w:r>
      <w:r>
        <w:rPr>
          <w:noProof/>
        </w:rPr>
        <w:tab/>
      </w:r>
      <w:r w:rsidRPr="00E52BFA">
        <w:rPr>
          <w:noProof/>
          <w:lang w:val="en-IE"/>
        </w:rPr>
        <w:t>Application to the present case</w:t>
      </w:r>
    </w:p>
    <w:p w:rsidR="00682F00" w:rsidRPr="00E52BFA" w:rsidRDefault="00682F00" w:rsidP="00817FA5">
      <w:pPr>
        <w:rPr>
          <w:noProof/>
          <w:lang w:val="en-IE"/>
        </w:rPr>
      </w:pPr>
      <w:r w:rsidRPr="00E52BFA">
        <w:rPr>
          <w:noProof/>
          <w:lang w:val="en-IE"/>
        </w:rPr>
        <w:t>The main objective and content of the envisaged act relate to</w:t>
      </w:r>
      <w:r w:rsidR="00BB38E0">
        <w:rPr>
          <w:noProof/>
          <w:lang w:val="en-IE"/>
        </w:rPr>
        <w:t xml:space="preserve"> common commercial policy.</w:t>
      </w:r>
    </w:p>
    <w:p w:rsidR="00682F00" w:rsidRPr="00E52BFA" w:rsidRDefault="00682F00" w:rsidP="00817FA5">
      <w:pPr>
        <w:rPr>
          <w:i/>
          <w:noProof/>
          <w:lang w:val="en-IE"/>
        </w:rPr>
      </w:pPr>
      <w:r w:rsidRPr="00E52BFA">
        <w:rPr>
          <w:noProof/>
          <w:lang w:val="en-IE"/>
        </w:rPr>
        <w:t>Therefore, the substantive legal basis of the proposed decision is</w:t>
      </w:r>
      <w:r w:rsidR="00BB38E0">
        <w:rPr>
          <w:noProof/>
          <w:lang w:val="en-IE"/>
        </w:rPr>
        <w:t xml:space="preserve"> </w:t>
      </w:r>
      <w:r w:rsidR="0091540B">
        <w:rPr>
          <w:noProof/>
          <w:lang w:val="en-IE"/>
        </w:rPr>
        <w:t xml:space="preserve">first subparagraph of </w:t>
      </w:r>
      <w:r w:rsidR="00BB38E0">
        <w:rPr>
          <w:noProof/>
          <w:lang w:val="en-IE"/>
        </w:rPr>
        <w:t>Article 207(4</w:t>
      </w:r>
      <w:r w:rsidR="0091540B">
        <w:rPr>
          <w:noProof/>
          <w:lang w:val="en-IE"/>
        </w:rPr>
        <w:t>)</w:t>
      </w:r>
      <w:r w:rsidR="00BB38E0">
        <w:rPr>
          <w:noProof/>
          <w:lang w:val="en-IE"/>
        </w:rPr>
        <w:t xml:space="preserve"> TFEU</w:t>
      </w:r>
      <w:r w:rsidR="00A21E6F">
        <w:rPr>
          <w:noProof/>
          <w:lang w:val="en-IE"/>
        </w:rPr>
        <w:t>.</w:t>
      </w:r>
      <w:r w:rsidRPr="00E52BFA">
        <w:rPr>
          <w:noProof/>
          <w:lang w:val="en-IE"/>
        </w:rPr>
        <w:t xml:space="preserve"> </w:t>
      </w:r>
    </w:p>
    <w:p w:rsidR="00682F00" w:rsidRPr="00E52BFA" w:rsidRDefault="00682F00" w:rsidP="00817FA5">
      <w:pPr>
        <w:pStyle w:val="ManualHeading2"/>
        <w:rPr>
          <w:noProof/>
          <w:lang w:val="en-IE"/>
        </w:rPr>
      </w:pPr>
      <w:r>
        <w:rPr>
          <w:noProof/>
        </w:rPr>
        <w:t>4.3.</w:t>
      </w:r>
      <w:r>
        <w:rPr>
          <w:noProof/>
        </w:rPr>
        <w:tab/>
      </w:r>
      <w:r w:rsidRPr="00E52BFA">
        <w:rPr>
          <w:noProof/>
          <w:lang w:val="en-IE"/>
        </w:rPr>
        <w:t>Conclusion</w:t>
      </w:r>
    </w:p>
    <w:p w:rsidR="00682F00" w:rsidRPr="00E52BFA" w:rsidRDefault="00682F00" w:rsidP="00817FA5">
      <w:pPr>
        <w:rPr>
          <w:noProof/>
          <w:lang w:val="en-IE"/>
        </w:rPr>
      </w:pPr>
      <w:r w:rsidRPr="00E52BFA">
        <w:rPr>
          <w:noProof/>
          <w:lang w:val="en-IE"/>
        </w:rPr>
        <w:t xml:space="preserve">The legal basis of the proposed </w:t>
      </w:r>
      <w:r w:rsidR="00A21E6F">
        <w:rPr>
          <w:noProof/>
          <w:lang w:val="en-IE"/>
        </w:rPr>
        <w:t>D</w:t>
      </w:r>
      <w:r w:rsidRPr="00E52BFA">
        <w:rPr>
          <w:noProof/>
          <w:lang w:val="en-IE"/>
        </w:rPr>
        <w:t>ecision should be</w:t>
      </w:r>
      <w:r w:rsidR="0091540B">
        <w:rPr>
          <w:noProof/>
          <w:lang w:val="en-IE"/>
        </w:rPr>
        <w:t xml:space="preserve"> first subparagraph of </w:t>
      </w:r>
      <w:r w:rsidR="00584AEF">
        <w:rPr>
          <w:noProof/>
          <w:lang w:val="en-IE"/>
        </w:rPr>
        <w:t>Article 207(4)</w:t>
      </w:r>
      <w:r w:rsidR="0091540B" w:rsidRPr="0091540B">
        <w:rPr>
          <w:noProof/>
          <w:lang w:val="en-IE"/>
        </w:rPr>
        <w:t xml:space="preserve"> </w:t>
      </w:r>
      <w:r w:rsidR="00584AEF">
        <w:rPr>
          <w:noProof/>
          <w:lang w:val="en-IE"/>
        </w:rPr>
        <w:t>TFEU</w:t>
      </w:r>
      <w:r w:rsidRPr="00E52BFA">
        <w:rPr>
          <w:noProof/>
          <w:lang w:val="en-IE"/>
        </w:rPr>
        <w:t>, in conjunction with Article 218(9) TFEU.</w:t>
      </w:r>
    </w:p>
    <w:p w:rsidR="00682F00" w:rsidRPr="00E52BFA" w:rsidRDefault="00682F00" w:rsidP="00817FA5">
      <w:pPr>
        <w:pStyle w:val="ManualHeading1"/>
        <w:rPr>
          <w:noProof/>
          <w:lang w:val="en-IE"/>
        </w:rPr>
      </w:pPr>
      <w:r>
        <w:rPr>
          <w:noProof/>
        </w:rPr>
        <w:t>5.</w:t>
      </w:r>
      <w:r>
        <w:rPr>
          <w:noProof/>
        </w:rPr>
        <w:tab/>
      </w:r>
      <w:r w:rsidRPr="00E52BFA">
        <w:rPr>
          <w:noProof/>
          <w:lang w:val="en-IE"/>
        </w:rPr>
        <w:t>Publication of the envisaged act</w:t>
      </w:r>
    </w:p>
    <w:p w:rsidR="00682F00" w:rsidRPr="00E52BFA" w:rsidRDefault="00682F00" w:rsidP="00817FA5">
      <w:pPr>
        <w:rPr>
          <w:noProof/>
          <w:lang w:val="en-IE"/>
        </w:rPr>
      </w:pPr>
      <w:r w:rsidRPr="00E52BFA">
        <w:rPr>
          <w:noProof/>
          <w:lang w:val="en-IE"/>
        </w:rPr>
        <w:t>As the act of the</w:t>
      </w:r>
      <w:r w:rsidR="00584AEF">
        <w:rPr>
          <w:noProof/>
          <w:lang w:val="en-IE"/>
        </w:rPr>
        <w:t xml:space="preserve"> Trade Committee</w:t>
      </w:r>
      <w:r w:rsidRPr="00E52BFA">
        <w:rPr>
          <w:noProof/>
          <w:lang w:val="en-IE"/>
        </w:rPr>
        <w:t xml:space="preserve"> will amend </w:t>
      </w:r>
      <w:r w:rsidR="00584AEF">
        <w:rPr>
          <w:noProof/>
          <w:lang w:val="en-IE"/>
        </w:rPr>
        <w:t xml:space="preserve">the existing lists of </w:t>
      </w:r>
      <w:r w:rsidR="00584AEF" w:rsidRPr="00E52BFA">
        <w:rPr>
          <w:rFonts w:eastAsia="Arial Unicode MS"/>
          <w:noProof/>
          <w:lang w:val="en-IE"/>
        </w:rPr>
        <w:t>individuals who are willing and able to serve as arbitrators in accordance with Article 14.18 of the Agreement and the list of experts willing and able to serve as panellists in accordance with Article 13.15 of the Agreement</w:t>
      </w:r>
      <w:r w:rsidR="00584AEF">
        <w:rPr>
          <w:rFonts w:eastAsia="Arial Unicode MS"/>
          <w:noProof/>
          <w:lang w:val="en-IE"/>
        </w:rPr>
        <w:t>,</w:t>
      </w:r>
      <w:r w:rsidRPr="00E52BFA">
        <w:rPr>
          <w:noProof/>
          <w:lang w:val="en-IE"/>
        </w:rPr>
        <w:t xml:space="preserve"> it is appropriate to publish </w:t>
      </w:r>
      <w:r w:rsidR="00A21E6F">
        <w:rPr>
          <w:noProof/>
          <w:lang w:val="en-IE"/>
        </w:rPr>
        <w:t>them</w:t>
      </w:r>
      <w:r w:rsidRPr="00E52BFA">
        <w:rPr>
          <w:noProof/>
          <w:lang w:val="en-IE"/>
        </w:rPr>
        <w:t xml:space="preserve"> in the </w:t>
      </w:r>
      <w:r w:rsidRPr="00E52BFA">
        <w:rPr>
          <w:i/>
          <w:noProof/>
          <w:lang w:val="en-IE"/>
        </w:rPr>
        <w:t xml:space="preserve">Official Journal of the European Union </w:t>
      </w:r>
      <w:r w:rsidRPr="00E52BFA">
        <w:rPr>
          <w:noProof/>
          <w:lang w:val="en-IE"/>
        </w:rPr>
        <w:t xml:space="preserve">after </w:t>
      </w:r>
      <w:r w:rsidR="00A21E6F">
        <w:rPr>
          <w:noProof/>
          <w:lang w:val="en-IE"/>
        </w:rPr>
        <w:t>their</w:t>
      </w:r>
      <w:r w:rsidRPr="00E52BFA">
        <w:rPr>
          <w:noProof/>
          <w:lang w:val="en-IE"/>
        </w:rPr>
        <w:t xml:space="preserve"> adoption.</w:t>
      </w:r>
    </w:p>
    <w:p w:rsidR="00682F00" w:rsidRPr="00E52BFA" w:rsidRDefault="00682F00" w:rsidP="00817FA5">
      <w:pPr>
        <w:rPr>
          <w:noProof/>
          <w:lang w:val="en-IE"/>
        </w:rPr>
        <w:sectPr w:rsidR="00682F00" w:rsidRPr="00E52BFA" w:rsidSect="00F13E3A">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B9107F" w:rsidRDefault="00A45A07">
      <w:pPr>
        <w:pStyle w:val="Rfrenceinterinstitutionnelle"/>
        <w:rPr>
          <w:noProof/>
        </w:rPr>
      </w:pPr>
      <w:r>
        <w:rPr>
          <w:noProof/>
        </w:rPr>
        <w:lastRenderedPageBreak/>
        <w:t>2026/0127 (NLE)</w:t>
      </w:r>
    </w:p>
    <w:p w:rsidR="00682F00" w:rsidRPr="00E52BFA" w:rsidRDefault="00216ED0" w:rsidP="00216ED0">
      <w:pPr>
        <w:pStyle w:val="Statut"/>
        <w:rPr>
          <w:noProof/>
          <w:lang w:val="en-IE"/>
        </w:rPr>
      </w:pPr>
      <w:r w:rsidRPr="00216ED0">
        <w:rPr>
          <w:noProof/>
        </w:rPr>
        <w:t>Proposal for a</w:t>
      </w:r>
    </w:p>
    <w:p w:rsidR="00682F00" w:rsidRPr="00E52BFA" w:rsidRDefault="00216ED0" w:rsidP="00216ED0">
      <w:pPr>
        <w:pStyle w:val="Typedudocument"/>
        <w:rPr>
          <w:noProof/>
          <w:lang w:val="en-IE"/>
        </w:rPr>
      </w:pPr>
      <w:r w:rsidRPr="00216ED0">
        <w:rPr>
          <w:noProof/>
        </w:rPr>
        <w:t>COUNCIL DECISION</w:t>
      </w:r>
    </w:p>
    <w:p w:rsidR="00682F00" w:rsidRPr="00E52BFA" w:rsidRDefault="00216ED0" w:rsidP="00216ED0">
      <w:pPr>
        <w:pStyle w:val="Titreobjet"/>
        <w:rPr>
          <w:noProof/>
          <w:lang w:val="en-IE"/>
        </w:rPr>
      </w:pPr>
      <w:r w:rsidRPr="00216ED0">
        <w:rPr>
          <w:noProof/>
        </w:rPr>
        <w:t>on the position to be taken on behalf of the European Union in the Trade Committee set up by the Free Trade Agreement between the European Union and its Member States, of the one part, and the Republic of Korea, of the other part, as regards the revision of the list of individuals who are willing and able to serve as arbitrators in accordance with Article 14.18 of the Agreement and the revision of the list of experts who are willing and able to serve as panellists in accordance with Article 13.15 of the Agreement</w:t>
      </w:r>
    </w:p>
    <w:p w:rsidR="00682F00" w:rsidRPr="00E52BFA" w:rsidRDefault="00682F00" w:rsidP="00817FA5">
      <w:pPr>
        <w:pStyle w:val="Institutionquiagit"/>
        <w:rPr>
          <w:noProof/>
          <w:lang w:val="en-IE"/>
        </w:rPr>
      </w:pPr>
      <w:r w:rsidRPr="00E52BFA">
        <w:rPr>
          <w:noProof/>
          <w:lang w:val="en-IE"/>
        </w:rPr>
        <w:t>THE COUNCIL OF THE EUROPEAN UNION,</w:t>
      </w:r>
    </w:p>
    <w:p w:rsidR="00682F00" w:rsidRPr="00E52BFA" w:rsidRDefault="00682F00" w:rsidP="00817FA5">
      <w:pPr>
        <w:rPr>
          <w:noProof/>
          <w:lang w:val="en-IE"/>
        </w:rPr>
      </w:pPr>
      <w:r w:rsidRPr="00E52BFA">
        <w:rPr>
          <w:noProof/>
          <w:lang w:val="en-IE"/>
        </w:rPr>
        <w:t xml:space="preserve">Having regard to the Treaty on the Functioning of the European Union, and in particular </w:t>
      </w:r>
      <w:r w:rsidR="0091540B">
        <w:rPr>
          <w:noProof/>
          <w:lang w:val="en-IE"/>
        </w:rPr>
        <w:t xml:space="preserve">first subparagraph of </w:t>
      </w:r>
      <w:r w:rsidRPr="00E52BFA">
        <w:rPr>
          <w:noProof/>
          <w:lang w:val="en-IE"/>
        </w:rPr>
        <w:t>Article</w:t>
      </w:r>
      <w:r w:rsidR="006E5247" w:rsidRPr="00E52BFA">
        <w:rPr>
          <w:noProof/>
          <w:lang w:val="en-IE"/>
        </w:rPr>
        <w:t xml:space="preserve"> 207(4),</w:t>
      </w:r>
      <w:r w:rsidRPr="00E52BFA">
        <w:rPr>
          <w:noProof/>
          <w:lang w:val="en-IE"/>
        </w:rPr>
        <w:t xml:space="preserve"> in conjunction with Article 218(9) thereof,</w:t>
      </w:r>
    </w:p>
    <w:p w:rsidR="00682F00" w:rsidRPr="00E52BFA" w:rsidRDefault="00682F00" w:rsidP="00817FA5">
      <w:pPr>
        <w:rPr>
          <w:noProof/>
          <w:lang w:val="en-IE"/>
        </w:rPr>
      </w:pPr>
      <w:r w:rsidRPr="00E52BFA">
        <w:rPr>
          <w:noProof/>
          <w:lang w:val="en-IE"/>
        </w:rPr>
        <w:t>Having regard to the proposal from the European Commission,</w:t>
      </w:r>
    </w:p>
    <w:p w:rsidR="00682F00" w:rsidRPr="00E52BFA" w:rsidRDefault="00682F00" w:rsidP="00817FA5">
      <w:pPr>
        <w:rPr>
          <w:noProof/>
          <w:lang w:val="en-IE"/>
        </w:rPr>
      </w:pPr>
      <w:r w:rsidRPr="00E52BFA">
        <w:rPr>
          <w:noProof/>
          <w:lang w:val="en-IE"/>
        </w:rPr>
        <w:t>Whereas:</w:t>
      </w:r>
    </w:p>
    <w:p w:rsidR="00682F00" w:rsidRPr="00E52BFA" w:rsidRDefault="00E31E41" w:rsidP="00ED1ADE">
      <w:pPr>
        <w:pStyle w:val="ManualConsidrant"/>
        <w:rPr>
          <w:noProof/>
          <w:lang w:val="en-IE"/>
        </w:rPr>
      </w:pPr>
      <w:r>
        <w:rPr>
          <w:noProof/>
        </w:rPr>
        <w:t>(1)</w:t>
      </w:r>
      <w:r>
        <w:rPr>
          <w:noProof/>
        </w:rPr>
        <w:tab/>
      </w:r>
      <w:r>
        <w:rPr>
          <w:noProof/>
          <w:lang w:val="en-IE"/>
        </w:rPr>
        <w:t>T</w:t>
      </w:r>
      <w:r w:rsidR="0051700A" w:rsidRPr="00E52BFA">
        <w:rPr>
          <w:noProof/>
          <w:lang w:val="en-IE"/>
        </w:rPr>
        <w:t xml:space="preserve">he Free Trade Agreement between the European Union and its Member States, of the one part, and the Republic of Korea, of the other part, </w:t>
      </w:r>
      <w:r w:rsidR="00682F00" w:rsidRPr="00E52BFA">
        <w:rPr>
          <w:noProof/>
          <w:lang w:val="en-IE"/>
        </w:rPr>
        <w:t>(‘the Agreement’) was concluded by the Union by Council Decision</w:t>
      </w:r>
      <w:r w:rsidR="00682F00" w:rsidRPr="001952F9">
        <w:rPr>
          <w:noProof/>
        </w:rPr>
        <w:t xml:space="preserve"> </w:t>
      </w:r>
      <w:r w:rsidR="0051700A" w:rsidRPr="00E52BFA">
        <w:rPr>
          <w:noProof/>
          <w:lang w:val="en-IE"/>
        </w:rPr>
        <w:t>of 6 October 2010</w:t>
      </w:r>
      <w:r w:rsidR="00682F00" w:rsidRPr="00E52BFA">
        <w:rPr>
          <w:rStyle w:val="FootnoteReference"/>
          <w:noProof/>
          <w:lang w:val="en-IE"/>
        </w:rPr>
        <w:footnoteReference w:id="5"/>
      </w:r>
      <w:r w:rsidR="00682F00" w:rsidRPr="00E52BFA">
        <w:rPr>
          <w:noProof/>
          <w:lang w:val="en-IE"/>
        </w:rPr>
        <w:t xml:space="preserve"> </w:t>
      </w:r>
      <w:r w:rsidR="0051700A" w:rsidRPr="00E52BFA">
        <w:rPr>
          <w:noProof/>
          <w:lang w:val="en-IE"/>
        </w:rPr>
        <w:t xml:space="preserve">and was provisionally applied since July 2011 and </w:t>
      </w:r>
      <w:r w:rsidR="00682F00" w:rsidRPr="00E52BFA">
        <w:rPr>
          <w:noProof/>
          <w:lang w:val="en-IE"/>
        </w:rPr>
        <w:t xml:space="preserve">entered into force </w:t>
      </w:r>
      <w:r w:rsidR="0051700A" w:rsidRPr="00E52BFA">
        <w:rPr>
          <w:noProof/>
          <w:lang w:val="en-IE"/>
        </w:rPr>
        <w:t>in</w:t>
      </w:r>
      <w:r w:rsidR="00682F00" w:rsidRPr="00E52BFA">
        <w:rPr>
          <w:noProof/>
          <w:lang w:val="en-IE"/>
        </w:rPr>
        <w:t xml:space="preserve"> </w:t>
      </w:r>
      <w:r w:rsidR="0051700A" w:rsidRPr="00E52BFA">
        <w:rPr>
          <w:noProof/>
          <w:lang w:val="en-IE"/>
        </w:rPr>
        <w:t>December 2015</w:t>
      </w:r>
      <w:r w:rsidR="00682F00" w:rsidRPr="00E52BFA">
        <w:rPr>
          <w:noProof/>
          <w:lang w:val="en-IE"/>
        </w:rPr>
        <w:t xml:space="preserve">. </w:t>
      </w:r>
    </w:p>
    <w:p w:rsidR="007B0DAE" w:rsidRPr="00E52BFA" w:rsidRDefault="00682F00" w:rsidP="00E32DE2">
      <w:pPr>
        <w:pStyle w:val="ManualConsidrant"/>
        <w:rPr>
          <w:noProof/>
          <w:lang w:val="en-IE"/>
        </w:rPr>
      </w:pPr>
      <w:r>
        <w:rPr>
          <w:noProof/>
        </w:rPr>
        <w:t>(2)</w:t>
      </w:r>
      <w:r>
        <w:rPr>
          <w:noProof/>
        </w:rPr>
        <w:tab/>
      </w:r>
      <w:r w:rsidRPr="00E52BFA">
        <w:rPr>
          <w:noProof/>
          <w:lang w:val="en-IE"/>
        </w:rPr>
        <w:t xml:space="preserve">Pursuant to Article </w:t>
      </w:r>
      <w:r w:rsidR="007D7346" w:rsidRPr="001952F9">
        <w:rPr>
          <w:noProof/>
        </w:rPr>
        <w:t>14.18 of the Agreement, the Trade Committee shall establish a list of 15 individuals who are willing and able to serve as arbitrators</w:t>
      </w:r>
      <w:r w:rsidR="007B0DAE" w:rsidRPr="001952F9">
        <w:rPr>
          <w:noProof/>
        </w:rPr>
        <w:t xml:space="preserve"> in possible disputes between the Parties</w:t>
      </w:r>
      <w:r w:rsidR="007D7346" w:rsidRPr="001952F9">
        <w:rPr>
          <w:noProof/>
        </w:rPr>
        <w:t xml:space="preserve">. </w:t>
      </w:r>
      <w:r w:rsidR="007B0DAE" w:rsidRPr="00E52BFA">
        <w:rPr>
          <w:noProof/>
          <w:lang w:val="en-IE"/>
        </w:rPr>
        <w:t>On 23 December 2011, the EU-Korea Trade Committee adopted Decision No 2</w:t>
      </w:r>
      <w:r w:rsidR="007B0DAE" w:rsidRPr="00E52BFA">
        <w:rPr>
          <w:rStyle w:val="FootnoteReference"/>
          <w:noProof/>
          <w:lang w:val="en-IE"/>
        </w:rPr>
        <w:footnoteReference w:id="6"/>
      </w:r>
      <w:r w:rsidR="007B0DAE" w:rsidRPr="00E52BFA">
        <w:rPr>
          <w:noProof/>
          <w:lang w:val="en-IE"/>
        </w:rPr>
        <w:t xml:space="preserve"> establishing a list of 15 individuals that may serve as arbitrators in the Panel procedures pursuant to Article 14.18 of the Agreement.</w:t>
      </w:r>
    </w:p>
    <w:p w:rsidR="00D27714" w:rsidRPr="001952F9" w:rsidRDefault="00D27714" w:rsidP="00E32DE2">
      <w:pPr>
        <w:pStyle w:val="ManualConsidrant"/>
        <w:rPr>
          <w:noProof/>
          <w:lang w:val="en-IE"/>
        </w:rPr>
      </w:pPr>
      <w:r>
        <w:rPr>
          <w:noProof/>
        </w:rPr>
        <w:t>(3)</w:t>
      </w:r>
      <w:r>
        <w:rPr>
          <w:noProof/>
        </w:rPr>
        <w:tab/>
      </w:r>
      <w:r w:rsidRPr="00E52BFA">
        <w:rPr>
          <w:noProof/>
          <w:lang w:val="en-IE"/>
        </w:rPr>
        <w:t>The Parties have expressed their wish to replace some of the Korean nationals, nationals of the Member States of the European Union and non-nationals serving as chairs on the list of arbitrators. In order for this amendment to take effect, the revised list of individuals should be approved by the EU-Korea Trade Committee.</w:t>
      </w:r>
      <w:r w:rsidR="00C57118" w:rsidRPr="00E52BFA">
        <w:rPr>
          <w:noProof/>
          <w:lang w:val="en-IE"/>
        </w:rPr>
        <w:t xml:space="preserve"> </w:t>
      </w:r>
    </w:p>
    <w:p w:rsidR="00C57118" w:rsidRPr="00E52BFA" w:rsidRDefault="00D27714" w:rsidP="00E32DE2">
      <w:pPr>
        <w:pStyle w:val="ManualConsidrant"/>
        <w:rPr>
          <w:noProof/>
          <w:lang w:val="en-IE"/>
        </w:rPr>
      </w:pPr>
      <w:r>
        <w:rPr>
          <w:noProof/>
        </w:rPr>
        <w:t>(4)</w:t>
      </w:r>
      <w:r>
        <w:rPr>
          <w:noProof/>
        </w:rPr>
        <w:tab/>
      </w:r>
      <w:r w:rsidRPr="00E52BFA">
        <w:rPr>
          <w:noProof/>
          <w:lang w:val="en-IE"/>
        </w:rPr>
        <w:t xml:space="preserve">Pursuant to Article 13.15(3) of the Agreement, the Parties shall establish a list of at least 15 persons willing and able to serve as panellists with regard to matters arising under Chapter 13 </w:t>
      </w:r>
      <w:r w:rsidR="00E31E41">
        <w:rPr>
          <w:noProof/>
          <w:lang w:val="en-IE"/>
        </w:rPr>
        <w:t xml:space="preserve">of the Agreement (Chapter </w:t>
      </w:r>
      <w:r w:rsidRPr="00E52BFA">
        <w:rPr>
          <w:noProof/>
          <w:lang w:val="en-IE"/>
        </w:rPr>
        <w:t xml:space="preserve">on </w:t>
      </w:r>
      <w:r w:rsidR="00E31E41">
        <w:rPr>
          <w:noProof/>
          <w:lang w:val="en-IE"/>
        </w:rPr>
        <w:t>t</w:t>
      </w:r>
      <w:r w:rsidRPr="00E52BFA">
        <w:rPr>
          <w:noProof/>
          <w:lang w:val="en-IE"/>
        </w:rPr>
        <w:t xml:space="preserve">rade and </w:t>
      </w:r>
      <w:r w:rsidR="00E31E41">
        <w:rPr>
          <w:noProof/>
          <w:lang w:val="en-IE"/>
        </w:rPr>
        <w:t>s</w:t>
      </w:r>
      <w:r w:rsidRPr="00E52BFA">
        <w:rPr>
          <w:noProof/>
          <w:lang w:val="en-IE"/>
        </w:rPr>
        <w:t xml:space="preserve">ustainable </w:t>
      </w:r>
      <w:r w:rsidR="00E31E41">
        <w:rPr>
          <w:noProof/>
          <w:lang w:val="en-IE"/>
        </w:rPr>
        <w:t>d</w:t>
      </w:r>
      <w:r w:rsidRPr="00E52BFA">
        <w:rPr>
          <w:noProof/>
          <w:lang w:val="en-IE"/>
        </w:rPr>
        <w:t>evelopment</w:t>
      </w:r>
      <w:r w:rsidR="00E31E41">
        <w:rPr>
          <w:noProof/>
          <w:lang w:val="en-IE"/>
        </w:rPr>
        <w:t>)</w:t>
      </w:r>
      <w:r w:rsidRPr="00E52BFA">
        <w:rPr>
          <w:noProof/>
          <w:lang w:val="en-IE"/>
        </w:rPr>
        <w:t xml:space="preserve"> and who have expertise in the issues covered by that Chapter. On 27 June 2012, the EU-Korea Committee on Trade and Sustainable Development adopted Decision No 2/2012</w:t>
      </w:r>
      <w:r w:rsidR="006851C6">
        <w:rPr>
          <w:rStyle w:val="FootnoteReference"/>
          <w:noProof/>
          <w:lang w:val="en-IE"/>
        </w:rPr>
        <w:footnoteReference w:id="7"/>
      </w:r>
      <w:r w:rsidRPr="00E52BFA">
        <w:rPr>
          <w:noProof/>
          <w:lang w:val="en-IE"/>
        </w:rPr>
        <w:t xml:space="preserve"> establishing a list of 18 experts that may serve as panellists. </w:t>
      </w:r>
      <w:r w:rsidR="00E31E41" w:rsidRPr="00E4627F">
        <w:rPr>
          <w:noProof/>
        </w:rPr>
        <w:t>This list has been last revised in 2019 through Decision No. 1/2019</w:t>
      </w:r>
      <w:r w:rsidR="00E31E41" w:rsidRPr="00E4627F">
        <w:rPr>
          <w:rStyle w:val="FootnoteReference"/>
          <w:noProof/>
        </w:rPr>
        <w:footnoteReference w:id="8"/>
      </w:r>
      <w:r w:rsidR="00E31E41" w:rsidRPr="00E4627F">
        <w:rPr>
          <w:noProof/>
        </w:rPr>
        <w:t xml:space="preserve"> of the same</w:t>
      </w:r>
      <w:r w:rsidR="00E31E41">
        <w:rPr>
          <w:noProof/>
        </w:rPr>
        <w:t xml:space="preserve"> Committee.</w:t>
      </w:r>
    </w:p>
    <w:p w:rsidR="00D27714" w:rsidRPr="00E52BFA" w:rsidRDefault="00D27714" w:rsidP="00E32DE2">
      <w:pPr>
        <w:pStyle w:val="ManualConsidrant"/>
        <w:rPr>
          <w:noProof/>
          <w:lang w:val="en-IE"/>
        </w:rPr>
      </w:pPr>
      <w:r>
        <w:rPr>
          <w:noProof/>
        </w:rPr>
        <w:lastRenderedPageBreak/>
        <w:t>(5)</w:t>
      </w:r>
      <w:r>
        <w:rPr>
          <w:noProof/>
        </w:rPr>
        <w:tab/>
      </w:r>
      <w:r w:rsidRPr="00E52BFA">
        <w:rPr>
          <w:noProof/>
          <w:lang w:val="en-IE"/>
        </w:rPr>
        <w:t xml:space="preserve">The Parties have expressed their wish to replace </w:t>
      </w:r>
      <w:r w:rsidR="00C57118" w:rsidRPr="00E52BFA">
        <w:rPr>
          <w:noProof/>
          <w:lang w:val="en-IE"/>
        </w:rPr>
        <w:t>some</w:t>
      </w:r>
      <w:r w:rsidRPr="00E52BFA">
        <w:rPr>
          <w:noProof/>
          <w:lang w:val="en-IE"/>
        </w:rPr>
        <w:t xml:space="preserve"> of the non-nationals serving as chairs on the list of experts.</w:t>
      </w:r>
      <w:r w:rsidR="00C57118" w:rsidRPr="00E52BFA">
        <w:rPr>
          <w:noProof/>
          <w:lang w:val="en-IE"/>
        </w:rPr>
        <w:t xml:space="preserve"> In order for this amendment to take effect, the revised list of individuals should be approved by the EU-Korea Trade Committee.</w:t>
      </w:r>
    </w:p>
    <w:p w:rsidR="00682F00" w:rsidRPr="00E52BFA" w:rsidRDefault="00682F00" w:rsidP="00E32DE2">
      <w:pPr>
        <w:pStyle w:val="ManualConsidrant"/>
        <w:rPr>
          <w:noProof/>
          <w:lang w:val="en-IE"/>
        </w:rPr>
      </w:pPr>
      <w:r>
        <w:rPr>
          <w:noProof/>
        </w:rPr>
        <w:t>(6)</w:t>
      </w:r>
      <w:r>
        <w:rPr>
          <w:noProof/>
        </w:rPr>
        <w:tab/>
      </w:r>
      <w:r w:rsidRPr="00E52BFA">
        <w:rPr>
          <w:noProof/>
          <w:lang w:val="en-IE"/>
        </w:rPr>
        <w:t xml:space="preserve">The </w:t>
      </w:r>
      <w:r w:rsidR="00C57118" w:rsidRPr="001952F9">
        <w:rPr>
          <w:noProof/>
        </w:rPr>
        <w:t>Trade Committee is to adopt the updated lists of arbitrators</w:t>
      </w:r>
      <w:r w:rsidR="00E31E41" w:rsidRPr="001952F9">
        <w:rPr>
          <w:noProof/>
        </w:rPr>
        <w:t xml:space="preserve"> and experts</w:t>
      </w:r>
      <w:r w:rsidR="00C57118" w:rsidRPr="001952F9">
        <w:rPr>
          <w:noProof/>
        </w:rPr>
        <w:t xml:space="preserve"> either</w:t>
      </w:r>
      <w:r w:rsidRPr="00E52BFA">
        <w:rPr>
          <w:noProof/>
          <w:lang w:val="en-IE"/>
        </w:rPr>
        <w:t xml:space="preserve"> during its </w:t>
      </w:r>
      <w:r w:rsidR="00C57118" w:rsidRPr="001952F9">
        <w:rPr>
          <w:noProof/>
        </w:rPr>
        <w:t xml:space="preserve">next </w:t>
      </w:r>
      <w:r w:rsidRPr="00E52BFA">
        <w:rPr>
          <w:noProof/>
          <w:lang w:val="en-IE"/>
        </w:rPr>
        <w:t xml:space="preserve">meeting </w:t>
      </w:r>
      <w:r w:rsidR="00C57118" w:rsidRPr="00E52BFA">
        <w:rPr>
          <w:noProof/>
          <w:lang w:val="en-IE"/>
        </w:rPr>
        <w:t>or through a written procedure, whichever is sooner</w:t>
      </w:r>
      <w:r w:rsidRPr="00E52BFA">
        <w:rPr>
          <w:noProof/>
          <w:lang w:val="en-IE"/>
        </w:rPr>
        <w:t>.</w:t>
      </w:r>
    </w:p>
    <w:p w:rsidR="00682F00" w:rsidRPr="00E52BFA" w:rsidRDefault="00682F00" w:rsidP="00E32DE2">
      <w:pPr>
        <w:pStyle w:val="ManualConsidrant"/>
        <w:rPr>
          <w:noProof/>
          <w:lang w:val="en-IE"/>
        </w:rPr>
      </w:pPr>
      <w:r>
        <w:rPr>
          <w:noProof/>
        </w:rPr>
        <w:t>(7)</w:t>
      </w:r>
      <w:r>
        <w:rPr>
          <w:noProof/>
        </w:rPr>
        <w:tab/>
      </w:r>
      <w:r w:rsidRPr="00E52BFA">
        <w:rPr>
          <w:noProof/>
          <w:lang w:val="en-IE"/>
        </w:rPr>
        <w:t xml:space="preserve">It is appropriate to establish the position to be taken on the Union's behalf in the </w:t>
      </w:r>
      <w:r w:rsidR="00C57118" w:rsidRPr="001952F9">
        <w:rPr>
          <w:noProof/>
        </w:rPr>
        <w:t>Trade Committee,</w:t>
      </w:r>
      <w:r w:rsidRPr="00E52BFA">
        <w:rPr>
          <w:noProof/>
          <w:lang w:val="en-IE"/>
        </w:rPr>
        <w:t xml:space="preserve"> as the </w:t>
      </w:r>
      <w:r w:rsidR="00C57118" w:rsidRPr="001952F9">
        <w:rPr>
          <w:noProof/>
        </w:rPr>
        <w:t>decisions</w:t>
      </w:r>
      <w:r w:rsidRPr="00E52BFA">
        <w:rPr>
          <w:noProof/>
          <w:lang w:val="en-IE"/>
        </w:rPr>
        <w:t xml:space="preserve"> will be binding on the Union</w:t>
      </w:r>
      <w:r w:rsidR="00E32DE2">
        <w:rPr>
          <w:noProof/>
          <w:lang w:val="en-IE"/>
        </w:rPr>
        <w:t>,</w:t>
      </w:r>
    </w:p>
    <w:p w:rsidR="00682F00" w:rsidRPr="00E52BFA" w:rsidRDefault="00682F00" w:rsidP="00817FA5">
      <w:pPr>
        <w:pStyle w:val="Formuledadoption"/>
        <w:rPr>
          <w:noProof/>
          <w:lang w:val="en-IE"/>
        </w:rPr>
      </w:pPr>
      <w:r w:rsidRPr="00E52BFA">
        <w:rPr>
          <w:noProof/>
          <w:lang w:val="en-IE"/>
        </w:rPr>
        <w:t>HAS ADOPTED THIS DECISION:</w:t>
      </w:r>
    </w:p>
    <w:p w:rsidR="00682F00" w:rsidRPr="00E52BFA" w:rsidRDefault="00682F00" w:rsidP="00817FA5">
      <w:pPr>
        <w:pStyle w:val="Titrearticle"/>
        <w:rPr>
          <w:noProof/>
          <w:lang w:val="en-IE"/>
        </w:rPr>
      </w:pPr>
      <w:r w:rsidRPr="00E52BFA">
        <w:rPr>
          <w:noProof/>
          <w:lang w:val="en-IE"/>
        </w:rPr>
        <w:t>Article 1</w:t>
      </w:r>
    </w:p>
    <w:p w:rsidR="00C57118" w:rsidRPr="00E52BFA" w:rsidRDefault="00C57118" w:rsidP="00C57118">
      <w:pPr>
        <w:rPr>
          <w:noProof/>
          <w:lang w:val="en-IE"/>
        </w:rPr>
      </w:pPr>
      <w:r w:rsidRPr="00E52BFA">
        <w:rPr>
          <w:noProof/>
          <w:lang w:val="en-IE"/>
        </w:rPr>
        <w:t xml:space="preserve">The position to be taken </w:t>
      </w:r>
      <w:r w:rsidR="00090E4E">
        <w:rPr>
          <w:noProof/>
          <w:lang w:val="en-IE"/>
        </w:rPr>
        <w:t>on behalf of</w:t>
      </w:r>
      <w:r w:rsidR="00090E4E" w:rsidRPr="00E52BFA">
        <w:rPr>
          <w:noProof/>
          <w:lang w:val="en-IE"/>
        </w:rPr>
        <w:t xml:space="preserve"> </w:t>
      </w:r>
      <w:r w:rsidRPr="00E52BFA">
        <w:rPr>
          <w:noProof/>
          <w:lang w:val="en-IE"/>
        </w:rPr>
        <w:t xml:space="preserve">the European Union in the Trade Committee, set up by the Free Trade Agreement between the European Union and its Member States, of the one part, and the Republic of Korea, of the other part, as regards the </w:t>
      </w:r>
      <w:r w:rsidR="00987FB0" w:rsidRPr="00E52BFA">
        <w:rPr>
          <w:noProof/>
          <w:lang w:val="en-IE"/>
        </w:rPr>
        <w:t xml:space="preserve">revised </w:t>
      </w:r>
      <w:r w:rsidR="00987FB0" w:rsidRPr="00E52BFA">
        <w:rPr>
          <w:bCs/>
          <w:noProof/>
          <w:lang w:val="en-IE"/>
        </w:rPr>
        <w:t>list of individuals who are willing and able to serve as arbitrators in accordance with Article 14.18 of the Agreement</w:t>
      </w:r>
      <w:r w:rsidRPr="00E52BFA">
        <w:rPr>
          <w:noProof/>
          <w:lang w:val="en-IE"/>
        </w:rPr>
        <w:t xml:space="preserve"> shall be based on the draft decision of the Trade Committee attached </w:t>
      </w:r>
      <w:r w:rsidR="007F3497" w:rsidRPr="00E52BFA">
        <w:rPr>
          <w:noProof/>
          <w:lang w:val="en-IE"/>
        </w:rPr>
        <w:t xml:space="preserve">in Annex 1 </w:t>
      </w:r>
      <w:r w:rsidRPr="00E52BFA">
        <w:rPr>
          <w:noProof/>
          <w:lang w:val="en-IE"/>
        </w:rPr>
        <w:t>to this Decision.</w:t>
      </w:r>
    </w:p>
    <w:p w:rsidR="007F3497" w:rsidRPr="00E52BFA" w:rsidRDefault="007F3497" w:rsidP="007F3497">
      <w:pPr>
        <w:pStyle w:val="Titrearticle"/>
        <w:rPr>
          <w:noProof/>
          <w:lang w:val="en-IE"/>
        </w:rPr>
      </w:pPr>
      <w:r w:rsidRPr="00E52BFA">
        <w:rPr>
          <w:noProof/>
          <w:lang w:val="en-IE"/>
        </w:rPr>
        <w:t>Article 2</w:t>
      </w:r>
    </w:p>
    <w:p w:rsidR="007F3497" w:rsidRPr="00E52BFA" w:rsidRDefault="007F3497" w:rsidP="007F3497">
      <w:pPr>
        <w:rPr>
          <w:noProof/>
          <w:lang w:val="en-IE"/>
        </w:rPr>
      </w:pPr>
      <w:r w:rsidRPr="00E52BFA">
        <w:rPr>
          <w:noProof/>
          <w:lang w:val="en-IE"/>
        </w:rPr>
        <w:t xml:space="preserve">The position to be taken </w:t>
      </w:r>
      <w:r w:rsidR="00090E4E">
        <w:rPr>
          <w:noProof/>
          <w:lang w:val="en-IE"/>
        </w:rPr>
        <w:t>on behalf of</w:t>
      </w:r>
      <w:r w:rsidR="00090E4E" w:rsidRPr="00E52BFA">
        <w:rPr>
          <w:noProof/>
          <w:lang w:val="en-IE"/>
        </w:rPr>
        <w:t xml:space="preserve"> </w:t>
      </w:r>
      <w:r w:rsidRPr="00E52BFA">
        <w:rPr>
          <w:noProof/>
          <w:lang w:val="en-IE"/>
        </w:rPr>
        <w:t xml:space="preserve">the European Union in the Trade Committee, set up by the Free Trade Agreement between the European Union and its Member States, of the one part, and the Republic of Korea, of the other part, as regards the revised </w:t>
      </w:r>
      <w:r w:rsidR="00987FB0" w:rsidRPr="00E52BFA">
        <w:rPr>
          <w:bCs/>
          <w:noProof/>
          <w:lang w:val="en-IE"/>
        </w:rPr>
        <w:t xml:space="preserve">list of experts willing and able to serve as panellists in accordance with Article 13.15 of the Agreement </w:t>
      </w:r>
      <w:r w:rsidRPr="00E52BFA">
        <w:rPr>
          <w:noProof/>
          <w:lang w:val="en-IE"/>
        </w:rPr>
        <w:t>shall be based on the draft decision of the Trade Committee attached in Annex 2 to this Decision.</w:t>
      </w:r>
    </w:p>
    <w:p w:rsidR="00987FB0" w:rsidRPr="00E52BFA" w:rsidRDefault="00987FB0" w:rsidP="00987FB0">
      <w:pPr>
        <w:pStyle w:val="Titrearticle"/>
        <w:rPr>
          <w:noProof/>
          <w:lang w:val="en-IE"/>
        </w:rPr>
      </w:pPr>
      <w:r w:rsidRPr="00E52BFA">
        <w:rPr>
          <w:noProof/>
          <w:lang w:val="en-IE"/>
        </w:rPr>
        <w:t xml:space="preserve">Article </w:t>
      </w:r>
      <w:r w:rsidRPr="001952F9">
        <w:rPr>
          <w:noProof/>
        </w:rPr>
        <w:t>3</w:t>
      </w:r>
    </w:p>
    <w:p w:rsidR="00987FB0" w:rsidRPr="00E52BFA" w:rsidRDefault="00987FB0" w:rsidP="00987FB0">
      <w:pPr>
        <w:rPr>
          <w:noProof/>
          <w:lang w:val="en-IE"/>
        </w:rPr>
      </w:pPr>
      <w:r w:rsidRPr="00E52BFA">
        <w:rPr>
          <w:noProof/>
          <w:lang w:val="en-IE"/>
        </w:rPr>
        <w:t xml:space="preserve">Minor changes to the draft Decision may be agreed to by the representatives of the Union in the Trade Committee without further decision of the Council. </w:t>
      </w:r>
    </w:p>
    <w:p w:rsidR="00682F00" w:rsidRPr="00E52BFA" w:rsidRDefault="00682F00" w:rsidP="00817FA5">
      <w:pPr>
        <w:pStyle w:val="Titrearticle"/>
        <w:rPr>
          <w:noProof/>
          <w:lang w:val="en-IE"/>
        </w:rPr>
      </w:pPr>
      <w:r w:rsidRPr="00E52BFA">
        <w:rPr>
          <w:noProof/>
          <w:lang w:val="en-IE"/>
        </w:rPr>
        <w:t xml:space="preserve">Article </w:t>
      </w:r>
      <w:r w:rsidR="00987FB0" w:rsidRPr="001952F9">
        <w:rPr>
          <w:noProof/>
        </w:rPr>
        <w:t>4</w:t>
      </w:r>
    </w:p>
    <w:p w:rsidR="00C66BAF" w:rsidRPr="00E52BFA" w:rsidRDefault="00C66BAF" w:rsidP="00C66BAF">
      <w:pPr>
        <w:rPr>
          <w:noProof/>
          <w:lang w:val="en-IE"/>
        </w:rPr>
      </w:pPr>
      <w:r w:rsidRPr="00E52BFA">
        <w:rPr>
          <w:noProof/>
          <w:lang w:val="en-IE"/>
        </w:rPr>
        <w:t xml:space="preserve">After its adoption, the Decision of the </w:t>
      </w:r>
      <w:r w:rsidR="00090E4E">
        <w:rPr>
          <w:noProof/>
          <w:lang w:val="en-IE"/>
        </w:rPr>
        <w:t xml:space="preserve">Trade </w:t>
      </w:r>
      <w:r w:rsidRPr="00E52BFA">
        <w:rPr>
          <w:noProof/>
          <w:lang w:val="en-IE"/>
        </w:rPr>
        <w:t xml:space="preserve">Committee shall be published in the </w:t>
      </w:r>
      <w:r w:rsidRPr="00E52BFA">
        <w:rPr>
          <w:i/>
          <w:noProof/>
          <w:lang w:val="en-IE"/>
        </w:rPr>
        <w:t>Official Journal of the European Union</w:t>
      </w:r>
      <w:r w:rsidRPr="00E52BFA">
        <w:rPr>
          <w:noProof/>
          <w:lang w:val="en-IE"/>
        </w:rPr>
        <w:t xml:space="preserve">. </w:t>
      </w:r>
    </w:p>
    <w:p w:rsidR="00682F00" w:rsidRPr="00E52BFA" w:rsidRDefault="00682F00" w:rsidP="009A1AD2">
      <w:pPr>
        <w:pStyle w:val="Titrearticle"/>
        <w:rPr>
          <w:noProof/>
          <w:lang w:val="en-IE"/>
        </w:rPr>
      </w:pPr>
      <w:r w:rsidRPr="00E52BFA">
        <w:rPr>
          <w:noProof/>
          <w:lang w:val="en-IE"/>
        </w:rPr>
        <w:lastRenderedPageBreak/>
        <w:t xml:space="preserve">Article </w:t>
      </w:r>
      <w:r w:rsidR="00987FB0" w:rsidRPr="001952F9">
        <w:rPr>
          <w:noProof/>
        </w:rPr>
        <w:t>5</w:t>
      </w:r>
    </w:p>
    <w:p w:rsidR="00682F00" w:rsidRPr="00E52BFA" w:rsidRDefault="00682F00" w:rsidP="009A1AD2">
      <w:pPr>
        <w:keepNext/>
        <w:keepLines/>
        <w:rPr>
          <w:noProof/>
          <w:lang w:val="en-IE"/>
        </w:rPr>
      </w:pPr>
      <w:r w:rsidRPr="00E52BFA">
        <w:rPr>
          <w:noProof/>
          <w:lang w:val="en-IE"/>
        </w:rPr>
        <w:t>This Decision is addressed to the Commission</w:t>
      </w:r>
      <w:r w:rsidR="007F3497" w:rsidRPr="00E52BFA">
        <w:rPr>
          <w:noProof/>
          <w:lang w:val="en-IE"/>
        </w:rPr>
        <w:t xml:space="preserve"> and shall enter into force on the date of its adoption.</w:t>
      </w:r>
    </w:p>
    <w:p w:rsidR="00682F00" w:rsidRPr="00E52BFA" w:rsidRDefault="00216ED0" w:rsidP="009A1AD2">
      <w:pPr>
        <w:pStyle w:val="Fait"/>
        <w:rPr>
          <w:noProof/>
          <w:lang w:val="en-IE"/>
        </w:rPr>
      </w:pPr>
      <w:r>
        <w:rPr>
          <w:noProof/>
        </w:rPr>
        <w:t>Done at Brussels,</w:t>
      </w:r>
    </w:p>
    <w:p w:rsidR="00682F00" w:rsidRPr="00E52BFA" w:rsidRDefault="00682F00" w:rsidP="009A1AD2">
      <w:pPr>
        <w:pStyle w:val="Institutionquisigne"/>
        <w:rPr>
          <w:noProof/>
          <w:lang w:val="en-IE"/>
        </w:rPr>
      </w:pPr>
      <w:r w:rsidRPr="00E52BFA">
        <w:rPr>
          <w:noProof/>
          <w:lang w:val="en-IE"/>
        </w:rPr>
        <w:tab/>
        <w:t>For the Council</w:t>
      </w:r>
    </w:p>
    <w:p w:rsidR="00682F00" w:rsidRPr="00261AB0" w:rsidRDefault="00682F00" w:rsidP="00261AB0">
      <w:pPr>
        <w:pStyle w:val="Personnequisigne"/>
        <w:rPr>
          <w:noProof/>
          <w:color w:val="008000"/>
          <w:lang w:val="en-IE"/>
        </w:rPr>
      </w:pPr>
      <w:r w:rsidRPr="00E52BFA">
        <w:rPr>
          <w:noProof/>
          <w:lang w:val="en-IE"/>
        </w:rPr>
        <w:tab/>
        <w:t>The President</w:t>
      </w:r>
    </w:p>
    <w:sectPr w:rsidR="00682F00" w:rsidRPr="00261AB0" w:rsidSect="00F13E3A">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866" w:rsidRDefault="006E6866" w:rsidP="00682F00">
      <w:pPr>
        <w:spacing w:before="0" w:after="0"/>
      </w:pPr>
      <w:r>
        <w:separator/>
      </w:r>
    </w:p>
  </w:endnote>
  <w:endnote w:type="continuationSeparator" w:id="0">
    <w:p w:rsidR="006E6866" w:rsidRDefault="006E6866" w:rsidP="00682F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E3A" w:rsidRPr="00F13E3A" w:rsidRDefault="00F13E3A" w:rsidP="00F13E3A">
    <w:pPr>
      <w:pStyle w:val="Footer"/>
      <w:rPr>
        <w:rFonts w:ascii="Arial" w:hAnsi="Arial" w:cs="Arial"/>
        <w:b/>
        <w:sz w:val="48"/>
      </w:rPr>
    </w:pPr>
    <w:r w:rsidRPr="00F13E3A">
      <w:rPr>
        <w:rFonts w:ascii="Arial" w:hAnsi="Arial" w:cs="Arial"/>
        <w:b/>
        <w:sz w:val="48"/>
      </w:rPr>
      <w:t>EN</w:t>
    </w:r>
    <w:r w:rsidRPr="00F13E3A">
      <w:rPr>
        <w:rFonts w:ascii="Arial" w:hAnsi="Arial" w:cs="Arial"/>
        <w:b/>
        <w:sz w:val="48"/>
      </w:rPr>
      <w:tab/>
    </w:r>
    <w:r w:rsidRPr="00F13E3A">
      <w:rPr>
        <w:rFonts w:ascii="Arial" w:hAnsi="Arial" w:cs="Arial"/>
        <w:b/>
        <w:sz w:val="48"/>
      </w:rPr>
      <w:tab/>
    </w:r>
    <w:r w:rsidRPr="00F13E3A">
      <w:tab/>
    </w:r>
    <w:r w:rsidRPr="00F13E3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E3A" w:rsidRPr="00F13E3A" w:rsidRDefault="00F13E3A" w:rsidP="00F13E3A">
    <w:pPr>
      <w:pStyle w:val="Footer"/>
      <w:rPr>
        <w:rFonts w:ascii="Arial" w:hAnsi="Arial" w:cs="Arial"/>
        <w:b/>
        <w:sz w:val="48"/>
      </w:rPr>
    </w:pPr>
    <w:r w:rsidRPr="00F13E3A">
      <w:rPr>
        <w:rFonts w:ascii="Arial" w:hAnsi="Arial" w:cs="Arial"/>
        <w:b/>
        <w:sz w:val="48"/>
      </w:rPr>
      <w:t>EN</w:t>
    </w:r>
    <w:r w:rsidRPr="00F13E3A">
      <w:rPr>
        <w:rFonts w:ascii="Arial" w:hAnsi="Arial" w:cs="Arial"/>
        <w:b/>
        <w:sz w:val="48"/>
      </w:rPr>
      <w:tab/>
    </w:r>
    <w:r w:rsidRPr="00F13E3A">
      <w:rPr>
        <w:rFonts w:ascii="Arial" w:hAnsi="Arial" w:cs="Arial"/>
        <w:b/>
        <w:sz w:val="48"/>
      </w:rPr>
      <w:tab/>
    </w:r>
    <w:r w:rsidRPr="00F13E3A">
      <w:tab/>
    </w:r>
    <w:r w:rsidRPr="00F13E3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E3A" w:rsidRDefault="00F13E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E3A" w:rsidRPr="00F13E3A" w:rsidRDefault="00F13E3A" w:rsidP="00F13E3A">
    <w:pPr>
      <w:pStyle w:val="Footer"/>
      <w:rPr>
        <w:rFonts w:ascii="Arial" w:hAnsi="Arial" w:cs="Arial"/>
        <w:b/>
        <w:sz w:val="48"/>
      </w:rPr>
    </w:pPr>
    <w:r w:rsidRPr="00F13E3A">
      <w:rPr>
        <w:rFonts w:ascii="Arial" w:hAnsi="Arial" w:cs="Arial"/>
        <w:b/>
        <w:sz w:val="48"/>
      </w:rPr>
      <w:t>EN</w:t>
    </w:r>
    <w:r w:rsidRPr="00F13E3A">
      <w:rPr>
        <w:rFonts w:ascii="Arial" w:hAnsi="Arial" w:cs="Arial"/>
        <w:b/>
        <w:sz w:val="48"/>
      </w:rPr>
      <w:tab/>
    </w:r>
    <w:r>
      <w:fldChar w:fldCharType="begin"/>
    </w:r>
    <w:r>
      <w:instrText xml:space="preserve"> PAGE  \* MERGEFORMAT </w:instrText>
    </w:r>
    <w:r>
      <w:fldChar w:fldCharType="separate"/>
    </w:r>
    <w:r w:rsidR="009A1AD2">
      <w:rPr>
        <w:noProof/>
      </w:rPr>
      <w:t>6</w:t>
    </w:r>
    <w:r>
      <w:fldChar w:fldCharType="end"/>
    </w:r>
    <w:r>
      <w:tab/>
    </w:r>
    <w:r w:rsidRPr="00F13E3A">
      <w:tab/>
    </w:r>
    <w:r w:rsidRPr="00F13E3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E3A" w:rsidRDefault="00F13E3A" w:rsidP="00F13E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866" w:rsidRDefault="006E6866" w:rsidP="00682F00">
      <w:pPr>
        <w:spacing w:before="0" w:after="0"/>
      </w:pPr>
      <w:r>
        <w:separator/>
      </w:r>
    </w:p>
  </w:footnote>
  <w:footnote w:type="continuationSeparator" w:id="0">
    <w:p w:rsidR="006E6866" w:rsidRDefault="006E6866" w:rsidP="00682F00">
      <w:pPr>
        <w:spacing w:before="0" w:after="0"/>
      </w:pPr>
      <w:r>
        <w:continuationSeparator/>
      </w:r>
    </w:p>
  </w:footnote>
  <w:footnote w:id="1">
    <w:p w:rsidR="00E52BFA" w:rsidRPr="00E52BFA" w:rsidRDefault="00E52BFA">
      <w:pPr>
        <w:pStyle w:val="FootnoteText"/>
        <w:rPr>
          <w:lang w:val="en-IE"/>
        </w:rPr>
      </w:pPr>
      <w:r w:rsidRPr="001952F9">
        <w:rPr>
          <w:rStyle w:val="FootnoteReference"/>
        </w:rPr>
        <w:footnoteRef/>
      </w:r>
      <w:r w:rsidR="001952F9">
        <w:tab/>
      </w:r>
      <w:bookmarkStart w:id="2" w:name="_Hlk209515231"/>
      <w:r w:rsidRPr="00E52BFA">
        <w:t>D</w:t>
      </w:r>
      <w:r>
        <w:t>ecision</w:t>
      </w:r>
      <w:r w:rsidRPr="00E52BFA">
        <w:t xml:space="preserve"> No 2 </w:t>
      </w:r>
      <w:r>
        <w:t>of the</w:t>
      </w:r>
      <w:r w:rsidRPr="00E52BFA">
        <w:t xml:space="preserve"> EU-K</w:t>
      </w:r>
      <w:r>
        <w:t>orea</w:t>
      </w:r>
      <w:r w:rsidRPr="00E52BFA">
        <w:t xml:space="preserve"> T</w:t>
      </w:r>
      <w:r>
        <w:t>rade</w:t>
      </w:r>
      <w:r w:rsidRPr="00E52BFA">
        <w:t xml:space="preserve"> C</w:t>
      </w:r>
      <w:r>
        <w:t>ommittee</w:t>
      </w:r>
      <w:r w:rsidRPr="00E52BFA">
        <w:t xml:space="preserve"> of 23 December 2011 </w:t>
      </w:r>
      <w:bookmarkEnd w:id="2"/>
      <w:r w:rsidRPr="00E52BFA">
        <w:t>on the establishment of a list of arbitrators referred to in Article 14.18 of the Free Trade Agreement between the European Union and its Member States, of the one part, and the Republic of Korea, of the other part.</w:t>
      </w:r>
    </w:p>
  </w:footnote>
  <w:footnote w:id="2">
    <w:p w:rsidR="00E52BFA" w:rsidRPr="00E52BFA" w:rsidRDefault="00E52BFA">
      <w:pPr>
        <w:pStyle w:val="FootnoteText"/>
        <w:rPr>
          <w:lang w:val="en-IE"/>
        </w:rPr>
      </w:pPr>
      <w:r w:rsidRPr="001952F9">
        <w:rPr>
          <w:rStyle w:val="FootnoteReference"/>
        </w:rPr>
        <w:footnoteRef/>
      </w:r>
      <w:r w:rsidR="001952F9">
        <w:tab/>
      </w:r>
      <w:r w:rsidRPr="00DC65DC">
        <w:rPr>
          <w:lang w:val="en-IE"/>
        </w:rPr>
        <w:t>Decision No 2/2012 of the EU-Korea Committee on Trade and Sustainable Development of 27 June 2012 on the establishment of a Panel of Experts referred to in Article 13.15 of the Free Trade Agreement between the European Union and its Member States, of the one part, and the Republic of Korea, of the other part</w:t>
      </w:r>
      <w:r>
        <w:rPr>
          <w:lang w:val="en-IE"/>
        </w:rPr>
        <w:t>.</w:t>
      </w:r>
    </w:p>
  </w:footnote>
  <w:footnote w:id="3">
    <w:p w:rsidR="00E52BFA" w:rsidRPr="00E52BFA" w:rsidRDefault="00E52BFA">
      <w:pPr>
        <w:pStyle w:val="FootnoteText"/>
        <w:rPr>
          <w:lang w:val="en-IE"/>
        </w:rPr>
      </w:pPr>
      <w:r w:rsidRPr="001952F9">
        <w:rPr>
          <w:rStyle w:val="FootnoteReference"/>
        </w:rPr>
        <w:footnoteRef/>
      </w:r>
      <w:r w:rsidR="001952F9">
        <w:tab/>
      </w:r>
      <w:r w:rsidRPr="00DC65DC">
        <w:rPr>
          <w:lang w:val="en-IE"/>
        </w:rPr>
        <w:t xml:space="preserve">Decision No </w:t>
      </w:r>
      <w:r>
        <w:rPr>
          <w:lang w:val="en-IE"/>
        </w:rPr>
        <w:t>1</w:t>
      </w:r>
      <w:r w:rsidRPr="00DC65DC">
        <w:rPr>
          <w:lang w:val="en-IE"/>
        </w:rPr>
        <w:t>/201</w:t>
      </w:r>
      <w:r>
        <w:rPr>
          <w:lang w:val="en-IE"/>
        </w:rPr>
        <w:t>9</w:t>
      </w:r>
      <w:r w:rsidRPr="00DC65DC">
        <w:rPr>
          <w:lang w:val="en-IE"/>
        </w:rPr>
        <w:t xml:space="preserve"> of the EU-Korea Committee on Trade and Sustainable Development of </w:t>
      </w:r>
      <w:r>
        <w:rPr>
          <w:lang w:val="en-IE"/>
        </w:rPr>
        <w:t>30 September 2019</w:t>
      </w:r>
      <w:r w:rsidRPr="00DC65DC">
        <w:rPr>
          <w:lang w:val="en-IE"/>
        </w:rPr>
        <w:t xml:space="preserve"> on </w:t>
      </w:r>
      <w:r>
        <w:rPr>
          <w:lang w:val="en-IE"/>
        </w:rPr>
        <w:t>a revised list of experts willing and able to serve as panellists in accordance with Article 13.15 of the Agreement.</w:t>
      </w:r>
    </w:p>
  </w:footnote>
  <w:footnote w:id="4">
    <w:p w:rsidR="00682F00" w:rsidRPr="00B035F8" w:rsidRDefault="00682F00" w:rsidP="00817FA5">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5">
    <w:p w:rsidR="00682F00" w:rsidRPr="0051700A" w:rsidRDefault="00682F00" w:rsidP="00817FA5">
      <w:pPr>
        <w:pStyle w:val="FootnoteText"/>
        <w:rPr>
          <w:lang w:val="en-IE"/>
        </w:rPr>
      </w:pPr>
      <w:r w:rsidRPr="0051700A">
        <w:rPr>
          <w:rStyle w:val="FootnoteReference"/>
        </w:rPr>
        <w:footnoteRef/>
      </w:r>
      <w:r w:rsidRPr="0051700A">
        <w:tab/>
        <w:t xml:space="preserve">OJ L </w:t>
      </w:r>
      <w:r w:rsidR="0051700A" w:rsidRPr="001952F9">
        <w:t>127, 14.5.2011, p. 6.</w:t>
      </w:r>
    </w:p>
  </w:footnote>
  <w:footnote w:id="6">
    <w:p w:rsidR="007B0DAE" w:rsidRPr="00BA78F0" w:rsidRDefault="007B0DAE" w:rsidP="007B0DAE">
      <w:pPr>
        <w:pStyle w:val="FootnoteText"/>
        <w:rPr>
          <w:lang w:val="en-IE"/>
        </w:rPr>
      </w:pPr>
      <w:r w:rsidRPr="00BA78F0">
        <w:rPr>
          <w:rStyle w:val="FootnoteReference"/>
        </w:rPr>
        <w:footnoteRef/>
      </w:r>
      <w:r w:rsidR="00C57118">
        <w:tab/>
      </w:r>
      <w:r w:rsidR="00584AEF" w:rsidRPr="00780302">
        <w:rPr>
          <w:lang w:val="en-IE"/>
        </w:rPr>
        <w:t xml:space="preserve">Decision No 2 of the EU-Korea Trade Committee </w:t>
      </w:r>
      <w:r w:rsidRPr="00BA78F0">
        <w:rPr>
          <w:lang w:val="en-IE"/>
        </w:rPr>
        <w:t xml:space="preserve">of </w:t>
      </w:r>
      <w:r>
        <w:rPr>
          <w:lang w:val="en-IE"/>
        </w:rPr>
        <w:t>23 December 2011</w:t>
      </w:r>
      <w:r w:rsidRPr="00BA78F0">
        <w:rPr>
          <w:lang w:val="en-IE"/>
        </w:rPr>
        <w:t xml:space="preserve"> on the establishment of a list of arbitrators referred to in Article 14.18 of the Free Trade Agreement between the European Union and its Member States, of the one part, and the Republic of Korea, of the other part.</w:t>
      </w:r>
    </w:p>
  </w:footnote>
  <w:footnote w:id="7">
    <w:p w:rsidR="006851C6" w:rsidRPr="006851C6" w:rsidRDefault="006851C6">
      <w:pPr>
        <w:pStyle w:val="FootnoteText"/>
        <w:rPr>
          <w:lang w:val="en-IE"/>
        </w:rPr>
      </w:pPr>
      <w:r w:rsidRPr="001472C7">
        <w:rPr>
          <w:rStyle w:val="FootnoteReference"/>
        </w:rPr>
        <w:footnoteRef/>
      </w:r>
      <w:r w:rsidR="001472C7">
        <w:tab/>
      </w:r>
      <w:r w:rsidRPr="004670BC">
        <w:rPr>
          <w:lang w:val="en-IE"/>
        </w:rPr>
        <w:t>Decision No 2/2012 of the EU-Korea Committee on Trade and Sustainable Development of 27 June 2012 on the establishment of a Panel of Experts referred to in Article 13.15 of the Free Trade Agreement between the European Union and its Member States, of the one part, and the Republic of Korea, of the other part.</w:t>
      </w:r>
    </w:p>
  </w:footnote>
  <w:footnote w:id="8">
    <w:p w:rsidR="00E31E41" w:rsidRPr="00E31E41" w:rsidRDefault="00E31E41" w:rsidP="00E31E41">
      <w:pPr>
        <w:pStyle w:val="FootnoteText"/>
        <w:rPr>
          <w:rStyle w:val="FootnoteReference"/>
        </w:rPr>
      </w:pPr>
      <w:r w:rsidRPr="001952F9">
        <w:rPr>
          <w:rStyle w:val="FootnoteReference"/>
        </w:rPr>
        <w:footnoteRef/>
      </w:r>
      <w:r w:rsidR="001952F9">
        <w:tab/>
      </w:r>
      <w:r w:rsidRPr="00E31E41">
        <w:rPr>
          <w:rStyle w:val="FootnoteReference"/>
          <w:vertAlign w:val="baseline"/>
        </w:rPr>
        <w:t>Decision No 1/2019 of the EU-Korea Committee on Trade and Sustainable Development of 30 September 2019 on a revised list of experts willing and able to serve as panellists in accordance with Article 13.15 of the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E3A" w:rsidRDefault="00F13E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E3A" w:rsidRDefault="00F13E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4:56: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1E5DCFE-D7C9-4F8A-9301-83DB8E37A4C6"/>
    <w:docVar w:name="LW_COVERPAGE_TYPE" w:val="1"/>
    <w:docVar w:name="LW_CreatedUtc" w:val="2025-01-30T11:12:20.8982616Z"/>
    <w:docVar w:name="LW_CROSSREFERENCE" w:val="&lt;UNUSED&gt;"/>
    <w:docVar w:name="LW_DocType" w:val="COM"/>
    <w:docVar w:name="LW_EMISSION" w:val="28.5.2026"/>
    <w:docVar w:name="LW_EMISSION_ISODATE" w:val="2026-05-28"/>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27"/>
    <w:docVar w:name="LW_REF.II.NEW.CP_YEAR" w:val="2026"/>
    <w:docVar w:name="LW_REF.INST.NEW" w:val="COM"/>
    <w:docVar w:name="LW_REF.INST.NEW_ADOPTED" w:val="final"/>
    <w:docVar w:name="LW_REF.INST.NEW_TEXT" w:val="(2026) 2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Trade Committee set up by the Free Trade Agreement between the European Union and its Member States, of the one part, and the Republic of Korea, of the other part, as regards the revision of the list of individuals who are willing and able to serve as arbitrators in accordance with Article 14.18 of the Agreement and the revision of the list of experts who are willing and able to serve as panellists in accordance with Article 13.15 of the Agreement"/>
    <w:docVar w:name="LW_TYPE.DOC.CP" w:val="COUNCIL DECISION"/>
    <w:docVar w:name="LwApiVersions" w:val="LW4CoDe 1.24.5.0; LW 9.2, Build 20251112"/>
  </w:docVars>
  <w:rsids>
    <w:rsidRoot w:val="00682F00"/>
    <w:rsid w:val="00041A81"/>
    <w:rsid w:val="000439C5"/>
    <w:rsid w:val="00052AC6"/>
    <w:rsid w:val="000666E1"/>
    <w:rsid w:val="00090E4E"/>
    <w:rsid w:val="00095C19"/>
    <w:rsid w:val="000D7220"/>
    <w:rsid w:val="000F2246"/>
    <w:rsid w:val="001065F5"/>
    <w:rsid w:val="001144B5"/>
    <w:rsid w:val="001238EF"/>
    <w:rsid w:val="001472C7"/>
    <w:rsid w:val="001530EE"/>
    <w:rsid w:val="001533C1"/>
    <w:rsid w:val="00154FC6"/>
    <w:rsid w:val="00155ECC"/>
    <w:rsid w:val="00184799"/>
    <w:rsid w:val="00185BFE"/>
    <w:rsid w:val="00186F36"/>
    <w:rsid w:val="001952F9"/>
    <w:rsid w:val="00197613"/>
    <w:rsid w:val="001A2540"/>
    <w:rsid w:val="001A5480"/>
    <w:rsid w:val="001B01FD"/>
    <w:rsid w:val="001C5AE0"/>
    <w:rsid w:val="00216ED0"/>
    <w:rsid w:val="00233DC7"/>
    <w:rsid w:val="00241560"/>
    <w:rsid w:val="00247779"/>
    <w:rsid w:val="002569AA"/>
    <w:rsid w:val="00261AB0"/>
    <w:rsid w:val="00285BEE"/>
    <w:rsid w:val="0029533F"/>
    <w:rsid w:val="002A1C9F"/>
    <w:rsid w:val="002A7D6E"/>
    <w:rsid w:val="002B30AF"/>
    <w:rsid w:val="002C2B59"/>
    <w:rsid w:val="002E1A22"/>
    <w:rsid w:val="002F0DE3"/>
    <w:rsid w:val="0030099A"/>
    <w:rsid w:val="0033344A"/>
    <w:rsid w:val="003D2908"/>
    <w:rsid w:val="003D34D1"/>
    <w:rsid w:val="003E78F6"/>
    <w:rsid w:val="003F503E"/>
    <w:rsid w:val="0041322C"/>
    <w:rsid w:val="0041449D"/>
    <w:rsid w:val="0042648E"/>
    <w:rsid w:val="0043173A"/>
    <w:rsid w:val="00433106"/>
    <w:rsid w:val="004477CD"/>
    <w:rsid w:val="00465AD5"/>
    <w:rsid w:val="004936D2"/>
    <w:rsid w:val="004F12DE"/>
    <w:rsid w:val="004F47A8"/>
    <w:rsid w:val="0051700A"/>
    <w:rsid w:val="005360B1"/>
    <w:rsid w:val="005402FC"/>
    <w:rsid w:val="00546E2C"/>
    <w:rsid w:val="005503F5"/>
    <w:rsid w:val="00584AEF"/>
    <w:rsid w:val="005B1EB6"/>
    <w:rsid w:val="005B23AB"/>
    <w:rsid w:val="005B4009"/>
    <w:rsid w:val="005C697E"/>
    <w:rsid w:val="0060411E"/>
    <w:rsid w:val="0064690B"/>
    <w:rsid w:val="00655BD1"/>
    <w:rsid w:val="006714AB"/>
    <w:rsid w:val="00682F00"/>
    <w:rsid w:val="006851C6"/>
    <w:rsid w:val="006D3B9B"/>
    <w:rsid w:val="006E5247"/>
    <w:rsid w:val="006E6866"/>
    <w:rsid w:val="00710721"/>
    <w:rsid w:val="00770D15"/>
    <w:rsid w:val="00773331"/>
    <w:rsid w:val="007932EF"/>
    <w:rsid w:val="007B0DAE"/>
    <w:rsid w:val="007B2137"/>
    <w:rsid w:val="007D725B"/>
    <w:rsid w:val="007D7346"/>
    <w:rsid w:val="007E05B0"/>
    <w:rsid w:val="007E1617"/>
    <w:rsid w:val="007E5E89"/>
    <w:rsid w:val="007F3497"/>
    <w:rsid w:val="00817FA5"/>
    <w:rsid w:val="00830B1C"/>
    <w:rsid w:val="008333A9"/>
    <w:rsid w:val="0083506D"/>
    <w:rsid w:val="0085419E"/>
    <w:rsid w:val="00866A43"/>
    <w:rsid w:val="00874D22"/>
    <w:rsid w:val="008936E7"/>
    <w:rsid w:val="008A2914"/>
    <w:rsid w:val="008D4A90"/>
    <w:rsid w:val="008E4D8E"/>
    <w:rsid w:val="008F5A9E"/>
    <w:rsid w:val="0091540B"/>
    <w:rsid w:val="00953C1C"/>
    <w:rsid w:val="00977C46"/>
    <w:rsid w:val="00987FB0"/>
    <w:rsid w:val="009901C7"/>
    <w:rsid w:val="00991618"/>
    <w:rsid w:val="009A1AD2"/>
    <w:rsid w:val="00A076B5"/>
    <w:rsid w:val="00A21E6F"/>
    <w:rsid w:val="00A733D9"/>
    <w:rsid w:val="00A85D23"/>
    <w:rsid w:val="00B240F5"/>
    <w:rsid w:val="00B37A09"/>
    <w:rsid w:val="00B475C5"/>
    <w:rsid w:val="00B9107F"/>
    <w:rsid w:val="00B96A53"/>
    <w:rsid w:val="00BA0F86"/>
    <w:rsid w:val="00BA74E6"/>
    <w:rsid w:val="00BB38E0"/>
    <w:rsid w:val="00BE1933"/>
    <w:rsid w:val="00BE50A9"/>
    <w:rsid w:val="00C12301"/>
    <w:rsid w:val="00C57118"/>
    <w:rsid w:val="00C66BAF"/>
    <w:rsid w:val="00C80315"/>
    <w:rsid w:val="00C8209C"/>
    <w:rsid w:val="00CA35E3"/>
    <w:rsid w:val="00CD24BC"/>
    <w:rsid w:val="00CF4AA5"/>
    <w:rsid w:val="00D04951"/>
    <w:rsid w:val="00D20381"/>
    <w:rsid w:val="00D2125B"/>
    <w:rsid w:val="00D27714"/>
    <w:rsid w:val="00D467A1"/>
    <w:rsid w:val="00D46AC7"/>
    <w:rsid w:val="00D66842"/>
    <w:rsid w:val="00D8033D"/>
    <w:rsid w:val="00D81D27"/>
    <w:rsid w:val="00D8541E"/>
    <w:rsid w:val="00D90D2B"/>
    <w:rsid w:val="00D915C3"/>
    <w:rsid w:val="00DF5283"/>
    <w:rsid w:val="00E10095"/>
    <w:rsid w:val="00E31E41"/>
    <w:rsid w:val="00E32DE2"/>
    <w:rsid w:val="00E45C1C"/>
    <w:rsid w:val="00E52BFA"/>
    <w:rsid w:val="00E62AAF"/>
    <w:rsid w:val="00E64B1A"/>
    <w:rsid w:val="00E96550"/>
    <w:rsid w:val="00ED1ADE"/>
    <w:rsid w:val="00EF15BA"/>
    <w:rsid w:val="00F13E3A"/>
    <w:rsid w:val="00F3747B"/>
    <w:rsid w:val="00F406AC"/>
    <w:rsid w:val="00F412B9"/>
    <w:rsid w:val="00F55849"/>
    <w:rsid w:val="00F656A5"/>
    <w:rsid w:val="00F76A52"/>
    <w:rsid w:val="00F96F37"/>
    <w:rsid w:val="00FB0A80"/>
    <w:rsid w:val="00FB272A"/>
    <w:rsid w:val="00FC38F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5:docId w15:val="{196AE9B8-BE74-4FBB-8A64-65ABC0CF7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682F00"/>
    <w:pPr>
      <w:numPr>
        <w:numId w:val="2"/>
      </w:numPr>
      <w:tabs>
        <w:tab w:val="num" w:pos="360"/>
      </w:tabs>
      <w:ind w:left="0" w:firstLine="0"/>
    </w:pPr>
    <w:rPr>
      <w:rFonts w:eastAsia="Times New Roman"/>
      <w:lang w:eastAsia="de-DE"/>
    </w:rPr>
  </w:style>
  <w:style w:type="paragraph" w:styleId="ListNumber">
    <w:name w:val="List Number"/>
    <w:basedOn w:val="Normal"/>
    <w:rsid w:val="00682F00"/>
    <w:pPr>
      <w:numPr>
        <w:numId w:val="6"/>
      </w:numPr>
    </w:pPr>
    <w:rPr>
      <w:rFonts w:eastAsia="Times New Roman"/>
      <w:lang w:eastAsia="de-DE"/>
    </w:rPr>
  </w:style>
  <w:style w:type="paragraph" w:customStyle="1" w:styleId="ListBullet1">
    <w:name w:val="List Bullet 1"/>
    <w:basedOn w:val="Normal"/>
    <w:rsid w:val="00682F00"/>
    <w:pPr>
      <w:numPr>
        <w:numId w:val="1"/>
      </w:numPr>
    </w:pPr>
    <w:rPr>
      <w:rFonts w:eastAsia="Times New Roman"/>
      <w:lang w:eastAsia="de-DE"/>
    </w:rPr>
  </w:style>
  <w:style w:type="paragraph" w:customStyle="1" w:styleId="ListDash">
    <w:name w:val="List Dash"/>
    <w:basedOn w:val="Normal"/>
    <w:rsid w:val="00682F00"/>
    <w:pPr>
      <w:numPr>
        <w:numId w:val="3"/>
      </w:numPr>
    </w:pPr>
    <w:rPr>
      <w:rFonts w:eastAsia="Times New Roman"/>
      <w:lang w:eastAsia="de-DE"/>
    </w:rPr>
  </w:style>
  <w:style w:type="paragraph" w:customStyle="1" w:styleId="ListDash1">
    <w:name w:val="List Dash 1"/>
    <w:basedOn w:val="Normal"/>
    <w:rsid w:val="00682F00"/>
    <w:pPr>
      <w:numPr>
        <w:numId w:val="4"/>
      </w:numPr>
    </w:pPr>
    <w:rPr>
      <w:rFonts w:eastAsia="Times New Roman"/>
      <w:lang w:eastAsia="de-DE"/>
    </w:rPr>
  </w:style>
  <w:style w:type="paragraph" w:customStyle="1" w:styleId="ListDash2">
    <w:name w:val="List Dash 2"/>
    <w:basedOn w:val="Normal"/>
    <w:rsid w:val="00682F00"/>
    <w:pPr>
      <w:numPr>
        <w:numId w:val="5"/>
      </w:numPr>
    </w:pPr>
    <w:rPr>
      <w:rFonts w:eastAsia="Times New Roman"/>
      <w:lang w:eastAsia="de-DE"/>
    </w:rPr>
  </w:style>
  <w:style w:type="paragraph" w:customStyle="1" w:styleId="ListNumberLevel2">
    <w:name w:val="List Number (Level 2)"/>
    <w:basedOn w:val="Normal"/>
    <w:rsid w:val="00682F00"/>
    <w:pPr>
      <w:numPr>
        <w:ilvl w:val="1"/>
        <w:numId w:val="6"/>
      </w:numPr>
    </w:pPr>
    <w:rPr>
      <w:rFonts w:eastAsia="Times New Roman"/>
      <w:lang w:eastAsia="de-DE"/>
    </w:rPr>
  </w:style>
  <w:style w:type="paragraph" w:customStyle="1" w:styleId="ListNumberLevel3">
    <w:name w:val="List Number (Level 3)"/>
    <w:basedOn w:val="Normal"/>
    <w:rsid w:val="00682F00"/>
    <w:pPr>
      <w:numPr>
        <w:ilvl w:val="2"/>
        <w:numId w:val="6"/>
      </w:numPr>
    </w:pPr>
    <w:rPr>
      <w:rFonts w:eastAsia="Times New Roman"/>
      <w:lang w:eastAsia="de-DE"/>
    </w:rPr>
  </w:style>
  <w:style w:type="paragraph" w:customStyle="1" w:styleId="ListNumberLevel4">
    <w:name w:val="List Number (Level 4)"/>
    <w:basedOn w:val="Normal"/>
    <w:rsid w:val="00682F00"/>
    <w:pPr>
      <w:numPr>
        <w:ilvl w:val="3"/>
        <w:numId w:val="6"/>
      </w:numPr>
    </w:pPr>
    <w:rPr>
      <w:rFonts w:eastAsia="Times New Roman"/>
      <w:lang w:eastAsia="de-DE"/>
    </w:rPr>
  </w:style>
  <w:style w:type="table" w:styleId="TableGrid">
    <w:name w:val="Table Grid"/>
    <w:basedOn w:val="TableNormal"/>
    <w:rsid w:val="00682F00"/>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82F00"/>
    <w:rPr>
      <w:color w:val="0000FF"/>
      <w:u w:val="single"/>
    </w:rPr>
  </w:style>
  <w:style w:type="paragraph" w:styleId="ListBullet">
    <w:name w:val="List Bullet"/>
    <w:basedOn w:val="Normal"/>
    <w:rsid w:val="00682F00"/>
    <w:pPr>
      <w:numPr>
        <w:numId w:val="7"/>
      </w:numPr>
    </w:pPr>
    <w:rPr>
      <w:rFonts w:eastAsia="Times New Roman"/>
      <w:lang w:val="fr-FR" w:eastAsia="en-GB"/>
    </w:rPr>
  </w:style>
  <w:style w:type="paragraph" w:styleId="ListBullet2">
    <w:name w:val="List Bullet 2"/>
    <w:basedOn w:val="Normal"/>
    <w:rsid w:val="00682F00"/>
    <w:pPr>
      <w:numPr>
        <w:numId w:val="8"/>
      </w:numPr>
    </w:pPr>
    <w:rPr>
      <w:rFonts w:eastAsia="Times New Roman"/>
      <w:lang w:val="fr-FR" w:eastAsia="en-GB"/>
    </w:rPr>
  </w:style>
  <w:style w:type="paragraph" w:styleId="ListBullet3">
    <w:name w:val="List Bullet 3"/>
    <w:basedOn w:val="Normal"/>
    <w:rsid w:val="00682F00"/>
    <w:pPr>
      <w:numPr>
        <w:numId w:val="9"/>
      </w:numPr>
    </w:pPr>
    <w:rPr>
      <w:rFonts w:eastAsia="Times New Roman"/>
      <w:lang w:val="fr-FR" w:eastAsia="en-GB"/>
    </w:rPr>
  </w:style>
  <w:style w:type="paragraph" w:styleId="ListNumber2">
    <w:name w:val="List Number 2"/>
    <w:basedOn w:val="Normal"/>
    <w:rsid w:val="00682F00"/>
    <w:pPr>
      <w:numPr>
        <w:numId w:val="13"/>
      </w:numPr>
    </w:pPr>
    <w:rPr>
      <w:rFonts w:eastAsia="Times New Roman"/>
      <w:lang w:val="fr-FR" w:eastAsia="en-GB"/>
    </w:rPr>
  </w:style>
  <w:style w:type="paragraph" w:styleId="ListNumber3">
    <w:name w:val="List Number 3"/>
    <w:basedOn w:val="Normal"/>
    <w:rsid w:val="00682F00"/>
    <w:pPr>
      <w:numPr>
        <w:numId w:val="14"/>
      </w:numPr>
    </w:pPr>
    <w:rPr>
      <w:rFonts w:eastAsia="Times New Roman"/>
      <w:lang w:val="fr-FR" w:eastAsia="en-GB"/>
    </w:rPr>
  </w:style>
  <w:style w:type="paragraph" w:styleId="ListNumber4">
    <w:name w:val="List Number 4"/>
    <w:basedOn w:val="Normal"/>
    <w:rsid w:val="00682F00"/>
    <w:pPr>
      <w:numPr>
        <w:numId w:val="15"/>
      </w:numPr>
    </w:pPr>
    <w:rPr>
      <w:rFonts w:eastAsia="Times New Roman"/>
      <w:lang w:val="fr-FR" w:eastAsia="en-GB"/>
    </w:rPr>
  </w:style>
  <w:style w:type="paragraph" w:customStyle="1" w:styleId="ListDash3">
    <w:name w:val="List Dash 3"/>
    <w:basedOn w:val="Normal"/>
    <w:rsid w:val="00682F00"/>
    <w:pPr>
      <w:numPr>
        <w:numId w:val="10"/>
      </w:numPr>
    </w:pPr>
    <w:rPr>
      <w:rFonts w:eastAsia="Times New Roman"/>
      <w:lang w:val="fr-FR" w:eastAsia="en-GB"/>
    </w:rPr>
  </w:style>
  <w:style w:type="paragraph" w:customStyle="1" w:styleId="ListDash4">
    <w:name w:val="List Dash 4"/>
    <w:basedOn w:val="Normal"/>
    <w:rsid w:val="00682F00"/>
    <w:pPr>
      <w:numPr>
        <w:numId w:val="11"/>
      </w:numPr>
    </w:pPr>
    <w:rPr>
      <w:rFonts w:eastAsia="Times New Roman"/>
      <w:lang w:val="fr-FR" w:eastAsia="en-GB"/>
    </w:rPr>
  </w:style>
  <w:style w:type="paragraph" w:customStyle="1" w:styleId="ListNumber1">
    <w:name w:val="List Number 1"/>
    <w:basedOn w:val="Text1"/>
    <w:rsid w:val="00682F00"/>
    <w:pPr>
      <w:numPr>
        <w:numId w:val="12"/>
      </w:numPr>
    </w:pPr>
    <w:rPr>
      <w:rFonts w:eastAsia="Times New Roman"/>
      <w:lang w:val="fr-FR" w:eastAsia="en-GB"/>
    </w:rPr>
  </w:style>
  <w:style w:type="paragraph" w:customStyle="1" w:styleId="ListNumber1Level2">
    <w:name w:val="List Number 1 (Level 2)"/>
    <w:basedOn w:val="Text1"/>
    <w:rsid w:val="00682F00"/>
    <w:pPr>
      <w:numPr>
        <w:ilvl w:val="1"/>
        <w:numId w:val="12"/>
      </w:numPr>
    </w:pPr>
    <w:rPr>
      <w:rFonts w:eastAsia="Times New Roman"/>
      <w:lang w:val="fr-FR" w:eastAsia="en-GB"/>
    </w:rPr>
  </w:style>
  <w:style w:type="paragraph" w:customStyle="1" w:styleId="ListNumber2Level2">
    <w:name w:val="List Number 2 (Level 2)"/>
    <w:basedOn w:val="Text2"/>
    <w:rsid w:val="00682F00"/>
    <w:pPr>
      <w:numPr>
        <w:ilvl w:val="1"/>
        <w:numId w:val="13"/>
      </w:numPr>
    </w:pPr>
    <w:rPr>
      <w:rFonts w:eastAsia="Times New Roman"/>
      <w:lang w:val="fr-FR" w:eastAsia="en-GB"/>
    </w:rPr>
  </w:style>
  <w:style w:type="paragraph" w:customStyle="1" w:styleId="ListNumber3Level2">
    <w:name w:val="List Number 3 (Level 2)"/>
    <w:basedOn w:val="Text3"/>
    <w:rsid w:val="00682F00"/>
    <w:pPr>
      <w:numPr>
        <w:ilvl w:val="1"/>
        <w:numId w:val="14"/>
      </w:numPr>
    </w:pPr>
    <w:rPr>
      <w:rFonts w:eastAsia="Times New Roman"/>
      <w:lang w:val="fr-FR" w:eastAsia="en-GB"/>
    </w:rPr>
  </w:style>
  <w:style w:type="paragraph" w:customStyle="1" w:styleId="ListNumber4Level2">
    <w:name w:val="List Number 4 (Level 2)"/>
    <w:basedOn w:val="Text4"/>
    <w:rsid w:val="00682F00"/>
    <w:pPr>
      <w:numPr>
        <w:ilvl w:val="1"/>
        <w:numId w:val="15"/>
      </w:numPr>
    </w:pPr>
    <w:rPr>
      <w:rFonts w:eastAsia="Times New Roman"/>
      <w:lang w:val="fr-FR" w:eastAsia="en-GB"/>
    </w:rPr>
  </w:style>
  <w:style w:type="paragraph" w:customStyle="1" w:styleId="ListNumber1Level3">
    <w:name w:val="List Number 1 (Level 3)"/>
    <w:basedOn w:val="Text1"/>
    <w:rsid w:val="00682F00"/>
    <w:pPr>
      <w:numPr>
        <w:ilvl w:val="2"/>
        <w:numId w:val="12"/>
      </w:numPr>
    </w:pPr>
    <w:rPr>
      <w:rFonts w:eastAsia="Times New Roman"/>
      <w:lang w:val="fr-FR" w:eastAsia="en-GB"/>
    </w:rPr>
  </w:style>
  <w:style w:type="paragraph" w:customStyle="1" w:styleId="ListNumber2Level3">
    <w:name w:val="List Number 2 (Level 3)"/>
    <w:basedOn w:val="Text2"/>
    <w:rsid w:val="00682F00"/>
    <w:pPr>
      <w:numPr>
        <w:ilvl w:val="2"/>
        <w:numId w:val="13"/>
      </w:numPr>
    </w:pPr>
    <w:rPr>
      <w:rFonts w:eastAsia="Times New Roman"/>
      <w:lang w:val="fr-FR" w:eastAsia="en-GB"/>
    </w:rPr>
  </w:style>
  <w:style w:type="paragraph" w:customStyle="1" w:styleId="ListNumber3Level3">
    <w:name w:val="List Number 3 (Level 3)"/>
    <w:basedOn w:val="Text3"/>
    <w:rsid w:val="00682F00"/>
    <w:pPr>
      <w:numPr>
        <w:ilvl w:val="2"/>
        <w:numId w:val="14"/>
      </w:numPr>
    </w:pPr>
    <w:rPr>
      <w:rFonts w:eastAsia="Times New Roman"/>
      <w:lang w:val="fr-FR" w:eastAsia="en-GB"/>
    </w:rPr>
  </w:style>
  <w:style w:type="paragraph" w:customStyle="1" w:styleId="ListNumber4Level3">
    <w:name w:val="List Number 4 (Level 3)"/>
    <w:basedOn w:val="Text4"/>
    <w:rsid w:val="00682F00"/>
    <w:pPr>
      <w:numPr>
        <w:ilvl w:val="2"/>
        <w:numId w:val="15"/>
      </w:numPr>
    </w:pPr>
    <w:rPr>
      <w:rFonts w:eastAsia="Times New Roman"/>
      <w:lang w:val="fr-FR" w:eastAsia="en-GB"/>
    </w:rPr>
  </w:style>
  <w:style w:type="paragraph" w:customStyle="1" w:styleId="ListNumber1Level4">
    <w:name w:val="List Number 1 (Level 4)"/>
    <w:basedOn w:val="Text1"/>
    <w:rsid w:val="00682F00"/>
    <w:pPr>
      <w:numPr>
        <w:ilvl w:val="3"/>
        <w:numId w:val="12"/>
      </w:numPr>
    </w:pPr>
    <w:rPr>
      <w:rFonts w:eastAsia="Times New Roman"/>
      <w:lang w:val="fr-FR" w:eastAsia="en-GB"/>
    </w:rPr>
  </w:style>
  <w:style w:type="paragraph" w:customStyle="1" w:styleId="ListNumber2Level4">
    <w:name w:val="List Number 2 (Level 4)"/>
    <w:basedOn w:val="Text2"/>
    <w:rsid w:val="00682F00"/>
    <w:pPr>
      <w:numPr>
        <w:ilvl w:val="3"/>
        <w:numId w:val="13"/>
      </w:numPr>
    </w:pPr>
    <w:rPr>
      <w:rFonts w:eastAsia="Times New Roman"/>
      <w:lang w:val="fr-FR" w:eastAsia="en-GB"/>
    </w:rPr>
  </w:style>
  <w:style w:type="paragraph" w:customStyle="1" w:styleId="ListNumber3Level4">
    <w:name w:val="List Number 3 (Level 4)"/>
    <w:basedOn w:val="Text3"/>
    <w:rsid w:val="00682F00"/>
    <w:pPr>
      <w:numPr>
        <w:ilvl w:val="3"/>
        <w:numId w:val="14"/>
      </w:numPr>
    </w:pPr>
    <w:rPr>
      <w:rFonts w:eastAsia="Times New Roman"/>
      <w:lang w:val="fr-FR" w:eastAsia="en-GB"/>
    </w:rPr>
  </w:style>
  <w:style w:type="paragraph" w:customStyle="1" w:styleId="ListNumber4Level4">
    <w:name w:val="List Number 4 (Level 4)"/>
    <w:basedOn w:val="Text4"/>
    <w:rsid w:val="00682F00"/>
    <w:pPr>
      <w:numPr>
        <w:ilvl w:val="3"/>
        <w:numId w:val="15"/>
      </w:numPr>
    </w:pPr>
    <w:rPr>
      <w:rFonts w:eastAsia="Times New Roman"/>
      <w:lang w:val="fr-FR" w:eastAsia="en-GB"/>
    </w:rPr>
  </w:style>
  <w:style w:type="paragraph" w:customStyle="1" w:styleId="Annexetitreacte">
    <w:name w:val="Annexe titre (acte)"/>
    <w:basedOn w:val="Normal"/>
    <w:next w:val="Normal"/>
    <w:rsid w:val="00682F00"/>
    <w:pPr>
      <w:jc w:val="center"/>
    </w:pPr>
    <w:rPr>
      <w:rFonts w:eastAsia="Times New Roman"/>
      <w:b/>
      <w:u w:val="single"/>
      <w:lang w:val="fr-FR" w:eastAsia="en-GB"/>
    </w:rPr>
  </w:style>
  <w:style w:type="paragraph" w:customStyle="1" w:styleId="Annexetitreexposglobal">
    <w:name w:val="Annexe titre (exposé global)"/>
    <w:basedOn w:val="Normal"/>
    <w:next w:val="Normal"/>
    <w:rsid w:val="00682F00"/>
    <w:pPr>
      <w:jc w:val="center"/>
    </w:pPr>
    <w:rPr>
      <w:rFonts w:eastAsia="Times New Roman"/>
      <w:b/>
      <w:u w:val="single"/>
      <w:lang w:val="fr-FR" w:eastAsia="en-GB"/>
    </w:rPr>
  </w:style>
  <w:style w:type="paragraph" w:customStyle="1" w:styleId="Annexetitrefichefinacte">
    <w:name w:val="Annexe titre (fiche fin. acte)"/>
    <w:basedOn w:val="Normal"/>
    <w:next w:val="Normal"/>
    <w:rsid w:val="00682F00"/>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682F00"/>
    <w:pPr>
      <w:jc w:val="center"/>
    </w:pPr>
    <w:rPr>
      <w:rFonts w:eastAsia="Times New Roman"/>
      <w:b/>
      <w:u w:val="single"/>
      <w:lang w:val="fr-FR" w:eastAsia="en-GB"/>
    </w:rPr>
  </w:style>
  <w:style w:type="paragraph" w:customStyle="1" w:styleId="Annexetitreglobale">
    <w:name w:val="Annexe titre (globale)"/>
    <w:basedOn w:val="Normal"/>
    <w:next w:val="Normal"/>
    <w:rsid w:val="00682F00"/>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682F00"/>
    <w:pPr>
      <w:jc w:val="center"/>
    </w:pPr>
    <w:rPr>
      <w:rFonts w:eastAsia="Times New Roman"/>
      <w:b/>
      <w:u w:val="single"/>
      <w:lang w:val="fr-FR" w:eastAsia="en-GB"/>
    </w:rPr>
  </w:style>
  <w:style w:type="paragraph" w:customStyle="1" w:styleId="Langueoriginale">
    <w:name w:val="Langue originale"/>
    <w:basedOn w:val="Normal"/>
    <w:rsid w:val="00682F00"/>
    <w:pPr>
      <w:spacing w:before="360"/>
      <w:jc w:val="center"/>
    </w:pPr>
    <w:rPr>
      <w:rFonts w:eastAsia="Times New Roman"/>
      <w:caps/>
      <w:lang w:val="fr-FR" w:eastAsia="en-GB"/>
    </w:rPr>
  </w:style>
  <w:style w:type="paragraph" w:customStyle="1" w:styleId="Phrasefinale">
    <w:name w:val="Phrase finale"/>
    <w:basedOn w:val="Normal"/>
    <w:next w:val="Normal"/>
    <w:rsid w:val="00682F00"/>
    <w:pPr>
      <w:spacing w:before="360" w:after="0"/>
      <w:jc w:val="center"/>
    </w:pPr>
    <w:rPr>
      <w:rFonts w:eastAsia="Times New Roman"/>
      <w:lang w:val="fr-FR" w:eastAsia="en-GB"/>
    </w:rPr>
  </w:style>
  <w:style w:type="paragraph" w:customStyle="1" w:styleId="Prliminairetitre">
    <w:name w:val="Préliminaire titre"/>
    <w:basedOn w:val="Normal"/>
    <w:next w:val="Normal"/>
    <w:rsid w:val="00682F00"/>
    <w:pPr>
      <w:spacing w:before="360" w:after="360"/>
      <w:jc w:val="center"/>
    </w:pPr>
    <w:rPr>
      <w:rFonts w:eastAsia="Times New Roman"/>
      <w:b/>
      <w:lang w:val="fr-FR" w:eastAsia="en-GB"/>
    </w:rPr>
  </w:style>
  <w:style w:type="paragraph" w:customStyle="1" w:styleId="Prliminairetype">
    <w:name w:val="Préliminaire type"/>
    <w:basedOn w:val="Normal"/>
    <w:next w:val="Normal"/>
    <w:rsid w:val="00682F00"/>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682F00"/>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682F00"/>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682F00"/>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682F00"/>
    <w:pPr>
      <w:spacing w:before="0" w:after="0"/>
      <w:jc w:val="center"/>
    </w:pPr>
    <w:rPr>
      <w:rFonts w:eastAsia="Times New Roman"/>
      <w:b/>
      <w:lang w:val="fr-FR" w:eastAsia="en-GB"/>
    </w:rPr>
  </w:style>
  <w:style w:type="paragraph" w:customStyle="1" w:styleId="Statutprliminaire">
    <w:name w:val="Statut (préliminaire)"/>
    <w:basedOn w:val="Normal"/>
    <w:next w:val="Normal"/>
    <w:rsid w:val="00682F00"/>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682F00"/>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682F00"/>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682F00"/>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682F00"/>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682F00"/>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682F00"/>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682F00"/>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682F00"/>
    <w:pPr>
      <w:jc w:val="center"/>
    </w:pPr>
    <w:rPr>
      <w:rFonts w:eastAsia="Times New Roman"/>
      <w:b/>
      <w:u w:val="single"/>
      <w:lang w:val="fr-FR" w:eastAsia="en-GB"/>
    </w:rPr>
  </w:style>
  <w:style w:type="character" w:styleId="CommentReference">
    <w:name w:val="annotation reference"/>
    <w:rsid w:val="00682F00"/>
    <w:rPr>
      <w:rFonts w:cs="Times New Roman"/>
      <w:sz w:val="16"/>
      <w:szCs w:val="16"/>
    </w:rPr>
  </w:style>
  <w:style w:type="paragraph" w:styleId="CommentText">
    <w:name w:val="annotation text"/>
    <w:basedOn w:val="Normal"/>
    <w:link w:val="CommentTextChar"/>
    <w:rsid w:val="00682F00"/>
    <w:rPr>
      <w:rFonts w:eastAsia="Times New Roman"/>
      <w:sz w:val="20"/>
      <w:szCs w:val="20"/>
      <w:lang w:val="fr-FR" w:eastAsia="en-GB"/>
    </w:rPr>
  </w:style>
  <w:style w:type="character" w:customStyle="1" w:styleId="CommentTextChar">
    <w:name w:val="Comment Text Char"/>
    <w:basedOn w:val="DefaultParagraphFont"/>
    <w:link w:val="CommentText"/>
    <w:rsid w:val="00682F00"/>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682F00"/>
    <w:rPr>
      <w:b/>
      <w:bCs/>
    </w:rPr>
  </w:style>
  <w:style w:type="character" w:customStyle="1" w:styleId="CommentSubjectChar">
    <w:name w:val="Comment Subject Char"/>
    <w:basedOn w:val="CommentTextChar"/>
    <w:link w:val="CommentSubject"/>
    <w:rsid w:val="00682F00"/>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682F00"/>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682F00"/>
    <w:rPr>
      <w:rFonts w:ascii="Tahoma" w:eastAsia="Times New Roman" w:hAnsi="Tahoma" w:cs="Tahoma"/>
      <w:sz w:val="16"/>
      <w:szCs w:val="16"/>
      <w:lang w:val="fr-FR" w:eastAsia="en-GB"/>
    </w:rPr>
  </w:style>
  <w:style w:type="paragraph" w:styleId="Caption">
    <w:name w:val="caption"/>
    <w:basedOn w:val="Normal"/>
    <w:next w:val="Normal"/>
    <w:qFormat/>
    <w:rsid w:val="00682F00"/>
    <w:rPr>
      <w:rFonts w:eastAsia="Times New Roman"/>
      <w:b/>
      <w:bCs/>
      <w:sz w:val="20"/>
      <w:szCs w:val="20"/>
      <w:lang w:val="fr-FR" w:eastAsia="en-GB"/>
    </w:rPr>
  </w:style>
  <w:style w:type="paragraph" w:styleId="TableofFigures">
    <w:name w:val="table of figures"/>
    <w:basedOn w:val="Normal"/>
    <w:next w:val="Normal"/>
    <w:rsid w:val="00682F00"/>
    <w:rPr>
      <w:rFonts w:eastAsia="Times New Roman"/>
      <w:lang w:val="fr-FR" w:eastAsia="en-GB"/>
    </w:rPr>
  </w:style>
  <w:style w:type="character" w:styleId="PageNumber">
    <w:name w:val="page number"/>
    <w:rsid w:val="00682F00"/>
  </w:style>
  <w:style w:type="character" w:customStyle="1" w:styleId="tw4winMark">
    <w:name w:val="tw4winMark"/>
    <w:rsid w:val="00682F00"/>
    <w:rPr>
      <w:vanish/>
      <w:color w:val="800080"/>
      <w:vertAlign w:val="subscript"/>
    </w:rPr>
  </w:style>
  <w:style w:type="character" w:styleId="FollowedHyperlink">
    <w:name w:val="FollowedHyperlink"/>
    <w:rsid w:val="00682F00"/>
    <w:rPr>
      <w:color w:val="800080"/>
      <w:u w:val="single"/>
    </w:rPr>
  </w:style>
  <w:style w:type="paragraph" w:customStyle="1" w:styleId="Sous-titreobjet">
    <w:name w:val="Sous-titre objet"/>
    <w:basedOn w:val="Normal"/>
    <w:rsid w:val="00682F00"/>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682F00"/>
  </w:style>
  <w:style w:type="paragraph" w:styleId="Revision">
    <w:name w:val="Revision"/>
    <w:hidden/>
    <w:uiPriority w:val="99"/>
    <w:semiHidden/>
    <w:rsid w:val="00682F00"/>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682F00"/>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682F00"/>
    <w:rPr>
      <w:rFonts w:ascii="Times New Roman" w:hAnsi="Times New Roman" w:cs="Times New Roman"/>
      <w:b/>
      <w:sz w:val="28"/>
      <w:lang w:val="en-GB"/>
    </w:rPr>
  </w:style>
  <w:style w:type="character" w:customStyle="1" w:styleId="FooterCoverPageChar">
    <w:name w:val="Footer Cover Page Char"/>
    <w:link w:val="FooterCoverPage"/>
    <w:rsid w:val="00682F00"/>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682F00"/>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682F00"/>
    <w:rPr>
      <w:rFonts w:ascii="Times New Roman" w:eastAsia="Calibri" w:hAnsi="Times New Roman" w:cs="Times New Roman"/>
      <w:sz w:val="24"/>
      <w:lang w:val="en-GB" w:eastAsia="en-GB"/>
    </w:rPr>
  </w:style>
  <w:style w:type="character" w:customStyle="1" w:styleId="FooterSensitivityChar">
    <w:name w:val="Footer Sensitivity Char"/>
    <w:rsid w:val="00682F00"/>
    <w:rPr>
      <w:rFonts w:ascii="Times New Roman" w:hAnsi="Times New Roman" w:cs="Times New Roman"/>
      <w:b/>
      <w:sz w:val="32"/>
      <w:lang w:val="en-GB"/>
    </w:rPr>
  </w:style>
  <w:style w:type="character" w:customStyle="1" w:styleId="HeaderSensitivityChar">
    <w:name w:val="Header Sensitivity Char"/>
    <w:rsid w:val="00682F00"/>
    <w:rPr>
      <w:rFonts w:ascii="Times New Roman" w:hAnsi="Times New Roman" w:cs="Times New Roman"/>
      <w:b/>
      <w:sz w:val="32"/>
      <w:lang w:val="en-GB"/>
    </w:rPr>
  </w:style>
  <w:style w:type="character" w:customStyle="1" w:styleId="HeaderSensitivityRightChar">
    <w:name w:val="Header Sensitivity Right Char"/>
    <w:rsid w:val="00682F00"/>
    <w:rPr>
      <w:rFonts w:ascii="Times New Roman" w:hAnsi="Times New Roman" w:cs="Times New Roman"/>
      <w:sz w:val="28"/>
      <w:lang w:val="en-GB"/>
    </w:rPr>
  </w:style>
  <w:style w:type="paragraph" w:customStyle="1" w:styleId="LegalNumPar">
    <w:name w:val="LegalNumPar"/>
    <w:basedOn w:val="Normal"/>
    <w:rsid w:val="00682F00"/>
    <w:pPr>
      <w:numPr>
        <w:numId w:val="16"/>
      </w:numPr>
      <w:spacing w:line="360" w:lineRule="auto"/>
    </w:pPr>
    <w:rPr>
      <w:rFonts w:eastAsia="Times New Roman"/>
      <w:lang w:eastAsia="en-GB"/>
    </w:rPr>
  </w:style>
  <w:style w:type="paragraph" w:customStyle="1" w:styleId="LegalNumPar2">
    <w:name w:val="LegalNumPar2"/>
    <w:basedOn w:val="Normal"/>
    <w:rsid w:val="00682F00"/>
    <w:pPr>
      <w:numPr>
        <w:ilvl w:val="1"/>
        <w:numId w:val="16"/>
      </w:numPr>
      <w:spacing w:line="360" w:lineRule="auto"/>
    </w:pPr>
    <w:rPr>
      <w:rFonts w:eastAsia="Times New Roman"/>
      <w:lang w:eastAsia="en-GB"/>
    </w:rPr>
  </w:style>
  <w:style w:type="paragraph" w:customStyle="1" w:styleId="LegalNumPar3">
    <w:name w:val="LegalNumPar3"/>
    <w:basedOn w:val="Normal"/>
    <w:rsid w:val="00682F00"/>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682F00"/>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682F00"/>
    <w:rPr>
      <w:color w:val="605E5C"/>
      <w:shd w:val="clear" w:color="auto" w:fill="E1DFDD"/>
    </w:rPr>
  </w:style>
  <w:style w:type="character" w:styleId="Strong">
    <w:name w:val="Strong"/>
    <w:basedOn w:val="DefaultParagraphFont"/>
    <w:qFormat/>
    <w:rsid w:val="00682F00"/>
    <w:rPr>
      <w:b/>
      <w:bCs/>
    </w:rPr>
  </w:style>
  <w:style w:type="character" w:styleId="Emphasis">
    <w:name w:val="Emphasis"/>
    <w:basedOn w:val="DefaultParagraphFont"/>
    <w:qFormat/>
    <w:rsid w:val="00682F00"/>
    <w:rPr>
      <w:i/>
      <w:iCs/>
    </w:rPr>
  </w:style>
  <w:style w:type="character" w:customStyle="1" w:styleId="Mention">
    <w:name w:val="Mention"/>
    <w:basedOn w:val="DefaultParagraphFont"/>
    <w:uiPriority w:val="99"/>
    <w:unhideWhenUsed/>
    <w:rsid w:val="00682F00"/>
    <w:rPr>
      <w:color w:val="2B579A"/>
      <w:shd w:val="clear" w:color="auto" w:fill="E1DFDD"/>
    </w:rPr>
  </w:style>
  <w:style w:type="character" w:customStyle="1" w:styleId="normaltextrun">
    <w:name w:val="normaltextrun"/>
    <w:basedOn w:val="DefaultParagraphFont"/>
    <w:rsid w:val="00682F00"/>
  </w:style>
  <w:style w:type="character" w:customStyle="1" w:styleId="eop">
    <w:name w:val="eop"/>
    <w:basedOn w:val="DefaultParagraphFont"/>
    <w:rsid w:val="00682F00"/>
  </w:style>
  <w:style w:type="character" w:customStyle="1" w:styleId="HeaderChar">
    <w:name w:val="Header Char"/>
    <w:basedOn w:val="DefaultParagraphFont"/>
    <w:link w:val="Header"/>
    <w:uiPriority w:val="99"/>
    <w:rsid w:val="00F13E3A"/>
    <w:rPr>
      <w:rFonts w:ascii="Times New Roman" w:hAnsi="Times New Roman" w:cs="Times New Roman"/>
      <w:sz w:val="24"/>
      <w:lang w:val="en-GB"/>
    </w:rPr>
  </w:style>
  <w:style w:type="character" w:customStyle="1" w:styleId="FooterChar">
    <w:name w:val="Footer Char"/>
    <w:basedOn w:val="DefaultParagraphFont"/>
    <w:link w:val="Footer"/>
    <w:uiPriority w:val="99"/>
    <w:rsid w:val="00F13E3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13E3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3E3A"/>
    <w:pPr>
      <w:spacing w:before="0"/>
      <w:jc w:val="right"/>
    </w:pPr>
    <w:rPr>
      <w:sz w:val="28"/>
    </w:rPr>
  </w:style>
  <w:style w:type="paragraph" w:customStyle="1" w:styleId="FooterSensitivity">
    <w:name w:val="Footer Sensitivity"/>
    <w:basedOn w:val="Normal"/>
    <w:rsid w:val="00F13E3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13E3A"/>
    <w:pPr>
      <w:tabs>
        <w:tab w:val="center" w:pos="4535"/>
        <w:tab w:val="right" w:pos="9071"/>
      </w:tabs>
      <w:spacing w:before="0"/>
    </w:pPr>
  </w:style>
  <w:style w:type="paragraph" w:customStyle="1" w:styleId="HeaderLandscape">
    <w:name w:val="HeaderLandscape"/>
    <w:basedOn w:val="Normal"/>
    <w:rsid w:val="00F13E3A"/>
    <w:pPr>
      <w:tabs>
        <w:tab w:val="center" w:pos="7285"/>
        <w:tab w:val="right" w:pos="14003"/>
      </w:tabs>
      <w:spacing w:before="0"/>
    </w:pPr>
  </w:style>
  <w:style w:type="paragraph" w:styleId="Footer">
    <w:name w:val="footer"/>
    <w:basedOn w:val="Normal"/>
    <w:link w:val="FooterChar"/>
    <w:uiPriority w:val="99"/>
    <w:unhideWhenUsed/>
    <w:rsid w:val="00F13E3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13E3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468748">
      <w:bodyDiv w:val="1"/>
      <w:marLeft w:val="0"/>
      <w:marRight w:val="0"/>
      <w:marTop w:val="0"/>
      <w:marBottom w:val="0"/>
      <w:divBdr>
        <w:top w:val="none" w:sz="0" w:space="0" w:color="auto"/>
        <w:left w:val="none" w:sz="0" w:space="0" w:color="auto"/>
        <w:bottom w:val="none" w:sz="0" w:space="0" w:color="auto"/>
        <w:right w:val="none" w:sz="0" w:space="0" w:color="auto"/>
      </w:divBdr>
      <w:divsChild>
        <w:div w:id="422385948">
          <w:marLeft w:val="0"/>
          <w:marRight w:val="0"/>
          <w:marTop w:val="0"/>
          <w:marBottom w:val="0"/>
          <w:divBdr>
            <w:top w:val="none" w:sz="0" w:space="0" w:color="auto"/>
            <w:left w:val="none" w:sz="0" w:space="0" w:color="auto"/>
            <w:bottom w:val="none" w:sz="0" w:space="0" w:color="auto"/>
            <w:right w:val="none" w:sz="0" w:space="0" w:color="auto"/>
          </w:divBdr>
          <w:divsChild>
            <w:div w:id="740903275">
              <w:marLeft w:val="0"/>
              <w:marRight w:val="0"/>
              <w:marTop w:val="0"/>
              <w:marBottom w:val="0"/>
              <w:divBdr>
                <w:top w:val="none" w:sz="0" w:space="0" w:color="auto"/>
                <w:left w:val="none" w:sz="0" w:space="0" w:color="auto"/>
                <w:bottom w:val="none" w:sz="0" w:space="0" w:color="auto"/>
                <w:right w:val="none" w:sz="0" w:space="0" w:color="auto"/>
              </w:divBdr>
              <w:divsChild>
                <w:div w:id="467472927">
                  <w:marLeft w:val="0"/>
                  <w:marRight w:val="0"/>
                  <w:marTop w:val="0"/>
                  <w:marBottom w:val="0"/>
                  <w:divBdr>
                    <w:top w:val="none" w:sz="0" w:space="0" w:color="auto"/>
                    <w:left w:val="none" w:sz="0" w:space="0" w:color="auto"/>
                    <w:bottom w:val="none" w:sz="0" w:space="0" w:color="auto"/>
                    <w:right w:val="none" w:sz="0" w:space="0" w:color="auto"/>
                  </w:divBdr>
                  <w:divsChild>
                    <w:div w:id="442501285">
                      <w:marLeft w:val="0"/>
                      <w:marRight w:val="0"/>
                      <w:marTop w:val="0"/>
                      <w:marBottom w:val="0"/>
                      <w:divBdr>
                        <w:top w:val="none" w:sz="0" w:space="0" w:color="auto"/>
                        <w:left w:val="none" w:sz="0" w:space="0" w:color="auto"/>
                        <w:bottom w:val="none" w:sz="0" w:space="0" w:color="auto"/>
                        <w:right w:val="none" w:sz="0" w:space="0" w:color="auto"/>
                      </w:divBdr>
                      <w:divsChild>
                        <w:div w:id="7266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554549">
      <w:bodyDiv w:val="1"/>
      <w:marLeft w:val="0"/>
      <w:marRight w:val="0"/>
      <w:marTop w:val="0"/>
      <w:marBottom w:val="0"/>
      <w:divBdr>
        <w:top w:val="none" w:sz="0" w:space="0" w:color="auto"/>
        <w:left w:val="none" w:sz="0" w:space="0" w:color="auto"/>
        <w:bottom w:val="none" w:sz="0" w:space="0" w:color="auto"/>
        <w:right w:val="none" w:sz="0" w:space="0" w:color="auto"/>
      </w:divBdr>
      <w:divsChild>
        <w:div w:id="124977235">
          <w:marLeft w:val="0"/>
          <w:marRight w:val="0"/>
          <w:marTop w:val="0"/>
          <w:marBottom w:val="0"/>
          <w:divBdr>
            <w:top w:val="none" w:sz="0" w:space="0" w:color="auto"/>
            <w:left w:val="none" w:sz="0" w:space="0" w:color="auto"/>
            <w:bottom w:val="none" w:sz="0" w:space="0" w:color="auto"/>
            <w:right w:val="none" w:sz="0" w:space="0" w:color="auto"/>
          </w:divBdr>
          <w:divsChild>
            <w:div w:id="528221998">
              <w:marLeft w:val="0"/>
              <w:marRight w:val="0"/>
              <w:marTop w:val="0"/>
              <w:marBottom w:val="0"/>
              <w:divBdr>
                <w:top w:val="none" w:sz="0" w:space="0" w:color="auto"/>
                <w:left w:val="none" w:sz="0" w:space="0" w:color="auto"/>
                <w:bottom w:val="none" w:sz="0" w:space="0" w:color="auto"/>
                <w:right w:val="none" w:sz="0" w:space="0" w:color="auto"/>
              </w:divBdr>
              <w:divsChild>
                <w:div w:id="1352533977">
                  <w:marLeft w:val="0"/>
                  <w:marRight w:val="0"/>
                  <w:marTop w:val="0"/>
                  <w:marBottom w:val="0"/>
                  <w:divBdr>
                    <w:top w:val="none" w:sz="0" w:space="0" w:color="auto"/>
                    <w:left w:val="none" w:sz="0" w:space="0" w:color="auto"/>
                    <w:bottom w:val="none" w:sz="0" w:space="0" w:color="auto"/>
                    <w:right w:val="none" w:sz="0" w:space="0" w:color="auto"/>
                  </w:divBdr>
                  <w:divsChild>
                    <w:div w:id="957176537">
                      <w:marLeft w:val="0"/>
                      <w:marRight w:val="0"/>
                      <w:marTop w:val="0"/>
                      <w:marBottom w:val="0"/>
                      <w:divBdr>
                        <w:top w:val="none" w:sz="0" w:space="0" w:color="auto"/>
                        <w:left w:val="none" w:sz="0" w:space="0" w:color="auto"/>
                        <w:bottom w:val="none" w:sz="0" w:space="0" w:color="auto"/>
                        <w:right w:val="none" w:sz="0" w:space="0" w:color="auto"/>
                      </w:divBdr>
                      <w:divsChild>
                        <w:div w:id="62778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3ADF9-5040-4107-B129-8FF49E975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7</Pages>
  <Words>1747</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2026-05-11T17:51:00Z</dcterms:created>
  <dcterms:modified xsi:type="dcterms:W3CDTF">2026-05-20T12:56:00Z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2025-02-27T16:42:18Z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f7f7b47f-d98a-4435-a1ad-dc4b2b208ff4</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