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00" w:rsidRPr="00B32DBC" w:rsidRDefault="00057446" w:rsidP="0005744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CF64E6-F368-4AF5-B3D3-3676639D514C" style="width:455.25pt;height:411.75pt">
            <v:imagedata r:id="rId8" o:title=""/>
          </v:shape>
        </w:pict>
      </w:r>
    </w:p>
    <w:p w:rsidR="00682F00" w:rsidRPr="00B32DBC" w:rsidRDefault="00682F00" w:rsidP="00682F00">
      <w:pPr>
        <w:rPr>
          <w:noProof/>
        </w:rPr>
        <w:sectPr w:rsidR="00682F00" w:rsidRPr="00B32DBC" w:rsidSect="00057446">
          <w:footerReference w:type="even" r:id="rId9"/>
          <w:footerReference w:type="default" r:id="rId10"/>
          <w:pgSz w:w="11907" w:h="16839"/>
          <w:pgMar w:top="1134" w:right="1417" w:bottom="1134" w:left="1417" w:header="709" w:footer="709" w:gutter="0"/>
          <w:pgNumType w:start="0"/>
          <w:cols w:space="720"/>
          <w:docGrid w:linePitch="360"/>
        </w:sectPr>
      </w:pPr>
    </w:p>
    <w:p w:rsidR="00682F00" w:rsidRPr="00B32DBC" w:rsidRDefault="00682F00" w:rsidP="00817FA5">
      <w:pPr>
        <w:pStyle w:val="Exposdesmotifstitre"/>
        <w:rPr>
          <w:noProof/>
        </w:rPr>
      </w:pPr>
      <w:bookmarkStart w:id="0" w:name="_GoBack"/>
      <w:bookmarkEnd w:id="0"/>
      <w:r w:rsidRPr="00B32DBC">
        <w:rPr>
          <w:noProof/>
        </w:rPr>
        <w:lastRenderedPageBreak/>
        <w:t>EXPOSÉ DES MOTIFS</w:t>
      </w:r>
    </w:p>
    <w:p w:rsidR="00682F00" w:rsidRPr="00B32DBC" w:rsidRDefault="00682F00" w:rsidP="00ED1ADE">
      <w:pPr>
        <w:pStyle w:val="ManualHeading1"/>
        <w:rPr>
          <w:rFonts w:eastAsia="Arial Unicode MS"/>
          <w:noProof/>
        </w:rPr>
      </w:pPr>
      <w:r>
        <w:rPr>
          <w:noProof/>
        </w:rPr>
        <w:t>1.</w:t>
      </w:r>
      <w:r>
        <w:rPr>
          <w:noProof/>
        </w:rPr>
        <w:tab/>
      </w:r>
      <w:r w:rsidRPr="00B32DBC">
        <w:rPr>
          <w:noProof/>
        </w:rPr>
        <w:t>Objet de la proposition</w:t>
      </w:r>
    </w:p>
    <w:p w:rsidR="00682F00" w:rsidRPr="00B32DBC" w:rsidRDefault="00682F00" w:rsidP="00817FA5">
      <w:pPr>
        <w:rPr>
          <w:rFonts w:eastAsia="Arial Unicode MS"/>
          <w:noProof/>
        </w:rPr>
      </w:pPr>
      <w:r w:rsidRPr="00B32DBC">
        <w:rPr>
          <w:noProof/>
        </w:rPr>
        <w:t xml:space="preserve">La proposition ci-jointe concerne la décision établissant la position à prendre, au nom de l’Union européenne, au sein du comité «Commerce» institué par </w:t>
      </w:r>
      <w:bookmarkStart w:id="1" w:name="_Hlk201222973"/>
      <w:r w:rsidRPr="00B32DBC">
        <w:rPr>
          <w:noProof/>
        </w:rPr>
        <w:t>l’accord de libre-échange entre l’Union européenne et ses États membres, d’une part, et la République de Corée, d’autre part</w:t>
      </w:r>
      <w:bookmarkEnd w:id="1"/>
      <w:r w:rsidRPr="00B32DBC">
        <w:rPr>
          <w:noProof/>
        </w:rPr>
        <w:t xml:space="preserve"> (ci-après l’«accord»), en ce qui concerne l’adoption envisagée de deux décisions du comité «Commerce» relatives à la révision de la liste des personnes disposées et aptes à faire office d’arbitres conformément à l’article 14.18 de l’accord (procédure générale de règlement des différends) et à la révision de la liste des experts disposés et aptes à faire office de membres d’un groupe d’experts conformément à l’article 13.15 de l’accord (procédure de règlement des différends au titre des dispositions relatives au commerce et au développement durable).</w:t>
      </w:r>
    </w:p>
    <w:p w:rsidR="00682F00" w:rsidRPr="00B32DBC" w:rsidRDefault="00682F00" w:rsidP="00817FA5">
      <w:pPr>
        <w:pStyle w:val="ManualHeading1"/>
        <w:rPr>
          <w:noProof/>
        </w:rPr>
      </w:pPr>
      <w:r>
        <w:rPr>
          <w:noProof/>
        </w:rPr>
        <w:t>2.</w:t>
      </w:r>
      <w:r>
        <w:rPr>
          <w:noProof/>
        </w:rPr>
        <w:tab/>
      </w:r>
      <w:r w:rsidRPr="00B32DBC">
        <w:rPr>
          <w:noProof/>
        </w:rPr>
        <w:t>Contexte de la proposition</w:t>
      </w:r>
    </w:p>
    <w:p w:rsidR="00682F00" w:rsidRPr="00B32DBC" w:rsidRDefault="00682F00" w:rsidP="00817FA5">
      <w:pPr>
        <w:pStyle w:val="ManualHeading2"/>
        <w:rPr>
          <w:noProof/>
        </w:rPr>
      </w:pPr>
      <w:r>
        <w:rPr>
          <w:noProof/>
        </w:rPr>
        <w:t>2.1.</w:t>
      </w:r>
      <w:r>
        <w:rPr>
          <w:noProof/>
        </w:rPr>
        <w:tab/>
      </w:r>
      <w:r w:rsidRPr="00B32DBC">
        <w:rPr>
          <w:noProof/>
        </w:rPr>
        <w:t>Accord de libre-échange entre l’Union européenne et ses États membres, d’une part, et la République de Corée, d’autre part</w:t>
      </w:r>
    </w:p>
    <w:p w:rsidR="00682F00" w:rsidRPr="00B32DBC" w:rsidRDefault="00682F00" w:rsidP="00FB272A">
      <w:pPr>
        <w:rPr>
          <w:rFonts w:eastAsia="Arial Unicode MS"/>
          <w:noProof/>
          <w:color w:val="0000FF"/>
        </w:rPr>
      </w:pPr>
      <w:r w:rsidRPr="00B32DBC">
        <w:rPr>
          <w:noProof/>
        </w:rPr>
        <w:t xml:space="preserve">L’accord, qui a été appliqué à titre provisoire dès juillet 2011 et est entré en vigueur le 13 décembre 2015, vise à libéraliser et à faciliter le commerce des marchandises et des services entre les parties à l’accord (ci-après les «parties»); à promouvoir la concurrence économique; à ouvrir réciproquement les marchés publics; à protéger les droits de propriété intellectuelle; à renforcer le commerce mondial en éliminant les obstacles et à encourager les investissements; à s’engager en faveur du développement durable dans le cadre des pratiques commerciales internationales; et à promouvoir les investissements directs étrangers sans compromettre les normes en matière d’environnement, de travail ou de santé et de sécurité. En cas de différend entre les parties, l’accord prévoit des procédures spécifiques de règlement des différends pour régler la question. </w:t>
      </w:r>
    </w:p>
    <w:p w:rsidR="00682F00" w:rsidRPr="00B32DBC" w:rsidRDefault="00682F00" w:rsidP="00817FA5">
      <w:pPr>
        <w:pStyle w:val="ManualHeading2"/>
        <w:rPr>
          <w:noProof/>
        </w:rPr>
      </w:pPr>
      <w:r>
        <w:rPr>
          <w:noProof/>
        </w:rPr>
        <w:t>2.2.</w:t>
      </w:r>
      <w:r>
        <w:rPr>
          <w:noProof/>
        </w:rPr>
        <w:tab/>
      </w:r>
      <w:r w:rsidRPr="00B32DBC">
        <w:rPr>
          <w:noProof/>
        </w:rPr>
        <w:t xml:space="preserve">Comité «Commerce» </w:t>
      </w:r>
    </w:p>
    <w:p w:rsidR="00C66BAF" w:rsidRPr="00B32DBC" w:rsidRDefault="00682F00" w:rsidP="00C66BAF">
      <w:pPr>
        <w:rPr>
          <w:rFonts w:eastAsia="Arial Unicode MS"/>
          <w:noProof/>
        </w:rPr>
      </w:pPr>
      <w:r w:rsidRPr="00B32DBC">
        <w:rPr>
          <w:noProof/>
        </w:rPr>
        <w:t xml:space="preserve">Le comité «Commerce» est institué en vertu de l’article 15.1 de l’accord et dispose de pouvoirs de décision dans le cadre de l’accord. </w:t>
      </w:r>
    </w:p>
    <w:p w:rsidR="00682F00" w:rsidRPr="00B32DBC" w:rsidRDefault="00682F00" w:rsidP="00817FA5">
      <w:pPr>
        <w:pStyle w:val="ManualHeading2"/>
        <w:rPr>
          <w:noProof/>
        </w:rPr>
      </w:pPr>
      <w:r>
        <w:rPr>
          <w:noProof/>
        </w:rPr>
        <w:t>2.3.</w:t>
      </w:r>
      <w:r>
        <w:rPr>
          <w:noProof/>
        </w:rPr>
        <w:tab/>
      </w:r>
      <w:r w:rsidRPr="00B32DBC">
        <w:rPr>
          <w:noProof/>
        </w:rPr>
        <w:t>Acte envisagé du comité «Commerce» et du comité «Commerce et développement durable»</w:t>
      </w:r>
    </w:p>
    <w:p w:rsidR="00682F00" w:rsidRPr="00B32DBC" w:rsidRDefault="00D2125B" w:rsidP="00817FA5">
      <w:pPr>
        <w:rPr>
          <w:rFonts w:eastAsia="Arial Unicode MS"/>
          <w:noProof/>
        </w:rPr>
      </w:pPr>
      <w:r w:rsidRPr="00B32DBC">
        <w:rPr>
          <w:noProof/>
        </w:rPr>
        <w:t>Il est envisagé que le comité «Commerce» adopte deux décisions (ci-après les «actes envisagés») soit lors de sa prochaine réunion, soit par procédure écrite, selon ce qui est le plus rapide.</w:t>
      </w:r>
    </w:p>
    <w:p w:rsidR="00682F00" w:rsidRPr="00B32DBC" w:rsidRDefault="00682F00" w:rsidP="00817FA5">
      <w:pPr>
        <w:rPr>
          <w:rFonts w:eastAsia="Arial Unicode MS"/>
          <w:noProof/>
        </w:rPr>
      </w:pPr>
      <w:r w:rsidRPr="00B32DBC">
        <w:rPr>
          <w:noProof/>
        </w:rPr>
        <w:t>Les actes envisagés ont pour objet de mettre à jour les listes des personnes disposées et aptes à faire office d’arbitres ou de membres d’un groupe d’experts conformément aux articles 14.18 et 13.15 de l’accord.</w:t>
      </w:r>
    </w:p>
    <w:p w:rsidR="00682F00" w:rsidRPr="00B32DBC" w:rsidRDefault="00682F00" w:rsidP="00817FA5">
      <w:pPr>
        <w:rPr>
          <w:rFonts w:eastAsia="Arial Unicode MS"/>
          <w:noProof/>
        </w:rPr>
      </w:pPr>
      <w:r w:rsidRPr="00B32DBC">
        <w:rPr>
          <w:noProof/>
        </w:rPr>
        <w:t xml:space="preserve">Les actes envisagés deviendront contraignants pour les parties conformément aux articles 14.18 et 13.15 de l’accord, qui prévoient l’établissement des deux listes. </w:t>
      </w:r>
    </w:p>
    <w:p w:rsidR="00682F00" w:rsidRPr="00B32DBC" w:rsidRDefault="00682F00" w:rsidP="00682F00">
      <w:pPr>
        <w:pStyle w:val="ManualHeading1"/>
        <w:rPr>
          <w:rFonts w:eastAsia="Arial Unicode MS"/>
          <w:noProof/>
        </w:rPr>
      </w:pPr>
      <w:r>
        <w:rPr>
          <w:noProof/>
        </w:rPr>
        <w:t>3.</w:t>
      </w:r>
      <w:r>
        <w:rPr>
          <w:noProof/>
        </w:rPr>
        <w:tab/>
      </w:r>
      <w:r w:rsidRPr="00B32DBC">
        <w:rPr>
          <w:noProof/>
        </w:rPr>
        <w:t>Position à prendre au nom de l’Union</w:t>
      </w:r>
    </w:p>
    <w:p w:rsidR="00C66BAF" w:rsidRPr="00B32DBC" w:rsidRDefault="00C66BAF" w:rsidP="00C66BAF">
      <w:pPr>
        <w:rPr>
          <w:rFonts w:eastAsia="Arial Unicode MS"/>
          <w:noProof/>
        </w:rPr>
      </w:pPr>
      <w:r w:rsidRPr="00B32DBC">
        <w:rPr>
          <w:noProof/>
        </w:rPr>
        <w:t xml:space="preserve">Le comité «Commerce» est institué en vertu de l’article 15.1 de l’accord et dispose de pouvoirs de décision dans le cadre de l’accord. </w:t>
      </w:r>
    </w:p>
    <w:p w:rsidR="00D2125B" w:rsidRPr="00B32DBC" w:rsidRDefault="00D2125B" w:rsidP="0030099A">
      <w:pPr>
        <w:rPr>
          <w:noProof/>
        </w:rPr>
      </w:pPr>
      <w:r w:rsidRPr="00B32DBC">
        <w:rPr>
          <w:noProof/>
        </w:rPr>
        <w:lastRenderedPageBreak/>
        <w:t>En application de l’article 14.18 de l’accord, le comité «Commerce» doit établir une liste de 15 personnes pour faire office d’arbitres. Le 23 décembre 2011, le comité «Commerce» UE-Corée a adopté la décision nº 2</w:t>
      </w:r>
      <w:r w:rsidR="00E52BFA" w:rsidRPr="00B32DBC">
        <w:rPr>
          <w:rStyle w:val="FootnoteReference"/>
          <w:rFonts w:eastAsia="Arial Unicode MS"/>
          <w:noProof/>
        </w:rPr>
        <w:footnoteReference w:id="1"/>
      </w:r>
      <w:r w:rsidRPr="00B32DBC">
        <w:rPr>
          <w:noProof/>
        </w:rPr>
        <w:t xml:space="preserve"> établissant une liste de 15 personnes pouvant faire office d’arbitres dans le cadre des procédures du groupe spécial d’arbitrage en application de l’article 14.18 de l’accord. Les parties ont exprimé le souhait de remplacer certains des ressortissants coréens, des ressortissants des États membres de l’Union européenne et des non-ressortissants exerçant les fonctions de président sur la liste d’arbitres. Pour que cette modification puisse prendre effet, il convient que la liste de personnes révisée soit approuvée par le comité «Commerce» UE-Corée.</w:t>
      </w:r>
    </w:p>
    <w:p w:rsidR="00E52BFA" w:rsidRPr="00B32DBC" w:rsidRDefault="00E52BFA" w:rsidP="0030099A">
      <w:pPr>
        <w:rPr>
          <w:noProof/>
        </w:rPr>
      </w:pPr>
      <w:r w:rsidRPr="00B32DBC">
        <w:rPr>
          <w:noProof/>
        </w:rPr>
        <w:t>En vertu de l’article 13.15, paragraphe 3, de l’accord, les parties doivent se mettre d’accord sur une liste d’au moins 15 personnes qui sont disposées et aptes à faire office de membres d’un groupe d’experts en ce qui concerne les questions relevant du chapitre 13 de l’accord (chapitre relatif au commerce et au développement durable) et qui possèdent des connaissances spécialisées sur les questions visées par ledit chapitre. La liste a été établie pour la première fois le 27 juin 2012 par la décision nº 2/2012</w:t>
      </w:r>
      <w:r w:rsidRPr="00B32DBC">
        <w:rPr>
          <w:rStyle w:val="FootnoteReference"/>
          <w:noProof/>
        </w:rPr>
        <w:footnoteReference w:id="2"/>
      </w:r>
      <w:r w:rsidRPr="00B32DBC">
        <w:rPr>
          <w:noProof/>
        </w:rPr>
        <w:t xml:space="preserve"> du comité UE-Corée sur le commerce et le développement durable, qui a établi une liste de 18 experts pouvant faire office de membres d’un groupe d’experts. La liste a été révisée pour la dernière fois en 2019 par la décision nº 1/2019</w:t>
      </w:r>
      <w:r w:rsidRPr="00B32DBC">
        <w:rPr>
          <w:rStyle w:val="FootnoteReference"/>
          <w:noProof/>
        </w:rPr>
        <w:footnoteReference w:id="3"/>
      </w:r>
      <w:r w:rsidRPr="00B32DBC">
        <w:rPr>
          <w:noProof/>
        </w:rPr>
        <w:t xml:space="preserve"> du même comité. Les parties ont fait part de leur souhait de remplacer certains des non-ressortissants exerçant les fonctions de président sur la liste d’experts. </w:t>
      </w:r>
    </w:p>
    <w:p w:rsidR="00E52BFA" w:rsidRPr="00B32DBC" w:rsidRDefault="00BB38E0" w:rsidP="0030099A">
      <w:pPr>
        <w:rPr>
          <w:noProof/>
        </w:rPr>
      </w:pPr>
      <w:r w:rsidRPr="00B32DBC">
        <w:rPr>
          <w:noProof/>
        </w:rPr>
        <w:t>En cas de différend, les parties se concertent en vue de convenir des arbitres qui siégeront au sein d’un groupe spécial d’arbitrage. Il est donc essentiel de veiller à ce que les deux listes soient mises à jour à tout moment pour garantir la disponibilité effective des procédures de règlement des différends prévues par l’accord.</w:t>
      </w:r>
    </w:p>
    <w:p w:rsidR="00E52BFA" w:rsidRPr="00B32DBC" w:rsidRDefault="00E52BFA" w:rsidP="0030099A">
      <w:pPr>
        <w:rPr>
          <w:noProof/>
        </w:rPr>
      </w:pPr>
      <w:r w:rsidRPr="00B32DBC">
        <w:rPr>
          <w:noProof/>
        </w:rPr>
        <w:t xml:space="preserve">La proposition ci-jointe constitue la proposition d’instrument juridique approuvant la position que l’Union européenne adoptera au sein du comité «Commerce» sur les deux questions susmentionnées. </w:t>
      </w:r>
    </w:p>
    <w:p w:rsidR="00682F00" w:rsidRPr="00B32DBC" w:rsidRDefault="00682F00" w:rsidP="00817FA5">
      <w:pPr>
        <w:pStyle w:val="ManualHeading1"/>
        <w:rPr>
          <w:noProof/>
        </w:rPr>
      </w:pPr>
      <w:r>
        <w:rPr>
          <w:noProof/>
        </w:rPr>
        <w:t>4.</w:t>
      </w:r>
      <w:r>
        <w:rPr>
          <w:noProof/>
        </w:rPr>
        <w:tab/>
      </w:r>
      <w:r w:rsidRPr="00B32DBC">
        <w:rPr>
          <w:noProof/>
        </w:rPr>
        <w:t>Base juridique</w:t>
      </w:r>
    </w:p>
    <w:p w:rsidR="00682F00" w:rsidRPr="00B32DBC" w:rsidRDefault="00682F00" w:rsidP="00817FA5">
      <w:pPr>
        <w:pStyle w:val="ManualHeading2"/>
        <w:rPr>
          <w:noProof/>
        </w:rPr>
      </w:pPr>
      <w:r>
        <w:rPr>
          <w:noProof/>
        </w:rPr>
        <w:t>4.1.</w:t>
      </w:r>
      <w:r>
        <w:rPr>
          <w:noProof/>
        </w:rPr>
        <w:tab/>
      </w:r>
      <w:r w:rsidRPr="00B32DBC">
        <w:rPr>
          <w:noProof/>
        </w:rPr>
        <w:t>Base juridique procédurale</w:t>
      </w:r>
    </w:p>
    <w:p w:rsidR="00682F00" w:rsidRPr="00B32DBC" w:rsidRDefault="00682F00" w:rsidP="00F406AC">
      <w:pPr>
        <w:pStyle w:val="ManualHeading3"/>
        <w:rPr>
          <w:noProof/>
        </w:rPr>
      </w:pPr>
      <w:r>
        <w:rPr>
          <w:noProof/>
        </w:rPr>
        <w:t>4.1.1.</w:t>
      </w:r>
      <w:r>
        <w:rPr>
          <w:noProof/>
        </w:rPr>
        <w:tab/>
      </w:r>
      <w:r w:rsidRPr="00B32DBC">
        <w:rPr>
          <w:noProof/>
        </w:rPr>
        <w:t>Principes</w:t>
      </w:r>
    </w:p>
    <w:p w:rsidR="00682F00" w:rsidRPr="00B32DBC" w:rsidRDefault="00682F00" w:rsidP="00817FA5">
      <w:pPr>
        <w:rPr>
          <w:noProof/>
        </w:rPr>
      </w:pPr>
      <w:r w:rsidRPr="00B32DBC">
        <w:rPr>
          <w:noProof/>
        </w:rPr>
        <w:t>L’article 218, paragraphe 9, du traité sur le fonctionnement de l’Union européenne (TFUE) prévoit l’adoption de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682F00" w:rsidRPr="00B32DBC" w:rsidRDefault="00682F00" w:rsidP="00817FA5">
      <w:pPr>
        <w:rPr>
          <w:noProof/>
        </w:rPr>
      </w:pPr>
      <w:r w:rsidRPr="00B32DBC">
        <w:rPr>
          <w:noProof/>
        </w:rPr>
        <w:t xml:space="preserve">La notion d’«actes ayant des effets juridiques» englobe les actes qui ont des effets juridiques en vertu des règles de droit international régissant l’instance en question. Elle englobe également les instruments auxquels le droit international ne confère aucun effet contraignant, </w:t>
      </w:r>
      <w:r w:rsidRPr="00B32DBC">
        <w:rPr>
          <w:noProof/>
        </w:rPr>
        <w:lastRenderedPageBreak/>
        <w:t>mais qui ont «vocation à influencer de manière déterminante le contenu de la réglementation adoptée par le législateur de l’Union»</w:t>
      </w:r>
      <w:r w:rsidRPr="00B32DBC">
        <w:rPr>
          <w:rStyle w:val="FootnoteReference"/>
          <w:noProof/>
        </w:rPr>
        <w:footnoteReference w:id="4"/>
      </w:r>
      <w:r w:rsidRPr="00B32DBC">
        <w:rPr>
          <w:noProof/>
        </w:rPr>
        <w:t>.</w:t>
      </w:r>
    </w:p>
    <w:p w:rsidR="00682F00" w:rsidRPr="00B32DBC" w:rsidRDefault="00682F00" w:rsidP="00F406AC">
      <w:pPr>
        <w:pStyle w:val="ManualHeading3"/>
        <w:rPr>
          <w:noProof/>
        </w:rPr>
      </w:pPr>
      <w:r>
        <w:rPr>
          <w:noProof/>
        </w:rPr>
        <w:t>4.1.2.</w:t>
      </w:r>
      <w:r>
        <w:rPr>
          <w:noProof/>
        </w:rPr>
        <w:tab/>
      </w:r>
      <w:r w:rsidRPr="00B32DBC">
        <w:rPr>
          <w:noProof/>
        </w:rPr>
        <w:t>Application au cas d’espèce</w:t>
      </w:r>
    </w:p>
    <w:p w:rsidR="00682F00" w:rsidRPr="00B32DBC" w:rsidRDefault="00682F00" w:rsidP="00817FA5">
      <w:pPr>
        <w:rPr>
          <w:noProof/>
        </w:rPr>
      </w:pPr>
      <w:r w:rsidRPr="00B32DBC">
        <w:rPr>
          <w:noProof/>
        </w:rPr>
        <w:t>Le comité «Commerce» est une instance créée par l’accord.</w:t>
      </w:r>
    </w:p>
    <w:p w:rsidR="00682F00" w:rsidRPr="00B32DBC" w:rsidRDefault="00682F00" w:rsidP="00817FA5">
      <w:pPr>
        <w:rPr>
          <w:noProof/>
        </w:rPr>
      </w:pPr>
      <w:r w:rsidRPr="00B32DBC">
        <w:rPr>
          <w:noProof/>
        </w:rPr>
        <w:t xml:space="preserve">L’acte que le comité «Commerce» est appelé à adopter est un acte ayant des effets juridiques. </w:t>
      </w:r>
    </w:p>
    <w:p w:rsidR="00682F00" w:rsidRPr="00B32DBC" w:rsidRDefault="00682F00" w:rsidP="00817FA5">
      <w:pPr>
        <w:rPr>
          <w:noProof/>
        </w:rPr>
      </w:pPr>
      <w:r w:rsidRPr="00B32DBC">
        <w:rPr>
          <w:noProof/>
        </w:rPr>
        <w:t>L’acte envisagé ne complète ni ne modifie le cadre institutionnel de l’accord.</w:t>
      </w:r>
    </w:p>
    <w:p w:rsidR="00682F00" w:rsidRPr="00B32DBC" w:rsidRDefault="00682F00" w:rsidP="00817FA5">
      <w:pPr>
        <w:rPr>
          <w:noProof/>
        </w:rPr>
      </w:pPr>
      <w:r w:rsidRPr="00B32DBC">
        <w:rPr>
          <w:noProof/>
        </w:rPr>
        <w:t>En conséquence, la base juridique procédurale de la proposition de décision est l’article 218, paragraphe 9, du TFUE.</w:t>
      </w:r>
    </w:p>
    <w:p w:rsidR="00682F00" w:rsidRPr="00B32DBC" w:rsidRDefault="00682F00" w:rsidP="00817FA5">
      <w:pPr>
        <w:pStyle w:val="ManualHeading2"/>
        <w:rPr>
          <w:noProof/>
        </w:rPr>
      </w:pPr>
      <w:r>
        <w:rPr>
          <w:noProof/>
        </w:rPr>
        <w:t>4.2.</w:t>
      </w:r>
      <w:r>
        <w:rPr>
          <w:noProof/>
        </w:rPr>
        <w:tab/>
      </w:r>
      <w:r w:rsidRPr="00B32DBC">
        <w:rPr>
          <w:noProof/>
        </w:rPr>
        <w:t>Base juridique matérielle</w:t>
      </w:r>
    </w:p>
    <w:p w:rsidR="00682F00" w:rsidRPr="00B32DBC" w:rsidRDefault="00682F00" w:rsidP="00F406AC">
      <w:pPr>
        <w:pStyle w:val="ManualHeading3"/>
        <w:rPr>
          <w:noProof/>
        </w:rPr>
      </w:pPr>
      <w:r>
        <w:rPr>
          <w:noProof/>
        </w:rPr>
        <w:t>4.2.1.</w:t>
      </w:r>
      <w:r>
        <w:rPr>
          <w:noProof/>
        </w:rPr>
        <w:tab/>
      </w:r>
      <w:r w:rsidRPr="00B32DBC">
        <w:rPr>
          <w:noProof/>
        </w:rPr>
        <w:t>Principes</w:t>
      </w:r>
    </w:p>
    <w:p w:rsidR="00682F00" w:rsidRPr="00B32DBC" w:rsidRDefault="00682F00" w:rsidP="00817FA5">
      <w:pPr>
        <w:rPr>
          <w:noProof/>
        </w:rPr>
      </w:pPr>
      <w:r w:rsidRPr="00B32DBC">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682F00" w:rsidRPr="00B32DBC" w:rsidRDefault="00682F00" w:rsidP="00F406AC">
      <w:pPr>
        <w:pStyle w:val="ManualHeading3"/>
        <w:rPr>
          <w:noProof/>
        </w:rPr>
      </w:pPr>
      <w:r>
        <w:rPr>
          <w:noProof/>
        </w:rPr>
        <w:t>4.2.2.</w:t>
      </w:r>
      <w:r>
        <w:rPr>
          <w:noProof/>
        </w:rPr>
        <w:tab/>
      </w:r>
      <w:r w:rsidRPr="00B32DBC">
        <w:rPr>
          <w:noProof/>
        </w:rPr>
        <w:t>Application au cas d’espèce</w:t>
      </w:r>
    </w:p>
    <w:p w:rsidR="00682F00" w:rsidRPr="00B32DBC" w:rsidRDefault="00682F00" w:rsidP="00817FA5">
      <w:pPr>
        <w:rPr>
          <w:noProof/>
        </w:rPr>
      </w:pPr>
      <w:r w:rsidRPr="00B32DBC">
        <w:rPr>
          <w:noProof/>
        </w:rPr>
        <w:t>L’objectif et le contenu de l’acte envisagé concernent essentiellement la politique commerciale commune.</w:t>
      </w:r>
    </w:p>
    <w:p w:rsidR="00682F00" w:rsidRPr="00B32DBC" w:rsidRDefault="00682F00" w:rsidP="00817FA5">
      <w:pPr>
        <w:rPr>
          <w:i/>
          <w:noProof/>
        </w:rPr>
      </w:pPr>
      <w:r w:rsidRPr="00B32DBC">
        <w:rPr>
          <w:noProof/>
        </w:rPr>
        <w:t xml:space="preserve">En conséquence, la base juridique matérielle pour la décision proposée est l’article 207, paragraphe 4, premier alinéa, du TFUE. </w:t>
      </w:r>
    </w:p>
    <w:p w:rsidR="00682F00" w:rsidRPr="00B32DBC" w:rsidRDefault="00682F00" w:rsidP="00817FA5">
      <w:pPr>
        <w:pStyle w:val="ManualHeading2"/>
        <w:rPr>
          <w:noProof/>
        </w:rPr>
      </w:pPr>
      <w:r>
        <w:rPr>
          <w:noProof/>
        </w:rPr>
        <w:t>4.3.</w:t>
      </w:r>
      <w:r>
        <w:rPr>
          <w:noProof/>
        </w:rPr>
        <w:tab/>
      </w:r>
      <w:r w:rsidRPr="00B32DBC">
        <w:rPr>
          <w:noProof/>
        </w:rPr>
        <w:t>Conclusion</w:t>
      </w:r>
    </w:p>
    <w:p w:rsidR="00682F00" w:rsidRPr="00B32DBC" w:rsidRDefault="00682F00" w:rsidP="00817FA5">
      <w:pPr>
        <w:rPr>
          <w:noProof/>
        </w:rPr>
      </w:pPr>
      <w:r w:rsidRPr="00B32DBC">
        <w:rPr>
          <w:noProof/>
        </w:rPr>
        <w:t>La base juridique de la décision proposée devrait être l’article 207, paragraphe 4, premier alinéa, du TFUE, en liaison avec l’article 218, paragraphe 9, du TFUE.</w:t>
      </w:r>
    </w:p>
    <w:p w:rsidR="00682F00" w:rsidRPr="00B32DBC" w:rsidRDefault="00682F00" w:rsidP="00817FA5">
      <w:pPr>
        <w:pStyle w:val="ManualHeading1"/>
        <w:rPr>
          <w:noProof/>
        </w:rPr>
      </w:pPr>
      <w:r>
        <w:rPr>
          <w:noProof/>
        </w:rPr>
        <w:t>5.</w:t>
      </w:r>
      <w:r>
        <w:rPr>
          <w:noProof/>
        </w:rPr>
        <w:tab/>
      </w:r>
      <w:r w:rsidRPr="00B32DBC">
        <w:rPr>
          <w:noProof/>
        </w:rPr>
        <w:t>Publication de l’acte envisagé</w:t>
      </w:r>
    </w:p>
    <w:p w:rsidR="00682F00" w:rsidRPr="00B32DBC" w:rsidRDefault="00682F00" w:rsidP="00817FA5">
      <w:pPr>
        <w:rPr>
          <w:noProof/>
        </w:rPr>
      </w:pPr>
      <w:r w:rsidRPr="00B32DBC">
        <w:rPr>
          <w:noProof/>
        </w:rPr>
        <w:t xml:space="preserve">Étant donné que l’acte du comité «Commerce» modifiera les listes existantes des personnes disposées et aptes à faire office d’arbitres conformément à l’article 14.18 de l’accord et la liste des experts disposés et aptes à faire office de membres d’un groupe d’experts conformément à l’article 13.15 de l’accord, il y a lieu de les publier au </w:t>
      </w:r>
      <w:r w:rsidRPr="00B32DBC">
        <w:rPr>
          <w:i/>
          <w:noProof/>
        </w:rPr>
        <w:t>Journal officiel de l’Union européenne</w:t>
      </w:r>
      <w:r w:rsidRPr="00B32DBC">
        <w:rPr>
          <w:noProof/>
        </w:rPr>
        <w:t xml:space="preserve"> après leur adoption.</w:t>
      </w:r>
    </w:p>
    <w:p w:rsidR="00682F00" w:rsidRPr="00B32DBC" w:rsidRDefault="00682F00" w:rsidP="00817FA5">
      <w:pPr>
        <w:rPr>
          <w:noProof/>
        </w:rPr>
        <w:sectPr w:rsidR="00682F00" w:rsidRPr="00B32DBC" w:rsidSect="0005744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6A7659" w:rsidRDefault="001E4E74">
      <w:pPr>
        <w:pStyle w:val="Rfrenceinterinstitutionnelle"/>
        <w:rPr>
          <w:noProof/>
        </w:rPr>
      </w:pPr>
      <w:r>
        <w:rPr>
          <w:noProof/>
        </w:rPr>
        <w:lastRenderedPageBreak/>
        <w:t>2026/0127 (NLE)</w:t>
      </w:r>
    </w:p>
    <w:p w:rsidR="00682F00" w:rsidRPr="00B32DBC" w:rsidRDefault="00B32DBC" w:rsidP="00B32DBC">
      <w:pPr>
        <w:pStyle w:val="Statut"/>
        <w:rPr>
          <w:noProof/>
        </w:rPr>
      </w:pPr>
      <w:r w:rsidRPr="00B32DBC">
        <w:rPr>
          <w:noProof/>
        </w:rPr>
        <w:t>Proposition de</w:t>
      </w:r>
    </w:p>
    <w:p w:rsidR="00682F00" w:rsidRPr="00B32DBC" w:rsidRDefault="00B32DBC" w:rsidP="00B32DBC">
      <w:pPr>
        <w:pStyle w:val="Typedudocument"/>
        <w:rPr>
          <w:noProof/>
        </w:rPr>
      </w:pPr>
      <w:r w:rsidRPr="00B32DBC">
        <w:rPr>
          <w:noProof/>
        </w:rPr>
        <w:t>DÉCISION DU CONSEIL</w:t>
      </w:r>
    </w:p>
    <w:p w:rsidR="00682F00" w:rsidRPr="00B32DBC" w:rsidRDefault="00B32DBC" w:rsidP="00B32DBC">
      <w:pPr>
        <w:pStyle w:val="Titreobjet"/>
        <w:rPr>
          <w:noProof/>
        </w:rPr>
      </w:pPr>
      <w:r w:rsidRPr="00B32DBC">
        <w:rPr>
          <w:noProof/>
        </w:rPr>
        <w:t>sur la position à prendre, au nom de l’Union européenne, au sein du comité «Commerce» institué par l’accord de libre-échange entre l’Union européenne et ses États membres, d’une part, et la République de Corée, d’autre part, en ce qui concerne la révision de la liste des personnes disposées et aptes à faire office d’arbitres conformément à l’article 14.18 de l’accord et la révision de la liste des experts disposés et aptes à faire office de membres d’un groupe d’experts conformément à l’article 13.15 de l’accord</w:t>
      </w:r>
    </w:p>
    <w:p w:rsidR="00682F00" w:rsidRPr="00B32DBC" w:rsidRDefault="00682F00" w:rsidP="00817FA5">
      <w:pPr>
        <w:pStyle w:val="Institutionquiagit"/>
        <w:rPr>
          <w:noProof/>
        </w:rPr>
      </w:pPr>
      <w:r w:rsidRPr="00B32DBC">
        <w:rPr>
          <w:noProof/>
        </w:rPr>
        <w:t>LE CONSEIL DE L’UNION EUROPÉENNE,</w:t>
      </w:r>
    </w:p>
    <w:p w:rsidR="00682F00" w:rsidRPr="00B32DBC" w:rsidRDefault="00682F00" w:rsidP="00817FA5">
      <w:pPr>
        <w:rPr>
          <w:noProof/>
        </w:rPr>
      </w:pPr>
      <w:r w:rsidRPr="00B32DBC">
        <w:rPr>
          <w:noProof/>
        </w:rPr>
        <w:t>vu le traité sur le fonctionnement de l’Union européenne, et notamment son article 207, paragraphe 4, premier alinéa, en liaison avec l’article 218, paragraphe 9,</w:t>
      </w:r>
    </w:p>
    <w:p w:rsidR="00682F00" w:rsidRPr="00B32DBC" w:rsidRDefault="00682F00" w:rsidP="00817FA5">
      <w:pPr>
        <w:rPr>
          <w:noProof/>
        </w:rPr>
      </w:pPr>
      <w:r w:rsidRPr="00B32DBC">
        <w:rPr>
          <w:noProof/>
        </w:rPr>
        <w:t>vu la proposition de la Commission européenne,</w:t>
      </w:r>
    </w:p>
    <w:p w:rsidR="00682F00" w:rsidRPr="00B32DBC" w:rsidRDefault="00682F00" w:rsidP="00817FA5">
      <w:pPr>
        <w:rPr>
          <w:noProof/>
        </w:rPr>
      </w:pPr>
      <w:r w:rsidRPr="00B32DBC">
        <w:rPr>
          <w:noProof/>
        </w:rPr>
        <w:t>considérant ce qui suit:</w:t>
      </w:r>
    </w:p>
    <w:p w:rsidR="00682F00" w:rsidRPr="00B32DBC" w:rsidRDefault="00E31E41" w:rsidP="00ED1ADE">
      <w:pPr>
        <w:pStyle w:val="ManualConsidrant"/>
        <w:rPr>
          <w:noProof/>
        </w:rPr>
      </w:pPr>
      <w:r>
        <w:rPr>
          <w:noProof/>
        </w:rPr>
        <w:t>(1)</w:t>
      </w:r>
      <w:r>
        <w:rPr>
          <w:noProof/>
        </w:rPr>
        <w:tab/>
      </w:r>
      <w:r w:rsidRPr="00B32DBC">
        <w:rPr>
          <w:noProof/>
        </w:rPr>
        <w:t>L’accord de libre-échange entre l’Union européenne et ses États membres, d’une part, et la République de Corée, d’autre part (ci-après l’«accord») a été conclu par l’Union au moyen de la décision du Conseil du 6 octobre 2010</w:t>
      </w:r>
      <w:r w:rsidR="00682F00" w:rsidRPr="00B32DBC">
        <w:rPr>
          <w:rStyle w:val="FootnoteReference"/>
          <w:noProof/>
        </w:rPr>
        <w:footnoteReference w:id="5"/>
      </w:r>
      <w:r w:rsidRPr="00B32DBC">
        <w:rPr>
          <w:noProof/>
        </w:rPr>
        <w:t xml:space="preserve">, a été appliqué à titre provisoire dès juillet 2011 et est entré en vigueur en décembre 2015. </w:t>
      </w:r>
    </w:p>
    <w:p w:rsidR="007B0DAE" w:rsidRPr="00B32DBC" w:rsidRDefault="00682F00" w:rsidP="00E32DE2">
      <w:pPr>
        <w:pStyle w:val="ManualConsidrant"/>
        <w:rPr>
          <w:noProof/>
        </w:rPr>
      </w:pPr>
      <w:r>
        <w:rPr>
          <w:noProof/>
        </w:rPr>
        <w:t>(2)</w:t>
      </w:r>
      <w:r>
        <w:rPr>
          <w:noProof/>
        </w:rPr>
        <w:tab/>
      </w:r>
      <w:r w:rsidRPr="00B32DBC">
        <w:rPr>
          <w:noProof/>
        </w:rPr>
        <w:t>En application de l’article 14.18 de l’accord, le comité «Commerce» établit une liste de 15 personnes disposées et aptes à faire office d’arbitres lors d’éventuels différends entre les parties. Le 23 décembre 2011, le comité «Commerce» UE-Corée a adopté la décision nº 2</w:t>
      </w:r>
      <w:r w:rsidR="007B0DAE" w:rsidRPr="00B32DBC">
        <w:rPr>
          <w:rStyle w:val="FootnoteReference"/>
          <w:noProof/>
        </w:rPr>
        <w:footnoteReference w:id="6"/>
      </w:r>
      <w:r w:rsidRPr="00B32DBC">
        <w:rPr>
          <w:noProof/>
        </w:rPr>
        <w:t xml:space="preserve"> établissant une liste de 15 personnes pouvant faire office d’arbitres dans le cadre des procédures du groupe spécial d’arbitrage conformément à l’article 14.18 de l’accord.</w:t>
      </w:r>
    </w:p>
    <w:p w:rsidR="00D27714" w:rsidRPr="00B32DBC" w:rsidRDefault="00D27714" w:rsidP="00E32DE2">
      <w:pPr>
        <w:pStyle w:val="ManualConsidrant"/>
        <w:rPr>
          <w:noProof/>
        </w:rPr>
      </w:pPr>
      <w:r>
        <w:rPr>
          <w:noProof/>
        </w:rPr>
        <w:t>(3)</w:t>
      </w:r>
      <w:r>
        <w:rPr>
          <w:noProof/>
        </w:rPr>
        <w:tab/>
      </w:r>
      <w:r w:rsidRPr="00B32DBC">
        <w:rPr>
          <w:noProof/>
        </w:rPr>
        <w:t xml:space="preserve">Les parties ont exprimé le souhait de remplacer certains des ressortissants coréens, des ressortissants des États membres de l’Union européenne et des non-ressortissants exerçant les fonctions de président sur la liste d’arbitres. Pour que cette modification puisse prendre effet, il convient que la liste de personnes révisée soit approuvée par le comité «Commerce» UE-Corée. </w:t>
      </w:r>
    </w:p>
    <w:p w:rsidR="00C57118" w:rsidRPr="00B32DBC" w:rsidRDefault="00D27714" w:rsidP="00E32DE2">
      <w:pPr>
        <w:pStyle w:val="ManualConsidrant"/>
        <w:rPr>
          <w:noProof/>
        </w:rPr>
      </w:pPr>
      <w:r>
        <w:rPr>
          <w:noProof/>
        </w:rPr>
        <w:t>(4)</w:t>
      </w:r>
      <w:r>
        <w:rPr>
          <w:noProof/>
        </w:rPr>
        <w:tab/>
      </w:r>
      <w:r w:rsidRPr="00B32DBC">
        <w:rPr>
          <w:noProof/>
        </w:rPr>
        <w:t xml:space="preserve">En vertu de l’article 13.15, paragraphe 3, de l’accord, les parties établissent une liste d’au moins 15 personnes qui sont disposées et aptes à faire office de membres d’un groupe d’experts en ce qui concerne les questions relevant du chapitre 13 de l’accord (chapitre relatif au commerce et au développement durable) et qui possèdent des connaissances spécialisées sur les questions visées par ledit chapitre. Le 27 juin 2012, le comité UE-Corée sur le commerce et le développement durable a adopté la décision </w:t>
      </w:r>
      <w:r w:rsidRPr="00B32DBC">
        <w:rPr>
          <w:noProof/>
        </w:rPr>
        <w:lastRenderedPageBreak/>
        <w:t>nº 2/2012</w:t>
      </w:r>
      <w:r w:rsidR="006851C6" w:rsidRPr="00B32DBC">
        <w:rPr>
          <w:rStyle w:val="FootnoteReference"/>
          <w:noProof/>
        </w:rPr>
        <w:footnoteReference w:id="7"/>
      </w:r>
      <w:r w:rsidRPr="00B32DBC">
        <w:rPr>
          <w:noProof/>
        </w:rPr>
        <w:t xml:space="preserve"> établissant une liste de 18 experts pouvant faire office de membres d’un groupe d’experts. Cette liste a été révisée pour la dernière fois en 2019 par la décision nº 1/2019</w:t>
      </w:r>
      <w:r w:rsidR="00E31E41" w:rsidRPr="00B32DBC">
        <w:rPr>
          <w:rStyle w:val="FootnoteReference"/>
          <w:noProof/>
        </w:rPr>
        <w:footnoteReference w:id="8"/>
      </w:r>
      <w:r w:rsidRPr="00B32DBC">
        <w:rPr>
          <w:noProof/>
        </w:rPr>
        <w:t xml:space="preserve"> du même comité.</w:t>
      </w:r>
    </w:p>
    <w:p w:rsidR="00D27714" w:rsidRPr="00B32DBC" w:rsidRDefault="00D27714" w:rsidP="00E32DE2">
      <w:pPr>
        <w:pStyle w:val="ManualConsidrant"/>
        <w:rPr>
          <w:noProof/>
        </w:rPr>
      </w:pPr>
      <w:r>
        <w:rPr>
          <w:noProof/>
        </w:rPr>
        <w:t>(5)</w:t>
      </w:r>
      <w:r>
        <w:rPr>
          <w:noProof/>
        </w:rPr>
        <w:tab/>
      </w:r>
      <w:r w:rsidRPr="00B32DBC">
        <w:rPr>
          <w:noProof/>
        </w:rPr>
        <w:t>Les parties ont fait part de leur souhait de remplacer certains des non-ressortissants exerçant les fonctions de président sur la liste d’experts. Pour que cette modification puisse prendre effet, il convient que la liste de personnes révisée soit approuvée par le comité «Commerce» UE-Corée.</w:t>
      </w:r>
    </w:p>
    <w:p w:rsidR="00682F00" w:rsidRPr="00B32DBC" w:rsidRDefault="00682F00" w:rsidP="00E32DE2">
      <w:pPr>
        <w:pStyle w:val="ManualConsidrant"/>
        <w:rPr>
          <w:noProof/>
        </w:rPr>
      </w:pPr>
      <w:r>
        <w:rPr>
          <w:noProof/>
        </w:rPr>
        <w:t>(6)</w:t>
      </w:r>
      <w:r>
        <w:rPr>
          <w:noProof/>
        </w:rPr>
        <w:tab/>
      </w:r>
      <w:r w:rsidRPr="00B32DBC">
        <w:rPr>
          <w:noProof/>
        </w:rPr>
        <w:t>Le comité «Commerce» doit adopter les listes mises à jour d’arbitres et d’experts soit lors de sa prochaine réunion, soit par procédure écrite, selon ce qui est le plus rapide.</w:t>
      </w:r>
    </w:p>
    <w:p w:rsidR="00682F00" w:rsidRPr="00B32DBC" w:rsidRDefault="00682F00" w:rsidP="00E32DE2">
      <w:pPr>
        <w:pStyle w:val="ManualConsidrant"/>
        <w:rPr>
          <w:noProof/>
        </w:rPr>
      </w:pPr>
      <w:r>
        <w:rPr>
          <w:noProof/>
        </w:rPr>
        <w:t>(7)</w:t>
      </w:r>
      <w:r>
        <w:rPr>
          <w:noProof/>
        </w:rPr>
        <w:tab/>
      </w:r>
      <w:r w:rsidRPr="00B32DBC">
        <w:rPr>
          <w:noProof/>
        </w:rPr>
        <w:t>Il y a lieu d’arrêter la position à prendre, au nom de l’Union, au sein du comité «Commerce», étant donné que les décisions seront contraignantes pour l’Union,</w:t>
      </w:r>
    </w:p>
    <w:p w:rsidR="00682F00" w:rsidRPr="00B32DBC" w:rsidRDefault="00682F00" w:rsidP="00817FA5">
      <w:pPr>
        <w:pStyle w:val="Formuledadoption"/>
        <w:rPr>
          <w:noProof/>
        </w:rPr>
      </w:pPr>
      <w:r w:rsidRPr="00B32DBC">
        <w:rPr>
          <w:noProof/>
        </w:rPr>
        <w:t>A ADOPTÉ LA PRÉSENTE DÉCISION:</w:t>
      </w:r>
    </w:p>
    <w:p w:rsidR="00682F00" w:rsidRPr="00B32DBC" w:rsidRDefault="00682F00" w:rsidP="00817FA5">
      <w:pPr>
        <w:pStyle w:val="Titrearticle"/>
        <w:rPr>
          <w:noProof/>
        </w:rPr>
      </w:pPr>
      <w:r w:rsidRPr="00B32DBC">
        <w:rPr>
          <w:noProof/>
        </w:rPr>
        <w:t>Article premier</w:t>
      </w:r>
    </w:p>
    <w:p w:rsidR="00C57118" w:rsidRPr="00B32DBC" w:rsidRDefault="00C57118" w:rsidP="00C57118">
      <w:pPr>
        <w:rPr>
          <w:noProof/>
        </w:rPr>
      </w:pPr>
      <w:r w:rsidRPr="00B32DBC">
        <w:rPr>
          <w:noProof/>
        </w:rPr>
        <w:t>La position à prendre, au nom de l’Union européenne, au sein du comité «Commerce» institué par l’accord de libre-échange entre l’Union européenne et ses États membres, d’une part, et la République de Corée, d’autre part, en ce qui concerne la liste révisée des personnes disposées et aptes à faire office d’arbitres conformément à l’article 14.18 de l’accord est fondée sur le projet de décision du comité «Commerce» joint à l’annexe 1 de la présente décision.</w:t>
      </w:r>
    </w:p>
    <w:p w:rsidR="007F3497" w:rsidRPr="00B32DBC" w:rsidRDefault="007F3497" w:rsidP="007F3497">
      <w:pPr>
        <w:pStyle w:val="Titrearticle"/>
        <w:rPr>
          <w:noProof/>
        </w:rPr>
      </w:pPr>
      <w:r w:rsidRPr="00B32DBC">
        <w:rPr>
          <w:noProof/>
        </w:rPr>
        <w:t>Article 2</w:t>
      </w:r>
    </w:p>
    <w:p w:rsidR="007F3497" w:rsidRPr="00B32DBC" w:rsidRDefault="007F3497" w:rsidP="007F3497">
      <w:pPr>
        <w:rPr>
          <w:noProof/>
        </w:rPr>
      </w:pPr>
      <w:r w:rsidRPr="00B32DBC">
        <w:rPr>
          <w:noProof/>
        </w:rPr>
        <w:t>La position à prendre, au nom de l’Union européenne, au sein du comité «Commerce» institué par l’accord de libre-échange entre l’Union européenne et ses États membres, d’une part, et la République de Corée, d’autre part, en ce qui concerne la liste révisée des experts disposés et aptes à faire office de membres d’un groupe d’experts conformément à l’article 13.15 de l’accord est fondée sur le projet de décision du comité «Commerce» joint à l’annexe 2 de la présente décision.</w:t>
      </w:r>
    </w:p>
    <w:p w:rsidR="00987FB0" w:rsidRPr="00B32DBC" w:rsidRDefault="00987FB0" w:rsidP="00987FB0">
      <w:pPr>
        <w:pStyle w:val="Titrearticle"/>
        <w:rPr>
          <w:noProof/>
        </w:rPr>
      </w:pPr>
      <w:r w:rsidRPr="00B32DBC">
        <w:rPr>
          <w:noProof/>
        </w:rPr>
        <w:t>Article 3</w:t>
      </w:r>
    </w:p>
    <w:p w:rsidR="00987FB0" w:rsidRPr="00B32DBC" w:rsidRDefault="00987FB0" w:rsidP="00987FB0">
      <w:pPr>
        <w:rPr>
          <w:noProof/>
        </w:rPr>
      </w:pPr>
      <w:r w:rsidRPr="00B32DBC">
        <w:rPr>
          <w:noProof/>
        </w:rPr>
        <w:t xml:space="preserve">Les modifications mineures apportées au projet de décision peuvent être acceptées par les représentants de l’Union au sein du comité «Commerce» sans qu’une nouvelle décision du Conseil ne soit nécessaire. </w:t>
      </w:r>
    </w:p>
    <w:p w:rsidR="00682F00" w:rsidRPr="00B32DBC" w:rsidRDefault="00682F00" w:rsidP="00817FA5">
      <w:pPr>
        <w:pStyle w:val="Titrearticle"/>
        <w:rPr>
          <w:noProof/>
        </w:rPr>
      </w:pPr>
      <w:r w:rsidRPr="00B32DBC">
        <w:rPr>
          <w:noProof/>
        </w:rPr>
        <w:t>Article 4</w:t>
      </w:r>
    </w:p>
    <w:p w:rsidR="00C66BAF" w:rsidRPr="00B32DBC" w:rsidRDefault="00C66BAF" w:rsidP="00C66BAF">
      <w:pPr>
        <w:rPr>
          <w:noProof/>
        </w:rPr>
      </w:pPr>
      <w:r w:rsidRPr="00B32DBC">
        <w:rPr>
          <w:noProof/>
        </w:rPr>
        <w:t xml:space="preserve">Après son adoption, la décision du comité «Commerce» est publiée au </w:t>
      </w:r>
      <w:r w:rsidRPr="00B32DBC">
        <w:rPr>
          <w:i/>
          <w:noProof/>
        </w:rPr>
        <w:t>Journal officiel de l’Union européenne</w:t>
      </w:r>
      <w:r w:rsidRPr="00B32DBC">
        <w:rPr>
          <w:noProof/>
        </w:rPr>
        <w:t xml:space="preserve">. </w:t>
      </w:r>
    </w:p>
    <w:p w:rsidR="00682F00" w:rsidRPr="00B32DBC" w:rsidRDefault="00682F00" w:rsidP="004A0F82">
      <w:pPr>
        <w:pStyle w:val="Titrearticle"/>
        <w:rPr>
          <w:noProof/>
        </w:rPr>
      </w:pPr>
      <w:r w:rsidRPr="00B32DBC">
        <w:rPr>
          <w:noProof/>
        </w:rPr>
        <w:lastRenderedPageBreak/>
        <w:t>Article 5</w:t>
      </w:r>
    </w:p>
    <w:p w:rsidR="00682F00" w:rsidRPr="00B32DBC" w:rsidRDefault="00682F00" w:rsidP="00817FA5">
      <w:pPr>
        <w:rPr>
          <w:noProof/>
        </w:rPr>
      </w:pPr>
      <w:r w:rsidRPr="00B32DBC">
        <w:rPr>
          <w:noProof/>
        </w:rPr>
        <w:t>La Commission est destinataire de la présente décision, qui entre en vigueur le jour de son adoption.</w:t>
      </w:r>
    </w:p>
    <w:p w:rsidR="00682F00" w:rsidRPr="00B32DBC" w:rsidRDefault="00B32DBC" w:rsidP="004A0F82">
      <w:pPr>
        <w:pStyle w:val="Fait"/>
        <w:rPr>
          <w:noProof/>
        </w:rPr>
      </w:pPr>
      <w:r>
        <w:rPr>
          <w:noProof/>
        </w:rPr>
        <w:t>Fait à Bruxelles, le</w:t>
      </w:r>
    </w:p>
    <w:p w:rsidR="00682F00" w:rsidRPr="00B32DBC" w:rsidRDefault="00682F00" w:rsidP="004A0F82">
      <w:pPr>
        <w:pStyle w:val="Institutionquisigne"/>
        <w:rPr>
          <w:noProof/>
        </w:rPr>
      </w:pPr>
      <w:r w:rsidRPr="00B32DBC">
        <w:rPr>
          <w:noProof/>
        </w:rPr>
        <w:tab/>
        <w:t>Par le Conseil</w:t>
      </w:r>
    </w:p>
    <w:p w:rsidR="00682F00" w:rsidRPr="00B32DBC" w:rsidRDefault="00682F00" w:rsidP="00261AB0">
      <w:pPr>
        <w:pStyle w:val="Personnequisigne"/>
        <w:rPr>
          <w:noProof/>
          <w:color w:val="008000"/>
        </w:rPr>
      </w:pPr>
      <w:r w:rsidRPr="00B32DBC">
        <w:rPr>
          <w:noProof/>
        </w:rPr>
        <w:tab/>
        <w:t>Le président/La présidente</w:t>
      </w:r>
    </w:p>
    <w:sectPr w:rsidR="00682F00" w:rsidRPr="00B32DBC" w:rsidSect="00057446">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866" w:rsidRDefault="006E6866" w:rsidP="00682F00">
      <w:pPr>
        <w:spacing w:before="0" w:after="0"/>
      </w:pPr>
      <w:r>
        <w:separator/>
      </w:r>
    </w:p>
  </w:endnote>
  <w:endnote w:type="continuationSeparator" w:id="0">
    <w:p w:rsidR="006E6866" w:rsidRDefault="006E6866" w:rsidP="00682F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Pr="00057446" w:rsidRDefault="00057446" w:rsidP="00057446">
    <w:pPr>
      <w:pStyle w:val="Footer"/>
      <w:rPr>
        <w:rFonts w:ascii="Arial" w:hAnsi="Arial" w:cs="Arial"/>
        <w:b/>
        <w:sz w:val="48"/>
      </w:rPr>
    </w:pPr>
    <w:r w:rsidRPr="00057446">
      <w:rPr>
        <w:rFonts w:ascii="Arial" w:hAnsi="Arial" w:cs="Arial"/>
        <w:b/>
        <w:sz w:val="48"/>
      </w:rPr>
      <w:t>FR</w:t>
    </w:r>
    <w:r w:rsidRPr="00057446">
      <w:rPr>
        <w:rFonts w:ascii="Arial" w:hAnsi="Arial" w:cs="Arial"/>
        <w:b/>
        <w:sz w:val="48"/>
      </w:rPr>
      <w:tab/>
    </w:r>
    <w:r w:rsidRPr="00057446">
      <w:rPr>
        <w:rFonts w:ascii="Arial" w:hAnsi="Arial" w:cs="Arial"/>
        <w:b/>
        <w:sz w:val="48"/>
      </w:rPr>
      <w:tab/>
    </w:r>
    <w:r w:rsidRPr="00057446">
      <w:tab/>
    </w:r>
    <w:r w:rsidRPr="0005744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Pr="00057446" w:rsidRDefault="00057446" w:rsidP="00057446">
    <w:pPr>
      <w:pStyle w:val="Footer"/>
      <w:rPr>
        <w:rFonts w:ascii="Arial" w:hAnsi="Arial" w:cs="Arial"/>
        <w:b/>
        <w:sz w:val="48"/>
      </w:rPr>
    </w:pPr>
    <w:r w:rsidRPr="00057446">
      <w:rPr>
        <w:rFonts w:ascii="Arial" w:hAnsi="Arial" w:cs="Arial"/>
        <w:b/>
        <w:sz w:val="48"/>
      </w:rPr>
      <w:t>FR</w:t>
    </w:r>
    <w:r w:rsidRPr="00057446">
      <w:rPr>
        <w:rFonts w:ascii="Arial" w:hAnsi="Arial" w:cs="Arial"/>
        <w:b/>
        <w:sz w:val="48"/>
      </w:rPr>
      <w:tab/>
    </w:r>
    <w:r w:rsidRPr="00057446">
      <w:rPr>
        <w:rFonts w:ascii="Arial" w:hAnsi="Arial" w:cs="Arial"/>
        <w:b/>
        <w:sz w:val="48"/>
      </w:rPr>
      <w:tab/>
    </w:r>
    <w:r w:rsidRPr="00057446">
      <w:tab/>
    </w:r>
    <w:r w:rsidRPr="0005744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Default="000574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Pr="00057446" w:rsidRDefault="00057446" w:rsidP="00057446">
    <w:pPr>
      <w:pStyle w:val="Footer"/>
      <w:rPr>
        <w:rFonts w:ascii="Arial" w:hAnsi="Arial" w:cs="Arial"/>
        <w:b/>
        <w:sz w:val="48"/>
      </w:rPr>
    </w:pPr>
    <w:r w:rsidRPr="00057446">
      <w:rPr>
        <w:rFonts w:ascii="Arial" w:hAnsi="Arial" w:cs="Arial"/>
        <w:b/>
        <w:sz w:val="48"/>
      </w:rPr>
      <w:t>FR</w:t>
    </w:r>
    <w:r w:rsidRPr="00057446">
      <w:rPr>
        <w:rFonts w:ascii="Arial" w:hAnsi="Arial" w:cs="Arial"/>
        <w:b/>
        <w:sz w:val="48"/>
      </w:rPr>
      <w:tab/>
    </w:r>
    <w:r>
      <w:fldChar w:fldCharType="begin"/>
    </w:r>
    <w:r>
      <w:instrText xml:space="preserve"> PAGE  \* MERGEFORMAT </w:instrText>
    </w:r>
    <w:r>
      <w:fldChar w:fldCharType="separate"/>
    </w:r>
    <w:r w:rsidR="004A0F82">
      <w:rPr>
        <w:noProof/>
      </w:rPr>
      <w:t>6</w:t>
    </w:r>
    <w:r>
      <w:fldChar w:fldCharType="end"/>
    </w:r>
    <w:r>
      <w:tab/>
    </w:r>
    <w:r w:rsidRPr="00057446">
      <w:tab/>
    </w:r>
    <w:r w:rsidRPr="0005744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Default="00057446" w:rsidP="00057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866" w:rsidRDefault="006E6866" w:rsidP="00682F00">
      <w:pPr>
        <w:spacing w:before="0" w:after="0"/>
      </w:pPr>
      <w:r>
        <w:separator/>
      </w:r>
    </w:p>
  </w:footnote>
  <w:footnote w:type="continuationSeparator" w:id="0">
    <w:p w:rsidR="006E6866" w:rsidRDefault="006E6866" w:rsidP="00682F00">
      <w:pPr>
        <w:spacing w:before="0" w:after="0"/>
      </w:pPr>
      <w:r>
        <w:continuationSeparator/>
      </w:r>
    </w:p>
  </w:footnote>
  <w:footnote w:id="1">
    <w:p w:rsidR="00E52BFA" w:rsidRPr="00B32DBC" w:rsidRDefault="00E52BFA">
      <w:pPr>
        <w:pStyle w:val="FootnoteText"/>
        <w:rPr>
          <w:lang w:val="fr-BE"/>
        </w:rPr>
      </w:pPr>
      <w:r>
        <w:rPr>
          <w:rStyle w:val="FootnoteReference"/>
        </w:rPr>
        <w:footnoteRef/>
      </w:r>
      <w:r w:rsidRPr="00B32DBC">
        <w:rPr>
          <w:lang w:val="fr-BE"/>
        </w:rPr>
        <w:tab/>
      </w:r>
      <w:bookmarkStart w:id="2" w:name="_Hlk209515231"/>
      <w:r w:rsidRPr="00B32DBC">
        <w:rPr>
          <w:lang w:val="fr-BE"/>
        </w:rPr>
        <w:t>Décision nº 2 du comité «Commerce» UE-Corée du 23 décembre 2011</w:t>
      </w:r>
      <w:bookmarkEnd w:id="2"/>
      <w:r w:rsidRPr="00B32DBC">
        <w:rPr>
          <w:lang w:val="fr-BE"/>
        </w:rPr>
        <w:t xml:space="preserve"> concernant l’établissement d’une liste d’arbitres visée à l’article 14.18 de l’accord de libre-échange entre l’Union européenne et ses États membres, d’une part, et la République de Corée, d’autre part.</w:t>
      </w:r>
    </w:p>
  </w:footnote>
  <w:footnote w:id="2">
    <w:p w:rsidR="00E52BFA" w:rsidRPr="00B32DBC" w:rsidRDefault="00E52BFA">
      <w:pPr>
        <w:pStyle w:val="FootnoteText"/>
        <w:rPr>
          <w:lang w:val="fr-BE"/>
        </w:rPr>
      </w:pPr>
      <w:r>
        <w:rPr>
          <w:rStyle w:val="FootnoteReference"/>
        </w:rPr>
        <w:footnoteRef/>
      </w:r>
      <w:r w:rsidRPr="00B32DBC">
        <w:rPr>
          <w:lang w:val="fr-BE"/>
        </w:rPr>
        <w:tab/>
        <w:t>Décision nº 2/2012 du comité UE-Corée sur le commerce et le développement durable du 27 juin 2012 concernant la création d’un groupe d’experts visé à l’article 13.15 de l’accord de libre-échange entre l’Union européenne et ses États membres, d’une part, et la République de Corée, d’autre part.</w:t>
      </w:r>
    </w:p>
  </w:footnote>
  <w:footnote w:id="3">
    <w:p w:rsidR="00E52BFA" w:rsidRPr="00B32DBC" w:rsidRDefault="00E52BFA">
      <w:pPr>
        <w:pStyle w:val="FootnoteText"/>
        <w:rPr>
          <w:lang w:val="fr-BE"/>
        </w:rPr>
      </w:pPr>
      <w:r>
        <w:rPr>
          <w:rStyle w:val="FootnoteReference"/>
        </w:rPr>
        <w:footnoteRef/>
      </w:r>
      <w:r w:rsidRPr="00B32DBC">
        <w:rPr>
          <w:lang w:val="fr-BE"/>
        </w:rPr>
        <w:tab/>
        <w:t>Décision nº 1/2019 du comité UE-Corée Commerce et développement durable du 30 septembre 2019 concernant une liste révisée d’experts disposés et aptes à faire office de membres d’un groupe d’experts conformément à l’article 13.15 de l’accord.</w:t>
      </w:r>
    </w:p>
  </w:footnote>
  <w:footnote w:id="4">
    <w:p w:rsidR="00682F00" w:rsidRPr="00B32DBC" w:rsidRDefault="00682F00" w:rsidP="00817FA5">
      <w:pPr>
        <w:pStyle w:val="FootnoteText"/>
        <w:rPr>
          <w:lang w:val="fr-BE"/>
        </w:rPr>
      </w:pPr>
      <w:r>
        <w:rPr>
          <w:rStyle w:val="FootnoteReference"/>
        </w:rPr>
        <w:footnoteRef/>
      </w:r>
      <w:r w:rsidRPr="00B32DBC">
        <w:rPr>
          <w:lang w:val="fr-BE"/>
        </w:rPr>
        <w:tab/>
        <w:t xml:space="preserve">Arrêt de la Cour de justice du 7 octobre 2014, Allemagne/Conseil, C-399/12, ECLI:EU:C:2014:2258, points 61 à 64. </w:t>
      </w:r>
    </w:p>
  </w:footnote>
  <w:footnote w:id="5">
    <w:p w:rsidR="00682F00" w:rsidRPr="00B32DBC" w:rsidRDefault="00682F00" w:rsidP="00817FA5">
      <w:pPr>
        <w:pStyle w:val="FootnoteText"/>
        <w:rPr>
          <w:lang w:val="fr-BE"/>
        </w:rPr>
      </w:pPr>
      <w:r>
        <w:rPr>
          <w:rStyle w:val="FootnoteReference"/>
        </w:rPr>
        <w:footnoteRef/>
      </w:r>
      <w:r w:rsidRPr="00B32DBC">
        <w:rPr>
          <w:lang w:val="fr-BE"/>
        </w:rPr>
        <w:tab/>
        <w:t>JO L 127 du 14.5.2011, p. 6.</w:t>
      </w:r>
    </w:p>
  </w:footnote>
  <w:footnote w:id="6">
    <w:p w:rsidR="007B0DAE" w:rsidRPr="00B32DBC" w:rsidRDefault="007B0DAE" w:rsidP="007B0DAE">
      <w:pPr>
        <w:pStyle w:val="FootnoteText"/>
        <w:rPr>
          <w:lang w:val="fr-BE"/>
        </w:rPr>
      </w:pPr>
      <w:r>
        <w:rPr>
          <w:rStyle w:val="FootnoteReference"/>
        </w:rPr>
        <w:footnoteRef/>
      </w:r>
      <w:r w:rsidRPr="00B32DBC">
        <w:rPr>
          <w:lang w:val="fr-BE"/>
        </w:rPr>
        <w:tab/>
        <w:t>Décision nº 2 du comité «Commerce» UE-Corée du 23 décembre 2011 concernant l’établissement d’une liste d’arbitres visée à l’article 14.18 de l’accord de libre-échange entre l’Union européenne et ses États membres, d’une part, et la République de Corée, d’autre part.</w:t>
      </w:r>
    </w:p>
  </w:footnote>
  <w:footnote w:id="7">
    <w:p w:rsidR="006851C6" w:rsidRPr="00B32DBC" w:rsidRDefault="006851C6">
      <w:pPr>
        <w:pStyle w:val="FootnoteText"/>
        <w:rPr>
          <w:lang w:val="fr-BE"/>
        </w:rPr>
      </w:pPr>
      <w:r>
        <w:rPr>
          <w:rStyle w:val="FootnoteReference"/>
        </w:rPr>
        <w:footnoteRef/>
      </w:r>
      <w:r w:rsidRPr="00B32DBC">
        <w:rPr>
          <w:lang w:val="fr-BE"/>
        </w:rPr>
        <w:tab/>
        <w:t>Décision nº 2/2012 du comité UE-Corée sur le commerce et le développement durable du 27 juin 2012 concernant la création d’un groupe d’experts visé à l’article 13.15 de l’accord de libre-échange entre l’Union européenne et ses États membres, d’une part, et la République de Corée, d’autre part.</w:t>
      </w:r>
    </w:p>
  </w:footnote>
  <w:footnote w:id="8">
    <w:p w:rsidR="00E31E41" w:rsidRPr="00E31E41" w:rsidRDefault="00E31E41" w:rsidP="00E31E41">
      <w:pPr>
        <w:pStyle w:val="FootnoteText"/>
        <w:rPr>
          <w:rStyle w:val="FootnoteReference"/>
        </w:rPr>
      </w:pPr>
      <w:r>
        <w:rPr>
          <w:rStyle w:val="FootnoteReference"/>
        </w:rPr>
        <w:footnoteRef/>
      </w:r>
      <w:r>
        <w:tab/>
      </w:r>
      <w:r>
        <w:rPr>
          <w:rStyle w:val="FootnoteReference"/>
          <w:vertAlign w:val="baseline"/>
        </w:rPr>
        <w:t>Décision nº 1/2019 du comité UE-Corée Commerce et développement durable du 30 septembre 2019 concernant une liste révisée d’experts disposés et aptes à faire office de membres d’un groupe d’experts conformément à l’article 13.15 de l’accord.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Default="000574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446" w:rsidRDefault="00057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56: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0CF64E6-F368-4AF5-B3D3-3676639D514C"/>
    <w:docVar w:name="LW_COVERPAGE_TYPE" w:val="1"/>
    <w:docVar w:name="LW_CreatedUtc" w:val="2025-01-30T11:12:20.8982616Z"/>
    <w:docVar w:name="LW_CROSSREFERENCE" w:val="&lt;UNUSED&gt;"/>
    <w:docVar w:name="LW_DocType" w:val="COM"/>
    <w:docVar w:name="LW_EMISSION" w:val="28.5.2026"/>
    <w:docVar w:name="LW_EMISSION_ISODATE" w:val="2026-05-2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7"/>
    <w:docVar w:name="LW_REF.II.NEW.CP_YEAR" w:val="2026"/>
    <w:docVar w:name="LW_REF.INST.NEW" w:val="COM"/>
    <w:docVar w:name="LW_REF.INST.NEW_ADOPTED" w:val="final"/>
    <w:docVar w:name="LW_REF.INST.NEW_TEXT" w:val="(2026) 2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position à prendre, au nom de l\u8217?Union européenne, au sein du comité «Commerce» institué par l\u8217?accord de libre-échange entre l\u8217?Union européenne et ses États membres, d\u8217?une part, et la République de Corée, d\u8217?autre part, en ce qui concerne la révision de la liste des personnes disposées et aptes à faire office d\u8217?arbitres conformément à l\u8217?article 14.18 de l\u8217?accord et la révision de la liste des experts disposés et aptes à faire office de membres d\u8217?un groupe d\u8217?experts conformément à l\u8217?article 13.15 de l\u8217?accord"/>
    <w:docVar w:name="LW_TYPE.DOC.CP" w:val="DÉCISION DU CONSEIL"/>
    <w:docVar w:name="LwApiVersions" w:val="LW4CoDe 1.24.5.0; LW 9.2, Build 20251112"/>
  </w:docVars>
  <w:rsids>
    <w:rsidRoot w:val="00682F00"/>
    <w:rsid w:val="00041A81"/>
    <w:rsid w:val="000439C5"/>
    <w:rsid w:val="00052AC6"/>
    <w:rsid w:val="00057446"/>
    <w:rsid w:val="000666E1"/>
    <w:rsid w:val="00090E4E"/>
    <w:rsid w:val="00095C19"/>
    <w:rsid w:val="000D7220"/>
    <w:rsid w:val="000F2246"/>
    <w:rsid w:val="001065F5"/>
    <w:rsid w:val="001144B5"/>
    <w:rsid w:val="001238EF"/>
    <w:rsid w:val="001472C7"/>
    <w:rsid w:val="001530EE"/>
    <w:rsid w:val="001533C1"/>
    <w:rsid w:val="00154FC6"/>
    <w:rsid w:val="00155ECC"/>
    <w:rsid w:val="00184799"/>
    <w:rsid w:val="00185BFE"/>
    <w:rsid w:val="00186F36"/>
    <w:rsid w:val="001952F9"/>
    <w:rsid w:val="00197613"/>
    <w:rsid w:val="001A2540"/>
    <w:rsid w:val="001A5480"/>
    <w:rsid w:val="001B01FD"/>
    <w:rsid w:val="001C5AE0"/>
    <w:rsid w:val="00216ED0"/>
    <w:rsid w:val="00233DC7"/>
    <w:rsid w:val="00241560"/>
    <w:rsid w:val="00247779"/>
    <w:rsid w:val="00261AB0"/>
    <w:rsid w:val="00285BEE"/>
    <w:rsid w:val="0029533F"/>
    <w:rsid w:val="002A1C9F"/>
    <w:rsid w:val="002A7D6E"/>
    <w:rsid w:val="002B30AF"/>
    <w:rsid w:val="002C2B59"/>
    <w:rsid w:val="002E1A22"/>
    <w:rsid w:val="002F0DE3"/>
    <w:rsid w:val="0030099A"/>
    <w:rsid w:val="0033344A"/>
    <w:rsid w:val="003D2908"/>
    <w:rsid w:val="003D34D1"/>
    <w:rsid w:val="003E78F6"/>
    <w:rsid w:val="003F503E"/>
    <w:rsid w:val="0041322C"/>
    <w:rsid w:val="0041449D"/>
    <w:rsid w:val="0042648E"/>
    <w:rsid w:val="0043173A"/>
    <w:rsid w:val="00433106"/>
    <w:rsid w:val="004477CD"/>
    <w:rsid w:val="00465AD5"/>
    <w:rsid w:val="004936D2"/>
    <w:rsid w:val="004A0F82"/>
    <w:rsid w:val="004F12DE"/>
    <w:rsid w:val="0051700A"/>
    <w:rsid w:val="005360B1"/>
    <w:rsid w:val="005402FC"/>
    <w:rsid w:val="00546E2C"/>
    <w:rsid w:val="005503F5"/>
    <w:rsid w:val="00584AEF"/>
    <w:rsid w:val="005B1EB6"/>
    <w:rsid w:val="005B23AB"/>
    <w:rsid w:val="005B4009"/>
    <w:rsid w:val="005C697E"/>
    <w:rsid w:val="00601CCC"/>
    <w:rsid w:val="0060411E"/>
    <w:rsid w:val="006432C2"/>
    <w:rsid w:val="0064690B"/>
    <w:rsid w:val="00655BD1"/>
    <w:rsid w:val="006714AB"/>
    <w:rsid w:val="00682F00"/>
    <w:rsid w:val="006851C6"/>
    <w:rsid w:val="006A7659"/>
    <w:rsid w:val="006D3B9B"/>
    <w:rsid w:val="006E5247"/>
    <w:rsid w:val="006E6866"/>
    <w:rsid w:val="00710721"/>
    <w:rsid w:val="00770D15"/>
    <w:rsid w:val="00773331"/>
    <w:rsid w:val="007932EF"/>
    <w:rsid w:val="007B0DAE"/>
    <w:rsid w:val="007B2137"/>
    <w:rsid w:val="007D725B"/>
    <w:rsid w:val="007D7346"/>
    <w:rsid w:val="007E05B0"/>
    <w:rsid w:val="007E1617"/>
    <w:rsid w:val="007E5E89"/>
    <w:rsid w:val="007F3497"/>
    <w:rsid w:val="00817FA5"/>
    <w:rsid w:val="00830B1C"/>
    <w:rsid w:val="008333A9"/>
    <w:rsid w:val="0083506D"/>
    <w:rsid w:val="00850E34"/>
    <w:rsid w:val="0085419E"/>
    <w:rsid w:val="00866A43"/>
    <w:rsid w:val="00874D22"/>
    <w:rsid w:val="008936E7"/>
    <w:rsid w:val="008A2914"/>
    <w:rsid w:val="008D4A90"/>
    <w:rsid w:val="008E4D8E"/>
    <w:rsid w:val="008F5A9E"/>
    <w:rsid w:val="00910C2B"/>
    <w:rsid w:val="0091540B"/>
    <w:rsid w:val="00953C1C"/>
    <w:rsid w:val="00977C46"/>
    <w:rsid w:val="00987FB0"/>
    <w:rsid w:val="009901C7"/>
    <w:rsid w:val="00991618"/>
    <w:rsid w:val="009B243E"/>
    <w:rsid w:val="009D11A5"/>
    <w:rsid w:val="009F5C24"/>
    <w:rsid w:val="00A076B5"/>
    <w:rsid w:val="00A21E6F"/>
    <w:rsid w:val="00A733D9"/>
    <w:rsid w:val="00A85D23"/>
    <w:rsid w:val="00B240F5"/>
    <w:rsid w:val="00B32DBC"/>
    <w:rsid w:val="00B37A09"/>
    <w:rsid w:val="00B475C5"/>
    <w:rsid w:val="00B96A53"/>
    <w:rsid w:val="00BA0F86"/>
    <w:rsid w:val="00BB38E0"/>
    <w:rsid w:val="00BD59FA"/>
    <w:rsid w:val="00BE1933"/>
    <w:rsid w:val="00BE50A9"/>
    <w:rsid w:val="00C12301"/>
    <w:rsid w:val="00C57118"/>
    <w:rsid w:val="00C66BAF"/>
    <w:rsid w:val="00C80315"/>
    <w:rsid w:val="00C8209C"/>
    <w:rsid w:val="00CA35E3"/>
    <w:rsid w:val="00CD24BC"/>
    <w:rsid w:val="00CF4AA5"/>
    <w:rsid w:val="00D04951"/>
    <w:rsid w:val="00D20381"/>
    <w:rsid w:val="00D2125B"/>
    <w:rsid w:val="00D271CE"/>
    <w:rsid w:val="00D27714"/>
    <w:rsid w:val="00D467A1"/>
    <w:rsid w:val="00D46AC7"/>
    <w:rsid w:val="00D66842"/>
    <w:rsid w:val="00D8033D"/>
    <w:rsid w:val="00D81D27"/>
    <w:rsid w:val="00D8541E"/>
    <w:rsid w:val="00D90D2B"/>
    <w:rsid w:val="00D915C3"/>
    <w:rsid w:val="00DD0924"/>
    <w:rsid w:val="00DF5283"/>
    <w:rsid w:val="00E10095"/>
    <w:rsid w:val="00E31E41"/>
    <w:rsid w:val="00E32DE2"/>
    <w:rsid w:val="00E45C1C"/>
    <w:rsid w:val="00E52BFA"/>
    <w:rsid w:val="00E62AAF"/>
    <w:rsid w:val="00E64B1A"/>
    <w:rsid w:val="00E96550"/>
    <w:rsid w:val="00ED1ADE"/>
    <w:rsid w:val="00EF15BA"/>
    <w:rsid w:val="00F3747B"/>
    <w:rsid w:val="00F406AC"/>
    <w:rsid w:val="00F412B9"/>
    <w:rsid w:val="00F55849"/>
    <w:rsid w:val="00F656A5"/>
    <w:rsid w:val="00F76A52"/>
    <w:rsid w:val="00F96F37"/>
    <w:rsid w:val="00FB0A80"/>
    <w:rsid w:val="00FB272A"/>
    <w:rsid w:val="00FC38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5:docId w15:val="{196AE9B8-BE74-4FBB-8A64-65ABC0CF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82F00"/>
    <w:pPr>
      <w:numPr>
        <w:numId w:val="2"/>
      </w:numPr>
      <w:tabs>
        <w:tab w:val="num" w:pos="360"/>
      </w:tabs>
      <w:ind w:left="0" w:firstLine="0"/>
    </w:pPr>
    <w:rPr>
      <w:rFonts w:eastAsia="Times New Roman"/>
      <w:lang w:eastAsia="de-DE"/>
    </w:rPr>
  </w:style>
  <w:style w:type="paragraph" w:styleId="ListNumber">
    <w:name w:val="List Number"/>
    <w:basedOn w:val="Normal"/>
    <w:rsid w:val="00682F00"/>
    <w:pPr>
      <w:numPr>
        <w:numId w:val="6"/>
      </w:numPr>
    </w:pPr>
    <w:rPr>
      <w:rFonts w:eastAsia="Times New Roman"/>
      <w:lang w:eastAsia="de-DE"/>
    </w:rPr>
  </w:style>
  <w:style w:type="paragraph" w:customStyle="1" w:styleId="ListBullet1">
    <w:name w:val="List Bullet 1"/>
    <w:basedOn w:val="Normal"/>
    <w:rsid w:val="00682F00"/>
    <w:pPr>
      <w:numPr>
        <w:numId w:val="1"/>
      </w:numPr>
    </w:pPr>
    <w:rPr>
      <w:rFonts w:eastAsia="Times New Roman"/>
      <w:lang w:eastAsia="de-DE"/>
    </w:rPr>
  </w:style>
  <w:style w:type="paragraph" w:customStyle="1" w:styleId="ListDash">
    <w:name w:val="List Dash"/>
    <w:basedOn w:val="Normal"/>
    <w:rsid w:val="00682F00"/>
    <w:pPr>
      <w:numPr>
        <w:numId w:val="3"/>
      </w:numPr>
    </w:pPr>
    <w:rPr>
      <w:rFonts w:eastAsia="Times New Roman"/>
      <w:lang w:eastAsia="de-DE"/>
    </w:rPr>
  </w:style>
  <w:style w:type="paragraph" w:customStyle="1" w:styleId="ListDash1">
    <w:name w:val="List Dash 1"/>
    <w:basedOn w:val="Normal"/>
    <w:rsid w:val="00682F00"/>
    <w:pPr>
      <w:numPr>
        <w:numId w:val="4"/>
      </w:numPr>
    </w:pPr>
    <w:rPr>
      <w:rFonts w:eastAsia="Times New Roman"/>
      <w:lang w:eastAsia="de-DE"/>
    </w:rPr>
  </w:style>
  <w:style w:type="paragraph" w:customStyle="1" w:styleId="ListDash2">
    <w:name w:val="List Dash 2"/>
    <w:basedOn w:val="Normal"/>
    <w:rsid w:val="00682F00"/>
    <w:pPr>
      <w:numPr>
        <w:numId w:val="5"/>
      </w:numPr>
    </w:pPr>
    <w:rPr>
      <w:rFonts w:eastAsia="Times New Roman"/>
      <w:lang w:eastAsia="de-DE"/>
    </w:rPr>
  </w:style>
  <w:style w:type="paragraph" w:customStyle="1" w:styleId="ListNumberLevel2">
    <w:name w:val="List Number (Level 2)"/>
    <w:basedOn w:val="Normal"/>
    <w:rsid w:val="00682F00"/>
    <w:pPr>
      <w:numPr>
        <w:ilvl w:val="1"/>
        <w:numId w:val="6"/>
      </w:numPr>
    </w:pPr>
    <w:rPr>
      <w:rFonts w:eastAsia="Times New Roman"/>
      <w:lang w:eastAsia="de-DE"/>
    </w:rPr>
  </w:style>
  <w:style w:type="paragraph" w:customStyle="1" w:styleId="ListNumberLevel3">
    <w:name w:val="List Number (Level 3)"/>
    <w:basedOn w:val="Normal"/>
    <w:rsid w:val="00682F00"/>
    <w:pPr>
      <w:numPr>
        <w:ilvl w:val="2"/>
        <w:numId w:val="6"/>
      </w:numPr>
    </w:pPr>
    <w:rPr>
      <w:rFonts w:eastAsia="Times New Roman"/>
      <w:lang w:eastAsia="de-DE"/>
    </w:rPr>
  </w:style>
  <w:style w:type="paragraph" w:customStyle="1" w:styleId="ListNumberLevel4">
    <w:name w:val="List Number (Level 4)"/>
    <w:basedOn w:val="Normal"/>
    <w:rsid w:val="00682F00"/>
    <w:pPr>
      <w:numPr>
        <w:ilvl w:val="3"/>
        <w:numId w:val="6"/>
      </w:numPr>
    </w:pPr>
    <w:rPr>
      <w:rFonts w:eastAsia="Times New Roman"/>
      <w:lang w:eastAsia="de-DE"/>
    </w:rPr>
  </w:style>
  <w:style w:type="table" w:styleId="TableGrid">
    <w:name w:val="Table Grid"/>
    <w:basedOn w:val="TableNormal"/>
    <w:rsid w:val="00682F00"/>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82F00"/>
    <w:rPr>
      <w:color w:val="0000FF"/>
      <w:u w:val="single"/>
    </w:rPr>
  </w:style>
  <w:style w:type="paragraph" w:styleId="ListBullet">
    <w:name w:val="List Bullet"/>
    <w:basedOn w:val="Normal"/>
    <w:rsid w:val="00682F00"/>
    <w:pPr>
      <w:numPr>
        <w:numId w:val="7"/>
      </w:numPr>
    </w:pPr>
    <w:rPr>
      <w:rFonts w:eastAsia="Times New Roman"/>
      <w:lang w:eastAsia="en-GB"/>
    </w:rPr>
  </w:style>
  <w:style w:type="paragraph" w:styleId="ListBullet2">
    <w:name w:val="List Bullet 2"/>
    <w:basedOn w:val="Normal"/>
    <w:rsid w:val="00682F00"/>
    <w:pPr>
      <w:numPr>
        <w:numId w:val="8"/>
      </w:numPr>
    </w:pPr>
    <w:rPr>
      <w:rFonts w:eastAsia="Times New Roman"/>
      <w:lang w:eastAsia="en-GB"/>
    </w:rPr>
  </w:style>
  <w:style w:type="paragraph" w:styleId="ListBullet3">
    <w:name w:val="List Bullet 3"/>
    <w:basedOn w:val="Normal"/>
    <w:rsid w:val="00682F00"/>
    <w:pPr>
      <w:numPr>
        <w:numId w:val="9"/>
      </w:numPr>
    </w:pPr>
    <w:rPr>
      <w:rFonts w:eastAsia="Times New Roman"/>
      <w:lang w:eastAsia="en-GB"/>
    </w:rPr>
  </w:style>
  <w:style w:type="paragraph" w:styleId="ListNumber2">
    <w:name w:val="List Number 2"/>
    <w:basedOn w:val="Normal"/>
    <w:rsid w:val="00682F00"/>
    <w:pPr>
      <w:numPr>
        <w:numId w:val="13"/>
      </w:numPr>
    </w:pPr>
    <w:rPr>
      <w:rFonts w:eastAsia="Times New Roman"/>
      <w:lang w:eastAsia="en-GB"/>
    </w:rPr>
  </w:style>
  <w:style w:type="paragraph" w:styleId="ListNumber3">
    <w:name w:val="List Number 3"/>
    <w:basedOn w:val="Normal"/>
    <w:rsid w:val="00682F00"/>
    <w:pPr>
      <w:numPr>
        <w:numId w:val="14"/>
      </w:numPr>
    </w:pPr>
    <w:rPr>
      <w:rFonts w:eastAsia="Times New Roman"/>
      <w:lang w:eastAsia="en-GB"/>
    </w:rPr>
  </w:style>
  <w:style w:type="paragraph" w:styleId="ListNumber4">
    <w:name w:val="List Number 4"/>
    <w:basedOn w:val="Normal"/>
    <w:rsid w:val="00682F00"/>
    <w:pPr>
      <w:numPr>
        <w:numId w:val="15"/>
      </w:numPr>
    </w:pPr>
    <w:rPr>
      <w:rFonts w:eastAsia="Times New Roman"/>
      <w:lang w:eastAsia="en-GB"/>
    </w:rPr>
  </w:style>
  <w:style w:type="paragraph" w:customStyle="1" w:styleId="ListDash3">
    <w:name w:val="List Dash 3"/>
    <w:basedOn w:val="Normal"/>
    <w:rsid w:val="00682F00"/>
    <w:pPr>
      <w:numPr>
        <w:numId w:val="10"/>
      </w:numPr>
    </w:pPr>
    <w:rPr>
      <w:rFonts w:eastAsia="Times New Roman"/>
      <w:lang w:eastAsia="en-GB"/>
    </w:rPr>
  </w:style>
  <w:style w:type="paragraph" w:customStyle="1" w:styleId="ListDash4">
    <w:name w:val="List Dash 4"/>
    <w:basedOn w:val="Normal"/>
    <w:rsid w:val="00682F00"/>
    <w:pPr>
      <w:numPr>
        <w:numId w:val="11"/>
      </w:numPr>
    </w:pPr>
    <w:rPr>
      <w:rFonts w:eastAsia="Times New Roman"/>
      <w:lang w:eastAsia="en-GB"/>
    </w:rPr>
  </w:style>
  <w:style w:type="paragraph" w:customStyle="1" w:styleId="ListNumber1">
    <w:name w:val="List Number 1"/>
    <w:basedOn w:val="Text1"/>
    <w:rsid w:val="00682F00"/>
    <w:pPr>
      <w:numPr>
        <w:numId w:val="12"/>
      </w:numPr>
    </w:pPr>
    <w:rPr>
      <w:rFonts w:eastAsia="Times New Roman"/>
      <w:lang w:eastAsia="en-GB"/>
    </w:rPr>
  </w:style>
  <w:style w:type="paragraph" w:customStyle="1" w:styleId="ListNumber1Level2">
    <w:name w:val="List Number 1 (Level 2)"/>
    <w:basedOn w:val="Text1"/>
    <w:rsid w:val="00682F00"/>
    <w:pPr>
      <w:numPr>
        <w:ilvl w:val="1"/>
        <w:numId w:val="12"/>
      </w:numPr>
    </w:pPr>
    <w:rPr>
      <w:rFonts w:eastAsia="Times New Roman"/>
      <w:lang w:eastAsia="en-GB"/>
    </w:rPr>
  </w:style>
  <w:style w:type="paragraph" w:customStyle="1" w:styleId="ListNumber2Level2">
    <w:name w:val="List Number 2 (Level 2)"/>
    <w:basedOn w:val="Text2"/>
    <w:rsid w:val="00682F00"/>
    <w:pPr>
      <w:numPr>
        <w:ilvl w:val="1"/>
        <w:numId w:val="13"/>
      </w:numPr>
    </w:pPr>
    <w:rPr>
      <w:rFonts w:eastAsia="Times New Roman"/>
      <w:lang w:eastAsia="en-GB"/>
    </w:rPr>
  </w:style>
  <w:style w:type="paragraph" w:customStyle="1" w:styleId="ListNumber3Level2">
    <w:name w:val="List Number 3 (Level 2)"/>
    <w:basedOn w:val="Text3"/>
    <w:rsid w:val="00682F00"/>
    <w:pPr>
      <w:numPr>
        <w:ilvl w:val="1"/>
        <w:numId w:val="14"/>
      </w:numPr>
    </w:pPr>
    <w:rPr>
      <w:rFonts w:eastAsia="Times New Roman"/>
      <w:lang w:eastAsia="en-GB"/>
    </w:rPr>
  </w:style>
  <w:style w:type="paragraph" w:customStyle="1" w:styleId="ListNumber4Level2">
    <w:name w:val="List Number 4 (Level 2)"/>
    <w:basedOn w:val="Text4"/>
    <w:rsid w:val="00682F00"/>
    <w:pPr>
      <w:numPr>
        <w:ilvl w:val="1"/>
        <w:numId w:val="15"/>
      </w:numPr>
    </w:pPr>
    <w:rPr>
      <w:rFonts w:eastAsia="Times New Roman"/>
      <w:lang w:eastAsia="en-GB"/>
    </w:rPr>
  </w:style>
  <w:style w:type="paragraph" w:customStyle="1" w:styleId="ListNumber1Level3">
    <w:name w:val="List Number 1 (Level 3)"/>
    <w:basedOn w:val="Text1"/>
    <w:rsid w:val="00682F00"/>
    <w:pPr>
      <w:numPr>
        <w:ilvl w:val="2"/>
        <w:numId w:val="12"/>
      </w:numPr>
    </w:pPr>
    <w:rPr>
      <w:rFonts w:eastAsia="Times New Roman"/>
      <w:lang w:eastAsia="en-GB"/>
    </w:rPr>
  </w:style>
  <w:style w:type="paragraph" w:customStyle="1" w:styleId="ListNumber2Level3">
    <w:name w:val="List Number 2 (Level 3)"/>
    <w:basedOn w:val="Text2"/>
    <w:rsid w:val="00682F00"/>
    <w:pPr>
      <w:numPr>
        <w:ilvl w:val="2"/>
        <w:numId w:val="13"/>
      </w:numPr>
    </w:pPr>
    <w:rPr>
      <w:rFonts w:eastAsia="Times New Roman"/>
      <w:lang w:eastAsia="en-GB"/>
    </w:rPr>
  </w:style>
  <w:style w:type="paragraph" w:customStyle="1" w:styleId="ListNumber3Level3">
    <w:name w:val="List Number 3 (Level 3)"/>
    <w:basedOn w:val="Text3"/>
    <w:rsid w:val="00682F00"/>
    <w:pPr>
      <w:numPr>
        <w:ilvl w:val="2"/>
        <w:numId w:val="14"/>
      </w:numPr>
    </w:pPr>
    <w:rPr>
      <w:rFonts w:eastAsia="Times New Roman"/>
      <w:lang w:eastAsia="en-GB"/>
    </w:rPr>
  </w:style>
  <w:style w:type="paragraph" w:customStyle="1" w:styleId="ListNumber4Level3">
    <w:name w:val="List Number 4 (Level 3)"/>
    <w:basedOn w:val="Text4"/>
    <w:rsid w:val="00682F00"/>
    <w:pPr>
      <w:numPr>
        <w:ilvl w:val="2"/>
        <w:numId w:val="15"/>
      </w:numPr>
    </w:pPr>
    <w:rPr>
      <w:rFonts w:eastAsia="Times New Roman"/>
      <w:lang w:eastAsia="en-GB"/>
    </w:rPr>
  </w:style>
  <w:style w:type="paragraph" w:customStyle="1" w:styleId="ListNumber1Level4">
    <w:name w:val="List Number 1 (Level 4)"/>
    <w:basedOn w:val="Text1"/>
    <w:rsid w:val="00682F00"/>
    <w:pPr>
      <w:numPr>
        <w:ilvl w:val="3"/>
        <w:numId w:val="12"/>
      </w:numPr>
    </w:pPr>
    <w:rPr>
      <w:rFonts w:eastAsia="Times New Roman"/>
      <w:lang w:eastAsia="en-GB"/>
    </w:rPr>
  </w:style>
  <w:style w:type="paragraph" w:customStyle="1" w:styleId="ListNumber2Level4">
    <w:name w:val="List Number 2 (Level 4)"/>
    <w:basedOn w:val="Text2"/>
    <w:rsid w:val="00682F00"/>
    <w:pPr>
      <w:numPr>
        <w:ilvl w:val="3"/>
        <w:numId w:val="13"/>
      </w:numPr>
    </w:pPr>
    <w:rPr>
      <w:rFonts w:eastAsia="Times New Roman"/>
      <w:lang w:eastAsia="en-GB"/>
    </w:rPr>
  </w:style>
  <w:style w:type="paragraph" w:customStyle="1" w:styleId="ListNumber3Level4">
    <w:name w:val="List Number 3 (Level 4)"/>
    <w:basedOn w:val="Text3"/>
    <w:rsid w:val="00682F00"/>
    <w:pPr>
      <w:numPr>
        <w:ilvl w:val="3"/>
        <w:numId w:val="14"/>
      </w:numPr>
    </w:pPr>
    <w:rPr>
      <w:rFonts w:eastAsia="Times New Roman"/>
      <w:lang w:eastAsia="en-GB"/>
    </w:rPr>
  </w:style>
  <w:style w:type="paragraph" w:customStyle="1" w:styleId="ListNumber4Level4">
    <w:name w:val="List Number 4 (Level 4)"/>
    <w:basedOn w:val="Text4"/>
    <w:rsid w:val="00682F00"/>
    <w:pPr>
      <w:numPr>
        <w:ilvl w:val="3"/>
        <w:numId w:val="15"/>
      </w:numPr>
    </w:pPr>
    <w:rPr>
      <w:rFonts w:eastAsia="Times New Roman"/>
      <w:lang w:eastAsia="en-GB"/>
    </w:rPr>
  </w:style>
  <w:style w:type="paragraph" w:customStyle="1" w:styleId="Annexetitreacte">
    <w:name w:val="Annexe titre (acte)"/>
    <w:basedOn w:val="Normal"/>
    <w:next w:val="Normal"/>
    <w:rsid w:val="00682F00"/>
    <w:pPr>
      <w:jc w:val="center"/>
    </w:pPr>
    <w:rPr>
      <w:rFonts w:eastAsia="Times New Roman"/>
      <w:b/>
      <w:u w:val="single"/>
      <w:lang w:eastAsia="en-GB"/>
    </w:rPr>
  </w:style>
  <w:style w:type="paragraph" w:customStyle="1" w:styleId="Annexetitreexposglobal">
    <w:name w:val="Annexe titre (exposé global)"/>
    <w:basedOn w:val="Normal"/>
    <w:next w:val="Normal"/>
    <w:rsid w:val="00682F00"/>
    <w:pPr>
      <w:jc w:val="center"/>
    </w:pPr>
    <w:rPr>
      <w:rFonts w:eastAsia="Times New Roman"/>
      <w:b/>
      <w:u w:val="single"/>
      <w:lang w:eastAsia="en-GB"/>
    </w:rPr>
  </w:style>
  <w:style w:type="paragraph" w:customStyle="1" w:styleId="Annexetitrefichefinacte">
    <w:name w:val="Annexe titre (fiche fin. acte)"/>
    <w:basedOn w:val="Normal"/>
    <w:next w:val="Normal"/>
    <w:rsid w:val="00682F00"/>
    <w:pPr>
      <w:jc w:val="center"/>
    </w:pPr>
    <w:rPr>
      <w:rFonts w:eastAsia="Times New Roman"/>
      <w:b/>
      <w:u w:val="single"/>
      <w:lang w:eastAsia="en-GB"/>
    </w:rPr>
  </w:style>
  <w:style w:type="paragraph" w:customStyle="1" w:styleId="Annexetitrefichefinglobale">
    <w:name w:val="Annexe titre (fiche fin. globale)"/>
    <w:basedOn w:val="Normal"/>
    <w:next w:val="Normal"/>
    <w:rsid w:val="00682F00"/>
    <w:pPr>
      <w:jc w:val="center"/>
    </w:pPr>
    <w:rPr>
      <w:rFonts w:eastAsia="Times New Roman"/>
      <w:b/>
      <w:u w:val="single"/>
      <w:lang w:eastAsia="en-GB"/>
    </w:rPr>
  </w:style>
  <w:style w:type="paragraph" w:customStyle="1" w:styleId="Annexetitreglobale">
    <w:name w:val="Annexe titre (globale)"/>
    <w:basedOn w:val="Normal"/>
    <w:next w:val="Normal"/>
    <w:rsid w:val="00682F00"/>
    <w:pPr>
      <w:jc w:val="center"/>
    </w:pPr>
    <w:rPr>
      <w:rFonts w:eastAsia="Times New Roman"/>
      <w:b/>
      <w:u w:val="single"/>
      <w:lang w:eastAsia="en-GB"/>
    </w:rPr>
  </w:style>
  <w:style w:type="paragraph" w:customStyle="1" w:styleId="Exposdesmotifstitreglobal">
    <w:name w:val="Exposé des motifs titre (global)"/>
    <w:basedOn w:val="Normal"/>
    <w:next w:val="Normal"/>
    <w:rsid w:val="00682F00"/>
    <w:pPr>
      <w:jc w:val="center"/>
    </w:pPr>
    <w:rPr>
      <w:rFonts w:eastAsia="Times New Roman"/>
      <w:b/>
      <w:u w:val="single"/>
      <w:lang w:eastAsia="en-GB"/>
    </w:rPr>
  </w:style>
  <w:style w:type="paragraph" w:customStyle="1" w:styleId="Langueoriginale">
    <w:name w:val="Langue originale"/>
    <w:basedOn w:val="Normal"/>
    <w:rsid w:val="00682F00"/>
    <w:pPr>
      <w:spacing w:before="360"/>
      <w:jc w:val="center"/>
    </w:pPr>
    <w:rPr>
      <w:rFonts w:eastAsia="Times New Roman"/>
      <w:caps/>
      <w:lang w:eastAsia="en-GB"/>
    </w:rPr>
  </w:style>
  <w:style w:type="paragraph" w:customStyle="1" w:styleId="Phrasefinale">
    <w:name w:val="Phrase finale"/>
    <w:basedOn w:val="Normal"/>
    <w:next w:val="Normal"/>
    <w:rsid w:val="00682F00"/>
    <w:pPr>
      <w:spacing w:before="360" w:after="0"/>
      <w:jc w:val="center"/>
    </w:pPr>
    <w:rPr>
      <w:rFonts w:eastAsia="Times New Roman"/>
      <w:lang w:eastAsia="en-GB"/>
    </w:rPr>
  </w:style>
  <w:style w:type="paragraph" w:customStyle="1" w:styleId="Prliminairetitre">
    <w:name w:val="Préliminaire titre"/>
    <w:basedOn w:val="Normal"/>
    <w:next w:val="Normal"/>
    <w:rsid w:val="00682F00"/>
    <w:pPr>
      <w:spacing w:before="360" w:after="360"/>
      <w:jc w:val="center"/>
    </w:pPr>
    <w:rPr>
      <w:rFonts w:eastAsia="Times New Roman"/>
      <w:b/>
      <w:lang w:eastAsia="en-GB"/>
    </w:rPr>
  </w:style>
  <w:style w:type="paragraph" w:customStyle="1" w:styleId="Prliminairetype">
    <w:name w:val="Préliminaire type"/>
    <w:basedOn w:val="Normal"/>
    <w:next w:val="Normal"/>
    <w:rsid w:val="00682F00"/>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682F00"/>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682F00"/>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682F00"/>
    <w:pPr>
      <w:spacing w:before="0" w:after="0"/>
      <w:ind w:left="5103"/>
      <w:jc w:val="left"/>
    </w:pPr>
    <w:rPr>
      <w:rFonts w:eastAsia="Times New Roman"/>
      <w:lang w:eastAsia="en-GB"/>
    </w:rPr>
  </w:style>
  <w:style w:type="paragraph" w:customStyle="1" w:styleId="Sous-titreobjetprliminaire">
    <w:name w:val="Sous-titre objet (préliminaire)"/>
    <w:basedOn w:val="Normal"/>
    <w:rsid w:val="00682F00"/>
    <w:pPr>
      <w:spacing w:before="0" w:after="0"/>
      <w:jc w:val="center"/>
    </w:pPr>
    <w:rPr>
      <w:rFonts w:eastAsia="Times New Roman"/>
      <w:b/>
      <w:lang w:eastAsia="en-GB"/>
    </w:rPr>
  </w:style>
  <w:style w:type="paragraph" w:customStyle="1" w:styleId="Statutprliminaire">
    <w:name w:val="Statut (préliminaire)"/>
    <w:basedOn w:val="Normal"/>
    <w:next w:val="Normal"/>
    <w:rsid w:val="00682F00"/>
    <w:pPr>
      <w:spacing w:before="360" w:after="0"/>
      <w:jc w:val="center"/>
    </w:pPr>
    <w:rPr>
      <w:rFonts w:eastAsia="Times New Roman"/>
      <w:lang w:eastAsia="en-GB"/>
    </w:rPr>
  </w:style>
  <w:style w:type="paragraph" w:customStyle="1" w:styleId="Titreobjetprliminaire">
    <w:name w:val="Titre objet (préliminaire)"/>
    <w:basedOn w:val="Normal"/>
    <w:next w:val="Normal"/>
    <w:rsid w:val="00682F00"/>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682F00"/>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682F00"/>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682F00"/>
    <w:pPr>
      <w:jc w:val="center"/>
    </w:pPr>
    <w:rPr>
      <w:rFonts w:eastAsia="Times New Roman"/>
      <w:b/>
      <w:u w:val="single"/>
      <w:lang w:eastAsia="en-GB"/>
    </w:rPr>
  </w:style>
  <w:style w:type="paragraph" w:customStyle="1" w:styleId="Fichefinanciretravailtitre">
    <w:name w:val="Fiche financière (travail) titre"/>
    <w:basedOn w:val="Normal"/>
    <w:next w:val="Normal"/>
    <w:rsid w:val="00682F00"/>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682F00"/>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682F00"/>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682F00"/>
    <w:pPr>
      <w:jc w:val="center"/>
    </w:pPr>
    <w:rPr>
      <w:rFonts w:eastAsia="Times New Roman"/>
      <w:b/>
      <w:u w:val="single"/>
      <w:lang w:eastAsia="en-GB"/>
    </w:rPr>
  </w:style>
  <w:style w:type="character" w:styleId="CommentReference">
    <w:name w:val="annotation reference"/>
    <w:rsid w:val="00682F00"/>
    <w:rPr>
      <w:rFonts w:cs="Times New Roman"/>
      <w:sz w:val="16"/>
      <w:szCs w:val="16"/>
    </w:rPr>
  </w:style>
  <w:style w:type="paragraph" w:styleId="CommentText">
    <w:name w:val="annotation text"/>
    <w:basedOn w:val="Normal"/>
    <w:link w:val="CommentTextChar"/>
    <w:rsid w:val="00682F00"/>
    <w:rPr>
      <w:rFonts w:eastAsia="Times New Roman"/>
      <w:sz w:val="20"/>
      <w:szCs w:val="20"/>
      <w:lang w:eastAsia="en-GB"/>
    </w:rPr>
  </w:style>
  <w:style w:type="character" w:customStyle="1" w:styleId="CommentTextChar">
    <w:name w:val="Comment Text Char"/>
    <w:basedOn w:val="DefaultParagraphFont"/>
    <w:link w:val="CommentText"/>
    <w:rsid w:val="00682F00"/>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682F00"/>
    <w:rPr>
      <w:b/>
      <w:bCs/>
    </w:rPr>
  </w:style>
  <w:style w:type="character" w:customStyle="1" w:styleId="CommentSubjectChar">
    <w:name w:val="Comment Subject Char"/>
    <w:basedOn w:val="CommentTextChar"/>
    <w:link w:val="CommentSubject"/>
    <w:rsid w:val="00682F00"/>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682F00"/>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682F00"/>
    <w:rPr>
      <w:rFonts w:ascii="Tahoma" w:eastAsia="Times New Roman" w:hAnsi="Tahoma" w:cs="Tahoma"/>
      <w:sz w:val="16"/>
      <w:szCs w:val="16"/>
      <w:lang w:val="fr-FR" w:eastAsia="en-GB"/>
    </w:rPr>
  </w:style>
  <w:style w:type="paragraph" w:styleId="Caption">
    <w:name w:val="caption"/>
    <w:basedOn w:val="Normal"/>
    <w:next w:val="Normal"/>
    <w:qFormat/>
    <w:rsid w:val="00682F00"/>
    <w:rPr>
      <w:rFonts w:eastAsia="Times New Roman"/>
      <w:b/>
      <w:bCs/>
      <w:sz w:val="20"/>
      <w:szCs w:val="20"/>
      <w:lang w:eastAsia="en-GB"/>
    </w:rPr>
  </w:style>
  <w:style w:type="paragraph" w:styleId="TableofFigures">
    <w:name w:val="table of figures"/>
    <w:basedOn w:val="Normal"/>
    <w:next w:val="Normal"/>
    <w:rsid w:val="00682F00"/>
    <w:rPr>
      <w:rFonts w:eastAsia="Times New Roman"/>
      <w:lang w:eastAsia="en-GB"/>
    </w:rPr>
  </w:style>
  <w:style w:type="character" w:styleId="PageNumber">
    <w:name w:val="page number"/>
    <w:rsid w:val="00682F00"/>
  </w:style>
  <w:style w:type="character" w:customStyle="1" w:styleId="tw4winMark">
    <w:name w:val="tw4winMark"/>
    <w:rsid w:val="00682F00"/>
    <w:rPr>
      <w:vanish/>
      <w:color w:val="800080"/>
      <w:vertAlign w:val="subscript"/>
    </w:rPr>
  </w:style>
  <w:style w:type="character" w:styleId="FollowedHyperlink">
    <w:name w:val="FollowedHyperlink"/>
    <w:rsid w:val="00682F00"/>
    <w:rPr>
      <w:color w:val="800080"/>
      <w:u w:val="single"/>
    </w:rPr>
  </w:style>
  <w:style w:type="paragraph" w:customStyle="1" w:styleId="Sous-titreobjet">
    <w:name w:val="Sous-titre objet"/>
    <w:basedOn w:val="Normal"/>
    <w:rsid w:val="00682F0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82F00"/>
  </w:style>
  <w:style w:type="paragraph" w:styleId="Revision">
    <w:name w:val="Revision"/>
    <w:hidden/>
    <w:uiPriority w:val="99"/>
    <w:semiHidden/>
    <w:rsid w:val="00682F00"/>
    <w:rPr>
      <w:rFonts w:ascii="Calibri" w:eastAsia="Calibri" w:hAnsi="Calibri" w:cs="Times New Roman"/>
      <w:sz w:val="24"/>
      <w:lang w:eastAsia="en-GB"/>
    </w:rPr>
  </w:style>
  <w:style w:type="paragraph" w:customStyle="1" w:styleId="FooterCoverPage">
    <w:name w:val="Footer Cover Page"/>
    <w:basedOn w:val="Normal"/>
    <w:link w:val="FooterCoverPageChar"/>
    <w:rsid w:val="00682F0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82F00"/>
    <w:rPr>
      <w:rFonts w:ascii="Times New Roman" w:hAnsi="Times New Roman" w:cs="Times New Roman"/>
      <w:b/>
      <w:sz w:val="28"/>
      <w:lang w:val="fr-FR"/>
    </w:rPr>
  </w:style>
  <w:style w:type="character" w:customStyle="1" w:styleId="FooterCoverPageChar">
    <w:name w:val="Footer Cover Page Char"/>
    <w:link w:val="FooterCoverPage"/>
    <w:rsid w:val="00682F00"/>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682F0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82F00"/>
    <w:rPr>
      <w:rFonts w:ascii="Times New Roman" w:eastAsia="Calibri" w:hAnsi="Times New Roman" w:cs="Times New Roman"/>
      <w:sz w:val="24"/>
      <w:lang w:val="fr-FR" w:eastAsia="en-GB"/>
    </w:rPr>
  </w:style>
  <w:style w:type="character" w:customStyle="1" w:styleId="FooterSensitivityChar">
    <w:name w:val="Footer Sensitivity Char"/>
    <w:rsid w:val="00682F00"/>
    <w:rPr>
      <w:rFonts w:ascii="Times New Roman" w:hAnsi="Times New Roman" w:cs="Times New Roman"/>
      <w:b/>
      <w:sz w:val="32"/>
      <w:lang w:val="fr-FR"/>
    </w:rPr>
  </w:style>
  <w:style w:type="character" w:customStyle="1" w:styleId="HeaderSensitivityChar">
    <w:name w:val="Header Sensitivity Char"/>
    <w:rsid w:val="00682F00"/>
    <w:rPr>
      <w:rFonts w:ascii="Times New Roman" w:hAnsi="Times New Roman" w:cs="Times New Roman"/>
      <w:b/>
      <w:sz w:val="32"/>
      <w:lang w:val="fr-FR"/>
    </w:rPr>
  </w:style>
  <w:style w:type="character" w:customStyle="1" w:styleId="HeaderSensitivityRightChar">
    <w:name w:val="Header Sensitivity Right Char"/>
    <w:rsid w:val="00682F00"/>
    <w:rPr>
      <w:rFonts w:ascii="Times New Roman" w:hAnsi="Times New Roman" w:cs="Times New Roman"/>
      <w:sz w:val="28"/>
      <w:lang w:val="fr-FR"/>
    </w:rPr>
  </w:style>
  <w:style w:type="paragraph" w:customStyle="1" w:styleId="LegalNumPar">
    <w:name w:val="LegalNumPar"/>
    <w:basedOn w:val="Normal"/>
    <w:rsid w:val="00682F00"/>
    <w:pPr>
      <w:numPr>
        <w:numId w:val="16"/>
      </w:numPr>
      <w:spacing w:line="360" w:lineRule="auto"/>
    </w:pPr>
    <w:rPr>
      <w:rFonts w:eastAsia="Times New Roman"/>
      <w:lang w:eastAsia="en-GB"/>
    </w:rPr>
  </w:style>
  <w:style w:type="paragraph" w:customStyle="1" w:styleId="LegalNumPar2">
    <w:name w:val="LegalNumPar2"/>
    <w:basedOn w:val="Normal"/>
    <w:rsid w:val="00682F00"/>
    <w:pPr>
      <w:numPr>
        <w:ilvl w:val="1"/>
        <w:numId w:val="16"/>
      </w:numPr>
      <w:spacing w:line="360" w:lineRule="auto"/>
    </w:pPr>
    <w:rPr>
      <w:rFonts w:eastAsia="Times New Roman"/>
      <w:lang w:eastAsia="en-GB"/>
    </w:rPr>
  </w:style>
  <w:style w:type="paragraph" w:customStyle="1" w:styleId="LegalNumPar3">
    <w:name w:val="LegalNumPar3"/>
    <w:basedOn w:val="Normal"/>
    <w:rsid w:val="00682F00"/>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682F0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682F00"/>
    <w:rPr>
      <w:color w:val="605E5C"/>
      <w:shd w:val="clear" w:color="auto" w:fill="E1DFDD"/>
    </w:rPr>
  </w:style>
  <w:style w:type="character" w:styleId="Strong">
    <w:name w:val="Strong"/>
    <w:basedOn w:val="DefaultParagraphFont"/>
    <w:qFormat/>
    <w:rsid w:val="00682F00"/>
    <w:rPr>
      <w:b/>
      <w:bCs/>
    </w:rPr>
  </w:style>
  <w:style w:type="character" w:styleId="Emphasis">
    <w:name w:val="Emphasis"/>
    <w:basedOn w:val="DefaultParagraphFont"/>
    <w:qFormat/>
    <w:rsid w:val="00682F00"/>
    <w:rPr>
      <w:i/>
      <w:iCs/>
    </w:rPr>
  </w:style>
  <w:style w:type="character" w:customStyle="1" w:styleId="Mention">
    <w:name w:val="Mention"/>
    <w:basedOn w:val="DefaultParagraphFont"/>
    <w:uiPriority w:val="99"/>
    <w:unhideWhenUsed/>
    <w:rsid w:val="00682F00"/>
    <w:rPr>
      <w:color w:val="2B579A"/>
      <w:shd w:val="clear" w:color="auto" w:fill="E1DFDD"/>
    </w:rPr>
  </w:style>
  <w:style w:type="character" w:customStyle="1" w:styleId="normaltextrun">
    <w:name w:val="normaltextrun"/>
    <w:basedOn w:val="DefaultParagraphFont"/>
    <w:rsid w:val="00682F00"/>
  </w:style>
  <w:style w:type="character" w:customStyle="1" w:styleId="eop">
    <w:name w:val="eop"/>
    <w:basedOn w:val="DefaultParagraphFont"/>
    <w:rsid w:val="00682F00"/>
  </w:style>
  <w:style w:type="character" w:customStyle="1" w:styleId="HeaderChar">
    <w:name w:val="Header Char"/>
    <w:basedOn w:val="DefaultParagraphFont"/>
    <w:link w:val="Header"/>
    <w:uiPriority w:val="99"/>
    <w:rsid w:val="00057446"/>
    <w:rPr>
      <w:rFonts w:ascii="Times New Roman" w:hAnsi="Times New Roman" w:cs="Times New Roman"/>
      <w:sz w:val="24"/>
      <w:lang w:val="fr-FR"/>
    </w:rPr>
  </w:style>
  <w:style w:type="character" w:customStyle="1" w:styleId="FooterChar">
    <w:name w:val="Footer Char"/>
    <w:basedOn w:val="DefaultParagraphFont"/>
    <w:link w:val="Footer"/>
    <w:uiPriority w:val="99"/>
    <w:rsid w:val="0005744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5744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57446"/>
    <w:pPr>
      <w:spacing w:before="0"/>
      <w:jc w:val="right"/>
    </w:pPr>
    <w:rPr>
      <w:sz w:val="28"/>
    </w:rPr>
  </w:style>
  <w:style w:type="paragraph" w:customStyle="1" w:styleId="FooterSensitivity">
    <w:name w:val="Footer Sensitivity"/>
    <w:basedOn w:val="Normal"/>
    <w:rsid w:val="0005744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57446"/>
    <w:pPr>
      <w:tabs>
        <w:tab w:val="center" w:pos="4535"/>
        <w:tab w:val="right" w:pos="9071"/>
      </w:tabs>
      <w:spacing w:before="0"/>
    </w:pPr>
  </w:style>
  <w:style w:type="paragraph" w:customStyle="1" w:styleId="HeaderLandscape">
    <w:name w:val="HeaderLandscape"/>
    <w:basedOn w:val="Normal"/>
    <w:rsid w:val="00057446"/>
    <w:pPr>
      <w:tabs>
        <w:tab w:val="center" w:pos="7285"/>
        <w:tab w:val="right" w:pos="14003"/>
      </w:tabs>
      <w:spacing w:before="0"/>
    </w:pPr>
  </w:style>
  <w:style w:type="paragraph" w:styleId="Footer">
    <w:name w:val="footer"/>
    <w:basedOn w:val="Normal"/>
    <w:link w:val="FooterChar"/>
    <w:uiPriority w:val="99"/>
    <w:unhideWhenUsed/>
    <w:rsid w:val="0005744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5744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468748">
      <w:bodyDiv w:val="1"/>
      <w:marLeft w:val="0"/>
      <w:marRight w:val="0"/>
      <w:marTop w:val="0"/>
      <w:marBottom w:val="0"/>
      <w:divBdr>
        <w:top w:val="none" w:sz="0" w:space="0" w:color="auto"/>
        <w:left w:val="none" w:sz="0" w:space="0" w:color="auto"/>
        <w:bottom w:val="none" w:sz="0" w:space="0" w:color="auto"/>
        <w:right w:val="none" w:sz="0" w:space="0" w:color="auto"/>
      </w:divBdr>
      <w:divsChild>
        <w:div w:id="422385948">
          <w:marLeft w:val="0"/>
          <w:marRight w:val="0"/>
          <w:marTop w:val="0"/>
          <w:marBottom w:val="0"/>
          <w:divBdr>
            <w:top w:val="none" w:sz="0" w:space="0" w:color="auto"/>
            <w:left w:val="none" w:sz="0" w:space="0" w:color="auto"/>
            <w:bottom w:val="none" w:sz="0" w:space="0" w:color="auto"/>
            <w:right w:val="none" w:sz="0" w:space="0" w:color="auto"/>
          </w:divBdr>
          <w:divsChild>
            <w:div w:id="740903275">
              <w:marLeft w:val="0"/>
              <w:marRight w:val="0"/>
              <w:marTop w:val="0"/>
              <w:marBottom w:val="0"/>
              <w:divBdr>
                <w:top w:val="none" w:sz="0" w:space="0" w:color="auto"/>
                <w:left w:val="none" w:sz="0" w:space="0" w:color="auto"/>
                <w:bottom w:val="none" w:sz="0" w:space="0" w:color="auto"/>
                <w:right w:val="none" w:sz="0" w:space="0" w:color="auto"/>
              </w:divBdr>
              <w:divsChild>
                <w:div w:id="467472927">
                  <w:marLeft w:val="0"/>
                  <w:marRight w:val="0"/>
                  <w:marTop w:val="0"/>
                  <w:marBottom w:val="0"/>
                  <w:divBdr>
                    <w:top w:val="none" w:sz="0" w:space="0" w:color="auto"/>
                    <w:left w:val="none" w:sz="0" w:space="0" w:color="auto"/>
                    <w:bottom w:val="none" w:sz="0" w:space="0" w:color="auto"/>
                    <w:right w:val="none" w:sz="0" w:space="0" w:color="auto"/>
                  </w:divBdr>
                  <w:divsChild>
                    <w:div w:id="442501285">
                      <w:marLeft w:val="0"/>
                      <w:marRight w:val="0"/>
                      <w:marTop w:val="0"/>
                      <w:marBottom w:val="0"/>
                      <w:divBdr>
                        <w:top w:val="none" w:sz="0" w:space="0" w:color="auto"/>
                        <w:left w:val="none" w:sz="0" w:space="0" w:color="auto"/>
                        <w:bottom w:val="none" w:sz="0" w:space="0" w:color="auto"/>
                        <w:right w:val="none" w:sz="0" w:space="0" w:color="auto"/>
                      </w:divBdr>
                      <w:divsChild>
                        <w:div w:id="7266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554549">
      <w:bodyDiv w:val="1"/>
      <w:marLeft w:val="0"/>
      <w:marRight w:val="0"/>
      <w:marTop w:val="0"/>
      <w:marBottom w:val="0"/>
      <w:divBdr>
        <w:top w:val="none" w:sz="0" w:space="0" w:color="auto"/>
        <w:left w:val="none" w:sz="0" w:space="0" w:color="auto"/>
        <w:bottom w:val="none" w:sz="0" w:space="0" w:color="auto"/>
        <w:right w:val="none" w:sz="0" w:space="0" w:color="auto"/>
      </w:divBdr>
      <w:divsChild>
        <w:div w:id="124977235">
          <w:marLeft w:val="0"/>
          <w:marRight w:val="0"/>
          <w:marTop w:val="0"/>
          <w:marBottom w:val="0"/>
          <w:divBdr>
            <w:top w:val="none" w:sz="0" w:space="0" w:color="auto"/>
            <w:left w:val="none" w:sz="0" w:space="0" w:color="auto"/>
            <w:bottom w:val="none" w:sz="0" w:space="0" w:color="auto"/>
            <w:right w:val="none" w:sz="0" w:space="0" w:color="auto"/>
          </w:divBdr>
          <w:divsChild>
            <w:div w:id="528221998">
              <w:marLeft w:val="0"/>
              <w:marRight w:val="0"/>
              <w:marTop w:val="0"/>
              <w:marBottom w:val="0"/>
              <w:divBdr>
                <w:top w:val="none" w:sz="0" w:space="0" w:color="auto"/>
                <w:left w:val="none" w:sz="0" w:space="0" w:color="auto"/>
                <w:bottom w:val="none" w:sz="0" w:space="0" w:color="auto"/>
                <w:right w:val="none" w:sz="0" w:space="0" w:color="auto"/>
              </w:divBdr>
              <w:divsChild>
                <w:div w:id="1352533977">
                  <w:marLeft w:val="0"/>
                  <w:marRight w:val="0"/>
                  <w:marTop w:val="0"/>
                  <w:marBottom w:val="0"/>
                  <w:divBdr>
                    <w:top w:val="none" w:sz="0" w:space="0" w:color="auto"/>
                    <w:left w:val="none" w:sz="0" w:space="0" w:color="auto"/>
                    <w:bottom w:val="none" w:sz="0" w:space="0" w:color="auto"/>
                    <w:right w:val="none" w:sz="0" w:space="0" w:color="auto"/>
                  </w:divBdr>
                  <w:divsChild>
                    <w:div w:id="957176537">
                      <w:marLeft w:val="0"/>
                      <w:marRight w:val="0"/>
                      <w:marTop w:val="0"/>
                      <w:marBottom w:val="0"/>
                      <w:divBdr>
                        <w:top w:val="none" w:sz="0" w:space="0" w:color="auto"/>
                        <w:left w:val="none" w:sz="0" w:space="0" w:color="auto"/>
                        <w:bottom w:val="none" w:sz="0" w:space="0" w:color="auto"/>
                        <w:right w:val="none" w:sz="0" w:space="0" w:color="auto"/>
                      </w:divBdr>
                      <w:divsChild>
                        <w:div w:id="6277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05180-6D64-41E0-8B86-642B30BB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7</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2026-05-11T17:51:00Z</dcterms:created>
  <dcterms:modified xsi:type="dcterms:W3CDTF">2026-05-20T12:56:00Z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2025-02-27T16:42:18Z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f7f7b47f-d98a-4435-a1ad-dc4b2b208ff4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