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Pr="00CD78A3" w:rsidRDefault="00B20153" w:rsidP="00B2015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D05C4B-9C1F-4C3D-A541-722F6E366D89" style="width:455.25pt;height:411.75pt">
            <v:imagedata r:id="rId8" o:title=""/>
          </v:shape>
        </w:pict>
      </w:r>
    </w:p>
    <w:p w:rsidR="00682F00" w:rsidRPr="00CD78A3" w:rsidRDefault="00682F00" w:rsidP="00682F00">
      <w:pPr>
        <w:rPr>
          <w:noProof/>
        </w:rPr>
        <w:sectPr w:rsidR="00682F00" w:rsidRPr="00CD78A3" w:rsidSect="00B20153">
          <w:footerReference w:type="even" r:id="rId9"/>
          <w:footerReference w:type="default" r:id="rId10"/>
          <w:pgSz w:w="11907" w:h="16839"/>
          <w:pgMar w:top="1134" w:right="1417" w:bottom="1134" w:left="1417" w:header="709" w:footer="709" w:gutter="0"/>
          <w:pgNumType w:start="0"/>
          <w:cols w:space="720"/>
          <w:docGrid w:linePitch="360"/>
        </w:sectPr>
      </w:pPr>
    </w:p>
    <w:p w:rsidR="00682F00" w:rsidRPr="00CD78A3" w:rsidRDefault="00682F00" w:rsidP="00817FA5">
      <w:pPr>
        <w:pStyle w:val="Exposdesmotifstitre"/>
        <w:rPr>
          <w:noProof/>
        </w:rPr>
      </w:pPr>
      <w:bookmarkStart w:id="0" w:name="_GoBack"/>
      <w:bookmarkEnd w:id="0"/>
      <w:r w:rsidRPr="00CD78A3">
        <w:rPr>
          <w:noProof/>
        </w:rPr>
        <w:lastRenderedPageBreak/>
        <w:t>EXPUNERE DE MOTIVE</w:t>
      </w:r>
    </w:p>
    <w:p w:rsidR="00682F00" w:rsidRPr="00CD78A3" w:rsidRDefault="00682F00" w:rsidP="00ED1ADE">
      <w:pPr>
        <w:pStyle w:val="ManualHeading1"/>
        <w:rPr>
          <w:rFonts w:eastAsia="Arial Unicode MS"/>
          <w:noProof/>
        </w:rPr>
      </w:pPr>
      <w:r>
        <w:rPr>
          <w:noProof/>
        </w:rPr>
        <w:t>1.</w:t>
      </w:r>
      <w:r>
        <w:rPr>
          <w:noProof/>
        </w:rPr>
        <w:tab/>
      </w:r>
      <w:r w:rsidRPr="00CD78A3">
        <w:rPr>
          <w:noProof/>
        </w:rPr>
        <w:t>Obiectul propunerii</w:t>
      </w:r>
    </w:p>
    <w:p w:rsidR="00682F00" w:rsidRPr="00CD78A3" w:rsidRDefault="00682F00" w:rsidP="00817FA5">
      <w:pPr>
        <w:rPr>
          <w:rFonts w:eastAsia="Arial Unicode MS"/>
          <w:noProof/>
        </w:rPr>
      </w:pPr>
      <w:r w:rsidRPr="00CD78A3">
        <w:rPr>
          <w:noProof/>
        </w:rPr>
        <w:t>Prezenta propunere se referă la Decizia de stabilire a poziției care urmează să fie adoptată în numele Uniunii Europene în cadrul Comitetului pentru comerț instituit prin</w:t>
      </w:r>
      <w:bookmarkStart w:id="1" w:name="_Hlk201222973"/>
      <w:r w:rsidRPr="00CD78A3">
        <w:rPr>
          <w:noProof/>
        </w:rPr>
        <w:t xml:space="preserve"> Acordul de liber schimb dintre Uniunea Europeană și statele membre ale acesteia, pe de o parte, și Republica Coreea, pe de altă parte</w:t>
      </w:r>
      <w:bookmarkEnd w:id="1"/>
      <w:r w:rsidRPr="00CD78A3">
        <w:rPr>
          <w:noProof/>
        </w:rPr>
        <w:t xml:space="preserve"> (denumit în continuare „acordul”), în ceea ce privește adoptarea preconizată a două decizii ale Comitetului pentru comerț referitoare la revizuirea listei persoanelor care doresc și sunt în măsură să ocupe funcția de arbitru în conformitate cu articolul 14.18 din acord (procedura generală de soluționare a litigiilor) și la revizuirea listei experților care doresc și sunt în măsură să acționeze în calitate de membri ai grupului de experți în conformitate cu articolul 13.15 din acord (procedura de soluționare a litigiilor în temeiul dispozițiilor privind comerțul și dezvoltarea durabilă).</w:t>
      </w:r>
    </w:p>
    <w:p w:rsidR="00682F00" w:rsidRPr="00CD78A3" w:rsidRDefault="00682F00" w:rsidP="00817FA5">
      <w:pPr>
        <w:pStyle w:val="ManualHeading1"/>
        <w:rPr>
          <w:noProof/>
        </w:rPr>
      </w:pPr>
      <w:r>
        <w:rPr>
          <w:noProof/>
        </w:rPr>
        <w:t>2.</w:t>
      </w:r>
      <w:r>
        <w:rPr>
          <w:noProof/>
        </w:rPr>
        <w:tab/>
      </w:r>
      <w:r w:rsidRPr="00CD78A3">
        <w:rPr>
          <w:noProof/>
        </w:rPr>
        <w:t>Contextul propunerii</w:t>
      </w:r>
    </w:p>
    <w:p w:rsidR="00682F00" w:rsidRPr="00CD78A3" w:rsidRDefault="00682F00" w:rsidP="00817FA5">
      <w:pPr>
        <w:pStyle w:val="ManualHeading2"/>
        <w:rPr>
          <w:noProof/>
        </w:rPr>
      </w:pPr>
      <w:r>
        <w:rPr>
          <w:noProof/>
        </w:rPr>
        <w:t>2.1.</w:t>
      </w:r>
      <w:r>
        <w:rPr>
          <w:noProof/>
        </w:rPr>
        <w:tab/>
      </w:r>
      <w:r w:rsidRPr="00CD78A3">
        <w:rPr>
          <w:noProof/>
        </w:rPr>
        <w:t>Acordul de liber schimb dintre Uniunea Europeană și statele membre ale acesteia, pe de o parte, și Republica Coreea, pe de altă parte</w:t>
      </w:r>
    </w:p>
    <w:p w:rsidR="00682F00" w:rsidRPr="00CD78A3" w:rsidRDefault="00682F00" w:rsidP="00FB272A">
      <w:pPr>
        <w:rPr>
          <w:rFonts w:eastAsia="Arial Unicode MS"/>
          <w:noProof/>
          <w:color w:val="0000FF"/>
        </w:rPr>
      </w:pPr>
      <w:r w:rsidRPr="00CD78A3">
        <w:rPr>
          <w:noProof/>
        </w:rPr>
        <w:t xml:space="preserve">Acordul, care s-a aplicat cu titlu provizoriu începând din iulie 2011 și a intrat în vigoare la 13 decembrie 2015, vizează liberalizarea și facilitarea comerțului cu bunuri și servicii între părțile la acord (denumite în continuare „părțile”); promovarea concurenței economice; deschiderea reciprocă a piețelor de achiziții publice; protejarea drepturilor de proprietate intelectuală; consolidarea comerțului mondial prin eliminarea barierelor și încurajarea investițiilor; promovarea dezvoltării durabile în cadrul practicilor comerciale internaționale; și promovarea investițiilor străine directe fără a compromite standardele de mediu, de muncă sau de sănătate și siguranță. În cazul unor litigii între părți, acordul prevede proceduri specifice de soluționare a litigiilor pentru soluționarea cazului. </w:t>
      </w:r>
    </w:p>
    <w:p w:rsidR="00682F00" w:rsidRPr="00CD78A3" w:rsidRDefault="00682F00" w:rsidP="00817FA5">
      <w:pPr>
        <w:pStyle w:val="ManualHeading2"/>
        <w:rPr>
          <w:noProof/>
        </w:rPr>
      </w:pPr>
      <w:r>
        <w:rPr>
          <w:noProof/>
        </w:rPr>
        <w:t>2.2.</w:t>
      </w:r>
      <w:r>
        <w:rPr>
          <w:noProof/>
        </w:rPr>
        <w:tab/>
      </w:r>
      <w:r w:rsidRPr="00CD78A3">
        <w:rPr>
          <w:noProof/>
        </w:rPr>
        <w:t xml:space="preserve">Comitetul pentru comerț </w:t>
      </w:r>
    </w:p>
    <w:p w:rsidR="00C66BAF" w:rsidRPr="00CD78A3" w:rsidRDefault="00682F00" w:rsidP="00C66BAF">
      <w:pPr>
        <w:rPr>
          <w:rFonts w:eastAsia="Arial Unicode MS"/>
          <w:noProof/>
        </w:rPr>
      </w:pPr>
      <w:r w:rsidRPr="00CD78A3">
        <w:rPr>
          <w:noProof/>
        </w:rPr>
        <w:t xml:space="preserve">Comitetul pentru comerț este instituit în temeiul articolului 15.1 din acord și are competențe decizionale în cadrul acordului. </w:t>
      </w:r>
    </w:p>
    <w:p w:rsidR="00682F00" w:rsidRPr="00CD78A3" w:rsidRDefault="00682F00" w:rsidP="00817FA5">
      <w:pPr>
        <w:pStyle w:val="ManualHeading2"/>
        <w:rPr>
          <w:noProof/>
        </w:rPr>
      </w:pPr>
      <w:r>
        <w:rPr>
          <w:noProof/>
        </w:rPr>
        <w:t>2.3.</w:t>
      </w:r>
      <w:r>
        <w:rPr>
          <w:noProof/>
        </w:rPr>
        <w:tab/>
      </w:r>
      <w:r w:rsidRPr="00CD78A3">
        <w:rPr>
          <w:noProof/>
        </w:rPr>
        <w:t>Actul avut în vedere al Comitetului pentru comerț și al Comitetului pentru comerț și dezvoltare durabilă</w:t>
      </w:r>
    </w:p>
    <w:p w:rsidR="00682F00" w:rsidRPr="00CD78A3" w:rsidRDefault="00D2125B" w:rsidP="00817FA5">
      <w:pPr>
        <w:rPr>
          <w:rFonts w:eastAsia="Arial Unicode MS"/>
          <w:noProof/>
        </w:rPr>
      </w:pPr>
      <w:r w:rsidRPr="00CD78A3">
        <w:rPr>
          <w:noProof/>
        </w:rPr>
        <w:t>Comitetul pentru comerț are în vedere adoptarea a două decizii (denumite în continuare „actele avute în vedere”) fie în cadrul următoarei sale reuniuni, fie printr-o procedură scrisă, oricare dintre acestea survine mai întâi.</w:t>
      </w:r>
    </w:p>
    <w:p w:rsidR="00682F00" w:rsidRPr="00CD78A3" w:rsidRDefault="00682F00" w:rsidP="00817FA5">
      <w:pPr>
        <w:rPr>
          <w:rFonts w:eastAsia="Arial Unicode MS"/>
          <w:noProof/>
        </w:rPr>
      </w:pPr>
      <w:r w:rsidRPr="00CD78A3">
        <w:rPr>
          <w:noProof/>
        </w:rPr>
        <w:t>Scopul actelor avute în vedere este de a actualiza listele persoanelor care doresc și sunt în măsură să ocupe funcția de arbitru sau să acționeze în calitate de membri ai grupului de experți în conformitate cu articolele 14.18 și 13.15 din acord.</w:t>
      </w:r>
    </w:p>
    <w:p w:rsidR="00682F00" w:rsidRPr="00CD78A3" w:rsidRDefault="00682F00" w:rsidP="00817FA5">
      <w:pPr>
        <w:rPr>
          <w:rFonts w:eastAsia="Arial Unicode MS"/>
          <w:noProof/>
        </w:rPr>
      </w:pPr>
      <w:r w:rsidRPr="00CD78A3">
        <w:rPr>
          <w:noProof/>
        </w:rPr>
        <w:t xml:space="preserve">Actele avute în vedere vor avea caracter obligatoriu pentru părți, în conformitate cu articolele 14.18 și 13.15 din acord, care stipulează crearea celor două liste. </w:t>
      </w:r>
    </w:p>
    <w:p w:rsidR="00682F00" w:rsidRPr="00CD78A3" w:rsidRDefault="00682F00" w:rsidP="00682F00">
      <w:pPr>
        <w:pStyle w:val="ManualHeading1"/>
        <w:rPr>
          <w:rFonts w:eastAsia="Arial Unicode MS"/>
          <w:noProof/>
        </w:rPr>
      </w:pPr>
      <w:r>
        <w:rPr>
          <w:noProof/>
        </w:rPr>
        <w:t>3.</w:t>
      </w:r>
      <w:r>
        <w:rPr>
          <w:noProof/>
        </w:rPr>
        <w:tab/>
      </w:r>
      <w:r w:rsidRPr="00CD78A3">
        <w:rPr>
          <w:noProof/>
        </w:rPr>
        <w:t>Poziția care trebuie adoptată în numele Uniunii</w:t>
      </w:r>
    </w:p>
    <w:p w:rsidR="00C66BAF" w:rsidRPr="00CD78A3" w:rsidRDefault="00C66BAF" w:rsidP="00C66BAF">
      <w:pPr>
        <w:rPr>
          <w:rFonts w:eastAsia="Arial Unicode MS"/>
          <w:noProof/>
        </w:rPr>
      </w:pPr>
      <w:r w:rsidRPr="00CD78A3">
        <w:rPr>
          <w:noProof/>
        </w:rPr>
        <w:t xml:space="preserve">Comitetul pentru comerț este instituit în temeiul articolului 15.1 din acord și are competențe decizionale în cadrul acordului. </w:t>
      </w:r>
    </w:p>
    <w:p w:rsidR="00D2125B" w:rsidRPr="00CD78A3" w:rsidRDefault="00D2125B" w:rsidP="0030099A">
      <w:pPr>
        <w:rPr>
          <w:noProof/>
        </w:rPr>
      </w:pPr>
      <w:r w:rsidRPr="00CD78A3">
        <w:rPr>
          <w:noProof/>
        </w:rPr>
        <w:t xml:space="preserve">În temeiul articolului 14.18 din acord, Comitetul pentru comerț trebuie să stabilească o listă de 15 persoane care să ocupe funcția de arbitru. La 23 decembrie 2011, Comitetul pentru </w:t>
      </w:r>
      <w:r w:rsidRPr="00CD78A3">
        <w:rPr>
          <w:noProof/>
        </w:rPr>
        <w:lastRenderedPageBreak/>
        <w:t>comerț UE-Coreea a adoptat Decizia nr. 2</w:t>
      </w:r>
      <w:r w:rsidRPr="00CD78A3">
        <w:rPr>
          <w:rStyle w:val="FootnoteReference"/>
          <w:rFonts w:eastAsia="Arial Unicode MS"/>
          <w:noProof/>
        </w:rPr>
        <w:footnoteReference w:id="1"/>
      </w:r>
      <w:r w:rsidRPr="00CD78A3">
        <w:rPr>
          <w:noProof/>
        </w:rPr>
        <w:t xml:space="preserve"> de întocmire a unei liste de 15 persoane care pot îndeplini funcția de arbitri în cadrul procedurilor comisiei de arbitraj în temeiul articolului 14.18 din acord. Părțile și-au exprimat dorința de a înlocui anumiți resortisanți coreeni, resortisanți ai statelor membre ale Uniunii Europene și neresortisanți care ocupă funcția de președinți pe lista arbitrilor. Pentru ca această modificare să intre în vigoare, lista revizuită a persoanelor trebuie să fie aprobată de Comitetul pentru comerț UE-Coreea.</w:t>
      </w:r>
    </w:p>
    <w:p w:rsidR="00E52BFA" w:rsidRPr="00CD78A3" w:rsidRDefault="00E52BFA" w:rsidP="0030099A">
      <w:pPr>
        <w:rPr>
          <w:noProof/>
        </w:rPr>
      </w:pPr>
      <w:r w:rsidRPr="00CD78A3">
        <w:rPr>
          <w:noProof/>
        </w:rPr>
        <w:t>În temeiul articolului 13.15 alineatul (3) din acord, părțile trebuie să se pună de acord asupra unei liste conținând numele a cel puțin 15 persoane care doresc și sunt în măsură să acționeze în calitate de membri ai grupului de experți în legătură cu chestiunile care intră sub incidența capitolului 13 din acord (Capitolul privind comerțul și dezvoltarea durabilă) și care dețin expertiză în chestiunile vizate de capitolul menționat. Lista a fost stabilită pentru prima dată la 27 iunie 2012 prin Decizia nr. 2/2012</w:t>
      </w:r>
      <w:r w:rsidRPr="00CD78A3">
        <w:rPr>
          <w:rStyle w:val="FootnoteReference"/>
          <w:noProof/>
        </w:rPr>
        <w:footnoteReference w:id="2"/>
      </w:r>
      <w:r w:rsidRPr="00CD78A3">
        <w:rPr>
          <w:noProof/>
        </w:rPr>
        <w:t xml:space="preserve"> a Comitetului UE-Coreea pentru comerț și dezvoltare durabilă, care a stabilit o listă de 18 experți care pot să acționeze în calitate de membri ai grupului de experți. Lista a fost revizuită ultima dată în 2019 prin Decizia nr. 1/2019</w:t>
      </w:r>
      <w:r w:rsidRPr="00CD78A3">
        <w:rPr>
          <w:rStyle w:val="FootnoteReference"/>
          <w:noProof/>
        </w:rPr>
        <w:footnoteReference w:id="3"/>
      </w:r>
      <w:r w:rsidRPr="00CD78A3">
        <w:rPr>
          <w:noProof/>
        </w:rPr>
        <w:t xml:space="preserve"> a aceluiași comitet. Părțile și-au exprimat dorința de a înlocui unii dintre neresortisanții care ocupă funcția de președinte de pe lista de experți. </w:t>
      </w:r>
    </w:p>
    <w:p w:rsidR="00E52BFA" w:rsidRPr="00CD78A3" w:rsidRDefault="00BB38E0" w:rsidP="0030099A">
      <w:pPr>
        <w:rPr>
          <w:noProof/>
        </w:rPr>
      </w:pPr>
      <w:r w:rsidRPr="00CD78A3">
        <w:rPr>
          <w:noProof/>
        </w:rPr>
        <w:t>În caz de litigiu, părțile se consultă pentru a se pune de acord asupra arbitrilor care vor face parte dintr-o comisie de arbitraj. Prin urmare, este esențial să se garanteze că cele două liste sunt tot timpul actualizate pentru a asigura disponibilitatea efectivă a procedurilor de soluționare a litigiilor prevăzute în acord.</w:t>
      </w:r>
    </w:p>
    <w:p w:rsidR="00E52BFA" w:rsidRPr="00CD78A3" w:rsidRDefault="00E52BFA" w:rsidP="0030099A">
      <w:pPr>
        <w:rPr>
          <w:noProof/>
        </w:rPr>
      </w:pPr>
      <w:r w:rsidRPr="00CD78A3">
        <w:rPr>
          <w:noProof/>
        </w:rPr>
        <w:t xml:space="preserve">Propunerea anexată constituie propunerea pentru un instrument juridic de aprobare a poziției care urmează să fie adoptată de Uniunea Europeană în cadrul Comitetului pentru comerț cu privire la cele două aspecte menționate mai sus. </w:t>
      </w:r>
    </w:p>
    <w:p w:rsidR="00682F00" w:rsidRPr="00CD78A3" w:rsidRDefault="00682F00" w:rsidP="00817FA5">
      <w:pPr>
        <w:pStyle w:val="ManualHeading1"/>
        <w:rPr>
          <w:noProof/>
        </w:rPr>
      </w:pPr>
      <w:r>
        <w:rPr>
          <w:noProof/>
        </w:rPr>
        <w:t>4.</w:t>
      </w:r>
      <w:r>
        <w:rPr>
          <w:noProof/>
        </w:rPr>
        <w:tab/>
      </w:r>
      <w:r w:rsidRPr="00CD78A3">
        <w:rPr>
          <w:noProof/>
        </w:rPr>
        <w:t>Temei juridic</w:t>
      </w:r>
    </w:p>
    <w:p w:rsidR="00682F00" w:rsidRPr="00CD78A3" w:rsidRDefault="00682F00" w:rsidP="00817FA5">
      <w:pPr>
        <w:pStyle w:val="ManualHeading2"/>
        <w:rPr>
          <w:noProof/>
        </w:rPr>
      </w:pPr>
      <w:r>
        <w:rPr>
          <w:noProof/>
        </w:rPr>
        <w:t>4.1.</w:t>
      </w:r>
      <w:r>
        <w:rPr>
          <w:noProof/>
        </w:rPr>
        <w:tab/>
      </w:r>
      <w:r w:rsidRPr="00CD78A3">
        <w:rPr>
          <w:noProof/>
        </w:rPr>
        <w:t>Temeiul juridic procedural</w:t>
      </w:r>
    </w:p>
    <w:p w:rsidR="00682F00" w:rsidRPr="00CD78A3" w:rsidRDefault="00682F00" w:rsidP="00F406AC">
      <w:pPr>
        <w:pStyle w:val="ManualHeading3"/>
        <w:rPr>
          <w:noProof/>
        </w:rPr>
      </w:pPr>
      <w:r>
        <w:rPr>
          <w:noProof/>
        </w:rPr>
        <w:t>4.1.1.</w:t>
      </w:r>
      <w:r>
        <w:rPr>
          <w:noProof/>
        </w:rPr>
        <w:tab/>
      </w:r>
      <w:r w:rsidRPr="00CD78A3">
        <w:rPr>
          <w:noProof/>
        </w:rPr>
        <w:t>Principii</w:t>
      </w:r>
    </w:p>
    <w:p w:rsidR="00682F00" w:rsidRPr="00CD78A3" w:rsidRDefault="00682F00" w:rsidP="00817FA5">
      <w:pPr>
        <w:rPr>
          <w:noProof/>
        </w:rPr>
      </w:pPr>
      <w:r w:rsidRPr="00CD78A3">
        <w:rPr>
          <w:noProof/>
        </w:rPr>
        <w:t>Articolul 218 alineatul (9) din Tratatul privind funcționarea Uniunii Europene (TFUE) prevede adoptarea unor decizii de stabilire „</w:t>
      </w:r>
      <w:r w:rsidRPr="00CD78A3">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CD78A3">
        <w:rPr>
          <w:noProof/>
        </w:rPr>
        <w:t>”</w:t>
      </w:r>
      <w:r w:rsidR="00D34A13" w:rsidRPr="00CD78A3">
        <w:rPr>
          <w:noProof/>
        </w:rPr>
        <w:t>.</w:t>
      </w:r>
    </w:p>
    <w:p w:rsidR="00682F00" w:rsidRPr="00CD78A3" w:rsidRDefault="00682F00" w:rsidP="00817FA5">
      <w:pPr>
        <w:rPr>
          <w:noProof/>
        </w:rPr>
      </w:pPr>
      <w:r w:rsidRPr="00CD78A3">
        <w:rPr>
          <w:noProof/>
        </w:rPr>
        <w:t>Conceptul de „</w:t>
      </w:r>
      <w:r w:rsidRPr="00CD78A3">
        <w:rPr>
          <w:i/>
          <w:noProof/>
        </w:rPr>
        <w:t>acte cu efecte juridice</w:t>
      </w:r>
      <w:r w:rsidRPr="00CD78A3">
        <w:rPr>
          <w:noProof/>
        </w:rPr>
        <w:t xml:space="preserve">” include actele care au efecte juridice în temeiul normelor de drept internațional aplicabile organismului în cauză. Sunt, de asemenea, incluse instrumente care nu au un caracter obligatoriu în temeiul dreptului internațional, dar care </w:t>
      </w:r>
      <w:r w:rsidRPr="00CD78A3">
        <w:rPr>
          <w:i/>
          <w:noProof/>
        </w:rPr>
        <w:t>„au vocația de a influența în mod decisiv conținutul reglementării adoptate de legiuitorul Uniunii”</w:t>
      </w:r>
      <w:r w:rsidRPr="00CD78A3">
        <w:rPr>
          <w:rStyle w:val="FootnoteReference"/>
          <w:noProof/>
        </w:rPr>
        <w:footnoteReference w:id="4"/>
      </w:r>
      <w:r w:rsidRPr="00CD78A3">
        <w:rPr>
          <w:noProof/>
        </w:rPr>
        <w:t>.</w:t>
      </w:r>
    </w:p>
    <w:p w:rsidR="00682F00" w:rsidRPr="00CD78A3" w:rsidRDefault="00682F00" w:rsidP="00F406AC">
      <w:pPr>
        <w:pStyle w:val="ManualHeading3"/>
        <w:rPr>
          <w:noProof/>
        </w:rPr>
      </w:pPr>
      <w:r>
        <w:rPr>
          <w:noProof/>
        </w:rPr>
        <w:lastRenderedPageBreak/>
        <w:t>4.1.2.</w:t>
      </w:r>
      <w:r>
        <w:rPr>
          <w:noProof/>
        </w:rPr>
        <w:tab/>
      </w:r>
      <w:r w:rsidRPr="00CD78A3">
        <w:rPr>
          <w:noProof/>
        </w:rPr>
        <w:t>Aplicarea la cazul în discuție</w:t>
      </w:r>
    </w:p>
    <w:p w:rsidR="00682F00" w:rsidRPr="00CD78A3" w:rsidRDefault="00682F00" w:rsidP="00817FA5">
      <w:pPr>
        <w:rPr>
          <w:noProof/>
        </w:rPr>
      </w:pPr>
      <w:r w:rsidRPr="00CD78A3">
        <w:rPr>
          <w:noProof/>
        </w:rPr>
        <w:t>Comitetul pentru comerț este un organism instituit prin acord.</w:t>
      </w:r>
    </w:p>
    <w:p w:rsidR="00682F00" w:rsidRPr="00CD78A3" w:rsidRDefault="00682F00" w:rsidP="00817FA5">
      <w:pPr>
        <w:rPr>
          <w:noProof/>
        </w:rPr>
      </w:pPr>
      <w:r w:rsidRPr="00CD78A3">
        <w:rPr>
          <w:noProof/>
        </w:rPr>
        <w:t xml:space="preserve">Actul pe care Comitetul pentru comerț trebuie să îl adopte este un act cu efecte juridice. </w:t>
      </w:r>
    </w:p>
    <w:p w:rsidR="00682F00" w:rsidRPr="00CD78A3" w:rsidRDefault="00682F00" w:rsidP="00817FA5">
      <w:pPr>
        <w:rPr>
          <w:noProof/>
        </w:rPr>
      </w:pPr>
      <w:r w:rsidRPr="00CD78A3">
        <w:rPr>
          <w:noProof/>
        </w:rPr>
        <w:t>Actul avut în vedere nu aduce completări sau modificări cadrului</w:t>
      </w:r>
      <w:r w:rsidR="00D34A13" w:rsidRPr="00CD78A3">
        <w:rPr>
          <w:noProof/>
        </w:rPr>
        <w:t xml:space="preserve"> </w:t>
      </w:r>
      <w:r w:rsidRPr="00CD78A3">
        <w:rPr>
          <w:noProof/>
        </w:rPr>
        <w:t>instituțional al acordului.</w:t>
      </w:r>
    </w:p>
    <w:p w:rsidR="00682F00" w:rsidRPr="00CD78A3" w:rsidRDefault="00682F00" w:rsidP="00817FA5">
      <w:pPr>
        <w:rPr>
          <w:noProof/>
        </w:rPr>
      </w:pPr>
      <w:r w:rsidRPr="00CD78A3">
        <w:rPr>
          <w:noProof/>
        </w:rPr>
        <w:t>În consecință, temeiul juridic procedural al deciziei propuse este articolul 218 alineatul (9) din TFUE.</w:t>
      </w:r>
    </w:p>
    <w:p w:rsidR="00682F00" w:rsidRPr="00CD78A3" w:rsidRDefault="00682F00" w:rsidP="00817FA5">
      <w:pPr>
        <w:pStyle w:val="ManualHeading2"/>
        <w:rPr>
          <w:noProof/>
        </w:rPr>
      </w:pPr>
      <w:r>
        <w:rPr>
          <w:noProof/>
        </w:rPr>
        <w:t>4.2.</w:t>
      </w:r>
      <w:r>
        <w:rPr>
          <w:noProof/>
        </w:rPr>
        <w:tab/>
      </w:r>
      <w:r w:rsidRPr="00CD78A3">
        <w:rPr>
          <w:noProof/>
        </w:rPr>
        <w:t>Temeiul juridic material</w:t>
      </w:r>
    </w:p>
    <w:p w:rsidR="00682F00" w:rsidRPr="00CD78A3" w:rsidRDefault="00682F00" w:rsidP="00F406AC">
      <w:pPr>
        <w:pStyle w:val="ManualHeading3"/>
        <w:rPr>
          <w:noProof/>
        </w:rPr>
      </w:pPr>
      <w:r>
        <w:rPr>
          <w:noProof/>
        </w:rPr>
        <w:t>4.2.1.</w:t>
      </w:r>
      <w:r>
        <w:rPr>
          <w:noProof/>
        </w:rPr>
        <w:tab/>
      </w:r>
      <w:r w:rsidRPr="00CD78A3">
        <w:rPr>
          <w:noProof/>
        </w:rPr>
        <w:t>Principii</w:t>
      </w:r>
    </w:p>
    <w:p w:rsidR="00682F00" w:rsidRPr="00CD78A3" w:rsidRDefault="00682F00" w:rsidP="00817FA5">
      <w:pPr>
        <w:rPr>
          <w:noProof/>
        </w:rPr>
      </w:pPr>
      <w:r w:rsidRPr="00CD78A3">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682F00" w:rsidRPr="00CD78A3" w:rsidRDefault="00682F00" w:rsidP="00F406AC">
      <w:pPr>
        <w:pStyle w:val="ManualHeading3"/>
        <w:rPr>
          <w:noProof/>
        </w:rPr>
      </w:pPr>
      <w:r>
        <w:rPr>
          <w:noProof/>
        </w:rPr>
        <w:t>4.2.2.</w:t>
      </w:r>
      <w:r>
        <w:rPr>
          <w:noProof/>
        </w:rPr>
        <w:tab/>
      </w:r>
      <w:r w:rsidRPr="00CD78A3">
        <w:rPr>
          <w:noProof/>
        </w:rPr>
        <w:t>Aplicarea la cazul în discuție</w:t>
      </w:r>
    </w:p>
    <w:p w:rsidR="00682F00" w:rsidRPr="00CD78A3" w:rsidRDefault="00682F00" w:rsidP="00817FA5">
      <w:pPr>
        <w:rPr>
          <w:noProof/>
        </w:rPr>
      </w:pPr>
      <w:r w:rsidRPr="00CD78A3">
        <w:rPr>
          <w:noProof/>
        </w:rPr>
        <w:t>Obiectivul principal și conținutul actului avut în vedere se referă la politica comercială comună.</w:t>
      </w:r>
    </w:p>
    <w:p w:rsidR="00682F00" w:rsidRPr="00CD78A3" w:rsidRDefault="00682F00" w:rsidP="00817FA5">
      <w:pPr>
        <w:rPr>
          <w:i/>
          <w:noProof/>
        </w:rPr>
      </w:pPr>
      <w:r w:rsidRPr="00CD78A3">
        <w:rPr>
          <w:noProof/>
        </w:rPr>
        <w:t xml:space="preserve">Prin urmare, temeiul juridic material al deciziei propuse este articolul 207 alineatul (4) primul paragraf din TFUE. </w:t>
      </w:r>
    </w:p>
    <w:p w:rsidR="00682F00" w:rsidRPr="00CD78A3" w:rsidRDefault="00682F00" w:rsidP="00817FA5">
      <w:pPr>
        <w:pStyle w:val="ManualHeading2"/>
        <w:rPr>
          <w:noProof/>
        </w:rPr>
      </w:pPr>
      <w:r>
        <w:rPr>
          <w:noProof/>
        </w:rPr>
        <w:t>4.3.</w:t>
      </w:r>
      <w:r>
        <w:rPr>
          <w:noProof/>
        </w:rPr>
        <w:tab/>
      </w:r>
      <w:r w:rsidRPr="00CD78A3">
        <w:rPr>
          <w:noProof/>
        </w:rPr>
        <w:t>Concluzie</w:t>
      </w:r>
    </w:p>
    <w:p w:rsidR="00682F00" w:rsidRPr="00CD78A3" w:rsidRDefault="00682F00" w:rsidP="00817FA5">
      <w:pPr>
        <w:rPr>
          <w:noProof/>
        </w:rPr>
      </w:pPr>
      <w:r w:rsidRPr="00CD78A3">
        <w:rPr>
          <w:noProof/>
        </w:rPr>
        <w:t>Temeiul juridic al propunerii de decizie trebuie să fie articolul 207 alineatul (4) primul paragraf din TFUE coroborat cu articolul 218 alineatul (9) din TFUE.</w:t>
      </w:r>
    </w:p>
    <w:p w:rsidR="00682F00" w:rsidRPr="00CD78A3" w:rsidRDefault="00682F00" w:rsidP="00817FA5">
      <w:pPr>
        <w:pStyle w:val="ManualHeading1"/>
        <w:rPr>
          <w:noProof/>
        </w:rPr>
      </w:pPr>
      <w:r>
        <w:rPr>
          <w:noProof/>
        </w:rPr>
        <w:t>5.</w:t>
      </w:r>
      <w:r>
        <w:rPr>
          <w:noProof/>
        </w:rPr>
        <w:tab/>
      </w:r>
      <w:r w:rsidRPr="00CD78A3">
        <w:rPr>
          <w:noProof/>
        </w:rPr>
        <w:t>Publicarea actului avut în vedere</w:t>
      </w:r>
    </w:p>
    <w:p w:rsidR="00682F00" w:rsidRPr="00CD78A3" w:rsidRDefault="00682F00" w:rsidP="00817FA5">
      <w:pPr>
        <w:rPr>
          <w:noProof/>
        </w:rPr>
      </w:pPr>
      <w:r w:rsidRPr="00CD78A3">
        <w:rPr>
          <w:noProof/>
        </w:rPr>
        <w:t xml:space="preserve">Întrucât actul Comitetului pentru comerț va modifica listele existente de persoane care doresc și sunt în măsură să ocupe funcția de arbitru în conformitate cu articolul 14.18 din acord și lista de experți care doresc și sunt în măsură să acționeze în calitate de membri ai grupului de experți în conformitate cu articolul 13.15 din acord, este oportun ca acestea să fie publicate în </w:t>
      </w:r>
      <w:r w:rsidRPr="00CD78A3">
        <w:rPr>
          <w:i/>
          <w:noProof/>
        </w:rPr>
        <w:t>Jurnalul Oficial al Uniunii Europene</w:t>
      </w:r>
      <w:r w:rsidRPr="00CD78A3">
        <w:rPr>
          <w:noProof/>
        </w:rPr>
        <w:t xml:space="preserve"> după adoptarea lor.</w:t>
      </w:r>
    </w:p>
    <w:p w:rsidR="00682F00" w:rsidRPr="00CD78A3" w:rsidRDefault="00682F00" w:rsidP="00817FA5">
      <w:pPr>
        <w:rPr>
          <w:noProof/>
        </w:rPr>
        <w:sectPr w:rsidR="00682F00" w:rsidRPr="00CD78A3" w:rsidSect="00B2015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2307A" w:rsidRDefault="00DF01B3">
      <w:pPr>
        <w:pStyle w:val="Rfrenceinterinstitutionnelle"/>
        <w:rPr>
          <w:noProof/>
        </w:rPr>
      </w:pPr>
      <w:r>
        <w:rPr>
          <w:noProof/>
        </w:rPr>
        <w:lastRenderedPageBreak/>
        <w:t>2026/0127 (NLE)</w:t>
      </w:r>
    </w:p>
    <w:p w:rsidR="00682F00" w:rsidRPr="00CD78A3" w:rsidRDefault="00ED5727" w:rsidP="00ED5727">
      <w:pPr>
        <w:pStyle w:val="Statut"/>
        <w:rPr>
          <w:noProof/>
        </w:rPr>
      </w:pPr>
      <w:r w:rsidRPr="00CD78A3">
        <w:rPr>
          <w:noProof/>
        </w:rPr>
        <w:t>Propunere de</w:t>
      </w:r>
    </w:p>
    <w:p w:rsidR="00682F00" w:rsidRPr="00CD78A3" w:rsidRDefault="00ED5727" w:rsidP="00ED5727">
      <w:pPr>
        <w:pStyle w:val="Typedudocument"/>
        <w:rPr>
          <w:noProof/>
        </w:rPr>
      </w:pPr>
      <w:r w:rsidRPr="00CD78A3">
        <w:rPr>
          <w:noProof/>
        </w:rPr>
        <w:t>DECIZIE A CONSILIULUI</w:t>
      </w:r>
    </w:p>
    <w:p w:rsidR="00682F00" w:rsidRPr="00CD78A3" w:rsidRDefault="00ED5727" w:rsidP="00ED5727">
      <w:pPr>
        <w:pStyle w:val="Titreobjet"/>
        <w:rPr>
          <w:noProof/>
        </w:rPr>
      </w:pPr>
      <w:r w:rsidRPr="00CD78A3">
        <w:rPr>
          <w:noProof/>
        </w:rPr>
        <w:t>privind poziția care urmează să fie adoptată în numele Uniunii Europene în cadrul Comitetului pentru comerț instituit prin Acordul de liber schimb dintre Uniunea Europeană și statele membre ale acesteia, pe de o parte, și Republica Coreea, pe de altă parte, în ceea ce privește revizuirea listei persoanelor care doresc și sunt în măsură să ocupe funcția de arbitru în conformitate cu articolul 14.18 din acord și revizuirea listei experților care doresc și sunt în măsură să acționeze în calitate de membri ai grupului de experți în conformitate cu articolul 13.15 din acord</w:t>
      </w:r>
    </w:p>
    <w:p w:rsidR="00682F00" w:rsidRPr="00CD78A3" w:rsidRDefault="00682F00" w:rsidP="00817FA5">
      <w:pPr>
        <w:pStyle w:val="Institutionquiagit"/>
        <w:rPr>
          <w:noProof/>
        </w:rPr>
      </w:pPr>
      <w:r w:rsidRPr="00CD78A3">
        <w:rPr>
          <w:noProof/>
        </w:rPr>
        <w:t>CONSILIUL UNIUNII EUROPENE,</w:t>
      </w:r>
    </w:p>
    <w:p w:rsidR="00682F00" w:rsidRPr="00CD78A3" w:rsidRDefault="00682F00" w:rsidP="00817FA5">
      <w:pPr>
        <w:rPr>
          <w:noProof/>
        </w:rPr>
      </w:pPr>
      <w:r w:rsidRPr="00CD78A3">
        <w:rPr>
          <w:noProof/>
        </w:rPr>
        <w:t>având în vedere Tratatul privind funcționarea Uniunii Europene, în special articolul 207 alineatul (4) primul paragraf coroborat cu articolul 218 alineatul (9),</w:t>
      </w:r>
    </w:p>
    <w:p w:rsidR="00682F00" w:rsidRPr="00CD78A3" w:rsidRDefault="00682F00" w:rsidP="00817FA5">
      <w:pPr>
        <w:rPr>
          <w:noProof/>
        </w:rPr>
      </w:pPr>
      <w:r w:rsidRPr="00CD78A3">
        <w:rPr>
          <w:noProof/>
        </w:rPr>
        <w:t>având în vedere propunerea Comisiei Europene,</w:t>
      </w:r>
    </w:p>
    <w:p w:rsidR="00682F00" w:rsidRPr="00CD78A3" w:rsidRDefault="00682F00" w:rsidP="00817FA5">
      <w:pPr>
        <w:rPr>
          <w:noProof/>
        </w:rPr>
      </w:pPr>
      <w:r w:rsidRPr="00CD78A3">
        <w:rPr>
          <w:noProof/>
        </w:rPr>
        <w:t>întrucât:</w:t>
      </w:r>
    </w:p>
    <w:p w:rsidR="00682F00" w:rsidRPr="00CD78A3" w:rsidRDefault="00E31E41" w:rsidP="00ED1ADE">
      <w:pPr>
        <w:pStyle w:val="ManualConsidrant"/>
        <w:rPr>
          <w:noProof/>
        </w:rPr>
      </w:pPr>
      <w:r>
        <w:rPr>
          <w:noProof/>
        </w:rPr>
        <w:t>(1)</w:t>
      </w:r>
      <w:r>
        <w:rPr>
          <w:noProof/>
        </w:rPr>
        <w:tab/>
      </w:r>
      <w:r w:rsidRPr="00CD78A3">
        <w:rPr>
          <w:noProof/>
        </w:rPr>
        <w:t>Acordul de liber schimb dintre Uniunea Europeană și statele membre ale acesteia, pe de o parte, și Republica Coreea, pe de altă parte (denumit în continuare „acordul”) a fost încheiat de Uniune prin Decizia Consiliului din 6 octombrie 2010</w:t>
      </w:r>
      <w:r w:rsidRPr="00CD78A3">
        <w:rPr>
          <w:rStyle w:val="FootnoteReference"/>
          <w:noProof/>
        </w:rPr>
        <w:footnoteReference w:id="5"/>
      </w:r>
      <w:r w:rsidRPr="00CD78A3">
        <w:rPr>
          <w:noProof/>
        </w:rPr>
        <w:t xml:space="preserve"> și a fost aplicat cu titlu provizoriu începând din iulie 2011 și a intrat în vigoare în decembrie 2015. </w:t>
      </w:r>
    </w:p>
    <w:p w:rsidR="007B0DAE" w:rsidRPr="00CD78A3" w:rsidRDefault="00682F00" w:rsidP="00E32DE2">
      <w:pPr>
        <w:pStyle w:val="ManualConsidrant"/>
        <w:rPr>
          <w:noProof/>
        </w:rPr>
      </w:pPr>
      <w:r>
        <w:rPr>
          <w:noProof/>
        </w:rPr>
        <w:t>(2)</w:t>
      </w:r>
      <w:r>
        <w:rPr>
          <w:noProof/>
        </w:rPr>
        <w:tab/>
      </w:r>
      <w:r w:rsidRPr="00CD78A3">
        <w:rPr>
          <w:noProof/>
        </w:rPr>
        <w:t>În temeiul articolului 14.18 din acord, Comitetul pentru comerț stabilește o listă de 15 persoane care doresc și sunt în măsură să ocupe funcția de arbitru în eventualele litigii dintre părți. La 23 decembrie 2011, Comitetul pentru comerț UE-Coreea a adoptat Decizia nr. 2</w:t>
      </w:r>
      <w:r w:rsidRPr="00CD78A3">
        <w:rPr>
          <w:rStyle w:val="FootnoteReference"/>
          <w:noProof/>
        </w:rPr>
        <w:footnoteReference w:id="6"/>
      </w:r>
      <w:r w:rsidRPr="00CD78A3">
        <w:rPr>
          <w:noProof/>
        </w:rPr>
        <w:t xml:space="preserve"> de întocmire a unei liste de 15 persoane care pot îndeplini funcția de arbitru în cadrul procedurilor comisiei de arbitraj în temeiul articolului 14.18 din acord.</w:t>
      </w:r>
    </w:p>
    <w:p w:rsidR="00D27714" w:rsidRPr="00CD78A3" w:rsidRDefault="00D27714" w:rsidP="00E32DE2">
      <w:pPr>
        <w:pStyle w:val="ManualConsidrant"/>
        <w:rPr>
          <w:noProof/>
        </w:rPr>
      </w:pPr>
      <w:r>
        <w:rPr>
          <w:noProof/>
        </w:rPr>
        <w:t>(3)</w:t>
      </w:r>
      <w:r>
        <w:rPr>
          <w:noProof/>
        </w:rPr>
        <w:tab/>
      </w:r>
      <w:r w:rsidRPr="00CD78A3">
        <w:rPr>
          <w:noProof/>
        </w:rPr>
        <w:t xml:space="preserve">Părțile și-au exprimat dorința de a înlocui anumiți resortisanți coreeni, resortisanți ai statelor membre ale Uniunii Europene și neresortisanți care ocupă funcția de președinți pe lista arbitrilor. Pentru ca această modificare să intre în vigoare, lista revizuită a persoanelor trebuie să fie aprobată de Comitetul pentru comerț UE-Coreea. </w:t>
      </w:r>
    </w:p>
    <w:p w:rsidR="00C57118" w:rsidRPr="00CD78A3" w:rsidRDefault="00D27714" w:rsidP="00E32DE2">
      <w:pPr>
        <w:pStyle w:val="ManualConsidrant"/>
        <w:rPr>
          <w:noProof/>
        </w:rPr>
      </w:pPr>
      <w:r>
        <w:rPr>
          <w:noProof/>
        </w:rPr>
        <w:t>(4)</w:t>
      </w:r>
      <w:r>
        <w:rPr>
          <w:noProof/>
        </w:rPr>
        <w:tab/>
      </w:r>
      <w:r w:rsidRPr="00CD78A3">
        <w:rPr>
          <w:noProof/>
        </w:rPr>
        <w:t xml:space="preserve">În temeiul articolului 13.15 alineatul (3) din acord, părțile trebuie să stabilească o listă de cel puțin 15 persoane care doresc și sunt în măsură să acționeze în calitate de membri ai grupului de experți în legătură cu chestiunile care intră sub incidența capitolului 13 din acord (Capitolul privind comerțul și dezvoltarea durabilă) și care dețin expertiză în chestiunile vizate de capitolul menționat. La 27 iunie 2012, Comitetul UE-Coreea pentru comerț și dezvoltare durabilă a adoptat Decizia nr. </w:t>
      </w:r>
      <w:r w:rsidRPr="00CD78A3">
        <w:rPr>
          <w:noProof/>
        </w:rPr>
        <w:lastRenderedPageBreak/>
        <w:t>2/2012</w:t>
      </w:r>
      <w:r w:rsidRPr="00CD78A3">
        <w:rPr>
          <w:rStyle w:val="FootnoteReference"/>
          <w:noProof/>
        </w:rPr>
        <w:footnoteReference w:id="7"/>
      </w:r>
      <w:r w:rsidRPr="00CD78A3">
        <w:rPr>
          <w:noProof/>
        </w:rPr>
        <w:t xml:space="preserve"> de stabilire a unei liste de 18 experți care pot face parte din grupul de experți. Lista menționată a fost revizuită ultima dată în 2019 prin Decizia nr. 1/2019</w:t>
      </w:r>
      <w:r w:rsidRPr="00CD78A3">
        <w:rPr>
          <w:rStyle w:val="FootnoteReference"/>
          <w:noProof/>
        </w:rPr>
        <w:footnoteReference w:id="8"/>
      </w:r>
      <w:r w:rsidRPr="00CD78A3">
        <w:rPr>
          <w:noProof/>
        </w:rPr>
        <w:t xml:space="preserve"> a aceluiași comitet.</w:t>
      </w:r>
    </w:p>
    <w:p w:rsidR="00D27714" w:rsidRPr="00CD78A3" w:rsidRDefault="00D27714" w:rsidP="00E32DE2">
      <w:pPr>
        <w:pStyle w:val="ManualConsidrant"/>
        <w:rPr>
          <w:noProof/>
        </w:rPr>
      </w:pPr>
      <w:r>
        <w:rPr>
          <w:noProof/>
        </w:rPr>
        <w:t>(5)</w:t>
      </w:r>
      <w:r>
        <w:rPr>
          <w:noProof/>
        </w:rPr>
        <w:tab/>
      </w:r>
      <w:r w:rsidRPr="00CD78A3">
        <w:rPr>
          <w:noProof/>
        </w:rPr>
        <w:t>Părțile și-au exprimat dorința de a înlocui unii dintre neresortisanții care ocupă funcția de președinte de pe lista de experți. Pentru ca această modificare să intre în vigoare, lista revizuită a persoanelor trebuie să fie aprobată de Comitetul pentru comerț UE-Coreea.</w:t>
      </w:r>
    </w:p>
    <w:p w:rsidR="00682F00" w:rsidRPr="00CD78A3" w:rsidRDefault="00682F00" w:rsidP="00E32DE2">
      <w:pPr>
        <w:pStyle w:val="ManualConsidrant"/>
        <w:rPr>
          <w:noProof/>
        </w:rPr>
      </w:pPr>
      <w:r>
        <w:rPr>
          <w:noProof/>
        </w:rPr>
        <w:t>(6)</w:t>
      </w:r>
      <w:r>
        <w:rPr>
          <w:noProof/>
        </w:rPr>
        <w:tab/>
      </w:r>
      <w:r w:rsidRPr="00CD78A3">
        <w:rPr>
          <w:noProof/>
        </w:rPr>
        <w:t>Comitetul pentru comerț trebuie să adopte listele actualizate de arbitri și experți fie în cadrul următoarei sale reuniuni, fie printr-o procedură scrisă, oricare dintre acestea survine mai întâi.</w:t>
      </w:r>
    </w:p>
    <w:p w:rsidR="00682F00" w:rsidRPr="00CD78A3" w:rsidRDefault="00682F00" w:rsidP="00E32DE2">
      <w:pPr>
        <w:pStyle w:val="ManualConsidrant"/>
        <w:rPr>
          <w:noProof/>
        </w:rPr>
      </w:pPr>
      <w:r>
        <w:rPr>
          <w:noProof/>
        </w:rPr>
        <w:t>(7)</w:t>
      </w:r>
      <w:r>
        <w:rPr>
          <w:noProof/>
        </w:rPr>
        <w:tab/>
      </w:r>
      <w:r w:rsidRPr="00CD78A3">
        <w:rPr>
          <w:noProof/>
        </w:rPr>
        <w:t>Este oportun să se stabilească poziția care urmează să fie adoptată, în numele Uniunii, în cadrul Comitetului pentru comerț, întrucât deciziile vor fi obligatorii pentru Uniune,</w:t>
      </w:r>
    </w:p>
    <w:p w:rsidR="00682F00" w:rsidRPr="00CD78A3" w:rsidRDefault="00682F00" w:rsidP="00817FA5">
      <w:pPr>
        <w:pStyle w:val="Formuledadoption"/>
        <w:rPr>
          <w:noProof/>
        </w:rPr>
      </w:pPr>
      <w:r w:rsidRPr="00CD78A3">
        <w:rPr>
          <w:noProof/>
        </w:rPr>
        <w:t>ADOPTĂ PREZENTA DECIZIE:</w:t>
      </w:r>
    </w:p>
    <w:p w:rsidR="00682F00" w:rsidRPr="00CD78A3" w:rsidRDefault="00682F00" w:rsidP="00817FA5">
      <w:pPr>
        <w:pStyle w:val="Titrearticle"/>
        <w:rPr>
          <w:noProof/>
        </w:rPr>
      </w:pPr>
      <w:r w:rsidRPr="00CD78A3">
        <w:rPr>
          <w:noProof/>
        </w:rPr>
        <w:t>Articolul 1</w:t>
      </w:r>
    </w:p>
    <w:p w:rsidR="00C57118" w:rsidRPr="00CD78A3" w:rsidRDefault="00C57118" w:rsidP="00C57118">
      <w:pPr>
        <w:rPr>
          <w:noProof/>
        </w:rPr>
      </w:pPr>
      <w:r w:rsidRPr="00CD78A3">
        <w:rPr>
          <w:noProof/>
        </w:rPr>
        <w:t>Poziția care urmează să fie adoptată în numele Uniunii Europene în cadrul Comitetului pentru comerț instituit prin Acordul de liber schimb dintre Uniunea Europeană și statele membre ale acesteia, pe de o parte, și Republica Coreea, pe de altă parte, în ceea ce privește lista revizuită a persoanelor care doresc și sunt în măsură să ocupe funcția de arbitru în conformitate cu articolul 14.18 din acord se bazează pe proiectele de decizie ale Comitetului pentru comerț atașate în anexa 1 la prezenta decizie.</w:t>
      </w:r>
    </w:p>
    <w:p w:rsidR="007F3497" w:rsidRPr="00CD78A3" w:rsidRDefault="007F3497" w:rsidP="007F3497">
      <w:pPr>
        <w:pStyle w:val="Titrearticle"/>
        <w:rPr>
          <w:noProof/>
        </w:rPr>
      </w:pPr>
      <w:r w:rsidRPr="00CD78A3">
        <w:rPr>
          <w:noProof/>
        </w:rPr>
        <w:t>Articolul 2</w:t>
      </w:r>
    </w:p>
    <w:p w:rsidR="007F3497" w:rsidRPr="00CD78A3" w:rsidRDefault="007F3497" w:rsidP="007F3497">
      <w:pPr>
        <w:rPr>
          <w:noProof/>
        </w:rPr>
      </w:pPr>
      <w:r w:rsidRPr="00CD78A3">
        <w:rPr>
          <w:noProof/>
        </w:rPr>
        <w:t>Poziția care urmează să fie adoptată în numele Uniunii Europene în cadrul Comitetului pentru comerț instituit prin Acordul de liber schimb dintre Uniunea Europeană și statele membre ale acesteia, pe de o parte, și Republica Coreea, pe de altă parte, în ceea ce privește lista revizuită a experților care doresc și sunt în măsură să acționeze în calitate de membri ai grupului de experți în conformitate cu articolul 13.15 din acord se bazează pe proiectele de decizie ale Comitetului pentru comerț atașate în anexa 2 la prezenta decizie.</w:t>
      </w:r>
    </w:p>
    <w:p w:rsidR="00987FB0" w:rsidRPr="00CD78A3" w:rsidRDefault="00987FB0" w:rsidP="00987FB0">
      <w:pPr>
        <w:pStyle w:val="Titrearticle"/>
        <w:rPr>
          <w:noProof/>
        </w:rPr>
      </w:pPr>
      <w:r w:rsidRPr="00CD78A3">
        <w:rPr>
          <w:noProof/>
        </w:rPr>
        <w:t>Articolul 3</w:t>
      </w:r>
    </w:p>
    <w:p w:rsidR="00987FB0" w:rsidRPr="00CD78A3" w:rsidRDefault="00987FB0" w:rsidP="00987FB0">
      <w:pPr>
        <w:rPr>
          <w:noProof/>
        </w:rPr>
      </w:pPr>
      <w:r w:rsidRPr="00CD78A3">
        <w:rPr>
          <w:noProof/>
        </w:rPr>
        <w:t xml:space="preserve">Modificările minore aduse proiectului de decizie pot fi convenite de reprezentanții Uniunii în cadrul Comitetului pentru comerț fără a fi necesară o altă decizie a Consiliului. </w:t>
      </w:r>
    </w:p>
    <w:p w:rsidR="00682F00" w:rsidRPr="00CD78A3" w:rsidRDefault="00682F00" w:rsidP="00817FA5">
      <w:pPr>
        <w:pStyle w:val="Titrearticle"/>
        <w:rPr>
          <w:noProof/>
        </w:rPr>
      </w:pPr>
      <w:r w:rsidRPr="00CD78A3">
        <w:rPr>
          <w:noProof/>
        </w:rPr>
        <w:t>Articolul 4</w:t>
      </w:r>
    </w:p>
    <w:p w:rsidR="00C66BAF" w:rsidRPr="00CD78A3" w:rsidRDefault="00C66BAF" w:rsidP="00C66BAF">
      <w:pPr>
        <w:rPr>
          <w:noProof/>
        </w:rPr>
      </w:pPr>
      <w:r w:rsidRPr="00CD78A3">
        <w:rPr>
          <w:noProof/>
        </w:rPr>
        <w:t xml:space="preserve">După adoptarea sa, decizia Comitetului pentru comerț se publică în </w:t>
      </w:r>
      <w:r w:rsidRPr="00CD78A3">
        <w:rPr>
          <w:i/>
          <w:noProof/>
        </w:rPr>
        <w:t>Jurnalul Oficial al Uniunii Europene</w:t>
      </w:r>
      <w:r w:rsidRPr="00CD78A3">
        <w:rPr>
          <w:noProof/>
        </w:rPr>
        <w:t xml:space="preserve">. </w:t>
      </w:r>
    </w:p>
    <w:p w:rsidR="00682F00" w:rsidRPr="00CD78A3" w:rsidRDefault="00682F00" w:rsidP="00C70E4F">
      <w:pPr>
        <w:pStyle w:val="Titrearticle"/>
        <w:rPr>
          <w:noProof/>
        </w:rPr>
      </w:pPr>
      <w:r w:rsidRPr="00CD78A3">
        <w:rPr>
          <w:noProof/>
        </w:rPr>
        <w:lastRenderedPageBreak/>
        <w:t>Articolul 5</w:t>
      </w:r>
    </w:p>
    <w:p w:rsidR="00682F00" w:rsidRPr="00CD78A3" w:rsidRDefault="00682F00" w:rsidP="00817FA5">
      <w:pPr>
        <w:rPr>
          <w:noProof/>
        </w:rPr>
      </w:pPr>
      <w:r w:rsidRPr="00CD78A3">
        <w:rPr>
          <w:noProof/>
        </w:rPr>
        <w:t>Prezenta decizie se adresează Comisiei și intră în vigoare la data adoptării.</w:t>
      </w:r>
    </w:p>
    <w:p w:rsidR="00682F00" w:rsidRPr="00CD78A3" w:rsidRDefault="00ED5727" w:rsidP="00C70E4F">
      <w:pPr>
        <w:pStyle w:val="Fait"/>
        <w:rPr>
          <w:noProof/>
        </w:rPr>
      </w:pPr>
      <w:r>
        <w:rPr>
          <w:noProof/>
        </w:rPr>
        <w:t>Adoptată la Bruxelles,</w:t>
      </w:r>
    </w:p>
    <w:p w:rsidR="00682F00" w:rsidRPr="00CD78A3" w:rsidRDefault="00682F00" w:rsidP="00C70E4F">
      <w:pPr>
        <w:pStyle w:val="Institutionquisigne"/>
        <w:rPr>
          <w:noProof/>
        </w:rPr>
      </w:pPr>
      <w:r w:rsidRPr="00CD78A3">
        <w:rPr>
          <w:noProof/>
        </w:rPr>
        <w:tab/>
        <w:t>Pentru Consiliu</w:t>
      </w:r>
    </w:p>
    <w:p w:rsidR="00682F00" w:rsidRPr="00CD78A3" w:rsidRDefault="00682F00" w:rsidP="00261AB0">
      <w:pPr>
        <w:pStyle w:val="Personnequisigne"/>
        <w:rPr>
          <w:noProof/>
          <w:color w:val="008000"/>
        </w:rPr>
      </w:pPr>
      <w:r w:rsidRPr="00CD78A3">
        <w:rPr>
          <w:noProof/>
        </w:rPr>
        <w:tab/>
        <w:t>Președintele</w:t>
      </w:r>
    </w:p>
    <w:sectPr w:rsidR="00682F00" w:rsidRPr="00CD78A3" w:rsidSect="00B20153">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Pr="00CD78A3" w:rsidRDefault="006E6866" w:rsidP="00682F00">
      <w:pPr>
        <w:spacing w:before="0" w:after="0"/>
      </w:pPr>
      <w:r w:rsidRPr="00CD78A3">
        <w:separator/>
      </w:r>
    </w:p>
  </w:endnote>
  <w:endnote w:type="continuationSeparator" w:id="0">
    <w:p w:rsidR="006E6866" w:rsidRPr="00CD78A3" w:rsidRDefault="006E6866" w:rsidP="00682F00">
      <w:pPr>
        <w:spacing w:before="0" w:after="0"/>
      </w:pPr>
      <w:r w:rsidRPr="00CD78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Pr="00B20153" w:rsidRDefault="00B20153" w:rsidP="00B20153">
    <w:pPr>
      <w:pStyle w:val="Footer"/>
      <w:rPr>
        <w:rFonts w:ascii="Arial" w:hAnsi="Arial" w:cs="Arial"/>
        <w:b/>
        <w:sz w:val="48"/>
      </w:rPr>
    </w:pPr>
    <w:r w:rsidRPr="00B20153">
      <w:rPr>
        <w:rFonts w:ascii="Arial" w:hAnsi="Arial" w:cs="Arial"/>
        <w:b/>
        <w:sz w:val="48"/>
      </w:rPr>
      <w:t>RO</w:t>
    </w:r>
    <w:r w:rsidRPr="00B20153">
      <w:rPr>
        <w:rFonts w:ascii="Arial" w:hAnsi="Arial" w:cs="Arial"/>
        <w:b/>
        <w:sz w:val="48"/>
      </w:rPr>
      <w:tab/>
    </w:r>
    <w:r w:rsidRPr="00B20153">
      <w:rPr>
        <w:rFonts w:ascii="Arial" w:hAnsi="Arial" w:cs="Arial"/>
        <w:b/>
        <w:sz w:val="48"/>
      </w:rPr>
      <w:tab/>
    </w:r>
    <w:r w:rsidRPr="00B20153">
      <w:tab/>
    </w:r>
    <w:r w:rsidRPr="00B201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Pr="00B20153" w:rsidRDefault="00B20153" w:rsidP="00B20153">
    <w:pPr>
      <w:pStyle w:val="Footer"/>
      <w:rPr>
        <w:rFonts w:ascii="Arial" w:hAnsi="Arial" w:cs="Arial"/>
        <w:b/>
        <w:sz w:val="48"/>
      </w:rPr>
    </w:pPr>
    <w:r w:rsidRPr="00B20153">
      <w:rPr>
        <w:rFonts w:ascii="Arial" w:hAnsi="Arial" w:cs="Arial"/>
        <w:b/>
        <w:sz w:val="48"/>
      </w:rPr>
      <w:t>RO</w:t>
    </w:r>
    <w:r w:rsidRPr="00B20153">
      <w:rPr>
        <w:rFonts w:ascii="Arial" w:hAnsi="Arial" w:cs="Arial"/>
        <w:b/>
        <w:sz w:val="48"/>
      </w:rPr>
      <w:tab/>
    </w:r>
    <w:r w:rsidRPr="00B20153">
      <w:rPr>
        <w:rFonts w:ascii="Arial" w:hAnsi="Arial" w:cs="Arial"/>
        <w:b/>
        <w:sz w:val="48"/>
      </w:rPr>
      <w:tab/>
    </w:r>
    <w:r w:rsidRPr="00B20153">
      <w:tab/>
    </w:r>
    <w:r w:rsidRPr="00B201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Default="00B201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Pr="00B20153" w:rsidRDefault="00B20153" w:rsidP="00B20153">
    <w:pPr>
      <w:pStyle w:val="Footer"/>
      <w:rPr>
        <w:rFonts w:ascii="Arial" w:hAnsi="Arial" w:cs="Arial"/>
        <w:b/>
        <w:sz w:val="48"/>
      </w:rPr>
    </w:pPr>
    <w:r w:rsidRPr="00B20153">
      <w:rPr>
        <w:rFonts w:ascii="Arial" w:hAnsi="Arial" w:cs="Arial"/>
        <w:b/>
        <w:sz w:val="48"/>
      </w:rPr>
      <w:t>RO</w:t>
    </w:r>
    <w:r w:rsidRPr="00B20153">
      <w:rPr>
        <w:rFonts w:ascii="Arial" w:hAnsi="Arial" w:cs="Arial"/>
        <w:b/>
        <w:sz w:val="48"/>
      </w:rPr>
      <w:tab/>
    </w:r>
    <w:r>
      <w:fldChar w:fldCharType="begin"/>
    </w:r>
    <w:r>
      <w:instrText xml:space="preserve"> PAGE  \* MERGEFORMAT </w:instrText>
    </w:r>
    <w:r>
      <w:fldChar w:fldCharType="separate"/>
    </w:r>
    <w:r w:rsidR="00C70E4F">
      <w:rPr>
        <w:noProof/>
      </w:rPr>
      <w:t>6</w:t>
    </w:r>
    <w:r>
      <w:fldChar w:fldCharType="end"/>
    </w:r>
    <w:r>
      <w:tab/>
    </w:r>
    <w:r w:rsidRPr="00B20153">
      <w:tab/>
    </w:r>
    <w:r w:rsidRPr="00B2015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Default="00B20153" w:rsidP="00B20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Pr="00CD78A3" w:rsidRDefault="006E6866" w:rsidP="00682F00">
      <w:pPr>
        <w:spacing w:before="0" w:after="0"/>
      </w:pPr>
      <w:r w:rsidRPr="00CD78A3">
        <w:separator/>
      </w:r>
    </w:p>
  </w:footnote>
  <w:footnote w:type="continuationSeparator" w:id="0">
    <w:p w:rsidR="006E6866" w:rsidRPr="00CD78A3" w:rsidRDefault="006E6866" w:rsidP="00682F00">
      <w:pPr>
        <w:spacing w:before="0" w:after="0"/>
      </w:pPr>
      <w:r w:rsidRPr="00CD78A3">
        <w:continuationSeparator/>
      </w:r>
    </w:p>
  </w:footnote>
  <w:footnote w:id="1">
    <w:p w:rsidR="00E52BFA" w:rsidRPr="00CD78A3" w:rsidRDefault="00E52BFA">
      <w:pPr>
        <w:pStyle w:val="FootnoteText"/>
      </w:pPr>
      <w:r w:rsidRPr="00CD78A3">
        <w:rPr>
          <w:rStyle w:val="FootnoteReference"/>
        </w:rPr>
        <w:footnoteRef/>
      </w:r>
      <w:r w:rsidRPr="00CD78A3">
        <w:tab/>
      </w:r>
      <w:bookmarkStart w:id="2" w:name="_Hlk209515231"/>
      <w:r w:rsidRPr="00CD78A3">
        <w:t>Decizia nr. 2 a Comitetului pentru comerț</w:t>
      </w:r>
      <w:r w:rsidR="00D34A13" w:rsidRPr="00CD78A3">
        <w:t xml:space="preserve"> </w:t>
      </w:r>
      <w:r w:rsidRPr="00CD78A3">
        <w:t>UE-Coreea din 23 decembrie 2011</w:t>
      </w:r>
      <w:bookmarkEnd w:id="2"/>
      <w:r w:rsidRPr="00CD78A3">
        <w:t xml:space="preserve"> privind întocmirea unei liste de arbitri menționate la articolul 14.18 din Acordul de liber schimb dintre Uniunea Europeană și statele membre ale acesteia, pe de o parte, și Republica Coreea, pe de altă parte.</w:t>
      </w:r>
    </w:p>
  </w:footnote>
  <w:footnote w:id="2">
    <w:p w:rsidR="00E52BFA" w:rsidRPr="00CD78A3" w:rsidRDefault="00E52BFA">
      <w:pPr>
        <w:pStyle w:val="FootnoteText"/>
      </w:pPr>
      <w:r w:rsidRPr="00CD78A3">
        <w:rPr>
          <w:rStyle w:val="FootnoteReference"/>
        </w:rPr>
        <w:footnoteRef/>
      </w:r>
      <w:r w:rsidRPr="00CD78A3">
        <w:tab/>
        <w:t>Decizia nr. 2/2012 a Comitetului UE-Coreea pentru comerț și dezvoltare durabilă din 27 iunie 2012 privind instituirea unui grup de experți menționat la articolul 13.15 din Acordul de liber schimb dintre Uniunea Europeană și statele membre ale acesteia, pe de o parte, și Republica Coreea, pe de altă parte.</w:t>
      </w:r>
    </w:p>
  </w:footnote>
  <w:footnote w:id="3">
    <w:p w:rsidR="00E52BFA" w:rsidRPr="00CD78A3" w:rsidRDefault="00E52BFA">
      <w:pPr>
        <w:pStyle w:val="FootnoteText"/>
      </w:pPr>
      <w:r w:rsidRPr="00CD78A3">
        <w:rPr>
          <w:rStyle w:val="FootnoteReference"/>
        </w:rPr>
        <w:footnoteRef/>
      </w:r>
      <w:r w:rsidRPr="00CD78A3">
        <w:tab/>
        <w:t>Decizia nr. 1/2019 a Comitetului UE-Coreea pentru comerț și dezvoltare durabilă din 30 septembrie 2019 privind o listă revizuită a experților care doresc și sunt în măsură să acționeze în calitate de membri ai grupului de experți în conformitate cu articolul 13.15 din acord.</w:t>
      </w:r>
    </w:p>
  </w:footnote>
  <w:footnote w:id="4">
    <w:p w:rsidR="00682F00" w:rsidRPr="00CD78A3" w:rsidRDefault="00682F00" w:rsidP="00817FA5">
      <w:pPr>
        <w:pStyle w:val="FootnoteText"/>
      </w:pPr>
      <w:r w:rsidRPr="00CD78A3">
        <w:rPr>
          <w:rStyle w:val="FootnoteReference"/>
        </w:rPr>
        <w:footnoteRef/>
      </w:r>
      <w:r w:rsidRPr="00CD78A3">
        <w:tab/>
        <w:t>Hotărârea Curții de Justiție din 7 octombrie 2014, Germania/Consiliu, C-399/12, ECLI:EU:C:2014:2258, punctele 61</w:t>
      </w:r>
      <w:r w:rsidR="00D34A13" w:rsidRPr="00CD78A3">
        <w:t>-</w:t>
      </w:r>
      <w:r w:rsidRPr="00CD78A3">
        <w:t xml:space="preserve">64. </w:t>
      </w:r>
    </w:p>
  </w:footnote>
  <w:footnote w:id="5">
    <w:p w:rsidR="00682F00" w:rsidRPr="00CD78A3" w:rsidRDefault="00682F00" w:rsidP="00817FA5">
      <w:pPr>
        <w:pStyle w:val="FootnoteText"/>
      </w:pPr>
      <w:r w:rsidRPr="00CD78A3">
        <w:rPr>
          <w:rStyle w:val="FootnoteReference"/>
        </w:rPr>
        <w:footnoteRef/>
      </w:r>
      <w:r w:rsidRPr="00CD78A3">
        <w:tab/>
        <w:t>JO L 127, 14.5.2011, p. 6.</w:t>
      </w:r>
    </w:p>
  </w:footnote>
  <w:footnote w:id="6">
    <w:p w:rsidR="007B0DAE" w:rsidRPr="00CD78A3" w:rsidRDefault="007B0DAE" w:rsidP="007B0DAE">
      <w:pPr>
        <w:pStyle w:val="FootnoteText"/>
      </w:pPr>
      <w:r w:rsidRPr="00CD78A3">
        <w:rPr>
          <w:rStyle w:val="FootnoteReference"/>
        </w:rPr>
        <w:footnoteRef/>
      </w:r>
      <w:r w:rsidRPr="00CD78A3">
        <w:tab/>
        <w:t>Decizia nr. 2 a Comitetului pentru comerț UE-Coreea din 23 decembrie 2011 privind stabilirea unei liste de arbitri menționate la articolul 14.18 din Acordul de liber schimb dintre Uniunea Europeană și statele membre ale acesteia, pe de o parte, și Republica Coreea, pe de altă parte.</w:t>
      </w:r>
    </w:p>
  </w:footnote>
  <w:footnote w:id="7">
    <w:p w:rsidR="006851C6" w:rsidRPr="00CD78A3" w:rsidRDefault="006851C6">
      <w:pPr>
        <w:pStyle w:val="FootnoteText"/>
      </w:pPr>
      <w:r w:rsidRPr="00CD78A3">
        <w:rPr>
          <w:rStyle w:val="FootnoteReference"/>
        </w:rPr>
        <w:footnoteRef/>
      </w:r>
      <w:r w:rsidRPr="00CD78A3">
        <w:tab/>
        <w:t>Decizia nr. 2/2012 a Comitetului UE-Coreea pentru comerț și dezvoltare durabilă din 27 iunie 2012 privind instituirea unui grup de experți menționat la articolul 13.15 din Acordul de liber schimb dintre Uniunea Europeană și statele membre ale acesteia, pe de o parte, și Republica Coreea, pe de altă parte.</w:t>
      </w:r>
    </w:p>
  </w:footnote>
  <w:footnote w:id="8">
    <w:p w:rsidR="00E31E41" w:rsidRPr="00D34A13" w:rsidRDefault="00E31E41" w:rsidP="00E31E41">
      <w:pPr>
        <w:pStyle w:val="FootnoteText"/>
        <w:rPr>
          <w:rStyle w:val="FootnoteReference"/>
          <w:vertAlign w:val="baseline"/>
        </w:rPr>
      </w:pPr>
      <w:r w:rsidRPr="00CD78A3">
        <w:rPr>
          <w:rStyle w:val="FootnoteReference"/>
        </w:rPr>
        <w:footnoteRef/>
      </w:r>
      <w:r w:rsidRPr="00CD78A3">
        <w:tab/>
      </w:r>
      <w:r w:rsidRPr="00CD78A3">
        <w:rPr>
          <w:rStyle w:val="FootnoteReference"/>
          <w:vertAlign w:val="baseline"/>
        </w:rPr>
        <w:t>Decizia nr. 1/2019 a Comitetului UE-Coreea pentru comerț și dezvoltare durabilă din 30 septembrie 2019 privind o listă revizuită a experților care doresc și sunt în măsură să acționeze în calitate de membri ai grupului de experți în conformitate cu articolul 13.15 din acord.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Default="00B20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153" w:rsidRDefault="00B201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6: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DD05C4B-9C1F-4C3D-A541-722F6E366D89"/>
    <w:docVar w:name="LW_COVERPAGE_TYPE" w:val="1"/>
    <w:docVar w:name="LW_CreatedUtc" w:val="2025-01-30T11:12:20.8982616Z"/>
    <w:docVar w:name="LW_CROSSREFERENCE" w:val="&lt;UNUSED&gt;"/>
    <w:docVar w:name="LW_DocType" w:val="COM"/>
    <w:docVar w:name="LW_EMISSION" w:val="28.5.2026"/>
    <w:docVar w:name="LW_EMISSION_ISODATE" w:val="2026-05-2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7"/>
    <w:docVar w:name="LW_REF.II.NEW.CP_YEAR" w:val="2026"/>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pentru comer\u539? instituit prin Acordul de liber schimb dintre Uniunea European\u259? \u537?i statele membre ale acesteia, pe de o parte, \u537?i Republica Coreea, pe de alt\u259? parte, în ceea ce prive\u537?te revizuirea listei persoanelor care doresc \u537?i sunt în m\u259?sur\u259? s\u259? ocupe func\u539?ia de arbitru în conformitate cu articolul 14.18 din acord \u537?i revizuirea listei exper\u539?ilor care doresc \u537?i sunt în m\u259?sur\u259? s\u259? ac\u539?ioneze în calitate de membri ai grupului de exper\u539?i în conformitate cu articolul 13.15 din acord"/>
    <w:docVar w:name="LW_TYPE.DOC.CP" w:val="DECIZIE A CONSILIULUI"/>
    <w:docVar w:name="LwApiVersions" w:val="LW4CoDe 1.24.5.0; LW 9.2, Build 20251112"/>
  </w:docVars>
  <w:rsids>
    <w:rsidRoot w:val="00682F00"/>
    <w:rsid w:val="00014F37"/>
    <w:rsid w:val="00032BC3"/>
    <w:rsid w:val="00041A81"/>
    <w:rsid w:val="000439C5"/>
    <w:rsid w:val="00052AC6"/>
    <w:rsid w:val="000666E1"/>
    <w:rsid w:val="00090E4E"/>
    <w:rsid w:val="00095C19"/>
    <w:rsid w:val="000D7220"/>
    <w:rsid w:val="000F2246"/>
    <w:rsid w:val="001065F5"/>
    <w:rsid w:val="001144B5"/>
    <w:rsid w:val="001238EF"/>
    <w:rsid w:val="001472C7"/>
    <w:rsid w:val="001530EE"/>
    <w:rsid w:val="001533C1"/>
    <w:rsid w:val="00154FC6"/>
    <w:rsid w:val="00155ECC"/>
    <w:rsid w:val="00184799"/>
    <w:rsid w:val="00185BFE"/>
    <w:rsid w:val="00186BF8"/>
    <w:rsid w:val="00186F36"/>
    <w:rsid w:val="001952F9"/>
    <w:rsid w:val="00197613"/>
    <w:rsid w:val="001A2540"/>
    <w:rsid w:val="001A5480"/>
    <w:rsid w:val="001B01FD"/>
    <w:rsid w:val="001C5AE0"/>
    <w:rsid w:val="00216ED0"/>
    <w:rsid w:val="00233DC7"/>
    <w:rsid w:val="00241560"/>
    <w:rsid w:val="00247779"/>
    <w:rsid w:val="00260B2C"/>
    <w:rsid w:val="00261AB0"/>
    <w:rsid w:val="00265FBF"/>
    <w:rsid w:val="00285BEE"/>
    <w:rsid w:val="0029533F"/>
    <w:rsid w:val="002A1C9F"/>
    <w:rsid w:val="002A7D6E"/>
    <w:rsid w:val="002B30AF"/>
    <w:rsid w:val="002C2B59"/>
    <w:rsid w:val="002E1A22"/>
    <w:rsid w:val="002F0DE3"/>
    <w:rsid w:val="0030099A"/>
    <w:rsid w:val="0032307A"/>
    <w:rsid w:val="0033344A"/>
    <w:rsid w:val="003D2908"/>
    <w:rsid w:val="003D34D1"/>
    <w:rsid w:val="003E78F6"/>
    <w:rsid w:val="003F503E"/>
    <w:rsid w:val="0041322C"/>
    <w:rsid w:val="0041449D"/>
    <w:rsid w:val="0042648E"/>
    <w:rsid w:val="0043173A"/>
    <w:rsid w:val="00433106"/>
    <w:rsid w:val="004477CD"/>
    <w:rsid w:val="00465AD5"/>
    <w:rsid w:val="004936D2"/>
    <w:rsid w:val="004968B3"/>
    <w:rsid w:val="004F12DE"/>
    <w:rsid w:val="00506E29"/>
    <w:rsid w:val="00507E29"/>
    <w:rsid w:val="0051700A"/>
    <w:rsid w:val="005360B1"/>
    <w:rsid w:val="005402FC"/>
    <w:rsid w:val="00546E2C"/>
    <w:rsid w:val="005503F5"/>
    <w:rsid w:val="00584AEF"/>
    <w:rsid w:val="005B1EB6"/>
    <w:rsid w:val="005B23AB"/>
    <w:rsid w:val="005B4009"/>
    <w:rsid w:val="005C697E"/>
    <w:rsid w:val="0060411E"/>
    <w:rsid w:val="0064690B"/>
    <w:rsid w:val="00655BD1"/>
    <w:rsid w:val="006714AB"/>
    <w:rsid w:val="00682F00"/>
    <w:rsid w:val="006851C6"/>
    <w:rsid w:val="006D3B9B"/>
    <w:rsid w:val="006E5247"/>
    <w:rsid w:val="006E6866"/>
    <w:rsid w:val="00706873"/>
    <w:rsid w:val="00710721"/>
    <w:rsid w:val="00730034"/>
    <w:rsid w:val="00770D15"/>
    <w:rsid w:val="00773331"/>
    <w:rsid w:val="007932EF"/>
    <w:rsid w:val="007B0DAE"/>
    <w:rsid w:val="007B2137"/>
    <w:rsid w:val="007C4AE1"/>
    <w:rsid w:val="007D725B"/>
    <w:rsid w:val="007D7346"/>
    <w:rsid w:val="007E05B0"/>
    <w:rsid w:val="007E1617"/>
    <w:rsid w:val="007E5E89"/>
    <w:rsid w:val="007F3497"/>
    <w:rsid w:val="00817FA5"/>
    <w:rsid w:val="00830B1C"/>
    <w:rsid w:val="008333A9"/>
    <w:rsid w:val="0083506D"/>
    <w:rsid w:val="0085419E"/>
    <w:rsid w:val="00866A43"/>
    <w:rsid w:val="00874D22"/>
    <w:rsid w:val="008936E7"/>
    <w:rsid w:val="008A2914"/>
    <w:rsid w:val="008D4A90"/>
    <w:rsid w:val="008E4D8E"/>
    <w:rsid w:val="008F5A9E"/>
    <w:rsid w:val="0091540B"/>
    <w:rsid w:val="00930872"/>
    <w:rsid w:val="009468C9"/>
    <w:rsid w:val="00953C1C"/>
    <w:rsid w:val="00965CA6"/>
    <w:rsid w:val="00977C46"/>
    <w:rsid w:val="00987FB0"/>
    <w:rsid w:val="009901C7"/>
    <w:rsid w:val="00991618"/>
    <w:rsid w:val="00A076B5"/>
    <w:rsid w:val="00A21E6F"/>
    <w:rsid w:val="00A6214F"/>
    <w:rsid w:val="00A733D9"/>
    <w:rsid w:val="00A85D23"/>
    <w:rsid w:val="00B20153"/>
    <w:rsid w:val="00B240F5"/>
    <w:rsid w:val="00B37A09"/>
    <w:rsid w:val="00B475C5"/>
    <w:rsid w:val="00B94C04"/>
    <w:rsid w:val="00B96A53"/>
    <w:rsid w:val="00BA0F86"/>
    <w:rsid w:val="00BB38E0"/>
    <w:rsid w:val="00BE1933"/>
    <w:rsid w:val="00BE50A9"/>
    <w:rsid w:val="00C12301"/>
    <w:rsid w:val="00C57118"/>
    <w:rsid w:val="00C66BAF"/>
    <w:rsid w:val="00C70E4F"/>
    <w:rsid w:val="00C80315"/>
    <w:rsid w:val="00C8209C"/>
    <w:rsid w:val="00CA35E3"/>
    <w:rsid w:val="00CB05DB"/>
    <w:rsid w:val="00CD24BC"/>
    <w:rsid w:val="00CD78A3"/>
    <w:rsid w:val="00CF4AA5"/>
    <w:rsid w:val="00D04951"/>
    <w:rsid w:val="00D20381"/>
    <w:rsid w:val="00D2125B"/>
    <w:rsid w:val="00D27714"/>
    <w:rsid w:val="00D34A13"/>
    <w:rsid w:val="00D467A1"/>
    <w:rsid w:val="00D46AC7"/>
    <w:rsid w:val="00D66842"/>
    <w:rsid w:val="00D729BC"/>
    <w:rsid w:val="00D8033D"/>
    <w:rsid w:val="00D81D27"/>
    <w:rsid w:val="00D8541E"/>
    <w:rsid w:val="00D90D2B"/>
    <w:rsid w:val="00D915C3"/>
    <w:rsid w:val="00DF5283"/>
    <w:rsid w:val="00E05050"/>
    <w:rsid w:val="00E10095"/>
    <w:rsid w:val="00E31E41"/>
    <w:rsid w:val="00E32DE2"/>
    <w:rsid w:val="00E408FF"/>
    <w:rsid w:val="00E45C1C"/>
    <w:rsid w:val="00E52BFA"/>
    <w:rsid w:val="00E62AAF"/>
    <w:rsid w:val="00E64B1A"/>
    <w:rsid w:val="00E96550"/>
    <w:rsid w:val="00ED1ADE"/>
    <w:rsid w:val="00ED5727"/>
    <w:rsid w:val="00EF15BA"/>
    <w:rsid w:val="00F3747B"/>
    <w:rsid w:val="00F406AC"/>
    <w:rsid w:val="00F412B9"/>
    <w:rsid w:val="00F55849"/>
    <w:rsid w:val="00F656A5"/>
    <w:rsid w:val="00F76A52"/>
    <w:rsid w:val="00F968FA"/>
    <w:rsid w:val="00F96F37"/>
    <w:rsid w:val="00FB0A80"/>
    <w:rsid w:val="00FB272A"/>
    <w:rsid w:val="00FC38F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docId w15:val="{196AE9B8-BE74-4FBB-8A64-65ABC0CF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eastAsia="en-GB"/>
    </w:rPr>
  </w:style>
  <w:style w:type="paragraph" w:styleId="ListBullet2">
    <w:name w:val="List Bullet 2"/>
    <w:basedOn w:val="Normal"/>
    <w:rsid w:val="00682F00"/>
    <w:pPr>
      <w:numPr>
        <w:numId w:val="8"/>
      </w:numPr>
    </w:pPr>
    <w:rPr>
      <w:rFonts w:eastAsia="Times New Roman"/>
      <w:lang w:eastAsia="en-GB"/>
    </w:rPr>
  </w:style>
  <w:style w:type="paragraph" w:styleId="ListBullet3">
    <w:name w:val="List Bullet 3"/>
    <w:basedOn w:val="Normal"/>
    <w:rsid w:val="00682F00"/>
    <w:pPr>
      <w:numPr>
        <w:numId w:val="9"/>
      </w:numPr>
    </w:pPr>
    <w:rPr>
      <w:rFonts w:eastAsia="Times New Roman"/>
      <w:lang w:eastAsia="en-GB"/>
    </w:rPr>
  </w:style>
  <w:style w:type="paragraph" w:styleId="ListNumber2">
    <w:name w:val="List Number 2"/>
    <w:basedOn w:val="Normal"/>
    <w:rsid w:val="00682F00"/>
    <w:pPr>
      <w:numPr>
        <w:numId w:val="13"/>
      </w:numPr>
    </w:pPr>
    <w:rPr>
      <w:rFonts w:eastAsia="Times New Roman"/>
      <w:lang w:eastAsia="en-GB"/>
    </w:rPr>
  </w:style>
  <w:style w:type="paragraph" w:styleId="ListNumber3">
    <w:name w:val="List Number 3"/>
    <w:basedOn w:val="Normal"/>
    <w:rsid w:val="00682F00"/>
    <w:pPr>
      <w:numPr>
        <w:numId w:val="14"/>
      </w:numPr>
    </w:pPr>
    <w:rPr>
      <w:rFonts w:eastAsia="Times New Roman"/>
      <w:lang w:eastAsia="en-GB"/>
    </w:rPr>
  </w:style>
  <w:style w:type="paragraph" w:styleId="ListNumber4">
    <w:name w:val="List Number 4"/>
    <w:basedOn w:val="Normal"/>
    <w:rsid w:val="00682F00"/>
    <w:pPr>
      <w:numPr>
        <w:numId w:val="15"/>
      </w:numPr>
    </w:pPr>
    <w:rPr>
      <w:rFonts w:eastAsia="Times New Roman"/>
      <w:lang w:eastAsia="en-GB"/>
    </w:rPr>
  </w:style>
  <w:style w:type="paragraph" w:customStyle="1" w:styleId="ListDash3">
    <w:name w:val="List Dash 3"/>
    <w:basedOn w:val="Normal"/>
    <w:rsid w:val="00682F00"/>
    <w:pPr>
      <w:numPr>
        <w:numId w:val="10"/>
      </w:numPr>
    </w:pPr>
    <w:rPr>
      <w:rFonts w:eastAsia="Times New Roman"/>
      <w:lang w:eastAsia="en-GB"/>
    </w:rPr>
  </w:style>
  <w:style w:type="paragraph" w:customStyle="1" w:styleId="ListDash4">
    <w:name w:val="List Dash 4"/>
    <w:basedOn w:val="Normal"/>
    <w:rsid w:val="00682F00"/>
    <w:pPr>
      <w:numPr>
        <w:numId w:val="11"/>
      </w:numPr>
    </w:pPr>
    <w:rPr>
      <w:rFonts w:eastAsia="Times New Roman"/>
      <w:lang w:eastAsia="en-GB"/>
    </w:rPr>
  </w:style>
  <w:style w:type="paragraph" w:customStyle="1" w:styleId="ListNumber1">
    <w:name w:val="List Number 1"/>
    <w:basedOn w:val="Text1"/>
    <w:rsid w:val="00682F00"/>
    <w:pPr>
      <w:numPr>
        <w:numId w:val="12"/>
      </w:numPr>
    </w:pPr>
    <w:rPr>
      <w:rFonts w:eastAsia="Times New Roman"/>
      <w:lang w:eastAsia="en-GB"/>
    </w:rPr>
  </w:style>
  <w:style w:type="paragraph" w:customStyle="1" w:styleId="ListNumber1Level2">
    <w:name w:val="List Number 1 (Level 2)"/>
    <w:basedOn w:val="Text1"/>
    <w:rsid w:val="00682F00"/>
    <w:pPr>
      <w:numPr>
        <w:ilvl w:val="1"/>
        <w:numId w:val="12"/>
      </w:numPr>
    </w:pPr>
    <w:rPr>
      <w:rFonts w:eastAsia="Times New Roman"/>
      <w:lang w:eastAsia="en-GB"/>
    </w:rPr>
  </w:style>
  <w:style w:type="paragraph" w:customStyle="1" w:styleId="ListNumber2Level2">
    <w:name w:val="List Number 2 (Level 2)"/>
    <w:basedOn w:val="Text2"/>
    <w:rsid w:val="00682F00"/>
    <w:pPr>
      <w:numPr>
        <w:ilvl w:val="1"/>
        <w:numId w:val="13"/>
      </w:numPr>
    </w:pPr>
    <w:rPr>
      <w:rFonts w:eastAsia="Times New Roman"/>
      <w:lang w:eastAsia="en-GB"/>
    </w:rPr>
  </w:style>
  <w:style w:type="paragraph" w:customStyle="1" w:styleId="ListNumber3Level2">
    <w:name w:val="List Number 3 (Level 2)"/>
    <w:basedOn w:val="Text3"/>
    <w:rsid w:val="00682F00"/>
    <w:pPr>
      <w:numPr>
        <w:ilvl w:val="1"/>
        <w:numId w:val="14"/>
      </w:numPr>
    </w:pPr>
    <w:rPr>
      <w:rFonts w:eastAsia="Times New Roman"/>
      <w:lang w:eastAsia="en-GB"/>
    </w:rPr>
  </w:style>
  <w:style w:type="paragraph" w:customStyle="1" w:styleId="ListNumber4Level2">
    <w:name w:val="List Number 4 (Level 2)"/>
    <w:basedOn w:val="Text4"/>
    <w:rsid w:val="00682F00"/>
    <w:pPr>
      <w:numPr>
        <w:ilvl w:val="1"/>
        <w:numId w:val="15"/>
      </w:numPr>
    </w:pPr>
    <w:rPr>
      <w:rFonts w:eastAsia="Times New Roman"/>
      <w:lang w:eastAsia="en-GB"/>
    </w:rPr>
  </w:style>
  <w:style w:type="paragraph" w:customStyle="1" w:styleId="ListNumber1Level3">
    <w:name w:val="List Number 1 (Level 3)"/>
    <w:basedOn w:val="Text1"/>
    <w:rsid w:val="00682F00"/>
    <w:pPr>
      <w:numPr>
        <w:ilvl w:val="2"/>
        <w:numId w:val="12"/>
      </w:numPr>
    </w:pPr>
    <w:rPr>
      <w:rFonts w:eastAsia="Times New Roman"/>
      <w:lang w:eastAsia="en-GB"/>
    </w:rPr>
  </w:style>
  <w:style w:type="paragraph" w:customStyle="1" w:styleId="ListNumber2Level3">
    <w:name w:val="List Number 2 (Level 3)"/>
    <w:basedOn w:val="Text2"/>
    <w:rsid w:val="00682F00"/>
    <w:pPr>
      <w:numPr>
        <w:ilvl w:val="2"/>
        <w:numId w:val="13"/>
      </w:numPr>
    </w:pPr>
    <w:rPr>
      <w:rFonts w:eastAsia="Times New Roman"/>
      <w:lang w:eastAsia="en-GB"/>
    </w:rPr>
  </w:style>
  <w:style w:type="paragraph" w:customStyle="1" w:styleId="ListNumber3Level3">
    <w:name w:val="List Number 3 (Level 3)"/>
    <w:basedOn w:val="Text3"/>
    <w:rsid w:val="00682F00"/>
    <w:pPr>
      <w:numPr>
        <w:ilvl w:val="2"/>
        <w:numId w:val="14"/>
      </w:numPr>
    </w:pPr>
    <w:rPr>
      <w:rFonts w:eastAsia="Times New Roman"/>
      <w:lang w:eastAsia="en-GB"/>
    </w:rPr>
  </w:style>
  <w:style w:type="paragraph" w:customStyle="1" w:styleId="ListNumber4Level3">
    <w:name w:val="List Number 4 (Level 3)"/>
    <w:basedOn w:val="Text4"/>
    <w:rsid w:val="00682F00"/>
    <w:pPr>
      <w:numPr>
        <w:ilvl w:val="2"/>
        <w:numId w:val="15"/>
      </w:numPr>
    </w:pPr>
    <w:rPr>
      <w:rFonts w:eastAsia="Times New Roman"/>
      <w:lang w:eastAsia="en-GB"/>
    </w:rPr>
  </w:style>
  <w:style w:type="paragraph" w:customStyle="1" w:styleId="ListNumber1Level4">
    <w:name w:val="List Number 1 (Level 4)"/>
    <w:basedOn w:val="Text1"/>
    <w:rsid w:val="00682F00"/>
    <w:pPr>
      <w:numPr>
        <w:ilvl w:val="3"/>
        <w:numId w:val="12"/>
      </w:numPr>
    </w:pPr>
    <w:rPr>
      <w:rFonts w:eastAsia="Times New Roman"/>
      <w:lang w:eastAsia="en-GB"/>
    </w:rPr>
  </w:style>
  <w:style w:type="paragraph" w:customStyle="1" w:styleId="ListNumber2Level4">
    <w:name w:val="List Number 2 (Level 4)"/>
    <w:basedOn w:val="Text2"/>
    <w:rsid w:val="00682F00"/>
    <w:pPr>
      <w:numPr>
        <w:ilvl w:val="3"/>
        <w:numId w:val="13"/>
      </w:numPr>
    </w:pPr>
    <w:rPr>
      <w:rFonts w:eastAsia="Times New Roman"/>
      <w:lang w:eastAsia="en-GB"/>
    </w:rPr>
  </w:style>
  <w:style w:type="paragraph" w:customStyle="1" w:styleId="ListNumber3Level4">
    <w:name w:val="List Number 3 (Level 4)"/>
    <w:basedOn w:val="Text3"/>
    <w:rsid w:val="00682F00"/>
    <w:pPr>
      <w:numPr>
        <w:ilvl w:val="3"/>
        <w:numId w:val="14"/>
      </w:numPr>
    </w:pPr>
    <w:rPr>
      <w:rFonts w:eastAsia="Times New Roman"/>
      <w:lang w:eastAsia="en-GB"/>
    </w:rPr>
  </w:style>
  <w:style w:type="paragraph" w:customStyle="1" w:styleId="ListNumber4Level4">
    <w:name w:val="List Number 4 (Level 4)"/>
    <w:basedOn w:val="Text4"/>
    <w:rsid w:val="00682F00"/>
    <w:pPr>
      <w:numPr>
        <w:ilvl w:val="3"/>
        <w:numId w:val="15"/>
      </w:numPr>
    </w:pPr>
    <w:rPr>
      <w:rFonts w:eastAsia="Times New Roman"/>
      <w:lang w:eastAsia="en-GB"/>
    </w:rPr>
  </w:style>
  <w:style w:type="paragraph" w:customStyle="1" w:styleId="Annexetitreacte">
    <w:name w:val="Annexe titre (acte)"/>
    <w:basedOn w:val="Normal"/>
    <w:next w:val="Normal"/>
    <w:rsid w:val="00682F00"/>
    <w:pPr>
      <w:jc w:val="center"/>
    </w:pPr>
    <w:rPr>
      <w:rFonts w:eastAsia="Times New Roman"/>
      <w:b/>
      <w:u w:val="single"/>
      <w:lang w:eastAsia="en-GB"/>
    </w:rPr>
  </w:style>
  <w:style w:type="paragraph" w:customStyle="1" w:styleId="Annexetitreexposglobal">
    <w:name w:val="Annexe titre (exposé global)"/>
    <w:basedOn w:val="Normal"/>
    <w:next w:val="Normal"/>
    <w:rsid w:val="00682F00"/>
    <w:pPr>
      <w:jc w:val="center"/>
    </w:pPr>
    <w:rPr>
      <w:rFonts w:eastAsia="Times New Roman"/>
      <w:b/>
      <w:u w:val="single"/>
      <w:lang w:eastAsia="en-GB"/>
    </w:rPr>
  </w:style>
  <w:style w:type="paragraph" w:customStyle="1" w:styleId="Annexetitrefichefinacte">
    <w:name w:val="Annexe titre (fiche fin. acte)"/>
    <w:basedOn w:val="Normal"/>
    <w:next w:val="Normal"/>
    <w:rsid w:val="00682F00"/>
    <w:pPr>
      <w:jc w:val="center"/>
    </w:pPr>
    <w:rPr>
      <w:rFonts w:eastAsia="Times New Roman"/>
      <w:b/>
      <w:u w:val="single"/>
      <w:lang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eastAsia="en-GB"/>
    </w:rPr>
  </w:style>
  <w:style w:type="paragraph" w:customStyle="1" w:styleId="Annexetitreglobale">
    <w:name w:val="Annexe titre (globale)"/>
    <w:basedOn w:val="Normal"/>
    <w:next w:val="Normal"/>
    <w:rsid w:val="00682F00"/>
    <w:pPr>
      <w:jc w:val="center"/>
    </w:pPr>
    <w:rPr>
      <w:rFonts w:eastAsia="Times New Roman"/>
      <w:b/>
      <w:u w:val="single"/>
      <w:lang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eastAsia="en-GB"/>
    </w:rPr>
  </w:style>
  <w:style w:type="paragraph" w:customStyle="1" w:styleId="Langueoriginale">
    <w:name w:val="Langue originale"/>
    <w:basedOn w:val="Normal"/>
    <w:rsid w:val="00682F00"/>
    <w:pPr>
      <w:spacing w:before="360"/>
      <w:jc w:val="center"/>
    </w:pPr>
    <w:rPr>
      <w:rFonts w:eastAsia="Times New Roman"/>
      <w:caps/>
      <w:lang w:eastAsia="en-GB"/>
    </w:rPr>
  </w:style>
  <w:style w:type="paragraph" w:customStyle="1" w:styleId="Phrasefinale">
    <w:name w:val="Phrase finale"/>
    <w:basedOn w:val="Normal"/>
    <w:next w:val="Normal"/>
    <w:rsid w:val="00682F00"/>
    <w:pPr>
      <w:spacing w:before="360" w:after="0"/>
      <w:jc w:val="center"/>
    </w:pPr>
    <w:rPr>
      <w:rFonts w:eastAsia="Times New Roman"/>
      <w:lang w:eastAsia="en-GB"/>
    </w:rPr>
  </w:style>
  <w:style w:type="paragraph" w:customStyle="1" w:styleId="Prliminairetitre">
    <w:name w:val="Préliminaire titre"/>
    <w:basedOn w:val="Normal"/>
    <w:next w:val="Normal"/>
    <w:rsid w:val="00682F00"/>
    <w:pPr>
      <w:spacing w:before="360" w:after="360"/>
      <w:jc w:val="center"/>
    </w:pPr>
    <w:rPr>
      <w:rFonts w:eastAsia="Times New Roman"/>
      <w:b/>
      <w:lang w:eastAsia="en-GB"/>
    </w:rPr>
  </w:style>
  <w:style w:type="paragraph" w:customStyle="1" w:styleId="Prliminairetype">
    <w:name w:val="Préliminaire type"/>
    <w:basedOn w:val="Normal"/>
    <w:next w:val="Normal"/>
    <w:rsid w:val="00682F0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eastAsia="en-GB"/>
    </w:rPr>
  </w:style>
  <w:style w:type="paragraph" w:customStyle="1" w:styleId="Sous-titreobjetprliminaire">
    <w:name w:val="Sous-titre objet (préliminaire)"/>
    <w:basedOn w:val="Normal"/>
    <w:rsid w:val="00682F00"/>
    <w:pPr>
      <w:spacing w:before="0" w:after="0"/>
      <w:jc w:val="center"/>
    </w:pPr>
    <w:rPr>
      <w:rFonts w:eastAsia="Times New Roman"/>
      <w:b/>
      <w:lang w:eastAsia="en-GB"/>
    </w:rPr>
  </w:style>
  <w:style w:type="paragraph" w:customStyle="1" w:styleId="Statutprliminaire">
    <w:name w:val="Statut (préliminaire)"/>
    <w:basedOn w:val="Normal"/>
    <w:next w:val="Normal"/>
    <w:rsid w:val="00682F00"/>
    <w:pPr>
      <w:spacing w:before="360" w:after="0"/>
      <w:jc w:val="center"/>
    </w:pPr>
    <w:rPr>
      <w:rFonts w:eastAsia="Times New Roman"/>
      <w:lang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682F0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ro-RO" w:eastAsia="en-GB"/>
    </w:rPr>
  </w:style>
  <w:style w:type="paragraph" w:styleId="Caption">
    <w:name w:val="caption"/>
    <w:basedOn w:val="Normal"/>
    <w:next w:val="Normal"/>
    <w:qFormat/>
    <w:rsid w:val="00682F00"/>
    <w:rPr>
      <w:rFonts w:eastAsia="Times New Roman"/>
      <w:b/>
      <w:bCs/>
      <w:sz w:val="20"/>
      <w:szCs w:val="20"/>
      <w:lang w:eastAsia="en-GB"/>
    </w:rPr>
  </w:style>
  <w:style w:type="paragraph" w:styleId="TableofFigures">
    <w:name w:val="table of figures"/>
    <w:basedOn w:val="Normal"/>
    <w:next w:val="Normal"/>
    <w:rsid w:val="00682F00"/>
    <w:rPr>
      <w:rFonts w:eastAsia="Times New Roman"/>
      <w:lang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ro-RO"/>
    </w:rPr>
  </w:style>
  <w:style w:type="character" w:customStyle="1" w:styleId="FooterCoverPageChar">
    <w:name w:val="Footer Cover Page Char"/>
    <w:link w:val="FooterCoverPage"/>
    <w:rsid w:val="00682F00"/>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ro-RO" w:eastAsia="en-GB"/>
    </w:rPr>
  </w:style>
  <w:style w:type="character" w:customStyle="1" w:styleId="FooterSensitivityChar">
    <w:name w:val="Footer Sensitivity Char"/>
    <w:rsid w:val="00682F00"/>
    <w:rPr>
      <w:rFonts w:ascii="Times New Roman" w:hAnsi="Times New Roman" w:cs="Times New Roman"/>
      <w:b/>
      <w:sz w:val="32"/>
      <w:lang w:val="ro-RO"/>
    </w:rPr>
  </w:style>
  <w:style w:type="character" w:customStyle="1" w:styleId="HeaderSensitivityChar">
    <w:name w:val="Header Sensitivity Char"/>
    <w:rsid w:val="00682F00"/>
    <w:rPr>
      <w:rFonts w:ascii="Times New Roman" w:hAnsi="Times New Roman" w:cs="Times New Roman"/>
      <w:b/>
      <w:sz w:val="32"/>
      <w:lang w:val="ro-RO"/>
    </w:rPr>
  </w:style>
  <w:style w:type="character" w:customStyle="1" w:styleId="HeaderSensitivityRightChar">
    <w:name w:val="Header Sensitivity Right Char"/>
    <w:rsid w:val="00682F00"/>
    <w:rPr>
      <w:rFonts w:ascii="Times New Roman" w:hAnsi="Times New Roman" w:cs="Times New Roman"/>
      <w:sz w:val="28"/>
      <w:lang w:val="ro-RO"/>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B20153"/>
    <w:rPr>
      <w:rFonts w:ascii="Times New Roman" w:hAnsi="Times New Roman" w:cs="Times New Roman"/>
      <w:sz w:val="24"/>
      <w:lang w:val="ro-RO"/>
    </w:rPr>
  </w:style>
  <w:style w:type="character" w:customStyle="1" w:styleId="FooterChar">
    <w:name w:val="Footer Char"/>
    <w:basedOn w:val="DefaultParagraphFont"/>
    <w:link w:val="Footer"/>
    <w:uiPriority w:val="99"/>
    <w:rsid w:val="00B2015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01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0153"/>
    <w:pPr>
      <w:spacing w:before="0"/>
      <w:jc w:val="right"/>
    </w:pPr>
    <w:rPr>
      <w:sz w:val="28"/>
    </w:rPr>
  </w:style>
  <w:style w:type="paragraph" w:customStyle="1" w:styleId="FooterSensitivity">
    <w:name w:val="Footer Sensitivity"/>
    <w:basedOn w:val="Normal"/>
    <w:rsid w:val="00B201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0153"/>
    <w:pPr>
      <w:tabs>
        <w:tab w:val="center" w:pos="4535"/>
        <w:tab w:val="right" w:pos="9071"/>
      </w:tabs>
      <w:spacing w:before="0"/>
    </w:pPr>
  </w:style>
  <w:style w:type="paragraph" w:customStyle="1" w:styleId="HeaderLandscape">
    <w:name w:val="HeaderLandscape"/>
    <w:basedOn w:val="Normal"/>
    <w:rsid w:val="00B20153"/>
    <w:pPr>
      <w:tabs>
        <w:tab w:val="center" w:pos="7285"/>
        <w:tab w:val="right" w:pos="14003"/>
      </w:tabs>
      <w:spacing w:before="0"/>
    </w:pPr>
  </w:style>
  <w:style w:type="paragraph" w:styleId="Footer">
    <w:name w:val="footer"/>
    <w:basedOn w:val="Normal"/>
    <w:link w:val="FooterChar"/>
    <w:uiPriority w:val="99"/>
    <w:unhideWhenUsed/>
    <w:rsid w:val="00B201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01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468748">
      <w:bodyDiv w:val="1"/>
      <w:marLeft w:val="0"/>
      <w:marRight w:val="0"/>
      <w:marTop w:val="0"/>
      <w:marBottom w:val="0"/>
      <w:divBdr>
        <w:top w:val="none" w:sz="0" w:space="0" w:color="auto"/>
        <w:left w:val="none" w:sz="0" w:space="0" w:color="auto"/>
        <w:bottom w:val="none" w:sz="0" w:space="0" w:color="auto"/>
        <w:right w:val="none" w:sz="0" w:space="0" w:color="auto"/>
      </w:divBdr>
      <w:divsChild>
        <w:div w:id="422385948">
          <w:marLeft w:val="0"/>
          <w:marRight w:val="0"/>
          <w:marTop w:val="0"/>
          <w:marBottom w:val="0"/>
          <w:divBdr>
            <w:top w:val="none" w:sz="0" w:space="0" w:color="auto"/>
            <w:left w:val="none" w:sz="0" w:space="0" w:color="auto"/>
            <w:bottom w:val="none" w:sz="0" w:space="0" w:color="auto"/>
            <w:right w:val="none" w:sz="0" w:space="0" w:color="auto"/>
          </w:divBdr>
          <w:divsChild>
            <w:div w:id="740903275">
              <w:marLeft w:val="0"/>
              <w:marRight w:val="0"/>
              <w:marTop w:val="0"/>
              <w:marBottom w:val="0"/>
              <w:divBdr>
                <w:top w:val="none" w:sz="0" w:space="0" w:color="auto"/>
                <w:left w:val="none" w:sz="0" w:space="0" w:color="auto"/>
                <w:bottom w:val="none" w:sz="0" w:space="0" w:color="auto"/>
                <w:right w:val="none" w:sz="0" w:space="0" w:color="auto"/>
              </w:divBdr>
              <w:divsChild>
                <w:div w:id="467472927">
                  <w:marLeft w:val="0"/>
                  <w:marRight w:val="0"/>
                  <w:marTop w:val="0"/>
                  <w:marBottom w:val="0"/>
                  <w:divBdr>
                    <w:top w:val="none" w:sz="0" w:space="0" w:color="auto"/>
                    <w:left w:val="none" w:sz="0" w:space="0" w:color="auto"/>
                    <w:bottom w:val="none" w:sz="0" w:space="0" w:color="auto"/>
                    <w:right w:val="none" w:sz="0" w:space="0" w:color="auto"/>
                  </w:divBdr>
                  <w:divsChild>
                    <w:div w:id="442501285">
                      <w:marLeft w:val="0"/>
                      <w:marRight w:val="0"/>
                      <w:marTop w:val="0"/>
                      <w:marBottom w:val="0"/>
                      <w:divBdr>
                        <w:top w:val="none" w:sz="0" w:space="0" w:color="auto"/>
                        <w:left w:val="none" w:sz="0" w:space="0" w:color="auto"/>
                        <w:bottom w:val="none" w:sz="0" w:space="0" w:color="auto"/>
                        <w:right w:val="none" w:sz="0" w:space="0" w:color="auto"/>
                      </w:divBdr>
                      <w:divsChild>
                        <w:div w:id="7266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554549">
      <w:bodyDiv w:val="1"/>
      <w:marLeft w:val="0"/>
      <w:marRight w:val="0"/>
      <w:marTop w:val="0"/>
      <w:marBottom w:val="0"/>
      <w:divBdr>
        <w:top w:val="none" w:sz="0" w:space="0" w:color="auto"/>
        <w:left w:val="none" w:sz="0" w:space="0" w:color="auto"/>
        <w:bottom w:val="none" w:sz="0" w:space="0" w:color="auto"/>
        <w:right w:val="none" w:sz="0" w:space="0" w:color="auto"/>
      </w:divBdr>
      <w:divsChild>
        <w:div w:id="124977235">
          <w:marLeft w:val="0"/>
          <w:marRight w:val="0"/>
          <w:marTop w:val="0"/>
          <w:marBottom w:val="0"/>
          <w:divBdr>
            <w:top w:val="none" w:sz="0" w:space="0" w:color="auto"/>
            <w:left w:val="none" w:sz="0" w:space="0" w:color="auto"/>
            <w:bottom w:val="none" w:sz="0" w:space="0" w:color="auto"/>
            <w:right w:val="none" w:sz="0" w:space="0" w:color="auto"/>
          </w:divBdr>
          <w:divsChild>
            <w:div w:id="528221998">
              <w:marLeft w:val="0"/>
              <w:marRight w:val="0"/>
              <w:marTop w:val="0"/>
              <w:marBottom w:val="0"/>
              <w:divBdr>
                <w:top w:val="none" w:sz="0" w:space="0" w:color="auto"/>
                <w:left w:val="none" w:sz="0" w:space="0" w:color="auto"/>
                <w:bottom w:val="none" w:sz="0" w:space="0" w:color="auto"/>
                <w:right w:val="none" w:sz="0" w:space="0" w:color="auto"/>
              </w:divBdr>
              <w:divsChild>
                <w:div w:id="1352533977">
                  <w:marLeft w:val="0"/>
                  <w:marRight w:val="0"/>
                  <w:marTop w:val="0"/>
                  <w:marBottom w:val="0"/>
                  <w:divBdr>
                    <w:top w:val="none" w:sz="0" w:space="0" w:color="auto"/>
                    <w:left w:val="none" w:sz="0" w:space="0" w:color="auto"/>
                    <w:bottom w:val="none" w:sz="0" w:space="0" w:color="auto"/>
                    <w:right w:val="none" w:sz="0" w:space="0" w:color="auto"/>
                  </w:divBdr>
                  <w:divsChild>
                    <w:div w:id="957176537">
                      <w:marLeft w:val="0"/>
                      <w:marRight w:val="0"/>
                      <w:marTop w:val="0"/>
                      <w:marBottom w:val="0"/>
                      <w:divBdr>
                        <w:top w:val="none" w:sz="0" w:space="0" w:color="auto"/>
                        <w:left w:val="none" w:sz="0" w:space="0" w:color="auto"/>
                        <w:bottom w:val="none" w:sz="0" w:space="0" w:color="auto"/>
                        <w:right w:val="none" w:sz="0" w:space="0" w:color="auto"/>
                      </w:divBdr>
                      <w:divsChild>
                        <w:div w:id="6277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BBDCF-0C48-449C-BD6D-F2D7BBF3E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7</Pages>
  <Words>1929</Words>
  <Characters>10998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2026-05-11T17:51:00Z</dcterms:created>
  <dcterms:modified xsi:type="dcterms:W3CDTF">2026-05-20T12:56:00Z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2025-02-27T16:42:18Z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f7f7b47f-d98a-4435-a1ad-dc4b2b208ff4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