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7F50D" w14:textId="1DB8509A" w:rsidR="00F351E6" w:rsidRPr="00575C33" w:rsidRDefault="00EE2EE6" w:rsidP="00EE2EE6">
      <w:pPr>
        <w:pStyle w:val="Pagedecouverture"/>
        <w:rPr>
          <w:noProof/>
          <w:lang w:val="en-IE"/>
        </w:rPr>
      </w:pPr>
      <w:bookmarkStart w:id="0" w:name="_Hlk122340132"/>
      <w:bookmarkStart w:id="1" w:name="LW_BM_COVERPAGE"/>
      <w:r>
        <w:rPr>
          <w:noProof/>
          <w:lang w:val="en-IE"/>
        </w:rPr>
        <w:pict w14:anchorId="688C0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2905A6-FA25-4CAB-A13E-D0D8A781D1C1" style="width:455.25pt;height:327.75pt">
            <v:imagedata r:id="rId11" o:title=""/>
          </v:shape>
        </w:pict>
      </w:r>
    </w:p>
    <w:bookmarkEnd w:id="1"/>
    <w:p w14:paraId="0EA0A15B" w14:textId="77777777" w:rsidR="00F351E6" w:rsidRPr="00575C33" w:rsidRDefault="00F351E6" w:rsidP="0023640F">
      <w:pPr>
        <w:rPr>
          <w:noProof/>
          <w:szCs w:val="24"/>
          <w:lang w:val="en-IE"/>
        </w:rPr>
        <w:sectPr w:rsidR="00F351E6" w:rsidRPr="00575C33" w:rsidSect="00EE2EE6">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bookmarkStart w:id="2" w:name="_GoBack"/>
    <w:bookmarkEnd w:id="2"/>
    <w:p w14:paraId="495F6B76" w14:textId="5528E374" w:rsidR="00564E78" w:rsidRDefault="00F351E6">
      <w:pPr>
        <w:pStyle w:val="TOC1"/>
        <w:rPr>
          <w:rFonts w:asciiTheme="minorHAnsi" w:eastAsiaTheme="minorEastAsia" w:hAnsiTheme="minorHAnsi" w:cstheme="minorBidi"/>
          <w:noProof/>
          <w:kern w:val="2"/>
          <w:szCs w:val="24"/>
          <w:lang w:val="en-IE" w:eastAsia="en-IE"/>
          <w14:ligatures w14:val="standardContextual"/>
        </w:rPr>
      </w:pPr>
      <w:r w:rsidRPr="00575C33">
        <w:rPr>
          <w:b/>
          <w:bCs/>
          <w:noProof/>
          <w:lang w:val="en-IE"/>
        </w:rPr>
        <w:lastRenderedPageBreak/>
        <w:fldChar w:fldCharType="begin"/>
      </w:r>
      <w:r w:rsidRPr="00575C33">
        <w:rPr>
          <w:b/>
          <w:bCs/>
          <w:noProof/>
          <w:lang w:val="en-IE"/>
        </w:rPr>
        <w:instrText xml:space="preserve"> TOC \o "1-3" \h \z \u  \* MERGEFORMAT </w:instrText>
      </w:r>
      <w:r w:rsidRPr="00575C33">
        <w:rPr>
          <w:b/>
          <w:bCs/>
          <w:noProof/>
          <w:lang w:val="en-IE"/>
        </w:rPr>
        <w:fldChar w:fldCharType="separate"/>
      </w:r>
      <w:hyperlink w:anchor="_Toc227243497" w:history="1">
        <w:r w:rsidR="00564E78" w:rsidRPr="00CB1F03">
          <w:rPr>
            <w:rStyle w:val="Hyperlink"/>
            <w:b/>
            <w:noProof/>
            <w:lang w:val="en-IE"/>
          </w:rPr>
          <w:t>LIST OF ABBREVIATIONS</w:t>
        </w:r>
        <w:r w:rsidR="00564E78">
          <w:rPr>
            <w:noProof/>
            <w:webHidden/>
          </w:rPr>
          <w:tab/>
        </w:r>
        <w:r w:rsidR="00564E78">
          <w:rPr>
            <w:noProof/>
            <w:webHidden/>
          </w:rPr>
          <w:fldChar w:fldCharType="begin"/>
        </w:r>
        <w:r w:rsidR="00564E78">
          <w:rPr>
            <w:noProof/>
            <w:webHidden/>
          </w:rPr>
          <w:instrText xml:space="preserve"> PAGEREF _Toc227243497 \h </w:instrText>
        </w:r>
        <w:r w:rsidR="00564E78">
          <w:rPr>
            <w:noProof/>
            <w:webHidden/>
          </w:rPr>
        </w:r>
        <w:r w:rsidR="00564E78">
          <w:rPr>
            <w:noProof/>
            <w:webHidden/>
          </w:rPr>
          <w:fldChar w:fldCharType="separate"/>
        </w:r>
        <w:r w:rsidR="00E121FF">
          <w:rPr>
            <w:noProof/>
            <w:webHidden/>
          </w:rPr>
          <w:t>2</w:t>
        </w:r>
        <w:r w:rsidR="00564E78">
          <w:rPr>
            <w:noProof/>
            <w:webHidden/>
          </w:rPr>
          <w:fldChar w:fldCharType="end"/>
        </w:r>
      </w:hyperlink>
    </w:p>
    <w:p w14:paraId="6CAA73D8" w14:textId="752D58AC" w:rsidR="00564E78" w:rsidRDefault="00EE2EE6">
      <w:pPr>
        <w:pStyle w:val="TOC1"/>
        <w:rPr>
          <w:rFonts w:asciiTheme="minorHAnsi" w:eastAsiaTheme="minorEastAsia" w:hAnsiTheme="minorHAnsi" w:cstheme="minorBidi"/>
          <w:noProof/>
          <w:kern w:val="2"/>
          <w:szCs w:val="24"/>
          <w:lang w:val="en-IE" w:eastAsia="en-IE"/>
          <w14:ligatures w14:val="standardContextual"/>
        </w:rPr>
      </w:pPr>
      <w:hyperlink w:anchor="_Toc227243498" w:history="1">
        <w:r w:rsidR="00564E78" w:rsidRPr="00CB1F03">
          <w:rPr>
            <w:rStyle w:val="Hyperlink"/>
            <w:b/>
            <w:noProof/>
            <w:lang w:val="en-IE"/>
          </w:rPr>
          <w:t>1.</w:t>
        </w:r>
        <w:r w:rsidR="00564E78">
          <w:rPr>
            <w:rFonts w:asciiTheme="minorHAnsi" w:eastAsiaTheme="minorEastAsia" w:hAnsiTheme="minorHAnsi" w:cstheme="minorBidi"/>
            <w:noProof/>
            <w:kern w:val="2"/>
            <w:szCs w:val="24"/>
            <w:lang w:val="en-IE" w:eastAsia="en-IE"/>
            <w14:ligatures w14:val="standardContextual"/>
          </w:rPr>
          <w:tab/>
        </w:r>
        <w:r w:rsidR="00564E78" w:rsidRPr="00CB1F03">
          <w:rPr>
            <w:rStyle w:val="Hyperlink"/>
            <w:b/>
            <w:noProof/>
            <w:lang w:val="en-IE"/>
          </w:rPr>
          <w:t>INTRODUCTION</w:t>
        </w:r>
        <w:r w:rsidR="00564E78">
          <w:rPr>
            <w:noProof/>
            <w:webHidden/>
          </w:rPr>
          <w:tab/>
        </w:r>
        <w:r w:rsidR="00564E78">
          <w:rPr>
            <w:noProof/>
            <w:webHidden/>
          </w:rPr>
          <w:fldChar w:fldCharType="begin"/>
        </w:r>
        <w:r w:rsidR="00564E78">
          <w:rPr>
            <w:noProof/>
            <w:webHidden/>
          </w:rPr>
          <w:instrText xml:space="preserve"> PAGEREF _Toc227243498 \h </w:instrText>
        </w:r>
        <w:r w:rsidR="00564E78">
          <w:rPr>
            <w:noProof/>
            <w:webHidden/>
          </w:rPr>
        </w:r>
        <w:r w:rsidR="00564E78">
          <w:rPr>
            <w:noProof/>
            <w:webHidden/>
          </w:rPr>
          <w:fldChar w:fldCharType="separate"/>
        </w:r>
        <w:r w:rsidR="00E121FF">
          <w:rPr>
            <w:noProof/>
            <w:webHidden/>
          </w:rPr>
          <w:t>3</w:t>
        </w:r>
        <w:r w:rsidR="00564E78">
          <w:rPr>
            <w:noProof/>
            <w:webHidden/>
          </w:rPr>
          <w:fldChar w:fldCharType="end"/>
        </w:r>
      </w:hyperlink>
    </w:p>
    <w:p w14:paraId="622B0779" w14:textId="59DD5295" w:rsidR="00564E78" w:rsidRDefault="00EE2EE6">
      <w:pPr>
        <w:pStyle w:val="TOC1"/>
        <w:rPr>
          <w:rFonts w:asciiTheme="minorHAnsi" w:eastAsiaTheme="minorEastAsia" w:hAnsiTheme="minorHAnsi" w:cstheme="minorBidi"/>
          <w:noProof/>
          <w:kern w:val="2"/>
          <w:szCs w:val="24"/>
          <w:lang w:val="en-IE" w:eastAsia="en-IE"/>
          <w14:ligatures w14:val="standardContextual"/>
        </w:rPr>
      </w:pPr>
      <w:hyperlink w:anchor="_Toc227243499" w:history="1">
        <w:r w:rsidR="00564E78" w:rsidRPr="00CB1F03">
          <w:rPr>
            <w:rStyle w:val="Hyperlink"/>
            <w:b/>
            <w:noProof/>
            <w:lang w:val="en-IE"/>
          </w:rPr>
          <w:t>2.</w:t>
        </w:r>
        <w:r w:rsidR="00564E78">
          <w:rPr>
            <w:rFonts w:asciiTheme="minorHAnsi" w:eastAsiaTheme="minorEastAsia" w:hAnsiTheme="minorHAnsi" w:cstheme="minorBidi"/>
            <w:noProof/>
            <w:kern w:val="2"/>
            <w:szCs w:val="24"/>
            <w:lang w:val="en-IE" w:eastAsia="en-IE"/>
            <w14:ligatures w14:val="standardContextual"/>
          </w:rPr>
          <w:tab/>
        </w:r>
        <w:r w:rsidR="00564E78" w:rsidRPr="00CB1F03">
          <w:rPr>
            <w:rStyle w:val="Hyperlink"/>
            <w:b/>
            <w:noProof/>
            <w:lang w:val="en-IE"/>
          </w:rPr>
          <w:t>DATA ASPECTS RELATING TO COMMODITY DERIVATIVES</w:t>
        </w:r>
        <w:r w:rsidR="00564E78">
          <w:rPr>
            <w:noProof/>
            <w:webHidden/>
          </w:rPr>
          <w:tab/>
        </w:r>
        <w:r w:rsidR="00564E78">
          <w:rPr>
            <w:noProof/>
            <w:webHidden/>
          </w:rPr>
          <w:fldChar w:fldCharType="begin"/>
        </w:r>
        <w:r w:rsidR="00564E78">
          <w:rPr>
            <w:noProof/>
            <w:webHidden/>
          </w:rPr>
          <w:instrText xml:space="preserve"> PAGEREF _Toc227243499 \h </w:instrText>
        </w:r>
        <w:r w:rsidR="00564E78">
          <w:rPr>
            <w:noProof/>
            <w:webHidden/>
          </w:rPr>
        </w:r>
        <w:r w:rsidR="00564E78">
          <w:rPr>
            <w:noProof/>
            <w:webHidden/>
          </w:rPr>
          <w:fldChar w:fldCharType="separate"/>
        </w:r>
        <w:r w:rsidR="00E121FF">
          <w:rPr>
            <w:noProof/>
            <w:webHidden/>
          </w:rPr>
          <w:t>4</w:t>
        </w:r>
        <w:r w:rsidR="00564E78">
          <w:rPr>
            <w:noProof/>
            <w:webHidden/>
          </w:rPr>
          <w:fldChar w:fldCharType="end"/>
        </w:r>
      </w:hyperlink>
    </w:p>
    <w:p w14:paraId="27CA9D47" w14:textId="54EAB4C0" w:rsidR="00564E78" w:rsidRDefault="00EE2EE6">
      <w:pPr>
        <w:pStyle w:val="TOC1"/>
        <w:rPr>
          <w:rFonts w:asciiTheme="minorHAnsi" w:eastAsiaTheme="minorEastAsia" w:hAnsiTheme="minorHAnsi" w:cstheme="minorBidi"/>
          <w:noProof/>
          <w:kern w:val="2"/>
          <w:szCs w:val="24"/>
          <w:lang w:val="en-IE" w:eastAsia="en-IE"/>
          <w14:ligatures w14:val="standardContextual"/>
        </w:rPr>
      </w:pPr>
      <w:hyperlink w:anchor="_Toc227243500" w:history="1">
        <w:r w:rsidR="00564E78" w:rsidRPr="00CB1F03">
          <w:rPr>
            <w:rStyle w:val="Hyperlink"/>
            <w:b/>
            <w:bCs/>
            <w:noProof/>
            <w:lang w:val="en-US" w:eastAsia="en-IE"/>
          </w:rPr>
          <w:t>3.</w:t>
        </w:r>
        <w:r w:rsidR="00564E78">
          <w:rPr>
            <w:rFonts w:asciiTheme="minorHAnsi" w:eastAsiaTheme="minorEastAsia" w:hAnsiTheme="minorHAnsi" w:cstheme="minorBidi"/>
            <w:noProof/>
            <w:kern w:val="2"/>
            <w:szCs w:val="24"/>
            <w:lang w:val="en-IE" w:eastAsia="en-IE"/>
            <w14:ligatures w14:val="standardContextual"/>
          </w:rPr>
          <w:tab/>
        </w:r>
        <w:r w:rsidR="00564E78" w:rsidRPr="00CB1F03">
          <w:rPr>
            <w:rStyle w:val="Hyperlink"/>
            <w:b/>
            <w:bCs/>
            <w:noProof/>
            <w:lang w:val="en-IE"/>
          </w:rPr>
          <w:t>T</w:t>
        </w:r>
        <w:r w:rsidR="00564E78" w:rsidRPr="00CB1F03">
          <w:rPr>
            <w:rStyle w:val="Hyperlink"/>
            <w:b/>
            <w:bCs/>
            <w:noProof/>
            <w:lang w:val="en-US" w:eastAsia="en-IE"/>
          </w:rPr>
          <w:t>HE ANCILLARY ACTIVITY EXEMPTION</w:t>
        </w:r>
        <w:r w:rsidR="00564E78">
          <w:rPr>
            <w:noProof/>
            <w:webHidden/>
          </w:rPr>
          <w:tab/>
        </w:r>
        <w:r w:rsidR="00564E78">
          <w:rPr>
            <w:noProof/>
            <w:webHidden/>
          </w:rPr>
          <w:fldChar w:fldCharType="begin"/>
        </w:r>
        <w:r w:rsidR="00564E78">
          <w:rPr>
            <w:noProof/>
            <w:webHidden/>
          </w:rPr>
          <w:instrText xml:space="preserve"> PAGEREF _Toc227243500 \h </w:instrText>
        </w:r>
        <w:r w:rsidR="00564E78">
          <w:rPr>
            <w:noProof/>
            <w:webHidden/>
          </w:rPr>
        </w:r>
        <w:r w:rsidR="00564E78">
          <w:rPr>
            <w:noProof/>
            <w:webHidden/>
          </w:rPr>
          <w:fldChar w:fldCharType="separate"/>
        </w:r>
        <w:r w:rsidR="00E121FF">
          <w:rPr>
            <w:noProof/>
            <w:webHidden/>
          </w:rPr>
          <w:t>8</w:t>
        </w:r>
        <w:r w:rsidR="00564E78">
          <w:rPr>
            <w:noProof/>
            <w:webHidden/>
          </w:rPr>
          <w:fldChar w:fldCharType="end"/>
        </w:r>
      </w:hyperlink>
    </w:p>
    <w:p w14:paraId="23006AFC" w14:textId="6A4338C5" w:rsidR="00564E78" w:rsidRDefault="00EE2EE6">
      <w:pPr>
        <w:pStyle w:val="TOC1"/>
        <w:rPr>
          <w:rFonts w:asciiTheme="minorHAnsi" w:eastAsiaTheme="minorEastAsia" w:hAnsiTheme="minorHAnsi" w:cstheme="minorBidi"/>
          <w:noProof/>
          <w:kern w:val="2"/>
          <w:szCs w:val="24"/>
          <w:lang w:val="en-IE" w:eastAsia="en-IE"/>
          <w14:ligatures w14:val="standardContextual"/>
        </w:rPr>
      </w:pPr>
      <w:hyperlink w:anchor="_Toc227243501" w:history="1">
        <w:r w:rsidR="00564E78" w:rsidRPr="00CB1F03">
          <w:rPr>
            <w:rStyle w:val="Hyperlink"/>
            <w:b/>
            <w:noProof/>
            <w:lang w:val="en-IE"/>
          </w:rPr>
          <w:t>4.</w:t>
        </w:r>
        <w:r w:rsidR="00564E78">
          <w:rPr>
            <w:rFonts w:asciiTheme="minorHAnsi" w:eastAsiaTheme="minorEastAsia" w:hAnsiTheme="minorHAnsi" w:cstheme="minorBidi"/>
            <w:noProof/>
            <w:kern w:val="2"/>
            <w:szCs w:val="24"/>
            <w:lang w:val="en-IE" w:eastAsia="en-IE"/>
            <w14:ligatures w14:val="standardContextual"/>
          </w:rPr>
          <w:tab/>
        </w:r>
        <w:r w:rsidR="00564E78" w:rsidRPr="00CB1F03">
          <w:rPr>
            <w:rStyle w:val="Hyperlink"/>
            <w:b/>
            <w:noProof/>
            <w:lang w:val="en-IE"/>
          </w:rPr>
          <w:t>POSITION LIMITS, POSITION MANAGEMENT CONTROLS AND POSITION REPORTING</w:t>
        </w:r>
        <w:r w:rsidR="00564E78">
          <w:rPr>
            <w:noProof/>
            <w:webHidden/>
          </w:rPr>
          <w:tab/>
        </w:r>
        <w:r w:rsidR="00564E78">
          <w:rPr>
            <w:noProof/>
            <w:webHidden/>
          </w:rPr>
          <w:fldChar w:fldCharType="begin"/>
        </w:r>
        <w:r w:rsidR="00564E78">
          <w:rPr>
            <w:noProof/>
            <w:webHidden/>
          </w:rPr>
          <w:instrText xml:space="preserve"> PAGEREF _Toc227243501 \h </w:instrText>
        </w:r>
        <w:r w:rsidR="00564E78">
          <w:rPr>
            <w:noProof/>
            <w:webHidden/>
          </w:rPr>
        </w:r>
        <w:r w:rsidR="00564E78">
          <w:rPr>
            <w:noProof/>
            <w:webHidden/>
          </w:rPr>
          <w:fldChar w:fldCharType="separate"/>
        </w:r>
        <w:r w:rsidR="00E121FF">
          <w:rPr>
            <w:noProof/>
            <w:webHidden/>
          </w:rPr>
          <w:t>12</w:t>
        </w:r>
        <w:r w:rsidR="00564E78">
          <w:rPr>
            <w:noProof/>
            <w:webHidden/>
          </w:rPr>
          <w:fldChar w:fldCharType="end"/>
        </w:r>
      </w:hyperlink>
    </w:p>
    <w:p w14:paraId="6215163E" w14:textId="1D8B61FF" w:rsidR="00564E78" w:rsidRDefault="00EE2EE6">
      <w:pPr>
        <w:pStyle w:val="TOC1"/>
        <w:rPr>
          <w:rFonts w:asciiTheme="minorHAnsi" w:eastAsiaTheme="minorEastAsia" w:hAnsiTheme="minorHAnsi" w:cstheme="minorBidi"/>
          <w:noProof/>
          <w:kern w:val="2"/>
          <w:szCs w:val="24"/>
          <w:lang w:val="en-IE" w:eastAsia="en-IE"/>
          <w14:ligatures w14:val="standardContextual"/>
        </w:rPr>
      </w:pPr>
      <w:hyperlink w:anchor="_Toc227243502" w:history="1">
        <w:r w:rsidR="00564E78" w:rsidRPr="00CB1F03">
          <w:rPr>
            <w:rStyle w:val="Hyperlink"/>
            <w:b/>
            <w:bCs/>
            <w:noProof/>
            <w:lang w:val="en-US" w:eastAsia="en-IE"/>
          </w:rPr>
          <w:t>5.</w:t>
        </w:r>
        <w:r w:rsidR="00564E78">
          <w:rPr>
            <w:rFonts w:asciiTheme="minorHAnsi" w:eastAsiaTheme="minorEastAsia" w:hAnsiTheme="minorHAnsi" w:cstheme="minorBidi"/>
            <w:noProof/>
            <w:kern w:val="2"/>
            <w:szCs w:val="24"/>
            <w:lang w:val="en-IE" w:eastAsia="en-IE"/>
            <w14:ligatures w14:val="standardContextual"/>
          </w:rPr>
          <w:tab/>
        </w:r>
        <w:r w:rsidR="00564E78" w:rsidRPr="00CB1F03">
          <w:rPr>
            <w:rStyle w:val="Hyperlink"/>
            <w:b/>
            <w:bCs/>
            <w:noProof/>
            <w:lang w:val="en-US" w:eastAsia="en-IE"/>
          </w:rPr>
          <w:t>CONCLUSIONS</w:t>
        </w:r>
        <w:r w:rsidR="00564E78">
          <w:rPr>
            <w:noProof/>
            <w:webHidden/>
          </w:rPr>
          <w:tab/>
        </w:r>
        <w:r w:rsidR="00564E78">
          <w:rPr>
            <w:noProof/>
            <w:webHidden/>
          </w:rPr>
          <w:fldChar w:fldCharType="begin"/>
        </w:r>
        <w:r w:rsidR="00564E78">
          <w:rPr>
            <w:noProof/>
            <w:webHidden/>
          </w:rPr>
          <w:instrText xml:space="preserve"> PAGEREF _Toc227243502 \h </w:instrText>
        </w:r>
        <w:r w:rsidR="00564E78">
          <w:rPr>
            <w:noProof/>
            <w:webHidden/>
          </w:rPr>
        </w:r>
        <w:r w:rsidR="00564E78">
          <w:rPr>
            <w:noProof/>
            <w:webHidden/>
          </w:rPr>
          <w:fldChar w:fldCharType="separate"/>
        </w:r>
        <w:r w:rsidR="00E121FF">
          <w:rPr>
            <w:noProof/>
            <w:webHidden/>
          </w:rPr>
          <w:t>17</w:t>
        </w:r>
        <w:r w:rsidR="00564E78">
          <w:rPr>
            <w:noProof/>
            <w:webHidden/>
          </w:rPr>
          <w:fldChar w:fldCharType="end"/>
        </w:r>
      </w:hyperlink>
    </w:p>
    <w:p w14:paraId="4EF77561" w14:textId="5E033A6A" w:rsidR="46AC4051" w:rsidRPr="00795E8F" w:rsidRDefault="00F351E6" w:rsidP="007065F7">
      <w:pPr>
        <w:keepNext/>
        <w:keepLines/>
        <w:outlineLvl w:val="0"/>
        <w:rPr>
          <w:b/>
          <w:noProof/>
          <w:lang w:val="en-IE"/>
        </w:rPr>
      </w:pPr>
      <w:r w:rsidRPr="00575C33">
        <w:rPr>
          <w:noProof/>
          <w:lang w:val="en-IE"/>
        </w:rPr>
        <w:fldChar w:fldCharType="end"/>
      </w:r>
      <w:r w:rsidRPr="00575C33">
        <w:rPr>
          <w:noProof/>
          <w:lang w:val="en-IE"/>
        </w:rPr>
        <w:br w:type="page"/>
      </w:r>
      <w:bookmarkStart w:id="3" w:name="_Toc227243497"/>
      <w:r w:rsidR="46AC4051" w:rsidRPr="00795E8F">
        <w:rPr>
          <w:b/>
          <w:noProof/>
          <w:lang w:val="en-IE"/>
        </w:rPr>
        <w:t>LIST OF ABBREVIATIONS</w:t>
      </w:r>
      <w:bookmarkEnd w:id="3"/>
    </w:p>
    <w:p w14:paraId="692FA462" w14:textId="77777777" w:rsidR="00AC60EB" w:rsidRDefault="00AC60EB" w:rsidP="00AC60EB">
      <w:pPr>
        <w:tabs>
          <w:tab w:val="left" w:pos="660"/>
          <w:tab w:val="right" w:leader="dot" w:pos="9062"/>
        </w:tabs>
        <w:spacing w:line="259" w:lineRule="auto"/>
        <w:rPr>
          <w:noProof/>
        </w:rPr>
      </w:pPr>
    </w:p>
    <w:p w14:paraId="66667F0F" w14:textId="0DFFA2B4" w:rsidR="39182F7A" w:rsidRDefault="003166F1" w:rsidP="00AC60EB">
      <w:pPr>
        <w:tabs>
          <w:tab w:val="left" w:pos="660"/>
          <w:tab w:val="right" w:leader="dot" w:pos="9062"/>
        </w:tabs>
        <w:spacing w:line="259" w:lineRule="auto"/>
        <w:rPr>
          <w:noProof/>
        </w:rPr>
      </w:pPr>
      <w:r>
        <w:rPr>
          <w:noProof/>
        </w:rPr>
        <w:t xml:space="preserve">AAE: </w:t>
      </w:r>
      <w:r w:rsidR="39182F7A">
        <w:rPr>
          <w:noProof/>
        </w:rPr>
        <w:t>Ancillary Activity Exemption</w:t>
      </w:r>
    </w:p>
    <w:p w14:paraId="5D147564" w14:textId="00A3085D" w:rsidR="38AB0CA8" w:rsidRPr="00575C33" w:rsidRDefault="38AB0CA8" w:rsidP="00AC60EB">
      <w:pPr>
        <w:tabs>
          <w:tab w:val="left" w:pos="660"/>
          <w:tab w:val="right" w:leader="dot" w:pos="9062"/>
        </w:tabs>
        <w:spacing w:line="259" w:lineRule="auto"/>
        <w:rPr>
          <w:noProof/>
          <w:lang w:val="en-IE"/>
        </w:rPr>
      </w:pPr>
      <w:r w:rsidRPr="00575C33">
        <w:rPr>
          <w:noProof/>
          <w:lang w:val="en-IE"/>
        </w:rPr>
        <w:t>ACER:</w:t>
      </w:r>
      <w:r w:rsidR="53652A1A" w:rsidRPr="00575C33">
        <w:rPr>
          <w:noProof/>
          <w:lang w:val="en-IE"/>
        </w:rPr>
        <w:t xml:space="preserve"> </w:t>
      </w:r>
      <w:r w:rsidR="2D14F9BB" w:rsidRPr="00575C33">
        <w:rPr>
          <w:noProof/>
          <w:lang w:val="en-IE"/>
        </w:rPr>
        <w:t>Agency for the Coope</w:t>
      </w:r>
      <w:r w:rsidR="2D14F9BB" w:rsidRPr="60A9EDCA">
        <w:rPr>
          <w:noProof/>
          <w:szCs w:val="24"/>
          <w:lang w:val="en-IE"/>
        </w:rPr>
        <w:t>ration of Energy Regulators</w:t>
      </w:r>
    </w:p>
    <w:p w14:paraId="4FFE9A77" w14:textId="221D4D01" w:rsidR="40BCE0E6" w:rsidRDefault="40BCE0E6" w:rsidP="00AC60EB">
      <w:pPr>
        <w:tabs>
          <w:tab w:val="left" w:pos="660"/>
          <w:tab w:val="right" w:leader="dot" w:pos="9062"/>
        </w:tabs>
        <w:spacing w:line="259" w:lineRule="auto"/>
        <w:rPr>
          <w:rFonts w:eastAsia="Calibri"/>
          <w:noProof/>
        </w:rPr>
      </w:pPr>
      <w:r>
        <w:rPr>
          <w:rFonts w:eastAsia="Calibri"/>
          <w:noProof/>
        </w:rPr>
        <w:t xml:space="preserve">CDR 2022/1299: Commission Delegated Regulation (EU) 2022/1299 </w:t>
      </w:r>
    </w:p>
    <w:p w14:paraId="16B36BC7" w14:textId="14D2580C" w:rsidR="31770067" w:rsidRDefault="31770067" w:rsidP="00AC60EB">
      <w:pPr>
        <w:tabs>
          <w:tab w:val="left" w:pos="660"/>
          <w:tab w:val="right" w:leader="dot" w:pos="9062"/>
        </w:tabs>
        <w:spacing w:line="259" w:lineRule="auto"/>
        <w:rPr>
          <w:noProof/>
          <w:lang w:val="en-IE"/>
        </w:rPr>
      </w:pPr>
      <w:r w:rsidRPr="5D91100D">
        <w:rPr>
          <w:noProof/>
          <w:lang w:val="en-IE"/>
        </w:rPr>
        <w:t>CFTC</w:t>
      </w:r>
      <w:r w:rsidRPr="160DDD51">
        <w:rPr>
          <w:noProof/>
          <w:lang w:val="en-IE"/>
        </w:rPr>
        <w:t xml:space="preserve">: </w:t>
      </w:r>
      <w:r w:rsidRPr="5D25295B">
        <w:rPr>
          <w:noProof/>
          <w:lang w:val="en-IE"/>
        </w:rPr>
        <w:t xml:space="preserve">Commodities and Futures Trading Commission </w:t>
      </w:r>
    </w:p>
    <w:p w14:paraId="7C217CF6" w14:textId="53522692" w:rsidR="167BDA6A" w:rsidRPr="00575C33" w:rsidRDefault="167BDA6A" w:rsidP="00AC60EB">
      <w:pPr>
        <w:tabs>
          <w:tab w:val="left" w:pos="660"/>
          <w:tab w:val="right" w:leader="dot" w:pos="9062"/>
        </w:tabs>
        <w:spacing w:line="259" w:lineRule="auto"/>
        <w:rPr>
          <w:noProof/>
          <w:lang w:val="en-IE"/>
        </w:rPr>
      </w:pPr>
      <w:r w:rsidRPr="00575C33">
        <w:rPr>
          <w:noProof/>
          <w:lang w:val="en-IE"/>
        </w:rPr>
        <w:t>CMRP:</w:t>
      </w:r>
      <w:r w:rsidR="77B441CB" w:rsidRPr="00575C33">
        <w:rPr>
          <w:noProof/>
          <w:lang w:val="en-IE"/>
        </w:rPr>
        <w:t xml:space="preserve"> </w:t>
      </w:r>
      <w:r w:rsidRPr="45FCBE8E">
        <w:rPr>
          <w:noProof/>
          <w:szCs w:val="24"/>
          <w:lang w:val="en-IE"/>
        </w:rPr>
        <w:t>Capital Markets Recovery Package</w:t>
      </w:r>
      <w:r w:rsidR="71DC9336" w:rsidRPr="2DA31742">
        <w:rPr>
          <w:noProof/>
          <w:lang w:val="en-IE"/>
        </w:rPr>
        <w:t xml:space="preserve"> (Directive (EU) 2021/338)</w:t>
      </w:r>
    </w:p>
    <w:p w14:paraId="0E7C4DC5" w14:textId="5831E433" w:rsidR="20EF4877" w:rsidRPr="00575C33" w:rsidRDefault="65501041" w:rsidP="00AC60EB">
      <w:pPr>
        <w:tabs>
          <w:tab w:val="left" w:pos="660"/>
          <w:tab w:val="right" w:leader="dot" w:pos="9062"/>
        </w:tabs>
        <w:spacing w:line="259" w:lineRule="auto"/>
        <w:rPr>
          <w:noProof/>
        </w:rPr>
      </w:pPr>
      <w:r>
        <w:rPr>
          <w:noProof/>
        </w:rPr>
        <w:t xml:space="preserve">EEOTC: </w:t>
      </w:r>
      <w:r w:rsidR="568AF8EF">
        <w:rPr>
          <w:noProof/>
        </w:rPr>
        <w:t>e</w:t>
      </w:r>
      <w:r>
        <w:rPr>
          <w:noProof/>
        </w:rPr>
        <w:t xml:space="preserve">conomically equivalent </w:t>
      </w:r>
      <w:r w:rsidR="568AF8EF">
        <w:rPr>
          <w:noProof/>
        </w:rPr>
        <w:t>o</w:t>
      </w:r>
      <w:r>
        <w:rPr>
          <w:noProof/>
        </w:rPr>
        <w:t>ver-</w:t>
      </w:r>
      <w:r w:rsidR="568AF8EF">
        <w:rPr>
          <w:noProof/>
        </w:rPr>
        <w:t>t</w:t>
      </w:r>
      <w:r>
        <w:rPr>
          <w:noProof/>
        </w:rPr>
        <w:t>he-</w:t>
      </w:r>
      <w:r w:rsidR="568AF8EF">
        <w:rPr>
          <w:noProof/>
        </w:rPr>
        <w:t>c</w:t>
      </w:r>
      <w:r>
        <w:rPr>
          <w:noProof/>
        </w:rPr>
        <w:t>ounter contract</w:t>
      </w:r>
    </w:p>
    <w:p w14:paraId="17F495AD" w14:textId="1A1DA44C" w:rsidR="20EF4877" w:rsidRPr="00575C33" w:rsidRDefault="20EF4877" w:rsidP="00AC60EB">
      <w:pPr>
        <w:tabs>
          <w:tab w:val="left" w:pos="660"/>
          <w:tab w:val="right" w:leader="dot" w:pos="9062"/>
        </w:tabs>
        <w:spacing w:line="259" w:lineRule="auto"/>
        <w:rPr>
          <w:noProof/>
        </w:rPr>
      </w:pPr>
      <w:r w:rsidRPr="45FCBE8E">
        <w:rPr>
          <w:noProof/>
          <w:lang w:val="en-IE"/>
        </w:rPr>
        <w:t>EMIR:</w:t>
      </w:r>
      <w:r w:rsidR="7AB0CFF5" w:rsidRPr="00575C33">
        <w:rPr>
          <w:noProof/>
          <w:lang w:val="en-IE"/>
        </w:rPr>
        <w:t xml:space="preserve"> </w:t>
      </w:r>
      <w:r w:rsidR="5C2C9309" w:rsidRPr="2B89A98F">
        <w:rPr>
          <w:noProof/>
          <w:lang w:val="en-IE"/>
        </w:rPr>
        <w:t xml:space="preserve">European Market Infrastructure Regulation </w:t>
      </w:r>
      <w:r w:rsidR="4DE131AC" w:rsidRPr="2B89A98F">
        <w:rPr>
          <w:noProof/>
          <w:lang w:val="en-IE"/>
        </w:rPr>
        <w:t>(</w:t>
      </w:r>
      <w:r w:rsidR="13824283" w:rsidRPr="00575C33">
        <w:rPr>
          <w:noProof/>
        </w:rPr>
        <w:t>Regulation (EU) 648/2012</w:t>
      </w:r>
      <w:r w:rsidR="753AEB5B">
        <w:rPr>
          <w:noProof/>
        </w:rPr>
        <w:t>)</w:t>
      </w:r>
    </w:p>
    <w:p w14:paraId="56306910" w14:textId="3BFD3EBA" w:rsidR="7849FB70" w:rsidRPr="00575C33" w:rsidRDefault="7849FB70" w:rsidP="00AC60EB">
      <w:pPr>
        <w:tabs>
          <w:tab w:val="left" w:pos="660"/>
          <w:tab w:val="right" w:leader="dot" w:pos="9062"/>
        </w:tabs>
        <w:spacing w:line="259" w:lineRule="auto"/>
        <w:rPr>
          <w:noProof/>
          <w:lang w:val="en-IE"/>
        </w:rPr>
      </w:pPr>
      <w:r w:rsidRPr="00575C33">
        <w:rPr>
          <w:noProof/>
          <w:lang w:val="en-IE"/>
        </w:rPr>
        <w:t xml:space="preserve">ESMA: </w:t>
      </w:r>
      <w:r w:rsidR="2BBC36D6" w:rsidRPr="00575C33">
        <w:rPr>
          <w:noProof/>
          <w:lang w:val="en-IE"/>
        </w:rPr>
        <w:t>European Securities and Markets Authority</w:t>
      </w:r>
    </w:p>
    <w:p w14:paraId="72BB6FFA" w14:textId="55409817" w:rsidR="115A38B2" w:rsidRPr="00575C33" w:rsidRDefault="641432F0" w:rsidP="00AC60EB">
      <w:pPr>
        <w:tabs>
          <w:tab w:val="left" w:pos="660"/>
          <w:tab w:val="right" w:leader="dot" w:pos="9062"/>
        </w:tabs>
        <w:spacing w:line="259" w:lineRule="auto"/>
        <w:rPr>
          <w:noProof/>
          <w:lang w:val="en-IE"/>
        </w:rPr>
      </w:pPr>
      <w:r w:rsidRPr="21CB014D">
        <w:rPr>
          <w:noProof/>
          <w:lang w:val="en-IE"/>
        </w:rPr>
        <w:t>EU: European Union</w:t>
      </w:r>
    </w:p>
    <w:p w14:paraId="202B024C" w14:textId="0E7A52E6" w:rsidR="36990A30" w:rsidRPr="00575C33" w:rsidRDefault="18BA6022" w:rsidP="00AC60EB">
      <w:pPr>
        <w:tabs>
          <w:tab w:val="left" w:pos="660"/>
          <w:tab w:val="right" w:leader="dot" w:pos="9062"/>
        </w:tabs>
        <w:rPr>
          <w:noProof/>
          <w:lang w:val="en-IE"/>
        </w:rPr>
      </w:pPr>
      <w:r w:rsidRPr="21CB014D">
        <w:rPr>
          <w:noProof/>
          <w:lang w:val="en-IE"/>
        </w:rPr>
        <w:t>EUA</w:t>
      </w:r>
      <w:r w:rsidR="33910B72" w:rsidRPr="21CB014D">
        <w:rPr>
          <w:noProof/>
          <w:lang w:val="en-IE"/>
        </w:rPr>
        <w:t>:</w:t>
      </w:r>
      <w:r w:rsidR="36990A30">
        <w:rPr>
          <w:noProof/>
        </w:rPr>
        <w:tab/>
      </w:r>
      <w:r w:rsidRPr="21CB014D">
        <w:rPr>
          <w:noProof/>
          <w:lang w:val="en-IE"/>
        </w:rPr>
        <w:t xml:space="preserve">European Union </w:t>
      </w:r>
      <w:r w:rsidR="568AF8EF" w:rsidRPr="21CB014D">
        <w:rPr>
          <w:noProof/>
          <w:lang w:val="en-IE"/>
        </w:rPr>
        <w:t>a</w:t>
      </w:r>
      <w:r w:rsidRPr="21CB014D">
        <w:rPr>
          <w:noProof/>
          <w:lang w:val="en-IE"/>
        </w:rPr>
        <w:t>llowance under the EU Emissions Trading System</w:t>
      </w:r>
    </w:p>
    <w:p w14:paraId="5BF5D155" w14:textId="146308E9" w:rsidR="6A2CA77B" w:rsidRPr="00575C33" w:rsidRDefault="6BA28DE5" w:rsidP="00AC60EB">
      <w:pPr>
        <w:tabs>
          <w:tab w:val="left" w:pos="660"/>
          <w:tab w:val="right" w:leader="dot" w:pos="9062"/>
        </w:tabs>
        <w:rPr>
          <w:noProof/>
          <w:lang w:val="en-IE"/>
        </w:rPr>
      </w:pPr>
      <w:r w:rsidRPr="21CB014D">
        <w:rPr>
          <w:noProof/>
          <w:lang w:val="en-IE"/>
        </w:rPr>
        <w:t>ETS</w:t>
      </w:r>
      <w:r w:rsidR="7F8EDD22" w:rsidRPr="21CB014D">
        <w:rPr>
          <w:noProof/>
          <w:lang w:val="en-IE"/>
        </w:rPr>
        <w:t>:</w:t>
      </w:r>
      <w:r w:rsidR="6A2CA77B">
        <w:rPr>
          <w:noProof/>
        </w:rPr>
        <w:tab/>
      </w:r>
      <w:r w:rsidRPr="21CB014D">
        <w:rPr>
          <w:noProof/>
          <w:lang w:val="en-IE"/>
        </w:rPr>
        <w:t xml:space="preserve">EU </w:t>
      </w:r>
      <w:r w:rsidR="3036F7BF" w:rsidRPr="21CB014D">
        <w:rPr>
          <w:noProof/>
          <w:lang w:val="en-IE"/>
        </w:rPr>
        <w:t>e</w:t>
      </w:r>
      <w:r w:rsidRPr="21CB014D">
        <w:rPr>
          <w:noProof/>
          <w:lang w:val="en-IE"/>
        </w:rPr>
        <w:t xml:space="preserve">missions </w:t>
      </w:r>
      <w:r w:rsidR="3036F7BF" w:rsidRPr="21CB014D">
        <w:rPr>
          <w:noProof/>
          <w:lang w:val="en-IE"/>
        </w:rPr>
        <w:t>t</w:t>
      </w:r>
      <w:r w:rsidRPr="21CB014D">
        <w:rPr>
          <w:noProof/>
          <w:lang w:val="en-IE"/>
        </w:rPr>
        <w:t xml:space="preserve">rading </w:t>
      </w:r>
      <w:r w:rsidR="3036F7BF" w:rsidRPr="21CB014D">
        <w:rPr>
          <w:noProof/>
          <w:lang w:val="en-IE"/>
        </w:rPr>
        <w:t>s</w:t>
      </w:r>
      <w:r w:rsidRPr="21CB014D">
        <w:rPr>
          <w:noProof/>
          <w:lang w:val="en-IE"/>
        </w:rPr>
        <w:t>ystem</w:t>
      </w:r>
    </w:p>
    <w:p w14:paraId="1271DC24" w14:textId="6EC6AC5B" w:rsidR="5DC649DC" w:rsidRDefault="62A3AEF3" w:rsidP="00AC60EB">
      <w:pPr>
        <w:tabs>
          <w:tab w:val="left" w:pos="660"/>
          <w:tab w:val="right" w:leader="dot" w:pos="9062"/>
        </w:tabs>
        <w:rPr>
          <w:noProof/>
          <w:lang w:val="en-IE"/>
        </w:rPr>
      </w:pPr>
      <w:r w:rsidRPr="21CB014D">
        <w:rPr>
          <w:noProof/>
          <w:lang w:val="en-IE"/>
        </w:rPr>
        <w:t>IFD: Directive on the prudential requirements of investment firms</w:t>
      </w:r>
      <w:r w:rsidR="4C27740D" w:rsidRPr="21CB014D">
        <w:rPr>
          <w:noProof/>
          <w:lang w:val="en-IE"/>
        </w:rPr>
        <w:t xml:space="preserve"> (Directive (EU) 2019/2034</w:t>
      </w:r>
      <w:r w:rsidRPr="21CB014D">
        <w:rPr>
          <w:noProof/>
          <w:lang w:val="en-IE"/>
        </w:rPr>
        <w:t>)</w:t>
      </w:r>
    </w:p>
    <w:p w14:paraId="62A6B006" w14:textId="205E6810" w:rsidR="5DC649DC" w:rsidRDefault="5DC649DC" w:rsidP="00AC60EB">
      <w:pPr>
        <w:tabs>
          <w:tab w:val="left" w:pos="660"/>
          <w:tab w:val="right" w:leader="dot" w:pos="9062"/>
        </w:tabs>
        <w:rPr>
          <w:noProof/>
          <w:lang w:val="en-IE"/>
        </w:rPr>
      </w:pPr>
      <w:r w:rsidRPr="5CF8C235">
        <w:rPr>
          <w:noProof/>
          <w:lang w:val="en-IE"/>
        </w:rPr>
        <w:t xml:space="preserve">IFR: Regulation on the prudential requirements of investment firms </w:t>
      </w:r>
      <w:r w:rsidR="668D6164" w:rsidRPr="74CF4B1B">
        <w:rPr>
          <w:noProof/>
          <w:lang w:val="en-IE"/>
        </w:rPr>
        <w:t>(</w:t>
      </w:r>
      <w:r w:rsidRPr="5CF8C235">
        <w:rPr>
          <w:noProof/>
          <w:lang w:val="en-IE"/>
        </w:rPr>
        <w:t>Regulation (EU) 2019/2033</w:t>
      </w:r>
      <w:r w:rsidR="6DA74371" w:rsidRPr="74CF4B1B">
        <w:rPr>
          <w:noProof/>
          <w:lang w:val="en-IE"/>
        </w:rPr>
        <w:t>)</w:t>
      </w:r>
    </w:p>
    <w:p w14:paraId="3A2E9A3B" w14:textId="1860B0B4" w:rsidR="4C26F26E" w:rsidRPr="00575C33" w:rsidRDefault="4C26F26E" w:rsidP="00AC60EB">
      <w:pPr>
        <w:tabs>
          <w:tab w:val="left" w:pos="660"/>
          <w:tab w:val="right" w:leader="dot" w:pos="9062"/>
        </w:tabs>
        <w:rPr>
          <w:noProof/>
        </w:rPr>
      </w:pPr>
      <w:r w:rsidRPr="00575C33">
        <w:rPr>
          <w:noProof/>
          <w:lang w:val="en-IE"/>
        </w:rPr>
        <w:t>MiFID</w:t>
      </w:r>
      <w:r w:rsidR="3A5DC4A1" w:rsidRPr="00575C33">
        <w:rPr>
          <w:noProof/>
          <w:lang w:val="en-IE"/>
        </w:rPr>
        <w:t xml:space="preserve"> II</w:t>
      </w:r>
      <w:r w:rsidRPr="00575C33">
        <w:rPr>
          <w:noProof/>
          <w:lang w:val="en-IE"/>
        </w:rPr>
        <w:t>:</w:t>
      </w:r>
      <w:r w:rsidR="1E2C9761" w:rsidRPr="00575C33">
        <w:rPr>
          <w:noProof/>
        </w:rPr>
        <w:t xml:space="preserve"> Markets in Financial Instruments Directive (Directive (EU) 2014/65)</w:t>
      </w:r>
    </w:p>
    <w:p w14:paraId="32AECE8C" w14:textId="3ED49C61" w:rsidR="6FD7E996" w:rsidRPr="00575C33" w:rsidRDefault="6FD7E996" w:rsidP="00AC60EB">
      <w:pPr>
        <w:tabs>
          <w:tab w:val="left" w:pos="660"/>
          <w:tab w:val="right" w:leader="dot" w:pos="9062"/>
        </w:tabs>
        <w:rPr>
          <w:noProof/>
          <w:lang w:val="en-IE"/>
        </w:rPr>
      </w:pPr>
      <w:r w:rsidRPr="00575C33">
        <w:rPr>
          <w:noProof/>
          <w:lang w:val="en-IE"/>
        </w:rPr>
        <w:t>MiFIR:</w:t>
      </w:r>
      <w:r w:rsidR="5AEE02D3" w:rsidRPr="00575C33">
        <w:rPr>
          <w:noProof/>
          <w:lang w:val="en-IE"/>
        </w:rPr>
        <w:t xml:space="preserve"> Markets in Financial Instruments Regulation (Regulation (EU) 600/2014)</w:t>
      </w:r>
    </w:p>
    <w:p w14:paraId="5F299F63" w14:textId="14F1C892" w:rsidR="32341B88" w:rsidRDefault="314DFC99" w:rsidP="00AC60EB">
      <w:pPr>
        <w:tabs>
          <w:tab w:val="left" w:pos="660"/>
          <w:tab w:val="right" w:leader="dot" w:pos="9062"/>
        </w:tabs>
        <w:rPr>
          <w:noProof/>
          <w:lang w:val="en-IE"/>
        </w:rPr>
      </w:pPr>
      <w:r w:rsidRPr="21CB014D">
        <w:rPr>
          <w:noProof/>
          <w:lang w:val="en-IE"/>
        </w:rPr>
        <w:t xml:space="preserve">NCA: </w:t>
      </w:r>
      <w:r w:rsidR="3036F7BF" w:rsidRPr="21CB014D">
        <w:rPr>
          <w:noProof/>
          <w:lang w:val="en-IE"/>
        </w:rPr>
        <w:t>n</w:t>
      </w:r>
      <w:r w:rsidRPr="21CB014D">
        <w:rPr>
          <w:noProof/>
          <w:lang w:val="en-IE"/>
        </w:rPr>
        <w:t xml:space="preserve">ational </w:t>
      </w:r>
      <w:r w:rsidR="3036F7BF" w:rsidRPr="21CB014D">
        <w:rPr>
          <w:noProof/>
          <w:lang w:val="en-IE"/>
        </w:rPr>
        <w:t>c</w:t>
      </w:r>
      <w:r w:rsidRPr="21CB014D">
        <w:rPr>
          <w:noProof/>
          <w:lang w:val="en-IE"/>
        </w:rPr>
        <w:t xml:space="preserve">ompetent </w:t>
      </w:r>
      <w:r w:rsidR="3036F7BF" w:rsidRPr="21CB014D">
        <w:rPr>
          <w:noProof/>
          <w:lang w:val="en-IE"/>
        </w:rPr>
        <w:t>a</w:t>
      </w:r>
      <w:r w:rsidRPr="21CB014D">
        <w:rPr>
          <w:noProof/>
          <w:lang w:val="en-IE"/>
        </w:rPr>
        <w:t>uthority</w:t>
      </w:r>
    </w:p>
    <w:p w14:paraId="71893991" w14:textId="74EF0C03" w:rsidR="6B799231" w:rsidRDefault="3614CA12" w:rsidP="00AC60EB">
      <w:pPr>
        <w:tabs>
          <w:tab w:val="left" w:pos="660"/>
          <w:tab w:val="right" w:leader="dot" w:pos="9062"/>
        </w:tabs>
        <w:rPr>
          <w:noProof/>
          <w:lang w:val="en-IE"/>
        </w:rPr>
      </w:pPr>
      <w:r w:rsidRPr="21CB014D">
        <w:rPr>
          <w:noProof/>
          <w:lang w:val="en-IE"/>
        </w:rPr>
        <w:t xml:space="preserve">NRA: </w:t>
      </w:r>
      <w:r w:rsidR="3036F7BF" w:rsidRPr="21CB014D">
        <w:rPr>
          <w:noProof/>
          <w:lang w:val="en-IE"/>
        </w:rPr>
        <w:t>n</w:t>
      </w:r>
      <w:r w:rsidRPr="21CB014D">
        <w:rPr>
          <w:noProof/>
          <w:lang w:val="en-IE"/>
        </w:rPr>
        <w:t xml:space="preserve">ational </w:t>
      </w:r>
      <w:r w:rsidR="3036F7BF" w:rsidRPr="21CB014D">
        <w:rPr>
          <w:noProof/>
          <w:lang w:val="en-IE"/>
        </w:rPr>
        <w:t>r</w:t>
      </w:r>
      <w:r w:rsidRPr="21CB014D">
        <w:rPr>
          <w:noProof/>
          <w:lang w:val="en-IE"/>
        </w:rPr>
        <w:t xml:space="preserve">egulatory </w:t>
      </w:r>
      <w:r w:rsidR="3036F7BF" w:rsidRPr="21CB014D">
        <w:rPr>
          <w:noProof/>
          <w:lang w:val="en-IE"/>
        </w:rPr>
        <w:t>a</w:t>
      </w:r>
      <w:r w:rsidRPr="21CB014D">
        <w:rPr>
          <w:noProof/>
          <w:lang w:val="en-IE"/>
        </w:rPr>
        <w:t>uthority</w:t>
      </w:r>
    </w:p>
    <w:p w14:paraId="326ABB6C" w14:textId="603E38E2" w:rsidR="1079FB9F" w:rsidRDefault="690463B9" w:rsidP="00AC60EB">
      <w:pPr>
        <w:tabs>
          <w:tab w:val="left" w:pos="660"/>
          <w:tab w:val="right" w:leader="dot" w:pos="9062"/>
        </w:tabs>
        <w:rPr>
          <w:noProof/>
        </w:rPr>
      </w:pPr>
      <w:r>
        <w:rPr>
          <w:noProof/>
        </w:rPr>
        <w:t xml:space="preserve">OTC: </w:t>
      </w:r>
      <w:r w:rsidR="3036F7BF">
        <w:rPr>
          <w:noProof/>
        </w:rPr>
        <w:t>o</w:t>
      </w:r>
      <w:r>
        <w:rPr>
          <w:noProof/>
        </w:rPr>
        <w:t>ver-</w:t>
      </w:r>
      <w:r w:rsidR="00E161CF">
        <w:rPr>
          <w:noProof/>
        </w:rPr>
        <w:t>t</w:t>
      </w:r>
      <w:r>
        <w:rPr>
          <w:noProof/>
        </w:rPr>
        <w:t>he-</w:t>
      </w:r>
      <w:r w:rsidR="3036F7BF">
        <w:rPr>
          <w:noProof/>
        </w:rPr>
        <w:t>c</w:t>
      </w:r>
      <w:r>
        <w:rPr>
          <w:noProof/>
        </w:rPr>
        <w:t xml:space="preserve">ounter </w:t>
      </w:r>
    </w:p>
    <w:p w14:paraId="47F829E6" w14:textId="38D76E62" w:rsidR="243BDE21" w:rsidRPr="00575C33" w:rsidRDefault="4375A3AB" w:rsidP="00AC60EB">
      <w:pPr>
        <w:tabs>
          <w:tab w:val="left" w:pos="660"/>
          <w:tab w:val="right" w:leader="dot" w:pos="9062"/>
        </w:tabs>
        <w:rPr>
          <w:noProof/>
          <w:lang w:val="en-IE"/>
        </w:rPr>
      </w:pPr>
      <w:r w:rsidRPr="21CB014D">
        <w:rPr>
          <w:noProof/>
          <w:lang w:val="en-IE"/>
        </w:rPr>
        <w:t>PMC:</w:t>
      </w:r>
      <w:r w:rsidR="243BDE21">
        <w:rPr>
          <w:noProof/>
        </w:rPr>
        <w:tab/>
      </w:r>
      <w:r w:rsidR="3036F7BF" w:rsidRPr="21CB014D">
        <w:rPr>
          <w:noProof/>
          <w:lang w:val="en-IE"/>
        </w:rPr>
        <w:t>p</w:t>
      </w:r>
      <w:r w:rsidRPr="21CB014D">
        <w:rPr>
          <w:noProof/>
          <w:lang w:val="en-IE"/>
        </w:rPr>
        <w:t xml:space="preserve">osition </w:t>
      </w:r>
      <w:r w:rsidR="3036F7BF" w:rsidRPr="21CB014D">
        <w:rPr>
          <w:noProof/>
          <w:lang w:val="en-IE"/>
        </w:rPr>
        <w:t>m</w:t>
      </w:r>
      <w:r w:rsidRPr="21CB014D">
        <w:rPr>
          <w:noProof/>
          <w:lang w:val="en-IE"/>
        </w:rPr>
        <w:t xml:space="preserve">anagement </w:t>
      </w:r>
      <w:r w:rsidR="3036F7BF" w:rsidRPr="21CB014D">
        <w:rPr>
          <w:noProof/>
          <w:lang w:val="en-IE"/>
        </w:rPr>
        <w:t>c</w:t>
      </w:r>
      <w:r w:rsidRPr="21CB014D">
        <w:rPr>
          <w:noProof/>
          <w:lang w:val="en-IE"/>
        </w:rPr>
        <w:t>ontrols</w:t>
      </w:r>
    </w:p>
    <w:p w14:paraId="366CD502" w14:textId="090B833E" w:rsidR="0A25B449" w:rsidRPr="00575C33" w:rsidRDefault="0A25B449" w:rsidP="00AC60EB">
      <w:pPr>
        <w:tabs>
          <w:tab w:val="left" w:pos="660"/>
          <w:tab w:val="right" w:leader="dot" w:pos="9062"/>
        </w:tabs>
        <w:rPr>
          <w:noProof/>
          <w:lang w:val="en-IE"/>
        </w:rPr>
      </w:pPr>
      <w:r w:rsidRPr="00575C33">
        <w:rPr>
          <w:noProof/>
          <w:lang w:val="en-IE"/>
        </w:rPr>
        <w:t>REMIT:</w:t>
      </w:r>
      <w:r w:rsidR="41E1E049" w:rsidRPr="00575C33">
        <w:rPr>
          <w:noProof/>
          <w:lang w:val="en-IE"/>
        </w:rPr>
        <w:t xml:space="preserve"> Wholesale Energy Market Integrity and Transparency Regulation (Regulation (EU) 1227/2011)</w:t>
      </w:r>
    </w:p>
    <w:p w14:paraId="0E56298B" w14:textId="7CDC6CA2" w:rsidR="4C26F26E" w:rsidRPr="00575C33" w:rsidRDefault="4C26F26E" w:rsidP="00AC60EB">
      <w:pPr>
        <w:tabs>
          <w:tab w:val="left" w:pos="660"/>
          <w:tab w:val="right" w:leader="dot" w:pos="9062"/>
        </w:tabs>
        <w:rPr>
          <w:noProof/>
          <w:lang w:val="en-IE"/>
        </w:rPr>
      </w:pPr>
      <w:r w:rsidRPr="718D714E">
        <w:rPr>
          <w:noProof/>
          <w:lang w:val="en-IE"/>
        </w:rPr>
        <w:t>TFEU:</w:t>
      </w:r>
      <w:r w:rsidR="71C76F8D" w:rsidRPr="718D714E">
        <w:rPr>
          <w:noProof/>
          <w:lang w:val="en-IE"/>
        </w:rPr>
        <w:t xml:space="preserve"> </w:t>
      </w:r>
      <w:r w:rsidRPr="718D714E">
        <w:rPr>
          <w:noProof/>
          <w:lang w:val="en-IE"/>
        </w:rPr>
        <w:t>Treaty on the Functioning of the European Union</w:t>
      </w:r>
    </w:p>
    <w:p w14:paraId="1BA82C44" w14:textId="6604E724" w:rsidR="48453602" w:rsidRDefault="060CBF17" w:rsidP="00AC60EB">
      <w:pPr>
        <w:tabs>
          <w:tab w:val="left" w:pos="660"/>
          <w:tab w:val="right" w:leader="dot" w:pos="9062"/>
        </w:tabs>
        <w:rPr>
          <w:noProof/>
          <w:lang w:val="en-IE"/>
        </w:rPr>
      </w:pPr>
      <w:r w:rsidRPr="48453602">
        <w:rPr>
          <w:noProof/>
          <w:lang w:val="en-IE"/>
        </w:rPr>
        <w:t xml:space="preserve">TTF: Title Transfer </w:t>
      </w:r>
      <w:r w:rsidRPr="18EA4FF7">
        <w:rPr>
          <w:noProof/>
          <w:lang w:val="en-IE"/>
        </w:rPr>
        <w:t>Facility</w:t>
      </w:r>
    </w:p>
    <w:p w14:paraId="0AE326FA" w14:textId="6DB2D0A7" w:rsidR="064E4AC2" w:rsidRDefault="08DFB022" w:rsidP="00AC60EB">
      <w:pPr>
        <w:tabs>
          <w:tab w:val="left" w:pos="660"/>
          <w:tab w:val="right" w:leader="dot" w:pos="9062"/>
        </w:tabs>
        <w:rPr>
          <w:noProof/>
          <w:lang w:val="en-IE"/>
        </w:rPr>
      </w:pPr>
      <w:r w:rsidRPr="21CB014D">
        <w:rPr>
          <w:noProof/>
          <w:lang w:val="en-IE"/>
        </w:rPr>
        <w:t xml:space="preserve">TV: </w:t>
      </w:r>
      <w:r w:rsidR="3036F7BF" w:rsidRPr="21CB014D">
        <w:rPr>
          <w:noProof/>
          <w:lang w:val="en-IE"/>
        </w:rPr>
        <w:t>t</w:t>
      </w:r>
      <w:r w:rsidRPr="21CB014D">
        <w:rPr>
          <w:noProof/>
          <w:lang w:val="en-IE"/>
        </w:rPr>
        <w:t xml:space="preserve">rading </w:t>
      </w:r>
      <w:r w:rsidR="3036F7BF" w:rsidRPr="21CB014D">
        <w:rPr>
          <w:noProof/>
          <w:lang w:val="en-IE"/>
        </w:rPr>
        <w:t>v</w:t>
      </w:r>
      <w:r w:rsidRPr="21CB014D">
        <w:rPr>
          <w:noProof/>
          <w:lang w:val="en-IE"/>
        </w:rPr>
        <w:t>enue</w:t>
      </w:r>
    </w:p>
    <w:p w14:paraId="72084B6B" w14:textId="77777777" w:rsidR="003173E0" w:rsidRPr="003173E0" w:rsidRDefault="003173E0" w:rsidP="003173E0">
      <w:pPr>
        <w:rPr>
          <w:noProof/>
        </w:rPr>
      </w:pPr>
    </w:p>
    <w:p w14:paraId="7D2ABDE5" w14:textId="0BE4605D" w:rsidR="00BF6C5E" w:rsidRPr="00575C33" w:rsidRDefault="00F351E6" w:rsidP="00620950">
      <w:pPr>
        <w:keepNext/>
        <w:keepLines/>
        <w:numPr>
          <w:ilvl w:val="0"/>
          <w:numId w:val="2"/>
        </w:numPr>
        <w:outlineLvl w:val="0"/>
        <w:rPr>
          <w:b/>
          <w:noProof/>
          <w:lang w:val="en-IE"/>
        </w:rPr>
      </w:pPr>
      <w:bookmarkStart w:id="4" w:name="_Toc878023"/>
      <w:bookmarkStart w:id="5" w:name="_Toc17730531"/>
      <w:bookmarkStart w:id="6" w:name="_Toc41385899"/>
      <w:bookmarkStart w:id="7" w:name="_Toc52294919"/>
      <w:bookmarkStart w:id="8" w:name="_Toc52302081"/>
      <w:bookmarkStart w:id="9" w:name="_Toc52901478"/>
      <w:bookmarkStart w:id="10" w:name="_Toc4058292"/>
      <w:bookmarkStart w:id="11" w:name="_Toc10474382"/>
      <w:bookmarkStart w:id="12" w:name="_Toc93411858"/>
      <w:bookmarkStart w:id="13" w:name="_Toc227243498"/>
      <w:r w:rsidRPr="00575C33">
        <w:rPr>
          <w:b/>
          <w:noProof/>
          <w:lang w:val="en-IE"/>
        </w:rPr>
        <w:t>INTRODUCTION</w:t>
      </w:r>
      <w:bookmarkStart w:id="14" w:name="_Toc878026"/>
      <w:bookmarkStart w:id="15" w:name="_Toc4058295"/>
      <w:bookmarkStart w:id="16" w:name="_Toc10474385"/>
      <w:bookmarkStart w:id="17" w:name="_Toc17730534"/>
      <w:bookmarkStart w:id="18" w:name="_Toc41385903"/>
      <w:bookmarkStart w:id="19" w:name="_Toc52294924"/>
      <w:bookmarkStart w:id="20" w:name="_Toc52302086"/>
      <w:bookmarkStart w:id="21" w:name="_Toc52901484"/>
      <w:bookmarkEnd w:id="4"/>
      <w:bookmarkEnd w:id="5"/>
      <w:bookmarkEnd w:id="6"/>
      <w:bookmarkEnd w:id="7"/>
      <w:bookmarkEnd w:id="8"/>
      <w:bookmarkEnd w:id="9"/>
      <w:bookmarkEnd w:id="10"/>
      <w:bookmarkEnd w:id="11"/>
      <w:bookmarkEnd w:id="12"/>
      <w:bookmarkEnd w:id="13"/>
    </w:p>
    <w:p w14:paraId="5241FAAA" w14:textId="59D2A95C" w:rsidR="00DF4AE8" w:rsidRDefault="0E1A28B4" w:rsidP="00AC60EB">
      <w:pPr>
        <w:rPr>
          <w:noProof/>
        </w:rPr>
      </w:pPr>
      <w:r>
        <w:rPr>
          <w:noProof/>
        </w:rPr>
        <w:t>Commodity derivatives are key instruments for market participants to hedge their exposures in the underlying commodity markets (</w:t>
      </w:r>
      <w:r w:rsidR="15EE5295">
        <w:rPr>
          <w:noProof/>
        </w:rPr>
        <w:t xml:space="preserve">e.g., </w:t>
      </w:r>
      <w:r>
        <w:rPr>
          <w:noProof/>
        </w:rPr>
        <w:t xml:space="preserve">energy, agricultural commodities, metals). Those </w:t>
      </w:r>
      <w:r w:rsidR="644E55F1">
        <w:rPr>
          <w:noProof/>
        </w:rPr>
        <w:t xml:space="preserve">commodity </w:t>
      </w:r>
      <w:r>
        <w:rPr>
          <w:noProof/>
        </w:rPr>
        <w:t xml:space="preserve">markets are characterised by the participation of mainly </w:t>
      </w:r>
      <w:r w:rsidRPr="21CB014D">
        <w:rPr>
          <w:noProof/>
        </w:rPr>
        <w:t>nonfinancial</w:t>
      </w:r>
      <w:r>
        <w:rPr>
          <w:noProof/>
        </w:rPr>
        <w:t xml:space="preserve"> entities. </w:t>
      </w:r>
      <w:r w:rsidR="4F1C3A4F">
        <w:rPr>
          <w:noProof/>
        </w:rPr>
        <w:t xml:space="preserve">Such </w:t>
      </w:r>
      <w:r>
        <w:rPr>
          <w:noProof/>
        </w:rPr>
        <w:t xml:space="preserve">entities </w:t>
      </w:r>
      <w:r w:rsidR="5A20B8D8">
        <w:rPr>
          <w:noProof/>
        </w:rPr>
        <w:t xml:space="preserve">mostly </w:t>
      </w:r>
      <w:r>
        <w:rPr>
          <w:noProof/>
        </w:rPr>
        <w:t>include physical commodity producers, utilities</w:t>
      </w:r>
      <w:r w:rsidR="5A20B8D8">
        <w:rPr>
          <w:noProof/>
        </w:rPr>
        <w:t xml:space="preserve"> companies</w:t>
      </w:r>
      <w:r>
        <w:rPr>
          <w:noProof/>
        </w:rPr>
        <w:t>, large energy</w:t>
      </w:r>
      <w:r w:rsidR="3DE8252D" w:rsidRPr="21CB014D">
        <w:rPr>
          <w:noProof/>
        </w:rPr>
        <w:t>-</w:t>
      </w:r>
      <w:r>
        <w:rPr>
          <w:noProof/>
        </w:rPr>
        <w:t xml:space="preserve">intensive </w:t>
      </w:r>
      <w:r w:rsidR="5A20B8D8">
        <w:rPr>
          <w:noProof/>
        </w:rPr>
        <w:t xml:space="preserve">non-financial </w:t>
      </w:r>
      <w:r>
        <w:rPr>
          <w:noProof/>
        </w:rPr>
        <w:t xml:space="preserve">corporations </w:t>
      </w:r>
      <w:r w:rsidR="5A20B8D8">
        <w:rPr>
          <w:noProof/>
        </w:rPr>
        <w:t>and</w:t>
      </w:r>
      <w:r>
        <w:rPr>
          <w:noProof/>
        </w:rPr>
        <w:t xml:space="preserve"> physical commodity traders that are directly dependent on </w:t>
      </w:r>
      <w:r w:rsidR="4B2D88D4">
        <w:rPr>
          <w:noProof/>
        </w:rPr>
        <w:t xml:space="preserve">commodity derivatives </w:t>
      </w:r>
      <w:r>
        <w:rPr>
          <w:noProof/>
        </w:rPr>
        <w:t xml:space="preserve">markets to mitigate the risks entailed by their commercial activity. </w:t>
      </w:r>
    </w:p>
    <w:p w14:paraId="45AA1413" w14:textId="763298A2" w:rsidR="00DF4AE8" w:rsidRDefault="0E1A28B4" w:rsidP="21CB014D">
      <w:pPr>
        <w:rPr>
          <w:noProof/>
          <w:lang w:val="en-IE"/>
        </w:rPr>
      </w:pPr>
      <w:r w:rsidRPr="21CB014D">
        <w:rPr>
          <w:noProof/>
        </w:rPr>
        <w:t xml:space="preserve">The proper functioning of commodity derivatives markets plays an important role for the stability and prosperity of the EU economy and, as regards energy derivatives markets, for the affordability of energy in the </w:t>
      </w:r>
      <w:r w:rsidR="4F1C3A4F" w:rsidRPr="21CB014D">
        <w:rPr>
          <w:noProof/>
        </w:rPr>
        <w:t>EU</w:t>
      </w:r>
      <w:r w:rsidR="4F1C3A4F" w:rsidRPr="00DF4AE8">
        <w:rPr>
          <w:noProof/>
          <w:szCs w:val="24"/>
        </w:rPr>
        <w:t xml:space="preserve"> </w:t>
      </w:r>
      <w:r w:rsidRPr="21CB014D">
        <w:rPr>
          <w:noProof/>
        </w:rPr>
        <w:t>and the efficient functioning of the market.</w:t>
      </w:r>
      <w:r w:rsidR="7D9406C8" w:rsidRPr="21CB014D">
        <w:rPr>
          <w:noProof/>
        </w:rPr>
        <w:t xml:space="preserve"> The Commission’s</w:t>
      </w:r>
      <w:r w:rsidR="7D9406C8">
        <w:rPr>
          <w:noProof/>
          <w:szCs w:val="24"/>
        </w:rPr>
        <w:t xml:space="preserve"> </w:t>
      </w:r>
      <w:r w:rsidR="5AD81108" w:rsidRPr="21CB014D">
        <w:rPr>
          <w:noProof/>
        </w:rPr>
        <w:t>Clean Industrial Deal</w:t>
      </w:r>
      <w:r w:rsidR="5AD81108" w:rsidRPr="00CC406B">
        <w:rPr>
          <w:noProof/>
          <w:szCs w:val="24"/>
        </w:rPr>
        <w:t> (</w:t>
      </w:r>
      <w:r w:rsidR="00FE77C4">
        <w:rPr>
          <w:rStyle w:val="FootnoteReference"/>
          <w:noProof/>
          <w:szCs w:val="24"/>
        </w:rPr>
        <w:footnoteReference w:id="2"/>
      </w:r>
      <w:r w:rsidR="5AD81108" w:rsidRPr="21CB014D">
        <w:rPr>
          <w:noProof/>
        </w:rPr>
        <w:t>) and</w:t>
      </w:r>
      <w:r w:rsidR="5AD81108">
        <w:rPr>
          <w:noProof/>
          <w:szCs w:val="24"/>
        </w:rPr>
        <w:t xml:space="preserve"> </w:t>
      </w:r>
      <w:r w:rsidR="7D9406C8" w:rsidRPr="21CB014D">
        <w:rPr>
          <w:noProof/>
        </w:rPr>
        <w:t>Action Plan for Affordable Energy</w:t>
      </w:r>
      <w:r w:rsidR="7D9406C8" w:rsidRPr="00795E8F">
        <w:rPr>
          <w:noProof/>
          <w:szCs w:val="24"/>
        </w:rPr>
        <w:t> (</w:t>
      </w:r>
      <w:r w:rsidR="00795E8F" w:rsidRPr="21CB014D">
        <w:rPr>
          <w:rStyle w:val="FootnoteReference"/>
          <w:noProof/>
        </w:rPr>
        <w:footnoteReference w:id="3"/>
      </w:r>
      <w:r w:rsidR="7D9406C8" w:rsidRPr="21CB014D">
        <w:rPr>
          <w:noProof/>
        </w:rPr>
        <w:t>), adopted in February 2025, thereby highlights the role of efficient markets, including derivatives markets</w:t>
      </w:r>
      <w:r w:rsidR="00B14A2C">
        <w:rPr>
          <w:noProof/>
        </w:rPr>
        <w:t xml:space="preserve"> </w:t>
      </w:r>
      <w:r w:rsidR="740DB49A" w:rsidRPr="00CC406B">
        <w:rPr>
          <w:noProof/>
          <w:szCs w:val="24"/>
        </w:rPr>
        <w:t>(</w:t>
      </w:r>
      <w:r w:rsidR="001113B9">
        <w:rPr>
          <w:rStyle w:val="FootnoteReference"/>
          <w:noProof/>
          <w:szCs w:val="24"/>
        </w:rPr>
        <w:footnoteReference w:id="4"/>
      </w:r>
      <w:r w:rsidR="740DB49A">
        <w:rPr>
          <w:noProof/>
          <w:szCs w:val="24"/>
        </w:rPr>
        <w:t>)</w:t>
      </w:r>
      <w:r w:rsidR="7D9406C8">
        <w:rPr>
          <w:noProof/>
          <w:szCs w:val="24"/>
        </w:rPr>
        <w:t>.</w:t>
      </w:r>
      <w:r w:rsidR="32075DEA">
        <w:rPr>
          <w:noProof/>
          <w:szCs w:val="24"/>
        </w:rPr>
        <w:t xml:space="preserve"> </w:t>
      </w:r>
      <w:r w:rsidR="0FBF1B18" w:rsidRPr="21CB014D">
        <w:rPr>
          <w:noProof/>
        </w:rPr>
        <w:t xml:space="preserve">Furthermore, </w:t>
      </w:r>
      <w:r w:rsidR="0FBF1B18" w:rsidRPr="21CB014D">
        <w:rPr>
          <w:noProof/>
          <w:lang w:val="en-IE"/>
        </w:rPr>
        <w:t>t</w:t>
      </w:r>
      <w:r w:rsidR="4D7969CB" w:rsidRPr="21CB014D">
        <w:rPr>
          <w:noProof/>
          <w:lang w:val="en-IE"/>
        </w:rPr>
        <w:t>he commodity derivatives regime is a critical component of European financial markets, providing market participants with the ability to manage risks and invest in a range of commodity derivatives, including emission allowances</w:t>
      </w:r>
      <w:r w:rsidR="590D18BA" w:rsidRPr="21CB014D">
        <w:rPr>
          <w:noProof/>
          <w:lang w:val="en-IE"/>
        </w:rPr>
        <w:t xml:space="preserve"> (EUAs)</w:t>
      </w:r>
      <w:r w:rsidR="4D7969CB" w:rsidRPr="21CB014D">
        <w:rPr>
          <w:noProof/>
          <w:lang w:val="en-IE"/>
        </w:rPr>
        <w:t xml:space="preserve"> and derivatives of emission allowances.</w:t>
      </w:r>
      <w:r w:rsidRPr="21CB014D">
        <w:rPr>
          <w:noProof/>
          <w:lang w:val="en-IE"/>
        </w:rPr>
        <w:t xml:space="preserve"> </w:t>
      </w:r>
      <w:r w:rsidRPr="21CB014D">
        <w:rPr>
          <w:noProof/>
        </w:rPr>
        <w:t xml:space="preserve">Markets for commodity derivatives in the EU are therefore subject to an extensive set of rules that cater for the specific nature of those instruments </w:t>
      </w:r>
      <w:r w:rsidR="427227EF" w:rsidRPr="21CB014D">
        <w:rPr>
          <w:noProof/>
        </w:rPr>
        <w:t xml:space="preserve">and their relevance </w:t>
      </w:r>
      <w:r w:rsidRPr="21CB014D">
        <w:rPr>
          <w:noProof/>
        </w:rPr>
        <w:t>to the EU economy.</w:t>
      </w:r>
    </w:p>
    <w:p w14:paraId="2F8D9E48" w14:textId="1BDE19F3" w:rsidR="00C47BEE" w:rsidRPr="00575C33" w:rsidRDefault="1F5D6281" w:rsidP="00AC60EB">
      <w:pPr>
        <w:rPr>
          <w:noProof/>
          <w:lang w:val="en-IE"/>
        </w:rPr>
      </w:pPr>
      <w:r w:rsidRPr="00575C33">
        <w:rPr>
          <w:noProof/>
          <w:lang w:val="en-IE"/>
        </w:rPr>
        <w:t xml:space="preserve">The </w:t>
      </w:r>
      <w:bookmarkEnd w:id="0"/>
      <w:bookmarkEnd w:id="14"/>
      <w:bookmarkEnd w:id="15"/>
      <w:bookmarkEnd w:id="16"/>
      <w:bookmarkEnd w:id="17"/>
      <w:bookmarkEnd w:id="18"/>
      <w:bookmarkEnd w:id="19"/>
      <w:bookmarkEnd w:id="20"/>
      <w:bookmarkEnd w:id="21"/>
      <w:r w:rsidR="47521F28" w:rsidRPr="00575C33">
        <w:rPr>
          <w:noProof/>
          <w:lang w:val="en-IE"/>
        </w:rPr>
        <w:t>European Commission submit</w:t>
      </w:r>
      <w:r w:rsidR="357B7042">
        <w:rPr>
          <w:noProof/>
          <w:lang w:val="en-IE"/>
        </w:rPr>
        <w:t>s</w:t>
      </w:r>
      <w:r w:rsidR="47521F28" w:rsidRPr="00575C33">
        <w:rPr>
          <w:noProof/>
          <w:lang w:val="en-IE"/>
        </w:rPr>
        <w:t xml:space="preserve"> this report to the European Parliament and the Council pursuant to Article 90(5) of the Markets in Financial Instruments Directive (MiFID II) (Directive (EU) 2014/65</w:t>
      </w:r>
      <w:r w:rsidR="6BDF1FA3" w:rsidRPr="00575C33">
        <w:rPr>
          <w:noProof/>
          <w:lang w:val="en-IE"/>
        </w:rPr>
        <w:t>)</w:t>
      </w:r>
      <w:r w:rsidR="47521F28" w:rsidRPr="00575C33">
        <w:rPr>
          <w:noProof/>
          <w:lang w:val="en-IE"/>
        </w:rPr>
        <w:t>. In preparing this report,</w:t>
      </w:r>
      <w:r w:rsidR="0489F8E1">
        <w:rPr>
          <w:noProof/>
          <w:lang w:val="en-IE"/>
        </w:rPr>
        <w:t xml:space="preserve"> in line with the requirement set out in Article 90(5) of MiFID II</w:t>
      </w:r>
      <w:r w:rsidR="47521F28" w:rsidRPr="00575C33">
        <w:rPr>
          <w:noProof/>
          <w:lang w:val="en-IE"/>
        </w:rPr>
        <w:t xml:space="preserve">, the Commission </w:t>
      </w:r>
      <w:r w:rsidR="64268DC7" w:rsidRPr="00575C33">
        <w:rPr>
          <w:noProof/>
          <w:lang w:val="en-IE"/>
        </w:rPr>
        <w:t xml:space="preserve">requested input from </w:t>
      </w:r>
      <w:r w:rsidR="47521F28" w:rsidRPr="00575C33">
        <w:rPr>
          <w:noProof/>
          <w:lang w:val="en-IE"/>
        </w:rPr>
        <w:t>the European Securities and Markets Authority (ESMA), the European Banking Authority (EBA), and the Agency for the Cooperation of Energy Regulators (ACER</w:t>
      </w:r>
      <w:r w:rsidR="24639D27" w:rsidRPr="00575C33">
        <w:rPr>
          <w:noProof/>
          <w:lang w:val="en-IE"/>
        </w:rPr>
        <w:t>)</w:t>
      </w:r>
      <w:r w:rsidR="47521F28" w:rsidRPr="00575C33">
        <w:rPr>
          <w:noProof/>
          <w:lang w:val="en-IE"/>
        </w:rPr>
        <w:t>.</w:t>
      </w:r>
      <w:r w:rsidR="601B0B43" w:rsidRPr="00575C33">
        <w:rPr>
          <w:noProof/>
          <w:lang w:val="en-IE"/>
        </w:rPr>
        <w:t xml:space="preserve"> </w:t>
      </w:r>
      <w:r w:rsidR="64268DC7" w:rsidRPr="00575C33">
        <w:rPr>
          <w:noProof/>
          <w:lang w:val="en-IE"/>
        </w:rPr>
        <w:t>Th</w:t>
      </w:r>
      <w:r w:rsidR="1771AA27">
        <w:rPr>
          <w:noProof/>
          <w:lang w:val="en-IE"/>
        </w:rPr>
        <w:t>e requested</w:t>
      </w:r>
      <w:r w:rsidR="64268DC7" w:rsidRPr="00575C33">
        <w:rPr>
          <w:noProof/>
          <w:lang w:val="en-IE"/>
        </w:rPr>
        <w:t xml:space="preserve"> input was </w:t>
      </w:r>
      <w:r w:rsidR="1771AA27">
        <w:rPr>
          <w:noProof/>
          <w:lang w:val="en-IE"/>
        </w:rPr>
        <w:t xml:space="preserve">submitted </w:t>
      </w:r>
      <w:r w:rsidR="64268DC7" w:rsidRPr="00575C33">
        <w:rPr>
          <w:noProof/>
          <w:lang w:val="en-IE"/>
        </w:rPr>
        <w:t xml:space="preserve">by ESMA and ACER. </w:t>
      </w:r>
      <w:r w:rsidR="00CE5694" w:rsidRPr="00CE5694">
        <w:rPr>
          <w:noProof/>
          <w:lang w:val="en-IE"/>
        </w:rPr>
        <w:t>EBA informed the European Commission that their input on commodity markets would require a more in-depth analysis and was therefore not included in its response to the Commission’s Call for Advice for the purposes of the reports on the prudential requirements applicable to investment firms</w:t>
      </w:r>
      <w:r w:rsidR="00CE5694">
        <w:rPr>
          <w:noProof/>
          <w:lang w:val="en-IE"/>
        </w:rPr>
        <w:t xml:space="preserve"> </w:t>
      </w:r>
      <w:r w:rsidR="7D9406C8" w:rsidRPr="00795E8F">
        <w:rPr>
          <w:noProof/>
          <w:lang w:val="en-IE"/>
        </w:rPr>
        <w:t>(</w:t>
      </w:r>
      <w:r w:rsidR="00795E8F">
        <w:rPr>
          <w:rStyle w:val="FootnoteReference"/>
          <w:noProof/>
          <w:lang w:val="en-IE"/>
        </w:rPr>
        <w:footnoteReference w:id="5"/>
      </w:r>
      <w:r w:rsidR="7D9406C8">
        <w:rPr>
          <w:noProof/>
          <w:lang w:val="en-IE"/>
        </w:rPr>
        <w:t>)</w:t>
      </w:r>
      <w:r w:rsidR="63D6E200" w:rsidRPr="00575C33">
        <w:rPr>
          <w:noProof/>
          <w:lang w:val="en-IE"/>
        </w:rPr>
        <w:t xml:space="preserve">. </w:t>
      </w:r>
      <w:r w:rsidR="5CFE6C1A">
        <w:rPr>
          <w:noProof/>
          <w:lang w:val="en-IE"/>
        </w:rPr>
        <w:t>Therefore</w:t>
      </w:r>
      <w:r w:rsidR="6CAF6237">
        <w:rPr>
          <w:noProof/>
          <w:lang w:val="en-IE"/>
        </w:rPr>
        <w:t xml:space="preserve">, this report does not </w:t>
      </w:r>
      <w:r w:rsidR="2F321979">
        <w:rPr>
          <w:noProof/>
          <w:lang w:val="en-IE"/>
        </w:rPr>
        <w:t>incorporate the EBA’s input.</w:t>
      </w:r>
    </w:p>
    <w:p w14:paraId="44BD056A" w14:textId="01FC1BD2" w:rsidR="00EE043D" w:rsidRPr="00575C33" w:rsidRDefault="51A86A03" w:rsidP="0031778B">
      <w:pPr>
        <w:rPr>
          <w:noProof/>
          <w:lang w:val="en-IE"/>
        </w:rPr>
      </w:pPr>
      <w:r>
        <w:rPr>
          <w:noProof/>
          <w:lang w:val="en-IE"/>
        </w:rPr>
        <w:t>T</w:t>
      </w:r>
      <w:r w:rsidR="601B0B43" w:rsidRPr="00575C33">
        <w:rPr>
          <w:noProof/>
          <w:lang w:val="en-IE"/>
        </w:rPr>
        <w:t>he European Commission also consulted market participa</w:t>
      </w:r>
      <w:r w:rsidR="64D9E9C3" w:rsidRPr="00575C33">
        <w:rPr>
          <w:noProof/>
          <w:lang w:val="en-IE"/>
        </w:rPr>
        <w:t>n</w:t>
      </w:r>
      <w:r w:rsidR="601B0B43" w:rsidRPr="00575C33">
        <w:rPr>
          <w:noProof/>
          <w:lang w:val="en-IE"/>
        </w:rPr>
        <w:t xml:space="preserve">ts via </w:t>
      </w:r>
      <w:r w:rsidR="01EA0848" w:rsidRPr="00575C33">
        <w:rPr>
          <w:noProof/>
          <w:lang w:val="en-IE"/>
        </w:rPr>
        <w:t>a target</w:t>
      </w:r>
      <w:r w:rsidR="05FE09A8" w:rsidRPr="00575C33">
        <w:rPr>
          <w:noProof/>
          <w:lang w:val="en-IE"/>
        </w:rPr>
        <w:t>ed</w:t>
      </w:r>
      <w:r w:rsidR="01EA0848" w:rsidRPr="00575C33">
        <w:rPr>
          <w:noProof/>
          <w:lang w:val="en-IE"/>
        </w:rPr>
        <w:t xml:space="preserve"> </w:t>
      </w:r>
      <w:r w:rsidR="601B0B43" w:rsidRPr="00575C33">
        <w:rPr>
          <w:noProof/>
          <w:lang w:val="en-IE"/>
        </w:rPr>
        <w:t>consultation which was open for a period of eight weeks from Februar</w:t>
      </w:r>
      <w:r w:rsidR="0F5C4A25" w:rsidRPr="00575C33">
        <w:rPr>
          <w:noProof/>
          <w:lang w:val="en-IE"/>
        </w:rPr>
        <w:t>y</w:t>
      </w:r>
      <w:r w:rsidR="601B0B43" w:rsidRPr="00575C33">
        <w:rPr>
          <w:noProof/>
          <w:lang w:val="en-IE"/>
        </w:rPr>
        <w:t xml:space="preserve"> to April 2025</w:t>
      </w:r>
      <w:r w:rsidR="3527EE5B" w:rsidRPr="00575C33">
        <w:rPr>
          <w:noProof/>
          <w:lang w:val="en-IE"/>
        </w:rPr>
        <w:t> (</w:t>
      </w:r>
      <w:r w:rsidR="004247C0" w:rsidRPr="00575C33">
        <w:rPr>
          <w:rStyle w:val="normaltextrun"/>
          <w:noProof/>
          <w:vertAlign w:val="superscript"/>
          <w:lang w:eastAsia="en-IE"/>
        </w:rPr>
        <w:footnoteReference w:id="6"/>
      </w:r>
      <w:r w:rsidR="3527EE5B" w:rsidRPr="00800342">
        <w:rPr>
          <w:rStyle w:val="normaltextrun"/>
          <w:noProof/>
          <w:lang w:eastAsia="en-IE"/>
        </w:rPr>
        <w:t>)</w:t>
      </w:r>
      <w:r w:rsidR="601B0B43" w:rsidRPr="00575C33">
        <w:rPr>
          <w:noProof/>
          <w:lang w:val="en-IE"/>
        </w:rPr>
        <w:t xml:space="preserve">. </w:t>
      </w:r>
      <w:r w:rsidR="09B6C992">
        <w:rPr>
          <w:noProof/>
          <w:lang w:val="en-IE"/>
        </w:rPr>
        <w:t xml:space="preserve">Overall, </w:t>
      </w:r>
      <w:r w:rsidR="0A459338">
        <w:rPr>
          <w:noProof/>
          <w:lang w:val="en-IE"/>
        </w:rPr>
        <w:t>9</w:t>
      </w:r>
      <w:r w:rsidR="389E2F1F">
        <w:rPr>
          <w:noProof/>
          <w:lang w:val="en-IE"/>
        </w:rPr>
        <w:t>4</w:t>
      </w:r>
      <w:r w:rsidR="09B6C992">
        <w:rPr>
          <w:noProof/>
          <w:lang w:val="en-IE"/>
        </w:rPr>
        <w:t xml:space="preserve"> responses were received, out of which </w:t>
      </w:r>
      <w:r w:rsidR="239CCC85">
        <w:rPr>
          <w:noProof/>
          <w:lang w:val="en-IE"/>
        </w:rPr>
        <w:t xml:space="preserve">67 </w:t>
      </w:r>
      <w:r w:rsidR="09B6C992">
        <w:rPr>
          <w:noProof/>
          <w:lang w:val="en-IE"/>
        </w:rPr>
        <w:t xml:space="preserve">from the industry </w:t>
      </w:r>
      <w:r w:rsidR="517DDA35">
        <w:rPr>
          <w:noProof/>
          <w:lang w:val="en-IE"/>
        </w:rPr>
        <w:t>(including 12 exchanges and their associations</w:t>
      </w:r>
      <w:r w:rsidR="0C5F4E88">
        <w:rPr>
          <w:noProof/>
          <w:lang w:val="en-IE"/>
        </w:rPr>
        <w:t xml:space="preserve">) and </w:t>
      </w:r>
      <w:r w:rsidR="6356C74A">
        <w:rPr>
          <w:noProof/>
          <w:lang w:val="en-IE"/>
        </w:rPr>
        <w:t>1</w:t>
      </w:r>
      <w:r w:rsidR="63DE567D">
        <w:rPr>
          <w:noProof/>
          <w:lang w:val="en-IE"/>
        </w:rPr>
        <w:t>2</w:t>
      </w:r>
      <w:r w:rsidR="09B6C992">
        <w:rPr>
          <w:noProof/>
          <w:lang w:val="en-IE"/>
        </w:rPr>
        <w:t xml:space="preserve"> from </w:t>
      </w:r>
      <w:r w:rsidR="5E320A7D">
        <w:rPr>
          <w:noProof/>
          <w:lang w:val="en-IE"/>
        </w:rPr>
        <w:t>public authorities</w:t>
      </w:r>
      <w:r w:rsidR="52BF3FF2">
        <w:rPr>
          <w:noProof/>
          <w:lang w:val="en-IE"/>
        </w:rPr>
        <w:t xml:space="preserve"> </w:t>
      </w:r>
      <w:r w:rsidR="2B2EBA25">
        <w:rPr>
          <w:noProof/>
          <w:lang w:val="en-IE"/>
        </w:rPr>
        <w:t>and</w:t>
      </w:r>
      <w:r w:rsidR="52BF3FF2">
        <w:rPr>
          <w:noProof/>
          <w:lang w:val="en-IE"/>
        </w:rPr>
        <w:t xml:space="preserve"> </w:t>
      </w:r>
      <w:r w:rsidR="09B6C992">
        <w:rPr>
          <w:noProof/>
          <w:lang w:val="en-IE"/>
        </w:rPr>
        <w:t xml:space="preserve">market regulators. </w:t>
      </w:r>
      <w:r w:rsidR="4C6B502E">
        <w:rPr>
          <w:noProof/>
          <w:lang w:val="en-IE"/>
        </w:rPr>
        <w:t>In preparing this report, t</w:t>
      </w:r>
      <w:r w:rsidR="660B9D78" w:rsidRPr="00575C33">
        <w:rPr>
          <w:noProof/>
          <w:lang w:val="en-IE"/>
        </w:rPr>
        <w:t xml:space="preserve">he Commission carefully considered </w:t>
      </w:r>
      <w:r w:rsidR="0828AF85">
        <w:rPr>
          <w:noProof/>
          <w:lang w:val="en-IE"/>
        </w:rPr>
        <w:t xml:space="preserve">those </w:t>
      </w:r>
      <w:r w:rsidR="660B9D78" w:rsidRPr="00575C33">
        <w:rPr>
          <w:noProof/>
          <w:lang w:val="en-IE"/>
        </w:rPr>
        <w:t>responses</w:t>
      </w:r>
      <w:r w:rsidR="7DAE27B2">
        <w:rPr>
          <w:noProof/>
          <w:lang w:val="en-IE"/>
        </w:rPr>
        <w:t xml:space="preserve"> </w:t>
      </w:r>
      <w:r w:rsidR="3505C5A4">
        <w:rPr>
          <w:noProof/>
          <w:lang w:val="en-IE"/>
        </w:rPr>
        <w:t xml:space="preserve">and </w:t>
      </w:r>
      <w:r w:rsidR="3E3B4313" w:rsidRPr="00575C33">
        <w:rPr>
          <w:noProof/>
          <w:lang w:val="en-IE"/>
        </w:rPr>
        <w:t>review</w:t>
      </w:r>
      <w:r w:rsidR="3505C5A4">
        <w:rPr>
          <w:noProof/>
          <w:lang w:val="en-IE"/>
        </w:rPr>
        <w:t>ed</w:t>
      </w:r>
      <w:r w:rsidR="3E3B4313" w:rsidRPr="00575C33">
        <w:rPr>
          <w:noProof/>
          <w:lang w:val="en-IE"/>
        </w:rPr>
        <w:t xml:space="preserve"> </w:t>
      </w:r>
      <w:r w:rsidR="3E3B4313">
        <w:rPr>
          <w:noProof/>
          <w:lang w:val="en-IE"/>
        </w:rPr>
        <w:t xml:space="preserve">the </w:t>
      </w:r>
      <w:r w:rsidR="3E3B4313" w:rsidRPr="00575C33">
        <w:rPr>
          <w:noProof/>
          <w:lang w:val="en-IE"/>
        </w:rPr>
        <w:t>relevant data and market trends</w:t>
      </w:r>
      <w:r w:rsidR="3E3B4313">
        <w:rPr>
          <w:noProof/>
          <w:lang w:val="en-IE"/>
        </w:rPr>
        <w:t xml:space="preserve"> to supplement its assessment</w:t>
      </w:r>
      <w:r w:rsidR="3E3B4313" w:rsidRPr="00575C33">
        <w:rPr>
          <w:noProof/>
          <w:lang w:val="en-IE"/>
        </w:rPr>
        <w:t>.</w:t>
      </w:r>
    </w:p>
    <w:p w14:paraId="15B1F68F" w14:textId="0011CCA4" w:rsidR="00142607" w:rsidRDefault="0DCCE4C0" w:rsidP="21CB014D">
      <w:pPr>
        <w:pStyle w:val="paragraph"/>
        <w:spacing w:before="0" w:beforeAutospacing="0" w:after="240" w:afterAutospacing="0"/>
        <w:jc w:val="both"/>
        <w:textAlignment w:val="baseline"/>
        <w:rPr>
          <w:rStyle w:val="normaltextrun"/>
          <w:noProof/>
        </w:rPr>
      </w:pPr>
      <w:r w:rsidRPr="21CB014D">
        <w:rPr>
          <w:rStyle w:val="normaltextrun"/>
          <w:noProof/>
        </w:rPr>
        <w:t>In accordance with the requirement set out in Article 90(5) of MiFID II, t</w:t>
      </w:r>
      <w:r w:rsidR="2E7611B7" w:rsidRPr="21CB014D">
        <w:rPr>
          <w:rStyle w:val="normaltextrun"/>
          <w:noProof/>
        </w:rPr>
        <w:t xml:space="preserve">he report </w:t>
      </w:r>
      <w:r w:rsidR="7FBAF096" w:rsidRPr="21CB014D">
        <w:rPr>
          <w:rStyle w:val="normaltextrun"/>
          <w:noProof/>
        </w:rPr>
        <w:t>assesses</w:t>
      </w:r>
      <w:r w:rsidR="2E7611B7" w:rsidRPr="21CB014D">
        <w:rPr>
          <w:rStyle w:val="normaltextrun"/>
          <w:noProof/>
        </w:rPr>
        <w:t xml:space="preserve">, for each of the following elements, </w:t>
      </w:r>
      <w:r w:rsidR="757DAEC3" w:rsidRPr="21CB014D">
        <w:rPr>
          <w:rStyle w:val="normaltextrun"/>
          <w:noProof/>
        </w:rPr>
        <w:t xml:space="preserve">its </w:t>
      </w:r>
      <w:r w:rsidR="2E7611B7" w:rsidRPr="21CB014D">
        <w:rPr>
          <w:rStyle w:val="normaltextrun"/>
          <w:noProof/>
        </w:rPr>
        <w:t>contribution to the liquidity and proper functioning of European markets for commodity derivatives, EUAs or derivatives o</w:t>
      </w:r>
      <w:r w:rsidR="22AB0DD7" w:rsidRPr="21CB014D">
        <w:rPr>
          <w:rStyle w:val="normaltextrun"/>
          <w:noProof/>
        </w:rPr>
        <w:t>f</w:t>
      </w:r>
      <w:r w:rsidR="2E7611B7" w:rsidRPr="21CB014D">
        <w:rPr>
          <w:rStyle w:val="normaltextrun"/>
          <w:noProof/>
        </w:rPr>
        <w:t xml:space="preserve"> EUAs</w:t>
      </w:r>
      <w:r w:rsidR="2E4677DC" w:rsidRPr="21CB014D">
        <w:rPr>
          <w:rStyle w:val="normaltextrun"/>
          <w:noProof/>
        </w:rPr>
        <w:t>:</w:t>
      </w:r>
    </w:p>
    <w:p w14:paraId="674C7FF3" w14:textId="5B2C87B0" w:rsidR="00142607" w:rsidRPr="00575C33" w:rsidRDefault="00142607" w:rsidP="00AC60EB">
      <w:pPr>
        <w:pStyle w:val="paragraph"/>
        <w:numPr>
          <w:ilvl w:val="0"/>
          <w:numId w:val="31"/>
        </w:numPr>
        <w:spacing w:before="0" w:beforeAutospacing="0" w:after="240" w:afterAutospacing="0"/>
        <w:jc w:val="both"/>
        <w:textAlignment w:val="baseline"/>
        <w:rPr>
          <w:rStyle w:val="eop"/>
          <w:rFonts w:eastAsia="Calibri"/>
          <w:noProof/>
        </w:rPr>
      </w:pPr>
      <w:r w:rsidRPr="00575C33">
        <w:rPr>
          <w:rStyle w:val="normaltextrun"/>
          <w:noProof/>
        </w:rPr>
        <w:t>the position limit and position management controls regimes relying on data provided by competent authorities to ESMA in accordance with Article 57(5) and (10) of MiFID</w:t>
      </w:r>
      <w:r w:rsidR="00E57EB2">
        <w:rPr>
          <w:rStyle w:val="normaltextrun"/>
          <w:noProof/>
        </w:rPr>
        <w:t xml:space="preserve"> II</w:t>
      </w:r>
      <w:r w:rsidR="611BA7DA" w:rsidRPr="00575C33">
        <w:rPr>
          <w:rStyle w:val="normaltextrun"/>
          <w:noProof/>
        </w:rPr>
        <w:t>;</w:t>
      </w:r>
      <w:r w:rsidRPr="00575C33">
        <w:rPr>
          <w:rStyle w:val="eop"/>
          <w:rFonts w:eastAsia="Calibri"/>
          <w:noProof/>
        </w:rPr>
        <w:t> </w:t>
      </w:r>
    </w:p>
    <w:p w14:paraId="7CD5695C" w14:textId="1277D56F" w:rsidR="00142607" w:rsidRDefault="2E7611B7" w:rsidP="21CB014D">
      <w:pPr>
        <w:pStyle w:val="paragraph"/>
        <w:numPr>
          <w:ilvl w:val="0"/>
          <w:numId w:val="31"/>
        </w:numPr>
        <w:spacing w:before="0" w:beforeAutospacing="0" w:after="240" w:afterAutospacing="0"/>
        <w:jc w:val="both"/>
        <w:textAlignment w:val="baseline"/>
        <w:rPr>
          <w:rStyle w:val="eop"/>
          <w:rFonts w:eastAsia="Calibri"/>
          <w:noProof/>
        </w:rPr>
      </w:pPr>
      <w:r w:rsidRPr="21CB014D">
        <w:rPr>
          <w:rStyle w:val="normaltextrun"/>
          <w:noProof/>
        </w:rPr>
        <w:t xml:space="preserve">the elements referred to in the second and third subparagraphs of Article 2(4) of MiFID and the criteria for establishing when an activity is to be considered to be ancillary to the main business at group level pursuant to </w:t>
      </w:r>
      <w:hyperlink r:id="rId18">
        <w:r w:rsidRPr="21CB014D">
          <w:rPr>
            <w:rStyle w:val="normaltextrun"/>
            <w:noProof/>
          </w:rPr>
          <w:t>Commission Delegated Regulation (EU) 2021/1833</w:t>
        </w:r>
      </w:hyperlink>
      <w:r w:rsidRPr="21CB014D">
        <w:rPr>
          <w:rStyle w:val="normaltextrun"/>
          <w:noProof/>
        </w:rPr>
        <w:t> (</w:t>
      </w:r>
      <w:r w:rsidRPr="21CB014D">
        <w:rPr>
          <w:rStyle w:val="superscript"/>
          <w:noProof/>
          <w:vertAlign w:val="superscript"/>
        </w:rPr>
        <w:t>2</w:t>
      </w:r>
      <w:r w:rsidRPr="21CB014D">
        <w:rPr>
          <w:rStyle w:val="normaltextrun"/>
          <w:noProof/>
        </w:rPr>
        <w:t>), taking into account</w:t>
      </w:r>
      <w:r w:rsidR="2D7AB843" w:rsidRPr="21CB014D">
        <w:rPr>
          <w:rStyle w:val="normaltextrun"/>
          <w:noProof/>
        </w:rPr>
        <w:t xml:space="preserve"> (i)</w:t>
      </w:r>
      <w:r w:rsidRPr="21CB014D">
        <w:rPr>
          <w:rStyle w:val="normaltextrun"/>
          <w:noProof/>
        </w:rPr>
        <w:t xml:space="preserve"> the ability to enter into transactions for effectively reducing risks directly relating to the commercial activity or treasury financing activity</w:t>
      </w:r>
      <w:r w:rsidR="2D7AB843" w:rsidRPr="21CB014D">
        <w:rPr>
          <w:rStyle w:val="normaltextrun"/>
          <w:noProof/>
        </w:rPr>
        <w:t>;</w:t>
      </w:r>
      <w:r w:rsidRPr="21CB014D">
        <w:rPr>
          <w:rStyle w:val="normaltextrun"/>
          <w:noProof/>
        </w:rPr>
        <w:t xml:space="preserve"> </w:t>
      </w:r>
      <w:r w:rsidR="2D7AB843" w:rsidRPr="21CB014D">
        <w:rPr>
          <w:rStyle w:val="normaltextrun"/>
          <w:noProof/>
        </w:rPr>
        <w:t xml:space="preserve">(ii) </w:t>
      </w:r>
      <w:r w:rsidRPr="21CB014D">
        <w:rPr>
          <w:rStyle w:val="normaltextrun"/>
          <w:noProof/>
        </w:rPr>
        <w:t>the application of requirements from 26 June</w:t>
      </w:r>
      <w:r w:rsidR="19A097BF" w:rsidRPr="21CB014D">
        <w:rPr>
          <w:rStyle w:val="normaltextrun"/>
          <w:noProof/>
        </w:rPr>
        <w:t xml:space="preserve"> </w:t>
      </w:r>
      <w:r w:rsidRPr="21CB014D">
        <w:rPr>
          <w:rStyle w:val="normaltextrun"/>
          <w:noProof/>
        </w:rPr>
        <w:t xml:space="preserve">2026 for investment firms specialised in commodity derivatives or EUAs or derivatives thereof as set out in </w:t>
      </w:r>
      <w:hyperlink r:id="rId19" w:anchor="legislation">
        <w:r w:rsidRPr="21CB014D">
          <w:rPr>
            <w:rStyle w:val="normaltextrun"/>
            <w:noProof/>
          </w:rPr>
          <w:t>Regulation (EU) 2019/2033</w:t>
        </w:r>
      </w:hyperlink>
      <w:r w:rsidR="70AB53A1">
        <w:rPr>
          <w:noProof/>
        </w:rPr>
        <w:t>; (iii)</w:t>
      </w:r>
      <w:r w:rsidRPr="21CB014D">
        <w:rPr>
          <w:rStyle w:val="normaltextrun"/>
          <w:noProof/>
        </w:rPr>
        <w:t xml:space="preserve"> and requirements for financial counterparties as set out in </w:t>
      </w:r>
      <w:hyperlink r:id="rId20" w:anchor="legislation">
        <w:r w:rsidRPr="21CB014D">
          <w:rPr>
            <w:rStyle w:val="normaltextrun"/>
            <w:noProof/>
          </w:rPr>
          <w:t>Regulation (EU) 648/2012</w:t>
        </w:r>
      </w:hyperlink>
      <w:r w:rsidR="40AA9D44" w:rsidRPr="21CB014D">
        <w:rPr>
          <w:rStyle w:val="eop"/>
          <w:rFonts w:eastAsia="Calibri"/>
          <w:noProof/>
        </w:rPr>
        <w:t>;</w:t>
      </w:r>
    </w:p>
    <w:p w14:paraId="2237F7B1" w14:textId="6AB03FBC" w:rsidR="00142607" w:rsidRPr="00AC60EB" w:rsidRDefault="00142607" w:rsidP="00AC60EB">
      <w:pPr>
        <w:pStyle w:val="paragraph"/>
        <w:numPr>
          <w:ilvl w:val="0"/>
          <w:numId w:val="31"/>
        </w:numPr>
        <w:spacing w:before="0" w:beforeAutospacing="0" w:after="240" w:afterAutospacing="0"/>
        <w:jc w:val="both"/>
        <w:textAlignment w:val="baseline"/>
        <w:rPr>
          <w:rStyle w:val="normaltextrun"/>
          <w:rFonts w:eastAsia="Calibri"/>
          <w:noProof/>
        </w:rPr>
      </w:pPr>
      <w:r w:rsidRPr="00575C33">
        <w:rPr>
          <w:rStyle w:val="normaltextrun"/>
          <w:noProof/>
        </w:rPr>
        <w:t>the key elements to obtain a harmonised data set for transactions by the commodity derivative market to a single collecting entity</w:t>
      </w:r>
      <w:r w:rsidR="00F9636C">
        <w:rPr>
          <w:rStyle w:val="normaltextrun"/>
          <w:noProof/>
        </w:rPr>
        <w:t>, and</w:t>
      </w:r>
      <w:r w:rsidRPr="00575C33">
        <w:rPr>
          <w:rStyle w:val="normaltextrun"/>
          <w:noProof/>
        </w:rPr>
        <w:t xml:space="preserve"> </w:t>
      </w:r>
      <w:r w:rsidR="00F9636C">
        <w:rPr>
          <w:rStyle w:val="normaltextrun"/>
          <w:noProof/>
        </w:rPr>
        <w:t>t</w:t>
      </w:r>
      <w:r w:rsidRPr="00575C33">
        <w:rPr>
          <w:rStyle w:val="normaltextrun"/>
          <w:noProof/>
        </w:rPr>
        <w:t>he relevant information on transaction data to be made public and its most appropriate format</w:t>
      </w:r>
      <w:r w:rsidR="49F0363D" w:rsidRPr="00575C33">
        <w:rPr>
          <w:rStyle w:val="normaltextrun"/>
          <w:noProof/>
        </w:rPr>
        <w:t>.</w:t>
      </w:r>
      <w:r w:rsidRPr="00AC60EB">
        <w:rPr>
          <w:rStyle w:val="normaltextrun"/>
          <w:rFonts w:eastAsia="Calibri"/>
          <w:noProof/>
        </w:rPr>
        <w:t> </w:t>
      </w:r>
    </w:p>
    <w:p w14:paraId="373C12DF" w14:textId="0157B4B5" w:rsidR="00484E85" w:rsidRDefault="2B31389B" w:rsidP="00AC60EB">
      <w:pPr>
        <w:rPr>
          <w:noProof/>
          <w:lang w:val="en-IE"/>
        </w:rPr>
      </w:pPr>
      <w:r w:rsidRPr="21CB014D">
        <w:rPr>
          <w:noProof/>
          <w:lang w:val="en-IE"/>
        </w:rPr>
        <w:t>In addition, t</w:t>
      </w:r>
      <w:r w:rsidR="527304F0" w:rsidRPr="21CB014D">
        <w:rPr>
          <w:noProof/>
          <w:lang w:val="en-IE"/>
        </w:rPr>
        <w:t>he</w:t>
      </w:r>
      <w:r w:rsidR="18AB7340" w:rsidRPr="21CB014D">
        <w:rPr>
          <w:noProof/>
          <w:lang w:val="en-IE"/>
        </w:rPr>
        <w:t xml:space="preserve"> Draghi report published in </w:t>
      </w:r>
      <w:r w:rsidR="7D593A51" w:rsidRPr="21CB014D">
        <w:rPr>
          <w:noProof/>
          <w:lang w:val="en-IE"/>
        </w:rPr>
        <w:t xml:space="preserve">September 2024 </w:t>
      </w:r>
      <w:r w:rsidRPr="21CB014D">
        <w:rPr>
          <w:noProof/>
          <w:lang w:val="en-IE"/>
        </w:rPr>
        <w:t xml:space="preserve">made </w:t>
      </w:r>
      <w:r w:rsidR="7D593A51" w:rsidRPr="21CB014D">
        <w:rPr>
          <w:noProof/>
          <w:lang w:val="en-IE"/>
        </w:rPr>
        <w:t xml:space="preserve">certain </w:t>
      </w:r>
      <w:r w:rsidRPr="21CB014D">
        <w:rPr>
          <w:noProof/>
          <w:lang w:val="en-IE"/>
        </w:rPr>
        <w:t xml:space="preserve">proposals for changes in the </w:t>
      </w:r>
      <w:r w:rsidR="7D593A51" w:rsidRPr="21CB014D">
        <w:rPr>
          <w:noProof/>
          <w:lang w:val="en-IE"/>
        </w:rPr>
        <w:t>regulatory</w:t>
      </w:r>
      <w:r w:rsidRPr="21CB014D">
        <w:rPr>
          <w:noProof/>
          <w:lang w:val="en-IE"/>
        </w:rPr>
        <w:t xml:space="preserve"> framework</w:t>
      </w:r>
      <w:r w:rsidR="7D593A51" w:rsidRPr="21CB014D">
        <w:rPr>
          <w:noProof/>
          <w:lang w:val="en-IE"/>
        </w:rPr>
        <w:t xml:space="preserve"> governing commodity derivatives markets</w:t>
      </w:r>
      <w:r w:rsidR="31A2B2B5" w:rsidRPr="21CB014D">
        <w:rPr>
          <w:noProof/>
          <w:lang w:val="en-IE"/>
        </w:rPr>
        <w:t>.</w:t>
      </w:r>
      <w:r w:rsidRPr="21CB014D">
        <w:rPr>
          <w:noProof/>
          <w:lang w:val="en-IE"/>
        </w:rPr>
        <w:t xml:space="preserve"> </w:t>
      </w:r>
    </w:p>
    <w:p w14:paraId="74F35775" w14:textId="77777777" w:rsidR="009B1053" w:rsidRPr="009B1053" w:rsidRDefault="009B1053" w:rsidP="00AC60EB">
      <w:pPr>
        <w:rPr>
          <w:noProof/>
          <w:szCs w:val="24"/>
          <w:lang w:val="en-IE"/>
        </w:rPr>
      </w:pPr>
    </w:p>
    <w:p w14:paraId="197B4AAA" w14:textId="42287DBF" w:rsidR="009B1053" w:rsidRPr="009B1053" w:rsidRDefault="009B1053" w:rsidP="009B1053">
      <w:pPr>
        <w:keepNext/>
        <w:keepLines/>
        <w:numPr>
          <w:ilvl w:val="0"/>
          <w:numId w:val="2"/>
        </w:numPr>
        <w:outlineLvl w:val="0"/>
        <w:rPr>
          <w:b/>
          <w:noProof/>
          <w:lang w:val="en-IE"/>
        </w:rPr>
      </w:pPr>
      <w:bookmarkStart w:id="22" w:name="_Toc227243499"/>
      <w:r w:rsidRPr="009B1053">
        <w:rPr>
          <w:b/>
          <w:noProof/>
          <w:lang w:val="en-IE"/>
        </w:rPr>
        <w:t>DATA ASPECTS RELATING TO COMMODITY DERIVATIVES</w:t>
      </w:r>
      <w:bookmarkEnd w:id="22"/>
    </w:p>
    <w:p w14:paraId="29EC1FF2" w14:textId="4C6556EB" w:rsidR="009B1053" w:rsidRPr="00575C33" w:rsidRDefault="009B1053" w:rsidP="009B1053">
      <w:pPr>
        <w:rPr>
          <w:noProof/>
          <w:szCs w:val="24"/>
          <w:lang w:val="en-US"/>
        </w:rPr>
      </w:pPr>
      <w:r w:rsidRPr="00575C33">
        <w:rPr>
          <w:i/>
          <w:iCs/>
          <w:noProof/>
          <w:szCs w:val="24"/>
          <w:lang w:val="en-US"/>
        </w:rPr>
        <w:t>Background</w:t>
      </w:r>
    </w:p>
    <w:p w14:paraId="629245A1" w14:textId="1557F31B" w:rsidR="009B1053" w:rsidRPr="00575C33" w:rsidRDefault="1D43C493" w:rsidP="009B1053">
      <w:pPr>
        <w:rPr>
          <w:noProof/>
          <w:lang w:val="en-IE"/>
        </w:rPr>
      </w:pPr>
      <w:r w:rsidRPr="21CB014D">
        <w:rPr>
          <w:noProof/>
          <w:lang w:val="en-IE"/>
        </w:rPr>
        <w:t xml:space="preserve">Commodity derivatives trading is subject to transparency and reporting requirements under MiFID II, MiFIR and EMIR. </w:t>
      </w:r>
      <w:r w:rsidR="3488C2F5" w:rsidRPr="21CB014D">
        <w:rPr>
          <w:noProof/>
          <w:lang w:val="en-IE"/>
        </w:rPr>
        <w:t>Those rules do not discriminate on the basis of the underlying commodity</w:t>
      </w:r>
      <w:r w:rsidRPr="21CB014D">
        <w:rPr>
          <w:noProof/>
          <w:lang w:val="en-IE"/>
        </w:rPr>
        <w:t>. Furthermore, ene</w:t>
      </w:r>
      <w:r w:rsidR="17E7B252" w:rsidRPr="21CB014D">
        <w:rPr>
          <w:noProof/>
          <w:lang w:val="en-IE"/>
        </w:rPr>
        <w:t>r</w:t>
      </w:r>
      <w:r w:rsidRPr="21CB014D">
        <w:rPr>
          <w:noProof/>
          <w:lang w:val="en-IE"/>
        </w:rPr>
        <w:t xml:space="preserve">gy commodity derivatives are also subject to reporting requirements (although with provisions to avoid double reporting) under </w:t>
      </w:r>
      <w:r w:rsidR="401FD753" w:rsidRPr="21CB014D">
        <w:rPr>
          <w:noProof/>
          <w:lang w:val="en-IE"/>
        </w:rPr>
        <w:t>Regulation (EU) No 1227/2011 (REMIT)</w:t>
      </w:r>
      <w:r w:rsidR="6217E150" w:rsidRPr="21CB014D">
        <w:rPr>
          <w:noProof/>
          <w:lang w:val="en-IE"/>
        </w:rPr>
        <w:t>.</w:t>
      </w:r>
    </w:p>
    <w:p w14:paraId="20860C9A" w14:textId="79DEF532" w:rsidR="009B1053" w:rsidRPr="00575C33" w:rsidRDefault="1D43C493" w:rsidP="009B1053">
      <w:pPr>
        <w:rPr>
          <w:noProof/>
        </w:rPr>
      </w:pPr>
      <w:r w:rsidRPr="04161FFB">
        <w:rPr>
          <w:noProof/>
        </w:rPr>
        <w:t>While reporting to trade repositories under EMIR captures all commodity derivatives transactions involving at least one EU counterparty, reporting requirements under MiFID</w:t>
      </w:r>
      <w:r w:rsidR="2A95C2CE" w:rsidRPr="04161FFB">
        <w:rPr>
          <w:noProof/>
        </w:rPr>
        <w:t xml:space="preserve"> </w:t>
      </w:r>
      <w:r w:rsidRPr="04161FFB">
        <w:rPr>
          <w:noProof/>
        </w:rPr>
        <w:t>II</w:t>
      </w:r>
      <w:r w:rsidRPr="7161EF44">
        <w:rPr>
          <w:noProof/>
        </w:rPr>
        <w:t>/</w:t>
      </w:r>
      <w:r w:rsidRPr="04161FFB">
        <w:rPr>
          <w:noProof/>
        </w:rPr>
        <w:t xml:space="preserve">MiFIR differ depending on the type of data, the </w:t>
      </w:r>
      <w:r w:rsidR="3488C2F5" w:rsidRPr="04161FFB">
        <w:rPr>
          <w:noProof/>
        </w:rPr>
        <w:t>entity receiving the reported data</w:t>
      </w:r>
      <w:r w:rsidRPr="04161FFB">
        <w:rPr>
          <w:noProof/>
        </w:rPr>
        <w:t xml:space="preserve"> and whether the trade takes place on a trading venue. MiFIR also contains details on the conditions under which </w:t>
      </w:r>
      <w:r w:rsidR="3488C2F5" w:rsidRPr="04161FFB">
        <w:rPr>
          <w:noProof/>
        </w:rPr>
        <w:t>some pre-trade</w:t>
      </w:r>
      <w:r w:rsidR="05E002A7">
        <w:rPr>
          <w:noProof/>
        </w:rPr>
        <w:t xml:space="preserve"> (order)</w:t>
      </w:r>
      <w:r w:rsidR="3488C2F5" w:rsidRPr="04161FFB">
        <w:rPr>
          <w:noProof/>
        </w:rPr>
        <w:t xml:space="preserve"> and </w:t>
      </w:r>
      <w:r w:rsidRPr="04161FFB">
        <w:rPr>
          <w:noProof/>
        </w:rPr>
        <w:t>transaction</w:t>
      </w:r>
      <w:r w:rsidR="71E774B8" w:rsidRPr="7161EF44">
        <w:rPr>
          <w:noProof/>
        </w:rPr>
        <w:t xml:space="preserve"> </w:t>
      </w:r>
      <w:r w:rsidRPr="04161FFB">
        <w:rPr>
          <w:noProof/>
        </w:rPr>
        <w:t>related data in financial instruments is to be disseminated</w:t>
      </w:r>
      <w:r w:rsidRPr="04161FFB">
        <w:rPr>
          <w:noProof/>
        </w:rPr>
        <w:noBreakHyphen/>
        <w:t xml:space="preserve"> to the public. MiFID II provides that information on positions is to be reported daily to </w:t>
      </w:r>
      <w:r w:rsidR="7120D87C">
        <w:rPr>
          <w:noProof/>
        </w:rPr>
        <w:t>national competent authorities (</w:t>
      </w:r>
      <w:r w:rsidRPr="04161FFB">
        <w:rPr>
          <w:noProof/>
        </w:rPr>
        <w:t>NCAs</w:t>
      </w:r>
      <w:r w:rsidR="7120D87C">
        <w:rPr>
          <w:noProof/>
        </w:rPr>
        <w:t>)</w:t>
      </w:r>
      <w:r w:rsidRPr="04161FFB">
        <w:rPr>
          <w:noProof/>
        </w:rPr>
        <w:t xml:space="preserve"> by trading venues as regards market participants active on their venue (</w:t>
      </w:r>
      <w:r w:rsidR="009B1053" w:rsidRPr="04161FFB">
        <w:rPr>
          <w:rStyle w:val="FootnoteReference"/>
          <w:noProof/>
        </w:rPr>
        <w:footnoteReference w:id="7"/>
      </w:r>
      <w:r w:rsidRPr="04161FFB">
        <w:rPr>
          <w:noProof/>
        </w:rPr>
        <w:t>). Market participants are in turn required to report daily to trading venues their positions in derivative contracts traded on that venue (</w:t>
      </w:r>
      <w:r w:rsidR="009B1053" w:rsidRPr="04161FFB">
        <w:rPr>
          <w:rStyle w:val="FootnoteReference"/>
          <w:noProof/>
        </w:rPr>
        <w:footnoteReference w:id="8"/>
      </w:r>
      <w:r w:rsidRPr="04161FFB">
        <w:rPr>
          <w:noProof/>
        </w:rPr>
        <w:t xml:space="preserve">). Lastly, investment firms </w:t>
      </w:r>
      <w:r w:rsidR="0D9D6E6B">
        <w:rPr>
          <w:noProof/>
        </w:rPr>
        <w:t>should</w:t>
      </w:r>
      <w:r w:rsidRPr="04161FFB">
        <w:rPr>
          <w:noProof/>
        </w:rPr>
        <w:t xml:space="preserve"> report positions in economically equivalent </w:t>
      </w:r>
      <w:r w:rsidRPr="7161EF44">
        <w:rPr>
          <w:noProof/>
        </w:rPr>
        <w:t>over</w:t>
      </w:r>
      <w:r w:rsidR="248F06A9" w:rsidRPr="7161EF44">
        <w:rPr>
          <w:noProof/>
        </w:rPr>
        <w:t>-</w:t>
      </w:r>
      <w:r w:rsidRPr="04161FFB">
        <w:rPr>
          <w:noProof/>
        </w:rPr>
        <w:t>the</w:t>
      </w:r>
      <w:r w:rsidR="009B1053" w:rsidRPr="7161EF44">
        <w:rPr>
          <w:noProof/>
        </w:rPr>
        <w:noBreakHyphen/>
      </w:r>
      <w:r w:rsidRPr="04161FFB">
        <w:rPr>
          <w:noProof/>
        </w:rPr>
        <w:t xml:space="preserve">counter (OTC) contracts to </w:t>
      </w:r>
      <w:r w:rsidR="3488C2F5" w:rsidRPr="04161FFB">
        <w:rPr>
          <w:noProof/>
        </w:rPr>
        <w:t>the relevant NCA (</w:t>
      </w:r>
      <w:r w:rsidR="00BA26F7" w:rsidRPr="04161FFB">
        <w:rPr>
          <w:rStyle w:val="FootnoteReference"/>
          <w:noProof/>
        </w:rPr>
        <w:footnoteReference w:id="9"/>
      </w:r>
      <w:r w:rsidR="3488C2F5" w:rsidRPr="04161FFB">
        <w:rPr>
          <w:noProof/>
        </w:rPr>
        <w:t>)</w:t>
      </w:r>
      <w:r w:rsidRPr="04161FFB">
        <w:rPr>
          <w:noProof/>
        </w:rPr>
        <w:t xml:space="preserve"> </w:t>
      </w:r>
      <w:bookmarkStart w:id="23" w:name="_Int_PO8OMKX2"/>
      <w:r w:rsidRPr="04161FFB">
        <w:rPr>
          <w:noProof/>
        </w:rPr>
        <w:t>on a daily basis</w:t>
      </w:r>
      <w:bookmarkEnd w:id="23"/>
      <w:r w:rsidRPr="04161FFB">
        <w:rPr>
          <w:noProof/>
        </w:rPr>
        <w:t> (</w:t>
      </w:r>
      <w:r w:rsidR="009B1053" w:rsidRPr="04161FFB">
        <w:rPr>
          <w:rStyle w:val="FootnoteReference"/>
          <w:noProof/>
        </w:rPr>
        <w:footnoteReference w:id="10"/>
      </w:r>
      <w:r w:rsidRPr="04161FFB">
        <w:rPr>
          <w:noProof/>
        </w:rPr>
        <w:t xml:space="preserve">). </w:t>
      </w:r>
    </w:p>
    <w:p w14:paraId="519E44FD" w14:textId="352C9CB4" w:rsidR="009B1053" w:rsidRPr="00575C33" w:rsidRDefault="3D2601C1" w:rsidP="00372E29">
      <w:pPr>
        <w:spacing w:line="259" w:lineRule="auto"/>
        <w:rPr>
          <w:noProof/>
          <w:lang w:val="en-IE"/>
        </w:rPr>
      </w:pPr>
      <w:r w:rsidRPr="60190FC5">
        <w:rPr>
          <w:noProof/>
          <w:lang w:val="en-IE"/>
        </w:rPr>
        <w:t>REMIT</w:t>
      </w:r>
      <w:r w:rsidR="00752A9C" w:rsidRPr="60190FC5">
        <w:rPr>
          <w:noProof/>
          <w:lang w:val="en-IE"/>
        </w:rPr>
        <w:t xml:space="preserve">, as amended by Regulation (EU) </w:t>
      </w:r>
      <w:r w:rsidR="36A03EF0" w:rsidRPr="60190FC5">
        <w:rPr>
          <w:noProof/>
          <w:lang w:val="en-IE"/>
        </w:rPr>
        <w:t xml:space="preserve">No </w:t>
      </w:r>
      <w:r w:rsidR="00752A9C" w:rsidRPr="60190FC5">
        <w:rPr>
          <w:noProof/>
          <w:lang w:val="en-IE"/>
        </w:rPr>
        <w:t>2024/1106 (</w:t>
      </w:r>
      <w:r w:rsidR="009B1053" w:rsidRPr="23641680">
        <w:rPr>
          <w:noProof/>
          <w:lang w:val="en-IE"/>
        </w:rPr>
        <w:t>REMIT</w:t>
      </w:r>
      <w:r w:rsidR="00752A9C" w:rsidRPr="60190FC5">
        <w:rPr>
          <w:noProof/>
          <w:lang w:val="en-IE"/>
        </w:rPr>
        <w:t xml:space="preserve"> II)</w:t>
      </w:r>
      <w:r w:rsidR="009B1053" w:rsidRPr="23641680">
        <w:rPr>
          <w:noProof/>
          <w:lang w:val="en-IE"/>
        </w:rPr>
        <w:t xml:space="preserve"> and REMIT Implementing Regulation (EU) </w:t>
      </w:r>
      <w:r w:rsidR="009B1053" w:rsidRPr="00F768CD">
        <w:rPr>
          <w:noProof/>
          <w:lang w:val="en-IE"/>
        </w:rPr>
        <w:t>1348/2014</w:t>
      </w:r>
      <w:r w:rsidR="00752A9C" w:rsidRPr="00F768CD">
        <w:rPr>
          <w:noProof/>
          <w:lang w:val="en-IE"/>
        </w:rPr>
        <w:t xml:space="preserve"> (REMIT IR)</w:t>
      </w:r>
      <w:r w:rsidR="009B1053" w:rsidRPr="00F768CD">
        <w:rPr>
          <w:noProof/>
          <w:lang w:val="en-IE"/>
        </w:rPr>
        <w:t xml:space="preserve"> introduced </w:t>
      </w:r>
      <w:r w:rsidR="38AD56DF" w:rsidRPr="00F768CD">
        <w:rPr>
          <w:noProof/>
          <w:lang w:val="en-IE"/>
        </w:rPr>
        <w:t xml:space="preserve">detailed </w:t>
      </w:r>
      <w:r w:rsidR="009B1053" w:rsidRPr="00F768CD">
        <w:rPr>
          <w:noProof/>
          <w:lang w:val="en-IE"/>
        </w:rPr>
        <w:t>reporting requirement</w:t>
      </w:r>
      <w:r w:rsidR="00752A9C" w:rsidRPr="00F768CD">
        <w:rPr>
          <w:noProof/>
          <w:lang w:val="en-IE"/>
        </w:rPr>
        <w:t>s</w:t>
      </w:r>
      <w:r w:rsidR="009B1053" w:rsidRPr="00F768CD">
        <w:rPr>
          <w:noProof/>
          <w:lang w:val="en-IE"/>
        </w:rPr>
        <w:t xml:space="preserve"> for </w:t>
      </w:r>
      <w:r w:rsidR="00752A9C" w:rsidRPr="00F768CD">
        <w:rPr>
          <w:noProof/>
          <w:lang w:val="en-IE"/>
        </w:rPr>
        <w:t xml:space="preserve">transactions and orders to trade linked to </w:t>
      </w:r>
      <w:r w:rsidR="009B1053" w:rsidRPr="00F768CD">
        <w:rPr>
          <w:noProof/>
          <w:lang w:val="en-IE"/>
        </w:rPr>
        <w:t>whole</w:t>
      </w:r>
      <w:r w:rsidR="009B1053" w:rsidRPr="23641680">
        <w:rPr>
          <w:noProof/>
          <w:lang w:val="en-IE"/>
        </w:rPr>
        <w:t xml:space="preserve">sale energy </w:t>
      </w:r>
      <w:r w:rsidR="00752A9C" w:rsidRPr="60190FC5">
        <w:rPr>
          <w:noProof/>
          <w:lang w:val="en-IE"/>
        </w:rPr>
        <w:t>products (</w:t>
      </w:r>
      <w:r w:rsidR="00752A9C" w:rsidRPr="388202A8">
        <w:rPr>
          <w:rStyle w:val="FootnoteReference"/>
          <w:noProof/>
          <w:lang w:val="en-IE"/>
        </w:rPr>
        <w:footnoteReference w:id="11"/>
      </w:r>
      <w:r w:rsidR="00752A9C" w:rsidRPr="60190FC5">
        <w:rPr>
          <w:noProof/>
          <w:lang w:val="en-IE"/>
        </w:rPr>
        <w:t>)</w:t>
      </w:r>
      <w:r w:rsidR="009B1053" w:rsidRPr="23641680">
        <w:rPr>
          <w:noProof/>
          <w:lang w:val="en-IE"/>
        </w:rPr>
        <w:t>.</w:t>
      </w:r>
    </w:p>
    <w:p w14:paraId="3FC97DF8" w14:textId="76BB6303" w:rsidR="009B1053" w:rsidRPr="00575C33" w:rsidRDefault="1D43C493" w:rsidP="009B1053">
      <w:pPr>
        <w:rPr>
          <w:noProof/>
        </w:rPr>
      </w:pPr>
      <w:r w:rsidRPr="1F0E0F22">
        <w:rPr>
          <w:noProof/>
          <w:lang w:val="en-IE"/>
        </w:rPr>
        <w:t xml:space="preserve">REMIT II, which entered into </w:t>
      </w:r>
      <w:r w:rsidRPr="788854FF">
        <w:rPr>
          <w:noProof/>
          <w:lang w:val="en-IE"/>
        </w:rPr>
        <w:t>application</w:t>
      </w:r>
      <w:r w:rsidRPr="1F0E0F22">
        <w:rPr>
          <w:noProof/>
          <w:lang w:val="en-IE"/>
        </w:rPr>
        <w:t xml:space="preserve"> in May 2024</w:t>
      </w:r>
      <w:r w:rsidR="10149964" w:rsidRPr="1F0E0F22">
        <w:rPr>
          <w:noProof/>
          <w:lang w:val="en-IE"/>
        </w:rPr>
        <w:t>,</w:t>
      </w:r>
      <w:r w:rsidRPr="1F0E0F22">
        <w:rPr>
          <w:noProof/>
          <w:lang w:val="en-IE"/>
        </w:rPr>
        <w:t xml:space="preserve"> established an obligation to set data sharing mechanisms between various regulators, including ACER, ESMA, Eurofisc, the European Commission, </w:t>
      </w:r>
      <w:r w:rsidR="27FAB2AE">
        <w:rPr>
          <w:noProof/>
          <w:lang w:val="en-IE"/>
        </w:rPr>
        <w:t>national regulatory authorities (</w:t>
      </w:r>
      <w:r w:rsidRPr="1F0E0F22">
        <w:rPr>
          <w:noProof/>
          <w:lang w:val="en-IE"/>
        </w:rPr>
        <w:t>NRAs</w:t>
      </w:r>
      <w:r w:rsidR="27FAB2AE">
        <w:rPr>
          <w:noProof/>
          <w:lang w:val="en-IE"/>
        </w:rPr>
        <w:t>)</w:t>
      </w:r>
      <w:r w:rsidRPr="1F0E0F22">
        <w:rPr>
          <w:noProof/>
          <w:lang w:val="en-IE"/>
        </w:rPr>
        <w:t xml:space="preserve">, NCAs and other relevant authorities in the </w:t>
      </w:r>
      <w:r w:rsidR="7120D87C">
        <w:rPr>
          <w:noProof/>
          <w:lang w:val="en-IE"/>
        </w:rPr>
        <w:t>EU</w:t>
      </w:r>
      <w:r w:rsidRPr="1F0E0F22">
        <w:rPr>
          <w:noProof/>
          <w:lang w:val="en-IE"/>
        </w:rPr>
        <w:t>. In addition,</w:t>
      </w:r>
      <w:r w:rsidR="593B1431">
        <w:rPr>
          <w:noProof/>
          <w:lang w:val="en-IE"/>
        </w:rPr>
        <w:t xml:space="preserve"> because REMIT covers energy derivatives as wholesale energy products,</w:t>
      </w:r>
      <w:r w:rsidRPr="1F0E0F22">
        <w:rPr>
          <w:noProof/>
          <w:lang w:val="en-IE"/>
        </w:rPr>
        <w:t xml:space="preserve"> specific provisions under REMIT II prevent double reporting under both the financial rulebook and under REMIT II. </w:t>
      </w:r>
      <w:r>
        <w:rPr>
          <w:noProof/>
        </w:rPr>
        <w:t xml:space="preserve">REMIT II thereby provides that </w:t>
      </w:r>
      <w:r w:rsidR="401FD753">
        <w:rPr>
          <w:noProof/>
        </w:rPr>
        <w:t xml:space="preserve">persons </w:t>
      </w:r>
      <w:r w:rsidR="401FD753" w:rsidRPr="00752A9C">
        <w:rPr>
          <w:noProof/>
        </w:rPr>
        <w:t xml:space="preserve">that have reported transactions in accordance with </w:t>
      </w:r>
      <w:r w:rsidR="401FD753">
        <w:rPr>
          <w:noProof/>
        </w:rPr>
        <w:t>MiFIR</w:t>
      </w:r>
      <w:r w:rsidR="401FD753" w:rsidRPr="00752A9C">
        <w:rPr>
          <w:noProof/>
        </w:rPr>
        <w:t xml:space="preserve"> or </w:t>
      </w:r>
      <w:r w:rsidR="401FD753">
        <w:rPr>
          <w:noProof/>
        </w:rPr>
        <w:t>EMIR should</w:t>
      </w:r>
      <w:r w:rsidR="401FD753" w:rsidRPr="00752A9C">
        <w:rPr>
          <w:noProof/>
        </w:rPr>
        <w:t xml:space="preserve"> not be subject to double reporting obligations relating to those transactions (</w:t>
      </w:r>
      <w:r w:rsidR="00752A9C">
        <w:rPr>
          <w:rStyle w:val="FootnoteReference"/>
          <w:noProof/>
        </w:rPr>
        <w:footnoteReference w:id="12"/>
      </w:r>
      <w:r w:rsidR="401FD753">
        <w:rPr>
          <w:noProof/>
        </w:rPr>
        <w:t>)</w:t>
      </w:r>
      <w:r>
        <w:rPr>
          <w:noProof/>
        </w:rPr>
        <w:t xml:space="preserve">. </w:t>
      </w:r>
    </w:p>
    <w:p w14:paraId="2FF267B0" w14:textId="1238DEBD" w:rsidR="009B1053" w:rsidRPr="00575C33" w:rsidRDefault="1D43C493" w:rsidP="21CB014D">
      <w:pPr>
        <w:rPr>
          <w:noProof/>
          <w:lang w:val="en-US"/>
        </w:rPr>
      </w:pPr>
      <w:r w:rsidRPr="21CB014D">
        <w:rPr>
          <w:noProof/>
          <w:lang w:val="en-IE"/>
        </w:rPr>
        <w:t>The current regulatory framework results in multiple reporting channels, with data access limited to specific regulators. For example, ACER and NRAs receive data on wholesale energy products (in addition to some financial data</w:t>
      </w:r>
      <w:r w:rsidR="189AA51B" w:rsidRPr="21CB014D">
        <w:rPr>
          <w:noProof/>
          <w:lang w:val="en-IE"/>
        </w:rPr>
        <w:t xml:space="preserve"> </w:t>
      </w:r>
      <w:r w:rsidR="4F40AFBD" w:rsidRPr="21CB014D">
        <w:rPr>
          <w:noProof/>
          <w:lang w:val="en-IE"/>
        </w:rPr>
        <w:t>via access to EMIR trade repositories data</w:t>
      </w:r>
      <w:r w:rsidR="593B1431" w:rsidRPr="21CB014D">
        <w:rPr>
          <w:noProof/>
          <w:lang w:val="en-IE"/>
        </w:rPr>
        <w:t xml:space="preserve"> </w:t>
      </w:r>
      <w:r w:rsidR="189AA51B" w:rsidRPr="21CB014D">
        <w:rPr>
          <w:noProof/>
          <w:lang w:val="en-IE"/>
        </w:rPr>
        <w:t>for</w:t>
      </w:r>
      <w:r w:rsidR="593B1431" w:rsidRPr="21CB014D">
        <w:rPr>
          <w:noProof/>
          <w:lang w:val="en-IE"/>
        </w:rPr>
        <w:t xml:space="preserve"> wholesale energy products that also qualify as financial instruments</w:t>
      </w:r>
      <w:r w:rsidRPr="21CB014D">
        <w:rPr>
          <w:noProof/>
          <w:lang w:val="en-IE"/>
        </w:rPr>
        <w:t xml:space="preserve">), while ESMA and NCAs </w:t>
      </w:r>
      <w:r w:rsidR="189AA51B" w:rsidRPr="21CB014D">
        <w:rPr>
          <w:noProof/>
          <w:lang w:val="en-IE"/>
        </w:rPr>
        <w:t xml:space="preserve">receive </w:t>
      </w:r>
      <w:r w:rsidRPr="21CB014D">
        <w:rPr>
          <w:noProof/>
          <w:lang w:val="en-IE"/>
        </w:rPr>
        <w:t xml:space="preserve">financial data. This separation means that the data available to energy supervisors does not always reach financial regulators, and vice versa, </w:t>
      </w:r>
      <w:r w:rsidR="48F46861" w:rsidRPr="21CB014D">
        <w:rPr>
          <w:noProof/>
          <w:lang w:val="en-IE"/>
        </w:rPr>
        <w:t>which</w:t>
      </w:r>
      <w:r w:rsidRPr="21CB014D">
        <w:rPr>
          <w:noProof/>
          <w:lang w:val="en-IE"/>
        </w:rPr>
        <w:t xml:space="preserve"> can hinder </w:t>
      </w:r>
      <w:r w:rsidR="48F46861" w:rsidRPr="21CB014D">
        <w:rPr>
          <w:noProof/>
          <w:lang w:val="en-IE"/>
        </w:rPr>
        <w:t>cross-</w:t>
      </w:r>
      <w:r w:rsidRPr="21CB014D">
        <w:rPr>
          <w:noProof/>
          <w:lang w:val="en-IE"/>
        </w:rPr>
        <w:t xml:space="preserve">market supervision. For instance, ESMA and NCAs lack systematic access to data on </w:t>
      </w:r>
      <w:r w:rsidR="2F7FFC1C" w:rsidRPr="21CB014D">
        <w:rPr>
          <w:noProof/>
          <w:lang w:val="en-IE"/>
        </w:rPr>
        <w:t>‘</w:t>
      </w:r>
      <w:r w:rsidRPr="21CB014D">
        <w:rPr>
          <w:noProof/>
          <w:lang w:val="en-IE"/>
        </w:rPr>
        <w:t>C6 carve-out</w:t>
      </w:r>
      <w:r w:rsidR="2F7FFC1C" w:rsidRPr="21CB014D">
        <w:rPr>
          <w:noProof/>
          <w:lang w:val="en-IE"/>
        </w:rPr>
        <w:t>’</w:t>
      </w:r>
      <w:r w:rsidRPr="21CB014D">
        <w:rPr>
          <w:noProof/>
          <w:lang w:val="en-IE"/>
        </w:rPr>
        <w:t xml:space="preserve"> products and spot market products reported to ACER. Additionally, differing reporting standards between MiFIR/EMIR and REMIT II complicate reporting and data analysis, even for related products. </w:t>
      </w:r>
    </w:p>
    <w:p w14:paraId="0180A78E" w14:textId="14ED5B60" w:rsidR="009B1053" w:rsidRPr="00575C33" w:rsidRDefault="1D43C493" w:rsidP="60190FC5">
      <w:pPr>
        <w:rPr>
          <w:noProof/>
          <w:sz w:val="22"/>
          <w:szCs w:val="22"/>
          <w:lang w:val="en-IE"/>
        </w:rPr>
      </w:pPr>
      <w:r w:rsidRPr="21CB014D">
        <w:rPr>
          <w:noProof/>
          <w:lang w:val="en-IE"/>
        </w:rPr>
        <w:t>The stakeholder consultation dealt with multiple data aspects. It investigated whether ESMA had sufficient access to transaction data via</w:t>
      </w:r>
      <w:r w:rsidR="2F7FFC1C" w:rsidRPr="21CB014D">
        <w:rPr>
          <w:noProof/>
          <w:lang w:val="en-IE"/>
        </w:rPr>
        <w:t xml:space="preserve"> </w:t>
      </w:r>
      <w:r w:rsidRPr="21CB014D">
        <w:rPr>
          <w:noProof/>
          <w:lang w:val="en-IE"/>
        </w:rPr>
        <w:t>NCAs.</w:t>
      </w:r>
      <w:r w:rsidR="2F7FFC1C" w:rsidRPr="21CB014D">
        <w:rPr>
          <w:noProof/>
          <w:lang w:val="en-US"/>
        </w:rPr>
        <w:t xml:space="preserve">It also </w:t>
      </w:r>
      <w:r w:rsidRPr="21CB014D">
        <w:rPr>
          <w:noProof/>
          <w:lang w:val="en-US"/>
        </w:rPr>
        <w:t xml:space="preserve">explored areas where </w:t>
      </w:r>
      <w:r w:rsidR="652F9730" w:rsidRPr="21CB014D">
        <w:rPr>
          <w:noProof/>
          <w:lang w:val="en-US"/>
        </w:rPr>
        <w:t>information</w:t>
      </w:r>
      <w:r w:rsidR="260FD78F" w:rsidRPr="21CB014D">
        <w:rPr>
          <w:noProof/>
          <w:lang w:val="en-US"/>
        </w:rPr>
        <w:t>-</w:t>
      </w:r>
      <w:r w:rsidR="652F9730" w:rsidRPr="21CB014D">
        <w:rPr>
          <w:noProof/>
          <w:lang w:val="en-US"/>
        </w:rPr>
        <w:t xml:space="preserve">sharing and access </w:t>
      </w:r>
      <w:r w:rsidR="260FD78F" w:rsidRPr="21CB014D">
        <w:rPr>
          <w:noProof/>
          <w:lang w:val="en-US"/>
        </w:rPr>
        <w:t xml:space="preserve">to relevant information </w:t>
      </w:r>
      <w:r w:rsidR="652F9730" w:rsidRPr="21CB014D">
        <w:rPr>
          <w:noProof/>
          <w:lang w:val="en-US"/>
        </w:rPr>
        <w:t>could be improved or</w:t>
      </w:r>
      <w:r w:rsidRPr="21CB014D">
        <w:rPr>
          <w:noProof/>
          <w:lang w:val="en-US"/>
        </w:rPr>
        <w:t xml:space="preserve"> streamlined </w:t>
      </w:r>
      <w:r w:rsidR="260FD78F" w:rsidRPr="21CB014D">
        <w:rPr>
          <w:noProof/>
          <w:lang w:val="en-US"/>
        </w:rPr>
        <w:t xml:space="preserve"> and if</w:t>
      </w:r>
      <w:r w:rsidR="652F9730" w:rsidRPr="21CB014D">
        <w:rPr>
          <w:noProof/>
          <w:lang w:val="en-US"/>
        </w:rPr>
        <w:t xml:space="preserve"> the reporting could be </w:t>
      </w:r>
      <w:r w:rsidRPr="21CB014D">
        <w:rPr>
          <w:noProof/>
          <w:lang w:val="en-US"/>
        </w:rPr>
        <w:t xml:space="preserve">better harmonised across both the financial and energy rulebooks. A possible option </w:t>
      </w:r>
      <w:r w:rsidR="48AD9B93" w:rsidRPr="21CB014D">
        <w:rPr>
          <w:noProof/>
          <w:lang w:val="en-US"/>
        </w:rPr>
        <w:t xml:space="preserve">discussed </w:t>
      </w:r>
      <w:r w:rsidR="6D529429" w:rsidRPr="21CB014D">
        <w:rPr>
          <w:noProof/>
          <w:lang w:val="en-US"/>
        </w:rPr>
        <w:t>in</w:t>
      </w:r>
      <w:r w:rsidR="64C0B90C" w:rsidRPr="21CB014D">
        <w:rPr>
          <w:noProof/>
          <w:lang w:val="en-US"/>
        </w:rPr>
        <w:t xml:space="preserve"> the consultation </w:t>
      </w:r>
      <w:r w:rsidR="48AD9B93" w:rsidRPr="21CB014D">
        <w:rPr>
          <w:noProof/>
          <w:lang w:val="en-US"/>
        </w:rPr>
        <w:t xml:space="preserve">was </w:t>
      </w:r>
      <w:r w:rsidRPr="21CB014D">
        <w:rPr>
          <w:noProof/>
          <w:lang w:val="en-US"/>
        </w:rPr>
        <w:t xml:space="preserve">the creation of a </w:t>
      </w:r>
      <w:r w:rsidR="60C25467" w:rsidRPr="21CB014D">
        <w:rPr>
          <w:noProof/>
          <w:lang w:val="en-US"/>
        </w:rPr>
        <w:t xml:space="preserve">centralised data collection mechanism </w:t>
      </w:r>
      <w:r w:rsidRPr="21CB014D">
        <w:rPr>
          <w:noProof/>
          <w:lang w:val="en-IE"/>
        </w:rPr>
        <w:t xml:space="preserve">for spot and derivative contracts. </w:t>
      </w:r>
      <w:r w:rsidR="439DBDB8" w:rsidRPr="21CB014D">
        <w:rPr>
          <w:noProof/>
          <w:lang w:val="en-IE"/>
        </w:rPr>
        <w:t xml:space="preserve">The </w:t>
      </w:r>
      <w:r w:rsidR="37FC89F1" w:rsidRPr="21CB014D">
        <w:rPr>
          <w:noProof/>
          <w:lang w:val="en-IE"/>
        </w:rPr>
        <w:t xml:space="preserve">consultation further </w:t>
      </w:r>
      <w:r w:rsidR="1A1ADD90" w:rsidRPr="21CB014D">
        <w:rPr>
          <w:noProof/>
          <w:lang w:val="en-IE"/>
        </w:rPr>
        <w:t xml:space="preserve">sought to clarify </w:t>
      </w:r>
      <w:r w:rsidR="37FC89F1" w:rsidRPr="21CB014D">
        <w:rPr>
          <w:noProof/>
          <w:lang w:val="en-IE"/>
        </w:rPr>
        <w:t>whether</w:t>
      </w:r>
      <w:r w:rsidR="1B93C760" w:rsidRPr="21CB014D">
        <w:rPr>
          <w:noProof/>
          <w:lang w:val="en-IE"/>
        </w:rPr>
        <w:t>,</w:t>
      </w:r>
      <w:r w:rsidR="37FC89F1" w:rsidRPr="21CB014D">
        <w:rPr>
          <w:noProof/>
          <w:lang w:val="en-IE"/>
        </w:rPr>
        <w:t xml:space="preserve"> in the context of a ce</w:t>
      </w:r>
      <w:r w:rsidR="48AD9B93" w:rsidRPr="21CB014D">
        <w:rPr>
          <w:noProof/>
          <w:lang w:val="en-IE"/>
        </w:rPr>
        <w:t>n</w:t>
      </w:r>
      <w:r w:rsidR="37FC89F1" w:rsidRPr="21CB014D">
        <w:rPr>
          <w:noProof/>
          <w:lang w:val="en-IE"/>
        </w:rPr>
        <w:t xml:space="preserve">tralised data collection mechanism, the </w:t>
      </w:r>
      <w:r w:rsidR="439DBDB8" w:rsidRPr="21CB014D">
        <w:rPr>
          <w:noProof/>
          <w:lang w:val="en-IE"/>
        </w:rPr>
        <w:t>reporting of the relevant data</w:t>
      </w:r>
      <w:r w:rsidRPr="21CB014D">
        <w:rPr>
          <w:noProof/>
          <w:lang w:val="en-IE"/>
        </w:rPr>
        <w:t xml:space="preserve"> </w:t>
      </w:r>
      <w:r w:rsidR="44F7612B" w:rsidRPr="21CB014D">
        <w:rPr>
          <w:noProof/>
          <w:lang w:val="en-IE"/>
        </w:rPr>
        <w:t xml:space="preserve">should </w:t>
      </w:r>
      <w:r w:rsidRPr="21CB014D">
        <w:rPr>
          <w:noProof/>
          <w:lang w:val="en-IE"/>
        </w:rPr>
        <w:t xml:space="preserve">be </w:t>
      </w:r>
      <w:r w:rsidR="44A4E047" w:rsidRPr="21CB014D">
        <w:rPr>
          <w:noProof/>
          <w:lang w:val="en-IE"/>
        </w:rPr>
        <w:t>performed</w:t>
      </w:r>
      <w:r w:rsidRPr="21CB014D">
        <w:rPr>
          <w:noProof/>
          <w:lang w:val="en-IE"/>
        </w:rPr>
        <w:t xml:space="preserve"> by </w:t>
      </w:r>
      <w:r w:rsidR="48DDA938" w:rsidRPr="21CB014D">
        <w:rPr>
          <w:noProof/>
          <w:lang w:val="en-IE"/>
        </w:rPr>
        <w:t xml:space="preserve">(i) </w:t>
      </w:r>
      <w:r w:rsidRPr="21CB014D">
        <w:rPr>
          <w:noProof/>
          <w:lang w:val="en-IE"/>
        </w:rPr>
        <w:t>trade repositories</w:t>
      </w:r>
      <w:r w:rsidR="1345E0D1" w:rsidRPr="21CB014D">
        <w:rPr>
          <w:noProof/>
          <w:lang w:val="en-IE"/>
        </w:rPr>
        <w:t>,</w:t>
      </w:r>
      <w:r w:rsidRPr="21CB014D">
        <w:rPr>
          <w:noProof/>
          <w:lang w:val="en-IE"/>
        </w:rPr>
        <w:t xml:space="preserve"> </w:t>
      </w:r>
      <w:r w:rsidR="7A582187" w:rsidRPr="21CB014D">
        <w:rPr>
          <w:noProof/>
          <w:lang w:val="en-IE"/>
        </w:rPr>
        <w:t xml:space="preserve">(ii) </w:t>
      </w:r>
      <w:r w:rsidR="11A67C6F" w:rsidRPr="21CB014D">
        <w:rPr>
          <w:noProof/>
          <w:lang w:val="en-IE"/>
        </w:rPr>
        <w:t>r</w:t>
      </w:r>
      <w:r w:rsidRPr="21CB014D">
        <w:rPr>
          <w:noProof/>
          <w:lang w:val="en-IE"/>
        </w:rPr>
        <w:t xml:space="preserve">egistered </w:t>
      </w:r>
      <w:r w:rsidR="11A67C6F" w:rsidRPr="21CB014D">
        <w:rPr>
          <w:noProof/>
          <w:lang w:val="en-IE"/>
        </w:rPr>
        <w:t>r</w:t>
      </w:r>
      <w:r w:rsidRPr="21CB014D">
        <w:rPr>
          <w:noProof/>
          <w:lang w:val="en-IE"/>
        </w:rPr>
        <w:t xml:space="preserve">eporting </w:t>
      </w:r>
      <w:r w:rsidR="11A67C6F" w:rsidRPr="21CB014D">
        <w:rPr>
          <w:noProof/>
          <w:lang w:val="en-IE"/>
        </w:rPr>
        <w:t>m</w:t>
      </w:r>
      <w:r w:rsidRPr="21CB014D">
        <w:rPr>
          <w:noProof/>
          <w:lang w:val="en-IE"/>
        </w:rPr>
        <w:t>echanisms (RRMs)</w:t>
      </w:r>
      <w:r w:rsidR="7EE1D3AE" w:rsidRPr="21CB014D">
        <w:rPr>
          <w:noProof/>
          <w:lang w:val="en-IE"/>
        </w:rPr>
        <w:t>,</w:t>
      </w:r>
      <w:r w:rsidR="4D1792A3" w:rsidRPr="21CB014D">
        <w:rPr>
          <w:noProof/>
          <w:lang w:val="en-IE"/>
        </w:rPr>
        <w:t xml:space="preserve"> </w:t>
      </w:r>
      <w:r w:rsidR="16954014" w:rsidRPr="21CB014D">
        <w:rPr>
          <w:noProof/>
          <w:lang w:val="en-IE"/>
        </w:rPr>
        <w:t xml:space="preserve">(iii) </w:t>
      </w:r>
      <w:r w:rsidR="4D1792A3" w:rsidRPr="21CB014D">
        <w:rPr>
          <w:noProof/>
          <w:lang w:val="en-IE"/>
        </w:rPr>
        <w:t>a third entity which wou</w:t>
      </w:r>
      <w:r w:rsidR="3EA64D63" w:rsidRPr="21CB014D">
        <w:rPr>
          <w:noProof/>
          <w:lang w:val="en-IE"/>
        </w:rPr>
        <w:t>ld</w:t>
      </w:r>
      <w:r w:rsidR="4D1792A3" w:rsidRPr="21CB014D">
        <w:rPr>
          <w:noProof/>
          <w:lang w:val="en-IE"/>
        </w:rPr>
        <w:t xml:space="preserve"> also consolidate</w:t>
      </w:r>
      <w:r w:rsidRPr="21CB014D">
        <w:rPr>
          <w:noProof/>
          <w:lang w:val="en-IE"/>
        </w:rPr>
        <w:t xml:space="preserve"> </w:t>
      </w:r>
      <w:r w:rsidR="4ECD2386" w:rsidRPr="21CB014D">
        <w:rPr>
          <w:noProof/>
          <w:lang w:val="en-IE"/>
        </w:rPr>
        <w:t>the relevant data received from trade repositories and RRMs</w:t>
      </w:r>
      <w:r w:rsidR="3E78F4A3" w:rsidRPr="21CB014D">
        <w:rPr>
          <w:noProof/>
          <w:lang w:val="en-IE"/>
        </w:rPr>
        <w:t>,</w:t>
      </w:r>
      <w:r w:rsidR="4ECD2386" w:rsidRPr="21CB014D">
        <w:rPr>
          <w:noProof/>
          <w:lang w:val="en-IE"/>
        </w:rPr>
        <w:t xml:space="preserve"> </w:t>
      </w:r>
      <w:r w:rsidR="652F9730" w:rsidRPr="21CB014D">
        <w:rPr>
          <w:noProof/>
          <w:lang w:val="en-IE"/>
        </w:rPr>
        <w:t xml:space="preserve">ensuring equal access to </w:t>
      </w:r>
      <w:r w:rsidRPr="21CB014D">
        <w:rPr>
          <w:noProof/>
          <w:lang w:val="en-IE"/>
        </w:rPr>
        <w:t>all regulators, such as ESMA, ACER, NRAs</w:t>
      </w:r>
      <w:r w:rsidR="0750554F" w:rsidRPr="21CB014D">
        <w:rPr>
          <w:noProof/>
          <w:lang w:val="en-IE"/>
        </w:rPr>
        <w:t>,</w:t>
      </w:r>
      <w:r w:rsidRPr="21CB014D">
        <w:rPr>
          <w:noProof/>
          <w:lang w:val="en-IE"/>
        </w:rPr>
        <w:t xml:space="preserve"> NCAs, </w:t>
      </w:r>
      <w:r w:rsidR="6753E28A" w:rsidRPr="21CB014D">
        <w:rPr>
          <w:noProof/>
          <w:lang w:val="en-IE"/>
        </w:rPr>
        <w:t xml:space="preserve">and the </w:t>
      </w:r>
      <w:r w:rsidRPr="21CB014D">
        <w:rPr>
          <w:noProof/>
          <w:lang w:val="en-IE"/>
        </w:rPr>
        <w:t>Commission</w:t>
      </w:r>
      <w:r w:rsidR="430F8452" w:rsidRPr="21CB014D">
        <w:rPr>
          <w:noProof/>
          <w:lang w:val="en-IE"/>
        </w:rPr>
        <w:t>,</w:t>
      </w:r>
      <w:r w:rsidR="7F377D71" w:rsidRPr="21CB014D">
        <w:rPr>
          <w:noProof/>
          <w:lang w:val="en-IE"/>
        </w:rPr>
        <w:t xml:space="preserve"> or (iv) any other entity</w:t>
      </w:r>
      <w:r w:rsidRPr="21CB014D">
        <w:rPr>
          <w:noProof/>
          <w:lang w:val="en-IE"/>
        </w:rPr>
        <w:t>. Lastly,</w:t>
      </w:r>
      <w:r w:rsidR="4D060703" w:rsidRPr="21CB014D">
        <w:rPr>
          <w:noProof/>
          <w:lang w:val="en-IE"/>
        </w:rPr>
        <w:t xml:space="preserve"> </w:t>
      </w:r>
      <w:r w:rsidR="5EEFA1AB" w:rsidRPr="21CB014D">
        <w:rPr>
          <w:noProof/>
          <w:lang w:val="en-IE"/>
        </w:rPr>
        <w:t xml:space="preserve">the consultation included questions as to whether </w:t>
      </w:r>
      <w:r w:rsidRPr="21CB014D">
        <w:rPr>
          <w:noProof/>
          <w:lang w:val="en-IE"/>
        </w:rPr>
        <w:t>the central data collection mechanism could also serve as a one</w:t>
      </w:r>
      <w:r w:rsidR="5C2CFCAA" w:rsidRPr="21CB014D">
        <w:rPr>
          <w:noProof/>
          <w:lang w:val="en-IE"/>
        </w:rPr>
        <w:t>-</w:t>
      </w:r>
      <w:r w:rsidRPr="21CB014D">
        <w:rPr>
          <w:noProof/>
          <w:lang w:val="en-IE"/>
        </w:rPr>
        <w:t>stop</w:t>
      </w:r>
      <w:r w:rsidR="5C2CFCAA" w:rsidRPr="21CB014D">
        <w:rPr>
          <w:noProof/>
          <w:lang w:val="en-IE"/>
        </w:rPr>
        <w:t>-</w:t>
      </w:r>
      <w:r w:rsidRPr="21CB014D">
        <w:rPr>
          <w:noProof/>
          <w:lang w:val="en-IE"/>
        </w:rPr>
        <w:t>shop for data reporting by market participants active on both commodities physical/spot and derivatives markets, thus alleviating the reporting burden for commodities traders.</w:t>
      </w:r>
      <w:r w:rsidR="435FAE14" w:rsidRPr="21CB014D">
        <w:rPr>
          <w:noProof/>
          <w:lang w:val="en-IE"/>
        </w:rPr>
        <w:t xml:space="preserve"> Finally, the consultation inquired whether an alternative approach to the centralised collection mechanism </w:t>
      </w:r>
      <w:r w:rsidR="1CBFBFBE" w:rsidRPr="21CB014D">
        <w:rPr>
          <w:noProof/>
          <w:lang w:val="en-IE"/>
        </w:rPr>
        <w:t xml:space="preserve">should </w:t>
      </w:r>
      <w:r w:rsidR="435FAE14" w:rsidRPr="21CB014D">
        <w:rPr>
          <w:noProof/>
          <w:lang w:val="en-IE"/>
        </w:rPr>
        <w:t xml:space="preserve">be </w:t>
      </w:r>
      <w:r w:rsidR="6B3B3F3C" w:rsidRPr="21CB014D">
        <w:rPr>
          <w:noProof/>
          <w:lang w:val="en-IE"/>
        </w:rPr>
        <w:t xml:space="preserve">considered, according to which NCAs would have systematic access to ACER’s database and vice versa. </w:t>
      </w:r>
    </w:p>
    <w:p w14:paraId="3FA8932E" w14:textId="436A7438" w:rsidR="009B1053" w:rsidRPr="00575C33" w:rsidRDefault="7FB03883" w:rsidP="009B1053">
      <w:pPr>
        <w:rPr>
          <w:noProof/>
          <w:lang w:val="en-US"/>
        </w:rPr>
      </w:pPr>
      <w:r>
        <w:rPr>
          <w:noProof/>
          <w:lang w:val="en-US"/>
        </w:rPr>
        <w:t>Lastly</w:t>
      </w:r>
      <w:r w:rsidR="1D43C493" w:rsidRPr="4CAF10C6">
        <w:rPr>
          <w:noProof/>
          <w:lang w:val="en-US"/>
        </w:rPr>
        <w:t xml:space="preserve">, the 2024 Draghi Report recommended </w:t>
      </w:r>
      <w:r w:rsidR="50E50298" w:rsidRPr="4CAF10C6">
        <w:rPr>
          <w:noProof/>
          <w:lang w:val="en-US"/>
        </w:rPr>
        <w:t>collecting</w:t>
      </w:r>
      <w:r w:rsidR="1D43C493" w:rsidRPr="4CAF10C6">
        <w:rPr>
          <w:noProof/>
          <w:lang w:val="en-US"/>
        </w:rPr>
        <w:t xml:space="preserve"> transaction and position data related to OTC energy derivatives. The Commission notes that EMIR already includes the reporting of all transactions in derivatives, including OTC transactions, that </w:t>
      </w:r>
      <w:r w:rsidR="23B809EB" w:rsidRPr="050F5DD3">
        <w:rPr>
          <w:noProof/>
          <w:lang w:val="en-US"/>
        </w:rPr>
        <w:t>involve</w:t>
      </w:r>
      <w:r w:rsidR="1D43C493" w:rsidRPr="4CAF10C6">
        <w:rPr>
          <w:noProof/>
          <w:lang w:val="en-US"/>
        </w:rPr>
        <w:t xml:space="preserve"> at least one EU counterparty. In contrast,</w:t>
      </w:r>
      <w:r w:rsidR="7FE9113B" w:rsidRPr="4CAF10C6">
        <w:rPr>
          <w:noProof/>
          <w:lang w:val="en-US"/>
        </w:rPr>
        <w:t xml:space="preserve"> when it comes to position data, and</w:t>
      </w:r>
      <w:r w:rsidR="1D43C493" w:rsidRPr="4CAF10C6">
        <w:rPr>
          <w:noProof/>
          <w:lang w:val="en-US"/>
        </w:rPr>
        <w:t xml:space="preserve"> as noted in Section </w:t>
      </w:r>
      <w:r w:rsidR="6EDED75B" w:rsidRPr="4CAF10C6">
        <w:rPr>
          <w:noProof/>
          <w:lang w:val="en-US"/>
        </w:rPr>
        <w:t>4</w:t>
      </w:r>
      <w:r w:rsidR="1D43C493" w:rsidRPr="4CAF10C6">
        <w:rPr>
          <w:noProof/>
          <w:lang w:val="en-US"/>
        </w:rPr>
        <w:t xml:space="preserve"> of this report, entities that are not investment firms are not currently required to report OTC positions to EU regulators</w:t>
      </w:r>
      <w:r w:rsidR="7FE9113B" w:rsidRPr="4CAF10C6">
        <w:rPr>
          <w:noProof/>
          <w:lang w:val="en-US"/>
        </w:rPr>
        <w:t> (</w:t>
      </w:r>
      <w:r w:rsidR="00EE1081" w:rsidRPr="4CAF10C6">
        <w:rPr>
          <w:rStyle w:val="FootnoteReference"/>
          <w:noProof/>
          <w:lang w:val="en-US"/>
        </w:rPr>
        <w:footnoteReference w:id="13"/>
      </w:r>
      <w:r w:rsidR="7FE9113B" w:rsidRPr="4CAF10C6">
        <w:rPr>
          <w:noProof/>
          <w:lang w:val="en-US"/>
        </w:rPr>
        <w:t>)</w:t>
      </w:r>
      <w:r w:rsidR="1D43C493" w:rsidRPr="4CAF10C6">
        <w:rPr>
          <w:noProof/>
          <w:lang w:val="en-US"/>
        </w:rPr>
        <w:t xml:space="preserve">. </w:t>
      </w:r>
    </w:p>
    <w:p w14:paraId="41232613" w14:textId="77777777" w:rsidR="009B1053" w:rsidRDefault="009B1053" w:rsidP="009B1053">
      <w:pPr>
        <w:rPr>
          <w:i/>
          <w:iCs/>
          <w:noProof/>
          <w:szCs w:val="24"/>
          <w:lang w:val="en-US"/>
        </w:rPr>
      </w:pPr>
      <w:r w:rsidRPr="00575C33">
        <w:rPr>
          <w:i/>
          <w:iCs/>
          <w:noProof/>
          <w:szCs w:val="24"/>
          <w:lang w:val="en-US"/>
        </w:rPr>
        <w:t>Feedback from stakeholders</w:t>
      </w:r>
      <w:r>
        <w:rPr>
          <w:i/>
          <w:iCs/>
          <w:noProof/>
          <w:szCs w:val="24"/>
          <w:lang w:val="en-US"/>
        </w:rPr>
        <w:t xml:space="preserve"> and assessment</w:t>
      </w:r>
    </w:p>
    <w:p w14:paraId="7C788E73" w14:textId="1D21E8EE" w:rsidR="009B1053" w:rsidRDefault="1D43C493" w:rsidP="009B1053">
      <w:pPr>
        <w:rPr>
          <w:noProof/>
          <w:lang w:val="en-IE"/>
        </w:rPr>
      </w:pPr>
      <w:r w:rsidRPr="21CB014D">
        <w:rPr>
          <w:noProof/>
          <w:lang w:val="en-IE"/>
        </w:rPr>
        <w:t xml:space="preserve">On the harmonisation of reporting, more than </w:t>
      </w:r>
      <w:r w:rsidR="045F12A4" w:rsidRPr="21CB014D">
        <w:rPr>
          <w:noProof/>
          <w:lang w:val="en-IE"/>
        </w:rPr>
        <w:t>half</w:t>
      </w:r>
      <w:r w:rsidRPr="21CB014D">
        <w:rPr>
          <w:noProof/>
          <w:lang w:val="en-IE"/>
        </w:rPr>
        <w:t xml:space="preserve"> of the respondents </w:t>
      </w:r>
      <w:r w:rsidR="5ABC247D" w:rsidRPr="21CB014D">
        <w:rPr>
          <w:noProof/>
          <w:lang w:val="en-IE"/>
        </w:rPr>
        <w:t>agreed</w:t>
      </w:r>
      <w:r w:rsidRPr="21CB014D">
        <w:rPr>
          <w:noProof/>
          <w:lang w:val="en-IE"/>
        </w:rPr>
        <w:t xml:space="preserve"> that reporting, for example on transactions, under REMIT II and MiFID II/MiFIR/EMIR should be streamlined, and </w:t>
      </w:r>
      <w:r w:rsidR="2D6A4534" w:rsidRPr="21CB014D">
        <w:rPr>
          <w:noProof/>
          <w:lang w:val="en-IE"/>
        </w:rPr>
        <w:t xml:space="preserve">that </w:t>
      </w:r>
      <w:r w:rsidRPr="21CB014D">
        <w:rPr>
          <w:noProof/>
          <w:lang w:val="en-IE"/>
        </w:rPr>
        <w:t xml:space="preserve">double reporting </w:t>
      </w:r>
      <w:r w:rsidR="1904ED0F" w:rsidRPr="21CB014D">
        <w:rPr>
          <w:noProof/>
          <w:lang w:val="en-IE"/>
        </w:rPr>
        <w:t xml:space="preserve">should be </w:t>
      </w:r>
      <w:r w:rsidRPr="21CB014D">
        <w:rPr>
          <w:noProof/>
          <w:lang w:val="en-IE"/>
        </w:rPr>
        <w:t>eliminated</w:t>
      </w:r>
      <w:r w:rsidR="6AF4B16C" w:rsidRPr="21CB014D">
        <w:rPr>
          <w:noProof/>
          <w:lang w:val="en-IE"/>
        </w:rPr>
        <w:t>.</w:t>
      </w:r>
      <w:r w:rsidR="652F9730" w:rsidRPr="21CB014D">
        <w:rPr>
          <w:noProof/>
          <w:lang w:val="en-IE"/>
        </w:rPr>
        <w:t xml:space="preserve"> </w:t>
      </w:r>
      <w:r w:rsidR="6AF4B16C" w:rsidRPr="21CB014D">
        <w:rPr>
          <w:noProof/>
          <w:lang w:val="en-IE"/>
        </w:rPr>
        <w:t>T</w:t>
      </w:r>
      <w:r w:rsidR="652F9730" w:rsidRPr="21CB014D">
        <w:rPr>
          <w:noProof/>
          <w:lang w:val="en-IE"/>
        </w:rPr>
        <w:t>hey</w:t>
      </w:r>
      <w:r w:rsidR="6AF4B16C" w:rsidRPr="21CB014D">
        <w:rPr>
          <w:noProof/>
          <w:lang w:val="en-IE"/>
        </w:rPr>
        <w:t xml:space="preserve"> nonetheless</w:t>
      </w:r>
      <w:r w:rsidR="652F9730" w:rsidRPr="21CB014D">
        <w:rPr>
          <w:noProof/>
          <w:lang w:val="en-IE"/>
        </w:rPr>
        <w:t xml:space="preserve"> emphasised that each of the financial and energy reporting framework serves different purposes and ha</w:t>
      </w:r>
      <w:r w:rsidR="53850006" w:rsidRPr="21CB014D">
        <w:rPr>
          <w:noProof/>
          <w:lang w:val="en-IE"/>
        </w:rPr>
        <w:t>s</w:t>
      </w:r>
      <w:r w:rsidR="652F9730" w:rsidRPr="21CB014D">
        <w:rPr>
          <w:noProof/>
          <w:lang w:val="en-IE"/>
        </w:rPr>
        <w:t xml:space="preserve"> unique characteristics</w:t>
      </w:r>
      <w:r w:rsidR="136F1749" w:rsidRPr="21CB014D">
        <w:rPr>
          <w:noProof/>
          <w:lang w:val="en-IE"/>
        </w:rPr>
        <w:t xml:space="preserve"> and cautioned against immediate changes to the respective reporting regimes, also considering the implementation costs such changes may result in</w:t>
      </w:r>
      <w:r w:rsidR="43441BB9" w:rsidRPr="21CB014D">
        <w:rPr>
          <w:noProof/>
          <w:lang w:val="en-IE"/>
        </w:rPr>
        <w:t xml:space="preserve">. </w:t>
      </w:r>
      <w:r w:rsidR="136F1749" w:rsidRPr="21CB014D">
        <w:rPr>
          <w:noProof/>
          <w:lang w:val="en-IE"/>
        </w:rPr>
        <w:t>D</w:t>
      </w:r>
      <w:r w:rsidRPr="21CB014D">
        <w:rPr>
          <w:noProof/>
          <w:lang w:val="en-IE"/>
        </w:rPr>
        <w:t xml:space="preserve">ue to the costs that could be incurred in this process, participants </w:t>
      </w:r>
      <w:r w:rsidR="6FC03F23" w:rsidRPr="21CB014D">
        <w:rPr>
          <w:noProof/>
          <w:lang w:val="en-IE"/>
        </w:rPr>
        <w:t xml:space="preserve">held that </w:t>
      </w:r>
      <w:r w:rsidRPr="21CB014D">
        <w:rPr>
          <w:noProof/>
          <w:lang w:val="en-IE"/>
        </w:rPr>
        <w:t>an impact assessment and a cost</w:t>
      </w:r>
      <w:r w:rsidR="360CE066" w:rsidRPr="21CB014D">
        <w:rPr>
          <w:noProof/>
          <w:lang w:val="en-IE"/>
        </w:rPr>
        <w:t>-</w:t>
      </w:r>
      <w:r w:rsidRPr="21CB014D">
        <w:rPr>
          <w:noProof/>
          <w:lang w:val="en-IE"/>
        </w:rPr>
        <w:t xml:space="preserve">benefit analysis </w:t>
      </w:r>
      <w:r w:rsidR="360CE066" w:rsidRPr="21CB014D">
        <w:rPr>
          <w:noProof/>
          <w:lang w:val="en-IE"/>
        </w:rPr>
        <w:t xml:space="preserve">should be conducted before </w:t>
      </w:r>
      <w:r w:rsidRPr="21CB014D">
        <w:rPr>
          <w:noProof/>
          <w:lang w:val="en-IE"/>
        </w:rPr>
        <w:t>starting any harmonisation work. Nine industry</w:t>
      </w:r>
      <w:r w:rsidR="3421406E" w:rsidRPr="21CB014D">
        <w:rPr>
          <w:noProof/>
          <w:lang w:val="en-IE"/>
        </w:rPr>
        <w:t xml:space="preserve"> </w:t>
      </w:r>
      <w:r w:rsidR="360CE066" w:rsidRPr="21CB014D">
        <w:rPr>
          <w:noProof/>
          <w:lang w:val="en-IE"/>
        </w:rPr>
        <w:t>re</w:t>
      </w:r>
      <w:r w:rsidR="602EDC57" w:rsidRPr="21CB014D">
        <w:rPr>
          <w:noProof/>
          <w:lang w:val="en-IE"/>
        </w:rPr>
        <w:t>presentatives</w:t>
      </w:r>
      <w:r w:rsidRPr="21CB014D">
        <w:rPr>
          <w:noProof/>
          <w:lang w:val="en-IE"/>
        </w:rPr>
        <w:t xml:space="preserve">, of which three trading venues and one exchanges association in favour of harmonisation, explicitly </w:t>
      </w:r>
      <w:r w:rsidR="602EDC57" w:rsidRPr="21CB014D">
        <w:rPr>
          <w:noProof/>
          <w:lang w:val="en-IE"/>
        </w:rPr>
        <w:t xml:space="preserve">argued </w:t>
      </w:r>
      <w:r w:rsidRPr="21CB014D">
        <w:rPr>
          <w:noProof/>
          <w:lang w:val="en-IE"/>
        </w:rPr>
        <w:t>for a gradual, step-by-step approach, starting with improving data-sharing among regulatory authorities, before an overhaul of the existing reporting requirements is considered. Several respondents</w:t>
      </w:r>
      <w:r w:rsidR="4769CF29" w:rsidRPr="21CB014D">
        <w:rPr>
          <w:noProof/>
          <w:lang w:val="en-IE"/>
        </w:rPr>
        <w:t xml:space="preserve"> </w:t>
      </w:r>
      <w:r w:rsidRPr="21CB014D">
        <w:rPr>
          <w:noProof/>
          <w:lang w:val="en-IE"/>
        </w:rPr>
        <w:t>on the supervisory</w:t>
      </w:r>
      <w:r w:rsidR="4769CF29" w:rsidRPr="21CB014D">
        <w:rPr>
          <w:noProof/>
          <w:lang w:val="en-IE"/>
        </w:rPr>
        <w:t>/regulatory</w:t>
      </w:r>
      <w:r w:rsidRPr="21CB014D">
        <w:rPr>
          <w:noProof/>
          <w:lang w:val="en-IE"/>
        </w:rPr>
        <w:t xml:space="preserve"> side suggest</w:t>
      </w:r>
      <w:r w:rsidR="602EDC57" w:rsidRPr="21CB014D">
        <w:rPr>
          <w:noProof/>
          <w:lang w:val="en-IE"/>
        </w:rPr>
        <w:t>ed</w:t>
      </w:r>
      <w:r w:rsidRPr="21CB014D">
        <w:rPr>
          <w:noProof/>
          <w:lang w:val="en-IE"/>
        </w:rPr>
        <w:t xml:space="preserve"> that common reporting data fields in both energy and financial data should be found, including the use of common unique identifiers, </w:t>
      </w:r>
      <w:r w:rsidR="6770C2DD" w:rsidRPr="21CB014D">
        <w:rPr>
          <w:noProof/>
          <w:lang w:val="en-IE"/>
        </w:rPr>
        <w:t xml:space="preserve">based on </w:t>
      </w:r>
      <w:r w:rsidRPr="21CB014D">
        <w:rPr>
          <w:noProof/>
          <w:lang w:val="en-IE"/>
        </w:rPr>
        <w:t>global standards</w:t>
      </w:r>
      <w:r w:rsidR="5861C915" w:rsidRPr="21CB014D">
        <w:rPr>
          <w:noProof/>
          <w:lang w:val="en-IE"/>
        </w:rPr>
        <w:t>.</w:t>
      </w:r>
    </w:p>
    <w:p w14:paraId="37FDD308" w14:textId="707C4DC6" w:rsidR="009B1053" w:rsidRDefault="1D43C493" w:rsidP="21CB014D">
      <w:pPr>
        <w:rPr>
          <w:noProof/>
          <w:lang w:val="en-IE"/>
        </w:rPr>
      </w:pPr>
      <w:r w:rsidRPr="21CB014D">
        <w:rPr>
          <w:noProof/>
          <w:lang w:val="en-IE"/>
        </w:rPr>
        <w:t xml:space="preserve">The Commission acknowledges that the overhaul of reporting standards, while </w:t>
      </w:r>
      <w:r w:rsidR="3ACE1C96" w:rsidRPr="21CB014D">
        <w:rPr>
          <w:noProof/>
          <w:lang w:val="en-IE"/>
        </w:rPr>
        <w:t>likely to bring</w:t>
      </w:r>
      <w:r w:rsidRPr="21CB014D">
        <w:rPr>
          <w:noProof/>
          <w:lang w:val="en-IE"/>
        </w:rPr>
        <w:t xml:space="preserve"> long-term benefits </w:t>
      </w:r>
      <w:r w:rsidR="3ACE1C96" w:rsidRPr="21CB014D">
        <w:rPr>
          <w:noProof/>
          <w:lang w:val="en-IE"/>
        </w:rPr>
        <w:t xml:space="preserve">in the form </w:t>
      </w:r>
      <w:r w:rsidRPr="21CB014D">
        <w:rPr>
          <w:noProof/>
          <w:lang w:val="en-IE"/>
        </w:rPr>
        <w:t xml:space="preserve">of a simplified framework, </w:t>
      </w:r>
      <w:r w:rsidR="3ACE1C96" w:rsidRPr="21CB014D">
        <w:rPr>
          <w:noProof/>
          <w:lang w:val="en-IE"/>
        </w:rPr>
        <w:t xml:space="preserve">entails </w:t>
      </w:r>
      <w:r w:rsidRPr="21CB014D">
        <w:rPr>
          <w:noProof/>
          <w:lang w:val="en-IE"/>
        </w:rPr>
        <w:t xml:space="preserve">changes to reporting formats </w:t>
      </w:r>
      <w:r w:rsidR="1FFAFFE3" w:rsidRPr="21CB014D">
        <w:rPr>
          <w:noProof/>
          <w:lang w:val="en-IE"/>
        </w:rPr>
        <w:t xml:space="preserve">with the attendant </w:t>
      </w:r>
      <w:r w:rsidRPr="21CB014D">
        <w:rPr>
          <w:noProof/>
          <w:lang w:val="en-IE"/>
        </w:rPr>
        <w:t>adaptation costs</w:t>
      </w:r>
      <w:r w:rsidR="53B6EDD1" w:rsidRPr="21CB014D">
        <w:rPr>
          <w:noProof/>
          <w:lang w:val="en-IE"/>
        </w:rPr>
        <w:t xml:space="preserve"> in the short term</w:t>
      </w:r>
      <w:r w:rsidRPr="21CB014D">
        <w:rPr>
          <w:noProof/>
          <w:lang w:val="en-IE"/>
        </w:rPr>
        <w:t>. Moreover, this could complicate the reporting of other classes of derivatives under EMIR</w:t>
      </w:r>
      <w:r w:rsidR="6D529429" w:rsidRPr="21CB014D">
        <w:rPr>
          <w:noProof/>
          <w:lang w:val="en-IE"/>
        </w:rPr>
        <w:t>, as EMIR reporting is not limited to commodity derivatives</w:t>
      </w:r>
      <w:r w:rsidRPr="21CB014D">
        <w:rPr>
          <w:noProof/>
          <w:lang w:val="en-IE"/>
        </w:rPr>
        <w:t>.</w:t>
      </w:r>
    </w:p>
    <w:p w14:paraId="1F959A1F" w14:textId="213EEE93" w:rsidR="009B1053" w:rsidRDefault="1D43C493" w:rsidP="009B1053">
      <w:pPr>
        <w:rPr>
          <w:noProof/>
          <w:lang w:val="en-IE"/>
        </w:rPr>
      </w:pPr>
      <w:r w:rsidRPr="21CB014D">
        <w:rPr>
          <w:noProof/>
          <w:lang w:val="en-IE"/>
        </w:rPr>
        <w:t xml:space="preserve">The stakeholders </w:t>
      </w:r>
      <w:r w:rsidR="1FFAFFE3" w:rsidRPr="21CB014D">
        <w:rPr>
          <w:noProof/>
          <w:lang w:val="en-IE"/>
        </w:rPr>
        <w:t xml:space="preserve">were </w:t>
      </w:r>
      <w:r w:rsidRPr="21CB014D">
        <w:rPr>
          <w:noProof/>
          <w:lang w:val="en-IE"/>
        </w:rPr>
        <w:t xml:space="preserve">divided on the </w:t>
      </w:r>
      <w:r w:rsidR="1FFAFFE3" w:rsidRPr="21CB014D">
        <w:rPr>
          <w:noProof/>
          <w:lang w:val="en-IE"/>
        </w:rPr>
        <w:t>idea of creating a</w:t>
      </w:r>
      <w:r w:rsidRPr="21CB014D">
        <w:rPr>
          <w:noProof/>
          <w:lang w:val="en-IE"/>
        </w:rPr>
        <w:t xml:space="preserve"> centralised data collection mechanism. Half of the respondents </w:t>
      </w:r>
      <w:r w:rsidR="1FFAFFE3" w:rsidRPr="21CB014D">
        <w:rPr>
          <w:noProof/>
          <w:lang w:val="en-IE"/>
        </w:rPr>
        <w:t xml:space="preserve">were of the view </w:t>
      </w:r>
      <w:r w:rsidR="136F1749" w:rsidRPr="21CB014D">
        <w:rPr>
          <w:noProof/>
          <w:lang w:val="en-IE"/>
        </w:rPr>
        <w:t xml:space="preserve">that such </w:t>
      </w:r>
      <w:r w:rsidRPr="21CB014D">
        <w:rPr>
          <w:noProof/>
          <w:lang w:val="en-IE"/>
        </w:rPr>
        <w:t xml:space="preserve">a centralised mechanism could facilitate reporting, provided that it builds on the existing infrastructure and does not introduce new data requirements or additional layers of complexity or costs. In contrast, </w:t>
      </w:r>
      <w:r w:rsidR="136F1749" w:rsidRPr="21CB014D">
        <w:rPr>
          <w:noProof/>
          <w:lang w:val="en-IE"/>
        </w:rPr>
        <w:t xml:space="preserve">the other half </w:t>
      </w:r>
      <w:r w:rsidRPr="21CB014D">
        <w:rPr>
          <w:noProof/>
          <w:lang w:val="en-IE"/>
        </w:rPr>
        <w:t xml:space="preserve">feared implementation costs and </w:t>
      </w:r>
      <w:r w:rsidR="04A16730" w:rsidRPr="21CB014D">
        <w:rPr>
          <w:noProof/>
          <w:lang w:val="en-IE"/>
        </w:rPr>
        <w:t>pointed to market</w:t>
      </w:r>
      <w:r w:rsidR="001C3426">
        <w:rPr>
          <w:noProof/>
          <w:lang w:val="en-IE"/>
        </w:rPr>
        <w:t>s</w:t>
      </w:r>
      <w:r w:rsidR="00854E23">
        <w:rPr>
          <w:noProof/>
          <w:lang w:val="en-IE"/>
        </w:rPr>
        <w:t>’</w:t>
      </w:r>
      <w:r w:rsidRPr="21CB014D">
        <w:rPr>
          <w:noProof/>
          <w:lang w:val="en-IE"/>
        </w:rPr>
        <w:t xml:space="preserve"> inherently different features</w:t>
      </w:r>
      <w:r w:rsidR="136F1749" w:rsidRPr="21CB014D">
        <w:rPr>
          <w:noProof/>
          <w:lang w:val="en-IE"/>
        </w:rPr>
        <w:t xml:space="preserve">, which </w:t>
      </w:r>
      <w:r w:rsidR="7EA5115C" w:rsidRPr="21CB014D">
        <w:rPr>
          <w:noProof/>
          <w:lang w:val="en-IE"/>
        </w:rPr>
        <w:t xml:space="preserve">warrant the </w:t>
      </w:r>
      <w:r w:rsidR="136F1749" w:rsidRPr="21CB014D">
        <w:rPr>
          <w:noProof/>
          <w:lang w:val="en-IE"/>
        </w:rPr>
        <w:t>different reporting regimes currently in place</w:t>
      </w:r>
      <w:r w:rsidRPr="21CB014D">
        <w:rPr>
          <w:noProof/>
          <w:lang w:val="en-IE"/>
        </w:rPr>
        <w:t xml:space="preserve">. Two regulators </w:t>
      </w:r>
      <w:r w:rsidR="7EA5115C" w:rsidRPr="21CB014D">
        <w:rPr>
          <w:noProof/>
          <w:lang w:val="en-IE"/>
        </w:rPr>
        <w:t xml:space="preserve">stated </w:t>
      </w:r>
      <w:r w:rsidRPr="21CB014D">
        <w:rPr>
          <w:noProof/>
          <w:lang w:val="en-IE"/>
        </w:rPr>
        <w:t xml:space="preserve">that </w:t>
      </w:r>
      <w:r w:rsidR="65332F95" w:rsidRPr="21CB014D">
        <w:rPr>
          <w:noProof/>
          <w:lang w:val="en-IE"/>
        </w:rPr>
        <w:t xml:space="preserve">a centralised reporting </w:t>
      </w:r>
      <w:r w:rsidRPr="21CB014D">
        <w:rPr>
          <w:noProof/>
          <w:lang w:val="en-IE"/>
        </w:rPr>
        <w:t xml:space="preserve">approach </w:t>
      </w:r>
      <w:r w:rsidR="65332F95" w:rsidRPr="21CB014D">
        <w:rPr>
          <w:noProof/>
          <w:lang w:val="en-IE"/>
        </w:rPr>
        <w:t xml:space="preserve">would </w:t>
      </w:r>
      <w:r w:rsidRPr="21CB014D">
        <w:rPr>
          <w:noProof/>
          <w:lang w:val="en-IE"/>
        </w:rPr>
        <w:t>give NCAs, NRAs, ESMA, and ACER access to the same comprehensive and consolidated dataset</w:t>
      </w:r>
      <w:r w:rsidR="65332F95" w:rsidRPr="21CB014D">
        <w:rPr>
          <w:noProof/>
          <w:lang w:val="en-IE"/>
        </w:rPr>
        <w:t xml:space="preserve">, giving them </w:t>
      </w:r>
      <w:r w:rsidRPr="21CB014D">
        <w:rPr>
          <w:noProof/>
          <w:lang w:val="en-IE"/>
        </w:rPr>
        <w:t>a holistic supervisory view of both physical and derivatives markets.</w:t>
      </w:r>
    </w:p>
    <w:p w14:paraId="4946644A" w14:textId="2D2B4C45" w:rsidR="009B1053" w:rsidRDefault="1D43C493" w:rsidP="21CB014D">
      <w:pPr>
        <w:rPr>
          <w:noProof/>
          <w:lang w:val="en-IE"/>
        </w:rPr>
      </w:pPr>
      <w:r w:rsidRPr="21CB014D">
        <w:rPr>
          <w:noProof/>
          <w:lang w:val="en-IE"/>
        </w:rPr>
        <w:t xml:space="preserve">Alternatively, </w:t>
      </w:r>
      <w:r w:rsidR="1CBBD952" w:rsidRPr="21CB014D">
        <w:rPr>
          <w:noProof/>
          <w:lang w:val="en-IE"/>
        </w:rPr>
        <w:t xml:space="preserve">even among those in favour of such a centralised mechanism, </w:t>
      </w:r>
      <w:r w:rsidRPr="21CB014D">
        <w:rPr>
          <w:noProof/>
          <w:lang w:val="en-IE"/>
        </w:rPr>
        <w:t>suggestions were made to leverage and mirror the existing REMIT II provisions</w:t>
      </w:r>
      <w:r w:rsidR="136F1749" w:rsidRPr="21CB014D">
        <w:rPr>
          <w:noProof/>
          <w:lang w:val="en-IE"/>
        </w:rPr>
        <w:t>, which provide for extensive cooperation and information exchange mechanisms across different regulators,</w:t>
      </w:r>
      <w:r w:rsidRPr="21CB014D">
        <w:rPr>
          <w:noProof/>
          <w:lang w:val="en-IE"/>
        </w:rPr>
        <w:t xml:space="preserve"> in the financial rulebook to improve data flow between ACER and financial authorities (and vice-versa) as a more cost-efficient solution</w:t>
      </w:r>
      <w:r w:rsidR="0457FE90" w:rsidRPr="21CB014D">
        <w:rPr>
          <w:noProof/>
          <w:lang w:val="en-IE"/>
        </w:rPr>
        <w:t>. Such an approach</w:t>
      </w:r>
      <w:r w:rsidR="1D46D6AE" w:rsidRPr="21CB014D">
        <w:rPr>
          <w:noProof/>
          <w:lang w:val="en-IE"/>
        </w:rPr>
        <w:t xml:space="preserve"> </w:t>
      </w:r>
      <w:r w:rsidR="0457FE90" w:rsidRPr="21CB014D">
        <w:rPr>
          <w:noProof/>
          <w:lang w:val="en-IE"/>
        </w:rPr>
        <w:t xml:space="preserve">would </w:t>
      </w:r>
      <w:r w:rsidRPr="21CB014D">
        <w:rPr>
          <w:noProof/>
          <w:lang w:val="en-IE"/>
        </w:rPr>
        <w:t xml:space="preserve">also avoid </w:t>
      </w:r>
      <w:r w:rsidR="3B059282" w:rsidRPr="21CB014D">
        <w:rPr>
          <w:noProof/>
          <w:lang w:val="en-IE"/>
        </w:rPr>
        <w:t>ad hoc</w:t>
      </w:r>
      <w:r w:rsidRPr="21CB014D">
        <w:rPr>
          <w:noProof/>
          <w:lang w:val="en-IE"/>
        </w:rPr>
        <w:t xml:space="preserve"> requests. Stakeholders</w:t>
      </w:r>
      <w:r w:rsidR="07FE1130" w:rsidRPr="21CB014D">
        <w:rPr>
          <w:noProof/>
          <w:lang w:val="en-IE"/>
        </w:rPr>
        <w:t xml:space="preserve"> </w:t>
      </w:r>
      <w:r w:rsidR="0457FE90" w:rsidRPr="21CB014D">
        <w:rPr>
          <w:noProof/>
          <w:lang w:val="en-IE"/>
        </w:rPr>
        <w:t>therefore were more open to the idea</w:t>
      </w:r>
      <w:r w:rsidR="42A5D336" w:rsidRPr="21CB014D">
        <w:rPr>
          <w:noProof/>
          <w:lang w:val="en-IE"/>
        </w:rPr>
        <w:t xml:space="preserve"> of </w:t>
      </w:r>
      <w:r w:rsidRPr="21CB014D">
        <w:rPr>
          <w:noProof/>
          <w:lang w:val="en-IE"/>
        </w:rPr>
        <w:t xml:space="preserve">improving data sharing among regulators </w:t>
      </w:r>
      <w:r w:rsidR="42A5D336" w:rsidRPr="21CB014D">
        <w:rPr>
          <w:noProof/>
          <w:lang w:val="en-IE"/>
        </w:rPr>
        <w:t xml:space="preserve">than </w:t>
      </w:r>
      <w:r w:rsidRPr="21CB014D">
        <w:rPr>
          <w:noProof/>
          <w:lang w:val="en-IE"/>
        </w:rPr>
        <w:t>to implementing an entirely new mechanism. The Commission concurs that more systematic and institutionalised data sharing and mutual access to data by both financial and energy supervisors would be highly desirable.</w:t>
      </w:r>
    </w:p>
    <w:p w14:paraId="2C823A3C" w14:textId="18BBF31D" w:rsidR="009B1053" w:rsidRDefault="1D43C493" w:rsidP="21CB014D">
      <w:pPr>
        <w:rPr>
          <w:noProof/>
          <w:lang w:val="en-IE"/>
        </w:rPr>
      </w:pPr>
      <w:r w:rsidRPr="21CB014D">
        <w:rPr>
          <w:noProof/>
          <w:lang w:val="en-IE"/>
        </w:rPr>
        <w:t xml:space="preserve">When considering changes to pre- and post-trade transparency rules (notably as regards trading activity on multilateral trading facilities (MTFs) and organised trading facilities (OTFs)), 70% of the respondents opposed any amendment to the current rules citing the potential exposure of participants with respect to their hedging strategies, and the unique nature of commodities markets. Some respondents </w:t>
      </w:r>
      <w:r w:rsidR="42A5D336" w:rsidRPr="21CB014D">
        <w:rPr>
          <w:noProof/>
          <w:lang w:val="en-IE"/>
        </w:rPr>
        <w:t xml:space="preserve">pointed out </w:t>
      </w:r>
      <w:r w:rsidRPr="21CB014D">
        <w:rPr>
          <w:noProof/>
          <w:lang w:val="en-IE"/>
        </w:rPr>
        <w:t xml:space="preserve">that </w:t>
      </w:r>
      <w:r w:rsidR="42A5D336" w:rsidRPr="21CB014D">
        <w:rPr>
          <w:noProof/>
          <w:lang w:val="en-IE"/>
        </w:rPr>
        <w:t xml:space="preserve">before </w:t>
      </w:r>
      <w:r w:rsidRPr="21CB014D">
        <w:rPr>
          <w:noProof/>
          <w:lang w:val="en-IE"/>
        </w:rPr>
        <w:t xml:space="preserve">the MiFIR </w:t>
      </w:r>
      <w:r w:rsidR="422E2A02" w:rsidRPr="21CB014D">
        <w:rPr>
          <w:noProof/>
          <w:lang w:val="en-IE"/>
        </w:rPr>
        <w:t>r</w:t>
      </w:r>
      <w:r w:rsidRPr="21CB014D">
        <w:rPr>
          <w:noProof/>
          <w:lang w:val="en-IE"/>
        </w:rPr>
        <w:t>eview (</w:t>
      </w:r>
      <w:r w:rsidR="009B1053" w:rsidRPr="21CB014D">
        <w:rPr>
          <w:rStyle w:val="FootnoteReference"/>
          <w:noProof/>
          <w:lang w:val="en-IE"/>
        </w:rPr>
        <w:footnoteReference w:id="14"/>
      </w:r>
      <w:r w:rsidRPr="21CB014D">
        <w:rPr>
          <w:noProof/>
          <w:lang w:val="en-IE"/>
        </w:rPr>
        <w:t xml:space="preserve">), commodity derivatives traded on MTFs and OTFs were </w:t>
      </w:r>
      <w:r w:rsidR="19D796EA" w:rsidRPr="21CB014D">
        <w:rPr>
          <w:noProof/>
          <w:lang w:val="en-IE"/>
        </w:rPr>
        <w:t>subject to</w:t>
      </w:r>
      <w:r w:rsidRPr="21CB014D">
        <w:rPr>
          <w:noProof/>
          <w:lang w:val="en-IE"/>
        </w:rPr>
        <w:t xml:space="preserve"> pre- and post-trade transparency precisely by virtue of being traded on those trading venues. The </w:t>
      </w:r>
      <w:r w:rsidR="19D796EA" w:rsidRPr="21CB014D">
        <w:rPr>
          <w:noProof/>
          <w:lang w:val="en-IE"/>
        </w:rPr>
        <w:t>r</w:t>
      </w:r>
      <w:r w:rsidRPr="21CB014D">
        <w:rPr>
          <w:noProof/>
          <w:lang w:val="en-IE"/>
        </w:rPr>
        <w:t xml:space="preserve">eview concluded that the scope of derivatives transparency should not rely on the concept of </w:t>
      </w:r>
      <w:r w:rsidR="00DA67D2" w:rsidRPr="21CB014D">
        <w:rPr>
          <w:noProof/>
          <w:lang w:val="en-IE"/>
        </w:rPr>
        <w:t>‘</w:t>
      </w:r>
      <w:r w:rsidRPr="21CB014D">
        <w:rPr>
          <w:noProof/>
          <w:lang w:val="en-IE"/>
        </w:rPr>
        <w:t>traded on a trading venue</w:t>
      </w:r>
      <w:r w:rsidR="00DA67D2" w:rsidRPr="21CB014D">
        <w:rPr>
          <w:noProof/>
          <w:lang w:val="en-IE"/>
        </w:rPr>
        <w:t>’</w:t>
      </w:r>
      <w:r w:rsidRPr="21CB014D">
        <w:rPr>
          <w:noProof/>
          <w:lang w:val="en-IE"/>
        </w:rPr>
        <w:t xml:space="preserve"> due to the lack of fungibility of these contracts. </w:t>
      </w:r>
      <w:r w:rsidR="21AA7999" w:rsidRPr="21CB014D">
        <w:rPr>
          <w:noProof/>
          <w:lang w:val="en-IE"/>
        </w:rPr>
        <w:t>Respondents</w:t>
      </w:r>
      <w:r w:rsidRPr="21CB014D">
        <w:rPr>
          <w:noProof/>
          <w:lang w:val="en-IE"/>
        </w:rPr>
        <w:t xml:space="preserve"> maintained that transparency requirements should only apply to derivatives that are sufficiently standardised for the data published in relation to them to be meaningful for market participants. The Commission acknowledges that, in any event, trading activity in commodity derivatives is</w:t>
      </w:r>
      <w:r w:rsidR="6D529429" w:rsidRPr="21CB014D">
        <w:rPr>
          <w:noProof/>
          <w:lang w:val="en-IE"/>
        </w:rPr>
        <w:t xml:space="preserve"> </w:t>
      </w:r>
      <w:r w:rsidR="790C7D05" w:rsidRPr="21CB014D">
        <w:rPr>
          <w:noProof/>
          <w:lang w:val="en-IE"/>
        </w:rPr>
        <w:t xml:space="preserve">currently </w:t>
      </w:r>
      <w:r w:rsidRPr="21CB014D">
        <w:rPr>
          <w:noProof/>
          <w:lang w:val="en-IE"/>
        </w:rPr>
        <w:t xml:space="preserve">marginal </w:t>
      </w:r>
      <w:r w:rsidR="790C7D05" w:rsidRPr="21CB014D">
        <w:rPr>
          <w:noProof/>
          <w:lang w:val="en-IE"/>
        </w:rPr>
        <w:t xml:space="preserve">on OTFs </w:t>
      </w:r>
      <w:r w:rsidRPr="21CB014D">
        <w:rPr>
          <w:noProof/>
          <w:lang w:val="en-IE"/>
        </w:rPr>
        <w:t>(0.3% of traded volumes in 2024) (</w:t>
      </w:r>
      <w:r w:rsidR="009B1053" w:rsidRPr="21CB014D">
        <w:rPr>
          <w:rStyle w:val="FootnoteReference"/>
          <w:noProof/>
          <w:lang w:val="en-IE"/>
        </w:rPr>
        <w:footnoteReference w:id="15"/>
      </w:r>
      <w:r w:rsidRPr="21CB014D">
        <w:rPr>
          <w:noProof/>
          <w:lang w:val="en-IE"/>
        </w:rPr>
        <w:t xml:space="preserve">), and </w:t>
      </w:r>
      <w:r w:rsidR="14DBE8E3" w:rsidRPr="21CB014D">
        <w:rPr>
          <w:noProof/>
          <w:lang w:val="en-IE"/>
        </w:rPr>
        <w:t>no</w:t>
      </w:r>
      <w:r w:rsidRPr="21CB014D">
        <w:rPr>
          <w:noProof/>
          <w:lang w:val="en-IE"/>
        </w:rPr>
        <w:t>nexistent on MTFs (</w:t>
      </w:r>
      <w:r w:rsidR="009B1053" w:rsidRPr="21CB014D">
        <w:rPr>
          <w:rStyle w:val="FootnoteReference"/>
          <w:noProof/>
          <w:lang w:val="en-IE"/>
        </w:rPr>
        <w:footnoteReference w:id="16"/>
      </w:r>
      <w:r w:rsidRPr="21CB014D">
        <w:rPr>
          <w:noProof/>
          <w:lang w:val="en-IE"/>
        </w:rPr>
        <w:t>).</w:t>
      </w:r>
    </w:p>
    <w:p w14:paraId="1B00D0FD" w14:textId="45B96BFC" w:rsidR="009B1053" w:rsidRPr="00575C33" w:rsidRDefault="1D43C493" w:rsidP="21CB014D">
      <w:pPr>
        <w:rPr>
          <w:noProof/>
          <w:lang w:val="en-IE"/>
        </w:rPr>
      </w:pPr>
      <w:r w:rsidRPr="21CB014D">
        <w:rPr>
          <w:noProof/>
          <w:lang w:val="en-IE"/>
        </w:rPr>
        <w:t xml:space="preserve">44 out of 48 respondents expressing views on this topic opposed the inclusion of pre‑ and/or post‑trade data on exchange‑traded commodity derivatives in the consolidated tape. Many of them </w:t>
      </w:r>
      <w:r w:rsidR="7CDA97D2" w:rsidRPr="21CB014D">
        <w:rPr>
          <w:noProof/>
          <w:lang w:val="en-IE"/>
        </w:rPr>
        <w:t xml:space="preserve">noted </w:t>
      </w:r>
      <w:r w:rsidRPr="21CB014D">
        <w:rPr>
          <w:noProof/>
          <w:lang w:val="en-IE"/>
        </w:rPr>
        <w:t>that, unlike OTC derivatives, exchange traded derivatives are traded on regulated markets, meaning pricing and trading volumes are already publicly available</w:t>
      </w:r>
      <w:r w:rsidR="623C3959" w:rsidRPr="21CB014D">
        <w:rPr>
          <w:noProof/>
          <w:lang w:val="en-IE"/>
        </w:rPr>
        <w:t xml:space="preserve">, and that trading activity is concentrated </w:t>
      </w:r>
      <w:r w:rsidR="4F2DF070" w:rsidRPr="21CB014D">
        <w:rPr>
          <w:noProof/>
          <w:lang w:val="en-IE"/>
        </w:rPr>
        <w:t>in a very small number of</w:t>
      </w:r>
      <w:r w:rsidR="623C3959" w:rsidRPr="21CB014D">
        <w:rPr>
          <w:noProof/>
          <w:lang w:val="en-IE"/>
        </w:rPr>
        <w:t xml:space="preserve"> regulated markets (thereby limiting the added value of a consolidated tape for th</w:t>
      </w:r>
      <w:r w:rsidR="7D38E405" w:rsidRPr="21CB014D">
        <w:rPr>
          <w:noProof/>
          <w:lang w:val="en-IE"/>
        </w:rPr>
        <w:t>is</w:t>
      </w:r>
      <w:r w:rsidR="623C3959" w:rsidRPr="21CB014D">
        <w:rPr>
          <w:noProof/>
          <w:lang w:val="en-IE"/>
        </w:rPr>
        <w:t xml:space="preserve"> asset class)</w:t>
      </w:r>
      <w:r w:rsidRPr="21CB014D">
        <w:rPr>
          <w:noProof/>
          <w:lang w:val="en-IE"/>
        </w:rPr>
        <w:t xml:space="preserve">. Only four participants from the energy sector expressed support </w:t>
      </w:r>
      <w:r w:rsidR="7D38E405" w:rsidRPr="21CB014D">
        <w:rPr>
          <w:noProof/>
          <w:lang w:val="en-IE"/>
        </w:rPr>
        <w:t>for</w:t>
      </w:r>
      <w:r w:rsidRPr="21CB014D">
        <w:rPr>
          <w:noProof/>
          <w:lang w:val="en-IE"/>
        </w:rPr>
        <w:t xml:space="preserve"> the idea of including pre‑ and/or post‑trade data on exchange‑traded commodity derivatives in the consolidated tape. </w:t>
      </w:r>
    </w:p>
    <w:p w14:paraId="022A1298" w14:textId="77777777" w:rsidR="00F07548" w:rsidRDefault="009B1053" w:rsidP="009B1053">
      <w:pPr>
        <w:rPr>
          <w:i/>
          <w:noProof/>
          <w:lang w:val="en-US" w:eastAsia="en-IE"/>
        </w:rPr>
      </w:pPr>
      <w:r>
        <w:rPr>
          <w:i/>
          <w:noProof/>
          <w:lang w:val="en-US" w:eastAsia="en-IE"/>
        </w:rPr>
        <w:t xml:space="preserve">Conclusions of the </w:t>
      </w:r>
      <w:r w:rsidRPr="001A7809">
        <w:rPr>
          <w:i/>
          <w:noProof/>
          <w:lang w:val="en-US" w:eastAsia="en-IE"/>
        </w:rPr>
        <w:t>Commission</w:t>
      </w:r>
      <w:r>
        <w:rPr>
          <w:i/>
          <w:noProof/>
          <w:lang w:val="en-US" w:eastAsia="en-IE"/>
        </w:rPr>
        <w:t>’s</w:t>
      </w:r>
      <w:r w:rsidRPr="001A7809">
        <w:rPr>
          <w:i/>
          <w:noProof/>
          <w:lang w:val="en-US" w:eastAsia="en-IE"/>
        </w:rPr>
        <w:t xml:space="preserve"> </w:t>
      </w:r>
      <w:r>
        <w:rPr>
          <w:i/>
          <w:noProof/>
          <w:lang w:val="en-US" w:eastAsia="en-IE"/>
        </w:rPr>
        <w:t>assessment</w:t>
      </w:r>
    </w:p>
    <w:p w14:paraId="095E2E70" w14:textId="565A31A3" w:rsidR="009B1053" w:rsidRDefault="1D43C493" w:rsidP="009B1053">
      <w:pPr>
        <w:rPr>
          <w:rStyle w:val="normaltextrun"/>
          <w:noProof/>
        </w:rPr>
      </w:pPr>
      <w:r w:rsidRPr="21CB014D">
        <w:rPr>
          <w:rStyle w:val="normaltextrun"/>
          <w:noProof/>
        </w:rPr>
        <w:t xml:space="preserve">The Commission acknowledges that the current reporting framework for commodity derivatives is complex. This is particularly true </w:t>
      </w:r>
      <w:r w:rsidR="7D38E405" w:rsidRPr="21CB014D">
        <w:rPr>
          <w:rStyle w:val="normaltextrun"/>
          <w:noProof/>
        </w:rPr>
        <w:t>for</w:t>
      </w:r>
      <w:r w:rsidRPr="21CB014D">
        <w:rPr>
          <w:rStyle w:val="normaltextrun"/>
          <w:noProof/>
        </w:rPr>
        <w:t xml:space="preserve"> energy commodity derivatives, as both the underlying spot market and energy derivatives are subject to dedicated reporting obligations under REMIT II, while the latter are also reported under the financial framework (unlike other types of commodity derivatives that are only reported under financial legislation). </w:t>
      </w:r>
      <w:r w:rsidR="136F1749" w:rsidRPr="21CB014D">
        <w:rPr>
          <w:rStyle w:val="normaltextrun"/>
          <w:noProof/>
        </w:rPr>
        <w:t xml:space="preserve">While REMIT II </w:t>
      </w:r>
      <w:r w:rsidR="7D38E405" w:rsidRPr="21CB014D">
        <w:rPr>
          <w:rStyle w:val="normaltextrun"/>
          <w:noProof/>
        </w:rPr>
        <w:t xml:space="preserve">includes </w:t>
      </w:r>
      <w:r w:rsidR="136F1749" w:rsidRPr="21CB014D">
        <w:rPr>
          <w:rStyle w:val="normaltextrun"/>
          <w:noProof/>
        </w:rPr>
        <w:t>provisions</w:t>
      </w:r>
      <w:r w:rsidR="7D38E405" w:rsidRPr="21CB014D">
        <w:rPr>
          <w:rStyle w:val="normaltextrun"/>
          <w:noProof/>
        </w:rPr>
        <w:t xml:space="preserve"> to prevent double reporting</w:t>
      </w:r>
      <w:r w:rsidR="136F1749" w:rsidRPr="21CB014D">
        <w:rPr>
          <w:rStyle w:val="normaltextrun"/>
          <w:noProof/>
        </w:rPr>
        <w:t>, as mentioned above, there may still be room for increasing efficiencies in the existing reporting processes</w:t>
      </w:r>
      <w:r w:rsidR="1C85E289" w:rsidRPr="21CB014D">
        <w:rPr>
          <w:rStyle w:val="normaltextrun"/>
          <w:noProof/>
        </w:rPr>
        <w:t>.</w:t>
      </w:r>
    </w:p>
    <w:p w14:paraId="7D283ED3" w14:textId="161751C6" w:rsidR="009B1053" w:rsidRDefault="1D43C493" w:rsidP="009B1053">
      <w:pPr>
        <w:rPr>
          <w:rStyle w:val="normaltextrun"/>
          <w:noProof/>
        </w:rPr>
      </w:pPr>
      <w:r w:rsidRPr="21CB014D">
        <w:rPr>
          <w:rStyle w:val="normaltextrun"/>
          <w:noProof/>
        </w:rPr>
        <w:t xml:space="preserve">While the harmonisation of reporting standards and streamlining of reporting requirements would help simplify the </w:t>
      </w:r>
      <w:r w:rsidR="136F1749" w:rsidRPr="21CB014D">
        <w:rPr>
          <w:rStyle w:val="normaltextrun"/>
          <w:noProof/>
        </w:rPr>
        <w:t xml:space="preserve">relevant </w:t>
      </w:r>
      <w:r w:rsidRPr="21CB014D">
        <w:rPr>
          <w:rStyle w:val="normaltextrun"/>
          <w:noProof/>
        </w:rPr>
        <w:t>framework</w:t>
      </w:r>
      <w:r w:rsidR="136F1749" w:rsidRPr="21CB014D">
        <w:rPr>
          <w:rStyle w:val="normaltextrun"/>
          <w:noProof/>
        </w:rPr>
        <w:t>s</w:t>
      </w:r>
      <w:r w:rsidRPr="21CB014D">
        <w:rPr>
          <w:rStyle w:val="normaltextrun"/>
          <w:noProof/>
        </w:rPr>
        <w:t>, reduce</w:t>
      </w:r>
      <w:r w:rsidR="010BE5A0" w:rsidRPr="21CB014D">
        <w:rPr>
          <w:rStyle w:val="normaltextrun"/>
          <w:noProof/>
        </w:rPr>
        <w:t xml:space="preserve"> the</w:t>
      </w:r>
      <w:r w:rsidRPr="21CB014D">
        <w:rPr>
          <w:rStyle w:val="normaltextrun"/>
          <w:noProof/>
        </w:rPr>
        <w:t xml:space="preserve"> burden on firms and rationalise data used by supervisors, this would require a thorough assessment of the necessary </w:t>
      </w:r>
      <w:r w:rsidR="010BE5A0" w:rsidRPr="21CB014D">
        <w:rPr>
          <w:rStyle w:val="normaltextrun"/>
          <w:noProof/>
        </w:rPr>
        <w:t>amendments to</w:t>
      </w:r>
      <w:r w:rsidR="136F1749" w:rsidRPr="21CB014D">
        <w:rPr>
          <w:rStyle w:val="normaltextrun"/>
          <w:noProof/>
        </w:rPr>
        <w:t xml:space="preserve"> the relevant legislation </w:t>
      </w:r>
      <w:r w:rsidRPr="21CB014D">
        <w:rPr>
          <w:rStyle w:val="normaltextrun"/>
          <w:noProof/>
        </w:rPr>
        <w:t xml:space="preserve">and </w:t>
      </w:r>
      <w:r w:rsidR="136F1749" w:rsidRPr="21CB014D">
        <w:rPr>
          <w:rStyle w:val="normaltextrun"/>
          <w:noProof/>
        </w:rPr>
        <w:t xml:space="preserve">of the </w:t>
      </w:r>
      <w:r w:rsidRPr="21CB014D">
        <w:rPr>
          <w:rStyle w:val="normaltextrun"/>
          <w:noProof/>
        </w:rPr>
        <w:t xml:space="preserve">associated costs </w:t>
      </w:r>
      <w:r w:rsidR="136F1749" w:rsidRPr="21CB014D">
        <w:rPr>
          <w:rStyle w:val="normaltextrun"/>
          <w:noProof/>
        </w:rPr>
        <w:t xml:space="preserve">both </w:t>
      </w:r>
      <w:r w:rsidRPr="21CB014D">
        <w:rPr>
          <w:rStyle w:val="normaltextrun"/>
          <w:noProof/>
        </w:rPr>
        <w:t>for market participants and supervisors</w:t>
      </w:r>
      <w:r w:rsidR="6D529429" w:rsidRPr="21CB014D">
        <w:rPr>
          <w:rStyle w:val="normaltextrun"/>
          <w:noProof/>
        </w:rPr>
        <w:t>/</w:t>
      </w:r>
      <w:r w:rsidR="136F1749" w:rsidRPr="21CB014D">
        <w:rPr>
          <w:rStyle w:val="normaltextrun"/>
          <w:noProof/>
        </w:rPr>
        <w:t>regulators</w:t>
      </w:r>
      <w:r w:rsidRPr="21CB014D">
        <w:rPr>
          <w:rStyle w:val="normaltextrun"/>
          <w:noProof/>
        </w:rPr>
        <w:t xml:space="preserve">. Similarly, the creation of a single reporting mechanism, while overall desirable as end-result, could raise significant challenges in terms of implementation costs and potential </w:t>
      </w:r>
      <w:r w:rsidR="010BE5A0" w:rsidRPr="21CB014D">
        <w:rPr>
          <w:rStyle w:val="normaltextrun"/>
          <w:noProof/>
        </w:rPr>
        <w:t xml:space="preserve">difficulty </w:t>
      </w:r>
      <w:r w:rsidRPr="21CB014D">
        <w:rPr>
          <w:rStyle w:val="normaltextrun"/>
          <w:noProof/>
        </w:rPr>
        <w:t>in differentiating commodity derivatives reporting from the reporting of other derivatives.</w:t>
      </w:r>
    </w:p>
    <w:p w14:paraId="0BFF1114" w14:textId="78D60AE2" w:rsidR="009B1053" w:rsidRDefault="1D43C493" w:rsidP="009B1053">
      <w:pPr>
        <w:rPr>
          <w:rStyle w:val="normaltextrun"/>
          <w:noProof/>
        </w:rPr>
      </w:pPr>
      <w:r w:rsidRPr="21CB014D">
        <w:rPr>
          <w:rStyle w:val="normaltextrun"/>
          <w:noProof/>
        </w:rPr>
        <w:t>Under a possible gradual approach, short-term measures could be explored to facilitate data</w:t>
      </w:r>
      <w:r w:rsidR="010BE5A0" w:rsidRPr="21CB014D">
        <w:rPr>
          <w:rStyle w:val="normaltextrun"/>
          <w:noProof/>
        </w:rPr>
        <w:t>-</w:t>
      </w:r>
      <w:r w:rsidRPr="21CB014D">
        <w:rPr>
          <w:rStyle w:val="normaltextrun"/>
          <w:noProof/>
        </w:rPr>
        <w:t xml:space="preserve">sharing between authorities and improve </w:t>
      </w:r>
      <w:r w:rsidR="010BE5A0" w:rsidRPr="21CB014D">
        <w:rPr>
          <w:rStyle w:val="normaltextrun"/>
          <w:noProof/>
        </w:rPr>
        <w:t xml:space="preserve">the </w:t>
      </w:r>
      <w:r w:rsidR="3BE7A741" w:rsidRPr="21CB014D">
        <w:rPr>
          <w:rStyle w:val="normaltextrun"/>
          <w:noProof/>
        </w:rPr>
        <w:t>inter</w:t>
      </w:r>
      <w:r w:rsidRPr="21CB014D">
        <w:rPr>
          <w:rStyle w:val="normaltextrun"/>
          <w:noProof/>
        </w:rPr>
        <w:t xml:space="preserve">operability of data sets. This could include </w:t>
      </w:r>
      <w:r w:rsidR="002E9801" w:rsidRPr="21CB014D">
        <w:rPr>
          <w:rStyle w:val="normaltextrun"/>
          <w:noProof/>
        </w:rPr>
        <w:t xml:space="preserve">the institutionalisation of data exchanges between financial and energy regulators, with systematic access granted to respective supervisory data, </w:t>
      </w:r>
      <w:r w:rsidR="5D0D9926" w:rsidRPr="21CB014D">
        <w:rPr>
          <w:rStyle w:val="normaltextrun"/>
          <w:noProof/>
        </w:rPr>
        <w:t xml:space="preserve">eliminating </w:t>
      </w:r>
      <w:r w:rsidR="002E9801" w:rsidRPr="21CB014D">
        <w:rPr>
          <w:rStyle w:val="normaltextrun"/>
          <w:noProof/>
        </w:rPr>
        <w:t xml:space="preserve">the need for ad hoc access requests. The Commission </w:t>
      </w:r>
      <w:r w:rsidR="5D0D9926" w:rsidRPr="21CB014D">
        <w:rPr>
          <w:rStyle w:val="normaltextrun"/>
          <w:noProof/>
        </w:rPr>
        <w:t xml:space="preserve">could </w:t>
      </w:r>
      <w:r w:rsidR="002E9801" w:rsidRPr="21CB014D">
        <w:rPr>
          <w:rStyle w:val="normaltextrun"/>
          <w:noProof/>
        </w:rPr>
        <w:t xml:space="preserve">also explore </w:t>
      </w:r>
      <w:r w:rsidRPr="21CB014D">
        <w:rPr>
          <w:rStyle w:val="normaltextrun"/>
          <w:noProof/>
        </w:rPr>
        <w:t>the adoption of unique identifier format</w:t>
      </w:r>
      <w:r w:rsidR="19A47056" w:rsidRPr="21CB014D">
        <w:rPr>
          <w:rStyle w:val="normaltextrun"/>
          <w:noProof/>
        </w:rPr>
        <w:t>s</w:t>
      </w:r>
      <w:r w:rsidRPr="21CB014D">
        <w:rPr>
          <w:rStyle w:val="normaltextrun"/>
          <w:noProof/>
        </w:rPr>
        <w:t xml:space="preserve"> for transactions reported under both financial and energy frameworks. </w:t>
      </w:r>
    </w:p>
    <w:p w14:paraId="5CDFB4C8" w14:textId="28010553" w:rsidR="009B1053" w:rsidRDefault="1D43C493" w:rsidP="21CB014D">
      <w:pPr>
        <w:rPr>
          <w:noProof/>
          <w:lang w:val="en-IE"/>
        </w:rPr>
      </w:pPr>
      <w:r w:rsidRPr="21CB014D">
        <w:rPr>
          <w:noProof/>
          <w:lang w:val="en-IE"/>
        </w:rPr>
        <w:t xml:space="preserve">Lastly, as regards pre- and post-trade transparency requirements, the Commission  </w:t>
      </w:r>
      <w:r w:rsidR="5D0D9926" w:rsidRPr="21CB014D">
        <w:rPr>
          <w:noProof/>
          <w:lang w:val="en-IE"/>
        </w:rPr>
        <w:t xml:space="preserve">is of the opinion </w:t>
      </w:r>
      <w:r w:rsidRPr="21CB014D">
        <w:rPr>
          <w:noProof/>
          <w:lang w:val="en-IE"/>
        </w:rPr>
        <w:t xml:space="preserve">that the current framework ensures </w:t>
      </w:r>
      <w:r w:rsidR="5D0D9926" w:rsidRPr="21CB014D">
        <w:rPr>
          <w:noProof/>
          <w:lang w:val="en-IE"/>
        </w:rPr>
        <w:t xml:space="preserve">a sufficient </w:t>
      </w:r>
      <w:r w:rsidRPr="21CB014D">
        <w:rPr>
          <w:noProof/>
          <w:lang w:val="en-IE"/>
        </w:rPr>
        <w:t>level of public information and, therefore, no changes are warranted in that regard.</w:t>
      </w:r>
      <w:r w:rsidR="53B6EDD1" w:rsidRPr="21CB014D">
        <w:rPr>
          <w:noProof/>
          <w:lang w:val="en-IE"/>
        </w:rPr>
        <w:t xml:space="preserve"> These conclusions also apply</w:t>
      </w:r>
      <w:r w:rsidR="10F39B19" w:rsidRPr="21CB014D">
        <w:rPr>
          <w:noProof/>
          <w:lang w:val="en-IE"/>
        </w:rPr>
        <w:t xml:space="preserve"> </w:t>
      </w:r>
      <w:r w:rsidR="53B6EDD1" w:rsidRPr="21CB014D">
        <w:rPr>
          <w:noProof/>
          <w:lang w:val="en-IE"/>
        </w:rPr>
        <w:t>to EUAs and EUA derivative contracts</w:t>
      </w:r>
      <w:r w:rsidR="10F39B19" w:rsidRPr="21CB014D">
        <w:rPr>
          <w:noProof/>
          <w:lang w:val="en-IE"/>
        </w:rPr>
        <w:t>.</w:t>
      </w:r>
    </w:p>
    <w:p w14:paraId="56E17FF9" w14:textId="77777777" w:rsidR="00BE2881" w:rsidRPr="00BE2881" w:rsidRDefault="00BE2881" w:rsidP="009B1053">
      <w:pPr>
        <w:rPr>
          <w:noProof/>
          <w:szCs w:val="24"/>
        </w:rPr>
      </w:pPr>
    </w:p>
    <w:p w14:paraId="4998F48B" w14:textId="31C22827" w:rsidR="00F32D54" w:rsidRPr="00575C33" w:rsidRDefault="601B0B43" w:rsidP="21CB014D">
      <w:pPr>
        <w:keepNext/>
        <w:keepLines/>
        <w:numPr>
          <w:ilvl w:val="0"/>
          <w:numId w:val="2"/>
        </w:numPr>
        <w:outlineLvl w:val="0"/>
        <w:rPr>
          <w:b/>
          <w:bCs/>
          <w:noProof/>
          <w:lang w:val="en-US" w:eastAsia="en-IE"/>
        </w:rPr>
      </w:pPr>
      <w:bookmarkStart w:id="24" w:name="_Toc227243500"/>
      <w:r w:rsidRPr="21CB014D">
        <w:rPr>
          <w:b/>
          <w:bCs/>
          <w:noProof/>
          <w:lang w:val="en-IE"/>
        </w:rPr>
        <w:t>T</w:t>
      </w:r>
      <w:r w:rsidR="321CB6F7" w:rsidRPr="21CB014D">
        <w:rPr>
          <w:b/>
          <w:bCs/>
          <w:noProof/>
          <w:lang w:val="en-US" w:eastAsia="en-IE"/>
        </w:rPr>
        <w:t>HE ANCILLARY ACTIV</w:t>
      </w:r>
      <w:r w:rsidR="7CD9415E" w:rsidRPr="21CB014D">
        <w:rPr>
          <w:b/>
          <w:bCs/>
          <w:noProof/>
          <w:lang w:val="en-US" w:eastAsia="en-IE"/>
        </w:rPr>
        <w:t>ITY EXEMPTION</w:t>
      </w:r>
      <w:bookmarkEnd w:id="24"/>
    </w:p>
    <w:p w14:paraId="71A43F65" w14:textId="40B25B14" w:rsidR="00004440" w:rsidRPr="00575C33" w:rsidRDefault="2510A2AB" w:rsidP="21CB014D">
      <w:pPr>
        <w:rPr>
          <w:i/>
          <w:iCs/>
          <w:noProof/>
          <w:shd w:val="clear" w:color="auto" w:fill="FFFFFF"/>
        </w:rPr>
      </w:pPr>
      <w:r w:rsidRPr="21CB014D">
        <w:rPr>
          <w:i/>
          <w:iCs/>
          <w:noProof/>
          <w:shd w:val="clear" w:color="auto" w:fill="FFFFFF"/>
        </w:rPr>
        <w:t>Role and functioning</w:t>
      </w:r>
    </w:p>
    <w:p w14:paraId="546E1C63" w14:textId="5978E74E" w:rsidR="00401BAE" w:rsidRPr="00575C33" w:rsidRDefault="6CC0E60D" w:rsidP="00AC60EB">
      <w:pPr>
        <w:rPr>
          <w:noProof/>
          <w:shd w:val="clear" w:color="auto" w:fill="FFFFFF"/>
        </w:rPr>
      </w:pPr>
      <w:r w:rsidRPr="09E0FC6E">
        <w:rPr>
          <w:noProof/>
          <w:shd w:val="clear" w:color="auto" w:fill="FFFFFF"/>
        </w:rPr>
        <w:t xml:space="preserve">Commodity derivatives markets are characterised by the prominent participation of entities whose main business does not involve the provision of financial services </w:t>
      </w:r>
      <w:r w:rsidR="1BD0DEC1" w:rsidRPr="09E0FC6E">
        <w:rPr>
          <w:noProof/>
          <w:shd w:val="clear" w:color="auto" w:fill="FFFFFF"/>
        </w:rPr>
        <w:t>but</w:t>
      </w:r>
      <w:r w:rsidRPr="09E0FC6E">
        <w:rPr>
          <w:noProof/>
          <w:shd w:val="clear" w:color="auto" w:fill="FFFFFF"/>
        </w:rPr>
        <w:t xml:space="preserve"> who rely on derivative markets to hedge their positions in the underlying physical markets or, in some cases, take advantage of market moves to generate profit.</w:t>
      </w:r>
    </w:p>
    <w:p w14:paraId="5BFA9C56" w14:textId="735C4D90" w:rsidR="00753F1C" w:rsidRPr="00575C33" w:rsidRDefault="6CC0E60D" w:rsidP="00AC60EB">
      <w:pPr>
        <w:rPr>
          <w:noProof/>
          <w:shd w:val="clear" w:color="auto" w:fill="FFFFFF"/>
        </w:rPr>
      </w:pPr>
      <w:r w:rsidRPr="0D3C4EDD">
        <w:rPr>
          <w:noProof/>
          <w:shd w:val="clear" w:color="auto" w:fill="FFFFFF"/>
        </w:rPr>
        <w:t>Th</w:t>
      </w:r>
      <w:r w:rsidR="3E45F66D">
        <w:rPr>
          <w:noProof/>
          <w:shd w:val="clear" w:color="auto" w:fill="FFFFFF"/>
        </w:rPr>
        <w:t>e</w:t>
      </w:r>
      <w:r w:rsidRPr="0D3C4EDD">
        <w:rPr>
          <w:noProof/>
          <w:shd w:val="clear" w:color="auto" w:fill="FFFFFF"/>
        </w:rPr>
        <w:t xml:space="preserve"> </w:t>
      </w:r>
      <w:r w:rsidRPr="0CB2CF07">
        <w:rPr>
          <w:noProof/>
          <w:shd w:val="clear" w:color="auto" w:fill="FFFFFF"/>
        </w:rPr>
        <w:t>non</w:t>
      </w:r>
      <w:r w:rsidR="376EC3CE">
        <w:rPr>
          <w:noProof/>
          <w:shd w:val="clear" w:color="auto" w:fill="FFFFFF"/>
        </w:rPr>
        <w:t>-</w:t>
      </w:r>
      <w:r w:rsidRPr="0CB2CF07">
        <w:rPr>
          <w:noProof/>
          <w:shd w:val="clear" w:color="auto" w:fill="FFFFFF"/>
        </w:rPr>
        <w:t>financial</w:t>
      </w:r>
      <w:r w:rsidRPr="0D3C4EDD">
        <w:rPr>
          <w:noProof/>
          <w:shd w:val="clear" w:color="auto" w:fill="FFFFFF"/>
        </w:rPr>
        <w:t xml:space="preserve"> entities represent around </w:t>
      </w:r>
      <w:r w:rsidR="00CD7657" w:rsidRPr="0CB2CF07">
        <w:rPr>
          <w:noProof/>
          <w:shd w:val="clear" w:color="auto" w:fill="FFFFFF"/>
        </w:rPr>
        <w:noBreakHyphen/>
      </w:r>
      <w:r w:rsidR="7A887721" w:rsidRPr="0D3C4EDD">
        <w:rPr>
          <w:noProof/>
          <w:shd w:val="clear" w:color="auto" w:fill="FFFFFF"/>
        </w:rPr>
        <w:t>two thirds</w:t>
      </w:r>
      <w:r w:rsidRPr="0D3C4EDD">
        <w:rPr>
          <w:noProof/>
          <w:shd w:val="clear" w:color="auto" w:fill="FFFFFF"/>
        </w:rPr>
        <w:t xml:space="preserve"> of natural gas futures market participants</w:t>
      </w:r>
      <w:r w:rsidR="4FB91E0F" w:rsidRPr="0D3C4EDD">
        <w:rPr>
          <w:noProof/>
          <w:shd w:val="clear" w:color="auto" w:fill="FFFFFF"/>
        </w:rPr>
        <w:t> (</w:t>
      </w:r>
      <w:r w:rsidR="005514EF" w:rsidRPr="0D3C4EDD">
        <w:rPr>
          <w:rStyle w:val="FootnoteReference"/>
          <w:noProof/>
          <w:shd w:val="clear" w:color="auto" w:fill="FFFFFF"/>
        </w:rPr>
        <w:footnoteReference w:id="17"/>
      </w:r>
      <w:r w:rsidR="4FB91E0F" w:rsidRPr="0D3C4EDD">
        <w:rPr>
          <w:noProof/>
          <w:shd w:val="clear" w:color="auto" w:fill="FFFFFF"/>
        </w:rPr>
        <w:t>)</w:t>
      </w:r>
      <w:r w:rsidRPr="0D3C4EDD">
        <w:rPr>
          <w:noProof/>
          <w:shd w:val="clear" w:color="auto" w:fill="FFFFFF"/>
        </w:rPr>
        <w:t>, and around 60% o</w:t>
      </w:r>
      <w:r w:rsidR="706DA47A" w:rsidRPr="0D3C4EDD">
        <w:rPr>
          <w:noProof/>
          <w:shd w:val="clear" w:color="auto" w:fill="FFFFFF"/>
        </w:rPr>
        <w:t>f</w:t>
      </w:r>
      <w:r w:rsidRPr="0D3C4EDD">
        <w:rPr>
          <w:noProof/>
          <w:shd w:val="clear" w:color="auto" w:fill="FFFFFF"/>
        </w:rPr>
        <w:t xml:space="preserve"> wheat futures market </w:t>
      </w:r>
      <w:r w:rsidR="706DA47A" w:rsidRPr="0D3C4EDD">
        <w:rPr>
          <w:noProof/>
          <w:shd w:val="clear" w:color="auto" w:fill="FFFFFF"/>
        </w:rPr>
        <w:t>participants</w:t>
      </w:r>
      <w:r w:rsidR="4FB91E0F" w:rsidRPr="0D3C4EDD">
        <w:rPr>
          <w:noProof/>
          <w:shd w:val="clear" w:color="auto" w:fill="FFFFFF"/>
        </w:rPr>
        <w:t> (</w:t>
      </w:r>
      <w:r w:rsidR="005514EF" w:rsidRPr="0D3C4EDD">
        <w:rPr>
          <w:rStyle w:val="FootnoteReference"/>
          <w:noProof/>
          <w:shd w:val="clear" w:color="auto" w:fill="FFFFFF"/>
        </w:rPr>
        <w:footnoteReference w:id="18"/>
      </w:r>
      <w:r w:rsidR="4FB91E0F" w:rsidRPr="0D3C4EDD">
        <w:rPr>
          <w:noProof/>
          <w:shd w:val="clear" w:color="auto" w:fill="FFFFFF"/>
        </w:rPr>
        <w:t>)</w:t>
      </w:r>
      <w:r w:rsidRPr="0D3C4EDD">
        <w:rPr>
          <w:noProof/>
          <w:shd w:val="clear" w:color="auto" w:fill="FFFFFF"/>
        </w:rPr>
        <w:t xml:space="preserve"> in terms of positions </w:t>
      </w:r>
      <w:r w:rsidR="1AFEC154" w:rsidRPr="0D3C4EDD">
        <w:rPr>
          <w:noProof/>
          <w:shd w:val="clear" w:color="auto" w:fill="FFFFFF"/>
        </w:rPr>
        <w:t>held</w:t>
      </w:r>
      <w:r w:rsidRPr="0D3C4EDD">
        <w:rPr>
          <w:noProof/>
          <w:shd w:val="clear" w:color="auto" w:fill="FFFFFF"/>
        </w:rPr>
        <w:t xml:space="preserve"> in the</w:t>
      </w:r>
      <w:r w:rsidR="1E3218CB" w:rsidRPr="0D3C4EDD">
        <w:rPr>
          <w:noProof/>
          <w:shd w:val="clear" w:color="auto" w:fill="FFFFFF"/>
        </w:rPr>
        <w:t>ir</w:t>
      </w:r>
      <w:r w:rsidRPr="0D3C4EDD">
        <w:rPr>
          <w:noProof/>
          <w:shd w:val="clear" w:color="auto" w:fill="FFFFFF"/>
        </w:rPr>
        <w:t xml:space="preserve"> respective markets. </w:t>
      </w:r>
      <w:r w:rsidRPr="164581B9">
        <w:rPr>
          <w:noProof/>
          <w:shd w:val="clear" w:color="auto" w:fill="FFFFFF"/>
        </w:rPr>
        <w:t>Some non</w:t>
      </w:r>
      <w:r w:rsidR="12BCC6CC">
        <w:rPr>
          <w:noProof/>
          <w:shd w:val="clear" w:color="auto" w:fill="FFFFFF"/>
        </w:rPr>
        <w:t>-</w:t>
      </w:r>
      <w:r w:rsidRPr="164581B9">
        <w:rPr>
          <w:noProof/>
          <w:shd w:val="clear" w:color="auto" w:fill="FFFFFF"/>
        </w:rPr>
        <w:t>financial</w:t>
      </w:r>
      <w:r w:rsidRPr="0D3C4EDD">
        <w:rPr>
          <w:noProof/>
          <w:shd w:val="clear" w:color="auto" w:fill="FFFFFF"/>
        </w:rPr>
        <w:t xml:space="preserve"> entities also act as market</w:t>
      </w:r>
      <w:r w:rsidR="73F9B27D" w:rsidRPr="0D3C4EDD">
        <w:rPr>
          <w:noProof/>
          <w:shd w:val="clear" w:color="auto" w:fill="FFFFFF"/>
        </w:rPr>
        <w:t xml:space="preserve"> </w:t>
      </w:r>
      <w:r w:rsidR="0C4BA35D" w:rsidRPr="164581B9">
        <w:rPr>
          <w:noProof/>
          <w:shd w:val="clear" w:color="auto" w:fill="FFFFFF"/>
        </w:rPr>
        <w:noBreakHyphen/>
      </w:r>
      <w:r w:rsidRPr="0D3C4EDD">
        <w:rPr>
          <w:noProof/>
          <w:shd w:val="clear" w:color="auto" w:fill="FFFFFF"/>
        </w:rPr>
        <w:t>makers</w:t>
      </w:r>
      <w:r w:rsidR="376D9FA5" w:rsidRPr="0D3C4EDD">
        <w:rPr>
          <w:noProof/>
          <w:shd w:val="clear" w:color="auto" w:fill="FFFFFF"/>
        </w:rPr>
        <w:t xml:space="preserve"> </w:t>
      </w:r>
      <w:r w:rsidRPr="0D3C4EDD">
        <w:rPr>
          <w:noProof/>
          <w:shd w:val="clear" w:color="auto" w:fill="FFFFFF"/>
        </w:rPr>
        <w:t xml:space="preserve">and </w:t>
      </w:r>
      <w:r w:rsidR="5A73EBA0" w:rsidRPr="0D3C4EDD">
        <w:rPr>
          <w:noProof/>
          <w:shd w:val="clear" w:color="auto" w:fill="FFFFFF"/>
        </w:rPr>
        <w:t>may</w:t>
      </w:r>
      <w:r w:rsidRPr="0D3C4EDD">
        <w:rPr>
          <w:noProof/>
          <w:shd w:val="clear" w:color="auto" w:fill="FFFFFF"/>
        </w:rPr>
        <w:t xml:space="preserve"> also </w:t>
      </w:r>
      <w:r w:rsidR="5A73EBA0" w:rsidRPr="0D3C4EDD">
        <w:rPr>
          <w:noProof/>
          <w:shd w:val="clear" w:color="auto" w:fill="FFFFFF"/>
        </w:rPr>
        <w:t>be</w:t>
      </w:r>
      <w:r w:rsidRPr="0D3C4EDD">
        <w:rPr>
          <w:noProof/>
          <w:shd w:val="clear" w:color="auto" w:fill="FFFFFF"/>
        </w:rPr>
        <w:t xml:space="preserve"> active on both physical/spot and derivatives markets. </w:t>
      </w:r>
      <w:r w:rsidRPr="164581B9">
        <w:rPr>
          <w:noProof/>
          <w:shd w:val="clear" w:color="auto" w:fill="FFFFFF"/>
        </w:rPr>
        <w:t xml:space="preserve">The </w:t>
      </w:r>
      <w:r w:rsidR="72959BFC">
        <w:rPr>
          <w:noProof/>
          <w:shd w:val="clear" w:color="auto" w:fill="FFFFFF"/>
        </w:rPr>
        <w:t>a</w:t>
      </w:r>
      <w:r w:rsidRPr="0D3C4EDD">
        <w:rPr>
          <w:noProof/>
          <w:shd w:val="clear" w:color="auto" w:fill="FFFFFF"/>
        </w:rPr>
        <w:t xml:space="preserve">ncillary </w:t>
      </w:r>
      <w:r w:rsidR="72959BFC">
        <w:rPr>
          <w:noProof/>
          <w:shd w:val="clear" w:color="auto" w:fill="FFFFFF"/>
        </w:rPr>
        <w:t>a</w:t>
      </w:r>
      <w:r w:rsidRPr="0D3C4EDD">
        <w:rPr>
          <w:noProof/>
          <w:shd w:val="clear" w:color="auto" w:fill="FFFFFF"/>
        </w:rPr>
        <w:t xml:space="preserve">ctivity </w:t>
      </w:r>
      <w:r w:rsidR="72959BFC">
        <w:rPr>
          <w:noProof/>
          <w:shd w:val="clear" w:color="auto" w:fill="FFFFFF"/>
        </w:rPr>
        <w:t>e</w:t>
      </w:r>
      <w:r w:rsidRPr="0D3C4EDD">
        <w:rPr>
          <w:noProof/>
          <w:shd w:val="clear" w:color="auto" w:fill="FFFFFF"/>
        </w:rPr>
        <w:t xml:space="preserve">xemption (AAE) set out in Article 2(1), point (j), of MiFID </w:t>
      </w:r>
      <w:r w:rsidR="7FA8A94A" w:rsidRPr="0D3C4EDD">
        <w:rPr>
          <w:noProof/>
          <w:shd w:val="clear" w:color="auto" w:fill="FFFFFF"/>
        </w:rPr>
        <w:t>II</w:t>
      </w:r>
      <w:r w:rsidRPr="0D3C4EDD">
        <w:rPr>
          <w:noProof/>
          <w:shd w:val="clear" w:color="auto" w:fill="FFFFFF"/>
        </w:rPr>
        <w:t xml:space="preserve"> currently exempts certain </w:t>
      </w:r>
      <w:r w:rsidRPr="164581B9">
        <w:rPr>
          <w:noProof/>
          <w:shd w:val="clear" w:color="auto" w:fill="FFFFFF"/>
        </w:rPr>
        <w:t>non</w:t>
      </w:r>
      <w:r w:rsidR="09995BFA">
        <w:rPr>
          <w:noProof/>
          <w:shd w:val="clear" w:color="auto" w:fill="FFFFFF"/>
        </w:rPr>
        <w:t>-</w:t>
      </w:r>
      <w:r w:rsidRPr="164581B9">
        <w:rPr>
          <w:noProof/>
          <w:shd w:val="clear" w:color="auto" w:fill="FFFFFF"/>
        </w:rPr>
        <w:t>financial</w:t>
      </w:r>
      <w:r w:rsidRPr="0D3C4EDD">
        <w:rPr>
          <w:noProof/>
          <w:shd w:val="clear" w:color="auto" w:fill="FFFFFF"/>
        </w:rPr>
        <w:t xml:space="preserve"> market participants that engage in commodity derivatives trading from</w:t>
      </w:r>
      <w:r w:rsidR="59E8ECB0">
        <w:rPr>
          <w:noProof/>
          <w:shd w:val="clear" w:color="auto" w:fill="FFFFFF"/>
        </w:rPr>
        <w:t xml:space="preserve"> the requirement to</w:t>
      </w:r>
      <w:r w:rsidRPr="0D3C4EDD">
        <w:rPr>
          <w:noProof/>
          <w:shd w:val="clear" w:color="auto" w:fill="FFFFFF"/>
        </w:rPr>
        <w:t xml:space="preserve"> obtain a MiFID </w:t>
      </w:r>
      <w:r w:rsidR="62061B4F" w:rsidRPr="0D3C4EDD">
        <w:rPr>
          <w:noProof/>
          <w:shd w:val="clear" w:color="auto" w:fill="FFFFFF"/>
        </w:rPr>
        <w:t>II</w:t>
      </w:r>
      <w:r w:rsidRPr="0D3C4EDD">
        <w:rPr>
          <w:noProof/>
          <w:shd w:val="clear" w:color="auto" w:fill="FFFFFF"/>
        </w:rPr>
        <w:t xml:space="preserve"> authorisation</w:t>
      </w:r>
      <w:r w:rsidR="62061B4F" w:rsidRPr="0D3C4EDD">
        <w:rPr>
          <w:noProof/>
          <w:shd w:val="clear" w:color="auto" w:fill="FFFFFF"/>
        </w:rPr>
        <w:t xml:space="preserve"> (and </w:t>
      </w:r>
      <w:r w:rsidR="59E8ECB0">
        <w:rPr>
          <w:noProof/>
          <w:shd w:val="clear" w:color="auto" w:fill="FFFFFF"/>
        </w:rPr>
        <w:t>the associated</w:t>
      </w:r>
      <w:r w:rsidR="59E8ECB0" w:rsidRPr="0D3C4EDD">
        <w:rPr>
          <w:noProof/>
          <w:shd w:val="clear" w:color="auto" w:fill="FFFFFF"/>
        </w:rPr>
        <w:t xml:space="preserve"> </w:t>
      </w:r>
      <w:r w:rsidR="62061B4F" w:rsidRPr="0D3C4EDD">
        <w:rPr>
          <w:noProof/>
          <w:shd w:val="clear" w:color="auto" w:fill="FFFFFF"/>
        </w:rPr>
        <w:t>compliance requirements)</w:t>
      </w:r>
      <w:r w:rsidRPr="0D3C4EDD">
        <w:rPr>
          <w:noProof/>
          <w:shd w:val="clear" w:color="auto" w:fill="FFFFFF"/>
        </w:rPr>
        <w:t xml:space="preserve"> if this trading activity is done on own account and not linked to the execution of client orders, or if it provides investment services in commodity derivatives or emission allowances or derivatives thereof to customers or suppliers of their main business</w:t>
      </w:r>
      <w:r w:rsidR="1C376F29" w:rsidRPr="214BEDCC">
        <w:rPr>
          <w:noProof/>
          <w:shd w:val="clear" w:color="auto" w:fill="FFFFFF"/>
        </w:rPr>
        <w:t>,</w:t>
      </w:r>
      <w:r w:rsidRPr="0D3C4EDD">
        <w:rPr>
          <w:noProof/>
          <w:shd w:val="clear" w:color="auto" w:fill="FFFFFF"/>
        </w:rPr>
        <w:t xml:space="preserve"> provided that the activity is considered </w:t>
      </w:r>
      <w:r w:rsidR="31C0671C">
        <w:rPr>
          <w:noProof/>
          <w:shd w:val="clear" w:color="auto" w:fill="FFFFFF"/>
        </w:rPr>
        <w:t>‘</w:t>
      </w:r>
      <w:r w:rsidRPr="0D3C4EDD">
        <w:rPr>
          <w:noProof/>
          <w:shd w:val="clear" w:color="auto" w:fill="FFFFFF"/>
        </w:rPr>
        <w:t>ancillary</w:t>
      </w:r>
      <w:r w:rsidR="31C0671C">
        <w:rPr>
          <w:noProof/>
          <w:shd w:val="clear" w:color="auto" w:fill="FFFFFF"/>
        </w:rPr>
        <w:t>’</w:t>
      </w:r>
      <w:r w:rsidRPr="0D3C4EDD">
        <w:rPr>
          <w:noProof/>
          <w:shd w:val="clear" w:color="auto" w:fill="FFFFFF"/>
        </w:rPr>
        <w:t xml:space="preserve"> to their main business</w:t>
      </w:r>
      <w:r w:rsidRPr="164581B9">
        <w:rPr>
          <w:noProof/>
          <w:shd w:val="clear" w:color="auto" w:fill="FFFFFF"/>
        </w:rPr>
        <w:t>,</w:t>
      </w:r>
      <w:r w:rsidRPr="0D3C4EDD">
        <w:rPr>
          <w:noProof/>
          <w:shd w:val="clear" w:color="auto" w:fill="FFFFFF"/>
        </w:rPr>
        <w:t xml:space="preserve"> </w:t>
      </w:r>
      <w:r w:rsidR="5FD2C258" w:rsidRPr="0D3C4EDD">
        <w:rPr>
          <w:noProof/>
          <w:shd w:val="clear" w:color="auto" w:fill="FFFFFF"/>
        </w:rPr>
        <w:t xml:space="preserve">whether </w:t>
      </w:r>
      <w:r w:rsidRPr="0D3C4EDD">
        <w:rPr>
          <w:noProof/>
          <w:shd w:val="clear" w:color="auto" w:fill="FFFFFF"/>
        </w:rPr>
        <w:t xml:space="preserve">individually </w:t>
      </w:r>
      <w:r w:rsidR="4797C09A" w:rsidRPr="0D3C4EDD">
        <w:rPr>
          <w:noProof/>
          <w:shd w:val="clear" w:color="auto" w:fill="FFFFFF"/>
        </w:rPr>
        <w:t>or</w:t>
      </w:r>
      <w:r w:rsidRPr="0D3C4EDD">
        <w:rPr>
          <w:noProof/>
          <w:shd w:val="clear" w:color="auto" w:fill="FFFFFF"/>
        </w:rPr>
        <w:t xml:space="preserve"> on an aggregate basis.</w:t>
      </w:r>
    </w:p>
    <w:p w14:paraId="483A429F" w14:textId="72CC4199" w:rsidR="00753F1C" w:rsidRPr="00575C33" w:rsidRDefault="6CC0E60D" w:rsidP="21CB014D">
      <w:pPr>
        <w:rPr>
          <w:noProof/>
          <w:shd w:val="clear" w:color="auto" w:fill="FFFFFF"/>
        </w:rPr>
      </w:pPr>
      <w:r w:rsidRPr="21CB014D">
        <w:rPr>
          <w:noProof/>
          <w:shd w:val="clear" w:color="auto" w:fill="FFFFFF"/>
        </w:rPr>
        <w:t xml:space="preserve">Three alternative tests </w:t>
      </w:r>
      <w:r w:rsidR="497B1B3D" w:rsidRPr="21CB014D">
        <w:rPr>
          <w:noProof/>
          <w:shd w:val="clear" w:color="auto" w:fill="FFFFFF"/>
        </w:rPr>
        <w:t xml:space="preserve">under MiFID II </w:t>
      </w:r>
      <w:r w:rsidR="1F450645" w:rsidRPr="21CB014D">
        <w:rPr>
          <w:noProof/>
          <w:shd w:val="clear" w:color="auto" w:fill="FFFFFF"/>
        </w:rPr>
        <w:t xml:space="preserve">are used </w:t>
      </w:r>
      <w:r w:rsidRPr="21CB014D">
        <w:rPr>
          <w:noProof/>
          <w:shd w:val="clear" w:color="auto" w:fill="FFFFFF"/>
        </w:rPr>
        <w:t>to determine whether a firm’s activity is ancillary to its main business</w:t>
      </w:r>
      <w:r w:rsidR="07DB8FC9" w:rsidRPr="1C9687B7">
        <w:rPr>
          <w:noProof/>
          <w:shd w:val="clear" w:color="auto" w:fill="FFFFFF"/>
        </w:rPr>
        <w:t>. Meeting any one of th</w:t>
      </w:r>
      <w:r w:rsidR="675E570B">
        <w:rPr>
          <w:noProof/>
          <w:shd w:val="clear" w:color="auto" w:fill="FFFFFF"/>
        </w:rPr>
        <w:t>o</w:t>
      </w:r>
      <w:r w:rsidR="07DB8FC9" w:rsidRPr="1C9687B7">
        <w:rPr>
          <w:noProof/>
          <w:shd w:val="clear" w:color="auto" w:fill="FFFFFF"/>
        </w:rPr>
        <w:t>se</w:t>
      </w:r>
      <w:r w:rsidR="675E570B">
        <w:rPr>
          <w:noProof/>
          <w:shd w:val="clear" w:color="auto" w:fill="FFFFFF"/>
        </w:rPr>
        <w:t xml:space="preserve"> tests</w:t>
      </w:r>
      <w:r w:rsidR="07DB8FC9" w:rsidRPr="1C9687B7">
        <w:rPr>
          <w:noProof/>
          <w:shd w:val="clear" w:color="auto" w:fill="FFFFFF"/>
        </w:rPr>
        <w:t xml:space="preserve"> is sufficient to </w:t>
      </w:r>
      <w:r w:rsidR="7D59402D">
        <w:rPr>
          <w:noProof/>
          <w:shd w:val="clear" w:color="auto" w:fill="FFFFFF"/>
        </w:rPr>
        <w:t>benefit from</w:t>
      </w:r>
      <w:r w:rsidR="7D59402D" w:rsidRPr="1C9687B7">
        <w:rPr>
          <w:noProof/>
          <w:shd w:val="clear" w:color="auto" w:fill="FFFFFF"/>
        </w:rPr>
        <w:t xml:space="preserve"> </w:t>
      </w:r>
      <w:r w:rsidR="07DB8FC9" w:rsidRPr="1C9687B7">
        <w:rPr>
          <w:noProof/>
          <w:shd w:val="clear" w:color="auto" w:fill="FFFFFF"/>
        </w:rPr>
        <w:t>the exemption</w:t>
      </w:r>
      <w:r w:rsidRPr="0A80FA22">
        <w:rPr>
          <w:noProof/>
          <w:shd w:val="clear" w:color="auto" w:fill="FFFFFF"/>
        </w:rPr>
        <w:t xml:space="preserve">: </w:t>
      </w:r>
    </w:p>
    <w:p w14:paraId="06D3989F" w14:textId="4914BE34" w:rsidR="00753F1C" w:rsidRPr="00575C33" w:rsidRDefault="6CC0E60D"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sidRPr="00575C33">
        <w:rPr>
          <w:rFonts w:ascii="Times New Roman" w:hAnsi="Times New Roman"/>
          <w:noProof/>
          <w:sz w:val="24"/>
          <w:szCs w:val="24"/>
          <w:shd w:val="clear" w:color="auto" w:fill="FFFFFF"/>
        </w:rPr>
        <w:t xml:space="preserve">the </w:t>
      </w:r>
      <w:r w:rsidRPr="21CB014D">
        <w:rPr>
          <w:rFonts w:ascii="Times New Roman" w:hAnsi="Times New Roman"/>
          <w:i/>
          <w:iCs/>
          <w:noProof/>
          <w:sz w:val="24"/>
          <w:szCs w:val="24"/>
          <w:shd w:val="clear" w:color="auto" w:fill="FFFFFF"/>
        </w:rPr>
        <w:t>de minimis</w:t>
      </w:r>
      <w:r w:rsidRPr="00575C33">
        <w:rPr>
          <w:rFonts w:ascii="Times New Roman" w:hAnsi="Times New Roman"/>
          <w:noProof/>
          <w:sz w:val="24"/>
          <w:szCs w:val="24"/>
          <w:shd w:val="clear" w:color="auto" w:fill="FFFFFF"/>
        </w:rPr>
        <w:t xml:space="preserve"> test, for entities whose net outstanding notional exposure in commodity derivatives or emission allowances or derivatives thereof for cash settlement traded in the </w:t>
      </w:r>
      <w:r w:rsidR="1F450645">
        <w:rPr>
          <w:rFonts w:ascii="Times New Roman" w:hAnsi="Times New Roman"/>
          <w:noProof/>
          <w:sz w:val="24"/>
          <w:szCs w:val="24"/>
          <w:shd w:val="clear" w:color="auto" w:fill="FFFFFF"/>
        </w:rPr>
        <w:t>EU</w:t>
      </w:r>
      <w:r w:rsidRPr="00575C33">
        <w:rPr>
          <w:rFonts w:ascii="Times New Roman" w:hAnsi="Times New Roman"/>
          <w:noProof/>
          <w:sz w:val="24"/>
          <w:szCs w:val="24"/>
          <w:shd w:val="clear" w:color="auto" w:fill="FFFFFF"/>
        </w:rPr>
        <w:t>, excluding commodity derivatives or emission allowances or derivatives thereof traded on a trading venue, is below an annual threshold of EUR 3 billion</w:t>
      </w:r>
      <w:r w:rsidR="3223C8A5" w:rsidRPr="00575C33">
        <w:rPr>
          <w:rFonts w:ascii="Times New Roman" w:hAnsi="Times New Roman"/>
          <w:noProof/>
          <w:sz w:val="24"/>
          <w:szCs w:val="24"/>
          <w:shd w:val="clear" w:color="auto" w:fill="FFFFFF"/>
        </w:rPr>
        <w:t>;</w:t>
      </w:r>
    </w:p>
    <w:p w14:paraId="5D4F60DE" w14:textId="77777777" w:rsidR="00753F1C" w:rsidRPr="00575C33" w:rsidRDefault="00CD7657"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sidRPr="00575C33">
        <w:rPr>
          <w:rFonts w:ascii="Times New Roman" w:hAnsi="Times New Roman"/>
          <w:noProof/>
          <w:sz w:val="24"/>
          <w:szCs w:val="24"/>
          <w:shd w:val="clear" w:color="auto" w:fill="FFFFFF"/>
        </w:rPr>
        <w:t xml:space="preserve">the </w:t>
      </w:r>
      <w:r w:rsidRPr="00575C33">
        <w:rPr>
          <w:rFonts w:ascii="Times New Roman" w:hAnsi="Times New Roman"/>
          <w:i/>
          <w:noProof/>
          <w:sz w:val="24"/>
          <w:szCs w:val="24"/>
          <w:shd w:val="clear" w:color="auto" w:fill="FFFFFF"/>
        </w:rPr>
        <w:t>trading</w:t>
      </w:r>
      <w:r w:rsidRPr="00575C33">
        <w:rPr>
          <w:rFonts w:ascii="Times New Roman" w:hAnsi="Times New Roman"/>
          <w:noProof/>
          <w:sz w:val="24"/>
          <w:szCs w:val="24"/>
          <w:shd w:val="clear" w:color="auto" w:fill="FFFFFF"/>
        </w:rPr>
        <w:t xml:space="preserve"> test, for entities whose size of activities relating to commodity derivatives accounts for 50% or less of the total size of the other trading activities of the group</w:t>
      </w:r>
      <w:r w:rsidR="00753F1C" w:rsidRPr="00575C33">
        <w:rPr>
          <w:rFonts w:ascii="Times New Roman" w:hAnsi="Times New Roman"/>
          <w:noProof/>
          <w:sz w:val="24"/>
          <w:szCs w:val="24"/>
          <w:shd w:val="clear" w:color="auto" w:fill="FFFFFF"/>
        </w:rPr>
        <w:t>;</w:t>
      </w:r>
    </w:p>
    <w:p w14:paraId="7710213F" w14:textId="77777777" w:rsidR="00753F1C" w:rsidRPr="00575C33" w:rsidRDefault="00CD7657"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sidRPr="00575C33">
        <w:rPr>
          <w:rFonts w:ascii="Times New Roman" w:hAnsi="Times New Roman"/>
          <w:noProof/>
          <w:sz w:val="24"/>
          <w:szCs w:val="24"/>
          <w:shd w:val="clear" w:color="auto" w:fill="FFFFFF"/>
        </w:rPr>
        <w:t xml:space="preserve">the </w:t>
      </w:r>
      <w:r w:rsidRPr="00575C33">
        <w:rPr>
          <w:rFonts w:ascii="Times New Roman" w:hAnsi="Times New Roman"/>
          <w:i/>
          <w:noProof/>
          <w:sz w:val="24"/>
          <w:szCs w:val="24"/>
          <w:shd w:val="clear" w:color="auto" w:fill="FFFFFF"/>
        </w:rPr>
        <w:t>capital employed</w:t>
      </w:r>
      <w:r w:rsidRPr="00575C33">
        <w:rPr>
          <w:rFonts w:ascii="Times New Roman" w:hAnsi="Times New Roman"/>
          <w:noProof/>
          <w:sz w:val="24"/>
          <w:szCs w:val="24"/>
          <w:shd w:val="clear" w:color="auto" w:fill="FFFFFF"/>
        </w:rPr>
        <w:t xml:space="preserve"> test, for entities whose estimated capital employed for carrying out their activities relating to commodity derivatives accounts for not more than 50% of the capital employed at group level for carrying out the main business</w:t>
      </w:r>
      <w:r w:rsidR="00753F1C" w:rsidRPr="00575C33">
        <w:rPr>
          <w:rFonts w:ascii="Times New Roman" w:hAnsi="Times New Roman"/>
          <w:noProof/>
          <w:sz w:val="24"/>
          <w:szCs w:val="24"/>
          <w:shd w:val="clear" w:color="auto" w:fill="FFFFFF"/>
        </w:rPr>
        <w:t>.</w:t>
      </w:r>
    </w:p>
    <w:p w14:paraId="5BB08A37" w14:textId="6357C558" w:rsidR="00396EB6" w:rsidRDefault="1F450645" w:rsidP="21CB014D">
      <w:pPr>
        <w:rPr>
          <w:noProof/>
          <w:shd w:val="clear" w:color="auto" w:fill="FFFFFF"/>
        </w:rPr>
      </w:pPr>
      <w:r w:rsidRPr="21CB014D">
        <w:rPr>
          <w:noProof/>
          <w:shd w:val="clear" w:color="auto" w:fill="FFFFFF"/>
        </w:rPr>
        <w:t>It should be noted that</w:t>
      </w:r>
      <w:r w:rsidR="325BDBD9" w:rsidRPr="21CB014D">
        <w:rPr>
          <w:noProof/>
          <w:shd w:val="clear" w:color="auto" w:fill="FFFFFF"/>
        </w:rPr>
        <w:t xml:space="preserve"> all of the above </w:t>
      </w:r>
      <w:r w:rsidR="43FDDFF7" w:rsidRPr="21CB014D">
        <w:rPr>
          <w:noProof/>
          <w:shd w:val="clear" w:color="auto" w:fill="FFFFFF"/>
        </w:rPr>
        <w:t xml:space="preserve">thresholds exclude trading activity linked to hedging. </w:t>
      </w:r>
    </w:p>
    <w:p w14:paraId="78FA2977" w14:textId="0B4AFD7C" w:rsidR="00650496" w:rsidRPr="00575C33" w:rsidRDefault="23B6D84A" w:rsidP="00AC60EB">
      <w:pPr>
        <w:rPr>
          <w:noProof/>
          <w:shd w:val="clear" w:color="auto" w:fill="FFFFFF"/>
        </w:rPr>
      </w:pPr>
      <w:r>
        <w:rPr>
          <w:noProof/>
          <w:shd w:val="clear" w:color="auto" w:fill="FFFFFF"/>
        </w:rPr>
        <w:t>Qualifying</w:t>
      </w:r>
      <w:r w:rsidR="6CC0E60D" w:rsidRPr="5DBE50A6">
        <w:rPr>
          <w:noProof/>
          <w:shd w:val="clear" w:color="auto" w:fill="FFFFFF"/>
        </w:rPr>
        <w:t xml:space="preserve"> as </w:t>
      </w:r>
      <w:r>
        <w:rPr>
          <w:noProof/>
          <w:shd w:val="clear" w:color="auto" w:fill="FFFFFF"/>
        </w:rPr>
        <w:t xml:space="preserve">an </w:t>
      </w:r>
      <w:r w:rsidR="6CC0E60D" w:rsidRPr="5DBE50A6">
        <w:rPr>
          <w:noProof/>
          <w:shd w:val="clear" w:color="auto" w:fill="FFFFFF"/>
        </w:rPr>
        <w:t xml:space="preserve">investment firm under MiFID </w:t>
      </w:r>
      <w:r w:rsidR="52329242" w:rsidRPr="5DBE50A6">
        <w:rPr>
          <w:noProof/>
          <w:shd w:val="clear" w:color="auto" w:fill="FFFFFF"/>
        </w:rPr>
        <w:t>II</w:t>
      </w:r>
      <w:r w:rsidR="6CC0E60D" w:rsidRPr="5DBE50A6">
        <w:rPr>
          <w:noProof/>
          <w:shd w:val="clear" w:color="auto" w:fill="FFFFFF"/>
        </w:rPr>
        <w:t xml:space="preserve"> has broad implications</w:t>
      </w:r>
      <w:r w:rsidR="0C080A31" w:rsidRPr="3F6F6B18">
        <w:rPr>
          <w:noProof/>
          <w:shd w:val="clear" w:color="auto" w:fill="FFFFFF"/>
        </w:rPr>
        <w:t>. I</w:t>
      </w:r>
      <w:r w:rsidR="6CC0E60D" w:rsidRPr="3F6F6B18">
        <w:rPr>
          <w:noProof/>
          <w:shd w:val="clear" w:color="auto" w:fill="FFFFFF"/>
        </w:rPr>
        <w:t>t</w:t>
      </w:r>
      <w:r w:rsidR="6CC0E60D" w:rsidRPr="5DBE50A6">
        <w:rPr>
          <w:noProof/>
          <w:shd w:val="clear" w:color="auto" w:fill="FFFFFF"/>
        </w:rPr>
        <w:t xml:space="preserve"> does not only imply the application of the MiFID </w:t>
      </w:r>
      <w:r w:rsidR="5AC14F99" w:rsidRPr="5DBE50A6">
        <w:rPr>
          <w:noProof/>
          <w:shd w:val="clear" w:color="auto" w:fill="FFFFFF"/>
        </w:rPr>
        <w:t xml:space="preserve">II </w:t>
      </w:r>
      <w:r w:rsidR="6CC0E60D" w:rsidRPr="5DBE50A6">
        <w:rPr>
          <w:noProof/>
          <w:shd w:val="clear" w:color="auto" w:fill="FFFFFF"/>
        </w:rPr>
        <w:t xml:space="preserve">organisational and operational requirements (and the associated supervisory role and sanctioning powers of NCAs), but also entails a qualification as financial counterparty under Regulation (EU) 648/2012 (EMIR), notably with the associated requirements in terms of exchange of bilateral margins when engaging in derivatives trading, and the application of the prudential regime under Regulation (EU) 2019/2033 (Regulation on the prudential requirements of investment firms, IFR) and Directive (EU) 2019/2034 (Directive on the prudential requirements of investment firms, IFD), including the associated capital and liquidity requirements. It </w:t>
      </w:r>
      <w:r w:rsidR="701E2637">
        <w:rPr>
          <w:noProof/>
          <w:shd w:val="clear" w:color="auto" w:fill="FFFFFF"/>
        </w:rPr>
        <w:t>should be noted, however,</w:t>
      </w:r>
      <w:r w:rsidR="6CC0E60D" w:rsidRPr="5DBE50A6">
        <w:rPr>
          <w:noProof/>
          <w:shd w:val="clear" w:color="auto" w:fill="FFFFFF"/>
        </w:rPr>
        <w:t xml:space="preserve"> that a number of key requirements under the financial rulebook are applicable to all </w:t>
      </w:r>
      <w:r w:rsidR="5902DF6B" w:rsidRPr="5DBE50A6">
        <w:rPr>
          <w:noProof/>
          <w:shd w:val="clear" w:color="auto" w:fill="FFFFFF"/>
        </w:rPr>
        <w:t>entities</w:t>
      </w:r>
      <w:r w:rsidR="6CC0E60D" w:rsidRPr="5DBE50A6">
        <w:rPr>
          <w:noProof/>
          <w:shd w:val="clear" w:color="auto" w:fill="FFFFFF"/>
        </w:rPr>
        <w:t>, regardless of whether they qualify as investment firms. This includes requirements relating to market abuse</w:t>
      </w:r>
      <w:r w:rsidR="570D195A" w:rsidRPr="5DBE50A6">
        <w:rPr>
          <w:noProof/>
          <w:shd w:val="clear" w:color="auto" w:fill="FFFFFF"/>
        </w:rPr>
        <w:t>,</w:t>
      </w:r>
      <w:r w:rsidR="7CEDD766" w:rsidRPr="5DBE50A6">
        <w:rPr>
          <w:noProof/>
          <w:shd w:val="clear" w:color="auto" w:fill="FFFFFF"/>
        </w:rPr>
        <w:t xml:space="preserve"> </w:t>
      </w:r>
      <w:r w:rsidR="6CC0E60D" w:rsidRPr="5DBE50A6">
        <w:rPr>
          <w:noProof/>
          <w:shd w:val="clear" w:color="auto" w:fill="FFFFFF"/>
        </w:rPr>
        <w:t>position limits</w:t>
      </w:r>
      <w:r w:rsidR="570D195A" w:rsidRPr="5DBE50A6">
        <w:rPr>
          <w:noProof/>
          <w:shd w:val="clear" w:color="auto" w:fill="FFFFFF"/>
        </w:rPr>
        <w:t xml:space="preserve"> and reporting</w:t>
      </w:r>
      <w:r w:rsidR="13FFDA55">
        <w:rPr>
          <w:noProof/>
          <w:shd w:val="clear" w:color="auto" w:fill="FFFFFF"/>
        </w:rPr>
        <w:t xml:space="preserve"> under EMIR</w:t>
      </w:r>
      <w:r w:rsidR="6CC0E60D" w:rsidRPr="5DBE50A6">
        <w:rPr>
          <w:noProof/>
          <w:shd w:val="clear" w:color="auto" w:fill="FFFFFF"/>
        </w:rPr>
        <w:t xml:space="preserve">. </w:t>
      </w:r>
    </w:p>
    <w:p w14:paraId="4723EC01" w14:textId="7F724E5E" w:rsidR="00CD7657" w:rsidRPr="00575C33" w:rsidRDefault="6CC0E60D" w:rsidP="00AC60EB">
      <w:pPr>
        <w:rPr>
          <w:noProof/>
          <w:shd w:val="clear" w:color="auto" w:fill="FFFFFF"/>
        </w:rPr>
      </w:pPr>
      <w:r w:rsidRPr="5BD68FD5">
        <w:rPr>
          <w:noProof/>
          <w:shd w:val="clear" w:color="auto" w:fill="FFFFFF"/>
        </w:rPr>
        <w:t xml:space="preserve">In 2021, </w:t>
      </w:r>
      <w:r w:rsidR="23A2FCBE">
        <w:rPr>
          <w:noProof/>
          <w:shd w:val="clear" w:color="auto" w:fill="FFFFFF"/>
        </w:rPr>
        <w:t xml:space="preserve">the </w:t>
      </w:r>
      <w:r w:rsidR="1D4302CE" w:rsidRPr="5BD68FD5">
        <w:rPr>
          <w:noProof/>
          <w:shd w:val="clear" w:color="auto" w:fill="FFFFFF"/>
        </w:rPr>
        <w:t>Capital Markets Recovery Package (</w:t>
      </w:r>
      <w:r w:rsidRPr="5BD68FD5">
        <w:rPr>
          <w:noProof/>
          <w:shd w:val="clear" w:color="auto" w:fill="FFFFFF"/>
        </w:rPr>
        <w:t>CMRP</w:t>
      </w:r>
      <w:r w:rsidR="68F1AD58" w:rsidRPr="5BD68FD5">
        <w:rPr>
          <w:noProof/>
          <w:shd w:val="clear" w:color="auto" w:fill="FFFFFF"/>
        </w:rPr>
        <w:t>)</w:t>
      </w:r>
      <w:r w:rsidRPr="5BD68FD5">
        <w:rPr>
          <w:noProof/>
          <w:shd w:val="clear" w:color="auto" w:fill="FFFFFF"/>
        </w:rPr>
        <w:t xml:space="preserve"> introduced </w:t>
      </w:r>
      <w:r w:rsidR="71778518" w:rsidRPr="5BD68FD5">
        <w:rPr>
          <w:noProof/>
          <w:shd w:val="clear" w:color="auto" w:fill="FFFFFF"/>
        </w:rPr>
        <w:t>several</w:t>
      </w:r>
      <w:r w:rsidRPr="5BD68FD5">
        <w:rPr>
          <w:noProof/>
          <w:shd w:val="clear" w:color="auto" w:fill="FFFFFF"/>
        </w:rPr>
        <w:t xml:space="preserve"> changes to reduce some of the administrative burden that experienced investors face in their business</w:t>
      </w:r>
      <w:r w:rsidR="0CF96DF8" w:rsidRPr="6DB3A92C">
        <w:rPr>
          <w:noProof/>
          <w:shd w:val="clear" w:color="auto" w:fill="FFFFFF"/>
        </w:rPr>
        <w:t>-</w:t>
      </w:r>
      <w:r w:rsidRPr="6DB3A92C">
        <w:rPr>
          <w:noProof/>
          <w:shd w:val="clear" w:color="auto" w:fill="FFFFFF"/>
        </w:rPr>
        <w:t>to</w:t>
      </w:r>
      <w:r w:rsidR="6E36718D" w:rsidRPr="6DB3A92C">
        <w:rPr>
          <w:noProof/>
          <w:shd w:val="clear" w:color="auto" w:fill="FFFFFF"/>
        </w:rPr>
        <w:t>-</w:t>
      </w:r>
      <w:r w:rsidRPr="6DB3A92C">
        <w:rPr>
          <w:noProof/>
          <w:shd w:val="clear" w:color="auto" w:fill="FFFFFF"/>
        </w:rPr>
        <w:t>business</w:t>
      </w:r>
      <w:r w:rsidRPr="5BD68FD5">
        <w:rPr>
          <w:noProof/>
          <w:shd w:val="clear" w:color="auto" w:fill="FFFFFF"/>
        </w:rPr>
        <w:t xml:space="preserve"> relationships, and to provide opportunities to nascent commodities markets to further develop, deepen, and improve their liquidity. </w:t>
      </w:r>
      <w:r w:rsidR="39999FCA" w:rsidRPr="5BD68FD5">
        <w:rPr>
          <w:noProof/>
          <w:shd w:val="clear" w:color="auto" w:fill="FFFFFF"/>
        </w:rPr>
        <w:t>Directive</w:t>
      </w:r>
      <w:r w:rsidRPr="5BD68FD5">
        <w:rPr>
          <w:noProof/>
          <w:shd w:val="clear" w:color="auto" w:fill="FFFFFF"/>
        </w:rPr>
        <w:t xml:space="preserve"> (EU) 2021/338 simplified the test for the AAE, through the introduction of the above</w:t>
      </w:r>
      <w:r w:rsidR="4602D88D" w:rsidRPr="5BD68FD5">
        <w:rPr>
          <w:noProof/>
          <w:shd w:val="clear" w:color="auto" w:fill="FFFFFF"/>
        </w:rPr>
        <w:t>-</w:t>
      </w:r>
      <w:r w:rsidRPr="5BD68FD5">
        <w:rPr>
          <w:noProof/>
          <w:shd w:val="clear" w:color="auto" w:fill="FFFFFF"/>
        </w:rPr>
        <w:t xml:space="preserve">mentioned </w:t>
      </w:r>
      <w:r w:rsidRPr="6DB3A92C">
        <w:rPr>
          <w:noProof/>
          <w:shd w:val="clear" w:color="auto" w:fill="FFFFFF"/>
        </w:rPr>
        <w:t>exposure</w:t>
      </w:r>
      <w:r w:rsidR="7DCCAFEE">
        <w:rPr>
          <w:noProof/>
        </w:rPr>
        <w:t>-</w:t>
      </w:r>
      <w:r w:rsidRPr="6DB3A92C">
        <w:rPr>
          <w:noProof/>
          <w:shd w:val="clear" w:color="auto" w:fill="FFFFFF"/>
        </w:rPr>
        <w:t>based</w:t>
      </w:r>
      <w:r w:rsidRPr="5BD68FD5">
        <w:rPr>
          <w:noProof/>
          <w:shd w:val="clear" w:color="auto" w:fill="FFFFFF"/>
        </w:rPr>
        <w:t xml:space="preserve"> de minimis threshold. The obligation for market participants to notify every year their fulfilment of the AAE criteria </w:t>
      </w:r>
      <w:r w:rsidR="64821372">
        <w:rPr>
          <w:noProof/>
          <w:shd w:val="clear" w:color="auto" w:fill="FFFFFF"/>
        </w:rPr>
        <w:t>was</w:t>
      </w:r>
      <w:r w:rsidRPr="5BD68FD5">
        <w:rPr>
          <w:noProof/>
          <w:shd w:val="clear" w:color="auto" w:fill="FFFFFF"/>
        </w:rPr>
        <w:t xml:space="preserve"> removed and replaced by a possibility for NCAs to require information on an </w:t>
      </w:r>
      <w:r w:rsidR="5657FEBD">
        <w:rPr>
          <w:noProof/>
          <w:shd w:val="clear" w:color="auto" w:fill="FFFFFF"/>
        </w:rPr>
        <w:t>ad hoc</w:t>
      </w:r>
      <w:r w:rsidRPr="5BD68FD5">
        <w:rPr>
          <w:noProof/>
          <w:shd w:val="clear" w:color="auto" w:fill="FFFFFF"/>
        </w:rPr>
        <w:t xml:space="preserve"> basis.</w:t>
      </w:r>
    </w:p>
    <w:p w14:paraId="31EFD43C" w14:textId="6E9DF1AB" w:rsidR="006A17DA" w:rsidRPr="00575C33" w:rsidRDefault="2956A12B" w:rsidP="00AC60EB">
      <w:pPr>
        <w:rPr>
          <w:noProof/>
        </w:rPr>
      </w:pPr>
      <w:r w:rsidRPr="21CB014D">
        <w:rPr>
          <w:noProof/>
          <w:shd w:val="clear" w:color="auto" w:fill="FFFFFF"/>
        </w:rPr>
        <w:t>O</w:t>
      </w:r>
      <w:r w:rsidR="20A0C69C" w:rsidRPr="21CB014D">
        <w:rPr>
          <w:noProof/>
          <w:shd w:val="clear" w:color="auto" w:fill="FFFFFF"/>
        </w:rPr>
        <w:t>ther jurisdictions</w:t>
      </w:r>
      <w:r w:rsidRPr="21CB014D">
        <w:rPr>
          <w:noProof/>
          <w:shd w:val="clear" w:color="auto" w:fill="FFFFFF"/>
        </w:rPr>
        <w:t>,</w:t>
      </w:r>
      <w:r w:rsidR="20A0C69C" w:rsidRPr="21CB014D">
        <w:rPr>
          <w:noProof/>
          <w:shd w:val="clear" w:color="auto" w:fill="FFFFFF"/>
        </w:rPr>
        <w:t xml:space="preserve"> such as the United States and the United Kingdom</w:t>
      </w:r>
      <w:r w:rsidRPr="21CB014D">
        <w:rPr>
          <w:noProof/>
          <w:shd w:val="clear" w:color="auto" w:fill="FFFFFF"/>
        </w:rPr>
        <w:t>,</w:t>
      </w:r>
      <w:r w:rsidR="20A0C69C" w:rsidRPr="21CB014D">
        <w:rPr>
          <w:noProof/>
          <w:shd w:val="clear" w:color="auto" w:fill="FFFFFF"/>
        </w:rPr>
        <w:t xml:space="preserve"> also have rules in place </w:t>
      </w:r>
      <w:r w:rsidR="22386CFE" w:rsidRPr="21CB014D">
        <w:rPr>
          <w:noProof/>
          <w:shd w:val="clear" w:color="auto" w:fill="FFFFFF"/>
        </w:rPr>
        <w:t xml:space="preserve">to avoid entities trading commodity derivatives as an ancillary activity being captured by </w:t>
      </w:r>
      <w:r w:rsidR="6C10B40F" w:rsidRPr="21CB014D">
        <w:rPr>
          <w:noProof/>
          <w:shd w:val="clear" w:color="auto" w:fill="FFFFFF"/>
        </w:rPr>
        <w:t xml:space="preserve">financial legislation. </w:t>
      </w:r>
      <w:r w:rsidR="42DB61A6" w:rsidRPr="21CB014D">
        <w:rPr>
          <w:noProof/>
          <w:shd w:val="clear" w:color="auto" w:fill="FFFFFF"/>
        </w:rPr>
        <w:t xml:space="preserve">In </w:t>
      </w:r>
      <w:r w:rsidR="79C61290" w:rsidRPr="21CB014D">
        <w:rPr>
          <w:noProof/>
          <w:shd w:val="clear" w:color="auto" w:fill="FFFFFF"/>
        </w:rPr>
        <w:t xml:space="preserve">the United States, </w:t>
      </w:r>
      <w:r w:rsidR="40798E0A" w:rsidRPr="21CB014D">
        <w:rPr>
          <w:noProof/>
          <w:shd w:val="clear" w:color="auto" w:fill="FFFFFF"/>
        </w:rPr>
        <w:t xml:space="preserve">the </w:t>
      </w:r>
      <w:r w:rsidR="22A59D8F" w:rsidRPr="21CB014D">
        <w:rPr>
          <w:i/>
          <w:iCs/>
          <w:noProof/>
          <w:shd w:val="clear" w:color="auto" w:fill="FFFFFF"/>
        </w:rPr>
        <w:t>S</w:t>
      </w:r>
      <w:r w:rsidR="40798E0A" w:rsidRPr="21CB014D">
        <w:rPr>
          <w:i/>
          <w:iCs/>
          <w:noProof/>
          <w:shd w:val="clear" w:color="auto" w:fill="FFFFFF"/>
        </w:rPr>
        <w:t xml:space="preserve">wap </w:t>
      </w:r>
      <w:r w:rsidR="22A59D8F" w:rsidRPr="21CB014D">
        <w:rPr>
          <w:i/>
          <w:iCs/>
          <w:noProof/>
          <w:shd w:val="clear" w:color="auto" w:fill="FFFFFF"/>
        </w:rPr>
        <w:t>D</w:t>
      </w:r>
      <w:r w:rsidR="40798E0A" w:rsidRPr="21CB014D">
        <w:rPr>
          <w:i/>
          <w:iCs/>
          <w:noProof/>
          <w:shd w:val="clear" w:color="auto" w:fill="FFFFFF"/>
        </w:rPr>
        <w:t xml:space="preserve">ealer </w:t>
      </w:r>
      <w:r w:rsidR="22A59D8F" w:rsidRPr="21CB014D">
        <w:rPr>
          <w:i/>
          <w:iCs/>
          <w:noProof/>
          <w:shd w:val="clear" w:color="auto" w:fill="FFFFFF"/>
        </w:rPr>
        <w:t>D</w:t>
      </w:r>
      <w:r w:rsidR="40798E0A" w:rsidRPr="21CB014D">
        <w:rPr>
          <w:i/>
          <w:iCs/>
          <w:noProof/>
          <w:shd w:val="clear" w:color="auto" w:fill="FFFFFF"/>
        </w:rPr>
        <w:t xml:space="preserve">e </w:t>
      </w:r>
      <w:r w:rsidR="22A59D8F" w:rsidRPr="21CB014D">
        <w:rPr>
          <w:i/>
          <w:iCs/>
          <w:noProof/>
          <w:shd w:val="clear" w:color="auto" w:fill="FFFFFF"/>
        </w:rPr>
        <w:t>M</w:t>
      </w:r>
      <w:r w:rsidR="40798E0A" w:rsidRPr="21CB014D">
        <w:rPr>
          <w:i/>
          <w:iCs/>
          <w:noProof/>
          <w:shd w:val="clear" w:color="auto" w:fill="FFFFFF"/>
        </w:rPr>
        <w:t>inimis</w:t>
      </w:r>
      <w:r w:rsidR="40798E0A" w:rsidRPr="21CB014D">
        <w:rPr>
          <w:i/>
          <w:iCs/>
          <w:noProof/>
        </w:rPr>
        <w:t xml:space="preserve"> </w:t>
      </w:r>
      <w:r w:rsidR="22A59D8F" w:rsidRPr="21CB014D">
        <w:rPr>
          <w:i/>
          <w:iCs/>
          <w:noProof/>
        </w:rPr>
        <w:t>E</w:t>
      </w:r>
      <w:r w:rsidR="40798E0A" w:rsidRPr="21CB014D">
        <w:rPr>
          <w:i/>
          <w:iCs/>
          <w:noProof/>
        </w:rPr>
        <w:t>xception</w:t>
      </w:r>
      <w:r w:rsidR="40798E0A" w:rsidRPr="00575C33">
        <w:rPr>
          <w:noProof/>
        </w:rPr>
        <w:t xml:space="preserve"> exempts entities </w:t>
      </w:r>
      <w:r w:rsidR="5797853F" w:rsidRPr="00575C33">
        <w:rPr>
          <w:noProof/>
        </w:rPr>
        <w:t xml:space="preserve">whose </w:t>
      </w:r>
      <w:r w:rsidR="7B10C4F4" w:rsidRPr="00575C33">
        <w:rPr>
          <w:noProof/>
        </w:rPr>
        <w:t xml:space="preserve">gross </w:t>
      </w:r>
      <w:r w:rsidR="5797853F" w:rsidRPr="00575C33">
        <w:rPr>
          <w:noProof/>
        </w:rPr>
        <w:t>swap dealing activity</w:t>
      </w:r>
      <w:r w:rsidR="6E4510F3">
        <w:rPr>
          <w:noProof/>
        </w:rPr>
        <w:t xml:space="preserve"> does not</w:t>
      </w:r>
      <w:r w:rsidR="5797853F" w:rsidRPr="00575C33">
        <w:rPr>
          <w:noProof/>
        </w:rPr>
        <w:t xml:space="preserve"> exceed </w:t>
      </w:r>
      <w:r w:rsidR="750C1CC4" w:rsidRPr="00575C33">
        <w:rPr>
          <w:noProof/>
        </w:rPr>
        <w:t xml:space="preserve">USD </w:t>
      </w:r>
      <w:r w:rsidR="5797853F" w:rsidRPr="00575C33">
        <w:rPr>
          <w:noProof/>
        </w:rPr>
        <w:t xml:space="preserve">8 billion over a </w:t>
      </w:r>
      <w:r w:rsidR="5CD12B53">
        <w:rPr>
          <w:noProof/>
        </w:rPr>
        <w:t>twelve</w:t>
      </w:r>
      <w:r w:rsidR="5797853F" w:rsidRPr="00575C33">
        <w:rPr>
          <w:noProof/>
        </w:rPr>
        <w:t xml:space="preserve">-month period </w:t>
      </w:r>
      <w:r w:rsidR="4BB90B4D" w:rsidRPr="00575C33">
        <w:rPr>
          <w:noProof/>
        </w:rPr>
        <w:t>from having to register with the CFTC.</w:t>
      </w:r>
      <w:r w:rsidR="496BF272" w:rsidRPr="00575C33">
        <w:rPr>
          <w:noProof/>
        </w:rPr>
        <w:t xml:space="preserve"> </w:t>
      </w:r>
      <w:r>
        <w:rPr>
          <w:noProof/>
        </w:rPr>
        <w:t>T</w:t>
      </w:r>
      <w:r w:rsidR="5BEAF700" w:rsidRPr="00575C33">
        <w:rPr>
          <w:noProof/>
        </w:rPr>
        <w:t xml:space="preserve">he US exception only </w:t>
      </w:r>
      <w:r w:rsidR="08A513FB">
        <w:rPr>
          <w:noProof/>
        </w:rPr>
        <w:t xml:space="preserve">covers </w:t>
      </w:r>
      <w:r w:rsidR="76AB171D" w:rsidRPr="00575C33">
        <w:rPr>
          <w:noProof/>
        </w:rPr>
        <w:t xml:space="preserve">dealing </w:t>
      </w:r>
      <w:r w:rsidR="4C39D4A1" w:rsidRPr="00575C33">
        <w:rPr>
          <w:noProof/>
        </w:rPr>
        <w:t>activity</w:t>
      </w:r>
      <w:r w:rsidR="76AB171D" w:rsidRPr="00575C33">
        <w:rPr>
          <w:noProof/>
        </w:rPr>
        <w:t xml:space="preserve"> for the benefit of a client and excludes from </w:t>
      </w:r>
      <w:r w:rsidR="7C4EA1A9" w:rsidRPr="00575C33">
        <w:rPr>
          <w:noProof/>
        </w:rPr>
        <w:t xml:space="preserve">the </w:t>
      </w:r>
      <w:r w:rsidR="76AB171D" w:rsidRPr="00575C33">
        <w:rPr>
          <w:noProof/>
        </w:rPr>
        <w:t xml:space="preserve">threshold calculations any </w:t>
      </w:r>
      <w:r w:rsidR="25585AA8" w:rsidRPr="00575C33">
        <w:rPr>
          <w:noProof/>
        </w:rPr>
        <w:t>proprietary trading activity.</w:t>
      </w:r>
      <w:r w:rsidR="0FBC59CC" w:rsidRPr="00575C33">
        <w:rPr>
          <w:noProof/>
        </w:rPr>
        <w:t xml:space="preserve"> At this stage, there is no evidence that </w:t>
      </w:r>
      <w:r w:rsidR="4D04D683" w:rsidRPr="00575C33">
        <w:rPr>
          <w:noProof/>
        </w:rPr>
        <w:t xml:space="preserve">other </w:t>
      </w:r>
      <w:r w:rsidR="1376A084">
        <w:rPr>
          <w:noProof/>
        </w:rPr>
        <w:t>major</w:t>
      </w:r>
      <w:r w:rsidR="4D04D683" w:rsidRPr="00575C33">
        <w:rPr>
          <w:noProof/>
        </w:rPr>
        <w:t xml:space="preserve"> </w:t>
      </w:r>
      <w:r w:rsidR="70AFAA62" w:rsidRPr="00575C33">
        <w:rPr>
          <w:noProof/>
        </w:rPr>
        <w:t xml:space="preserve">jurisdictions </w:t>
      </w:r>
      <w:r w:rsidR="52DDF466" w:rsidRPr="00575C33">
        <w:rPr>
          <w:noProof/>
        </w:rPr>
        <w:t>have any intention to tighten the</w:t>
      </w:r>
      <w:r w:rsidR="361F681A" w:rsidRPr="00575C33">
        <w:rPr>
          <w:noProof/>
        </w:rPr>
        <w:t>ir functional equivalent of the AAE</w:t>
      </w:r>
      <w:r w:rsidR="2F508195" w:rsidRPr="00575C33">
        <w:rPr>
          <w:noProof/>
        </w:rPr>
        <w:t>.</w:t>
      </w:r>
      <w:r w:rsidR="52DDF466" w:rsidRPr="00575C33">
        <w:rPr>
          <w:noProof/>
        </w:rPr>
        <w:t xml:space="preserve"> </w:t>
      </w:r>
    </w:p>
    <w:p w14:paraId="787D1B27" w14:textId="4520F2EE" w:rsidR="00602508" w:rsidRPr="00575C33" w:rsidRDefault="5657FEBD" w:rsidP="00AC60EB">
      <w:pPr>
        <w:rPr>
          <w:noProof/>
        </w:rPr>
      </w:pPr>
      <w:r>
        <w:rPr>
          <w:noProof/>
        </w:rPr>
        <w:t>Lastly, the Draghi report refer</w:t>
      </w:r>
      <w:r w:rsidR="08A513FB">
        <w:rPr>
          <w:noProof/>
        </w:rPr>
        <w:t>s</w:t>
      </w:r>
      <w:r>
        <w:rPr>
          <w:noProof/>
        </w:rPr>
        <w:t xml:space="preserve"> to </w:t>
      </w:r>
      <w:r w:rsidR="08A513FB">
        <w:rPr>
          <w:noProof/>
        </w:rPr>
        <w:t xml:space="preserve">the </w:t>
      </w:r>
      <w:r>
        <w:rPr>
          <w:noProof/>
        </w:rPr>
        <w:t xml:space="preserve">potential benefits </w:t>
      </w:r>
      <w:r w:rsidR="515CC1D3">
        <w:rPr>
          <w:noProof/>
        </w:rPr>
        <w:t xml:space="preserve">of bringing large, notably energy, market participants under </w:t>
      </w:r>
      <w:r w:rsidR="45BE3D77">
        <w:rPr>
          <w:noProof/>
        </w:rPr>
        <w:t xml:space="preserve">the investment firm status to enhance </w:t>
      </w:r>
      <w:r w:rsidR="4C46D01E">
        <w:rPr>
          <w:noProof/>
        </w:rPr>
        <w:t xml:space="preserve">market transparency and reduce </w:t>
      </w:r>
      <w:r w:rsidR="08A513FB">
        <w:rPr>
          <w:noProof/>
        </w:rPr>
        <w:t xml:space="preserve">the </w:t>
      </w:r>
      <w:r w:rsidR="4C46D01E">
        <w:rPr>
          <w:noProof/>
        </w:rPr>
        <w:t>risk of misconduct</w:t>
      </w:r>
      <w:r w:rsidR="31EFF327">
        <w:rPr>
          <w:noProof/>
        </w:rPr>
        <w:t>.</w:t>
      </w:r>
      <w:r w:rsidR="400ABBA0">
        <w:rPr>
          <w:noProof/>
        </w:rPr>
        <w:t xml:space="preserve"> </w:t>
      </w:r>
    </w:p>
    <w:p w14:paraId="09080616" w14:textId="779C411B" w:rsidR="002068CF" w:rsidRPr="00575C33" w:rsidRDefault="00161F9D" w:rsidP="00AC60EB">
      <w:pPr>
        <w:rPr>
          <w:rStyle w:val="normaltextrun"/>
          <w:i/>
          <w:noProof/>
          <w:szCs w:val="24"/>
          <w:shd w:val="clear" w:color="auto" w:fill="FFFFFF"/>
        </w:rPr>
      </w:pPr>
      <w:r w:rsidRPr="00575C33">
        <w:rPr>
          <w:rStyle w:val="normaltextrun"/>
          <w:i/>
          <w:noProof/>
          <w:szCs w:val="24"/>
          <w:shd w:val="clear" w:color="auto" w:fill="FFFFFF"/>
        </w:rPr>
        <w:t>Feedback from stakeholders and</w:t>
      </w:r>
      <w:r w:rsidR="00FC6657" w:rsidRPr="00575C33">
        <w:rPr>
          <w:rStyle w:val="normaltextrun"/>
          <w:i/>
          <w:noProof/>
          <w:szCs w:val="24"/>
          <w:shd w:val="clear" w:color="auto" w:fill="FFFFFF"/>
        </w:rPr>
        <w:t xml:space="preserve"> assessment </w:t>
      </w:r>
    </w:p>
    <w:p w14:paraId="41F12536" w14:textId="1B160BEB" w:rsidR="00602508" w:rsidRPr="00575C33" w:rsidRDefault="00602508" w:rsidP="00AC60EB">
      <w:pPr>
        <w:rPr>
          <w:rStyle w:val="normaltextrun"/>
          <w:noProof/>
          <w:szCs w:val="24"/>
          <w:shd w:val="clear" w:color="auto" w:fill="FFFFFF"/>
        </w:rPr>
      </w:pPr>
      <w:r w:rsidRPr="00575C33">
        <w:rPr>
          <w:rStyle w:val="normaltextrun"/>
          <w:noProof/>
          <w:szCs w:val="24"/>
          <w:shd w:val="clear" w:color="auto" w:fill="FFFFFF"/>
        </w:rPr>
        <w:t xml:space="preserve">The </w:t>
      </w:r>
      <w:r w:rsidR="000218FD">
        <w:rPr>
          <w:rStyle w:val="normaltextrun"/>
          <w:noProof/>
          <w:szCs w:val="24"/>
          <w:shd w:val="clear" w:color="auto" w:fill="FFFFFF"/>
        </w:rPr>
        <w:t>stakeholder</w:t>
      </w:r>
      <w:r w:rsidRPr="00575C33">
        <w:rPr>
          <w:rStyle w:val="normaltextrun"/>
          <w:noProof/>
          <w:szCs w:val="24"/>
          <w:shd w:val="clear" w:color="auto" w:fill="FFFFFF"/>
        </w:rPr>
        <w:t xml:space="preserve"> consultation </w:t>
      </w:r>
      <w:r w:rsidR="003A64D5" w:rsidRPr="00575C33">
        <w:rPr>
          <w:rStyle w:val="normaltextrun"/>
          <w:noProof/>
          <w:szCs w:val="24"/>
          <w:shd w:val="clear" w:color="auto" w:fill="FFFFFF"/>
        </w:rPr>
        <w:t xml:space="preserve">explored in detail all the </w:t>
      </w:r>
      <w:r w:rsidR="00E11F73">
        <w:rPr>
          <w:rStyle w:val="normaltextrun"/>
          <w:noProof/>
          <w:szCs w:val="24"/>
          <w:shd w:val="clear" w:color="auto" w:fill="FFFFFF"/>
        </w:rPr>
        <w:t xml:space="preserve">relevant </w:t>
      </w:r>
      <w:r w:rsidR="003A64D5" w:rsidRPr="00575C33">
        <w:rPr>
          <w:rStyle w:val="normaltextrun"/>
          <w:noProof/>
          <w:szCs w:val="24"/>
          <w:shd w:val="clear" w:color="auto" w:fill="FFFFFF"/>
        </w:rPr>
        <w:t>aspects of the functioning of the AAE</w:t>
      </w:r>
      <w:r w:rsidR="0077064E" w:rsidRPr="00575C33">
        <w:rPr>
          <w:rStyle w:val="normaltextrun"/>
          <w:noProof/>
          <w:szCs w:val="24"/>
          <w:shd w:val="clear" w:color="auto" w:fill="FFFFFF"/>
        </w:rPr>
        <w:t xml:space="preserve">, such as the usefulness of the exemption as such, the appropriateness of the three tests </w:t>
      </w:r>
      <w:r w:rsidR="00E11F73">
        <w:rPr>
          <w:rStyle w:val="normaltextrun"/>
          <w:noProof/>
          <w:szCs w:val="24"/>
          <w:shd w:val="clear" w:color="auto" w:fill="FFFFFF"/>
        </w:rPr>
        <w:t>and</w:t>
      </w:r>
      <w:r w:rsidR="0077064E" w:rsidRPr="00575C33">
        <w:rPr>
          <w:rStyle w:val="normaltextrun"/>
          <w:noProof/>
          <w:szCs w:val="24"/>
          <w:shd w:val="clear" w:color="auto" w:fill="FFFFFF"/>
        </w:rPr>
        <w:t xml:space="preserve"> the </w:t>
      </w:r>
      <w:r w:rsidR="0AB2F4D2" w:rsidRPr="5F8890AD">
        <w:rPr>
          <w:rStyle w:val="normaltextrun"/>
          <w:noProof/>
          <w:shd w:val="clear" w:color="auto" w:fill="FFFFFF"/>
        </w:rPr>
        <w:t>ad</w:t>
      </w:r>
      <w:r w:rsidR="433F8320" w:rsidRPr="5F8890AD">
        <w:rPr>
          <w:rStyle w:val="normaltextrun"/>
          <w:noProof/>
          <w:shd w:val="clear" w:color="auto" w:fill="FFFFFF"/>
        </w:rPr>
        <w:t>equacy</w:t>
      </w:r>
      <w:r w:rsidR="0023640F" w:rsidRPr="00575C33">
        <w:rPr>
          <w:rStyle w:val="normaltextrun"/>
          <w:noProof/>
          <w:szCs w:val="24"/>
          <w:shd w:val="clear" w:color="auto" w:fill="FFFFFF"/>
        </w:rPr>
        <w:t xml:space="preserve"> of the methodologies (e.g., gross-based </w:t>
      </w:r>
      <w:r w:rsidR="00E11F73">
        <w:rPr>
          <w:rStyle w:val="normaltextrun"/>
          <w:noProof/>
          <w:szCs w:val="24"/>
          <w:shd w:val="clear" w:color="auto" w:fill="FFFFFF"/>
        </w:rPr>
        <w:t>versus</w:t>
      </w:r>
      <w:r w:rsidR="0023640F" w:rsidRPr="00575C33">
        <w:rPr>
          <w:rStyle w:val="normaltextrun"/>
          <w:noProof/>
          <w:szCs w:val="24"/>
          <w:shd w:val="clear" w:color="auto" w:fill="FFFFFF"/>
        </w:rPr>
        <w:t xml:space="preserve"> net-based thresholds).</w:t>
      </w:r>
    </w:p>
    <w:p w14:paraId="24CF0019" w14:textId="6FBCCF1D" w:rsidR="0023640F" w:rsidRPr="00575C33" w:rsidRDefault="1B03A059" w:rsidP="00AC60EB">
      <w:pPr>
        <w:rPr>
          <w:rStyle w:val="normaltextrun"/>
          <w:noProof/>
          <w:shd w:val="clear" w:color="auto" w:fill="FFFFFF"/>
        </w:rPr>
      </w:pPr>
      <w:r>
        <w:rPr>
          <w:rStyle w:val="normaltextrun"/>
          <w:noProof/>
          <w:shd w:val="clear" w:color="auto" w:fill="FFFFFF"/>
        </w:rPr>
        <w:t>S</w:t>
      </w:r>
      <w:r w:rsidR="4CC4D373" w:rsidRPr="09E0FC6E">
        <w:rPr>
          <w:rStyle w:val="normaltextrun"/>
          <w:noProof/>
          <w:shd w:val="clear" w:color="auto" w:fill="FFFFFF"/>
        </w:rPr>
        <w:t xml:space="preserve">takeholders consistently pointed to the importance </w:t>
      </w:r>
      <w:r w:rsidR="6687FE8D">
        <w:rPr>
          <w:rStyle w:val="normaltextrun"/>
          <w:noProof/>
          <w:shd w:val="clear" w:color="auto" w:fill="FFFFFF"/>
        </w:rPr>
        <w:t>of</w:t>
      </w:r>
      <w:r w:rsidR="6687FE8D" w:rsidRPr="09E0FC6E">
        <w:rPr>
          <w:rStyle w:val="normaltextrun"/>
          <w:noProof/>
          <w:shd w:val="clear" w:color="auto" w:fill="FFFFFF"/>
        </w:rPr>
        <w:t xml:space="preserve"> </w:t>
      </w:r>
      <w:r w:rsidR="3BEC1E35" w:rsidRPr="09E0FC6E">
        <w:rPr>
          <w:rStyle w:val="normaltextrun"/>
          <w:noProof/>
          <w:shd w:val="clear" w:color="auto" w:fill="FFFFFF"/>
        </w:rPr>
        <w:t xml:space="preserve">the AAE </w:t>
      </w:r>
      <w:r w:rsidR="6687FE8D">
        <w:rPr>
          <w:rStyle w:val="normaltextrun"/>
          <w:noProof/>
          <w:shd w:val="clear" w:color="auto" w:fill="FFFFFF"/>
        </w:rPr>
        <w:t>to ensure</w:t>
      </w:r>
      <w:r w:rsidR="3BEC1E35" w:rsidRPr="09E0FC6E">
        <w:rPr>
          <w:rStyle w:val="normaltextrun"/>
          <w:noProof/>
          <w:shd w:val="clear" w:color="auto" w:fill="FFFFFF"/>
        </w:rPr>
        <w:t xml:space="preserve"> continued participation </w:t>
      </w:r>
      <w:r w:rsidR="5E22A638" w:rsidRPr="09E0FC6E">
        <w:rPr>
          <w:rStyle w:val="normaltextrun"/>
          <w:noProof/>
          <w:shd w:val="clear" w:color="auto" w:fill="FFFFFF"/>
        </w:rPr>
        <w:t xml:space="preserve">of predominantly non-financial players in commodities markets. </w:t>
      </w:r>
      <w:r w:rsidR="15D9AB49" w:rsidRPr="09E0FC6E">
        <w:rPr>
          <w:rStyle w:val="normaltextrun"/>
          <w:noProof/>
          <w:shd w:val="clear" w:color="auto" w:fill="FFFFFF"/>
        </w:rPr>
        <w:t xml:space="preserve">Stakeholders argued that </w:t>
      </w:r>
      <w:r w:rsidR="2BDEB851">
        <w:rPr>
          <w:rStyle w:val="normaltextrun"/>
          <w:noProof/>
          <w:shd w:val="clear" w:color="auto" w:fill="FFFFFF"/>
        </w:rPr>
        <w:t>the exemption</w:t>
      </w:r>
      <w:r w:rsidR="16480A79">
        <w:rPr>
          <w:rStyle w:val="normaltextrun"/>
          <w:noProof/>
          <w:shd w:val="clear" w:color="auto" w:fill="FFFFFF"/>
        </w:rPr>
        <w:t xml:space="preserve"> </w:t>
      </w:r>
      <w:r w:rsidR="15D9AB49" w:rsidRPr="09E0FC6E">
        <w:rPr>
          <w:rStyle w:val="normaltextrun"/>
          <w:noProof/>
          <w:shd w:val="clear" w:color="auto" w:fill="FFFFFF"/>
        </w:rPr>
        <w:t>wa</w:t>
      </w:r>
      <w:r w:rsidR="35DCC3DE" w:rsidRPr="09E0FC6E">
        <w:rPr>
          <w:rStyle w:val="normaltextrun"/>
          <w:noProof/>
          <w:shd w:val="clear" w:color="auto" w:fill="FFFFFF"/>
        </w:rPr>
        <w:t xml:space="preserve">s not only needed for </w:t>
      </w:r>
      <w:r w:rsidR="43898915">
        <w:rPr>
          <w:rStyle w:val="normaltextrun"/>
          <w:noProof/>
          <w:shd w:val="clear" w:color="auto" w:fill="FFFFFF"/>
        </w:rPr>
        <w:t xml:space="preserve">such </w:t>
      </w:r>
      <w:r w:rsidR="7B949EA6" w:rsidRPr="09E0FC6E">
        <w:rPr>
          <w:rStyle w:val="normaltextrun"/>
          <w:noProof/>
          <w:shd w:val="clear" w:color="auto" w:fill="FFFFFF"/>
        </w:rPr>
        <w:t xml:space="preserve">entities to adequately hedge </w:t>
      </w:r>
      <w:r w:rsidR="512768E3" w:rsidRPr="09E0FC6E">
        <w:rPr>
          <w:rStyle w:val="normaltextrun"/>
          <w:noProof/>
          <w:shd w:val="clear" w:color="auto" w:fill="FFFFFF"/>
        </w:rPr>
        <w:t xml:space="preserve">their commercial exposures and plan their operations in an efficient way, but also to preserve the </w:t>
      </w:r>
      <w:r w:rsidR="696822B9">
        <w:rPr>
          <w:rStyle w:val="normaltextrun"/>
          <w:noProof/>
          <w:shd w:val="clear" w:color="auto" w:fill="FFFFFF"/>
        </w:rPr>
        <w:t>depth</w:t>
      </w:r>
      <w:r w:rsidR="512768E3" w:rsidRPr="09E0FC6E">
        <w:rPr>
          <w:rStyle w:val="normaltextrun"/>
          <w:noProof/>
          <w:shd w:val="clear" w:color="auto" w:fill="FFFFFF"/>
        </w:rPr>
        <w:t xml:space="preserve"> </w:t>
      </w:r>
      <w:r w:rsidR="49E16EF0" w:rsidRPr="09E0FC6E">
        <w:rPr>
          <w:rStyle w:val="normaltextrun"/>
          <w:noProof/>
          <w:shd w:val="clear" w:color="auto" w:fill="FFFFFF"/>
        </w:rPr>
        <w:t xml:space="preserve">of commodity derivatives markets in </w:t>
      </w:r>
      <w:r w:rsidR="3402822E">
        <w:rPr>
          <w:rStyle w:val="normaltextrun"/>
          <w:noProof/>
          <w:shd w:val="clear" w:color="auto" w:fill="FFFFFF"/>
        </w:rPr>
        <w:t>the Union</w:t>
      </w:r>
      <w:r w:rsidR="49E16EF0" w:rsidRPr="09E0FC6E">
        <w:rPr>
          <w:rStyle w:val="normaltextrun"/>
          <w:noProof/>
          <w:shd w:val="clear" w:color="auto" w:fill="FFFFFF"/>
        </w:rPr>
        <w:t>.</w:t>
      </w:r>
      <w:r w:rsidR="199A385E" w:rsidRPr="09E0FC6E">
        <w:rPr>
          <w:rStyle w:val="normaltextrun"/>
          <w:noProof/>
        </w:rPr>
        <w:t xml:space="preserve"> Respondents also </w:t>
      </w:r>
      <w:r w:rsidR="53ED87DC" w:rsidRPr="09E0FC6E">
        <w:rPr>
          <w:rStyle w:val="normaltextrun"/>
          <w:noProof/>
        </w:rPr>
        <w:t>point</w:t>
      </w:r>
      <w:r w:rsidR="74821BD5" w:rsidRPr="09E0FC6E">
        <w:rPr>
          <w:rStyle w:val="normaltextrun"/>
          <w:noProof/>
        </w:rPr>
        <w:t>ed</w:t>
      </w:r>
      <w:r w:rsidR="53ED87DC" w:rsidRPr="09E0FC6E">
        <w:rPr>
          <w:rStyle w:val="normaltextrun"/>
          <w:noProof/>
        </w:rPr>
        <w:t xml:space="preserve"> to the added value of non-hedging trading activity</w:t>
      </w:r>
      <w:r w:rsidR="6BB43D92" w:rsidRPr="09E0FC6E">
        <w:rPr>
          <w:rStyle w:val="normaltextrun"/>
          <w:noProof/>
        </w:rPr>
        <w:t xml:space="preserve">, including by non-financial firms </w:t>
      </w:r>
      <w:r w:rsidR="3B6EA027" w:rsidRPr="09E0FC6E">
        <w:rPr>
          <w:rStyle w:val="normaltextrun"/>
          <w:noProof/>
        </w:rPr>
        <w:t>benefiting</w:t>
      </w:r>
      <w:r w:rsidR="6BB43D92" w:rsidRPr="09E0FC6E">
        <w:rPr>
          <w:rStyle w:val="normaltextrun"/>
          <w:noProof/>
        </w:rPr>
        <w:t xml:space="preserve"> from the AAE,</w:t>
      </w:r>
      <w:r w:rsidR="53ED87DC" w:rsidRPr="09E0FC6E">
        <w:rPr>
          <w:rStyle w:val="normaltextrun"/>
          <w:noProof/>
        </w:rPr>
        <w:t xml:space="preserve"> in contributing to </w:t>
      </w:r>
      <w:r w:rsidR="72B30C95" w:rsidRPr="09E0FC6E">
        <w:rPr>
          <w:rStyle w:val="normaltextrun"/>
          <w:noProof/>
        </w:rPr>
        <w:t xml:space="preserve">the </w:t>
      </w:r>
      <w:r w:rsidR="53ED87DC" w:rsidRPr="09E0FC6E">
        <w:rPr>
          <w:rStyle w:val="normaltextrun"/>
          <w:noProof/>
        </w:rPr>
        <w:t xml:space="preserve">market depth and liquidity, </w:t>
      </w:r>
      <w:r w:rsidR="7A429420" w:rsidRPr="09E0FC6E">
        <w:rPr>
          <w:rStyle w:val="normaltextrun"/>
          <w:noProof/>
        </w:rPr>
        <w:t xml:space="preserve">reduced concentration, </w:t>
      </w:r>
      <w:r w:rsidR="53ED87DC" w:rsidRPr="09E0FC6E">
        <w:rPr>
          <w:rStyle w:val="normaltextrun"/>
          <w:noProof/>
        </w:rPr>
        <w:t xml:space="preserve">and to price formation by bringing </w:t>
      </w:r>
      <w:r w:rsidR="7C11F4E4" w:rsidRPr="09E0FC6E">
        <w:rPr>
          <w:rStyle w:val="normaltextrun"/>
          <w:noProof/>
        </w:rPr>
        <w:t>expert</w:t>
      </w:r>
      <w:r w:rsidR="509109F8" w:rsidRPr="09E0FC6E">
        <w:rPr>
          <w:rStyle w:val="normaltextrun"/>
          <w:noProof/>
        </w:rPr>
        <w:t xml:space="preserve"> insight to the market.</w:t>
      </w:r>
    </w:p>
    <w:p w14:paraId="778C8561" w14:textId="35B63DB1" w:rsidR="00017857" w:rsidRPr="00575C33" w:rsidRDefault="40BDB2D4" w:rsidP="21CB014D">
      <w:pPr>
        <w:rPr>
          <w:rStyle w:val="normaltextrun"/>
          <w:noProof/>
          <w:shd w:val="clear" w:color="auto" w:fill="FFFFFF"/>
        </w:rPr>
      </w:pPr>
      <w:r w:rsidRPr="21CB014D">
        <w:rPr>
          <w:rStyle w:val="normaltextrun"/>
          <w:noProof/>
          <w:shd w:val="clear" w:color="auto" w:fill="FFFFFF"/>
        </w:rPr>
        <w:t>Stakeholders almost unanimously</w:t>
      </w:r>
      <w:r w:rsidR="3901E08D" w:rsidRPr="21CB014D">
        <w:rPr>
          <w:rStyle w:val="normaltextrun"/>
          <w:noProof/>
          <w:shd w:val="clear" w:color="auto" w:fill="FFFFFF"/>
        </w:rPr>
        <w:t xml:space="preserve"> </w:t>
      </w:r>
      <w:r w:rsidR="1701E2BC" w:rsidRPr="21CB014D">
        <w:rPr>
          <w:rStyle w:val="normaltextrun"/>
          <w:noProof/>
          <w:shd w:val="clear" w:color="auto" w:fill="FFFFFF"/>
        </w:rPr>
        <w:t xml:space="preserve">supported </w:t>
      </w:r>
      <w:r w:rsidR="3901E08D" w:rsidRPr="21CB014D">
        <w:rPr>
          <w:rStyle w:val="normaltextrun"/>
          <w:noProof/>
          <w:shd w:val="clear" w:color="auto" w:fill="FFFFFF"/>
        </w:rPr>
        <w:t xml:space="preserve">the need to preserve regulatory stability in this area, following the changes implemented in 2021 with the CMRP. </w:t>
      </w:r>
      <w:r w:rsidR="374CC78A" w:rsidRPr="21CB014D">
        <w:rPr>
          <w:rStyle w:val="normaltextrun"/>
          <w:noProof/>
          <w:shd w:val="clear" w:color="auto" w:fill="FFFFFF"/>
        </w:rPr>
        <w:t xml:space="preserve">Suggestions to </w:t>
      </w:r>
      <w:r w:rsidR="4CC32F80" w:rsidRPr="21CB014D">
        <w:rPr>
          <w:rStyle w:val="normaltextrun"/>
          <w:noProof/>
          <w:shd w:val="clear" w:color="auto" w:fill="FFFFFF"/>
        </w:rPr>
        <w:t>simplify the test</w:t>
      </w:r>
      <w:r w:rsidR="496BF272" w:rsidRPr="21CB014D">
        <w:rPr>
          <w:rStyle w:val="normaltextrun"/>
          <w:noProof/>
          <w:shd w:val="clear" w:color="auto" w:fill="FFFFFF"/>
        </w:rPr>
        <w:t>, e.g. by focussing only on proprietary trading as seen in other jurisdictions</w:t>
      </w:r>
      <w:r w:rsidR="3F9F2D4B" w:rsidRPr="21CB014D">
        <w:rPr>
          <w:rStyle w:val="normaltextrun"/>
          <w:noProof/>
          <w:shd w:val="clear" w:color="auto" w:fill="FFFFFF"/>
        </w:rPr>
        <w:t xml:space="preserve">, </w:t>
      </w:r>
      <w:r w:rsidR="5E347229" w:rsidRPr="21CB014D">
        <w:rPr>
          <w:rStyle w:val="normaltextrun"/>
          <w:noProof/>
          <w:shd w:val="clear" w:color="auto" w:fill="FFFFFF"/>
        </w:rPr>
        <w:t xml:space="preserve">and suggestions to strengthen the test </w:t>
      </w:r>
      <w:r w:rsidR="364A9C17" w:rsidRPr="21CB014D">
        <w:rPr>
          <w:rStyle w:val="normaltextrun"/>
          <w:noProof/>
          <w:shd w:val="clear" w:color="auto" w:fill="FFFFFF"/>
        </w:rPr>
        <w:t>were</w:t>
      </w:r>
      <w:r w:rsidR="5E347229" w:rsidRPr="21CB014D">
        <w:rPr>
          <w:rStyle w:val="normaltextrun"/>
          <w:noProof/>
          <w:shd w:val="clear" w:color="auto" w:fill="FFFFFF"/>
        </w:rPr>
        <w:t xml:space="preserve"> rejected </w:t>
      </w:r>
      <w:r w:rsidR="28D95487" w:rsidRPr="21CB014D">
        <w:rPr>
          <w:rStyle w:val="normaltextrun"/>
          <w:noProof/>
          <w:shd w:val="clear" w:color="auto" w:fill="FFFFFF"/>
        </w:rPr>
        <w:t>for</w:t>
      </w:r>
      <w:r w:rsidR="5E347229" w:rsidRPr="21CB014D">
        <w:rPr>
          <w:rStyle w:val="normaltextrun"/>
          <w:noProof/>
          <w:shd w:val="clear" w:color="auto" w:fill="FFFFFF"/>
        </w:rPr>
        <w:t xml:space="preserve"> similar</w:t>
      </w:r>
      <w:r w:rsidR="73314613" w:rsidRPr="21CB014D">
        <w:rPr>
          <w:rStyle w:val="normaltextrun"/>
          <w:noProof/>
          <w:shd w:val="clear" w:color="auto" w:fill="FFFFFF"/>
        </w:rPr>
        <w:t xml:space="preserve"> </w:t>
      </w:r>
      <w:r w:rsidR="28D95487" w:rsidRPr="21CB014D">
        <w:rPr>
          <w:rStyle w:val="normaltextrun"/>
          <w:noProof/>
          <w:shd w:val="clear" w:color="auto" w:fill="FFFFFF"/>
        </w:rPr>
        <w:t>reasons</w:t>
      </w:r>
      <w:r w:rsidR="5E347229" w:rsidRPr="21CB014D">
        <w:rPr>
          <w:rStyle w:val="normaltextrun"/>
          <w:noProof/>
          <w:shd w:val="clear" w:color="auto" w:fill="FFFFFF"/>
        </w:rPr>
        <w:t xml:space="preserve">, </w:t>
      </w:r>
      <w:r w:rsidR="7E0B46C2" w:rsidRPr="21CB014D">
        <w:rPr>
          <w:rStyle w:val="normaltextrun"/>
          <w:noProof/>
          <w:shd w:val="clear" w:color="auto" w:fill="FFFFFF"/>
        </w:rPr>
        <w:t xml:space="preserve">with </w:t>
      </w:r>
      <w:r w:rsidR="33C36540" w:rsidRPr="21CB014D">
        <w:rPr>
          <w:rStyle w:val="normaltextrun"/>
          <w:noProof/>
          <w:shd w:val="clear" w:color="auto" w:fill="FFFFFF"/>
        </w:rPr>
        <w:t>a view to maintain</w:t>
      </w:r>
      <w:r w:rsidR="6909F3E0" w:rsidRPr="21CB014D">
        <w:rPr>
          <w:rStyle w:val="normaltextrun"/>
          <w:noProof/>
          <w:shd w:val="clear" w:color="auto" w:fill="FFFFFF"/>
        </w:rPr>
        <w:t>ing</w:t>
      </w:r>
      <w:r w:rsidR="33C36540" w:rsidRPr="21CB014D">
        <w:rPr>
          <w:rStyle w:val="normaltextrun"/>
          <w:noProof/>
          <w:shd w:val="clear" w:color="auto" w:fill="FFFFFF"/>
        </w:rPr>
        <w:t xml:space="preserve"> regulatory stability.</w:t>
      </w:r>
    </w:p>
    <w:p w14:paraId="7F593A0B" w14:textId="7FBE2474" w:rsidR="00262A96" w:rsidRPr="00575C33" w:rsidRDefault="5BC34002" w:rsidP="00AC60EB">
      <w:pPr>
        <w:rPr>
          <w:rStyle w:val="normaltextrun"/>
          <w:noProof/>
          <w:shd w:val="clear" w:color="auto" w:fill="FFFFFF"/>
        </w:rPr>
      </w:pPr>
      <w:r w:rsidRPr="09E0FC6E">
        <w:rPr>
          <w:rStyle w:val="normaltextrun"/>
          <w:noProof/>
          <w:shd w:val="clear" w:color="auto" w:fill="FFFFFF"/>
        </w:rPr>
        <w:t>Overall, the stakeholder consultation indicated that a tightening of the AAE would have far-reaching consequences on the operation of firms that currently benefit from</w:t>
      </w:r>
      <w:r w:rsidR="17BA9125" w:rsidRPr="09E0FC6E">
        <w:rPr>
          <w:rStyle w:val="normaltextrun"/>
          <w:noProof/>
          <w:shd w:val="clear" w:color="auto" w:fill="FFFFFF"/>
        </w:rPr>
        <w:t xml:space="preserve"> the AAE. </w:t>
      </w:r>
      <w:r w:rsidR="12EE7979" w:rsidRPr="09E0FC6E">
        <w:rPr>
          <w:rStyle w:val="normaltextrun"/>
          <w:noProof/>
          <w:shd w:val="clear" w:color="auto" w:fill="FFFFFF"/>
        </w:rPr>
        <w:t>This view was largely shared by industry representatives and regulators.</w:t>
      </w:r>
      <w:r w:rsidR="28D95487">
        <w:rPr>
          <w:rStyle w:val="normaltextrun"/>
          <w:noProof/>
          <w:shd w:val="clear" w:color="auto" w:fill="FFFFFF"/>
        </w:rPr>
        <w:t xml:space="preserve"> The</w:t>
      </w:r>
      <w:r w:rsidR="12EE7979" w:rsidRPr="09E0FC6E">
        <w:rPr>
          <w:rStyle w:val="normaltextrun"/>
          <w:noProof/>
          <w:shd w:val="clear" w:color="auto" w:fill="FFFFFF"/>
        </w:rPr>
        <w:t xml:space="preserve"> </w:t>
      </w:r>
      <w:r w:rsidR="28D95487">
        <w:rPr>
          <w:rStyle w:val="normaltextrun"/>
          <w:noProof/>
          <w:shd w:val="clear" w:color="auto" w:fill="FFFFFF"/>
        </w:rPr>
        <w:t>m</w:t>
      </w:r>
      <w:r w:rsidR="17BA9125" w:rsidRPr="09E0FC6E">
        <w:rPr>
          <w:rStyle w:val="normaltextrun"/>
          <w:noProof/>
          <w:shd w:val="clear" w:color="auto" w:fill="FFFFFF"/>
        </w:rPr>
        <w:t xml:space="preserve">ain cost drivers </w:t>
      </w:r>
      <w:r w:rsidR="28D95487" w:rsidRPr="21CB014D">
        <w:rPr>
          <w:rStyle w:val="normaltextrun"/>
          <w:noProof/>
        </w:rPr>
        <w:t>identified</w:t>
      </w:r>
      <w:r w:rsidR="28D95487">
        <w:rPr>
          <w:rStyle w:val="normaltextrun"/>
          <w:noProof/>
          <w:shd w:val="clear" w:color="auto" w:fill="FFFFFF"/>
        </w:rPr>
        <w:t xml:space="preserve"> were</w:t>
      </w:r>
      <w:r w:rsidR="17BA9125" w:rsidRPr="09E0FC6E">
        <w:rPr>
          <w:rStyle w:val="normaltextrun"/>
          <w:noProof/>
          <w:shd w:val="clear" w:color="auto" w:fill="FFFFFF"/>
        </w:rPr>
        <w:t xml:space="preserve">: </w:t>
      </w:r>
    </w:p>
    <w:p w14:paraId="6C8DB5E4" w14:textId="2317890A" w:rsidR="00262A96" w:rsidRPr="00575C33" w:rsidRDefault="000B1156" w:rsidP="09E0FC6E">
      <w:pPr>
        <w:pStyle w:val="ListParagraph"/>
        <w:numPr>
          <w:ilvl w:val="0"/>
          <w:numId w:val="27"/>
        </w:numPr>
        <w:spacing w:after="240"/>
        <w:rPr>
          <w:rStyle w:val="normaltextrun"/>
          <w:rFonts w:ascii="Times New Roman" w:hAnsi="Times New Roman"/>
          <w:noProof/>
          <w:sz w:val="24"/>
          <w:szCs w:val="24"/>
          <w:shd w:val="clear" w:color="auto" w:fill="FFFFFF"/>
        </w:rPr>
      </w:pPr>
      <w:r w:rsidRPr="00575C33">
        <w:rPr>
          <w:rStyle w:val="normaltextrun"/>
          <w:rFonts w:ascii="Times New Roman" w:hAnsi="Times New Roman"/>
          <w:noProof/>
          <w:sz w:val="24"/>
          <w:szCs w:val="24"/>
          <w:shd w:val="clear" w:color="auto" w:fill="FFFFFF"/>
        </w:rPr>
        <w:t xml:space="preserve">prudential </w:t>
      </w:r>
      <w:r w:rsidR="00262A96" w:rsidRPr="00575C33">
        <w:rPr>
          <w:rStyle w:val="normaltextrun"/>
          <w:rFonts w:ascii="Times New Roman" w:hAnsi="Times New Roman"/>
          <w:noProof/>
          <w:sz w:val="24"/>
          <w:szCs w:val="24"/>
          <w:shd w:val="clear" w:color="auto" w:fill="FFFFFF"/>
        </w:rPr>
        <w:t>obligations</w:t>
      </w:r>
      <w:r w:rsidR="0093711E" w:rsidRPr="00575C33">
        <w:rPr>
          <w:rStyle w:val="normaltextrun"/>
          <w:rFonts w:ascii="Times New Roman" w:hAnsi="Times New Roman"/>
          <w:noProof/>
          <w:sz w:val="24"/>
          <w:szCs w:val="24"/>
          <w:shd w:val="clear" w:color="auto" w:fill="FFFFFF"/>
        </w:rPr>
        <w:t xml:space="preserve"> resulting from the application of IFR/IFD capital and liquidity </w:t>
      </w:r>
      <w:r w:rsidR="00262A96" w:rsidRPr="00575C33">
        <w:rPr>
          <w:rStyle w:val="normaltextrun"/>
          <w:rFonts w:ascii="Times New Roman" w:hAnsi="Times New Roman"/>
          <w:noProof/>
          <w:sz w:val="24"/>
          <w:szCs w:val="24"/>
          <w:shd w:val="clear" w:color="auto" w:fill="FFFFFF"/>
        </w:rPr>
        <w:t>requirements</w:t>
      </w:r>
      <w:r w:rsidR="00E80BBD" w:rsidRPr="00575C33">
        <w:rPr>
          <w:rStyle w:val="normaltextrun"/>
          <w:rFonts w:ascii="Times New Roman" w:hAnsi="Times New Roman"/>
          <w:noProof/>
          <w:sz w:val="24"/>
          <w:szCs w:val="24"/>
          <w:shd w:val="clear" w:color="auto" w:fill="FFFFFF"/>
        </w:rPr>
        <w:t>;</w:t>
      </w:r>
    </w:p>
    <w:p w14:paraId="22349903" w14:textId="77777777" w:rsidR="00192AA7" w:rsidRDefault="00614951" w:rsidP="00192AA7">
      <w:pPr>
        <w:pStyle w:val="ListParagraph"/>
        <w:numPr>
          <w:ilvl w:val="0"/>
          <w:numId w:val="27"/>
        </w:numPr>
        <w:spacing w:after="0"/>
        <w:contextualSpacing w:val="0"/>
        <w:rPr>
          <w:rStyle w:val="normaltextrun"/>
          <w:rFonts w:ascii="Times New Roman" w:hAnsi="Times New Roman"/>
          <w:noProof/>
          <w:sz w:val="24"/>
          <w:szCs w:val="24"/>
          <w:shd w:val="clear" w:color="auto" w:fill="FFFFFF"/>
        </w:rPr>
      </w:pPr>
      <w:r w:rsidRPr="00192AA7">
        <w:rPr>
          <w:rStyle w:val="normaltextrun"/>
          <w:rFonts w:ascii="Times New Roman" w:hAnsi="Times New Roman"/>
          <w:noProof/>
          <w:sz w:val="24"/>
          <w:szCs w:val="24"/>
          <w:shd w:val="clear" w:color="auto" w:fill="FFFFFF"/>
        </w:rPr>
        <w:t xml:space="preserve">margin requirements </w:t>
      </w:r>
      <w:r w:rsidR="003158DD" w:rsidRPr="00192AA7">
        <w:rPr>
          <w:rStyle w:val="normaltextrun"/>
          <w:rFonts w:ascii="Times New Roman" w:hAnsi="Times New Roman"/>
          <w:noProof/>
          <w:sz w:val="24"/>
          <w:szCs w:val="24"/>
          <w:shd w:val="clear" w:color="auto" w:fill="FFFFFF"/>
        </w:rPr>
        <w:t xml:space="preserve">for OTC trades </w:t>
      </w:r>
      <w:r w:rsidRPr="00192AA7">
        <w:rPr>
          <w:rStyle w:val="normaltextrun"/>
          <w:rFonts w:ascii="Times New Roman" w:hAnsi="Times New Roman"/>
          <w:noProof/>
          <w:sz w:val="24"/>
          <w:szCs w:val="24"/>
          <w:shd w:val="clear" w:color="auto" w:fill="FFFFFF"/>
        </w:rPr>
        <w:t>resulting from a requalification as financial counterparties</w:t>
      </w:r>
      <w:r w:rsidR="0086263D" w:rsidRPr="00192AA7">
        <w:rPr>
          <w:rStyle w:val="normaltextrun"/>
          <w:rFonts w:ascii="Times New Roman" w:hAnsi="Times New Roman"/>
          <w:noProof/>
          <w:sz w:val="24"/>
          <w:szCs w:val="24"/>
          <w:shd w:val="clear" w:color="auto" w:fill="FFFFFF"/>
        </w:rPr>
        <w:t xml:space="preserve"> under EMIR</w:t>
      </w:r>
      <w:r w:rsidR="00FF5F2A" w:rsidRPr="00192AA7">
        <w:rPr>
          <w:rStyle w:val="normaltextrun"/>
          <w:rFonts w:ascii="Times New Roman" w:hAnsi="Times New Roman"/>
          <w:noProof/>
          <w:sz w:val="24"/>
          <w:szCs w:val="24"/>
          <w:shd w:val="clear" w:color="auto" w:fill="FFFFFF"/>
        </w:rPr>
        <w:t>;</w:t>
      </w:r>
      <w:r w:rsidRPr="00192AA7">
        <w:rPr>
          <w:rStyle w:val="normaltextrun"/>
          <w:rFonts w:ascii="Times New Roman" w:hAnsi="Times New Roman"/>
          <w:noProof/>
          <w:sz w:val="24"/>
          <w:szCs w:val="24"/>
          <w:shd w:val="clear" w:color="auto" w:fill="FFFFFF"/>
        </w:rPr>
        <w:t xml:space="preserve"> and </w:t>
      </w:r>
    </w:p>
    <w:p w14:paraId="5929C756" w14:textId="4E68B6AB" w:rsidR="00F749EF" w:rsidRPr="00192AA7" w:rsidRDefault="000B1156">
      <w:pPr>
        <w:pStyle w:val="ListParagraph"/>
        <w:numPr>
          <w:ilvl w:val="0"/>
          <w:numId w:val="27"/>
        </w:numPr>
        <w:spacing w:after="240"/>
        <w:contextualSpacing w:val="0"/>
        <w:rPr>
          <w:rStyle w:val="normaltextrun"/>
          <w:rFonts w:ascii="Times New Roman" w:hAnsi="Times New Roman"/>
          <w:noProof/>
          <w:sz w:val="24"/>
          <w:szCs w:val="24"/>
          <w:shd w:val="clear" w:color="auto" w:fill="FFFFFF"/>
        </w:rPr>
      </w:pPr>
      <w:r w:rsidRPr="00192AA7">
        <w:rPr>
          <w:rStyle w:val="normaltextrun"/>
          <w:rFonts w:ascii="Times New Roman" w:hAnsi="Times New Roman"/>
          <w:noProof/>
          <w:sz w:val="24"/>
          <w:szCs w:val="24"/>
          <w:shd w:val="clear" w:color="auto" w:fill="FFFFFF"/>
        </w:rPr>
        <w:t xml:space="preserve">overall compliance costs with MiFID </w:t>
      </w:r>
      <w:r w:rsidR="00930848" w:rsidRPr="00192AA7">
        <w:rPr>
          <w:rStyle w:val="normaltextrun"/>
          <w:rFonts w:ascii="Times New Roman" w:hAnsi="Times New Roman"/>
          <w:noProof/>
          <w:sz w:val="24"/>
          <w:szCs w:val="24"/>
          <w:shd w:val="clear" w:color="auto" w:fill="FFFFFF"/>
        </w:rPr>
        <w:t>II</w:t>
      </w:r>
      <w:r w:rsidRPr="00192AA7">
        <w:rPr>
          <w:rStyle w:val="normaltextrun"/>
          <w:rFonts w:ascii="Times New Roman" w:hAnsi="Times New Roman"/>
          <w:noProof/>
          <w:sz w:val="24"/>
          <w:szCs w:val="24"/>
          <w:shd w:val="clear" w:color="auto" w:fill="FFFFFF"/>
        </w:rPr>
        <w:t xml:space="preserve"> requirements.</w:t>
      </w:r>
    </w:p>
    <w:p w14:paraId="0B4AB0F8" w14:textId="5CF5000B" w:rsidR="00192AA7" w:rsidRDefault="12860011" w:rsidP="00AC60EB">
      <w:pPr>
        <w:rPr>
          <w:noProof/>
          <w:shd w:val="clear" w:color="auto" w:fill="FFFFFF"/>
          <w:lang w:val="en-IE"/>
        </w:rPr>
      </w:pPr>
      <w:r w:rsidRPr="09E0FC6E">
        <w:rPr>
          <w:noProof/>
          <w:shd w:val="clear" w:color="auto" w:fill="FFFFFF"/>
          <w:lang w:val="en-IE"/>
        </w:rPr>
        <w:t xml:space="preserve">Respondents to the consultation, including </w:t>
      </w:r>
      <w:r w:rsidR="4606CDCF">
        <w:rPr>
          <w:noProof/>
          <w:shd w:val="clear" w:color="auto" w:fill="FFFFFF"/>
          <w:lang w:val="en-IE"/>
        </w:rPr>
        <w:t>three</w:t>
      </w:r>
      <w:r w:rsidR="4FB91E0F" w:rsidRPr="09E0FC6E">
        <w:rPr>
          <w:noProof/>
          <w:shd w:val="clear" w:color="auto" w:fill="FFFFFF"/>
          <w:lang w:val="en-IE"/>
        </w:rPr>
        <w:t xml:space="preserve"> public authorities</w:t>
      </w:r>
      <w:r w:rsidRPr="09E0FC6E">
        <w:rPr>
          <w:noProof/>
          <w:shd w:val="clear" w:color="auto" w:fill="FFFFFF"/>
          <w:lang w:val="en-IE"/>
        </w:rPr>
        <w:t xml:space="preserve">, raised concerns </w:t>
      </w:r>
      <w:r w:rsidR="526F8AD4">
        <w:rPr>
          <w:noProof/>
          <w:shd w:val="clear" w:color="auto" w:fill="FFFFFF"/>
          <w:lang w:val="en-IE"/>
        </w:rPr>
        <w:t>that a tightening of the conditions for the AAE could bring</w:t>
      </w:r>
      <w:r w:rsidRPr="09E0FC6E">
        <w:rPr>
          <w:noProof/>
          <w:shd w:val="clear" w:color="auto" w:fill="FFFFFF"/>
          <w:lang w:val="en-IE"/>
        </w:rPr>
        <w:t xml:space="preserve"> a sharp increase in </w:t>
      </w:r>
      <w:r w:rsidR="3DB4BDC0" w:rsidRPr="09E0FC6E">
        <w:rPr>
          <w:noProof/>
          <w:shd w:val="clear" w:color="auto" w:fill="FFFFFF"/>
          <w:lang w:val="en-IE"/>
        </w:rPr>
        <w:t xml:space="preserve">operational </w:t>
      </w:r>
      <w:r w:rsidRPr="09E0FC6E">
        <w:rPr>
          <w:noProof/>
          <w:shd w:val="clear" w:color="auto" w:fill="FFFFFF"/>
          <w:lang w:val="en-IE"/>
        </w:rPr>
        <w:t>costs</w:t>
      </w:r>
      <w:r w:rsidR="5210BEA0" w:rsidRPr="09E0FC6E">
        <w:rPr>
          <w:noProof/>
          <w:shd w:val="clear" w:color="auto" w:fill="FFFFFF"/>
          <w:lang w:val="en-IE"/>
        </w:rPr>
        <w:t xml:space="preserve">, or difficulties in </w:t>
      </w:r>
      <w:r w:rsidR="254167D0" w:rsidRPr="09E0FC6E">
        <w:rPr>
          <w:noProof/>
          <w:lang w:val="en-IE"/>
        </w:rPr>
        <w:t>adequately managing risk</w:t>
      </w:r>
      <w:r w:rsidR="513BD101" w:rsidRPr="09E0FC6E">
        <w:rPr>
          <w:noProof/>
          <w:lang w:val="en-IE"/>
        </w:rPr>
        <w:t xml:space="preserve"> (e.g., because of deteriorated market conditions</w:t>
      </w:r>
      <w:r w:rsidR="7D9EC12F">
        <w:rPr>
          <w:noProof/>
          <w:lang w:val="en-IE"/>
        </w:rPr>
        <w:t>, see below</w:t>
      </w:r>
      <w:r w:rsidR="513BD101" w:rsidRPr="09E0FC6E">
        <w:rPr>
          <w:noProof/>
          <w:lang w:val="en-IE"/>
        </w:rPr>
        <w:t>)</w:t>
      </w:r>
      <w:r w:rsidRPr="09E0FC6E">
        <w:rPr>
          <w:noProof/>
          <w:shd w:val="clear" w:color="auto" w:fill="FFFFFF"/>
          <w:lang w:val="en-IE"/>
        </w:rPr>
        <w:t xml:space="preserve">. </w:t>
      </w:r>
      <w:r w:rsidR="24DFD4B2" w:rsidRPr="09E0FC6E">
        <w:rPr>
          <w:noProof/>
          <w:shd w:val="clear" w:color="auto" w:fill="FFFFFF"/>
          <w:lang w:val="en-IE"/>
        </w:rPr>
        <w:t>The Commission acknowledges that s</w:t>
      </w:r>
      <w:r w:rsidRPr="09E0FC6E">
        <w:rPr>
          <w:noProof/>
          <w:shd w:val="clear" w:color="auto" w:fill="FFFFFF"/>
          <w:lang w:val="en-IE"/>
        </w:rPr>
        <w:t xml:space="preserve">uch changes </w:t>
      </w:r>
      <w:r w:rsidR="6DA11D84" w:rsidRPr="09E0FC6E">
        <w:rPr>
          <w:noProof/>
          <w:shd w:val="clear" w:color="auto" w:fill="FFFFFF"/>
          <w:lang w:val="en-IE"/>
        </w:rPr>
        <w:t>c</w:t>
      </w:r>
      <w:r w:rsidRPr="09E0FC6E">
        <w:rPr>
          <w:noProof/>
          <w:shd w:val="clear" w:color="auto" w:fill="FFFFFF"/>
          <w:lang w:val="en-IE"/>
        </w:rPr>
        <w:t xml:space="preserve">ould lead to </w:t>
      </w:r>
      <w:r w:rsidR="0AB3E8F8" w:rsidRPr="09E0FC6E">
        <w:rPr>
          <w:noProof/>
          <w:lang w:val="en-IE"/>
        </w:rPr>
        <w:t xml:space="preserve">additional </w:t>
      </w:r>
      <w:r w:rsidRPr="09E0FC6E">
        <w:rPr>
          <w:noProof/>
          <w:shd w:val="clear" w:color="auto" w:fill="FFFFFF"/>
          <w:lang w:val="en-IE"/>
        </w:rPr>
        <w:t>compliance costs</w:t>
      </w:r>
      <w:r w:rsidR="1FABEF84" w:rsidRPr="09E0FC6E">
        <w:rPr>
          <w:noProof/>
          <w:shd w:val="clear" w:color="auto" w:fill="FFFFFF"/>
          <w:lang w:val="en-IE"/>
        </w:rPr>
        <w:t xml:space="preserve"> and </w:t>
      </w:r>
      <w:r w:rsidR="5DF21B5E" w:rsidRPr="09E0FC6E">
        <w:rPr>
          <w:noProof/>
          <w:lang w:val="en-IE"/>
        </w:rPr>
        <w:t xml:space="preserve">based on </w:t>
      </w:r>
      <w:r w:rsidR="769E4805" w:rsidRPr="09E0FC6E">
        <w:rPr>
          <w:noProof/>
          <w:shd w:val="clear" w:color="auto" w:fill="FFFFFF"/>
          <w:lang w:val="en-IE"/>
        </w:rPr>
        <w:t xml:space="preserve">the </w:t>
      </w:r>
      <w:r w:rsidR="1FABEF84" w:rsidRPr="09E0FC6E">
        <w:rPr>
          <w:noProof/>
          <w:shd w:val="clear" w:color="auto" w:fill="FFFFFF"/>
          <w:lang w:val="en-IE"/>
        </w:rPr>
        <w:t>current prudential rules, to a</w:t>
      </w:r>
      <w:r w:rsidR="47CA5A0D" w:rsidRPr="09E0FC6E">
        <w:rPr>
          <w:noProof/>
          <w:lang w:val="en-IE"/>
        </w:rPr>
        <w:t>dditional</w:t>
      </w:r>
      <w:r w:rsidR="1FABEF84" w:rsidRPr="09E0FC6E">
        <w:rPr>
          <w:noProof/>
          <w:shd w:val="clear" w:color="auto" w:fill="FFFFFF"/>
          <w:lang w:val="en-IE"/>
        </w:rPr>
        <w:t xml:space="preserve"> capital </w:t>
      </w:r>
      <w:r w:rsidR="0A06BD80" w:rsidRPr="09E0FC6E">
        <w:rPr>
          <w:noProof/>
          <w:lang w:val="en-IE"/>
        </w:rPr>
        <w:t xml:space="preserve">constraints </w:t>
      </w:r>
      <w:r w:rsidR="1FABEF84" w:rsidRPr="09E0FC6E">
        <w:rPr>
          <w:noProof/>
          <w:shd w:val="clear" w:color="auto" w:fill="FFFFFF"/>
          <w:lang w:val="en-IE"/>
        </w:rPr>
        <w:t>for prudential purposes</w:t>
      </w:r>
      <w:r w:rsidRPr="09E0FC6E">
        <w:rPr>
          <w:noProof/>
          <w:shd w:val="clear" w:color="auto" w:fill="FFFFFF"/>
          <w:lang w:val="en-IE"/>
        </w:rPr>
        <w:t xml:space="preserve">. </w:t>
      </w:r>
      <w:r w:rsidR="342CB890" w:rsidRPr="09E0FC6E">
        <w:rPr>
          <w:noProof/>
          <w:lang w:val="en-IE"/>
        </w:rPr>
        <w:t>While th</w:t>
      </w:r>
      <w:r w:rsidR="24BC7620" w:rsidRPr="09E0FC6E">
        <w:rPr>
          <w:noProof/>
          <w:lang w:val="en-IE"/>
        </w:rPr>
        <w:t>ese elements</w:t>
      </w:r>
      <w:r w:rsidR="342CB890" w:rsidRPr="09E0FC6E">
        <w:rPr>
          <w:noProof/>
          <w:lang w:val="en-IE"/>
        </w:rPr>
        <w:t xml:space="preserve"> should be </w:t>
      </w:r>
      <w:r w:rsidR="20361470" w:rsidRPr="09E0FC6E">
        <w:rPr>
          <w:noProof/>
          <w:lang w:val="en-IE"/>
        </w:rPr>
        <w:t>assessed in light of the</w:t>
      </w:r>
      <w:r w:rsidRPr="09E0FC6E">
        <w:rPr>
          <w:noProof/>
          <w:lang w:val="en-IE"/>
        </w:rPr>
        <w:t xml:space="preserve"> </w:t>
      </w:r>
      <w:r w:rsidR="61C16041" w:rsidRPr="09E0FC6E">
        <w:rPr>
          <w:noProof/>
          <w:lang w:val="en-IE"/>
        </w:rPr>
        <w:t>expected benefits,</w:t>
      </w:r>
      <w:r w:rsidR="18005927" w:rsidRPr="09E0FC6E">
        <w:rPr>
          <w:noProof/>
          <w:lang w:val="en-IE"/>
        </w:rPr>
        <w:t xml:space="preserve"> and while a tightening of the AAE could theoretically reduce risk-taking trading activities </w:t>
      </w:r>
      <w:r w:rsidR="4031A315" w:rsidRPr="09E0FC6E">
        <w:rPr>
          <w:noProof/>
          <w:lang w:val="en-IE"/>
        </w:rPr>
        <w:t>by restricting non-hedging trading activities of</w:t>
      </w:r>
      <w:r w:rsidR="18005927" w:rsidRPr="09E0FC6E">
        <w:rPr>
          <w:noProof/>
          <w:lang w:val="en-IE"/>
        </w:rPr>
        <w:t xml:space="preserve"> its current beneficiaries,</w:t>
      </w:r>
      <w:r w:rsidR="7E93DBDB">
        <w:rPr>
          <w:noProof/>
          <w:lang w:val="en-IE"/>
        </w:rPr>
        <w:t xml:space="preserve"> </w:t>
      </w:r>
      <w:r w:rsidR="50086DD3" w:rsidRPr="09E0FC6E">
        <w:rPr>
          <w:noProof/>
          <w:lang w:val="en-IE"/>
        </w:rPr>
        <w:t xml:space="preserve">respondents </w:t>
      </w:r>
      <w:r w:rsidR="185DD9D0">
        <w:rPr>
          <w:noProof/>
          <w:lang w:val="en-IE"/>
        </w:rPr>
        <w:t>noted</w:t>
      </w:r>
      <w:r w:rsidR="185DD9D0" w:rsidRPr="09E0FC6E">
        <w:rPr>
          <w:noProof/>
          <w:lang w:val="en-IE"/>
        </w:rPr>
        <w:t xml:space="preserve"> </w:t>
      </w:r>
      <w:r w:rsidR="50086DD3" w:rsidRPr="09E0FC6E">
        <w:rPr>
          <w:noProof/>
          <w:lang w:val="en-IE"/>
        </w:rPr>
        <w:t>that this</w:t>
      </w:r>
      <w:r w:rsidRPr="09E0FC6E">
        <w:rPr>
          <w:noProof/>
          <w:lang w:val="en-IE"/>
        </w:rPr>
        <w:t xml:space="preserve"> </w:t>
      </w:r>
      <w:r w:rsidR="24BC7620" w:rsidRPr="09E0FC6E">
        <w:rPr>
          <w:noProof/>
          <w:lang w:val="en-IE"/>
        </w:rPr>
        <w:t>situation</w:t>
      </w:r>
      <w:r w:rsidRPr="09E0FC6E">
        <w:rPr>
          <w:noProof/>
          <w:lang w:val="en-IE"/>
        </w:rPr>
        <w:t xml:space="preserve"> </w:t>
      </w:r>
      <w:r w:rsidR="15624022" w:rsidRPr="09E0FC6E">
        <w:rPr>
          <w:noProof/>
          <w:shd w:val="clear" w:color="auto" w:fill="FFFFFF"/>
          <w:lang w:val="en-IE"/>
        </w:rPr>
        <w:t xml:space="preserve">could </w:t>
      </w:r>
      <w:r w:rsidR="1921EC14" w:rsidRPr="09E0FC6E">
        <w:rPr>
          <w:noProof/>
          <w:lang w:val="en-IE"/>
        </w:rPr>
        <w:t xml:space="preserve">nevertheless </w:t>
      </w:r>
      <w:r w:rsidRPr="09E0FC6E">
        <w:rPr>
          <w:noProof/>
          <w:shd w:val="clear" w:color="auto" w:fill="FFFFFF"/>
          <w:lang w:val="en-IE"/>
        </w:rPr>
        <w:t xml:space="preserve">pose a risk that </w:t>
      </w:r>
      <w:r w:rsidR="745EF6BF" w:rsidRPr="09E0FC6E">
        <w:rPr>
          <w:noProof/>
          <w:lang w:val="en-IE"/>
        </w:rPr>
        <w:t xml:space="preserve">some </w:t>
      </w:r>
      <w:r w:rsidRPr="09E0FC6E">
        <w:rPr>
          <w:noProof/>
          <w:shd w:val="clear" w:color="auto" w:fill="FFFFFF"/>
          <w:lang w:val="en-IE"/>
        </w:rPr>
        <w:t>firms</w:t>
      </w:r>
      <w:r w:rsidR="15624022" w:rsidRPr="09E0FC6E">
        <w:rPr>
          <w:noProof/>
          <w:shd w:val="clear" w:color="auto" w:fill="FFFFFF"/>
          <w:lang w:val="en-IE"/>
        </w:rPr>
        <w:t>,</w:t>
      </w:r>
      <w:r w:rsidRPr="09E0FC6E">
        <w:rPr>
          <w:noProof/>
          <w:shd w:val="clear" w:color="auto" w:fill="FFFFFF"/>
          <w:lang w:val="en-IE"/>
        </w:rPr>
        <w:t xml:space="preserve"> </w:t>
      </w:r>
      <w:r w:rsidR="15624022" w:rsidRPr="09E0FC6E">
        <w:rPr>
          <w:noProof/>
          <w:shd w:val="clear" w:color="auto" w:fill="FFFFFF"/>
          <w:lang w:val="en-IE"/>
        </w:rPr>
        <w:t>that are</w:t>
      </w:r>
      <w:r w:rsidRPr="09E0FC6E">
        <w:rPr>
          <w:noProof/>
          <w:shd w:val="clear" w:color="auto" w:fill="FFFFFF"/>
          <w:lang w:val="en-IE"/>
        </w:rPr>
        <w:t xml:space="preserve"> currently not subject to financial conduct and prudential regulations</w:t>
      </w:r>
      <w:r w:rsidR="15624022" w:rsidRPr="09E0FC6E">
        <w:rPr>
          <w:noProof/>
          <w:shd w:val="clear" w:color="auto" w:fill="FFFFFF"/>
          <w:lang w:val="en-IE"/>
        </w:rPr>
        <w:t>,</w:t>
      </w:r>
      <w:r w:rsidRPr="09E0FC6E">
        <w:rPr>
          <w:noProof/>
          <w:shd w:val="clear" w:color="auto" w:fill="FFFFFF"/>
          <w:lang w:val="en-IE"/>
        </w:rPr>
        <w:t xml:space="preserve"> m</w:t>
      </w:r>
      <w:r w:rsidR="15624022" w:rsidRPr="09E0FC6E">
        <w:rPr>
          <w:noProof/>
          <w:shd w:val="clear" w:color="auto" w:fill="FFFFFF"/>
          <w:lang w:val="en-IE"/>
        </w:rPr>
        <w:t>ay</w:t>
      </w:r>
      <w:r w:rsidRPr="09E0FC6E">
        <w:rPr>
          <w:noProof/>
          <w:shd w:val="clear" w:color="auto" w:fill="FFFFFF"/>
          <w:lang w:val="en-IE"/>
        </w:rPr>
        <w:t xml:space="preserve"> exit these markets</w:t>
      </w:r>
      <w:r w:rsidR="5529BD95" w:rsidRPr="09E0FC6E">
        <w:rPr>
          <w:noProof/>
          <w:lang w:val="en-IE"/>
        </w:rPr>
        <w:t>.</w:t>
      </w:r>
      <w:r w:rsidR="3152E715" w:rsidRPr="09E0FC6E">
        <w:rPr>
          <w:noProof/>
          <w:shd w:val="clear" w:color="auto" w:fill="FFFFFF"/>
          <w:lang w:val="en-IE"/>
        </w:rPr>
        <w:t xml:space="preserve"> </w:t>
      </w:r>
      <w:r w:rsidR="4249A2E0">
        <w:rPr>
          <w:noProof/>
          <w:shd w:val="clear" w:color="auto" w:fill="FFFFFF"/>
          <w:lang w:val="en-IE"/>
        </w:rPr>
        <w:t xml:space="preserve">A </w:t>
      </w:r>
      <w:r w:rsidR="17B26031" w:rsidRPr="09E0FC6E">
        <w:rPr>
          <w:noProof/>
          <w:shd w:val="clear" w:color="auto" w:fill="FFFFFF"/>
          <w:lang w:val="en-IE"/>
        </w:rPr>
        <w:t>significant</w:t>
      </w:r>
      <w:r w:rsidR="4F646825" w:rsidRPr="09E0FC6E">
        <w:rPr>
          <w:noProof/>
          <w:lang w:val="en-IE"/>
        </w:rPr>
        <w:t xml:space="preserve"> exit </w:t>
      </w:r>
      <w:r w:rsidR="4DD90A2E" w:rsidRPr="09E0FC6E">
        <w:rPr>
          <w:noProof/>
          <w:lang w:val="en-IE"/>
        </w:rPr>
        <w:t xml:space="preserve">by existing </w:t>
      </w:r>
      <w:r w:rsidR="45CAD3F4" w:rsidRPr="09E0FC6E">
        <w:rPr>
          <w:noProof/>
          <w:lang w:val="en-IE"/>
        </w:rPr>
        <w:t>firms</w:t>
      </w:r>
      <w:r w:rsidR="7D9EC12F">
        <w:rPr>
          <w:noProof/>
          <w:lang w:val="en-IE"/>
        </w:rPr>
        <w:t>, unless substituted by new market participants,</w:t>
      </w:r>
      <w:r w:rsidR="5529BD95" w:rsidRPr="09E0FC6E">
        <w:rPr>
          <w:noProof/>
          <w:lang w:val="en-IE"/>
        </w:rPr>
        <w:t xml:space="preserve"> could</w:t>
      </w:r>
      <w:r w:rsidR="745EF6BF" w:rsidRPr="09E0FC6E">
        <w:rPr>
          <w:noProof/>
          <w:lang w:val="en-IE"/>
        </w:rPr>
        <w:t xml:space="preserve"> </w:t>
      </w:r>
      <w:r w:rsidR="788B73A1" w:rsidRPr="09E0FC6E">
        <w:rPr>
          <w:noProof/>
          <w:lang w:val="en-IE"/>
        </w:rPr>
        <w:t>lead to a reduction of</w:t>
      </w:r>
      <w:r w:rsidRPr="09E0FC6E">
        <w:rPr>
          <w:noProof/>
          <w:lang w:val="en-IE"/>
        </w:rPr>
        <w:t xml:space="preserve"> </w:t>
      </w:r>
      <w:r w:rsidRPr="09E0FC6E">
        <w:rPr>
          <w:noProof/>
          <w:shd w:val="clear" w:color="auto" w:fill="FFFFFF"/>
          <w:lang w:val="en-IE"/>
        </w:rPr>
        <w:t>the depth, liquidity and efficiency of commodity markets</w:t>
      </w:r>
      <w:r w:rsidR="15624022" w:rsidRPr="09E0FC6E">
        <w:rPr>
          <w:noProof/>
          <w:shd w:val="clear" w:color="auto" w:fill="FFFFFF"/>
          <w:lang w:val="en-IE"/>
        </w:rPr>
        <w:t>,</w:t>
      </w:r>
      <w:r w:rsidRPr="09E0FC6E">
        <w:rPr>
          <w:noProof/>
          <w:shd w:val="clear" w:color="auto" w:fill="FFFFFF"/>
          <w:lang w:val="en-IE"/>
        </w:rPr>
        <w:t xml:space="preserve"> resulting in </w:t>
      </w:r>
      <w:r w:rsidR="60436DCE" w:rsidRPr="09E0FC6E">
        <w:rPr>
          <w:noProof/>
          <w:lang w:val="en-IE"/>
        </w:rPr>
        <w:t xml:space="preserve">more concentrated markets, </w:t>
      </w:r>
      <w:r w:rsidRPr="09E0FC6E">
        <w:rPr>
          <w:noProof/>
          <w:shd w:val="clear" w:color="auto" w:fill="FFFFFF"/>
          <w:lang w:val="en-IE"/>
        </w:rPr>
        <w:t xml:space="preserve">higher costs and lower reliability of hedging. Several stakeholders </w:t>
      </w:r>
      <w:r w:rsidR="7D9EC12F">
        <w:rPr>
          <w:noProof/>
          <w:shd w:val="clear" w:color="auto" w:fill="FFFFFF"/>
          <w:lang w:val="en-IE"/>
        </w:rPr>
        <w:t>noted</w:t>
      </w:r>
      <w:r w:rsidR="7D9EC12F" w:rsidRPr="09E0FC6E">
        <w:rPr>
          <w:noProof/>
          <w:shd w:val="clear" w:color="auto" w:fill="FFFFFF"/>
          <w:lang w:val="en-IE"/>
        </w:rPr>
        <w:t xml:space="preserve"> </w:t>
      </w:r>
      <w:r w:rsidRPr="09E0FC6E">
        <w:rPr>
          <w:noProof/>
          <w:shd w:val="clear" w:color="auto" w:fill="FFFFFF"/>
          <w:lang w:val="en-IE"/>
        </w:rPr>
        <w:t>that these increased costs, whether direct or due to imperfect hedging, could ultimately be passed on as higher commodity prices to end-customers.</w:t>
      </w:r>
      <w:r w:rsidR="492B89BD" w:rsidRPr="09E0FC6E">
        <w:rPr>
          <w:noProof/>
          <w:shd w:val="clear" w:color="auto" w:fill="FFFFFF"/>
          <w:lang w:val="en-IE"/>
        </w:rPr>
        <w:t xml:space="preserve"> </w:t>
      </w:r>
    </w:p>
    <w:p w14:paraId="34EA5264" w14:textId="496CACDB" w:rsidR="00A9415A" w:rsidRPr="00575C33" w:rsidRDefault="451955EF" w:rsidP="21CB014D">
      <w:pPr>
        <w:rPr>
          <w:noProof/>
          <w:shd w:val="clear" w:color="auto" w:fill="FFFFFF"/>
          <w:lang w:val="en-IE"/>
        </w:rPr>
      </w:pPr>
      <w:r w:rsidRPr="21CB014D">
        <w:rPr>
          <w:noProof/>
          <w:shd w:val="clear" w:color="auto" w:fill="FFFFFF"/>
          <w:lang w:val="en-IE"/>
        </w:rPr>
        <w:t xml:space="preserve">The consultation also </w:t>
      </w:r>
      <w:r w:rsidR="776030A0" w:rsidRPr="21CB014D">
        <w:rPr>
          <w:noProof/>
          <w:shd w:val="clear" w:color="auto" w:fill="FFFFFF"/>
          <w:lang w:val="en-IE"/>
        </w:rPr>
        <w:t xml:space="preserve">sought </w:t>
      </w:r>
      <w:r w:rsidRPr="21CB014D">
        <w:rPr>
          <w:noProof/>
          <w:shd w:val="clear" w:color="auto" w:fill="FFFFFF"/>
          <w:lang w:val="en-IE"/>
        </w:rPr>
        <w:t xml:space="preserve">to assess whether stakeholders </w:t>
      </w:r>
      <w:r w:rsidR="4B84658C" w:rsidRPr="21CB014D">
        <w:rPr>
          <w:noProof/>
          <w:shd w:val="clear" w:color="auto" w:fill="FFFFFF"/>
          <w:lang w:val="en-IE"/>
        </w:rPr>
        <w:t>perceived that prudential requirements could have mitigated the liquidity stre</w:t>
      </w:r>
      <w:r w:rsidR="279963B6" w:rsidRPr="21CB014D">
        <w:rPr>
          <w:noProof/>
          <w:shd w:val="clear" w:color="auto" w:fill="FFFFFF"/>
          <w:lang w:val="en-IE"/>
        </w:rPr>
        <w:t>ss that some</w:t>
      </w:r>
      <w:r w:rsidR="7DAE1A41" w:rsidRPr="21CB014D">
        <w:rPr>
          <w:noProof/>
          <w:shd w:val="clear" w:color="auto" w:fill="FFFFFF"/>
          <w:lang w:val="en-IE"/>
        </w:rPr>
        <w:t xml:space="preserve"> market participants ha</w:t>
      </w:r>
      <w:r w:rsidR="776030A0" w:rsidRPr="21CB014D">
        <w:rPr>
          <w:noProof/>
          <w:shd w:val="clear" w:color="auto" w:fill="FFFFFF"/>
          <w:lang w:val="en-IE"/>
        </w:rPr>
        <w:t>d</w:t>
      </w:r>
      <w:r w:rsidR="7DAE1A41" w:rsidRPr="21CB014D">
        <w:rPr>
          <w:noProof/>
          <w:shd w:val="clear" w:color="auto" w:fill="FFFFFF"/>
          <w:lang w:val="en-IE"/>
        </w:rPr>
        <w:t xml:space="preserve"> experienced during the 2022 energy crisis and the related period of </w:t>
      </w:r>
      <w:r w:rsidR="6A40F4D7" w:rsidRPr="21CB014D">
        <w:rPr>
          <w:noProof/>
          <w:shd w:val="clear" w:color="auto" w:fill="FFFFFF"/>
          <w:lang w:val="en-IE"/>
        </w:rPr>
        <w:t xml:space="preserve">a </w:t>
      </w:r>
      <w:r w:rsidR="7DAE1A41" w:rsidRPr="21CB014D">
        <w:rPr>
          <w:noProof/>
          <w:shd w:val="clear" w:color="auto" w:fill="FFFFFF"/>
          <w:lang w:val="en-IE"/>
        </w:rPr>
        <w:t>surge in margin calls.</w:t>
      </w:r>
      <w:r w:rsidR="5A3CF97F" w:rsidRPr="21CB014D">
        <w:rPr>
          <w:noProof/>
          <w:shd w:val="clear" w:color="auto" w:fill="FFFFFF"/>
          <w:lang w:val="en-IE"/>
        </w:rPr>
        <w:t xml:space="preserve"> </w:t>
      </w:r>
      <w:r w:rsidR="47FB75A1" w:rsidRPr="21CB014D">
        <w:rPr>
          <w:noProof/>
          <w:shd w:val="clear" w:color="auto" w:fill="FFFFFF"/>
          <w:lang w:val="en-IE"/>
        </w:rPr>
        <w:t>All but one</w:t>
      </w:r>
      <w:r w:rsidR="716A851B" w:rsidRPr="21CB014D">
        <w:rPr>
          <w:noProof/>
          <w:shd w:val="clear" w:color="auto" w:fill="FFFFFF"/>
          <w:lang w:val="en-IE"/>
        </w:rPr>
        <w:t xml:space="preserve"> </w:t>
      </w:r>
      <w:r w:rsidR="4AA6DEF3" w:rsidRPr="21CB014D">
        <w:rPr>
          <w:noProof/>
          <w:shd w:val="clear" w:color="auto" w:fill="FFFFFF"/>
          <w:lang w:val="en-IE"/>
        </w:rPr>
        <w:t>stakeholder</w:t>
      </w:r>
      <w:r w:rsidR="716A851B" w:rsidRPr="21CB014D">
        <w:rPr>
          <w:noProof/>
          <w:shd w:val="clear" w:color="auto" w:fill="FFFFFF"/>
          <w:lang w:val="en-IE"/>
        </w:rPr>
        <w:t xml:space="preserve"> who responded</w:t>
      </w:r>
      <w:r w:rsidR="4AA6DEF3" w:rsidRPr="21CB014D">
        <w:rPr>
          <w:noProof/>
          <w:shd w:val="clear" w:color="auto" w:fill="FFFFFF"/>
          <w:lang w:val="en-IE"/>
        </w:rPr>
        <w:t xml:space="preserve"> </w:t>
      </w:r>
      <w:r w:rsidR="6BF2BCF3" w:rsidRPr="21CB014D">
        <w:rPr>
          <w:noProof/>
          <w:shd w:val="clear" w:color="auto" w:fill="FFFFFF"/>
          <w:lang w:val="en-IE"/>
        </w:rPr>
        <w:t>considered</w:t>
      </w:r>
      <w:r w:rsidR="4AA6DEF3" w:rsidRPr="21CB014D">
        <w:rPr>
          <w:noProof/>
          <w:shd w:val="clear" w:color="auto" w:fill="FFFFFF"/>
          <w:lang w:val="en-IE"/>
        </w:rPr>
        <w:t xml:space="preserve"> that such requirements would not have eased the situation and could have </w:t>
      </w:r>
      <w:r w:rsidR="50027C82" w:rsidRPr="21CB014D">
        <w:rPr>
          <w:noProof/>
          <w:shd w:val="clear" w:color="auto" w:fill="FFFFFF"/>
          <w:lang w:val="en-IE"/>
        </w:rPr>
        <w:t xml:space="preserve">even </w:t>
      </w:r>
      <w:r w:rsidR="4AA6DEF3" w:rsidRPr="21CB014D">
        <w:rPr>
          <w:noProof/>
          <w:shd w:val="clear" w:color="auto" w:fill="FFFFFF"/>
          <w:lang w:val="en-IE"/>
        </w:rPr>
        <w:t>worsened it by further restricting access to liquidity.</w:t>
      </w:r>
    </w:p>
    <w:p w14:paraId="5D41D66E" w14:textId="0C7E1685" w:rsidR="00131047" w:rsidRPr="00575C33" w:rsidRDefault="5C4FAE2F" w:rsidP="00AC60EB">
      <w:pPr>
        <w:rPr>
          <w:noProof/>
          <w:shd w:val="clear" w:color="auto" w:fill="FFFFFF"/>
          <w:lang w:val="en-IE"/>
        </w:rPr>
      </w:pPr>
      <w:r w:rsidRPr="14EFD746">
        <w:rPr>
          <w:noProof/>
          <w:shd w:val="clear" w:color="auto" w:fill="FFFFFF"/>
          <w:lang w:val="en-IE"/>
        </w:rPr>
        <w:t>S</w:t>
      </w:r>
      <w:r w:rsidR="35A7D06A" w:rsidRPr="14EFD746">
        <w:rPr>
          <w:noProof/>
          <w:shd w:val="clear" w:color="auto" w:fill="FFFFFF"/>
          <w:lang w:val="en-IE"/>
        </w:rPr>
        <w:t>ome</w:t>
      </w:r>
      <w:r w:rsidR="12860011" w:rsidRPr="14EFD746">
        <w:rPr>
          <w:noProof/>
          <w:shd w:val="clear" w:color="auto" w:fill="FFFFFF"/>
          <w:lang w:val="en-IE"/>
        </w:rPr>
        <w:t xml:space="preserve"> stakeholders pointed out that several key provisions related to commodity derivatives trading, such as market abuse rules, position reporting, and position limits, as well as EMIR reporting, apply irrespective of the regulatory status of commodity traders. These stakeholders questioned the necessity and added value of requiring commodity traders to attain full-fledged investment firm status. </w:t>
      </w:r>
      <w:r w:rsidR="52EDB769" w:rsidRPr="14EFD746">
        <w:rPr>
          <w:noProof/>
          <w:shd w:val="clear" w:color="auto" w:fill="FFFFFF"/>
          <w:lang w:val="en-IE"/>
        </w:rPr>
        <w:t>O</w:t>
      </w:r>
      <w:r w:rsidR="12860011" w:rsidRPr="14EFD746">
        <w:rPr>
          <w:noProof/>
          <w:shd w:val="clear" w:color="auto" w:fill="FFFFFF"/>
          <w:lang w:val="en-IE"/>
        </w:rPr>
        <w:t xml:space="preserve">nly </w:t>
      </w:r>
      <w:r w:rsidR="54AC3E61">
        <w:rPr>
          <w:noProof/>
          <w:shd w:val="clear" w:color="auto" w:fill="FFFFFF"/>
          <w:lang w:val="en-IE"/>
        </w:rPr>
        <w:t>three</w:t>
      </w:r>
      <w:r w:rsidR="54AC3E61" w:rsidRPr="14EFD746">
        <w:rPr>
          <w:noProof/>
          <w:shd w:val="clear" w:color="auto" w:fill="FFFFFF"/>
          <w:lang w:val="en-IE"/>
        </w:rPr>
        <w:t xml:space="preserve"> </w:t>
      </w:r>
      <w:r w:rsidR="12860011" w:rsidRPr="14EFD746">
        <w:rPr>
          <w:noProof/>
          <w:shd w:val="clear" w:color="auto" w:fill="FFFFFF"/>
          <w:lang w:val="en-IE"/>
        </w:rPr>
        <w:t xml:space="preserve">respondents </w:t>
      </w:r>
      <w:r w:rsidR="52EDB769" w:rsidRPr="14EFD746">
        <w:rPr>
          <w:noProof/>
          <w:shd w:val="clear" w:color="auto" w:fill="FFFFFF"/>
          <w:lang w:val="en-IE"/>
        </w:rPr>
        <w:t xml:space="preserve">out of </w:t>
      </w:r>
      <w:r w:rsidR="47FB75A1" w:rsidRPr="14EFD746">
        <w:rPr>
          <w:noProof/>
          <w:shd w:val="clear" w:color="auto" w:fill="FFFFFF"/>
          <w:lang w:val="en-IE"/>
        </w:rPr>
        <w:t>73</w:t>
      </w:r>
      <w:r w:rsidR="52EDB769" w:rsidRPr="14EFD746">
        <w:rPr>
          <w:noProof/>
          <w:shd w:val="clear" w:color="auto" w:fill="FFFFFF"/>
          <w:lang w:val="en-IE"/>
        </w:rPr>
        <w:t xml:space="preserve"> providing </w:t>
      </w:r>
      <w:r w:rsidR="63854216" w:rsidRPr="14EFD746">
        <w:rPr>
          <w:noProof/>
          <w:shd w:val="clear" w:color="auto" w:fill="FFFFFF"/>
          <w:lang w:val="en-IE"/>
        </w:rPr>
        <w:t xml:space="preserve">feedback on this point </w:t>
      </w:r>
      <w:r w:rsidR="363266EE">
        <w:rPr>
          <w:noProof/>
          <w:shd w:val="clear" w:color="auto" w:fill="FFFFFF"/>
          <w:lang w:val="en-IE"/>
        </w:rPr>
        <w:t>were open to the idea</w:t>
      </w:r>
      <w:r w:rsidR="00223D0E" w:rsidRPr="14EFD746">
        <w:rPr>
          <w:noProof/>
          <w:shd w:val="clear" w:color="auto" w:fill="FFFFFF"/>
          <w:lang w:val="en-IE"/>
        </w:rPr>
        <w:t xml:space="preserve"> </w:t>
      </w:r>
      <w:r w:rsidR="363266EE">
        <w:rPr>
          <w:noProof/>
          <w:shd w:val="clear" w:color="auto" w:fill="FFFFFF"/>
          <w:lang w:val="en-IE"/>
        </w:rPr>
        <w:t xml:space="preserve">of </w:t>
      </w:r>
      <w:r w:rsidR="12860011" w:rsidRPr="14EFD746">
        <w:rPr>
          <w:noProof/>
          <w:shd w:val="clear" w:color="auto" w:fill="FFFFFF"/>
          <w:lang w:val="en-IE"/>
        </w:rPr>
        <w:t>review</w:t>
      </w:r>
      <w:r w:rsidR="363266EE">
        <w:rPr>
          <w:noProof/>
          <w:shd w:val="clear" w:color="auto" w:fill="FFFFFF"/>
          <w:lang w:val="en-IE"/>
        </w:rPr>
        <w:t>ing</w:t>
      </w:r>
      <w:r w:rsidR="13E78F17" w:rsidRPr="14EFD746">
        <w:rPr>
          <w:noProof/>
          <w:shd w:val="clear" w:color="auto" w:fill="FFFFFF"/>
          <w:lang w:val="en-IE"/>
        </w:rPr>
        <w:t xml:space="preserve"> the</w:t>
      </w:r>
      <w:r w:rsidR="12860011" w:rsidRPr="14EFD746">
        <w:rPr>
          <w:noProof/>
          <w:shd w:val="clear" w:color="auto" w:fill="FFFFFF"/>
          <w:lang w:val="en-IE"/>
        </w:rPr>
        <w:t xml:space="preserve"> AAE </w:t>
      </w:r>
      <w:r w:rsidR="13E78F17" w:rsidRPr="14EFD746">
        <w:rPr>
          <w:noProof/>
          <w:shd w:val="clear" w:color="auto" w:fill="FFFFFF"/>
          <w:lang w:val="en-IE"/>
        </w:rPr>
        <w:t>regime</w:t>
      </w:r>
      <w:r w:rsidR="1DA5E488">
        <w:rPr>
          <w:noProof/>
          <w:shd w:val="clear" w:color="auto" w:fill="FFFFFF"/>
          <w:lang w:val="en-IE"/>
        </w:rPr>
        <w:t>, of which</w:t>
      </w:r>
      <w:r w:rsidR="0EEA1ED8">
        <w:rPr>
          <w:noProof/>
          <w:shd w:val="clear" w:color="auto" w:fill="FFFFFF"/>
          <w:lang w:val="en-IE"/>
        </w:rPr>
        <w:t xml:space="preserve"> only</w:t>
      </w:r>
      <w:r w:rsidR="1DA5E488">
        <w:rPr>
          <w:noProof/>
          <w:shd w:val="clear" w:color="auto" w:fill="FFFFFF"/>
          <w:lang w:val="en-IE"/>
        </w:rPr>
        <w:t xml:space="preserve"> one was explicitly calling for a reform</w:t>
      </w:r>
      <w:r w:rsidR="12860011" w:rsidRPr="14EFD746">
        <w:rPr>
          <w:noProof/>
          <w:shd w:val="clear" w:color="auto" w:fill="FFFFFF"/>
          <w:lang w:val="en-IE"/>
        </w:rPr>
        <w:t xml:space="preserve">. </w:t>
      </w:r>
      <w:r w:rsidR="47FB75A1" w:rsidRPr="14EFD746">
        <w:rPr>
          <w:noProof/>
          <w:shd w:val="clear" w:color="auto" w:fill="FFFFFF"/>
          <w:lang w:val="en-IE"/>
        </w:rPr>
        <w:t>Two public authorities (from the same Member State)</w:t>
      </w:r>
      <w:r w:rsidR="12860011" w:rsidRPr="14EFD746">
        <w:rPr>
          <w:noProof/>
          <w:shd w:val="clear" w:color="auto" w:fill="FFFFFF"/>
          <w:lang w:val="en-IE"/>
        </w:rPr>
        <w:t xml:space="preserve"> noted that if the AAE is reviewed, a tailored prudential regime for commodity traders should be established to address their specific risk profiles</w:t>
      </w:r>
      <w:r w:rsidR="42D3748B" w:rsidRPr="14EFD746">
        <w:rPr>
          <w:noProof/>
          <w:shd w:val="clear" w:color="auto" w:fill="FFFFFF"/>
          <w:lang w:val="en-IE"/>
        </w:rPr>
        <w:t xml:space="preserve"> and business models</w:t>
      </w:r>
      <w:r w:rsidR="12860011" w:rsidRPr="14EFD746">
        <w:rPr>
          <w:noProof/>
          <w:shd w:val="clear" w:color="auto" w:fill="FFFFFF"/>
          <w:lang w:val="en-IE"/>
        </w:rPr>
        <w:t>.</w:t>
      </w:r>
      <w:r w:rsidR="713C0B08" w:rsidRPr="14EFD746">
        <w:rPr>
          <w:noProof/>
          <w:shd w:val="clear" w:color="auto" w:fill="FFFFFF"/>
          <w:lang w:val="en-IE"/>
        </w:rPr>
        <w:t xml:space="preserve"> The Commission notes that, in term</w:t>
      </w:r>
      <w:r w:rsidR="2E485463">
        <w:rPr>
          <w:noProof/>
          <w:shd w:val="clear" w:color="auto" w:fill="FFFFFF"/>
          <w:lang w:val="en-IE"/>
        </w:rPr>
        <w:t>s</w:t>
      </w:r>
      <w:r w:rsidR="713C0B08" w:rsidRPr="14EFD746">
        <w:rPr>
          <w:noProof/>
          <w:shd w:val="clear" w:color="auto" w:fill="FFFFFF"/>
          <w:lang w:val="en-IE"/>
        </w:rPr>
        <w:t xml:space="preserve"> of conduct supervision and market oversight, no</w:t>
      </w:r>
      <w:r w:rsidR="162698A0" w:rsidRPr="14EFD746">
        <w:rPr>
          <w:noProof/>
          <w:shd w:val="clear" w:color="auto" w:fill="FFFFFF"/>
          <w:lang w:val="en-IE"/>
        </w:rPr>
        <w:t xml:space="preserve"> elements have been put forward </w:t>
      </w:r>
      <w:r w:rsidR="4188E3A8" w:rsidRPr="14EFD746">
        <w:rPr>
          <w:noProof/>
          <w:shd w:val="clear" w:color="auto" w:fill="FFFFFF"/>
          <w:lang w:val="en-IE"/>
        </w:rPr>
        <w:t xml:space="preserve">by respondents </w:t>
      </w:r>
      <w:r w:rsidR="162698A0" w:rsidRPr="14EFD746">
        <w:rPr>
          <w:noProof/>
          <w:shd w:val="clear" w:color="auto" w:fill="FFFFFF"/>
          <w:lang w:val="en-IE"/>
        </w:rPr>
        <w:t xml:space="preserve">that would </w:t>
      </w:r>
      <w:r w:rsidR="4CFC5727" w:rsidRPr="14EFD746">
        <w:rPr>
          <w:noProof/>
          <w:shd w:val="clear" w:color="auto" w:fill="FFFFFF"/>
          <w:lang w:val="en-IE"/>
        </w:rPr>
        <w:t xml:space="preserve">suggest </w:t>
      </w:r>
      <w:r w:rsidR="162698A0" w:rsidRPr="14EFD746">
        <w:rPr>
          <w:noProof/>
          <w:shd w:val="clear" w:color="auto" w:fill="FFFFFF"/>
          <w:lang w:val="en-IE"/>
        </w:rPr>
        <w:t xml:space="preserve">that </w:t>
      </w:r>
      <w:r w:rsidR="1C087DA5" w:rsidRPr="14EFD746">
        <w:rPr>
          <w:noProof/>
          <w:shd w:val="clear" w:color="auto" w:fill="FFFFFF"/>
          <w:lang w:val="en-IE"/>
        </w:rPr>
        <w:t>tightening the AAE would enhance the integrity of markets.</w:t>
      </w:r>
    </w:p>
    <w:p w14:paraId="41CC3538" w14:textId="17F70C23" w:rsidR="00131047" w:rsidRPr="00575C33" w:rsidRDefault="2DD333D8" w:rsidP="21CB014D">
      <w:pPr>
        <w:rPr>
          <w:noProof/>
          <w:shd w:val="clear" w:color="auto" w:fill="FFFFFF"/>
          <w:lang w:val="en-IE"/>
        </w:rPr>
      </w:pPr>
      <w:r w:rsidRPr="21CB014D">
        <w:rPr>
          <w:noProof/>
          <w:shd w:val="clear" w:color="auto" w:fill="FFFFFF"/>
          <w:lang w:val="en-IE"/>
        </w:rPr>
        <w:t>T</w:t>
      </w:r>
      <w:r w:rsidR="624BC8DF" w:rsidRPr="21CB014D">
        <w:rPr>
          <w:noProof/>
          <w:shd w:val="clear" w:color="auto" w:fill="FFFFFF"/>
          <w:lang w:val="en-IE"/>
        </w:rPr>
        <w:t xml:space="preserve">he Commission </w:t>
      </w:r>
      <w:r w:rsidR="676C074E" w:rsidRPr="21CB014D">
        <w:rPr>
          <w:noProof/>
          <w:shd w:val="clear" w:color="auto" w:fill="FFFFFF"/>
          <w:lang w:val="en-IE"/>
        </w:rPr>
        <w:t>notes</w:t>
      </w:r>
      <w:r w:rsidR="66A741FD" w:rsidRPr="21CB014D">
        <w:rPr>
          <w:noProof/>
          <w:shd w:val="clear" w:color="auto" w:fill="FFFFFF"/>
          <w:lang w:val="en-IE"/>
        </w:rPr>
        <w:t xml:space="preserve"> that</w:t>
      </w:r>
      <w:r w:rsidR="05A37437" w:rsidRPr="21CB014D">
        <w:rPr>
          <w:noProof/>
          <w:shd w:val="clear" w:color="auto" w:fill="FFFFFF"/>
          <w:lang w:val="en-IE"/>
        </w:rPr>
        <w:t xml:space="preserve"> </w:t>
      </w:r>
      <w:r w:rsidR="64C05FD3" w:rsidRPr="21CB014D">
        <w:rPr>
          <w:noProof/>
          <w:shd w:val="clear" w:color="auto" w:fill="FFFFFF"/>
          <w:lang w:val="en-IE"/>
        </w:rPr>
        <w:t>m</w:t>
      </w:r>
      <w:r w:rsidR="12860011" w:rsidRPr="21CB014D">
        <w:rPr>
          <w:noProof/>
          <w:shd w:val="clear" w:color="auto" w:fill="FFFFFF"/>
          <w:lang w:val="en-IE"/>
        </w:rPr>
        <w:t xml:space="preserve">any participants </w:t>
      </w:r>
      <w:r w:rsidR="6E190115" w:rsidRPr="21CB014D">
        <w:rPr>
          <w:noProof/>
          <w:shd w:val="clear" w:color="auto" w:fill="FFFFFF"/>
          <w:lang w:val="en-IE"/>
        </w:rPr>
        <w:t xml:space="preserve">were of the view </w:t>
      </w:r>
      <w:r w:rsidR="12860011" w:rsidRPr="21CB014D">
        <w:rPr>
          <w:noProof/>
          <w:shd w:val="clear" w:color="auto" w:fill="FFFFFF"/>
          <w:lang w:val="en-IE"/>
        </w:rPr>
        <w:t xml:space="preserve">that </w:t>
      </w:r>
      <w:r w:rsidR="676C074E" w:rsidRPr="21CB014D">
        <w:rPr>
          <w:noProof/>
          <w:shd w:val="clear" w:color="auto" w:fill="FFFFFF"/>
          <w:lang w:val="en-IE"/>
        </w:rPr>
        <w:t xml:space="preserve">the </w:t>
      </w:r>
      <w:r w:rsidR="12860011" w:rsidRPr="21CB014D">
        <w:rPr>
          <w:noProof/>
          <w:shd w:val="clear" w:color="auto" w:fill="FFFFFF"/>
          <w:lang w:val="en-IE"/>
        </w:rPr>
        <w:t xml:space="preserve">tightening </w:t>
      </w:r>
      <w:r w:rsidR="676C074E" w:rsidRPr="21CB014D">
        <w:rPr>
          <w:noProof/>
          <w:shd w:val="clear" w:color="auto" w:fill="FFFFFF"/>
          <w:lang w:val="en-IE"/>
        </w:rPr>
        <w:t xml:space="preserve">of </w:t>
      </w:r>
      <w:r w:rsidR="12860011" w:rsidRPr="21CB014D">
        <w:rPr>
          <w:noProof/>
          <w:shd w:val="clear" w:color="auto" w:fill="FFFFFF"/>
          <w:lang w:val="en-IE"/>
        </w:rPr>
        <w:t xml:space="preserve">the AAE </w:t>
      </w:r>
      <w:r w:rsidR="676C074E" w:rsidRPr="21CB014D">
        <w:rPr>
          <w:noProof/>
          <w:shd w:val="clear" w:color="auto" w:fill="FFFFFF"/>
          <w:lang w:val="en-IE"/>
        </w:rPr>
        <w:t>regime</w:t>
      </w:r>
      <w:r w:rsidR="12860011" w:rsidRPr="21CB014D">
        <w:rPr>
          <w:noProof/>
          <w:shd w:val="clear" w:color="auto" w:fill="FFFFFF"/>
          <w:lang w:val="en-IE"/>
        </w:rPr>
        <w:t xml:space="preserve"> would place </w:t>
      </w:r>
      <w:r w:rsidR="32136439" w:rsidRPr="21CB014D">
        <w:rPr>
          <w:noProof/>
          <w:shd w:val="clear" w:color="auto" w:fill="FFFFFF"/>
          <w:lang w:val="en-IE"/>
        </w:rPr>
        <w:t>the</w:t>
      </w:r>
      <w:r w:rsidR="12860011" w:rsidRPr="21CB014D">
        <w:rPr>
          <w:noProof/>
          <w:shd w:val="clear" w:color="auto" w:fill="FFFFFF"/>
          <w:lang w:val="en-IE"/>
        </w:rPr>
        <w:t xml:space="preserve"> EU commodity market participants at a competitive disadvantage</w:t>
      </w:r>
      <w:r w:rsidR="032AEDE2" w:rsidRPr="21CB014D">
        <w:rPr>
          <w:noProof/>
          <w:shd w:val="clear" w:color="auto" w:fill="FFFFFF"/>
          <w:lang w:val="en-IE"/>
        </w:rPr>
        <w:t xml:space="preserve"> compared to their global peers</w:t>
      </w:r>
      <w:r w:rsidR="12860011" w:rsidRPr="21CB014D">
        <w:rPr>
          <w:noProof/>
          <w:shd w:val="clear" w:color="auto" w:fill="FFFFFF"/>
          <w:lang w:val="en-IE"/>
        </w:rPr>
        <w:t xml:space="preserve">, especially as other jurisdictions adopt more flexible regulatory frameworks. </w:t>
      </w:r>
    </w:p>
    <w:p w14:paraId="52227777" w14:textId="417E04EA" w:rsidR="00131047" w:rsidRPr="00575C33" w:rsidRDefault="12860011" w:rsidP="21CB014D">
      <w:pPr>
        <w:rPr>
          <w:noProof/>
          <w:shd w:val="clear" w:color="auto" w:fill="FFFFFF"/>
          <w:lang w:val="en-IE"/>
        </w:rPr>
      </w:pPr>
      <w:r w:rsidRPr="21CB014D">
        <w:rPr>
          <w:noProof/>
          <w:shd w:val="clear" w:color="auto" w:fill="FFFFFF"/>
          <w:lang w:val="en-IE"/>
        </w:rPr>
        <w:t xml:space="preserve">Regarding the </w:t>
      </w:r>
      <w:r w:rsidR="4FF522E9" w:rsidRPr="21CB014D">
        <w:rPr>
          <w:noProof/>
          <w:shd w:val="clear" w:color="auto" w:fill="FFFFFF"/>
          <w:lang w:val="en-IE"/>
        </w:rPr>
        <w:t>structure and functioning of the three tests</w:t>
      </w:r>
      <w:r w:rsidRPr="21CB014D">
        <w:rPr>
          <w:noProof/>
          <w:shd w:val="clear" w:color="auto" w:fill="FFFFFF"/>
          <w:lang w:val="en-IE"/>
        </w:rPr>
        <w:t xml:space="preserve">, the consultation showed that all three tests are valuable and </w:t>
      </w:r>
      <w:r w:rsidR="53B5744B" w:rsidRPr="21CB014D">
        <w:rPr>
          <w:noProof/>
          <w:shd w:val="clear" w:color="auto" w:fill="FFFFFF"/>
          <w:lang w:val="en-IE"/>
        </w:rPr>
        <w:t>used</w:t>
      </w:r>
      <w:r w:rsidR="77C4363B" w:rsidRPr="21CB014D">
        <w:rPr>
          <w:noProof/>
          <w:shd w:val="clear" w:color="auto" w:fill="FFFFFF"/>
          <w:lang w:val="en-IE"/>
        </w:rPr>
        <w:t xml:space="preserve"> </w:t>
      </w:r>
      <w:r w:rsidRPr="21CB014D">
        <w:rPr>
          <w:noProof/>
          <w:shd w:val="clear" w:color="auto" w:fill="FFFFFF"/>
          <w:lang w:val="en-IE"/>
        </w:rPr>
        <w:t>by respondents. This is despite the Commission</w:t>
      </w:r>
      <w:r w:rsidR="2BE8FA91" w:rsidRPr="21CB014D">
        <w:rPr>
          <w:noProof/>
          <w:shd w:val="clear" w:color="auto" w:fill="FFFFFF"/>
          <w:lang w:val="en-IE"/>
        </w:rPr>
        <w:t>’</w:t>
      </w:r>
      <w:r w:rsidRPr="21CB014D">
        <w:rPr>
          <w:noProof/>
          <w:shd w:val="clear" w:color="auto" w:fill="FFFFFF"/>
          <w:lang w:val="en-IE"/>
        </w:rPr>
        <w:t xml:space="preserve">s understanding that no entity currently benefiting from the AAE would </w:t>
      </w:r>
      <w:r w:rsidR="2BE8FA91" w:rsidRPr="21CB014D">
        <w:rPr>
          <w:noProof/>
          <w:shd w:val="clear" w:color="auto" w:fill="FFFFFF"/>
          <w:lang w:val="en-IE"/>
        </w:rPr>
        <w:t xml:space="preserve">fail </w:t>
      </w:r>
      <w:r w:rsidRPr="21CB014D">
        <w:rPr>
          <w:noProof/>
          <w:shd w:val="clear" w:color="auto" w:fill="FFFFFF"/>
          <w:lang w:val="en-IE"/>
        </w:rPr>
        <w:t xml:space="preserve">the de minimis test. </w:t>
      </w:r>
      <w:r w:rsidR="613BCE4D" w:rsidRPr="21CB014D">
        <w:rPr>
          <w:noProof/>
          <w:shd w:val="clear" w:color="auto" w:fill="FFFFFF"/>
          <w:lang w:val="en-IE"/>
        </w:rPr>
        <w:t>Stakeholders considered that changing</w:t>
      </w:r>
      <w:r w:rsidRPr="21CB014D">
        <w:rPr>
          <w:noProof/>
          <w:shd w:val="clear" w:color="auto" w:fill="FFFFFF"/>
          <w:lang w:val="en-IE"/>
        </w:rPr>
        <w:t xml:space="preserve"> or removing any of th</w:t>
      </w:r>
      <w:r w:rsidR="733A5DB8" w:rsidRPr="21CB014D">
        <w:rPr>
          <w:noProof/>
          <w:shd w:val="clear" w:color="auto" w:fill="FFFFFF"/>
          <w:lang w:val="en-IE"/>
        </w:rPr>
        <w:t>o</w:t>
      </w:r>
      <w:r w:rsidRPr="21CB014D">
        <w:rPr>
          <w:noProof/>
          <w:shd w:val="clear" w:color="auto" w:fill="FFFFFF"/>
          <w:lang w:val="en-IE"/>
        </w:rPr>
        <w:t>se tests would incur adaptation costs for market participants, who have already implemented systems and procedures to comply with their chosen test.</w:t>
      </w:r>
    </w:p>
    <w:p w14:paraId="0F4DED12" w14:textId="7A9A08E8" w:rsidR="00131047" w:rsidRPr="00575C33" w:rsidRDefault="12860011" w:rsidP="21CB014D">
      <w:pPr>
        <w:rPr>
          <w:noProof/>
          <w:shd w:val="clear" w:color="auto" w:fill="FFFFFF"/>
          <w:lang w:val="en-IE"/>
        </w:rPr>
      </w:pPr>
      <w:r w:rsidRPr="21CB014D">
        <w:rPr>
          <w:noProof/>
          <w:shd w:val="clear" w:color="auto" w:fill="FFFFFF"/>
          <w:lang w:val="en-IE"/>
        </w:rPr>
        <w:t xml:space="preserve">Similarly, </w:t>
      </w:r>
      <w:r w:rsidR="2BE8FA91" w:rsidRPr="21CB014D">
        <w:rPr>
          <w:noProof/>
          <w:shd w:val="clear" w:color="auto" w:fill="FFFFFF"/>
          <w:lang w:val="en-IE"/>
        </w:rPr>
        <w:t xml:space="preserve">stakeholders held that </w:t>
      </w:r>
      <w:r w:rsidRPr="21CB014D">
        <w:rPr>
          <w:noProof/>
          <w:shd w:val="clear" w:color="auto" w:fill="FFFFFF"/>
          <w:lang w:val="en-IE"/>
        </w:rPr>
        <w:t xml:space="preserve">any changes to the methodologies for calculating </w:t>
      </w:r>
      <w:r w:rsidR="6A0BC3AB" w:rsidRPr="21CB014D">
        <w:rPr>
          <w:noProof/>
          <w:shd w:val="clear" w:color="auto" w:fill="FFFFFF"/>
          <w:lang w:val="en-IE"/>
        </w:rPr>
        <w:t xml:space="preserve">the </w:t>
      </w:r>
      <w:r w:rsidRPr="21CB014D">
        <w:rPr>
          <w:noProof/>
          <w:shd w:val="clear" w:color="auto" w:fill="FFFFFF"/>
          <w:lang w:val="en-IE"/>
        </w:rPr>
        <w:t xml:space="preserve">relevant thresholds would require </w:t>
      </w:r>
      <w:r w:rsidR="2BE8FA91" w:rsidRPr="21CB014D">
        <w:rPr>
          <w:noProof/>
          <w:shd w:val="clear" w:color="auto" w:fill="FFFFFF"/>
          <w:lang w:val="en-IE"/>
        </w:rPr>
        <w:t xml:space="preserve">unnecessary </w:t>
      </w:r>
      <w:r w:rsidRPr="21CB014D">
        <w:rPr>
          <w:noProof/>
          <w:shd w:val="clear" w:color="auto" w:fill="FFFFFF"/>
          <w:lang w:val="en-IE"/>
        </w:rPr>
        <w:t xml:space="preserve">adaptations. Specifically, shifting to a gross trading activity-based threshold, as </w:t>
      </w:r>
      <w:r w:rsidR="35C584A7" w:rsidRPr="21CB014D">
        <w:rPr>
          <w:noProof/>
          <w:shd w:val="clear" w:color="auto" w:fill="FFFFFF"/>
          <w:lang w:val="en-IE"/>
        </w:rPr>
        <w:t xml:space="preserve">that employed </w:t>
      </w:r>
      <w:r w:rsidRPr="21CB014D">
        <w:rPr>
          <w:noProof/>
          <w:shd w:val="clear" w:color="auto" w:fill="FFFFFF"/>
          <w:lang w:val="en-IE"/>
        </w:rPr>
        <w:t xml:space="preserve">the US, </w:t>
      </w:r>
      <w:r w:rsidR="35C584A7" w:rsidRPr="21CB014D">
        <w:rPr>
          <w:noProof/>
          <w:shd w:val="clear" w:color="auto" w:fill="FFFFFF"/>
          <w:lang w:val="en-IE"/>
        </w:rPr>
        <w:t xml:space="preserve">based on </w:t>
      </w:r>
      <w:r w:rsidRPr="21CB014D">
        <w:rPr>
          <w:noProof/>
          <w:shd w:val="clear" w:color="auto" w:fill="FFFFFF"/>
          <w:lang w:val="en-IE"/>
        </w:rPr>
        <w:t xml:space="preserve">overall trading activity, </w:t>
      </w:r>
      <w:r w:rsidR="69A8A539" w:rsidRPr="21CB014D">
        <w:rPr>
          <w:noProof/>
          <w:shd w:val="clear" w:color="auto" w:fill="FFFFFF"/>
          <w:lang w:val="en-IE"/>
        </w:rPr>
        <w:t>wa</w:t>
      </w:r>
      <w:r w:rsidRPr="21CB014D">
        <w:rPr>
          <w:noProof/>
          <w:shd w:val="clear" w:color="auto" w:fill="FFFFFF"/>
          <w:lang w:val="en-IE"/>
        </w:rPr>
        <w:t xml:space="preserve">s viewed </w:t>
      </w:r>
      <w:r w:rsidR="1A40CC1D" w:rsidRPr="21CB014D">
        <w:rPr>
          <w:noProof/>
          <w:shd w:val="clear" w:color="auto" w:fill="FFFFFF"/>
          <w:lang w:val="en-IE"/>
        </w:rPr>
        <w:t xml:space="preserve">by respondents </w:t>
      </w:r>
      <w:r w:rsidRPr="21CB014D">
        <w:rPr>
          <w:noProof/>
          <w:shd w:val="clear" w:color="auto" w:fill="FFFFFF"/>
          <w:lang w:val="en-IE"/>
        </w:rPr>
        <w:t>as incompatible with the risk-based approach under MiFID</w:t>
      </w:r>
      <w:r w:rsidR="021764E5" w:rsidRPr="21CB014D">
        <w:rPr>
          <w:noProof/>
          <w:shd w:val="clear" w:color="auto" w:fill="FFFFFF"/>
          <w:lang w:val="en-IE"/>
        </w:rPr>
        <w:t xml:space="preserve"> II</w:t>
      </w:r>
      <w:r w:rsidRPr="21CB014D">
        <w:rPr>
          <w:noProof/>
          <w:shd w:val="clear" w:color="auto" w:fill="FFFFFF"/>
          <w:lang w:val="en-IE"/>
        </w:rPr>
        <w:t>, which is best reflected in a net trading activity-based threshold.</w:t>
      </w:r>
    </w:p>
    <w:p w14:paraId="183F2AA3" w14:textId="78F0F2D2" w:rsidR="00131047" w:rsidRPr="00575C33" w:rsidRDefault="12860011" w:rsidP="21CB014D">
      <w:pPr>
        <w:rPr>
          <w:noProof/>
          <w:shd w:val="clear" w:color="auto" w:fill="FFFFFF"/>
          <w:lang w:val="en-IE"/>
        </w:rPr>
      </w:pPr>
      <w:r w:rsidRPr="21CB014D">
        <w:rPr>
          <w:noProof/>
          <w:shd w:val="clear" w:color="auto" w:fill="FFFFFF"/>
          <w:lang w:val="en-IE"/>
        </w:rPr>
        <w:t xml:space="preserve">Finally, regarding the removal of yearly notifications </w:t>
      </w:r>
      <w:r w:rsidR="40C82036" w:rsidRPr="21CB014D">
        <w:rPr>
          <w:noProof/>
          <w:shd w:val="clear" w:color="auto" w:fill="FFFFFF"/>
          <w:lang w:val="en-IE"/>
        </w:rPr>
        <w:t>on</w:t>
      </w:r>
      <w:r w:rsidRPr="21CB014D">
        <w:rPr>
          <w:noProof/>
          <w:shd w:val="clear" w:color="auto" w:fill="FFFFFF"/>
          <w:lang w:val="en-IE"/>
        </w:rPr>
        <w:t xml:space="preserve"> </w:t>
      </w:r>
      <w:r w:rsidR="4DC913E0" w:rsidRPr="21CB014D">
        <w:rPr>
          <w:noProof/>
          <w:shd w:val="clear" w:color="auto" w:fill="FFFFFF"/>
          <w:lang w:val="en-IE"/>
        </w:rPr>
        <w:t>compliance with</w:t>
      </w:r>
      <w:r w:rsidRPr="21CB014D">
        <w:rPr>
          <w:noProof/>
          <w:shd w:val="clear" w:color="auto" w:fill="FFFFFF"/>
          <w:lang w:val="en-IE"/>
        </w:rPr>
        <w:t xml:space="preserve"> </w:t>
      </w:r>
      <w:r w:rsidR="6322C858" w:rsidRPr="21CB014D">
        <w:rPr>
          <w:noProof/>
          <w:shd w:val="clear" w:color="auto" w:fill="FFFFFF"/>
          <w:lang w:val="en-IE"/>
        </w:rPr>
        <w:t xml:space="preserve">the </w:t>
      </w:r>
      <w:r w:rsidRPr="21CB014D">
        <w:rPr>
          <w:noProof/>
          <w:shd w:val="clear" w:color="auto" w:fill="FFFFFF"/>
          <w:lang w:val="en-IE"/>
        </w:rPr>
        <w:t xml:space="preserve">AAE thresholds by commodity derivatives traders, </w:t>
      </w:r>
      <w:r w:rsidR="4ACA957F" w:rsidRPr="21CB014D">
        <w:rPr>
          <w:noProof/>
          <w:shd w:val="clear" w:color="auto" w:fill="FFFFFF"/>
          <w:lang w:val="en-IE"/>
        </w:rPr>
        <w:t xml:space="preserve">more than half of the </w:t>
      </w:r>
      <w:r w:rsidRPr="21CB014D">
        <w:rPr>
          <w:noProof/>
          <w:shd w:val="clear" w:color="auto" w:fill="FFFFFF"/>
          <w:lang w:val="en-IE"/>
        </w:rPr>
        <w:t xml:space="preserve">respondents </w:t>
      </w:r>
      <w:r w:rsidR="4DC913E0" w:rsidRPr="21CB014D">
        <w:rPr>
          <w:noProof/>
          <w:shd w:val="clear" w:color="auto" w:fill="FFFFFF"/>
          <w:lang w:val="en-IE"/>
        </w:rPr>
        <w:t>were of the</w:t>
      </w:r>
      <w:r w:rsidR="149DAA39" w:rsidRPr="21CB014D">
        <w:rPr>
          <w:noProof/>
          <w:shd w:val="clear" w:color="auto" w:fill="FFFFFF"/>
          <w:lang w:val="en-IE"/>
        </w:rPr>
        <w:t xml:space="preserve"> view </w:t>
      </w:r>
      <w:r w:rsidRPr="21CB014D">
        <w:rPr>
          <w:noProof/>
          <w:shd w:val="clear" w:color="auto" w:fill="FFFFFF"/>
          <w:lang w:val="en-IE"/>
        </w:rPr>
        <w:t xml:space="preserve">that the CMRP amendment </w:t>
      </w:r>
      <w:r w:rsidR="4DC913E0" w:rsidRPr="21CB014D">
        <w:rPr>
          <w:noProof/>
          <w:shd w:val="clear" w:color="auto" w:fill="FFFFFF"/>
          <w:lang w:val="en-IE"/>
        </w:rPr>
        <w:t xml:space="preserve">has </w:t>
      </w:r>
      <w:r w:rsidRPr="21CB014D">
        <w:rPr>
          <w:noProof/>
          <w:shd w:val="clear" w:color="auto" w:fill="FFFFFF"/>
          <w:lang w:val="en-IE"/>
        </w:rPr>
        <w:t xml:space="preserve">reduced administrative burdens and red tape. </w:t>
      </w:r>
      <w:r w:rsidR="7FB55B4A" w:rsidRPr="21CB014D">
        <w:rPr>
          <w:noProof/>
          <w:shd w:val="clear" w:color="auto" w:fill="FFFFFF"/>
          <w:lang w:val="en-IE"/>
        </w:rPr>
        <w:t>Multiple r</w:t>
      </w:r>
      <w:r w:rsidRPr="21CB014D">
        <w:rPr>
          <w:noProof/>
          <w:shd w:val="clear" w:color="auto" w:fill="FFFFFF"/>
          <w:lang w:val="en-IE"/>
        </w:rPr>
        <w:t>espondents emphasi</w:t>
      </w:r>
      <w:r w:rsidR="667A61DE" w:rsidRPr="21CB014D">
        <w:rPr>
          <w:noProof/>
          <w:shd w:val="clear" w:color="auto" w:fill="FFFFFF"/>
          <w:lang w:val="en-IE"/>
        </w:rPr>
        <w:t>s</w:t>
      </w:r>
      <w:r w:rsidRPr="21CB014D">
        <w:rPr>
          <w:noProof/>
          <w:shd w:val="clear" w:color="auto" w:fill="FFFFFF"/>
          <w:lang w:val="en-IE"/>
        </w:rPr>
        <w:t xml:space="preserve">ed that information could still be requested by NCAs on an ad hoc basis, beyond what is already provided </w:t>
      </w:r>
      <w:r w:rsidR="677B6E0D" w:rsidRPr="21CB014D">
        <w:rPr>
          <w:noProof/>
          <w:shd w:val="clear" w:color="auto" w:fill="FFFFFF"/>
          <w:lang w:val="en-IE"/>
        </w:rPr>
        <w:t>based on the</w:t>
      </w:r>
      <w:r w:rsidRPr="21CB014D">
        <w:rPr>
          <w:noProof/>
          <w:shd w:val="clear" w:color="auto" w:fill="FFFFFF"/>
          <w:lang w:val="en-IE"/>
        </w:rPr>
        <w:t xml:space="preserve"> MiFID </w:t>
      </w:r>
      <w:r w:rsidR="677B6E0D" w:rsidRPr="21CB014D">
        <w:rPr>
          <w:noProof/>
          <w:shd w:val="clear" w:color="auto" w:fill="FFFFFF"/>
          <w:lang w:val="en-IE"/>
        </w:rPr>
        <w:t>II</w:t>
      </w:r>
      <w:r w:rsidRPr="21CB014D">
        <w:rPr>
          <w:noProof/>
          <w:shd w:val="clear" w:color="auto" w:fill="FFFFFF"/>
          <w:lang w:val="en-IE"/>
        </w:rPr>
        <w:t xml:space="preserve"> and EMIR reporting. However, some </w:t>
      </w:r>
      <w:r w:rsidR="677B6E0D" w:rsidRPr="21CB014D">
        <w:rPr>
          <w:noProof/>
          <w:shd w:val="clear" w:color="auto" w:fill="FFFFFF"/>
          <w:lang w:val="en-IE"/>
        </w:rPr>
        <w:t xml:space="preserve">responders </w:t>
      </w:r>
      <w:r w:rsidRPr="21CB014D">
        <w:rPr>
          <w:noProof/>
          <w:shd w:val="clear" w:color="auto" w:fill="FFFFFF"/>
          <w:lang w:val="en-IE"/>
        </w:rPr>
        <w:t xml:space="preserve">suggested considering a one-time initial notification to a single NCA or ESMA to maintain an EU-wide record of entities active in commodity derivatives markets. While not excessively burdensome for firms, </w:t>
      </w:r>
      <w:r w:rsidR="4DC913E0" w:rsidRPr="21CB014D">
        <w:rPr>
          <w:noProof/>
          <w:shd w:val="clear" w:color="auto" w:fill="FFFFFF"/>
          <w:lang w:val="en-IE"/>
        </w:rPr>
        <w:t xml:space="preserve">such a notification </w:t>
      </w:r>
      <w:r w:rsidRPr="21CB014D">
        <w:rPr>
          <w:noProof/>
          <w:shd w:val="clear" w:color="auto" w:fill="FFFFFF"/>
          <w:lang w:val="en-IE"/>
        </w:rPr>
        <w:t>could provide supervisors with a comprehensive view of market participants</w:t>
      </w:r>
      <w:r w:rsidR="390F8406" w:rsidRPr="21CB014D">
        <w:rPr>
          <w:noProof/>
          <w:shd w:val="clear" w:color="auto" w:fill="FFFFFF"/>
          <w:lang w:val="en-IE"/>
        </w:rPr>
        <w:t xml:space="preserve"> (notably if coupled with a notification from firm</w:t>
      </w:r>
      <w:r w:rsidR="679E66EC" w:rsidRPr="21CB014D">
        <w:rPr>
          <w:noProof/>
          <w:shd w:val="clear" w:color="auto" w:fill="FFFFFF"/>
          <w:lang w:val="en-IE"/>
        </w:rPr>
        <w:t>s</w:t>
      </w:r>
      <w:r w:rsidR="390F8406" w:rsidRPr="21CB014D">
        <w:rPr>
          <w:noProof/>
          <w:shd w:val="clear" w:color="auto" w:fill="FFFFFF"/>
          <w:lang w:val="en-IE"/>
        </w:rPr>
        <w:t xml:space="preserve"> ceasing </w:t>
      </w:r>
      <w:r w:rsidR="679E66EC" w:rsidRPr="21CB014D">
        <w:rPr>
          <w:noProof/>
          <w:shd w:val="clear" w:color="auto" w:fill="FFFFFF"/>
          <w:lang w:val="en-IE"/>
        </w:rPr>
        <w:t>their</w:t>
      </w:r>
      <w:r w:rsidR="390F8406" w:rsidRPr="21CB014D">
        <w:rPr>
          <w:noProof/>
          <w:shd w:val="clear" w:color="auto" w:fill="FFFFFF"/>
          <w:lang w:val="en-IE"/>
        </w:rPr>
        <w:t xml:space="preserve"> activity in commodity derivatives markets)</w:t>
      </w:r>
      <w:r w:rsidRPr="21CB014D">
        <w:rPr>
          <w:noProof/>
          <w:shd w:val="clear" w:color="auto" w:fill="FFFFFF"/>
          <w:lang w:val="en-IE"/>
        </w:rPr>
        <w:t>.</w:t>
      </w:r>
    </w:p>
    <w:p w14:paraId="36956D33" w14:textId="564583CE" w:rsidR="00B86A4A" w:rsidRPr="00AC60EB" w:rsidRDefault="00D01450" w:rsidP="00AC60EB">
      <w:pPr>
        <w:rPr>
          <w:rStyle w:val="normaltextrun"/>
          <w:i/>
          <w:noProof/>
          <w:lang w:val="en-US" w:eastAsia="en-IE"/>
        </w:rPr>
      </w:pPr>
      <w:r>
        <w:rPr>
          <w:i/>
          <w:noProof/>
          <w:lang w:val="en-US" w:eastAsia="en-IE"/>
        </w:rPr>
        <w:t xml:space="preserve">Conclusions of the </w:t>
      </w:r>
      <w:r w:rsidRPr="001A7809">
        <w:rPr>
          <w:i/>
          <w:noProof/>
          <w:lang w:val="en-US" w:eastAsia="en-IE"/>
        </w:rPr>
        <w:t>Commission</w:t>
      </w:r>
      <w:r>
        <w:rPr>
          <w:i/>
          <w:noProof/>
          <w:lang w:val="en-US" w:eastAsia="en-IE"/>
        </w:rPr>
        <w:t>’s</w:t>
      </w:r>
      <w:r w:rsidRPr="001A7809">
        <w:rPr>
          <w:i/>
          <w:noProof/>
          <w:lang w:val="en-US" w:eastAsia="en-IE"/>
        </w:rPr>
        <w:t xml:space="preserve"> </w:t>
      </w:r>
      <w:r>
        <w:rPr>
          <w:i/>
          <w:noProof/>
          <w:lang w:val="en-US" w:eastAsia="en-IE"/>
        </w:rPr>
        <w:t>assessment</w:t>
      </w:r>
    </w:p>
    <w:p w14:paraId="5D90C76E" w14:textId="621723E3" w:rsidR="004C4949" w:rsidRPr="00575C33" w:rsidRDefault="00A85539" w:rsidP="00AC60EB">
      <w:pPr>
        <w:rPr>
          <w:rStyle w:val="normaltextrun"/>
          <w:noProof/>
          <w:shd w:val="clear" w:color="auto" w:fill="FFFFFF"/>
        </w:rPr>
      </w:pPr>
      <w:r w:rsidRPr="09E0FC6E">
        <w:rPr>
          <w:rStyle w:val="normaltextrun"/>
          <w:noProof/>
          <w:shd w:val="clear" w:color="auto" w:fill="FFFFFF"/>
        </w:rPr>
        <w:t>Based on stakeholder</w:t>
      </w:r>
      <w:r w:rsidR="00B86A4A" w:rsidRPr="09E0FC6E">
        <w:rPr>
          <w:rStyle w:val="normaltextrun"/>
          <w:noProof/>
          <w:shd w:val="clear" w:color="auto" w:fill="FFFFFF"/>
        </w:rPr>
        <w:t>s’</w:t>
      </w:r>
      <w:r w:rsidRPr="09E0FC6E">
        <w:rPr>
          <w:rStyle w:val="normaltextrun"/>
          <w:noProof/>
          <w:shd w:val="clear" w:color="auto" w:fill="FFFFFF"/>
        </w:rPr>
        <w:t xml:space="preserve"> feedback, </w:t>
      </w:r>
      <w:r w:rsidR="00F20736" w:rsidRPr="09E0FC6E">
        <w:rPr>
          <w:rStyle w:val="normaltextrun"/>
          <w:noProof/>
        </w:rPr>
        <w:t>no material element</w:t>
      </w:r>
      <w:r w:rsidR="006442BF" w:rsidRPr="09E0FC6E">
        <w:rPr>
          <w:rStyle w:val="normaltextrun"/>
          <w:noProof/>
          <w:shd w:val="clear" w:color="auto" w:fill="FFFFFF"/>
        </w:rPr>
        <w:t xml:space="preserve"> has been </w:t>
      </w:r>
      <w:r w:rsidR="00F20736" w:rsidRPr="09E0FC6E">
        <w:rPr>
          <w:rStyle w:val="normaltextrun"/>
          <w:noProof/>
        </w:rPr>
        <w:t>reported</w:t>
      </w:r>
      <w:r w:rsidR="006442BF" w:rsidRPr="09E0FC6E">
        <w:rPr>
          <w:rStyle w:val="normaltextrun"/>
          <w:noProof/>
          <w:shd w:val="clear" w:color="auto" w:fill="FFFFFF"/>
        </w:rPr>
        <w:t xml:space="preserve"> </w:t>
      </w:r>
      <w:r w:rsidR="6C574255" w:rsidRPr="0F3E0610">
        <w:rPr>
          <w:rStyle w:val="normaltextrun"/>
          <w:noProof/>
          <w:shd w:val="clear" w:color="auto" w:fill="FFFFFF"/>
        </w:rPr>
        <w:t>that</w:t>
      </w:r>
      <w:r w:rsidR="006442BF" w:rsidRPr="09E0FC6E">
        <w:rPr>
          <w:rStyle w:val="normaltextrun"/>
          <w:noProof/>
          <w:shd w:val="clear" w:color="auto" w:fill="FFFFFF"/>
        </w:rPr>
        <w:t xml:space="preserve"> would </w:t>
      </w:r>
      <w:r w:rsidR="18FC9513" w:rsidRPr="09E0FC6E">
        <w:rPr>
          <w:rStyle w:val="normaltextrun"/>
          <w:noProof/>
        </w:rPr>
        <w:t>suggest</w:t>
      </w:r>
      <w:r w:rsidR="00BD6267" w:rsidRPr="09E0FC6E">
        <w:rPr>
          <w:rStyle w:val="normaltextrun"/>
          <w:noProof/>
        </w:rPr>
        <w:t xml:space="preserve"> </w:t>
      </w:r>
      <w:r w:rsidR="006442BF" w:rsidRPr="09E0FC6E">
        <w:rPr>
          <w:rStyle w:val="normaltextrun"/>
          <w:noProof/>
          <w:shd w:val="clear" w:color="auto" w:fill="FFFFFF"/>
        </w:rPr>
        <w:t>that</w:t>
      </w:r>
      <w:r w:rsidRPr="09E0FC6E">
        <w:rPr>
          <w:rStyle w:val="normaltextrun"/>
          <w:noProof/>
          <w:shd w:val="clear" w:color="auto" w:fill="FFFFFF"/>
        </w:rPr>
        <w:t xml:space="preserve"> the</w:t>
      </w:r>
      <w:r w:rsidR="006442BF" w:rsidRPr="09E0FC6E">
        <w:rPr>
          <w:rStyle w:val="normaltextrun"/>
          <w:noProof/>
          <w:shd w:val="clear" w:color="auto" w:fill="FFFFFF"/>
        </w:rPr>
        <w:t xml:space="preserve"> AAE </w:t>
      </w:r>
      <w:r w:rsidR="0067570F" w:rsidRPr="09E0FC6E">
        <w:rPr>
          <w:rStyle w:val="normaltextrun"/>
          <w:noProof/>
          <w:shd w:val="clear" w:color="auto" w:fill="FFFFFF"/>
        </w:rPr>
        <w:t>is</w:t>
      </w:r>
      <w:r w:rsidR="006442BF" w:rsidRPr="09E0FC6E">
        <w:rPr>
          <w:rStyle w:val="normaltextrun"/>
          <w:noProof/>
          <w:shd w:val="clear" w:color="auto" w:fill="FFFFFF"/>
        </w:rPr>
        <w:t xml:space="preserve"> not</w:t>
      </w:r>
      <w:r w:rsidRPr="09E0FC6E">
        <w:rPr>
          <w:rStyle w:val="normaltextrun"/>
          <w:noProof/>
          <w:shd w:val="clear" w:color="auto" w:fill="FFFFFF"/>
        </w:rPr>
        <w:t xml:space="preserve"> functioning adequately. </w:t>
      </w:r>
      <w:r w:rsidR="00816C7A" w:rsidRPr="09E0FC6E">
        <w:rPr>
          <w:rStyle w:val="normaltextrun"/>
          <w:noProof/>
          <w:shd w:val="clear" w:color="auto" w:fill="FFFFFF"/>
        </w:rPr>
        <w:t xml:space="preserve">Still on the basis of this feedback, </w:t>
      </w:r>
      <w:r w:rsidR="006B6786" w:rsidRPr="09E0FC6E">
        <w:rPr>
          <w:rStyle w:val="normaltextrun"/>
          <w:noProof/>
        </w:rPr>
        <w:t xml:space="preserve">it appears that </w:t>
      </w:r>
      <w:r w:rsidR="00816C7A">
        <w:rPr>
          <w:rStyle w:val="normaltextrun"/>
          <w:noProof/>
          <w:shd w:val="clear" w:color="auto" w:fill="FFFFFF"/>
        </w:rPr>
        <w:t>a</w:t>
      </w:r>
      <w:r w:rsidR="61DDD03C" w:rsidRPr="75B17000">
        <w:rPr>
          <w:rStyle w:val="normaltextrun"/>
          <w:noProof/>
          <w:shd w:val="clear" w:color="auto" w:fill="FFFFFF"/>
        </w:rPr>
        <w:t>ltering</w:t>
      </w:r>
      <w:r w:rsidRPr="09E0FC6E">
        <w:rPr>
          <w:rStyle w:val="normaltextrun"/>
          <w:noProof/>
          <w:shd w:val="clear" w:color="auto" w:fill="FFFFFF"/>
        </w:rPr>
        <w:t xml:space="preserve"> the scope and operation of the AAE </w:t>
      </w:r>
      <w:r w:rsidR="00923C85" w:rsidRPr="09E0FC6E">
        <w:rPr>
          <w:rStyle w:val="normaltextrun"/>
          <w:noProof/>
        </w:rPr>
        <w:t xml:space="preserve">may </w:t>
      </w:r>
      <w:r w:rsidRPr="09E0FC6E">
        <w:rPr>
          <w:rStyle w:val="normaltextrun"/>
          <w:noProof/>
          <w:shd w:val="clear" w:color="auto" w:fill="FFFFFF"/>
        </w:rPr>
        <w:t xml:space="preserve">have significant and far-reaching consequences, potentially impacting the competitiveness of EU firms in commodity derivatives markets. At this stage, </w:t>
      </w:r>
      <w:r w:rsidR="2F11328A" w:rsidRPr="07DFB5D3">
        <w:rPr>
          <w:rStyle w:val="normaltextrun"/>
          <w:noProof/>
          <w:shd w:val="clear" w:color="auto" w:fill="FFFFFF"/>
        </w:rPr>
        <w:t>the</w:t>
      </w:r>
      <w:r w:rsidR="00021164" w:rsidRPr="09E0FC6E">
        <w:rPr>
          <w:rStyle w:val="normaltextrun"/>
          <w:noProof/>
        </w:rPr>
        <w:t xml:space="preserve"> </w:t>
      </w:r>
      <w:r w:rsidR="00B261B7" w:rsidRPr="09E0FC6E">
        <w:rPr>
          <w:rStyle w:val="normaltextrun"/>
          <w:noProof/>
        </w:rPr>
        <w:t>responses provided by stakeholders do not</w:t>
      </w:r>
      <w:r w:rsidRPr="09E0FC6E">
        <w:rPr>
          <w:rStyle w:val="normaltextrun"/>
          <w:noProof/>
          <w:shd w:val="clear" w:color="auto" w:fill="FFFFFF"/>
        </w:rPr>
        <w:t xml:space="preserve"> suggest that changes </w:t>
      </w:r>
      <w:r w:rsidR="00AB08D0" w:rsidRPr="09E0FC6E">
        <w:rPr>
          <w:rStyle w:val="normaltextrun"/>
          <w:noProof/>
        </w:rPr>
        <w:t xml:space="preserve">to the AAE </w:t>
      </w:r>
      <w:r w:rsidRPr="09E0FC6E">
        <w:rPr>
          <w:rStyle w:val="normaltextrun"/>
          <w:noProof/>
          <w:shd w:val="clear" w:color="auto" w:fill="FFFFFF"/>
        </w:rPr>
        <w:t xml:space="preserve">are urgently </w:t>
      </w:r>
      <w:r w:rsidR="5584779D" w:rsidRPr="07DFB5D3">
        <w:rPr>
          <w:rStyle w:val="normaltextrun"/>
          <w:noProof/>
          <w:shd w:val="clear" w:color="auto" w:fill="FFFFFF"/>
        </w:rPr>
        <w:t>required</w:t>
      </w:r>
      <w:r w:rsidR="000F6A00" w:rsidRPr="07DFB5D3">
        <w:rPr>
          <w:rStyle w:val="normaltextrun"/>
          <w:noProof/>
          <w:shd w:val="clear" w:color="auto" w:fill="FFFFFF"/>
        </w:rPr>
        <w:t>.</w:t>
      </w:r>
      <w:r w:rsidR="000F6A00" w:rsidRPr="09E0FC6E">
        <w:rPr>
          <w:rStyle w:val="normaltextrun"/>
          <w:noProof/>
          <w:shd w:val="clear" w:color="auto" w:fill="FFFFFF"/>
        </w:rPr>
        <w:t xml:space="preserve"> I</w:t>
      </w:r>
      <w:r w:rsidR="003769CF" w:rsidRPr="09E0FC6E">
        <w:rPr>
          <w:rStyle w:val="normaltextrun"/>
          <w:noProof/>
          <w:shd w:val="clear" w:color="auto" w:fill="FFFFFF"/>
        </w:rPr>
        <w:t xml:space="preserve">n </w:t>
      </w:r>
      <w:r w:rsidR="00FF54B9" w:rsidRPr="09E0FC6E">
        <w:rPr>
          <w:rStyle w:val="normaltextrun"/>
          <w:noProof/>
          <w:shd w:val="clear" w:color="auto" w:fill="FFFFFF"/>
        </w:rPr>
        <w:t>this respect</w:t>
      </w:r>
      <w:r w:rsidR="000F6A00" w:rsidRPr="09E0FC6E">
        <w:rPr>
          <w:rStyle w:val="normaltextrun"/>
          <w:noProof/>
          <w:shd w:val="clear" w:color="auto" w:fill="FFFFFF"/>
        </w:rPr>
        <w:t xml:space="preserve">, the Commission </w:t>
      </w:r>
      <w:r w:rsidR="00FF54B9" w:rsidRPr="09E0FC6E">
        <w:rPr>
          <w:rStyle w:val="normaltextrun"/>
          <w:noProof/>
          <w:shd w:val="clear" w:color="auto" w:fill="FFFFFF"/>
        </w:rPr>
        <w:t>notes</w:t>
      </w:r>
      <w:r w:rsidR="000F6A00" w:rsidRPr="09E0FC6E">
        <w:rPr>
          <w:rStyle w:val="normaltextrun"/>
          <w:noProof/>
          <w:shd w:val="clear" w:color="auto" w:fill="FFFFFF"/>
        </w:rPr>
        <w:t xml:space="preserve"> that key conduct provisions, notably relating to market abuse and position limits, </w:t>
      </w:r>
      <w:r w:rsidR="00671DBD" w:rsidRPr="09E0FC6E">
        <w:rPr>
          <w:rStyle w:val="normaltextrun"/>
          <w:noProof/>
        </w:rPr>
        <w:t xml:space="preserve">already </w:t>
      </w:r>
      <w:r w:rsidR="000F6A00" w:rsidRPr="09E0FC6E">
        <w:rPr>
          <w:rStyle w:val="normaltextrun"/>
          <w:noProof/>
          <w:shd w:val="clear" w:color="auto" w:fill="FFFFFF"/>
        </w:rPr>
        <w:t>apply regardless of the status of trading entities as investment firm</w:t>
      </w:r>
      <w:r w:rsidR="00465EB7" w:rsidRPr="09E0FC6E">
        <w:rPr>
          <w:rStyle w:val="normaltextrun"/>
          <w:noProof/>
          <w:shd w:val="clear" w:color="auto" w:fill="FFFFFF"/>
        </w:rPr>
        <w:t xml:space="preserve">s. </w:t>
      </w:r>
    </w:p>
    <w:p w14:paraId="53211ECC" w14:textId="6536695E" w:rsidR="00DC0172" w:rsidRDefault="56B196D9" w:rsidP="00AC60EB">
      <w:pPr>
        <w:rPr>
          <w:rStyle w:val="normaltextrun"/>
          <w:noProof/>
          <w:shd w:val="clear" w:color="auto" w:fill="FFFFFF"/>
        </w:rPr>
      </w:pPr>
      <w:r w:rsidRPr="09E0FC6E">
        <w:rPr>
          <w:rStyle w:val="normaltextrun"/>
          <w:noProof/>
        </w:rPr>
        <w:t>Should</w:t>
      </w:r>
      <w:r w:rsidR="212FBD43" w:rsidRPr="09E0FC6E">
        <w:rPr>
          <w:rStyle w:val="normaltextrun"/>
          <w:noProof/>
          <w:shd w:val="clear" w:color="auto" w:fill="FFFFFF"/>
        </w:rPr>
        <w:t xml:space="preserve"> a review of the AAE be </w:t>
      </w:r>
      <w:r w:rsidR="761E8943" w:rsidRPr="09E0FC6E">
        <w:rPr>
          <w:rStyle w:val="normaltextrun"/>
          <w:noProof/>
          <w:shd w:val="clear" w:color="auto" w:fill="FFFFFF"/>
        </w:rPr>
        <w:t>contemplated at a later point</w:t>
      </w:r>
      <w:r w:rsidR="212FBD43" w:rsidRPr="09E0FC6E">
        <w:rPr>
          <w:rStyle w:val="normaltextrun"/>
          <w:noProof/>
          <w:shd w:val="clear" w:color="auto" w:fill="FFFFFF"/>
        </w:rPr>
        <w:t xml:space="preserve">, which </w:t>
      </w:r>
      <w:r w:rsidR="761E8943" w:rsidRPr="09E0FC6E">
        <w:rPr>
          <w:rStyle w:val="normaltextrun"/>
          <w:noProof/>
          <w:shd w:val="clear" w:color="auto" w:fill="FFFFFF"/>
        </w:rPr>
        <w:t>c</w:t>
      </w:r>
      <w:r w:rsidR="212FBD43" w:rsidRPr="09E0FC6E">
        <w:rPr>
          <w:rStyle w:val="normaltextrun"/>
          <w:noProof/>
          <w:shd w:val="clear" w:color="auto" w:fill="FFFFFF"/>
        </w:rPr>
        <w:t xml:space="preserve">ould result in more entities being subject to authorisation and supervision as investment firms, </w:t>
      </w:r>
      <w:r w:rsidR="416C66EC" w:rsidRPr="09E0FC6E">
        <w:rPr>
          <w:rStyle w:val="normaltextrun"/>
          <w:noProof/>
          <w:shd w:val="clear" w:color="auto" w:fill="FFFFFF"/>
        </w:rPr>
        <w:t xml:space="preserve">a </w:t>
      </w:r>
      <w:r w:rsidR="212FBD43" w:rsidRPr="09E0FC6E">
        <w:rPr>
          <w:rStyle w:val="normaltextrun"/>
          <w:noProof/>
          <w:shd w:val="clear" w:color="auto" w:fill="FFFFFF"/>
        </w:rPr>
        <w:t xml:space="preserve">tailored </w:t>
      </w:r>
      <w:r w:rsidR="05F19C9F" w:rsidRPr="09E0FC6E">
        <w:rPr>
          <w:rStyle w:val="normaltextrun"/>
          <w:noProof/>
          <w:shd w:val="clear" w:color="auto" w:fill="FFFFFF"/>
        </w:rPr>
        <w:t xml:space="preserve">prudential </w:t>
      </w:r>
      <w:r w:rsidR="416C66EC" w:rsidRPr="09E0FC6E">
        <w:rPr>
          <w:rStyle w:val="normaltextrun"/>
          <w:noProof/>
          <w:shd w:val="clear" w:color="auto" w:fill="FFFFFF"/>
        </w:rPr>
        <w:t xml:space="preserve">regime </w:t>
      </w:r>
      <w:r w:rsidR="0E3B3347" w:rsidRPr="09E0FC6E">
        <w:rPr>
          <w:rStyle w:val="normaltextrun"/>
          <w:noProof/>
          <w:shd w:val="clear" w:color="auto" w:fill="FFFFFF"/>
        </w:rPr>
        <w:t>commensurate with</w:t>
      </w:r>
      <w:r w:rsidR="37DE491F">
        <w:rPr>
          <w:rStyle w:val="normaltextrun"/>
          <w:noProof/>
          <w:shd w:val="clear" w:color="auto" w:fill="FFFFFF"/>
        </w:rPr>
        <w:t xml:space="preserve"> </w:t>
      </w:r>
      <w:r w:rsidR="212FBD43" w:rsidRPr="09E0FC6E">
        <w:rPr>
          <w:rStyle w:val="normaltextrun"/>
          <w:noProof/>
          <w:shd w:val="clear" w:color="auto" w:fill="FFFFFF"/>
        </w:rPr>
        <w:t>the risk profile of firms operating in commodity derivatives markets</w:t>
      </w:r>
      <w:r w:rsidR="1DCC80B4" w:rsidRPr="09E0FC6E">
        <w:rPr>
          <w:rStyle w:val="normaltextrun"/>
          <w:noProof/>
        </w:rPr>
        <w:t xml:space="preserve"> </w:t>
      </w:r>
      <w:r w:rsidR="74DEE623" w:rsidRPr="09E0FC6E">
        <w:rPr>
          <w:rStyle w:val="normaltextrun"/>
          <w:noProof/>
        </w:rPr>
        <w:t xml:space="preserve">would </w:t>
      </w:r>
      <w:r w:rsidR="1DCC80B4" w:rsidRPr="09E0FC6E">
        <w:rPr>
          <w:rStyle w:val="normaltextrun"/>
          <w:noProof/>
        </w:rPr>
        <w:t xml:space="preserve">seem to </w:t>
      </w:r>
      <w:r w:rsidR="573FE6D6" w:rsidRPr="09E0FC6E">
        <w:rPr>
          <w:rStyle w:val="normaltextrun"/>
          <w:noProof/>
        </w:rPr>
        <w:t xml:space="preserve">be </w:t>
      </w:r>
      <w:r w:rsidR="1FB073B0" w:rsidRPr="09E0FC6E">
        <w:rPr>
          <w:rStyle w:val="normaltextrun"/>
          <w:noProof/>
        </w:rPr>
        <w:t>more</w:t>
      </w:r>
      <w:r w:rsidR="573FE6D6" w:rsidRPr="09E0FC6E">
        <w:rPr>
          <w:rStyle w:val="normaltextrun"/>
          <w:noProof/>
        </w:rPr>
        <w:t xml:space="preserve"> appropriate</w:t>
      </w:r>
      <w:r w:rsidR="212FBD43" w:rsidRPr="09E0FC6E">
        <w:rPr>
          <w:rStyle w:val="normaltextrun"/>
          <w:noProof/>
          <w:shd w:val="clear" w:color="auto" w:fill="FFFFFF"/>
        </w:rPr>
        <w:t xml:space="preserve">. </w:t>
      </w:r>
      <w:r w:rsidR="05F19C9F" w:rsidRPr="09E0FC6E">
        <w:rPr>
          <w:rStyle w:val="normaltextrun"/>
          <w:noProof/>
          <w:shd w:val="clear" w:color="auto" w:fill="FFFFFF"/>
        </w:rPr>
        <w:t>Notwithstanding the above</w:t>
      </w:r>
      <w:r w:rsidR="0B989C2A" w:rsidRPr="09E0FC6E">
        <w:rPr>
          <w:rStyle w:val="normaltextrun"/>
          <w:noProof/>
          <w:shd w:val="clear" w:color="auto" w:fill="FFFFFF"/>
        </w:rPr>
        <w:t xml:space="preserve">, the Commission could consider, as suggested by some stakeholders, that a one-off notification to </w:t>
      </w:r>
      <w:r w:rsidR="01A9E61A">
        <w:rPr>
          <w:rStyle w:val="normaltextrun"/>
          <w:noProof/>
          <w:shd w:val="clear" w:color="auto" w:fill="FFFFFF"/>
        </w:rPr>
        <w:t>NCAs</w:t>
      </w:r>
      <w:r w:rsidR="274D621D" w:rsidRPr="09E0FC6E">
        <w:rPr>
          <w:rStyle w:val="normaltextrun"/>
          <w:noProof/>
          <w:shd w:val="clear" w:color="auto" w:fill="FFFFFF"/>
        </w:rPr>
        <w:t>, when starting and ceasing operations,</w:t>
      </w:r>
      <w:r w:rsidR="0B989C2A" w:rsidRPr="09E0FC6E">
        <w:rPr>
          <w:rStyle w:val="normaltextrun"/>
          <w:noProof/>
          <w:shd w:val="clear" w:color="auto" w:fill="FFFFFF"/>
        </w:rPr>
        <w:t xml:space="preserve"> </w:t>
      </w:r>
      <w:r w:rsidR="05EC5568">
        <w:rPr>
          <w:rStyle w:val="normaltextrun"/>
          <w:noProof/>
          <w:shd w:val="clear" w:color="auto" w:fill="FFFFFF"/>
        </w:rPr>
        <w:t>should be</w:t>
      </w:r>
      <w:r w:rsidR="05EC5568" w:rsidRPr="09E0FC6E">
        <w:rPr>
          <w:rStyle w:val="normaltextrun"/>
          <w:noProof/>
          <w:shd w:val="clear" w:color="auto" w:fill="FFFFFF"/>
        </w:rPr>
        <w:t xml:space="preserve"> </w:t>
      </w:r>
      <w:r w:rsidR="417718DF" w:rsidRPr="09E0FC6E">
        <w:rPr>
          <w:rStyle w:val="normaltextrun"/>
          <w:noProof/>
          <w:shd w:val="clear" w:color="auto" w:fill="FFFFFF"/>
        </w:rPr>
        <w:t xml:space="preserve">provided </w:t>
      </w:r>
      <w:r w:rsidR="301B8637" w:rsidRPr="09E0FC6E">
        <w:rPr>
          <w:rStyle w:val="normaltextrun"/>
          <w:noProof/>
          <w:shd w:val="clear" w:color="auto" w:fill="FFFFFF"/>
        </w:rPr>
        <w:t xml:space="preserve">by all entities active on commodity derivatives markets, in order to increase visibility of supervisors over </w:t>
      </w:r>
      <w:r w:rsidR="07B1E0C4" w:rsidRPr="09E0FC6E">
        <w:rPr>
          <w:rStyle w:val="normaltextrun"/>
          <w:noProof/>
          <w:shd w:val="clear" w:color="auto" w:fill="FFFFFF"/>
        </w:rPr>
        <w:t xml:space="preserve">the identity of market </w:t>
      </w:r>
      <w:r w:rsidR="53B6EDD1" w:rsidRPr="09E0FC6E">
        <w:rPr>
          <w:rStyle w:val="normaltextrun"/>
          <w:noProof/>
          <w:shd w:val="clear" w:color="auto" w:fill="FFFFFF"/>
        </w:rPr>
        <w:t>participants.</w:t>
      </w:r>
      <w:r w:rsidR="3A8478A4">
        <w:rPr>
          <w:rStyle w:val="normaltextrun"/>
          <w:noProof/>
          <w:shd w:val="clear" w:color="auto" w:fill="FFFFFF"/>
        </w:rPr>
        <w:t xml:space="preserve"> This also applies for firms active in EUA or EUA derivatives trading.</w:t>
      </w:r>
    </w:p>
    <w:p w14:paraId="15195C0C" w14:textId="77777777" w:rsidR="009B1053" w:rsidRDefault="009B1053" w:rsidP="00AC60EB">
      <w:pPr>
        <w:rPr>
          <w:rStyle w:val="normaltextrun"/>
          <w:noProof/>
          <w:shd w:val="clear" w:color="auto" w:fill="FFFFFF"/>
        </w:rPr>
      </w:pPr>
    </w:p>
    <w:p w14:paraId="48379DE7" w14:textId="77777777" w:rsidR="009B1053" w:rsidRPr="0046101A" w:rsidRDefault="009B1053" w:rsidP="009B1053">
      <w:pPr>
        <w:keepNext/>
        <w:keepLines/>
        <w:numPr>
          <w:ilvl w:val="0"/>
          <w:numId w:val="2"/>
        </w:numPr>
        <w:outlineLvl w:val="0"/>
        <w:rPr>
          <w:b/>
          <w:noProof/>
          <w:lang w:val="en-IE"/>
        </w:rPr>
      </w:pPr>
      <w:bookmarkStart w:id="25" w:name="_Toc227243501"/>
      <w:r w:rsidRPr="00795E8F">
        <w:rPr>
          <w:b/>
          <w:noProof/>
          <w:lang w:val="en-IE"/>
        </w:rPr>
        <w:t>POSITION LIMITS, POSITION MANAGEMENT CONTROLS AND</w:t>
      </w:r>
      <w:r w:rsidRPr="0046101A">
        <w:rPr>
          <w:b/>
          <w:noProof/>
          <w:lang w:val="en-IE"/>
        </w:rPr>
        <w:t xml:space="preserve"> POSITION REPORTING</w:t>
      </w:r>
      <w:bookmarkEnd w:id="25"/>
    </w:p>
    <w:p w14:paraId="18B18674" w14:textId="77777777" w:rsidR="009B1053" w:rsidRPr="00575C33" w:rsidRDefault="009B1053" w:rsidP="009B1053">
      <w:pPr>
        <w:rPr>
          <w:i/>
          <w:iCs/>
          <w:noProof/>
          <w:szCs w:val="24"/>
          <w:lang w:val="en-US" w:eastAsia="en-IE"/>
        </w:rPr>
      </w:pPr>
      <w:r w:rsidRPr="00575C33">
        <w:rPr>
          <w:i/>
          <w:iCs/>
          <w:noProof/>
          <w:szCs w:val="24"/>
          <w:lang w:val="en-US" w:eastAsia="en-IE"/>
        </w:rPr>
        <w:t>Role and functioning of position limits and position management controls</w:t>
      </w:r>
    </w:p>
    <w:p w14:paraId="6D7FDA51" w14:textId="77777777" w:rsidR="009B1053" w:rsidRPr="00575C33" w:rsidRDefault="009B1053" w:rsidP="009B1053">
      <w:pPr>
        <w:pStyle w:val="paragraph"/>
        <w:spacing w:before="0" w:beforeAutospacing="0" w:after="240" w:afterAutospacing="0"/>
        <w:jc w:val="both"/>
        <w:textAlignment w:val="baseline"/>
        <w:rPr>
          <w:noProof/>
          <w:lang w:val="en-GB"/>
        </w:rPr>
      </w:pPr>
      <w:r w:rsidRPr="00575C33">
        <w:rPr>
          <w:noProof/>
          <w:lang w:val="en-US"/>
        </w:rPr>
        <w:t xml:space="preserve">Position limits are a fundamental feature of the rules governing commodity derivatives trading in the EU. They </w:t>
      </w:r>
      <w:r w:rsidRPr="00575C33">
        <w:rPr>
          <w:noProof/>
          <w:lang w:val="en-GB"/>
        </w:rPr>
        <w:t>constrain the size of a net position which a person can hold at all times in certain commodity derivatives contracts, with a double objective of (i) ensuring orderly trading and settlement, and (ii) preventing market manipulation.</w:t>
      </w:r>
    </w:p>
    <w:p w14:paraId="5CE74EE2" w14:textId="5D7DFDEC" w:rsidR="009B1053" w:rsidRPr="00575C33" w:rsidRDefault="1D43C493" w:rsidP="21CB014D">
      <w:pPr>
        <w:pStyle w:val="paragraph"/>
        <w:spacing w:before="0" w:beforeAutospacing="0" w:after="240" w:afterAutospacing="0"/>
        <w:jc w:val="both"/>
        <w:textAlignment w:val="baseline"/>
        <w:rPr>
          <w:noProof/>
          <w:lang w:val="en-GB"/>
        </w:rPr>
      </w:pPr>
      <w:r w:rsidRPr="21CB014D">
        <w:rPr>
          <w:noProof/>
          <w:lang w:val="en-GB"/>
        </w:rPr>
        <w:t>Position limits are set by NCAs</w:t>
      </w:r>
      <w:r w:rsidR="3A8D9F32" w:rsidRPr="21CB014D">
        <w:rPr>
          <w:noProof/>
          <w:lang w:val="en-GB"/>
        </w:rPr>
        <w:t>,</w:t>
      </w:r>
      <w:r>
        <w:rPr>
          <w:noProof/>
        </w:rPr>
        <w:t xml:space="preserve"> following principles set out in Delegated Regulation (EU) 2022/1302 and following an opinion by ESMA. Position limits apply to exchange-traded derivatives and economically equivalent over-the-counter (EEOTC) contracts. They do not apply to emission allowances and derivatives of emission allowances. They do not apply to ‘C6-carve out contracts’, as such instruments fall outside the financial legislation.</w:t>
      </w:r>
    </w:p>
    <w:p w14:paraId="30CA1EE0" w14:textId="1704ECD1" w:rsidR="009B1053" w:rsidRPr="00575C33" w:rsidRDefault="1D43C493" w:rsidP="21CB014D">
      <w:pPr>
        <w:pStyle w:val="paragraph"/>
        <w:spacing w:before="0" w:beforeAutospacing="0" w:after="240" w:afterAutospacing="0"/>
        <w:jc w:val="both"/>
        <w:textAlignment w:val="baseline"/>
        <w:rPr>
          <w:noProof/>
        </w:rPr>
      </w:pPr>
      <w:r>
        <w:rPr>
          <w:noProof/>
        </w:rPr>
        <w:t xml:space="preserve">The initial position limits regime </w:t>
      </w:r>
      <w:r w:rsidR="3A8D9F32">
        <w:rPr>
          <w:noProof/>
        </w:rPr>
        <w:t xml:space="preserve">established </w:t>
      </w:r>
      <w:r>
        <w:rPr>
          <w:noProof/>
        </w:rPr>
        <w:t>under MiFID II had proved to be overly restrictive. Therefore, in 2021 the CMRP significant</w:t>
      </w:r>
      <w:r w:rsidR="00530D89">
        <w:rPr>
          <w:noProof/>
        </w:rPr>
        <w:t>ly</w:t>
      </w:r>
      <w:r>
        <w:rPr>
          <w:noProof/>
        </w:rPr>
        <w:t xml:space="preserve"> alleviat</w:t>
      </w:r>
      <w:r w:rsidR="78CDE5C9">
        <w:rPr>
          <w:noProof/>
        </w:rPr>
        <w:t>ed the</w:t>
      </w:r>
      <w:r>
        <w:rPr>
          <w:noProof/>
        </w:rPr>
        <w:t xml:space="preserve"> regime to support the development and deepening of commodity derivatives markets. In particular, the CMRP:</w:t>
      </w:r>
    </w:p>
    <w:p w14:paraId="550F4AFE"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sidRPr="00575C33">
        <w:rPr>
          <w:noProof/>
        </w:rPr>
        <w:t>reduced the scope of contracts subject to position limits only to agricultural commodity derivatives and to significant or critical non-agricultural commodity derivatives. Contracts are considered significant or critical when the size of their open interest is at a minimum 300,000 lots on average over one year;</w:t>
      </w:r>
    </w:p>
    <w:p w14:paraId="46BCE763"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sidRPr="00575C33">
        <w:rPr>
          <w:noProof/>
          <w:lang w:val="en-GB"/>
        </w:rPr>
        <w:t>extended the hedging exemption to positions taken by financial entities that are part of a predominantly commercial (i.e., non</w:t>
      </w:r>
      <w:r w:rsidRPr="00575C33">
        <w:rPr>
          <w:noProof/>
          <w:lang w:val="en-GB"/>
        </w:rPr>
        <w:noBreakHyphen/>
        <w:t>financial) group; and</w:t>
      </w:r>
    </w:p>
    <w:p w14:paraId="58059722"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sidRPr="00575C33">
        <w:rPr>
          <w:noProof/>
        </w:rPr>
        <w:t xml:space="preserve">extended the exemption to positions resulting from transactions entered into to fulfil obligations to provide liquidity on a trading venue. </w:t>
      </w:r>
    </w:p>
    <w:p w14:paraId="6983C8D8" w14:textId="4D172EBB" w:rsidR="009B1053" w:rsidRPr="00575C33" w:rsidRDefault="1D43C493" w:rsidP="21CB014D">
      <w:pPr>
        <w:pStyle w:val="paragraph"/>
        <w:spacing w:before="0" w:beforeAutospacing="0" w:after="240" w:afterAutospacing="0"/>
        <w:jc w:val="both"/>
        <w:textAlignment w:val="baseline"/>
        <w:rPr>
          <w:noProof/>
          <w:lang w:val="en-GB"/>
        </w:rPr>
      </w:pPr>
      <w:r w:rsidRPr="21CB014D">
        <w:rPr>
          <w:noProof/>
          <w:lang w:val="en-GB"/>
        </w:rPr>
        <w:t xml:space="preserve">To date, </w:t>
      </w:r>
      <w:r w:rsidR="657D909B" w:rsidRPr="21CB014D">
        <w:rPr>
          <w:noProof/>
          <w:lang w:val="en-GB"/>
        </w:rPr>
        <w:t xml:space="preserve">three </w:t>
      </w:r>
      <w:r w:rsidRPr="21CB014D">
        <w:rPr>
          <w:noProof/>
          <w:lang w:val="en-GB"/>
        </w:rPr>
        <w:t>non-agricultural commodity derivative contract</w:t>
      </w:r>
      <w:r w:rsidR="1BBE0806" w:rsidRPr="21CB014D">
        <w:rPr>
          <w:noProof/>
          <w:lang w:val="en-GB"/>
        </w:rPr>
        <w:t>s</w:t>
      </w:r>
      <w:r w:rsidRPr="21CB014D">
        <w:rPr>
          <w:noProof/>
          <w:lang w:val="en-GB"/>
        </w:rPr>
        <w:t xml:space="preserve"> </w:t>
      </w:r>
      <w:r w:rsidR="18659019" w:rsidRPr="21CB014D">
        <w:rPr>
          <w:noProof/>
          <w:lang w:val="en-GB"/>
        </w:rPr>
        <w:t>are</w:t>
      </w:r>
      <w:r w:rsidRPr="21CB014D">
        <w:rPr>
          <w:noProof/>
          <w:lang w:val="en-GB"/>
        </w:rPr>
        <w:t xml:space="preserve"> subject to a position limit: the TTF derivative contract traded on ICE Endex and on the European Energy Exchange (EEX)</w:t>
      </w:r>
      <w:r w:rsidR="1C85E289" w:rsidRPr="21CB014D">
        <w:rPr>
          <w:noProof/>
          <w:lang w:val="en-GB"/>
        </w:rPr>
        <w:t>, the THE derivative contract traded on EEX and on ICE Endex</w:t>
      </w:r>
      <w:r w:rsidR="657D909B" w:rsidRPr="21CB014D">
        <w:rPr>
          <w:noProof/>
          <w:lang w:val="en-GB"/>
        </w:rPr>
        <w:t xml:space="preserve">, and the German Power Base contract traded on </w:t>
      </w:r>
      <w:r w:rsidR="6426A7FB" w:rsidRPr="21CB014D">
        <w:rPr>
          <w:noProof/>
          <w:lang w:val="en-GB"/>
        </w:rPr>
        <w:t>EEX</w:t>
      </w:r>
      <w:r w:rsidR="1C85E289" w:rsidRPr="21CB014D">
        <w:rPr>
          <w:noProof/>
          <w:lang w:val="en-GB"/>
        </w:rPr>
        <w:t>.</w:t>
      </w:r>
    </w:p>
    <w:p w14:paraId="7FBCE9F8" w14:textId="22F5415E" w:rsidR="009B1053" w:rsidRPr="00575C33" w:rsidRDefault="1D43C493" w:rsidP="21CB014D">
      <w:pPr>
        <w:pStyle w:val="paragraph"/>
        <w:spacing w:before="0" w:beforeAutospacing="0" w:after="240" w:afterAutospacing="0"/>
        <w:jc w:val="both"/>
        <w:textAlignment w:val="baseline"/>
        <w:rPr>
          <w:rStyle w:val="normaltextrun"/>
          <w:noProof/>
        </w:rPr>
      </w:pPr>
      <w:r w:rsidRPr="21CB014D">
        <w:rPr>
          <w:noProof/>
          <w:lang w:val="en-GB"/>
        </w:rPr>
        <w:t xml:space="preserve">Persons holding qualifying positions that wish to benefit from one of the above-mentioned exemptions need to submit a formal request to the NCA that sets the position limit for the </w:t>
      </w:r>
      <w:r w:rsidR="1BBE0806" w:rsidRPr="21CB014D">
        <w:rPr>
          <w:noProof/>
          <w:lang w:val="en-GB"/>
        </w:rPr>
        <w:t>relevant</w:t>
      </w:r>
      <w:r w:rsidRPr="21CB014D">
        <w:rPr>
          <w:noProof/>
          <w:lang w:val="en-GB"/>
        </w:rPr>
        <w:t xml:space="preserve"> commodity derivative contract.</w:t>
      </w:r>
    </w:p>
    <w:p w14:paraId="0D68D7B1" w14:textId="579DE7BE" w:rsidR="009B1053" w:rsidRPr="00575C33" w:rsidRDefault="1D43C493" w:rsidP="21CB014D">
      <w:pPr>
        <w:pStyle w:val="paragraph"/>
        <w:spacing w:before="0" w:beforeAutospacing="0" w:after="240" w:afterAutospacing="0"/>
        <w:jc w:val="both"/>
        <w:textAlignment w:val="baseline"/>
        <w:rPr>
          <w:rStyle w:val="normaltextrun"/>
          <w:noProof/>
        </w:rPr>
      </w:pPr>
      <w:r w:rsidRPr="21CB014D">
        <w:rPr>
          <w:rStyle w:val="normaltextrun"/>
          <w:noProof/>
        </w:rPr>
        <w:t xml:space="preserve">The appropriateness of the functioning of the position limits regime should be assessed against the background that, in other jurisdictions, trading venues play an overall greater role in the tailoring, application and monitoring of position limits. For instance, in the US, for contracts not subject to federal position limits set by the </w:t>
      </w:r>
      <w:hyperlink r:id="rId21">
        <w:r w:rsidRPr="21CB014D">
          <w:rPr>
            <w:rStyle w:val="normaltextrun"/>
            <w:noProof/>
          </w:rPr>
          <w:t>Commodities and Futures Trading Commission (CFTC)</w:t>
        </w:r>
      </w:hyperlink>
      <w:r w:rsidRPr="21CB014D">
        <w:rPr>
          <w:rStyle w:val="normaltextrun"/>
          <w:noProof/>
        </w:rPr>
        <w:t>, trading venues are free to set the position limits</w:t>
      </w:r>
      <w:r w:rsidR="6DB73A34" w:rsidRPr="21CB014D">
        <w:rPr>
          <w:rStyle w:val="normaltextrun"/>
          <w:noProof/>
        </w:rPr>
        <w:t xml:space="preserve"> as</w:t>
      </w:r>
      <w:r w:rsidRPr="21CB014D">
        <w:rPr>
          <w:rStyle w:val="normaltextrun"/>
          <w:noProof/>
        </w:rPr>
        <w:t xml:space="preserve"> they see fit. Similarly, trading venues play a greater role in granting hedging and other exemptions to market participants, applying the conditions set out in the CFTC order.</w:t>
      </w:r>
    </w:p>
    <w:p w14:paraId="0A2759E0" w14:textId="146B73FD" w:rsidR="009B1053" w:rsidRPr="00575C33" w:rsidRDefault="1D43C493" w:rsidP="21CB014D">
      <w:pPr>
        <w:pStyle w:val="paragraph"/>
        <w:spacing w:before="0" w:beforeAutospacing="0" w:after="240" w:afterAutospacing="0"/>
        <w:jc w:val="both"/>
        <w:textAlignment w:val="baseline"/>
        <w:rPr>
          <w:rStyle w:val="normaltextrun"/>
          <w:rFonts w:eastAsia="Calibri"/>
          <w:noProof/>
        </w:rPr>
      </w:pPr>
      <w:r w:rsidRPr="21CB014D">
        <w:rPr>
          <w:rStyle w:val="normaltextrun"/>
          <w:noProof/>
        </w:rPr>
        <w:t>Position limits are complemented by position management controls (PMCs), which require trading venues to have arrangements in place to monitor open positions of market participants and ensure orderly trading on their venue. The requirement to establish PMC</w:t>
      </w:r>
      <w:r w:rsidR="0853ED95" w:rsidRPr="21CB014D">
        <w:rPr>
          <w:rStyle w:val="normaltextrun"/>
          <w:noProof/>
        </w:rPr>
        <w:t>s</w:t>
      </w:r>
      <w:r w:rsidRPr="21CB014D">
        <w:rPr>
          <w:rStyle w:val="normaltextrun"/>
          <w:noProof/>
        </w:rPr>
        <w:t xml:space="preserve"> has a broader scope and applies to all positions in commodity derivatives, irrespective of whether the contract is subject to a position limit. It </w:t>
      </w:r>
      <w:r w:rsidR="6DB73A34" w:rsidRPr="21CB014D">
        <w:rPr>
          <w:rStyle w:val="normaltextrun"/>
          <w:noProof/>
        </w:rPr>
        <w:t xml:space="preserve">covers </w:t>
      </w:r>
      <w:r w:rsidRPr="21CB014D">
        <w:rPr>
          <w:rStyle w:val="normaltextrun"/>
          <w:noProof/>
        </w:rPr>
        <w:t>all types of positions, including those entered into for hedging purpose</w:t>
      </w:r>
      <w:r w:rsidR="7113C165" w:rsidRPr="21CB014D">
        <w:rPr>
          <w:rStyle w:val="normaltextrun"/>
          <w:noProof/>
        </w:rPr>
        <w:t>s</w:t>
      </w:r>
      <w:r w:rsidRPr="21CB014D">
        <w:rPr>
          <w:rStyle w:val="normaltextrun"/>
          <w:noProof/>
        </w:rPr>
        <w:t>. The objective of PMC</w:t>
      </w:r>
      <w:r w:rsidR="0E62C075" w:rsidRPr="21CB014D">
        <w:rPr>
          <w:rStyle w:val="normaltextrun"/>
          <w:noProof/>
        </w:rPr>
        <w:t>s</w:t>
      </w:r>
      <w:r w:rsidRPr="21CB014D">
        <w:rPr>
          <w:rStyle w:val="normaltextrun"/>
          <w:noProof/>
        </w:rPr>
        <w:t xml:space="preserve"> is to enable trading venues to </w:t>
      </w:r>
      <w:r w:rsidRPr="21CB014D">
        <w:rPr>
          <w:noProof/>
          <w:lang w:val="en-GB"/>
        </w:rPr>
        <w:t xml:space="preserve">identify the build-up of large, concentrated positions that could result in price distortion, market manipulation or other abusive trading practices. </w:t>
      </w:r>
      <w:r w:rsidRPr="21CB014D">
        <w:rPr>
          <w:rStyle w:val="normaltextrun"/>
          <w:noProof/>
        </w:rPr>
        <w:t>According to Article 57(8) of MiFID II, controls should include at least the powers to:</w:t>
      </w:r>
    </w:p>
    <w:p w14:paraId="22AF9F2C"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m</w:t>
      </w:r>
      <w:r w:rsidRPr="00795E8F">
        <w:rPr>
          <w:noProof/>
        </w:rPr>
        <w:t>onitor open interest</w:t>
      </w:r>
      <w:r>
        <w:rPr>
          <w:noProof/>
        </w:rPr>
        <w:t>;</w:t>
      </w:r>
    </w:p>
    <w:p w14:paraId="467A28AF" w14:textId="5F01C6F3" w:rsidR="009B1053" w:rsidRPr="00795E8F" w:rsidRDefault="1D43C493" w:rsidP="21CB014D">
      <w:pPr>
        <w:pStyle w:val="paragraph"/>
        <w:numPr>
          <w:ilvl w:val="0"/>
          <w:numId w:val="28"/>
        </w:numPr>
        <w:spacing w:before="0" w:beforeAutospacing="0" w:after="240" w:afterAutospacing="0"/>
        <w:jc w:val="both"/>
        <w:textAlignment w:val="baseline"/>
        <w:rPr>
          <w:noProof/>
        </w:rPr>
      </w:pPr>
      <w:r>
        <w:rPr>
          <w:noProof/>
        </w:rPr>
        <w:t>obtain comprehensive information in relation to the position</w:t>
      </w:r>
      <w:r w:rsidR="0C2D5356">
        <w:rPr>
          <w:noProof/>
        </w:rPr>
        <w:t>s entered into</w:t>
      </w:r>
      <w:r>
        <w:rPr>
          <w:noProof/>
        </w:rPr>
        <w:t xml:space="preserve">, including, but not limited to, the size and the purpose of building the position; </w:t>
      </w:r>
    </w:p>
    <w:p w14:paraId="5777A946"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t</w:t>
      </w:r>
      <w:r w:rsidRPr="00795E8F">
        <w:rPr>
          <w:noProof/>
        </w:rPr>
        <w:t>erminate or reduce the position</w:t>
      </w:r>
      <w:r>
        <w:rPr>
          <w:noProof/>
        </w:rPr>
        <w:t>;</w:t>
      </w:r>
    </w:p>
    <w:p w14:paraId="24A5CB42"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r</w:t>
      </w:r>
      <w:r w:rsidRPr="00795E8F">
        <w:rPr>
          <w:noProof/>
        </w:rPr>
        <w:t>equire the position holder to inject liquidity back into the market in certain situations</w:t>
      </w:r>
      <w:r>
        <w:rPr>
          <w:noProof/>
        </w:rPr>
        <w:t>.</w:t>
      </w:r>
    </w:p>
    <w:p w14:paraId="07735AE0" w14:textId="2A7F5511" w:rsidR="009B1053" w:rsidRPr="00575C33" w:rsidRDefault="1D43C493" w:rsidP="21CB014D">
      <w:pPr>
        <w:pStyle w:val="paragraph"/>
        <w:spacing w:before="0" w:beforeAutospacing="0" w:after="240" w:afterAutospacing="0"/>
        <w:jc w:val="both"/>
        <w:textAlignment w:val="baseline"/>
        <w:rPr>
          <w:rFonts w:eastAsia="Calibri"/>
          <w:noProof/>
        </w:rPr>
      </w:pPr>
      <w:r>
        <w:rPr>
          <w:rFonts w:eastAsia="Calibri"/>
          <w:noProof/>
        </w:rPr>
        <w:t>Furthermore, f</w:t>
      </w:r>
      <w:r w:rsidRPr="00575C33">
        <w:rPr>
          <w:rFonts w:eastAsia="Calibri"/>
          <w:noProof/>
        </w:rPr>
        <w:t xml:space="preserve">or </w:t>
      </w:r>
      <w:r w:rsidR="05F25C58">
        <w:rPr>
          <w:rFonts w:eastAsia="Calibri"/>
          <w:noProof/>
        </w:rPr>
        <w:t>contracts that can be physically settled</w:t>
      </w:r>
      <w:r w:rsidRPr="00575C33">
        <w:rPr>
          <w:rFonts w:eastAsia="Calibri"/>
          <w:noProof/>
        </w:rPr>
        <w:t>, C</w:t>
      </w:r>
      <w:r>
        <w:rPr>
          <w:rFonts w:eastAsia="Calibri"/>
          <w:noProof/>
        </w:rPr>
        <w:t xml:space="preserve">ommission </w:t>
      </w:r>
      <w:r w:rsidRPr="00575C33">
        <w:rPr>
          <w:rFonts w:eastAsia="Calibri"/>
          <w:noProof/>
        </w:rPr>
        <w:t>D</w:t>
      </w:r>
      <w:r>
        <w:rPr>
          <w:rFonts w:eastAsia="Calibri"/>
          <w:noProof/>
        </w:rPr>
        <w:t xml:space="preserve">elegated </w:t>
      </w:r>
      <w:r w:rsidRPr="00575C33">
        <w:rPr>
          <w:rFonts w:eastAsia="Calibri"/>
          <w:noProof/>
        </w:rPr>
        <w:t>R</w:t>
      </w:r>
      <w:r>
        <w:rPr>
          <w:rFonts w:eastAsia="Calibri"/>
          <w:noProof/>
        </w:rPr>
        <w:t>egulation</w:t>
      </w:r>
      <w:r w:rsidRPr="00575C33">
        <w:rPr>
          <w:rFonts w:eastAsia="Calibri"/>
          <w:noProof/>
        </w:rPr>
        <w:t xml:space="preserve"> 2022/1299</w:t>
      </w:r>
      <w:r>
        <w:rPr>
          <w:rFonts w:eastAsia="Calibri"/>
          <w:noProof/>
        </w:rPr>
        <w:t xml:space="preserve"> supplementing MiFID II</w:t>
      </w:r>
      <w:r w:rsidRPr="00F81863">
        <w:rPr>
          <w:rFonts w:eastAsia="Calibri"/>
          <w:noProof/>
        </w:rPr>
        <w:t> (</w:t>
      </w:r>
      <w:r w:rsidR="009B1053">
        <w:rPr>
          <w:rStyle w:val="FootnoteReference"/>
          <w:rFonts w:eastAsia="Calibri"/>
          <w:noProof/>
        </w:rPr>
        <w:footnoteReference w:id="19"/>
      </w:r>
      <w:r>
        <w:rPr>
          <w:rFonts w:eastAsia="Calibri"/>
          <w:noProof/>
        </w:rPr>
        <w:t>)</w:t>
      </w:r>
      <w:r w:rsidRPr="00575C33">
        <w:rPr>
          <w:rFonts w:eastAsia="Calibri"/>
          <w:noProof/>
        </w:rPr>
        <w:t xml:space="preserve"> introduce</w:t>
      </w:r>
      <w:r w:rsidR="6DB73A34">
        <w:rPr>
          <w:rFonts w:eastAsia="Calibri"/>
          <w:noProof/>
        </w:rPr>
        <w:t>d</w:t>
      </w:r>
      <w:r w:rsidRPr="00575C33">
        <w:rPr>
          <w:rFonts w:eastAsia="Calibri"/>
          <w:noProof/>
        </w:rPr>
        <w:t xml:space="preserve"> the obligation to set accountability levels, </w:t>
      </w:r>
      <w:r>
        <w:rPr>
          <w:rFonts w:eastAsia="Calibri"/>
          <w:noProof/>
        </w:rPr>
        <w:t>whose</w:t>
      </w:r>
      <w:r w:rsidRPr="00575C33">
        <w:rPr>
          <w:rFonts w:eastAsia="Calibri"/>
          <w:noProof/>
        </w:rPr>
        <w:t xml:space="preserve"> purpose is to trigger dialogue with the position holder </w:t>
      </w:r>
      <w:r w:rsidR="4D0228C8">
        <w:rPr>
          <w:rFonts w:eastAsia="Calibri"/>
          <w:noProof/>
        </w:rPr>
        <w:t xml:space="preserve">if </w:t>
      </w:r>
      <w:r w:rsidRPr="00575C33">
        <w:rPr>
          <w:rFonts w:eastAsia="Calibri"/>
          <w:noProof/>
        </w:rPr>
        <w:t xml:space="preserve">certain qualitative or quantitative thresholds are crossed. Trading venues </w:t>
      </w:r>
      <w:r w:rsidR="692210BC">
        <w:rPr>
          <w:rFonts w:eastAsia="Calibri"/>
          <w:noProof/>
        </w:rPr>
        <w:t>should</w:t>
      </w:r>
      <w:r w:rsidR="4D0228C8">
        <w:rPr>
          <w:rFonts w:eastAsia="Calibri"/>
          <w:noProof/>
        </w:rPr>
        <w:t xml:space="preserve"> </w:t>
      </w:r>
      <w:r w:rsidRPr="00575C33">
        <w:rPr>
          <w:rFonts w:eastAsia="Calibri"/>
          <w:noProof/>
        </w:rPr>
        <w:t>communicate all the details of their PMC</w:t>
      </w:r>
      <w:r w:rsidR="2DE9E525">
        <w:rPr>
          <w:rFonts w:eastAsia="Calibri"/>
          <w:noProof/>
        </w:rPr>
        <w:t>s</w:t>
      </w:r>
      <w:r w:rsidRPr="00575C33">
        <w:rPr>
          <w:rFonts w:eastAsia="Calibri"/>
          <w:noProof/>
        </w:rPr>
        <w:t xml:space="preserve"> to their NCAs, including the number of instances where accountability levels have been reached. </w:t>
      </w:r>
    </w:p>
    <w:p w14:paraId="6F720A2E" w14:textId="472F3F22" w:rsidR="009B1053" w:rsidRPr="00575C33" w:rsidRDefault="1D43C493" w:rsidP="21CB014D">
      <w:pPr>
        <w:rPr>
          <w:noProof/>
          <w:lang w:eastAsia="en-IE"/>
        </w:rPr>
      </w:pPr>
      <w:r w:rsidRPr="21CB014D">
        <w:rPr>
          <w:noProof/>
          <w:lang w:val="en-IE" w:eastAsia="en-IE"/>
        </w:rPr>
        <w:t>Lastly, p</w:t>
      </w:r>
      <w:r w:rsidRPr="21CB014D">
        <w:rPr>
          <w:noProof/>
          <w:lang w:eastAsia="en-IE"/>
        </w:rPr>
        <w:t xml:space="preserve">osition </w:t>
      </w:r>
      <w:r w:rsidR="2EB1DF7A" w:rsidRPr="21CB014D">
        <w:rPr>
          <w:noProof/>
          <w:lang w:eastAsia="en-IE"/>
        </w:rPr>
        <w:t>reporting</w:t>
      </w:r>
      <w:r w:rsidRPr="21CB014D">
        <w:rPr>
          <w:noProof/>
          <w:lang w:eastAsia="en-IE"/>
        </w:rPr>
        <w:t xml:space="preserve"> </w:t>
      </w:r>
      <w:r w:rsidR="6EDED75B" w:rsidRPr="21CB014D">
        <w:rPr>
          <w:noProof/>
          <w:lang w:eastAsia="en-IE"/>
        </w:rPr>
        <w:t>include</w:t>
      </w:r>
      <w:r w:rsidR="2EB1DF7A" w:rsidRPr="21CB014D">
        <w:rPr>
          <w:noProof/>
          <w:lang w:eastAsia="en-IE"/>
        </w:rPr>
        <w:t>s</w:t>
      </w:r>
      <w:r w:rsidR="6EDED75B" w:rsidRPr="21CB014D">
        <w:rPr>
          <w:noProof/>
          <w:lang w:eastAsia="en-IE"/>
        </w:rPr>
        <w:t xml:space="preserve">, </w:t>
      </w:r>
      <w:r w:rsidR="4D0228C8" w:rsidRPr="21CB014D">
        <w:rPr>
          <w:noProof/>
          <w:lang w:eastAsia="en-IE"/>
        </w:rPr>
        <w:t xml:space="preserve">under </w:t>
      </w:r>
      <w:r w:rsidR="6EDED75B" w:rsidRPr="21CB014D">
        <w:rPr>
          <w:noProof/>
          <w:lang w:eastAsia="en-IE"/>
        </w:rPr>
        <w:t xml:space="preserve">Article 58(3) of MiFID II, the obligation for market participants to </w:t>
      </w:r>
      <w:r w:rsidR="16CA071A" w:rsidRPr="21CB014D">
        <w:rPr>
          <w:noProof/>
          <w:lang w:eastAsia="en-IE"/>
        </w:rPr>
        <w:t>transmit</w:t>
      </w:r>
      <w:r w:rsidR="6EDED75B" w:rsidRPr="21CB014D">
        <w:rPr>
          <w:noProof/>
          <w:lang w:eastAsia="en-IE"/>
        </w:rPr>
        <w:t xml:space="preserve"> information on positions</w:t>
      </w:r>
      <w:r w:rsidRPr="21CB014D">
        <w:rPr>
          <w:noProof/>
          <w:lang w:eastAsia="en-IE"/>
        </w:rPr>
        <w:t xml:space="preserve"> </w:t>
      </w:r>
      <w:r w:rsidR="6EDED75B" w:rsidRPr="21CB014D">
        <w:rPr>
          <w:noProof/>
          <w:lang w:eastAsia="en-IE"/>
        </w:rPr>
        <w:t>to trading venues</w:t>
      </w:r>
      <w:r w:rsidR="1067292B" w:rsidRPr="21CB014D">
        <w:rPr>
          <w:noProof/>
          <w:lang w:eastAsia="en-IE"/>
        </w:rPr>
        <w:t xml:space="preserve">. One of the aims of this requirement is to </w:t>
      </w:r>
      <w:r w:rsidRPr="21CB014D">
        <w:rPr>
          <w:noProof/>
          <w:lang w:eastAsia="en-IE"/>
        </w:rPr>
        <w:t>provid</w:t>
      </w:r>
      <w:r w:rsidR="1067292B" w:rsidRPr="21CB014D">
        <w:rPr>
          <w:noProof/>
          <w:lang w:eastAsia="en-IE"/>
        </w:rPr>
        <w:t>e</w:t>
      </w:r>
      <w:r w:rsidRPr="21CB014D">
        <w:rPr>
          <w:noProof/>
          <w:lang w:eastAsia="en-IE"/>
        </w:rPr>
        <w:t xml:space="preserve"> trading venues with the necessary information to implement their position management mandate. Market participants are thereby required to submit to the trading venues </w:t>
      </w:r>
      <w:r w:rsidRPr="5A3C3C01">
        <w:rPr>
          <w:noProof/>
          <w:lang w:eastAsia="en-IE"/>
        </w:rPr>
        <w:t xml:space="preserve">on which </w:t>
      </w:r>
      <w:r w:rsidRPr="21CB014D">
        <w:rPr>
          <w:noProof/>
          <w:lang w:eastAsia="en-IE"/>
        </w:rPr>
        <w:t xml:space="preserve">they are trading the details of their positions held in the contracts traded on that venue. </w:t>
      </w:r>
      <w:r w:rsidR="6EDED75B" w:rsidRPr="21CB014D">
        <w:rPr>
          <w:noProof/>
          <w:lang w:eastAsia="en-IE"/>
        </w:rPr>
        <w:t xml:space="preserve">The information submitted to trading venues, </w:t>
      </w:r>
      <w:r w:rsidRPr="21CB014D">
        <w:rPr>
          <w:noProof/>
          <w:lang w:eastAsia="en-IE"/>
        </w:rPr>
        <w:t xml:space="preserve">however, does not include positions in identical contracts traded on other venues, nor positions in OTC contracts that relate to the same underlying. </w:t>
      </w:r>
      <w:r w:rsidR="7FCA41BC" w:rsidRPr="21CB014D">
        <w:rPr>
          <w:noProof/>
          <w:lang w:eastAsia="en-IE"/>
        </w:rPr>
        <w:t>It should be noted that</w:t>
      </w:r>
      <w:r w:rsidRPr="21CB014D">
        <w:rPr>
          <w:noProof/>
          <w:lang w:eastAsia="en-IE"/>
        </w:rPr>
        <w:t xml:space="preserve"> the UK Financial Conduct Authority</w:t>
      </w:r>
      <w:r w:rsidR="7FCA41BC" w:rsidRPr="21CB014D">
        <w:rPr>
          <w:noProof/>
          <w:lang w:eastAsia="en-IE"/>
        </w:rPr>
        <w:t xml:space="preserve"> (FCA)</w:t>
      </w:r>
      <w:r w:rsidRPr="21CB014D">
        <w:rPr>
          <w:noProof/>
          <w:lang w:eastAsia="en-IE"/>
        </w:rPr>
        <w:t xml:space="preserve"> recently explored the possibility </w:t>
      </w:r>
      <w:r w:rsidR="53B6EDD1" w:rsidRPr="21CB014D">
        <w:rPr>
          <w:noProof/>
          <w:lang w:eastAsia="en-IE"/>
        </w:rPr>
        <w:t>of</w:t>
      </w:r>
      <w:r w:rsidR="10F39B19" w:rsidRPr="21CB014D">
        <w:rPr>
          <w:noProof/>
          <w:lang w:eastAsia="en-IE"/>
        </w:rPr>
        <w:t xml:space="preserve"> </w:t>
      </w:r>
      <w:r w:rsidRPr="21CB014D">
        <w:rPr>
          <w:noProof/>
          <w:lang w:eastAsia="en-IE"/>
        </w:rPr>
        <w:t>extending the</w:t>
      </w:r>
      <w:r w:rsidR="6EDED75B" w:rsidRPr="21CB014D">
        <w:rPr>
          <w:noProof/>
          <w:lang w:eastAsia="en-IE"/>
        </w:rPr>
        <w:t xml:space="preserve"> scope of</w:t>
      </w:r>
      <w:r w:rsidRPr="21CB014D">
        <w:rPr>
          <w:noProof/>
          <w:lang w:eastAsia="en-IE"/>
        </w:rPr>
        <w:t xml:space="preserve"> contracts </w:t>
      </w:r>
      <w:r w:rsidR="14E4A808" w:rsidRPr="21CB014D">
        <w:rPr>
          <w:noProof/>
          <w:lang w:eastAsia="en-IE"/>
        </w:rPr>
        <w:t xml:space="preserve">to be </w:t>
      </w:r>
      <w:r w:rsidR="6EDED75B" w:rsidRPr="21CB014D">
        <w:rPr>
          <w:noProof/>
          <w:lang w:eastAsia="en-IE"/>
        </w:rPr>
        <w:t xml:space="preserve">reported </w:t>
      </w:r>
      <w:r w:rsidRPr="21CB014D">
        <w:rPr>
          <w:noProof/>
          <w:lang w:eastAsia="en-IE"/>
        </w:rPr>
        <w:t>to trading venues</w:t>
      </w:r>
      <w:r w:rsidR="14E4A808" w:rsidRPr="21CB014D">
        <w:rPr>
          <w:noProof/>
          <w:lang w:eastAsia="en-IE"/>
        </w:rPr>
        <w:t xml:space="preserve"> by market participants</w:t>
      </w:r>
      <w:r w:rsidRPr="21CB014D">
        <w:rPr>
          <w:noProof/>
          <w:lang w:eastAsia="en-IE"/>
        </w:rPr>
        <w:t xml:space="preserve">, but concluded </w:t>
      </w:r>
      <w:r w:rsidR="14E4A808" w:rsidRPr="21CB014D">
        <w:rPr>
          <w:noProof/>
          <w:lang w:eastAsia="en-IE"/>
        </w:rPr>
        <w:t xml:space="preserve">that such </w:t>
      </w:r>
      <w:r w:rsidR="00530D89">
        <w:rPr>
          <w:noProof/>
          <w:lang w:eastAsia="en-IE"/>
        </w:rPr>
        <w:t xml:space="preserve">a </w:t>
      </w:r>
      <w:r w:rsidR="14E4A808" w:rsidRPr="21CB014D">
        <w:rPr>
          <w:noProof/>
          <w:lang w:eastAsia="en-IE"/>
        </w:rPr>
        <w:t>measure would</w:t>
      </w:r>
      <w:r w:rsidRPr="21CB014D">
        <w:rPr>
          <w:noProof/>
          <w:lang w:eastAsia="en-IE"/>
        </w:rPr>
        <w:t xml:space="preserve"> be excessively cumbersome for market participants. Alternatively, the FCA </w:t>
      </w:r>
      <w:r w:rsidR="48B2C42E" w:rsidRPr="21CB014D">
        <w:rPr>
          <w:noProof/>
          <w:lang w:eastAsia="en-IE"/>
        </w:rPr>
        <w:t xml:space="preserve">decided </w:t>
      </w:r>
      <w:r w:rsidRPr="21CB014D">
        <w:rPr>
          <w:noProof/>
          <w:lang w:eastAsia="en-IE"/>
        </w:rPr>
        <w:t xml:space="preserve">that </w:t>
      </w:r>
      <w:r w:rsidR="75D7A94B" w:rsidRPr="21CB014D">
        <w:rPr>
          <w:noProof/>
          <w:lang w:eastAsia="en-IE"/>
        </w:rPr>
        <w:t>trading venues would be granted the</w:t>
      </w:r>
      <w:r w:rsidR="534E97D8" w:rsidRPr="21CB014D">
        <w:rPr>
          <w:noProof/>
          <w:lang w:eastAsia="en-IE"/>
        </w:rPr>
        <w:t xml:space="preserve"> </w:t>
      </w:r>
      <w:r w:rsidRPr="21CB014D">
        <w:rPr>
          <w:noProof/>
          <w:lang w:eastAsia="en-IE"/>
        </w:rPr>
        <w:t>power</w:t>
      </w:r>
      <w:r w:rsidR="195C9CCA" w:rsidRPr="21CB014D">
        <w:rPr>
          <w:noProof/>
          <w:lang w:eastAsia="en-IE"/>
        </w:rPr>
        <w:t>, as part of their position management control mandate,</w:t>
      </w:r>
      <w:r w:rsidRPr="21CB014D">
        <w:rPr>
          <w:noProof/>
          <w:lang w:eastAsia="en-IE"/>
        </w:rPr>
        <w:t xml:space="preserve"> to </w:t>
      </w:r>
      <w:r w:rsidR="489DE010" w:rsidRPr="21CB014D">
        <w:rPr>
          <w:noProof/>
          <w:lang w:eastAsia="en-IE"/>
        </w:rPr>
        <w:t xml:space="preserve">ask information on </w:t>
      </w:r>
      <w:r w:rsidR="6EDED75B" w:rsidRPr="21CB014D">
        <w:rPr>
          <w:noProof/>
          <w:lang w:eastAsia="en-IE"/>
        </w:rPr>
        <w:t xml:space="preserve">positions in </w:t>
      </w:r>
      <w:r w:rsidR="29DBB88C" w:rsidRPr="21CB014D">
        <w:rPr>
          <w:noProof/>
          <w:lang w:eastAsia="en-IE"/>
        </w:rPr>
        <w:t xml:space="preserve"> a wider set of </w:t>
      </w:r>
      <w:r w:rsidR="6EDED75B" w:rsidRPr="21CB014D">
        <w:rPr>
          <w:noProof/>
          <w:lang w:eastAsia="en-IE"/>
        </w:rPr>
        <w:t>OTC</w:t>
      </w:r>
      <w:r w:rsidR="489DE010" w:rsidRPr="21CB014D">
        <w:rPr>
          <w:noProof/>
          <w:lang w:eastAsia="en-IE"/>
        </w:rPr>
        <w:t xml:space="preserve"> contracts </w:t>
      </w:r>
      <w:r w:rsidRPr="21CB014D">
        <w:rPr>
          <w:noProof/>
          <w:lang w:eastAsia="en-IE"/>
        </w:rPr>
        <w:t>, where such positions pose a risk to the fair and orderly trading of their markets (</w:t>
      </w:r>
      <w:r w:rsidR="009B1053" w:rsidRPr="21CB014D">
        <w:rPr>
          <w:rStyle w:val="FootnoteReference"/>
          <w:noProof/>
          <w:lang w:eastAsia="en-IE"/>
        </w:rPr>
        <w:footnoteReference w:id="20"/>
      </w:r>
      <w:r w:rsidRPr="21CB014D">
        <w:rPr>
          <w:noProof/>
          <w:lang w:eastAsia="en-IE"/>
        </w:rPr>
        <w:t>)</w:t>
      </w:r>
      <w:r w:rsidR="7538FFB4" w:rsidRPr="21CB014D">
        <w:rPr>
          <w:noProof/>
          <w:lang w:eastAsia="en-IE"/>
        </w:rPr>
        <w:t>.</w:t>
      </w:r>
    </w:p>
    <w:p w14:paraId="04FD7981" w14:textId="77777777" w:rsidR="009B1053" w:rsidRPr="00F32D54" w:rsidRDefault="009B1053" w:rsidP="009B1053">
      <w:pPr>
        <w:rPr>
          <w:i/>
          <w:noProof/>
          <w:szCs w:val="24"/>
          <w:lang w:val="en-US" w:eastAsia="en-IE"/>
        </w:rPr>
      </w:pPr>
      <w:r w:rsidRPr="00575C33">
        <w:rPr>
          <w:i/>
          <w:iCs/>
          <w:noProof/>
          <w:szCs w:val="24"/>
          <w:lang w:val="en-US" w:eastAsia="en-IE"/>
        </w:rPr>
        <w:t>Feedback from stakeholders and assessment</w:t>
      </w:r>
    </w:p>
    <w:p w14:paraId="0B2B07D5" w14:textId="7BBD3FDC" w:rsidR="009B1053" w:rsidRPr="00575C33" w:rsidRDefault="1D43C493" w:rsidP="009B1053">
      <w:pPr>
        <w:rPr>
          <w:noProof/>
          <w:lang w:val="en-US" w:eastAsia="en-IE"/>
        </w:rPr>
      </w:pPr>
      <w:r w:rsidRPr="21CB014D">
        <w:rPr>
          <w:noProof/>
          <w:lang w:val="en-US" w:eastAsia="en-IE"/>
        </w:rPr>
        <w:t xml:space="preserve">The targeted consultation conducted by the Commission sought feedback from stakeholders on an extensive set of questions </w:t>
      </w:r>
      <w:r w:rsidR="0FC5F6DF" w:rsidRPr="21CB014D">
        <w:rPr>
          <w:noProof/>
          <w:lang w:val="en-US" w:eastAsia="en-IE"/>
        </w:rPr>
        <w:t>on</w:t>
      </w:r>
      <w:r w:rsidRPr="21CB014D">
        <w:rPr>
          <w:noProof/>
          <w:lang w:val="en-US" w:eastAsia="en-IE"/>
        </w:rPr>
        <w:t xml:space="preserve"> position limits, position management controls and reporting.</w:t>
      </w:r>
    </w:p>
    <w:p w14:paraId="0CD8322D" w14:textId="77777777" w:rsidR="009B1053" w:rsidRPr="00575C33" w:rsidRDefault="009B1053" w:rsidP="009B1053">
      <w:pPr>
        <w:pStyle w:val="ListParagraph"/>
        <w:numPr>
          <w:ilvl w:val="0"/>
          <w:numId w:val="28"/>
        </w:numPr>
        <w:spacing w:after="240"/>
        <w:contextualSpacing w:val="0"/>
        <w:rPr>
          <w:rFonts w:ascii="Times New Roman" w:hAnsi="Times New Roman"/>
          <w:i/>
          <w:iCs/>
          <w:noProof/>
          <w:sz w:val="24"/>
          <w:szCs w:val="24"/>
          <w:lang w:val="en-US" w:eastAsia="en-IE"/>
        </w:rPr>
      </w:pPr>
      <w:r w:rsidRPr="00575C33">
        <w:rPr>
          <w:rFonts w:ascii="Times New Roman" w:hAnsi="Times New Roman"/>
          <w:i/>
          <w:iCs/>
          <w:noProof/>
          <w:sz w:val="24"/>
          <w:szCs w:val="24"/>
          <w:lang w:val="en-US" w:eastAsia="en-IE"/>
        </w:rPr>
        <w:t>Position limits</w:t>
      </w:r>
    </w:p>
    <w:p w14:paraId="5D0999E0" w14:textId="3EF99D07" w:rsidR="009B1053" w:rsidRPr="00575C33" w:rsidRDefault="1D43C493" w:rsidP="009B1053">
      <w:pPr>
        <w:rPr>
          <w:noProof/>
          <w:lang w:val="en-US" w:eastAsia="en-IE"/>
        </w:rPr>
      </w:pPr>
      <w:r w:rsidRPr="21CB014D">
        <w:rPr>
          <w:noProof/>
          <w:lang w:val="en-US" w:eastAsia="en-IE"/>
        </w:rPr>
        <w:t>A strong majority of respondents, including regulators and public authorities, considered that the current position limits regime function</w:t>
      </w:r>
      <w:r w:rsidR="74F5D202" w:rsidRPr="21CB014D">
        <w:rPr>
          <w:noProof/>
          <w:lang w:val="en-US" w:eastAsia="en-IE"/>
        </w:rPr>
        <w:t>s</w:t>
      </w:r>
      <w:r w:rsidRPr="21CB014D">
        <w:rPr>
          <w:noProof/>
          <w:lang w:val="en-US" w:eastAsia="en-IE"/>
        </w:rPr>
        <w:t xml:space="preserve"> adequately and ha</w:t>
      </w:r>
      <w:r w:rsidR="74F5D202" w:rsidRPr="21CB014D">
        <w:rPr>
          <w:noProof/>
          <w:lang w:val="en-US" w:eastAsia="en-IE"/>
        </w:rPr>
        <w:t>s</w:t>
      </w:r>
      <w:r w:rsidRPr="21CB014D">
        <w:rPr>
          <w:noProof/>
          <w:lang w:val="en-US" w:eastAsia="en-IE"/>
        </w:rPr>
        <w:t xml:space="preserve"> achieved its objectives of contributing to the prevention of market abuse and ensuring orderly trading. Stakeholders highlighted </w:t>
      </w:r>
      <w:r w:rsidR="74F5D202" w:rsidRPr="21CB014D">
        <w:rPr>
          <w:noProof/>
          <w:lang w:val="en-US" w:eastAsia="en-IE"/>
        </w:rPr>
        <w:t xml:space="preserve">the fact </w:t>
      </w:r>
      <w:r w:rsidRPr="21CB014D">
        <w:rPr>
          <w:noProof/>
          <w:lang w:val="en-US" w:eastAsia="en-IE"/>
        </w:rPr>
        <w:t>that the CMRP reforms ha</w:t>
      </w:r>
      <w:r w:rsidR="74F5D202" w:rsidRPr="21CB014D">
        <w:rPr>
          <w:noProof/>
          <w:lang w:val="en-US" w:eastAsia="en-IE"/>
        </w:rPr>
        <w:t>ve</w:t>
      </w:r>
      <w:r w:rsidRPr="21CB014D">
        <w:rPr>
          <w:noProof/>
          <w:lang w:val="en-US" w:eastAsia="en-IE"/>
        </w:rPr>
        <w:t xml:space="preserve"> allowed to mitigate the previously observed adverse effects on market depth and liquidity, and made the measure more targeted, proportionate and efficient. Overall, under the current setting, stakeholders</w:t>
      </w:r>
      <w:r w:rsidR="5A856717" w:rsidRPr="21CB014D">
        <w:rPr>
          <w:noProof/>
          <w:lang w:val="en-US" w:eastAsia="en-IE"/>
        </w:rPr>
        <w:t xml:space="preserve"> were of the view</w:t>
      </w:r>
      <w:r w:rsidRPr="21CB014D">
        <w:rPr>
          <w:noProof/>
          <w:lang w:val="en-US" w:eastAsia="en-IE"/>
        </w:rPr>
        <w:t xml:space="preserve"> that the </w:t>
      </w:r>
      <w:r w:rsidR="47E926A8" w:rsidRPr="21CB014D">
        <w:rPr>
          <w:noProof/>
          <w:lang w:val="en-US" w:eastAsia="en-IE"/>
        </w:rPr>
        <w:t xml:space="preserve">current </w:t>
      </w:r>
      <w:r w:rsidRPr="21CB014D">
        <w:rPr>
          <w:noProof/>
          <w:lang w:val="en-US" w:eastAsia="en-IE"/>
        </w:rPr>
        <w:t xml:space="preserve">position limits regime </w:t>
      </w:r>
      <w:r w:rsidR="47E926A8" w:rsidRPr="21CB014D">
        <w:rPr>
          <w:noProof/>
          <w:lang w:val="en-US" w:eastAsia="en-IE"/>
        </w:rPr>
        <w:t xml:space="preserve">has </w:t>
      </w:r>
      <w:r w:rsidRPr="21CB014D">
        <w:rPr>
          <w:noProof/>
          <w:lang w:val="en-US" w:eastAsia="en-IE"/>
        </w:rPr>
        <w:t xml:space="preserve">had no adverse impact on market liquidity, nor on the ability of market participants to hedge themselves, thanks to a well-functioning hedging exemption. In particular, several respondents </w:t>
      </w:r>
      <w:r w:rsidR="47E926A8" w:rsidRPr="21CB014D">
        <w:rPr>
          <w:noProof/>
          <w:lang w:val="en-US" w:eastAsia="en-IE"/>
        </w:rPr>
        <w:t xml:space="preserve">pointed out </w:t>
      </w:r>
      <w:r w:rsidRPr="21CB014D">
        <w:rPr>
          <w:noProof/>
          <w:lang w:val="en-US" w:eastAsia="en-IE"/>
        </w:rPr>
        <w:t xml:space="preserve">that </w:t>
      </w:r>
      <w:r w:rsidR="47E926A8" w:rsidRPr="21CB014D">
        <w:rPr>
          <w:noProof/>
          <w:lang w:val="en-US" w:eastAsia="en-IE"/>
        </w:rPr>
        <w:t>the</w:t>
      </w:r>
      <w:r w:rsidRPr="21CB014D">
        <w:rPr>
          <w:noProof/>
          <w:lang w:val="en-US" w:eastAsia="en-IE"/>
        </w:rPr>
        <w:t xml:space="preserve"> better tailored post-CMRP hedging exemption proved particularly useful during the energy crisis, enabl</w:t>
      </w:r>
      <w:r w:rsidR="68CA03BF" w:rsidRPr="21CB014D">
        <w:rPr>
          <w:noProof/>
          <w:lang w:val="en-US" w:eastAsia="en-IE"/>
        </w:rPr>
        <w:t>ing</w:t>
      </w:r>
      <w:r w:rsidRPr="21CB014D">
        <w:rPr>
          <w:noProof/>
          <w:lang w:val="en-US" w:eastAsia="en-IE"/>
        </w:rPr>
        <w:t xml:space="preserve"> efficient hedging.</w:t>
      </w:r>
    </w:p>
    <w:p w14:paraId="546102B0" w14:textId="47AEFDD2" w:rsidR="009B1053" w:rsidRPr="00575C33" w:rsidRDefault="1D43C493" w:rsidP="009B1053">
      <w:pPr>
        <w:rPr>
          <w:noProof/>
          <w:lang w:val="en-US" w:eastAsia="en-IE"/>
        </w:rPr>
      </w:pPr>
      <w:r w:rsidRPr="21CB014D">
        <w:rPr>
          <w:noProof/>
          <w:lang w:val="en-US" w:eastAsia="en-IE"/>
        </w:rPr>
        <w:t xml:space="preserve">Fact-finding conducted by the Commission based on </w:t>
      </w:r>
      <w:r w:rsidR="6EDED75B" w:rsidRPr="21CB014D">
        <w:rPr>
          <w:noProof/>
          <w:lang w:val="en-US" w:eastAsia="en-IE"/>
        </w:rPr>
        <w:t>NCA daily</w:t>
      </w:r>
      <w:r w:rsidRPr="21CB014D">
        <w:rPr>
          <w:noProof/>
          <w:lang w:val="en-US" w:eastAsia="en-IE"/>
        </w:rPr>
        <w:t xml:space="preserve"> position data </w:t>
      </w:r>
      <w:r w:rsidR="6EDED75B" w:rsidRPr="21CB014D">
        <w:rPr>
          <w:noProof/>
          <w:lang w:val="en-US" w:eastAsia="en-IE"/>
        </w:rPr>
        <w:t xml:space="preserve">in TTF derivatives </w:t>
      </w:r>
      <w:r w:rsidRPr="21CB014D">
        <w:rPr>
          <w:noProof/>
          <w:lang w:val="en-US" w:eastAsia="en-IE"/>
        </w:rPr>
        <w:t>show</w:t>
      </w:r>
      <w:r w:rsidR="68CA03BF" w:rsidRPr="21CB014D">
        <w:rPr>
          <w:noProof/>
          <w:lang w:val="en-US" w:eastAsia="en-IE"/>
        </w:rPr>
        <w:t>s</w:t>
      </w:r>
      <w:r w:rsidRPr="21CB014D">
        <w:rPr>
          <w:noProof/>
          <w:lang w:val="en-US" w:eastAsia="en-IE"/>
        </w:rPr>
        <w:t xml:space="preserve"> that, despite positions</w:t>
      </w:r>
      <w:r w:rsidR="6EDED75B" w:rsidRPr="21CB014D">
        <w:rPr>
          <w:noProof/>
          <w:lang w:val="en-US" w:eastAsia="en-IE"/>
        </w:rPr>
        <w:t xml:space="preserve"> of some market participants</w:t>
      </w:r>
      <w:r w:rsidRPr="21CB014D">
        <w:rPr>
          <w:noProof/>
          <w:lang w:val="en-US" w:eastAsia="en-IE"/>
        </w:rPr>
        <w:t xml:space="preserve"> at times moving close to the limits, such positions have systematically declined before they could exceed those limits. In the Commission’s view, this demonstrates that position limits are functioning adequately and are set at appropriate levels.</w:t>
      </w:r>
    </w:p>
    <w:p w14:paraId="28B0EB63" w14:textId="77777777" w:rsidR="009B1053" w:rsidRPr="00575C33" w:rsidRDefault="009B1053" w:rsidP="009B1053">
      <w:pPr>
        <w:rPr>
          <w:noProof/>
          <w:lang w:val="en-US" w:eastAsia="en-IE"/>
        </w:rPr>
      </w:pPr>
      <w:r w:rsidRPr="00575C33">
        <w:rPr>
          <w:noProof/>
          <w:lang w:val="en-US" w:eastAsia="en-IE"/>
        </w:rPr>
        <w:t xml:space="preserve">The Commission also observes that position limits can help </w:t>
      </w:r>
      <w:r w:rsidRPr="7F4A1C59">
        <w:rPr>
          <w:noProof/>
          <w:lang w:val="en-US" w:eastAsia="en-IE"/>
        </w:rPr>
        <w:t>avoid</w:t>
      </w:r>
      <w:r w:rsidRPr="00575C33">
        <w:rPr>
          <w:noProof/>
          <w:lang w:val="en-US" w:eastAsia="en-IE"/>
        </w:rPr>
        <w:t xml:space="preserve"> excessive market concentration. In that regard, the Commission notes that </w:t>
      </w:r>
      <w:r>
        <w:rPr>
          <w:noProof/>
          <w:lang w:val="en-US" w:eastAsia="en-IE"/>
        </w:rPr>
        <w:t xml:space="preserve">the </w:t>
      </w:r>
      <w:r w:rsidRPr="00575C33">
        <w:rPr>
          <w:noProof/>
          <w:lang w:val="en-US" w:eastAsia="en-IE"/>
        </w:rPr>
        <w:t xml:space="preserve">concentration of positions in the TTF derivatives market has steadily decreased from </w:t>
      </w:r>
      <w:r w:rsidRPr="29B5E3D9">
        <w:rPr>
          <w:noProof/>
          <w:lang w:val="en-US" w:eastAsia="en-IE"/>
        </w:rPr>
        <w:t xml:space="preserve">the </w:t>
      </w:r>
      <w:r w:rsidRPr="00575C33">
        <w:rPr>
          <w:noProof/>
          <w:lang w:val="en-US" w:eastAsia="en-IE"/>
        </w:rPr>
        <w:t xml:space="preserve">top 10 participants representing around 50% of all long positions in July 2022 to </w:t>
      </w:r>
      <w:r>
        <w:rPr>
          <w:noProof/>
          <w:lang w:val="en-US" w:eastAsia="en-IE"/>
        </w:rPr>
        <w:t xml:space="preserve">around </w:t>
      </w:r>
      <w:r w:rsidRPr="00575C33">
        <w:rPr>
          <w:noProof/>
          <w:lang w:val="en-US" w:eastAsia="en-IE"/>
        </w:rPr>
        <w:t xml:space="preserve">35% </w:t>
      </w:r>
      <w:r w:rsidRPr="09B9041F">
        <w:rPr>
          <w:noProof/>
          <w:lang w:val="en-US" w:eastAsia="en-IE"/>
        </w:rPr>
        <w:t>at the</w:t>
      </w:r>
      <w:r w:rsidRPr="00575C33">
        <w:rPr>
          <w:noProof/>
          <w:lang w:val="en-US" w:eastAsia="en-IE"/>
        </w:rPr>
        <w:t xml:space="preserve"> end</w:t>
      </w:r>
      <w:r w:rsidRPr="09B9041F">
        <w:rPr>
          <w:noProof/>
          <w:lang w:val="en-US" w:eastAsia="en-IE"/>
        </w:rPr>
        <w:t xml:space="preserve"> </w:t>
      </w:r>
      <w:r w:rsidRPr="7AB0EFE5">
        <w:rPr>
          <w:noProof/>
          <w:lang w:val="en-US" w:eastAsia="en-IE"/>
        </w:rPr>
        <w:t xml:space="preserve">of </w:t>
      </w:r>
      <w:r w:rsidRPr="00575C33">
        <w:rPr>
          <w:noProof/>
          <w:lang w:val="en-US" w:eastAsia="en-IE"/>
        </w:rPr>
        <w:t>2024.</w:t>
      </w:r>
      <w:r w:rsidRPr="001B1053">
        <w:rPr>
          <w:noProof/>
          <w:lang w:val="en-US" w:eastAsia="en-IE"/>
        </w:rPr>
        <w:t> (</w:t>
      </w:r>
      <w:r>
        <w:rPr>
          <w:rStyle w:val="FootnoteReference"/>
          <w:noProof/>
          <w:lang w:val="en-US" w:eastAsia="en-IE"/>
        </w:rPr>
        <w:footnoteReference w:id="21"/>
      </w:r>
      <w:r>
        <w:rPr>
          <w:noProof/>
          <w:lang w:val="en-US" w:eastAsia="en-IE"/>
        </w:rPr>
        <w:t>)</w:t>
      </w:r>
    </w:p>
    <w:p w14:paraId="2642F974" w14:textId="36885245" w:rsidR="009B1053" w:rsidRPr="00575C33" w:rsidRDefault="1D43C493" w:rsidP="21CB014D">
      <w:pPr>
        <w:rPr>
          <w:noProof/>
          <w:lang w:val="en-US" w:eastAsia="en-IE"/>
        </w:rPr>
      </w:pPr>
      <w:r w:rsidRPr="21CB014D">
        <w:rPr>
          <w:noProof/>
          <w:lang w:val="en-US" w:eastAsia="en-IE"/>
        </w:rPr>
        <w:t>Most respondents, including most public authorities, consider</w:t>
      </w:r>
      <w:r w:rsidR="446FA3C5" w:rsidRPr="21CB014D">
        <w:rPr>
          <w:noProof/>
          <w:lang w:val="en-US" w:eastAsia="en-IE"/>
        </w:rPr>
        <w:t>ed</w:t>
      </w:r>
      <w:r w:rsidRPr="21CB014D">
        <w:rPr>
          <w:noProof/>
          <w:lang w:val="en-US" w:eastAsia="en-IE"/>
        </w:rPr>
        <w:t xml:space="preserve"> that there is no need to change the scope of contracts captured by position limits, nor the type of positions captured. Respondents also almost unanimously rejected the suggestion </w:t>
      </w:r>
      <w:r w:rsidR="72A4380D" w:rsidRPr="21CB014D">
        <w:rPr>
          <w:noProof/>
          <w:lang w:val="en-US" w:eastAsia="en-IE"/>
        </w:rPr>
        <w:t>of</w:t>
      </w:r>
      <w:r w:rsidRPr="21CB014D">
        <w:rPr>
          <w:noProof/>
          <w:lang w:val="en-US" w:eastAsia="en-IE"/>
        </w:rPr>
        <w:t xml:space="preserve"> the Draghi report to differentiate position limits based on types of traders. The Commission considers that there is no </w:t>
      </w:r>
      <w:r w:rsidR="72A4380D" w:rsidRPr="21CB014D">
        <w:rPr>
          <w:noProof/>
          <w:lang w:val="en-US" w:eastAsia="en-IE"/>
        </w:rPr>
        <w:t xml:space="preserve">discernible </w:t>
      </w:r>
      <w:r w:rsidRPr="21CB014D">
        <w:rPr>
          <w:noProof/>
          <w:lang w:val="en-US" w:eastAsia="en-IE"/>
        </w:rPr>
        <w:t>need to further differentiat</w:t>
      </w:r>
      <w:r w:rsidR="72A4380D" w:rsidRPr="21CB014D">
        <w:rPr>
          <w:noProof/>
          <w:lang w:val="en-US" w:eastAsia="en-IE"/>
        </w:rPr>
        <w:t>e</w:t>
      </w:r>
      <w:r w:rsidRPr="21CB014D">
        <w:rPr>
          <w:noProof/>
          <w:lang w:val="en-US" w:eastAsia="en-IE"/>
        </w:rPr>
        <w:t xml:space="preserve"> the position limit regime per type of market participant, given the existing hedging exemption in MiFID II, which already allows for certain flexibility for non-financial firms, and the non-negligible risk of making the framework unnecessarily complex.</w:t>
      </w:r>
    </w:p>
    <w:p w14:paraId="72688B5D" w14:textId="14C81286" w:rsidR="009B1053" w:rsidRDefault="72A4380D" w:rsidP="00C80837">
      <w:pPr>
        <w:rPr>
          <w:noProof/>
          <w:lang w:val="en-US" w:eastAsia="en-IE"/>
        </w:rPr>
      </w:pPr>
      <w:r w:rsidRPr="21CB014D">
        <w:rPr>
          <w:noProof/>
          <w:lang w:val="en-US" w:eastAsia="en-IE"/>
        </w:rPr>
        <w:t>S</w:t>
      </w:r>
      <w:r w:rsidR="1D43C493" w:rsidRPr="21CB014D">
        <w:rPr>
          <w:noProof/>
          <w:lang w:val="en-US" w:eastAsia="en-IE"/>
        </w:rPr>
        <w:t xml:space="preserve">ome </w:t>
      </w:r>
      <w:r w:rsidR="044177E4" w:rsidRPr="21CB014D">
        <w:rPr>
          <w:noProof/>
          <w:lang w:val="en-US" w:eastAsia="en-IE"/>
        </w:rPr>
        <w:t xml:space="preserve">industry </w:t>
      </w:r>
      <w:r w:rsidR="1D43C493" w:rsidRPr="21CB014D">
        <w:rPr>
          <w:noProof/>
          <w:lang w:val="en-US" w:eastAsia="en-IE"/>
        </w:rPr>
        <w:t xml:space="preserve">stakeholders </w:t>
      </w:r>
      <w:r w:rsidRPr="21CB014D">
        <w:rPr>
          <w:noProof/>
          <w:lang w:val="en-US" w:eastAsia="en-IE"/>
        </w:rPr>
        <w:t xml:space="preserve">noted that </w:t>
      </w:r>
      <w:r w:rsidR="1D43C493" w:rsidRPr="21CB014D">
        <w:rPr>
          <w:noProof/>
          <w:lang w:val="en-US" w:eastAsia="en-IE"/>
        </w:rPr>
        <w:t>the procedures for appl</w:t>
      </w:r>
      <w:r w:rsidR="56197CA5" w:rsidRPr="21CB014D">
        <w:rPr>
          <w:noProof/>
          <w:lang w:val="en-US" w:eastAsia="en-IE"/>
        </w:rPr>
        <w:t>ying</w:t>
      </w:r>
      <w:r w:rsidR="1D43C493" w:rsidRPr="21CB014D">
        <w:rPr>
          <w:noProof/>
          <w:lang w:val="en-US" w:eastAsia="en-IE"/>
        </w:rPr>
        <w:t xml:space="preserve"> for and grant</w:t>
      </w:r>
      <w:r w:rsidR="56197CA5" w:rsidRPr="21CB014D">
        <w:rPr>
          <w:noProof/>
          <w:lang w:val="en-US" w:eastAsia="en-IE"/>
        </w:rPr>
        <w:t>ing</w:t>
      </w:r>
      <w:r w:rsidR="1D43C493" w:rsidRPr="21CB014D">
        <w:rPr>
          <w:noProof/>
          <w:lang w:val="en-US" w:eastAsia="en-IE"/>
        </w:rPr>
        <w:t xml:space="preserve"> hedging or liquidity </w:t>
      </w:r>
      <w:r w:rsidR="1F82E676" w:rsidRPr="21CB014D">
        <w:rPr>
          <w:noProof/>
          <w:lang w:val="en-US" w:eastAsia="en-IE"/>
        </w:rPr>
        <w:t xml:space="preserve">provision </w:t>
      </w:r>
      <w:r w:rsidR="1D43C493" w:rsidRPr="21CB014D">
        <w:rPr>
          <w:noProof/>
          <w:lang w:val="en-US" w:eastAsia="en-IE"/>
        </w:rPr>
        <w:t>exemptions</w:t>
      </w:r>
      <w:r w:rsidR="56197CA5" w:rsidRPr="21CB014D">
        <w:rPr>
          <w:noProof/>
          <w:lang w:val="en-US" w:eastAsia="en-IE"/>
        </w:rPr>
        <w:t xml:space="preserve"> were burd</w:t>
      </w:r>
      <w:r w:rsidR="7F9D1BF4" w:rsidRPr="21CB014D">
        <w:rPr>
          <w:noProof/>
          <w:lang w:val="en-US" w:eastAsia="en-IE"/>
        </w:rPr>
        <w:t>e</w:t>
      </w:r>
      <w:r w:rsidR="56197CA5" w:rsidRPr="21CB014D">
        <w:rPr>
          <w:noProof/>
          <w:lang w:val="en-US" w:eastAsia="en-IE"/>
        </w:rPr>
        <w:t>nsome</w:t>
      </w:r>
      <w:r w:rsidR="03F4FFF1" w:rsidRPr="21CB014D">
        <w:rPr>
          <w:noProof/>
          <w:lang w:val="en-US" w:eastAsia="en-IE"/>
        </w:rPr>
        <w:t>.</w:t>
      </w:r>
      <w:r w:rsidR="1D43C493" w:rsidRPr="21CB014D">
        <w:rPr>
          <w:noProof/>
          <w:lang w:val="en-US" w:eastAsia="en-IE"/>
        </w:rPr>
        <w:t xml:space="preserve"> 57% of respondents suggest</w:t>
      </w:r>
      <w:r w:rsidR="03F4FFF1" w:rsidRPr="21CB014D">
        <w:rPr>
          <w:noProof/>
          <w:lang w:val="en-US" w:eastAsia="en-IE"/>
        </w:rPr>
        <w:t>ed</w:t>
      </w:r>
      <w:r w:rsidR="1D43C493" w:rsidRPr="21CB014D">
        <w:rPr>
          <w:noProof/>
          <w:lang w:val="en-US" w:eastAsia="en-IE"/>
        </w:rPr>
        <w:t xml:space="preserve"> that </w:t>
      </w:r>
      <w:r w:rsidR="03F4FFF1" w:rsidRPr="21CB014D">
        <w:rPr>
          <w:noProof/>
          <w:lang w:val="en-US" w:eastAsia="en-IE"/>
        </w:rPr>
        <w:t xml:space="preserve">these </w:t>
      </w:r>
      <w:r w:rsidR="1D43C493" w:rsidRPr="21CB014D">
        <w:rPr>
          <w:noProof/>
          <w:lang w:val="en-US" w:eastAsia="en-IE"/>
        </w:rPr>
        <w:t>task</w:t>
      </w:r>
      <w:r w:rsidR="03F4FFF1" w:rsidRPr="21CB014D">
        <w:rPr>
          <w:noProof/>
          <w:lang w:val="en-US" w:eastAsia="en-IE"/>
        </w:rPr>
        <w:t>s</w:t>
      </w:r>
      <w:r w:rsidR="1D43C493" w:rsidRPr="21CB014D">
        <w:rPr>
          <w:noProof/>
          <w:lang w:val="en-US" w:eastAsia="en-IE"/>
        </w:rPr>
        <w:t xml:space="preserve"> could be transferred to trading venues. Five trading venues and two exchanges </w:t>
      </w:r>
      <w:r w:rsidR="7CF828DD" w:rsidRPr="21CB014D">
        <w:rPr>
          <w:noProof/>
          <w:lang w:val="en-US" w:eastAsia="en-IE"/>
        </w:rPr>
        <w:t>associations,</w:t>
      </w:r>
      <w:r w:rsidR="1D43C493" w:rsidRPr="21CB014D">
        <w:rPr>
          <w:noProof/>
          <w:lang w:val="en-US" w:eastAsia="en-IE"/>
        </w:rPr>
        <w:t xml:space="preserve"> however, disagreed with this suggestion. In addition, two regulators mentioned that the role of trading venues should not be extended to the setting of position limits themselves, notably because of conflicting commercial interests between venues where the same contract is traded. The Commission also sees challenges in the latter case and would therefore consider that any delegation of tasks related to the setting of position limits should not be envisaged. Nonetheless, it appears that the process of granting hedging or liquidity provision exemptions could potentially be made more agile by delegating certain tasks, such as the processing of applications and validation of requests for exemptions, to trading venues, notably where no or little discretion is required. </w:t>
      </w:r>
    </w:p>
    <w:p w14:paraId="60C0EAE6" w14:textId="5CACC146" w:rsidR="007A26FA" w:rsidRPr="005B2608" w:rsidRDefault="0ED895D9" w:rsidP="00C80837">
      <w:pPr>
        <w:rPr>
          <w:noProof/>
          <w:lang w:eastAsia="en-IE"/>
        </w:rPr>
      </w:pPr>
      <w:r w:rsidRPr="21CB014D">
        <w:rPr>
          <w:noProof/>
          <w:lang w:val="en-US" w:eastAsia="en-IE"/>
        </w:rPr>
        <w:t>Lastly, t</w:t>
      </w:r>
      <w:r w:rsidR="3776E466" w:rsidRPr="21CB014D">
        <w:rPr>
          <w:noProof/>
          <w:lang w:val="en-US" w:eastAsia="en-IE"/>
        </w:rPr>
        <w:t xml:space="preserve">wo respondents raised questions as regards the application of the EU position limits regime to positions entered into </w:t>
      </w:r>
      <w:r w:rsidR="5B9D57B9" w:rsidRPr="21CB014D">
        <w:rPr>
          <w:noProof/>
          <w:lang w:val="en-US" w:eastAsia="en-IE"/>
        </w:rPr>
        <w:t>on third-country venues</w:t>
      </w:r>
      <w:r w:rsidR="1DF9C98A" w:rsidRPr="21CB014D">
        <w:rPr>
          <w:noProof/>
          <w:lang w:val="en-US" w:eastAsia="en-IE"/>
        </w:rPr>
        <w:t xml:space="preserve">, </w:t>
      </w:r>
      <w:r w:rsidR="5B9D57B9" w:rsidRPr="21CB014D">
        <w:rPr>
          <w:noProof/>
          <w:lang w:val="en-US" w:eastAsia="en-IE"/>
        </w:rPr>
        <w:t xml:space="preserve">and as regards the potential risk of circumvention that this implies. </w:t>
      </w:r>
      <w:r w:rsidR="3A08799D" w:rsidRPr="21CB014D">
        <w:rPr>
          <w:noProof/>
          <w:lang w:val="en-US" w:eastAsia="en-IE"/>
        </w:rPr>
        <w:t>T</w:t>
      </w:r>
      <w:r w:rsidR="3B1A56DD" w:rsidRPr="21CB014D">
        <w:rPr>
          <w:noProof/>
          <w:lang w:val="en-US" w:eastAsia="en-IE"/>
        </w:rPr>
        <w:t xml:space="preserve">he current MiFID position limits regime </w:t>
      </w:r>
      <w:r w:rsidR="3A08799D" w:rsidRPr="21CB014D">
        <w:rPr>
          <w:noProof/>
          <w:lang w:val="en-US" w:eastAsia="en-IE"/>
        </w:rPr>
        <w:t>may be</w:t>
      </w:r>
      <w:r w:rsidR="3B1A56DD" w:rsidRPr="21CB014D">
        <w:rPr>
          <w:noProof/>
          <w:lang w:val="en-US" w:eastAsia="en-IE"/>
        </w:rPr>
        <w:t xml:space="preserve"> subject to legal uncertainty as regards positions taken by EU investment firms and their clients on third-country venues offering trading in economically equivalent commodity derivative contracts and the extent to which such positions should be reported and count towards position limits – where such contracts are subject to position limits in the EU. </w:t>
      </w:r>
      <w:r w:rsidR="3B9AFA61" w:rsidRPr="21CB014D">
        <w:rPr>
          <w:noProof/>
          <w:lang w:val="en-US" w:eastAsia="en-IE"/>
        </w:rPr>
        <w:t xml:space="preserve">This </w:t>
      </w:r>
      <w:r w:rsidR="3B1A56DD" w:rsidRPr="21CB014D">
        <w:rPr>
          <w:noProof/>
          <w:lang w:val="en-US" w:eastAsia="en-IE"/>
        </w:rPr>
        <w:t xml:space="preserve">could contribute to an unlevel playing field between </w:t>
      </w:r>
      <w:r w:rsidR="34363F57" w:rsidRPr="21CB014D">
        <w:rPr>
          <w:noProof/>
          <w:lang w:val="en-US" w:eastAsia="en-IE"/>
        </w:rPr>
        <w:t xml:space="preserve">EU and </w:t>
      </w:r>
      <w:r w:rsidR="3B1A56DD" w:rsidRPr="21CB014D">
        <w:rPr>
          <w:noProof/>
          <w:lang w:val="en-US" w:eastAsia="en-IE"/>
        </w:rPr>
        <w:t>third country venues, and create potential incentives to trade in economically equivalent derivatives on third country venues rather than on EU venues.</w:t>
      </w:r>
    </w:p>
    <w:p w14:paraId="2FB75FC7" w14:textId="77777777" w:rsidR="009B1053" w:rsidRPr="00575C33" w:rsidRDefault="009B1053" w:rsidP="009B1053">
      <w:pPr>
        <w:pStyle w:val="ListParagraph"/>
        <w:numPr>
          <w:ilvl w:val="0"/>
          <w:numId w:val="28"/>
        </w:numPr>
        <w:spacing w:after="240"/>
        <w:contextualSpacing w:val="0"/>
        <w:rPr>
          <w:rFonts w:ascii="Times New Roman" w:hAnsi="Times New Roman"/>
          <w:noProof/>
          <w:sz w:val="24"/>
          <w:szCs w:val="24"/>
          <w:lang w:val="en-US" w:eastAsia="en-IE"/>
        </w:rPr>
      </w:pPr>
      <w:r w:rsidRPr="00575C33">
        <w:rPr>
          <w:rFonts w:ascii="Times New Roman" w:hAnsi="Times New Roman"/>
          <w:i/>
          <w:iCs/>
          <w:noProof/>
          <w:sz w:val="24"/>
          <w:szCs w:val="24"/>
          <w:lang w:val="en-US" w:eastAsia="en-IE"/>
        </w:rPr>
        <w:t>Position reporting and position management controls</w:t>
      </w:r>
    </w:p>
    <w:p w14:paraId="28E22BD6" w14:textId="49E2AAA6" w:rsidR="009B1053" w:rsidRPr="00141E67" w:rsidRDefault="1D43C493" w:rsidP="21CB014D">
      <w:pPr>
        <w:rPr>
          <w:noProof/>
          <w:lang w:val="en-US" w:eastAsia="en-IE"/>
        </w:rPr>
      </w:pPr>
      <w:r w:rsidRPr="21CB014D">
        <w:rPr>
          <w:noProof/>
          <w:lang w:val="en-US" w:eastAsia="en-IE"/>
        </w:rPr>
        <w:t>As regards position reporting, all but one respondent expressed concerns over</w:t>
      </w:r>
      <w:r w:rsidR="222BA2C9" w:rsidRPr="21CB014D">
        <w:rPr>
          <w:noProof/>
          <w:lang w:val="en-US" w:eastAsia="en-IE"/>
        </w:rPr>
        <w:t xml:space="preserve"> </w:t>
      </w:r>
      <w:r w:rsidRPr="21CB014D">
        <w:rPr>
          <w:noProof/>
          <w:lang w:val="en-US" w:eastAsia="en-IE"/>
        </w:rPr>
        <w:t>possible obligations for market participants to systematically report OTC positions to trading venues to support the</w:t>
      </w:r>
      <w:r w:rsidR="0905D89E" w:rsidRPr="21CB014D">
        <w:rPr>
          <w:noProof/>
          <w:lang w:val="en-US" w:eastAsia="en-IE"/>
        </w:rPr>
        <w:t>ir</w:t>
      </w:r>
      <w:r w:rsidRPr="21CB014D">
        <w:rPr>
          <w:noProof/>
          <w:lang w:val="en-US" w:eastAsia="en-IE"/>
        </w:rPr>
        <w:t xml:space="preserve"> position management control </w:t>
      </w:r>
      <w:r w:rsidR="0905D89E" w:rsidRPr="21CB014D">
        <w:rPr>
          <w:noProof/>
          <w:lang w:val="en-US" w:eastAsia="en-IE"/>
        </w:rPr>
        <w:t>mandate</w:t>
      </w:r>
      <w:r w:rsidRPr="21CB014D">
        <w:rPr>
          <w:noProof/>
          <w:lang w:val="en-US" w:eastAsia="en-IE"/>
        </w:rPr>
        <w:t xml:space="preserve">. Respondents point to </w:t>
      </w:r>
      <w:r w:rsidR="40968BE4" w:rsidRPr="21CB014D">
        <w:rPr>
          <w:noProof/>
          <w:lang w:val="en-US" w:eastAsia="en-IE"/>
        </w:rPr>
        <w:t>a</w:t>
      </w:r>
      <w:r w:rsidRPr="21CB014D">
        <w:rPr>
          <w:noProof/>
          <w:lang w:val="en-US" w:eastAsia="en-IE"/>
        </w:rPr>
        <w:t xml:space="preserve"> </w:t>
      </w:r>
      <w:r w:rsidR="40968BE4" w:rsidRPr="21CB014D">
        <w:rPr>
          <w:noProof/>
          <w:lang w:val="en-US" w:eastAsia="en-IE"/>
        </w:rPr>
        <w:t xml:space="preserve">potential </w:t>
      </w:r>
      <w:r w:rsidRPr="21CB014D">
        <w:rPr>
          <w:noProof/>
          <w:lang w:val="en-US" w:eastAsia="en-IE"/>
        </w:rPr>
        <w:t xml:space="preserve">significant burden and to risks that this could lead to inappropriate sharing of commercially sensitive information. Stakeholders rather recommend a more efficient use of the existing </w:t>
      </w:r>
      <w:r w:rsidR="10F39B19" w:rsidRPr="21CB014D">
        <w:rPr>
          <w:noProof/>
          <w:lang w:val="en-US" w:eastAsia="en-IE"/>
        </w:rPr>
        <w:t xml:space="preserve">reported </w:t>
      </w:r>
      <w:r w:rsidRPr="21CB014D">
        <w:rPr>
          <w:noProof/>
          <w:lang w:val="en-US" w:eastAsia="en-IE"/>
        </w:rPr>
        <w:t xml:space="preserve">data. </w:t>
      </w:r>
      <w:r w:rsidR="0C1631B1" w:rsidRPr="21CB014D">
        <w:rPr>
          <w:noProof/>
          <w:lang w:val="en-US" w:eastAsia="en-IE"/>
        </w:rPr>
        <w:t>A</w:t>
      </w:r>
      <w:r w:rsidRPr="21CB014D">
        <w:rPr>
          <w:noProof/>
          <w:lang w:val="en-US" w:eastAsia="en-IE"/>
        </w:rPr>
        <w:t xml:space="preserve">round 10% of respondents (notably </w:t>
      </w:r>
      <w:r w:rsidR="57F57314" w:rsidRPr="21CB014D">
        <w:rPr>
          <w:noProof/>
          <w:lang w:val="en-US" w:eastAsia="en-IE"/>
        </w:rPr>
        <w:t>three</w:t>
      </w:r>
      <w:r w:rsidRPr="21CB014D">
        <w:rPr>
          <w:noProof/>
          <w:lang w:val="en-US" w:eastAsia="en-IE"/>
        </w:rPr>
        <w:t xml:space="preserve"> public authorities) suggested that the reporting of EEOTC positions should be extended to all market participants, and therefore apply to non</w:t>
      </w:r>
      <w:r w:rsidR="107779D3" w:rsidRPr="21CB014D">
        <w:rPr>
          <w:noProof/>
          <w:lang w:val="en-US" w:eastAsia="en-IE"/>
        </w:rPr>
        <w:t>-</w:t>
      </w:r>
      <w:r w:rsidRPr="21CB014D">
        <w:rPr>
          <w:noProof/>
          <w:lang w:val="en-US" w:eastAsia="en-IE"/>
        </w:rPr>
        <w:t xml:space="preserve">investment firms, notably for the purpose of ensuring adequate enforcement of position limits. </w:t>
      </w:r>
    </w:p>
    <w:p w14:paraId="07B882B8" w14:textId="0959D5E6" w:rsidR="009B1053" w:rsidRPr="00575C33" w:rsidRDefault="1D43C493" w:rsidP="009B1053">
      <w:pPr>
        <w:rPr>
          <w:noProof/>
          <w:lang w:val="en-US" w:eastAsia="en-IE"/>
        </w:rPr>
      </w:pPr>
      <w:r w:rsidRPr="21CB014D">
        <w:rPr>
          <w:noProof/>
          <w:lang w:val="en-US" w:eastAsia="en-IE"/>
        </w:rPr>
        <w:t xml:space="preserve">However, several of those stakeholders opposing systematic reporting of OTC positions to trading venues </w:t>
      </w:r>
      <w:r w:rsidR="31B51D7A" w:rsidRPr="21CB014D">
        <w:rPr>
          <w:noProof/>
          <w:lang w:val="en-US" w:eastAsia="en-IE"/>
        </w:rPr>
        <w:t>considered</w:t>
      </w:r>
      <w:r w:rsidRPr="21CB014D">
        <w:rPr>
          <w:noProof/>
          <w:lang w:val="en-US" w:eastAsia="en-IE"/>
        </w:rPr>
        <w:t xml:space="preserve"> that trading venues should have the </w:t>
      </w:r>
      <w:r w:rsidR="31B51D7A" w:rsidRPr="21CB014D">
        <w:rPr>
          <w:noProof/>
          <w:lang w:val="en-US" w:eastAsia="en-IE"/>
        </w:rPr>
        <w:t xml:space="preserve">ability </w:t>
      </w:r>
      <w:r w:rsidRPr="21CB014D">
        <w:rPr>
          <w:noProof/>
          <w:lang w:val="en-US" w:eastAsia="en-IE"/>
        </w:rPr>
        <w:t xml:space="preserve">to request additional position information </w:t>
      </w:r>
      <w:r w:rsidR="31B51D7A" w:rsidRPr="21CB014D">
        <w:rPr>
          <w:noProof/>
          <w:lang w:val="en-US" w:eastAsia="en-IE"/>
        </w:rPr>
        <w:t xml:space="preserve">on a wider scope of </w:t>
      </w:r>
      <w:r w:rsidRPr="21CB014D">
        <w:rPr>
          <w:noProof/>
          <w:lang w:val="en-US" w:eastAsia="en-IE"/>
        </w:rPr>
        <w:t>OTC contracts</w:t>
      </w:r>
      <w:r w:rsidR="31B51D7A" w:rsidRPr="21CB014D">
        <w:rPr>
          <w:noProof/>
          <w:lang w:val="en-US" w:eastAsia="en-IE"/>
        </w:rPr>
        <w:t>, when positions in such contracts can influence the price of contracts traded on the same venue, and</w:t>
      </w:r>
      <w:r w:rsidRPr="21CB014D">
        <w:rPr>
          <w:noProof/>
          <w:lang w:val="en-US" w:eastAsia="en-IE"/>
        </w:rPr>
        <w:t xml:space="preserve"> only in specific</w:t>
      </w:r>
      <w:r w:rsidR="25B7E36C" w:rsidRPr="21CB014D">
        <w:rPr>
          <w:noProof/>
          <w:lang w:val="en-US" w:eastAsia="en-IE"/>
        </w:rPr>
        <w:t xml:space="preserve"> </w:t>
      </w:r>
      <w:r w:rsidRPr="21CB014D">
        <w:rPr>
          <w:noProof/>
          <w:lang w:val="en-US" w:eastAsia="en-IE"/>
        </w:rPr>
        <w:t xml:space="preserve">circumstances, such as during periods of market stress or heightened risk (as opposed to a systematic reporting). The Commission is of the view that this could enhance the capacity of trading venues to perform their position management controls and help monitor </w:t>
      </w:r>
      <w:r w:rsidR="71F21074" w:rsidRPr="21CB014D">
        <w:rPr>
          <w:noProof/>
          <w:lang w:val="en-US" w:eastAsia="en-IE"/>
        </w:rPr>
        <w:t>orderly trading and, eventually, p</w:t>
      </w:r>
      <w:r w:rsidR="67339B32" w:rsidRPr="21CB014D">
        <w:rPr>
          <w:noProof/>
          <w:lang w:val="en-US" w:eastAsia="en-IE"/>
        </w:rPr>
        <w:t>re</w:t>
      </w:r>
      <w:r w:rsidR="71F21074" w:rsidRPr="21CB014D">
        <w:rPr>
          <w:noProof/>
          <w:lang w:val="en-US" w:eastAsia="en-IE"/>
        </w:rPr>
        <w:t>serv</w:t>
      </w:r>
      <w:r w:rsidR="56C4C002" w:rsidRPr="21CB014D">
        <w:rPr>
          <w:noProof/>
          <w:lang w:val="en-US" w:eastAsia="en-IE"/>
        </w:rPr>
        <w:t>e</w:t>
      </w:r>
      <w:r w:rsidR="7320C326" w:rsidRPr="21CB014D">
        <w:rPr>
          <w:noProof/>
          <w:lang w:val="en-US" w:eastAsia="en-IE"/>
        </w:rPr>
        <w:t xml:space="preserve"> markets </w:t>
      </w:r>
      <w:r w:rsidR="1F36E4C6" w:rsidRPr="21CB014D">
        <w:rPr>
          <w:noProof/>
          <w:lang w:val="en-US" w:eastAsia="en-IE"/>
        </w:rPr>
        <w:t>against</w:t>
      </w:r>
      <w:r w:rsidR="71F21074" w:rsidRPr="21CB014D">
        <w:rPr>
          <w:noProof/>
          <w:lang w:val="en-US" w:eastAsia="en-IE"/>
        </w:rPr>
        <w:t xml:space="preserve"> </w:t>
      </w:r>
      <w:r w:rsidRPr="21CB014D">
        <w:rPr>
          <w:noProof/>
          <w:lang w:val="en-US" w:eastAsia="en-IE"/>
        </w:rPr>
        <w:t>financial stability risks, while limiting implementation costs compared to systematic reporting of OTC positions to trading venues.</w:t>
      </w:r>
    </w:p>
    <w:p w14:paraId="4C7B7561" w14:textId="141E156A" w:rsidR="009B1053" w:rsidRPr="00575C33" w:rsidRDefault="1D43C493" w:rsidP="009B1053">
      <w:pPr>
        <w:rPr>
          <w:noProof/>
          <w:lang w:val="en-US" w:eastAsia="en-IE"/>
        </w:rPr>
      </w:pPr>
      <w:r w:rsidRPr="21CB014D">
        <w:rPr>
          <w:noProof/>
          <w:lang w:val="en-US" w:eastAsia="en-IE"/>
        </w:rPr>
        <w:t xml:space="preserve">Around 85% of respondents considered that financial and energy supervisors should have a comprehensive access to </w:t>
      </w:r>
      <w:r w:rsidR="6EDED75B" w:rsidRPr="21CB014D">
        <w:rPr>
          <w:noProof/>
          <w:lang w:val="en-US" w:eastAsia="en-IE"/>
        </w:rPr>
        <w:t xml:space="preserve">their respective </w:t>
      </w:r>
      <w:r w:rsidRPr="21CB014D">
        <w:rPr>
          <w:noProof/>
          <w:lang w:val="en-US" w:eastAsia="en-IE"/>
        </w:rPr>
        <w:t xml:space="preserve">data </w:t>
      </w:r>
      <w:r w:rsidR="6EDED75B" w:rsidRPr="21CB014D">
        <w:rPr>
          <w:noProof/>
          <w:lang w:val="en-US" w:eastAsia="en-IE"/>
        </w:rPr>
        <w:t>sets</w:t>
      </w:r>
      <w:r w:rsidRPr="21CB014D">
        <w:rPr>
          <w:noProof/>
          <w:lang w:val="en-US" w:eastAsia="en-IE"/>
        </w:rPr>
        <w:t xml:space="preserve"> (e.g., NRAs should have access to MiFID/R data, while NCAs should have access to C6 carve-out and spot markets data</w:t>
      </w:r>
      <w:r w:rsidR="3063B9DE" w:rsidRPr="21CB014D">
        <w:rPr>
          <w:noProof/>
          <w:lang w:val="en-US" w:eastAsia="en-IE"/>
        </w:rPr>
        <w:t>)</w:t>
      </w:r>
      <w:r w:rsidRPr="21CB014D">
        <w:rPr>
          <w:noProof/>
          <w:lang w:val="en-US" w:eastAsia="en-IE"/>
        </w:rPr>
        <w:t>. The Commission considers that this could be achieved through facilitated cooperation and data sharing (see data section).</w:t>
      </w:r>
    </w:p>
    <w:p w14:paraId="3752EE58" w14:textId="05440938" w:rsidR="009B1053" w:rsidRPr="001A7809" w:rsidRDefault="1D43C493" w:rsidP="009B1053">
      <w:pPr>
        <w:rPr>
          <w:noProof/>
          <w:lang w:val="en-US" w:eastAsia="en-IE"/>
        </w:rPr>
      </w:pPr>
      <w:r w:rsidRPr="21CB014D">
        <w:rPr>
          <w:noProof/>
          <w:lang w:val="en-US" w:eastAsia="en-IE"/>
        </w:rPr>
        <w:t>Lastly, stakeholders</w:t>
      </w:r>
      <w:r w:rsidR="3063B9DE" w:rsidRPr="21CB014D">
        <w:rPr>
          <w:noProof/>
          <w:lang w:val="en-US" w:eastAsia="en-IE"/>
        </w:rPr>
        <w:t>’ views on</w:t>
      </w:r>
      <w:r w:rsidRPr="21CB014D">
        <w:rPr>
          <w:noProof/>
          <w:lang w:val="en-US" w:eastAsia="en-IE"/>
        </w:rPr>
        <w:t xml:space="preserve"> the potential extension of reporting of end-beneficiaries </w:t>
      </w:r>
      <w:r w:rsidR="64F37838" w:rsidRPr="21CB014D">
        <w:rPr>
          <w:noProof/>
          <w:lang w:val="en-US" w:eastAsia="en-IE"/>
        </w:rPr>
        <w:t>of</w:t>
      </w:r>
      <w:r w:rsidRPr="21CB014D">
        <w:rPr>
          <w:noProof/>
          <w:lang w:val="en-US" w:eastAsia="en-IE"/>
        </w:rPr>
        <w:t xml:space="preserve"> positions held by </w:t>
      </w:r>
      <w:r w:rsidR="64F37838" w:rsidRPr="21CB014D">
        <w:rPr>
          <w:noProof/>
          <w:lang w:val="en-US" w:eastAsia="en-IE"/>
        </w:rPr>
        <w:t>non-EU</w:t>
      </w:r>
      <w:r w:rsidRPr="21CB014D">
        <w:rPr>
          <w:noProof/>
          <w:lang w:val="en-US" w:eastAsia="en-IE"/>
        </w:rPr>
        <w:t xml:space="preserve"> market participants were split. While (notably EU-based) respondents overall agreed on the added value of such information, </w:t>
      </w:r>
      <w:r w:rsidR="64F37838" w:rsidRPr="21CB014D">
        <w:rPr>
          <w:noProof/>
          <w:lang w:val="en-US" w:eastAsia="en-IE"/>
        </w:rPr>
        <w:t>three</w:t>
      </w:r>
      <w:r w:rsidRPr="21CB014D">
        <w:rPr>
          <w:noProof/>
          <w:lang w:val="en-US" w:eastAsia="en-IE"/>
        </w:rPr>
        <w:t xml:space="preserve"> respondents pointed out the additional burden incurred and potential challenges in terms of ensuring compliance by </w:t>
      </w:r>
      <w:r w:rsidR="64F37838" w:rsidRPr="21CB014D">
        <w:rPr>
          <w:noProof/>
          <w:lang w:val="en-US" w:eastAsia="en-IE"/>
        </w:rPr>
        <w:t>non-EU</w:t>
      </w:r>
      <w:r w:rsidRPr="21CB014D">
        <w:rPr>
          <w:noProof/>
          <w:lang w:val="en-US" w:eastAsia="en-IE"/>
        </w:rPr>
        <w:t xml:space="preserve"> market participants. Regulators strongly advocated for this reporting gap to be</w:t>
      </w:r>
      <w:r w:rsidR="2B29A404" w:rsidRPr="21CB014D">
        <w:rPr>
          <w:noProof/>
          <w:lang w:val="en-US" w:eastAsia="en-IE"/>
        </w:rPr>
        <w:t xml:space="preserve"> </w:t>
      </w:r>
      <w:r w:rsidR="2E39685A" w:rsidRPr="21CB014D">
        <w:rPr>
          <w:noProof/>
          <w:lang w:val="en-US" w:eastAsia="en-IE"/>
        </w:rPr>
        <w:t>closed</w:t>
      </w:r>
      <w:r w:rsidRPr="21CB014D">
        <w:rPr>
          <w:noProof/>
          <w:lang w:val="en-US" w:eastAsia="en-IE"/>
        </w:rPr>
        <w:t xml:space="preserve">, including as regards transaction data. </w:t>
      </w:r>
      <w:r w:rsidRPr="21CB014D">
        <w:rPr>
          <w:noProof/>
          <w:lang w:val="en-IE"/>
        </w:rPr>
        <w:t xml:space="preserve">Two financial regulators and one energy regulator emphasised that the current system hinders proper oversight and leads to potential systemic vulnerabilities. </w:t>
      </w:r>
      <w:r w:rsidRPr="21CB014D">
        <w:rPr>
          <w:noProof/>
          <w:lang w:val="en-US" w:eastAsia="en-IE"/>
        </w:rPr>
        <w:t xml:space="preserve">It </w:t>
      </w:r>
      <w:r w:rsidR="2E39685A" w:rsidRPr="21CB014D">
        <w:rPr>
          <w:noProof/>
          <w:lang w:val="en-US" w:eastAsia="en-IE"/>
        </w:rPr>
        <w:t xml:space="preserve">should </w:t>
      </w:r>
      <w:r w:rsidRPr="21CB014D">
        <w:rPr>
          <w:noProof/>
          <w:lang w:val="en-US" w:eastAsia="en-IE"/>
        </w:rPr>
        <w:t>be noted that the current rulebooks of key trading venues for commodity derivatives (notably energy derivatives) already mandate for such information to be provided, notably to comply with the reporting requirements under REMIT.</w:t>
      </w:r>
    </w:p>
    <w:p w14:paraId="038E7339" w14:textId="77777777" w:rsidR="009B1053" w:rsidRPr="001A7809" w:rsidRDefault="009B1053" w:rsidP="00772B47">
      <w:pPr>
        <w:keepNext/>
        <w:rPr>
          <w:i/>
          <w:noProof/>
          <w:lang w:val="en-US" w:eastAsia="en-IE"/>
        </w:rPr>
      </w:pPr>
      <w:r>
        <w:rPr>
          <w:i/>
          <w:noProof/>
          <w:lang w:val="en-US" w:eastAsia="en-IE"/>
        </w:rPr>
        <w:t xml:space="preserve">Conclusions of the </w:t>
      </w:r>
      <w:r w:rsidRPr="001A7809">
        <w:rPr>
          <w:i/>
          <w:noProof/>
          <w:lang w:val="en-US" w:eastAsia="en-IE"/>
        </w:rPr>
        <w:t>Commission</w:t>
      </w:r>
      <w:r>
        <w:rPr>
          <w:i/>
          <w:noProof/>
          <w:lang w:val="en-US" w:eastAsia="en-IE"/>
        </w:rPr>
        <w:t>’s</w:t>
      </w:r>
      <w:r w:rsidRPr="001A7809">
        <w:rPr>
          <w:i/>
          <w:noProof/>
          <w:lang w:val="en-US" w:eastAsia="en-IE"/>
        </w:rPr>
        <w:t xml:space="preserve"> </w:t>
      </w:r>
      <w:r>
        <w:rPr>
          <w:i/>
          <w:noProof/>
          <w:lang w:val="en-US" w:eastAsia="en-IE"/>
        </w:rPr>
        <w:t>assessment</w:t>
      </w:r>
    </w:p>
    <w:p w14:paraId="0AE70F9A" w14:textId="546B8D95" w:rsidR="009B1053" w:rsidRPr="001A7809" w:rsidRDefault="1D43C493" w:rsidP="21CB014D">
      <w:pPr>
        <w:keepNext/>
        <w:rPr>
          <w:noProof/>
          <w:lang w:val="en-US" w:eastAsia="en-IE"/>
        </w:rPr>
      </w:pPr>
      <w:r w:rsidRPr="21CB014D">
        <w:rPr>
          <w:noProof/>
          <w:lang w:val="en-US" w:eastAsia="en-IE"/>
        </w:rPr>
        <w:t xml:space="preserve">Overall, the Commission considers that the current position limits regime functions adequately. No strong evidence points towards a need to </w:t>
      </w:r>
      <w:r w:rsidR="5F35346F" w:rsidRPr="21CB014D">
        <w:rPr>
          <w:noProof/>
          <w:lang w:val="en-US" w:eastAsia="en-IE"/>
        </w:rPr>
        <w:t>n</w:t>
      </w:r>
      <w:r w:rsidRPr="21CB014D">
        <w:rPr>
          <w:noProof/>
          <w:lang w:val="en-US" w:eastAsia="en-IE"/>
        </w:rPr>
        <w:t xml:space="preserve">either tighten the regime, nor to loosen it. The Commission also </w:t>
      </w:r>
      <w:r w:rsidR="2E39685A" w:rsidRPr="21CB014D">
        <w:rPr>
          <w:noProof/>
          <w:lang w:val="en-US" w:eastAsia="en-IE"/>
        </w:rPr>
        <w:t xml:space="preserve">estimates </w:t>
      </w:r>
      <w:r w:rsidRPr="21CB014D">
        <w:rPr>
          <w:noProof/>
          <w:lang w:val="en-US" w:eastAsia="en-IE"/>
        </w:rPr>
        <w:t>that the amendments brought by the CMRP have contributed to further deepening of commodity derivatives markets, notably in the energy derivatives segment.</w:t>
      </w:r>
    </w:p>
    <w:p w14:paraId="5D4E3BC5" w14:textId="601FF37B" w:rsidR="009B1053" w:rsidRPr="00E2271D" w:rsidRDefault="1D43C493" w:rsidP="21CB014D">
      <w:pPr>
        <w:rPr>
          <w:noProof/>
          <w:lang w:val="en-US" w:eastAsia="en-IE"/>
        </w:rPr>
      </w:pPr>
      <w:r w:rsidRPr="21CB014D">
        <w:rPr>
          <w:noProof/>
          <w:lang w:val="en-US" w:eastAsia="en-IE"/>
        </w:rPr>
        <w:t xml:space="preserve">The Commission sees potential for further exploring the conditions under which trading venues could be tasked with greater, yet well-framed, responsibilities in granting hedging and liquidity provision exemptions, as well as possibly ad hoc exemptions, with a view to making the measure more agile and more responsive to market trends, while avoiding a significant transfer of powers away from regulators. </w:t>
      </w:r>
      <w:r w:rsidR="00E63181">
        <w:rPr>
          <w:noProof/>
          <w:lang w:val="en-US" w:eastAsia="en-IE"/>
        </w:rPr>
        <w:t>Specific safeguard</w:t>
      </w:r>
      <w:r w:rsidR="000F1690">
        <w:rPr>
          <w:noProof/>
          <w:lang w:val="en-US" w:eastAsia="en-IE"/>
        </w:rPr>
        <w:t>s</w:t>
      </w:r>
      <w:r w:rsidR="5DB64F12" w:rsidRPr="21CB014D">
        <w:rPr>
          <w:noProof/>
          <w:lang w:val="en-US" w:eastAsia="en-IE"/>
        </w:rPr>
        <w:t>, such as systematic (yet targeted) reporting to and regular reviews by national competent authorities, would need to be put in place to avoid any conflicts of interest and to allow supervisors to have a consolidated view of the existing exemptions.</w:t>
      </w:r>
      <w:r w:rsidR="4A7D0218" w:rsidRPr="21CB014D">
        <w:rPr>
          <w:noProof/>
          <w:lang w:val="en-US" w:eastAsia="en-IE"/>
        </w:rPr>
        <w:t xml:space="preserve"> </w:t>
      </w:r>
      <w:r w:rsidRPr="21CB014D">
        <w:rPr>
          <w:noProof/>
          <w:lang w:val="en-US" w:eastAsia="en-IE"/>
        </w:rPr>
        <w:t xml:space="preserve">However, the Commission does not consider it appropriate to transfer </w:t>
      </w:r>
      <w:r w:rsidR="731246CE" w:rsidRPr="21CB014D">
        <w:rPr>
          <w:noProof/>
          <w:lang w:val="en-US" w:eastAsia="en-IE"/>
        </w:rPr>
        <w:t xml:space="preserve">the power to set </w:t>
      </w:r>
      <w:r w:rsidRPr="21CB014D">
        <w:rPr>
          <w:noProof/>
          <w:lang w:val="en-US" w:eastAsia="en-IE"/>
        </w:rPr>
        <w:t>position limits to trading venues.</w:t>
      </w:r>
      <w:r w:rsidR="1101E812">
        <w:rPr>
          <w:noProof/>
        </w:rPr>
        <w:t xml:space="preserve"> </w:t>
      </w:r>
    </w:p>
    <w:p w14:paraId="5E7EE42B" w14:textId="327226CF" w:rsidR="00361012" w:rsidRPr="00800D99" w:rsidRDefault="2C7E0CAA" w:rsidP="3E60FE0D">
      <w:pPr>
        <w:rPr>
          <w:noProof/>
          <w:lang w:val="en-US" w:eastAsia="en-IE"/>
        </w:rPr>
      </w:pPr>
      <w:r w:rsidRPr="21CB014D">
        <w:rPr>
          <w:noProof/>
          <w:lang w:val="en-US" w:eastAsia="en-IE"/>
        </w:rPr>
        <w:t xml:space="preserve">As regards the application of position limits to positions entered into on </w:t>
      </w:r>
      <w:r w:rsidR="23C926EE" w:rsidRPr="21CB014D">
        <w:rPr>
          <w:noProof/>
          <w:lang w:val="en-US" w:eastAsia="en-IE"/>
        </w:rPr>
        <w:t>non-EU</w:t>
      </w:r>
      <w:r w:rsidRPr="21CB014D">
        <w:rPr>
          <w:noProof/>
          <w:lang w:val="en-US" w:eastAsia="en-IE"/>
        </w:rPr>
        <w:t xml:space="preserve"> </w:t>
      </w:r>
      <w:r w:rsidR="70439CD6" w:rsidRPr="21CB014D">
        <w:rPr>
          <w:noProof/>
          <w:lang w:val="en-US" w:eastAsia="en-IE"/>
        </w:rPr>
        <w:t>venues, the Commission has, as part of the Market Integration and Supervision Package</w:t>
      </w:r>
      <w:r w:rsidR="073A12A5" w:rsidRPr="21CB014D">
        <w:rPr>
          <w:noProof/>
          <w:lang w:val="en-US" w:eastAsia="en-IE"/>
        </w:rPr>
        <w:t xml:space="preserve">, proposed to clarify that </w:t>
      </w:r>
      <w:r w:rsidR="6C9ECDFA" w:rsidRPr="21CB014D">
        <w:rPr>
          <w:noProof/>
          <w:lang w:val="en-US" w:eastAsia="en-IE"/>
        </w:rPr>
        <w:t>positions held by EU investment firms and their clients in economically equivalent contracts traded outside an EU trading venue </w:t>
      </w:r>
      <w:r w:rsidR="466F2365" w:rsidRPr="21CB014D">
        <w:rPr>
          <w:noProof/>
          <w:lang w:val="en-US" w:eastAsia="en-IE"/>
        </w:rPr>
        <w:t>should</w:t>
      </w:r>
      <w:r w:rsidR="13933151" w:rsidRPr="21CB014D">
        <w:rPr>
          <w:noProof/>
          <w:lang w:val="en-US" w:eastAsia="en-IE"/>
        </w:rPr>
        <w:t xml:space="preserve"> contribute to </w:t>
      </w:r>
      <w:r w:rsidR="3504D243" w:rsidRPr="21CB014D">
        <w:rPr>
          <w:noProof/>
          <w:lang w:val="en-US" w:eastAsia="en-IE"/>
        </w:rPr>
        <w:t xml:space="preserve">the </w:t>
      </w:r>
      <w:r w:rsidR="3FB6DC93" w:rsidRPr="21CB014D">
        <w:rPr>
          <w:noProof/>
          <w:lang w:val="en-US" w:eastAsia="en-IE"/>
        </w:rPr>
        <w:t>assess</w:t>
      </w:r>
      <w:r w:rsidR="7998C460" w:rsidRPr="21CB014D">
        <w:rPr>
          <w:noProof/>
          <w:lang w:val="en-US" w:eastAsia="en-IE"/>
        </w:rPr>
        <w:t>ment of</w:t>
      </w:r>
      <w:r w:rsidR="3FB6DC93" w:rsidRPr="21CB014D">
        <w:rPr>
          <w:noProof/>
          <w:lang w:val="en-US" w:eastAsia="en-IE"/>
        </w:rPr>
        <w:t xml:space="preserve"> compliance with </w:t>
      </w:r>
      <w:r w:rsidR="31E4AFCE" w:rsidRPr="21CB014D">
        <w:rPr>
          <w:noProof/>
          <w:lang w:val="en-US" w:eastAsia="en-IE"/>
        </w:rPr>
        <w:t xml:space="preserve">the </w:t>
      </w:r>
      <w:r w:rsidR="3FB6DC93" w:rsidRPr="21CB014D">
        <w:rPr>
          <w:noProof/>
          <w:lang w:val="en-US" w:eastAsia="en-IE"/>
        </w:rPr>
        <w:t>position</w:t>
      </w:r>
      <w:r w:rsidR="6C9ECDFA" w:rsidRPr="21CB014D">
        <w:rPr>
          <w:noProof/>
          <w:lang w:val="en-US" w:eastAsia="en-IE"/>
        </w:rPr>
        <w:t xml:space="preserve"> limit</w:t>
      </w:r>
      <w:r w:rsidR="31E4AFCE" w:rsidRPr="21CB014D">
        <w:rPr>
          <w:noProof/>
          <w:lang w:val="en-US" w:eastAsia="en-IE"/>
        </w:rPr>
        <w:t xml:space="preserve"> regime</w:t>
      </w:r>
      <w:r w:rsidR="3744748B" w:rsidRPr="21CB014D">
        <w:rPr>
          <w:noProof/>
          <w:lang w:val="en-US" w:eastAsia="en-IE"/>
        </w:rPr>
        <w:t xml:space="preserve"> under MiFID</w:t>
      </w:r>
      <w:r w:rsidR="1D43C493" w:rsidRPr="21CB014D">
        <w:rPr>
          <w:noProof/>
          <w:lang w:val="en-US" w:eastAsia="en-IE"/>
        </w:rPr>
        <w:t>.</w:t>
      </w:r>
      <w:r w:rsidR="7192691D" w:rsidRPr="21CB014D">
        <w:rPr>
          <w:noProof/>
          <w:lang w:val="en-US" w:eastAsia="en-IE"/>
        </w:rPr>
        <w:t xml:space="preserve"> This would </w:t>
      </w:r>
      <w:r w:rsidR="23C926EE" w:rsidRPr="21CB014D">
        <w:rPr>
          <w:noProof/>
          <w:lang w:val="en-US" w:eastAsia="en-IE"/>
        </w:rPr>
        <w:t>ensure</w:t>
      </w:r>
      <w:r w:rsidR="7192691D" w:rsidRPr="21CB014D">
        <w:rPr>
          <w:noProof/>
          <w:lang w:val="en-US" w:eastAsia="en-IE"/>
        </w:rPr>
        <w:t xml:space="preserve"> the same treatment </w:t>
      </w:r>
      <w:r w:rsidR="23C926EE" w:rsidRPr="21CB014D">
        <w:rPr>
          <w:noProof/>
          <w:lang w:val="en-US" w:eastAsia="en-IE"/>
        </w:rPr>
        <w:t>for</w:t>
      </w:r>
      <w:r w:rsidR="7192691D" w:rsidRPr="21CB014D">
        <w:rPr>
          <w:noProof/>
          <w:lang w:val="en-US" w:eastAsia="en-IE"/>
        </w:rPr>
        <w:t xml:space="preserve"> positions in contracts traded on EU</w:t>
      </w:r>
      <w:r w:rsidR="31E4AFCE" w:rsidRPr="21CB014D">
        <w:rPr>
          <w:noProof/>
          <w:lang w:val="en-US" w:eastAsia="en-IE"/>
        </w:rPr>
        <w:t xml:space="preserve"> venues</w:t>
      </w:r>
      <w:r w:rsidR="23C926EE" w:rsidRPr="21CB014D">
        <w:rPr>
          <w:noProof/>
          <w:lang w:val="en-US" w:eastAsia="en-IE"/>
        </w:rPr>
        <w:t>, on non-EU</w:t>
      </w:r>
      <w:r w:rsidR="7192691D" w:rsidRPr="21CB014D">
        <w:rPr>
          <w:noProof/>
          <w:lang w:val="en-US" w:eastAsia="en-IE"/>
        </w:rPr>
        <w:t xml:space="preserve"> venues</w:t>
      </w:r>
      <w:r w:rsidR="23C926EE" w:rsidRPr="21CB014D">
        <w:rPr>
          <w:noProof/>
          <w:lang w:val="en-US" w:eastAsia="en-IE"/>
        </w:rPr>
        <w:t xml:space="preserve"> and OTC</w:t>
      </w:r>
      <w:r w:rsidR="7192691D" w:rsidRPr="21CB014D">
        <w:rPr>
          <w:noProof/>
          <w:lang w:val="en-US" w:eastAsia="en-IE"/>
        </w:rPr>
        <w:t xml:space="preserve">. </w:t>
      </w:r>
      <w:r w:rsidR="0833CD6D" w:rsidRPr="21CB014D">
        <w:rPr>
          <w:noProof/>
          <w:lang w:val="en-US" w:eastAsia="en-IE"/>
        </w:rPr>
        <w:t xml:space="preserve">This clarification is aligned with the policy objectives of strategic autonomy and EU competitiveness highlighted in the Draghi report, creating a level playing field </w:t>
      </w:r>
      <w:r w:rsidR="2BEF4F2A" w:rsidRPr="21CB014D">
        <w:rPr>
          <w:noProof/>
          <w:lang w:val="en-US" w:eastAsia="en-IE"/>
        </w:rPr>
        <w:t xml:space="preserve">across all trading </w:t>
      </w:r>
      <w:r w:rsidR="0833CD6D" w:rsidRPr="21CB014D">
        <w:rPr>
          <w:noProof/>
          <w:lang w:val="en-US" w:eastAsia="en-IE"/>
        </w:rPr>
        <w:t>venues</w:t>
      </w:r>
      <w:r w:rsidR="73370544" w:rsidRPr="21CB014D">
        <w:rPr>
          <w:noProof/>
          <w:lang w:val="en-US" w:eastAsia="en-IE"/>
        </w:rPr>
        <w:t>,</w:t>
      </w:r>
      <w:r w:rsidR="0833CD6D" w:rsidRPr="21CB014D">
        <w:rPr>
          <w:noProof/>
          <w:lang w:val="en-US" w:eastAsia="en-IE"/>
        </w:rPr>
        <w:t xml:space="preserve"> removing incentives for trading outside the EU, and avoiding </w:t>
      </w:r>
      <w:r w:rsidR="73370544" w:rsidRPr="21CB014D">
        <w:rPr>
          <w:noProof/>
          <w:lang w:val="en-US" w:eastAsia="en-IE"/>
        </w:rPr>
        <w:t xml:space="preserve">possible </w:t>
      </w:r>
      <w:r w:rsidR="0833CD6D" w:rsidRPr="21CB014D">
        <w:rPr>
          <w:noProof/>
          <w:lang w:val="en-US" w:eastAsia="en-IE"/>
        </w:rPr>
        <w:t>circumvention of EU rules. It also ensures legal certainty for market participants, reducing costs associated with legal uncertainty.</w:t>
      </w:r>
    </w:p>
    <w:p w14:paraId="4CE999B4" w14:textId="25227F3A" w:rsidR="009B1053" w:rsidRPr="000F1690" w:rsidRDefault="3D64988D" w:rsidP="60190FC5">
      <w:pPr>
        <w:rPr>
          <w:noProof/>
          <w:lang w:eastAsia="en-IE"/>
        </w:rPr>
      </w:pPr>
      <w:r>
        <w:rPr>
          <w:noProof/>
          <w:lang w:val="en-US" w:eastAsia="en-IE"/>
        </w:rPr>
        <w:t>T</w:t>
      </w:r>
      <w:r w:rsidR="01B12270">
        <w:rPr>
          <w:noProof/>
          <w:lang w:val="en-US" w:eastAsia="en-IE"/>
        </w:rPr>
        <w:t>o</w:t>
      </w:r>
      <w:r w:rsidR="01B12270" w:rsidRPr="00462759">
        <w:rPr>
          <w:noProof/>
          <w:lang w:val="en-US" w:eastAsia="en-IE"/>
        </w:rPr>
        <w:t xml:space="preserve"> </w:t>
      </w:r>
      <w:r w:rsidR="01B12270" w:rsidRPr="60190FC5">
        <w:rPr>
          <w:noProof/>
          <w:lang w:val="en-US" w:eastAsia="en-IE"/>
        </w:rPr>
        <w:t xml:space="preserve">support </w:t>
      </w:r>
      <w:r w:rsidR="01B12270">
        <w:rPr>
          <w:noProof/>
          <w:lang w:val="en-US" w:eastAsia="en-IE"/>
        </w:rPr>
        <w:t xml:space="preserve">trading </w:t>
      </w:r>
      <w:r w:rsidR="01B12270" w:rsidRPr="60190FC5">
        <w:rPr>
          <w:noProof/>
          <w:lang w:val="en-US" w:eastAsia="en-IE"/>
        </w:rPr>
        <w:t>venues in fulfilling their position management mandate and to ensur</w:t>
      </w:r>
      <w:r w:rsidR="01B12270">
        <w:rPr>
          <w:noProof/>
          <w:lang w:val="en-US" w:eastAsia="en-IE"/>
        </w:rPr>
        <w:t>e</w:t>
      </w:r>
      <w:r w:rsidR="01B12270" w:rsidRPr="60190FC5">
        <w:rPr>
          <w:noProof/>
          <w:lang w:val="en-US" w:eastAsia="en-IE"/>
        </w:rPr>
        <w:t xml:space="preserve"> </w:t>
      </w:r>
      <w:r w:rsidR="01B12270">
        <w:rPr>
          <w:noProof/>
          <w:lang w:val="en-US" w:eastAsia="en-IE"/>
        </w:rPr>
        <w:t>fair and orderly markets,</w:t>
      </w:r>
      <w:r w:rsidR="1D43C493" w:rsidRPr="60190FC5">
        <w:rPr>
          <w:noProof/>
          <w:lang w:val="en-US" w:eastAsia="en-IE"/>
        </w:rPr>
        <w:t xml:space="preserve"> the Commission could further </w:t>
      </w:r>
      <w:r w:rsidR="22B35A1D">
        <w:rPr>
          <w:noProof/>
          <w:lang w:val="en-US" w:eastAsia="en-IE"/>
        </w:rPr>
        <w:t>explore</w:t>
      </w:r>
      <w:r w:rsidR="22B35A1D" w:rsidRPr="60190FC5">
        <w:rPr>
          <w:noProof/>
          <w:lang w:val="en-US" w:eastAsia="en-IE"/>
        </w:rPr>
        <w:t xml:space="preserve"> </w:t>
      </w:r>
      <w:r w:rsidR="1D43C493" w:rsidRPr="60190FC5">
        <w:rPr>
          <w:noProof/>
          <w:lang w:val="en-US" w:eastAsia="en-IE"/>
        </w:rPr>
        <w:t xml:space="preserve">the conditions under which </w:t>
      </w:r>
      <w:r w:rsidR="2EC4C4AD" w:rsidRPr="008C7D40">
        <w:rPr>
          <w:noProof/>
          <w:lang w:eastAsia="en-IE"/>
        </w:rPr>
        <w:t>trading venues could be </w:t>
      </w:r>
      <w:r w:rsidR="204DBD67">
        <w:rPr>
          <w:noProof/>
          <w:lang w:eastAsia="en-IE"/>
        </w:rPr>
        <w:t>entrusted with</w:t>
      </w:r>
      <w:r w:rsidR="019F82D7">
        <w:rPr>
          <w:noProof/>
          <w:lang w:eastAsia="en-IE"/>
        </w:rPr>
        <w:t xml:space="preserve"> extended position management control</w:t>
      </w:r>
      <w:r w:rsidR="2EC4C4AD" w:rsidRPr="008C7D40">
        <w:rPr>
          <w:noProof/>
          <w:lang w:eastAsia="en-IE"/>
        </w:rPr>
        <w:t xml:space="preserve"> powers to request, on an ad-hoc basis</w:t>
      </w:r>
      <w:r w:rsidR="3B98462F">
        <w:rPr>
          <w:noProof/>
          <w:lang w:eastAsia="en-IE"/>
        </w:rPr>
        <w:t xml:space="preserve"> and in certain c</w:t>
      </w:r>
      <w:r w:rsidR="7E59F2E9">
        <w:rPr>
          <w:noProof/>
          <w:lang w:eastAsia="en-IE"/>
        </w:rPr>
        <w:t>ircumstances</w:t>
      </w:r>
      <w:r w:rsidR="2EC4C4AD" w:rsidRPr="008C7D40">
        <w:rPr>
          <w:noProof/>
          <w:lang w:eastAsia="en-IE"/>
        </w:rPr>
        <w:t xml:space="preserve">, information on the positions held </w:t>
      </w:r>
      <w:r w:rsidR="1D8A50C7">
        <w:rPr>
          <w:noProof/>
          <w:lang w:eastAsia="en-IE"/>
        </w:rPr>
        <w:t xml:space="preserve">by their market participants </w:t>
      </w:r>
      <w:r w:rsidR="2EC4C4AD" w:rsidRPr="008C7D40">
        <w:rPr>
          <w:noProof/>
          <w:lang w:eastAsia="en-IE"/>
        </w:rPr>
        <w:t>in a broader set of OTC contracts related to the commodity derivatives they offer for trading</w:t>
      </w:r>
      <w:r w:rsidR="1D8A50C7">
        <w:rPr>
          <w:noProof/>
          <w:lang w:eastAsia="en-IE"/>
        </w:rPr>
        <w:t>,</w:t>
      </w:r>
      <w:r w:rsidR="2EC4C4AD" w:rsidRPr="008C7D40">
        <w:rPr>
          <w:noProof/>
          <w:lang w:eastAsia="en-IE"/>
        </w:rPr>
        <w:t xml:space="preserve"> and related assets and liabilities in the underlying commodity. This power </w:t>
      </w:r>
      <w:r w:rsidR="084C5219">
        <w:rPr>
          <w:noProof/>
          <w:lang w:eastAsia="en-IE"/>
        </w:rPr>
        <w:t>sh</w:t>
      </w:r>
      <w:r w:rsidR="2EC4C4AD" w:rsidRPr="008C7D40">
        <w:rPr>
          <w:noProof/>
          <w:lang w:eastAsia="en-IE"/>
        </w:rPr>
        <w:t>ould </w:t>
      </w:r>
      <w:r w:rsidR="084C5219">
        <w:rPr>
          <w:noProof/>
          <w:lang w:eastAsia="en-IE"/>
        </w:rPr>
        <w:t>extend to</w:t>
      </w:r>
      <w:r w:rsidR="2EC4C4AD" w:rsidRPr="008C7D40">
        <w:rPr>
          <w:noProof/>
          <w:lang w:eastAsia="en-IE"/>
        </w:rPr>
        <w:t xml:space="preserve"> all OTC contracts which have the ability of influencing the pricing or settlement conditions of the relevant on-venue contract in the EU</w:t>
      </w:r>
      <w:r w:rsidR="084C5219">
        <w:rPr>
          <w:noProof/>
          <w:lang w:eastAsia="en-IE"/>
        </w:rPr>
        <w:t xml:space="preserve">. </w:t>
      </w:r>
      <w:r w:rsidR="44196A64" w:rsidRPr="005E7D89">
        <w:rPr>
          <w:noProof/>
          <w:lang w:eastAsia="en-IE"/>
        </w:rPr>
        <w:t xml:space="preserve">This </w:t>
      </w:r>
      <w:r w:rsidR="1A562595">
        <w:rPr>
          <w:noProof/>
          <w:lang w:eastAsia="en-IE"/>
        </w:rPr>
        <w:t xml:space="preserve">proposal </w:t>
      </w:r>
      <w:r w:rsidR="44196A64" w:rsidRPr="005E7D89">
        <w:rPr>
          <w:noProof/>
          <w:lang w:eastAsia="en-IE"/>
        </w:rPr>
        <w:t>would also</w:t>
      </w:r>
      <w:r w:rsidR="1A562595">
        <w:rPr>
          <w:noProof/>
          <w:lang w:eastAsia="en-IE"/>
        </w:rPr>
        <w:t xml:space="preserve"> allow to</w:t>
      </w:r>
      <w:r w:rsidR="44196A64" w:rsidRPr="005E7D89">
        <w:rPr>
          <w:noProof/>
          <w:lang w:eastAsia="en-IE"/>
        </w:rPr>
        <w:t xml:space="preserve"> </w:t>
      </w:r>
      <w:r w:rsidR="1A562595">
        <w:rPr>
          <w:noProof/>
          <w:lang w:eastAsia="en-IE"/>
        </w:rPr>
        <w:t xml:space="preserve">better </w:t>
      </w:r>
      <w:r w:rsidR="44196A64" w:rsidRPr="005E7D89">
        <w:rPr>
          <w:noProof/>
          <w:lang w:eastAsia="en-IE"/>
        </w:rPr>
        <w:t>align</w:t>
      </w:r>
      <w:r w:rsidR="1A562595">
        <w:rPr>
          <w:noProof/>
          <w:lang w:eastAsia="en-IE"/>
        </w:rPr>
        <w:t xml:space="preserve"> the EU rules</w:t>
      </w:r>
      <w:r w:rsidR="44196A64" w:rsidRPr="005E7D89">
        <w:rPr>
          <w:noProof/>
          <w:lang w:eastAsia="en-IE"/>
        </w:rPr>
        <w:t xml:space="preserve"> with the conclusions drawn by IOSCO in a recent report on the regulation and supervision of commodity derivatives markets (</w:t>
      </w:r>
      <w:r w:rsidR="005E7D89" w:rsidRPr="005E7D89">
        <w:rPr>
          <w:noProof/>
          <w:vertAlign w:val="superscript"/>
          <w:lang w:eastAsia="en-IE"/>
        </w:rPr>
        <w:footnoteReference w:id="22"/>
      </w:r>
      <w:r w:rsidR="44196A64" w:rsidRPr="005E7D89">
        <w:rPr>
          <w:noProof/>
          <w:lang w:eastAsia="en-IE"/>
        </w:rPr>
        <w:t>) where it recommended that further work should be done to improve the ability of exchanges to obtain information about market participants’ positions in related OTC commodity derivatives and in the underlying physical commodity markets.</w:t>
      </w:r>
      <w:r w:rsidR="14DCD6F2">
        <w:rPr>
          <w:noProof/>
          <w:lang w:eastAsia="en-IE"/>
        </w:rPr>
        <w:t xml:space="preserve"> </w:t>
      </w:r>
      <w:r w:rsidR="1D43C493" w:rsidRPr="60190FC5">
        <w:rPr>
          <w:noProof/>
          <w:lang w:val="en-US" w:eastAsia="en-IE"/>
        </w:rPr>
        <w:t>The Commission, however, considers that any requirement</w:t>
      </w:r>
      <w:r w:rsidR="1D8A50C7">
        <w:rPr>
          <w:noProof/>
          <w:lang w:val="en-US" w:eastAsia="en-IE"/>
        </w:rPr>
        <w:t xml:space="preserve"> for market participants</w:t>
      </w:r>
      <w:r w:rsidR="1D43C493" w:rsidRPr="60190FC5">
        <w:rPr>
          <w:noProof/>
          <w:lang w:val="en-US" w:eastAsia="en-IE"/>
        </w:rPr>
        <w:t xml:space="preserve"> to systematically report </w:t>
      </w:r>
      <w:r w:rsidR="1D8A50C7">
        <w:rPr>
          <w:noProof/>
          <w:lang w:val="en-US" w:eastAsia="en-IE"/>
        </w:rPr>
        <w:t xml:space="preserve">their </w:t>
      </w:r>
      <w:r w:rsidR="1D43C493" w:rsidRPr="60190FC5">
        <w:rPr>
          <w:noProof/>
          <w:lang w:val="en-US" w:eastAsia="en-IE"/>
        </w:rPr>
        <w:t xml:space="preserve">positions </w:t>
      </w:r>
      <w:r w:rsidR="38F33727">
        <w:rPr>
          <w:noProof/>
          <w:lang w:val="en-US" w:eastAsia="en-IE"/>
        </w:rPr>
        <w:t xml:space="preserve">in the underlying market </w:t>
      </w:r>
      <w:r w:rsidR="7E59F2E9">
        <w:rPr>
          <w:noProof/>
          <w:lang w:val="en-US" w:eastAsia="en-IE"/>
        </w:rPr>
        <w:t>and</w:t>
      </w:r>
      <w:r w:rsidR="774D2744">
        <w:rPr>
          <w:noProof/>
          <w:lang w:val="en-US" w:eastAsia="en-IE"/>
        </w:rPr>
        <w:t xml:space="preserve"> in</w:t>
      </w:r>
      <w:r w:rsidR="7E59F2E9">
        <w:rPr>
          <w:noProof/>
          <w:lang w:val="en-US" w:eastAsia="en-IE"/>
        </w:rPr>
        <w:t xml:space="preserve"> a broad set of</w:t>
      </w:r>
      <w:r w:rsidR="774D2744">
        <w:rPr>
          <w:noProof/>
          <w:lang w:val="en-US" w:eastAsia="en-IE"/>
        </w:rPr>
        <w:t xml:space="preserve"> OTC contracts </w:t>
      </w:r>
      <w:r w:rsidR="1D43C493" w:rsidRPr="60190FC5">
        <w:rPr>
          <w:noProof/>
          <w:lang w:val="en-US" w:eastAsia="en-IE"/>
        </w:rPr>
        <w:t xml:space="preserve">to trading venues would not be proportionate </w:t>
      </w:r>
      <w:r w:rsidR="50B97BEA">
        <w:rPr>
          <w:noProof/>
          <w:lang w:val="en-US" w:eastAsia="en-IE"/>
        </w:rPr>
        <w:t>because</w:t>
      </w:r>
      <w:r w:rsidR="1D43C493" w:rsidRPr="60190FC5">
        <w:rPr>
          <w:noProof/>
          <w:lang w:val="en-US" w:eastAsia="en-IE"/>
        </w:rPr>
        <w:t xml:space="preserve"> of the burden such a measure </w:t>
      </w:r>
      <w:r w:rsidR="2DAD454E">
        <w:rPr>
          <w:noProof/>
          <w:lang w:val="en-US" w:eastAsia="en-IE"/>
        </w:rPr>
        <w:t>c</w:t>
      </w:r>
      <w:r w:rsidR="1D43C493" w:rsidRPr="60190FC5">
        <w:rPr>
          <w:noProof/>
          <w:lang w:val="en-US" w:eastAsia="en-IE"/>
        </w:rPr>
        <w:t xml:space="preserve">ould represent. </w:t>
      </w:r>
      <w:r w:rsidR="1B085B25">
        <w:rPr>
          <w:noProof/>
          <w:lang w:val="en-US" w:eastAsia="en-IE"/>
        </w:rPr>
        <w:t>For the same reason</w:t>
      </w:r>
      <w:r w:rsidR="1D43C493" w:rsidRPr="60190FC5">
        <w:rPr>
          <w:noProof/>
          <w:lang w:val="en-US" w:eastAsia="en-IE"/>
        </w:rPr>
        <w:t xml:space="preserve">, reporting </w:t>
      </w:r>
      <w:r w:rsidR="2EA8B6CB" w:rsidRPr="60190FC5">
        <w:rPr>
          <w:noProof/>
          <w:lang w:val="en-US" w:eastAsia="en-IE"/>
        </w:rPr>
        <w:t xml:space="preserve">to supervisors </w:t>
      </w:r>
      <w:r w:rsidR="1D43C493" w:rsidRPr="60190FC5">
        <w:rPr>
          <w:noProof/>
          <w:lang w:val="en-US" w:eastAsia="en-IE"/>
        </w:rPr>
        <w:t xml:space="preserve">of all positions </w:t>
      </w:r>
      <w:r w:rsidR="38F33727">
        <w:rPr>
          <w:noProof/>
          <w:lang w:val="en-US" w:eastAsia="en-IE"/>
        </w:rPr>
        <w:t>in the underlying market</w:t>
      </w:r>
      <w:r w:rsidR="50A129C7">
        <w:rPr>
          <w:noProof/>
          <w:lang w:val="en-US" w:eastAsia="en-IE"/>
        </w:rPr>
        <w:t>s</w:t>
      </w:r>
      <w:r w:rsidR="774D2744">
        <w:rPr>
          <w:noProof/>
          <w:lang w:val="en-US" w:eastAsia="en-IE"/>
        </w:rPr>
        <w:t xml:space="preserve"> or in OTC contracts</w:t>
      </w:r>
      <w:r w:rsidR="1D43C493" w:rsidRPr="60190FC5">
        <w:rPr>
          <w:noProof/>
          <w:lang w:val="en-US" w:eastAsia="en-IE"/>
        </w:rPr>
        <w:t xml:space="preserve"> beyond reporting of EEOTC positions by investment firms, does not seem</w:t>
      </w:r>
      <w:r w:rsidR="1B085B25">
        <w:rPr>
          <w:noProof/>
          <w:lang w:val="en-US" w:eastAsia="en-IE"/>
        </w:rPr>
        <w:t xml:space="preserve"> to be</w:t>
      </w:r>
      <w:r w:rsidR="1D43C493" w:rsidRPr="60190FC5">
        <w:rPr>
          <w:noProof/>
          <w:lang w:val="en-US" w:eastAsia="en-IE"/>
        </w:rPr>
        <w:t xml:space="preserve"> appropriate. </w:t>
      </w:r>
      <w:r w:rsidR="1D43C493" w:rsidRPr="00F9413A">
        <w:rPr>
          <w:noProof/>
          <w:lang w:val="en-US" w:eastAsia="en-IE"/>
        </w:rPr>
        <w:t xml:space="preserve">Nevertheless, </w:t>
      </w:r>
      <w:r w:rsidR="4FA05439" w:rsidRPr="00F9413A">
        <w:rPr>
          <w:noProof/>
          <w:lang w:val="en-US" w:eastAsia="en-IE"/>
        </w:rPr>
        <w:t>to level</w:t>
      </w:r>
      <w:r w:rsidR="78074F96" w:rsidRPr="00F9413A">
        <w:rPr>
          <w:noProof/>
          <w:lang w:val="en-US" w:eastAsia="en-IE"/>
        </w:rPr>
        <w:t xml:space="preserve"> the</w:t>
      </w:r>
      <w:r w:rsidR="4FA05439" w:rsidRPr="00F9413A">
        <w:rPr>
          <w:noProof/>
          <w:lang w:val="en-US" w:eastAsia="en-IE"/>
        </w:rPr>
        <w:t xml:space="preserve"> playing field between </w:t>
      </w:r>
      <w:r w:rsidR="78074F96" w:rsidRPr="00F9413A">
        <w:rPr>
          <w:noProof/>
          <w:lang w:val="en-US" w:eastAsia="en-IE"/>
        </w:rPr>
        <w:t xml:space="preserve">different types of </w:t>
      </w:r>
      <w:r w:rsidR="4FA05439" w:rsidRPr="00F9413A">
        <w:rPr>
          <w:noProof/>
          <w:lang w:val="en-US" w:eastAsia="en-IE"/>
        </w:rPr>
        <w:t xml:space="preserve">market participants, </w:t>
      </w:r>
      <w:r w:rsidR="1D43C493" w:rsidRPr="00F9413A">
        <w:rPr>
          <w:noProof/>
          <w:lang w:val="en-US" w:eastAsia="en-IE"/>
        </w:rPr>
        <w:t xml:space="preserve">the Commission </w:t>
      </w:r>
      <w:r w:rsidR="4FA05439" w:rsidRPr="00F9413A">
        <w:rPr>
          <w:noProof/>
          <w:lang w:val="en-US" w:eastAsia="en-IE"/>
        </w:rPr>
        <w:t>may</w:t>
      </w:r>
      <w:r w:rsidR="093645F5" w:rsidRPr="00F9413A">
        <w:rPr>
          <w:noProof/>
          <w:lang w:val="en-US" w:eastAsia="en-IE"/>
        </w:rPr>
        <w:t xml:space="preserve"> </w:t>
      </w:r>
      <w:r w:rsidR="1D43C493" w:rsidRPr="00F9413A">
        <w:rPr>
          <w:noProof/>
          <w:lang w:val="en-US" w:eastAsia="en-IE"/>
        </w:rPr>
        <w:t>consider whether the reporting of EEOTC positions could be extended to all market participants</w:t>
      </w:r>
      <w:r w:rsidR="38F33727" w:rsidRPr="00F9413A">
        <w:rPr>
          <w:noProof/>
          <w:lang w:val="en-US" w:eastAsia="en-IE"/>
        </w:rPr>
        <w:t> (</w:t>
      </w:r>
      <w:r w:rsidR="00FA28B6" w:rsidRPr="00F9413A">
        <w:rPr>
          <w:rStyle w:val="FootnoteReference"/>
          <w:noProof/>
          <w:lang w:val="en-US" w:eastAsia="en-IE"/>
        </w:rPr>
        <w:footnoteReference w:id="23"/>
      </w:r>
      <w:r w:rsidR="38F33727" w:rsidRPr="00F9413A">
        <w:rPr>
          <w:noProof/>
          <w:lang w:val="en-US" w:eastAsia="en-IE"/>
        </w:rPr>
        <w:t>)</w:t>
      </w:r>
      <w:r w:rsidR="1D43C493" w:rsidRPr="00F9413A">
        <w:rPr>
          <w:noProof/>
          <w:lang w:val="en-US" w:eastAsia="en-IE"/>
        </w:rPr>
        <w:t>, to ensure the appropriate enforcement of position limits.</w:t>
      </w:r>
    </w:p>
    <w:p w14:paraId="62B14C2E" w14:textId="7D8F8385" w:rsidR="009B1053" w:rsidRPr="009B1053" w:rsidRDefault="658B5B5A" w:rsidP="00AC60EB">
      <w:pPr>
        <w:rPr>
          <w:noProof/>
          <w:szCs w:val="24"/>
          <w:lang w:val="en-US"/>
        </w:rPr>
      </w:pPr>
      <w:r w:rsidRPr="00056784">
        <w:rPr>
          <w:noProof/>
          <w:lang w:val="en-US" w:eastAsia="en-IE"/>
        </w:rPr>
        <w:t xml:space="preserve">Finally, </w:t>
      </w:r>
      <w:r w:rsidR="1D43C493" w:rsidRPr="00056784">
        <w:rPr>
          <w:noProof/>
          <w:lang w:val="en-US" w:eastAsia="en-IE"/>
        </w:rPr>
        <w:t xml:space="preserve">the Commission </w:t>
      </w:r>
      <w:r w:rsidR="16D8C362" w:rsidRPr="00056784">
        <w:rPr>
          <w:noProof/>
          <w:lang w:val="en-US" w:eastAsia="en-IE"/>
        </w:rPr>
        <w:t>may</w:t>
      </w:r>
      <w:r w:rsidR="1D43C493" w:rsidRPr="00056784">
        <w:rPr>
          <w:noProof/>
          <w:lang w:val="en-US" w:eastAsia="en-IE"/>
        </w:rPr>
        <w:t xml:space="preserve"> consider to which extent a possible additional requirement on third-country market participants to submit information on end beneficiaries could be appropriate to close t</w:t>
      </w:r>
      <w:r w:rsidR="6CF6EA52" w:rsidRPr="00056784">
        <w:rPr>
          <w:noProof/>
          <w:lang w:val="en-US" w:eastAsia="en-IE"/>
        </w:rPr>
        <w:t>h</w:t>
      </w:r>
      <w:r w:rsidR="16D8C362" w:rsidRPr="00056784">
        <w:rPr>
          <w:noProof/>
          <w:lang w:val="en-US" w:eastAsia="en-IE"/>
        </w:rPr>
        <w:t>e</w:t>
      </w:r>
      <w:r w:rsidR="1D43C493" w:rsidRPr="00056784">
        <w:rPr>
          <w:noProof/>
          <w:lang w:val="en-US" w:eastAsia="en-IE"/>
        </w:rPr>
        <w:t xml:space="preserve"> gap</w:t>
      </w:r>
      <w:r w:rsidR="6CF6EA52" w:rsidRPr="00056784">
        <w:rPr>
          <w:noProof/>
          <w:lang w:val="en-US" w:eastAsia="en-IE"/>
        </w:rPr>
        <w:t xml:space="preserve"> in the current position reporting</w:t>
      </w:r>
      <w:r w:rsidR="1D43C493" w:rsidRPr="00056784">
        <w:rPr>
          <w:noProof/>
          <w:lang w:val="en-US" w:eastAsia="en-IE"/>
        </w:rPr>
        <w:t>.</w:t>
      </w:r>
    </w:p>
    <w:p w14:paraId="5084ED94" w14:textId="77777777" w:rsidR="00D9582F" w:rsidRDefault="00D9582F" w:rsidP="00AC60EB">
      <w:pPr>
        <w:rPr>
          <w:b/>
          <w:bCs/>
          <w:noProof/>
          <w:szCs w:val="24"/>
          <w:lang w:val="en-US" w:eastAsia="en-IE"/>
        </w:rPr>
      </w:pPr>
    </w:p>
    <w:p w14:paraId="33192F97" w14:textId="33C17122" w:rsidR="00D867F5" w:rsidRPr="00681590" w:rsidRDefault="00D867F5" w:rsidP="00D9582F">
      <w:pPr>
        <w:keepNext/>
        <w:keepLines/>
        <w:numPr>
          <w:ilvl w:val="0"/>
          <w:numId w:val="2"/>
        </w:numPr>
        <w:outlineLvl w:val="0"/>
        <w:rPr>
          <w:b/>
          <w:bCs/>
          <w:noProof/>
          <w:szCs w:val="24"/>
          <w:lang w:val="en-US" w:eastAsia="en-IE"/>
        </w:rPr>
      </w:pPr>
      <w:bookmarkStart w:id="26" w:name="_Toc227243502"/>
      <w:r w:rsidRPr="00681590">
        <w:rPr>
          <w:b/>
          <w:bCs/>
          <w:noProof/>
          <w:szCs w:val="24"/>
          <w:lang w:val="en-US" w:eastAsia="en-IE"/>
        </w:rPr>
        <w:t>CONCLUSIONS</w:t>
      </w:r>
      <w:bookmarkEnd w:id="26"/>
      <w:r w:rsidRPr="00681590">
        <w:rPr>
          <w:b/>
          <w:bCs/>
          <w:noProof/>
          <w:szCs w:val="24"/>
          <w:lang w:val="en-US" w:eastAsia="en-IE"/>
        </w:rPr>
        <w:t xml:space="preserve"> </w:t>
      </w:r>
    </w:p>
    <w:p w14:paraId="21DDF802" w14:textId="6E72FDAD" w:rsidR="3D47CD76" w:rsidRPr="00575C33" w:rsidRDefault="77C8CA94" w:rsidP="60190FC5">
      <w:pPr>
        <w:rPr>
          <w:noProof/>
          <w:lang w:val="en-IE"/>
        </w:rPr>
      </w:pPr>
      <w:r w:rsidRPr="21CB014D">
        <w:rPr>
          <w:noProof/>
        </w:rPr>
        <w:t>R</w:t>
      </w:r>
      <w:r w:rsidR="1675927A" w:rsidRPr="21CB014D">
        <w:rPr>
          <w:noProof/>
        </w:rPr>
        <w:t>esponses</w:t>
      </w:r>
      <w:r w:rsidR="3CF5BE35" w:rsidRPr="21CB014D">
        <w:rPr>
          <w:noProof/>
        </w:rPr>
        <w:t xml:space="preserve"> from</w:t>
      </w:r>
      <w:r w:rsidR="1675927A" w:rsidRPr="21CB014D">
        <w:rPr>
          <w:noProof/>
        </w:rPr>
        <w:t xml:space="preserve"> s</w:t>
      </w:r>
      <w:r w:rsidR="209C53E4" w:rsidRPr="21CB014D">
        <w:rPr>
          <w:noProof/>
        </w:rPr>
        <w:t>takeholders</w:t>
      </w:r>
      <w:r w:rsidR="02628A6B" w:rsidRPr="21CB014D">
        <w:rPr>
          <w:noProof/>
        </w:rPr>
        <w:t xml:space="preserve">, </w:t>
      </w:r>
      <w:r w:rsidRPr="21CB014D">
        <w:rPr>
          <w:noProof/>
        </w:rPr>
        <w:t>as well as</w:t>
      </w:r>
      <w:r w:rsidR="02628A6B" w:rsidRPr="21CB014D">
        <w:rPr>
          <w:noProof/>
        </w:rPr>
        <w:t xml:space="preserve"> the </w:t>
      </w:r>
      <w:r w:rsidR="12D70C94" w:rsidRPr="21CB014D">
        <w:rPr>
          <w:noProof/>
        </w:rPr>
        <w:t xml:space="preserve">subsequent </w:t>
      </w:r>
      <w:r w:rsidR="02628A6B" w:rsidRPr="21CB014D">
        <w:rPr>
          <w:noProof/>
        </w:rPr>
        <w:t>Commission assessment based on the analysis of market trends</w:t>
      </w:r>
      <w:r w:rsidR="209C53E4" w:rsidRPr="21CB014D">
        <w:rPr>
          <w:noProof/>
        </w:rPr>
        <w:t xml:space="preserve"> </w:t>
      </w:r>
      <w:r w:rsidRPr="21CB014D">
        <w:rPr>
          <w:noProof/>
        </w:rPr>
        <w:t xml:space="preserve">did not </w:t>
      </w:r>
      <w:r w:rsidR="209C53E4" w:rsidRPr="21CB014D">
        <w:rPr>
          <w:noProof/>
        </w:rPr>
        <w:t>point to a</w:t>
      </w:r>
      <w:r w:rsidR="64726E70" w:rsidRPr="21CB014D">
        <w:rPr>
          <w:noProof/>
        </w:rPr>
        <w:t>n urgent</w:t>
      </w:r>
      <w:r w:rsidR="209C53E4" w:rsidRPr="21CB014D">
        <w:rPr>
          <w:noProof/>
        </w:rPr>
        <w:t xml:space="preserve"> need to make </w:t>
      </w:r>
      <w:r w:rsidR="3FF6B7A5" w:rsidRPr="21CB014D">
        <w:rPr>
          <w:noProof/>
        </w:rPr>
        <w:t xml:space="preserve">substantive </w:t>
      </w:r>
      <w:r w:rsidR="3CF5BE35" w:rsidRPr="21CB014D">
        <w:rPr>
          <w:noProof/>
        </w:rPr>
        <w:t>changes to</w:t>
      </w:r>
      <w:r w:rsidR="3FF6B7A5" w:rsidRPr="21CB014D">
        <w:rPr>
          <w:noProof/>
        </w:rPr>
        <w:t xml:space="preserve"> the </w:t>
      </w:r>
      <w:r w:rsidR="12D70C94" w:rsidRPr="21CB014D">
        <w:rPr>
          <w:noProof/>
        </w:rPr>
        <w:t xml:space="preserve">reviewed </w:t>
      </w:r>
      <w:r w:rsidR="64726E70" w:rsidRPr="21CB014D">
        <w:rPr>
          <w:noProof/>
        </w:rPr>
        <w:t>elements</w:t>
      </w:r>
      <w:r w:rsidR="41792865" w:rsidRPr="21CB014D">
        <w:rPr>
          <w:noProof/>
        </w:rPr>
        <w:t xml:space="preserve"> </w:t>
      </w:r>
      <w:r w:rsidR="1CCFCC69" w:rsidRPr="21CB014D">
        <w:rPr>
          <w:noProof/>
        </w:rPr>
        <w:t>o</w:t>
      </w:r>
      <w:r w:rsidR="64726E70" w:rsidRPr="21CB014D">
        <w:rPr>
          <w:noProof/>
        </w:rPr>
        <w:t>f the</w:t>
      </w:r>
      <w:r w:rsidR="717264C4" w:rsidRPr="21CB014D">
        <w:rPr>
          <w:noProof/>
        </w:rPr>
        <w:t xml:space="preserve"> </w:t>
      </w:r>
      <w:r w:rsidR="40B834F2" w:rsidRPr="21CB014D">
        <w:rPr>
          <w:noProof/>
        </w:rPr>
        <w:t>commodity derivatives</w:t>
      </w:r>
      <w:r w:rsidR="04C2E333" w:rsidRPr="21CB014D">
        <w:rPr>
          <w:noProof/>
        </w:rPr>
        <w:t xml:space="preserve"> framework</w:t>
      </w:r>
      <w:r w:rsidR="0542287B" w:rsidRPr="21CB014D">
        <w:rPr>
          <w:noProof/>
        </w:rPr>
        <w:t xml:space="preserve">, even though </w:t>
      </w:r>
      <w:r w:rsidR="4958FB34" w:rsidRPr="21CB014D">
        <w:rPr>
          <w:noProof/>
        </w:rPr>
        <w:t>certain</w:t>
      </w:r>
      <w:r w:rsidR="0542287B" w:rsidRPr="21CB014D">
        <w:rPr>
          <w:noProof/>
        </w:rPr>
        <w:t xml:space="preserve"> targeted amendments could be considered</w:t>
      </w:r>
      <w:r w:rsidR="489FD963" w:rsidRPr="21CB014D">
        <w:rPr>
          <w:noProof/>
        </w:rPr>
        <w:t xml:space="preserve"> in the future</w:t>
      </w:r>
      <w:r w:rsidR="209C53E4" w:rsidRPr="21CB014D">
        <w:rPr>
          <w:noProof/>
        </w:rPr>
        <w:t>.</w:t>
      </w:r>
    </w:p>
    <w:sectPr w:rsidR="3D47CD76" w:rsidRPr="00575C33" w:rsidSect="003173E0">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851E4" w14:textId="77777777" w:rsidR="00E32428" w:rsidRDefault="00E32428">
      <w:pPr>
        <w:spacing w:after="0"/>
      </w:pPr>
      <w:r>
        <w:separator/>
      </w:r>
    </w:p>
  </w:endnote>
  <w:endnote w:type="continuationSeparator" w:id="0">
    <w:p w14:paraId="6BA4A512" w14:textId="77777777" w:rsidR="00E32428" w:rsidRDefault="00E32428">
      <w:pPr>
        <w:spacing w:after="0"/>
      </w:pPr>
      <w:r>
        <w:continuationSeparator/>
      </w:r>
    </w:p>
  </w:endnote>
  <w:endnote w:type="continuationNotice" w:id="1">
    <w:p w14:paraId="70234FFE" w14:textId="77777777" w:rsidR="00E32428" w:rsidRDefault="00E3242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404E8" w14:textId="774C5903" w:rsidR="00EE2EE6" w:rsidRPr="00EE2EE6" w:rsidRDefault="00EE2EE6" w:rsidP="00EE2EE6">
    <w:pPr>
      <w:pStyle w:val="FooterCoverPage"/>
      <w:rPr>
        <w:rFonts w:ascii="Arial" w:hAnsi="Arial" w:cs="Arial"/>
        <w:b/>
        <w:sz w:val="48"/>
      </w:rPr>
    </w:pPr>
    <w:r w:rsidRPr="00EE2EE6">
      <w:rPr>
        <w:rFonts w:ascii="Arial" w:hAnsi="Arial" w:cs="Arial"/>
        <w:b/>
        <w:sz w:val="48"/>
      </w:rPr>
      <w:t>EN</w:t>
    </w:r>
    <w:r w:rsidRPr="00EE2EE6">
      <w:rPr>
        <w:rFonts w:ascii="Arial" w:hAnsi="Arial" w:cs="Arial"/>
        <w:b/>
        <w:sz w:val="48"/>
      </w:rPr>
      <w:tab/>
    </w:r>
    <w:r w:rsidRPr="00EE2EE6">
      <w:rPr>
        <w:rFonts w:ascii="Arial" w:hAnsi="Arial" w:cs="Arial"/>
        <w:b/>
        <w:sz w:val="48"/>
      </w:rPr>
      <w:tab/>
    </w:r>
    <w:r w:rsidRPr="00EE2EE6">
      <w:tab/>
    </w:r>
    <w:r w:rsidRPr="00EE2EE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7B951" w14:textId="149F8755" w:rsidR="00EE2EE6" w:rsidRPr="00EE2EE6" w:rsidRDefault="00EE2EE6" w:rsidP="00EE2EE6">
    <w:pPr>
      <w:pStyle w:val="FooterCoverPage"/>
      <w:rPr>
        <w:rFonts w:ascii="Arial" w:hAnsi="Arial" w:cs="Arial"/>
        <w:b/>
        <w:sz w:val="48"/>
      </w:rPr>
    </w:pPr>
    <w:r w:rsidRPr="00EE2EE6">
      <w:rPr>
        <w:rFonts w:ascii="Arial" w:hAnsi="Arial" w:cs="Arial"/>
        <w:b/>
        <w:sz w:val="48"/>
      </w:rPr>
      <w:t>EN</w:t>
    </w:r>
    <w:r w:rsidRPr="00EE2EE6">
      <w:rPr>
        <w:rFonts w:ascii="Arial" w:hAnsi="Arial" w:cs="Arial"/>
        <w:b/>
        <w:sz w:val="48"/>
      </w:rPr>
      <w:tab/>
    </w:r>
    <w:r w:rsidRPr="00EE2EE6">
      <w:rPr>
        <w:rFonts w:ascii="Arial" w:hAnsi="Arial" w:cs="Arial"/>
        <w:b/>
        <w:sz w:val="48"/>
      </w:rPr>
      <w:tab/>
    </w:r>
    <w:r w:rsidRPr="00EE2EE6">
      <w:tab/>
    </w:r>
    <w:r w:rsidRPr="00EE2EE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B96CA" w14:textId="77777777" w:rsidR="00EE2EE6" w:rsidRPr="00EE2EE6" w:rsidRDefault="00EE2EE6" w:rsidP="00EE2EE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6062" w14:textId="3D69BCBD" w:rsidR="00AF3CE0" w:rsidRPr="00D9582F" w:rsidRDefault="00AF3CE0" w:rsidP="00D958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625277"/>
      <w:docPartObj>
        <w:docPartGallery w:val="Page Numbers (Bottom of Page)"/>
        <w:docPartUnique/>
      </w:docPartObj>
    </w:sdtPr>
    <w:sdtEndPr>
      <w:rPr>
        <w:noProof/>
      </w:rPr>
    </w:sdtEndPr>
    <w:sdtContent>
      <w:p w14:paraId="02B919CD" w14:textId="4F28A308" w:rsidR="00D65508" w:rsidRDefault="00D65508">
        <w:pPr>
          <w:pStyle w:val="Footer"/>
          <w:jc w:val="center"/>
        </w:pPr>
        <w:r>
          <w:fldChar w:fldCharType="begin"/>
        </w:r>
        <w:r>
          <w:instrText xml:space="preserve"> PAGE   \* MERGEFORMAT </w:instrText>
        </w:r>
        <w:r>
          <w:fldChar w:fldCharType="separate"/>
        </w:r>
        <w:r w:rsidR="00EE2EE6">
          <w:rPr>
            <w:noProof/>
          </w:rPr>
          <w:t>2</w:t>
        </w:r>
        <w:r>
          <w:rPr>
            <w:noProof/>
          </w:rPr>
          <w:fldChar w:fldCharType="end"/>
        </w:r>
      </w:p>
    </w:sdtContent>
  </w:sdt>
  <w:p w14:paraId="73553986" w14:textId="62978AA2" w:rsidR="00AF3CE0" w:rsidRPr="00D9582F" w:rsidRDefault="00AF3CE0" w:rsidP="00D958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114F1" w14:textId="6AAE52CC" w:rsidR="00AF3CE0" w:rsidRPr="00D9582F" w:rsidRDefault="00AF3CE0" w:rsidP="00D95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235D1" w14:textId="77777777" w:rsidR="00E32428" w:rsidRDefault="00E32428">
      <w:pPr>
        <w:spacing w:after="0"/>
      </w:pPr>
      <w:r>
        <w:separator/>
      </w:r>
    </w:p>
  </w:footnote>
  <w:footnote w:type="continuationSeparator" w:id="0">
    <w:p w14:paraId="7913638F" w14:textId="77777777" w:rsidR="00E32428" w:rsidRDefault="00E32428">
      <w:pPr>
        <w:spacing w:after="0"/>
      </w:pPr>
      <w:r>
        <w:continuationSeparator/>
      </w:r>
    </w:p>
  </w:footnote>
  <w:footnote w:type="continuationNotice" w:id="1">
    <w:p w14:paraId="51B3C9D8" w14:textId="77777777" w:rsidR="00E32428" w:rsidRDefault="00E32428">
      <w:pPr>
        <w:spacing w:after="0"/>
      </w:pPr>
    </w:p>
  </w:footnote>
  <w:footnote w:id="2">
    <w:p w14:paraId="4D640400" w14:textId="748D1501" w:rsidR="007A1CB7" w:rsidRPr="006630D0" w:rsidRDefault="21CB014D" w:rsidP="00F11C44">
      <w:pPr>
        <w:pStyle w:val="FootnoteText"/>
        <w:spacing w:after="0"/>
      </w:pPr>
      <w:r w:rsidRPr="0076530B">
        <w:rPr>
          <w:lang w:val="fr-FR"/>
        </w:rPr>
        <w:t>(</w:t>
      </w:r>
      <w:r w:rsidR="00FE77C4">
        <w:rPr>
          <w:rStyle w:val="FootnoteReference"/>
        </w:rPr>
        <w:footnoteRef/>
      </w:r>
      <w:r w:rsidRPr="0076530B">
        <w:rPr>
          <w:lang w:val="fr-FR"/>
        </w:rPr>
        <w:t>)</w:t>
      </w:r>
      <w:r w:rsidR="00FE77C4" w:rsidRPr="00062DE4">
        <w:rPr>
          <w:lang w:val="fr-BE"/>
        </w:rPr>
        <w:tab/>
      </w:r>
      <w:hyperlink r:id="rId1" w:history="1">
        <w:r w:rsidR="007A1CB7" w:rsidRPr="006630D0">
          <w:rPr>
            <w:rStyle w:val="Hyperlink"/>
          </w:rPr>
          <w:t>https://eur-lex.europa.eu/legal-content/EN/TXT/?uri=CELEX%3A52025DC0085</w:t>
        </w:r>
      </w:hyperlink>
    </w:p>
  </w:footnote>
  <w:footnote w:id="3">
    <w:p w14:paraId="2F141EF2" w14:textId="5A01A3A5" w:rsidR="00795E8F" w:rsidRPr="00215DF7" w:rsidRDefault="00795E8F" w:rsidP="00F11C44">
      <w:pPr>
        <w:pStyle w:val="FootnoteText"/>
        <w:spacing w:after="0"/>
      </w:pPr>
      <w:r w:rsidRPr="00215DF7">
        <w:t>(</w:t>
      </w:r>
      <w:r>
        <w:rPr>
          <w:rStyle w:val="FootnoteReference"/>
        </w:rPr>
        <w:footnoteRef/>
      </w:r>
      <w:r w:rsidRPr="00215DF7">
        <w:t>)</w:t>
      </w:r>
      <w:r w:rsidRPr="00215DF7">
        <w:tab/>
      </w:r>
      <w:hyperlink r:id="rId2" w:history="1">
        <w:r w:rsidR="00215DF7" w:rsidRPr="00215DF7">
          <w:rPr>
            <w:rStyle w:val="Hyperlink"/>
          </w:rPr>
          <w:t>https://eur-lex.europa.eu/legal-content/EN/TXT/?uri=CELEX%3A52025DC0079&amp;qid=1741780110418</w:t>
        </w:r>
      </w:hyperlink>
    </w:p>
  </w:footnote>
  <w:footnote w:id="4">
    <w:p w14:paraId="747314A8" w14:textId="71F7DBBD" w:rsidR="001113B9" w:rsidRPr="0076530B" w:rsidRDefault="21CB014D" w:rsidP="00F11C44">
      <w:pPr>
        <w:pStyle w:val="FootnoteText"/>
        <w:spacing w:after="0"/>
        <w:rPr>
          <w:lang w:val="en-IE"/>
        </w:rPr>
      </w:pPr>
      <w:r>
        <w:t>(</w:t>
      </w:r>
      <w:r w:rsidR="001113B9">
        <w:rPr>
          <w:rStyle w:val="FootnoteReference"/>
        </w:rPr>
        <w:footnoteRef/>
      </w:r>
      <w:r>
        <w:t>)</w:t>
      </w:r>
      <w:r w:rsidR="001113B9">
        <w:tab/>
      </w:r>
      <w:r>
        <w:t>Both the Clean Industrial Deal and the</w:t>
      </w:r>
      <w:r w:rsidRPr="21CB014D">
        <w:rPr>
          <w:noProof/>
        </w:rPr>
        <w:t xml:space="preserve"> Action Plan for Affordable Energy refer to the Gas Market Task Force set up by the Commission, which scrutinised, among others, the functioning of the market for gas derivatives.</w:t>
      </w:r>
    </w:p>
  </w:footnote>
  <w:footnote w:id="5">
    <w:p w14:paraId="0B929738" w14:textId="5E525601" w:rsidR="00795E8F" w:rsidRPr="00795E8F" w:rsidRDefault="00795E8F" w:rsidP="00F11C44">
      <w:pPr>
        <w:pStyle w:val="FootnoteText"/>
        <w:spacing w:after="0"/>
        <w:rPr>
          <w:lang w:val="en-IE"/>
        </w:rPr>
      </w:pPr>
      <w:r>
        <w:t>(</w:t>
      </w:r>
      <w:r>
        <w:rPr>
          <w:rStyle w:val="FootnoteReference"/>
        </w:rPr>
        <w:footnoteRef/>
      </w:r>
      <w:r>
        <w:t>)</w:t>
      </w:r>
      <w:r>
        <w:tab/>
      </w:r>
      <w:hyperlink r:id="rId3" w:history="1">
        <w:r w:rsidRPr="00795E8F">
          <w:rPr>
            <w:rStyle w:val="Hyperlink"/>
          </w:rPr>
          <w:t>CfA_IFR and IFD review - final.pdf</w:t>
        </w:r>
      </w:hyperlink>
    </w:p>
  </w:footnote>
  <w:footnote w:id="6">
    <w:p w14:paraId="795921AA" w14:textId="38A8D737" w:rsidR="004247C0" w:rsidRPr="004247C0" w:rsidRDefault="21CB014D" w:rsidP="00F11C44">
      <w:pPr>
        <w:pStyle w:val="FootnoteText"/>
        <w:spacing w:after="0"/>
        <w:rPr>
          <w:lang w:val="en-US"/>
        </w:rPr>
      </w:pPr>
      <w:r>
        <w:t>(</w:t>
      </w:r>
      <w:r w:rsidR="004247C0">
        <w:rPr>
          <w:rStyle w:val="FootnoteReference"/>
        </w:rPr>
        <w:footnoteRef/>
      </w:r>
      <w:r>
        <w:t>)</w:t>
      </w:r>
      <w:r w:rsidR="004247C0">
        <w:tab/>
      </w:r>
      <w:hyperlink r:id="rId4" w:history="1">
        <w:r w:rsidRPr="0082644B">
          <w:rPr>
            <w:rStyle w:val="Hyperlink"/>
          </w:rPr>
          <w:t>Targeted consultation on the review of the functioning of commodity derivatives markets and certain aspects relating to spot energy markets 2025 - Finance</w:t>
        </w:r>
      </w:hyperlink>
    </w:p>
  </w:footnote>
  <w:footnote w:id="7">
    <w:p w14:paraId="2D28D88F" w14:textId="77777777" w:rsidR="009B1053" w:rsidRPr="00FB6128" w:rsidRDefault="009B1053" w:rsidP="00F11C44">
      <w:pPr>
        <w:pStyle w:val="FootnoteText"/>
        <w:spacing w:after="0"/>
        <w:rPr>
          <w:lang w:val="en-IE"/>
        </w:rPr>
      </w:pPr>
      <w:r>
        <w:t>(</w:t>
      </w:r>
      <w:r>
        <w:rPr>
          <w:rStyle w:val="FootnoteReference"/>
        </w:rPr>
        <w:footnoteRef/>
      </w:r>
      <w:r>
        <w:t>)</w:t>
      </w:r>
      <w:r>
        <w:tab/>
      </w:r>
      <w:r w:rsidRPr="00575C33">
        <w:rPr>
          <w:noProof/>
          <w:szCs w:val="24"/>
        </w:rPr>
        <w:t>Article 58(1)</w:t>
      </w:r>
      <w:r>
        <w:rPr>
          <w:noProof/>
          <w:szCs w:val="24"/>
        </w:rPr>
        <w:t xml:space="preserve"> of MiFID II.</w:t>
      </w:r>
    </w:p>
  </w:footnote>
  <w:footnote w:id="8">
    <w:p w14:paraId="1308C03E" w14:textId="77777777" w:rsidR="009B1053" w:rsidRPr="00D565DF" w:rsidRDefault="009B1053" w:rsidP="00F11C44">
      <w:pPr>
        <w:pStyle w:val="FootnoteText"/>
        <w:spacing w:after="0"/>
        <w:rPr>
          <w:lang w:val="en-IE"/>
        </w:rPr>
      </w:pPr>
      <w:r>
        <w:t>(</w:t>
      </w:r>
      <w:r>
        <w:rPr>
          <w:rStyle w:val="FootnoteReference"/>
        </w:rPr>
        <w:footnoteRef/>
      </w:r>
      <w:r>
        <w:t>)</w:t>
      </w:r>
      <w:r>
        <w:tab/>
      </w:r>
      <w:r w:rsidRPr="00575C33">
        <w:rPr>
          <w:noProof/>
          <w:szCs w:val="24"/>
        </w:rPr>
        <w:t>Article 58(3)</w:t>
      </w:r>
      <w:r>
        <w:rPr>
          <w:noProof/>
          <w:szCs w:val="24"/>
        </w:rPr>
        <w:t xml:space="preserve"> of MiFID II.</w:t>
      </w:r>
    </w:p>
  </w:footnote>
  <w:footnote w:id="9">
    <w:p w14:paraId="635E8D5D" w14:textId="065216F7" w:rsidR="00BA26F7" w:rsidRPr="00BA26F7" w:rsidRDefault="00BA26F7" w:rsidP="00F11C44">
      <w:pPr>
        <w:pStyle w:val="FootnoteText"/>
        <w:spacing w:after="0"/>
        <w:rPr>
          <w:lang w:val="en-IE"/>
        </w:rPr>
      </w:pPr>
      <w:r>
        <w:t>(</w:t>
      </w:r>
      <w:r>
        <w:rPr>
          <w:rStyle w:val="FootnoteReference"/>
        </w:rPr>
        <w:footnoteRef/>
      </w:r>
      <w:r>
        <w:t>)</w:t>
      </w:r>
      <w:r>
        <w:tab/>
      </w:r>
      <w:r w:rsidRPr="00BA26F7">
        <w:t>To the NCA of the most liquid market for the commodity derivative which the OTC contract is equivalent to</w:t>
      </w:r>
      <w:r>
        <w:t>.</w:t>
      </w:r>
    </w:p>
  </w:footnote>
  <w:footnote w:id="10">
    <w:p w14:paraId="51C3B947" w14:textId="77777777" w:rsidR="009B1053" w:rsidRPr="00B92AFD" w:rsidRDefault="009B1053" w:rsidP="00F11C44">
      <w:pPr>
        <w:spacing w:after="0"/>
        <w:rPr>
          <w:lang w:val="en-IE"/>
        </w:rPr>
      </w:pPr>
      <w:r w:rsidRPr="00D565DF">
        <w:rPr>
          <w:sz w:val="20"/>
        </w:rPr>
        <w:t>(</w:t>
      </w:r>
      <w:r w:rsidRPr="00435657">
        <w:rPr>
          <w:sz w:val="20"/>
          <w:vertAlign w:val="superscript"/>
        </w:rPr>
        <w:footnoteRef/>
      </w:r>
      <w:r w:rsidRPr="00D565DF">
        <w:rPr>
          <w:sz w:val="20"/>
        </w:rPr>
        <w:t xml:space="preserve">) </w:t>
      </w:r>
      <w:r>
        <w:rPr>
          <w:sz w:val="20"/>
        </w:rPr>
        <w:t xml:space="preserve"> </w:t>
      </w:r>
      <w:r w:rsidRPr="00D565DF">
        <w:rPr>
          <w:noProof/>
          <w:sz w:val="20"/>
          <w:szCs w:val="24"/>
        </w:rPr>
        <w:t>Article 58(2)</w:t>
      </w:r>
      <w:r>
        <w:rPr>
          <w:noProof/>
          <w:sz w:val="20"/>
          <w:szCs w:val="24"/>
        </w:rPr>
        <w:t xml:space="preserve"> of MiFID II.</w:t>
      </w:r>
    </w:p>
  </w:footnote>
  <w:footnote w:id="11">
    <w:p w14:paraId="21521EF6" w14:textId="4F38848D" w:rsidR="00752A9C" w:rsidRPr="00C15443" w:rsidRDefault="00752A9C" w:rsidP="00F11C44">
      <w:pPr>
        <w:pStyle w:val="FootnoteText"/>
        <w:spacing w:after="0"/>
        <w:rPr>
          <w:lang w:val="en-IE"/>
        </w:rPr>
      </w:pPr>
      <w:r>
        <w:t>(</w:t>
      </w:r>
      <w:r>
        <w:rPr>
          <w:rStyle w:val="FootnoteReference"/>
        </w:rPr>
        <w:footnoteRef/>
      </w:r>
      <w:r>
        <w:t>)</w:t>
      </w:r>
      <w:r>
        <w:tab/>
        <w:t>Article 2(4) of REMIT II.</w:t>
      </w:r>
    </w:p>
  </w:footnote>
  <w:footnote w:id="12">
    <w:p w14:paraId="5B89D8C6" w14:textId="0B25DACC" w:rsidR="00752A9C" w:rsidRPr="00C15443" w:rsidRDefault="00752A9C" w:rsidP="00F11C44">
      <w:pPr>
        <w:pStyle w:val="FootnoteText"/>
        <w:spacing w:after="0"/>
        <w:rPr>
          <w:lang w:val="en-IE"/>
        </w:rPr>
      </w:pPr>
      <w:r>
        <w:t>(</w:t>
      </w:r>
      <w:r>
        <w:rPr>
          <w:rStyle w:val="FootnoteReference"/>
        </w:rPr>
        <w:footnoteRef/>
      </w:r>
      <w:r>
        <w:t>)</w:t>
      </w:r>
      <w:r>
        <w:tab/>
      </w:r>
      <w:r w:rsidR="00C15443">
        <w:t>Article 6(</w:t>
      </w:r>
      <w:r w:rsidR="00C15443" w:rsidRPr="00C15443">
        <w:t>5</w:t>
      </w:r>
      <w:r w:rsidR="00C15443">
        <w:t>) of the REMIT IR further provides that “</w:t>
      </w:r>
      <w:r w:rsidR="00C15443" w:rsidRPr="00C15443">
        <w:t>Where persons have reported details of transactions in accordance with Article 26 of Regulation (EU) No 600/2014 or Article 9 of Regulation (EU) No 648/2012 their obligations in relation to reporting those details under Article 8(1) of Regulation (EU) No 1227/2011 shall be considered as fulfilled</w:t>
      </w:r>
      <w:r w:rsidR="00C15443">
        <w:t>”.</w:t>
      </w:r>
    </w:p>
  </w:footnote>
  <w:footnote w:id="13">
    <w:p w14:paraId="19680AE1" w14:textId="0AF27FBD" w:rsidR="00EE1081" w:rsidRPr="00EE1081" w:rsidRDefault="00EE1081" w:rsidP="00F11C44">
      <w:pPr>
        <w:pStyle w:val="FootnoteText"/>
        <w:spacing w:after="0"/>
        <w:rPr>
          <w:lang w:val="en-IE"/>
        </w:rPr>
      </w:pPr>
      <w:r>
        <w:t>(</w:t>
      </w:r>
      <w:r>
        <w:rPr>
          <w:rStyle w:val="FootnoteReference"/>
        </w:rPr>
        <w:footnoteRef/>
      </w:r>
      <w:r>
        <w:t>)</w:t>
      </w:r>
      <w:r>
        <w:tab/>
        <w:t>Unless they transact via an EU investment firm, in which case the investment firm reports on their behalf.</w:t>
      </w:r>
    </w:p>
  </w:footnote>
  <w:footnote w:id="14">
    <w:p w14:paraId="5CA7BFD1" w14:textId="77777777" w:rsidR="009B1053" w:rsidRPr="000A26D4" w:rsidRDefault="009B1053" w:rsidP="00F11C44">
      <w:pPr>
        <w:pStyle w:val="FootnoteText"/>
        <w:spacing w:after="0"/>
        <w:rPr>
          <w:lang w:val="en-IE"/>
        </w:rPr>
      </w:pPr>
      <w:r>
        <w:t>(</w:t>
      </w:r>
      <w:r>
        <w:rPr>
          <w:rStyle w:val="FootnoteReference"/>
        </w:rPr>
        <w:footnoteRef/>
      </w:r>
      <w:r>
        <w:t>)</w:t>
      </w:r>
      <w:r>
        <w:tab/>
      </w:r>
      <w:hyperlink r:id="rId5" w:history="1">
        <w:r w:rsidRPr="000A26D4">
          <w:rPr>
            <w:rStyle w:val="Hyperlink"/>
          </w:rPr>
          <w:t>Regulation (EU) 2024/2809 of the European Parliament and of the Council of 23 October 2024 amending Regulations (EU) 2017/1129, (EU) No 596/2014 and (EU) No 600/2014 to make public capital markets in the Union more attractive for companies and to facilitate access to capital for small and medium-sized enterprises</w:t>
        </w:r>
      </w:hyperlink>
    </w:p>
  </w:footnote>
  <w:footnote w:id="15">
    <w:p w14:paraId="2A76ABC4" w14:textId="77777777" w:rsidR="009B1053" w:rsidRPr="00E933F2" w:rsidRDefault="009B1053" w:rsidP="00F11C44">
      <w:pPr>
        <w:pStyle w:val="FootnoteText"/>
        <w:spacing w:after="0"/>
        <w:rPr>
          <w:lang w:val="en-IE"/>
        </w:rPr>
      </w:pPr>
      <w:r>
        <w:t>(</w:t>
      </w:r>
      <w:r>
        <w:rPr>
          <w:rStyle w:val="FootnoteReference"/>
        </w:rPr>
        <w:footnoteRef/>
      </w:r>
      <w:r>
        <w:t>)</w:t>
      </w:r>
      <w:r>
        <w:tab/>
        <w:t xml:space="preserve">This is also due to the fact that physically-settled contracts traded on OTFs are carved out from financial legislation, and are therefore not considered financial instrument (‘C6 carve-out products’). </w:t>
      </w:r>
    </w:p>
  </w:footnote>
  <w:footnote w:id="16">
    <w:p w14:paraId="25A834D4" w14:textId="77777777" w:rsidR="009B1053" w:rsidRPr="009B1053" w:rsidRDefault="009B1053" w:rsidP="00F11C44">
      <w:pPr>
        <w:pStyle w:val="FootnoteText"/>
        <w:spacing w:after="0"/>
        <w:rPr>
          <w:lang w:val="en-IE"/>
        </w:rPr>
      </w:pPr>
      <w:r>
        <w:t>(</w:t>
      </w:r>
      <w:r>
        <w:rPr>
          <w:rStyle w:val="FootnoteReference"/>
        </w:rPr>
        <w:footnoteRef/>
      </w:r>
      <w:r>
        <w:t>)</w:t>
      </w:r>
      <w:r>
        <w:tab/>
        <w:t>Source: ESMA data.</w:t>
      </w:r>
    </w:p>
  </w:footnote>
  <w:footnote w:id="17">
    <w:p w14:paraId="0B65594A" w14:textId="7568FE67" w:rsidR="005514EF" w:rsidRPr="005514EF" w:rsidRDefault="005514EF" w:rsidP="00F11C44">
      <w:pPr>
        <w:pStyle w:val="FootnoteText"/>
        <w:spacing w:after="0"/>
        <w:rPr>
          <w:lang w:val="en-IE"/>
        </w:rPr>
      </w:pPr>
      <w:r>
        <w:t>(</w:t>
      </w:r>
      <w:r>
        <w:rPr>
          <w:rStyle w:val="FootnoteReference"/>
        </w:rPr>
        <w:footnoteRef/>
      </w:r>
      <w:r>
        <w:t>)</w:t>
      </w:r>
      <w:r>
        <w:tab/>
      </w:r>
      <w:hyperlink r:id="rId6" w:history="1">
        <w:r w:rsidRPr="005514EF">
          <w:rPr>
            <w:rStyle w:val="Hyperlink"/>
          </w:rPr>
          <w:t>esma70-446-775_preliminary_data_report_on_mcm.pdf</w:t>
        </w:r>
      </w:hyperlink>
    </w:p>
  </w:footnote>
  <w:footnote w:id="18">
    <w:p w14:paraId="15B9BBF8" w14:textId="02046017" w:rsidR="005514EF" w:rsidRPr="005514EF" w:rsidRDefault="005514EF" w:rsidP="00F11C44">
      <w:pPr>
        <w:pStyle w:val="FootnoteText"/>
        <w:spacing w:after="0"/>
        <w:rPr>
          <w:lang w:val="en-IE"/>
        </w:rPr>
      </w:pPr>
      <w:r>
        <w:t>(</w:t>
      </w:r>
      <w:r>
        <w:rPr>
          <w:rStyle w:val="FootnoteReference"/>
        </w:rPr>
        <w:footnoteRef/>
      </w:r>
      <w:r>
        <w:t>)</w:t>
      </w:r>
      <w:r>
        <w:tab/>
      </w:r>
      <w:hyperlink r:id="rId7" w:history="1">
        <w:r w:rsidRPr="005514EF">
          <w:rPr>
            <w:rStyle w:val="Hyperlink"/>
          </w:rPr>
          <w:t>Analysis of MIFID II position data on commodity derivatives: who are the market participants and what is their weight in the matif grain derivatives segment?</w:t>
        </w:r>
      </w:hyperlink>
    </w:p>
  </w:footnote>
  <w:footnote w:id="19">
    <w:p w14:paraId="61829983" w14:textId="77777777" w:rsidR="009B1053" w:rsidRPr="00F81863" w:rsidRDefault="009B1053" w:rsidP="00F11C44">
      <w:pPr>
        <w:pStyle w:val="FootnoteText"/>
        <w:spacing w:after="0"/>
        <w:rPr>
          <w:lang w:val="en-IE"/>
        </w:rPr>
      </w:pPr>
      <w:r>
        <w:t>(</w:t>
      </w:r>
      <w:r>
        <w:rPr>
          <w:rStyle w:val="FootnoteReference"/>
        </w:rPr>
        <w:footnoteRef/>
      </w:r>
      <w:r>
        <w:t>)</w:t>
      </w:r>
      <w:r>
        <w:tab/>
      </w:r>
      <w:hyperlink r:id="rId8" w:history="1">
        <w:r w:rsidRPr="00F81863">
          <w:rPr>
            <w:rStyle w:val="Hyperlink"/>
          </w:rPr>
          <w:t>Delegated regulation - 2022/1299 - EN - EUR-Lex</w:t>
        </w:r>
      </w:hyperlink>
    </w:p>
  </w:footnote>
  <w:footnote w:id="20">
    <w:p w14:paraId="697FFF92" w14:textId="17AFFF22" w:rsidR="009B1053" w:rsidRPr="00F81863" w:rsidRDefault="009B1053" w:rsidP="009B1053">
      <w:pPr>
        <w:pStyle w:val="FootnoteText"/>
        <w:spacing w:after="0"/>
      </w:pPr>
      <w:r w:rsidRPr="00F81863">
        <w:t>(</w:t>
      </w:r>
      <w:r w:rsidRPr="00F81863">
        <w:rPr>
          <w:rStyle w:val="FootnoteReference"/>
        </w:rPr>
        <w:footnoteRef/>
      </w:r>
      <w:r w:rsidRPr="00F81863">
        <w:t>)</w:t>
      </w:r>
      <w:r w:rsidRPr="00F81863">
        <w:tab/>
      </w:r>
      <w:r>
        <w:t xml:space="preserve">This consultation was notably prompted among others by </w:t>
      </w:r>
      <w:r>
        <w:rPr>
          <w:lang w:eastAsia="en-IE"/>
        </w:rPr>
        <w:t xml:space="preserve">the </w:t>
      </w:r>
      <w:r w:rsidRPr="00F81863">
        <w:rPr>
          <w:lang w:eastAsia="en-IE"/>
        </w:rPr>
        <w:t xml:space="preserve">events that had occurred on the London Metals </w:t>
      </w:r>
      <w:r w:rsidRPr="00F81863">
        <w:t>Exchange</w:t>
      </w:r>
      <w:r>
        <w:rPr>
          <w:lang w:eastAsia="en-IE"/>
        </w:rPr>
        <w:t xml:space="preserve"> </w:t>
      </w:r>
      <w:r w:rsidRPr="00F81863">
        <w:rPr>
          <w:lang w:eastAsia="en-IE"/>
        </w:rPr>
        <w:t>in March 2022, which were linked to the building of large positions in the OTC market that were not visible to trading venue operators, thereby hindering their ability to fulfil their position management mandate.</w:t>
      </w:r>
    </w:p>
  </w:footnote>
  <w:footnote w:id="21">
    <w:p w14:paraId="6E7C74E1" w14:textId="77777777" w:rsidR="009B1053" w:rsidRPr="00F81863" w:rsidRDefault="009B1053" w:rsidP="009B1053">
      <w:pPr>
        <w:pStyle w:val="FootnoteText"/>
        <w:spacing w:after="0"/>
        <w:rPr>
          <w:lang w:val="en-IE"/>
        </w:rPr>
      </w:pPr>
      <w:r w:rsidRPr="00F81863">
        <w:t>(</w:t>
      </w:r>
      <w:r w:rsidRPr="00F81863">
        <w:rPr>
          <w:rStyle w:val="FootnoteReference"/>
        </w:rPr>
        <w:footnoteRef/>
      </w:r>
      <w:r w:rsidRPr="00F81863">
        <w:t>)</w:t>
      </w:r>
      <w:r w:rsidRPr="00F81863">
        <w:tab/>
        <w:t>Source: EEX and ICE data for Summer 2022 and 2024.</w:t>
      </w:r>
    </w:p>
  </w:footnote>
  <w:footnote w:id="22">
    <w:p w14:paraId="6A632A11" w14:textId="55DB859B" w:rsidR="005E7D89" w:rsidRPr="00040C54" w:rsidRDefault="21CB014D" w:rsidP="00F11C44">
      <w:pPr>
        <w:pStyle w:val="FootnoteText"/>
        <w:spacing w:after="0"/>
        <w:ind w:left="567" w:hanging="567"/>
        <w:rPr>
          <w:lang w:val="en-IE"/>
        </w:rPr>
      </w:pPr>
      <w:r w:rsidRPr="00040C54">
        <w:rPr>
          <w:lang w:val="en-IE"/>
        </w:rPr>
        <w:t>(</w:t>
      </w:r>
      <w:r w:rsidR="005E7D89">
        <w:rPr>
          <w:rStyle w:val="FootnoteReference"/>
        </w:rPr>
        <w:footnoteRef/>
      </w:r>
      <w:r w:rsidRPr="00040C54">
        <w:rPr>
          <w:lang w:val="en-IE"/>
        </w:rPr>
        <w:t>)</w:t>
      </w:r>
      <w:r w:rsidR="005E7D89">
        <w:tab/>
      </w:r>
      <w:hyperlink r:id="rId9" w:history="1">
        <w:r w:rsidRPr="00920545">
          <w:rPr>
            <w:rStyle w:val="Hyperlink"/>
            <w:lang w:val="en-IE"/>
          </w:rPr>
          <w:t>https://www.iosco.org/library/pubdocs/pdf/IOSCOPD781.pdf</w:t>
        </w:r>
      </w:hyperlink>
      <w:r>
        <w:rPr>
          <w:lang w:val="en-IE"/>
        </w:rPr>
        <w:t>.</w:t>
      </w:r>
      <w:r w:rsidRPr="00040C54">
        <w:rPr>
          <w:lang w:val="en-IE"/>
        </w:rPr>
        <w:t xml:space="preserve"> </w:t>
      </w:r>
    </w:p>
  </w:footnote>
  <w:footnote w:id="23">
    <w:p w14:paraId="169A6F81" w14:textId="3E26C7A9" w:rsidR="00FA28B6" w:rsidRPr="00FA28B6" w:rsidRDefault="00FA28B6" w:rsidP="00F11C44">
      <w:pPr>
        <w:pStyle w:val="FootnoteText"/>
        <w:spacing w:after="0"/>
        <w:rPr>
          <w:lang w:val="en-IE"/>
        </w:rPr>
      </w:pPr>
      <w:r>
        <w:t>(</w:t>
      </w:r>
      <w:r>
        <w:rPr>
          <w:rStyle w:val="FootnoteReference"/>
        </w:rPr>
        <w:footnoteRef/>
      </w:r>
      <w:r>
        <w:t>)</w:t>
      </w:r>
      <w:r>
        <w:tab/>
        <w:t>That is to say, beyond investment firms and non-investment firms transacting through an investment firm.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78186" w14:textId="77777777" w:rsidR="00EE2EE6" w:rsidRPr="00EE2EE6" w:rsidRDefault="00EE2EE6" w:rsidP="00EE2EE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9BA13" w14:textId="77777777" w:rsidR="00EE2EE6" w:rsidRPr="00EE2EE6" w:rsidRDefault="00EE2EE6" w:rsidP="00EE2EE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0F59E" w14:textId="77777777" w:rsidR="00EE2EE6" w:rsidRPr="00EE2EE6" w:rsidRDefault="00EE2EE6" w:rsidP="00EE2EE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DCEED" w14:textId="77777777" w:rsidR="00AF3CE0" w:rsidRDefault="00AF3C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448D3" w14:textId="77777777" w:rsidR="00AF3CE0" w:rsidRDefault="00AF3C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98F7D" w14:textId="77777777" w:rsidR="00AF3CE0" w:rsidRDefault="00AF3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829E44B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D8D1E0E"/>
    <w:multiLevelType w:val="multilevel"/>
    <w:tmpl w:val="4112E5BC"/>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FB7115"/>
    <w:multiLevelType w:val="multilevel"/>
    <w:tmpl w:val="4860F4E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CAA6E53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4FF6E5C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9E05CF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F4D6467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340CC3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2E36590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47A184D"/>
    <w:multiLevelType w:val="hybridMultilevel"/>
    <w:tmpl w:val="E72C02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8DFDF8"/>
    <w:multiLevelType w:val="multilevel"/>
    <w:tmpl w:val="B4F8221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87003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8772AAF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7BC4A53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92987FB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ABA0C5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A7B67E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4261A85"/>
    <w:multiLevelType w:val="hybridMultilevel"/>
    <w:tmpl w:val="F0FA3B54"/>
    <w:lvl w:ilvl="0" w:tplc="5B204194">
      <w:start w:val="1"/>
      <w:numFmt w:val="decimal"/>
      <w:pStyle w:val="04aNumeration"/>
      <w:lvlText w:val="%1."/>
      <w:lvlJc w:val="left"/>
      <w:pPr>
        <w:tabs>
          <w:tab w:val="num" w:pos="284"/>
        </w:tabs>
        <w:ind w:left="284" w:hanging="284"/>
      </w:pPr>
      <w:rPr>
        <w:rFonts w:ascii="Arial" w:hAnsi="Arial" w:cs="Arial" w:hint="default"/>
        <w:b w:val="0"/>
        <w:i w:val="0"/>
        <w:sz w:val="22"/>
        <w:szCs w:val="22"/>
      </w:rPr>
    </w:lvl>
    <w:lvl w:ilvl="1" w:tplc="65726592">
      <w:start w:val="1"/>
      <w:numFmt w:val="upperLetter"/>
      <w:lvlText w:val="%2."/>
      <w:lvlJc w:val="left"/>
      <w:pPr>
        <w:tabs>
          <w:tab w:val="num" w:pos="1156"/>
        </w:tabs>
        <w:ind w:left="1156" w:hanging="360"/>
      </w:pPr>
      <w:rPr>
        <w:rFonts w:hint="default"/>
        <w:b w:val="0"/>
        <w:i w:val="0"/>
      </w:rPr>
    </w:lvl>
    <w:lvl w:ilvl="2" w:tplc="0407001B">
      <w:start w:val="1"/>
      <w:numFmt w:val="lowerRoman"/>
      <w:lvlText w:val="%3."/>
      <w:lvlJc w:val="right"/>
      <w:pPr>
        <w:tabs>
          <w:tab w:val="num" w:pos="1876"/>
        </w:tabs>
        <w:ind w:left="1876" w:hanging="180"/>
      </w:pPr>
    </w:lvl>
    <w:lvl w:ilvl="3" w:tplc="0407000F" w:tentative="1">
      <w:start w:val="1"/>
      <w:numFmt w:val="decimal"/>
      <w:lvlText w:val="%4."/>
      <w:lvlJc w:val="left"/>
      <w:pPr>
        <w:tabs>
          <w:tab w:val="num" w:pos="2596"/>
        </w:tabs>
        <w:ind w:left="2596" w:hanging="360"/>
      </w:pPr>
    </w:lvl>
    <w:lvl w:ilvl="4" w:tplc="04070019" w:tentative="1">
      <w:start w:val="1"/>
      <w:numFmt w:val="lowerLetter"/>
      <w:lvlText w:val="%5."/>
      <w:lvlJc w:val="left"/>
      <w:pPr>
        <w:tabs>
          <w:tab w:val="num" w:pos="3316"/>
        </w:tabs>
        <w:ind w:left="3316" w:hanging="360"/>
      </w:pPr>
    </w:lvl>
    <w:lvl w:ilvl="5" w:tplc="0407001B" w:tentative="1">
      <w:start w:val="1"/>
      <w:numFmt w:val="lowerRoman"/>
      <w:lvlText w:val="%6."/>
      <w:lvlJc w:val="right"/>
      <w:pPr>
        <w:tabs>
          <w:tab w:val="num" w:pos="4036"/>
        </w:tabs>
        <w:ind w:left="4036" w:hanging="180"/>
      </w:pPr>
    </w:lvl>
    <w:lvl w:ilvl="6" w:tplc="0407000F" w:tentative="1">
      <w:start w:val="1"/>
      <w:numFmt w:val="decimal"/>
      <w:lvlText w:val="%7."/>
      <w:lvlJc w:val="left"/>
      <w:pPr>
        <w:tabs>
          <w:tab w:val="num" w:pos="4756"/>
        </w:tabs>
        <w:ind w:left="4756" w:hanging="360"/>
      </w:pPr>
    </w:lvl>
    <w:lvl w:ilvl="7" w:tplc="04070019" w:tentative="1">
      <w:start w:val="1"/>
      <w:numFmt w:val="lowerLetter"/>
      <w:lvlText w:val="%8."/>
      <w:lvlJc w:val="left"/>
      <w:pPr>
        <w:tabs>
          <w:tab w:val="num" w:pos="5476"/>
        </w:tabs>
        <w:ind w:left="5476" w:hanging="360"/>
      </w:pPr>
    </w:lvl>
    <w:lvl w:ilvl="8" w:tplc="0407001B" w:tentative="1">
      <w:start w:val="1"/>
      <w:numFmt w:val="lowerRoman"/>
      <w:lvlText w:val="%9."/>
      <w:lvlJc w:val="right"/>
      <w:pPr>
        <w:tabs>
          <w:tab w:val="num" w:pos="6196"/>
        </w:tabs>
        <w:ind w:left="6196" w:hanging="180"/>
      </w:pPr>
    </w:lvl>
  </w:abstractNum>
  <w:abstractNum w:abstractNumId="18" w15:restartNumberingAfterBreak="0">
    <w:nsid w:val="4E1A63DF"/>
    <w:multiLevelType w:val="multilevel"/>
    <w:tmpl w:val="5750F45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6BA056F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AF0037A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025A818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4724136"/>
    <w:multiLevelType w:val="hybridMultilevel"/>
    <w:tmpl w:val="53346BC4"/>
    <w:lvl w:ilvl="0" w:tplc="835CD9B4">
      <w:start w:val="1"/>
      <w:numFmt w:val="lowerLetter"/>
      <w:lvlText w:val="(%1)"/>
      <w:lvlJc w:val="left"/>
      <w:pPr>
        <w:ind w:left="1080" w:hanging="360"/>
      </w:pPr>
      <w:rPr>
        <w:rFonts w:eastAsia="Times New Roman"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977472E"/>
    <w:multiLevelType w:val="multilevel"/>
    <w:tmpl w:val="B802D96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A162CEF"/>
    <w:multiLevelType w:val="multilevel"/>
    <w:tmpl w:val="8F4864D0"/>
    <w:lvl w:ilvl="0">
      <w:start w:val="1"/>
      <w:numFmt w:val="bullet"/>
      <w:pStyle w:val="BulletPSP"/>
      <w:lvlText w:val=""/>
      <w:lvlJc w:val="left"/>
      <w:pPr>
        <w:ind w:left="145" w:hanging="283"/>
      </w:pPr>
      <w:rPr>
        <w:rFonts w:ascii="Symbol" w:hAnsi="Symbol" w:hint="default"/>
        <w:color w:val="5B9BD5"/>
      </w:rPr>
    </w:lvl>
    <w:lvl w:ilvl="1">
      <w:start w:val="1"/>
      <w:numFmt w:val="bullet"/>
      <w:lvlText w:val=""/>
      <w:lvlJc w:val="left"/>
      <w:pPr>
        <w:ind w:left="429" w:hanging="283"/>
      </w:pPr>
      <w:rPr>
        <w:rFonts w:ascii="Symbol" w:hAnsi="Symbol" w:hint="default"/>
        <w:color w:val="44546A"/>
      </w:rPr>
    </w:lvl>
    <w:lvl w:ilvl="2">
      <w:start w:val="1"/>
      <w:numFmt w:val="bullet"/>
      <w:lvlText w:val=""/>
      <w:lvlJc w:val="left"/>
      <w:pPr>
        <w:ind w:left="713" w:hanging="283"/>
      </w:pPr>
      <w:rPr>
        <w:rFonts w:ascii="Symbol" w:hAnsi="Symbol" w:hint="default"/>
        <w:color w:val="E7E6E6"/>
      </w:rPr>
    </w:lvl>
    <w:lvl w:ilvl="3">
      <w:start w:val="1"/>
      <w:numFmt w:val="bullet"/>
      <w:lvlText w:val=""/>
      <w:lvlJc w:val="left"/>
      <w:pPr>
        <w:ind w:left="997" w:hanging="283"/>
      </w:pPr>
      <w:rPr>
        <w:rFonts w:ascii="Symbol" w:hAnsi="Symbol" w:hint="default"/>
        <w:color w:val="ED7D31"/>
      </w:rPr>
    </w:lvl>
    <w:lvl w:ilvl="4">
      <w:start w:val="1"/>
      <w:numFmt w:val="bullet"/>
      <w:lvlText w:val=""/>
      <w:lvlJc w:val="left"/>
      <w:pPr>
        <w:ind w:left="1281" w:hanging="283"/>
      </w:pPr>
      <w:rPr>
        <w:rFonts w:ascii="Symbol" w:hAnsi="Symbol" w:hint="default"/>
        <w:color w:val="000000"/>
      </w:rPr>
    </w:lvl>
    <w:lvl w:ilvl="5">
      <w:start w:val="1"/>
      <w:numFmt w:val="bullet"/>
      <w:lvlText w:val=""/>
      <w:lvlJc w:val="left"/>
      <w:pPr>
        <w:ind w:left="1565" w:hanging="283"/>
      </w:pPr>
      <w:rPr>
        <w:rFonts w:ascii="Symbol" w:hAnsi="Symbol" w:hint="default"/>
        <w:color w:val="FFC000"/>
      </w:rPr>
    </w:lvl>
    <w:lvl w:ilvl="6">
      <w:start w:val="1"/>
      <w:numFmt w:val="bullet"/>
      <w:lvlText w:val=""/>
      <w:lvlJc w:val="left"/>
      <w:pPr>
        <w:ind w:left="1849" w:hanging="283"/>
      </w:pPr>
      <w:rPr>
        <w:rFonts w:ascii="Symbol" w:hAnsi="Symbol" w:hint="default"/>
      </w:rPr>
    </w:lvl>
    <w:lvl w:ilvl="7">
      <w:start w:val="1"/>
      <w:numFmt w:val="bullet"/>
      <w:lvlText w:val="o"/>
      <w:lvlJc w:val="left"/>
      <w:pPr>
        <w:ind w:left="2133" w:hanging="283"/>
      </w:pPr>
      <w:rPr>
        <w:rFonts w:ascii="Courier New" w:hAnsi="Courier New" w:hint="default"/>
      </w:rPr>
    </w:lvl>
    <w:lvl w:ilvl="8">
      <w:start w:val="1"/>
      <w:numFmt w:val="bullet"/>
      <w:lvlText w:val=""/>
      <w:lvlJc w:val="left"/>
      <w:pPr>
        <w:ind w:left="2417" w:hanging="283"/>
      </w:pPr>
      <w:rPr>
        <w:rFonts w:ascii="Wingdings" w:hAnsi="Wingdings" w:hint="default"/>
      </w:rPr>
    </w:lvl>
  </w:abstractNum>
  <w:abstractNum w:abstractNumId="25" w15:restartNumberingAfterBreak="0">
    <w:nsid w:val="766A24F3"/>
    <w:multiLevelType w:val="hybridMultilevel"/>
    <w:tmpl w:val="891EBEA8"/>
    <w:lvl w:ilvl="0" w:tplc="F0E0613A">
      <w:start w:val="1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9F50F3B"/>
    <w:multiLevelType w:val="hybridMultilevel"/>
    <w:tmpl w:val="BB124F74"/>
    <w:lvl w:ilvl="0" w:tplc="A32E8DF6">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BDA2288"/>
    <w:multiLevelType w:val="hybridMultilevel"/>
    <w:tmpl w:val="8BF84DFE"/>
    <w:lvl w:ilvl="0" w:tplc="74B81204">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C33ED92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0" w15:restartNumberingAfterBreak="0">
    <w:nsid w:val="7DE645DF"/>
    <w:multiLevelType w:val="hybridMultilevel"/>
    <w:tmpl w:val="A00A26A0"/>
    <w:lvl w:ilvl="0" w:tplc="74B81204">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7"/>
  </w:num>
  <w:num w:numId="2">
    <w:abstractNumId w:val="1"/>
  </w:num>
  <w:num w:numId="3">
    <w:abstractNumId w:val="24"/>
  </w:num>
  <w:num w:numId="4">
    <w:abstractNumId w:val="0"/>
  </w:num>
  <w:num w:numId="5">
    <w:abstractNumId w:val="13"/>
  </w:num>
  <w:num w:numId="6">
    <w:abstractNumId w:val="8"/>
  </w:num>
  <w:num w:numId="7">
    <w:abstractNumId w:val="14"/>
  </w:num>
  <w:num w:numId="8">
    <w:abstractNumId w:val="20"/>
  </w:num>
  <w:num w:numId="9">
    <w:abstractNumId w:val="23"/>
  </w:num>
  <w:num w:numId="10">
    <w:abstractNumId w:val="2"/>
  </w:num>
  <w:num w:numId="11">
    <w:abstractNumId w:val="7"/>
  </w:num>
  <w:num w:numId="12">
    <w:abstractNumId w:val="16"/>
  </w:num>
  <w:num w:numId="13">
    <w:abstractNumId w:val="3"/>
  </w:num>
  <w:num w:numId="14">
    <w:abstractNumId w:val="5"/>
  </w:num>
  <w:num w:numId="15">
    <w:abstractNumId w:val="6"/>
  </w:num>
  <w:num w:numId="16">
    <w:abstractNumId w:val="10"/>
  </w:num>
  <w:num w:numId="17">
    <w:abstractNumId w:val="15"/>
  </w:num>
  <w:num w:numId="18">
    <w:abstractNumId w:val="19"/>
  </w:num>
  <w:num w:numId="19">
    <w:abstractNumId w:val="28"/>
  </w:num>
  <w:num w:numId="20">
    <w:abstractNumId w:val="11"/>
  </w:num>
  <w:num w:numId="21">
    <w:abstractNumId w:val="12"/>
  </w:num>
  <w:num w:numId="22">
    <w:abstractNumId w:val="29"/>
  </w:num>
  <w:num w:numId="23">
    <w:abstractNumId w:val="18"/>
  </w:num>
  <w:num w:numId="24">
    <w:abstractNumId w:val="21"/>
  </w:num>
  <w:num w:numId="25">
    <w:abstractNumId w:val="4"/>
  </w:num>
  <w:num w:numId="26">
    <w:abstractNumId w:val="25"/>
  </w:num>
  <w:num w:numId="27">
    <w:abstractNumId w:val="30"/>
  </w:num>
  <w:num w:numId="28">
    <w:abstractNumId w:val="26"/>
  </w:num>
  <w:num w:numId="29">
    <w:abstractNumId w:val="9"/>
  </w:num>
  <w:num w:numId="30">
    <w:abstractNumId w:val="27"/>
  </w:num>
  <w:num w:numId="31">
    <w:abstractNumId w:val="22"/>
  </w:num>
  <w:num w:numId="32">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32905A6-FA25-4CAB-A13E-D0D8A781D1C1"/>
    <w:docVar w:name="LW_COVERPAGE_TYPE" w:val="1"/>
    <w:docVar w:name="LW_CROSSREFERENCE" w:val="&lt;UNUSED&gt;"/>
    <w:docVar w:name="LW_DocType" w:val="EUROLOOK"/>
    <w:docVar w:name="LW_EMISSION" w:val="26.5.2026"/>
    <w:docVar w:name="LW_EMISSION_ISODATE" w:val="2026-05-26"/>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Commission\u8217?s assessment of the markets for commodity derivatives, for emission allowances and for derivatives of emission allowances, pursuant to Article 90(5) of the Markets in Financial Instruments Directive (MiFID II) (Directive (EU) 2014/65), as amended in February 2024&lt;/FMT&gt;"/>
    <w:docVar w:name="LW_TYPE.DOC.CP" w:val="REPORT FROM THE COMMISSION TO THE EUROPEAN PARLIAMENT AND THE COUNCIL"/>
    <w:docVar w:name="LwApiVersions" w:val="LW4CoDe 1.24.5.0; LW 9.2, Build 20251112"/>
  </w:docVars>
  <w:rsids>
    <w:rsidRoot w:val="00F351E6"/>
    <w:rsid w:val="000000D3"/>
    <w:rsid w:val="0000024D"/>
    <w:rsid w:val="000003E4"/>
    <w:rsid w:val="00000637"/>
    <w:rsid w:val="00000BF4"/>
    <w:rsid w:val="00000E4C"/>
    <w:rsid w:val="00000EB7"/>
    <w:rsid w:val="00000F77"/>
    <w:rsid w:val="0000119B"/>
    <w:rsid w:val="0000132B"/>
    <w:rsid w:val="0000187D"/>
    <w:rsid w:val="00001BE1"/>
    <w:rsid w:val="00001E3D"/>
    <w:rsid w:val="00001E70"/>
    <w:rsid w:val="00002122"/>
    <w:rsid w:val="000027E4"/>
    <w:rsid w:val="000029B3"/>
    <w:rsid w:val="00002B5B"/>
    <w:rsid w:val="0000301F"/>
    <w:rsid w:val="00003117"/>
    <w:rsid w:val="000031D3"/>
    <w:rsid w:val="000031F9"/>
    <w:rsid w:val="0000328B"/>
    <w:rsid w:val="000037B1"/>
    <w:rsid w:val="00003A20"/>
    <w:rsid w:val="00003BAE"/>
    <w:rsid w:val="00003C4B"/>
    <w:rsid w:val="00004440"/>
    <w:rsid w:val="000047F2"/>
    <w:rsid w:val="00004B55"/>
    <w:rsid w:val="00005120"/>
    <w:rsid w:val="0000522C"/>
    <w:rsid w:val="000053C1"/>
    <w:rsid w:val="00005787"/>
    <w:rsid w:val="00005AAB"/>
    <w:rsid w:val="000061CF"/>
    <w:rsid w:val="000062A5"/>
    <w:rsid w:val="00006362"/>
    <w:rsid w:val="00006768"/>
    <w:rsid w:val="00006783"/>
    <w:rsid w:val="0000684C"/>
    <w:rsid w:val="000069AB"/>
    <w:rsid w:val="00006DA3"/>
    <w:rsid w:val="00007092"/>
    <w:rsid w:val="00007221"/>
    <w:rsid w:val="0000732E"/>
    <w:rsid w:val="0000755F"/>
    <w:rsid w:val="00007977"/>
    <w:rsid w:val="00007B34"/>
    <w:rsid w:val="00007BC5"/>
    <w:rsid w:val="00007CE0"/>
    <w:rsid w:val="00007DA4"/>
    <w:rsid w:val="00007DD2"/>
    <w:rsid w:val="00010376"/>
    <w:rsid w:val="00010817"/>
    <w:rsid w:val="0001088B"/>
    <w:rsid w:val="00010AB8"/>
    <w:rsid w:val="00010B49"/>
    <w:rsid w:val="00010C2F"/>
    <w:rsid w:val="00010D06"/>
    <w:rsid w:val="00010DA5"/>
    <w:rsid w:val="00010DAA"/>
    <w:rsid w:val="00010DF7"/>
    <w:rsid w:val="00010EEF"/>
    <w:rsid w:val="00010F60"/>
    <w:rsid w:val="0001101E"/>
    <w:rsid w:val="000111E3"/>
    <w:rsid w:val="00011286"/>
    <w:rsid w:val="000112DC"/>
    <w:rsid w:val="000112FA"/>
    <w:rsid w:val="0001142D"/>
    <w:rsid w:val="000115A9"/>
    <w:rsid w:val="00011A0F"/>
    <w:rsid w:val="00012102"/>
    <w:rsid w:val="0001215E"/>
    <w:rsid w:val="000121A6"/>
    <w:rsid w:val="000121AA"/>
    <w:rsid w:val="00012650"/>
    <w:rsid w:val="00012AE3"/>
    <w:rsid w:val="00012BF0"/>
    <w:rsid w:val="00012CE5"/>
    <w:rsid w:val="00012D2B"/>
    <w:rsid w:val="000133C1"/>
    <w:rsid w:val="0001344D"/>
    <w:rsid w:val="00013479"/>
    <w:rsid w:val="00013506"/>
    <w:rsid w:val="0001366C"/>
    <w:rsid w:val="000137BD"/>
    <w:rsid w:val="00013DCD"/>
    <w:rsid w:val="000146C4"/>
    <w:rsid w:val="00014719"/>
    <w:rsid w:val="00014999"/>
    <w:rsid w:val="00014B0D"/>
    <w:rsid w:val="00014B21"/>
    <w:rsid w:val="00014C42"/>
    <w:rsid w:val="00014D61"/>
    <w:rsid w:val="00015498"/>
    <w:rsid w:val="000155DD"/>
    <w:rsid w:val="00015788"/>
    <w:rsid w:val="0001585A"/>
    <w:rsid w:val="00015B37"/>
    <w:rsid w:val="00016427"/>
    <w:rsid w:val="00016478"/>
    <w:rsid w:val="000166B9"/>
    <w:rsid w:val="000167FF"/>
    <w:rsid w:val="00016932"/>
    <w:rsid w:val="00016BCC"/>
    <w:rsid w:val="00016C07"/>
    <w:rsid w:val="00016F3D"/>
    <w:rsid w:val="00017175"/>
    <w:rsid w:val="000172A8"/>
    <w:rsid w:val="00017857"/>
    <w:rsid w:val="00017A99"/>
    <w:rsid w:val="00017AC9"/>
    <w:rsid w:val="00017E6E"/>
    <w:rsid w:val="00017EEA"/>
    <w:rsid w:val="00020083"/>
    <w:rsid w:val="00020442"/>
    <w:rsid w:val="0002050F"/>
    <w:rsid w:val="000205CB"/>
    <w:rsid w:val="0002061E"/>
    <w:rsid w:val="00020716"/>
    <w:rsid w:val="00020745"/>
    <w:rsid w:val="00020BB1"/>
    <w:rsid w:val="00021027"/>
    <w:rsid w:val="00021114"/>
    <w:rsid w:val="00021164"/>
    <w:rsid w:val="000211B5"/>
    <w:rsid w:val="00021287"/>
    <w:rsid w:val="000213D3"/>
    <w:rsid w:val="000216E4"/>
    <w:rsid w:val="00021865"/>
    <w:rsid w:val="000218FD"/>
    <w:rsid w:val="000219CE"/>
    <w:rsid w:val="00021EAD"/>
    <w:rsid w:val="00022624"/>
    <w:rsid w:val="0002287D"/>
    <w:rsid w:val="0002299E"/>
    <w:rsid w:val="0002368B"/>
    <w:rsid w:val="000238FC"/>
    <w:rsid w:val="00023BE8"/>
    <w:rsid w:val="00023C69"/>
    <w:rsid w:val="00023CE7"/>
    <w:rsid w:val="00023F55"/>
    <w:rsid w:val="00024540"/>
    <w:rsid w:val="0002466D"/>
    <w:rsid w:val="00024792"/>
    <w:rsid w:val="0002487B"/>
    <w:rsid w:val="00025234"/>
    <w:rsid w:val="00025634"/>
    <w:rsid w:val="00025773"/>
    <w:rsid w:val="000258AE"/>
    <w:rsid w:val="00025A80"/>
    <w:rsid w:val="00026028"/>
    <w:rsid w:val="0002649E"/>
    <w:rsid w:val="000264EE"/>
    <w:rsid w:val="0002667C"/>
    <w:rsid w:val="000266C1"/>
    <w:rsid w:val="000269E6"/>
    <w:rsid w:val="00026A82"/>
    <w:rsid w:val="00026B8C"/>
    <w:rsid w:val="00026C8A"/>
    <w:rsid w:val="00026C9D"/>
    <w:rsid w:val="00026DF2"/>
    <w:rsid w:val="00026FB9"/>
    <w:rsid w:val="00027154"/>
    <w:rsid w:val="000271C1"/>
    <w:rsid w:val="00027203"/>
    <w:rsid w:val="00027846"/>
    <w:rsid w:val="00027BEA"/>
    <w:rsid w:val="00027E90"/>
    <w:rsid w:val="00027FC6"/>
    <w:rsid w:val="00030342"/>
    <w:rsid w:val="000304E0"/>
    <w:rsid w:val="000305AA"/>
    <w:rsid w:val="000305D2"/>
    <w:rsid w:val="00030787"/>
    <w:rsid w:val="00030974"/>
    <w:rsid w:val="00030ADD"/>
    <w:rsid w:val="000310A3"/>
    <w:rsid w:val="000313AB"/>
    <w:rsid w:val="00031569"/>
    <w:rsid w:val="0003192C"/>
    <w:rsid w:val="000319BD"/>
    <w:rsid w:val="00031A2A"/>
    <w:rsid w:val="00031B02"/>
    <w:rsid w:val="00031B32"/>
    <w:rsid w:val="00031B37"/>
    <w:rsid w:val="00031D13"/>
    <w:rsid w:val="0003225B"/>
    <w:rsid w:val="00032585"/>
    <w:rsid w:val="000325CD"/>
    <w:rsid w:val="00032916"/>
    <w:rsid w:val="00032E7C"/>
    <w:rsid w:val="00032E83"/>
    <w:rsid w:val="00033145"/>
    <w:rsid w:val="00033299"/>
    <w:rsid w:val="000334BB"/>
    <w:rsid w:val="0003354B"/>
    <w:rsid w:val="00033792"/>
    <w:rsid w:val="00033A30"/>
    <w:rsid w:val="00033BE4"/>
    <w:rsid w:val="00033EA0"/>
    <w:rsid w:val="00033EFA"/>
    <w:rsid w:val="00034477"/>
    <w:rsid w:val="00034E44"/>
    <w:rsid w:val="00034FF7"/>
    <w:rsid w:val="0003506E"/>
    <w:rsid w:val="00035102"/>
    <w:rsid w:val="000355CE"/>
    <w:rsid w:val="0003560E"/>
    <w:rsid w:val="00035725"/>
    <w:rsid w:val="00035B36"/>
    <w:rsid w:val="00035C4E"/>
    <w:rsid w:val="00035EF6"/>
    <w:rsid w:val="00035FD4"/>
    <w:rsid w:val="00036011"/>
    <w:rsid w:val="00036045"/>
    <w:rsid w:val="00036250"/>
    <w:rsid w:val="00036340"/>
    <w:rsid w:val="000363CA"/>
    <w:rsid w:val="00036576"/>
    <w:rsid w:val="00036A2C"/>
    <w:rsid w:val="00036A8F"/>
    <w:rsid w:val="00036AE9"/>
    <w:rsid w:val="000370AC"/>
    <w:rsid w:val="0003730A"/>
    <w:rsid w:val="000373C3"/>
    <w:rsid w:val="000378D6"/>
    <w:rsid w:val="00037DF7"/>
    <w:rsid w:val="00037FCA"/>
    <w:rsid w:val="00040061"/>
    <w:rsid w:val="00040488"/>
    <w:rsid w:val="00040666"/>
    <w:rsid w:val="00040972"/>
    <w:rsid w:val="00040C8A"/>
    <w:rsid w:val="00040DED"/>
    <w:rsid w:val="00041349"/>
    <w:rsid w:val="0004136A"/>
    <w:rsid w:val="0004144A"/>
    <w:rsid w:val="00041C59"/>
    <w:rsid w:val="00041FC2"/>
    <w:rsid w:val="000425AC"/>
    <w:rsid w:val="000425B3"/>
    <w:rsid w:val="00042667"/>
    <w:rsid w:val="00042780"/>
    <w:rsid w:val="00042C36"/>
    <w:rsid w:val="00042FAC"/>
    <w:rsid w:val="0004310E"/>
    <w:rsid w:val="00043331"/>
    <w:rsid w:val="00043354"/>
    <w:rsid w:val="0004341A"/>
    <w:rsid w:val="00043465"/>
    <w:rsid w:val="0004386A"/>
    <w:rsid w:val="00043F93"/>
    <w:rsid w:val="00044199"/>
    <w:rsid w:val="0004450D"/>
    <w:rsid w:val="00044C0E"/>
    <w:rsid w:val="00044C39"/>
    <w:rsid w:val="00044DAF"/>
    <w:rsid w:val="00044F25"/>
    <w:rsid w:val="00044F9A"/>
    <w:rsid w:val="00045099"/>
    <w:rsid w:val="00045100"/>
    <w:rsid w:val="0004519B"/>
    <w:rsid w:val="000451CC"/>
    <w:rsid w:val="00045496"/>
    <w:rsid w:val="000454F4"/>
    <w:rsid w:val="00045752"/>
    <w:rsid w:val="00045824"/>
    <w:rsid w:val="000458BF"/>
    <w:rsid w:val="00045E49"/>
    <w:rsid w:val="00045ECC"/>
    <w:rsid w:val="00046238"/>
    <w:rsid w:val="000463B6"/>
    <w:rsid w:val="000465FB"/>
    <w:rsid w:val="00046B58"/>
    <w:rsid w:val="00046B85"/>
    <w:rsid w:val="00046DC9"/>
    <w:rsid w:val="00046F0F"/>
    <w:rsid w:val="000472C4"/>
    <w:rsid w:val="0004741B"/>
    <w:rsid w:val="00047780"/>
    <w:rsid w:val="00047ABD"/>
    <w:rsid w:val="00047BA6"/>
    <w:rsid w:val="00047C2A"/>
    <w:rsid w:val="00047EBD"/>
    <w:rsid w:val="00047EDF"/>
    <w:rsid w:val="00050376"/>
    <w:rsid w:val="0005043A"/>
    <w:rsid w:val="00050462"/>
    <w:rsid w:val="00050618"/>
    <w:rsid w:val="00050F5B"/>
    <w:rsid w:val="00050FB2"/>
    <w:rsid w:val="000510E9"/>
    <w:rsid w:val="000512D3"/>
    <w:rsid w:val="00051317"/>
    <w:rsid w:val="00051641"/>
    <w:rsid w:val="000516A1"/>
    <w:rsid w:val="0005191C"/>
    <w:rsid w:val="00051D8D"/>
    <w:rsid w:val="00051EC9"/>
    <w:rsid w:val="00051EE5"/>
    <w:rsid w:val="00052007"/>
    <w:rsid w:val="000521AA"/>
    <w:rsid w:val="00052335"/>
    <w:rsid w:val="000529D2"/>
    <w:rsid w:val="00052A8F"/>
    <w:rsid w:val="00052B0E"/>
    <w:rsid w:val="00052DE8"/>
    <w:rsid w:val="00053135"/>
    <w:rsid w:val="00053385"/>
    <w:rsid w:val="00053547"/>
    <w:rsid w:val="000535B2"/>
    <w:rsid w:val="00053675"/>
    <w:rsid w:val="000536F6"/>
    <w:rsid w:val="00053730"/>
    <w:rsid w:val="0005381B"/>
    <w:rsid w:val="000539AF"/>
    <w:rsid w:val="00053BDF"/>
    <w:rsid w:val="00053F2C"/>
    <w:rsid w:val="00053FA1"/>
    <w:rsid w:val="000541B1"/>
    <w:rsid w:val="00054AC5"/>
    <w:rsid w:val="00054B0C"/>
    <w:rsid w:val="00054E99"/>
    <w:rsid w:val="00054FFA"/>
    <w:rsid w:val="0005504E"/>
    <w:rsid w:val="00055572"/>
    <w:rsid w:val="000557FF"/>
    <w:rsid w:val="00055D79"/>
    <w:rsid w:val="00055D85"/>
    <w:rsid w:val="00055EBC"/>
    <w:rsid w:val="00056377"/>
    <w:rsid w:val="00056784"/>
    <w:rsid w:val="00056A15"/>
    <w:rsid w:val="00056AA0"/>
    <w:rsid w:val="00056CF9"/>
    <w:rsid w:val="00056D6E"/>
    <w:rsid w:val="00056EFD"/>
    <w:rsid w:val="0005705B"/>
    <w:rsid w:val="00057136"/>
    <w:rsid w:val="00057166"/>
    <w:rsid w:val="000574BF"/>
    <w:rsid w:val="000577AD"/>
    <w:rsid w:val="00057872"/>
    <w:rsid w:val="00057ACD"/>
    <w:rsid w:val="00057C37"/>
    <w:rsid w:val="0006008C"/>
    <w:rsid w:val="000600F3"/>
    <w:rsid w:val="00060161"/>
    <w:rsid w:val="000603F8"/>
    <w:rsid w:val="00060456"/>
    <w:rsid w:val="00060458"/>
    <w:rsid w:val="00060507"/>
    <w:rsid w:val="00060535"/>
    <w:rsid w:val="0006068F"/>
    <w:rsid w:val="00060762"/>
    <w:rsid w:val="000608EB"/>
    <w:rsid w:val="00060BB6"/>
    <w:rsid w:val="00061045"/>
    <w:rsid w:val="0006105F"/>
    <w:rsid w:val="00061294"/>
    <w:rsid w:val="00061423"/>
    <w:rsid w:val="00061436"/>
    <w:rsid w:val="000615AD"/>
    <w:rsid w:val="0006171F"/>
    <w:rsid w:val="0006188A"/>
    <w:rsid w:val="000618E1"/>
    <w:rsid w:val="00061B26"/>
    <w:rsid w:val="00061C65"/>
    <w:rsid w:val="00062446"/>
    <w:rsid w:val="000626B4"/>
    <w:rsid w:val="000626FE"/>
    <w:rsid w:val="0006293E"/>
    <w:rsid w:val="00062C45"/>
    <w:rsid w:val="00062D7F"/>
    <w:rsid w:val="00062DE4"/>
    <w:rsid w:val="00062E20"/>
    <w:rsid w:val="00062EDC"/>
    <w:rsid w:val="000630E4"/>
    <w:rsid w:val="000633DD"/>
    <w:rsid w:val="000635B2"/>
    <w:rsid w:val="00063B10"/>
    <w:rsid w:val="00063B20"/>
    <w:rsid w:val="00063CA7"/>
    <w:rsid w:val="00063D7C"/>
    <w:rsid w:val="00063F65"/>
    <w:rsid w:val="0006401F"/>
    <w:rsid w:val="00064176"/>
    <w:rsid w:val="000643CD"/>
    <w:rsid w:val="000644CC"/>
    <w:rsid w:val="0006453A"/>
    <w:rsid w:val="00064598"/>
    <w:rsid w:val="000648BB"/>
    <w:rsid w:val="000649A9"/>
    <w:rsid w:val="00064BCF"/>
    <w:rsid w:val="00064D2B"/>
    <w:rsid w:val="0006536F"/>
    <w:rsid w:val="00065387"/>
    <w:rsid w:val="00065584"/>
    <w:rsid w:val="000655EF"/>
    <w:rsid w:val="00065A35"/>
    <w:rsid w:val="00065ACE"/>
    <w:rsid w:val="00065C4B"/>
    <w:rsid w:val="00065D2D"/>
    <w:rsid w:val="00065ED7"/>
    <w:rsid w:val="00066DB0"/>
    <w:rsid w:val="00067116"/>
    <w:rsid w:val="000671F1"/>
    <w:rsid w:val="0006744C"/>
    <w:rsid w:val="000678C6"/>
    <w:rsid w:val="0006799C"/>
    <w:rsid w:val="00067A8C"/>
    <w:rsid w:val="00067BFE"/>
    <w:rsid w:val="00067CD3"/>
    <w:rsid w:val="00067DC3"/>
    <w:rsid w:val="00067E60"/>
    <w:rsid w:val="00067EE1"/>
    <w:rsid w:val="00067F9D"/>
    <w:rsid w:val="00067FEB"/>
    <w:rsid w:val="00070244"/>
    <w:rsid w:val="00070698"/>
    <w:rsid w:val="000706A2"/>
    <w:rsid w:val="00070A7D"/>
    <w:rsid w:val="00070AB2"/>
    <w:rsid w:val="00070ACF"/>
    <w:rsid w:val="00070E42"/>
    <w:rsid w:val="00070F8C"/>
    <w:rsid w:val="000711D9"/>
    <w:rsid w:val="000715E3"/>
    <w:rsid w:val="00071888"/>
    <w:rsid w:val="00071A2B"/>
    <w:rsid w:val="00071D28"/>
    <w:rsid w:val="00071E23"/>
    <w:rsid w:val="00071E30"/>
    <w:rsid w:val="00071F12"/>
    <w:rsid w:val="00071F64"/>
    <w:rsid w:val="00071F7D"/>
    <w:rsid w:val="00072098"/>
    <w:rsid w:val="0007214F"/>
    <w:rsid w:val="000722A6"/>
    <w:rsid w:val="0007249B"/>
    <w:rsid w:val="000724FC"/>
    <w:rsid w:val="00072709"/>
    <w:rsid w:val="000727B8"/>
    <w:rsid w:val="00072844"/>
    <w:rsid w:val="00072D65"/>
    <w:rsid w:val="00072D80"/>
    <w:rsid w:val="00072D83"/>
    <w:rsid w:val="00072EA0"/>
    <w:rsid w:val="00072FA3"/>
    <w:rsid w:val="00072FFC"/>
    <w:rsid w:val="00073186"/>
    <w:rsid w:val="000738F2"/>
    <w:rsid w:val="00073D18"/>
    <w:rsid w:val="00073ED8"/>
    <w:rsid w:val="00073EF9"/>
    <w:rsid w:val="000743E0"/>
    <w:rsid w:val="00074873"/>
    <w:rsid w:val="00074ABB"/>
    <w:rsid w:val="00074DB1"/>
    <w:rsid w:val="0007556E"/>
    <w:rsid w:val="00075A13"/>
    <w:rsid w:val="0007622C"/>
    <w:rsid w:val="00076374"/>
    <w:rsid w:val="000766B5"/>
    <w:rsid w:val="00076781"/>
    <w:rsid w:val="0007683E"/>
    <w:rsid w:val="00076877"/>
    <w:rsid w:val="000769BB"/>
    <w:rsid w:val="00076ABE"/>
    <w:rsid w:val="00076D0D"/>
    <w:rsid w:val="00077043"/>
    <w:rsid w:val="00077317"/>
    <w:rsid w:val="00077745"/>
    <w:rsid w:val="00077D3A"/>
    <w:rsid w:val="00077EC6"/>
    <w:rsid w:val="0008005E"/>
    <w:rsid w:val="0008047F"/>
    <w:rsid w:val="00080515"/>
    <w:rsid w:val="00080779"/>
    <w:rsid w:val="000809CD"/>
    <w:rsid w:val="00080AB1"/>
    <w:rsid w:val="00080B10"/>
    <w:rsid w:val="00080B32"/>
    <w:rsid w:val="00080BBF"/>
    <w:rsid w:val="00080D72"/>
    <w:rsid w:val="00080E6D"/>
    <w:rsid w:val="00081133"/>
    <w:rsid w:val="0008119D"/>
    <w:rsid w:val="000811BB"/>
    <w:rsid w:val="00081686"/>
    <w:rsid w:val="0008173B"/>
    <w:rsid w:val="0008176C"/>
    <w:rsid w:val="000817BB"/>
    <w:rsid w:val="0008182B"/>
    <w:rsid w:val="000819A0"/>
    <w:rsid w:val="00081A25"/>
    <w:rsid w:val="00081AA5"/>
    <w:rsid w:val="00081B5F"/>
    <w:rsid w:val="000821B2"/>
    <w:rsid w:val="0008253D"/>
    <w:rsid w:val="000826E2"/>
    <w:rsid w:val="0008278E"/>
    <w:rsid w:val="0008285D"/>
    <w:rsid w:val="00082B20"/>
    <w:rsid w:val="00082F91"/>
    <w:rsid w:val="0008315F"/>
    <w:rsid w:val="0008328B"/>
    <w:rsid w:val="0008331A"/>
    <w:rsid w:val="00083943"/>
    <w:rsid w:val="00083E48"/>
    <w:rsid w:val="00084260"/>
    <w:rsid w:val="000847CF"/>
    <w:rsid w:val="00084BD9"/>
    <w:rsid w:val="00084DCE"/>
    <w:rsid w:val="00085566"/>
    <w:rsid w:val="000857DD"/>
    <w:rsid w:val="00085D22"/>
    <w:rsid w:val="00085EB7"/>
    <w:rsid w:val="00086583"/>
    <w:rsid w:val="000866E2"/>
    <w:rsid w:val="00086C88"/>
    <w:rsid w:val="00086D37"/>
    <w:rsid w:val="00086D59"/>
    <w:rsid w:val="00086DD0"/>
    <w:rsid w:val="00086E2A"/>
    <w:rsid w:val="00086E46"/>
    <w:rsid w:val="0008702F"/>
    <w:rsid w:val="0008710E"/>
    <w:rsid w:val="000875D8"/>
    <w:rsid w:val="000878C0"/>
    <w:rsid w:val="000878FC"/>
    <w:rsid w:val="00087918"/>
    <w:rsid w:val="0008791F"/>
    <w:rsid w:val="0009002C"/>
    <w:rsid w:val="00090104"/>
    <w:rsid w:val="0009017F"/>
    <w:rsid w:val="000907D6"/>
    <w:rsid w:val="0009082D"/>
    <w:rsid w:val="000909C2"/>
    <w:rsid w:val="00090BAE"/>
    <w:rsid w:val="00091082"/>
    <w:rsid w:val="000914BC"/>
    <w:rsid w:val="00091630"/>
    <w:rsid w:val="000916E2"/>
    <w:rsid w:val="00091831"/>
    <w:rsid w:val="00091D5A"/>
    <w:rsid w:val="00091D6A"/>
    <w:rsid w:val="00091E31"/>
    <w:rsid w:val="00091E61"/>
    <w:rsid w:val="00091F5E"/>
    <w:rsid w:val="0009246D"/>
    <w:rsid w:val="000926D4"/>
    <w:rsid w:val="00092753"/>
    <w:rsid w:val="000927FD"/>
    <w:rsid w:val="00092EEF"/>
    <w:rsid w:val="000933F9"/>
    <w:rsid w:val="000935E4"/>
    <w:rsid w:val="00093A10"/>
    <w:rsid w:val="00093AF2"/>
    <w:rsid w:val="00093B73"/>
    <w:rsid w:val="00093BF4"/>
    <w:rsid w:val="00093DC7"/>
    <w:rsid w:val="000943FF"/>
    <w:rsid w:val="000944D7"/>
    <w:rsid w:val="0009450D"/>
    <w:rsid w:val="0009455A"/>
    <w:rsid w:val="00094906"/>
    <w:rsid w:val="000949B8"/>
    <w:rsid w:val="00094A59"/>
    <w:rsid w:val="00094C17"/>
    <w:rsid w:val="00094E0C"/>
    <w:rsid w:val="000951C6"/>
    <w:rsid w:val="0009544E"/>
    <w:rsid w:val="0009549D"/>
    <w:rsid w:val="00095763"/>
    <w:rsid w:val="0009578D"/>
    <w:rsid w:val="00095911"/>
    <w:rsid w:val="00095A5E"/>
    <w:rsid w:val="00095ADA"/>
    <w:rsid w:val="00095DF2"/>
    <w:rsid w:val="00095E92"/>
    <w:rsid w:val="00096030"/>
    <w:rsid w:val="000962DC"/>
    <w:rsid w:val="00096333"/>
    <w:rsid w:val="00096507"/>
    <w:rsid w:val="000968E1"/>
    <w:rsid w:val="000969E7"/>
    <w:rsid w:val="00096AC3"/>
    <w:rsid w:val="00096B88"/>
    <w:rsid w:val="00096F10"/>
    <w:rsid w:val="0009722D"/>
    <w:rsid w:val="000972E1"/>
    <w:rsid w:val="000974D2"/>
    <w:rsid w:val="00097676"/>
    <w:rsid w:val="000976AF"/>
    <w:rsid w:val="000976EF"/>
    <w:rsid w:val="00097710"/>
    <w:rsid w:val="0009776F"/>
    <w:rsid w:val="0009780B"/>
    <w:rsid w:val="00097C7E"/>
    <w:rsid w:val="00097D00"/>
    <w:rsid w:val="000A0436"/>
    <w:rsid w:val="000A06E4"/>
    <w:rsid w:val="000A09FD"/>
    <w:rsid w:val="000A0C7B"/>
    <w:rsid w:val="000A0EB2"/>
    <w:rsid w:val="000A10FE"/>
    <w:rsid w:val="000A1537"/>
    <w:rsid w:val="000A1903"/>
    <w:rsid w:val="000A1C35"/>
    <w:rsid w:val="000A1E49"/>
    <w:rsid w:val="000A1F17"/>
    <w:rsid w:val="000A2205"/>
    <w:rsid w:val="000A24AB"/>
    <w:rsid w:val="000A2567"/>
    <w:rsid w:val="000A26D4"/>
    <w:rsid w:val="000A2947"/>
    <w:rsid w:val="000A2B26"/>
    <w:rsid w:val="000A2DE5"/>
    <w:rsid w:val="000A2E75"/>
    <w:rsid w:val="000A2F61"/>
    <w:rsid w:val="000A2F97"/>
    <w:rsid w:val="000A302A"/>
    <w:rsid w:val="000A3044"/>
    <w:rsid w:val="000A334D"/>
    <w:rsid w:val="000A37EF"/>
    <w:rsid w:val="000A38C7"/>
    <w:rsid w:val="000A3D3A"/>
    <w:rsid w:val="000A3DB6"/>
    <w:rsid w:val="000A3E75"/>
    <w:rsid w:val="000A3FB6"/>
    <w:rsid w:val="000A3FDB"/>
    <w:rsid w:val="000A4026"/>
    <w:rsid w:val="000A4484"/>
    <w:rsid w:val="000A4AC0"/>
    <w:rsid w:val="000A4DC6"/>
    <w:rsid w:val="000A4EF0"/>
    <w:rsid w:val="000A5031"/>
    <w:rsid w:val="000A5143"/>
    <w:rsid w:val="000A520F"/>
    <w:rsid w:val="000A5269"/>
    <w:rsid w:val="000A541C"/>
    <w:rsid w:val="000A54A8"/>
    <w:rsid w:val="000A5551"/>
    <w:rsid w:val="000A59F6"/>
    <w:rsid w:val="000A5B31"/>
    <w:rsid w:val="000A5C9D"/>
    <w:rsid w:val="000A5D76"/>
    <w:rsid w:val="000A5DC8"/>
    <w:rsid w:val="000A62D3"/>
    <w:rsid w:val="000A632D"/>
    <w:rsid w:val="000A6592"/>
    <w:rsid w:val="000A6824"/>
    <w:rsid w:val="000A682C"/>
    <w:rsid w:val="000A6832"/>
    <w:rsid w:val="000A6900"/>
    <w:rsid w:val="000A6941"/>
    <w:rsid w:val="000A6D2D"/>
    <w:rsid w:val="000A6E9E"/>
    <w:rsid w:val="000A70CB"/>
    <w:rsid w:val="000A7350"/>
    <w:rsid w:val="000A77BB"/>
    <w:rsid w:val="000A784A"/>
    <w:rsid w:val="000B0180"/>
    <w:rsid w:val="000B03CE"/>
    <w:rsid w:val="000B05D4"/>
    <w:rsid w:val="000B06B5"/>
    <w:rsid w:val="000B07B5"/>
    <w:rsid w:val="000B0821"/>
    <w:rsid w:val="000B08AF"/>
    <w:rsid w:val="000B09E7"/>
    <w:rsid w:val="000B0C16"/>
    <w:rsid w:val="000B0E08"/>
    <w:rsid w:val="000B0E93"/>
    <w:rsid w:val="000B0FAF"/>
    <w:rsid w:val="000B1124"/>
    <w:rsid w:val="000B1156"/>
    <w:rsid w:val="000B1420"/>
    <w:rsid w:val="000B1426"/>
    <w:rsid w:val="000B17D1"/>
    <w:rsid w:val="000B191C"/>
    <w:rsid w:val="000B1B00"/>
    <w:rsid w:val="000B1B43"/>
    <w:rsid w:val="000B1BDA"/>
    <w:rsid w:val="000B1D18"/>
    <w:rsid w:val="000B1D4A"/>
    <w:rsid w:val="000B1E6B"/>
    <w:rsid w:val="000B2020"/>
    <w:rsid w:val="000B215E"/>
    <w:rsid w:val="000B25A3"/>
    <w:rsid w:val="000B2B21"/>
    <w:rsid w:val="000B2BCD"/>
    <w:rsid w:val="000B3129"/>
    <w:rsid w:val="000B3249"/>
    <w:rsid w:val="000B37E5"/>
    <w:rsid w:val="000B37EF"/>
    <w:rsid w:val="000B3816"/>
    <w:rsid w:val="000B3A04"/>
    <w:rsid w:val="000B3AB1"/>
    <w:rsid w:val="000B3B6A"/>
    <w:rsid w:val="000B3EB2"/>
    <w:rsid w:val="000B3F27"/>
    <w:rsid w:val="000B4015"/>
    <w:rsid w:val="000B42A5"/>
    <w:rsid w:val="000B458D"/>
    <w:rsid w:val="000B470E"/>
    <w:rsid w:val="000B4876"/>
    <w:rsid w:val="000B4B8A"/>
    <w:rsid w:val="000B5340"/>
    <w:rsid w:val="000B53A9"/>
    <w:rsid w:val="000B57FD"/>
    <w:rsid w:val="000B583F"/>
    <w:rsid w:val="000B5AB2"/>
    <w:rsid w:val="000B5B4D"/>
    <w:rsid w:val="000B5F61"/>
    <w:rsid w:val="000B62C4"/>
    <w:rsid w:val="000B6753"/>
    <w:rsid w:val="000B6F3D"/>
    <w:rsid w:val="000B708A"/>
    <w:rsid w:val="000B728A"/>
    <w:rsid w:val="000B7330"/>
    <w:rsid w:val="000B75B1"/>
    <w:rsid w:val="000B77CB"/>
    <w:rsid w:val="000B789A"/>
    <w:rsid w:val="000B7A90"/>
    <w:rsid w:val="000B7BD1"/>
    <w:rsid w:val="000B7D0A"/>
    <w:rsid w:val="000B7FB0"/>
    <w:rsid w:val="000C0071"/>
    <w:rsid w:val="000C0653"/>
    <w:rsid w:val="000C0B23"/>
    <w:rsid w:val="000C0C0E"/>
    <w:rsid w:val="000C130B"/>
    <w:rsid w:val="000C1747"/>
    <w:rsid w:val="000C1900"/>
    <w:rsid w:val="000C196D"/>
    <w:rsid w:val="000C1A4A"/>
    <w:rsid w:val="000C22D2"/>
    <w:rsid w:val="000C2467"/>
    <w:rsid w:val="000C25DD"/>
    <w:rsid w:val="000C2ED2"/>
    <w:rsid w:val="000C3275"/>
    <w:rsid w:val="000C3366"/>
    <w:rsid w:val="000C3720"/>
    <w:rsid w:val="000C3B2B"/>
    <w:rsid w:val="000C3B69"/>
    <w:rsid w:val="000C3C4E"/>
    <w:rsid w:val="000C3E23"/>
    <w:rsid w:val="000C3EC7"/>
    <w:rsid w:val="000C418D"/>
    <w:rsid w:val="000C42DB"/>
    <w:rsid w:val="000C430F"/>
    <w:rsid w:val="000C46F6"/>
    <w:rsid w:val="000C4733"/>
    <w:rsid w:val="000C478D"/>
    <w:rsid w:val="000C4BDB"/>
    <w:rsid w:val="000C50B6"/>
    <w:rsid w:val="000C53CF"/>
    <w:rsid w:val="000C5455"/>
    <w:rsid w:val="000C54EF"/>
    <w:rsid w:val="000C55D4"/>
    <w:rsid w:val="000C56AA"/>
    <w:rsid w:val="000C57A1"/>
    <w:rsid w:val="000C5AFB"/>
    <w:rsid w:val="000C5BA0"/>
    <w:rsid w:val="000C5CC1"/>
    <w:rsid w:val="000C5CCE"/>
    <w:rsid w:val="000C5CD1"/>
    <w:rsid w:val="000C5D9A"/>
    <w:rsid w:val="000C6044"/>
    <w:rsid w:val="000C6114"/>
    <w:rsid w:val="000C645E"/>
    <w:rsid w:val="000C650E"/>
    <w:rsid w:val="000C6693"/>
    <w:rsid w:val="000C6896"/>
    <w:rsid w:val="000C6BA9"/>
    <w:rsid w:val="000C6C5C"/>
    <w:rsid w:val="000C6D3F"/>
    <w:rsid w:val="000C6DCD"/>
    <w:rsid w:val="000C6E9B"/>
    <w:rsid w:val="000C7153"/>
    <w:rsid w:val="000C7517"/>
    <w:rsid w:val="000C7908"/>
    <w:rsid w:val="000C7C9D"/>
    <w:rsid w:val="000C7E4C"/>
    <w:rsid w:val="000C7EA0"/>
    <w:rsid w:val="000D00D4"/>
    <w:rsid w:val="000D01D8"/>
    <w:rsid w:val="000D02A4"/>
    <w:rsid w:val="000D05C1"/>
    <w:rsid w:val="000D0722"/>
    <w:rsid w:val="000D0A34"/>
    <w:rsid w:val="000D0F3D"/>
    <w:rsid w:val="000D1377"/>
    <w:rsid w:val="000D164A"/>
    <w:rsid w:val="000D1710"/>
    <w:rsid w:val="000D171C"/>
    <w:rsid w:val="000D17CE"/>
    <w:rsid w:val="000D19CA"/>
    <w:rsid w:val="000D1A66"/>
    <w:rsid w:val="000D1BA4"/>
    <w:rsid w:val="000D1F15"/>
    <w:rsid w:val="000D23EA"/>
    <w:rsid w:val="000D242B"/>
    <w:rsid w:val="000D2AF3"/>
    <w:rsid w:val="000D2C11"/>
    <w:rsid w:val="000D2E79"/>
    <w:rsid w:val="000D2F30"/>
    <w:rsid w:val="000D2F46"/>
    <w:rsid w:val="000D2F5E"/>
    <w:rsid w:val="000D30A8"/>
    <w:rsid w:val="000D3131"/>
    <w:rsid w:val="000D337C"/>
    <w:rsid w:val="000D339A"/>
    <w:rsid w:val="000D37C5"/>
    <w:rsid w:val="000D381A"/>
    <w:rsid w:val="000D3878"/>
    <w:rsid w:val="000D3BB8"/>
    <w:rsid w:val="000D3F7B"/>
    <w:rsid w:val="000D403E"/>
    <w:rsid w:val="000D411E"/>
    <w:rsid w:val="000D4123"/>
    <w:rsid w:val="000D451D"/>
    <w:rsid w:val="000D4977"/>
    <w:rsid w:val="000D4E24"/>
    <w:rsid w:val="000D53A6"/>
    <w:rsid w:val="000D5741"/>
    <w:rsid w:val="000D575F"/>
    <w:rsid w:val="000D5838"/>
    <w:rsid w:val="000D5D9F"/>
    <w:rsid w:val="000D5DE9"/>
    <w:rsid w:val="000D62D1"/>
    <w:rsid w:val="000D6542"/>
    <w:rsid w:val="000D667F"/>
    <w:rsid w:val="000D6ACB"/>
    <w:rsid w:val="000D6BAE"/>
    <w:rsid w:val="000D6C6C"/>
    <w:rsid w:val="000D733A"/>
    <w:rsid w:val="000D739C"/>
    <w:rsid w:val="000D74C2"/>
    <w:rsid w:val="000D7720"/>
    <w:rsid w:val="000D7A02"/>
    <w:rsid w:val="000D7AC7"/>
    <w:rsid w:val="000D7DF7"/>
    <w:rsid w:val="000D7EF6"/>
    <w:rsid w:val="000E038A"/>
    <w:rsid w:val="000E03DB"/>
    <w:rsid w:val="000E03F6"/>
    <w:rsid w:val="000E0501"/>
    <w:rsid w:val="000E0540"/>
    <w:rsid w:val="000E07C3"/>
    <w:rsid w:val="000E0CBA"/>
    <w:rsid w:val="000E0D5E"/>
    <w:rsid w:val="000E10D3"/>
    <w:rsid w:val="000E14CE"/>
    <w:rsid w:val="000E15C4"/>
    <w:rsid w:val="000E18B7"/>
    <w:rsid w:val="000E1A1E"/>
    <w:rsid w:val="000E1D5F"/>
    <w:rsid w:val="000E1E50"/>
    <w:rsid w:val="000E1E8D"/>
    <w:rsid w:val="000E1F4A"/>
    <w:rsid w:val="000E1F67"/>
    <w:rsid w:val="000E2099"/>
    <w:rsid w:val="000E20B4"/>
    <w:rsid w:val="000E20BB"/>
    <w:rsid w:val="000E2167"/>
    <w:rsid w:val="000E217D"/>
    <w:rsid w:val="000E22AA"/>
    <w:rsid w:val="000E2484"/>
    <w:rsid w:val="000E2B2E"/>
    <w:rsid w:val="000E2EC2"/>
    <w:rsid w:val="000E30E2"/>
    <w:rsid w:val="000E329B"/>
    <w:rsid w:val="000E33A0"/>
    <w:rsid w:val="000E3660"/>
    <w:rsid w:val="000E36BB"/>
    <w:rsid w:val="000E42BA"/>
    <w:rsid w:val="000E43F4"/>
    <w:rsid w:val="000E4412"/>
    <w:rsid w:val="000E44A6"/>
    <w:rsid w:val="000E4672"/>
    <w:rsid w:val="000E4B55"/>
    <w:rsid w:val="000E4EC9"/>
    <w:rsid w:val="000E5023"/>
    <w:rsid w:val="000E51C4"/>
    <w:rsid w:val="000E5212"/>
    <w:rsid w:val="000E53EA"/>
    <w:rsid w:val="000E56C1"/>
    <w:rsid w:val="000E56FF"/>
    <w:rsid w:val="000E599C"/>
    <w:rsid w:val="000E59E8"/>
    <w:rsid w:val="000E5D6A"/>
    <w:rsid w:val="000E5E85"/>
    <w:rsid w:val="000E6BFB"/>
    <w:rsid w:val="000E6CD8"/>
    <w:rsid w:val="000E6F18"/>
    <w:rsid w:val="000E7324"/>
    <w:rsid w:val="000E7436"/>
    <w:rsid w:val="000E74BC"/>
    <w:rsid w:val="000E7739"/>
    <w:rsid w:val="000E79DF"/>
    <w:rsid w:val="000E7A5F"/>
    <w:rsid w:val="000E7C06"/>
    <w:rsid w:val="000E7C9B"/>
    <w:rsid w:val="000E7E01"/>
    <w:rsid w:val="000F0265"/>
    <w:rsid w:val="000F0942"/>
    <w:rsid w:val="000F0AE3"/>
    <w:rsid w:val="000F0B48"/>
    <w:rsid w:val="000F104B"/>
    <w:rsid w:val="000F1460"/>
    <w:rsid w:val="000F14E5"/>
    <w:rsid w:val="000F1516"/>
    <w:rsid w:val="000F164C"/>
    <w:rsid w:val="000F1690"/>
    <w:rsid w:val="000F16DE"/>
    <w:rsid w:val="000F1708"/>
    <w:rsid w:val="000F1759"/>
    <w:rsid w:val="000F1A15"/>
    <w:rsid w:val="000F1A80"/>
    <w:rsid w:val="000F1DA4"/>
    <w:rsid w:val="000F1FCF"/>
    <w:rsid w:val="000F223C"/>
    <w:rsid w:val="000F22AE"/>
    <w:rsid w:val="000F2315"/>
    <w:rsid w:val="000F25BA"/>
    <w:rsid w:val="000F2B6F"/>
    <w:rsid w:val="000F2CC5"/>
    <w:rsid w:val="000F3023"/>
    <w:rsid w:val="000F305B"/>
    <w:rsid w:val="000F30B7"/>
    <w:rsid w:val="000F3330"/>
    <w:rsid w:val="000F3482"/>
    <w:rsid w:val="000F348D"/>
    <w:rsid w:val="000F3797"/>
    <w:rsid w:val="000F3BDD"/>
    <w:rsid w:val="000F3CDB"/>
    <w:rsid w:val="000F3D3C"/>
    <w:rsid w:val="000F3F57"/>
    <w:rsid w:val="000F412A"/>
    <w:rsid w:val="000F4445"/>
    <w:rsid w:val="000F44E8"/>
    <w:rsid w:val="000F4519"/>
    <w:rsid w:val="000F4608"/>
    <w:rsid w:val="000F4D90"/>
    <w:rsid w:val="000F4E56"/>
    <w:rsid w:val="000F4E5F"/>
    <w:rsid w:val="000F5096"/>
    <w:rsid w:val="000F54C8"/>
    <w:rsid w:val="000F5650"/>
    <w:rsid w:val="000F5756"/>
    <w:rsid w:val="000F5938"/>
    <w:rsid w:val="000F5981"/>
    <w:rsid w:val="000F5986"/>
    <w:rsid w:val="000F5DE9"/>
    <w:rsid w:val="000F5F17"/>
    <w:rsid w:val="000F5F99"/>
    <w:rsid w:val="000F5FEB"/>
    <w:rsid w:val="000F6367"/>
    <w:rsid w:val="000F652F"/>
    <w:rsid w:val="000F6668"/>
    <w:rsid w:val="000F6A00"/>
    <w:rsid w:val="000F6D32"/>
    <w:rsid w:val="000F6D76"/>
    <w:rsid w:val="000F76FD"/>
    <w:rsid w:val="000F775B"/>
    <w:rsid w:val="000F77F3"/>
    <w:rsid w:val="000F7D3E"/>
    <w:rsid w:val="000F7DAD"/>
    <w:rsid w:val="001000B7"/>
    <w:rsid w:val="001001A0"/>
    <w:rsid w:val="001002A9"/>
    <w:rsid w:val="00100374"/>
    <w:rsid w:val="001005E4"/>
    <w:rsid w:val="00100890"/>
    <w:rsid w:val="00100F53"/>
    <w:rsid w:val="00101934"/>
    <w:rsid w:val="00101C54"/>
    <w:rsid w:val="00101DFD"/>
    <w:rsid w:val="00101EAB"/>
    <w:rsid w:val="00101EC3"/>
    <w:rsid w:val="00101F6E"/>
    <w:rsid w:val="00102069"/>
    <w:rsid w:val="001020A5"/>
    <w:rsid w:val="00102162"/>
    <w:rsid w:val="00102235"/>
    <w:rsid w:val="0010232A"/>
    <w:rsid w:val="00102469"/>
    <w:rsid w:val="00102658"/>
    <w:rsid w:val="00102B0E"/>
    <w:rsid w:val="00102BFF"/>
    <w:rsid w:val="00103040"/>
    <w:rsid w:val="00103424"/>
    <w:rsid w:val="0010360F"/>
    <w:rsid w:val="0010369F"/>
    <w:rsid w:val="001036B1"/>
    <w:rsid w:val="001037B6"/>
    <w:rsid w:val="00103A27"/>
    <w:rsid w:val="00103EF9"/>
    <w:rsid w:val="00104316"/>
    <w:rsid w:val="0010483D"/>
    <w:rsid w:val="001048D7"/>
    <w:rsid w:val="001049B2"/>
    <w:rsid w:val="001049DF"/>
    <w:rsid w:val="00104ADA"/>
    <w:rsid w:val="00104C8F"/>
    <w:rsid w:val="00104CE2"/>
    <w:rsid w:val="00104E83"/>
    <w:rsid w:val="00104F42"/>
    <w:rsid w:val="00105575"/>
    <w:rsid w:val="001055F2"/>
    <w:rsid w:val="001056A9"/>
    <w:rsid w:val="00105B48"/>
    <w:rsid w:val="00105E2B"/>
    <w:rsid w:val="00105F5C"/>
    <w:rsid w:val="00105FE4"/>
    <w:rsid w:val="001063D8"/>
    <w:rsid w:val="001064C5"/>
    <w:rsid w:val="00106996"/>
    <w:rsid w:val="00106A0D"/>
    <w:rsid w:val="00106AE3"/>
    <w:rsid w:val="00106E00"/>
    <w:rsid w:val="00106F52"/>
    <w:rsid w:val="00106F7D"/>
    <w:rsid w:val="00107332"/>
    <w:rsid w:val="0010753D"/>
    <w:rsid w:val="001075FD"/>
    <w:rsid w:val="001079A1"/>
    <w:rsid w:val="001079AE"/>
    <w:rsid w:val="00107A36"/>
    <w:rsid w:val="00107CA9"/>
    <w:rsid w:val="001104E8"/>
    <w:rsid w:val="001105D7"/>
    <w:rsid w:val="001105E0"/>
    <w:rsid w:val="001105F9"/>
    <w:rsid w:val="00110A66"/>
    <w:rsid w:val="00110D9D"/>
    <w:rsid w:val="00110E79"/>
    <w:rsid w:val="00110F34"/>
    <w:rsid w:val="001110BF"/>
    <w:rsid w:val="00111377"/>
    <w:rsid w:val="001113B9"/>
    <w:rsid w:val="0011161E"/>
    <w:rsid w:val="00111864"/>
    <w:rsid w:val="00111C42"/>
    <w:rsid w:val="00111C47"/>
    <w:rsid w:val="00111F74"/>
    <w:rsid w:val="001121D3"/>
    <w:rsid w:val="001124BB"/>
    <w:rsid w:val="001124DA"/>
    <w:rsid w:val="0011265F"/>
    <w:rsid w:val="001126CE"/>
    <w:rsid w:val="00112981"/>
    <w:rsid w:val="00112B3C"/>
    <w:rsid w:val="001131F1"/>
    <w:rsid w:val="001132A2"/>
    <w:rsid w:val="001132EA"/>
    <w:rsid w:val="0011350B"/>
    <w:rsid w:val="00113BAC"/>
    <w:rsid w:val="00113C3F"/>
    <w:rsid w:val="00113CE8"/>
    <w:rsid w:val="00113E65"/>
    <w:rsid w:val="0011428E"/>
    <w:rsid w:val="001143FF"/>
    <w:rsid w:val="0011475E"/>
    <w:rsid w:val="0011487F"/>
    <w:rsid w:val="00114A56"/>
    <w:rsid w:val="00114AA0"/>
    <w:rsid w:val="00114B21"/>
    <w:rsid w:val="00114B7C"/>
    <w:rsid w:val="00114C32"/>
    <w:rsid w:val="00114DDD"/>
    <w:rsid w:val="00114E45"/>
    <w:rsid w:val="00114EDB"/>
    <w:rsid w:val="00114F3A"/>
    <w:rsid w:val="00115022"/>
    <w:rsid w:val="00115329"/>
    <w:rsid w:val="001153A1"/>
    <w:rsid w:val="00115547"/>
    <w:rsid w:val="001155BD"/>
    <w:rsid w:val="00115626"/>
    <w:rsid w:val="00115931"/>
    <w:rsid w:val="00115AB8"/>
    <w:rsid w:val="00115B84"/>
    <w:rsid w:val="00115CB0"/>
    <w:rsid w:val="00116009"/>
    <w:rsid w:val="00116114"/>
    <w:rsid w:val="001166AC"/>
    <w:rsid w:val="001167F8"/>
    <w:rsid w:val="00116812"/>
    <w:rsid w:val="00116A69"/>
    <w:rsid w:val="00116D43"/>
    <w:rsid w:val="00117460"/>
    <w:rsid w:val="00117705"/>
    <w:rsid w:val="00117AEA"/>
    <w:rsid w:val="00117B3B"/>
    <w:rsid w:val="00117CAD"/>
    <w:rsid w:val="00117E12"/>
    <w:rsid w:val="00117F0E"/>
    <w:rsid w:val="0012006B"/>
    <w:rsid w:val="001200D2"/>
    <w:rsid w:val="00120165"/>
    <w:rsid w:val="00120239"/>
    <w:rsid w:val="001209DF"/>
    <w:rsid w:val="00120C44"/>
    <w:rsid w:val="00120CE5"/>
    <w:rsid w:val="0012100E"/>
    <w:rsid w:val="001210DC"/>
    <w:rsid w:val="001211CF"/>
    <w:rsid w:val="001212B4"/>
    <w:rsid w:val="0012154F"/>
    <w:rsid w:val="00121F86"/>
    <w:rsid w:val="00122116"/>
    <w:rsid w:val="00122248"/>
    <w:rsid w:val="0012225A"/>
    <w:rsid w:val="0012230E"/>
    <w:rsid w:val="00122A0A"/>
    <w:rsid w:val="00122C7A"/>
    <w:rsid w:val="00122E90"/>
    <w:rsid w:val="00122F1D"/>
    <w:rsid w:val="0012325F"/>
    <w:rsid w:val="001232D6"/>
    <w:rsid w:val="001235CD"/>
    <w:rsid w:val="00123875"/>
    <w:rsid w:val="00123F61"/>
    <w:rsid w:val="00123FBF"/>
    <w:rsid w:val="00123FE3"/>
    <w:rsid w:val="0012407A"/>
    <w:rsid w:val="0012419C"/>
    <w:rsid w:val="0012464C"/>
    <w:rsid w:val="0012470A"/>
    <w:rsid w:val="00124B56"/>
    <w:rsid w:val="00124B64"/>
    <w:rsid w:val="001253BB"/>
    <w:rsid w:val="0012557A"/>
    <w:rsid w:val="001256DF"/>
    <w:rsid w:val="001257A5"/>
    <w:rsid w:val="00125A75"/>
    <w:rsid w:val="00126434"/>
    <w:rsid w:val="0012643F"/>
    <w:rsid w:val="001264AA"/>
    <w:rsid w:val="001265A0"/>
    <w:rsid w:val="0012664A"/>
    <w:rsid w:val="001267FE"/>
    <w:rsid w:val="001268D8"/>
    <w:rsid w:val="00126A42"/>
    <w:rsid w:val="00126C78"/>
    <w:rsid w:val="00126E5B"/>
    <w:rsid w:val="00127581"/>
    <w:rsid w:val="00127600"/>
    <w:rsid w:val="00127B8F"/>
    <w:rsid w:val="00127E05"/>
    <w:rsid w:val="00127F58"/>
    <w:rsid w:val="00127FB7"/>
    <w:rsid w:val="00127FD6"/>
    <w:rsid w:val="0013005A"/>
    <w:rsid w:val="0013048E"/>
    <w:rsid w:val="00130758"/>
    <w:rsid w:val="00130A76"/>
    <w:rsid w:val="00131047"/>
    <w:rsid w:val="00131085"/>
    <w:rsid w:val="00131196"/>
    <w:rsid w:val="001311A4"/>
    <w:rsid w:val="001311FC"/>
    <w:rsid w:val="0013149F"/>
    <w:rsid w:val="0013178D"/>
    <w:rsid w:val="001318FA"/>
    <w:rsid w:val="00131BB0"/>
    <w:rsid w:val="00131C59"/>
    <w:rsid w:val="001325B5"/>
    <w:rsid w:val="00132704"/>
    <w:rsid w:val="0013297F"/>
    <w:rsid w:val="00132B1D"/>
    <w:rsid w:val="00132BEA"/>
    <w:rsid w:val="00132D6B"/>
    <w:rsid w:val="00132D9D"/>
    <w:rsid w:val="00133164"/>
    <w:rsid w:val="0013319A"/>
    <w:rsid w:val="001333B7"/>
    <w:rsid w:val="001333E0"/>
    <w:rsid w:val="00133653"/>
    <w:rsid w:val="0013369D"/>
    <w:rsid w:val="00133E27"/>
    <w:rsid w:val="00133ED0"/>
    <w:rsid w:val="00134149"/>
    <w:rsid w:val="00134433"/>
    <w:rsid w:val="00134605"/>
    <w:rsid w:val="00134623"/>
    <w:rsid w:val="0013498B"/>
    <w:rsid w:val="00134D77"/>
    <w:rsid w:val="00134DDC"/>
    <w:rsid w:val="001352D8"/>
    <w:rsid w:val="00135315"/>
    <w:rsid w:val="0013532B"/>
    <w:rsid w:val="00135399"/>
    <w:rsid w:val="001353B8"/>
    <w:rsid w:val="00135533"/>
    <w:rsid w:val="001355C4"/>
    <w:rsid w:val="0013564A"/>
    <w:rsid w:val="001356C8"/>
    <w:rsid w:val="001359C3"/>
    <w:rsid w:val="00135A20"/>
    <w:rsid w:val="00135D9F"/>
    <w:rsid w:val="00135DFC"/>
    <w:rsid w:val="00135F12"/>
    <w:rsid w:val="00135F44"/>
    <w:rsid w:val="00136102"/>
    <w:rsid w:val="00136144"/>
    <w:rsid w:val="0013627B"/>
    <w:rsid w:val="001362AF"/>
    <w:rsid w:val="0013644E"/>
    <w:rsid w:val="0013650F"/>
    <w:rsid w:val="0013659A"/>
    <w:rsid w:val="00136731"/>
    <w:rsid w:val="0013685E"/>
    <w:rsid w:val="001368B4"/>
    <w:rsid w:val="0013693C"/>
    <w:rsid w:val="00136966"/>
    <w:rsid w:val="00136C56"/>
    <w:rsid w:val="00136C9E"/>
    <w:rsid w:val="0013719B"/>
    <w:rsid w:val="001373B3"/>
    <w:rsid w:val="0013743F"/>
    <w:rsid w:val="00137473"/>
    <w:rsid w:val="001375A1"/>
    <w:rsid w:val="001378C8"/>
    <w:rsid w:val="001378F5"/>
    <w:rsid w:val="00137F82"/>
    <w:rsid w:val="0014003E"/>
    <w:rsid w:val="001400CE"/>
    <w:rsid w:val="00140281"/>
    <w:rsid w:val="00140290"/>
    <w:rsid w:val="00140295"/>
    <w:rsid w:val="0014030C"/>
    <w:rsid w:val="001403E4"/>
    <w:rsid w:val="0014053E"/>
    <w:rsid w:val="00140555"/>
    <w:rsid w:val="001405DF"/>
    <w:rsid w:val="00140727"/>
    <w:rsid w:val="00140894"/>
    <w:rsid w:val="00140920"/>
    <w:rsid w:val="0014095A"/>
    <w:rsid w:val="00140B37"/>
    <w:rsid w:val="00140BF7"/>
    <w:rsid w:val="00140E2A"/>
    <w:rsid w:val="00140EB5"/>
    <w:rsid w:val="00141460"/>
    <w:rsid w:val="001416CB"/>
    <w:rsid w:val="001418F0"/>
    <w:rsid w:val="001419D0"/>
    <w:rsid w:val="00141B07"/>
    <w:rsid w:val="00141E1A"/>
    <w:rsid w:val="00141E67"/>
    <w:rsid w:val="00142084"/>
    <w:rsid w:val="001421F5"/>
    <w:rsid w:val="00142607"/>
    <w:rsid w:val="0014272F"/>
    <w:rsid w:val="001428A1"/>
    <w:rsid w:val="00142A84"/>
    <w:rsid w:val="00142B0B"/>
    <w:rsid w:val="00142C58"/>
    <w:rsid w:val="00142D4E"/>
    <w:rsid w:val="00142EBC"/>
    <w:rsid w:val="00142EBE"/>
    <w:rsid w:val="00143129"/>
    <w:rsid w:val="00143204"/>
    <w:rsid w:val="00143239"/>
    <w:rsid w:val="0014324F"/>
    <w:rsid w:val="001433EB"/>
    <w:rsid w:val="001434AC"/>
    <w:rsid w:val="0014352C"/>
    <w:rsid w:val="00143680"/>
    <w:rsid w:val="00143C53"/>
    <w:rsid w:val="00143EF3"/>
    <w:rsid w:val="00143F4D"/>
    <w:rsid w:val="001440AF"/>
    <w:rsid w:val="0014436C"/>
    <w:rsid w:val="0014440F"/>
    <w:rsid w:val="00144562"/>
    <w:rsid w:val="00144627"/>
    <w:rsid w:val="00144683"/>
    <w:rsid w:val="00144797"/>
    <w:rsid w:val="001447F5"/>
    <w:rsid w:val="001449EA"/>
    <w:rsid w:val="00144A9B"/>
    <w:rsid w:val="00144BB7"/>
    <w:rsid w:val="001450BC"/>
    <w:rsid w:val="00145315"/>
    <w:rsid w:val="00145545"/>
    <w:rsid w:val="00145A3E"/>
    <w:rsid w:val="00145C14"/>
    <w:rsid w:val="00145C9F"/>
    <w:rsid w:val="00146137"/>
    <w:rsid w:val="0014619A"/>
    <w:rsid w:val="001462A7"/>
    <w:rsid w:val="00146563"/>
    <w:rsid w:val="001469B3"/>
    <w:rsid w:val="00146B7F"/>
    <w:rsid w:val="00146C17"/>
    <w:rsid w:val="00146D95"/>
    <w:rsid w:val="00146EA1"/>
    <w:rsid w:val="00146F95"/>
    <w:rsid w:val="00147059"/>
    <w:rsid w:val="0014707D"/>
    <w:rsid w:val="00147279"/>
    <w:rsid w:val="00147447"/>
    <w:rsid w:val="001477EC"/>
    <w:rsid w:val="00147855"/>
    <w:rsid w:val="001479D8"/>
    <w:rsid w:val="00147B86"/>
    <w:rsid w:val="00147E57"/>
    <w:rsid w:val="00147EE8"/>
    <w:rsid w:val="00150025"/>
    <w:rsid w:val="001503F4"/>
    <w:rsid w:val="00150689"/>
    <w:rsid w:val="0015075C"/>
    <w:rsid w:val="001508B2"/>
    <w:rsid w:val="00150A73"/>
    <w:rsid w:val="00150BB0"/>
    <w:rsid w:val="00150BC8"/>
    <w:rsid w:val="00150D3C"/>
    <w:rsid w:val="00150F32"/>
    <w:rsid w:val="001510E5"/>
    <w:rsid w:val="0015119F"/>
    <w:rsid w:val="001511AA"/>
    <w:rsid w:val="001511F1"/>
    <w:rsid w:val="001512F7"/>
    <w:rsid w:val="001514D8"/>
    <w:rsid w:val="00151553"/>
    <w:rsid w:val="001516C6"/>
    <w:rsid w:val="001516E7"/>
    <w:rsid w:val="0015172A"/>
    <w:rsid w:val="00151CCC"/>
    <w:rsid w:val="00152295"/>
    <w:rsid w:val="00152425"/>
    <w:rsid w:val="001525C2"/>
    <w:rsid w:val="001527E9"/>
    <w:rsid w:val="00152853"/>
    <w:rsid w:val="00152C9B"/>
    <w:rsid w:val="00152D21"/>
    <w:rsid w:val="00152EAE"/>
    <w:rsid w:val="00152F1E"/>
    <w:rsid w:val="001532A0"/>
    <w:rsid w:val="0015358E"/>
    <w:rsid w:val="0015379A"/>
    <w:rsid w:val="0015394F"/>
    <w:rsid w:val="00153BBF"/>
    <w:rsid w:val="00153FC2"/>
    <w:rsid w:val="00154022"/>
    <w:rsid w:val="0015428B"/>
    <w:rsid w:val="00154787"/>
    <w:rsid w:val="00154849"/>
    <w:rsid w:val="00154987"/>
    <w:rsid w:val="00154B0C"/>
    <w:rsid w:val="001550B0"/>
    <w:rsid w:val="0015530E"/>
    <w:rsid w:val="0015542E"/>
    <w:rsid w:val="0015548C"/>
    <w:rsid w:val="00155614"/>
    <w:rsid w:val="00155877"/>
    <w:rsid w:val="001558E7"/>
    <w:rsid w:val="0015596B"/>
    <w:rsid w:val="00155B14"/>
    <w:rsid w:val="00155B18"/>
    <w:rsid w:val="00155BA4"/>
    <w:rsid w:val="00155D6F"/>
    <w:rsid w:val="00155FB3"/>
    <w:rsid w:val="001563EA"/>
    <w:rsid w:val="00156493"/>
    <w:rsid w:val="00156496"/>
    <w:rsid w:val="00156581"/>
    <w:rsid w:val="001565D0"/>
    <w:rsid w:val="00156711"/>
    <w:rsid w:val="001568E4"/>
    <w:rsid w:val="001569B2"/>
    <w:rsid w:val="00156C73"/>
    <w:rsid w:val="00156CFF"/>
    <w:rsid w:val="00156EFA"/>
    <w:rsid w:val="0015717A"/>
    <w:rsid w:val="001572EA"/>
    <w:rsid w:val="0015730F"/>
    <w:rsid w:val="00157332"/>
    <w:rsid w:val="001577A5"/>
    <w:rsid w:val="00157809"/>
    <w:rsid w:val="00157867"/>
    <w:rsid w:val="001579F1"/>
    <w:rsid w:val="00157A0F"/>
    <w:rsid w:val="00157D03"/>
    <w:rsid w:val="00157D9C"/>
    <w:rsid w:val="00157E49"/>
    <w:rsid w:val="00160330"/>
    <w:rsid w:val="001603DD"/>
    <w:rsid w:val="00160475"/>
    <w:rsid w:val="00160811"/>
    <w:rsid w:val="00160CE7"/>
    <w:rsid w:val="00160D75"/>
    <w:rsid w:val="00160F57"/>
    <w:rsid w:val="00161261"/>
    <w:rsid w:val="00161413"/>
    <w:rsid w:val="001617F0"/>
    <w:rsid w:val="00161989"/>
    <w:rsid w:val="00161A83"/>
    <w:rsid w:val="00161A8D"/>
    <w:rsid w:val="00161E2C"/>
    <w:rsid w:val="00161F0E"/>
    <w:rsid w:val="00161F9D"/>
    <w:rsid w:val="00162046"/>
    <w:rsid w:val="00162237"/>
    <w:rsid w:val="001622FD"/>
    <w:rsid w:val="001623EB"/>
    <w:rsid w:val="001628E6"/>
    <w:rsid w:val="00162988"/>
    <w:rsid w:val="00162C4B"/>
    <w:rsid w:val="00162FA4"/>
    <w:rsid w:val="00163097"/>
    <w:rsid w:val="0016327C"/>
    <w:rsid w:val="00163529"/>
    <w:rsid w:val="00163594"/>
    <w:rsid w:val="0016373D"/>
    <w:rsid w:val="001638AF"/>
    <w:rsid w:val="001639FB"/>
    <w:rsid w:val="00163A4A"/>
    <w:rsid w:val="00164004"/>
    <w:rsid w:val="0016424F"/>
    <w:rsid w:val="0016461F"/>
    <w:rsid w:val="00164654"/>
    <w:rsid w:val="001647E4"/>
    <w:rsid w:val="00164B90"/>
    <w:rsid w:val="00164C36"/>
    <w:rsid w:val="00164CB5"/>
    <w:rsid w:val="001650D9"/>
    <w:rsid w:val="001653E8"/>
    <w:rsid w:val="00165412"/>
    <w:rsid w:val="0016549F"/>
    <w:rsid w:val="001654F5"/>
    <w:rsid w:val="001656E9"/>
    <w:rsid w:val="00165964"/>
    <w:rsid w:val="00165A4F"/>
    <w:rsid w:val="00165A8F"/>
    <w:rsid w:val="00165AD3"/>
    <w:rsid w:val="00165B97"/>
    <w:rsid w:val="00165D16"/>
    <w:rsid w:val="00165D6F"/>
    <w:rsid w:val="00165DB5"/>
    <w:rsid w:val="00165E52"/>
    <w:rsid w:val="001662DF"/>
    <w:rsid w:val="0016645E"/>
    <w:rsid w:val="00166619"/>
    <w:rsid w:val="00166831"/>
    <w:rsid w:val="00166BE2"/>
    <w:rsid w:val="00166D71"/>
    <w:rsid w:val="001670F1"/>
    <w:rsid w:val="00167286"/>
    <w:rsid w:val="001674DF"/>
    <w:rsid w:val="00167D02"/>
    <w:rsid w:val="00167D84"/>
    <w:rsid w:val="00170055"/>
    <w:rsid w:val="001704DC"/>
    <w:rsid w:val="00170555"/>
    <w:rsid w:val="001706E1"/>
    <w:rsid w:val="00170748"/>
    <w:rsid w:val="001707B3"/>
    <w:rsid w:val="0017086E"/>
    <w:rsid w:val="001711D4"/>
    <w:rsid w:val="00171701"/>
    <w:rsid w:val="00171968"/>
    <w:rsid w:val="00171B18"/>
    <w:rsid w:val="00171D3F"/>
    <w:rsid w:val="00171F36"/>
    <w:rsid w:val="00171FB3"/>
    <w:rsid w:val="00171FC5"/>
    <w:rsid w:val="0017225F"/>
    <w:rsid w:val="0017235A"/>
    <w:rsid w:val="0017242B"/>
    <w:rsid w:val="00172BF2"/>
    <w:rsid w:val="00172D3C"/>
    <w:rsid w:val="00172D49"/>
    <w:rsid w:val="00172DB6"/>
    <w:rsid w:val="0017301B"/>
    <w:rsid w:val="001730C9"/>
    <w:rsid w:val="00173112"/>
    <w:rsid w:val="00173144"/>
    <w:rsid w:val="00173303"/>
    <w:rsid w:val="00173399"/>
    <w:rsid w:val="00173645"/>
    <w:rsid w:val="00173663"/>
    <w:rsid w:val="001740F1"/>
    <w:rsid w:val="00174358"/>
    <w:rsid w:val="0017470C"/>
    <w:rsid w:val="0017480D"/>
    <w:rsid w:val="0017490B"/>
    <w:rsid w:val="00174BF9"/>
    <w:rsid w:val="0017553B"/>
    <w:rsid w:val="001756F5"/>
    <w:rsid w:val="00175C91"/>
    <w:rsid w:val="00175F18"/>
    <w:rsid w:val="00176198"/>
    <w:rsid w:val="00176245"/>
    <w:rsid w:val="0017633A"/>
    <w:rsid w:val="001765D2"/>
    <w:rsid w:val="0017677A"/>
    <w:rsid w:val="0017686E"/>
    <w:rsid w:val="001769CE"/>
    <w:rsid w:val="00176A59"/>
    <w:rsid w:val="00176D04"/>
    <w:rsid w:val="00176D7A"/>
    <w:rsid w:val="00176DF3"/>
    <w:rsid w:val="00176FDA"/>
    <w:rsid w:val="00177151"/>
    <w:rsid w:val="0017737B"/>
    <w:rsid w:val="001773C3"/>
    <w:rsid w:val="0017757C"/>
    <w:rsid w:val="00177807"/>
    <w:rsid w:val="00177911"/>
    <w:rsid w:val="00177C01"/>
    <w:rsid w:val="001800B5"/>
    <w:rsid w:val="00180152"/>
    <w:rsid w:val="0018025A"/>
    <w:rsid w:val="0018046B"/>
    <w:rsid w:val="0018049B"/>
    <w:rsid w:val="0018052B"/>
    <w:rsid w:val="00180621"/>
    <w:rsid w:val="001806B0"/>
    <w:rsid w:val="00180758"/>
    <w:rsid w:val="00180BD4"/>
    <w:rsid w:val="00180F50"/>
    <w:rsid w:val="00180FB7"/>
    <w:rsid w:val="001810AF"/>
    <w:rsid w:val="001811C5"/>
    <w:rsid w:val="00181615"/>
    <w:rsid w:val="00181BBC"/>
    <w:rsid w:val="00181F02"/>
    <w:rsid w:val="001821A9"/>
    <w:rsid w:val="0018222B"/>
    <w:rsid w:val="00182260"/>
    <w:rsid w:val="001824E5"/>
    <w:rsid w:val="0018276E"/>
    <w:rsid w:val="00182AD4"/>
    <w:rsid w:val="00182D35"/>
    <w:rsid w:val="001831E1"/>
    <w:rsid w:val="0018321A"/>
    <w:rsid w:val="0018338E"/>
    <w:rsid w:val="00183401"/>
    <w:rsid w:val="00183434"/>
    <w:rsid w:val="0018351D"/>
    <w:rsid w:val="00183530"/>
    <w:rsid w:val="00183A52"/>
    <w:rsid w:val="00183AA7"/>
    <w:rsid w:val="00183B5C"/>
    <w:rsid w:val="00184014"/>
    <w:rsid w:val="00184205"/>
    <w:rsid w:val="0018420D"/>
    <w:rsid w:val="00184446"/>
    <w:rsid w:val="00184499"/>
    <w:rsid w:val="00184592"/>
    <w:rsid w:val="00184609"/>
    <w:rsid w:val="00184738"/>
    <w:rsid w:val="0018475F"/>
    <w:rsid w:val="00184842"/>
    <w:rsid w:val="00184B7A"/>
    <w:rsid w:val="00184D49"/>
    <w:rsid w:val="00184F21"/>
    <w:rsid w:val="0018517D"/>
    <w:rsid w:val="0018522F"/>
    <w:rsid w:val="001852B1"/>
    <w:rsid w:val="001852FB"/>
    <w:rsid w:val="001854C0"/>
    <w:rsid w:val="001856F0"/>
    <w:rsid w:val="001857AA"/>
    <w:rsid w:val="001858DD"/>
    <w:rsid w:val="001859B6"/>
    <w:rsid w:val="00185C9A"/>
    <w:rsid w:val="00185DC4"/>
    <w:rsid w:val="00185EB1"/>
    <w:rsid w:val="0018638C"/>
    <w:rsid w:val="001868A2"/>
    <w:rsid w:val="00186976"/>
    <w:rsid w:val="00186B0D"/>
    <w:rsid w:val="00186CD2"/>
    <w:rsid w:val="00186F85"/>
    <w:rsid w:val="00186FD3"/>
    <w:rsid w:val="0018706C"/>
    <w:rsid w:val="00187110"/>
    <w:rsid w:val="001871A5"/>
    <w:rsid w:val="00187306"/>
    <w:rsid w:val="00187407"/>
    <w:rsid w:val="00187C61"/>
    <w:rsid w:val="001902B9"/>
    <w:rsid w:val="001902D0"/>
    <w:rsid w:val="001906B1"/>
    <w:rsid w:val="0019076C"/>
    <w:rsid w:val="0019085A"/>
    <w:rsid w:val="001908CC"/>
    <w:rsid w:val="00190F5B"/>
    <w:rsid w:val="0019101F"/>
    <w:rsid w:val="001910B0"/>
    <w:rsid w:val="0019152B"/>
    <w:rsid w:val="001915B6"/>
    <w:rsid w:val="001915C3"/>
    <w:rsid w:val="001916C7"/>
    <w:rsid w:val="001916F2"/>
    <w:rsid w:val="0019172F"/>
    <w:rsid w:val="001917E1"/>
    <w:rsid w:val="00191932"/>
    <w:rsid w:val="00191D93"/>
    <w:rsid w:val="00191F14"/>
    <w:rsid w:val="00191F23"/>
    <w:rsid w:val="001922A8"/>
    <w:rsid w:val="00192517"/>
    <w:rsid w:val="0019262B"/>
    <w:rsid w:val="0019286A"/>
    <w:rsid w:val="00192A31"/>
    <w:rsid w:val="00192AA7"/>
    <w:rsid w:val="00192CEA"/>
    <w:rsid w:val="00192E5C"/>
    <w:rsid w:val="00192F5D"/>
    <w:rsid w:val="00193577"/>
    <w:rsid w:val="001938AB"/>
    <w:rsid w:val="0019394F"/>
    <w:rsid w:val="001939E1"/>
    <w:rsid w:val="00193AC5"/>
    <w:rsid w:val="00193D34"/>
    <w:rsid w:val="00193F6E"/>
    <w:rsid w:val="00193F91"/>
    <w:rsid w:val="00193FCF"/>
    <w:rsid w:val="00194072"/>
    <w:rsid w:val="00194095"/>
    <w:rsid w:val="00194138"/>
    <w:rsid w:val="001943C2"/>
    <w:rsid w:val="0019478B"/>
    <w:rsid w:val="00194D6E"/>
    <w:rsid w:val="00195019"/>
    <w:rsid w:val="00195131"/>
    <w:rsid w:val="00195475"/>
    <w:rsid w:val="00195792"/>
    <w:rsid w:val="00195805"/>
    <w:rsid w:val="00195C36"/>
    <w:rsid w:val="00195C46"/>
    <w:rsid w:val="00195C86"/>
    <w:rsid w:val="00195F3F"/>
    <w:rsid w:val="00196001"/>
    <w:rsid w:val="00196021"/>
    <w:rsid w:val="0019602D"/>
    <w:rsid w:val="001960C2"/>
    <w:rsid w:val="001960F7"/>
    <w:rsid w:val="0019680C"/>
    <w:rsid w:val="00196881"/>
    <w:rsid w:val="00196A1B"/>
    <w:rsid w:val="00196EF0"/>
    <w:rsid w:val="0019709E"/>
    <w:rsid w:val="0019713D"/>
    <w:rsid w:val="0019746A"/>
    <w:rsid w:val="001978D3"/>
    <w:rsid w:val="001979FB"/>
    <w:rsid w:val="00197AD0"/>
    <w:rsid w:val="00197AE3"/>
    <w:rsid w:val="00197BBE"/>
    <w:rsid w:val="00197E9C"/>
    <w:rsid w:val="00197EF4"/>
    <w:rsid w:val="001A00DE"/>
    <w:rsid w:val="001A0296"/>
    <w:rsid w:val="001A048F"/>
    <w:rsid w:val="001A05C6"/>
    <w:rsid w:val="001A0754"/>
    <w:rsid w:val="001A0BFF"/>
    <w:rsid w:val="001A0CB1"/>
    <w:rsid w:val="001A0E12"/>
    <w:rsid w:val="001A0E1D"/>
    <w:rsid w:val="001A0EB0"/>
    <w:rsid w:val="001A1112"/>
    <w:rsid w:val="001A120B"/>
    <w:rsid w:val="001A131B"/>
    <w:rsid w:val="001A18F2"/>
    <w:rsid w:val="001A1BC9"/>
    <w:rsid w:val="001A1C07"/>
    <w:rsid w:val="001A1E0B"/>
    <w:rsid w:val="001A1E51"/>
    <w:rsid w:val="001A2089"/>
    <w:rsid w:val="001A21F3"/>
    <w:rsid w:val="001A246E"/>
    <w:rsid w:val="001A246F"/>
    <w:rsid w:val="001A28D0"/>
    <w:rsid w:val="001A28EC"/>
    <w:rsid w:val="001A2C5C"/>
    <w:rsid w:val="001A2C62"/>
    <w:rsid w:val="001A2D33"/>
    <w:rsid w:val="001A2E22"/>
    <w:rsid w:val="001A3177"/>
    <w:rsid w:val="001A3441"/>
    <w:rsid w:val="001A377A"/>
    <w:rsid w:val="001A382B"/>
    <w:rsid w:val="001A39D9"/>
    <w:rsid w:val="001A39EF"/>
    <w:rsid w:val="001A3DF8"/>
    <w:rsid w:val="001A4023"/>
    <w:rsid w:val="001A4030"/>
    <w:rsid w:val="001A412F"/>
    <w:rsid w:val="001A41BF"/>
    <w:rsid w:val="001A44E7"/>
    <w:rsid w:val="001A4547"/>
    <w:rsid w:val="001A4744"/>
    <w:rsid w:val="001A499D"/>
    <w:rsid w:val="001A49ED"/>
    <w:rsid w:val="001A4F4F"/>
    <w:rsid w:val="001A4F96"/>
    <w:rsid w:val="001A50FC"/>
    <w:rsid w:val="001A5203"/>
    <w:rsid w:val="001A57A5"/>
    <w:rsid w:val="001A5C18"/>
    <w:rsid w:val="001A5C5A"/>
    <w:rsid w:val="001A5CFF"/>
    <w:rsid w:val="001A5ED2"/>
    <w:rsid w:val="001A68AA"/>
    <w:rsid w:val="001A6A58"/>
    <w:rsid w:val="001A6A9E"/>
    <w:rsid w:val="001A6B20"/>
    <w:rsid w:val="001A6B91"/>
    <w:rsid w:val="001A6C16"/>
    <w:rsid w:val="001A6EF8"/>
    <w:rsid w:val="001A6FC8"/>
    <w:rsid w:val="001A70F3"/>
    <w:rsid w:val="001A7249"/>
    <w:rsid w:val="001A735C"/>
    <w:rsid w:val="001A74AF"/>
    <w:rsid w:val="001A763F"/>
    <w:rsid w:val="001A76D5"/>
    <w:rsid w:val="001A7809"/>
    <w:rsid w:val="001A7C78"/>
    <w:rsid w:val="001B0029"/>
    <w:rsid w:val="001B00A0"/>
    <w:rsid w:val="001B02BF"/>
    <w:rsid w:val="001B042A"/>
    <w:rsid w:val="001B0491"/>
    <w:rsid w:val="001B09E6"/>
    <w:rsid w:val="001B0A80"/>
    <w:rsid w:val="001B0BB6"/>
    <w:rsid w:val="001B0DB1"/>
    <w:rsid w:val="001B0E60"/>
    <w:rsid w:val="001B1053"/>
    <w:rsid w:val="001B10FC"/>
    <w:rsid w:val="001B11C0"/>
    <w:rsid w:val="001B1267"/>
    <w:rsid w:val="001B132A"/>
    <w:rsid w:val="001B1627"/>
    <w:rsid w:val="001B1782"/>
    <w:rsid w:val="001B1E0F"/>
    <w:rsid w:val="001B1E53"/>
    <w:rsid w:val="001B1F4B"/>
    <w:rsid w:val="001B2136"/>
    <w:rsid w:val="001B25B6"/>
    <w:rsid w:val="001B2875"/>
    <w:rsid w:val="001B2CD2"/>
    <w:rsid w:val="001B2F06"/>
    <w:rsid w:val="001B30D4"/>
    <w:rsid w:val="001B3106"/>
    <w:rsid w:val="001B318A"/>
    <w:rsid w:val="001B3501"/>
    <w:rsid w:val="001B3A8F"/>
    <w:rsid w:val="001B3AF8"/>
    <w:rsid w:val="001B3EA4"/>
    <w:rsid w:val="001B4269"/>
    <w:rsid w:val="001B47D4"/>
    <w:rsid w:val="001B49D2"/>
    <w:rsid w:val="001B51E4"/>
    <w:rsid w:val="001B5421"/>
    <w:rsid w:val="001B54BD"/>
    <w:rsid w:val="001B573C"/>
    <w:rsid w:val="001B57EC"/>
    <w:rsid w:val="001B59E4"/>
    <w:rsid w:val="001B5A03"/>
    <w:rsid w:val="001B5A1C"/>
    <w:rsid w:val="001B5AEB"/>
    <w:rsid w:val="001B5B47"/>
    <w:rsid w:val="001B5BB4"/>
    <w:rsid w:val="001B6009"/>
    <w:rsid w:val="001B6251"/>
    <w:rsid w:val="001B67C2"/>
    <w:rsid w:val="001B68FB"/>
    <w:rsid w:val="001B6BA9"/>
    <w:rsid w:val="001B6E66"/>
    <w:rsid w:val="001B71C0"/>
    <w:rsid w:val="001B72DA"/>
    <w:rsid w:val="001B7437"/>
    <w:rsid w:val="001B762D"/>
    <w:rsid w:val="001B7692"/>
    <w:rsid w:val="001B7834"/>
    <w:rsid w:val="001B7C3C"/>
    <w:rsid w:val="001B7D88"/>
    <w:rsid w:val="001C0063"/>
    <w:rsid w:val="001C0201"/>
    <w:rsid w:val="001C02A6"/>
    <w:rsid w:val="001C0448"/>
    <w:rsid w:val="001C0491"/>
    <w:rsid w:val="001C0568"/>
    <w:rsid w:val="001C05F3"/>
    <w:rsid w:val="001C0879"/>
    <w:rsid w:val="001C0B26"/>
    <w:rsid w:val="001C0CF2"/>
    <w:rsid w:val="001C0D22"/>
    <w:rsid w:val="001C0EB3"/>
    <w:rsid w:val="001C0EDB"/>
    <w:rsid w:val="001C125B"/>
    <w:rsid w:val="001C13CE"/>
    <w:rsid w:val="001C1628"/>
    <w:rsid w:val="001C168E"/>
    <w:rsid w:val="001C175B"/>
    <w:rsid w:val="001C19A6"/>
    <w:rsid w:val="001C1B5B"/>
    <w:rsid w:val="001C1D2A"/>
    <w:rsid w:val="001C1D4E"/>
    <w:rsid w:val="001C1ED0"/>
    <w:rsid w:val="001C1EF2"/>
    <w:rsid w:val="001C2088"/>
    <w:rsid w:val="001C20CB"/>
    <w:rsid w:val="001C2114"/>
    <w:rsid w:val="001C21C5"/>
    <w:rsid w:val="001C21C6"/>
    <w:rsid w:val="001C21D5"/>
    <w:rsid w:val="001C23BF"/>
    <w:rsid w:val="001C28D7"/>
    <w:rsid w:val="001C294E"/>
    <w:rsid w:val="001C2A60"/>
    <w:rsid w:val="001C2AD7"/>
    <w:rsid w:val="001C2B8D"/>
    <w:rsid w:val="001C3403"/>
    <w:rsid w:val="001C3426"/>
    <w:rsid w:val="001C34AB"/>
    <w:rsid w:val="001C34FC"/>
    <w:rsid w:val="001C35EC"/>
    <w:rsid w:val="001C3691"/>
    <w:rsid w:val="001C379C"/>
    <w:rsid w:val="001C39D4"/>
    <w:rsid w:val="001C39ED"/>
    <w:rsid w:val="001C3BD7"/>
    <w:rsid w:val="001C3CF9"/>
    <w:rsid w:val="001C3F80"/>
    <w:rsid w:val="001C42B0"/>
    <w:rsid w:val="001C42FA"/>
    <w:rsid w:val="001C4419"/>
    <w:rsid w:val="001C44D9"/>
    <w:rsid w:val="001C465F"/>
    <w:rsid w:val="001C47CB"/>
    <w:rsid w:val="001C488A"/>
    <w:rsid w:val="001C4A49"/>
    <w:rsid w:val="001C4B0D"/>
    <w:rsid w:val="001C4D83"/>
    <w:rsid w:val="001C51DE"/>
    <w:rsid w:val="001C53CB"/>
    <w:rsid w:val="001C5697"/>
    <w:rsid w:val="001C588E"/>
    <w:rsid w:val="001C5AD2"/>
    <w:rsid w:val="001C5F9E"/>
    <w:rsid w:val="001C6922"/>
    <w:rsid w:val="001C6A8E"/>
    <w:rsid w:val="001C6EB8"/>
    <w:rsid w:val="001C6F36"/>
    <w:rsid w:val="001C6FB6"/>
    <w:rsid w:val="001C717C"/>
    <w:rsid w:val="001C774E"/>
    <w:rsid w:val="001C7847"/>
    <w:rsid w:val="001C7986"/>
    <w:rsid w:val="001C7B43"/>
    <w:rsid w:val="001C7B60"/>
    <w:rsid w:val="001C7D53"/>
    <w:rsid w:val="001C7F52"/>
    <w:rsid w:val="001D018D"/>
    <w:rsid w:val="001D0250"/>
    <w:rsid w:val="001D04D1"/>
    <w:rsid w:val="001D07DB"/>
    <w:rsid w:val="001D083E"/>
    <w:rsid w:val="001D086E"/>
    <w:rsid w:val="001D0994"/>
    <w:rsid w:val="001D0BAB"/>
    <w:rsid w:val="001D0BE5"/>
    <w:rsid w:val="001D0E17"/>
    <w:rsid w:val="001D0FAA"/>
    <w:rsid w:val="001D1174"/>
    <w:rsid w:val="001D158E"/>
    <w:rsid w:val="001D1613"/>
    <w:rsid w:val="001D1697"/>
    <w:rsid w:val="001D16DA"/>
    <w:rsid w:val="001D17D7"/>
    <w:rsid w:val="001D1843"/>
    <w:rsid w:val="001D1B25"/>
    <w:rsid w:val="001D1BE8"/>
    <w:rsid w:val="001D1F64"/>
    <w:rsid w:val="001D22D0"/>
    <w:rsid w:val="001D247A"/>
    <w:rsid w:val="001D24B8"/>
    <w:rsid w:val="001D25D5"/>
    <w:rsid w:val="001D261C"/>
    <w:rsid w:val="001D2882"/>
    <w:rsid w:val="001D2892"/>
    <w:rsid w:val="001D2969"/>
    <w:rsid w:val="001D29CA"/>
    <w:rsid w:val="001D2A6F"/>
    <w:rsid w:val="001D2CD5"/>
    <w:rsid w:val="001D3425"/>
    <w:rsid w:val="001D34DF"/>
    <w:rsid w:val="001D3527"/>
    <w:rsid w:val="001D36C3"/>
    <w:rsid w:val="001D3A10"/>
    <w:rsid w:val="001D3B84"/>
    <w:rsid w:val="001D3C60"/>
    <w:rsid w:val="001D3D4A"/>
    <w:rsid w:val="001D3D78"/>
    <w:rsid w:val="001D3F20"/>
    <w:rsid w:val="001D3FD9"/>
    <w:rsid w:val="001D41BF"/>
    <w:rsid w:val="001D4464"/>
    <w:rsid w:val="001D44FA"/>
    <w:rsid w:val="001D465B"/>
    <w:rsid w:val="001D46B4"/>
    <w:rsid w:val="001D4D3C"/>
    <w:rsid w:val="001D5000"/>
    <w:rsid w:val="001D50EB"/>
    <w:rsid w:val="001D531F"/>
    <w:rsid w:val="001D5583"/>
    <w:rsid w:val="001D5668"/>
    <w:rsid w:val="001D571D"/>
    <w:rsid w:val="001D5A71"/>
    <w:rsid w:val="001D5CCE"/>
    <w:rsid w:val="001D5DA2"/>
    <w:rsid w:val="001D5E02"/>
    <w:rsid w:val="001D5E50"/>
    <w:rsid w:val="001D5FA4"/>
    <w:rsid w:val="001D61FC"/>
    <w:rsid w:val="001D63C7"/>
    <w:rsid w:val="001D6582"/>
    <w:rsid w:val="001D662F"/>
    <w:rsid w:val="001D66D4"/>
    <w:rsid w:val="001D6A55"/>
    <w:rsid w:val="001D6A67"/>
    <w:rsid w:val="001D7058"/>
    <w:rsid w:val="001D725B"/>
    <w:rsid w:val="001D742C"/>
    <w:rsid w:val="001D74DC"/>
    <w:rsid w:val="001D7B27"/>
    <w:rsid w:val="001D7BD4"/>
    <w:rsid w:val="001D7CB2"/>
    <w:rsid w:val="001D7DBB"/>
    <w:rsid w:val="001D7E1E"/>
    <w:rsid w:val="001D7E9B"/>
    <w:rsid w:val="001E0550"/>
    <w:rsid w:val="001E05AB"/>
    <w:rsid w:val="001E0A27"/>
    <w:rsid w:val="001E0C42"/>
    <w:rsid w:val="001E0C7F"/>
    <w:rsid w:val="001E112C"/>
    <w:rsid w:val="001E12A5"/>
    <w:rsid w:val="001E13EC"/>
    <w:rsid w:val="001E143F"/>
    <w:rsid w:val="001E152B"/>
    <w:rsid w:val="001E16AB"/>
    <w:rsid w:val="001E177D"/>
    <w:rsid w:val="001E184E"/>
    <w:rsid w:val="001E187C"/>
    <w:rsid w:val="001E1AB6"/>
    <w:rsid w:val="001E1CA9"/>
    <w:rsid w:val="001E1E28"/>
    <w:rsid w:val="001E1EEC"/>
    <w:rsid w:val="001E1FD3"/>
    <w:rsid w:val="001E204E"/>
    <w:rsid w:val="001E2814"/>
    <w:rsid w:val="001E2A12"/>
    <w:rsid w:val="001E2A42"/>
    <w:rsid w:val="001E323E"/>
    <w:rsid w:val="001E3265"/>
    <w:rsid w:val="001E3272"/>
    <w:rsid w:val="001E3A50"/>
    <w:rsid w:val="001E3CA1"/>
    <w:rsid w:val="001E3D0E"/>
    <w:rsid w:val="001E3EB3"/>
    <w:rsid w:val="001E43C6"/>
    <w:rsid w:val="001E45DB"/>
    <w:rsid w:val="001E47DD"/>
    <w:rsid w:val="001E48D7"/>
    <w:rsid w:val="001E49F7"/>
    <w:rsid w:val="001E4CBE"/>
    <w:rsid w:val="001E4E91"/>
    <w:rsid w:val="001E54D2"/>
    <w:rsid w:val="001E5512"/>
    <w:rsid w:val="001E5548"/>
    <w:rsid w:val="001E56EA"/>
    <w:rsid w:val="001E5984"/>
    <w:rsid w:val="001E5A3A"/>
    <w:rsid w:val="001E5A5E"/>
    <w:rsid w:val="001E5AD9"/>
    <w:rsid w:val="001E5AF8"/>
    <w:rsid w:val="001E60FC"/>
    <w:rsid w:val="001E64C2"/>
    <w:rsid w:val="001E650C"/>
    <w:rsid w:val="001E66FF"/>
    <w:rsid w:val="001E6AB6"/>
    <w:rsid w:val="001E6B97"/>
    <w:rsid w:val="001E7227"/>
    <w:rsid w:val="001E738A"/>
    <w:rsid w:val="001E73C6"/>
    <w:rsid w:val="001E73D5"/>
    <w:rsid w:val="001E755E"/>
    <w:rsid w:val="001E765D"/>
    <w:rsid w:val="001E78C4"/>
    <w:rsid w:val="001E7D2B"/>
    <w:rsid w:val="001F000B"/>
    <w:rsid w:val="001F02F2"/>
    <w:rsid w:val="001F0342"/>
    <w:rsid w:val="001F087D"/>
    <w:rsid w:val="001F0A40"/>
    <w:rsid w:val="001F0F57"/>
    <w:rsid w:val="001F0F89"/>
    <w:rsid w:val="001F105B"/>
    <w:rsid w:val="001F115A"/>
    <w:rsid w:val="001F1258"/>
    <w:rsid w:val="001F134A"/>
    <w:rsid w:val="001F15FD"/>
    <w:rsid w:val="001F198C"/>
    <w:rsid w:val="001F1A2A"/>
    <w:rsid w:val="001F1D0D"/>
    <w:rsid w:val="001F1D2E"/>
    <w:rsid w:val="001F20C6"/>
    <w:rsid w:val="001F215F"/>
    <w:rsid w:val="001F2166"/>
    <w:rsid w:val="001F2453"/>
    <w:rsid w:val="001F26A6"/>
    <w:rsid w:val="001F2843"/>
    <w:rsid w:val="001F2D68"/>
    <w:rsid w:val="001F321A"/>
    <w:rsid w:val="001F346B"/>
    <w:rsid w:val="001F37FB"/>
    <w:rsid w:val="001F3A13"/>
    <w:rsid w:val="001F3BFD"/>
    <w:rsid w:val="001F3DED"/>
    <w:rsid w:val="001F40FE"/>
    <w:rsid w:val="001F42E4"/>
    <w:rsid w:val="001F4544"/>
    <w:rsid w:val="001F45FE"/>
    <w:rsid w:val="001F4966"/>
    <w:rsid w:val="001F4990"/>
    <w:rsid w:val="001F4B49"/>
    <w:rsid w:val="001F4BFF"/>
    <w:rsid w:val="001F4EA5"/>
    <w:rsid w:val="001F533B"/>
    <w:rsid w:val="001F536C"/>
    <w:rsid w:val="001F580D"/>
    <w:rsid w:val="001F5980"/>
    <w:rsid w:val="001F5A09"/>
    <w:rsid w:val="001F5B32"/>
    <w:rsid w:val="001F5B3C"/>
    <w:rsid w:val="001F5DFE"/>
    <w:rsid w:val="001F625C"/>
    <w:rsid w:val="001F64A2"/>
    <w:rsid w:val="001F6A1E"/>
    <w:rsid w:val="001F6A47"/>
    <w:rsid w:val="001F6AF9"/>
    <w:rsid w:val="001F6DFF"/>
    <w:rsid w:val="001F6F3C"/>
    <w:rsid w:val="001F6FDA"/>
    <w:rsid w:val="001F70DE"/>
    <w:rsid w:val="001F77A6"/>
    <w:rsid w:val="001F7D34"/>
    <w:rsid w:val="001F7D8C"/>
    <w:rsid w:val="00200026"/>
    <w:rsid w:val="0020002D"/>
    <w:rsid w:val="002000DC"/>
    <w:rsid w:val="002002DC"/>
    <w:rsid w:val="00200402"/>
    <w:rsid w:val="00200547"/>
    <w:rsid w:val="002006BE"/>
    <w:rsid w:val="0020076F"/>
    <w:rsid w:val="002008CC"/>
    <w:rsid w:val="002008F7"/>
    <w:rsid w:val="00200AC8"/>
    <w:rsid w:val="00200BAD"/>
    <w:rsid w:val="00200CB0"/>
    <w:rsid w:val="00200D4E"/>
    <w:rsid w:val="00201150"/>
    <w:rsid w:val="002012AC"/>
    <w:rsid w:val="0020144E"/>
    <w:rsid w:val="0020162F"/>
    <w:rsid w:val="00201641"/>
    <w:rsid w:val="00201825"/>
    <w:rsid w:val="00201879"/>
    <w:rsid w:val="00201B3F"/>
    <w:rsid w:val="00201B7D"/>
    <w:rsid w:val="00201BA5"/>
    <w:rsid w:val="00201CDC"/>
    <w:rsid w:val="00201E2A"/>
    <w:rsid w:val="00201F42"/>
    <w:rsid w:val="002021AD"/>
    <w:rsid w:val="002021BF"/>
    <w:rsid w:val="0020236A"/>
    <w:rsid w:val="00202492"/>
    <w:rsid w:val="002024DB"/>
    <w:rsid w:val="0020271A"/>
    <w:rsid w:val="0020299E"/>
    <w:rsid w:val="00202E32"/>
    <w:rsid w:val="00202F81"/>
    <w:rsid w:val="00203075"/>
    <w:rsid w:val="002035C2"/>
    <w:rsid w:val="002036CD"/>
    <w:rsid w:val="002036ED"/>
    <w:rsid w:val="0020372C"/>
    <w:rsid w:val="002039AC"/>
    <w:rsid w:val="00203EF0"/>
    <w:rsid w:val="00204056"/>
    <w:rsid w:val="002040A0"/>
    <w:rsid w:val="00204192"/>
    <w:rsid w:val="002041B8"/>
    <w:rsid w:val="00204B1F"/>
    <w:rsid w:val="00204C5F"/>
    <w:rsid w:val="00204EBA"/>
    <w:rsid w:val="00204F8A"/>
    <w:rsid w:val="00204FB7"/>
    <w:rsid w:val="00205299"/>
    <w:rsid w:val="002052C8"/>
    <w:rsid w:val="0020544D"/>
    <w:rsid w:val="002054F5"/>
    <w:rsid w:val="00205669"/>
    <w:rsid w:val="00205C67"/>
    <w:rsid w:val="002060FD"/>
    <w:rsid w:val="0020611E"/>
    <w:rsid w:val="00206154"/>
    <w:rsid w:val="002061D7"/>
    <w:rsid w:val="002061E1"/>
    <w:rsid w:val="002062D4"/>
    <w:rsid w:val="0020637A"/>
    <w:rsid w:val="00206419"/>
    <w:rsid w:val="00206455"/>
    <w:rsid w:val="0020658E"/>
    <w:rsid w:val="0020667C"/>
    <w:rsid w:val="00206698"/>
    <w:rsid w:val="0020679B"/>
    <w:rsid w:val="0020680A"/>
    <w:rsid w:val="00206880"/>
    <w:rsid w:val="002068CF"/>
    <w:rsid w:val="00206D88"/>
    <w:rsid w:val="00206FC0"/>
    <w:rsid w:val="00207116"/>
    <w:rsid w:val="00207344"/>
    <w:rsid w:val="00207557"/>
    <w:rsid w:val="00207880"/>
    <w:rsid w:val="00207A56"/>
    <w:rsid w:val="00207ACB"/>
    <w:rsid w:val="00207BF5"/>
    <w:rsid w:val="00207C95"/>
    <w:rsid w:val="00207FEB"/>
    <w:rsid w:val="0021010D"/>
    <w:rsid w:val="00210298"/>
    <w:rsid w:val="002102A6"/>
    <w:rsid w:val="0021041F"/>
    <w:rsid w:val="00210592"/>
    <w:rsid w:val="00210938"/>
    <w:rsid w:val="00210A08"/>
    <w:rsid w:val="00210B0A"/>
    <w:rsid w:val="00210DF3"/>
    <w:rsid w:val="00211178"/>
    <w:rsid w:val="00211452"/>
    <w:rsid w:val="00211513"/>
    <w:rsid w:val="00211628"/>
    <w:rsid w:val="00211AF8"/>
    <w:rsid w:val="00211C9F"/>
    <w:rsid w:val="00211D69"/>
    <w:rsid w:val="00211FB5"/>
    <w:rsid w:val="00212049"/>
    <w:rsid w:val="0021230B"/>
    <w:rsid w:val="00212800"/>
    <w:rsid w:val="00212A76"/>
    <w:rsid w:val="00212A83"/>
    <w:rsid w:val="00212E39"/>
    <w:rsid w:val="00212F24"/>
    <w:rsid w:val="00213095"/>
    <w:rsid w:val="0021322C"/>
    <w:rsid w:val="002134ED"/>
    <w:rsid w:val="0021360D"/>
    <w:rsid w:val="00213B73"/>
    <w:rsid w:val="00213BBB"/>
    <w:rsid w:val="00213C1B"/>
    <w:rsid w:val="00213E6B"/>
    <w:rsid w:val="00213FC2"/>
    <w:rsid w:val="00213FCE"/>
    <w:rsid w:val="00214188"/>
    <w:rsid w:val="00214734"/>
    <w:rsid w:val="00214837"/>
    <w:rsid w:val="00214AA5"/>
    <w:rsid w:val="00214D64"/>
    <w:rsid w:val="00214F03"/>
    <w:rsid w:val="00215056"/>
    <w:rsid w:val="00215275"/>
    <w:rsid w:val="0021558D"/>
    <w:rsid w:val="002158AA"/>
    <w:rsid w:val="002158BC"/>
    <w:rsid w:val="00215C9A"/>
    <w:rsid w:val="00215DF7"/>
    <w:rsid w:val="00215E17"/>
    <w:rsid w:val="00215E1D"/>
    <w:rsid w:val="00215F70"/>
    <w:rsid w:val="00215FD8"/>
    <w:rsid w:val="00216062"/>
    <w:rsid w:val="002164CB"/>
    <w:rsid w:val="002166ED"/>
    <w:rsid w:val="0021686A"/>
    <w:rsid w:val="0021691C"/>
    <w:rsid w:val="00216A07"/>
    <w:rsid w:val="00216D66"/>
    <w:rsid w:val="00216E8D"/>
    <w:rsid w:val="0021752B"/>
    <w:rsid w:val="0021756F"/>
    <w:rsid w:val="002175C3"/>
    <w:rsid w:val="002176DE"/>
    <w:rsid w:val="00217782"/>
    <w:rsid w:val="00217975"/>
    <w:rsid w:val="00217AEB"/>
    <w:rsid w:val="00217D8A"/>
    <w:rsid w:val="00217DA6"/>
    <w:rsid w:val="00217E47"/>
    <w:rsid w:val="00220108"/>
    <w:rsid w:val="002202C1"/>
    <w:rsid w:val="00220621"/>
    <w:rsid w:val="002206BF"/>
    <w:rsid w:val="0022073D"/>
    <w:rsid w:val="00220744"/>
    <w:rsid w:val="00220963"/>
    <w:rsid w:val="00220C8A"/>
    <w:rsid w:val="00220CBC"/>
    <w:rsid w:val="00220CEF"/>
    <w:rsid w:val="002212A5"/>
    <w:rsid w:val="00221A08"/>
    <w:rsid w:val="00221B50"/>
    <w:rsid w:val="00221CEF"/>
    <w:rsid w:val="00221D60"/>
    <w:rsid w:val="00221EAF"/>
    <w:rsid w:val="00221FCE"/>
    <w:rsid w:val="0022238E"/>
    <w:rsid w:val="002223D8"/>
    <w:rsid w:val="0022243B"/>
    <w:rsid w:val="00222519"/>
    <w:rsid w:val="002226A4"/>
    <w:rsid w:val="002226AF"/>
    <w:rsid w:val="00222858"/>
    <w:rsid w:val="002228CA"/>
    <w:rsid w:val="002229F8"/>
    <w:rsid w:val="00222A67"/>
    <w:rsid w:val="00222CCF"/>
    <w:rsid w:val="00222E4B"/>
    <w:rsid w:val="00222E88"/>
    <w:rsid w:val="00222EB8"/>
    <w:rsid w:val="00222EDB"/>
    <w:rsid w:val="002230A3"/>
    <w:rsid w:val="00223B37"/>
    <w:rsid w:val="00223BE0"/>
    <w:rsid w:val="00223C86"/>
    <w:rsid w:val="00223D0E"/>
    <w:rsid w:val="00223D95"/>
    <w:rsid w:val="00223E7C"/>
    <w:rsid w:val="002240AA"/>
    <w:rsid w:val="0022465A"/>
    <w:rsid w:val="00224802"/>
    <w:rsid w:val="0022499C"/>
    <w:rsid w:val="00224B91"/>
    <w:rsid w:val="00224BFF"/>
    <w:rsid w:val="00224C03"/>
    <w:rsid w:val="00224C17"/>
    <w:rsid w:val="00224CBE"/>
    <w:rsid w:val="00224D06"/>
    <w:rsid w:val="00224D15"/>
    <w:rsid w:val="00224DF0"/>
    <w:rsid w:val="00224DF2"/>
    <w:rsid w:val="00224F85"/>
    <w:rsid w:val="00225116"/>
    <w:rsid w:val="00225E70"/>
    <w:rsid w:val="002260C2"/>
    <w:rsid w:val="002261C9"/>
    <w:rsid w:val="002265DB"/>
    <w:rsid w:val="002266BD"/>
    <w:rsid w:val="002267C0"/>
    <w:rsid w:val="002268F3"/>
    <w:rsid w:val="002268F6"/>
    <w:rsid w:val="002269A5"/>
    <w:rsid w:val="002269C4"/>
    <w:rsid w:val="00226AE6"/>
    <w:rsid w:val="00226B1D"/>
    <w:rsid w:val="00226B78"/>
    <w:rsid w:val="00226D61"/>
    <w:rsid w:val="00227218"/>
    <w:rsid w:val="00227388"/>
    <w:rsid w:val="00227584"/>
    <w:rsid w:val="0022765C"/>
    <w:rsid w:val="0022772B"/>
    <w:rsid w:val="00227B5E"/>
    <w:rsid w:val="00227D1C"/>
    <w:rsid w:val="00227D87"/>
    <w:rsid w:val="00227F64"/>
    <w:rsid w:val="00230372"/>
    <w:rsid w:val="00230441"/>
    <w:rsid w:val="002304FE"/>
    <w:rsid w:val="0023054B"/>
    <w:rsid w:val="002305E4"/>
    <w:rsid w:val="00230696"/>
    <w:rsid w:val="002306CF"/>
    <w:rsid w:val="002306F7"/>
    <w:rsid w:val="0023078B"/>
    <w:rsid w:val="002308FE"/>
    <w:rsid w:val="00230CE0"/>
    <w:rsid w:val="00230DD3"/>
    <w:rsid w:val="00230F8D"/>
    <w:rsid w:val="00231323"/>
    <w:rsid w:val="00231701"/>
    <w:rsid w:val="002319DF"/>
    <w:rsid w:val="002319E0"/>
    <w:rsid w:val="00231B73"/>
    <w:rsid w:val="00231C42"/>
    <w:rsid w:val="00231C63"/>
    <w:rsid w:val="00231E02"/>
    <w:rsid w:val="0023207E"/>
    <w:rsid w:val="002322CC"/>
    <w:rsid w:val="00232725"/>
    <w:rsid w:val="0023284F"/>
    <w:rsid w:val="00232B2D"/>
    <w:rsid w:val="00233259"/>
    <w:rsid w:val="002334AB"/>
    <w:rsid w:val="00233D6D"/>
    <w:rsid w:val="00234004"/>
    <w:rsid w:val="00234077"/>
    <w:rsid w:val="0023422C"/>
    <w:rsid w:val="002342B4"/>
    <w:rsid w:val="0023469F"/>
    <w:rsid w:val="002346D5"/>
    <w:rsid w:val="002348B8"/>
    <w:rsid w:val="00234A76"/>
    <w:rsid w:val="00234D1E"/>
    <w:rsid w:val="00234E53"/>
    <w:rsid w:val="00234E5F"/>
    <w:rsid w:val="00234F11"/>
    <w:rsid w:val="00235009"/>
    <w:rsid w:val="002352C6"/>
    <w:rsid w:val="002352F0"/>
    <w:rsid w:val="002353D6"/>
    <w:rsid w:val="00235568"/>
    <w:rsid w:val="0023591A"/>
    <w:rsid w:val="00235B2D"/>
    <w:rsid w:val="00235D2A"/>
    <w:rsid w:val="00235D3C"/>
    <w:rsid w:val="00235EB1"/>
    <w:rsid w:val="00235FD0"/>
    <w:rsid w:val="0023604D"/>
    <w:rsid w:val="0023608B"/>
    <w:rsid w:val="00236247"/>
    <w:rsid w:val="0023640F"/>
    <w:rsid w:val="002364EF"/>
    <w:rsid w:val="002366EB"/>
    <w:rsid w:val="00236844"/>
    <w:rsid w:val="00236AD6"/>
    <w:rsid w:val="00236B86"/>
    <w:rsid w:val="00236BC3"/>
    <w:rsid w:val="00236EF2"/>
    <w:rsid w:val="00236EFE"/>
    <w:rsid w:val="002372CF"/>
    <w:rsid w:val="00237316"/>
    <w:rsid w:val="002374DC"/>
    <w:rsid w:val="00237502"/>
    <w:rsid w:val="0023764A"/>
    <w:rsid w:val="00237B01"/>
    <w:rsid w:val="00237B61"/>
    <w:rsid w:val="00240069"/>
    <w:rsid w:val="00240172"/>
    <w:rsid w:val="002404DF"/>
    <w:rsid w:val="00240727"/>
    <w:rsid w:val="002408DE"/>
    <w:rsid w:val="002408F5"/>
    <w:rsid w:val="00240960"/>
    <w:rsid w:val="00240B3D"/>
    <w:rsid w:val="00240F0C"/>
    <w:rsid w:val="002412EE"/>
    <w:rsid w:val="00241785"/>
    <w:rsid w:val="00241A3C"/>
    <w:rsid w:val="00241AB3"/>
    <w:rsid w:val="00241BCF"/>
    <w:rsid w:val="00241C2F"/>
    <w:rsid w:val="00241EB8"/>
    <w:rsid w:val="00241EEF"/>
    <w:rsid w:val="0024221D"/>
    <w:rsid w:val="00242226"/>
    <w:rsid w:val="002422E3"/>
    <w:rsid w:val="002423A4"/>
    <w:rsid w:val="00242630"/>
    <w:rsid w:val="00242657"/>
    <w:rsid w:val="002426F8"/>
    <w:rsid w:val="002427DA"/>
    <w:rsid w:val="00242B1A"/>
    <w:rsid w:val="00242B56"/>
    <w:rsid w:val="00242B81"/>
    <w:rsid w:val="00242E9B"/>
    <w:rsid w:val="00243299"/>
    <w:rsid w:val="002436CC"/>
    <w:rsid w:val="00243870"/>
    <w:rsid w:val="00243932"/>
    <w:rsid w:val="00243938"/>
    <w:rsid w:val="00243B1E"/>
    <w:rsid w:val="00243C47"/>
    <w:rsid w:val="00244295"/>
    <w:rsid w:val="002445F6"/>
    <w:rsid w:val="00244CC7"/>
    <w:rsid w:val="00244CE0"/>
    <w:rsid w:val="002450D6"/>
    <w:rsid w:val="0024545F"/>
    <w:rsid w:val="00245624"/>
    <w:rsid w:val="0024576F"/>
    <w:rsid w:val="0024580D"/>
    <w:rsid w:val="00245B50"/>
    <w:rsid w:val="00245D57"/>
    <w:rsid w:val="00245D6F"/>
    <w:rsid w:val="00245E77"/>
    <w:rsid w:val="00245FBE"/>
    <w:rsid w:val="00246015"/>
    <w:rsid w:val="00246072"/>
    <w:rsid w:val="0024658A"/>
    <w:rsid w:val="00246A4D"/>
    <w:rsid w:val="00246A86"/>
    <w:rsid w:val="00246D33"/>
    <w:rsid w:val="00246DA2"/>
    <w:rsid w:val="00246E28"/>
    <w:rsid w:val="00246F3F"/>
    <w:rsid w:val="00246FAC"/>
    <w:rsid w:val="0024719B"/>
    <w:rsid w:val="002471AD"/>
    <w:rsid w:val="002471AF"/>
    <w:rsid w:val="0024721F"/>
    <w:rsid w:val="00247AA4"/>
    <w:rsid w:val="00247B23"/>
    <w:rsid w:val="00250073"/>
    <w:rsid w:val="00250155"/>
    <w:rsid w:val="00250246"/>
    <w:rsid w:val="00250687"/>
    <w:rsid w:val="0025092B"/>
    <w:rsid w:val="00250BE3"/>
    <w:rsid w:val="00250D35"/>
    <w:rsid w:val="00250E05"/>
    <w:rsid w:val="00250EF2"/>
    <w:rsid w:val="002510E3"/>
    <w:rsid w:val="002513BA"/>
    <w:rsid w:val="00251481"/>
    <w:rsid w:val="00251556"/>
    <w:rsid w:val="0025183C"/>
    <w:rsid w:val="00251B65"/>
    <w:rsid w:val="00251C88"/>
    <w:rsid w:val="00251E72"/>
    <w:rsid w:val="00252315"/>
    <w:rsid w:val="002524DC"/>
    <w:rsid w:val="002527C5"/>
    <w:rsid w:val="002527DF"/>
    <w:rsid w:val="0025291E"/>
    <w:rsid w:val="00252B32"/>
    <w:rsid w:val="00252B3D"/>
    <w:rsid w:val="00252DA2"/>
    <w:rsid w:val="00253147"/>
    <w:rsid w:val="002531C1"/>
    <w:rsid w:val="00253523"/>
    <w:rsid w:val="0025371F"/>
    <w:rsid w:val="00253957"/>
    <w:rsid w:val="00253BA4"/>
    <w:rsid w:val="00253CEA"/>
    <w:rsid w:val="00253D24"/>
    <w:rsid w:val="00253E2D"/>
    <w:rsid w:val="00254151"/>
    <w:rsid w:val="00254308"/>
    <w:rsid w:val="00254508"/>
    <w:rsid w:val="002547D4"/>
    <w:rsid w:val="00254B8B"/>
    <w:rsid w:val="00254E22"/>
    <w:rsid w:val="0025570D"/>
    <w:rsid w:val="002559B6"/>
    <w:rsid w:val="00255A5C"/>
    <w:rsid w:val="00256229"/>
    <w:rsid w:val="00256260"/>
    <w:rsid w:val="00256604"/>
    <w:rsid w:val="00256851"/>
    <w:rsid w:val="00256897"/>
    <w:rsid w:val="002569C5"/>
    <w:rsid w:val="002570C5"/>
    <w:rsid w:val="00257301"/>
    <w:rsid w:val="00257392"/>
    <w:rsid w:val="00257500"/>
    <w:rsid w:val="00257637"/>
    <w:rsid w:val="00257912"/>
    <w:rsid w:val="00257AB4"/>
    <w:rsid w:val="00257B59"/>
    <w:rsid w:val="00257E41"/>
    <w:rsid w:val="00260075"/>
    <w:rsid w:val="00260127"/>
    <w:rsid w:val="00260160"/>
    <w:rsid w:val="002602D8"/>
    <w:rsid w:val="002603CF"/>
    <w:rsid w:val="00260663"/>
    <w:rsid w:val="00260834"/>
    <w:rsid w:val="0026095F"/>
    <w:rsid w:val="00260AB3"/>
    <w:rsid w:val="00260FB1"/>
    <w:rsid w:val="002614F3"/>
    <w:rsid w:val="002615E2"/>
    <w:rsid w:val="00261F05"/>
    <w:rsid w:val="00261F59"/>
    <w:rsid w:val="002620B7"/>
    <w:rsid w:val="00262274"/>
    <w:rsid w:val="0026238A"/>
    <w:rsid w:val="00262480"/>
    <w:rsid w:val="002624AA"/>
    <w:rsid w:val="0026257A"/>
    <w:rsid w:val="002625B4"/>
    <w:rsid w:val="00262626"/>
    <w:rsid w:val="002626D7"/>
    <w:rsid w:val="002627C5"/>
    <w:rsid w:val="002629AC"/>
    <w:rsid w:val="00262A96"/>
    <w:rsid w:val="00262B61"/>
    <w:rsid w:val="00262DA8"/>
    <w:rsid w:val="00262DAB"/>
    <w:rsid w:val="0026313E"/>
    <w:rsid w:val="00263223"/>
    <w:rsid w:val="002633FC"/>
    <w:rsid w:val="0026351A"/>
    <w:rsid w:val="002636FF"/>
    <w:rsid w:val="00263DFB"/>
    <w:rsid w:val="00264C90"/>
    <w:rsid w:val="00264E96"/>
    <w:rsid w:val="00264ED6"/>
    <w:rsid w:val="002653A0"/>
    <w:rsid w:val="00265430"/>
    <w:rsid w:val="00265441"/>
    <w:rsid w:val="00265461"/>
    <w:rsid w:val="002656BE"/>
    <w:rsid w:val="002657FC"/>
    <w:rsid w:val="002658F1"/>
    <w:rsid w:val="002659D2"/>
    <w:rsid w:val="00265A95"/>
    <w:rsid w:val="00265B49"/>
    <w:rsid w:val="00265CCA"/>
    <w:rsid w:val="00265D35"/>
    <w:rsid w:val="00265D43"/>
    <w:rsid w:val="00266184"/>
    <w:rsid w:val="00266A6E"/>
    <w:rsid w:val="00266B6D"/>
    <w:rsid w:val="00266E87"/>
    <w:rsid w:val="0026718D"/>
    <w:rsid w:val="0026788F"/>
    <w:rsid w:val="00267EFE"/>
    <w:rsid w:val="00267F0B"/>
    <w:rsid w:val="00270428"/>
    <w:rsid w:val="002706A0"/>
    <w:rsid w:val="002707F1"/>
    <w:rsid w:val="0027094B"/>
    <w:rsid w:val="00270D0D"/>
    <w:rsid w:val="00270E34"/>
    <w:rsid w:val="00270FF3"/>
    <w:rsid w:val="002710C1"/>
    <w:rsid w:val="002712AE"/>
    <w:rsid w:val="0027130E"/>
    <w:rsid w:val="002713DB"/>
    <w:rsid w:val="0027159A"/>
    <w:rsid w:val="0027195A"/>
    <w:rsid w:val="00271BA1"/>
    <w:rsid w:val="00271E8A"/>
    <w:rsid w:val="00271E9E"/>
    <w:rsid w:val="00272341"/>
    <w:rsid w:val="00272426"/>
    <w:rsid w:val="002725FA"/>
    <w:rsid w:val="002727FE"/>
    <w:rsid w:val="002728D8"/>
    <w:rsid w:val="00272A20"/>
    <w:rsid w:val="00272DF4"/>
    <w:rsid w:val="0027315C"/>
    <w:rsid w:val="002731B0"/>
    <w:rsid w:val="002731ED"/>
    <w:rsid w:val="002733E9"/>
    <w:rsid w:val="00273557"/>
    <w:rsid w:val="00273653"/>
    <w:rsid w:val="00273812"/>
    <w:rsid w:val="002739C6"/>
    <w:rsid w:val="00273B2D"/>
    <w:rsid w:val="00273FA2"/>
    <w:rsid w:val="00274311"/>
    <w:rsid w:val="002743F7"/>
    <w:rsid w:val="002744B4"/>
    <w:rsid w:val="0027482E"/>
    <w:rsid w:val="002748F8"/>
    <w:rsid w:val="00274AE9"/>
    <w:rsid w:val="00274C84"/>
    <w:rsid w:val="00274E8D"/>
    <w:rsid w:val="0027517C"/>
    <w:rsid w:val="002751AF"/>
    <w:rsid w:val="0027520E"/>
    <w:rsid w:val="002755E0"/>
    <w:rsid w:val="002755F7"/>
    <w:rsid w:val="002757A0"/>
    <w:rsid w:val="00275903"/>
    <w:rsid w:val="00275C4D"/>
    <w:rsid w:val="00275E3D"/>
    <w:rsid w:val="0027627F"/>
    <w:rsid w:val="00276290"/>
    <w:rsid w:val="00276307"/>
    <w:rsid w:val="002768BE"/>
    <w:rsid w:val="0027690F"/>
    <w:rsid w:val="0027695D"/>
    <w:rsid w:val="00276BDE"/>
    <w:rsid w:val="002774A5"/>
    <w:rsid w:val="002774A8"/>
    <w:rsid w:val="002775A3"/>
    <w:rsid w:val="00277652"/>
    <w:rsid w:val="0027778E"/>
    <w:rsid w:val="002777F1"/>
    <w:rsid w:val="0027790C"/>
    <w:rsid w:val="0027792C"/>
    <w:rsid w:val="00277ADA"/>
    <w:rsid w:val="00277BB6"/>
    <w:rsid w:val="00280467"/>
    <w:rsid w:val="002804B8"/>
    <w:rsid w:val="0028050C"/>
    <w:rsid w:val="00280511"/>
    <w:rsid w:val="0028051C"/>
    <w:rsid w:val="002806DB"/>
    <w:rsid w:val="00280798"/>
    <w:rsid w:val="00280E72"/>
    <w:rsid w:val="00280EAD"/>
    <w:rsid w:val="00281199"/>
    <w:rsid w:val="002813FB"/>
    <w:rsid w:val="002814F3"/>
    <w:rsid w:val="00281A10"/>
    <w:rsid w:val="00281A3B"/>
    <w:rsid w:val="00281EF8"/>
    <w:rsid w:val="0028217F"/>
    <w:rsid w:val="00282242"/>
    <w:rsid w:val="002822B8"/>
    <w:rsid w:val="00282563"/>
    <w:rsid w:val="00282938"/>
    <w:rsid w:val="002829FC"/>
    <w:rsid w:val="00282B62"/>
    <w:rsid w:val="00282BDC"/>
    <w:rsid w:val="00282C05"/>
    <w:rsid w:val="00282E0A"/>
    <w:rsid w:val="00282E3B"/>
    <w:rsid w:val="00282EBC"/>
    <w:rsid w:val="00283528"/>
    <w:rsid w:val="00283577"/>
    <w:rsid w:val="00283596"/>
    <w:rsid w:val="00283653"/>
    <w:rsid w:val="0028366A"/>
    <w:rsid w:val="002837E3"/>
    <w:rsid w:val="0028390A"/>
    <w:rsid w:val="00283B98"/>
    <w:rsid w:val="00283BE0"/>
    <w:rsid w:val="00283F2F"/>
    <w:rsid w:val="00283FF1"/>
    <w:rsid w:val="00283FFE"/>
    <w:rsid w:val="0028426D"/>
    <w:rsid w:val="0028438A"/>
    <w:rsid w:val="002845BE"/>
    <w:rsid w:val="00284C9E"/>
    <w:rsid w:val="00284E29"/>
    <w:rsid w:val="0028539D"/>
    <w:rsid w:val="00285882"/>
    <w:rsid w:val="00285C43"/>
    <w:rsid w:val="00285CFC"/>
    <w:rsid w:val="00285D8E"/>
    <w:rsid w:val="00285DA6"/>
    <w:rsid w:val="0028605F"/>
    <w:rsid w:val="002861B3"/>
    <w:rsid w:val="002861BB"/>
    <w:rsid w:val="0028660D"/>
    <w:rsid w:val="00286C4D"/>
    <w:rsid w:val="00286DBA"/>
    <w:rsid w:val="00286E0D"/>
    <w:rsid w:val="002870D7"/>
    <w:rsid w:val="00287233"/>
    <w:rsid w:val="00287276"/>
    <w:rsid w:val="00287431"/>
    <w:rsid w:val="00287534"/>
    <w:rsid w:val="00287649"/>
    <w:rsid w:val="0028786F"/>
    <w:rsid w:val="00287930"/>
    <w:rsid w:val="00287DD4"/>
    <w:rsid w:val="00287FE9"/>
    <w:rsid w:val="00290002"/>
    <w:rsid w:val="00290016"/>
    <w:rsid w:val="0029006B"/>
    <w:rsid w:val="002900C7"/>
    <w:rsid w:val="00290237"/>
    <w:rsid w:val="00290F09"/>
    <w:rsid w:val="00291197"/>
    <w:rsid w:val="00291255"/>
    <w:rsid w:val="00291529"/>
    <w:rsid w:val="002915C0"/>
    <w:rsid w:val="00291698"/>
    <w:rsid w:val="002919CF"/>
    <w:rsid w:val="00291B1F"/>
    <w:rsid w:val="00291CA2"/>
    <w:rsid w:val="00291E96"/>
    <w:rsid w:val="002920C6"/>
    <w:rsid w:val="00292114"/>
    <w:rsid w:val="00292280"/>
    <w:rsid w:val="002922C7"/>
    <w:rsid w:val="00292A25"/>
    <w:rsid w:val="00292BAA"/>
    <w:rsid w:val="00292DF4"/>
    <w:rsid w:val="00292FDA"/>
    <w:rsid w:val="002930CE"/>
    <w:rsid w:val="0029322D"/>
    <w:rsid w:val="002934EA"/>
    <w:rsid w:val="00293611"/>
    <w:rsid w:val="0029391C"/>
    <w:rsid w:val="00293C3F"/>
    <w:rsid w:val="00293C97"/>
    <w:rsid w:val="00293FF0"/>
    <w:rsid w:val="00294081"/>
    <w:rsid w:val="002940A8"/>
    <w:rsid w:val="0029423E"/>
    <w:rsid w:val="002943AC"/>
    <w:rsid w:val="00294960"/>
    <w:rsid w:val="00294B54"/>
    <w:rsid w:val="00294CAC"/>
    <w:rsid w:val="00294D4D"/>
    <w:rsid w:val="0029508D"/>
    <w:rsid w:val="00295A72"/>
    <w:rsid w:val="00295F55"/>
    <w:rsid w:val="00296039"/>
    <w:rsid w:val="002961FE"/>
    <w:rsid w:val="0029621B"/>
    <w:rsid w:val="0029669D"/>
    <w:rsid w:val="0029677D"/>
    <w:rsid w:val="00296966"/>
    <w:rsid w:val="002969E1"/>
    <w:rsid w:val="00296A25"/>
    <w:rsid w:val="00296ED9"/>
    <w:rsid w:val="00296F74"/>
    <w:rsid w:val="0029707F"/>
    <w:rsid w:val="0029735D"/>
    <w:rsid w:val="0029738E"/>
    <w:rsid w:val="002974AB"/>
    <w:rsid w:val="00297C16"/>
    <w:rsid w:val="00297E4F"/>
    <w:rsid w:val="00297FE2"/>
    <w:rsid w:val="002A0099"/>
    <w:rsid w:val="002A0451"/>
    <w:rsid w:val="002A051B"/>
    <w:rsid w:val="002A07F9"/>
    <w:rsid w:val="002A0864"/>
    <w:rsid w:val="002A0C76"/>
    <w:rsid w:val="002A0CCB"/>
    <w:rsid w:val="002A0D48"/>
    <w:rsid w:val="002A1107"/>
    <w:rsid w:val="002A11D1"/>
    <w:rsid w:val="002A178F"/>
    <w:rsid w:val="002A197D"/>
    <w:rsid w:val="002A1AB9"/>
    <w:rsid w:val="002A1B0D"/>
    <w:rsid w:val="002A1C27"/>
    <w:rsid w:val="002A1D16"/>
    <w:rsid w:val="002A217F"/>
    <w:rsid w:val="002A219F"/>
    <w:rsid w:val="002A21D5"/>
    <w:rsid w:val="002A2405"/>
    <w:rsid w:val="002A24F7"/>
    <w:rsid w:val="002A2895"/>
    <w:rsid w:val="002A289D"/>
    <w:rsid w:val="002A3067"/>
    <w:rsid w:val="002A31D7"/>
    <w:rsid w:val="002A3299"/>
    <w:rsid w:val="002A3487"/>
    <w:rsid w:val="002A34A8"/>
    <w:rsid w:val="002A3573"/>
    <w:rsid w:val="002A358E"/>
    <w:rsid w:val="002A3905"/>
    <w:rsid w:val="002A3959"/>
    <w:rsid w:val="002A3999"/>
    <w:rsid w:val="002A39E4"/>
    <w:rsid w:val="002A3A10"/>
    <w:rsid w:val="002A3FD4"/>
    <w:rsid w:val="002A4282"/>
    <w:rsid w:val="002A43DA"/>
    <w:rsid w:val="002A462B"/>
    <w:rsid w:val="002A48C8"/>
    <w:rsid w:val="002A499D"/>
    <w:rsid w:val="002A4AAF"/>
    <w:rsid w:val="002A4C8D"/>
    <w:rsid w:val="002A4ECB"/>
    <w:rsid w:val="002A4FDA"/>
    <w:rsid w:val="002A507A"/>
    <w:rsid w:val="002A50D5"/>
    <w:rsid w:val="002A5144"/>
    <w:rsid w:val="002A5542"/>
    <w:rsid w:val="002A58D3"/>
    <w:rsid w:val="002A6074"/>
    <w:rsid w:val="002A630C"/>
    <w:rsid w:val="002A63A9"/>
    <w:rsid w:val="002A640D"/>
    <w:rsid w:val="002A65A4"/>
    <w:rsid w:val="002A67B5"/>
    <w:rsid w:val="002A688C"/>
    <w:rsid w:val="002A68F0"/>
    <w:rsid w:val="002A6C42"/>
    <w:rsid w:val="002A6D64"/>
    <w:rsid w:val="002A6EAB"/>
    <w:rsid w:val="002A7045"/>
    <w:rsid w:val="002A705B"/>
    <w:rsid w:val="002A7086"/>
    <w:rsid w:val="002A70BC"/>
    <w:rsid w:val="002A75EE"/>
    <w:rsid w:val="002A77EA"/>
    <w:rsid w:val="002A795B"/>
    <w:rsid w:val="002A7A0F"/>
    <w:rsid w:val="002A7E33"/>
    <w:rsid w:val="002A7F97"/>
    <w:rsid w:val="002B0237"/>
    <w:rsid w:val="002B02E8"/>
    <w:rsid w:val="002B066B"/>
    <w:rsid w:val="002B0838"/>
    <w:rsid w:val="002B09D2"/>
    <w:rsid w:val="002B0D8A"/>
    <w:rsid w:val="002B0F0A"/>
    <w:rsid w:val="002B106E"/>
    <w:rsid w:val="002B1092"/>
    <w:rsid w:val="002B116C"/>
    <w:rsid w:val="002B128F"/>
    <w:rsid w:val="002B1485"/>
    <w:rsid w:val="002B1B52"/>
    <w:rsid w:val="002B1C2E"/>
    <w:rsid w:val="002B1D64"/>
    <w:rsid w:val="002B20E2"/>
    <w:rsid w:val="002B212F"/>
    <w:rsid w:val="002B231E"/>
    <w:rsid w:val="002B24BF"/>
    <w:rsid w:val="002B2685"/>
    <w:rsid w:val="002B269F"/>
    <w:rsid w:val="002B27AA"/>
    <w:rsid w:val="002B287A"/>
    <w:rsid w:val="002B2888"/>
    <w:rsid w:val="002B2BC9"/>
    <w:rsid w:val="002B2CAD"/>
    <w:rsid w:val="002B2DD9"/>
    <w:rsid w:val="002B2EED"/>
    <w:rsid w:val="002B2F0A"/>
    <w:rsid w:val="002B2F28"/>
    <w:rsid w:val="002B3013"/>
    <w:rsid w:val="002B3285"/>
    <w:rsid w:val="002B3376"/>
    <w:rsid w:val="002B3982"/>
    <w:rsid w:val="002B3D01"/>
    <w:rsid w:val="002B3D66"/>
    <w:rsid w:val="002B3D89"/>
    <w:rsid w:val="002B3F1D"/>
    <w:rsid w:val="002B441E"/>
    <w:rsid w:val="002B47DB"/>
    <w:rsid w:val="002B4809"/>
    <w:rsid w:val="002B48FC"/>
    <w:rsid w:val="002B4AC1"/>
    <w:rsid w:val="002B4AD5"/>
    <w:rsid w:val="002B4D84"/>
    <w:rsid w:val="002B534A"/>
    <w:rsid w:val="002B55F7"/>
    <w:rsid w:val="002B5646"/>
    <w:rsid w:val="002B59BA"/>
    <w:rsid w:val="002B5AE1"/>
    <w:rsid w:val="002B5BC9"/>
    <w:rsid w:val="002B5C79"/>
    <w:rsid w:val="002B5F39"/>
    <w:rsid w:val="002B61A7"/>
    <w:rsid w:val="002B6204"/>
    <w:rsid w:val="002B62B2"/>
    <w:rsid w:val="002B633B"/>
    <w:rsid w:val="002B634E"/>
    <w:rsid w:val="002B63BB"/>
    <w:rsid w:val="002B6444"/>
    <w:rsid w:val="002B66B1"/>
    <w:rsid w:val="002B6A9C"/>
    <w:rsid w:val="002B6B2E"/>
    <w:rsid w:val="002B6D24"/>
    <w:rsid w:val="002B700E"/>
    <w:rsid w:val="002B7271"/>
    <w:rsid w:val="002B72BA"/>
    <w:rsid w:val="002B749F"/>
    <w:rsid w:val="002B757B"/>
    <w:rsid w:val="002B75ED"/>
    <w:rsid w:val="002B784F"/>
    <w:rsid w:val="002B7931"/>
    <w:rsid w:val="002B7B1C"/>
    <w:rsid w:val="002B7BFA"/>
    <w:rsid w:val="002B7C4F"/>
    <w:rsid w:val="002B7EA6"/>
    <w:rsid w:val="002B7F86"/>
    <w:rsid w:val="002B7FC5"/>
    <w:rsid w:val="002C015B"/>
    <w:rsid w:val="002C0186"/>
    <w:rsid w:val="002C099B"/>
    <w:rsid w:val="002C09ED"/>
    <w:rsid w:val="002C0B0E"/>
    <w:rsid w:val="002C0BBF"/>
    <w:rsid w:val="002C0C2B"/>
    <w:rsid w:val="002C0E80"/>
    <w:rsid w:val="002C1124"/>
    <w:rsid w:val="002C13E2"/>
    <w:rsid w:val="002C14BA"/>
    <w:rsid w:val="002C15B0"/>
    <w:rsid w:val="002C1BF5"/>
    <w:rsid w:val="002C1D59"/>
    <w:rsid w:val="002C1E1A"/>
    <w:rsid w:val="002C1FAC"/>
    <w:rsid w:val="002C1FEA"/>
    <w:rsid w:val="002C1FFF"/>
    <w:rsid w:val="002C229E"/>
    <w:rsid w:val="002C23FF"/>
    <w:rsid w:val="002C25E2"/>
    <w:rsid w:val="002C262D"/>
    <w:rsid w:val="002C273D"/>
    <w:rsid w:val="002C2995"/>
    <w:rsid w:val="002C29FF"/>
    <w:rsid w:val="002C2A03"/>
    <w:rsid w:val="002C2EFA"/>
    <w:rsid w:val="002C30F7"/>
    <w:rsid w:val="002C3219"/>
    <w:rsid w:val="002C3D3E"/>
    <w:rsid w:val="002C3FC7"/>
    <w:rsid w:val="002C4064"/>
    <w:rsid w:val="002C406F"/>
    <w:rsid w:val="002C4084"/>
    <w:rsid w:val="002C4092"/>
    <w:rsid w:val="002C4099"/>
    <w:rsid w:val="002C4379"/>
    <w:rsid w:val="002C4386"/>
    <w:rsid w:val="002C44BA"/>
    <w:rsid w:val="002C4974"/>
    <w:rsid w:val="002C4A19"/>
    <w:rsid w:val="002C4B7C"/>
    <w:rsid w:val="002C4EF3"/>
    <w:rsid w:val="002C4F08"/>
    <w:rsid w:val="002C4F6F"/>
    <w:rsid w:val="002C4F7F"/>
    <w:rsid w:val="002C516A"/>
    <w:rsid w:val="002C5834"/>
    <w:rsid w:val="002C5869"/>
    <w:rsid w:val="002C5A57"/>
    <w:rsid w:val="002C5AAD"/>
    <w:rsid w:val="002C5B45"/>
    <w:rsid w:val="002C60A8"/>
    <w:rsid w:val="002C656D"/>
    <w:rsid w:val="002C6D3D"/>
    <w:rsid w:val="002C6E4F"/>
    <w:rsid w:val="002C6FA6"/>
    <w:rsid w:val="002C712D"/>
    <w:rsid w:val="002C73BA"/>
    <w:rsid w:val="002C748B"/>
    <w:rsid w:val="002C748E"/>
    <w:rsid w:val="002C749D"/>
    <w:rsid w:val="002C755D"/>
    <w:rsid w:val="002C7736"/>
    <w:rsid w:val="002C7772"/>
    <w:rsid w:val="002C78DD"/>
    <w:rsid w:val="002C7B8F"/>
    <w:rsid w:val="002C7C39"/>
    <w:rsid w:val="002C7C3C"/>
    <w:rsid w:val="002C7C62"/>
    <w:rsid w:val="002C7C8F"/>
    <w:rsid w:val="002C7D27"/>
    <w:rsid w:val="002C7D8F"/>
    <w:rsid w:val="002C7E84"/>
    <w:rsid w:val="002D0025"/>
    <w:rsid w:val="002D007F"/>
    <w:rsid w:val="002D00DC"/>
    <w:rsid w:val="002D05A7"/>
    <w:rsid w:val="002D05BE"/>
    <w:rsid w:val="002D05EC"/>
    <w:rsid w:val="002D065E"/>
    <w:rsid w:val="002D0792"/>
    <w:rsid w:val="002D0A10"/>
    <w:rsid w:val="002D0D61"/>
    <w:rsid w:val="002D0E20"/>
    <w:rsid w:val="002D1461"/>
    <w:rsid w:val="002D16FA"/>
    <w:rsid w:val="002D1712"/>
    <w:rsid w:val="002D1799"/>
    <w:rsid w:val="002D17F5"/>
    <w:rsid w:val="002D1A9A"/>
    <w:rsid w:val="002D1AE8"/>
    <w:rsid w:val="002D1D38"/>
    <w:rsid w:val="002D1E51"/>
    <w:rsid w:val="002D21DF"/>
    <w:rsid w:val="002D225C"/>
    <w:rsid w:val="002D228E"/>
    <w:rsid w:val="002D26E3"/>
    <w:rsid w:val="002D277F"/>
    <w:rsid w:val="002D2873"/>
    <w:rsid w:val="002D2899"/>
    <w:rsid w:val="002D2A82"/>
    <w:rsid w:val="002D2AEF"/>
    <w:rsid w:val="002D2BE9"/>
    <w:rsid w:val="002D2C5F"/>
    <w:rsid w:val="002D2D5F"/>
    <w:rsid w:val="002D2E23"/>
    <w:rsid w:val="002D3211"/>
    <w:rsid w:val="002D329D"/>
    <w:rsid w:val="002D32DE"/>
    <w:rsid w:val="002D34FD"/>
    <w:rsid w:val="002D3592"/>
    <w:rsid w:val="002D3694"/>
    <w:rsid w:val="002D38A6"/>
    <w:rsid w:val="002D3C94"/>
    <w:rsid w:val="002D3D75"/>
    <w:rsid w:val="002D3DA6"/>
    <w:rsid w:val="002D3E6F"/>
    <w:rsid w:val="002D40B0"/>
    <w:rsid w:val="002D44F6"/>
    <w:rsid w:val="002D4869"/>
    <w:rsid w:val="002D488D"/>
    <w:rsid w:val="002D4945"/>
    <w:rsid w:val="002D4B43"/>
    <w:rsid w:val="002D516C"/>
    <w:rsid w:val="002D52DA"/>
    <w:rsid w:val="002D5336"/>
    <w:rsid w:val="002D536E"/>
    <w:rsid w:val="002D537C"/>
    <w:rsid w:val="002D53EB"/>
    <w:rsid w:val="002D5624"/>
    <w:rsid w:val="002D571B"/>
    <w:rsid w:val="002D59F7"/>
    <w:rsid w:val="002D5A6C"/>
    <w:rsid w:val="002D5AC1"/>
    <w:rsid w:val="002D5B0C"/>
    <w:rsid w:val="002D5D6C"/>
    <w:rsid w:val="002D5E03"/>
    <w:rsid w:val="002D658D"/>
    <w:rsid w:val="002D6636"/>
    <w:rsid w:val="002D698A"/>
    <w:rsid w:val="002D6BEB"/>
    <w:rsid w:val="002D6BFA"/>
    <w:rsid w:val="002D6D81"/>
    <w:rsid w:val="002D6F3B"/>
    <w:rsid w:val="002D6FDA"/>
    <w:rsid w:val="002D74C1"/>
    <w:rsid w:val="002D753D"/>
    <w:rsid w:val="002D77AF"/>
    <w:rsid w:val="002D7997"/>
    <w:rsid w:val="002D79EC"/>
    <w:rsid w:val="002D7E4A"/>
    <w:rsid w:val="002E027B"/>
    <w:rsid w:val="002E0298"/>
    <w:rsid w:val="002E071D"/>
    <w:rsid w:val="002E0767"/>
    <w:rsid w:val="002E0C52"/>
    <w:rsid w:val="002E0D93"/>
    <w:rsid w:val="002E0E0C"/>
    <w:rsid w:val="002E10D9"/>
    <w:rsid w:val="002E10E6"/>
    <w:rsid w:val="002E117B"/>
    <w:rsid w:val="002E1351"/>
    <w:rsid w:val="002E17FD"/>
    <w:rsid w:val="002E1852"/>
    <w:rsid w:val="002E1B58"/>
    <w:rsid w:val="002E1CFD"/>
    <w:rsid w:val="002E203C"/>
    <w:rsid w:val="002E2B21"/>
    <w:rsid w:val="002E2F71"/>
    <w:rsid w:val="002E31C1"/>
    <w:rsid w:val="002E32AE"/>
    <w:rsid w:val="002E32CE"/>
    <w:rsid w:val="002E3383"/>
    <w:rsid w:val="002E37EE"/>
    <w:rsid w:val="002E3CE8"/>
    <w:rsid w:val="002E3F43"/>
    <w:rsid w:val="002E4061"/>
    <w:rsid w:val="002E41EF"/>
    <w:rsid w:val="002E4889"/>
    <w:rsid w:val="002E492D"/>
    <w:rsid w:val="002E4A13"/>
    <w:rsid w:val="002E546E"/>
    <w:rsid w:val="002E54FF"/>
    <w:rsid w:val="002E56F9"/>
    <w:rsid w:val="002E5A04"/>
    <w:rsid w:val="002E5B84"/>
    <w:rsid w:val="002E603E"/>
    <w:rsid w:val="002E613F"/>
    <w:rsid w:val="002E6218"/>
    <w:rsid w:val="002E6311"/>
    <w:rsid w:val="002E6569"/>
    <w:rsid w:val="002E66FB"/>
    <w:rsid w:val="002E6932"/>
    <w:rsid w:val="002E69C4"/>
    <w:rsid w:val="002E6BDB"/>
    <w:rsid w:val="002E6BF3"/>
    <w:rsid w:val="002E6D77"/>
    <w:rsid w:val="002E7362"/>
    <w:rsid w:val="002E7A73"/>
    <w:rsid w:val="002E7BBF"/>
    <w:rsid w:val="002E7C76"/>
    <w:rsid w:val="002E7D90"/>
    <w:rsid w:val="002E7E65"/>
    <w:rsid w:val="002E7F1F"/>
    <w:rsid w:val="002E9801"/>
    <w:rsid w:val="002F0290"/>
    <w:rsid w:val="002F06B3"/>
    <w:rsid w:val="002F06C8"/>
    <w:rsid w:val="002F070B"/>
    <w:rsid w:val="002F0A8C"/>
    <w:rsid w:val="002F0BA3"/>
    <w:rsid w:val="002F0EF7"/>
    <w:rsid w:val="002F1173"/>
    <w:rsid w:val="002F12CF"/>
    <w:rsid w:val="002F1529"/>
    <w:rsid w:val="002F1643"/>
    <w:rsid w:val="002F1C9F"/>
    <w:rsid w:val="002F1DC8"/>
    <w:rsid w:val="002F2212"/>
    <w:rsid w:val="002F247C"/>
    <w:rsid w:val="002F26B6"/>
    <w:rsid w:val="002F26EE"/>
    <w:rsid w:val="002F2711"/>
    <w:rsid w:val="002F2986"/>
    <w:rsid w:val="002F2BCF"/>
    <w:rsid w:val="002F2DB7"/>
    <w:rsid w:val="002F3159"/>
    <w:rsid w:val="002F380F"/>
    <w:rsid w:val="002F3814"/>
    <w:rsid w:val="002F3874"/>
    <w:rsid w:val="002F38B2"/>
    <w:rsid w:val="002F3952"/>
    <w:rsid w:val="002F3BF7"/>
    <w:rsid w:val="002F3C5B"/>
    <w:rsid w:val="002F3C60"/>
    <w:rsid w:val="002F3D53"/>
    <w:rsid w:val="002F4036"/>
    <w:rsid w:val="002F4102"/>
    <w:rsid w:val="002F420C"/>
    <w:rsid w:val="002F4238"/>
    <w:rsid w:val="002F46F8"/>
    <w:rsid w:val="002F49A9"/>
    <w:rsid w:val="002F4ADE"/>
    <w:rsid w:val="002F4C82"/>
    <w:rsid w:val="002F4CDD"/>
    <w:rsid w:val="002F4DB6"/>
    <w:rsid w:val="002F5083"/>
    <w:rsid w:val="002F51E8"/>
    <w:rsid w:val="002F559C"/>
    <w:rsid w:val="002F576A"/>
    <w:rsid w:val="002F5C0E"/>
    <w:rsid w:val="002F5CAE"/>
    <w:rsid w:val="002F5E10"/>
    <w:rsid w:val="002F6617"/>
    <w:rsid w:val="002F6676"/>
    <w:rsid w:val="002F67BB"/>
    <w:rsid w:val="002F67C6"/>
    <w:rsid w:val="002F6A3D"/>
    <w:rsid w:val="002F6AA0"/>
    <w:rsid w:val="002F6BBF"/>
    <w:rsid w:val="002F6C4D"/>
    <w:rsid w:val="002F6D4E"/>
    <w:rsid w:val="002F6D7D"/>
    <w:rsid w:val="002F6DDB"/>
    <w:rsid w:val="002F6E2A"/>
    <w:rsid w:val="002F6F8C"/>
    <w:rsid w:val="002F73F4"/>
    <w:rsid w:val="002F74F7"/>
    <w:rsid w:val="002F7570"/>
    <w:rsid w:val="002F75C1"/>
    <w:rsid w:val="002F77CB"/>
    <w:rsid w:val="002F78C1"/>
    <w:rsid w:val="002F78DB"/>
    <w:rsid w:val="002F7B38"/>
    <w:rsid w:val="002F7CA8"/>
    <w:rsid w:val="0030011B"/>
    <w:rsid w:val="00300147"/>
    <w:rsid w:val="0030017D"/>
    <w:rsid w:val="00300542"/>
    <w:rsid w:val="00300550"/>
    <w:rsid w:val="003007B0"/>
    <w:rsid w:val="003007F1"/>
    <w:rsid w:val="00300BBE"/>
    <w:rsid w:val="00300D5A"/>
    <w:rsid w:val="00300DDA"/>
    <w:rsid w:val="00300ED7"/>
    <w:rsid w:val="00300FDC"/>
    <w:rsid w:val="00301129"/>
    <w:rsid w:val="00301173"/>
    <w:rsid w:val="003013FF"/>
    <w:rsid w:val="0030150F"/>
    <w:rsid w:val="00301570"/>
    <w:rsid w:val="00301681"/>
    <w:rsid w:val="003016AB"/>
    <w:rsid w:val="003017AA"/>
    <w:rsid w:val="00301891"/>
    <w:rsid w:val="00301A06"/>
    <w:rsid w:val="00301ADD"/>
    <w:rsid w:val="00301B4B"/>
    <w:rsid w:val="00301C1D"/>
    <w:rsid w:val="00301D25"/>
    <w:rsid w:val="00301F38"/>
    <w:rsid w:val="00302154"/>
    <w:rsid w:val="003021A8"/>
    <w:rsid w:val="003025C0"/>
    <w:rsid w:val="003025D6"/>
    <w:rsid w:val="0030260B"/>
    <w:rsid w:val="00302736"/>
    <w:rsid w:val="0030275C"/>
    <w:rsid w:val="0030275E"/>
    <w:rsid w:val="00302C33"/>
    <w:rsid w:val="00302C39"/>
    <w:rsid w:val="00302CE5"/>
    <w:rsid w:val="00303382"/>
    <w:rsid w:val="003037FF"/>
    <w:rsid w:val="00303820"/>
    <w:rsid w:val="0030393C"/>
    <w:rsid w:val="003039EA"/>
    <w:rsid w:val="00303B8A"/>
    <w:rsid w:val="00304587"/>
    <w:rsid w:val="00304761"/>
    <w:rsid w:val="0030488C"/>
    <w:rsid w:val="003048A8"/>
    <w:rsid w:val="00304950"/>
    <w:rsid w:val="00304BA1"/>
    <w:rsid w:val="00304CA8"/>
    <w:rsid w:val="00304DFA"/>
    <w:rsid w:val="003050F4"/>
    <w:rsid w:val="00305587"/>
    <w:rsid w:val="00305ADC"/>
    <w:rsid w:val="00305C96"/>
    <w:rsid w:val="00305CB2"/>
    <w:rsid w:val="00305E16"/>
    <w:rsid w:val="00305E54"/>
    <w:rsid w:val="00306018"/>
    <w:rsid w:val="0030617A"/>
    <w:rsid w:val="0030657F"/>
    <w:rsid w:val="00306809"/>
    <w:rsid w:val="00306841"/>
    <w:rsid w:val="003068B2"/>
    <w:rsid w:val="003069BD"/>
    <w:rsid w:val="00306A71"/>
    <w:rsid w:val="00306E91"/>
    <w:rsid w:val="00306ED6"/>
    <w:rsid w:val="00306EED"/>
    <w:rsid w:val="003070B0"/>
    <w:rsid w:val="0030710C"/>
    <w:rsid w:val="0030720D"/>
    <w:rsid w:val="0030779B"/>
    <w:rsid w:val="0030798D"/>
    <w:rsid w:val="00307A0D"/>
    <w:rsid w:val="00307B91"/>
    <w:rsid w:val="00307CC8"/>
    <w:rsid w:val="00307F5D"/>
    <w:rsid w:val="003100CB"/>
    <w:rsid w:val="00310331"/>
    <w:rsid w:val="003109D1"/>
    <w:rsid w:val="00310A75"/>
    <w:rsid w:val="00310ADF"/>
    <w:rsid w:val="00310D0E"/>
    <w:rsid w:val="00310E4C"/>
    <w:rsid w:val="00310ECF"/>
    <w:rsid w:val="00310F0E"/>
    <w:rsid w:val="00311040"/>
    <w:rsid w:val="00311072"/>
    <w:rsid w:val="00311887"/>
    <w:rsid w:val="0031197A"/>
    <w:rsid w:val="00311E8F"/>
    <w:rsid w:val="00311F83"/>
    <w:rsid w:val="00312274"/>
    <w:rsid w:val="003123ED"/>
    <w:rsid w:val="003123F9"/>
    <w:rsid w:val="00312424"/>
    <w:rsid w:val="00312475"/>
    <w:rsid w:val="00312584"/>
    <w:rsid w:val="0031261E"/>
    <w:rsid w:val="00312857"/>
    <w:rsid w:val="00312894"/>
    <w:rsid w:val="00312935"/>
    <w:rsid w:val="00313124"/>
    <w:rsid w:val="003131D9"/>
    <w:rsid w:val="0031336C"/>
    <w:rsid w:val="003135F7"/>
    <w:rsid w:val="0031360B"/>
    <w:rsid w:val="00313E5A"/>
    <w:rsid w:val="003140FC"/>
    <w:rsid w:val="00314222"/>
    <w:rsid w:val="00314231"/>
    <w:rsid w:val="00314362"/>
    <w:rsid w:val="003145D4"/>
    <w:rsid w:val="00314601"/>
    <w:rsid w:val="003149B2"/>
    <w:rsid w:val="00314A4F"/>
    <w:rsid w:val="00314B67"/>
    <w:rsid w:val="00314B97"/>
    <w:rsid w:val="00314F3E"/>
    <w:rsid w:val="00315242"/>
    <w:rsid w:val="003153A6"/>
    <w:rsid w:val="0031579B"/>
    <w:rsid w:val="003157CF"/>
    <w:rsid w:val="003158DD"/>
    <w:rsid w:val="00315CB9"/>
    <w:rsid w:val="00315F27"/>
    <w:rsid w:val="00316101"/>
    <w:rsid w:val="00316154"/>
    <w:rsid w:val="00316280"/>
    <w:rsid w:val="0031649F"/>
    <w:rsid w:val="0031659E"/>
    <w:rsid w:val="00316622"/>
    <w:rsid w:val="003166F1"/>
    <w:rsid w:val="00316819"/>
    <w:rsid w:val="00316AF8"/>
    <w:rsid w:val="00316B71"/>
    <w:rsid w:val="00316BF2"/>
    <w:rsid w:val="00316E0D"/>
    <w:rsid w:val="0031705B"/>
    <w:rsid w:val="0031706E"/>
    <w:rsid w:val="003173E0"/>
    <w:rsid w:val="003173E8"/>
    <w:rsid w:val="0031778B"/>
    <w:rsid w:val="003179AC"/>
    <w:rsid w:val="003179CB"/>
    <w:rsid w:val="003201B4"/>
    <w:rsid w:val="0032036A"/>
    <w:rsid w:val="003203FE"/>
    <w:rsid w:val="00320607"/>
    <w:rsid w:val="0032093D"/>
    <w:rsid w:val="00320A2D"/>
    <w:rsid w:val="00320B3B"/>
    <w:rsid w:val="00320C26"/>
    <w:rsid w:val="00321091"/>
    <w:rsid w:val="003212C1"/>
    <w:rsid w:val="00321368"/>
    <w:rsid w:val="00321419"/>
    <w:rsid w:val="00321484"/>
    <w:rsid w:val="0032183A"/>
    <w:rsid w:val="0032186D"/>
    <w:rsid w:val="00321900"/>
    <w:rsid w:val="00321904"/>
    <w:rsid w:val="00321A1A"/>
    <w:rsid w:val="00321A51"/>
    <w:rsid w:val="00321BF1"/>
    <w:rsid w:val="00321C09"/>
    <w:rsid w:val="00321E0F"/>
    <w:rsid w:val="00322336"/>
    <w:rsid w:val="0032241E"/>
    <w:rsid w:val="00322449"/>
    <w:rsid w:val="003224BD"/>
    <w:rsid w:val="0032263C"/>
    <w:rsid w:val="0032269A"/>
    <w:rsid w:val="00322716"/>
    <w:rsid w:val="00322CD9"/>
    <w:rsid w:val="00322D7B"/>
    <w:rsid w:val="00322E0A"/>
    <w:rsid w:val="00322F45"/>
    <w:rsid w:val="003233C2"/>
    <w:rsid w:val="00323452"/>
    <w:rsid w:val="00323566"/>
    <w:rsid w:val="00323993"/>
    <w:rsid w:val="00323B86"/>
    <w:rsid w:val="00323DF3"/>
    <w:rsid w:val="00324079"/>
    <w:rsid w:val="0032476E"/>
    <w:rsid w:val="00324775"/>
    <w:rsid w:val="003248EA"/>
    <w:rsid w:val="0032492A"/>
    <w:rsid w:val="00324AD4"/>
    <w:rsid w:val="00324B94"/>
    <w:rsid w:val="00324BB6"/>
    <w:rsid w:val="00324E7B"/>
    <w:rsid w:val="00324E94"/>
    <w:rsid w:val="00324F05"/>
    <w:rsid w:val="00325089"/>
    <w:rsid w:val="00325154"/>
    <w:rsid w:val="00325388"/>
    <w:rsid w:val="0032555F"/>
    <w:rsid w:val="00325A7A"/>
    <w:rsid w:val="00325B97"/>
    <w:rsid w:val="00325E0C"/>
    <w:rsid w:val="00326137"/>
    <w:rsid w:val="003263C5"/>
    <w:rsid w:val="00326420"/>
    <w:rsid w:val="00326550"/>
    <w:rsid w:val="003265AE"/>
    <w:rsid w:val="0032687C"/>
    <w:rsid w:val="00326A41"/>
    <w:rsid w:val="00326F93"/>
    <w:rsid w:val="00327067"/>
    <w:rsid w:val="003270BC"/>
    <w:rsid w:val="00327153"/>
    <w:rsid w:val="00327213"/>
    <w:rsid w:val="0032732F"/>
    <w:rsid w:val="0032746D"/>
    <w:rsid w:val="00327AA3"/>
    <w:rsid w:val="00327CF1"/>
    <w:rsid w:val="00327D31"/>
    <w:rsid w:val="00327E4B"/>
    <w:rsid w:val="003300FD"/>
    <w:rsid w:val="0033032D"/>
    <w:rsid w:val="00330767"/>
    <w:rsid w:val="00330995"/>
    <w:rsid w:val="00330D59"/>
    <w:rsid w:val="00330ED7"/>
    <w:rsid w:val="003310CD"/>
    <w:rsid w:val="00331443"/>
    <w:rsid w:val="003317B8"/>
    <w:rsid w:val="00331815"/>
    <w:rsid w:val="00331B0A"/>
    <w:rsid w:val="00331B1A"/>
    <w:rsid w:val="00332182"/>
    <w:rsid w:val="003323C4"/>
    <w:rsid w:val="00332448"/>
    <w:rsid w:val="0033267A"/>
    <w:rsid w:val="003327B3"/>
    <w:rsid w:val="00332A4F"/>
    <w:rsid w:val="00332B76"/>
    <w:rsid w:val="00332EE8"/>
    <w:rsid w:val="00333190"/>
    <w:rsid w:val="00333274"/>
    <w:rsid w:val="00333434"/>
    <w:rsid w:val="0033355B"/>
    <w:rsid w:val="003335A0"/>
    <w:rsid w:val="00333C4A"/>
    <w:rsid w:val="00333DC6"/>
    <w:rsid w:val="00333E7E"/>
    <w:rsid w:val="00333EFE"/>
    <w:rsid w:val="00333F4A"/>
    <w:rsid w:val="00334298"/>
    <w:rsid w:val="00334440"/>
    <w:rsid w:val="0033450F"/>
    <w:rsid w:val="00334D6A"/>
    <w:rsid w:val="0033507E"/>
    <w:rsid w:val="00335310"/>
    <w:rsid w:val="0033555E"/>
    <w:rsid w:val="003356DF"/>
    <w:rsid w:val="00335AEE"/>
    <w:rsid w:val="00335C7E"/>
    <w:rsid w:val="00335E40"/>
    <w:rsid w:val="00335E6C"/>
    <w:rsid w:val="003364E4"/>
    <w:rsid w:val="00336505"/>
    <w:rsid w:val="00336983"/>
    <w:rsid w:val="003369D1"/>
    <w:rsid w:val="00336A9C"/>
    <w:rsid w:val="00336B00"/>
    <w:rsid w:val="00336B8C"/>
    <w:rsid w:val="00336FBB"/>
    <w:rsid w:val="00337075"/>
    <w:rsid w:val="00337089"/>
    <w:rsid w:val="00337131"/>
    <w:rsid w:val="003374F4"/>
    <w:rsid w:val="00337514"/>
    <w:rsid w:val="00337750"/>
    <w:rsid w:val="0033781B"/>
    <w:rsid w:val="0033786B"/>
    <w:rsid w:val="00337B3E"/>
    <w:rsid w:val="00337D7D"/>
    <w:rsid w:val="00337FAF"/>
    <w:rsid w:val="0033A97B"/>
    <w:rsid w:val="003408A2"/>
    <w:rsid w:val="003408E7"/>
    <w:rsid w:val="00340A84"/>
    <w:rsid w:val="00340C8E"/>
    <w:rsid w:val="00340F64"/>
    <w:rsid w:val="00341222"/>
    <w:rsid w:val="00341593"/>
    <w:rsid w:val="00341BB5"/>
    <w:rsid w:val="00341E12"/>
    <w:rsid w:val="00341F89"/>
    <w:rsid w:val="0034222B"/>
    <w:rsid w:val="0034229F"/>
    <w:rsid w:val="0034243E"/>
    <w:rsid w:val="00342645"/>
    <w:rsid w:val="00342762"/>
    <w:rsid w:val="00342840"/>
    <w:rsid w:val="003429A4"/>
    <w:rsid w:val="003429A6"/>
    <w:rsid w:val="00342B67"/>
    <w:rsid w:val="00342D96"/>
    <w:rsid w:val="00342ED6"/>
    <w:rsid w:val="00342FF7"/>
    <w:rsid w:val="00343453"/>
    <w:rsid w:val="0034345F"/>
    <w:rsid w:val="003434A9"/>
    <w:rsid w:val="00343627"/>
    <w:rsid w:val="00343801"/>
    <w:rsid w:val="0034389E"/>
    <w:rsid w:val="00343A45"/>
    <w:rsid w:val="00343AB4"/>
    <w:rsid w:val="00343C51"/>
    <w:rsid w:val="00343CCB"/>
    <w:rsid w:val="00343E5E"/>
    <w:rsid w:val="0034419B"/>
    <w:rsid w:val="003442CD"/>
    <w:rsid w:val="0034463B"/>
    <w:rsid w:val="00344671"/>
    <w:rsid w:val="003446DC"/>
    <w:rsid w:val="00344824"/>
    <w:rsid w:val="00344ACE"/>
    <w:rsid w:val="00344D4D"/>
    <w:rsid w:val="00344E20"/>
    <w:rsid w:val="0034500B"/>
    <w:rsid w:val="003450AA"/>
    <w:rsid w:val="0034526A"/>
    <w:rsid w:val="003452F3"/>
    <w:rsid w:val="00345481"/>
    <w:rsid w:val="003454A9"/>
    <w:rsid w:val="003459FE"/>
    <w:rsid w:val="00345CCE"/>
    <w:rsid w:val="00345D10"/>
    <w:rsid w:val="00345D56"/>
    <w:rsid w:val="00346206"/>
    <w:rsid w:val="003462A2"/>
    <w:rsid w:val="003465C9"/>
    <w:rsid w:val="00346D61"/>
    <w:rsid w:val="00346ED4"/>
    <w:rsid w:val="003472AB"/>
    <w:rsid w:val="003473BE"/>
    <w:rsid w:val="003474CB"/>
    <w:rsid w:val="003475CF"/>
    <w:rsid w:val="00350146"/>
    <w:rsid w:val="00350164"/>
    <w:rsid w:val="00350293"/>
    <w:rsid w:val="003502D8"/>
    <w:rsid w:val="0035035C"/>
    <w:rsid w:val="003503CE"/>
    <w:rsid w:val="003503E3"/>
    <w:rsid w:val="003504A3"/>
    <w:rsid w:val="00350BC9"/>
    <w:rsid w:val="00350C25"/>
    <w:rsid w:val="00351241"/>
    <w:rsid w:val="00351278"/>
    <w:rsid w:val="00351286"/>
    <w:rsid w:val="0035136E"/>
    <w:rsid w:val="00351523"/>
    <w:rsid w:val="00351610"/>
    <w:rsid w:val="00351810"/>
    <w:rsid w:val="0035181E"/>
    <w:rsid w:val="003518E3"/>
    <w:rsid w:val="00351B58"/>
    <w:rsid w:val="00351CB4"/>
    <w:rsid w:val="00351D10"/>
    <w:rsid w:val="00351D4C"/>
    <w:rsid w:val="00351DB3"/>
    <w:rsid w:val="003520A4"/>
    <w:rsid w:val="0035217F"/>
    <w:rsid w:val="00352441"/>
    <w:rsid w:val="003525D3"/>
    <w:rsid w:val="00352619"/>
    <w:rsid w:val="00352714"/>
    <w:rsid w:val="003528CA"/>
    <w:rsid w:val="00352B16"/>
    <w:rsid w:val="00352CD6"/>
    <w:rsid w:val="00352D19"/>
    <w:rsid w:val="00352D21"/>
    <w:rsid w:val="00352DEF"/>
    <w:rsid w:val="00352FB2"/>
    <w:rsid w:val="00353763"/>
    <w:rsid w:val="00353C90"/>
    <w:rsid w:val="00353CC2"/>
    <w:rsid w:val="00353EC8"/>
    <w:rsid w:val="00353FD3"/>
    <w:rsid w:val="00354165"/>
    <w:rsid w:val="0035419E"/>
    <w:rsid w:val="0035427D"/>
    <w:rsid w:val="003544EA"/>
    <w:rsid w:val="00354508"/>
    <w:rsid w:val="00354968"/>
    <w:rsid w:val="0035498C"/>
    <w:rsid w:val="00354B62"/>
    <w:rsid w:val="00354DCA"/>
    <w:rsid w:val="00354DD7"/>
    <w:rsid w:val="003550F9"/>
    <w:rsid w:val="003551BB"/>
    <w:rsid w:val="00355218"/>
    <w:rsid w:val="00355370"/>
    <w:rsid w:val="00355437"/>
    <w:rsid w:val="00355606"/>
    <w:rsid w:val="0035583A"/>
    <w:rsid w:val="00355909"/>
    <w:rsid w:val="00355B2F"/>
    <w:rsid w:val="00355BA0"/>
    <w:rsid w:val="003560A9"/>
    <w:rsid w:val="00356178"/>
    <w:rsid w:val="003561D9"/>
    <w:rsid w:val="00356524"/>
    <w:rsid w:val="003567E4"/>
    <w:rsid w:val="003568B2"/>
    <w:rsid w:val="00356993"/>
    <w:rsid w:val="00356AF8"/>
    <w:rsid w:val="00356C75"/>
    <w:rsid w:val="003573D5"/>
    <w:rsid w:val="00357AB0"/>
    <w:rsid w:val="00357C9B"/>
    <w:rsid w:val="00357DA8"/>
    <w:rsid w:val="00357E0F"/>
    <w:rsid w:val="00357E32"/>
    <w:rsid w:val="00357E97"/>
    <w:rsid w:val="00360105"/>
    <w:rsid w:val="00360582"/>
    <w:rsid w:val="00360A7F"/>
    <w:rsid w:val="00360BF7"/>
    <w:rsid w:val="00361012"/>
    <w:rsid w:val="0036126D"/>
    <w:rsid w:val="00361455"/>
    <w:rsid w:val="0036168D"/>
    <w:rsid w:val="003616C2"/>
    <w:rsid w:val="00361A2C"/>
    <w:rsid w:val="00361D02"/>
    <w:rsid w:val="00361D15"/>
    <w:rsid w:val="00361F08"/>
    <w:rsid w:val="00362038"/>
    <w:rsid w:val="00362222"/>
    <w:rsid w:val="003624B1"/>
    <w:rsid w:val="00362ADC"/>
    <w:rsid w:val="00362C37"/>
    <w:rsid w:val="00362D13"/>
    <w:rsid w:val="00362D25"/>
    <w:rsid w:val="00362DA1"/>
    <w:rsid w:val="00363253"/>
    <w:rsid w:val="0036333D"/>
    <w:rsid w:val="00363756"/>
    <w:rsid w:val="00363A55"/>
    <w:rsid w:val="00363B29"/>
    <w:rsid w:val="00363CB8"/>
    <w:rsid w:val="00363EAC"/>
    <w:rsid w:val="00363EC1"/>
    <w:rsid w:val="003645B8"/>
    <w:rsid w:val="0036463B"/>
    <w:rsid w:val="003646A0"/>
    <w:rsid w:val="003646E2"/>
    <w:rsid w:val="00364825"/>
    <w:rsid w:val="0036485B"/>
    <w:rsid w:val="003648B9"/>
    <w:rsid w:val="00364AD7"/>
    <w:rsid w:val="00364B0E"/>
    <w:rsid w:val="00364C18"/>
    <w:rsid w:val="00364C20"/>
    <w:rsid w:val="00364F21"/>
    <w:rsid w:val="00364FED"/>
    <w:rsid w:val="00365337"/>
    <w:rsid w:val="003653CE"/>
    <w:rsid w:val="0036561B"/>
    <w:rsid w:val="0036569B"/>
    <w:rsid w:val="00365853"/>
    <w:rsid w:val="0036595C"/>
    <w:rsid w:val="0036598D"/>
    <w:rsid w:val="00365B05"/>
    <w:rsid w:val="00365ED1"/>
    <w:rsid w:val="003660D3"/>
    <w:rsid w:val="00366386"/>
    <w:rsid w:val="003663E9"/>
    <w:rsid w:val="00366709"/>
    <w:rsid w:val="003668F5"/>
    <w:rsid w:val="00366929"/>
    <w:rsid w:val="00366BEC"/>
    <w:rsid w:val="00366C6C"/>
    <w:rsid w:val="00366CCA"/>
    <w:rsid w:val="00366E0E"/>
    <w:rsid w:val="003672C6"/>
    <w:rsid w:val="003672FC"/>
    <w:rsid w:val="0036730A"/>
    <w:rsid w:val="003675C6"/>
    <w:rsid w:val="00367A5B"/>
    <w:rsid w:val="00367BCB"/>
    <w:rsid w:val="00367C08"/>
    <w:rsid w:val="00367C34"/>
    <w:rsid w:val="00367E8C"/>
    <w:rsid w:val="00370056"/>
    <w:rsid w:val="0037013F"/>
    <w:rsid w:val="003701CA"/>
    <w:rsid w:val="003702C1"/>
    <w:rsid w:val="0037056A"/>
    <w:rsid w:val="0037071F"/>
    <w:rsid w:val="0037084D"/>
    <w:rsid w:val="003708FC"/>
    <w:rsid w:val="00370A5E"/>
    <w:rsid w:val="00370AFC"/>
    <w:rsid w:val="00370C61"/>
    <w:rsid w:val="00370D82"/>
    <w:rsid w:val="00371454"/>
    <w:rsid w:val="00371585"/>
    <w:rsid w:val="003716F4"/>
    <w:rsid w:val="0037198E"/>
    <w:rsid w:val="00371AC0"/>
    <w:rsid w:val="00371B30"/>
    <w:rsid w:val="003720AA"/>
    <w:rsid w:val="003722BF"/>
    <w:rsid w:val="003722C4"/>
    <w:rsid w:val="003724AE"/>
    <w:rsid w:val="00372AD9"/>
    <w:rsid w:val="00372BC3"/>
    <w:rsid w:val="00372DC0"/>
    <w:rsid w:val="00372E29"/>
    <w:rsid w:val="00372E85"/>
    <w:rsid w:val="00372FC4"/>
    <w:rsid w:val="00373051"/>
    <w:rsid w:val="003732C5"/>
    <w:rsid w:val="003734F7"/>
    <w:rsid w:val="003738D6"/>
    <w:rsid w:val="003739D8"/>
    <w:rsid w:val="00373B4E"/>
    <w:rsid w:val="00373CBB"/>
    <w:rsid w:val="003742AA"/>
    <w:rsid w:val="003742B3"/>
    <w:rsid w:val="003742F8"/>
    <w:rsid w:val="00374391"/>
    <w:rsid w:val="00374694"/>
    <w:rsid w:val="0037477C"/>
    <w:rsid w:val="0037480C"/>
    <w:rsid w:val="003748B9"/>
    <w:rsid w:val="00374951"/>
    <w:rsid w:val="00374B45"/>
    <w:rsid w:val="00374C14"/>
    <w:rsid w:val="00374D48"/>
    <w:rsid w:val="00375335"/>
    <w:rsid w:val="0037555A"/>
    <w:rsid w:val="00375725"/>
    <w:rsid w:val="00375909"/>
    <w:rsid w:val="00375910"/>
    <w:rsid w:val="00375A6A"/>
    <w:rsid w:val="00375B35"/>
    <w:rsid w:val="00375BE3"/>
    <w:rsid w:val="00375C11"/>
    <w:rsid w:val="00375CE1"/>
    <w:rsid w:val="00375D20"/>
    <w:rsid w:val="00375F89"/>
    <w:rsid w:val="00375FA0"/>
    <w:rsid w:val="0037621F"/>
    <w:rsid w:val="0037622F"/>
    <w:rsid w:val="003763E7"/>
    <w:rsid w:val="0037644C"/>
    <w:rsid w:val="003769CF"/>
    <w:rsid w:val="00376F30"/>
    <w:rsid w:val="00376F72"/>
    <w:rsid w:val="00376F8D"/>
    <w:rsid w:val="00377030"/>
    <w:rsid w:val="0037704A"/>
    <w:rsid w:val="00377264"/>
    <w:rsid w:val="00377B6D"/>
    <w:rsid w:val="00377C3F"/>
    <w:rsid w:val="00377C40"/>
    <w:rsid w:val="00377C78"/>
    <w:rsid w:val="00377E2D"/>
    <w:rsid w:val="00377FAD"/>
    <w:rsid w:val="003801A4"/>
    <w:rsid w:val="00380231"/>
    <w:rsid w:val="003806D7"/>
    <w:rsid w:val="00380926"/>
    <w:rsid w:val="00380C5D"/>
    <w:rsid w:val="00380D3B"/>
    <w:rsid w:val="003811F5"/>
    <w:rsid w:val="00381463"/>
    <w:rsid w:val="0038164B"/>
    <w:rsid w:val="003816DD"/>
    <w:rsid w:val="00381B62"/>
    <w:rsid w:val="00381C9A"/>
    <w:rsid w:val="00381DF2"/>
    <w:rsid w:val="00381F20"/>
    <w:rsid w:val="0038207B"/>
    <w:rsid w:val="003824E1"/>
    <w:rsid w:val="0038259E"/>
    <w:rsid w:val="0038264A"/>
    <w:rsid w:val="00382C82"/>
    <w:rsid w:val="00383375"/>
    <w:rsid w:val="003833BD"/>
    <w:rsid w:val="00383429"/>
    <w:rsid w:val="00383471"/>
    <w:rsid w:val="0038351C"/>
    <w:rsid w:val="0038352C"/>
    <w:rsid w:val="003836C3"/>
    <w:rsid w:val="00383CD8"/>
    <w:rsid w:val="00383D25"/>
    <w:rsid w:val="00383F91"/>
    <w:rsid w:val="003840BF"/>
    <w:rsid w:val="003840CA"/>
    <w:rsid w:val="003843CE"/>
    <w:rsid w:val="0038467B"/>
    <w:rsid w:val="0038496A"/>
    <w:rsid w:val="00384A46"/>
    <w:rsid w:val="003851F1"/>
    <w:rsid w:val="003852C9"/>
    <w:rsid w:val="00385A0B"/>
    <w:rsid w:val="003864E9"/>
    <w:rsid w:val="00386C83"/>
    <w:rsid w:val="00386D03"/>
    <w:rsid w:val="00386FC1"/>
    <w:rsid w:val="003870B1"/>
    <w:rsid w:val="003871A5"/>
    <w:rsid w:val="0038769B"/>
    <w:rsid w:val="00390215"/>
    <w:rsid w:val="00390278"/>
    <w:rsid w:val="003905C7"/>
    <w:rsid w:val="00390705"/>
    <w:rsid w:val="00390B08"/>
    <w:rsid w:val="00390B85"/>
    <w:rsid w:val="00390E1C"/>
    <w:rsid w:val="003913C2"/>
    <w:rsid w:val="00391480"/>
    <w:rsid w:val="003915E8"/>
    <w:rsid w:val="003915F6"/>
    <w:rsid w:val="00391CB9"/>
    <w:rsid w:val="003920A7"/>
    <w:rsid w:val="003920E4"/>
    <w:rsid w:val="00392272"/>
    <w:rsid w:val="00392400"/>
    <w:rsid w:val="003928CE"/>
    <w:rsid w:val="0039301A"/>
    <w:rsid w:val="00393144"/>
    <w:rsid w:val="003933DC"/>
    <w:rsid w:val="003933EC"/>
    <w:rsid w:val="00393894"/>
    <w:rsid w:val="003939FF"/>
    <w:rsid w:val="00393A0D"/>
    <w:rsid w:val="00393B6A"/>
    <w:rsid w:val="00393C75"/>
    <w:rsid w:val="00393F1B"/>
    <w:rsid w:val="00393F59"/>
    <w:rsid w:val="0039409F"/>
    <w:rsid w:val="00394138"/>
    <w:rsid w:val="00394303"/>
    <w:rsid w:val="0039448B"/>
    <w:rsid w:val="00394711"/>
    <w:rsid w:val="00394B52"/>
    <w:rsid w:val="00394D0D"/>
    <w:rsid w:val="00394D9D"/>
    <w:rsid w:val="003950AD"/>
    <w:rsid w:val="00395900"/>
    <w:rsid w:val="00395B20"/>
    <w:rsid w:val="00395BFB"/>
    <w:rsid w:val="00395E7F"/>
    <w:rsid w:val="0039655F"/>
    <w:rsid w:val="003966F2"/>
    <w:rsid w:val="00396901"/>
    <w:rsid w:val="00396C2C"/>
    <w:rsid w:val="00396DA3"/>
    <w:rsid w:val="00396E2F"/>
    <w:rsid w:val="00396EB6"/>
    <w:rsid w:val="00396EC6"/>
    <w:rsid w:val="00396F32"/>
    <w:rsid w:val="00397055"/>
    <w:rsid w:val="0039710D"/>
    <w:rsid w:val="0039724C"/>
    <w:rsid w:val="003972B6"/>
    <w:rsid w:val="003973D5"/>
    <w:rsid w:val="003973F3"/>
    <w:rsid w:val="0039744C"/>
    <w:rsid w:val="00397689"/>
    <w:rsid w:val="00397714"/>
    <w:rsid w:val="00397994"/>
    <w:rsid w:val="00397AD1"/>
    <w:rsid w:val="003A0022"/>
    <w:rsid w:val="003A03D3"/>
    <w:rsid w:val="003A05B4"/>
    <w:rsid w:val="003A0C9E"/>
    <w:rsid w:val="003A0FA2"/>
    <w:rsid w:val="003A1025"/>
    <w:rsid w:val="003A105B"/>
    <w:rsid w:val="003A113A"/>
    <w:rsid w:val="003A123D"/>
    <w:rsid w:val="003A12B1"/>
    <w:rsid w:val="003A1B53"/>
    <w:rsid w:val="003A1D2F"/>
    <w:rsid w:val="003A1D7D"/>
    <w:rsid w:val="003A1DAC"/>
    <w:rsid w:val="003A1E0C"/>
    <w:rsid w:val="003A1E95"/>
    <w:rsid w:val="003A218C"/>
    <w:rsid w:val="003A21CE"/>
    <w:rsid w:val="003A22AA"/>
    <w:rsid w:val="003A23E2"/>
    <w:rsid w:val="003A23FE"/>
    <w:rsid w:val="003A2530"/>
    <w:rsid w:val="003A2796"/>
    <w:rsid w:val="003A285F"/>
    <w:rsid w:val="003A2ADC"/>
    <w:rsid w:val="003A2AED"/>
    <w:rsid w:val="003A2B55"/>
    <w:rsid w:val="003A2D5B"/>
    <w:rsid w:val="003A2D62"/>
    <w:rsid w:val="003A2E21"/>
    <w:rsid w:val="003A2EB0"/>
    <w:rsid w:val="003A31D8"/>
    <w:rsid w:val="003A3232"/>
    <w:rsid w:val="003A32EC"/>
    <w:rsid w:val="003A3400"/>
    <w:rsid w:val="003A397F"/>
    <w:rsid w:val="003A3A87"/>
    <w:rsid w:val="003A3B69"/>
    <w:rsid w:val="003A4040"/>
    <w:rsid w:val="003A45F9"/>
    <w:rsid w:val="003A478E"/>
    <w:rsid w:val="003A4C74"/>
    <w:rsid w:val="003A4E22"/>
    <w:rsid w:val="003A50B0"/>
    <w:rsid w:val="003A519C"/>
    <w:rsid w:val="003A53F2"/>
    <w:rsid w:val="003A54E5"/>
    <w:rsid w:val="003A565A"/>
    <w:rsid w:val="003A57BF"/>
    <w:rsid w:val="003A5B42"/>
    <w:rsid w:val="003A5B98"/>
    <w:rsid w:val="003A5BEB"/>
    <w:rsid w:val="003A5D4C"/>
    <w:rsid w:val="003A5DDE"/>
    <w:rsid w:val="003A624F"/>
    <w:rsid w:val="003A64CB"/>
    <w:rsid w:val="003A64D5"/>
    <w:rsid w:val="003A6697"/>
    <w:rsid w:val="003A672A"/>
    <w:rsid w:val="003A68AF"/>
    <w:rsid w:val="003A6A1A"/>
    <w:rsid w:val="003A6AEC"/>
    <w:rsid w:val="003A6E4F"/>
    <w:rsid w:val="003A7384"/>
    <w:rsid w:val="003A7689"/>
    <w:rsid w:val="003A7B11"/>
    <w:rsid w:val="003A7D1C"/>
    <w:rsid w:val="003A7D35"/>
    <w:rsid w:val="003B01C6"/>
    <w:rsid w:val="003B01E9"/>
    <w:rsid w:val="003B0444"/>
    <w:rsid w:val="003B0537"/>
    <w:rsid w:val="003B0FAB"/>
    <w:rsid w:val="003B15D0"/>
    <w:rsid w:val="003B1629"/>
    <w:rsid w:val="003B1800"/>
    <w:rsid w:val="003B1906"/>
    <w:rsid w:val="003B1CBE"/>
    <w:rsid w:val="003B1CEB"/>
    <w:rsid w:val="003B1EF9"/>
    <w:rsid w:val="003B1F52"/>
    <w:rsid w:val="003B2317"/>
    <w:rsid w:val="003B2875"/>
    <w:rsid w:val="003B29A8"/>
    <w:rsid w:val="003B2D8F"/>
    <w:rsid w:val="003B2DA8"/>
    <w:rsid w:val="003B2FF0"/>
    <w:rsid w:val="003B31C1"/>
    <w:rsid w:val="003B38C8"/>
    <w:rsid w:val="003B38EE"/>
    <w:rsid w:val="003B3EBF"/>
    <w:rsid w:val="003B427F"/>
    <w:rsid w:val="003B43C0"/>
    <w:rsid w:val="003B45CC"/>
    <w:rsid w:val="003B4BE8"/>
    <w:rsid w:val="003B50BA"/>
    <w:rsid w:val="003B53C5"/>
    <w:rsid w:val="003B54AB"/>
    <w:rsid w:val="003B54B6"/>
    <w:rsid w:val="003B5517"/>
    <w:rsid w:val="003B558C"/>
    <w:rsid w:val="003B560B"/>
    <w:rsid w:val="003B5813"/>
    <w:rsid w:val="003B5B86"/>
    <w:rsid w:val="003B5C3B"/>
    <w:rsid w:val="003B5C8B"/>
    <w:rsid w:val="003B5D60"/>
    <w:rsid w:val="003B5F23"/>
    <w:rsid w:val="003B5F69"/>
    <w:rsid w:val="003B6215"/>
    <w:rsid w:val="003B64E8"/>
    <w:rsid w:val="003B672A"/>
    <w:rsid w:val="003B6AB7"/>
    <w:rsid w:val="003B6B1F"/>
    <w:rsid w:val="003B6C3C"/>
    <w:rsid w:val="003B7023"/>
    <w:rsid w:val="003B7044"/>
    <w:rsid w:val="003B706C"/>
    <w:rsid w:val="003B7263"/>
    <w:rsid w:val="003B73B2"/>
    <w:rsid w:val="003B75CA"/>
    <w:rsid w:val="003B7747"/>
    <w:rsid w:val="003B7757"/>
    <w:rsid w:val="003B79C1"/>
    <w:rsid w:val="003B7FE0"/>
    <w:rsid w:val="003C02B3"/>
    <w:rsid w:val="003C0341"/>
    <w:rsid w:val="003C064D"/>
    <w:rsid w:val="003C0C41"/>
    <w:rsid w:val="003C0DF5"/>
    <w:rsid w:val="003C0F06"/>
    <w:rsid w:val="003C171A"/>
    <w:rsid w:val="003C18C6"/>
    <w:rsid w:val="003C1986"/>
    <w:rsid w:val="003C1B46"/>
    <w:rsid w:val="003C1C94"/>
    <w:rsid w:val="003C1CA3"/>
    <w:rsid w:val="003C1D36"/>
    <w:rsid w:val="003C23FB"/>
    <w:rsid w:val="003C244A"/>
    <w:rsid w:val="003C2577"/>
    <w:rsid w:val="003C2A13"/>
    <w:rsid w:val="003C2AF2"/>
    <w:rsid w:val="003C2C9C"/>
    <w:rsid w:val="003C310C"/>
    <w:rsid w:val="003C31B5"/>
    <w:rsid w:val="003C367F"/>
    <w:rsid w:val="003C3819"/>
    <w:rsid w:val="003C391F"/>
    <w:rsid w:val="003C3A49"/>
    <w:rsid w:val="003C3ECB"/>
    <w:rsid w:val="003C4916"/>
    <w:rsid w:val="003C4A0F"/>
    <w:rsid w:val="003C4A25"/>
    <w:rsid w:val="003C4C36"/>
    <w:rsid w:val="003C4CAB"/>
    <w:rsid w:val="003C4D88"/>
    <w:rsid w:val="003C4E16"/>
    <w:rsid w:val="003C50BF"/>
    <w:rsid w:val="003C514B"/>
    <w:rsid w:val="003C5151"/>
    <w:rsid w:val="003C51B0"/>
    <w:rsid w:val="003C558C"/>
    <w:rsid w:val="003C5B00"/>
    <w:rsid w:val="003C5B7F"/>
    <w:rsid w:val="003C5C84"/>
    <w:rsid w:val="003C5D50"/>
    <w:rsid w:val="003C5FB3"/>
    <w:rsid w:val="003C638F"/>
    <w:rsid w:val="003C6490"/>
    <w:rsid w:val="003C6654"/>
    <w:rsid w:val="003C67D4"/>
    <w:rsid w:val="003C6839"/>
    <w:rsid w:val="003C6913"/>
    <w:rsid w:val="003C69D2"/>
    <w:rsid w:val="003C6AF9"/>
    <w:rsid w:val="003C6CCB"/>
    <w:rsid w:val="003C6ED7"/>
    <w:rsid w:val="003C6F05"/>
    <w:rsid w:val="003C70CE"/>
    <w:rsid w:val="003C70D7"/>
    <w:rsid w:val="003C71A4"/>
    <w:rsid w:val="003C7287"/>
    <w:rsid w:val="003C73D7"/>
    <w:rsid w:val="003C74C4"/>
    <w:rsid w:val="003C7545"/>
    <w:rsid w:val="003C76B7"/>
    <w:rsid w:val="003C777F"/>
    <w:rsid w:val="003C7E49"/>
    <w:rsid w:val="003D00E0"/>
    <w:rsid w:val="003D012E"/>
    <w:rsid w:val="003D0131"/>
    <w:rsid w:val="003D02C3"/>
    <w:rsid w:val="003D0588"/>
    <w:rsid w:val="003D05DE"/>
    <w:rsid w:val="003D068B"/>
    <w:rsid w:val="003D0AD4"/>
    <w:rsid w:val="003D0AD9"/>
    <w:rsid w:val="003D0C46"/>
    <w:rsid w:val="003D0D38"/>
    <w:rsid w:val="003D0D9B"/>
    <w:rsid w:val="003D0F31"/>
    <w:rsid w:val="003D1ACA"/>
    <w:rsid w:val="003D1B67"/>
    <w:rsid w:val="003D1D8F"/>
    <w:rsid w:val="003D2161"/>
    <w:rsid w:val="003D218B"/>
    <w:rsid w:val="003D21A9"/>
    <w:rsid w:val="003D24CB"/>
    <w:rsid w:val="003D25DF"/>
    <w:rsid w:val="003D2940"/>
    <w:rsid w:val="003D2ED4"/>
    <w:rsid w:val="003D314E"/>
    <w:rsid w:val="003D358D"/>
    <w:rsid w:val="003D3723"/>
    <w:rsid w:val="003D37AC"/>
    <w:rsid w:val="003D3DD1"/>
    <w:rsid w:val="003D416B"/>
    <w:rsid w:val="003D41AE"/>
    <w:rsid w:val="003D4366"/>
    <w:rsid w:val="003D44C1"/>
    <w:rsid w:val="003D4931"/>
    <w:rsid w:val="003D4AF2"/>
    <w:rsid w:val="003D4C03"/>
    <w:rsid w:val="003D4E93"/>
    <w:rsid w:val="003D4ED0"/>
    <w:rsid w:val="003D4F29"/>
    <w:rsid w:val="003D4F4C"/>
    <w:rsid w:val="003D503B"/>
    <w:rsid w:val="003D51C4"/>
    <w:rsid w:val="003D5279"/>
    <w:rsid w:val="003D53AE"/>
    <w:rsid w:val="003D55D4"/>
    <w:rsid w:val="003D56D7"/>
    <w:rsid w:val="003D5785"/>
    <w:rsid w:val="003D578D"/>
    <w:rsid w:val="003D5936"/>
    <w:rsid w:val="003D599B"/>
    <w:rsid w:val="003D5C30"/>
    <w:rsid w:val="003D5D75"/>
    <w:rsid w:val="003D5FAC"/>
    <w:rsid w:val="003D610F"/>
    <w:rsid w:val="003D61F4"/>
    <w:rsid w:val="003D62F0"/>
    <w:rsid w:val="003D6AD3"/>
    <w:rsid w:val="003D6B3B"/>
    <w:rsid w:val="003D71AA"/>
    <w:rsid w:val="003D727D"/>
    <w:rsid w:val="003D7285"/>
    <w:rsid w:val="003D7321"/>
    <w:rsid w:val="003D74EA"/>
    <w:rsid w:val="003D758D"/>
    <w:rsid w:val="003D763B"/>
    <w:rsid w:val="003D7755"/>
    <w:rsid w:val="003D79D7"/>
    <w:rsid w:val="003D7A4D"/>
    <w:rsid w:val="003D7D4C"/>
    <w:rsid w:val="003D7FCF"/>
    <w:rsid w:val="003E02E3"/>
    <w:rsid w:val="003E046E"/>
    <w:rsid w:val="003E04FB"/>
    <w:rsid w:val="003E050A"/>
    <w:rsid w:val="003E0529"/>
    <w:rsid w:val="003E066E"/>
    <w:rsid w:val="003E0722"/>
    <w:rsid w:val="003E08D9"/>
    <w:rsid w:val="003E0CB8"/>
    <w:rsid w:val="003E0EA6"/>
    <w:rsid w:val="003E1016"/>
    <w:rsid w:val="003E1122"/>
    <w:rsid w:val="003E1477"/>
    <w:rsid w:val="003E15F7"/>
    <w:rsid w:val="003E16CE"/>
    <w:rsid w:val="003E16FA"/>
    <w:rsid w:val="003E191A"/>
    <w:rsid w:val="003E1B39"/>
    <w:rsid w:val="003E1BA4"/>
    <w:rsid w:val="003E1C2D"/>
    <w:rsid w:val="003E1CD3"/>
    <w:rsid w:val="003E2047"/>
    <w:rsid w:val="003E21C7"/>
    <w:rsid w:val="003E2750"/>
    <w:rsid w:val="003E2AAD"/>
    <w:rsid w:val="003E2BCC"/>
    <w:rsid w:val="003E319D"/>
    <w:rsid w:val="003E32AD"/>
    <w:rsid w:val="003E34C9"/>
    <w:rsid w:val="003E3590"/>
    <w:rsid w:val="003E38E4"/>
    <w:rsid w:val="003E3AB6"/>
    <w:rsid w:val="003E3B0F"/>
    <w:rsid w:val="003E3B87"/>
    <w:rsid w:val="003E3D91"/>
    <w:rsid w:val="003E403E"/>
    <w:rsid w:val="003E4074"/>
    <w:rsid w:val="003E40DA"/>
    <w:rsid w:val="003E4312"/>
    <w:rsid w:val="003E43CD"/>
    <w:rsid w:val="003E461C"/>
    <w:rsid w:val="003E4797"/>
    <w:rsid w:val="003E4DF1"/>
    <w:rsid w:val="003E4F0F"/>
    <w:rsid w:val="003E513C"/>
    <w:rsid w:val="003E524B"/>
    <w:rsid w:val="003E52C9"/>
    <w:rsid w:val="003E540E"/>
    <w:rsid w:val="003E5842"/>
    <w:rsid w:val="003E59FF"/>
    <w:rsid w:val="003E5BA3"/>
    <w:rsid w:val="003E5EB5"/>
    <w:rsid w:val="003E6117"/>
    <w:rsid w:val="003E612C"/>
    <w:rsid w:val="003E61FB"/>
    <w:rsid w:val="003E622D"/>
    <w:rsid w:val="003E6288"/>
    <w:rsid w:val="003E662C"/>
    <w:rsid w:val="003E6846"/>
    <w:rsid w:val="003E6852"/>
    <w:rsid w:val="003E68DB"/>
    <w:rsid w:val="003E6D24"/>
    <w:rsid w:val="003E71A5"/>
    <w:rsid w:val="003E7738"/>
    <w:rsid w:val="003E795A"/>
    <w:rsid w:val="003E7972"/>
    <w:rsid w:val="003E7B50"/>
    <w:rsid w:val="003E7C46"/>
    <w:rsid w:val="003E7FD8"/>
    <w:rsid w:val="003F017F"/>
    <w:rsid w:val="003F0247"/>
    <w:rsid w:val="003F032B"/>
    <w:rsid w:val="003F0580"/>
    <w:rsid w:val="003F083D"/>
    <w:rsid w:val="003F0A99"/>
    <w:rsid w:val="003F0B1E"/>
    <w:rsid w:val="003F0C0C"/>
    <w:rsid w:val="003F0C67"/>
    <w:rsid w:val="003F0F1F"/>
    <w:rsid w:val="003F10CA"/>
    <w:rsid w:val="003F115A"/>
    <w:rsid w:val="003F11F2"/>
    <w:rsid w:val="003F15C3"/>
    <w:rsid w:val="003F179F"/>
    <w:rsid w:val="003F1A53"/>
    <w:rsid w:val="003F1B3C"/>
    <w:rsid w:val="003F1BD4"/>
    <w:rsid w:val="003F1CC5"/>
    <w:rsid w:val="003F1F98"/>
    <w:rsid w:val="003F1FCF"/>
    <w:rsid w:val="003F2014"/>
    <w:rsid w:val="003F20BA"/>
    <w:rsid w:val="003F226F"/>
    <w:rsid w:val="003F2521"/>
    <w:rsid w:val="003F278D"/>
    <w:rsid w:val="003F2828"/>
    <w:rsid w:val="003F2A59"/>
    <w:rsid w:val="003F2C65"/>
    <w:rsid w:val="003F3149"/>
    <w:rsid w:val="003F3438"/>
    <w:rsid w:val="003F34A2"/>
    <w:rsid w:val="003F3812"/>
    <w:rsid w:val="003F394B"/>
    <w:rsid w:val="003F3A4F"/>
    <w:rsid w:val="003F3A9F"/>
    <w:rsid w:val="003F3B2A"/>
    <w:rsid w:val="003F3BC9"/>
    <w:rsid w:val="003F3C2A"/>
    <w:rsid w:val="003F3EF5"/>
    <w:rsid w:val="003F3F09"/>
    <w:rsid w:val="003F4252"/>
    <w:rsid w:val="003F42E5"/>
    <w:rsid w:val="003F4707"/>
    <w:rsid w:val="003F4818"/>
    <w:rsid w:val="003F4AAC"/>
    <w:rsid w:val="003F4C66"/>
    <w:rsid w:val="003F4E20"/>
    <w:rsid w:val="003F4EAC"/>
    <w:rsid w:val="003F56F8"/>
    <w:rsid w:val="003F596F"/>
    <w:rsid w:val="003F59D3"/>
    <w:rsid w:val="003F5A47"/>
    <w:rsid w:val="003F5A53"/>
    <w:rsid w:val="003F5D89"/>
    <w:rsid w:val="003F5DD8"/>
    <w:rsid w:val="003F5F42"/>
    <w:rsid w:val="003F60F2"/>
    <w:rsid w:val="003F6388"/>
    <w:rsid w:val="003F64E0"/>
    <w:rsid w:val="003F6696"/>
    <w:rsid w:val="003F67B6"/>
    <w:rsid w:val="003F67DC"/>
    <w:rsid w:val="003F6808"/>
    <w:rsid w:val="003F6AAF"/>
    <w:rsid w:val="003F6D2B"/>
    <w:rsid w:val="003F6F5B"/>
    <w:rsid w:val="003F7458"/>
    <w:rsid w:val="003F77B4"/>
    <w:rsid w:val="003F77B7"/>
    <w:rsid w:val="003F78E2"/>
    <w:rsid w:val="003F7AF1"/>
    <w:rsid w:val="003F7CF3"/>
    <w:rsid w:val="004001B5"/>
    <w:rsid w:val="00400659"/>
    <w:rsid w:val="00400A65"/>
    <w:rsid w:val="00400B8C"/>
    <w:rsid w:val="00400CFD"/>
    <w:rsid w:val="00400EAD"/>
    <w:rsid w:val="00400F50"/>
    <w:rsid w:val="00400FD8"/>
    <w:rsid w:val="004013C7"/>
    <w:rsid w:val="00401413"/>
    <w:rsid w:val="0040168B"/>
    <w:rsid w:val="00401840"/>
    <w:rsid w:val="004018E2"/>
    <w:rsid w:val="004018F6"/>
    <w:rsid w:val="00401BAE"/>
    <w:rsid w:val="00401D31"/>
    <w:rsid w:val="00401D8A"/>
    <w:rsid w:val="00401E3F"/>
    <w:rsid w:val="00402098"/>
    <w:rsid w:val="00402175"/>
    <w:rsid w:val="004023F3"/>
    <w:rsid w:val="0040254E"/>
    <w:rsid w:val="004026AC"/>
    <w:rsid w:val="004026C6"/>
    <w:rsid w:val="0040272F"/>
    <w:rsid w:val="00402A11"/>
    <w:rsid w:val="00402B26"/>
    <w:rsid w:val="00402CF5"/>
    <w:rsid w:val="00402D32"/>
    <w:rsid w:val="00402F9B"/>
    <w:rsid w:val="004033BF"/>
    <w:rsid w:val="004034B5"/>
    <w:rsid w:val="004039BB"/>
    <w:rsid w:val="00403A5C"/>
    <w:rsid w:val="00403AC4"/>
    <w:rsid w:val="00403D9B"/>
    <w:rsid w:val="00403EA2"/>
    <w:rsid w:val="00404167"/>
    <w:rsid w:val="004041AE"/>
    <w:rsid w:val="00404592"/>
    <w:rsid w:val="0040459C"/>
    <w:rsid w:val="00404628"/>
    <w:rsid w:val="00404698"/>
    <w:rsid w:val="00404D1F"/>
    <w:rsid w:val="00404E96"/>
    <w:rsid w:val="0040560A"/>
    <w:rsid w:val="00405779"/>
    <w:rsid w:val="00405A70"/>
    <w:rsid w:val="00405E46"/>
    <w:rsid w:val="0040618E"/>
    <w:rsid w:val="00406425"/>
    <w:rsid w:val="00406795"/>
    <w:rsid w:val="004067EC"/>
    <w:rsid w:val="00406935"/>
    <w:rsid w:val="00406992"/>
    <w:rsid w:val="00406A43"/>
    <w:rsid w:val="00406D51"/>
    <w:rsid w:val="00406DF1"/>
    <w:rsid w:val="00406E0C"/>
    <w:rsid w:val="00406EBA"/>
    <w:rsid w:val="0040710D"/>
    <w:rsid w:val="00407130"/>
    <w:rsid w:val="0040725D"/>
    <w:rsid w:val="00407476"/>
    <w:rsid w:val="00407527"/>
    <w:rsid w:val="004079D2"/>
    <w:rsid w:val="00407AAA"/>
    <w:rsid w:val="00407B2A"/>
    <w:rsid w:val="00407B7E"/>
    <w:rsid w:val="00407CFD"/>
    <w:rsid w:val="00410088"/>
    <w:rsid w:val="00410150"/>
    <w:rsid w:val="004102BE"/>
    <w:rsid w:val="00410397"/>
    <w:rsid w:val="00410CB7"/>
    <w:rsid w:val="00410EB2"/>
    <w:rsid w:val="0041102A"/>
    <w:rsid w:val="004111C2"/>
    <w:rsid w:val="00411329"/>
    <w:rsid w:val="0041139F"/>
    <w:rsid w:val="004114E7"/>
    <w:rsid w:val="00411515"/>
    <w:rsid w:val="004116B7"/>
    <w:rsid w:val="00411724"/>
    <w:rsid w:val="004117A8"/>
    <w:rsid w:val="0041182C"/>
    <w:rsid w:val="00411AE8"/>
    <w:rsid w:val="00411D79"/>
    <w:rsid w:val="004123CD"/>
    <w:rsid w:val="0041241D"/>
    <w:rsid w:val="00412421"/>
    <w:rsid w:val="0041246B"/>
    <w:rsid w:val="004124AC"/>
    <w:rsid w:val="004127B9"/>
    <w:rsid w:val="004127F2"/>
    <w:rsid w:val="00412955"/>
    <w:rsid w:val="00412B5E"/>
    <w:rsid w:val="00412C28"/>
    <w:rsid w:val="0041301A"/>
    <w:rsid w:val="0041317C"/>
    <w:rsid w:val="004131BC"/>
    <w:rsid w:val="004133C7"/>
    <w:rsid w:val="004136C4"/>
    <w:rsid w:val="00413965"/>
    <w:rsid w:val="00413990"/>
    <w:rsid w:val="00413AC1"/>
    <w:rsid w:val="00413CA7"/>
    <w:rsid w:val="00413CF0"/>
    <w:rsid w:val="00413DF5"/>
    <w:rsid w:val="004140E2"/>
    <w:rsid w:val="004140F2"/>
    <w:rsid w:val="0041463D"/>
    <w:rsid w:val="00414855"/>
    <w:rsid w:val="00414A92"/>
    <w:rsid w:val="00414C5E"/>
    <w:rsid w:val="00414E81"/>
    <w:rsid w:val="00414EA6"/>
    <w:rsid w:val="0041516A"/>
    <w:rsid w:val="0041569D"/>
    <w:rsid w:val="00415A61"/>
    <w:rsid w:val="00415BFD"/>
    <w:rsid w:val="00415F37"/>
    <w:rsid w:val="00415F7E"/>
    <w:rsid w:val="0041603A"/>
    <w:rsid w:val="00416319"/>
    <w:rsid w:val="00416649"/>
    <w:rsid w:val="0041667F"/>
    <w:rsid w:val="00416D92"/>
    <w:rsid w:val="004172D5"/>
    <w:rsid w:val="00417744"/>
    <w:rsid w:val="00417795"/>
    <w:rsid w:val="0041787F"/>
    <w:rsid w:val="00417AC0"/>
    <w:rsid w:val="00417AC7"/>
    <w:rsid w:val="00417B7F"/>
    <w:rsid w:val="00417ECF"/>
    <w:rsid w:val="00417F90"/>
    <w:rsid w:val="00417FE7"/>
    <w:rsid w:val="00417FFE"/>
    <w:rsid w:val="00420123"/>
    <w:rsid w:val="0042087C"/>
    <w:rsid w:val="00420A45"/>
    <w:rsid w:val="00420BE5"/>
    <w:rsid w:val="00420CD4"/>
    <w:rsid w:val="00420CEE"/>
    <w:rsid w:val="00420E91"/>
    <w:rsid w:val="00420EDA"/>
    <w:rsid w:val="0042109F"/>
    <w:rsid w:val="00421311"/>
    <w:rsid w:val="0042148A"/>
    <w:rsid w:val="00421821"/>
    <w:rsid w:val="00421874"/>
    <w:rsid w:val="00421A2E"/>
    <w:rsid w:val="00421E25"/>
    <w:rsid w:val="004220F4"/>
    <w:rsid w:val="0042215C"/>
    <w:rsid w:val="00422385"/>
    <w:rsid w:val="00422527"/>
    <w:rsid w:val="004227F9"/>
    <w:rsid w:val="004228F9"/>
    <w:rsid w:val="00422CA1"/>
    <w:rsid w:val="00422EA0"/>
    <w:rsid w:val="00423318"/>
    <w:rsid w:val="004234C7"/>
    <w:rsid w:val="00423A07"/>
    <w:rsid w:val="00423B64"/>
    <w:rsid w:val="00423BD8"/>
    <w:rsid w:val="00423DAA"/>
    <w:rsid w:val="00423E8E"/>
    <w:rsid w:val="0042402B"/>
    <w:rsid w:val="0042408F"/>
    <w:rsid w:val="004247C0"/>
    <w:rsid w:val="004248FB"/>
    <w:rsid w:val="00424A25"/>
    <w:rsid w:val="00424AD3"/>
    <w:rsid w:val="00424CB6"/>
    <w:rsid w:val="00424CC4"/>
    <w:rsid w:val="00424FCB"/>
    <w:rsid w:val="0042541E"/>
    <w:rsid w:val="00425605"/>
    <w:rsid w:val="004257DC"/>
    <w:rsid w:val="00425CE2"/>
    <w:rsid w:val="00425DF0"/>
    <w:rsid w:val="00425EDC"/>
    <w:rsid w:val="004263DF"/>
    <w:rsid w:val="00426534"/>
    <w:rsid w:val="00426A1B"/>
    <w:rsid w:val="00426ACD"/>
    <w:rsid w:val="00426B9F"/>
    <w:rsid w:val="00426BE6"/>
    <w:rsid w:val="00426D5C"/>
    <w:rsid w:val="00427679"/>
    <w:rsid w:val="00427806"/>
    <w:rsid w:val="00427843"/>
    <w:rsid w:val="00427A2D"/>
    <w:rsid w:val="00430076"/>
    <w:rsid w:val="004300A0"/>
    <w:rsid w:val="004302B8"/>
    <w:rsid w:val="00430316"/>
    <w:rsid w:val="00430328"/>
    <w:rsid w:val="00430786"/>
    <w:rsid w:val="00430A76"/>
    <w:rsid w:val="00430B37"/>
    <w:rsid w:val="00430C6E"/>
    <w:rsid w:val="00430C9D"/>
    <w:rsid w:val="0043121A"/>
    <w:rsid w:val="00431418"/>
    <w:rsid w:val="0043174C"/>
    <w:rsid w:val="00431825"/>
    <w:rsid w:val="00431AA3"/>
    <w:rsid w:val="00431BF3"/>
    <w:rsid w:val="004321D3"/>
    <w:rsid w:val="00432280"/>
    <w:rsid w:val="00432809"/>
    <w:rsid w:val="00432A61"/>
    <w:rsid w:val="0043308C"/>
    <w:rsid w:val="00433109"/>
    <w:rsid w:val="004332D2"/>
    <w:rsid w:val="004334A8"/>
    <w:rsid w:val="00433EB4"/>
    <w:rsid w:val="00433FF1"/>
    <w:rsid w:val="0043411D"/>
    <w:rsid w:val="00434333"/>
    <w:rsid w:val="0043439C"/>
    <w:rsid w:val="00434590"/>
    <w:rsid w:val="00434775"/>
    <w:rsid w:val="00434856"/>
    <w:rsid w:val="004349CA"/>
    <w:rsid w:val="00434A1C"/>
    <w:rsid w:val="00434ADC"/>
    <w:rsid w:val="00434FDF"/>
    <w:rsid w:val="0043504D"/>
    <w:rsid w:val="004350AE"/>
    <w:rsid w:val="00435354"/>
    <w:rsid w:val="00435657"/>
    <w:rsid w:val="004357C8"/>
    <w:rsid w:val="00435ACC"/>
    <w:rsid w:val="00435C58"/>
    <w:rsid w:val="00435F78"/>
    <w:rsid w:val="00436178"/>
    <w:rsid w:val="0043625B"/>
    <w:rsid w:val="0043648F"/>
    <w:rsid w:val="00436797"/>
    <w:rsid w:val="00436875"/>
    <w:rsid w:val="00436A11"/>
    <w:rsid w:val="00436AF5"/>
    <w:rsid w:val="00436C8B"/>
    <w:rsid w:val="00436C97"/>
    <w:rsid w:val="00436E93"/>
    <w:rsid w:val="00437124"/>
    <w:rsid w:val="0043733F"/>
    <w:rsid w:val="0043743E"/>
    <w:rsid w:val="00437711"/>
    <w:rsid w:val="004378D2"/>
    <w:rsid w:val="004379F6"/>
    <w:rsid w:val="00437C99"/>
    <w:rsid w:val="00437E83"/>
    <w:rsid w:val="00440108"/>
    <w:rsid w:val="00440133"/>
    <w:rsid w:val="00440658"/>
    <w:rsid w:val="004406D1"/>
    <w:rsid w:val="0044090A"/>
    <w:rsid w:val="00440A9E"/>
    <w:rsid w:val="00440E18"/>
    <w:rsid w:val="00440F19"/>
    <w:rsid w:val="00440F90"/>
    <w:rsid w:val="004411A4"/>
    <w:rsid w:val="00441392"/>
    <w:rsid w:val="00441514"/>
    <w:rsid w:val="0044166F"/>
    <w:rsid w:val="004417BA"/>
    <w:rsid w:val="00441881"/>
    <w:rsid w:val="00441936"/>
    <w:rsid w:val="00441A26"/>
    <w:rsid w:val="00441BB4"/>
    <w:rsid w:val="00441CEB"/>
    <w:rsid w:val="00441E57"/>
    <w:rsid w:val="00441FD9"/>
    <w:rsid w:val="00442567"/>
    <w:rsid w:val="00442569"/>
    <w:rsid w:val="00442991"/>
    <w:rsid w:val="00442ABB"/>
    <w:rsid w:val="00442B37"/>
    <w:rsid w:val="00442B7F"/>
    <w:rsid w:val="00442BFE"/>
    <w:rsid w:val="00442E07"/>
    <w:rsid w:val="0044305F"/>
    <w:rsid w:val="0044309E"/>
    <w:rsid w:val="00443211"/>
    <w:rsid w:val="00443364"/>
    <w:rsid w:val="004434C4"/>
    <w:rsid w:val="00443A9E"/>
    <w:rsid w:val="00443D5F"/>
    <w:rsid w:val="00443D82"/>
    <w:rsid w:val="00443F08"/>
    <w:rsid w:val="00443F0B"/>
    <w:rsid w:val="00443F0C"/>
    <w:rsid w:val="004441E2"/>
    <w:rsid w:val="00444333"/>
    <w:rsid w:val="004449FD"/>
    <w:rsid w:val="00444A70"/>
    <w:rsid w:val="00444B42"/>
    <w:rsid w:val="00444E40"/>
    <w:rsid w:val="00444F78"/>
    <w:rsid w:val="00445064"/>
    <w:rsid w:val="00445109"/>
    <w:rsid w:val="0044516D"/>
    <w:rsid w:val="004454A8"/>
    <w:rsid w:val="004454B5"/>
    <w:rsid w:val="004454FC"/>
    <w:rsid w:val="00445633"/>
    <w:rsid w:val="004456B6"/>
    <w:rsid w:val="0044572F"/>
    <w:rsid w:val="00445970"/>
    <w:rsid w:val="00445AC8"/>
    <w:rsid w:val="00445C3A"/>
    <w:rsid w:val="00445CC2"/>
    <w:rsid w:val="00445E70"/>
    <w:rsid w:val="00445F93"/>
    <w:rsid w:val="004461EC"/>
    <w:rsid w:val="004467C3"/>
    <w:rsid w:val="0044681B"/>
    <w:rsid w:val="004468F2"/>
    <w:rsid w:val="0044698D"/>
    <w:rsid w:val="00446ACC"/>
    <w:rsid w:val="00446D02"/>
    <w:rsid w:val="00446EDD"/>
    <w:rsid w:val="00446F47"/>
    <w:rsid w:val="004471A8"/>
    <w:rsid w:val="00447792"/>
    <w:rsid w:val="00447B72"/>
    <w:rsid w:val="00447E9A"/>
    <w:rsid w:val="004501AA"/>
    <w:rsid w:val="00450247"/>
    <w:rsid w:val="004508C6"/>
    <w:rsid w:val="004511F4"/>
    <w:rsid w:val="00451237"/>
    <w:rsid w:val="004515B5"/>
    <w:rsid w:val="004519A2"/>
    <w:rsid w:val="00451C67"/>
    <w:rsid w:val="00451E10"/>
    <w:rsid w:val="00452109"/>
    <w:rsid w:val="00452143"/>
    <w:rsid w:val="004521AC"/>
    <w:rsid w:val="004523DF"/>
    <w:rsid w:val="00452708"/>
    <w:rsid w:val="00452789"/>
    <w:rsid w:val="00452930"/>
    <w:rsid w:val="00452EA6"/>
    <w:rsid w:val="00452FEF"/>
    <w:rsid w:val="00453071"/>
    <w:rsid w:val="00453303"/>
    <w:rsid w:val="004535DE"/>
    <w:rsid w:val="00453AE6"/>
    <w:rsid w:val="00453D0B"/>
    <w:rsid w:val="00453DD2"/>
    <w:rsid w:val="00454099"/>
    <w:rsid w:val="004542D3"/>
    <w:rsid w:val="0045435B"/>
    <w:rsid w:val="00454672"/>
    <w:rsid w:val="0045476D"/>
    <w:rsid w:val="00454A6F"/>
    <w:rsid w:val="00454BB3"/>
    <w:rsid w:val="00454D66"/>
    <w:rsid w:val="00454DC3"/>
    <w:rsid w:val="00454E77"/>
    <w:rsid w:val="00454F46"/>
    <w:rsid w:val="00454F8D"/>
    <w:rsid w:val="004550F7"/>
    <w:rsid w:val="00455669"/>
    <w:rsid w:val="004559F4"/>
    <w:rsid w:val="00455BA7"/>
    <w:rsid w:val="00455D67"/>
    <w:rsid w:val="004560E4"/>
    <w:rsid w:val="0045647B"/>
    <w:rsid w:val="00456756"/>
    <w:rsid w:val="00456B0B"/>
    <w:rsid w:val="00456C57"/>
    <w:rsid w:val="00456C92"/>
    <w:rsid w:val="00456D4A"/>
    <w:rsid w:val="00457691"/>
    <w:rsid w:val="004577D5"/>
    <w:rsid w:val="004577ED"/>
    <w:rsid w:val="004578A3"/>
    <w:rsid w:val="00460062"/>
    <w:rsid w:val="0046007C"/>
    <w:rsid w:val="00460167"/>
    <w:rsid w:val="004601D2"/>
    <w:rsid w:val="00460408"/>
    <w:rsid w:val="0046063B"/>
    <w:rsid w:val="00460882"/>
    <w:rsid w:val="00460A21"/>
    <w:rsid w:val="00460BC6"/>
    <w:rsid w:val="00460D3C"/>
    <w:rsid w:val="00460FAD"/>
    <w:rsid w:val="0046101A"/>
    <w:rsid w:val="004616DC"/>
    <w:rsid w:val="004617F0"/>
    <w:rsid w:val="00461886"/>
    <w:rsid w:val="00461B10"/>
    <w:rsid w:val="00461BD1"/>
    <w:rsid w:val="00461C0B"/>
    <w:rsid w:val="00461FF4"/>
    <w:rsid w:val="00462283"/>
    <w:rsid w:val="00462759"/>
    <w:rsid w:val="00462809"/>
    <w:rsid w:val="00462847"/>
    <w:rsid w:val="00462B41"/>
    <w:rsid w:val="00462CA4"/>
    <w:rsid w:val="00462D72"/>
    <w:rsid w:val="00463246"/>
    <w:rsid w:val="0046361A"/>
    <w:rsid w:val="00463A2B"/>
    <w:rsid w:val="00463B50"/>
    <w:rsid w:val="00463DEE"/>
    <w:rsid w:val="00463EA0"/>
    <w:rsid w:val="00464115"/>
    <w:rsid w:val="004648A6"/>
    <w:rsid w:val="004649F4"/>
    <w:rsid w:val="00464C8D"/>
    <w:rsid w:val="00464D59"/>
    <w:rsid w:val="00464E75"/>
    <w:rsid w:val="00465D4D"/>
    <w:rsid w:val="00465EB7"/>
    <w:rsid w:val="00465FB1"/>
    <w:rsid w:val="00466188"/>
    <w:rsid w:val="00466585"/>
    <w:rsid w:val="004665D7"/>
    <w:rsid w:val="0046698D"/>
    <w:rsid w:val="00466B25"/>
    <w:rsid w:val="00466D92"/>
    <w:rsid w:val="00466E69"/>
    <w:rsid w:val="00466E6F"/>
    <w:rsid w:val="00467076"/>
    <w:rsid w:val="00467083"/>
    <w:rsid w:val="004673CD"/>
    <w:rsid w:val="00467508"/>
    <w:rsid w:val="00467A2A"/>
    <w:rsid w:val="00467C81"/>
    <w:rsid w:val="00467E20"/>
    <w:rsid w:val="00467E77"/>
    <w:rsid w:val="004700C3"/>
    <w:rsid w:val="0047014B"/>
    <w:rsid w:val="0047053D"/>
    <w:rsid w:val="00470835"/>
    <w:rsid w:val="004708C0"/>
    <w:rsid w:val="00470F4C"/>
    <w:rsid w:val="004713CC"/>
    <w:rsid w:val="00471851"/>
    <w:rsid w:val="004718E5"/>
    <w:rsid w:val="004719B2"/>
    <w:rsid w:val="00471C32"/>
    <w:rsid w:val="00471E3C"/>
    <w:rsid w:val="004721B9"/>
    <w:rsid w:val="0047224F"/>
    <w:rsid w:val="00472575"/>
    <w:rsid w:val="00472606"/>
    <w:rsid w:val="00472693"/>
    <w:rsid w:val="004727ED"/>
    <w:rsid w:val="00472A41"/>
    <w:rsid w:val="00472AD4"/>
    <w:rsid w:val="00472B40"/>
    <w:rsid w:val="00472B58"/>
    <w:rsid w:val="00472E40"/>
    <w:rsid w:val="00472E52"/>
    <w:rsid w:val="00472F03"/>
    <w:rsid w:val="0047318C"/>
    <w:rsid w:val="00473614"/>
    <w:rsid w:val="004737BA"/>
    <w:rsid w:val="004738E6"/>
    <w:rsid w:val="004739A4"/>
    <w:rsid w:val="00473A72"/>
    <w:rsid w:val="00473BA9"/>
    <w:rsid w:val="00473DE2"/>
    <w:rsid w:val="00473E05"/>
    <w:rsid w:val="00473EEB"/>
    <w:rsid w:val="00474109"/>
    <w:rsid w:val="004744BF"/>
    <w:rsid w:val="00474808"/>
    <w:rsid w:val="00474DDE"/>
    <w:rsid w:val="00474EF8"/>
    <w:rsid w:val="004750E1"/>
    <w:rsid w:val="004750ED"/>
    <w:rsid w:val="004753C8"/>
    <w:rsid w:val="0047574C"/>
    <w:rsid w:val="0047590D"/>
    <w:rsid w:val="00475C45"/>
    <w:rsid w:val="0047607F"/>
    <w:rsid w:val="004760D4"/>
    <w:rsid w:val="0047642B"/>
    <w:rsid w:val="004764E9"/>
    <w:rsid w:val="004764ED"/>
    <w:rsid w:val="00476D61"/>
    <w:rsid w:val="00476EC6"/>
    <w:rsid w:val="00477030"/>
    <w:rsid w:val="00477209"/>
    <w:rsid w:val="00477934"/>
    <w:rsid w:val="00477A9C"/>
    <w:rsid w:val="00477D38"/>
    <w:rsid w:val="00480000"/>
    <w:rsid w:val="004801C3"/>
    <w:rsid w:val="00480208"/>
    <w:rsid w:val="00480553"/>
    <w:rsid w:val="004806D2"/>
    <w:rsid w:val="00480819"/>
    <w:rsid w:val="0048082E"/>
    <w:rsid w:val="00480BA9"/>
    <w:rsid w:val="00480DAE"/>
    <w:rsid w:val="00481241"/>
    <w:rsid w:val="004812A1"/>
    <w:rsid w:val="004813C2"/>
    <w:rsid w:val="00481411"/>
    <w:rsid w:val="004815A1"/>
    <w:rsid w:val="0048170F"/>
    <w:rsid w:val="004817B5"/>
    <w:rsid w:val="004817F0"/>
    <w:rsid w:val="00481854"/>
    <w:rsid w:val="00481860"/>
    <w:rsid w:val="00481904"/>
    <w:rsid w:val="00481BCC"/>
    <w:rsid w:val="00481C18"/>
    <w:rsid w:val="00482139"/>
    <w:rsid w:val="0048230B"/>
    <w:rsid w:val="00482C7C"/>
    <w:rsid w:val="00483069"/>
    <w:rsid w:val="004830C2"/>
    <w:rsid w:val="004832ED"/>
    <w:rsid w:val="00483367"/>
    <w:rsid w:val="004833D1"/>
    <w:rsid w:val="0048345D"/>
    <w:rsid w:val="00483E8A"/>
    <w:rsid w:val="0048432F"/>
    <w:rsid w:val="00484371"/>
    <w:rsid w:val="0048459C"/>
    <w:rsid w:val="00484613"/>
    <w:rsid w:val="0048461A"/>
    <w:rsid w:val="00484681"/>
    <w:rsid w:val="0048468F"/>
    <w:rsid w:val="004846DE"/>
    <w:rsid w:val="004848C4"/>
    <w:rsid w:val="0048491B"/>
    <w:rsid w:val="00484D67"/>
    <w:rsid w:val="00484E85"/>
    <w:rsid w:val="004850EA"/>
    <w:rsid w:val="004854C5"/>
    <w:rsid w:val="0048568F"/>
    <w:rsid w:val="004857BB"/>
    <w:rsid w:val="00485B04"/>
    <w:rsid w:val="00485B6C"/>
    <w:rsid w:val="00485BE0"/>
    <w:rsid w:val="00485EA0"/>
    <w:rsid w:val="00486088"/>
    <w:rsid w:val="00486550"/>
    <w:rsid w:val="0048675C"/>
    <w:rsid w:val="00486A1B"/>
    <w:rsid w:val="00487A61"/>
    <w:rsid w:val="00487ADE"/>
    <w:rsid w:val="00487AF8"/>
    <w:rsid w:val="00487B04"/>
    <w:rsid w:val="00487B66"/>
    <w:rsid w:val="00487CE2"/>
    <w:rsid w:val="00487F8E"/>
    <w:rsid w:val="00490523"/>
    <w:rsid w:val="00490792"/>
    <w:rsid w:val="00490CB2"/>
    <w:rsid w:val="00490DBE"/>
    <w:rsid w:val="00490DD0"/>
    <w:rsid w:val="00491064"/>
    <w:rsid w:val="00491081"/>
    <w:rsid w:val="00491082"/>
    <w:rsid w:val="00491130"/>
    <w:rsid w:val="004912C4"/>
    <w:rsid w:val="004914D9"/>
    <w:rsid w:val="0049153A"/>
    <w:rsid w:val="00491835"/>
    <w:rsid w:val="00491881"/>
    <w:rsid w:val="0049189C"/>
    <w:rsid w:val="0049194F"/>
    <w:rsid w:val="004919E3"/>
    <w:rsid w:val="004919F2"/>
    <w:rsid w:val="00491C10"/>
    <w:rsid w:val="00491E34"/>
    <w:rsid w:val="00491FF0"/>
    <w:rsid w:val="00492015"/>
    <w:rsid w:val="004923C8"/>
    <w:rsid w:val="0049255F"/>
    <w:rsid w:val="004927AE"/>
    <w:rsid w:val="00492810"/>
    <w:rsid w:val="00492BBD"/>
    <w:rsid w:val="00492CD4"/>
    <w:rsid w:val="00492D69"/>
    <w:rsid w:val="00493052"/>
    <w:rsid w:val="004931C0"/>
    <w:rsid w:val="0049325D"/>
    <w:rsid w:val="00493347"/>
    <w:rsid w:val="0049364A"/>
    <w:rsid w:val="004936E1"/>
    <w:rsid w:val="004938B9"/>
    <w:rsid w:val="00493A2E"/>
    <w:rsid w:val="00493E56"/>
    <w:rsid w:val="0049433B"/>
    <w:rsid w:val="0049469D"/>
    <w:rsid w:val="0049482E"/>
    <w:rsid w:val="00494875"/>
    <w:rsid w:val="0049495F"/>
    <w:rsid w:val="004949A4"/>
    <w:rsid w:val="00494A52"/>
    <w:rsid w:val="00494B2E"/>
    <w:rsid w:val="00494D85"/>
    <w:rsid w:val="00494DEC"/>
    <w:rsid w:val="00494E2B"/>
    <w:rsid w:val="00494E85"/>
    <w:rsid w:val="004951AE"/>
    <w:rsid w:val="004951FB"/>
    <w:rsid w:val="00495431"/>
    <w:rsid w:val="0049543C"/>
    <w:rsid w:val="00495518"/>
    <w:rsid w:val="004955EB"/>
    <w:rsid w:val="00495A8F"/>
    <w:rsid w:val="00495BEE"/>
    <w:rsid w:val="00495D64"/>
    <w:rsid w:val="00495F3E"/>
    <w:rsid w:val="00496089"/>
    <w:rsid w:val="004961AA"/>
    <w:rsid w:val="004962AA"/>
    <w:rsid w:val="00496311"/>
    <w:rsid w:val="004963C8"/>
    <w:rsid w:val="0049664C"/>
    <w:rsid w:val="004966D7"/>
    <w:rsid w:val="0049694B"/>
    <w:rsid w:val="004969CA"/>
    <w:rsid w:val="00496CDA"/>
    <w:rsid w:val="00496EC7"/>
    <w:rsid w:val="00496EF5"/>
    <w:rsid w:val="00497267"/>
    <w:rsid w:val="004972D4"/>
    <w:rsid w:val="004975E8"/>
    <w:rsid w:val="004978B8"/>
    <w:rsid w:val="004979A4"/>
    <w:rsid w:val="004979D2"/>
    <w:rsid w:val="00497FFE"/>
    <w:rsid w:val="004A09B0"/>
    <w:rsid w:val="004A0A6A"/>
    <w:rsid w:val="004A0B98"/>
    <w:rsid w:val="004A103B"/>
    <w:rsid w:val="004A15D0"/>
    <w:rsid w:val="004A161F"/>
    <w:rsid w:val="004A1812"/>
    <w:rsid w:val="004A1CFF"/>
    <w:rsid w:val="004A1D34"/>
    <w:rsid w:val="004A1EB7"/>
    <w:rsid w:val="004A1FA1"/>
    <w:rsid w:val="004A235D"/>
    <w:rsid w:val="004A24DC"/>
    <w:rsid w:val="004A259C"/>
    <w:rsid w:val="004A27EB"/>
    <w:rsid w:val="004A2DC2"/>
    <w:rsid w:val="004A2EB0"/>
    <w:rsid w:val="004A2ED1"/>
    <w:rsid w:val="004A332A"/>
    <w:rsid w:val="004A3331"/>
    <w:rsid w:val="004A3741"/>
    <w:rsid w:val="004A3813"/>
    <w:rsid w:val="004A3D05"/>
    <w:rsid w:val="004A3F30"/>
    <w:rsid w:val="004A4A49"/>
    <w:rsid w:val="004A4B9C"/>
    <w:rsid w:val="004A4DAB"/>
    <w:rsid w:val="004A4EE4"/>
    <w:rsid w:val="004A4FC3"/>
    <w:rsid w:val="004A5008"/>
    <w:rsid w:val="004A50EC"/>
    <w:rsid w:val="004A520D"/>
    <w:rsid w:val="004A5299"/>
    <w:rsid w:val="004A55B5"/>
    <w:rsid w:val="004A56A2"/>
    <w:rsid w:val="004A57F6"/>
    <w:rsid w:val="004A5B11"/>
    <w:rsid w:val="004A5D7C"/>
    <w:rsid w:val="004A60A9"/>
    <w:rsid w:val="004A60B8"/>
    <w:rsid w:val="004A6421"/>
    <w:rsid w:val="004A6480"/>
    <w:rsid w:val="004A64EA"/>
    <w:rsid w:val="004A65E3"/>
    <w:rsid w:val="004A6EC3"/>
    <w:rsid w:val="004A6FFB"/>
    <w:rsid w:val="004A7002"/>
    <w:rsid w:val="004A7086"/>
    <w:rsid w:val="004A7450"/>
    <w:rsid w:val="004A767F"/>
    <w:rsid w:val="004A78F7"/>
    <w:rsid w:val="004A7A11"/>
    <w:rsid w:val="004A7AF1"/>
    <w:rsid w:val="004A7B03"/>
    <w:rsid w:val="004A7B1F"/>
    <w:rsid w:val="004A7C70"/>
    <w:rsid w:val="004A7E2B"/>
    <w:rsid w:val="004B04D8"/>
    <w:rsid w:val="004B0521"/>
    <w:rsid w:val="004B08A5"/>
    <w:rsid w:val="004B08B3"/>
    <w:rsid w:val="004B0BCF"/>
    <w:rsid w:val="004B0F5C"/>
    <w:rsid w:val="004B1031"/>
    <w:rsid w:val="004B105E"/>
    <w:rsid w:val="004B1111"/>
    <w:rsid w:val="004B121E"/>
    <w:rsid w:val="004B122A"/>
    <w:rsid w:val="004B1568"/>
    <w:rsid w:val="004B1589"/>
    <w:rsid w:val="004B15A7"/>
    <w:rsid w:val="004B16C4"/>
    <w:rsid w:val="004B181F"/>
    <w:rsid w:val="004B1AD4"/>
    <w:rsid w:val="004B1C30"/>
    <w:rsid w:val="004B1FA1"/>
    <w:rsid w:val="004B1FBE"/>
    <w:rsid w:val="004B20FD"/>
    <w:rsid w:val="004B2153"/>
    <w:rsid w:val="004B22A9"/>
    <w:rsid w:val="004B25F3"/>
    <w:rsid w:val="004B27FB"/>
    <w:rsid w:val="004B29DF"/>
    <w:rsid w:val="004B2C37"/>
    <w:rsid w:val="004B2C65"/>
    <w:rsid w:val="004B2D42"/>
    <w:rsid w:val="004B2D94"/>
    <w:rsid w:val="004B3832"/>
    <w:rsid w:val="004B3B11"/>
    <w:rsid w:val="004B3B5F"/>
    <w:rsid w:val="004B416A"/>
    <w:rsid w:val="004B445E"/>
    <w:rsid w:val="004B4687"/>
    <w:rsid w:val="004B46EF"/>
    <w:rsid w:val="004B4E19"/>
    <w:rsid w:val="004B503E"/>
    <w:rsid w:val="004B5240"/>
    <w:rsid w:val="004B534C"/>
    <w:rsid w:val="004B5560"/>
    <w:rsid w:val="004B57AE"/>
    <w:rsid w:val="004B57B4"/>
    <w:rsid w:val="004B5A7F"/>
    <w:rsid w:val="004B5C9D"/>
    <w:rsid w:val="004B5FC6"/>
    <w:rsid w:val="004B6086"/>
    <w:rsid w:val="004B6227"/>
    <w:rsid w:val="004B6247"/>
    <w:rsid w:val="004B630C"/>
    <w:rsid w:val="004B67EC"/>
    <w:rsid w:val="004B6928"/>
    <w:rsid w:val="004B6AA3"/>
    <w:rsid w:val="004B6D75"/>
    <w:rsid w:val="004B6E6B"/>
    <w:rsid w:val="004B705D"/>
    <w:rsid w:val="004B70A5"/>
    <w:rsid w:val="004B70A7"/>
    <w:rsid w:val="004B725B"/>
    <w:rsid w:val="004B7901"/>
    <w:rsid w:val="004B7C1F"/>
    <w:rsid w:val="004C0029"/>
    <w:rsid w:val="004C0121"/>
    <w:rsid w:val="004C0707"/>
    <w:rsid w:val="004C07B8"/>
    <w:rsid w:val="004C08D8"/>
    <w:rsid w:val="004C0E13"/>
    <w:rsid w:val="004C0EDC"/>
    <w:rsid w:val="004C13BF"/>
    <w:rsid w:val="004C198C"/>
    <w:rsid w:val="004C1B1A"/>
    <w:rsid w:val="004C1D91"/>
    <w:rsid w:val="004C1E76"/>
    <w:rsid w:val="004C1ED2"/>
    <w:rsid w:val="004C1F81"/>
    <w:rsid w:val="004C205E"/>
    <w:rsid w:val="004C2101"/>
    <w:rsid w:val="004C2455"/>
    <w:rsid w:val="004C255F"/>
    <w:rsid w:val="004C260F"/>
    <w:rsid w:val="004C287F"/>
    <w:rsid w:val="004C2ADD"/>
    <w:rsid w:val="004C32DD"/>
    <w:rsid w:val="004C33B9"/>
    <w:rsid w:val="004C340B"/>
    <w:rsid w:val="004C3426"/>
    <w:rsid w:val="004C361F"/>
    <w:rsid w:val="004C3747"/>
    <w:rsid w:val="004C3748"/>
    <w:rsid w:val="004C3767"/>
    <w:rsid w:val="004C37B2"/>
    <w:rsid w:val="004C38D0"/>
    <w:rsid w:val="004C3978"/>
    <w:rsid w:val="004C3B2D"/>
    <w:rsid w:val="004C3C43"/>
    <w:rsid w:val="004C3CEA"/>
    <w:rsid w:val="004C3F1B"/>
    <w:rsid w:val="004C464B"/>
    <w:rsid w:val="004C4860"/>
    <w:rsid w:val="004C4949"/>
    <w:rsid w:val="004C4B68"/>
    <w:rsid w:val="004C4B9E"/>
    <w:rsid w:val="004C4CD2"/>
    <w:rsid w:val="004C5224"/>
    <w:rsid w:val="004C54F0"/>
    <w:rsid w:val="004C55C7"/>
    <w:rsid w:val="004C577F"/>
    <w:rsid w:val="004C581C"/>
    <w:rsid w:val="004C5E1E"/>
    <w:rsid w:val="004C60AC"/>
    <w:rsid w:val="004C62CE"/>
    <w:rsid w:val="004C67FF"/>
    <w:rsid w:val="004C6855"/>
    <w:rsid w:val="004C686E"/>
    <w:rsid w:val="004C6A52"/>
    <w:rsid w:val="004C6CEE"/>
    <w:rsid w:val="004C6E67"/>
    <w:rsid w:val="004C6F61"/>
    <w:rsid w:val="004C74BB"/>
    <w:rsid w:val="004C7825"/>
    <w:rsid w:val="004C79EE"/>
    <w:rsid w:val="004C7AA0"/>
    <w:rsid w:val="004C7BE1"/>
    <w:rsid w:val="004C7CB9"/>
    <w:rsid w:val="004C7E66"/>
    <w:rsid w:val="004C7E95"/>
    <w:rsid w:val="004C7FA4"/>
    <w:rsid w:val="004D00A4"/>
    <w:rsid w:val="004D03A7"/>
    <w:rsid w:val="004D05A0"/>
    <w:rsid w:val="004D088C"/>
    <w:rsid w:val="004D0935"/>
    <w:rsid w:val="004D0B19"/>
    <w:rsid w:val="004D0BC0"/>
    <w:rsid w:val="004D0C34"/>
    <w:rsid w:val="004D0CFF"/>
    <w:rsid w:val="004D0EB0"/>
    <w:rsid w:val="004D0F5C"/>
    <w:rsid w:val="004D0FAA"/>
    <w:rsid w:val="004D11EF"/>
    <w:rsid w:val="004D12B8"/>
    <w:rsid w:val="004D13AD"/>
    <w:rsid w:val="004D1467"/>
    <w:rsid w:val="004D149B"/>
    <w:rsid w:val="004D15C4"/>
    <w:rsid w:val="004D1740"/>
    <w:rsid w:val="004D1751"/>
    <w:rsid w:val="004D17A6"/>
    <w:rsid w:val="004D18E3"/>
    <w:rsid w:val="004D1D22"/>
    <w:rsid w:val="004D1EA5"/>
    <w:rsid w:val="004D1FB4"/>
    <w:rsid w:val="004D20DB"/>
    <w:rsid w:val="004D215F"/>
    <w:rsid w:val="004D27BD"/>
    <w:rsid w:val="004D28DB"/>
    <w:rsid w:val="004D29AF"/>
    <w:rsid w:val="004D29DF"/>
    <w:rsid w:val="004D2AEB"/>
    <w:rsid w:val="004D2C7B"/>
    <w:rsid w:val="004D2D41"/>
    <w:rsid w:val="004D2EF3"/>
    <w:rsid w:val="004D2FFC"/>
    <w:rsid w:val="004D318F"/>
    <w:rsid w:val="004D31C0"/>
    <w:rsid w:val="004D3686"/>
    <w:rsid w:val="004D37B2"/>
    <w:rsid w:val="004D383B"/>
    <w:rsid w:val="004D3D38"/>
    <w:rsid w:val="004D3DD3"/>
    <w:rsid w:val="004D3E6C"/>
    <w:rsid w:val="004D41A5"/>
    <w:rsid w:val="004D4207"/>
    <w:rsid w:val="004D4267"/>
    <w:rsid w:val="004D485D"/>
    <w:rsid w:val="004D4873"/>
    <w:rsid w:val="004D4ADD"/>
    <w:rsid w:val="004D4C3A"/>
    <w:rsid w:val="004D4C9F"/>
    <w:rsid w:val="004D4CF1"/>
    <w:rsid w:val="004D4F26"/>
    <w:rsid w:val="004D4FCB"/>
    <w:rsid w:val="004D511B"/>
    <w:rsid w:val="004D5445"/>
    <w:rsid w:val="004D557C"/>
    <w:rsid w:val="004D57ED"/>
    <w:rsid w:val="004D5948"/>
    <w:rsid w:val="004D594C"/>
    <w:rsid w:val="004D59D7"/>
    <w:rsid w:val="004D5C6A"/>
    <w:rsid w:val="004D5C97"/>
    <w:rsid w:val="004D5E24"/>
    <w:rsid w:val="004D5EF8"/>
    <w:rsid w:val="004D5FC9"/>
    <w:rsid w:val="004D6037"/>
    <w:rsid w:val="004D613D"/>
    <w:rsid w:val="004D61A4"/>
    <w:rsid w:val="004D61B0"/>
    <w:rsid w:val="004D6764"/>
    <w:rsid w:val="004D6957"/>
    <w:rsid w:val="004D6BA3"/>
    <w:rsid w:val="004D6C6C"/>
    <w:rsid w:val="004D6D27"/>
    <w:rsid w:val="004D6F0C"/>
    <w:rsid w:val="004D7012"/>
    <w:rsid w:val="004D7390"/>
    <w:rsid w:val="004D73DC"/>
    <w:rsid w:val="004D768A"/>
    <w:rsid w:val="004D7BB3"/>
    <w:rsid w:val="004E01F4"/>
    <w:rsid w:val="004E0347"/>
    <w:rsid w:val="004E05C9"/>
    <w:rsid w:val="004E06AC"/>
    <w:rsid w:val="004E0FC9"/>
    <w:rsid w:val="004E134F"/>
    <w:rsid w:val="004E1496"/>
    <w:rsid w:val="004E162C"/>
    <w:rsid w:val="004E1A11"/>
    <w:rsid w:val="004E1D14"/>
    <w:rsid w:val="004E23E7"/>
    <w:rsid w:val="004E2BF2"/>
    <w:rsid w:val="004E2E8B"/>
    <w:rsid w:val="004E31E6"/>
    <w:rsid w:val="004E345F"/>
    <w:rsid w:val="004E357D"/>
    <w:rsid w:val="004E364B"/>
    <w:rsid w:val="004E36D5"/>
    <w:rsid w:val="004E376B"/>
    <w:rsid w:val="004E38BD"/>
    <w:rsid w:val="004E3906"/>
    <w:rsid w:val="004E3C37"/>
    <w:rsid w:val="004E3E16"/>
    <w:rsid w:val="004E44E2"/>
    <w:rsid w:val="004E455A"/>
    <w:rsid w:val="004E45E5"/>
    <w:rsid w:val="004E47C0"/>
    <w:rsid w:val="004E4856"/>
    <w:rsid w:val="004E491C"/>
    <w:rsid w:val="004E4D40"/>
    <w:rsid w:val="004E4F22"/>
    <w:rsid w:val="004E4F68"/>
    <w:rsid w:val="004E4F95"/>
    <w:rsid w:val="004E4FCA"/>
    <w:rsid w:val="004E4FFC"/>
    <w:rsid w:val="004E52C6"/>
    <w:rsid w:val="004E5430"/>
    <w:rsid w:val="004E55E7"/>
    <w:rsid w:val="004E5901"/>
    <w:rsid w:val="004E59D3"/>
    <w:rsid w:val="004E5CB8"/>
    <w:rsid w:val="004E5D47"/>
    <w:rsid w:val="004E6176"/>
    <w:rsid w:val="004E635D"/>
    <w:rsid w:val="004E6399"/>
    <w:rsid w:val="004E6424"/>
    <w:rsid w:val="004E6450"/>
    <w:rsid w:val="004E6569"/>
    <w:rsid w:val="004E658D"/>
    <w:rsid w:val="004E6C1D"/>
    <w:rsid w:val="004E6FB5"/>
    <w:rsid w:val="004E708C"/>
    <w:rsid w:val="004E70FA"/>
    <w:rsid w:val="004E7160"/>
    <w:rsid w:val="004E718B"/>
    <w:rsid w:val="004E71A6"/>
    <w:rsid w:val="004E735C"/>
    <w:rsid w:val="004E770D"/>
    <w:rsid w:val="004E77A8"/>
    <w:rsid w:val="004E77EC"/>
    <w:rsid w:val="004E7A39"/>
    <w:rsid w:val="004E7DA1"/>
    <w:rsid w:val="004E7DBC"/>
    <w:rsid w:val="004F01B9"/>
    <w:rsid w:val="004F01C2"/>
    <w:rsid w:val="004F0201"/>
    <w:rsid w:val="004F02A6"/>
    <w:rsid w:val="004F0DF5"/>
    <w:rsid w:val="004F10AC"/>
    <w:rsid w:val="004F11AC"/>
    <w:rsid w:val="004F11C4"/>
    <w:rsid w:val="004F1268"/>
    <w:rsid w:val="004F12BE"/>
    <w:rsid w:val="004F13BE"/>
    <w:rsid w:val="004F15FA"/>
    <w:rsid w:val="004F183C"/>
    <w:rsid w:val="004F195A"/>
    <w:rsid w:val="004F1CAC"/>
    <w:rsid w:val="004F1E41"/>
    <w:rsid w:val="004F24C8"/>
    <w:rsid w:val="004F262B"/>
    <w:rsid w:val="004F28CC"/>
    <w:rsid w:val="004F2A56"/>
    <w:rsid w:val="004F2D8A"/>
    <w:rsid w:val="004F304D"/>
    <w:rsid w:val="004F3522"/>
    <w:rsid w:val="004F3740"/>
    <w:rsid w:val="004F397D"/>
    <w:rsid w:val="004F3A75"/>
    <w:rsid w:val="004F3D6A"/>
    <w:rsid w:val="004F3D70"/>
    <w:rsid w:val="004F3E3C"/>
    <w:rsid w:val="004F4049"/>
    <w:rsid w:val="004F4116"/>
    <w:rsid w:val="004F42B6"/>
    <w:rsid w:val="004F4528"/>
    <w:rsid w:val="004F4571"/>
    <w:rsid w:val="004F493F"/>
    <w:rsid w:val="004F49DA"/>
    <w:rsid w:val="004F4AC9"/>
    <w:rsid w:val="004F4B3B"/>
    <w:rsid w:val="004F4D6F"/>
    <w:rsid w:val="004F5042"/>
    <w:rsid w:val="004F51BB"/>
    <w:rsid w:val="004F5214"/>
    <w:rsid w:val="004F5488"/>
    <w:rsid w:val="004F56A5"/>
    <w:rsid w:val="004F5800"/>
    <w:rsid w:val="004F59E1"/>
    <w:rsid w:val="004F5A37"/>
    <w:rsid w:val="004F5DC6"/>
    <w:rsid w:val="004F609E"/>
    <w:rsid w:val="004F60C0"/>
    <w:rsid w:val="004F6343"/>
    <w:rsid w:val="004F644A"/>
    <w:rsid w:val="004F6680"/>
    <w:rsid w:val="004F6879"/>
    <w:rsid w:val="004F68DD"/>
    <w:rsid w:val="004F69A7"/>
    <w:rsid w:val="004F6AD3"/>
    <w:rsid w:val="004F6B0B"/>
    <w:rsid w:val="004F6E4F"/>
    <w:rsid w:val="004F7115"/>
    <w:rsid w:val="004F7188"/>
    <w:rsid w:val="004F7411"/>
    <w:rsid w:val="004F7530"/>
    <w:rsid w:val="004F754C"/>
    <w:rsid w:val="004F78FC"/>
    <w:rsid w:val="004F7C6E"/>
    <w:rsid w:val="004F7FC1"/>
    <w:rsid w:val="00500054"/>
    <w:rsid w:val="005000D7"/>
    <w:rsid w:val="0050013C"/>
    <w:rsid w:val="0050019A"/>
    <w:rsid w:val="00500213"/>
    <w:rsid w:val="00500346"/>
    <w:rsid w:val="005003A1"/>
    <w:rsid w:val="005006A5"/>
    <w:rsid w:val="0050071D"/>
    <w:rsid w:val="00500A2D"/>
    <w:rsid w:val="00500A63"/>
    <w:rsid w:val="00500BFF"/>
    <w:rsid w:val="00500DCA"/>
    <w:rsid w:val="00500DF7"/>
    <w:rsid w:val="00500E49"/>
    <w:rsid w:val="00501916"/>
    <w:rsid w:val="00501CEA"/>
    <w:rsid w:val="00501EEB"/>
    <w:rsid w:val="005023E6"/>
    <w:rsid w:val="005024CC"/>
    <w:rsid w:val="00502550"/>
    <w:rsid w:val="00502566"/>
    <w:rsid w:val="00502642"/>
    <w:rsid w:val="00502719"/>
    <w:rsid w:val="005027C3"/>
    <w:rsid w:val="0050284F"/>
    <w:rsid w:val="005028C0"/>
    <w:rsid w:val="005028DD"/>
    <w:rsid w:val="00502AF4"/>
    <w:rsid w:val="00502C25"/>
    <w:rsid w:val="00502F23"/>
    <w:rsid w:val="00503246"/>
    <w:rsid w:val="00503510"/>
    <w:rsid w:val="0050364F"/>
    <w:rsid w:val="0050388D"/>
    <w:rsid w:val="0050389E"/>
    <w:rsid w:val="005038CF"/>
    <w:rsid w:val="00503AE2"/>
    <w:rsid w:val="00503B02"/>
    <w:rsid w:val="00503C2A"/>
    <w:rsid w:val="00503D3E"/>
    <w:rsid w:val="00503E0A"/>
    <w:rsid w:val="00503ED7"/>
    <w:rsid w:val="00503F9C"/>
    <w:rsid w:val="005047AF"/>
    <w:rsid w:val="005047EA"/>
    <w:rsid w:val="00504B07"/>
    <w:rsid w:val="0050500C"/>
    <w:rsid w:val="00505099"/>
    <w:rsid w:val="00505227"/>
    <w:rsid w:val="00505350"/>
    <w:rsid w:val="005056DC"/>
    <w:rsid w:val="005058B2"/>
    <w:rsid w:val="00505A16"/>
    <w:rsid w:val="005065D9"/>
    <w:rsid w:val="0050663D"/>
    <w:rsid w:val="005068E8"/>
    <w:rsid w:val="00506946"/>
    <w:rsid w:val="00506952"/>
    <w:rsid w:val="00506A82"/>
    <w:rsid w:val="00506AC4"/>
    <w:rsid w:val="00506DAB"/>
    <w:rsid w:val="00506E33"/>
    <w:rsid w:val="00506EA2"/>
    <w:rsid w:val="00507225"/>
    <w:rsid w:val="00507751"/>
    <w:rsid w:val="005077AA"/>
    <w:rsid w:val="00507808"/>
    <w:rsid w:val="00507AAC"/>
    <w:rsid w:val="00507B56"/>
    <w:rsid w:val="00507B6D"/>
    <w:rsid w:val="00507CF2"/>
    <w:rsid w:val="005104AD"/>
    <w:rsid w:val="005105E6"/>
    <w:rsid w:val="0051061C"/>
    <w:rsid w:val="005107E0"/>
    <w:rsid w:val="00510938"/>
    <w:rsid w:val="00510BCD"/>
    <w:rsid w:val="00510D91"/>
    <w:rsid w:val="00510EDB"/>
    <w:rsid w:val="00510FE5"/>
    <w:rsid w:val="005113C0"/>
    <w:rsid w:val="00511411"/>
    <w:rsid w:val="0051149F"/>
    <w:rsid w:val="0051154D"/>
    <w:rsid w:val="005117FC"/>
    <w:rsid w:val="0051183C"/>
    <w:rsid w:val="0051195D"/>
    <w:rsid w:val="00511D60"/>
    <w:rsid w:val="00511F44"/>
    <w:rsid w:val="005120F4"/>
    <w:rsid w:val="00512788"/>
    <w:rsid w:val="0051294C"/>
    <w:rsid w:val="00512A8A"/>
    <w:rsid w:val="00512AAD"/>
    <w:rsid w:val="00512EBC"/>
    <w:rsid w:val="00512F11"/>
    <w:rsid w:val="00513660"/>
    <w:rsid w:val="005136C1"/>
    <w:rsid w:val="005137A7"/>
    <w:rsid w:val="0051396C"/>
    <w:rsid w:val="00513D9E"/>
    <w:rsid w:val="0051414A"/>
    <w:rsid w:val="00514249"/>
    <w:rsid w:val="005146CA"/>
    <w:rsid w:val="0051482E"/>
    <w:rsid w:val="00514AE9"/>
    <w:rsid w:val="00514DF7"/>
    <w:rsid w:val="0051512E"/>
    <w:rsid w:val="005153D2"/>
    <w:rsid w:val="005157AA"/>
    <w:rsid w:val="00515821"/>
    <w:rsid w:val="00515861"/>
    <w:rsid w:val="005158F3"/>
    <w:rsid w:val="00515B01"/>
    <w:rsid w:val="00515C22"/>
    <w:rsid w:val="00515D0B"/>
    <w:rsid w:val="00515F25"/>
    <w:rsid w:val="0051600A"/>
    <w:rsid w:val="005162B3"/>
    <w:rsid w:val="005162F5"/>
    <w:rsid w:val="005162F6"/>
    <w:rsid w:val="00516308"/>
    <w:rsid w:val="0051699F"/>
    <w:rsid w:val="00516A8D"/>
    <w:rsid w:val="00516EF1"/>
    <w:rsid w:val="00516FF9"/>
    <w:rsid w:val="005171A9"/>
    <w:rsid w:val="00517399"/>
    <w:rsid w:val="00517720"/>
    <w:rsid w:val="00517728"/>
    <w:rsid w:val="005179B1"/>
    <w:rsid w:val="005179CC"/>
    <w:rsid w:val="00517E03"/>
    <w:rsid w:val="00517EFE"/>
    <w:rsid w:val="0052057A"/>
    <w:rsid w:val="0052086F"/>
    <w:rsid w:val="00520B7F"/>
    <w:rsid w:val="00520FF7"/>
    <w:rsid w:val="00521197"/>
    <w:rsid w:val="00521463"/>
    <w:rsid w:val="0052147E"/>
    <w:rsid w:val="00521506"/>
    <w:rsid w:val="0052151D"/>
    <w:rsid w:val="0052161A"/>
    <w:rsid w:val="005217DA"/>
    <w:rsid w:val="0052188A"/>
    <w:rsid w:val="0052195D"/>
    <w:rsid w:val="00521A4F"/>
    <w:rsid w:val="00521A97"/>
    <w:rsid w:val="00521C20"/>
    <w:rsid w:val="00521FAD"/>
    <w:rsid w:val="00522334"/>
    <w:rsid w:val="00522403"/>
    <w:rsid w:val="0052284E"/>
    <w:rsid w:val="005228E8"/>
    <w:rsid w:val="00522A2A"/>
    <w:rsid w:val="00522AB6"/>
    <w:rsid w:val="00523249"/>
    <w:rsid w:val="00523399"/>
    <w:rsid w:val="00523721"/>
    <w:rsid w:val="005237EA"/>
    <w:rsid w:val="0052381F"/>
    <w:rsid w:val="00523974"/>
    <w:rsid w:val="005239A6"/>
    <w:rsid w:val="00523C07"/>
    <w:rsid w:val="00523D9E"/>
    <w:rsid w:val="005240E8"/>
    <w:rsid w:val="00524324"/>
    <w:rsid w:val="0052447D"/>
    <w:rsid w:val="00524F7E"/>
    <w:rsid w:val="00525307"/>
    <w:rsid w:val="0052535F"/>
    <w:rsid w:val="005254BE"/>
    <w:rsid w:val="005254C7"/>
    <w:rsid w:val="005254D0"/>
    <w:rsid w:val="005255EC"/>
    <w:rsid w:val="00525903"/>
    <w:rsid w:val="00525C2D"/>
    <w:rsid w:val="00525EB8"/>
    <w:rsid w:val="00526111"/>
    <w:rsid w:val="005261E4"/>
    <w:rsid w:val="0052647F"/>
    <w:rsid w:val="00526675"/>
    <w:rsid w:val="0052667C"/>
    <w:rsid w:val="0052680A"/>
    <w:rsid w:val="00526CBD"/>
    <w:rsid w:val="00526ECA"/>
    <w:rsid w:val="0052711F"/>
    <w:rsid w:val="00527805"/>
    <w:rsid w:val="00527899"/>
    <w:rsid w:val="005278FA"/>
    <w:rsid w:val="00527916"/>
    <w:rsid w:val="0052795D"/>
    <w:rsid w:val="00527992"/>
    <w:rsid w:val="005279D7"/>
    <w:rsid w:val="00527D20"/>
    <w:rsid w:val="00527FCF"/>
    <w:rsid w:val="0053020E"/>
    <w:rsid w:val="00530467"/>
    <w:rsid w:val="00530C0F"/>
    <w:rsid w:val="00530CA1"/>
    <w:rsid w:val="00530D32"/>
    <w:rsid w:val="00530D89"/>
    <w:rsid w:val="00530F05"/>
    <w:rsid w:val="00531258"/>
    <w:rsid w:val="005318B1"/>
    <w:rsid w:val="00531BD5"/>
    <w:rsid w:val="00531DB5"/>
    <w:rsid w:val="00531E2B"/>
    <w:rsid w:val="00531EF3"/>
    <w:rsid w:val="00531F5D"/>
    <w:rsid w:val="0053203B"/>
    <w:rsid w:val="00532323"/>
    <w:rsid w:val="005323CD"/>
    <w:rsid w:val="005323DF"/>
    <w:rsid w:val="005324E8"/>
    <w:rsid w:val="0053259C"/>
    <w:rsid w:val="00532E09"/>
    <w:rsid w:val="00532E7C"/>
    <w:rsid w:val="00532FDE"/>
    <w:rsid w:val="00532FFB"/>
    <w:rsid w:val="00533501"/>
    <w:rsid w:val="00533543"/>
    <w:rsid w:val="0053354C"/>
    <w:rsid w:val="00533BE0"/>
    <w:rsid w:val="00533C10"/>
    <w:rsid w:val="00533C39"/>
    <w:rsid w:val="00533C7D"/>
    <w:rsid w:val="00533D54"/>
    <w:rsid w:val="00534062"/>
    <w:rsid w:val="00534103"/>
    <w:rsid w:val="0053427B"/>
    <w:rsid w:val="00534305"/>
    <w:rsid w:val="00534323"/>
    <w:rsid w:val="005347B4"/>
    <w:rsid w:val="00534C05"/>
    <w:rsid w:val="00534D22"/>
    <w:rsid w:val="00534F1E"/>
    <w:rsid w:val="00534F86"/>
    <w:rsid w:val="005350A0"/>
    <w:rsid w:val="005354CB"/>
    <w:rsid w:val="005356E7"/>
    <w:rsid w:val="00535754"/>
    <w:rsid w:val="005357DD"/>
    <w:rsid w:val="005359F0"/>
    <w:rsid w:val="00535A6C"/>
    <w:rsid w:val="00535CAA"/>
    <w:rsid w:val="00535E27"/>
    <w:rsid w:val="00535F5B"/>
    <w:rsid w:val="005361FB"/>
    <w:rsid w:val="00536403"/>
    <w:rsid w:val="00536757"/>
    <w:rsid w:val="005368FB"/>
    <w:rsid w:val="00536ADE"/>
    <w:rsid w:val="00536C9F"/>
    <w:rsid w:val="00536CD0"/>
    <w:rsid w:val="005370AB"/>
    <w:rsid w:val="00537378"/>
    <w:rsid w:val="005373E5"/>
    <w:rsid w:val="00537551"/>
    <w:rsid w:val="00537579"/>
    <w:rsid w:val="005377D1"/>
    <w:rsid w:val="00537996"/>
    <w:rsid w:val="00537F9E"/>
    <w:rsid w:val="00540158"/>
    <w:rsid w:val="00540346"/>
    <w:rsid w:val="00540514"/>
    <w:rsid w:val="00540648"/>
    <w:rsid w:val="00540B2F"/>
    <w:rsid w:val="00540C70"/>
    <w:rsid w:val="00540EF9"/>
    <w:rsid w:val="00540FBF"/>
    <w:rsid w:val="005411AF"/>
    <w:rsid w:val="005411B4"/>
    <w:rsid w:val="0054143B"/>
    <w:rsid w:val="00541674"/>
    <w:rsid w:val="00541780"/>
    <w:rsid w:val="00541AF2"/>
    <w:rsid w:val="00541B18"/>
    <w:rsid w:val="00541C6A"/>
    <w:rsid w:val="00541D15"/>
    <w:rsid w:val="00541EC3"/>
    <w:rsid w:val="00542318"/>
    <w:rsid w:val="00542573"/>
    <w:rsid w:val="00542756"/>
    <w:rsid w:val="00542868"/>
    <w:rsid w:val="005428C2"/>
    <w:rsid w:val="005428FE"/>
    <w:rsid w:val="00542945"/>
    <w:rsid w:val="00542A39"/>
    <w:rsid w:val="00542A78"/>
    <w:rsid w:val="00542B33"/>
    <w:rsid w:val="00542BFB"/>
    <w:rsid w:val="00542C9D"/>
    <w:rsid w:val="00542D65"/>
    <w:rsid w:val="00542DC7"/>
    <w:rsid w:val="00542F9C"/>
    <w:rsid w:val="00543389"/>
    <w:rsid w:val="005434AE"/>
    <w:rsid w:val="0054365C"/>
    <w:rsid w:val="00543F2F"/>
    <w:rsid w:val="005440E7"/>
    <w:rsid w:val="00544395"/>
    <w:rsid w:val="00544A2F"/>
    <w:rsid w:val="005450B6"/>
    <w:rsid w:val="005451A3"/>
    <w:rsid w:val="005451D1"/>
    <w:rsid w:val="005452ED"/>
    <w:rsid w:val="00545331"/>
    <w:rsid w:val="0054568E"/>
    <w:rsid w:val="005456BB"/>
    <w:rsid w:val="00545890"/>
    <w:rsid w:val="00545A7A"/>
    <w:rsid w:val="00545C38"/>
    <w:rsid w:val="00545C5B"/>
    <w:rsid w:val="00545C6E"/>
    <w:rsid w:val="00545C84"/>
    <w:rsid w:val="00545CA7"/>
    <w:rsid w:val="00545E04"/>
    <w:rsid w:val="00545E29"/>
    <w:rsid w:val="005460A1"/>
    <w:rsid w:val="005469DB"/>
    <w:rsid w:val="005469F6"/>
    <w:rsid w:val="005471B1"/>
    <w:rsid w:val="005472B4"/>
    <w:rsid w:val="005474BF"/>
    <w:rsid w:val="00547881"/>
    <w:rsid w:val="00547986"/>
    <w:rsid w:val="00547996"/>
    <w:rsid w:val="00547A52"/>
    <w:rsid w:val="00547B38"/>
    <w:rsid w:val="00547C1B"/>
    <w:rsid w:val="00547E1C"/>
    <w:rsid w:val="00547F04"/>
    <w:rsid w:val="00547F1D"/>
    <w:rsid w:val="0054BCE5"/>
    <w:rsid w:val="00550091"/>
    <w:rsid w:val="005501D4"/>
    <w:rsid w:val="005504B3"/>
    <w:rsid w:val="005508DF"/>
    <w:rsid w:val="00550C1F"/>
    <w:rsid w:val="00551011"/>
    <w:rsid w:val="00551306"/>
    <w:rsid w:val="005514EF"/>
    <w:rsid w:val="005514FD"/>
    <w:rsid w:val="005516F5"/>
    <w:rsid w:val="0055185B"/>
    <w:rsid w:val="00551A48"/>
    <w:rsid w:val="00551C60"/>
    <w:rsid w:val="00551EE7"/>
    <w:rsid w:val="0055202E"/>
    <w:rsid w:val="00552145"/>
    <w:rsid w:val="00552187"/>
    <w:rsid w:val="005522BC"/>
    <w:rsid w:val="00552C63"/>
    <w:rsid w:val="00552CC5"/>
    <w:rsid w:val="00553524"/>
    <w:rsid w:val="00553A7B"/>
    <w:rsid w:val="00553C4D"/>
    <w:rsid w:val="00553F04"/>
    <w:rsid w:val="00553F49"/>
    <w:rsid w:val="00553FF0"/>
    <w:rsid w:val="00554062"/>
    <w:rsid w:val="00554316"/>
    <w:rsid w:val="005546F9"/>
    <w:rsid w:val="00554763"/>
    <w:rsid w:val="005547C7"/>
    <w:rsid w:val="00554A1D"/>
    <w:rsid w:val="00554E82"/>
    <w:rsid w:val="00554FFF"/>
    <w:rsid w:val="00555372"/>
    <w:rsid w:val="0055552B"/>
    <w:rsid w:val="005555AB"/>
    <w:rsid w:val="00555656"/>
    <w:rsid w:val="005558A1"/>
    <w:rsid w:val="00555972"/>
    <w:rsid w:val="00555B0A"/>
    <w:rsid w:val="00555C48"/>
    <w:rsid w:val="00555E6C"/>
    <w:rsid w:val="0055658F"/>
    <w:rsid w:val="0055694E"/>
    <w:rsid w:val="00556A29"/>
    <w:rsid w:val="00556F8C"/>
    <w:rsid w:val="00557122"/>
    <w:rsid w:val="00557581"/>
    <w:rsid w:val="005577EF"/>
    <w:rsid w:val="00557BD4"/>
    <w:rsid w:val="00557D1A"/>
    <w:rsid w:val="00557D56"/>
    <w:rsid w:val="00557DAB"/>
    <w:rsid w:val="0056066A"/>
    <w:rsid w:val="00560892"/>
    <w:rsid w:val="005608E8"/>
    <w:rsid w:val="00560AE7"/>
    <w:rsid w:val="00560B93"/>
    <w:rsid w:val="00560C26"/>
    <w:rsid w:val="00560C28"/>
    <w:rsid w:val="00560E66"/>
    <w:rsid w:val="005610E6"/>
    <w:rsid w:val="0056113E"/>
    <w:rsid w:val="00561163"/>
    <w:rsid w:val="00561640"/>
    <w:rsid w:val="00561D55"/>
    <w:rsid w:val="00561F38"/>
    <w:rsid w:val="005621A3"/>
    <w:rsid w:val="005625CC"/>
    <w:rsid w:val="005625D2"/>
    <w:rsid w:val="005625E0"/>
    <w:rsid w:val="00562855"/>
    <w:rsid w:val="00562B37"/>
    <w:rsid w:val="005633C1"/>
    <w:rsid w:val="00563645"/>
    <w:rsid w:val="005636DB"/>
    <w:rsid w:val="0056383C"/>
    <w:rsid w:val="00563984"/>
    <w:rsid w:val="0056398F"/>
    <w:rsid w:val="005639BF"/>
    <w:rsid w:val="00563BC4"/>
    <w:rsid w:val="00563D5B"/>
    <w:rsid w:val="00563DF4"/>
    <w:rsid w:val="00564079"/>
    <w:rsid w:val="00564146"/>
    <w:rsid w:val="005643BE"/>
    <w:rsid w:val="00564750"/>
    <w:rsid w:val="00564989"/>
    <w:rsid w:val="00564D6A"/>
    <w:rsid w:val="00564E78"/>
    <w:rsid w:val="00564EEA"/>
    <w:rsid w:val="00565009"/>
    <w:rsid w:val="0056511E"/>
    <w:rsid w:val="0056553C"/>
    <w:rsid w:val="005656DF"/>
    <w:rsid w:val="00565BCF"/>
    <w:rsid w:val="00565BD5"/>
    <w:rsid w:val="00565D0F"/>
    <w:rsid w:val="0056613F"/>
    <w:rsid w:val="00566146"/>
    <w:rsid w:val="00566297"/>
    <w:rsid w:val="005662E3"/>
    <w:rsid w:val="005662E4"/>
    <w:rsid w:val="00566426"/>
    <w:rsid w:val="00566516"/>
    <w:rsid w:val="00566609"/>
    <w:rsid w:val="00566910"/>
    <w:rsid w:val="00566C2C"/>
    <w:rsid w:val="00566D0A"/>
    <w:rsid w:val="00567007"/>
    <w:rsid w:val="0056717F"/>
    <w:rsid w:val="00567225"/>
    <w:rsid w:val="0056734C"/>
    <w:rsid w:val="005676F9"/>
    <w:rsid w:val="00567D1A"/>
    <w:rsid w:val="00567EDE"/>
    <w:rsid w:val="00567F20"/>
    <w:rsid w:val="00570254"/>
    <w:rsid w:val="00570746"/>
    <w:rsid w:val="00570893"/>
    <w:rsid w:val="00570907"/>
    <w:rsid w:val="00570930"/>
    <w:rsid w:val="00570A10"/>
    <w:rsid w:val="00570A87"/>
    <w:rsid w:val="00570B0C"/>
    <w:rsid w:val="00570B7B"/>
    <w:rsid w:val="00571060"/>
    <w:rsid w:val="0057136F"/>
    <w:rsid w:val="00571461"/>
    <w:rsid w:val="005716DE"/>
    <w:rsid w:val="00571723"/>
    <w:rsid w:val="00571A14"/>
    <w:rsid w:val="00571A53"/>
    <w:rsid w:val="00571D2D"/>
    <w:rsid w:val="00571E9F"/>
    <w:rsid w:val="0057204C"/>
    <w:rsid w:val="00572119"/>
    <w:rsid w:val="005721F0"/>
    <w:rsid w:val="00572219"/>
    <w:rsid w:val="0057275D"/>
    <w:rsid w:val="00572789"/>
    <w:rsid w:val="00572B3C"/>
    <w:rsid w:val="005731A3"/>
    <w:rsid w:val="00573252"/>
    <w:rsid w:val="005732D9"/>
    <w:rsid w:val="00573452"/>
    <w:rsid w:val="005734A1"/>
    <w:rsid w:val="005736A6"/>
    <w:rsid w:val="0057384C"/>
    <w:rsid w:val="00573940"/>
    <w:rsid w:val="00573B51"/>
    <w:rsid w:val="00573B91"/>
    <w:rsid w:val="00573B93"/>
    <w:rsid w:val="00573C78"/>
    <w:rsid w:val="00573D9A"/>
    <w:rsid w:val="00573F2C"/>
    <w:rsid w:val="00574049"/>
    <w:rsid w:val="005743F9"/>
    <w:rsid w:val="0057445E"/>
    <w:rsid w:val="005744D8"/>
    <w:rsid w:val="0057465E"/>
    <w:rsid w:val="00574682"/>
    <w:rsid w:val="00574A1C"/>
    <w:rsid w:val="00574AAE"/>
    <w:rsid w:val="00574B2E"/>
    <w:rsid w:val="00574D53"/>
    <w:rsid w:val="00574E47"/>
    <w:rsid w:val="00574EBC"/>
    <w:rsid w:val="00574FC6"/>
    <w:rsid w:val="00575750"/>
    <w:rsid w:val="00575850"/>
    <w:rsid w:val="00575B34"/>
    <w:rsid w:val="00575B99"/>
    <w:rsid w:val="00575C33"/>
    <w:rsid w:val="00575C6C"/>
    <w:rsid w:val="00575F1C"/>
    <w:rsid w:val="00575F5F"/>
    <w:rsid w:val="005760A2"/>
    <w:rsid w:val="00576296"/>
    <w:rsid w:val="00576605"/>
    <w:rsid w:val="0057685F"/>
    <w:rsid w:val="005769DA"/>
    <w:rsid w:val="00576A7E"/>
    <w:rsid w:val="00576BE3"/>
    <w:rsid w:val="00576C08"/>
    <w:rsid w:val="00576E35"/>
    <w:rsid w:val="00576EB4"/>
    <w:rsid w:val="00576F13"/>
    <w:rsid w:val="00577033"/>
    <w:rsid w:val="0057732C"/>
    <w:rsid w:val="00577363"/>
    <w:rsid w:val="005775C8"/>
    <w:rsid w:val="0057774E"/>
    <w:rsid w:val="00577946"/>
    <w:rsid w:val="00577948"/>
    <w:rsid w:val="00577AA4"/>
    <w:rsid w:val="00577AFF"/>
    <w:rsid w:val="00577B83"/>
    <w:rsid w:val="00577ED1"/>
    <w:rsid w:val="0058014B"/>
    <w:rsid w:val="00580486"/>
    <w:rsid w:val="0058058C"/>
    <w:rsid w:val="005805F0"/>
    <w:rsid w:val="00580724"/>
    <w:rsid w:val="005808C1"/>
    <w:rsid w:val="00580A41"/>
    <w:rsid w:val="00580A7A"/>
    <w:rsid w:val="00580B08"/>
    <w:rsid w:val="00580D86"/>
    <w:rsid w:val="00580E9D"/>
    <w:rsid w:val="0058137C"/>
    <w:rsid w:val="005813CA"/>
    <w:rsid w:val="0058153D"/>
    <w:rsid w:val="005815EF"/>
    <w:rsid w:val="0058182A"/>
    <w:rsid w:val="0058195F"/>
    <w:rsid w:val="00581B97"/>
    <w:rsid w:val="00581C73"/>
    <w:rsid w:val="00581DEB"/>
    <w:rsid w:val="00581F13"/>
    <w:rsid w:val="00581FE7"/>
    <w:rsid w:val="005824F2"/>
    <w:rsid w:val="0058273C"/>
    <w:rsid w:val="0058279D"/>
    <w:rsid w:val="0058299C"/>
    <w:rsid w:val="00582BBE"/>
    <w:rsid w:val="00582D71"/>
    <w:rsid w:val="00583006"/>
    <w:rsid w:val="005831A3"/>
    <w:rsid w:val="00583351"/>
    <w:rsid w:val="00583409"/>
    <w:rsid w:val="00583543"/>
    <w:rsid w:val="00583B24"/>
    <w:rsid w:val="00584128"/>
    <w:rsid w:val="005844D8"/>
    <w:rsid w:val="00584679"/>
    <w:rsid w:val="00584749"/>
    <w:rsid w:val="00584840"/>
    <w:rsid w:val="0058484B"/>
    <w:rsid w:val="00584DE2"/>
    <w:rsid w:val="00584F05"/>
    <w:rsid w:val="00584F5B"/>
    <w:rsid w:val="00584FEE"/>
    <w:rsid w:val="0058503D"/>
    <w:rsid w:val="00585379"/>
    <w:rsid w:val="0058556C"/>
    <w:rsid w:val="005856B7"/>
    <w:rsid w:val="00585707"/>
    <w:rsid w:val="00585A00"/>
    <w:rsid w:val="00585B91"/>
    <w:rsid w:val="005862A6"/>
    <w:rsid w:val="0058633A"/>
    <w:rsid w:val="00586478"/>
    <w:rsid w:val="005864CA"/>
    <w:rsid w:val="0058659E"/>
    <w:rsid w:val="005868DF"/>
    <w:rsid w:val="0058698F"/>
    <w:rsid w:val="00586A29"/>
    <w:rsid w:val="00586A7E"/>
    <w:rsid w:val="00586B18"/>
    <w:rsid w:val="00586B36"/>
    <w:rsid w:val="00586DC5"/>
    <w:rsid w:val="00586DE5"/>
    <w:rsid w:val="00586E66"/>
    <w:rsid w:val="00586EED"/>
    <w:rsid w:val="0058712D"/>
    <w:rsid w:val="005871F0"/>
    <w:rsid w:val="00587281"/>
    <w:rsid w:val="00587484"/>
    <w:rsid w:val="005875EA"/>
    <w:rsid w:val="0058773F"/>
    <w:rsid w:val="0058787F"/>
    <w:rsid w:val="00587B76"/>
    <w:rsid w:val="00587DDF"/>
    <w:rsid w:val="005901F4"/>
    <w:rsid w:val="00590227"/>
    <w:rsid w:val="00590360"/>
    <w:rsid w:val="005904A1"/>
    <w:rsid w:val="0059087B"/>
    <w:rsid w:val="005908AC"/>
    <w:rsid w:val="00590CEB"/>
    <w:rsid w:val="00590D31"/>
    <w:rsid w:val="00590E98"/>
    <w:rsid w:val="00591389"/>
    <w:rsid w:val="005916CC"/>
    <w:rsid w:val="005918A5"/>
    <w:rsid w:val="005918F4"/>
    <w:rsid w:val="00591AEF"/>
    <w:rsid w:val="00592038"/>
    <w:rsid w:val="005921C7"/>
    <w:rsid w:val="005923DB"/>
    <w:rsid w:val="00592486"/>
    <w:rsid w:val="005924FE"/>
    <w:rsid w:val="00592559"/>
    <w:rsid w:val="005926C6"/>
    <w:rsid w:val="00592EC4"/>
    <w:rsid w:val="00593272"/>
    <w:rsid w:val="00593429"/>
    <w:rsid w:val="005936F3"/>
    <w:rsid w:val="00593732"/>
    <w:rsid w:val="00593B34"/>
    <w:rsid w:val="00593D52"/>
    <w:rsid w:val="00593D7D"/>
    <w:rsid w:val="00593EB4"/>
    <w:rsid w:val="00594455"/>
    <w:rsid w:val="00594645"/>
    <w:rsid w:val="0059467D"/>
    <w:rsid w:val="00594861"/>
    <w:rsid w:val="005948D3"/>
    <w:rsid w:val="005948E7"/>
    <w:rsid w:val="0059499B"/>
    <w:rsid w:val="00594EFA"/>
    <w:rsid w:val="00594F47"/>
    <w:rsid w:val="00594F5D"/>
    <w:rsid w:val="00595384"/>
    <w:rsid w:val="0059549E"/>
    <w:rsid w:val="00595571"/>
    <w:rsid w:val="0059590B"/>
    <w:rsid w:val="0059592B"/>
    <w:rsid w:val="005959AB"/>
    <w:rsid w:val="00595CC8"/>
    <w:rsid w:val="00595D14"/>
    <w:rsid w:val="00595D4C"/>
    <w:rsid w:val="00595F8C"/>
    <w:rsid w:val="0059604E"/>
    <w:rsid w:val="00596237"/>
    <w:rsid w:val="00596521"/>
    <w:rsid w:val="00596702"/>
    <w:rsid w:val="00596931"/>
    <w:rsid w:val="00596D55"/>
    <w:rsid w:val="00596D8B"/>
    <w:rsid w:val="0059748A"/>
    <w:rsid w:val="00597772"/>
    <w:rsid w:val="00597826"/>
    <w:rsid w:val="00597C5E"/>
    <w:rsid w:val="00597CB0"/>
    <w:rsid w:val="00597F68"/>
    <w:rsid w:val="005A041F"/>
    <w:rsid w:val="005A0687"/>
    <w:rsid w:val="005A0A93"/>
    <w:rsid w:val="005A0B1B"/>
    <w:rsid w:val="005A0B46"/>
    <w:rsid w:val="005A0D80"/>
    <w:rsid w:val="005A0FF0"/>
    <w:rsid w:val="005A13BC"/>
    <w:rsid w:val="005A1771"/>
    <w:rsid w:val="005A1A11"/>
    <w:rsid w:val="005A1F2E"/>
    <w:rsid w:val="005A1F66"/>
    <w:rsid w:val="005A201C"/>
    <w:rsid w:val="005A2331"/>
    <w:rsid w:val="005A254D"/>
    <w:rsid w:val="005A2654"/>
    <w:rsid w:val="005A268F"/>
    <w:rsid w:val="005A289D"/>
    <w:rsid w:val="005A2D87"/>
    <w:rsid w:val="005A2E8C"/>
    <w:rsid w:val="005A2ECA"/>
    <w:rsid w:val="005A305C"/>
    <w:rsid w:val="005A3371"/>
    <w:rsid w:val="005A344C"/>
    <w:rsid w:val="005A34D4"/>
    <w:rsid w:val="005A388C"/>
    <w:rsid w:val="005A3B55"/>
    <w:rsid w:val="005A3E21"/>
    <w:rsid w:val="005A3F9A"/>
    <w:rsid w:val="005A42A0"/>
    <w:rsid w:val="005A4475"/>
    <w:rsid w:val="005A4602"/>
    <w:rsid w:val="005A4928"/>
    <w:rsid w:val="005A4A30"/>
    <w:rsid w:val="005A4C1C"/>
    <w:rsid w:val="005A50F7"/>
    <w:rsid w:val="005A51A0"/>
    <w:rsid w:val="005A5364"/>
    <w:rsid w:val="005A5A10"/>
    <w:rsid w:val="005A5AE0"/>
    <w:rsid w:val="005A6099"/>
    <w:rsid w:val="005A61B1"/>
    <w:rsid w:val="005A63FB"/>
    <w:rsid w:val="005A6621"/>
    <w:rsid w:val="005A668F"/>
    <w:rsid w:val="005A6769"/>
    <w:rsid w:val="005A6C34"/>
    <w:rsid w:val="005A6D8B"/>
    <w:rsid w:val="005A6EE9"/>
    <w:rsid w:val="005A756F"/>
    <w:rsid w:val="005A7620"/>
    <w:rsid w:val="005A7C1A"/>
    <w:rsid w:val="005A7C86"/>
    <w:rsid w:val="005A7DFB"/>
    <w:rsid w:val="005A7FF5"/>
    <w:rsid w:val="005B03EA"/>
    <w:rsid w:val="005B04C3"/>
    <w:rsid w:val="005B08A8"/>
    <w:rsid w:val="005B0B3A"/>
    <w:rsid w:val="005B106A"/>
    <w:rsid w:val="005B1477"/>
    <w:rsid w:val="005B19DB"/>
    <w:rsid w:val="005B1B7A"/>
    <w:rsid w:val="005B2033"/>
    <w:rsid w:val="005B2047"/>
    <w:rsid w:val="005B20DC"/>
    <w:rsid w:val="005B252C"/>
    <w:rsid w:val="005B2608"/>
    <w:rsid w:val="005B261F"/>
    <w:rsid w:val="005B317B"/>
    <w:rsid w:val="005B319F"/>
    <w:rsid w:val="005B35DC"/>
    <w:rsid w:val="005B3706"/>
    <w:rsid w:val="005B385D"/>
    <w:rsid w:val="005B39E6"/>
    <w:rsid w:val="005B3A83"/>
    <w:rsid w:val="005B3B1F"/>
    <w:rsid w:val="005B3BEC"/>
    <w:rsid w:val="005B3C4D"/>
    <w:rsid w:val="005B3DB5"/>
    <w:rsid w:val="005B4144"/>
    <w:rsid w:val="005B41C0"/>
    <w:rsid w:val="005B4268"/>
    <w:rsid w:val="005B44EF"/>
    <w:rsid w:val="005B452A"/>
    <w:rsid w:val="005B4547"/>
    <w:rsid w:val="005B47DC"/>
    <w:rsid w:val="005B488D"/>
    <w:rsid w:val="005B4A85"/>
    <w:rsid w:val="005B4ACA"/>
    <w:rsid w:val="005B4CFA"/>
    <w:rsid w:val="005B4DB0"/>
    <w:rsid w:val="005B4E92"/>
    <w:rsid w:val="005B4F31"/>
    <w:rsid w:val="005B4F8F"/>
    <w:rsid w:val="005B512D"/>
    <w:rsid w:val="005B5443"/>
    <w:rsid w:val="005B56B6"/>
    <w:rsid w:val="005B581C"/>
    <w:rsid w:val="005B5C87"/>
    <w:rsid w:val="005B5E47"/>
    <w:rsid w:val="005B5EA4"/>
    <w:rsid w:val="005B5F4D"/>
    <w:rsid w:val="005B62F3"/>
    <w:rsid w:val="005B6C92"/>
    <w:rsid w:val="005B6CAC"/>
    <w:rsid w:val="005B6FBA"/>
    <w:rsid w:val="005B70BC"/>
    <w:rsid w:val="005B7A3F"/>
    <w:rsid w:val="005B7B82"/>
    <w:rsid w:val="005B7FB5"/>
    <w:rsid w:val="005C01BB"/>
    <w:rsid w:val="005C01F5"/>
    <w:rsid w:val="005C046F"/>
    <w:rsid w:val="005C0520"/>
    <w:rsid w:val="005C076A"/>
    <w:rsid w:val="005C07A5"/>
    <w:rsid w:val="005C0962"/>
    <w:rsid w:val="005C0C02"/>
    <w:rsid w:val="005C147F"/>
    <w:rsid w:val="005C1669"/>
    <w:rsid w:val="005C1811"/>
    <w:rsid w:val="005C1AF9"/>
    <w:rsid w:val="005C1B74"/>
    <w:rsid w:val="005C1CAC"/>
    <w:rsid w:val="005C2267"/>
    <w:rsid w:val="005C24BC"/>
    <w:rsid w:val="005C2546"/>
    <w:rsid w:val="005C29DD"/>
    <w:rsid w:val="005C2B13"/>
    <w:rsid w:val="005C2F1A"/>
    <w:rsid w:val="005C302E"/>
    <w:rsid w:val="005C324D"/>
    <w:rsid w:val="005C3269"/>
    <w:rsid w:val="005C32FC"/>
    <w:rsid w:val="005C3807"/>
    <w:rsid w:val="005C3C88"/>
    <w:rsid w:val="005C3C9B"/>
    <w:rsid w:val="005C3D08"/>
    <w:rsid w:val="005C3D31"/>
    <w:rsid w:val="005C42E5"/>
    <w:rsid w:val="005C4412"/>
    <w:rsid w:val="005C45D5"/>
    <w:rsid w:val="005C460D"/>
    <w:rsid w:val="005C4675"/>
    <w:rsid w:val="005C469A"/>
    <w:rsid w:val="005C4828"/>
    <w:rsid w:val="005C493E"/>
    <w:rsid w:val="005C5082"/>
    <w:rsid w:val="005C5125"/>
    <w:rsid w:val="005C522B"/>
    <w:rsid w:val="005C5281"/>
    <w:rsid w:val="005C5556"/>
    <w:rsid w:val="005C5727"/>
    <w:rsid w:val="005C57B1"/>
    <w:rsid w:val="005C588C"/>
    <w:rsid w:val="005C5973"/>
    <w:rsid w:val="005C59AA"/>
    <w:rsid w:val="005C5ADC"/>
    <w:rsid w:val="005C5B65"/>
    <w:rsid w:val="005C5BE8"/>
    <w:rsid w:val="005C5CD4"/>
    <w:rsid w:val="005C5D8F"/>
    <w:rsid w:val="005C5E4E"/>
    <w:rsid w:val="005C6116"/>
    <w:rsid w:val="005C613A"/>
    <w:rsid w:val="005C63BE"/>
    <w:rsid w:val="005C64A2"/>
    <w:rsid w:val="005C65E9"/>
    <w:rsid w:val="005C6A3C"/>
    <w:rsid w:val="005C6B11"/>
    <w:rsid w:val="005C6BBE"/>
    <w:rsid w:val="005C747B"/>
    <w:rsid w:val="005C7489"/>
    <w:rsid w:val="005C75DA"/>
    <w:rsid w:val="005C77C7"/>
    <w:rsid w:val="005C7BA2"/>
    <w:rsid w:val="005C7CCB"/>
    <w:rsid w:val="005C7E94"/>
    <w:rsid w:val="005C7F0F"/>
    <w:rsid w:val="005D011E"/>
    <w:rsid w:val="005D0158"/>
    <w:rsid w:val="005D01D0"/>
    <w:rsid w:val="005D0899"/>
    <w:rsid w:val="005D09F0"/>
    <w:rsid w:val="005D0C82"/>
    <w:rsid w:val="005D0D80"/>
    <w:rsid w:val="005D124D"/>
    <w:rsid w:val="005D12E2"/>
    <w:rsid w:val="005D13FE"/>
    <w:rsid w:val="005D173C"/>
    <w:rsid w:val="005D1A46"/>
    <w:rsid w:val="005D1DE4"/>
    <w:rsid w:val="005D21E6"/>
    <w:rsid w:val="005D2264"/>
    <w:rsid w:val="005D2466"/>
    <w:rsid w:val="005D2482"/>
    <w:rsid w:val="005D258B"/>
    <w:rsid w:val="005D27E8"/>
    <w:rsid w:val="005D27ED"/>
    <w:rsid w:val="005D2B21"/>
    <w:rsid w:val="005D2CAC"/>
    <w:rsid w:val="005D2E06"/>
    <w:rsid w:val="005D3044"/>
    <w:rsid w:val="005D30EF"/>
    <w:rsid w:val="005D32FC"/>
    <w:rsid w:val="005D3504"/>
    <w:rsid w:val="005D3826"/>
    <w:rsid w:val="005D3844"/>
    <w:rsid w:val="005D4002"/>
    <w:rsid w:val="005D4004"/>
    <w:rsid w:val="005D4188"/>
    <w:rsid w:val="005D4319"/>
    <w:rsid w:val="005D4359"/>
    <w:rsid w:val="005D44C1"/>
    <w:rsid w:val="005D44DF"/>
    <w:rsid w:val="005D4560"/>
    <w:rsid w:val="005D45F8"/>
    <w:rsid w:val="005D4862"/>
    <w:rsid w:val="005D4904"/>
    <w:rsid w:val="005D4A2B"/>
    <w:rsid w:val="005D4D77"/>
    <w:rsid w:val="005D4FCC"/>
    <w:rsid w:val="005D524E"/>
    <w:rsid w:val="005D5587"/>
    <w:rsid w:val="005D57DA"/>
    <w:rsid w:val="005D5967"/>
    <w:rsid w:val="005D59D0"/>
    <w:rsid w:val="005D59D8"/>
    <w:rsid w:val="005D5B07"/>
    <w:rsid w:val="005D5B4B"/>
    <w:rsid w:val="005D5BD4"/>
    <w:rsid w:val="005D5DB3"/>
    <w:rsid w:val="005D5FDC"/>
    <w:rsid w:val="005D5FE8"/>
    <w:rsid w:val="005D625F"/>
    <w:rsid w:val="005D64DC"/>
    <w:rsid w:val="005D66F7"/>
    <w:rsid w:val="005D672D"/>
    <w:rsid w:val="005D6DCB"/>
    <w:rsid w:val="005D6E01"/>
    <w:rsid w:val="005D6ED7"/>
    <w:rsid w:val="005D6FA9"/>
    <w:rsid w:val="005D7149"/>
    <w:rsid w:val="005D71F6"/>
    <w:rsid w:val="005D730D"/>
    <w:rsid w:val="005D733A"/>
    <w:rsid w:val="005D7959"/>
    <w:rsid w:val="005D7FF9"/>
    <w:rsid w:val="005E0076"/>
    <w:rsid w:val="005E0172"/>
    <w:rsid w:val="005E01AA"/>
    <w:rsid w:val="005E0447"/>
    <w:rsid w:val="005E05E6"/>
    <w:rsid w:val="005E0965"/>
    <w:rsid w:val="005E0AD5"/>
    <w:rsid w:val="005E0C00"/>
    <w:rsid w:val="005E0CA6"/>
    <w:rsid w:val="005E0FC8"/>
    <w:rsid w:val="005E14AD"/>
    <w:rsid w:val="005E16D0"/>
    <w:rsid w:val="005E1838"/>
    <w:rsid w:val="005E198A"/>
    <w:rsid w:val="005E19DF"/>
    <w:rsid w:val="005E1A2C"/>
    <w:rsid w:val="005E1FAA"/>
    <w:rsid w:val="005E204D"/>
    <w:rsid w:val="005E2062"/>
    <w:rsid w:val="005E23B8"/>
    <w:rsid w:val="005E24A9"/>
    <w:rsid w:val="005E292A"/>
    <w:rsid w:val="005E2D2D"/>
    <w:rsid w:val="005E2EA6"/>
    <w:rsid w:val="005E2F0A"/>
    <w:rsid w:val="005E3307"/>
    <w:rsid w:val="005E35A2"/>
    <w:rsid w:val="005E3695"/>
    <w:rsid w:val="005E372E"/>
    <w:rsid w:val="005E3798"/>
    <w:rsid w:val="005E3A3D"/>
    <w:rsid w:val="005E3AD2"/>
    <w:rsid w:val="005E3B95"/>
    <w:rsid w:val="005E3DEB"/>
    <w:rsid w:val="005E3EF8"/>
    <w:rsid w:val="005E3F71"/>
    <w:rsid w:val="005E413D"/>
    <w:rsid w:val="005E45BA"/>
    <w:rsid w:val="005E4669"/>
    <w:rsid w:val="005E471D"/>
    <w:rsid w:val="005E49E9"/>
    <w:rsid w:val="005E4A28"/>
    <w:rsid w:val="005E4C06"/>
    <w:rsid w:val="005E4E61"/>
    <w:rsid w:val="005E4EB6"/>
    <w:rsid w:val="005E5218"/>
    <w:rsid w:val="005E533B"/>
    <w:rsid w:val="005E56C0"/>
    <w:rsid w:val="005E5745"/>
    <w:rsid w:val="005E5800"/>
    <w:rsid w:val="005E5840"/>
    <w:rsid w:val="005E59FB"/>
    <w:rsid w:val="005E5B87"/>
    <w:rsid w:val="005E5E04"/>
    <w:rsid w:val="005E61FB"/>
    <w:rsid w:val="005E620D"/>
    <w:rsid w:val="005E64A5"/>
    <w:rsid w:val="005E667C"/>
    <w:rsid w:val="005E670D"/>
    <w:rsid w:val="005E6726"/>
    <w:rsid w:val="005E6739"/>
    <w:rsid w:val="005E6E52"/>
    <w:rsid w:val="005E6ED2"/>
    <w:rsid w:val="005E732E"/>
    <w:rsid w:val="005E7377"/>
    <w:rsid w:val="005E743C"/>
    <w:rsid w:val="005E7601"/>
    <w:rsid w:val="005E76A9"/>
    <w:rsid w:val="005E76DE"/>
    <w:rsid w:val="005E7C90"/>
    <w:rsid w:val="005E7CF4"/>
    <w:rsid w:val="005E7D17"/>
    <w:rsid w:val="005E7D43"/>
    <w:rsid w:val="005E7D89"/>
    <w:rsid w:val="005F023D"/>
    <w:rsid w:val="005F0249"/>
    <w:rsid w:val="005F04DE"/>
    <w:rsid w:val="005F0567"/>
    <w:rsid w:val="005F0789"/>
    <w:rsid w:val="005F09B9"/>
    <w:rsid w:val="005F0C8F"/>
    <w:rsid w:val="005F0EA0"/>
    <w:rsid w:val="005F0EF6"/>
    <w:rsid w:val="005F101C"/>
    <w:rsid w:val="005F10C6"/>
    <w:rsid w:val="005F10DF"/>
    <w:rsid w:val="005F1102"/>
    <w:rsid w:val="005F1159"/>
    <w:rsid w:val="005F126C"/>
    <w:rsid w:val="005F12ED"/>
    <w:rsid w:val="005F1645"/>
    <w:rsid w:val="005F1ECC"/>
    <w:rsid w:val="005F1F1D"/>
    <w:rsid w:val="005F2026"/>
    <w:rsid w:val="005F2172"/>
    <w:rsid w:val="005F22EA"/>
    <w:rsid w:val="005F2345"/>
    <w:rsid w:val="005F2889"/>
    <w:rsid w:val="005F2A37"/>
    <w:rsid w:val="005F2A66"/>
    <w:rsid w:val="005F2AC9"/>
    <w:rsid w:val="005F2ACF"/>
    <w:rsid w:val="005F2D33"/>
    <w:rsid w:val="005F2D6D"/>
    <w:rsid w:val="005F2D77"/>
    <w:rsid w:val="005F2D82"/>
    <w:rsid w:val="005F2EF4"/>
    <w:rsid w:val="005F3025"/>
    <w:rsid w:val="005F30BE"/>
    <w:rsid w:val="005F30D6"/>
    <w:rsid w:val="005F32E3"/>
    <w:rsid w:val="005F3A1D"/>
    <w:rsid w:val="005F3A55"/>
    <w:rsid w:val="005F3B27"/>
    <w:rsid w:val="005F3E14"/>
    <w:rsid w:val="005F4084"/>
    <w:rsid w:val="005F439F"/>
    <w:rsid w:val="005F478D"/>
    <w:rsid w:val="005F483C"/>
    <w:rsid w:val="005F4A4C"/>
    <w:rsid w:val="005F4B04"/>
    <w:rsid w:val="005F4D1D"/>
    <w:rsid w:val="005F4D8C"/>
    <w:rsid w:val="005F5053"/>
    <w:rsid w:val="005F51AD"/>
    <w:rsid w:val="005F5268"/>
    <w:rsid w:val="005F533A"/>
    <w:rsid w:val="005F53E8"/>
    <w:rsid w:val="005F5452"/>
    <w:rsid w:val="005F5465"/>
    <w:rsid w:val="005F5928"/>
    <w:rsid w:val="005F5BC0"/>
    <w:rsid w:val="005F5EEA"/>
    <w:rsid w:val="005F68A8"/>
    <w:rsid w:val="005F699B"/>
    <w:rsid w:val="005F6D85"/>
    <w:rsid w:val="005F6F05"/>
    <w:rsid w:val="005F706A"/>
    <w:rsid w:val="005F729F"/>
    <w:rsid w:val="005F72B7"/>
    <w:rsid w:val="005F76B1"/>
    <w:rsid w:val="005F76F5"/>
    <w:rsid w:val="005F7A19"/>
    <w:rsid w:val="005F7EF2"/>
    <w:rsid w:val="005F7F7C"/>
    <w:rsid w:val="006000E2"/>
    <w:rsid w:val="00600116"/>
    <w:rsid w:val="00600119"/>
    <w:rsid w:val="006001F3"/>
    <w:rsid w:val="006002E4"/>
    <w:rsid w:val="00600661"/>
    <w:rsid w:val="006006DE"/>
    <w:rsid w:val="00600717"/>
    <w:rsid w:val="00600E0F"/>
    <w:rsid w:val="00600F16"/>
    <w:rsid w:val="006010F0"/>
    <w:rsid w:val="00601400"/>
    <w:rsid w:val="00601524"/>
    <w:rsid w:val="00601526"/>
    <w:rsid w:val="00601DEE"/>
    <w:rsid w:val="00601EE9"/>
    <w:rsid w:val="00602229"/>
    <w:rsid w:val="00602366"/>
    <w:rsid w:val="00602508"/>
    <w:rsid w:val="006025FA"/>
    <w:rsid w:val="00602752"/>
    <w:rsid w:val="0060287B"/>
    <w:rsid w:val="00602B43"/>
    <w:rsid w:val="00602E28"/>
    <w:rsid w:val="00603075"/>
    <w:rsid w:val="006030BD"/>
    <w:rsid w:val="0060332F"/>
    <w:rsid w:val="006038A2"/>
    <w:rsid w:val="006038C6"/>
    <w:rsid w:val="00604182"/>
    <w:rsid w:val="006043A3"/>
    <w:rsid w:val="00604514"/>
    <w:rsid w:val="00604B29"/>
    <w:rsid w:val="006052ED"/>
    <w:rsid w:val="006053A0"/>
    <w:rsid w:val="006053C1"/>
    <w:rsid w:val="0060548E"/>
    <w:rsid w:val="00605653"/>
    <w:rsid w:val="0060578C"/>
    <w:rsid w:val="006057E7"/>
    <w:rsid w:val="00605957"/>
    <w:rsid w:val="00605B76"/>
    <w:rsid w:val="00605BFA"/>
    <w:rsid w:val="00605DB7"/>
    <w:rsid w:val="0060618A"/>
    <w:rsid w:val="006061A9"/>
    <w:rsid w:val="0060665D"/>
    <w:rsid w:val="0060685E"/>
    <w:rsid w:val="0060695E"/>
    <w:rsid w:val="00606D53"/>
    <w:rsid w:val="00607058"/>
    <w:rsid w:val="006073BB"/>
    <w:rsid w:val="00607776"/>
    <w:rsid w:val="00607B4A"/>
    <w:rsid w:val="00607B77"/>
    <w:rsid w:val="00607E65"/>
    <w:rsid w:val="00607F4E"/>
    <w:rsid w:val="00607FC8"/>
    <w:rsid w:val="006104FC"/>
    <w:rsid w:val="00610695"/>
    <w:rsid w:val="0061092E"/>
    <w:rsid w:val="00610DEF"/>
    <w:rsid w:val="00610E9E"/>
    <w:rsid w:val="006111B9"/>
    <w:rsid w:val="00611359"/>
    <w:rsid w:val="00611379"/>
    <w:rsid w:val="0061160E"/>
    <w:rsid w:val="00611762"/>
    <w:rsid w:val="00611913"/>
    <w:rsid w:val="00611942"/>
    <w:rsid w:val="00611997"/>
    <w:rsid w:val="006119D1"/>
    <w:rsid w:val="00611A42"/>
    <w:rsid w:val="00611ACA"/>
    <w:rsid w:val="00611F62"/>
    <w:rsid w:val="00611FFB"/>
    <w:rsid w:val="00612024"/>
    <w:rsid w:val="00612081"/>
    <w:rsid w:val="006122F3"/>
    <w:rsid w:val="00612458"/>
    <w:rsid w:val="00612498"/>
    <w:rsid w:val="00612CC3"/>
    <w:rsid w:val="00613076"/>
    <w:rsid w:val="00613108"/>
    <w:rsid w:val="006131CC"/>
    <w:rsid w:val="00613436"/>
    <w:rsid w:val="0061373D"/>
    <w:rsid w:val="0061381E"/>
    <w:rsid w:val="0061396B"/>
    <w:rsid w:val="006139A2"/>
    <w:rsid w:val="006139D8"/>
    <w:rsid w:val="00613EEF"/>
    <w:rsid w:val="006142D6"/>
    <w:rsid w:val="00614818"/>
    <w:rsid w:val="0061487C"/>
    <w:rsid w:val="00614881"/>
    <w:rsid w:val="00614951"/>
    <w:rsid w:val="00614CDE"/>
    <w:rsid w:val="00614DD2"/>
    <w:rsid w:val="00614F38"/>
    <w:rsid w:val="0061523B"/>
    <w:rsid w:val="0061564B"/>
    <w:rsid w:val="00615926"/>
    <w:rsid w:val="00615AF4"/>
    <w:rsid w:val="00615DEF"/>
    <w:rsid w:val="00615E5B"/>
    <w:rsid w:val="006161AF"/>
    <w:rsid w:val="006163DE"/>
    <w:rsid w:val="006164F9"/>
    <w:rsid w:val="00616588"/>
    <w:rsid w:val="00616AD0"/>
    <w:rsid w:val="00616BC2"/>
    <w:rsid w:val="00616F3A"/>
    <w:rsid w:val="006170F6"/>
    <w:rsid w:val="00617239"/>
    <w:rsid w:val="006172AC"/>
    <w:rsid w:val="00617343"/>
    <w:rsid w:val="00617384"/>
    <w:rsid w:val="0061743D"/>
    <w:rsid w:val="006174D2"/>
    <w:rsid w:val="00617A94"/>
    <w:rsid w:val="00617CA5"/>
    <w:rsid w:val="00617D1E"/>
    <w:rsid w:val="00617EF6"/>
    <w:rsid w:val="006207CF"/>
    <w:rsid w:val="006208E6"/>
    <w:rsid w:val="00620950"/>
    <w:rsid w:val="00620B34"/>
    <w:rsid w:val="00620B4F"/>
    <w:rsid w:val="00620D15"/>
    <w:rsid w:val="00620F11"/>
    <w:rsid w:val="00621149"/>
    <w:rsid w:val="006215A4"/>
    <w:rsid w:val="00621B24"/>
    <w:rsid w:val="00621BB1"/>
    <w:rsid w:val="00621D1F"/>
    <w:rsid w:val="00621E40"/>
    <w:rsid w:val="00621E93"/>
    <w:rsid w:val="00621FB4"/>
    <w:rsid w:val="0062217B"/>
    <w:rsid w:val="00622209"/>
    <w:rsid w:val="00622561"/>
    <w:rsid w:val="00622698"/>
    <w:rsid w:val="00622799"/>
    <w:rsid w:val="00622994"/>
    <w:rsid w:val="00622C6F"/>
    <w:rsid w:val="00622DBC"/>
    <w:rsid w:val="006230D6"/>
    <w:rsid w:val="006230E6"/>
    <w:rsid w:val="00623250"/>
    <w:rsid w:val="00623337"/>
    <w:rsid w:val="006234CE"/>
    <w:rsid w:val="0062378F"/>
    <w:rsid w:val="00623792"/>
    <w:rsid w:val="0062385B"/>
    <w:rsid w:val="0062396B"/>
    <w:rsid w:val="00623D5B"/>
    <w:rsid w:val="0062405E"/>
    <w:rsid w:val="00624127"/>
    <w:rsid w:val="00624244"/>
    <w:rsid w:val="0062470D"/>
    <w:rsid w:val="00624750"/>
    <w:rsid w:val="00624943"/>
    <w:rsid w:val="00624ACD"/>
    <w:rsid w:val="00624B2A"/>
    <w:rsid w:val="00624C1E"/>
    <w:rsid w:val="00624C3B"/>
    <w:rsid w:val="00624E3B"/>
    <w:rsid w:val="00624F04"/>
    <w:rsid w:val="00624F54"/>
    <w:rsid w:val="0062516D"/>
    <w:rsid w:val="006251EF"/>
    <w:rsid w:val="00625604"/>
    <w:rsid w:val="006256C6"/>
    <w:rsid w:val="006259C0"/>
    <w:rsid w:val="00625A2C"/>
    <w:rsid w:val="00625A64"/>
    <w:rsid w:val="00625C4C"/>
    <w:rsid w:val="00626079"/>
    <w:rsid w:val="006260FC"/>
    <w:rsid w:val="006261CA"/>
    <w:rsid w:val="006261E3"/>
    <w:rsid w:val="00626437"/>
    <w:rsid w:val="00626570"/>
    <w:rsid w:val="006267E9"/>
    <w:rsid w:val="00626981"/>
    <w:rsid w:val="00626C52"/>
    <w:rsid w:val="00626D66"/>
    <w:rsid w:val="00626D99"/>
    <w:rsid w:val="00626EB1"/>
    <w:rsid w:val="0062715E"/>
    <w:rsid w:val="006271E1"/>
    <w:rsid w:val="006273E7"/>
    <w:rsid w:val="00627540"/>
    <w:rsid w:val="006275F5"/>
    <w:rsid w:val="00627B8F"/>
    <w:rsid w:val="00627DE1"/>
    <w:rsid w:val="00627E88"/>
    <w:rsid w:val="00627EF4"/>
    <w:rsid w:val="00627F10"/>
    <w:rsid w:val="00630008"/>
    <w:rsid w:val="00630073"/>
    <w:rsid w:val="0063014B"/>
    <w:rsid w:val="006304B5"/>
    <w:rsid w:val="0063065A"/>
    <w:rsid w:val="006306CA"/>
    <w:rsid w:val="00630874"/>
    <w:rsid w:val="00630F83"/>
    <w:rsid w:val="0063135F"/>
    <w:rsid w:val="00631732"/>
    <w:rsid w:val="006317C3"/>
    <w:rsid w:val="00631B3D"/>
    <w:rsid w:val="00631C12"/>
    <w:rsid w:val="00631D1F"/>
    <w:rsid w:val="00631F32"/>
    <w:rsid w:val="0063200A"/>
    <w:rsid w:val="00632052"/>
    <w:rsid w:val="00632205"/>
    <w:rsid w:val="006324C3"/>
    <w:rsid w:val="00632770"/>
    <w:rsid w:val="006327B6"/>
    <w:rsid w:val="006328A7"/>
    <w:rsid w:val="00632AAD"/>
    <w:rsid w:val="00632AC3"/>
    <w:rsid w:val="00632F6B"/>
    <w:rsid w:val="00632FC5"/>
    <w:rsid w:val="0063323B"/>
    <w:rsid w:val="006333EA"/>
    <w:rsid w:val="006334C1"/>
    <w:rsid w:val="00633872"/>
    <w:rsid w:val="00633875"/>
    <w:rsid w:val="0063398D"/>
    <w:rsid w:val="00633CCF"/>
    <w:rsid w:val="00633D9E"/>
    <w:rsid w:val="00633E32"/>
    <w:rsid w:val="00633FA5"/>
    <w:rsid w:val="006340CF"/>
    <w:rsid w:val="0063420E"/>
    <w:rsid w:val="00634290"/>
    <w:rsid w:val="006344B9"/>
    <w:rsid w:val="006345E4"/>
    <w:rsid w:val="00634891"/>
    <w:rsid w:val="006348A2"/>
    <w:rsid w:val="00634A4B"/>
    <w:rsid w:val="006352ED"/>
    <w:rsid w:val="00635352"/>
    <w:rsid w:val="00635F87"/>
    <w:rsid w:val="00636084"/>
    <w:rsid w:val="00636300"/>
    <w:rsid w:val="00636397"/>
    <w:rsid w:val="006367EA"/>
    <w:rsid w:val="00636967"/>
    <w:rsid w:val="00636B87"/>
    <w:rsid w:val="00636C32"/>
    <w:rsid w:val="00636CC6"/>
    <w:rsid w:val="00636CE3"/>
    <w:rsid w:val="00636CF6"/>
    <w:rsid w:val="00636E85"/>
    <w:rsid w:val="00636FF5"/>
    <w:rsid w:val="00637449"/>
    <w:rsid w:val="00637467"/>
    <w:rsid w:val="0063748F"/>
    <w:rsid w:val="006376AF"/>
    <w:rsid w:val="00637800"/>
    <w:rsid w:val="00637D7E"/>
    <w:rsid w:val="00637E18"/>
    <w:rsid w:val="0063E737"/>
    <w:rsid w:val="00640171"/>
    <w:rsid w:val="006402D8"/>
    <w:rsid w:val="00640389"/>
    <w:rsid w:val="00640409"/>
    <w:rsid w:val="006407FF"/>
    <w:rsid w:val="0064092B"/>
    <w:rsid w:val="00640971"/>
    <w:rsid w:val="00640B3E"/>
    <w:rsid w:val="00640CFF"/>
    <w:rsid w:val="006410D5"/>
    <w:rsid w:val="006419A1"/>
    <w:rsid w:val="00641A2A"/>
    <w:rsid w:val="00641CA5"/>
    <w:rsid w:val="00641E77"/>
    <w:rsid w:val="0064219D"/>
    <w:rsid w:val="006424A2"/>
    <w:rsid w:val="00642710"/>
    <w:rsid w:val="0064271F"/>
    <w:rsid w:val="0064286B"/>
    <w:rsid w:val="00642949"/>
    <w:rsid w:val="006430DF"/>
    <w:rsid w:val="006431B6"/>
    <w:rsid w:val="0064331A"/>
    <w:rsid w:val="006434C6"/>
    <w:rsid w:val="006435C8"/>
    <w:rsid w:val="006435F3"/>
    <w:rsid w:val="006438CC"/>
    <w:rsid w:val="00643AF1"/>
    <w:rsid w:val="00643D37"/>
    <w:rsid w:val="006440C5"/>
    <w:rsid w:val="006442BF"/>
    <w:rsid w:val="00644809"/>
    <w:rsid w:val="0064485A"/>
    <w:rsid w:val="00644CAC"/>
    <w:rsid w:val="00644CDE"/>
    <w:rsid w:val="00644E08"/>
    <w:rsid w:val="006450B2"/>
    <w:rsid w:val="006455BE"/>
    <w:rsid w:val="00645E0A"/>
    <w:rsid w:val="00645EAC"/>
    <w:rsid w:val="00645F13"/>
    <w:rsid w:val="00646070"/>
    <w:rsid w:val="00646281"/>
    <w:rsid w:val="00646310"/>
    <w:rsid w:val="006467A9"/>
    <w:rsid w:val="00646AB7"/>
    <w:rsid w:val="00646AC2"/>
    <w:rsid w:val="00646C90"/>
    <w:rsid w:val="00646CD7"/>
    <w:rsid w:val="00646D8A"/>
    <w:rsid w:val="00646FF1"/>
    <w:rsid w:val="0064727D"/>
    <w:rsid w:val="00647362"/>
    <w:rsid w:val="006474C1"/>
    <w:rsid w:val="0064782C"/>
    <w:rsid w:val="00647956"/>
    <w:rsid w:val="006479AC"/>
    <w:rsid w:val="00647B38"/>
    <w:rsid w:val="006502CC"/>
    <w:rsid w:val="00650496"/>
    <w:rsid w:val="006504BF"/>
    <w:rsid w:val="00650720"/>
    <w:rsid w:val="00650A36"/>
    <w:rsid w:val="00650C7D"/>
    <w:rsid w:val="00650CA4"/>
    <w:rsid w:val="00650F04"/>
    <w:rsid w:val="00650F12"/>
    <w:rsid w:val="006513D9"/>
    <w:rsid w:val="00651443"/>
    <w:rsid w:val="00651A68"/>
    <w:rsid w:val="00651CE0"/>
    <w:rsid w:val="00651DC8"/>
    <w:rsid w:val="00652150"/>
    <w:rsid w:val="00652256"/>
    <w:rsid w:val="006522FD"/>
    <w:rsid w:val="00652498"/>
    <w:rsid w:val="0065265F"/>
    <w:rsid w:val="006526B8"/>
    <w:rsid w:val="00652861"/>
    <w:rsid w:val="0065295B"/>
    <w:rsid w:val="00652A79"/>
    <w:rsid w:val="00652BA6"/>
    <w:rsid w:val="00652BE4"/>
    <w:rsid w:val="006532B1"/>
    <w:rsid w:val="006533B4"/>
    <w:rsid w:val="0065353D"/>
    <w:rsid w:val="00653593"/>
    <w:rsid w:val="006536EC"/>
    <w:rsid w:val="00653721"/>
    <w:rsid w:val="006537B6"/>
    <w:rsid w:val="00653A2D"/>
    <w:rsid w:val="00653AA5"/>
    <w:rsid w:val="00653DD0"/>
    <w:rsid w:val="00653EA3"/>
    <w:rsid w:val="00653FA7"/>
    <w:rsid w:val="00653FD7"/>
    <w:rsid w:val="00653FD8"/>
    <w:rsid w:val="0065445B"/>
    <w:rsid w:val="00654729"/>
    <w:rsid w:val="00654B65"/>
    <w:rsid w:val="00654B82"/>
    <w:rsid w:val="00655374"/>
    <w:rsid w:val="006553AB"/>
    <w:rsid w:val="006554DC"/>
    <w:rsid w:val="00655544"/>
    <w:rsid w:val="0065555E"/>
    <w:rsid w:val="006556D6"/>
    <w:rsid w:val="006558C0"/>
    <w:rsid w:val="00655B22"/>
    <w:rsid w:val="00655BB6"/>
    <w:rsid w:val="00655BDA"/>
    <w:rsid w:val="00655C27"/>
    <w:rsid w:val="00655F2E"/>
    <w:rsid w:val="00655F44"/>
    <w:rsid w:val="00655FAB"/>
    <w:rsid w:val="00655FB7"/>
    <w:rsid w:val="006560E6"/>
    <w:rsid w:val="00656124"/>
    <w:rsid w:val="006561DC"/>
    <w:rsid w:val="006566A7"/>
    <w:rsid w:val="00656AB1"/>
    <w:rsid w:val="00656BC3"/>
    <w:rsid w:val="00656CE7"/>
    <w:rsid w:val="006570FB"/>
    <w:rsid w:val="006572F1"/>
    <w:rsid w:val="006574B3"/>
    <w:rsid w:val="00657549"/>
    <w:rsid w:val="006577FF"/>
    <w:rsid w:val="00657AB0"/>
    <w:rsid w:val="00657BBA"/>
    <w:rsid w:val="00657CDC"/>
    <w:rsid w:val="00657EDA"/>
    <w:rsid w:val="00657F45"/>
    <w:rsid w:val="00660204"/>
    <w:rsid w:val="006608A2"/>
    <w:rsid w:val="00660A61"/>
    <w:rsid w:val="00660BCD"/>
    <w:rsid w:val="00660FA2"/>
    <w:rsid w:val="00661073"/>
    <w:rsid w:val="006612C3"/>
    <w:rsid w:val="00661386"/>
    <w:rsid w:val="00661388"/>
    <w:rsid w:val="00661505"/>
    <w:rsid w:val="006619B9"/>
    <w:rsid w:val="00661EE7"/>
    <w:rsid w:val="00661F68"/>
    <w:rsid w:val="006620CA"/>
    <w:rsid w:val="006621AB"/>
    <w:rsid w:val="0066237C"/>
    <w:rsid w:val="006624BF"/>
    <w:rsid w:val="00662594"/>
    <w:rsid w:val="006625D2"/>
    <w:rsid w:val="006627D7"/>
    <w:rsid w:val="0066281F"/>
    <w:rsid w:val="0066283D"/>
    <w:rsid w:val="00662BD3"/>
    <w:rsid w:val="00662C45"/>
    <w:rsid w:val="00662D5A"/>
    <w:rsid w:val="00662E38"/>
    <w:rsid w:val="006630D0"/>
    <w:rsid w:val="006631A4"/>
    <w:rsid w:val="006632B7"/>
    <w:rsid w:val="006633A1"/>
    <w:rsid w:val="00663568"/>
    <w:rsid w:val="006635ED"/>
    <w:rsid w:val="0066376F"/>
    <w:rsid w:val="006639D0"/>
    <w:rsid w:val="00663A45"/>
    <w:rsid w:val="00663B28"/>
    <w:rsid w:val="00663B32"/>
    <w:rsid w:val="00663EB0"/>
    <w:rsid w:val="0066406D"/>
    <w:rsid w:val="0066433A"/>
    <w:rsid w:val="006644BC"/>
    <w:rsid w:val="006649D9"/>
    <w:rsid w:val="00664A58"/>
    <w:rsid w:val="00664B38"/>
    <w:rsid w:val="00664C10"/>
    <w:rsid w:val="00664C12"/>
    <w:rsid w:val="0066518D"/>
    <w:rsid w:val="006653C6"/>
    <w:rsid w:val="00665426"/>
    <w:rsid w:val="006657A7"/>
    <w:rsid w:val="00665CC7"/>
    <w:rsid w:val="00665E22"/>
    <w:rsid w:val="0066615B"/>
    <w:rsid w:val="00666814"/>
    <w:rsid w:val="00666BF1"/>
    <w:rsid w:val="00666EA5"/>
    <w:rsid w:val="00666EB0"/>
    <w:rsid w:val="00666EF2"/>
    <w:rsid w:val="00667208"/>
    <w:rsid w:val="0066754A"/>
    <w:rsid w:val="006675D4"/>
    <w:rsid w:val="00667994"/>
    <w:rsid w:val="00667A03"/>
    <w:rsid w:val="00667C05"/>
    <w:rsid w:val="0067049A"/>
    <w:rsid w:val="0067049D"/>
    <w:rsid w:val="00670764"/>
    <w:rsid w:val="00670943"/>
    <w:rsid w:val="00670D2A"/>
    <w:rsid w:val="00670EBF"/>
    <w:rsid w:val="00671023"/>
    <w:rsid w:val="006710CD"/>
    <w:rsid w:val="0067171F"/>
    <w:rsid w:val="006717A8"/>
    <w:rsid w:val="006717FC"/>
    <w:rsid w:val="0067192E"/>
    <w:rsid w:val="00671A10"/>
    <w:rsid w:val="00671B6E"/>
    <w:rsid w:val="00671BCD"/>
    <w:rsid w:val="00671DBD"/>
    <w:rsid w:val="00672197"/>
    <w:rsid w:val="00672273"/>
    <w:rsid w:val="006723C1"/>
    <w:rsid w:val="00672459"/>
    <w:rsid w:val="006725D1"/>
    <w:rsid w:val="0067267E"/>
    <w:rsid w:val="006728CD"/>
    <w:rsid w:val="00672AD3"/>
    <w:rsid w:val="00672B8F"/>
    <w:rsid w:val="00672D49"/>
    <w:rsid w:val="00672E45"/>
    <w:rsid w:val="00672EBA"/>
    <w:rsid w:val="006732DC"/>
    <w:rsid w:val="0067337B"/>
    <w:rsid w:val="0067351F"/>
    <w:rsid w:val="00673B4B"/>
    <w:rsid w:val="00673BC4"/>
    <w:rsid w:val="00673FC8"/>
    <w:rsid w:val="0067406E"/>
    <w:rsid w:val="006748AA"/>
    <w:rsid w:val="006749EE"/>
    <w:rsid w:val="006750A3"/>
    <w:rsid w:val="00675220"/>
    <w:rsid w:val="006754A6"/>
    <w:rsid w:val="00675556"/>
    <w:rsid w:val="0067565F"/>
    <w:rsid w:val="0067570F"/>
    <w:rsid w:val="00675AF4"/>
    <w:rsid w:val="00675D0A"/>
    <w:rsid w:val="00675DAC"/>
    <w:rsid w:val="006766CE"/>
    <w:rsid w:val="00676807"/>
    <w:rsid w:val="00676B5A"/>
    <w:rsid w:val="00676BE2"/>
    <w:rsid w:val="00676CB2"/>
    <w:rsid w:val="00676DBE"/>
    <w:rsid w:val="00676DC8"/>
    <w:rsid w:val="00676F5E"/>
    <w:rsid w:val="006770CA"/>
    <w:rsid w:val="00677415"/>
    <w:rsid w:val="0067775C"/>
    <w:rsid w:val="006778B7"/>
    <w:rsid w:val="00677A9D"/>
    <w:rsid w:val="00677CDD"/>
    <w:rsid w:val="00677F37"/>
    <w:rsid w:val="00680158"/>
    <w:rsid w:val="00680221"/>
    <w:rsid w:val="00680284"/>
    <w:rsid w:val="0068052B"/>
    <w:rsid w:val="00680D28"/>
    <w:rsid w:val="00680F28"/>
    <w:rsid w:val="0068100A"/>
    <w:rsid w:val="00681240"/>
    <w:rsid w:val="00681498"/>
    <w:rsid w:val="00681590"/>
    <w:rsid w:val="00681865"/>
    <w:rsid w:val="00681C9F"/>
    <w:rsid w:val="00681F38"/>
    <w:rsid w:val="006820B5"/>
    <w:rsid w:val="006824EF"/>
    <w:rsid w:val="00682724"/>
    <w:rsid w:val="00682765"/>
    <w:rsid w:val="00682F85"/>
    <w:rsid w:val="0068300B"/>
    <w:rsid w:val="00683050"/>
    <w:rsid w:val="0068330E"/>
    <w:rsid w:val="0068389A"/>
    <w:rsid w:val="00683A24"/>
    <w:rsid w:val="00683E26"/>
    <w:rsid w:val="00683E56"/>
    <w:rsid w:val="006840DE"/>
    <w:rsid w:val="0068416C"/>
    <w:rsid w:val="006847D6"/>
    <w:rsid w:val="00684B7E"/>
    <w:rsid w:val="0068528C"/>
    <w:rsid w:val="00685341"/>
    <w:rsid w:val="00685442"/>
    <w:rsid w:val="00685A8C"/>
    <w:rsid w:val="00685B30"/>
    <w:rsid w:val="00685B49"/>
    <w:rsid w:val="00685D62"/>
    <w:rsid w:val="00685F6A"/>
    <w:rsid w:val="00685FB5"/>
    <w:rsid w:val="00686223"/>
    <w:rsid w:val="0068652A"/>
    <w:rsid w:val="006866D1"/>
    <w:rsid w:val="00686ABB"/>
    <w:rsid w:val="00686B12"/>
    <w:rsid w:val="00686BF7"/>
    <w:rsid w:val="00686FD3"/>
    <w:rsid w:val="00687454"/>
    <w:rsid w:val="006876D3"/>
    <w:rsid w:val="0068778B"/>
    <w:rsid w:val="00687846"/>
    <w:rsid w:val="006878EF"/>
    <w:rsid w:val="00687998"/>
    <w:rsid w:val="00687A3D"/>
    <w:rsid w:val="00687A8F"/>
    <w:rsid w:val="00687BDB"/>
    <w:rsid w:val="00687CBB"/>
    <w:rsid w:val="00687D03"/>
    <w:rsid w:val="00687DFE"/>
    <w:rsid w:val="00687E5E"/>
    <w:rsid w:val="0069009D"/>
    <w:rsid w:val="00690572"/>
    <w:rsid w:val="0069069C"/>
    <w:rsid w:val="0069075F"/>
    <w:rsid w:val="00690CDD"/>
    <w:rsid w:val="00690E0B"/>
    <w:rsid w:val="00691032"/>
    <w:rsid w:val="0069153E"/>
    <w:rsid w:val="00691661"/>
    <w:rsid w:val="0069194B"/>
    <w:rsid w:val="00691AB4"/>
    <w:rsid w:val="00691D10"/>
    <w:rsid w:val="006921AB"/>
    <w:rsid w:val="00692565"/>
    <w:rsid w:val="00692848"/>
    <w:rsid w:val="00692881"/>
    <w:rsid w:val="006928A1"/>
    <w:rsid w:val="00692947"/>
    <w:rsid w:val="00692AB7"/>
    <w:rsid w:val="00692B66"/>
    <w:rsid w:val="00692C59"/>
    <w:rsid w:val="00692D9E"/>
    <w:rsid w:val="00693442"/>
    <w:rsid w:val="006934CD"/>
    <w:rsid w:val="00693659"/>
    <w:rsid w:val="0069367B"/>
    <w:rsid w:val="006938C4"/>
    <w:rsid w:val="00693B0B"/>
    <w:rsid w:val="00693B5C"/>
    <w:rsid w:val="00693CDB"/>
    <w:rsid w:val="00693DD2"/>
    <w:rsid w:val="00694150"/>
    <w:rsid w:val="006942E9"/>
    <w:rsid w:val="0069448C"/>
    <w:rsid w:val="00694612"/>
    <w:rsid w:val="00694638"/>
    <w:rsid w:val="006948C2"/>
    <w:rsid w:val="00694EB6"/>
    <w:rsid w:val="00695083"/>
    <w:rsid w:val="0069510F"/>
    <w:rsid w:val="006951C2"/>
    <w:rsid w:val="006952ED"/>
    <w:rsid w:val="0069532D"/>
    <w:rsid w:val="00695396"/>
    <w:rsid w:val="0069541A"/>
    <w:rsid w:val="00695836"/>
    <w:rsid w:val="00695D03"/>
    <w:rsid w:val="0069621D"/>
    <w:rsid w:val="00696345"/>
    <w:rsid w:val="006963BF"/>
    <w:rsid w:val="006963F1"/>
    <w:rsid w:val="0069640A"/>
    <w:rsid w:val="00696722"/>
    <w:rsid w:val="0069688A"/>
    <w:rsid w:val="00696A5E"/>
    <w:rsid w:val="00697181"/>
    <w:rsid w:val="0069744B"/>
    <w:rsid w:val="006974C3"/>
    <w:rsid w:val="0069797B"/>
    <w:rsid w:val="00697989"/>
    <w:rsid w:val="00697A1F"/>
    <w:rsid w:val="00697B4D"/>
    <w:rsid w:val="00697D10"/>
    <w:rsid w:val="00697E6A"/>
    <w:rsid w:val="00697FD4"/>
    <w:rsid w:val="006A02DE"/>
    <w:rsid w:val="006A0518"/>
    <w:rsid w:val="006A0578"/>
    <w:rsid w:val="006A07E8"/>
    <w:rsid w:val="006A09E4"/>
    <w:rsid w:val="006A0A0D"/>
    <w:rsid w:val="006A0C4D"/>
    <w:rsid w:val="006A0E74"/>
    <w:rsid w:val="006A0EB8"/>
    <w:rsid w:val="006A100D"/>
    <w:rsid w:val="006A1246"/>
    <w:rsid w:val="006A162B"/>
    <w:rsid w:val="006A17DA"/>
    <w:rsid w:val="006A18BA"/>
    <w:rsid w:val="006A1976"/>
    <w:rsid w:val="006A1AC4"/>
    <w:rsid w:val="006A1D99"/>
    <w:rsid w:val="006A1DAE"/>
    <w:rsid w:val="006A200A"/>
    <w:rsid w:val="006A20B1"/>
    <w:rsid w:val="006A2276"/>
    <w:rsid w:val="006A22AD"/>
    <w:rsid w:val="006A241B"/>
    <w:rsid w:val="006A2A56"/>
    <w:rsid w:val="006A2D14"/>
    <w:rsid w:val="006A307F"/>
    <w:rsid w:val="006A3269"/>
    <w:rsid w:val="006A326E"/>
    <w:rsid w:val="006A3275"/>
    <w:rsid w:val="006A3840"/>
    <w:rsid w:val="006A3E80"/>
    <w:rsid w:val="006A41B7"/>
    <w:rsid w:val="006A442D"/>
    <w:rsid w:val="006A4538"/>
    <w:rsid w:val="006A4702"/>
    <w:rsid w:val="006A49F5"/>
    <w:rsid w:val="006A4AA6"/>
    <w:rsid w:val="006A4B8A"/>
    <w:rsid w:val="006A4C73"/>
    <w:rsid w:val="006A4D86"/>
    <w:rsid w:val="006A4D99"/>
    <w:rsid w:val="006A4EFA"/>
    <w:rsid w:val="006A4F05"/>
    <w:rsid w:val="006A5116"/>
    <w:rsid w:val="006A51EF"/>
    <w:rsid w:val="006A520A"/>
    <w:rsid w:val="006A54D9"/>
    <w:rsid w:val="006A56EF"/>
    <w:rsid w:val="006A5744"/>
    <w:rsid w:val="006A58E1"/>
    <w:rsid w:val="006A59DF"/>
    <w:rsid w:val="006A5ADE"/>
    <w:rsid w:val="006A5D09"/>
    <w:rsid w:val="006A6215"/>
    <w:rsid w:val="006A6436"/>
    <w:rsid w:val="006A644C"/>
    <w:rsid w:val="006A6576"/>
    <w:rsid w:val="006A663F"/>
    <w:rsid w:val="006A67BA"/>
    <w:rsid w:val="006A68FC"/>
    <w:rsid w:val="006A6902"/>
    <w:rsid w:val="006A69D8"/>
    <w:rsid w:val="006A6AB5"/>
    <w:rsid w:val="006A6BB1"/>
    <w:rsid w:val="006A6C18"/>
    <w:rsid w:val="006A6CA0"/>
    <w:rsid w:val="006A737C"/>
    <w:rsid w:val="006A7745"/>
    <w:rsid w:val="006A7896"/>
    <w:rsid w:val="006A7976"/>
    <w:rsid w:val="006A7BEC"/>
    <w:rsid w:val="006A7D49"/>
    <w:rsid w:val="006A7F95"/>
    <w:rsid w:val="006B0183"/>
    <w:rsid w:val="006B01B7"/>
    <w:rsid w:val="006B0201"/>
    <w:rsid w:val="006B0374"/>
    <w:rsid w:val="006B046D"/>
    <w:rsid w:val="006B0530"/>
    <w:rsid w:val="006B0614"/>
    <w:rsid w:val="006B085C"/>
    <w:rsid w:val="006B0AD7"/>
    <w:rsid w:val="006B0D75"/>
    <w:rsid w:val="006B0E5B"/>
    <w:rsid w:val="006B0EEA"/>
    <w:rsid w:val="006B19B2"/>
    <w:rsid w:val="006B19BB"/>
    <w:rsid w:val="006B1BF3"/>
    <w:rsid w:val="006B1C3A"/>
    <w:rsid w:val="006B21B9"/>
    <w:rsid w:val="006B245C"/>
    <w:rsid w:val="006B2696"/>
    <w:rsid w:val="006B298D"/>
    <w:rsid w:val="006B2DE2"/>
    <w:rsid w:val="006B2F72"/>
    <w:rsid w:val="006B3077"/>
    <w:rsid w:val="006B3476"/>
    <w:rsid w:val="006B3B4E"/>
    <w:rsid w:val="006B3B65"/>
    <w:rsid w:val="006B3F18"/>
    <w:rsid w:val="006B3F8C"/>
    <w:rsid w:val="006B3FE2"/>
    <w:rsid w:val="006B420E"/>
    <w:rsid w:val="006B427D"/>
    <w:rsid w:val="006B45A8"/>
    <w:rsid w:val="006B4C00"/>
    <w:rsid w:val="006B4E35"/>
    <w:rsid w:val="006B4E3B"/>
    <w:rsid w:val="006B4ED6"/>
    <w:rsid w:val="006B4F3E"/>
    <w:rsid w:val="006B4F41"/>
    <w:rsid w:val="006B4F4C"/>
    <w:rsid w:val="006B5488"/>
    <w:rsid w:val="006B55D5"/>
    <w:rsid w:val="006B5E29"/>
    <w:rsid w:val="006B5F63"/>
    <w:rsid w:val="006B5FA1"/>
    <w:rsid w:val="006B6081"/>
    <w:rsid w:val="006B6181"/>
    <w:rsid w:val="006B636E"/>
    <w:rsid w:val="006B65D9"/>
    <w:rsid w:val="006B6786"/>
    <w:rsid w:val="006B6C06"/>
    <w:rsid w:val="006B6D61"/>
    <w:rsid w:val="006B6F1A"/>
    <w:rsid w:val="006B6F50"/>
    <w:rsid w:val="006B705B"/>
    <w:rsid w:val="006B7094"/>
    <w:rsid w:val="006B7129"/>
    <w:rsid w:val="006B71C0"/>
    <w:rsid w:val="006B7254"/>
    <w:rsid w:val="006B755F"/>
    <w:rsid w:val="006B76ED"/>
    <w:rsid w:val="006B7DED"/>
    <w:rsid w:val="006B7FB8"/>
    <w:rsid w:val="006C0213"/>
    <w:rsid w:val="006C0566"/>
    <w:rsid w:val="006C05BB"/>
    <w:rsid w:val="006C0E1C"/>
    <w:rsid w:val="006C1347"/>
    <w:rsid w:val="006C143D"/>
    <w:rsid w:val="006C1502"/>
    <w:rsid w:val="006C15A0"/>
    <w:rsid w:val="006C1B11"/>
    <w:rsid w:val="006C1CDA"/>
    <w:rsid w:val="006C1DF7"/>
    <w:rsid w:val="006C2305"/>
    <w:rsid w:val="006C23BF"/>
    <w:rsid w:val="006C23E5"/>
    <w:rsid w:val="006C2849"/>
    <w:rsid w:val="006C28E6"/>
    <w:rsid w:val="006C2A9E"/>
    <w:rsid w:val="006C2C9D"/>
    <w:rsid w:val="006C2FCD"/>
    <w:rsid w:val="006C32C5"/>
    <w:rsid w:val="006C335F"/>
    <w:rsid w:val="006C3534"/>
    <w:rsid w:val="006C384E"/>
    <w:rsid w:val="006C3857"/>
    <w:rsid w:val="006C3E49"/>
    <w:rsid w:val="006C3F24"/>
    <w:rsid w:val="006C410F"/>
    <w:rsid w:val="006C4112"/>
    <w:rsid w:val="006C4278"/>
    <w:rsid w:val="006C4588"/>
    <w:rsid w:val="006C4589"/>
    <w:rsid w:val="006C46E1"/>
    <w:rsid w:val="006C4956"/>
    <w:rsid w:val="006C539A"/>
    <w:rsid w:val="006C5405"/>
    <w:rsid w:val="006C5419"/>
    <w:rsid w:val="006C5749"/>
    <w:rsid w:val="006C594B"/>
    <w:rsid w:val="006C5B8E"/>
    <w:rsid w:val="006C5E0E"/>
    <w:rsid w:val="006C5F3E"/>
    <w:rsid w:val="006C5FE1"/>
    <w:rsid w:val="006C6236"/>
    <w:rsid w:val="006C63A7"/>
    <w:rsid w:val="006C650D"/>
    <w:rsid w:val="006C67C1"/>
    <w:rsid w:val="006C6995"/>
    <w:rsid w:val="006C6A29"/>
    <w:rsid w:val="006C6A8B"/>
    <w:rsid w:val="006C6FE5"/>
    <w:rsid w:val="006C745A"/>
    <w:rsid w:val="006C7656"/>
    <w:rsid w:val="006C775D"/>
    <w:rsid w:val="006C7921"/>
    <w:rsid w:val="006C7A87"/>
    <w:rsid w:val="006C7D4D"/>
    <w:rsid w:val="006D0115"/>
    <w:rsid w:val="006D0153"/>
    <w:rsid w:val="006D0498"/>
    <w:rsid w:val="006D05A3"/>
    <w:rsid w:val="006D0DDB"/>
    <w:rsid w:val="006D0E7C"/>
    <w:rsid w:val="006D1191"/>
    <w:rsid w:val="006D1279"/>
    <w:rsid w:val="006D1559"/>
    <w:rsid w:val="006D1655"/>
    <w:rsid w:val="006D17B7"/>
    <w:rsid w:val="006D17FB"/>
    <w:rsid w:val="006D181C"/>
    <w:rsid w:val="006D1A1F"/>
    <w:rsid w:val="006D1C2E"/>
    <w:rsid w:val="006D1F9E"/>
    <w:rsid w:val="006D229A"/>
    <w:rsid w:val="006D2519"/>
    <w:rsid w:val="006D284E"/>
    <w:rsid w:val="006D2B89"/>
    <w:rsid w:val="006D2DAB"/>
    <w:rsid w:val="006D304C"/>
    <w:rsid w:val="006D3051"/>
    <w:rsid w:val="006D33C4"/>
    <w:rsid w:val="006D33F6"/>
    <w:rsid w:val="006D387A"/>
    <w:rsid w:val="006D4351"/>
    <w:rsid w:val="006D467A"/>
    <w:rsid w:val="006D4741"/>
    <w:rsid w:val="006D4826"/>
    <w:rsid w:val="006D4890"/>
    <w:rsid w:val="006D4A07"/>
    <w:rsid w:val="006D4BC8"/>
    <w:rsid w:val="006D5095"/>
    <w:rsid w:val="006D5200"/>
    <w:rsid w:val="006D5444"/>
    <w:rsid w:val="006D551D"/>
    <w:rsid w:val="006D55A2"/>
    <w:rsid w:val="006D5709"/>
    <w:rsid w:val="006D574F"/>
    <w:rsid w:val="006D584F"/>
    <w:rsid w:val="006D5CCB"/>
    <w:rsid w:val="006D5CD6"/>
    <w:rsid w:val="006D5D09"/>
    <w:rsid w:val="006D5DE5"/>
    <w:rsid w:val="006D5FE7"/>
    <w:rsid w:val="006D6B6B"/>
    <w:rsid w:val="006D6D7D"/>
    <w:rsid w:val="006D7099"/>
    <w:rsid w:val="006D713F"/>
    <w:rsid w:val="006D7266"/>
    <w:rsid w:val="006D750D"/>
    <w:rsid w:val="006D751F"/>
    <w:rsid w:val="006D762E"/>
    <w:rsid w:val="006D7702"/>
    <w:rsid w:val="006D785C"/>
    <w:rsid w:val="006D7997"/>
    <w:rsid w:val="006D79D5"/>
    <w:rsid w:val="006D7C07"/>
    <w:rsid w:val="006D7DAE"/>
    <w:rsid w:val="006D7EE0"/>
    <w:rsid w:val="006E0070"/>
    <w:rsid w:val="006E0082"/>
    <w:rsid w:val="006E0266"/>
    <w:rsid w:val="006E0272"/>
    <w:rsid w:val="006E092D"/>
    <w:rsid w:val="006E0AD5"/>
    <w:rsid w:val="006E0BC3"/>
    <w:rsid w:val="006E0BEA"/>
    <w:rsid w:val="006E0EEF"/>
    <w:rsid w:val="006E102F"/>
    <w:rsid w:val="006E125A"/>
    <w:rsid w:val="006E1614"/>
    <w:rsid w:val="006E1793"/>
    <w:rsid w:val="006E1972"/>
    <w:rsid w:val="006E19CE"/>
    <w:rsid w:val="006E1A7F"/>
    <w:rsid w:val="006E1BC6"/>
    <w:rsid w:val="006E1EEF"/>
    <w:rsid w:val="006E1FCB"/>
    <w:rsid w:val="006E204F"/>
    <w:rsid w:val="006E24EC"/>
    <w:rsid w:val="006E263A"/>
    <w:rsid w:val="006E2754"/>
    <w:rsid w:val="006E2807"/>
    <w:rsid w:val="006E2A89"/>
    <w:rsid w:val="006E2B3E"/>
    <w:rsid w:val="006E2BD3"/>
    <w:rsid w:val="006E3038"/>
    <w:rsid w:val="006E3108"/>
    <w:rsid w:val="006E3176"/>
    <w:rsid w:val="006E31E2"/>
    <w:rsid w:val="006E358D"/>
    <w:rsid w:val="006E3B8F"/>
    <w:rsid w:val="006E3CCD"/>
    <w:rsid w:val="006E3DB6"/>
    <w:rsid w:val="006E42F6"/>
    <w:rsid w:val="006E462B"/>
    <w:rsid w:val="006E49AF"/>
    <w:rsid w:val="006E49D5"/>
    <w:rsid w:val="006E4B80"/>
    <w:rsid w:val="006E51E3"/>
    <w:rsid w:val="006E5307"/>
    <w:rsid w:val="006E5366"/>
    <w:rsid w:val="006E558A"/>
    <w:rsid w:val="006E573E"/>
    <w:rsid w:val="006E57C9"/>
    <w:rsid w:val="006E5930"/>
    <w:rsid w:val="006E5A63"/>
    <w:rsid w:val="006E5BD1"/>
    <w:rsid w:val="006E5D70"/>
    <w:rsid w:val="006E5EC2"/>
    <w:rsid w:val="006E5F2A"/>
    <w:rsid w:val="006E606C"/>
    <w:rsid w:val="006E60CC"/>
    <w:rsid w:val="006E62B8"/>
    <w:rsid w:val="006E6381"/>
    <w:rsid w:val="006E65AD"/>
    <w:rsid w:val="006E6633"/>
    <w:rsid w:val="006E6718"/>
    <w:rsid w:val="006E6972"/>
    <w:rsid w:val="006E6C80"/>
    <w:rsid w:val="006E6CAE"/>
    <w:rsid w:val="006E6FF3"/>
    <w:rsid w:val="006E71E7"/>
    <w:rsid w:val="006E7808"/>
    <w:rsid w:val="006E7950"/>
    <w:rsid w:val="006E7BDB"/>
    <w:rsid w:val="006E7C04"/>
    <w:rsid w:val="006E7CBC"/>
    <w:rsid w:val="006E7F3B"/>
    <w:rsid w:val="006E7FEA"/>
    <w:rsid w:val="006F01E7"/>
    <w:rsid w:val="006F040F"/>
    <w:rsid w:val="006F048F"/>
    <w:rsid w:val="006F0612"/>
    <w:rsid w:val="006F06F3"/>
    <w:rsid w:val="006F0845"/>
    <w:rsid w:val="006F0920"/>
    <w:rsid w:val="006F0949"/>
    <w:rsid w:val="006F0CE8"/>
    <w:rsid w:val="006F0FD8"/>
    <w:rsid w:val="006F10F9"/>
    <w:rsid w:val="006F12DC"/>
    <w:rsid w:val="006F15C3"/>
    <w:rsid w:val="006F15FD"/>
    <w:rsid w:val="006F1606"/>
    <w:rsid w:val="006F1789"/>
    <w:rsid w:val="006F1827"/>
    <w:rsid w:val="006F198E"/>
    <w:rsid w:val="006F202B"/>
    <w:rsid w:val="006F205C"/>
    <w:rsid w:val="006F2072"/>
    <w:rsid w:val="006F22EB"/>
    <w:rsid w:val="006F2379"/>
    <w:rsid w:val="006F2515"/>
    <w:rsid w:val="006F2A3A"/>
    <w:rsid w:val="006F2BA9"/>
    <w:rsid w:val="006F2C88"/>
    <w:rsid w:val="006F2D45"/>
    <w:rsid w:val="006F2EA3"/>
    <w:rsid w:val="006F3013"/>
    <w:rsid w:val="006F3035"/>
    <w:rsid w:val="006F3115"/>
    <w:rsid w:val="006F3347"/>
    <w:rsid w:val="006F33AB"/>
    <w:rsid w:val="006F348B"/>
    <w:rsid w:val="006F3BD7"/>
    <w:rsid w:val="006F3D1C"/>
    <w:rsid w:val="006F3DA8"/>
    <w:rsid w:val="006F417C"/>
    <w:rsid w:val="006F46D5"/>
    <w:rsid w:val="006F46FB"/>
    <w:rsid w:val="006F48F5"/>
    <w:rsid w:val="006F4A26"/>
    <w:rsid w:val="006F4B83"/>
    <w:rsid w:val="006F4FAC"/>
    <w:rsid w:val="006F4FFA"/>
    <w:rsid w:val="006F5226"/>
    <w:rsid w:val="006F532E"/>
    <w:rsid w:val="006F541A"/>
    <w:rsid w:val="006F5572"/>
    <w:rsid w:val="006F56C2"/>
    <w:rsid w:val="006F5801"/>
    <w:rsid w:val="006F5A00"/>
    <w:rsid w:val="006F5ADC"/>
    <w:rsid w:val="006F5F0F"/>
    <w:rsid w:val="006F60AD"/>
    <w:rsid w:val="006F61CE"/>
    <w:rsid w:val="006F63F3"/>
    <w:rsid w:val="006F66B0"/>
    <w:rsid w:val="006F686C"/>
    <w:rsid w:val="006F6B41"/>
    <w:rsid w:val="006F6B56"/>
    <w:rsid w:val="006F6FC9"/>
    <w:rsid w:val="006F7039"/>
    <w:rsid w:val="006F72C8"/>
    <w:rsid w:val="006F765D"/>
    <w:rsid w:val="006F77D5"/>
    <w:rsid w:val="006F7B26"/>
    <w:rsid w:val="006F7B68"/>
    <w:rsid w:val="006F7DDC"/>
    <w:rsid w:val="006F7ED1"/>
    <w:rsid w:val="006F7F51"/>
    <w:rsid w:val="00700035"/>
    <w:rsid w:val="007000C1"/>
    <w:rsid w:val="0070016B"/>
    <w:rsid w:val="00700380"/>
    <w:rsid w:val="007003CC"/>
    <w:rsid w:val="0070043F"/>
    <w:rsid w:val="007005B5"/>
    <w:rsid w:val="00700C96"/>
    <w:rsid w:val="00700D67"/>
    <w:rsid w:val="00700D93"/>
    <w:rsid w:val="00700FC0"/>
    <w:rsid w:val="007012E3"/>
    <w:rsid w:val="007013FE"/>
    <w:rsid w:val="007017BF"/>
    <w:rsid w:val="00701A03"/>
    <w:rsid w:val="00701A8C"/>
    <w:rsid w:val="00701BF6"/>
    <w:rsid w:val="00701C78"/>
    <w:rsid w:val="00701D90"/>
    <w:rsid w:val="007020B0"/>
    <w:rsid w:val="00702377"/>
    <w:rsid w:val="007027C0"/>
    <w:rsid w:val="00702986"/>
    <w:rsid w:val="00702A5A"/>
    <w:rsid w:val="00702BA1"/>
    <w:rsid w:val="00702C83"/>
    <w:rsid w:val="00702E23"/>
    <w:rsid w:val="00702FB9"/>
    <w:rsid w:val="007031E2"/>
    <w:rsid w:val="0070320D"/>
    <w:rsid w:val="00703211"/>
    <w:rsid w:val="0070324E"/>
    <w:rsid w:val="00703675"/>
    <w:rsid w:val="00703692"/>
    <w:rsid w:val="0070369C"/>
    <w:rsid w:val="00703726"/>
    <w:rsid w:val="0070393A"/>
    <w:rsid w:val="00703ACE"/>
    <w:rsid w:val="00703B83"/>
    <w:rsid w:val="00703B98"/>
    <w:rsid w:val="00703DBD"/>
    <w:rsid w:val="007040A9"/>
    <w:rsid w:val="00704177"/>
    <w:rsid w:val="0070461E"/>
    <w:rsid w:val="00704ED0"/>
    <w:rsid w:val="0070510A"/>
    <w:rsid w:val="007053DA"/>
    <w:rsid w:val="0070576E"/>
    <w:rsid w:val="00705859"/>
    <w:rsid w:val="00705B6D"/>
    <w:rsid w:val="0070612B"/>
    <w:rsid w:val="007064D1"/>
    <w:rsid w:val="007065F7"/>
    <w:rsid w:val="007067FA"/>
    <w:rsid w:val="00706986"/>
    <w:rsid w:val="007069BB"/>
    <w:rsid w:val="00706A78"/>
    <w:rsid w:val="00706F23"/>
    <w:rsid w:val="00706F5A"/>
    <w:rsid w:val="007074B4"/>
    <w:rsid w:val="007074EC"/>
    <w:rsid w:val="0070758B"/>
    <w:rsid w:val="00707728"/>
    <w:rsid w:val="007078B8"/>
    <w:rsid w:val="00707999"/>
    <w:rsid w:val="007079AA"/>
    <w:rsid w:val="00707C2D"/>
    <w:rsid w:val="00707C9C"/>
    <w:rsid w:val="00707C9D"/>
    <w:rsid w:val="00707CA4"/>
    <w:rsid w:val="00707DCA"/>
    <w:rsid w:val="00707E69"/>
    <w:rsid w:val="00707F06"/>
    <w:rsid w:val="0071020F"/>
    <w:rsid w:val="007102E6"/>
    <w:rsid w:val="00710BD6"/>
    <w:rsid w:val="00710BE0"/>
    <w:rsid w:val="00710D5C"/>
    <w:rsid w:val="00710DDC"/>
    <w:rsid w:val="00710E55"/>
    <w:rsid w:val="00711030"/>
    <w:rsid w:val="00711601"/>
    <w:rsid w:val="0071167B"/>
    <w:rsid w:val="00711C6D"/>
    <w:rsid w:val="00711CB3"/>
    <w:rsid w:val="0071212C"/>
    <w:rsid w:val="007125DD"/>
    <w:rsid w:val="007125FE"/>
    <w:rsid w:val="00712D80"/>
    <w:rsid w:val="00712FDE"/>
    <w:rsid w:val="00712FE0"/>
    <w:rsid w:val="00713305"/>
    <w:rsid w:val="00713356"/>
    <w:rsid w:val="00713751"/>
    <w:rsid w:val="0071376B"/>
    <w:rsid w:val="00713B80"/>
    <w:rsid w:val="00713F17"/>
    <w:rsid w:val="007140F4"/>
    <w:rsid w:val="007143C7"/>
    <w:rsid w:val="0071443E"/>
    <w:rsid w:val="007146D8"/>
    <w:rsid w:val="0071491E"/>
    <w:rsid w:val="00714AEB"/>
    <w:rsid w:val="00714DDD"/>
    <w:rsid w:val="007151C2"/>
    <w:rsid w:val="00715756"/>
    <w:rsid w:val="007157CE"/>
    <w:rsid w:val="007157FB"/>
    <w:rsid w:val="00715873"/>
    <w:rsid w:val="0071593E"/>
    <w:rsid w:val="00715A5F"/>
    <w:rsid w:val="00715B52"/>
    <w:rsid w:val="0071611E"/>
    <w:rsid w:val="007161F4"/>
    <w:rsid w:val="007162BD"/>
    <w:rsid w:val="00716350"/>
    <w:rsid w:val="007163E1"/>
    <w:rsid w:val="00716498"/>
    <w:rsid w:val="00716DBD"/>
    <w:rsid w:val="00716EBB"/>
    <w:rsid w:val="00716EFC"/>
    <w:rsid w:val="00716F39"/>
    <w:rsid w:val="007176BB"/>
    <w:rsid w:val="00717991"/>
    <w:rsid w:val="00717B04"/>
    <w:rsid w:val="00720A5D"/>
    <w:rsid w:val="00720B2C"/>
    <w:rsid w:val="00720C7D"/>
    <w:rsid w:val="00720D41"/>
    <w:rsid w:val="00720FB2"/>
    <w:rsid w:val="00721044"/>
    <w:rsid w:val="007210F6"/>
    <w:rsid w:val="0072130E"/>
    <w:rsid w:val="007214BF"/>
    <w:rsid w:val="00721690"/>
    <w:rsid w:val="007216EB"/>
    <w:rsid w:val="00721759"/>
    <w:rsid w:val="00721765"/>
    <w:rsid w:val="00721870"/>
    <w:rsid w:val="007219BB"/>
    <w:rsid w:val="007219CB"/>
    <w:rsid w:val="00721F61"/>
    <w:rsid w:val="00722385"/>
    <w:rsid w:val="0072269F"/>
    <w:rsid w:val="0072273D"/>
    <w:rsid w:val="00722746"/>
    <w:rsid w:val="0072277C"/>
    <w:rsid w:val="00722840"/>
    <w:rsid w:val="007228D2"/>
    <w:rsid w:val="0072291E"/>
    <w:rsid w:val="00722AA6"/>
    <w:rsid w:val="00722D04"/>
    <w:rsid w:val="00722E7E"/>
    <w:rsid w:val="0072325E"/>
    <w:rsid w:val="007237D0"/>
    <w:rsid w:val="007237D7"/>
    <w:rsid w:val="007239DD"/>
    <w:rsid w:val="00723D04"/>
    <w:rsid w:val="00723D1E"/>
    <w:rsid w:val="00723E52"/>
    <w:rsid w:val="00723F55"/>
    <w:rsid w:val="0072426C"/>
    <w:rsid w:val="0072430A"/>
    <w:rsid w:val="00724524"/>
    <w:rsid w:val="0072452D"/>
    <w:rsid w:val="0072491A"/>
    <w:rsid w:val="00724992"/>
    <w:rsid w:val="00724BFC"/>
    <w:rsid w:val="00724BFD"/>
    <w:rsid w:val="00724C15"/>
    <w:rsid w:val="00724C63"/>
    <w:rsid w:val="00724CB7"/>
    <w:rsid w:val="00724D58"/>
    <w:rsid w:val="0072516C"/>
    <w:rsid w:val="007251D6"/>
    <w:rsid w:val="0072526B"/>
    <w:rsid w:val="0072528E"/>
    <w:rsid w:val="00725333"/>
    <w:rsid w:val="007253DF"/>
    <w:rsid w:val="0072563C"/>
    <w:rsid w:val="00725AD9"/>
    <w:rsid w:val="00725DC9"/>
    <w:rsid w:val="00725EF7"/>
    <w:rsid w:val="00725F5E"/>
    <w:rsid w:val="00726000"/>
    <w:rsid w:val="0072660D"/>
    <w:rsid w:val="0072677A"/>
    <w:rsid w:val="007267FC"/>
    <w:rsid w:val="0072686E"/>
    <w:rsid w:val="00726974"/>
    <w:rsid w:val="00726D41"/>
    <w:rsid w:val="00726E9D"/>
    <w:rsid w:val="00726EA4"/>
    <w:rsid w:val="00726F48"/>
    <w:rsid w:val="00726FE7"/>
    <w:rsid w:val="00727093"/>
    <w:rsid w:val="007271F4"/>
    <w:rsid w:val="00727213"/>
    <w:rsid w:val="00727722"/>
    <w:rsid w:val="0072794A"/>
    <w:rsid w:val="00727988"/>
    <w:rsid w:val="00727C44"/>
    <w:rsid w:val="00727D70"/>
    <w:rsid w:val="00727E59"/>
    <w:rsid w:val="00727F76"/>
    <w:rsid w:val="00727F9C"/>
    <w:rsid w:val="00730005"/>
    <w:rsid w:val="007305E2"/>
    <w:rsid w:val="00730995"/>
    <w:rsid w:val="00730B7C"/>
    <w:rsid w:val="00730D72"/>
    <w:rsid w:val="00730E46"/>
    <w:rsid w:val="00730F22"/>
    <w:rsid w:val="0073138B"/>
    <w:rsid w:val="007313F0"/>
    <w:rsid w:val="007315B6"/>
    <w:rsid w:val="007316A9"/>
    <w:rsid w:val="00731AC9"/>
    <w:rsid w:val="00731BD2"/>
    <w:rsid w:val="007322DD"/>
    <w:rsid w:val="00732373"/>
    <w:rsid w:val="007325E6"/>
    <w:rsid w:val="00732B64"/>
    <w:rsid w:val="00732BC8"/>
    <w:rsid w:val="00732C3E"/>
    <w:rsid w:val="00732E1B"/>
    <w:rsid w:val="007334E0"/>
    <w:rsid w:val="00733767"/>
    <w:rsid w:val="007337BC"/>
    <w:rsid w:val="00733901"/>
    <w:rsid w:val="00733B61"/>
    <w:rsid w:val="007340E1"/>
    <w:rsid w:val="007341D3"/>
    <w:rsid w:val="007342FC"/>
    <w:rsid w:val="007343B1"/>
    <w:rsid w:val="0073450F"/>
    <w:rsid w:val="00734514"/>
    <w:rsid w:val="00734A13"/>
    <w:rsid w:val="00734C7C"/>
    <w:rsid w:val="00734D20"/>
    <w:rsid w:val="00734E2B"/>
    <w:rsid w:val="007350D6"/>
    <w:rsid w:val="0073514B"/>
    <w:rsid w:val="00735549"/>
    <w:rsid w:val="007357AE"/>
    <w:rsid w:val="0073598D"/>
    <w:rsid w:val="00735A4B"/>
    <w:rsid w:val="00735CFE"/>
    <w:rsid w:val="007360B3"/>
    <w:rsid w:val="007362BA"/>
    <w:rsid w:val="00736388"/>
    <w:rsid w:val="00736552"/>
    <w:rsid w:val="00736A8E"/>
    <w:rsid w:val="00736CB2"/>
    <w:rsid w:val="00736D40"/>
    <w:rsid w:val="00736D80"/>
    <w:rsid w:val="00736F94"/>
    <w:rsid w:val="00737636"/>
    <w:rsid w:val="00737CD4"/>
    <w:rsid w:val="00737F6F"/>
    <w:rsid w:val="00740072"/>
    <w:rsid w:val="007404BE"/>
    <w:rsid w:val="007406B6"/>
    <w:rsid w:val="00740878"/>
    <w:rsid w:val="00740A77"/>
    <w:rsid w:val="00740C72"/>
    <w:rsid w:val="00740D9B"/>
    <w:rsid w:val="00740F9F"/>
    <w:rsid w:val="00740FBE"/>
    <w:rsid w:val="00741011"/>
    <w:rsid w:val="00741546"/>
    <w:rsid w:val="00741775"/>
    <w:rsid w:val="0074177A"/>
    <w:rsid w:val="007417B3"/>
    <w:rsid w:val="00741933"/>
    <w:rsid w:val="00741D00"/>
    <w:rsid w:val="00741E57"/>
    <w:rsid w:val="00741EB8"/>
    <w:rsid w:val="00741EDB"/>
    <w:rsid w:val="00742014"/>
    <w:rsid w:val="00742463"/>
    <w:rsid w:val="00742514"/>
    <w:rsid w:val="00742542"/>
    <w:rsid w:val="007425F3"/>
    <w:rsid w:val="00742760"/>
    <w:rsid w:val="00742A01"/>
    <w:rsid w:val="00742D0E"/>
    <w:rsid w:val="007430EE"/>
    <w:rsid w:val="00743128"/>
    <w:rsid w:val="0074334B"/>
    <w:rsid w:val="007433C7"/>
    <w:rsid w:val="007433EC"/>
    <w:rsid w:val="007437EA"/>
    <w:rsid w:val="00743924"/>
    <w:rsid w:val="00743D4A"/>
    <w:rsid w:val="00743EF1"/>
    <w:rsid w:val="00743F13"/>
    <w:rsid w:val="00744246"/>
    <w:rsid w:val="00744741"/>
    <w:rsid w:val="0074493E"/>
    <w:rsid w:val="00744A11"/>
    <w:rsid w:val="00744B20"/>
    <w:rsid w:val="00744B24"/>
    <w:rsid w:val="00744C82"/>
    <w:rsid w:val="00744D22"/>
    <w:rsid w:val="00744E43"/>
    <w:rsid w:val="00744F94"/>
    <w:rsid w:val="00745749"/>
    <w:rsid w:val="00745B25"/>
    <w:rsid w:val="00745C9B"/>
    <w:rsid w:val="00745D81"/>
    <w:rsid w:val="00745DF1"/>
    <w:rsid w:val="00745FD0"/>
    <w:rsid w:val="007462DC"/>
    <w:rsid w:val="0074650B"/>
    <w:rsid w:val="00746589"/>
    <w:rsid w:val="0074662D"/>
    <w:rsid w:val="007469EA"/>
    <w:rsid w:val="00746C8B"/>
    <w:rsid w:val="00746C9D"/>
    <w:rsid w:val="00746D48"/>
    <w:rsid w:val="00746D8B"/>
    <w:rsid w:val="00746E6E"/>
    <w:rsid w:val="00746ED5"/>
    <w:rsid w:val="00746F92"/>
    <w:rsid w:val="00747040"/>
    <w:rsid w:val="0074711F"/>
    <w:rsid w:val="0074751B"/>
    <w:rsid w:val="00747A76"/>
    <w:rsid w:val="00747EFC"/>
    <w:rsid w:val="00747F97"/>
    <w:rsid w:val="00750030"/>
    <w:rsid w:val="0075004E"/>
    <w:rsid w:val="0075014F"/>
    <w:rsid w:val="00750335"/>
    <w:rsid w:val="00750845"/>
    <w:rsid w:val="00750A51"/>
    <w:rsid w:val="007511DF"/>
    <w:rsid w:val="00751276"/>
    <w:rsid w:val="0075184A"/>
    <w:rsid w:val="0075190A"/>
    <w:rsid w:val="00751961"/>
    <w:rsid w:val="007519D5"/>
    <w:rsid w:val="00751D0F"/>
    <w:rsid w:val="0075209F"/>
    <w:rsid w:val="007520D3"/>
    <w:rsid w:val="00752319"/>
    <w:rsid w:val="007525BC"/>
    <w:rsid w:val="00752A9C"/>
    <w:rsid w:val="00752C09"/>
    <w:rsid w:val="007530CD"/>
    <w:rsid w:val="007534A2"/>
    <w:rsid w:val="00753E0A"/>
    <w:rsid w:val="00753F1C"/>
    <w:rsid w:val="007544AC"/>
    <w:rsid w:val="007545C5"/>
    <w:rsid w:val="00754711"/>
    <w:rsid w:val="007550F5"/>
    <w:rsid w:val="0075511B"/>
    <w:rsid w:val="00755326"/>
    <w:rsid w:val="007554AB"/>
    <w:rsid w:val="00755AD1"/>
    <w:rsid w:val="00756169"/>
    <w:rsid w:val="00756185"/>
    <w:rsid w:val="00756248"/>
    <w:rsid w:val="00756261"/>
    <w:rsid w:val="007566B4"/>
    <w:rsid w:val="00756DA0"/>
    <w:rsid w:val="00756E80"/>
    <w:rsid w:val="00756F78"/>
    <w:rsid w:val="00756FEE"/>
    <w:rsid w:val="0075703A"/>
    <w:rsid w:val="007571FA"/>
    <w:rsid w:val="00757346"/>
    <w:rsid w:val="0075755F"/>
    <w:rsid w:val="007575AE"/>
    <w:rsid w:val="007575F0"/>
    <w:rsid w:val="00757C36"/>
    <w:rsid w:val="00757CA5"/>
    <w:rsid w:val="00757CCC"/>
    <w:rsid w:val="00757DBF"/>
    <w:rsid w:val="00757DC8"/>
    <w:rsid w:val="00757E91"/>
    <w:rsid w:val="00760059"/>
    <w:rsid w:val="0076007C"/>
    <w:rsid w:val="007600BA"/>
    <w:rsid w:val="00760411"/>
    <w:rsid w:val="00760512"/>
    <w:rsid w:val="00760614"/>
    <w:rsid w:val="00760741"/>
    <w:rsid w:val="007608F5"/>
    <w:rsid w:val="00760908"/>
    <w:rsid w:val="00760A78"/>
    <w:rsid w:val="00760AE4"/>
    <w:rsid w:val="00760C80"/>
    <w:rsid w:val="00760C97"/>
    <w:rsid w:val="00761133"/>
    <w:rsid w:val="007616B7"/>
    <w:rsid w:val="0076183D"/>
    <w:rsid w:val="00761A7E"/>
    <w:rsid w:val="00761F31"/>
    <w:rsid w:val="00761F87"/>
    <w:rsid w:val="007624EF"/>
    <w:rsid w:val="007626D3"/>
    <w:rsid w:val="00763081"/>
    <w:rsid w:val="0076342E"/>
    <w:rsid w:val="00763838"/>
    <w:rsid w:val="00763B37"/>
    <w:rsid w:val="00763CF2"/>
    <w:rsid w:val="00763ECB"/>
    <w:rsid w:val="0076418C"/>
    <w:rsid w:val="007641CC"/>
    <w:rsid w:val="00764218"/>
    <w:rsid w:val="00764273"/>
    <w:rsid w:val="00764333"/>
    <w:rsid w:val="007645CE"/>
    <w:rsid w:val="00764617"/>
    <w:rsid w:val="00764794"/>
    <w:rsid w:val="007649F0"/>
    <w:rsid w:val="00764B65"/>
    <w:rsid w:val="00764B8A"/>
    <w:rsid w:val="00764C81"/>
    <w:rsid w:val="00764CE8"/>
    <w:rsid w:val="00764E19"/>
    <w:rsid w:val="00764FFD"/>
    <w:rsid w:val="007650E2"/>
    <w:rsid w:val="00765227"/>
    <w:rsid w:val="0076530B"/>
    <w:rsid w:val="00765525"/>
    <w:rsid w:val="00765555"/>
    <w:rsid w:val="007655DE"/>
    <w:rsid w:val="00765855"/>
    <w:rsid w:val="007658D7"/>
    <w:rsid w:val="0076590E"/>
    <w:rsid w:val="00765B00"/>
    <w:rsid w:val="00765EFD"/>
    <w:rsid w:val="0076631E"/>
    <w:rsid w:val="007663FE"/>
    <w:rsid w:val="007665C1"/>
    <w:rsid w:val="007666E6"/>
    <w:rsid w:val="007668B7"/>
    <w:rsid w:val="007669EF"/>
    <w:rsid w:val="00766B2D"/>
    <w:rsid w:val="00767439"/>
    <w:rsid w:val="0076760D"/>
    <w:rsid w:val="00767697"/>
    <w:rsid w:val="007676A2"/>
    <w:rsid w:val="00767B78"/>
    <w:rsid w:val="007701D3"/>
    <w:rsid w:val="00770504"/>
    <w:rsid w:val="0077064E"/>
    <w:rsid w:val="007706E5"/>
    <w:rsid w:val="00770B7B"/>
    <w:rsid w:val="00770BFF"/>
    <w:rsid w:val="0077132D"/>
    <w:rsid w:val="007713DE"/>
    <w:rsid w:val="00771536"/>
    <w:rsid w:val="0077153A"/>
    <w:rsid w:val="0077179F"/>
    <w:rsid w:val="007718F0"/>
    <w:rsid w:val="00771A7C"/>
    <w:rsid w:val="00771B4D"/>
    <w:rsid w:val="00771BD5"/>
    <w:rsid w:val="00771D5B"/>
    <w:rsid w:val="00771E74"/>
    <w:rsid w:val="00771FBE"/>
    <w:rsid w:val="00771FD6"/>
    <w:rsid w:val="00772067"/>
    <w:rsid w:val="007720A6"/>
    <w:rsid w:val="0077218E"/>
    <w:rsid w:val="0077224E"/>
    <w:rsid w:val="00772336"/>
    <w:rsid w:val="0077258C"/>
    <w:rsid w:val="00772787"/>
    <w:rsid w:val="00772B47"/>
    <w:rsid w:val="00772C93"/>
    <w:rsid w:val="00772DAB"/>
    <w:rsid w:val="00772F62"/>
    <w:rsid w:val="0077385F"/>
    <w:rsid w:val="00773992"/>
    <w:rsid w:val="007739C9"/>
    <w:rsid w:val="007739F5"/>
    <w:rsid w:val="00773CE5"/>
    <w:rsid w:val="00773FB5"/>
    <w:rsid w:val="00774532"/>
    <w:rsid w:val="0077453E"/>
    <w:rsid w:val="00774695"/>
    <w:rsid w:val="007746F9"/>
    <w:rsid w:val="0077479F"/>
    <w:rsid w:val="007748BD"/>
    <w:rsid w:val="007749BE"/>
    <w:rsid w:val="00774AE1"/>
    <w:rsid w:val="00774DE0"/>
    <w:rsid w:val="00774F70"/>
    <w:rsid w:val="007750A5"/>
    <w:rsid w:val="007750BD"/>
    <w:rsid w:val="0077535A"/>
    <w:rsid w:val="0077543C"/>
    <w:rsid w:val="007755BC"/>
    <w:rsid w:val="00775CA9"/>
    <w:rsid w:val="00775D0C"/>
    <w:rsid w:val="00775F05"/>
    <w:rsid w:val="007760FA"/>
    <w:rsid w:val="00776550"/>
    <w:rsid w:val="0077666B"/>
    <w:rsid w:val="00776734"/>
    <w:rsid w:val="00776800"/>
    <w:rsid w:val="00776BDD"/>
    <w:rsid w:val="00776BE5"/>
    <w:rsid w:val="00776C24"/>
    <w:rsid w:val="00776D75"/>
    <w:rsid w:val="00776E16"/>
    <w:rsid w:val="00777016"/>
    <w:rsid w:val="0077710B"/>
    <w:rsid w:val="0077719F"/>
    <w:rsid w:val="00777822"/>
    <w:rsid w:val="00777882"/>
    <w:rsid w:val="007778FE"/>
    <w:rsid w:val="0077797D"/>
    <w:rsid w:val="00777CA7"/>
    <w:rsid w:val="00777CB2"/>
    <w:rsid w:val="00777F57"/>
    <w:rsid w:val="00780100"/>
    <w:rsid w:val="007801BF"/>
    <w:rsid w:val="0078036E"/>
    <w:rsid w:val="007807B0"/>
    <w:rsid w:val="00780A47"/>
    <w:rsid w:val="00780B22"/>
    <w:rsid w:val="00780DC1"/>
    <w:rsid w:val="00780F90"/>
    <w:rsid w:val="0078101C"/>
    <w:rsid w:val="0078109D"/>
    <w:rsid w:val="00781102"/>
    <w:rsid w:val="007812AB"/>
    <w:rsid w:val="00781755"/>
    <w:rsid w:val="0078184B"/>
    <w:rsid w:val="0078198E"/>
    <w:rsid w:val="00781B86"/>
    <w:rsid w:val="007823AB"/>
    <w:rsid w:val="00782BD3"/>
    <w:rsid w:val="00782CCC"/>
    <w:rsid w:val="00782D0E"/>
    <w:rsid w:val="00782DEE"/>
    <w:rsid w:val="00782F3B"/>
    <w:rsid w:val="007830B6"/>
    <w:rsid w:val="007830F4"/>
    <w:rsid w:val="00783145"/>
    <w:rsid w:val="007831F8"/>
    <w:rsid w:val="007833E0"/>
    <w:rsid w:val="0078380B"/>
    <w:rsid w:val="00783A0C"/>
    <w:rsid w:val="00783CB1"/>
    <w:rsid w:val="00783CD2"/>
    <w:rsid w:val="007846D3"/>
    <w:rsid w:val="00784938"/>
    <w:rsid w:val="00784961"/>
    <w:rsid w:val="00784AEC"/>
    <w:rsid w:val="00784F85"/>
    <w:rsid w:val="00784FF7"/>
    <w:rsid w:val="007852CB"/>
    <w:rsid w:val="007853CD"/>
    <w:rsid w:val="00786084"/>
    <w:rsid w:val="007860C4"/>
    <w:rsid w:val="007861FF"/>
    <w:rsid w:val="0078622A"/>
    <w:rsid w:val="00786586"/>
    <w:rsid w:val="0078673D"/>
    <w:rsid w:val="00786853"/>
    <w:rsid w:val="0078686F"/>
    <w:rsid w:val="007869EC"/>
    <w:rsid w:val="00786A9B"/>
    <w:rsid w:val="00786B48"/>
    <w:rsid w:val="007870F3"/>
    <w:rsid w:val="0078718D"/>
    <w:rsid w:val="00787382"/>
    <w:rsid w:val="00787580"/>
    <w:rsid w:val="0078769D"/>
    <w:rsid w:val="007876C5"/>
    <w:rsid w:val="0078782D"/>
    <w:rsid w:val="00787888"/>
    <w:rsid w:val="00787CF7"/>
    <w:rsid w:val="00790368"/>
    <w:rsid w:val="007903F7"/>
    <w:rsid w:val="007904F6"/>
    <w:rsid w:val="00790B66"/>
    <w:rsid w:val="00790BE1"/>
    <w:rsid w:val="00790DF1"/>
    <w:rsid w:val="00790EDF"/>
    <w:rsid w:val="00790F9D"/>
    <w:rsid w:val="0079110D"/>
    <w:rsid w:val="007913A6"/>
    <w:rsid w:val="007913B3"/>
    <w:rsid w:val="007913DD"/>
    <w:rsid w:val="00791968"/>
    <w:rsid w:val="00791A48"/>
    <w:rsid w:val="00791CC9"/>
    <w:rsid w:val="00791DDF"/>
    <w:rsid w:val="00791E56"/>
    <w:rsid w:val="00791F30"/>
    <w:rsid w:val="00792061"/>
    <w:rsid w:val="007921CA"/>
    <w:rsid w:val="007928D8"/>
    <w:rsid w:val="00792942"/>
    <w:rsid w:val="007929EC"/>
    <w:rsid w:val="00792AB2"/>
    <w:rsid w:val="00792DF3"/>
    <w:rsid w:val="00792E8C"/>
    <w:rsid w:val="00792EE5"/>
    <w:rsid w:val="00792F32"/>
    <w:rsid w:val="00792FF4"/>
    <w:rsid w:val="007930D5"/>
    <w:rsid w:val="00793143"/>
    <w:rsid w:val="007931C3"/>
    <w:rsid w:val="007932BB"/>
    <w:rsid w:val="0079331B"/>
    <w:rsid w:val="0079370A"/>
    <w:rsid w:val="007937B5"/>
    <w:rsid w:val="007938B0"/>
    <w:rsid w:val="00793B3F"/>
    <w:rsid w:val="00793B8B"/>
    <w:rsid w:val="00793BFA"/>
    <w:rsid w:val="00793F05"/>
    <w:rsid w:val="0079411C"/>
    <w:rsid w:val="00794143"/>
    <w:rsid w:val="007947A5"/>
    <w:rsid w:val="00794A78"/>
    <w:rsid w:val="00794ABF"/>
    <w:rsid w:val="00794BEF"/>
    <w:rsid w:val="00794C69"/>
    <w:rsid w:val="00794CA9"/>
    <w:rsid w:val="00794D64"/>
    <w:rsid w:val="00794F34"/>
    <w:rsid w:val="00794FF4"/>
    <w:rsid w:val="007951E3"/>
    <w:rsid w:val="0079567A"/>
    <w:rsid w:val="00795758"/>
    <w:rsid w:val="007959D4"/>
    <w:rsid w:val="00795E8F"/>
    <w:rsid w:val="00796112"/>
    <w:rsid w:val="00796224"/>
    <w:rsid w:val="00796295"/>
    <w:rsid w:val="0079629F"/>
    <w:rsid w:val="0079672B"/>
    <w:rsid w:val="00796946"/>
    <w:rsid w:val="00796A1D"/>
    <w:rsid w:val="00796A9E"/>
    <w:rsid w:val="00796B6F"/>
    <w:rsid w:val="00796C4F"/>
    <w:rsid w:val="00796E2B"/>
    <w:rsid w:val="00796F3C"/>
    <w:rsid w:val="00797133"/>
    <w:rsid w:val="007971BE"/>
    <w:rsid w:val="0079737C"/>
    <w:rsid w:val="007978C9"/>
    <w:rsid w:val="007978D1"/>
    <w:rsid w:val="00797CD2"/>
    <w:rsid w:val="00797EFA"/>
    <w:rsid w:val="007A0064"/>
    <w:rsid w:val="007A02F2"/>
    <w:rsid w:val="007A02F9"/>
    <w:rsid w:val="007A0BB5"/>
    <w:rsid w:val="007A0DBA"/>
    <w:rsid w:val="007A10C7"/>
    <w:rsid w:val="007A10FF"/>
    <w:rsid w:val="007A11FD"/>
    <w:rsid w:val="007A1463"/>
    <w:rsid w:val="007A1A00"/>
    <w:rsid w:val="007A1CB7"/>
    <w:rsid w:val="007A218B"/>
    <w:rsid w:val="007A22B9"/>
    <w:rsid w:val="007A26FA"/>
    <w:rsid w:val="007A289C"/>
    <w:rsid w:val="007A2B49"/>
    <w:rsid w:val="007A2C56"/>
    <w:rsid w:val="007A2C60"/>
    <w:rsid w:val="007A2D16"/>
    <w:rsid w:val="007A2D3E"/>
    <w:rsid w:val="007A2E4E"/>
    <w:rsid w:val="007A323E"/>
    <w:rsid w:val="007A39D2"/>
    <w:rsid w:val="007A3C48"/>
    <w:rsid w:val="007A3EE9"/>
    <w:rsid w:val="007A3EF7"/>
    <w:rsid w:val="007A47B4"/>
    <w:rsid w:val="007A4849"/>
    <w:rsid w:val="007A4A02"/>
    <w:rsid w:val="007A4BDA"/>
    <w:rsid w:val="007A4E89"/>
    <w:rsid w:val="007A5247"/>
    <w:rsid w:val="007A532C"/>
    <w:rsid w:val="007A53D5"/>
    <w:rsid w:val="007A6480"/>
    <w:rsid w:val="007A6529"/>
    <w:rsid w:val="007A662A"/>
    <w:rsid w:val="007A6637"/>
    <w:rsid w:val="007A67BC"/>
    <w:rsid w:val="007A688D"/>
    <w:rsid w:val="007A6B99"/>
    <w:rsid w:val="007A6D22"/>
    <w:rsid w:val="007A6E13"/>
    <w:rsid w:val="007A6EDC"/>
    <w:rsid w:val="007A6FD5"/>
    <w:rsid w:val="007A7603"/>
    <w:rsid w:val="007A7CFE"/>
    <w:rsid w:val="007A7F04"/>
    <w:rsid w:val="007A7FE0"/>
    <w:rsid w:val="007B020B"/>
    <w:rsid w:val="007B023E"/>
    <w:rsid w:val="007B0383"/>
    <w:rsid w:val="007B04C1"/>
    <w:rsid w:val="007B0611"/>
    <w:rsid w:val="007B099D"/>
    <w:rsid w:val="007B135C"/>
    <w:rsid w:val="007B135F"/>
    <w:rsid w:val="007B13A6"/>
    <w:rsid w:val="007B1721"/>
    <w:rsid w:val="007B191F"/>
    <w:rsid w:val="007B1B30"/>
    <w:rsid w:val="007B1C0E"/>
    <w:rsid w:val="007B2032"/>
    <w:rsid w:val="007B208C"/>
    <w:rsid w:val="007B27BA"/>
    <w:rsid w:val="007B2C23"/>
    <w:rsid w:val="007B2E36"/>
    <w:rsid w:val="007B2FFD"/>
    <w:rsid w:val="007B30D0"/>
    <w:rsid w:val="007B3280"/>
    <w:rsid w:val="007B32AD"/>
    <w:rsid w:val="007B3685"/>
    <w:rsid w:val="007B3878"/>
    <w:rsid w:val="007B3912"/>
    <w:rsid w:val="007B3924"/>
    <w:rsid w:val="007B395E"/>
    <w:rsid w:val="007B3AE2"/>
    <w:rsid w:val="007B3B92"/>
    <w:rsid w:val="007B3E3D"/>
    <w:rsid w:val="007B421B"/>
    <w:rsid w:val="007B4429"/>
    <w:rsid w:val="007B46A8"/>
    <w:rsid w:val="007B4AAA"/>
    <w:rsid w:val="007B4C09"/>
    <w:rsid w:val="007B4C54"/>
    <w:rsid w:val="007B54C2"/>
    <w:rsid w:val="007B57DF"/>
    <w:rsid w:val="007B5835"/>
    <w:rsid w:val="007B597D"/>
    <w:rsid w:val="007B5A25"/>
    <w:rsid w:val="007B5BAB"/>
    <w:rsid w:val="007B5F44"/>
    <w:rsid w:val="007B683C"/>
    <w:rsid w:val="007B689C"/>
    <w:rsid w:val="007B6B2B"/>
    <w:rsid w:val="007B6E56"/>
    <w:rsid w:val="007B6F69"/>
    <w:rsid w:val="007B7143"/>
    <w:rsid w:val="007B7352"/>
    <w:rsid w:val="007B794C"/>
    <w:rsid w:val="007B7967"/>
    <w:rsid w:val="007B79B3"/>
    <w:rsid w:val="007B7AD5"/>
    <w:rsid w:val="007B7B10"/>
    <w:rsid w:val="007C08F4"/>
    <w:rsid w:val="007C0AB1"/>
    <w:rsid w:val="007C0DD0"/>
    <w:rsid w:val="007C0DF0"/>
    <w:rsid w:val="007C1076"/>
    <w:rsid w:val="007C1A0B"/>
    <w:rsid w:val="007C1C95"/>
    <w:rsid w:val="007C1D7B"/>
    <w:rsid w:val="007C1E2A"/>
    <w:rsid w:val="007C1F0E"/>
    <w:rsid w:val="007C204F"/>
    <w:rsid w:val="007C21F1"/>
    <w:rsid w:val="007C28CB"/>
    <w:rsid w:val="007C2A33"/>
    <w:rsid w:val="007C2B94"/>
    <w:rsid w:val="007C2D3E"/>
    <w:rsid w:val="007C3074"/>
    <w:rsid w:val="007C30F9"/>
    <w:rsid w:val="007C312F"/>
    <w:rsid w:val="007C34AC"/>
    <w:rsid w:val="007C34FA"/>
    <w:rsid w:val="007C35CC"/>
    <w:rsid w:val="007C3741"/>
    <w:rsid w:val="007C381F"/>
    <w:rsid w:val="007C3B0D"/>
    <w:rsid w:val="007C3BA8"/>
    <w:rsid w:val="007C413B"/>
    <w:rsid w:val="007C4B1C"/>
    <w:rsid w:val="007C4CF8"/>
    <w:rsid w:val="007C502F"/>
    <w:rsid w:val="007C50B3"/>
    <w:rsid w:val="007C54B2"/>
    <w:rsid w:val="007C5D0B"/>
    <w:rsid w:val="007C5D24"/>
    <w:rsid w:val="007C5E05"/>
    <w:rsid w:val="007C61A5"/>
    <w:rsid w:val="007C6289"/>
    <w:rsid w:val="007C6976"/>
    <w:rsid w:val="007C6D32"/>
    <w:rsid w:val="007C6D6E"/>
    <w:rsid w:val="007C6DE4"/>
    <w:rsid w:val="007C6EC2"/>
    <w:rsid w:val="007C70BE"/>
    <w:rsid w:val="007C7147"/>
    <w:rsid w:val="007C72EA"/>
    <w:rsid w:val="007C76BD"/>
    <w:rsid w:val="007C7724"/>
    <w:rsid w:val="007C7835"/>
    <w:rsid w:val="007C7949"/>
    <w:rsid w:val="007C7B66"/>
    <w:rsid w:val="007C7C9D"/>
    <w:rsid w:val="007C7FAB"/>
    <w:rsid w:val="007D02D1"/>
    <w:rsid w:val="007D0350"/>
    <w:rsid w:val="007D0550"/>
    <w:rsid w:val="007D086E"/>
    <w:rsid w:val="007D0A4B"/>
    <w:rsid w:val="007D0BF9"/>
    <w:rsid w:val="007D0EF8"/>
    <w:rsid w:val="007D1396"/>
    <w:rsid w:val="007D13FB"/>
    <w:rsid w:val="007D14E3"/>
    <w:rsid w:val="007D1596"/>
    <w:rsid w:val="007D16C5"/>
    <w:rsid w:val="007D1803"/>
    <w:rsid w:val="007D184F"/>
    <w:rsid w:val="007D1C00"/>
    <w:rsid w:val="007D1C2E"/>
    <w:rsid w:val="007D1CC9"/>
    <w:rsid w:val="007D1D13"/>
    <w:rsid w:val="007D1EBF"/>
    <w:rsid w:val="007D28EB"/>
    <w:rsid w:val="007D29E3"/>
    <w:rsid w:val="007D29F8"/>
    <w:rsid w:val="007D2A33"/>
    <w:rsid w:val="007D2B8E"/>
    <w:rsid w:val="007D2F67"/>
    <w:rsid w:val="007D325C"/>
    <w:rsid w:val="007D34E0"/>
    <w:rsid w:val="007D35F2"/>
    <w:rsid w:val="007D3A29"/>
    <w:rsid w:val="007D3A2B"/>
    <w:rsid w:val="007D3BD4"/>
    <w:rsid w:val="007D3EDE"/>
    <w:rsid w:val="007D41DF"/>
    <w:rsid w:val="007D41EF"/>
    <w:rsid w:val="007D45B4"/>
    <w:rsid w:val="007D4685"/>
    <w:rsid w:val="007D4846"/>
    <w:rsid w:val="007D4863"/>
    <w:rsid w:val="007D4911"/>
    <w:rsid w:val="007D4988"/>
    <w:rsid w:val="007D4994"/>
    <w:rsid w:val="007D4BC9"/>
    <w:rsid w:val="007D4F98"/>
    <w:rsid w:val="007D55B1"/>
    <w:rsid w:val="007D584A"/>
    <w:rsid w:val="007D5D3C"/>
    <w:rsid w:val="007D608C"/>
    <w:rsid w:val="007D6188"/>
    <w:rsid w:val="007D63D6"/>
    <w:rsid w:val="007D640A"/>
    <w:rsid w:val="007D676D"/>
    <w:rsid w:val="007D6878"/>
    <w:rsid w:val="007D69CB"/>
    <w:rsid w:val="007D79A6"/>
    <w:rsid w:val="007D7AAD"/>
    <w:rsid w:val="007D7AFB"/>
    <w:rsid w:val="007D7DF5"/>
    <w:rsid w:val="007D7E12"/>
    <w:rsid w:val="007D7E73"/>
    <w:rsid w:val="007E003D"/>
    <w:rsid w:val="007E00A9"/>
    <w:rsid w:val="007E03C0"/>
    <w:rsid w:val="007E044E"/>
    <w:rsid w:val="007E08B5"/>
    <w:rsid w:val="007E0A8A"/>
    <w:rsid w:val="007E0A90"/>
    <w:rsid w:val="007E0B6A"/>
    <w:rsid w:val="007E0BA7"/>
    <w:rsid w:val="007E0D45"/>
    <w:rsid w:val="007E0F2A"/>
    <w:rsid w:val="007E137C"/>
    <w:rsid w:val="007E14CC"/>
    <w:rsid w:val="007E1680"/>
    <w:rsid w:val="007E172C"/>
    <w:rsid w:val="007E187E"/>
    <w:rsid w:val="007E1988"/>
    <w:rsid w:val="007E20CB"/>
    <w:rsid w:val="007E216A"/>
    <w:rsid w:val="007E2347"/>
    <w:rsid w:val="007E2583"/>
    <w:rsid w:val="007E262C"/>
    <w:rsid w:val="007E29CD"/>
    <w:rsid w:val="007E2C02"/>
    <w:rsid w:val="007E2D12"/>
    <w:rsid w:val="007E2F28"/>
    <w:rsid w:val="007E305F"/>
    <w:rsid w:val="007E3157"/>
    <w:rsid w:val="007E330E"/>
    <w:rsid w:val="007E34BA"/>
    <w:rsid w:val="007E358D"/>
    <w:rsid w:val="007E3592"/>
    <w:rsid w:val="007E35EF"/>
    <w:rsid w:val="007E3806"/>
    <w:rsid w:val="007E3888"/>
    <w:rsid w:val="007E3D5C"/>
    <w:rsid w:val="007E3E2F"/>
    <w:rsid w:val="007E3E54"/>
    <w:rsid w:val="007E3F1A"/>
    <w:rsid w:val="007E3FB0"/>
    <w:rsid w:val="007E3FB7"/>
    <w:rsid w:val="007E4370"/>
    <w:rsid w:val="007E44DF"/>
    <w:rsid w:val="007E49CE"/>
    <w:rsid w:val="007E4AC4"/>
    <w:rsid w:val="007E4B2A"/>
    <w:rsid w:val="007E4B30"/>
    <w:rsid w:val="007E4D0E"/>
    <w:rsid w:val="007E5094"/>
    <w:rsid w:val="007E5280"/>
    <w:rsid w:val="007E52E0"/>
    <w:rsid w:val="007E5428"/>
    <w:rsid w:val="007E5803"/>
    <w:rsid w:val="007E5A00"/>
    <w:rsid w:val="007E5A82"/>
    <w:rsid w:val="007E5DB9"/>
    <w:rsid w:val="007E5F78"/>
    <w:rsid w:val="007E60A2"/>
    <w:rsid w:val="007E6192"/>
    <w:rsid w:val="007E62C7"/>
    <w:rsid w:val="007E6343"/>
    <w:rsid w:val="007E65AF"/>
    <w:rsid w:val="007E65F1"/>
    <w:rsid w:val="007E6982"/>
    <w:rsid w:val="007E6AC0"/>
    <w:rsid w:val="007E6DDC"/>
    <w:rsid w:val="007E6E15"/>
    <w:rsid w:val="007E6F2B"/>
    <w:rsid w:val="007E7626"/>
    <w:rsid w:val="007E787D"/>
    <w:rsid w:val="007E788C"/>
    <w:rsid w:val="007E79F8"/>
    <w:rsid w:val="007E7B43"/>
    <w:rsid w:val="007E7D6E"/>
    <w:rsid w:val="007E7E5C"/>
    <w:rsid w:val="007E7FCE"/>
    <w:rsid w:val="007F002C"/>
    <w:rsid w:val="007F00B7"/>
    <w:rsid w:val="007F0353"/>
    <w:rsid w:val="007F0377"/>
    <w:rsid w:val="007F050C"/>
    <w:rsid w:val="007F0552"/>
    <w:rsid w:val="007F0587"/>
    <w:rsid w:val="007F06F8"/>
    <w:rsid w:val="007F07FA"/>
    <w:rsid w:val="007F0A6B"/>
    <w:rsid w:val="007F0AC6"/>
    <w:rsid w:val="007F1319"/>
    <w:rsid w:val="007F168B"/>
    <w:rsid w:val="007F17C7"/>
    <w:rsid w:val="007F1910"/>
    <w:rsid w:val="007F1B87"/>
    <w:rsid w:val="007F1BFD"/>
    <w:rsid w:val="007F20B3"/>
    <w:rsid w:val="007F23FD"/>
    <w:rsid w:val="007F2404"/>
    <w:rsid w:val="007F2598"/>
    <w:rsid w:val="007F2B2D"/>
    <w:rsid w:val="007F2DA9"/>
    <w:rsid w:val="007F2E90"/>
    <w:rsid w:val="007F2EE2"/>
    <w:rsid w:val="007F2F28"/>
    <w:rsid w:val="007F2F95"/>
    <w:rsid w:val="007F3070"/>
    <w:rsid w:val="007F3179"/>
    <w:rsid w:val="007F3393"/>
    <w:rsid w:val="007F3572"/>
    <w:rsid w:val="007F35A9"/>
    <w:rsid w:val="007F3767"/>
    <w:rsid w:val="007F37D5"/>
    <w:rsid w:val="007F38FE"/>
    <w:rsid w:val="007F39BE"/>
    <w:rsid w:val="007F3A35"/>
    <w:rsid w:val="007F3B31"/>
    <w:rsid w:val="007F3B9F"/>
    <w:rsid w:val="007F3C89"/>
    <w:rsid w:val="007F3DA4"/>
    <w:rsid w:val="007F3E75"/>
    <w:rsid w:val="007F41F5"/>
    <w:rsid w:val="007F4379"/>
    <w:rsid w:val="007F4445"/>
    <w:rsid w:val="007F45C0"/>
    <w:rsid w:val="007F45FD"/>
    <w:rsid w:val="007F4686"/>
    <w:rsid w:val="007F46B9"/>
    <w:rsid w:val="007F4DF4"/>
    <w:rsid w:val="007F53C7"/>
    <w:rsid w:val="007F54BE"/>
    <w:rsid w:val="007F54D4"/>
    <w:rsid w:val="007F56C6"/>
    <w:rsid w:val="007F58F4"/>
    <w:rsid w:val="007F58F5"/>
    <w:rsid w:val="007F5B56"/>
    <w:rsid w:val="007F5D18"/>
    <w:rsid w:val="007F61A3"/>
    <w:rsid w:val="007F68FC"/>
    <w:rsid w:val="007F69FA"/>
    <w:rsid w:val="007F6A02"/>
    <w:rsid w:val="007F6D0C"/>
    <w:rsid w:val="007F6DCA"/>
    <w:rsid w:val="007F6E39"/>
    <w:rsid w:val="007F6F80"/>
    <w:rsid w:val="007F70F8"/>
    <w:rsid w:val="007F748B"/>
    <w:rsid w:val="007F75F6"/>
    <w:rsid w:val="007F7622"/>
    <w:rsid w:val="007F7A33"/>
    <w:rsid w:val="007F7AEC"/>
    <w:rsid w:val="007F7E22"/>
    <w:rsid w:val="007F7FD0"/>
    <w:rsid w:val="0080013C"/>
    <w:rsid w:val="00800274"/>
    <w:rsid w:val="00800342"/>
    <w:rsid w:val="008005C2"/>
    <w:rsid w:val="00800999"/>
    <w:rsid w:val="00800A2F"/>
    <w:rsid w:val="00800D99"/>
    <w:rsid w:val="00800F8C"/>
    <w:rsid w:val="0080100B"/>
    <w:rsid w:val="008010D6"/>
    <w:rsid w:val="00801335"/>
    <w:rsid w:val="00801645"/>
    <w:rsid w:val="00801975"/>
    <w:rsid w:val="0080199D"/>
    <w:rsid w:val="00801CB2"/>
    <w:rsid w:val="00802220"/>
    <w:rsid w:val="00802313"/>
    <w:rsid w:val="00802445"/>
    <w:rsid w:val="00802481"/>
    <w:rsid w:val="0080254F"/>
    <w:rsid w:val="008025CD"/>
    <w:rsid w:val="008026F4"/>
    <w:rsid w:val="00802705"/>
    <w:rsid w:val="00802973"/>
    <w:rsid w:val="00802D53"/>
    <w:rsid w:val="008030D6"/>
    <w:rsid w:val="008030F7"/>
    <w:rsid w:val="008035A7"/>
    <w:rsid w:val="008035E3"/>
    <w:rsid w:val="008039D0"/>
    <w:rsid w:val="00803CB1"/>
    <w:rsid w:val="00803CCC"/>
    <w:rsid w:val="00803CDE"/>
    <w:rsid w:val="00803DFB"/>
    <w:rsid w:val="00804126"/>
    <w:rsid w:val="00804232"/>
    <w:rsid w:val="0080451F"/>
    <w:rsid w:val="008046A8"/>
    <w:rsid w:val="0080477F"/>
    <w:rsid w:val="0080479D"/>
    <w:rsid w:val="00804A66"/>
    <w:rsid w:val="00804B65"/>
    <w:rsid w:val="00804F70"/>
    <w:rsid w:val="00804F94"/>
    <w:rsid w:val="00804FAF"/>
    <w:rsid w:val="00804FFE"/>
    <w:rsid w:val="008050B4"/>
    <w:rsid w:val="008053A3"/>
    <w:rsid w:val="0080574C"/>
    <w:rsid w:val="0080575A"/>
    <w:rsid w:val="00805D5F"/>
    <w:rsid w:val="00805E86"/>
    <w:rsid w:val="00805FDD"/>
    <w:rsid w:val="00806355"/>
    <w:rsid w:val="008064F0"/>
    <w:rsid w:val="00806937"/>
    <w:rsid w:val="00806993"/>
    <w:rsid w:val="008069BE"/>
    <w:rsid w:val="00806FF8"/>
    <w:rsid w:val="008071B4"/>
    <w:rsid w:val="00807376"/>
    <w:rsid w:val="00807616"/>
    <w:rsid w:val="00807940"/>
    <w:rsid w:val="00807A32"/>
    <w:rsid w:val="00807EA4"/>
    <w:rsid w:val="00807EDB"/>
    <w:rsid w:val="00810168"/>
    <w:rsid w:val="008101C9"/>
    <w:rsid w:val="0081067D"/>
    <w:rsid w:val="00810680"/>
    <w:rsid w:val="0081084C"/>
    <w:rsid w:val="008109CB"/>
    <w:rsid w:val="00810A3D"/>
    <w:rsid w:val="00810C95"/>
    <w:rsid w:val="00810D38"/>
    <w:rsid w:val="00810F4B"/>
    <w:rsid w:val="00810F96"/>
    <w:rsid w:val="00810FC7"/>
    <w:rsid w:val="00810FE9"/>
    <w:rsid w:val="008111E5"/>
    <w:rsid w:val="00811436"/>
    <w:rsid w:val="00811831"/>
    <w:rsid w:val="008118CC"/>
    <w:rsid w:val="0081192D"/>
    <w:rsid w:val="00811C60"/>
    <w:rsid w:val="00811E8D"/>
    <w:rsid w:val="00811F2C"/>
    <w:rsid w:val="00812161"/>
    <w:rsid w:val="00812212"/>
    <w:rsid w:val="008124E2"/>
    <w:rsid w:val="008125DC"/>
    <w:rsid w:val="00812647"/>
    <w:rsid w:val="00812860"/>
    <w:rsid w:val="00812AE9"/>
    <w:rsid w:val="00812E4B"/>
    <w:rsid w:val="008130FC"/>
    <w:rsid w:val="0081344E"/>
    <w:rsid w:val="008134AD"/>
    <w:rsid w:val="00813680"/>
    <w:rsid w:val="008136B7"/>
    <w:rsid w:val="00813944"/>
    <w:rsid w:val="00813B12"/>
    <w:rsid w:val="00813F43"/>
    <w:rsid w:val="00813FCA"/>
    <w:rsid w:val="00814046"/>
    <w:rsid w:val="008140FA"/>
    <w:rsid w:val="00814187"/>
    <w:rsid w:val="008141AB"/>
    <w:rsid w:val="0081440F"/>
    <w:rsid w:val="00814480"/>
    <w:rsid w:val="0081463C"/>
    <w:rsid w:val="008147D8"/>
    <w:rsid w:val="00814B0B"/>
    <w:rsid w:val="00814C0E"/>
    <w:rsid w:val="00814C54"/>
    <w:rsid w:val="00815160"/>
    <w:rsid w:val="00815357"/>
    <w:rsid w:val="008154AD"/>
    <w:rsid w:val="008154EC"/>
    <w:rsid w:val="00815872"/>
    <w:rsid w:val="00815947"/>
    <w:rsid w:val="00815B42"/>
    <w:rsid w:val="00815F76"/>
    <w:rsid w:val="0081609D"/>
    <w:rsid w:val="008163C4"/>
    <w:rsid w:val="008163F6"/>
    <w:rsid w:val="008164A2"/>
    <w:rsid w:val="008167F3"/>
    <w:rsid w:val="00816B87"/>
    <w:rsid w:val="00816C7A"/>
    <w:rsid w:val="00816D46"/>
    <w:rsid w:val="008172B8"/>
    <w:rsid w:val="0081733A"/>
    <w:rsid w:val="0081733B"/>
    <w:rsid w:val="00817572"/>
    <w:rsid w:val="008175FD"/>
    <w:rsid w:val="00817647"/>
    <w:rsid w:val="00817814"/>
    <w:rsid w:val="008178C2"/>
    <w:rsid w:val="008178F1"/>
    <w:rsid w:val="00817B04"/>
    <w:rsid w:val="00817E79"/>
    <w:rsid w:val="00817F9F"/>
    <w:rsid w:val="008201D5"/>
    <w:rsid w:val="008205B4"/>
    <w:rsid w:val="00820AB8"/>
    <w:rsid w:val="00820CC6"/>
    <w:rsid w:val="00820FE1"/>
    <w:rsid w:val="008211BB"/>
    <w:rsid w:val="0082144F"/>
    <w:rsid w:val="0082156C"/>
    <w:rsid w:val="008215D6"/>
    <w:rsid w:val="008219A4"/>
    <w:rsid w:val="00821A71"/>
    <w:rsid w:val="00821AAB"/>
    <w:rsid w:val="00821B29"/>
    <w:rsid w:val="00821B6D"/>
    <w:rsid w:val="00821D70"/>
    <w:rsid w:val="00821EF2"/>
    <w:rsid w:val="008220B0"/>
    <w:rsid w:val="00822375"/>
    <w:rsid w:val="008224F5"/>
    <w:rsid w:val="0082257F"/>
    <w:rsid w:val="008226B6"/>
    <w:rsid w:val="0082282B"/>
    <w:rsid w:val="0082286F"/>
    <w:rsid w:val="00822892"/>
    <w:rsid w:val="00822962"/>
    <w:rsid w:val="008229C0"/>
    <w:rsid w:val="00822B66"/>
    <w:rsid w:val="008231D0"/>
    <w:rsid w:val="008232C2"/>
    <w:rsid w:val="008233ED"/>
    <w:rsid w:val="008238E1"/>
    <w:rsid w:val="00823A89"/>
    <w:rsid w:val="00824029"/>
    <w:rsid w:val="00824064"/>
    <w:rsid w:val="008240B5"/>
    <w:rsid w:val="00824121"/>
    <w:rsid w:val="0082413E"/>
    <w:rsid w:val="0082432F"/>
    <w:rsid w:val="00824477"/>
    <w:rsid w:val="00824596"/>
    <w:rsid w:val="008247C4"/>
    <w:rsid w:val="008249F8"/>
    <w:rsid w:val="00824A82"/>
    <w:rsid w:val="00824BEB"/>
    <w:rsid w:val="00824BFE"/>
    <w:rsid w:val="00824C97"/>
    <w:rsid w:val="00824E37"/>
    <w:rsid w:val="00825052"/>
    <w:rsid w:val="00825109"/>
    <w:rsid w:val="00825247"/>
    <w:rsid w:val="008252C1"/>
    <w:rsid w:val="008254A5"/>
    <w:rsid w:val="00825530"/>
    <w:rsid w:val="008255FC"/>
    <w:rsid w:val="00825C2F"/>
    <w:rsid w:val="00825F68"/>
    <w:rsid w:val="0082644B"/>
    <w:rsid w:val="00826718"/>
    <w:rsid w:val="008269F9"/>
    <w:rsid w:val="00826DC8"/>
    <w:rsid w:val="00826EE0"/>
    <w:rsid w:val="00826F5F"/>
    <w:rsid w:val="0082734E"/>
    <w:rsid w:val="008273AA"/>
    <w:rsid w:val="00827595"/>
    <w:rsid w:val="0082777B"/>
    <w:rsid w:val="0082789B"/>
    <w:rsid w:val="008278DB"/>
    <w:rsid w:val="00827ACA"/>
    <w:rsid w:val="00830061"/>
    <w:rsid w:val="0083014D"/>
    <w:rsid w:val="008302C5"/>
    <w:rsid w:val="008305BB"/>
    <w:rsid w:val="00830739"/>
    <w:rsid w:val="00831195"/>
    <w:rsid w:val="00831262"/>
    <w:rsid w:val="00831302"/>
    <w:rsid w:val="008316A0"/>
    <w:rsid w:val="0083187F"/>
    <w:rsid w:val="00831C52"/>
    <w:rsid w:val="00831F17"/>
    <w:rsid w:val="0083227B"/>
    <w:rsid w:val="008324CE"/>
    <w:rsid w:val="008325D2"/>
    <w:rsid w:val="0083292D"/>
    <w:rsid w:val="0083296A"/>
    <w:rsid w:val="008329B2"/>
    <w:rsid w:val="00832C13"/>
    <w:rsid w:val="00832CD3"/>
    <w:rsid w:val="00832D74"/>
    <w:rsid w:val="00832D9D"/>
    <w:rsid w:val="0083357F"/>
    <w:rsid w:val="008340A5"/>
    <w:rsid w:val="0083445E"/>
    <w:rsid w:val="00834519"/>
    <w:rsid w:val="008345A1"/>
    <w:rsid w:val="00834653"/>
    <w:rsid w:val="008348D7"/>
    <w:rsid w:val="00834AB2"/>
    <w:rsid w:val="00834CDB"/>
    <w:rsid w:val="00834D59"/>
    <w:rsid w:val="00834F6C"/>
    <w:rsid w:val="00835252"/>
    <w:rsid w:val="0083541F"/>
    <w:rsid w:val="008354C5"/>
    <w:rsid w:val="0083553F"/>
    <w:rsid w:val="00835994"/>
    <w:rsid w:val="00835BA0"/>
    <w:rsid w:val="00835CAE"/>
    <w:rsid w:val="00835DFE"/>
    <w:rsid w:val="00835E4D"/>
    <w:rsid w:val="00835F8A"/>
    <w:rsid w:val="00835F9A"/>
    <w:rsid w:val="0083653E"/>
    <w:rsid w:val="0083692F"/>
    <w:rsid w:val="00836948"/>
    <w:rsid w:val="00836983"/>
    <w:rsid w:val="00836C5C"/>
    <w:rsid w:val="00836E45"/>
    <w:rsid w:val="00837031"/>
    <w:rsid w:val="008370F7"/>
    <w:rsid w:val="00837215"/>
    <w:rsid w:val="008372F5"/>
    <w:rsid w:val="008374F5"/>
    <w:rsid w:val="00837986"/>
    <w:rsid w:val="00837B5C"/>
    <w:rsid w:val="00837DC5"/>
    <w:rsid w:val="008403B6"/>
    <w:rsid w:val="00840515"/>
    <w:rsid w:val="00840836"/>
    <w:rsid w:val="00840AFD"/>
    <w:rsid w:val="00840CDF"/>
    <w:rsid w:val="00840E23"/>
    <w:rsid w:val="00841031"/>
    <w:rsid w:val="00841075"/>
    <w:rsid w:val="00841429"/>
    <w:rsid w:val="00841949"/>
    <w:rsid w:val="00841956"/>
    <w:rsid w:val="00841ACB"/>
    <w:rsid w:val="00841AD5"/>
    <w:rsid w:val="00841CF6"/>
    <w:rsid w:val="00841DE1"/>
    <w:rsid w:val="00841E64"/>
    <w:rsid w:val="00841F19"/>
    <w:rsid w:val="00841F3F"/>
    <w:rsid w:val="0084213A"/>
    <w:rsid w:val="00842313"/>
    <w:rsid w:val="00842357"/>
    <w:rsid w:val="008426DF"/>
    <w:rsid w:val="008429DD"/>
    <w:rsid w:val="008429EE"/>
    <w:rsid w:val="00842B89"/>
    <w:rsid w:val="00842C92"/>
    <w:rsid w:val="00842FCA"/>
    <w:rsid w:val="00843052"/>
    <w:rsid w:val="0084334F"/>
    <w:rsid w:val="008434CF"/>
    <w:rsid w:val="00843A36"/>
    <w:rsid w:val="00843B4A"/>
    <w:rsid w:val="00843D58"/>
    <w:rsid w:val="00844042"/>
    <w:rsid w:val="008444CA"/>
    <w:rsid w:val="00844537"/>
    <w:rsid w:val="008445A9"/>
    <w:rsid w:val="0084467B"/>
    <w:rsid w:val="00844A33"/>
    <w:rsid w:val="00844F30"/>
    <w:rsid w:val="00845374"/>
    <w:rsid w:val="008457E4"/>
    <w:rsid w:val="00845A90"/>
    <w:rsid w:val="00845B25"/>
    <w:rsid w:val="00845D9C"/>
    <w:rsid w:val="00845F8D"/>
    <w:rsid w:val="00846076"/>
    <w:rsid w:val="008460AC"/>
    <w:rsid w:val="008461E9"/>
    <w:rsid w:val="0084641D"/>
    <w:rsid w:val="00846519"/>
    <w:rsid w:val="0084657A"/>
    <w:rsid w:val="00846CD7"/>
    <w:rsid w:val="00846D70"/>
    <w:rsid w:val="008471D0"/>
    <w:rsid w:val="008473B1"/>
    <w:rsid w:val="0084743E"/>
    <w:rsid w:val="00847958"/>
    <w:rsid w:val="0084798B"/>
    <w:rsid w:val="00847AC8"/>
    <w:rsid w:val="00847AFE"/>
    <w:rsid w:val="00847ED0"/>
    <w:rsid w:val="00847FAD"/>
    <w:rsid w:val="00850169"/>
    <w:rsid w:val="008502FD"/>
    <w:rsid w:val="00850A5B"/>
    <w:rsid w:val="00850AB4"/>
    <w:rsid w:val="00850C17"/>
    <w:rsid w:val="00850C96"/>
    <w:rsid w:val="00850D5A"/>
    <w:rsid w:val="00850E71"/>
    <w:rsid w:val="0085100E"/>
    <w:rsid w:val="00851236"/>
    <w:rsid w:val="00851518"/>
    <w:rsid w:val="00851570"/>
    <w:rsid w:val="00851666"/>
    <w:rsid w:val="00851669"/>
    <w:rsid w:val="00851A2B"/>
    <w:rsid w:val="00851A92"/>
    <w:rsid w:val="00851B35"/>
    <w:rsid w:val="00851B56"/>
    <w:rsid w:val="0085201E"/>
    <w:rsid w:val="0085208B"/>
    <w:rsid w:val="008520E6"/>
    <w:rsid w:val="0085210F"/>
    <w:rsid w:val="008521E2"/>
    <w:rsid w:val="00852354"/>
    <w:rsid w:val="008524A8"/>
    <w:rsid w:val="008524EB"/>
    <w:rsid w:val="00852565"/>
    <w:rsid w:val="008525BE"/>
    <w:rsid w:val="00852B43"/>
    <w:rsid w:val="00852FB1"/>
    <w:rsid w:val="008531BB"/>
    <w:rsid w:val="0085326A"/>
    <w:rsid w:val="0085338F"/>
    <w:rsid w:val="00853479"/>
    <w:rsid w:val="00853684"/>
    <w:rsid w:val="008536EA"/>
    <w:rsid w:val="00853756"/>
    <w:rsid w:val="00853EC5"/>
    <w:rsid w:val="00854486"/>
    <w:rsid w:val="00854521"/>
    <w:rsid w:val="0085463A"/>
    <w:rsid w:val="008547A9"/>
    <w:rsid w:val="0085488C"/>
    <w:rsid w:val="0085494D"/>
    <w:rsid w:val="0085496B"/>
    <w:rsid w:val="00854B96"/>
    <w:rsid w:val="00854C1B"/>
    <w:rsid w:val="00854D6B"/>
    <w:rsid w:val="00854E23"/>
    <w:rsid w:val="008550C3"/>
    <w:rsid w:val="00855172"/>
    <w:rsid w:val="0085520F"/>
    <w:rsid w:val="008552D4"/>
    <w:rsid w:val="008553F1"/>
    <w:rsid w:val="0085540A"/>
    <w:rsid w:val="008556CD"/>
    <w:rsid w:val="00855A40"/>
    <w:rsid w:val="00855A9E"/>
    <w:rsid w:val="00855B3C"/>
    <w:rsid w:val="00855FA5"/>
    <w:rsid w:val="00856054"/>
    <w:rsid w:val="00856181"/>
    <w:rsid w:val="008562B6"/>
    <w:rsid w:val="0085632E"/>
    <w:rsid w:val="0085634A"/>
    <w:rsid w:val="00856584"/>
    <w:rsid w:val="008566AF"/>
    <w:rsid w:val="008567A6"/>
    <w:rsid w:val="00856811"/>
    <w:rsid w:val="00856A8D"/>
    <w:rsid w:val="00856BCD"/>
    <w:rsid w:val="00857143"/>
    <w:rsid w:val="0085723C"/>
    <w:rsid w:val="008575C7"/>
    <w:rsid w:val="008578FA"/>
    <w:rsid w:val="00857929"/>
    <w:rsid w:val="00857CFB"/>
    <w:rsid w:val="00857EDE"/>
    <w:rsid w:val="0086045F"/>
    <w:rsid w:val="00860F17"/>
    <w:rsid w:val="00861022"/>
    <w:rsid w:val="008610C5"/>
    <w:rsid w:val="008611AE"/>
    <w:rsid w:val="00861235"/>
    <w:rsid w:val="00861242"/>
    <w:rsid w:val="0086129A"/>
    <w:rsid w:val="008612B5"/>
    <w:rsid w:val="0086176B"/>
    <w:rsid w:val="00861C93"/>
    <w:rsid w:val="00861DF8"/>
    <w:rsid w:val="00861F21"/>
    <w:rsid w:val="00861F62"/>
    <w:rsid w:val="008620AA"/>
    <w:rsid w:val="008620AB"/>
    <w:rsid w:val="00862440"/>
    <w:rsid w:val="008624BA"/>
    <w:rsid w:val="00862525"/>
    <w:rsid w:val="0086263D"/>
    <w:rsid w:val="00862676"/>
    <w:rsid w:val="00862796"/>
    <w:rsid w:val="008627B9"/>
    <w:rsid w:val="00863152"/>
    <w:rsid w:val="0086349A"/>
    <w:rsid w:val="008638B5"/>
    <w:rsid w:val="00863CDB"/>
    <w:rsid w:val="008640AF"/>
    <w:rsid w:val="00864130"/>
    <w:rsid w:val="00864233"/>
    <w:rsid w:val="00864390"/>
    <w:rsid w:val="00864B3C"/>
    <w:rsid w:val="00864B8E"/>
    <w:rsid w:val="00864CF2"/>
    <w:rsid w:val="00864D21"/>
    <w:rsid w:val="00864DC0"/>
    <w:rsid w:val="00864EF0"/>
    <w:rsid w:val="00865235"/>
    <w:rsid w:val="00865293"/>
    <w:rsid w:val="00865697"/>
    <w:rsid w:val="00865833"/>
    <w:rsid w:val="00865855"/>
    <w:rsid w:val="0086597D"/>
    <w:rsid w:val="00865A87"/>
    <w:rsid w:val="008662E5"/>
    <w:rsid w:val="008663D2"/>
    <w:rsid w:val="00866508"/>
    <w:rsid w:val="00866770"/>
    <w:rsid w:val="00866885"/>
    <w:rsid w:val="008669F4"/>
    <w:rsid w:val="00866CDE"/>
    <w:rsid w:val="00866DBB"/>
    <w:rsid w:val="00867058"/>
    <w:rsid w:val="00867142"/>
    <w:rsid w:val="00867340"/>
    <w:rsid w:val="0086740D"/>
    <w:rsid w:val="008675BF"/>
    <w:rsid w:val="008675F2"/>
    <w:rsid w:val="008677CD"/>
    <w:rsid w:val="00867822"/>
    <w:rsid w:val="00867863"/>
    <w:rsid w:val="00867D89"/>
    <w:rsid w:val="00867DF1"/>
    <w:rsid w:val="008703B3"/>
    <w:rsid w:val="00870508"/>
    <w:rsid w:val="008705E1"/>
    <w:rsid w:val="008705F3"/>
    <w:rsid w:val="008706A3"/>
    <w:rsid w:val="0087083E"/>
    <w:rsid w:val="00870DF2"/>
    <w:rsid w:val="00870E1F"/>
    <w:rsid w:val="00870F54"/>
    <w:rsid w:val="00871168"/>
    <w:rsid w:val="008714A6"/>
    <w:rsid w:val="008714B0"/>
    <w:rsid w:val="00871606"/>
    <w:rsid w:val="00871707"/>
    <w:rsid w:val="008717DE"/>
    <w:rsid w:val="00871806"/>
    <w:rsid w:val="0087181C"/>
    <w:rsid w:val="00871A32"/>
    <w:rsid w:val="00871D8C"/>
    <w:rsid w:val="00871F39"/>
    <w:rsid w:val="0087218D"/>
    <w:rsid w:val="00872239"/>
    <w:rsid w:val="008722B2"/>
    <w:rsid w:val="008722DA"/>
    <w:rsid w:val="00872393"/>
    <w:rsid w:val="00872635"/>
    <w:rsid w:val="00872706"/>
    <w:rsid w:val="0087283E"/>
    <w:rsid w:val="00872901"/>
    <w:rsid w:val="0087291B"/>
    <w:rsid w:val="008729D4"/>
    <w:rsid w:val="008729F5"/>
    <w:rsid w:val="00872B77"/>
    <w:rsid w:val="00872C08"/>
    <w:rsid w:val="00872EED"/>
    <w:rsid w:val="00872F28"/>
    <w:rsid w:val="00873022"/>
    <w:rsid w:val="00873090"/>
    <w:rsid w:val="0087318C"/>
    <w:rsid w:val="008731D1"/>
    <w:rsid w:val="0087397F"/>
    <w:rsid w:val="00873A9A"/>
    <w:rsid w:val="00873D52"/>
    <w:rsid w:val="00873F2E"/>
    <w:rsid w:val="008740E1"/>
    <w:rsid w:val="00874403"/>
    <w:rsid w:val="00874656"/>
    <w:rsid w:val="008746A9"/>
    <w:rsid w:val="00874AF8"/>
    <w:rsid w:val="00874BEA"/>
    <w:rsid w:val="00874FB5"/>
    <w:rsid w:val="0087519E"/>
    <w:rsid w:val="008751E8"/>
    <w:rsid w:val="00875258"/>
    <w:rsid w:val="0087571F"/>
    <w:rsid w:val="008757B4"/>
    <w:rsid w:val="0087591A"/>
    <w:rsid w:val="00875B85"/>
    <w:rsid w:val="00875CEB"/>
    <w:rsid w:val="00876A59"/>
    <w:rsid w:val="00876A81"/>
    <w:rsid w:val="00876A8C"/>
    <w:rsid w:val="00876C42"/>
    <w:rsid w:val="00876F22"/>
    <w:rsid w:val="00877157"/>
    <w:rsid w:val="0087753E"/>
    <w:rsid w:val="0087777A"/>
    <w:rsid w:val="00877A1F"/>
    <w:rsid w:val="008803FC"/>
    <w:rsid w:val="00880498"/>
    <w:rsid w:val="00880806"/>
    <w:rsid w:val="0088085F"/>
    <w:rsid w:val="0088089E"/>
    <w:rsid w:val="00880A02"/>
    <w:rsid w:val="00880B35"/>
    <w:rsid w:val="00880DF3"/>
    <w:rsid w:val="00881010"/>
    <w:rsid w:val="00881205"/>
    <w:rsid w:val="008813EE"/>
    <w:rsid w:val="008815CB"/>
    <w:rsid w:val="00881670"/>
    <w:rsid w:val="008817A6"/>
    <w:rsid w:val="008818E3"/>
    <w:rsid w:val="008819AD"/>
    <w:rsid w:val="00881E02"/>
    <w:rsid w:val="00882012"/>
    <w:rsid w:val="008821E4"/>
    <w:rsid w:val="0088257D"/>
    <w:rsid w:val="008825FE"/>
    <w:rsid w:val="00882924"/>
    <w:rsid w:val="00882A5E"/>
    <w:rsid w:val="00882DBC"/>
    <w:rsid w:val="00883161"/>
    <w:rsid w:val="008835EB"/>
    <w:rsid w:val="0088360C"/>
    <w:rsid w:val="00883A56"/>
    <w:rsid w:val="00884269"/>
    <w:rsid w:val="0088450D"/>
    <w:rsid w:val="00884927"/>
    <w:rsid w:val="00884B6D"/>
    <w:rsid w:val="00884CE0"/>
    <w:rsid w:val="00884D01"/>
    <w:rsid w:val="00884D88"/>
    <w:rsid w:val="00884E0C"/>
    <w:rsid w:val="00884E2F"/>
    <w:rsid w:val="00884E45"/>
    <w:rsid w:val="008852DD"/>
    <w:rsid w:val="008853C0"/>
    <w:rsid w:val="00885557"/>
    <w:rsid w:val="00885959"/>
    <w:rsid w:val="008860A7"/>
    <w:rsid w:val="0088633B"/>
    <w:rsid w:val="0088636F"/>
    <w:rsid w:val="008866A8"/>
    <w:rsid w:val="00886825"/>
    <w:rsid w:val="00886839"/>
    <w:rsid w:val="0088706F"/>
    <w:rsid w:val="008876DF"/>
    <w:rsid w:val="008876E4"/>
    <w:rsid w:val="00887771"/>
    <w:rsid w:val="0088777D"/>
    <w:rsid w:val="0088785C"/>
    <w:rsid w:val="00887BE6"/>
    <w:rsid w:val="00887CE4"/>
    <w:rsid w:val="00887DB7"/>
    <w:rsid w:val="00887E74"/>
    <w:rsid w:val="00887EAC"/>
    <w:rsid w:val="00887EB0"/>
    <w:rsid w:val="00887EFB"/>
    <w:rsid w:val="0089029B"/>
    <w:rsid w:val="008902D8"/>
    <w:rsid w:val="0089049C"/>
    <w:rsid w:val="0089055B"/>
    <w:rsid w:val="00890590"/>
    <w:rsid w:val="00890598"/>
    <w:rsid w:val="00890BC0"/>
    <w:rsid w:val="00890CA7"/>
    <w:rsid w:val="00890F11"/>
    <w:rsid w:val="00891100"/>
    <w:rsid w:val="00891C20"/>
    <w:rsid w:val="00891F10"/>
    <w:rsid w:val="0089207A"/>
    <w:rsid w:val="00892557"/>
    <w:rsid w:val="00892656"/>
    <w:rsid w:val="008927A1"/>
    <w:rsid w:val="008929FB"/>
    <w:rsid w:val="00892C08"/>
    <w:rsid w:val="00892CBD"/>
    <w:rsid w:val="00892ED2"/>
    <w:rsid w:val="00892F7F"/>
    <w:rsid w:val="008931AC"/>
    <w:rsid w:val="008933BD"/>
    <w:rsid w:val="008939B1"/>
    <w:rsid w:val="00893BA6"/>
    <w:rsid w:val="00893CBE"/>
    <w:rsid w:val="00893D6A"/>
    <w:rsid w:val="00893D96"/>
    <w:rsid w:val="00893E40"/>
    <w:rsid w:val="008941AC"/>
    <w:rsid w:val="00894253"/>
    <w:rsid w:val="0089451D"/>
    <w:rsid w:val="008945F6"/>
    <w:rsid w:val="0089485B"/>
    <w:rsid w:val="008949A7"/>
    <w:rsid w:val="00895009"/>
    <w:rsid w:val="008957B4"/>
    <w:rsid w:val="008959BB"/>
    <w:rsid w:val="00895A7D"/>
    <w:rsid w:val="00895AB8"/>
    <w:rsid w:val="00895AF2"/>
    <w:rsid w:val="00895E65"/>
    <w:rsid w:val="00895EE1"/>
    <w:rsid w:val="00895FD4"/>
    <w:rsid w:val="00896454"/>
    <w:rsid w:val="00896574"/>
    <w:rsid w:val="008965C7"/>
    <w:rsid w:val="008965F4"/>
    <w:rsid w:val="00896679"/>
    <w:rsid w:val="00896724"/>
    <w:rsid w:val="00896886"/>
    <w:rsid w:val="00896CA9"/>
    <w:rsid w:val="00896E4D"/>
    <w:rsid w:val="0089700A"/>
    <w:rsid w:val="00897178"/>
    <w:rsid w:val="00897196"/>
    <w:rsid w:val="00897219"/>
    <w:rsid w:val="00897283"/>
    <w:rsid w:val="008977FD"/>
    <w:rsid w:val="00897E13"/>
    <w:rsid w:val="00897E44"/>
    <w:rsid w:val="008A0084"/>
    <w:rsid w:val="008A0804"/>
    <w:rsid w:val="008A0959"/>
    <w:rsid w:val="008A0989"/>
    <w:rsid w:val="008A0A13"/>
    <w:rsid w:val="008A0A82"/>
    <w:rsid w:val="008A0ACE"/>
    <w:rsid w:val="008A0DF4"/>
    <w:rsid w:val="008A0F92"/>
    <w:rsid w:val="008A1126"/>
    <w:rsid w:val="008A11CE"/>
    <w:rsid w:val="008A1965"/>
    <w:rsid w:val="008A1C64"/>
    <w:rsid w:val="008A20FD"/>
    <w:rsid w:val="008A233D"/>
    <w:rsid w:val="008A27BC"/>
    <w:rsid w:val="008A290A"/>
    <w:rsid w:val="008A2D0E"/>
    <w:rsid w:val="008A2DA2"/>
    <w:rsid w:val="008A2E43"/>
    <w:rsid w:val="008A2F1D"/>
    <w:rsid w:val="008A3055"/>
    <w:rsid w:val="008A3100"/>
    <w:rsid w:val="008A31A1"/>
    <w:rsid w:val="008A3753"/>
    <w:rsid w:val="008A37EE"/>
    <w:rsid w:val="008A3805"/>
    <w:rsid w:val="008A3A5D"/>
    <w:rsid w:val="008A3C4E"/>
    <w:rsid w:val="008A4114"/>
    <w:rsid w:val="008A443E"/>
    <w:rsid w:val="008A4462"/>
    <w:rsid w:val="008A44C8"/>
    <w:rsid w:val="008A48FF"/>
    <w:rsid w:val="008A490A"/>
    <w:rsid w:val="008A4CE7"/>
    <w:rsid w:val="008A5134"/>
    <w:rsid w:val="008A5286"/>
    <w:rsid w:val="008A52F2"/>
    <w:rsid w:val="008A5B07"/>
    <w:rsid w:val="008A5C54"/>
    <w:rsid w:val="008A60F0"/>
    <w:rsid w:val="008A63CE"/>
    <w:rsid w:val="008A6493"/>
    <w:rsid w:val="008A64AA"/>
    <w:rsid w:val="008A64D8"/>
    <w:rsid w:val="008A651F"/>
    <w:rsid w:val="008A65C0"/>
    <w:rsid w:val="008A683C"/>
    <w:rsid w:val="008A6DEE"/>
    <w:rsid w:val="008A6DF9"/>
    <w:rsid w:val="008A703A"/>
    <w:rsid w:val="008A71C0"/>
    <w:rsid w:val="008A75AC"/>
    <w:rsid w:val="008A775F"/>
    <w:rsid w:val="008A78A4"/>
    <w:rsid w:val="008A7A01"/>
    <w:rsid w:val="008A7AAD"/>
    <w:rsid w:val="008A7F44"/>
    <w:rsid w:val="008A7FE7"/>
    <w:rsid w:val="008B0434"/>
    <w:rsid w:val="008B0699"/>
    <w:rsid w:val="008B0720"/>
    <w:rsid w:val="008B0749"/>
    <w:rsid w:val="008B08CD"/>
    <w:rsid w:val="008B09DC"/>
    <w:rsid w:val="008B0A18"/>
    <w:rsid w:val="008B0AC5"/>
    <w:rsid w:val="008B0F24"/>
    <w:rsid w:val="008B0F85"/>
    <w:rsid w:val="008B1020"/>
    <w:rsid w:val="008B106F"/>
    <w:rsid w:val="008B121B"/>
    <w:rsid w:val="008B14B3"/>
    <w:rsid w:val="008B1669"/>
    <w:rsid w:val="008B176C"/>
    <w:rsid w:val="008B1AA5"/>
    <w:rsid w:val="008B1C29"/>
    <w:rsid w:val="008B1C68"/>
    <w:rsid w:val="008B1C84"/>
    <w:rsid w:val="008B1CD4"/>
    <w:rsid w:val="008B1D4B"/>
    <w:rsid w:val="008B2065"/>
    <w:rsid w:val="008B2187"/>
    <w:rsid w:val="008B2328"/>
    <w:rsid w:val="008B251A"/>
    <w:rsid w:val="008B289A"/>
    <w:rsid w:val="008B2BE2"/>
    <w:rsid w:val="008B2BEC"/>
    <w:rsid w:val="008B2C2A"/>
    <w:rsid w:val="008B32CB"/>
    <w:rsid w:val="008B385F"/>
    <w:rsid w:val="008B3B80"/>
    <w:rsid w:val="008B3DA0"/>
    <w:rsid w:val="008B3E43"/>
    <w:rsid w:val="008B4049"/>
    <w:rsid w:val="008B4547"/>
    <w:rsid w:val="008B45DD"/>
    <w:rsid w:val="008B45E6"/>
    <w:rsid w:val="008B4A03"/>
    <w:rsid w:val="008B4A6E"/>
    <w:rsid w:val="008B4ADB"/>
    <w:rsid w:val="008B4B2F"/>
    <w:rsid w:val="008B4EF3"/>
    <w:rsid w:val="008B5513"/>
    <w:rsid w:val="008B5567"/>
    <w:rsid w:val="008B58DC"/>
    <w:rsid w:val="008B59CE"/>
    <w:rsid w:val="008B5AC4"/>
    <w:rsid w:val="008B5CDC"/>
    <w:rsid w:val="008B5FE0"/>
    <w:rsid w:val="008B6040"/>
    <w:rsid w:val="008B6053"/>
    <w:rsid w:val="008B667A"/>
    <w:rsid w:val="008B67A8"/>
    <w:rsid w:val="008B6867"/>
    <w:rsid w:val="008B6B87"/>
    <w:rsid w:val="008B6FEB"/>
    <w:rsid w:val="008B7930"/>
    <w:rsid w:val="008B7B57"/>
    <w:rsid w:val="008B7B71"/>
    <w:rsid w:val="008B7F88"/>
    <w:rsid w:val="008C0177"/>
    <w:rsid w:val="008C026A"/>
    <w:rsid w:val="008C078E"/>
    <w:rsid w:val="008C09FF"/>
    <w:rsid w:val="008C0DF6"/>
    <w:rsid w:val="008C0E9E"/>
    <w:rsid w:val="008C0FAF"/>
    <w:rsid w:val="008C11A4"/>
    <w:rsid w:val="008C1207"/>
    <w:rsid w:val="008C15AD"/>
    <w:rsid w:val="008C1977"/>
    <w:rsid w:val="008C1A2E"/>
    <w:rsid w:val="008C1B61"/>
    <w:rsid w:val="008C1C3E"/>
    <w:rsid w:val="008C1D86"/>
    <w:rsid w:val="008C1E87"/>
    <w:rsid w:val="008C1F73"/>
    <w:rsid w:val="008C20CE"/>
    <w:rsid w:val="008C26E6"/>
    <w:rsid w:val="008C2AF2"/>
    <w:rsid w:val="008C2B04"/>
    <w:rsid w:val="008C2BFD"/>
    <w:rsid w:val="008C2DC3"/>
    <w:rsid w:val="008C2DEF"/>
    <w:rsid w:val="008C2F47"/>
    <w:rsid w:val="008C317F"/>
    <w:rsid w:val="008C3560"/>
    <w:rsid w:val="008C365F"/>
    <w:rsid w:val="008C3668"/>
    <w:rsid w:val="008C368C"/>
    <w:rsid w:val="008C3A17"/>
    <w:rsid w:val="008C3A4D"/>
    <w:rsid w:val="008C3EF2"/>
    <w:rsid w:val="008C3FBA"/>
    <w:rsid w:val="008C3FE0"/>
    <w:rsid w:val="008C4387"/>
    <w:rsid w:val="008C4463"/>
    <w:rsid w:val="008C46DA"/>
    <w:rsid w:val="008C484E"/>
    <w:rsid w:val="008C4944"/>
    <w:rsid w:val="008C4DCB"/>
    <w:rsid w:val="008C4E48"/>
    <w:rsid w:val="008C4EA8"/>
    <w:rsid w:val="008C504C"/>
    <w:rsid w:val="008C50E1"/>
    <w:rsid w:val="008C50FA"/>
    <w:rsid w:val="008C5169"/>
    <w:rsid w:val="008C51D2"/>
    <w:rsid w:val="008C5410"/>
    <w:rsid w:val="008C54B4"/>
    <w:rsid w:val="008C5A8C"/>
    <w:rsid w:val="008C5D65"/>
    <w:rsid w:val="008C5F71"/>
    <w:rsid w:val="008C617D"/>
    <w:rsid w:val="008C61BA"/>
    <w:rsid w:val="008C621B"/>
    <w:rsid w:val="008C635D"/>
    <w:rsid w:val="008C65AD"/>
    <w:rsid w:val="008C67C7"/>
    <w:rsid w:val="008C682F"/>
    <w:rsid w:val="008C694E"/>
    <w:rsid w:val="008C6965"/>
    <w:rsid w:val="008C6AEA"/>
    <w:rsid w:val="008C6B3D"/>
    <w:rsid w:val="008C6C16"/>
    <w:rsid w:val="008C6C2C"/>
    <w:rsid w:val="008C6D24"/>
    <w:rsid w:val="008C6D58"/>
    <w:rsid w:val="008C759E"/>
    <w:rsid w:val="008C7676"/>
    <w:rsid w:val="008C769A"/>
    <w:rsid w:val="008C79F1"/>
    <w:rsid w:val="008C7BE9"/>
    <w:rsid w:val="008C7CD4"/>
    <w:rsid w:val="008C7D40"/>
    <w:rsid w:val="008C7FAD"/>
    <w:rsid w:val="008D011D"/>
    <w:rsid w:val="008D0237"/>
    <w:rsid w:val="008D02A2"/>
    <w:rsid w:val="008D02D6"/>
    <w:rsid w:val="008D048C"/>
    <w:rsid w:val="008D052B"/>
    <w:rsid w:val="008D0705"/>
    <w:rsid w:val="008D0E1E"/>
    <w:rsid w:val="008D0E49"/>
    <w:rsid w:val="008D123A"/>
    <w:rsid w:val="008D1380"/>
    <w:rsid w:val="008D168E"/>
    <w:rsid w:val="008D174F"/>
    <w:rsid w:val="008D1B48"/>
    <w:rsid w:val="008D1D0A"/>
    <w:rsid w:val="008D1D17"/>
    <w:rsid w:val="008D2045"/>
    <w:rsid w:val="008D277C"/>
    <w:rsid w:val="008D28FC"/>
    <w:rsid w:val="008D2A01"/>
    <w:rsid w:val="008D2A9C"/>
    <w:rsid w:val="008D2C18"/>
    <w:rsid w:val="008D2DC3"/>
    <w:rsid w:val="008D2F8C"/>
    <w:rsid w:val="008D3281"/>
    <w:rsid w:val="008D3398"/>
    <w:rsid w:val="008D3597"/>
    <w:rsid w:val="008D35CE"/>
    <w:rsid w:val="008D36EA"/>
    <w:rsid w:val="008D3751"/>
    <w:rsid w:val="008D395C"/>
    <w:rsid w:val="008D3CE7"/>
    <w:rsid w:val="008D3E83"/>
    <w:rsid w:val="008D3F3D"/>
    <w:rsid w:val="008D4794"/>
    <w:rsid w:val="008D4A67"/>
    <w:rsid w:val="008D4CC9"/>
    <w:rsid w:val="008D55FE"/>
    <w:rsid w:val="008D590C"/>
    <w:rsid w:val="008D5A5E"/>
    <w:rsid w:val="008D5BA4"/>
    <w:rsid w:val="008D5CB7"/>
    <w:rsid w:val="008D5D08"/>
    <w:rsid w:val="008D5DDA"/>
    <w:rsid w:val="008D5F2F"/>
    <w:rsid w:val="008D5F5B"/>
    <w:rsid w:val="008D61CB"/>
    <w:rsid w:val="008D64B0"/>
    <w:rsid w:val="008D6CBC"/>
    <w:rsid w:val="008D6E4B"/>
    <w:rsid w:val="008D7004"/>
    <w:rsid w:val="008D7381"/>
    <w:rsid w:val="008D7557"/>
    <w:rsid w:val="008D7568"/>
    <w:rsid w:val="008D7595"/>
    <w:rsid w:val="008D7ABC"/>
    <w:rsid w:val="008D7AFD"/>
    <w:rsid w:val="008D7B1C"/>
    <w:rsid w:val="008D7CE5"/>
    <w:rsid w:val="008D7FEC"/>
    <w:rsid w:val="008E01DB"/>
    <w:rsid w:val="008E0739"/>
    <w:rsid w:val="008E0814"/>
    <w:rsid w:val="008E0830"/>
    <w:rsid w:val="008E0846"/>
    <w:rsid w:val="008E0CA1"/>
    <w:rsid w:val="008E13E9"/>
    <w:rsid w:val="008E13FD"/>
    <w:rsid w:val="008E147C"/>
    <w:rsid w:val="008E14A8"/>
    <w:rsid w:val="008E162A"/>
    <w:rsid w:val="008E162B"/>
    <w:rsid w:val="008E1655"/>
    <w:rsid w:val="008E1721"/>
    <w:rsid w:val="008E175C"/>
    <w:rsid w:val="008E192A"/>
    <w:rsid w:val="008E1E2D"/>
    <w:rsid w:val="008E24A4"/>
    <w:rsid w:val="008E2590"/>
    <w:rsid w:val="008E25EF"/>
    <w:rsid w:val="008E27A9"/>
    <w:rsid w:val="008E2956"/>
    <w:rsid w:val="008E2F30"/>
    <w:rsid w:val="008E32C4"/>
    <w:rsid w:val="008E36C2"/>
    <w:rsid w:val="008E3736"/>
    <w:rsid w:val="008E3DFA"/>
    <w:rsid w:val="008E41D0"/>
    <w:rsid w:val="008E42BD"/>
    <w:rsid w:val="008E42EF"/>
    <w:rsid w:val="008E44DE"/>
    <w:rsid w:val="008E46A3"/>
    <w:rsid w:val="008E46F4"/>
    <w:rsid w:val="008E47FB"/>
    <w:rsid w:val="008E4853"/>
    <w:rsid w:val="008E4E04"/>
    <w:rsid w:val="008E5063"/>
    <w:rsid w:val="008E5143"/>
    <w:rsid w:val="008E5245"/>
    <w:rsid w:val="008E5370"/>
    <w:rsid w:val="008E53B8"/>
    <w:rsid w:val="008E55A9"/>
    <w:rsid w:val="008E58F8"/>
    <w:rsid w:val="008E5D6C"/>
    <w:rsid w:val="008E5EAE"/>
    <w:rsid w:val="008E5FD4"/>
    <w:rsid w:val="008E6224"/>
    <w:rsid w:val="008E6C1E"/>
    <w:rsid w:val="008E6D2F"/>
    <w:rsid w:val="008E704F"/>
    <w:rsid w:val="008E7465"/>
    <w:rsid w:val="008E7468"/>
    <w:rsid w:val="008E74D9"/>
    <w:rsid w:val="008E76ED"/>
    <w:rsid w:val="008E772A"/>
    <w:rsid w:val="008E7865"/>
    <w:rsid w:val="008E78C4"/>
    <w:rsid w:val="008E7AE7"/>
    <w:rsid w:val="008E7B3C"/>
    <w:rsid w:val="008E7C15"/>
    <w:rsid w:val="008E7D99"/>
    <w:rsid w:val="008F0415"/>
    <w:rsid w:val="008F0540"/>
    <w:rsid w:val="008F0576"/>
    <w:rsid w:val="008F0BB1"/>
    <w:rsid w:val="008F0ECA"/>
    <w:rsid w:val="008F0F76"/>
    <w:rsid w:val="008F0FE1"/>
    <w:rsid w:val="008F1149"/>
    <w:rsid w:val="008F114A"/>
    <w:rsid w:val="008F11C7"/>
    <w:rsid w:val="008F1401"/>
    <w:rsid w:val="008F14B4"/>
    <w:rsid w:val="008F16D0"/>
    <w:rsid w:val="008F1A93"/>
    <w:rsid w:val="008F1C61"/>
    <w:rsid w:val="008F1D05"/>
    <w:rsid w:val="008F218E"/>
    <w:rsid w:val="008F2287"/>
    <w:rsid w:val="008F2466"/>
    <w:rsid w:val="008F255A"/>
    <w:rsid w:val="008F2625"/>
    <w:rsid w:val="008F2AED"/>
    <w:rsid w:val="008F2FBD"/>
    <w:rsid w:val="008F309A"/>
    <w:rsid w:val="008F325C"/>
    <w:rsid w:val="008F3483"/>
    <w:rsid w:val="008F358F"/>
    <w:rsid w:val="008F35F1"/>
    <w:rsid w:val="008F3D1B"/>
    <w:rsid w:val="008F3D7D"/>
    <w:rsid w:val="008F417C"/>
    <w:rsid w:val="008F4252"/>
    <w:rsid w:val="008F43A4"/>
    <w:rsid w:val="008F4461"/>
    <w:rsid w:val="008F45A0"/>
    <w:rsid w:val="008F481F"/>
    <w:rsid w:val="008F4D4A"/>
    <w:rsid w:val="008F4DAE"/>
    <w:rsid w:val="008F54F0"/>
    <w:rsid w:val="008F5524"/>
    <w:rsid w:val="008F5529"/>
    <w:rsid w:val="008F56E8"/>
    <w:rsid w:val="008F5733"/>
    <w:rsid w:val="008F57E2"/>
    <w:rsid w:val="008F5C9D"/>
    <w:rsid w:val="008F6037"/>
    <w:rsid w:val="008F6110"/>
    <w:rsid w:val="008F684D"/>
    <w:rsid w:val="008F6858"/>
    <w:rsid w:val="008F68ED"/>
    <w:rsid w:val="008F6E1E"/>
    <w:rsid w:val="008F73C7"/>
    <w:rsid w:val="008F757A"/>
    <w:rsid w:val="008F79D1"/>
    <w:rsid w:val="008F7A26"/>
    <w:rsid w:val="008F7B4D"/>
    <w:rsid w:val="008F7F7F"/>
    <w:rsid w:val="009000F0"/>
    <w:rsid w:val="00900528"/>
    <w:rsid w:val="00900547"/>
    <w:rsid w:val="009006F8"/>
    <w:rsid w:val="00900747"/>
    <w:rsid w:val="00900C60"/>
    <w:rsid w:val="00900E72"/>
    <w:rsid w:val="00900FF5"/>
    <w:rsid w:val="0090108B"/>
    <w:rsid w:val="009011CA"/>
    <w:rsid w:val="009011D3"/>
    <w:rsid w:val="009016CC"/>
    <w:rsid w:val="009016D1"/>
    <w:rsid w:val="00901ABE"/>
    <w:rsid w:val="00901BA6"/>
    <w:rsid w:val="00901F20"/>
    <w:rsid w:val="00901F2B"/>
    <w:rsid w:val="009023BF"/>
    <w:rsid w:val="009023E9"/>
    <w:rsid w:val="009026D0"/>
    <w:rsid w:val="0090271C"/>
    <w:rsid w:val="0090275F"/>
    <w:rsid w:val="009027EA"/>
    <w:rsid w:val="00902805"/>
    <w:rsid w:val="00902B43"/>
    <w:rsid w:val="00902B9D"/>
    <w:rsid w:val="009030E8"/>
    <w:rsid w:val="00903220"/>
    <w:rsid w:val="009033A4"/>
    <w:rsid w:val="00903457"/>
    <w:rsid w:val="00903AF5"/>
    <w:rsid w:val="00903C21"/>
    <w:rsid w:val="00903D2E"/>
    <w:rsid w:val="00904092"/>
    <w:rsid w:val="009041E3"/>
    <w:rsid w:val="0090434E"/>
    <w:rsid w:val="00904360"/>
    <w:rsid w:val="00904499"/>
    <w:rsid w:val="0090458D"/>
    <w:rsid w:val="009046AC"/>
    <w:rsid w:val="0090475B"/>
    <w:rsid w:val="0090494C"/>
    <w:rsid w:val="009049CF"/>
    <w:rsid w:val="00904A48"/>
    <w:rsid w:val="00904B0E"/>
    <w:rsid w:val="00904B2D"/>
    <w:rsid w:val="00904D0D"/>
    <w:rsid w:val="009051F9"/>
    <w:rsid w:val="00905677"/>
    <w:rsid w:val="00905723"/>
    <w:rsid w:val="00905EE6"/>
    <w:rsid w:val="009060BB"/>
    <w:rsid w:val="00906267"/>
    <w:rsid w:val="009063C4"/>
    <w:rsid w:val="0090641E"/>
    <w:rsid w:val="00906875"/>
    <w:rsid w:val="009069D3"/>
    <w:rsid w:val="00906C26"/>
    <w:rsid w:val="00906D0F"/>
    <w:rsid w:val="00906DE1"/>
    <w:rsid w:val="00906E95"/>
    <w:rsid w:val="00906F7B"/>
    <w:rsid w:val="009071A4"/>
    <w:rsid w:val="009071CE"/>
    <w:rsid w:val="00907226"/>
    <w:rsid w:val="00907342"/>
    <w:rsid w:val="0090753E"/>
    <w:rsid w:val="00907A73"/>
    <w:rsid w:val="00907AF6"/>
    <w:rsid w:val="00907B2A"/>
    <w:rsid w:val="00907BD5"/>
    <w:rsid w:val="00907D8D"/>
    <w:rsid w:val="00910259"/>
    <w:rsid w:val="00910334"/>
    <w:rsid w:val="009105B9"/>
    <w:rsid w:val="00910682"/>
    <w:rsid w:val="009106D1"/>
    <w:rsid w:val="00910713"/>
    <w:rsid w:val="00910765"/>
    <w:rsid w:val="00910BAD"/>
    <w:rsid w:val="00910C27"/>
    <w:rsid w:val="00910C2B"/>
    <w:rsid w:val="00910D36"/>
    <w:rsid w:val="00910DFE"/>
    <w:rsid w:val="00910E2F"/>
    <w:rsid w:val="009110BA"/>
    <w:rsid w:val="009110D3"/>
    <w:rsid w:val="009111BB"/>
    <w:rsid w:val="00911455"/>
    <w:rsid w:val="0091145F"/>
    <w:rsid w:val="009115ED"/>
    <w:rsid w:val="009116ED"/>
    <w:rsid w:val="00911D10"/>
    <w:rsid w:val="00911DDE"/>
    <w:rsid w:val="00911FE9"/>
    <w:rsid w:val="0091230C"/>
    <w:rsid w:val="00912448"/>
    <w:rsid w:val="009127D5"/>
    <w:rsid w:val="00912890"/>
    <w:rsid w:val="00912916"/>
    <w:rsid w:val="0091292A"/>
    <w:rsid w:val="00912F73"/>
    <w:rsid w:val="00912F86"/>
    <w:rsid w:val="0091321B"/>
    <w:rsid w:val="00913578"/>
    <w:rsid w:val="00913801"/>
    <w:rsid w:val="00913963"/>
    <w:rsid w:val="00913CAD"/>
    <w:rsid w:val="0091458A"/>
    <w:rsid w:val="0091461A"/>
    <w:rsid w:val="009147FE"/>
    <w:rsid w:val="00914A17"/>
    <w:rsid w:val="00914A8A"/>
    <w:rsid w:val="00914ACC"/>
    <w:rsid w:val="00914B14"/>
    <w:rsid w:val="00914BA2"/>
    <w:rsid w:val="00914E02"/>
    <w:rsid w:val="0091500B"/>
    <w:rsid w:val="00915213"/>
    <w:rsid w:val="009152EE"/>
    <w:rsid w:val="009158AF"/>
    <w:rsid w:val="00915A06"/>
    <w:rsid w:val="00915A4B"/>
    <w:rsid w:val="00915AC1"/>
    <w:rsid w:val="00915B48"/>
    <w:rsid w:val="00915D47"/>
    <w:rsid w:val="00915ECC"/>
    <w:rsid w:val="009161CF"/>
    <w:rsid w:val="009164DB"/>
    <w:rsid w:val="0091670F"/>
    <w:rsid w:val="00917021"/>
    <w:rsid w:val="009175D6"/>
    <w:rsid w:val="009177D7"/>
    <w:rsid w:val="00917AFE"/>
    <w:rsid w:val="00917B29"/>
    <w:rsid w:val="00917C82"/>
    <w:rsid w:val="00917D30"/>
    <w:rsid w:val="00917D7B"/>
    <w:rsid w:val="00917F9F"/>
    <w:rsid w:val="009200A6"/>
    <w:rsid w:val="0092020C"/>
    <w:rsid w:val="00920A79"/>
    <w:rsid w:val="00920C31"/>
    <w:rsid w:val="00920C9C"/>
    <w:rsid w:val="00920D37"/>
    <w:rsid w:val="00920FCE"/>
    <w:rsid w:val="0092109F"/>
    <w:rsid w:val="00921112"/>
    <w:rsid w:val="0092131B"/>
    <w:rsid w:val="00921BBF"/>
    <w:rsid w:val="00921C47"/>
    <w:rsid w:val="00921E60"/>
    <w:rsid w:val="00921E77"/>
    <w:rsid w:val="0092252E"/>
    <w:rsid w:val="00922C31"/>
    <w:rsid w:val="00922EA6"/>
    <w:rsid w:val="00922EF0"/>
    <w:rsid w:val="00922F4B"/>
    <w:rsid w:val="00923085"/>
    <w:rsid w:val="0092313A"/>
    <w:rsid w:val="009233F1"/>
    <w:rsid w:val="00923690"/>
    <w:rsid w:val="00923741"/>
    <w:rsid w:val="00923770"/>
    <w:rsid w:val="00923AE1"/>
    <w:rsid w:val="00923BBA"/>
    <w:rsid w:val="00923C85"/>
    <w:rsid w:val="00924480"/>
    <w:rsid w:val="0092450C"/>
    <w:rsid w:val="00924849"/>
    <w:rsid w:val="00924A74"/>
    <w:rsid w:val="00924E59"/>
    <w:rsid w:val="00925042"/>
    <w:rsid w:val="00925202"/>
    <w:rsid w:val="0092532D"/>
    <w:rsid w:val="009256D2"/>
    <w:rsid w:val="00925794"/>
    <w:rsid w:val="009257DD"/>
    <w:rsid w:val="00925BC8"/>
    <w:rsid w:val="00925D28"/>
    <w:rsid w:val="00925D7E"/>
    <w:rsid w:val="00925F0C"/>
    <w:rsid w:val="009260D0"/>
    <w:rsid w:val="00926277"/>
    <w:rsid w:val="00926329"/>
    <w:rsid w:val="009264EE"/>
    <w:rsid w:val="0092652A"/>
    <w:rsid w:val="009265AE"/>
    <w:rsid w:val="00926AB2"/>
    <w:rsid w:val="00926B58"/>
    <w:rsid w:val="00926D51"/>
    <w:rsid w:val="00926D7D"/>
    <w:rsid w:val="00926FAD"/>
    <w:rsid w:val="009270B6"/>
    <w:rsid w:val="009270DA"/>
    <w:rsid w:val="00927167"/>
    <w:rsid w:val="009272AE"/>
    <w:rsid w:val="0092768C"/>
    <w:rsid w:val="00927708"/>
    <w:rsid w:val="00927719"/>
    <w:rsid w:val="00927A54"/>
    <w:rsid w:val="00927B6C"/>
    <w:rsid w:val="0093023A"/>
    <w:rsid w:val="009302EE"/>
    <w:rsid w:val="00930300"/>
    <w:rsid w:val="0093057D"/>
    <w:rsid w:val="00930802"/>
    <w:rsid w:val="00930848"/>
    <w:rsid w:val="0093088E"/>
    <w:rsid w:val="00930C0B"/>
    <w:rsid w:val="00930E52"/>
    <w:rsid w:val="009312F9"/>
    <w:rsid w:val="00931392"/>
    <w:rsid w:val="009314DD"/>
    <w:rsid w:val="0093160C"/>
    <w:rsid w:val="00931661"/>
    <w:rsid w:val="009316D5"/>
    <w:rsid w:val="0093180E"/>
    <w:rsid w:val="0093187A"/>
    <w:rsid w:val="00931977"/>
    <w:rsid w:val="009319D9"/>
    <w:rsid w:val="00931A84"/>
    <w:rsid w:val="00931C0A"/>
    <w:rsid w:val="00931FD6"/>
    <w:rsid w:val="00932115"/>
    <w:rsid w:val="009322AE"/>
    <w:rsid w:val="009326CD"/>
    <w:rsid w:val="00932D71"/>
    <w:rsid w:val="00932F62"/>
    <w:rsid w:val="0093314D"/>
    <w:rsid w:val="00933244"/>
    <w:rsid w:val="00933420"/>
    <w:rsid w:val="00933A51"/>
    <w:rsid w:val="00933CCC"/>
    <w:rsid w:val="00933CDB"/>
    <w:rsid w:val="00933D2C"/>
    <w:rsid w:val="0093426F"/>
    <w:rsid w:val="009345C2"/>
    <w:rsid w:val="009346F0"/>
    <w:rsid w:val="00934A02"/>
    <w:rsid w:val="00934BE8"/>
    <w:rsid w:val="00934C68"/>
    <w:rsid w:val="00934D99"/>
    <w:rsid w:val="00935927"/>
    <w:rsid w:val="00935A5E"/>
    <w:rsid w:val="00935C1E"/>
    <w:rsid w:val="00936136"/>
    <w:rsid w:val="00936279"/>
    <w:rsid w:val="00936785"/>
    <w:rsid w:val="0093681B"/>
    <w:rsid w:val="009369B0"/>
    <w:rsid w:val="00936B1F"/>
    <w:rsid w:val="00936F28"/>
    <w:rsid w:val="009370BD"/>
    <w:rsid w:val="0093711E"/>
    <w:rsid w:val="009372FA"/>
    <w:rsid w:val="009373BB"/>
    <w:rsid w:val="00937471"/>
    <w:rsid w:val="0093758B"/>
    <w:rsid w:val="0093763C"/>
    <w:rsid w:val="00937774"/>
    <w:rsid w:val="00937863"/>
    <w:rsid w:val="0093786A"/>
    <w:rsid w:val="00937AD8"/>
    <w:rsid w:val="00937B08"/>
    <w:rsid w:val="00937E66"/>
    <w:rsid w:val="00940019"/>
    <w:rsid w:val="0094011A"/>
    <w:rsid w:val="00940938"/>
    <w:rsid w:val="00940B90"/>
    <w:rsid w:val="00940FB2"/>
    <w:rsid w:val="009414E3"/>
    <w:rsid w:val="00941692"/>
    <w:rsid w:val="0094188E"/>
    <w:rsid w:val="00941B78"/>
    <w:rsid w:val="00941B7B"/>
    <w:rsid w:val="00941C38"/>
    <w:rsid w:val="00941CFC"/>
    <w:rsid w:val="00941E4F"/>
    <w:rsid w:val="00941E68"/>
    <w:rsid w:val="00941F39"/>
    <w:rsid w:val="0094202A"/>
    <w:rsid w:val="009420D0"/>
    <w:rsid w:val="00942739"/>
    <w:rsid w:val="009429F1"/>
    <w:rsid w:val="00942D28"/>
    <w:rsid w:val="00942D41"/>
    <w:rsid w:val="009431D6"/>
    <w:rsid w:val="00943252"/>
    <w:rsid w:val="0094345F"/>
    <w:rsid w:val="00943653"/>
    <w:rsid w:val="00943AAA"/>
    <w:rsid w:val="00944673"/>
    <w:rsid w:val="00944971"/>
    <w:rsid w:val="009449A9"/>
    <w:rsid w:val="009449D1"/>
    <w:rsid w:val="00944F40"/>
    <w:rsid w:val="00945106"/>
    <w:rsid w:val="0094525F"/>
    <w:rsid w:val="009452FA"/>
    <w:rsid w:val="00945317"/>
    <w:rsid w:val="009456F1"/>
    <w:rsid w:val="009459CB"/>
    <w:rsid w:val="00945C50"/>
    <w:rsid w:val="00945CC0"/>
    <w:rsid w:val="00945F6D"/>
    <w:rsid w:val="00946322"/>
    <w:rsid w:val="00946618"/>
    <w:rsid w:val="00946CDA"/>
    <w:rsid w:val="009470DE"/>
    <w:rsid w:val="009474E0"/>
    <w:rsid w:val="0094752F"/>
    <w:rsid w:val="0094762A"/>
    <w:rsid w:val="00947672"/>
    <w:rsid w:val="00947704"/>
    <w:rsid w:val="009478BC"/>
    <w:rsid w:val="00947976"/>
    <w:rsid w:val="00947A74"/>
    <w:rsid w:val="00947F2A"/>
    <w:rsid w:val="00947F32"/>
    <w:rsid w:val="009500C2"/>
    <w:rsid w:val="009500DC"/>
    <w:rsid w:val="00950300"/>
    <w:rsid w:val="00950357"/>
    <w:rsid w:val="0095037F"/>
    <w:rsid w:val="00950797"/>
    <w:rsid w:val="00950809"/>
    <w:rsid w:val="0095094A"/>
    <w:rsid w:val="00950A4F"/>
    <w:rsid w:val="00950C60"/>
    <w:rsid w:val="0095109F"/>
    <w:rsid w:val="00951434"/>
    <w:rsid w:val="00951458"/>
    <w:rsid w:val="009515A0"/>
    <w:rsid w:val="0095165C"/>
    <w:rsid w:val="00951783"/>
    <w:rsid w:val="009517F8"/>
    <w:rsid w:val="00951AD1"/>
    <w:rsid w:val="00951AE6"/>
    <w:rsid w:val="00951B84"/>
    <w:rsid w:val="00951F74"/>
    <w:rsid w:val="00952258"/>
    <w:rsid w:val="009527C4"/>
    <w:rsid w:val="00952B76"/>
    <w:rsid w:val="009532EA"/>
    <w:rsid w:val="00953879"/>
    <w:rsid w:val="009540C9"/>
    <w:rsid w:val="0095474C"/>
    <w:rsid w:val="00954B05"/>
    <w:rsid w:val="00954BAB"/>
    <w:rsid w:val="00954DEB"/>
    <w:rsid w:val="00954FC5"/>
    <w:rsid w:val="00955268"/>
    <w:rsid w:val="00955832"/>
    <w:rsid w:val="00955B45"/>
    <w:rsid w:val="00955B91"/>
    <w:rsid w:val="00955C48"/>
    <w:rsid w:val="00955D7C"/>
    <w:rsid w:val="00955DA0"/>
    <w:rsid w:val="00955E6B"/>
    <w:rsid w:val="00955EF7"/>
    <w:rsid w:val="009564D5"/>
    <w:rsid w:val="00956706"/>
    <w:rsid w:val="00956A5F"/>
    <w:rsid w:val="00956D39"/>
    <w:rsid w:val="00956DE3"/>
    <w:rsid w:val="00957071"/>
    <w:rsid w:val="00957160"/>
    <w:rsid w:val="0095724F"/>
    <w:rsid w:val="0095735B"/>
    <w:rsid w:val="0095775A"/>
    <w:rsid w:val="00957AD3"/>
    <w:rsid w:val="00957ADD"/>
    <w:rsid w:val="00957B5B"/>
    <w:rsid w:val="00957D1F"/>
    <w:rsid w:val="00957E8D"/>
    <w:rsid w:val="00960111"/>
    <w:rsid w:val="00960148"/>
    <w:rsid w:val="00960281"/>
    <w:rsid w:val="0096072D"/>
    <w:rsid w:val="00960986"/>
    <w:rsid w:val="00960B23"/>
    <w:rsid w:val="00960DBF"/>
    <w:rsid w:val="00960F01"/>
    <w:rsid w:val="009610A5"/>
    <w:rsid w:val="0096139F"/>
    <w:rsid w:val="009614AE"/>
    <w:rsid w:val="00961889"/>
    <w:rsid w:val="009619B0"/>
    <w:rsid w:val="00961BE8"/>
    <w:rsid w:val="00961F83"/>
    <w:rsid w:val="00961FDE"/>
    <w:rsid w:val="00961FF2"/>
    <w:rsid w:val="00962138"/>
    <w:rsid w:val="00962261"/>
    <w:rsid w:val="00962605"/>
    <w:rsid w:val="0096264E"/>
    <w:rsid w:val="0096295F"/>
    <w:rsid w:val="009629F1"/>
    <w:rsid w:val="00962E68"/>
    <w:rsid w:val="00962FB8"/>
    <w:rsid w:val="0096301E"/>
    <w:rsid w:val="009630A9"/>
    <w:rsid w:val="009630C5"/>
    <w:rsid w:val="009631B9"/>
    <w:rsid w:val="0096336E"/>
    <w:rsid w:val="00963769"/>
    <w:rsid w:val="00963799"/>
    <w:rsid w:val="009637BB"/>
    <w:rsid w:val="0096396D"/>
    <w:rsid w:val="00963D9B"/>
    <w:rsid w:val="00963F67"/>
    <w:rsid w:val="00964187"/>
    <w:rsid w:val="009645E5"/>
    <w:rsid w:val="00964DEC"/>
    <w:rsid w:val="00964F25"/>
    <w:rsid w:val="00965421"/>
    <w:rsid w:val="0096563B"/>
    <w:rsid w:val="00965650"/>
    <w:rsid w:val="00965946"/>
    <w:rsid w:val="00965CC3"/>
    <w:rsid w:val="00965F39"/>
    <w:rsid w:val="00965FA6"/>
    <w:rsid w:val="0096603E"/>
    <w:rsid w:val="00966067"/>
    <w:rsid w:val="00966174"/>
    <w:rsid w:val="00966263"/>
    <w:rsid w:val="00966746"/>
    <w:rsid w:val="009669B8"/>
    <w:rsid w:val="00966BC0"/>
    <w:rsid w:val="00966D52"/>
    <w:rsid w:val="00966EF3"/>
    <w:rsid w:val="00967114"/>
    <w:rsid w:val="009671C8"/>
    <w:rsid w:val="00967255"/>
    <w:rsid w:val="0096741A"/>
    <w:rsid w:val="0096744B"/>
    <w:rsid w:val="009674A6"/>
    <w:rsid w:val="009676FF"/>
    <w:rsid w:val="00967ADD"/>
    <w:rsid w:val="00967ADF"/>
    <w:rsid w:val="00967B00"/>
    <w:rsid w:val="00967CC7"/>
    <w:rsid w:val="00970006"/>
    <w:rsid w:val="0097002F"/>
    <w:rsid w:val="0097008B"/>
    <w:rsid w:val="0097016F"/>
    <w:rsid w:val="009701B4"/>
    <w:rsid w:val="009704B5"/>
    <w:rsid w:val="009704F8"/>
    <w:rsid w:val="009706E8"/>
    <w:rsid w:val="0097076F"/>
    <w:rsid w:val="009707A3"/>
    <w:rsid w:val="009707B3"/>
    <w:rsid w:val="009708D1"/>
    <w:rsid w:val="009708F0"/>
    <w:rsid w:val="00970E85"/>
    <w:rsid w:val="00970F83"/>
    <w:rsid w:val="00970FF3"/>
    <w:rsid w:val="009710FE"/>
    <w:rsid w:val="00971191"/>
    <w:rsid w:val="0097126A"/>
    <w:rsid w:val="009714FB"/>
    <w:rsid w:val="009715A6"/>
    <w:rsid w:val="009716BD"/>
    <w:rsid w:val="0097175C"/>
    <w:rsid w:val="009717CC"/>
    <w:rsid w:val="009719B3"/>
    <w:rsid w:val="00971C2F"/>
    <w:rsid w:val="00971C47"/>
    <w:rsid w:val="00971E09"/>
    <w:rsid w:val="00971F6E"/>
    <w:rsid w:val="00972587"/>
    <w:rsid w:val="0097265B"/>
    <w:rsid w:val="00972AD7"/>
    <w:rsid w:val="00972F0A"/>
    <w:rsid w:val="00973223"/>
    <w:rsid w:val="0097379D"/>
    <w:rsid w:val="009737C2"/>
    <w:rsid w:val="00973A8A"/>
    <w:rsid w:val="00973B01"/>
    <w:rsid w:val="00973C1D"/>
    <w:rsid w:val="00973DBC"/>
    <w:rsid w:val="00973DE0"/>
    <w:rsid w:val="009742E5"/>
    <w:rsid w:val="00974501"/>
    <w:rsid w:val="00974559"/>
    <w:rsid w:val="009747E7"/>
    <w:rsid w:val="00974824"/>
    <w:rsid w:val="00974949"/>
    <w:rsid w:val="00974A1D"/>
    <w:rsid w:val="00974AE3"/>
    <w:rsid w:val="00974CDE"/>
    <w:rsid w:val="00974DCD"/>
    <w:rsid w:val="00975325"/>
    <w:rsid w:val="00975572"/>
    <w:rsid w:val="00975C33"/>
    <w:rsid w:val="00975D83"/>
    <w:rsid w:val="00975E48"/>
    <w:rsid w:val="00975FD3"/>
    <w:rsid w:val="009761A7"/>
    <w:rsid w:val="00976319"/>
    <w:rsid w:val="00976397"/>
    <w:rsid w:val="009764D4"/>
    <w:rsid w:val="009764EA"/>
    <w:rsid w:val="0097655E"/>
    <w:rsid w:val="009767EB"/>
    <w:rsid w:val="009768E0"/>
    <w:rsid w:val="00976EC8"/>
    <w:rsid w:val="009770E4"/>
    <w:rsid w:val="0097718A"/>
    <w:rsid w:val="00977293"/>
    <w:rsid w:val="00977320"/>
    <w:rsid w:val="009773C8"/>
    <w:rsid w:val="00977C74"/>
    <w:rsid w:val="00977DC9"/>
    <w:rsid w:val="009801F1"/>
    <w:rsid w:val="0098041B"/>
    <w:rsid w:val="009804A7"/>
    <w:rsid w:val="00980535"/>
    <w:rsid w:val="0098075C"/>
    <w:rsid w:val="00980B12"/>
    <w:rsid w:val="00980E06"/>
    <w:rsid w:val="00980F4F"/>
    <w:rsid w:val="00980FD2"/>
    <w:rsid w:val="00981159"/>
    <w:rsid w:val="0098134E"/>
    <w:rsid w:val="009813C1"/>
    <w:rsid w:val="00981646"/>
    <w:rsid w:val="00981785"/>
    <w:rsid w:val="0098183F"/>
    <w:rsid w:val="00981C30"/>
    <w:rsid w:val="00981CC8"/>
    <w:rsid w:val="00981DE7"/>
    <w:rsid w:val="0098237E"/>
    <w:rsid w:val="00982401"/>
    <w:rsid w:val="00982423"/>
    <w:rsid w:val="009828D3"/>
    <w:rsid w:val="00982935"/>
    <w:rsid w:val="00982938"/>
    <w:rsid w:val="00982A89"/>
    <w:rsid w:val="00982CF9"/>
    <w:rsid w:val="00983023"/>
    <w:rsid w:val="0098314E"/>
    <w:rsid w:val="0098318A"/>
    <w:rsid w:val="00983488"/>
    <w:rsid w:val="009834D2"/>
    <w:rsid w:val="009836CF"/>
    <w:rsid w:val="009841EE"/>
    <w:rsid w:val="00984553"/>
    <w:rsid w:val="00984675"/>
    <w:rsid w:val="009848A4"/>
    <w:rsid w:val="00984972"/>
    <w:rsid w:val="00984CFB"/>
    <w:rsid w:val="00984FCC"/>
    <w:rsid w:val="0098526F"/>
    <w:rsid w:val="009852C3"/>
    <w:rsid w:val="0098531D"/>
    <w:rsid w:val="00985671"/>
    <w:rsid w:val="0098588D"/>
    <w:rsid w:val="00985949"/>
    <w:rsid w:val="00985B5E"/>
    <w:rsid w:val="00985D2C"/>
    <w:rsid w:val="00985DB5"/>
    <w:rsid w:val="00985F8D"/>
    <w:rsid w:val="00985F8F"/>
    <w:rsid w:val="00986270"/>
    <w:rsid w:val="009867BF"/>
    <w:rsid w:val="009867C4"/>
    <w:rsid w:val="00986BB7"/>
    <w:rsid w:val="00986C18"/>
    <w:rsid w:val="00986C4D"/>
    <w:rsid w:val="00986E2B"/>
    <w:rsid w:val="00986F3A"/>
    <w:rsid w:val="00986F7A"/>
    <w:rsid w:val="00987114"/>
    <w:rsid w:val="0098730A"/>
    <w:rsid w:val="00987329"/>
    <w:rsid w:val="0098758E"/>
    <w:rsid w:val="00987647"/>
    <w:rsid w:val="00987726"/>
    <w:rsid w:val="00987D61"/>
    <w:rsid w:val="00987F1B"/>
    <w:rsid w:val="00987F6F"/>
    <w:rsid w:val="009902FF"/>
    <w:rsid w:val="0099066B"/>
    <w:rsid w:val="00990838"/>
    <w:rsid w:val="0099096C"/>
    <w:rsid w:val="00990EB6"/>
    <w:rsid w:val="00990EC0"/>
    <w:rsid w:val="00990EE8"/>
    <w:rsid w:val="009911FF"/>
    <w:rsid w:val="009914FD"/>
    <w:rsid w:val="00991DF8"/>
    <w:rsid w:val="00992122"/>
    <w:rsid w:val="009921E1"/>
    <w:rsid w:val="00992433"/>
    <w:rsid w:val="0099248A"/>
    <w:rsid w:val="0099251E"/>
    <w:rsid w:val="00992A3B"/>
    <w:rsid w:val="00993047"/>
    <w:rsid w:val="00993182"/>
    <w:rsid w:val="00993541"/>
    <w:rsid w:val="009935A4"/>
    <w:rsid w:val="00993BC2"/>
    <w:rsid w:val="00993CE4"/>
    <w:rsid w:val="00993E2E"/>
    <w:rsid w:val="00993E3C"/>
    <w:rsid w:val="0099456F"/>
    <w:rsid w:val="009945A7"/>
    <w:rsid w:val="009945E7"/>
    <w:rsid w:val="009946D2"/>
    <w:rsid w:val="00994B33"/>
    <w:rsid w:val="00994BC5"/>
    <w:rsid w:val="00994DBD"/>
    <w:rsid w:val="00994EAC"/>
    <w:rsid w:val="009955EC"/>
    <w:rsid w:val="00995669"/>
    <w:rsid w:val="009957BF"/>
    <w:rsid w:val="009958E1"/>
    <w:rsid w:val="009959AD"/>
    <w:rsid w:val="00995C02"/>
    <w:rsid w:val="00995F79"/>
    <w:rsid w:val="00996063"/>
    <w:rsid w:val="00996238"/>
    <w:rsid w:val="00996897"/>
    <w:rsid w:val="00996AE7"/>
    <w:rsid w:val="00996DF4"/>
    <w:rsid w:val="00996E10"/>
    <w:rsid w:val="00996E70"/>
    <w:rsid w:val="0099707E"/>
    <w:rsid w:val="0099713B"/>
    <w:rsid w:val="0099737D"/>
    <w:rsid w:val="009973A6"/>
    <w:rsid w:val="009974EC"/>
    <w:rsid w:val="009978AD"/>
    <w:rsid w:val="009978CB"/>
    <w:rsid w:val="00997DFA"/>
    <w:rsid w:val="00997E55"/>
    <w:rsid w:val="00997ED5"/>
    <w:rsid w:val="009A00C7"/>
    <w:rsid w:val="009A013E"/>
    <w:rsid w:val="009A01FB"/>
    <w:rsid w:val="009A0381"/>
    <w:rsid w:val="009A03F8"/>
    <w:rsid w:val="009A0656"/>
    <w:rsid w:val="009A0798"/>
    <w:rsid w:val="009A0911"/>
    <w:rsid w:val="009A1217"/>
    <w:rsid w:val="009A136B"/>
    <w:rsid w:val="009A13DF"/>
    <w:rsid w:val="009A146C"/>
    <w:rsid w:val="009A14A8"/>
    <w:rsid w:val="009A15AB"/>
    <w:rsid w:val="009A15D8"/>
    <w:rsid w:val="009A162B"/>
    <w:rsid w:val="009A1775"/>
    <w:rsid w:val="009A1807"/>
    <w:rsid w:val="009A1953"/>
    <w:rsid w:val="009A1A18"/>
    <w:rsid w:val="009A1A78"/>
    <w:rsid w:val="009A1C26"/>
    <w:rsid w:val="009A1F35"/>
    <w:rsid w:val="009A20EC"/>
    <w:rsid w:val="009A2216"/>
    <w:rsid w:val="009A228C"/>
    <w:rsid w:val="009A23CD"/>
    <w:rsid w:val="009A25D4"/>
    <w:rsid w:val="009A2841"/>
    <w:rsid w:val="009A28EA"/>
    <w:rsid w:val="009A2EB9"/>
    <w:rsid w:val="009A3021"/>
    <w:rsid w:val="009A338B"/>
    <w:rsid w:val="009A361C"/>
    <w:rsid w:val="009A3CCA"/>
    <w:rsid w:val="009A4270"/>
    <w:rsid w:val="009A4522"/>
    <w:rsid w:val="009A4938"/>
    <w:rsid w:val="009A498E"/>
    <w:rsid w:val="009A523D"/>
    <w:rsid w:val="009A5440"/>
    <w:rsid w:val="009A54F1"/>
    <w:rsid w:val="009A56A0"/>
    <w:rsid w:val="009A56E1"/>
    <w:rsid w:val="009A5AC7"/>
    <w:rsid w:val="009A5B29"/>
    <w:rsid w:val="009A5D80"/>
    <w:rsid w:val="009A6207"/>
    <w:rsid w:val="009A6283"/>
    <w:rsid w:val="009A66BC"/>
    <w:rsid w:val="009A6E0B"/>
    <w:rsid w:val="009A6E47"/>
    <w:rsid w:val="009A6EE4"/>
    <w:rsid w:val="009A6EFB"/>
    <w:rsid w:val="009A6F13"/>
    <w:rsid w:val="009A707B"/>
    <w:rsid w:val="009A71D6"/>
    <w:rsid w:val="009A7570"/>
    <w:rsid w:val="009A78E8"/>
    <w:rsid w:val="009A796A"/>
    <w:rsid w:val="009A7A1F"/>
    <w:rsid w:val="009A7AA0"/>
    <w:rsid w:val="009A7C70"/>
    <w:rsid w:val="009B0079"/>
    <w:rsid w:val="009B060E"/>
    <w:rsid w:val="009B06A9"/>
    <w:rsid w:val="009B094B"/>
    <w:rsid w:val="009B099A"/>
    <w:rsid w:val="009B0A00"/>
    <w:rsid w:val="009B0DE9"/>
    <w:rsid w:val="009B1053"/>
    <w:rsid w:val="009B1176"/>
    <w:rsid w:val="009B119B"/>
    <w:rsid w:val="009B1768"/>
    <w:rsid w:val="009B1957"/>
    <w:rsid w:val="009B1D85"/>
    <w:rsid w:val="009B1EE9"/>
    <w:rsid w:val="009B21C5"/>
    <w:rsid w:val="009B25F1"/>
    <w:rsid w:val="009B278E"/>
    <w:rsid w:val="009B2D58"/>
    <w:rsid w:val="009B2F93"/>
    <w:rsid w:val="009B309B"/>
    <w:rsid w:val="009B315C"/>
    <w:rsid w:val="009B32F1"/>
    <w:rsid w:val="009B3594"/>
    <w:rsid w:val="009B35D1"/>
    <w:rsid w:val="009B365B"/>
    <w:rsid w:val="009B3700"/>
    <w:rsid w:val="009B37E6"/>
    <w:rsid w:val="009B391F"/>
    <w:rsid w:val="009B39E2"/>
    <w:rsid w:val="009B3ADD"/>
    <w:rsid w:val="009B3B19"/>
    <w:rsid w:val="009B3F77"/>
    <w:rsid w:val="009B4090"/>
    <w:rsid w:val="009B40D0"/>
    <w:rsid w:val="009B4288"/>
    <w:rsid w:val="009B455C"/>
    <w:rsid w:val="009B45EA"/>
    <w:rsid w:val="009B46F6"/>
    <w:rsid w:val="009B4983"/>
    <w:rsid w:val="009B4BC7"/>
    <w:rsid w:val="009B50B9"/>
    <w:rsid w:val="009B54CF"/>
    <w:rsid w:val="009B55B5"/>
    <w:rsid w:val="009B55C5"/>
    <w:rsid w:val="009B589F"/>
    <w:rsid w:val="009B5BE6"/>
    <w:rsid w:val="009B6493"/>
    <w:rsid w:val="009B6739"/>
    <w:rsid w:val="009B6807"/>
    <w:rsid w:val="009B697C"/>
    <w:rsid w:val="009B69D8"/>
    <w:rsid w:val="009B6C6C"/>
    <w:rsid w:val="009B6CF7"/>
    <w:rsid w:val="009B6D64"/>
    <w:rsid w:val="009B6F0F"/>
    <w:rsid w:val="009B6FE4"/>
    <w:rsid w:val="009B7039"/>
    <w:rsid w:val="009B7115"/>
    <w:rsid w:val="009B7521"/>
    <w:rsid w:val="009B7706"/>
    <w:rsid w:val="009B772A"/>
    <w:rsid w:val="009B7F00"/>
    <w:rsid w:val="009C0245"/>
    <w:rsid w:val="009C0334"/>
    <w:rsid w:val="009C058B"/>
    <w:rsid w:val="009C0658"/>
    <w:rsid w:val="009C0AEB"/>
    <w:rsid w:val="009C0B1D"/>
    <w:rsid w:val="009C0F2B"/>
    <w:rsid w:val="009C11EB"/>
    <w:rsid w:val="009C126D"/>
    <w:rsid w:val="009C14D1"/>
    <w:rsid w:val="009C163F"/>
    <w:rsid w:val="009C16CD"/>
    <w:rsid w:val="009C192B"/>
    <w:rsid w:val="009C1B68"/>
    <w:rsid w:val="009C1DF2"/>
    <w:rsid w:val="009C1F24"/>
    <w:rsid w:val="009C24AC"/>
    <w:rsid w:val="009C2904"/>
    <w:rsid w:val="009C2B25"/>
    <w:rsid w:val="009C2CDF"/>
    <w:rsid w:val="009C2D72"/>
    <w:rsid w:val="009C2DBA"/>
    <w:rsid w:val="009C2F9E"/>
    <w:rsid w:val="009C2FEF"/>
    <w:rsid w:val="009C30E5"/>
    <w:rsid w:val="009C315F"/>
    <w:rsid w:val="009C31D3"/>
    <w:rsid w:val="009C34DC"/>
    <w:rsid w:val="009C34F5"/>
    <w:rsid w:val="009C37FF"/>
    <w:rsid w:val="009C3B50"/>
    <w:rsid w:val="009C3BCB"/>
    <w:rsid w:val="009C3D31"/>
    <w:rsid w:val="009C3F35"/>
    <w:rsid w:val="009C407D"/>
    <w:rsid w:val="009C408C"/>
    <w:rsid w:val="009C426C"/>
    <w:rsid w:val="009C4362"/>
    <w:rsid w:val="009C4523"/>
    <w:rsid w:val="009C4B4B"/>
    <w:rsid w:val="009C4E77"/>
    <w:rsid w:val="009C5047"/>
    <w:rsid w:val="009C529F"/>
    <w:rsid w:val="009C54C5"/>
    <w:rsid w:val="009C5600"/>
    <w:rsid w:val="009C56FC"/>
    <w:rsid w:val="009C57FB"/>
    <w:rsid w:val="009C5914"/>
    <w:rsid w:val="009C59CF"/>
    <w:rsid w:val="009C5C36"/>
    <w:rsid w:val="009C5E1A"/>
    <w:rsid w:val="009C6018"/>
    <w:rsid w:val="009C637A"/>
    <w:rsid w:val="009C64BB"/>
    <w:rsid w:val="009C66A9"/>
    <w:rsid w:val="009C69CE"/>
    <w:rsid w:val="009C6A2E"/>
    <w:rsid w:val="009C7230"/>
    <w:rsid w:val="009C73F4"/>
    <w:rsid w:val="009C74DE"/>
    <w:rsid w:val="009C75FE"/>
    <w:rsid w:val="009C77A5"/>
    <w:rsid w:val="009C78B1"/>
    <w:rsid w:val="009C7A8B"/>
    <w:rsid w:val="009C7F22"/>
    <w:rsid w:val="009C7F6B"/>
    <w:rsid w:val="009D027A"/>
    <w:rsid w:val="009D036E"/>
    <w:rsid w:val="009D0726"/>
    <w:rsid w:val="009D0BA5"/>
    <w:rsid w:val="009D0CA8"/>
    <w:rsid w:val="009D10A6"/>
    <w:rsid w:val="009D1141"/>
    <w:rsid w:val="009D149E"/>
    <w:rsid w:val="009D16D5"/>
    <w:rsid w:val="009D1B7E"/>
    <w:rsid w:val="009D1CBA"/>
    <w:rsid w:val="009D1D95"/>
    <w:rsid w:val="009D21AC"/>
    <w:rsid w:val="009D2287"/>
    <w:rsid w:val="009D244D"/>
    <w:rsid w:val="009D2642"/>
    <w:rsid w:val="009D2668"/>
    <w:rsid w:val="009D293E"/>
    <w:rsid w:val="009D2A95"/>
    <w:rsid w:val="009D2CEE"/>
    <w:rsid w:val="009D2D1D"/>
    <w:rsid w:val="009D2FAB"/>
    <w:rsid w:val="009D3091"/>
    <w:rsid w:val="009D3202"/>
    <w:rsid w:val="009D3708"/>
    <w:rsid w:val="009D3930"/>
    <w:rsid w:val="009D3953"/>
    <w:rsid w:val="009D396D"/>
    <w:rsid w:val="009D3B2D"/>
    <w:rsid w:val="009D3F95"/>
    <w:rsid w:val="009D3FA4"/>
    <w:rsid w:val="009D3FD4"/>
    <w:rsid w:val="009D4045"/>
    <w:rsid w:val="009D4458"/>
    <w:rsid w:val="009D456F"/>
    <w:rsid w:val="009D4B92"/>
    <w:rsid w:val="009D5105"/>
    <w:rsid w:val="009D51DB"/>
    <w:rsid w:val="009D52CF"/>
    <w:rsid w:val="009D54EC"/>
    <w:rsid w:val="009D5C4A"/>
    <w:rsid w:val="009D5D29"/>
    <w:rsid w:val="009D62B8"/>
    <w:rsid w:val="009D6A9B"/>
    <w:rsid w:val="009D6D5D"/>
    <w:rsid w:val="009D6E55"/>
    <w:rsid w:val="009D70E3"/>
    <w:rsid w:val="009D7261"/>
    <w:rsid w:val="009D7371"/>
    <w:rsid w:val="009D7961"/>
    <w:rsid w:val="009D7A49"/>
    <w:rsid w:val="009D7A91"/>
    <w:rsid w:val="009D7FAC"/>
    <w:rsid w:val="009D7FF1"/>
    <w:rsid w:val="009E00AF"/>
    <w:rsid w:val="009E00F1"/>
    <w:rsid w:val="009E013A"/>
    <w:rsid w:val="009E0790"/>
    <w:rsid w:val="009E08CC"/>
    <w:rsid w:val="009E0ACB"/>
    <w:rsid w:val="009E0D5E"/>
    <w:rsid w:val="009E1106"/>
    <w:rsid w:val="009E1342"/>
    <w:rsid w:val="009E151C"/>
    <w:rsid w:val="009E1527"/>
    <w:rsid w:val="009E16B3"/>
    <w:rsid w:val="009E173A"/>
    <w:rsid w:val="009E17A9"/>
    <w:rsid w:val="009E1977"/>
    <w:rsid w:val="009E1986"/>
    <w:rsid w:val="009E1AB4"/>
    <w:rsid w:val="009E1AE8"/>
    <w:rsid w:val="009E1BC5"/>
    <w:rsid w:val="009E1EA5"/>
    <w:rsid w:val="009E225B"/>
    <w:rsid w:val="009E2386"/>
    <w:rsid w:val="009E24D1"/>
    <w:rsid w:val="009E24EF"/>
    <w:rsid w:val="009E2563"/>
    <w:rsid w:val="009E260E"/>
    <w:rsid w:val="009E27D2"/>
    <w:rsid w:val="009E28A9"/>
    <w:rsid w:val="009E2B60"/>
    <w:rsid w:val="009E2D3C"/>
    <w:rsid w:val="009E2E9E"/>
    <w:rsid w:val="009E2FF2"/>
    <w:rsid w:val="009E354D"/>
    <w:rsid w:val="009E3570"/>
    <w:rsid w:val="009E3673"/>
    <w:rsid w:val="009E36AB"/>
    <w:rsid w:val="009E37CD"/>
    <w:rsid w:val="009E3C7D"/>
    <w:rsid w:val="009E4377"/>
    <w:rsid w:val="009E4452"/>
    <w:rsid w:val="009E45BA"/>
    <w:rsid w:val="009E464A"/>
    <w:rsid w:val="009E48C8"/>
    <w:rsid w:val="009E4900"/>
    <w:rsid w:val="009E4A13"/>
    <w:rsid w:val="009E4D68"/>
    <w:rsid w:val="009E4FA5"/>
    <w:rsid w:val="009E4FDB"/>
    <w:rsid w:val="009E5247"/>
    <w:rsid w:val="009E52BB"/>
    <w:rsid w:val="009E572E"/>
    <w:rsid w:val="009E5BEA"/>
    <w:rsid w:val="009E5D05"/>
    <w:rsid w:val="009E61FF"/>
    <w:rsid w:val="009E6242"/>
    <w:rsid w:val="009E663E"/>
    <w:rsid w:val="009E6872"/>
    <w:rsid w:val="009E69B8"/>
    <w:rsid w:val="009E6C40"/>
    <w:rsid w:val="009E6CA1"/>
    <w:rsid w:val="009E6D6C"/>
    <w:rsid w:val="009E6EA9"/>
    <w:rsid w:val="009E6EF5"/>
    <w:rsid w:val="009E7099"/>
    <w:rsid w:val="009E7162"/>
    <w:rsid w:val="009E7376"/>
    <w:rsid w:val="009E7393"/>
    <w:rsid w:val="009E7456"/>
    <w:rsid w:val="009E757F"/>
    <w:rsid w:val="009E770D"/>
    <w:rsid w:val="009E77DF"/>
    <w:rsid w:val="009E77F3"/>
    <w:rsid w:val="009E793B"/>
    <w:rsid w:val="009E79EC"/>
    <w:rsid w:val="009E7ADF"/>
    <w:rsid w:val="009E7D40"/>
    <w:rsid w:val="009E7EDD"/>
    <w:rsid w:val="009F01BF"/>
    <w:rsid w:val="009F040A"/>
    <w:rsid w:val="009F0506"/>
    <w:rsid w:val="009F07B1"/>
    <w:rsid w:val="009F07D0"/>
    <w:rsid w:val="009F0C30"/>
    <w:rsid w:val="009F0F76"/>
    <w:rsid w:val="009F0FB8"/>
    <w:rsid w:val="009F15FE"/>
    <w:rsid w:val="009F165D"/>
    <w:rsid w:val="009F1714"/>
    <w:rsid w:val="009F1854"/>
    <w:rsid w:val="009F19BF"/>
    <w:rsid w:val="009F1B4C"/>
    <w:rsid w:val="009F1D61"/>
    <w:rsid w:val="009F22BF"/>
    <w:rsid w:val="009F2602"/>
    <w:rsid w:val="009F2642"/>
    <w:rsid w:val="009F2657"/>
    <w:rsid w:val="009F26AB"/>
    <w:rsid w:val="009F27AD"/>
    <w:rsid w:val="009F27FC"/>
    <w:rsid w:val="009F280A"/>
    <w:rsid w:val="009F2D68"/>
    <w:rsid w:val="009F2D97"/>
    <w:rsid w:val="009F2DFE"/>
    <w:rsid w:val="009F326F"/>
    <w:rsid w:val="009F32D2"/>
    <w:rsid w:val="009F35E9"/>
    <w:rsid w:val="009F3704"/>
    <w:rsid w:val="009F3763"/>
    <w:rsid w:val="009F39EF"/>
    <w:rsid w:val="009F4296"/>
    <w:rsid w:val="009F42B4"/>
    <w:rsid w:val="009F4719"/>
    <w:rsid w:val="009F4721"/>
    <w:rsid w:val="009F4992"/>
    <w:rsid w:val="009F49F4"/>
    <w:rsid w:val="009F4ACC"/>
    <w:rsid w:val="009F4D39"/>
    <w:rsid w:val="009F4E3F"/>
    <w:rsid w:val="009F5201"/>
    <w:rsid w:val="009F52B1"/>
    <w:rsid w:val="009F52FA"/>
    <w:rsid w:val="009F53B8"/>
    <w:rsid w:val="009F53EA"/>
    <w:rsid w:val="009F54CA"/>
    <w:rsid w:val="009F56E1"/>
    <w:rsid w:val="009F5A1E"/>
    <w:rsid w:val="009F5A24"/>
    <w:rsid w:val="009F5B92"/>
    <w:rsid w:val="009F5BD5"/>
    <w:rsid w:val="009F5C15"/>
    <w:rsid w:val="009F5DDF"/>
    <w:rsid w:val="009F639C"/>
    <w:rsid w:val="009F6563"/>
    <w:rsid w:val="009F68C9"/>
    <w:rsid w:val="009F6A0B"/>
    <w:rsid w:val="009F6B22"/>
    <w:rsid w:val="009F6D6E"/>
    <w:rsid w:val="009F6DE8"/>
    <w:rsid w:val="009F6FC1"/>
    <w:rsid w:val="009F771F"/>
    <w:rsid w:val="009F7A2B"/>
    <w:rsid w:val="009F7E90"/>
    <w:rsid w:val="00A00260"/>
    <w:rsid w:val="00A002D0"/>
    <w:rsid w:val="00A00502"/>
    <w:rsid w:val="00A0076D"/>
    <w:rsid w:val="00A00A0C"/>
    <w:rsid w:val="00A00DB4"/>
    <w:rsid w:val="00A00F8A"/>
    <w:rsid w:val="00A01074"/>
    <w:rsid w:val="00A01188"/>
    <w:rsid w:val="00A015D0"/>
    <w:rsid w:val="00A0167B"/>
    <w:rsid w:val="00A017DD"/>
    <w:rsid w:val="00A01822"/>
    <w:rsid w:val="00A018E6"/>
    <w:rsid w:val="00A01D77"/>
    <w:rsid w:val="00A01DF5"/>
    <w:rsid w:val="00A01E17"/>
    <w:rsid w:val="00A0209A"/>
    <w:rsid w:val="00A022F7"/>
    <w:rsid w:val="00A0242A"/>
    <w:rsid w:val="00A02803"/>
    <w:rsid w:val="00A02A95"/>
    <w:rsid w:val="00A02F86"/>
    <w:rsid w:val="00A02FB3"/>
    <w:rsid w:val="00A0311A"/>
    <w:rsid w:val="00A032B6"/>
    <w:rsid w:val="00A032D5"/>
    <w:rsid w:val="00A032E9"/>
    <w:rsid w:val="00A039D5"/>
    <w:rsid w:val="00A03C80"/>
    <w:rsid w:val="00A040DD"/>
    <w:rsid w:val="00A0420F"/>
    <w:rsid w:val="00A0468E"/>
    <w:rsid w:val="00A047BC"/>
    <w:rsid w:val="00A04915"/>
    <w:rsid w:val="00A04CFC"/>
    <w:rsid w:val="00A05353"/>
    <w:rsid w:val="00A05952"/>
    <w:rsid w:val="00A05971"/>
    <w:rsid w:val="00A05CB9"/>
    <w:rsid w:val="00A05EB2"/>
    <w:rsid w:val="00A05F9D"/>
    <w:rsid w:val="00A0642E"/>
    <w:rsid w:val="00A066FC"/>
    <w:rsid w:val="00A0679D"/>
    <w:rsid w:val="00A06A00"/>
    <w:rsid w:val="00A06B2B"/>
    <w:rsid w:val="00A06C6F"/>
    <w:rsid w:val="00A074DF"/>
    <w:rsid w:val="00A0762D"/>
    <w:rsid w:val="00A07796"/>
    <w:rsid w:val="00A07D7A"/>
    <w:rsid w:val="00A07D9E"/>
    <w:rsid w:val="00A1013D"/>
    <w:rsid w:val="00A101FB"/>
    <w:rsid w:val="00A103FC"/>
    <w:rsid w:val="00A108B2"/>
    <w:rsid w:val="00A108EE"/>
    <w:rsid w:val="00A10E6E"/>
    <w:rsid w:val="00A10F98"/>
    <w:rsid w:val="00A111D4"/>
    <w:rsid w:val="00A114F5"/>
    <w:rsid w:val="00A115F4"/>
    <w:rsid w:val="00A1162E"/>
    <w:rsid w:val="00A11775"/>
    <w:rsid w:val="00A119FE"/>
    <w:rsid w:val="00A11A87"/>
    <w:rsid w:val="00A11ACF"/>
    <w:rsid w:val="00A11BF7"/>
    <w:rsid w:val="00A11C5A"/>
    <w:rsid w:val="00A11C7B"/>
    <w:rsid w:val="00A11E33"/>
    <w:rsid w:val="00A123E2"/>
    <w:rsid w:val="00A1261F"/>
    <w:rsid w:val="00A12845"/>
    <w:rsid w:val="00A1292C"/>
    <w:rsid w:val="00A12B9A"/>
    <w:rsid w:val="00A12D04"/>
    <w:rsid w:val="00A12F1D"/>
    <w:rsid w:val="00A13017"/>
    <w:rsid w:val="00A1301C"/>
    <w:rsid w:val="00A13076"/>
    <w:rsid w:val="00A130B4"/>
    <w:rsid w:val="00A13116"/>
    <w:rsid w:val="00A1336A"/>
    <w:rsid w:val="00A13698"/>
    <w:rsid w:val="00A139BF"/>
    <w:rsid w:val="00A13CB0"/>
    <w:rsid w:val="00A14046"/>
    <w:rsid w:val="00A140F3"/>
    <w:rsid w:val="00A14A6A"/>
    <w:rsid w:val="00A14DF9"/>
    <w:rsid w:val="00A14F42"/>
    <w:rsid w:val="00A159BE"/>
    <w:rsid w:val="00A159F6"/>
    <w:rsid w:val="00A15E3F"/>
    <w:rsid w:val="00A160B7"/>
    <w:rsid w:val="00A160FF"/>
    <w:rsid w:val="00A16127"/>
    <w:rsid w:val="00A161B3"/>
    <w:rsid w:val="00A163CF"/>
    <w:rsid w:val="00A16579"/>
    <w:rsid w:val="00A166FA"/>
    <w:rsid w:val="00A166FE"/>
    <w:rsid w:val="00A167AA"/>
    <w:rsid w:val="00A1688E"/>
    <w:rsid w:val="00A16B51"/>
    <w:rsid w:val="00A16C16"/>
    <w:rsid w:val="00A16C4B"/>
    <w:rsid w:val="00A16D41"/>
    <w:rsid w:val="00A170A1"/>
    <w:rsid w:val="00A174A4"/>
    <w:rsid w:val="00A1761A"/>
    <w:rsid w:val="00A17842"/>
    <w:rsid w:val="00A17B87"/>
    <w:rsid w:val="00A17C18"/>
    <w:rsid w:val="00A2010E"/>
    <w:rsid w:val="00A202B3"/>
    <w:rsid w:val="00A206D2"/>
    <w:rsid w:val="00A209C9"/>
    <w:rsid w:val="00A209FB"/>
    <w:rsid w:val="00A20B8B"/>
    <w:rsid w:val="00A20C8E"/>
    <w:rsid w:val="00A20E02"/>
    <w:rsid w:val="00A20E63"/>
    <w:rsid w:val="00A20F87"/>
    <w:rsid w:val="00A210D0"/>
    <w:rsid w:val="00A21160"/>
    <w:rsid w:val="00A2125B"/>
    <w:rsid w:val="00A213D5"/>
    <w:rsid w:val="00A2161A"/>
    <w:rsid w:val="00A21968"/>
    <w:rsid w:val="00A21977"/>
    <w:rsid w:val="00A21D41"/>
    <w:rsid w:val="00A22252"/>
    <w:rsid w:val="00A224B3"/>
    <w:rsid w:val="00A224D1"/>
    <w:rsid w:val="00A2259F"/>
    <w:rsid w:val="00A22698"/>
    <w:rsid w:val="00A22711"/>
    <w:rsid w:val="00A228F9"/>
    <w:rsid w:val="00A22C84"/>
    <w:rsid w:val="00A23052"/>
    <w:rsid w:val="00A2305C"/>
    <w:rsid w:val="00A2321D"/>
    <w:rsid w:val="00A232E6"/>
    <w:rsid w:val="00A23708"/>
    <w:rsid w:val="00A23BB8"/>
    <w:rsid w:val="00A240EF"/>
    <w:rsid w:val="00A24180"/>
    <w:rsid w:val="00A2426B"/>
    <w:rsid w:val="00A2458E"/>
    <w:rsid w:val="00A2487E"/>
    <w:rsid w:val="00A24880"/>
    <w:rsid w:val="00A24A3D"/>
    <w:rsid w:val="00A24CE5"/>
    <w:rsid w:val="00A24F20"/>
    <w:rsid w:val="00A25080"/>
    <w:rsid w:val="00A2529B"/>
    <w:rsid w:val="00A252C7"/>
    <w:rsid w:val="00A2534F"/>
    <w:rsid w:val="00A2536E"/>
    <w:rsid w:val="00A255FE"/>
    <w:rsid w:val="00A256B0"/>
    <w:rsid w:val="00A2575F"/>
    <w:rsid w:val="00A25C83"/>
    <w:rsid w:val="00A25CFF"/>
    <w:rsid w:val="00A25D63"/>
    <w:rsid w:val="00A25DDD"/>
    <w:rsid w:val="00A25E11"/>
    <w:rsid w:val="00A26203"/>
    <w:rsid w:val="00A263C5"/>
    <w:rsid w:val="00A2646B"/>
    <w:rsid w:val="00A2678C"/>
    <w:rsid w:val="00A267C4"/>
    <w:rsid w:val="00A26A11"/>
    <w:rsid w:val="00A26ADF"/>
    <w:rsid w:val="00A26E92"/>
    <w:rsid w:val="00A26EC5"/>
    <w:rsid w:val="00A26F86"/>
    <w:rsid w:val="00A271D0"/>
    <w:rsid w:val="00A271D5"/>
    <w:rsid w:val="00A27856"/>
    <w:rsid w:val="00A278A2"/>
    <w:rsid w:val="00A278F7"/>
    <w:rsid w:val="00A27E8C"/>
    <w:rsid w:val="00A27FB1"/>
    <w:rsid w:val="00A3023D"/>
    <w:rsid w:val="00A302B4"/>
    <w:rsid w:val="00A30581"/>
    <w:rsid w:val="00A3066B"/>
    <w:rsid w:val="00A30671"/>
    <w:rsid w:val="00A306B6"/>
    <w:rsid w:val="00A307BA"/>
    <w:rsid w:val="00A3096C"/>
    <w:rsid w:val="00A309A6"/>
    <w:rsid w:val="00A30B18"/>
    <w:rsid w:val="00A30C31"/>
    <w:rsid w:val="00A30FB7"/>
    <w:rsid w:val="00A3109E"/>
    <w:rsid w:val="00A310F0"/>
    <w:rsid w:val="00A313F0"/>
    <w:rsid w:val="00A314C7"/>
    <w:rsid w:val="00A314DA"/>
    <w:rsid w:val="00A31E5F"/>
    <w:rsid w:val="00A31ED9"/>
    <w:rsid w:val="00A31EEB"/>
    <w:rsid w:val="00A31F9B"/>
    <w:rsid w:val="00A31FB8"/>
    <w:rsid w:val="00A321C5"/>
    <w:rsid w:val="00A32308"/>
    <w:rsid w:val="00A3250B"/>
    <w:rsid w:val="00A327AD"/>
    <w:rsid w:val="00A32835"/>
    <w:rsid w:val="00A3287F"/>
    <w:rsid w:val="00A32A1E"/>
    <w:rsid w:val="00A32AB0"/>
    <w:rsid w:val="00A32AB4"/>
    <w:rsid w:val="00A32B0C"/>
    <w:rsid w:val="00A32D9A"/>
    <w:rsid w:val="00A32DAA"/>
    <w:rsid w:val="00A333DD"/>
    <w:rsid w:val="00A333EE"/>
    <w:rsid w:val="00A335AA"/>
    <w:rsid w:val="00A336DD"/>
    <w:rsid w:val="00A337FC"/>
    <w:rsid w:val="00A338F7"/>
    <w:rsid w:val="00A33B3D"/>
    <w:rsid w:val="00A33ECA"/>
    <w:rsid w:val="00A33F7B"/>
    <w:rsid w:val="00A33FC9"/>
    <w:rsid w:val="00A344D2"/>
    <w:rsid w:val="00A3462E"/>
    <w:rsid w:val="00A349C7"/>
    <w:rsid w:val="00A34C15"/>
    <w:rsid w:val="00A34E4F"/>
    <w:rsid w:val="00A34EF7"/>
    <w:rsid w:val="00A35262"/>
    <w:rsid w:val="00A353BB"/>
    <w:rsid w:val="00A353D1"/>
    <w:rsid w:val="00A35483"/>
    <w:rsid w:val="00A3559F"/>
    <w:rsid w:val="00A35A4C"/>
    <w:rsid w:val="00A35F99"/>
    <w:rsid w:val="00A35FD0"/>
    <w:rsid w:val="00A36554"/>
    <w:rsid w:val="00A365F7"/>
    <w:rsid w:val="00A3667B"/>
    <w:rsid w:val="00A366D2"/>
    <w:rsid w:val="00A3675E"/>
    <w:rsid w:val="00A36922"/>
    <w:rsid w:val="00A378B7"/>
    <w:rsid w:val="00A37AD0"/>
    <w:rsid w:val="00A37D18"/>
    <w:rsid w:val="00A37D6F"/>
    <w:rsid w:val="00A37EBE"/>
    <w:rsid w:val="00A4001E"/>
    <w:rsid w:val="00A40045"/>
    <w:rsid w:val="00A403A5"/>
    <w:rsid w:val="00A40F7A"/>
    <w:rsid w:val="00A4106F"/>
    <w:rsid w:val="00A411B4"/>
    <w:rsid w:val="00A41232"/>
    <w:rsid w:val="00A41AE5"/>
    <w:rsid w:val="00A4219A"/>
    <w:rsid w:val="00A42223"/>
    <w:rsid w:val="00A422FC"/>
    <w:rsid w:val="00A4232E"/>
    <w:rsid w:val="00A4242C"/>
    <w:rsid w:val="00A42467"/>
    <w:rsid w:val="00A42543"/>
    <w:rsid w:val="00A425D0"/>
    <w:rsid w:val="00A4266A"/>
    <w:rsid w:val="00A42864"/>
    <w:rsid w:val="00A42BFB"/>
    <w:rsid w:val="00A42CE6"/>
    <w:rsid w:val="00A430BA"/>
    <w:rsid w:val="00A430E1"/>
    <w:rsid w:val="00A43190"/>
    <w:rsid w:val="00A431C2"/>
    <w:rsid w:val="00A4355B"/>
    <w:rsid w:val="00A442DE"/>
    <w:rsid w:val="00A443A9"/>
    <w:rsid w:val="00A44438"/>
    <w:rsid w:val="00A44465"/>
    <w:rsid w:val="00A445C7"/>
    <w:rsid w:val="00A44735"/>
    <w:rsid w:val="00A44837"/>
    <w:rsid w:val="00A44B21"/>
    <w:rsid w:val="00A44C0E"/>
    <w:rsid w:val="00A451F1"/>
    <w:rsid w:val="00A45286"/>
    <w:rsid w:val="00A453AA"/>
    <w:rsid w:val="00A45452"/>
    <w:rsid w:val="00A457BD"/>
    <w:rsid w:val="00A45821"/>
    <w:rsid w:val="00A4589F"/>
    <w:rsid w:val="00A45AEF"/>
    <w:rsid w:val="00A45C24"/>
    <w:rsid w:val="00A45C6E"/>
    <w:rsid w:val="00A45DDA"/>
    <w:rsid w:val="00A460CB"/>
    <w:rsid w:val="00A463B1"/>
    <w:rsid w:val="00A4649D"/>
    <w:rsid w:val="00A465C0"/>
    <w:rsid w:val="00A46756"/>
    <w:rsid w:val="00A46911"/>
    <w:rsid w:val="00A46947"/>
    <w:rsid w:val="00A46A9E"/>
    <w:rsid w:val="00A46EB1"/>
    <w:rsid w:val="00A46F55"/>
    <w:rsid w:val="00A4751B"/>
    <w:rsid w:val="00A47CC4"/>
    <w:rsid w:val="00A47FEE"/>
    <w:rsid w:val="00A50092"/>
    <w:rsid w:val="00A500B6"/>
    <w:rsid w:val="00A5039A"/>
    <w:rsid w:val="00A503EC"/>
    <w:rsid w:val="00A50654"/>
    <w:rsid w:val="00A506C1"/>
    <w:rsid w:val="00A50A0A"/>
    <w:rsid w:val="00A50AC6"/>
    <w:rsid w:val="00A50B63"/>
    <w:rsid w:val="00A50C09"/>
    <w:rsid w:val="00A50CA7"/>
    <w:rsid w:val="00A50F1A"/>
    <w:rsid w:val="00A50F9A"/>
    <w:rsid w:val="00A51148"/>
    <w:rsid w:val="00A51644"/>
    <w:rsid w:val="00A51658"/>
    <w:rsid w:val="00A51818"/>
    <w:rsid w:val="00A5187C"/>
    <w:rsid w:val="00A51A68"/>
    <w:rsid w:val="00A51B1B"/>
    <w:rsid w:val="00A51DFE"/>
    <w:rsid w:val="00A51EC9"/>
    <w:rsid w:val="00A52086"/>
    <w:rsid w:val="00A521B7"/>
    <w:rsid w:val="00A52216"/>
    <w:rsid w:val="00A522D3"/>
    <w:rsid w:val="00A526F9"/>
    <w:rsid w:val="00A528BF"/>
    <w:rsid w:val="00A52FB1"/>
    <w:rsid w:val="00A531FA"/>
    <w:rsid w:val="00A5375B"/>
    <w:rsid w:val="00A53791"/>
    <w:rsid w:val="00A5382E"/>
    <w:rsid w:val="00A53A29"/>
    <w:rsid w:val="00A53ACD"/>
    <w:rsid w:val="00A53C5C"/>
    <w:rsid w:val="00A53CA4"/>
    <w:rsid w:val="00A5490B"/>
    <w:rsid w:val="00A54A3D"/>
    <w:rsid w:val="00A54A5E"/>
    <w:rsid w:val="00A54B27"/>
    <w:rsid w:val="00A54D6D"/>
    <w:rsid w:val="00A55637"/>
    <w:rsid w:val="00A55A64"/>
    <w:rsid w:val="00A55C29"/>
    <w:rsid w:val="00A55E56"/>
    <w:rsid w:val="00A55F49"/>
    <w:rsid w:val="00A56355"/>
    <w:rsid w:val="00A56572"/>
    <w:rsid w:val="00A565E2"/>
    <w:rsid w:val="00A56D00"/>
    <w:rsid w:val="00A570AC"/>
    <w:rsid w:val="00A570C7"/>
    <w:rsid w:val="00A57132"/>
    <w:rsid w:val="00A573D3"/>
    <w:rsid w:val="00A57823"/>
    <w:rsid w:val="00A57845"/>
    <w:rsid w:val="00A5788E"/>
    <w:rsid w:val="00A57C46"/>
    <w:rsid w:val="00A57DF5"/>
    <w:rsid w:val="00A60304"/>
    <w:rsid w:val="00A60527"/>
    <w:rsid w:val="00A60A58"/>
    <w:rsid w:val="00A60C02"/>
    <w:rsid w:val="00A60C42"/>
    <w:rsid w:val="00A60C62"/>
    <w:rsid w:val="00A60FEA"/>
    <w:rsid w:val="00A613C4"/>
    <w:rsid w:val="00A618D6"/>
    <w:rsid w:val="00A61B83"/>
    <w:rsid w:val="00A620F9"/>
    <w:rsid w:val="00A626EB"/>
    <w:rsid w:val="00A6274F"/>
    <w:rsid w:val="00A62AFC"/>
    <w:rsid w:val="00A63024"/>
    <w:rsid w:val="00A6317A"/>
    <w:rsid w:val="00A6359E"/>
    <w:rsid w:val="00A63642"/>
    <w:rsid w:val="00A63D40"/>
    <w:rsid w:val="00A6404A"/>
    <w:rsid w:val="00A641DA"/>
    <w:rsid w:val="00A64377"/>
    <w:rsid w:val="00A643EB"/>
    <w:rsid w:val="00A64439"/>
    <w:rsid w:val="00A645C7"/>
    <w:rsid w:val="00A647EA"/>
    <w:rsid w:val="00A6492F"/>
    <w:rsid w:val="00A64DCC"/>
    <w:rsid w:val="00A64F58"/>
    <w:rsid w:val="00A6502E"/>
    <w:rsid w:val="00A650A3"/>
    <w:rsid w:val="00A6558F"/>
    <w:rsid w:val="00A655D1"/>
    <w:rsid w:val="00A65A77"/>
    <w:rsid w:val="00A65E86"/>
    <w:rsid w:val="00A65F75"/>
    <w:rsid w:val="00A663B5"/>
    <w:rsid w:val="00A66402"/>
    <w:rsid w:val="00A66471"/>
    <w:rsid w:val="00A6678D"/>
    <w:rsid w:val="00A66AC2"/>
    <w:rsid w:val="00A66EA7"/>
    <w:rsid w:val="00A6711C"/>
    <w:rsid w:val="00A6742B"/>
    <w:rsid w:val="00A67612"/>
    <w:rsid w:val="00A67683"/>
    <w:rsid w:val="00A67C5F"/>
    <w:rsid w:val="00A67E31"/>
    <w:rsid w:val="00A7016A"/>
    <w:rsid w:val="00A7045D"/>
    <w:rsid w:val="00A70474"/>
    <w:rsid w:val="00A70536"/>
    <w:rsid w:val="00A70A1B"/>
    <w:rsid w:val="00A70B3A"/>
    <w:rsid w:val="00A70B8C"/>
    <w:rsid w:val="00A70BC5"/>
    <w:rsid w:val="00A70C15"/>
    <w:rsid w:val="00A70D4B"/>
    <w:rsid w:val="00A70DCA"/>
    <w:rsid w:val="00A70EB5"/>
    <w:rsid w:val="00A7102F"/>
    <w:rsid w:val="00A711FB"/>
    <w:rsid w:val="00A71313"/>
    <w:rsid w:val="00A717C7"/>
    <w:rsid w:val="00A71AF1"/>
    <w:rsid w:val="00A71B3E"/>
    <w:rsid w:val="00A71BB3"/>
    <w:rsid w:val="00A71DDC"/>
    <w:rsid w:val="00A71E90"/>
    <w:rsid w:val="00A72084"/>
    <w:rsid w:val="00A720DF"/>
    <w:rsid w:val="00A72165"/>
    <w:rsid w:val="00A725AF"/>
    <w:rsid w:val="00A726B6"/>
    <w:rsid w:val="00A72EDF"/>
    <w:rsid w:val="00A73249"/>
    <w:rsid w:val="00A732EE"/>
    <w:rsid w:val="00A7336B"/>
    <w:rsid w:val="00A73522"/>
    <w:rsid w:val="00A73564"/>
    <w:rsid w:val="00A739AF"/>
    <w:rsid w:val="00A73E6C"/>
    <w:rsid w:val="00A740AA"/>
    <w:rsid w:val="00A7445F"/>
    <w:rsid w:val="00A74D39"/>
    <w:rsid w:val="00A750E3"/>
    <w:rsid w:val="00A7513F"/>
    <w:rsid w:val="00A75281"/>
    <w:rsid w:val="00A75515"/>
    <w:rsid w:val="00A755B2"/>
    <w:rsid w:val="00A75B9F"/>
    <w:rsid w:val="00A75BBA"/>
    <w:rsid w:val="00A75CD2"/>
    <w:rsid w:val="00A76066"/>
    <w:rsid w:val="00A760A0"/>
    <w:rsid w:val="00A761F6"/>
    <w:rsid w:val="00A76229"/>
    <w:rsid w:val="00A76508"/>
    <w:rsid w:val="00A76847"/>
    <w:rsid w:val="00A76A07"/>
    <w:rsid w:val="00A76E58"/>
    <w:rsid w:val="00A76F23"/>
    <w:rsid w:val="00A7710C"/>
    <w:rsid w:val="00A771E7"/>
    <w:rsid w:val="00A774E9"/>
    <w:rsid w:val="00A77547"/>
    <w:rsid w:val="00A77748"/>
    <w:rsid w:val="00A777C5"/>
    <w:rsid w:val="00A7790F"/>
    <w:rsid w:val="00A77A1E"/>
    <w:rsid w:val="00A77EA9"/>
    <w:rsid w:val="00A80180"/>
    <w:rsid w:val="00A803F8"/>
    <w:rsid w:val="00A80562"/>
    <w:rsid w:val="00A805E3"/>
    <w:rsid w:val="00A80C40"/>
    <w:rsid w:val="00A80C85"/>
    <w:rsid w:val="00A80D63"/>
    <w:rsid w:val="00A80DEB"/>
    <w:rsid w:val="00A80E1C"/>
    <w:rsid w:val="00A810A0"/>
    <w:rsid w:val="00A815EE"/>
    <w:rsid w:val="00A818ED"/>
    <w:rsid w:val="00A819F0"/>
    <w:rsid w:val="00A81BC0"/>
    <w:rsid w:val="00A81BCA"/>
    <w:rsid w:val="00A81ED0"/>
    <w:rsid w:val="00A8226F"/>
    <w:rsid w:val="00A82291"/>
    <w:rsid w:val="00A82408"/>
    <w:rsid w:val="00A82A71"/>
    <w:rsid w:val="00A83071"/>
    <w:rsid w:val="00A8314C"/>
    <w:rsid w:val="00A8349C"/>
    <w:rsid w:val="00A8356C"/>
    <w:rsid w:val="00A8358D"/>
    <w:rsid w:val="00A8374D"/>
    <w:rsid w:val="00A837B2"/>
    <w:rsid w:val="00A837FF"/>
    <w:rsid w:val="00A839A6"/>
    <w:rsid w:val="00A83B30"/>
    <w:rsid w:val="00A83C6A"/>
    <w:rsid w:val="00A83CB2"/>
    <w:rsid w:val="00A83E99"/>
    <w:rsid w:val="00A83F5C"/>
    <w:rsid w:val="00A83F79"/>
    <w:rsid w:val="00A840AA"/>
    <w:rsid w:val="00A841AF"/>
    <w:rsid w:val="00A844FD"/>
    <w:rsid w:val="00A846EF"/>
    <w:rsid w:val="00A84941"/>
    <w:rsid w:val="00A84E08"/>
    <w:rsid w:val="00A853E7"/>
    <w:rsid w:val="00A854D9"/>
    <w:rsid w:val="00A85539"/>
    <w:rsid w:val="00A85673"/>
    <w:rsid w:val="00A85A65"/>
    <w:rsid w:val="00A85B15"/>
    <w:rsid w:val="00A861B9"/>
    <w:rsid w:val="00A86464"/>
    <w:rsid w:val="00A86734"/>
    <w:rsid w:val="00A86853"/>
    <w:rsid w:val="00A86B7E"/>
    <w:rsid w:val="00A86C3F"/>
    <w:rsid w:val="00A87562"/>
    <w:rsid w:val="00A87787"/>
    <w:rsid w:val="00A87986"/>
    <w:rsid w:val="00A87A1B"/>
    <w:rsid w:val="00A87D1A"/>
    <w:rsid w:val="00A87FA2"/>
    <w:rsid w:val="00A902E2"/>
    <w:rsid w:val="00A90991"/>
    <w:rsid w:val="00A90B84"/>
    <w:rsid w:val="00A90BF9"/>
    <w:rsid w:val="00A90CA6"/>
    <w:rsid w:val="00A90CE3"/>
    <w:rsid w:val="00A912C2"/>
    <w:rsid w:val="00A91354"/>
    <w:rsid w:val="00A91437"/>
    <w:rsid w:val="00A91915"/>
    <w:rsid w:val="00A91D67"/>
    <w:rsid w:val="00A91F1A"/>
    <w:rsid w:val="00A91FF2"/>
    <w:rsid w:val="00A9201D"/>
    <w:rsid w:val="00A920A0"/>
    <w:rsid w:val="00A92243"/>
    <w:rsid w:val="00A924DF"/>
    <w:rsid w:val="00A92B24"/>
    <w:rsid w:val="00A9331C"/>
    <w:rsid w:val="00A93335"/>
    <w:rsid w:val="00A93561"/>
    <w:rsid w:val="00A936D1"/>
    <w:rsid w:val="00A9375B"/>
    <w:rsid w:val="00A938AD"/>
    <w:rsid w:val="00A93A89"/>
    <w:rsid w:val="00A93CFF"/>
    <w:rsid w:val="00A93D1D"/>
    <w:rsid w:val="00A9415A"/>
    <w:rsid w:val="00A94191"/>
    <w:rsid w:val="00A943C5"/>
    <w:rsid w:val="00A9445B"/>
    <w:rsid w:val="00A94473"/>
    <w:rsid w:val="00A9448A"/>
    <w:rsid w:val="00A94569"/>
    <w:rsid w:val="00A94582"/>
    <w:rsid w:val="00A94D81"/>
    <w:rsid w:val="00A94EF5"/>
    <w:rsid w:val="00A94F56"/>
    <w:rsid w:val="00A9505E"/>
    <w:rsid w:val="00A950A2"/>
    <w:rsid w:val="00A950B0"/>
    <w:rsid w:val="00A95864"/>
    <w:rsid w:val="00A959BF"/>
    <w:rsid w:val="00A95B38"/>
    <w:rsid w:val="00A95F89"/>
    <w:rsid w:val="00A9606B"/>
    <w:rsid w:val="00A96114"/>
    <w:rsid w:val="00A9611A"/>
    <w:rsid w:val="00A96132"/>
    <w:rsid w:val="00A961CD"/>
    <w:rsid w:val="00A96228"/>
    <w:rsid w:val="00A9625B"/>
    <w:rsid w:val="00A964CB"/>
    <w:rsid w:val="00A964D4"/>
    <w:rsid w:val="00A965D1"/>
    <w:rsid w:val="00A9661B"/>
    <w:rsid w:val="00A96626"/>
    <w:rsid w:val="00A966D9"/>
    <w:rsid w:val="00A966DE"/>
    <w:rsid w:val="00A96795"/>
    <w:rsid w:val="00A96916"/>
    <w:rsid w:val="00A9695D"/>
    <w:rsid w:val="00A96BE4"/>
    <w:rsid w:val="00A96C42"/>
    <w:rsid w:val="00A96CC6"/>
    <w:rsid w:val="00A96E37"/>
    <w:rsid w:val="00A970F8"/>
    <w:rsid w:val="00A97147"/>
    <w:rsid w:val="00A97853"/>
    <w:rsid w:val="00A97872"/>
    <w:rsid w:val="00A97B7D"/>
    <w:rsid w:val="00A97C18"/>
    <w:rsid w:val="00A97D13"/>
    <w:rsid w:val="00A97DAD"/>
    <w:rsid w:val="00A97F55"/>
    <w:rsid w:val="00AA024B"/>
    <w:rsid w:val="00AA02CD"/>
    <w:rsid w:val="00AA0394"/>
    <w:rsid w:val="00AA0677"/>
    <w:rsid w:val="00AA06A3"/>
    <w:rsid w:val="00AA07DA"/>
    <w:rsid w:val="00AA0859"/>
    <w:rsid w:val="00AA09A8"/>
    <w:rsid w:val="00AA0F20"/>
    <w:rsid w:val="00AA0FEC"/>
    <w:rsid w:val="00AA10FE"/>
    <w:rsid w:val="00AA1301"/>
    <w:rsid w:val="00AA1CE6"/>
    <w:rsid w:val="00AA2047"/>
    <w:rsid w:val="00AA207F"/>
    <w:rsid w:val="00AA2172"/>
    <w:rsid w:val="00AA219B"/>
    <w:rsid w:val="00AA21F1"/>
    <w:rsid w:val="00AA22C2"/>
    <w:rsid w:val="00AA22DB"/>
    <w:rsid w:val="00AA2C0A"/>
    <w:rsid w:val="00AA2CDC"/>
    <w:rsid w:val="00AA2CDE"/>
    <w:rsid w:val="00AA2E89"/>
    <w:rsid w:val="00AA2ED4"/>
    <w:rsid w:val="00AA302A"/>
    <w:rsid w:val="00AA3188"/>
    <w:rsid w:val="00AA36EF"/>
    <w:rsid w:val="00AA3768"/>
    <w:rsid w:val="00AA3B0A"/>
    <w:rsid w:val="00AA3B5E"/>
    <w:rsid w:val="00AA3CD0"/>
    <w:rsid w:val="00AA3E6F"/>
    <w:rsid w:val="00AA3E80"/>
    <w:rsid w:val="00AA3F22"/>
    <w:rsid w:val="00AA40A8"/>
    <w:rsid w:val="00AA421C"/>
    <w:rsid w:val="00AA426D"/>
    <w:rsid w:val="00AA444C"/>
    <w:rsid w:val="00AA4566"/>
    <w:rsid w:val="00AA47D3"/>
    <w:rsid w:val="00AA4A41"/>
    <w:rsid w:val="00AA4AAB"/>
    <w:rsid w:val="00AA4B5A"/>
    <w:rsid w:val="00AA4D6C"/>
    <w:rsid w:val="00AA4E73"/>
    <w:rsid w:val="00AA4FF1"/>
    <w:rsid w:val="00AA5003"/>
    <w:rsid w:val="00AA5121"/>
    <w:rsid w:val="00AA51D9"/>
    <w:rsid w:val="00AA520E"/>
    <w:rsid w:val="00AA52B4"/>
    <w:rsid w:val="00AA539D"/>
    <w:rsid w:val="00AA53B5"/>
    <w:rsid w:val="00AA542A"/>
    <w:rsid w:val="00AA54A3"/>
    <w:rsid w:val="00AA55A0"/>
    <w:rsid w:val="00AA570E"/>
    <w:rsid w:val="00AA5831"/>
    <w:rsid w:val="00AA593B"/>
    <w:rsid w:val="00AA5B36"/>
    <w:rsid w:val="00AA5BBF"/>
    <w:rsid w:val="00AA5E11"/>
    <w:rsid w:val="00AA5EC3"/>
    <w:rsid w:val="00AA60F0"/>
    <w:rsid w:val="00AA6138"/>
    <w:rsid w:val="00AA623F"/>
    <w:rsid w:val="00AA62AB"/>
    <w:rsid w:val="00AA643C"/>
    <w:rsid w:val="00AA65EB"/>
    <w:rsid w:val="00AA66C0"/>
    <w:rsid w:val="00AA6840"/>
    <w:rsid w:val="00AA6B5B"/>
    <w:rsid w:val="00AA6D5E"/>
    <w:rsid w:val="00AA6F26"/>
    <w:rsid w:val="00AA7151"/>
    <w:rsid w:val="00AA73B0"/>
    <w:rsid w:val="00AA763B"/>
    <w:rsid w:val="00AA7726"/>
    <w:rsid w:val="00AA7AB1"/>
    <w:rsid w:val="00AA7AF7"/>
    <w:rsid w:val="00AA7B7D"/>
    <w:rsid w:val="00AA7D54"/>
    <w:rsid w:val="00AB0156"/>
    <w:rsid w:val="00AB01CB"/>
    <w:rsid w:val="00AB020C"/>
    <w:rsid w:val="00AB02DC"/>
    <w:rsid w:val="00AB03B8"/>
    <w:rsid w:val="00AB08D0"/>
    <w:rsid w:val="00AB098D"/>
    <w:rsid w:val="00AB0B6A"/>
    <w:rsid w:val="00AB0EDA"/>
    <w:rsid w:val="00AB0EF4"/>
    <w:rsid w:val="00AB1020"/>
    <w:rsid w:val="00AB1036"/>
    <w:rsid w:val="00AB12CB"/>
    <w:rsid w:val="00AB150E"/>
    <w:rsid w:val="00AB16B9"/>
    <w:rsid w:val="00AB1AA7"/>
    <w:rsid w:val="00AB1D36"/>
    <w:rsid w:val="00AB1DFB"/>
    <w:rsid w:val="00AB1E03"/>
    <w:rsid w:val="00AB1E37"/>
    <w:rsid w:val="00AB20D6"/>
    <w:rsid w:val="00AB220A"/>
    <w:rsid w:val="00AB2463"/>
    <w:rsid w:val="00AB2626"/>
    <w:rsid w:val="00AB2761"/>
    <w:rsid w:val="00AB2D7A"/>
    <w:rsid w:val="00AB2E75"/>
    <w:rsid w:val="00AB2E9D"/>
    <w:rsid w:val="00AB2FAD"/>
    <w:rsid w:val="00AB31D5"/>
    <w:rsid w:val="00AB352A"/>
    <w:rsid w:val="00AB35C2"/>
    <w:rsid w:val="00AB35D3"/>
    <w:rsid w:val="00AB37CD"/>
    <w:rsid w:val="00AB3966"/>
    <w:rsid w:val="00AB3971"/>
    <w:rsid w:val="00AB3A21"/>
    <w:rsid w:val="00AB3AC7"/>
    <w:rsid w:val="00AB3F29"/>
    <w:rsid w:val="00AB43A0"/>
    <w:rsid w:val="00AB46EB"/>
    <w:rsid w:val="00AB4BA9"/>
    <w:rsid w:val="00AB4C4A"/>
    <w:rsid w:val="00AB4CB5"/>
    <w:rsid w:val="00AB51B9"/>
    <w:rsid w:val="00AB5498"/>
    <w:rsid w:val="00AB5652"/>
    <w:rsid w:val="00AB57F0"/>
    <w:rsid w:val="00AB59F1"/>
    <w:rsid w:val="00AB5A20"/>
    <w:rsid w:val="00AB5AA7"/>
    <w:rsid w:val="00AB5ECA"/>
    <w:rsid w:val="00AB6174"/>
    <w:rsid w:val="00AB6278"/>
    <w:rsid w:val="00AB6431"/>
    <w:rsid w:val="00AB66D7"/>
    <w:rsid w:val="00AB6A23"/>
    <w:rsid w:val="00AB6AAF"/>
    <w:rsid w:val="00AB6C3E"/>
    <w:rsid w:val="00AB6E51"/>
    <w:rsid w:val="00AB6F95"/>
    <w:rsid w:val="00AB7021"/>
    <w:rsid w:val="00AB7024"/>
    <w:rsid w:val="00AB74DC"/>
    <w:rsid w:val="00AB77D7"/>
    <w:rsid w:val="00AB77EF"/>
    <w:rsid w:val="00AB79AD"/>
    <w:rsid w:val="00AB7A93"/>
    <w:rsid w:val="00AB7BB5"/>
    <w:rsid w:val="00AB7DF5"/>
    <w:rsid w:val="00AB7EC1"/>
    <w:rsid w:val="00AB7FB9"/>
    <w:rsid w:val="00AC02A3"/>
    <w:rsid w:val="00AC042A"/>
    <w:rsid w:val="00AC04E6"/>
    <w:rsid w:val="00AC051F"/>
    <w:rsid w:val="00AC0A0A"/>
    <w:rsid w:val="00AC0ED8"/>
    <w:rsid w:val="00AC0F4F"/>
    <w:rsid w:val="00AC10EA"/>
    <w:rsid w:val="00AC11EF"/>
    <w:rsid w:val="00AC1554"/>
    <w:rsid w:val="00AC161B"/>
    <w:rsid w:val="00AC17B9"/>
    <w:rsid w:val="00AC1899"/>
    <w:rsid w:val="00AC19A6"/>
    <w:rsid w:val="00AC1C55"/>
    <w:rsid w:val="00AC1CCA"/>
    <w:rsid w:val="00AC1D4E"/>
    <w:rsid w:val="00AC217A"/>
    <w:rsid w:val="00AC25AA"/>
    <w:rsid w:val="00AC2CEB"/>
    <w:rsid w:val="00AC328F"/>
    <w:rsid w:val="00AC32C1"/>
    <w:rsid w:val="00AC37E0"/>
    <w:rsid w:val="00AC3C07"/>
    <w:rsid w:val="00AC3D77"/>
    <w:rsid w:val="00AC4288"/>
    <w:rsid w:val="00AC430B"/>
    <w:rsid w:val="00AC482D"/>
    <w:rsid w:val="00AC4AA3"/>
    <w:rsid w:val="00AC4C4E"/>
    <w:rsid w:val="00AC4F77"/>
    <w:rsid w:val="00AC4FE5"/>
    <w:rsid w:val="00AC5170"/>
    <w:rsid w:val="00AC51CF"/>
    <w:rsid w:val="00AC53CD"/>
    <w:rsid w:val="00AC5762"/>
    <w:rsid w:val="00AC59FF"/>
    <w:rsid w:val="00AC5E29"/>
    <w:rsid w:val="00AC5EB7"/>
    <w:rsid w:val="00AC60CF"/>
    <w:rsid w:val="00AC60EB"/>
    <w:rsid w:val="00AC6438"/>
    <w:rsid w:val="00AC65C1"/>
    <w:rsid w:val="00AC672E"/>
    <w:rsid w:val="00AC6A5C"/>
    <w:rsid w:val="00AC6D81"/>
    <w:rsid w:val="00AC6F6B"/>
    <w:rsid w:val="00AC7067"/>
    <w:rsid w:val="00AC72F0"/>
    <w:rsid w:val="00AC7988"/>
    <w:rsid w:val="00AC7AF1"/>
    <w:rsid w:val="00AC7D58"/>
    <w:rsid w:val="00AC7DD5"/>
    <w:rsid w:val="00AC7EB8"/>
    <w:rsid w:val="00AD03EF"/>
    <w:rsid w:val="00AD04D5"/>
    <w:rsid w:val="00AD067A"/>
    <w:rsid w:val="00AD08A2"/>
    <w:rsid w:val="00AD0AC0"/>
    <w:rsid w:val="00AD0F36"/>
    <w:rsid w:val="00AD1154"/>
    <w:rsid w:val="00AD128A"/>
    <w:rsid w:val="00AD1504"/>
    <w:rsid w:val="00AD16F1"/>
    <w:rsid w:val="00AD18AA"/>
    <w:rsid w:val="00AD1D31"/>
    <w:rsid w:val="00AD1F93"/>
    <w:rsid w:val="00AD1F9C"/>
    <w:rsid w:val="00AD202F"/>
    <w:rsid w:val="00AD23D8"/>
    <w:rsid w:val="00AD2458"/>
    <w:rsid w:val="00AD2A75"/>
    <w:rsid w:val="00AD2A93"/>
    <w:rsid w:val="00AD2B03"/>
    <w:rsid w:val="00AD2B2E"/>
    <w:rsid w:val="00AD2B79"/>
    <w:rsid w:val="00AD2D7F"/>
    <w:rsid w:val="00AD2F73"/>
    <w:rsid w:val="00AD3262"/>
    <w:rsid w:val="00AD3318"/>
    <w:rsid w:val="00AD41E8"/>
    <w:rsid w:val="00AD4584"/>
    <w:rsid w:val="00AD4611"/>
    <w:rsid w:val="00AD465C"/>
    <w:rsid w:val="00AD46F8"/>
    <w:rsid w:val="00AD4858"/>
    <w:rsid w:val="00AD4995"/>
    <w:rsid w:val="00AD49D5"/>
    <w:rsid w:val="00AD4B16"/>
    <w:rsid w:val="00AD4C4B"/>
    <w:rsid w:val="00AD4E45"/>
    <w:rsid w:val="00AD4EA6"/>
    <w:rsid w:val="00AD4F5E"/>
    <w:rsid w:val="00AD4FFE"/>
    <w:rsid w:val="00AD58E8"/>
    <w:rsid w:val="00AD5AD0"/>
    <w:rsid w:val="00AD5BCE"/>
    <w:rsid w:val="00AD5C8D"/>
    <w:rsid w:val="00AD5EC7"/>
    <w:rsid w:val="00AD5FA1"/>
    <w:rsid w:val="00AD5FC0"/>
    <w:rsid w:val="00AD6438"/>
    <w:rsid w:val="00AD643E"/>
    <w:rsid w:val="00AD666F"/>
    <w:rsid w:val="00AD68CA"/>
    <w:rsid w:val="00AD69F6"/>
    <w:rsid w:val="00AD710F"/>
    <w:rsid w:val="00AD718F"/>
    <w:rsid w:val="00AD7228"/>
    <w:rsid w:val="00AD7260"/>
    <w:rsid w:val="00AD7472"/>
    <w:rsid w:val="00AD78A0"/>
    <w:rsid w:val="00AD79EA"/>
    <w:rsid w:val="00AD79ED"/>
    <w:rsid w:val="00AE0168"/>
    <w:rsid w:val="00AE0175"/>
    <w:rsid w:val="00AE040F"/>
    <w:rsid w:val="00AE0429"/>
    <w:rsid w:val="00AE04A7"/>
    <w:rsid w:val="00AE0608"/>
    <w:rsid w:val="00AE0836"/>
    <w:rsid w:val="00AE0AB7"/>
    <w:rsid w:val="00AE0C3B"/>
    <w:rsid w:val="00AE0DAA"/>
    <w:rsid w:val="00AE0E01"/>
    <w:rsid w:val="00AE11C6"/>
    <w:rsid w:val="00AE161B"/>
    <w:rsid w:val="00AE1704"/>
    <w:rsid w:val="00AE1AD2"/>
    <w:rsid w:val="00AE1BB5"/>
    <w:rsid w:val="00AE1C8E"/>
    <w:rsid w:val="00AE1D55"/>
    <w:rsid w:val="00AE1ED6"/>
    <w:rsid w:val="00AE1FDE"/>
    <w:rsid w:val="00AE2044"/>
    <w:rsid w:val="00AE221F"/>
    <w:rsid w:val="00AE27EE"/>
    <w:rsid w:val="00AE2983"/>
    <w:rsid w:val="00AE2C89"/>
    <w:rsid w:val="00AE2CCB"/>
    <w:rsid w:val="00AE2EC2"/>
    <w:rsid w:val="00AE2FB6"/>
    <w:rsid w:val="00AE311B"/>
    <w:rsid w:val="00AE321B"/>
    <w:rsid w:val="00AE343B"/>
    <w:rsid w:val="00AE3B6B"/>
    <w:rsid w:val="00AE3C29"/>
    <w:rsid w:val="00AE3DC1"/>
    <w:rsid w:val="00AE3DC9"/>
    <w:rsid w:val="00AE3F04"/>
    <w:rsid w:val="00AE3F2A"/>
    <w:rsid w:val="00AE4262"/>
    <w:rsid w:val="00AE43FC"/>
    <w:rsid w:val="00AE46C4"/>
    <w:rsid w:val="00AE4823"/>
    <w:rsid w:val="00AE485F"/>
    <w:rsid w:val="00AE492F"/>
    <w:rsid w:val="00AE512A"/>
    <w:rsid w:val="00AE5527"/>
    <w:rsid w:val="00AE55C9"/>
    <w:rsid w:val="00AE56A2"/>
    <w:rsid w:val="00AE5986"/>
    <w:rsid w:val="00AE598C"/>
    <w:rsid w:val="00AE5ADB"/>
    <w:rsid w:val="00AE5F10"/>
    <w:rsid w:val="00AE60A7"/>
    <w:rsid w:val="00AE6A58"/>
    <w:rsid w:val="00AE7048"/>
    <w:rsid w:val="00AE7099"/>
    <w:rsid w:val="00AE712F"/>
    <w:rsid w:val="00AE7A02"/>
    <w:rsid w:val="00AE7AA8"/>
    <w:rsid w:val="00AE7BE5"/>
    <w:rsid w:val="00AE7F47"/>
    <w:rsid w:val="00AF0152"/>
    <w:rsid w:val="00AF01DB"/>
    <w:rsid w:val="00AF0301"/>
    <w:rsid w:val="00AF042A"/>
    <w:rsid w:val="00AF048C"/>
    <w:rsid w:val="00AF04C0"/>
    <w:rsid w:val="00AF0657"/>
    <w:rsid w:val="00AF0709"/>
    <w:rsid w:val="00AF08E1"/>
    <w:rsid w:val="00AF08E3"/>
    <w:rsid w:val="00AF0CD9"/>
    <w:rsid w:val="00AF1026"/>
    <w:rsid w:val="00AF1082"/>
    <w:rsid w:val="00AF1305"/>
    <w:rsid w:val="00AF1316"/>
    <w:rsid w:val="00AF17BF"/>
    <w:rsid w:val="00AF1800"/>
    <w:rsid w:val="00AF198C"/>
    <w:rsid w:val="00AF19CD"/>
    <w:rsid w:val="00AF1A6F"/>
    <w:rsid w:val="00AF1B33"/>
    <w:rsid w:val="00AF1B6C"/>
    <w:rsid w:val="00AF1BA2"/>
    <w:rsid w:val="00AF24C3"/>
    <w:rsid w:val="00AF2991"/>
    <w:rsid w:val="00AF2C45"/>
    <w:rsid w:val="00AF2DC1"/>
    <w:rsid w:val="00AF30EB"/>
    <w:rsid w:val="00AF3240"/>
    <w:rsid w:val="00AF3580"/>
    <w:rsid w:val="00AF35FE"/>
    <w:rsid w:val="00AF3807"/>
    <w:rsid w:val="00AF3C76"/>
    <w:rsid w:val="00AF3CE0"/>
    <w:rsid w:val="00AF4036"/>
    <w:rsid w:val="00AF41CE"/>
    <w:rsid w:val="00AF41FD"/>
    <w:rsid w:val="00AF425B"/>
    <w:rsid w:val="00AF4267"/>
    <w:rsid w:val="00AF437E"/>
    <w:rsid w:val="00AF44F6"/>
    <w:rsid w:val="00AF4598"/>
    <w:rsid w:val="00AF46FD"/>
    <w:rsid w:val="00AF47EB"/>
    <w:rsid w:val="00AF4A19"/>
    <w:rsid w:val="00AF4A85"/>
    <w:rsid w:val="00AF4D96"/>
    <w:rsid w:val="00AF4FC8"/>
    <w:rsid w:val="00AF53CA"/>
    <w:rsid w:val="00AF56B4"/>
    <w:rsid w:val="00AF5788"/>
    <w:rsid w:val="00AF5C3A"/>
    <w:rsid w:val="00AF5EB0"/>
    <w:rsid w:val="00AF5F19"/>
    <w:rsid w:val="00AF5F2A"/>
    <w:rsid w:val="00AF60FF"/>
    <w:rsid w:val="00AF6371"/>
    <w:rsid w:val="00AF6448"/>
    <w:rsid w:val="00AF645C"/>
    <w:rsid w:val="00AF6482"/>
    <w:rsid w:val="00AF6857"/>
    <w:rsid w:val="00AF6E97"/>
    <w:rsid w:val="00AF6F99"/>
    <w:rsid w:val="00AF7049"/>
    <w:rsid w:val="00AF70CF"/>
    <w:rsid w:val="00AF71EA"/>
    <w:rsid w:val="00AF728D"/>
    <w:rsid w:val="00AF75F7"/>
    <w:rsid w:val="00AF78D8"/>
    <w:rsid w:val="00AF78F6"/>
    <w:rsid w:val="00AF7931"/>
    <w:rsid w:val="00AF7D2D"/>
    <w:rsid w:val="00B00135"/>
    <w:rsid w:val="00B00187"/>
    <w:rsid w:val="00B0026B"/>
    <w:rsid w:val="00B007E7"/>
    <w:rsid w:val="00B00A44"/>
    <w:rsid w:val="00B00C5D"/>
    <w:rsid w:val="00B00CC1"/>
    <w:rsid w:val="00B00FB0"/>
    <w:rsid w:val="00B01124"/>
    <w:rsid w:val="00B01599"/>
    <w:rsid w:val="00B017A0"/>
    <w:rsid w:val="00B01E8C"/>
    <w:rsid w:val="00B023FB"/>
    <w:rsid w:val="00B025AF"/>
    <w:rsid w:val="00B02607"/>
    <w:rsid w:val="00B0261B"/>
    <w:rsid w:val="00B026C9"/>
    <w:rsid w:val="00B02820"/>
    <w:rsid w:val="00B02A68"/>
    <w:rsid w:val="00B02D25"/>
    <w:rsid w:val="00B02DAD"/>
    <w:rsid w:val="00B02DEC"/>
    <w:rsid w:val="00B0309F"/>
    <w:rsid w:val="00B03103"/>
    <w:rsid w:val="00B034B3"/>
    <w:rsid w:val="00B03527"/>
    <w:rsid w:val="00B035F9"/>
    <w:rsid w:val="00B0373E"/>
    <w:rsid w:val="00B0379C"/>
    <w:rsid w:val="00B0394F"/>
    <w:rsid w:val="00B03C99"/>
    <w:rsid w:val="00B03CB2"/>
    <w:rsid w:val="00B04100"/>
    <w:rsid w:val="00B0422F"/>
    <w:rsid w:val="00B0424C"/>
    <w:rsid w:val="00B0447A"/>
    <w:rsid w:val="00B0462E"/>
    <w:rsid w:val="00B04C92"/>
    <w:rsid w:val="00B04D90"/>
    <w:rsid w:val="00B04E68"/>
    <w:rsid w:val="00B04FAD"/>
    <w:rsid w:val="00B05294"/>
    <w:rsid w:val="00B05344"/>
    <w:rsid w:val="00B05496"/>
    <w:rsid w:val="00B05589"/>
    <w:rsid w:val="00B05E42"/>
    <w:rsid w:val="00B05FBD"/>
    <w:rsid w:val="00B05FF5"/>
    <w:rsid w:val="00B0630F"/>
    <w:rsid w:val="00B066DD"/>
    <w:rsid w:val="00B068CC"/>
    <w:rsid w:val="00B068D8"/>
    <w:rsid w:val="00B06A33"/>
    <w:rsid w:val="00B06CEA"/>
    <w:rsid w:val="00B0703A"/>
    <w:rsid w:val="00B0708C"/>
    <w:rsid w:val="00B072A5"/>
    <w:rsid w:val="00B0753D"/>
    <w:rsid w:val="00B07729"/>
    <w:rsid w:val="00B07B1A"/>
    <w:rsid w:val="00B07DE3"/>
    <w:rsid w:val="00B07DEF"/>
    <w:rsid w:val="00B07FC9"/>
    <w:rsid w:val="00B103A5"/>
    <w:rsid w:val="00B103CF"/>
    <w:rsid w:val="00B103ED"/>
    <w:rsid w:val="00B10714"/>
    <w:rsid w:val="00B10729"/>
    <w:rsid w:val="00B1096B"/>
    <w:rsid w:val="00B10A62"/>
    <w:rsid w:val="00B10A8D"/>
    <w:rsid w:val="00B10C8C"/>
    <w:rsid w:val="00B10E5E"/>
    <w:rsid w:val="00B10E74"/>
    <w:rsid w:val="00B10EAC"/>
    <w:rsid w:val="00B10F7F"/>
    <w:rsid w:val="00B1118E"/>
    <w:rsid w:val="00B114E0"/>
    <w:rsid w:val="00B115E3"/>
    <w:rsid w:val="00B11601"/>
    <w:rsid w:val="00B1170D"/>
    <w:rsid w:val="00B11804"/>
    <w:rsid w:val="00B11A40"/>
    <w:rsid w:val="00B11D74"/>
    <w:rsid w:val="00B11DD5"/>
    <w:rsid w:val="00B11F22"/>
    <w:rsid w:val="00B120E0"/>
    <w:rsid w:val="00B122D5"/>
    <w:rsid w:val="00B123AE"/>
    <w:rsid w:val="00B12813"/>
    <w:rsid w:val="00B129B2"/>
    <w:rsid w:val="00B12DAC"/>
    <w:rsid w:val="00B132C9"/>
    <w:rsid w:val="00B1396A"/>
    <w:rsid w:val="00B13B84"/>
    <w:rsid w:val="00B13C96"/>
    <w:rsid w:val="00B13F13"/>
    <w:rsid w:val="00B13F4A"/>
    <w:rsid w:val="00B141BC"/>
    <w:rsid w:val="00B142D2"/>
    <w:rsid w:val="00B144D3"/>
    <w:rsid w:val="00B14541"/>
    <w:rsid w:val="00B14679"/>
    <w:rsid w:val="00B1495F"/>
    <w:rsid w:val="00B14A2C"/>
    <w:rsid w:val="00B14B26"/>
    <w:rsid w:val="00B14BB0"/>
    <w:rsid w:val="00B14DBA"/>
    <w:rsid w:val="00B14F48"/>
    <w:rsid w:val="00B150B9"/>
    <w:rsid w:val="00B15324"/>
    <w:rsid w:val="00B1557B"/>
    <w:rsid w:val="00B15591"/>
    <w:rsid w:val="00B1586B"/>
    <w:rsid w:val="00B1587E"/>
    <w:rsid w:val="00B15963"/>
    <w:rsid w:val="00B16095"/>
    <w:rsid w:val="00B160AF"/>
    <w:rsid w:val="00B162C6"/>
    <w:rsid w:val="00B162E3"/>
    <w:rsid w:val="00B16348"/>
    <w:rsid w:val="00B1648C"/>
    <w:rsid w:val="00B16644"/>
    <w:rsid w:val="00B16749"/>
    <w:rsid w:val="00B16877"/>
    <w:rsid w:val="00B16B29"/>
    <w:rsid w:val="00B16BB8"/>
    <w:rsid w:val="00B16EC2"/>
    <w:rsid w:val="00B16F97"/>
    <w:rsid w:val="00B172F1"/>
    <w:rsid w:val="00B173BC"/>
    <w:rsid w:val="00B17566"/>
    <w:rsid w:val="00B17657"/>
    <w:rsid w:val="00B17A5A"/>
    <w:rsid w:val="00B2000F"/>
    <w:rsid w:val="00B20013"/>
    <w:rsid w:val="00B201AE"/>
    <w:rsid w:val="00B20361"/>
    <w:rsid w:val="00B2076B"/>
    <w:rsid w:val="00B2096A"/>
    <w:rsid w:val="00B20FA6"/>
    <w:rsid w:val="00B2104D"/>
    <w:rsid w:val="00B2106E"/>
    <w:rsid w:val="00B21103"/>
    <w:rsid w:val="00B211A9"/>
    <w:rsid w:val="00B21410"/>
    <w:rsid w:val="00B21464"/>
    <w:rsid w:val="00B216FA"/>
    <w:rsid w:val="00B21A72"/>
    <w:rsid w:val="00B21B75"/>
    <w:rsid w:val="00B21C7F"/>
    <w:rsid w:val="00B21CFC"/>
    <w:rsid w:val="00B21DBE"/>
    <w:rsid w:val="00B2242A"/>
    <w:rsid w:val="00B22841"/>
    <w:rsid w:val="00B22B96"/>
    <w:rsid w:val="00B22D7B"/>
    <w:rsid w:val="00B22F5C"/>
    <w:rsid w:val="00B2320A"/>
    <w:rsid w:val="00B2325C"/>
    <w:rsid w:val="00B23286"/>
    <w:rsid w:val="00B2333B"/>
    <w:rsid w:val="00B233E1"/>
    <w:rsid w:val="00B235C0"/>
    <w:rsid w:val="00B23643"/>
    <w:rsid w:val="00B23DD0"/>
    <w:rsid w:val="00B24136"/>
    <w:rsid w:val="00B24147"/>
    <w:rsid w:val="00B249C7"/>
    <w:rsid w:val="00B24B8E"/>
    <w:rsid w:val="00B24B93"/>
    <w:rsid w:val="00B24CB0"/>
    <w:rsid w:val="00B25124"/>
    <w:rsid w:val="00B25528"/>
    <w:rsid w:val="00B2554A"/>
    <w:rsid w:val="00B256D0"/>
    <w:rsid w:val="00B257AF"/>
    <w:rsid w:val="00B25BE9"/>
    <w:rsid w:val="00B25D89"/>
    <w:rsid w:val="00B25F98"/>
    <w:rsid w:val="00B25FD2"/>
    <w:rsid w:val="00B261B7"/>
    <w:rsid w:val="00B261E0"/>
    <w:rsid w:val="00B261E3"/>
    <w:rsid w:val="00B26590"/>
    <w:rsid w:val="00B26696"/>
    <w:rsid w:val="00B26864"/>
    <w:rsid w:val="00B26A05"/>
    <w:rsid w:val="00B26A89"/>
    <w:rsid w:val="00B26AAC"/>
    <w:rsid w:val="00B26D9D"/>
    <w:rsid w:val="00B26FBE"/>
    <w:rsid w:val="00B27796"/>
    <w:rsid w:val="00B27BEA"/>
    <w:rsid w:val="00B27C67"/>
    <w:rsid w:val="00B27D59"/>
    <w:rsid w:val="00B27F6D"/>
    <w:rsid w:val="00B30040"/>
    <w:rsid w:val="00B30082"/>
    <w:rsid w:val="00B304E6"/>
    <w:rsid w:val="00B3060E"/>
    <w:rsid w:val="00B30681"/>
    <w:rsid w:val="00B30830"/>
    <w:rsid w:val="00B30BE4"/>
    <w:rsid w:val="00B30D0A"/>
    <w:rsid w:val="00B31C3F"/>
    <w:rsid w:val="00B31E3F"/>
    <w:rsid w:val="00B320D6"/>
    <w:rsid w:val="00B324EC"/>
    <w:rsid w:val="00B3294E"/>
    <w:rsid w:val="00B3295D"/>
    <w:rsid w:val="00B33429"/>
    <w:rsid w:val="00B33650"/>
    <w:rsid w:val="00B33A4E"/>
    <w:rsid w:val="00B33C7E"/>
    <w:rsid w:val="00B33CE3"/>
    <w:rsid w:val="00B33D04"/>
    <w:rsid w:val="00B33DA8"/>
    <w:rsid w:val="00B33E15"/>
    <w:rsid w:val="00B33FB3"/>
    <w:rsid w:val="00B34111"/>
    <w:rsid w:val="00B3429C"/>
    <w:rsid w:val="00B3438E"/>
    <w:rsid w:val="00B3451A"/>
    <w:rsid w:val="00B34662"/>
    <w:rsid w:val="00B34770"/>
    <w:rsid w:val="00B347DA"/>
    <w:rsid w:val="00B348B6"/>
    <w:rsid w:val="00B34ACF"/>
    <w:rsid w:val="00B34E41"/>
    <w:rsid w:val="00B350B0"/>
    <w:rsid w:val="00B35200"/>
    <w:rsid w:val="00B352B7"/>
    <w:rsid w:val="00B35332"/>
    <w:rsid w:val="00B353A5"/>
    <w:rsid w:val="00B358BD"/>
    <w:rsid w:val="00B358DF"/>
    <w:rsid w:val="00B35992"/>
    <w:rsid w:val="00B35A64"/>
    <w:rsid w:val="00B35B17"/>
    <w:rsid w:val="00B35BBE"/>
    <w:rsid w:val="00B35CCB"/>
    <w:rsid w:val="00B35EF5"/>
    <w:rsid w:val="00B360AA"/>
    <w:rsid w:val="00B362E0"/>
    <w:rsid w:val="00B363C4"/>
    <w:rsid w:val="00B36589"/>
    <w:rsid w:val="00B36924"/>
    <w:rsid w:val="00B3695C"/>
    <w:rsid w:val="00B36B5D"/>
    <w:rsid w:val="00B36D85"/>
    <w:rsid w:val="00B36DE6"/>
    <w:rsid w:val="00B37088"/>
    <w:rsid w:val="00B371A9"/>
    <w:rsid w:val="00B373C5"/>
    <w:rsid w:val="00B37697"/>
    <w:rsid w:val="00B37748"/>
    <w:rsid w:val="00B3789F"/>
    <w:rsid w:val="00B37929"/>
    <w:rsid w:val="00B37B3D"/>
    <w:rsid w:val="00B37D2E"/>
    <w:rsid w:val="00B37EA8"/>
    <w:rsid w:val="00B37F59"/>
    <w:rsid w:val="00B400D6"/>
    <w:rsid w:val="00B4016B"/>
    <w:rsid w:val="00B40537"/>
    <w:rsid w:val="00B40792"/>
    <w:rsid w:val="00B407A0"/>
    <w:rsid w:val="00B40A83"/>
    <w:rsid w:val="00B40BA2"/>
    <w:rsid w:val="00B40EAC"/>
    <w:rsid w:val="00B40F4C"/>
    <w:rsid w:val="00B41050"/>
    <w:rsid w:val="00B413E4"/>
    <w:rsid w:val="00B417B5"/>
    <w:rsid w:val="00B4199B"/>
    <w:rsid w:val="00B41AB0"/>
    <w:rsid w:val="00B41E6E"/>
    <w:rsid w:val="00B4206D"/>
    <w:rsid w:val="00B4215B"/>
    <w:rsid w:val="00B426FD"/>
    <w:rsid w:val="00B427F2"/>
    <w:rsid w:val="00B42813"/>
    <w:rsid w:val="00B42BB3"/>
    <w:rsid w:val="00B42CD5"/>
    <w:rsid w:val="00B42DFA"/>
    <w:rsid w:val="00B43074"/>
    <w:rsid w:val="00B43145"/>
    <w:rsid w:val="00B43165"/>
    <w:rsid w:val="00B431AF"/>
    <w:rsid w:val="00B43227"/>
    <w:rsid w:val="00B433CA"/>
    <w:rsid w:val="00B43599"/>
    <w:rsid w:val="00B438B8"/>
    <w:rsid w:val="00B439B4"/>
    <w:rsid w:val="00B43B8C"/>
    <w:rsid w:val="00B43CB6"/>
    <w:rsid w:val="00B43EC7"/>
    <w:rsid w:val="00B43EDC"/>
    <w:rsid w:val="00B44134"/>
    <w:rsid w:val="00B44150"/>
    <w:rsid w:val="00B4428D"/>
    <w:rsid w:val="00B44425"/>
    <w:rsid w:val="00B44441"/>
    <w:rsid w:val="00B4454A"/>
    <w:rsid w:val="00B449C7"/>
    <w:rsid w:val="00B44DF4"/>
    <w:rsid w:val="00B44F02"/>
    <w:rsid w:val="00B44F8B"/>
    <w:rsid w:val="00B44FF5"/>
    <w:rsid w:val="00B450BB"/>
    <w:rsid w:val="00B45145"/>
    <w:rsid w:val="00B45352"/>
    <w:rsid w:val="00B45633"/>
    <w:rsid w:val="00B45D39"/>
    <w:rsid w:val="00B45D86"/>
    <w:rsid w:val="00B45E66"/>
    <w:rsid w:val="00B45E91"/>
    <w:rsid w:val="00B45FC4"/>
    <w:rsid w:val="00B46028"/>
    <w:rsid w:val="00B46137"/>
    <w:rsid w:val="00B4641B"/>
    <w:rsid w:val="00B469EE"/>
    <w:rsid w:val="00B46C4B"/>
    <w:rsid w:val="00B46DA1"/>
    <w:rsid w:val="00B46E8F"/>
    <w:rsid w:val="00B46ED5"/>
    <w:rsid w:val="00B471AD"/>
    <w:rsid w:val="00B47220"/>
    <w:rsid w:val="00B475B1"/>
    <w:rsid w:val="00B475E2"/>
    <w:rsid w:val="00B476FC"/>
    <w:rsid w:val="00B4784A"/>
    <w:rsid w:val="00B4790E"/>
    <w:rsid w:val="00B47BBF"/>
    <w:rsid w:val="00B47CCF"/>
    <w:rsid w:val="00B47E12"/>
    <w:rsid w:val="00B47E39"/>
    <w:rsid w:val="00B50148"/>
    <w:rsid w:val="00B50A44"/>
    <w:rsid w:val="00B50A48"/>
    <w:rsid w:val="00B50A5E"/>
    <w:rsid w:val="00B50B8B"/>
    <w:rsid w:val="00B50C0B"/>
    <w:rsid w:val="00B50CC8"/>
    <w:rsid w:val="00B50DF1"/>
    <w:rsid w:val="00B50EDB"/>
    <w:rsid w:val="00B50F54"/>
    <w:rsid w:val="00B511A3"/>
    <w:rsid w:val="00B5178E"/>
    <w:rsid w:val="00B51870"/>
    <w:rsid w:val="00B518AA"/>
    <w:rsid w:val="00B518DA"/>
    <w:rsid w:val="00B5190E"/>
    <w:rsid w:val="00B51924"/>
    <w:rsid w:val="00B5194D"/>
    <w:rsid w:val="00B51974"/>
    <w:rsid w:val="00B51982"/>
    <w:rsid w:val="00B519DC"/>
    <w:rsid w:val="00B52304"/>
    <w:rsid w:val="00B523C8"/>
    <w:rsid w:val="00B5241C"/>
    <w:rsid w:val="00B5244F"/>
    <w:rsid w:val="00B52648"/>
    <w:rsid w:val="00B528E8"/>
    <w:rsid w:val="00B5298C"/>
    <w:rsid w:val="00B52996"/>
    <w:rsid w:val="00B52C5E"/>
    <w:rsid w:val="00B52DD6"/>
    <w:rsid w:val="00B52E1F"/>
    <w:rsid w:val="00B52EE3"/>
    <w:rsid w:val="00B530E3"/>
    <w:rsid w:val="00B532CE"/>
    <w:rsid w:val="00B53303"/>
    <w:rsid w:val="00B534BD"/>
    <w:rsid w:val="00B53782"/>
    <w:rsid w:val="00B53A33"/>
    <w:rsid w:val="00B53A37"/>
    <w:rsid w:val="00B53B28"/>
    <w:rsid w:val="00B53EF8"/>
    <w:rsid w:val="00B54172"/>
    <w:rsid w:val="00B541E3"/>
    <w:rsid w:val="00B54284"/>
    <w:rsid w:val="00B542FD"/>
    <w:rsid w:val="00B54546"/>
    <w:rsid w:val="00B5474C"/>
    <w:rsid w:val="00B54753"/>
    <w:rsid w:val="00B54853"/>
    <w:rsid w:val="00B54971"/>
    <w:rsid w:val="00B54BE5"/>
    <w:rsid w:val="00B54F53"/>
    <w:rsid w:val="00B55481"/>
    <w:rsid w:val="00B55488"/>
    <w:rsid w:val="00B559B6"/>
    <w:rsid w:val="00B55C33"/>
    <w:rsid w:val="00B55C7C"/>
    <w:rsid w:val="00B55D52"/>
    <w:rsid w:val="00B55DC8"/>
    <w:rsid w:val="00B55E39"/>
    <w:rsid w:val="00B55EF2"/>
    <w:rsid w:val="00B562EA"/>
    <w:rsid w:val="00B563AE"/>
    <w:rsid w:val="00B5643F"/>
    <w:rsid w:val="00B5674C"/>
    <w:rsid w:val="00B56992"/>
    <w:rsid w:val="00B56D66"/>
    <w:rsid w:val="00B56ECC"/>
    <w:rsid w:val="00B5739F"/>
    <w:rsid w:val="00B57436"/>
    <w:rsid w:val="00B57AEB"/>
    <w:rsid w:val="00B57CCE"/>
    <w:rsid w:val="00B57E2C"/>
    <w:rsid w:val="00B57EA9"/>
    <w:rsid w:val="00B605AC"/>
    <w:rsid w:val="00B6066A"/>
    <w:rsid w:val="00B60696"/>
    <w:rsid w:val="00B60718"/>
    <w:rsid w:val="00B60747"/>
    <w:rsid w:val="00B607EE"/>
    <w:rsid w:val="00B608E8"/>
    <w:rsid w:val="00B6092B"/>
    <w:rsid w:val="00B60C61"/>
    <w:rsid w:val="00B60DEF"/>
    <w:rsid w:val="00B60E12"/>
    <w:rsid w:val="00B6103E"/>
    <w:rsid w:val="00B612B2"/>
    <w:rsid w:val="00B6130B"/>
    <w:rsid w:val="00B61816"/>
    <w:rsid w:val="00B61923"/>
    <w:rsid w:val="00B61A45"/>
    <w:rsid w:val="00B61B3D"/>
    <w:rsid w:val="00B61DEF"/>
    <w:rsid w:val="00B61EA9"/>
    <w:rsid w:val="00B61EC8"/>
    <w:rsid w:val="00B62026"/>
    <w:rsid w:val="00B62213"/>
    <w:rsid w:val="00B6266C"/>
    <w:rsid w:val="00B627CE"/>
    <w:rsid w:val="00B6280B"/>
    <w:rsid w:val="00B62B22"/>
    <w:rsid w:val="00B62B7D"/>
    <w:rsid w:val="00B63238"/>
    <w:rsid w:val="00B6396C"/>
    <w:rsid w:val="00B63B3F"/>
    <w:rsid w:val="00B64016"/>
    <w:rsid w:val="00B640E7"/>
    <w:rsid w:val="00B64179"/>
    <w:rsid w:val="00B642ED"/>
    <w:rsid w:val="00B6433E"/>
    <w:rsid w:val="00B64370"/>
    <w:rsid w:val="00B643C5"/>
    <w:rsid w:val="00B6457B"/>
    <w:rsid w:val="00B645C6"/>
    <w:rsid w:val="00B6480F"/>
    <w:rsid w:val="00B648BE"/>
    <w:rsid w:val="00B64DDF"/>
    <w:rsid w:val="00B64FFF"/>
    <w:rsid w:val="00B6506A"/>
    <w:rsid w:val="00B653E7"/>
    <w:rsid w:val="00B653EB"/>
    <w:rsid w:val="00B65B4C"/>
    <w:rsid w:val="00B662B0"/>
    <w:rsid w:val="00B66399"/>
    <w:rsid w:val="00B663FB"/>
    <w:rsid w:val="00B66402"/>
    <w:rsid w:val="00B6644A"/>
    <w:rsid w:val="00B669FB"/>
    <w:rsid w:val="00B66A1C"/>
    <w:rsid w:val="00B66A6A"/>
    <w:rsid w:val="00B66C9A"/>
    <w:rsid w:val="00B66FE0"/>
    <w:rsid w:val="00B6731C"/>
    <w:rsid w:val="00B67323"/>
    <w:rsid w:val="00B67434"/>
    <w:rsid w:val="00B6798D"/>
    <w:rsid w:val="00B679CA"/>
    <w:rsid w:val="00B67A25"/>
    <w:rsid w:val="00B67E66"/>
    <w:rsid w:val="00B7006E"/>
    <w:rsid w:val="00B7071E"/>
    <w:rsid w:val="00B707A6"/>
    <w:rsid w:val="00B708BB"/>
    <w:rsid w:val="00B7091A"/>
    <w:rsid w:val="00B70B12"/>
    <w:rsid w:val="00B70C0D"/>
    <w:rsid w:val="00B70DE7"/>
    <w:rsid w:val="00B71047"/>
    <w:rsid w:val="00B71369"/>
    <w:rsid w:val="00B713FB"/>
    <w:rsid w:val="00B71853"/>
    <w:rsid w:val="00B71925"/>
    <w:rsid w:val="00B71F69"/>
    <w:rsid w:val="00B72251"/>
    <w:rsid w:val="00B72800"/>
    <w:rsid w:val="00B72F1F"/>
    <w:rsid w:val="00B73194"/>
    <w:rsid w:val="00B738A7"/>
    <w:rsid w:val="00B73919"/>
    <w:rsid w:val="00B73BA4"/>
    <w:rsid w:val="00B73D89"/>
    <w:rsid w:val="00B73FC3"/>
    <w:rsid w:val="00B742F0"/>
    <w:rsid w:val="00B7434D"/>
    <w:rsid w:val="00B744DE"/>
    <w:rsid w:val="00B746FF"/>
    <w:rsid w:val="00B74CFA"/>
    <w:rsid w:val="00B74EEC"/>
    <w:rsid w:val="00B75194"/>
    <w:rsid w:val="00B75376"/>
    <w:rsid w:val="00B753A5"/>
    <w:rsid w:val="00B75446"/>
    <w:rsid w:val="00B754DE"/>
    <w:rsid w:val="00B75872"/>
    <w:rsid w:val="00B75C1A"/>
    <w:rsid w:val="00B75D85"/>
    <w:rsid w:val="00B75FC9"/>
    <w:rsid w:val="00B763A0"/>
    <w:rsid w:val="00B763AB"/>
    <w:rsid w:val="00B76496"/>
    <w:rsid w:val="00B7716B"/>
    <w:rsid w:val="00B7718E"/>
    <w:rsid w:val="00B771F1"/>
    <w:rsid w:val="00B773B2"/>
    <w:rsid w:val="00B77419"/>
    <w:rsid w:val="00B775CD"/>
    <w:rsid w:val="00B77640"/>
    <w:rsid w:val="00B777B1"/>
    <w:rsid w:val="00B77844"/>
    <w:rsid w:val="00B779A3"/>
    <w:rsid w:val="00B77BAE"/>
    <w:rsid w:val="00B77C24"/>
    <w:rsid w:val="00B77F5D"/>
    <w:rsid w:val="00B77F6D"/>
    <w:rsid w:val="00B80025"/>
    <w:rsid w:val="00B800B9"/>
    <w:rsid w:val="00B80167"/>
    <w:rsid w:val="00B80186"/>
    <w:rsid w:val="00B802E0"/>
    <w:rsid w:val="00B80D2D"/>
    <w:rsid w:val="00B80EC8"/>
    <w:rsid w:val="00B810B6"/>
    <w:rsid w:val="00B811BF"/>
    <w:rsid w:val="00B8158F"/>
    <w:rsid w:val="00B81A62"/>
    <w:rsid w:val="00B81AAB"/>
    <w:rsid w:val="00B81B10"/>
    <w:rsid w:val="00B81B3B"/>
    <w:rsid w:val="00B81C15"/>
    <w:rsid w:val="00B81CBD"/>
    <w:rsid w:val="00B82048"/>
    <w:rsid w:val="00B82967"/>
    <w:rsid w:val="00B829CE"/>
    <w:rsid w:val="00B829E1"/>
    <w:rsid w:val="00B82B8B"/>
    <w:rsid w:val="00B82BE1"/>
    <w:rsid w:val="00B82CDB"/>
    <w:rsid w:val="00B82CFD"/>
    <w:rsid w:val="00B82F1E"/>
    <w:rsid w:val="00B82FB5"/>
    <w:rsid w:val="00B83010"/>
    <w:rsid w:val="00B833B6"/>
    <w:rsid w:val="00B834F4"/>
    <w:rsid w:val="00B83846"/>
    <w:rsid w:val="00B8399E"/>
    <w:rsid w:val="00B839A4"/>
    <w:rsid w:val="00B83A5D"/>
    <w:rsid w:val="00B83DBC"/>
    <w:rsid w:val="00B83F94"/>
    <w:rsid w:val="00B83FD0"/>
    <w:rsid w:val="00B841BA"/>
    <w:rsid w:val="00B842DA"/>
    <w:rsid w:val="00B84865"/>
    <w:rsid w:val="00B84C61"/>
    <w:rsid w:val="00B84D5F"/>
    <w:rsid w:val="00B84DA0"/>
    <w:rsid w:val="00B84F09"/>
    <w:rsid w:val="00B8507B"/>
    <w:rsid w:val="00B850BB"/>
    <w:rsid w:val="00B850D4"/>
    <w:rsid w:val="00B85102"/>
    <w:rsid w:val="00B85199"/>
    <w:rsid w:val="00B851C8"/>
    <w:rsid w:val="00B85719"/>
    <w:rsid w:val="00B85927"/>
    <w:rsid w:val="00B85AFF"/>
    <w:rsid w:val="00B85EE6"/>
    <w:rsid w:val="00B86082"/>
    <w:rsid w:val="00B8629F"/>
    <w:rsid w:val="00B866B2"/>
    <w:rsid w:val="00B867FD"/>
    <w:rsid w:val="00B86828"/>
    <w:rsid w:val="00B86A4A"/>
    <w:rsid w:val="00B86AFB"/>
    <w:rsid w:val="00B86B27"/>
    <w:rsid w:val="00B86C1B"/>
    <w:rsid w:val="00B86D8D"/>
    <w:rsid w:val="00B86DE3"/>
    <w:rsid w:val="00B87628"/>
    <w:rsid w:val="00B87B62"/>
    <w:rsid w:val="00B87DF5"/>
    <w:rsid w:val="00B90522"/>
    <w:rsid w:val="00B90AAD"/>
    <w:rsid w:val="00B90C1D"/>
    <w:rsid w:val="00B90C7C"/>
    <w:rsid w:val="00B91062"/>
    <w:rsid w:val="00B91118"/>
    <w:rsid w:val="00B9111D"/>
    <w:rsid w:val="00B913A5"/>
    <w:rsid w:val="00B913F4"/>
    <w:rsid w:val="00B91477"/>
    <w:rsid w:val="00B9163B"/>
    <w:rsid w:val="00B91677"/>
    <w:rsid w:val="00B916BA"/>
    <w:rsid w:val="00B91801"/>
    <w:rsid w:val="00B9188A"/>
    <w:rsid w:val="00B9188C"/>
    <w:rsid w:val="00B920B8"/>
    <w:rsid w:val="00B9230B"/>
    <w:rsid w:val="00B92424"/>
    <w:rsid w:val="00B9266C"/>
    <w:rsid w:val="00B926D3"/>
    <w:rsid w:val="00B92A03"/>
    <w:rsid w:val="00B92A9B"/>
    <w:rsid w:val="00B92ADE"/>
    <w:rsid w:val="00B92AFD"/>
    <w:rsid w:val="00B92B1D"/>
    <w:rsid w:val="00B92CA3"/>
    <w:rsid w:val="00B92E9A"/>
    <w:rsid w:val="00B930D7"/>
    <w:rsid w:val="00B931BD"/>
    <w:rsid w:val="00B93252"/>
    <w:rsid w:val="00B935A5"/>
    <w:rsid w:val="00B93849"/>
    <w:rsid w:val="00B93930"/>
    <w:rsid w:val="00B9395B"/>
    <w:rsid w:val="00B94188"/>
    <w:rsid w:val="00B944AE"/>
    <w:rsid w:val="00B94608"/>
    <w:rsid w:val="00B94A4F"/>
    <w:rsid w:val="00B94B37"/>
    <w:rsid w:val="00B94FD2"/>
    <w:rsid w:val="00B953E8"/>
    <w:rsid w:val="00B954DF"/>
    <w:rsid w:val="00B956AB"/>
    <w:rsid w:val="00B957F6"/>
    <w:rsid w:val="00B958E1"/>
    <w:rsid w:val="00B959EB"/>
    <w:rsid w:val="00B95BC4"/>
    <w:rsid w:val="00B96265"/>
    <w:rsid w:val="00B9633E"/>
    <w:rsid w:val="00B96567"/>
    <w:rsid w:val="00B9659D"/>
    <w:rsid w:val="00B96619"/>
    <w:rsid w:val="00B967F5"/>
    <w:rsid w:val="00B9696C"/>
    <w:rsid w:val="00B96D38"/>
    <w:rsid w:val="00B96D39"/>
    <w:rsid w:val="00B96DF6"/>
    <w:rsid w:val="00B96ED6"/>
    <w:rsid w:val="00B96F4F"/>
    <w:rsid w:val="00B97462"/>
    <w:rsid w:val="00B97562"/>
    <w:rsid w:val="00B97739"/>
    <w:rsid w:val="00B979AD"/>
    <w:rsid w:val="00B97CBB"/>
    <w:rsid w:val="00B97CD6"/>
    <w:rsid w:val="00B97EE2"/>
    <w:rsid w:val="00BA01A0"/>
    <w:rsid w:val="00BA07F5"/>
    <w:rsid w:val="00BA0875"/>
    <w:rsid w:val="00BA09B3"/>
    <w:rsid w:val="00BA0C1C"/>
    <w:rsid w:val="00BA0D39"/>
    <w:rsid w:val="00BA0F50"/>
    <w:rsid w:val="00BA0F54"/>
    <w:rsid w:val="00BA1020"/>
    <w:rsid w:val="00BA115C"/>
    <w:rsid w:val="00BA1239"/>
    <w:rsid w:val="00BA12D2"/>
    <w:rsid w:val="00BA135B"/>
    <w:rsid w:val="00BA15D7"/>
    <w:rsid w:val="00BA171C"/>
    <w:rsid w:val="00BA1723"/>
    <w:rsid w:val="00BA188C"/>
    <w:rsid w:val="00BA1A0D"/>
    <w:rsid w:val="00BA1C90"/>
    <w:rsid w:val="00BA1CD3"/>
    <w:rsid w:val="00BA1D71"/>
    <w:rsid w:val="00BA1DDF"/>
    <w:rsid w:val="00BA1E4B"/>
    <w:rsid w:val="00BA1F5A"/>
    <w:rsid w:val="00BA257B"/>
    <w:rsid w:val="00BA26F7"/>
    <w:rsid w:val="00BA2763"/>
    <w:rsid w:val="00BA27C3"/>
    <w:rsid w:val="00BA27DF"/>
    <w:rsid w:val="00BA2B49"/>
    <w:rsid w:val="00BA2DDB"/>
    <w:rsid w:val="00BA3194"/>
    <w:rsid w:val="00BA32BA"/>
    <w:rsid w:val="00BA34F7"/>
    <w:rsid w:val="00BA37AE"/>
    <w:rsid w:val="00BA3854"/>
    <w:rsid w:val="00BA387C"/>
    <w:rsid w:val="00BA3897"/>
    <w:rsid w:val="00BA3A32"/>
    <w:rsid w:val="00BA3CD6"/>
    <w:rsid w:val="00BA3E04"/>
    <w:rsid w:val="00BA3E62"/>
    <w:rsid w:val="00BA4051"/>
    <w:rsid w:val="00BA4052"/>
    <w:rsid w:val="00BA4119"/>
    <w:rsid w:val="00BA41B7"/>
    <w:rsid w:val="00BA42A8"/>
    <w:rsid w:val="00BA44CB"/>
    <w:rsid w:val="00BA476D"/>
    <w:rsid w:val="00BA4DBA"/>
    <w:rsid w:val="00BA528D"/>
    <w:rsid w:val="00BA5399"/>
    <w:rsid w:val="00BA5426"/>
    <w:rsid w:val="00BA5590"/>
    <w:rsid w:val="00BA55AD"/>
    <w:rsid w:val="00BA5910"/>
    <w:rsid w:val="00BA5DAD"/>
    <w:rsid w:val="00BA5ED0"/>
    <w:rsid w:val="00BA602C"/>
    <w:rsid w:val="00BA62B6"/>
    <w:rsid w:val="00BA65F3"/>
    <w:rsid w:val="00BA672B"/>
    <w:rsid w:val="00BA684B"/>
    <w:rsid w:val="00BA6EA8"/>
    <w:rsid w:val="00BA708F"/>
    <w:rsid w:val="00BA70F9"/>
    <w:rsid w:val="00BA7368"/>
    <w:rsid w:val="00BA7474"/>
    <w:rsid w:val="00BA747D"/>
    <w:rsid w:val="00BA7723"/>
    <w:rsid w:val="00BA7750"/>
    <w:rsid w:val="00BA7917"/>
    <w:rsid w:val="00BA7AF3"/>
    <w:rsid w:val="00BA7B4D"/>
    <w:rsid w:val="00BA7F2B"/>
    <w:rsid w:val="00BA7F5B"/>
    <w:rsid w:val="00BB0069"/>
    <w:rsid w:val="00BB0129"/>
    <w:rsid w:val="00BB01B9"/>
    <w:rsid w:val="00BB0287"/>
    <w:rsid w:val="00BB0510"/>
    <w:rsid w:val="00BB05A3"/>
    <w:rsid w:val="00BB05F3"/>
    <w:rsid w:val="00BB0620"/>
    <w:rsid w:val="00BB0637"/>
    <w:rsid w:val="00BB0753"/>
    <w:rsid w:val="00BB07A4"/>
    <w:rsid w:val="00BB07E7"/>
    <w:rsid w:val="00BB0BEB"/>
    <w:rsid w:val="00BB0C6E"/>
    <w:rsid w:val="00BB0E23"/>
    <w:rsid w:val="00BB0E57"/>
    <w:rsid w:val="00BB10DE"/>
    <w:rsid w:val="00BB13C2"/>
    <w:rsid w:val="00BB14CA"/>
    <w:rsid w:val="00BB17AD"/>
    <w:rsid w:val="00BB184B"/>
    <w:rsid w:val="00BB1A69"/>
    <w:rsid w:val="00BB1CEA"/>
    <w:rsid w:val="00BB21C5"/>
    <w:rsid w:val="00BB2401"/>
    <w:rsid w:val="00BB2481"/>
    <w:rsid w:val="00BB2516"/>
    <w:rsid w:val="00BB2696"/>
    <w:rsid w:val="00BB26BB"/>
    <w:rsid w:val="00BB282D"/>
    <w:rsid w:val="00BB2BC4"/>
    <w:rsid w:val="00BB2CEF"/>
    <w:rsid w:val="00BB3172"/>
    <w:rsid w:val="00BB346C"/>
    <w:rsid w:val="00BB3549"/>
    <w:rsid w:val="00BB3681"/>
    <w:rsid w:val="00BB394B"/>
    <w:rsid w:val="00BB3C11"/>
    <w:rsid w:val="00BB41A4"/>
    <w:rsid w:val="00BB426B"/>
    <w:rsid w:val="00BB4477"/>
    <w:rsid w:val="00BB477C"/>
    <w:rsid w:val="00BB49E5"/>
    <w:rsid w:val="00BB4B95"/>
    <w:rsid w:val="00BB4CC1"/>
    <w:rsid w:val="00BB527E"/>
    <w:rsid w:val="00BB53EA"/>
    <w:rsid w:val="00BB556E"/>
    <w:rsid w:val="00BB5629"/>
    <w:rsid w:val="00BB5757"/>
    <w:rsid w:val="00BB5CB1"/>
    <w:rsid w:val="00BB5E5F"/>
    <w:rsid w:val="00BB60BF"/>
    <w:rsid w:val="00BB6654"/>
    <w:rsid w:val="00BB680A"/>
    <w:rsid w:val="00BB69E3"/>
    <w:rsid w:val="00BB6D2A"/>
    <w:rsid w:val="00BB6D6E"/>
    <w:rsid w:val="00BB6D78"/>
    <w:rsid w:val="00BB6E14"/>
    <w:rsid w:val="00BB6EA2"/>
    <w:rsid w:val="00BB6F26"/>
    <w:rsid w:val="00BB728F"/>
    <w:rsid w:val="00BB7392"/>
    <w:rsid w:val="00BB75F4"/>
    <w:rsid w:val="00BB777D"/>
    <w:rsid w:val="00BB784B"/>
    <w:rsid w:val="00BB7902"/>
    <w:rsid w:val="00BB7996"/>
    <w:rsid w:val="00BB79BE"/>
    <w:rsid w:val="00BB7C51"/>
    <w:rsid w:val="00BB7CE9"/>
    <w:rsid w:val="00BB7D10"/>
    <w:rsid w:val="00BB7E9E"/>
    <w:rsid w:val="00BC0244"/>
    <w:rsid w:val="00BC0271"/>
    <w:rsid w:val="00BC08FA"/>
    <w:rsid w:val="00BC0B9E"/>
    <w:rsid w:val="00BC1060"/>
    <w:rsid w:val="00BC10B5"/>
    <w:rsid w:val="00BC1294"/>
    <w:rsid w:val="00BC138B"/>
    <w:rsid w:val="00BC1450"/>
    <w:rsid w:val="00BC153D"/>
    <w:rsid w:val="00BC16C6"/>
    <w:rsid w:val="00BC1715"/>
    <w:rsid w:val="00BC19FF"/>
    <w:rsid w:val="00BC1B5B"/>
    <w:rsid w:val="00BC1C03"/>
    <w:rsid w:val="00BC240B"/>
    <w:rsid w:val="00BC257B"/>
    <w:rsid w:val="00BC2737"/>
    <w:rsid w:val="00BC2D09"/>
    <w:rsid w:val="00BC2E13"/>
    <w:rsid w:val="00BC35C3"/>
    <w:rsid w:val="00BC384A"/>
    <w:rsid w:val="00BC3D6E"/>
    <w:rsid w:val="00BC3E46"/>
    <w:rsid w:val="00BC401D"/>
    <w:rsid w:val="00BC4087"/>
    <w:rsid w:val="00BC40AE"/>
    <w:rsid w:val="00BC44B2"/>
    <w:rsid w:val="00BC455C"/>
    <w:rsid w:val="00BC4CD7"/>
    <w:rsid w:val="00BC4FD1"/>
    <w:rsid w:val="00BC4FE5"/>
    <w:rsid w:val="00BC518F"/>
    <w:rsid w:val="00BC51C3"/>
    <w:rsid w:val="00BC60DF"/>
    <w:rsid w:val="00BC6273"/>
    <w:rsid w:val="00BC6446"/>
    <w:rsid w:val="00BC64F2"/>
    <w:rsid w:val="00BC658E"/>
    <w:rsid w:val="00BC673E"/>
    <w:rsid w:val="00BC693E"/>
    <w:rsid w:val="00BC694A"/>
    <w:rsid w:val="00BC697C"/>
    <w:rsid w:val="00BC6A7B"/>
    <w:rsid w:val="00BC6BB6"/>
    <w:rsid w:val="00BC6DEB"/>
    <w:rsid w:val="00BC702C"/>
    <w:rsid w:val="00BC7588"/>
    <w:rsid w:val="00BC758C"/>
    <w:rsid w:val="00BC7805"/>
    <w:rsid w:val="00BC7A87"/>
    <w:rsid w:val="00BC7CF0"/>
    <w:rsid w:val="00BC7DFA"/>
    <w:rsid w:val="00BD036C"/>
    <w:rsid w:val="00BD0417"/>
    <w:rsid w:val="00BD0A4B"/>
    <w:rsid w:val="00BD0D30"/>
    <w:rsid w:val="00BD10D9"/>
    <w:rsid w:val="00BD14D5"/>
    <w:rsid w:val="00BD1554"/>
    <w:rsid w:val="00BD1699"/>
    <w:rsid w:val="00BD1C24"/>
    <w:rsid w:val="00BD1CC1"/>
    <w:rsid w:val="00BD1E35"/>
    <w:rsid w:val="00BD2537"/>
    <w:rsid w:val="00BD26D8"/>
    <w:rsid w:val="00BD2984"/>
    <w:rsid w:val="00BD316E"/>
    <w:rsid w:val="00BD32C4"/>
    <w:rsid w:val="00BD3442"/>
    <w:rsid w:val="00BD3725"/>
    <w:rsid w:val="00BD399D"/>
    <w:rsid w:val="00BD3B6F"/>
    <w:rsid w:val="00BD3B7A"/>
    <w:rsid w:val="00BD3D68"/>
    <w:rsid w:val="00BD3E11"/>
    <w:rsid w:val="00BD43F0"/>
    <w:rsid w:val="00BD47C6"/>
    <w:rsid w:val="00BD4A1F"/>
    <w:rsid w:val="00BD4A65"/>
    <w:rsid w:val="00BD4C62"/>
    <w:rsid w:val="00BD4D47"/>
    <w:rsid w:val="00BD51D0"/>
    <w:rsid w:val="00BD526A"/>
    <w:rsid w:val="00BD53AD"/>
    <w:rsid w:val="00BD53D1"/>
    <w:rsid w:val="00BD5688"/>
    <w:rsid w:val="00BD5970"/>
    <w:rsid w:val="00BD59C4"/>
    <w:rsid w:val="00BD5A2A"/>
    <w:rsid w:val="00BD5B75"/>
    <w:rsid w:val="00BD5CCA"/>
    <w:rsid w:val="00BD605E"/>
    <w:rsid w:val="00BD607A"/>
    <w:rsid w:val="00BD6267"/>
    <w:rsid w:val="00BD6BCD"/>
    <w:rsid w:val="00BD6BFE"/>
    <w:rsid w:val="00BD6DA4"/>
    <w:rsid w:val="00BD6DAE"/>
    <w:rsid w:val="00BD7AE5"/>
    <w:rsid w:val="00BE0484"/>
    <w:rsid w:val="00BE06DA"/>
    <w:rsid w:val="00BE08C7"/>
    <w:rsid w:val="00BE0D05"/>
    <w:rsid w:val="00BE106B"/>
    <w:rsid w:val="00BE10DC"/>
    <w:rsid w:val="00BE1365"/>
    <w:rsid w:val="00BE13E2"/>
    <w:rsid w:val="00BE1A23"/>
    <w:rsid w:val="00BE1C63"/>
    <w:rsid w:val="00BE1DA5"/>
    <w:rsid w:val="00BE1FBE"/>
    <w:rsid w:val="00BE264A"/>
    <w:rsid w:val="00BE2881"/>
    <w:rsid w:val="00BE2C38"/>
    <w:rsid w:val="00BE32D4"/>
    <w:rsid w:val="00BE35A7"/>
    <w:rsid w:val="00BE3970"/>
    <w:rsid w:val="00BE3ABE"/>
    <w:rsid w:val="00BE3B3E"/>
    <w:rsid w:val="00BE3BB7"/>
    <w:rsid w:val="00BE410E"/>
    <w:rsid w:val="00BE41A0"/>
    <w:rsid w:val="00BE42AD"/>
    <w:rsid w:val="00BE4338"/>
    <w:rsid w:val="00BE4359"/>
    <w:rsid w:val="00BE456B"/>
    <w:rsid w:val="00BE4784"/>
    <w:rsid w:val="00BE4AEF"/>
    <w:rsid w:val="00BE4B44"/>
    <w:rsid w:val="00BE4C97"/>
    <w:rsid w:val="00BE506D"/>
    <w:rsid w:val="00BE52DE"/>
    <w:rsid w:val="00BE53DE"/>
    <w:rsid w:val="00BE556E"/>
    <w:rsid w:val="00BE6103"/>
    <w:rsid w:val="00BE61A9"/>
    <w:rsid w:val="00BE61FA"/>
    <w:rsid w:val="00BE66B5"/>
    <w:rsid w:val="00BE6AF8"/>
    <w:rsid w:val="00BE6C56"/>
    <w:rsid w:val="00BE6DB0"/>
    <w:rsid w:val="00BE6E55"/>
    <w:rsid w:val="00BE6E61"/>
    <w:rsid w:val="00BE6E7E"/>
    <w:rsid w:val="00BE7074"/>
    <w:rsid w:val="00BE725C"/>
    <w:rsid w:val="00BE77C3"/>
    <w:rsid w:val="00BE79BD"/>
    <w:rsid w:val="00BE7ADC"/>
    <w:rsid w:val="00BE7B8B"/>
    <w:rsid w:val="00BE7EF8"/>
    <w:rsid w:val="00BF00AB"/>
    <w:rsid w:val="00BF0623"/>
    <w:rsid w:val="00BF0C46"/>
    <w:rsid w:val="00BF0CF1"/>
    <w:rsid w:val="00BF0EAA"/>
    <w:rsid w:val="00BF11D9"/>
    <w:rsid w:val="00BF191D"/>
    <w:rsid w:val="00BF1C2C"/>
    <w:rsid w:val="00BF1F7B"/>
    <w:rsid w:val="00BF1FA7"/>
    <w:rsid w:val="00BF23BA"/>
    <w:rsid w:val="00BF2510"/>
    <w:rsid w:val="00BF25CD"/>
    <w:rsid w:val="00BF265A"/>
    <w:rsid w:val="00BF2B26"/>
    <w:rsid w:val="00BF2DF1"/>
    <w:rsid w:val="00BF2E1A"/>
    <w:rsid w:val="00BF2FF2"/>
    <w:rsid w:val="00BF304D"/>
    <w:rsid w:val="00BF3127"/>
    <w:rsid w:val="00BF3352"/>
    <w:rsid w:val="00BF35D7"/>
    <w:rsid w:val="00BF369E"/>
    <w:rsid w:val="00BF370D"/>
    <w:rsid w:val="00BF39A3"/>
    <w:rsid w:val="00BF3ADA"/>
    <w:rsid w:val="00BF3B1D"/>
    <w:rsid w:val="00BF3B2F"/>
    <w:rsid w:val="00BF3B3F"/>
    <w:rsid w:val="00BF3B44"/>
    <w:rsid w:val="00BF4728"/>
    <w:rsid w:val="00BF4A28"/>
    <w:rsid w:val="00BF5628"/>
    <w:rsid w:val="00BF56CE"/>
    <w:rsid w:val="00BF5713"/>
    <w:rsid w:val="00BF5938"/>
    <w:rsid w:val="00BF5ABA"/>
    <w:rsid w:val="00BF5B5A"/>
    <w:rsid w:val="00BF602E"/>
    <w:rsid w:val="00BF6402"/>
    <w:rsid w:val="00BF6459"/>
    <w:rsid w:val="00BF65B5"/>
    <w:rsid w:val="00BF66E8"/>
    <w:rsid w:val="00BF6835"/>
    <w:rsid w:val="00BF68DD"/>
    <w:rsid w:val="00BF6BAC"/>
    <w:rsid w:val="00BF6C5E"/>
    <w:rsid w:val="00BF6C8F"/>
    <w:rsid w:val="00BF6D29"/>
    <w:rsid w:val="00BF6F9E"/>
    <w:rsid w:val="00BF70C7"/>
    <w:rsid w:val="00BF7125"/>
    <w:rsid w:val="00BF72A1"/>
    <w:rsid w:val="00BF7569"/>
    <w:rsid w:val="00BF78DC"/>
    <w:rsid w:val="00BF7A64"/>
    <w:rsid w:val="00BF7A79"/>
    <w:rsid w:val="00BF7CE7"/>
    <w:rsid w:val="00BF7FC4"/>
    <w:rsid w:val="00C0004D"/>
    <w:rsid w:val="00C002D6"/>
    <w:rsid w:val="00C00357"/>
    <w:rsid w:val="00C0099B"/>
    <w:rsid w:val="00C00CF1"/>
    <w:rsid w:val="00C00E1F"/>
    <w:rsid w:val="00C01194"/>
    <w:rsid w:val="00C0119C"/>
    <w:rsid w:val="00C01627"/>
    <w:rsid w:val="00C0193C"/>
    <w:rsid w:val="00C019DF"/>
    <w:rsid w:val="00C01A23"/>
    <w:rsid w:val="00C01BE1"/>
    <w:rsid w:val="00C01DF7"/>
    <w:rsid w:val="00C01E04"/>
    <w:rsid w:val="00C01E79"/>
    <w:rsid w:val="00C02218"/>
    <w:rsid w:val="00C023F8"/>
    <w:rsid w:val="00C025F1"/>
    <w:rsid w:val="00C02690"/>
    <w:rsid w:val="00C02997"/>
    <w:rsid w:val="00C02C32"/>
    <w:rsid w:val="00C02C9D"/>
    <w:rsid w:val="00C03348"/>
    <w:rsid w:val="00C034A8"/>
    <w:rsid w:val="00C035D0"/>
    <w:rsid w:val="00C0362B"/>
    <w:rsid w:val="00C03732"/>
    <w:rsid w:val="00C03777"/>
    <w:rsid w:val="00C03A17"/>
    <w:rsid w:val="00C03AE4"/>
    <w:rsid w:val="00C03BA4"/>
    <w:rsid w:val="00C03CF8"/>
    <w:rsid w:val="00C03F3B"/>
    <w:rsid w:val="00C03FE5"/>
    <w:rsid w:val="00C0442B"/>
    <w:rsid w:val="00C044B5"/>
    <w:rsid w:val="00C046B2"/>
    <w:rsid w:val="00C0475D"/>
    <w:rsid w:val="00C04B47"/>
    <w:rsid w:val="00C04B83"/>
    <w:rsid w:val="00C04CD3"/>
    <w:rsid w:val="00C04D51"/>
    <w:rsid w:val="00C04DE2"/>
    <w:rsid w:val="00C04E87"/>
    <w:rsid w:val="00C05413"/>
    <w:rsid w:val="00C054C3"/>
    <w:rsid w:val="00C05743"/>
    <w:rsid w:val="00C05C36"/>
    <w:rsid w:val="00C0604E"/>
    <w:rsid w:val="00C06091"/>
    <w:rsid w:val="00C060C6"/>
    <w:rsid w:val="00C0616E"/>
    <w:rsid w:val="00C063B5"/>
    <w:rsid w:val="00C06627"/>
    <w:rsid w:val="00C066BA"/>
    <w:rsid w:val="00C06939"/>
    <w:rsid w:val="00C06B1C"/>
    <w:rsid w:val="00C07456"/>
    <w:rsid w:val="00C074E3"/>
    <w:rsid w:val="00C077E2"/>
    <w:rsid w:val="00C07950"/>
    <w:rsid w:val="00C07A4A"/>
    <w:rsid w:val="00C07B02"/>
    <w:rsid w:val="00C07D6C"/>
    <w:rsid w:val="00C07DD8"/>
    <w:rsid w:val="00C07EFF"/>
    <w:rsid w:val="00C10009"/>
    <w:rsid w:val="00C100A1"/>
    <w:rsid w:val="00C103B1"/>
    <w:rsid w:val="00C1096D"/>
    <w:rsid w:val="00C10ACB"/>
    <w:rsid w:val="00C11205"/>
    <w:rsid w:val="00C1127D"/>
    <w:rsid w:val="00C1145D"/>
    <w:rsid w:val="00C11534"/>
    <w:rsid w:val="00C115DD"/>
    <w:rsid w:val="00C118D4"/>
    <w:rsid w:val="00C11A48"/>
    <w:rsid w:val="00C11BED"/>
    <w:rsid w:val="00C121C9"/>
    <w:rsid w:val="00C1272A"/>
    <w:rsid w:val="00C12A19"/>
    <w:rsid w:val="00C12A78"/>
    <w:rsid w:val="00C12ABF"/>
    <w:rsid w:val="00C12DFE"/>
    <w:rsid w:val="00C12E03"/>
    <w:rsid w:val="00C12EC4"/>
    <w:rsid w:val="00C1314C"/>
    <w:rsid w:val="00C13250"/>
    <w:rsid w:val="00C13267"/>
    <w:rsid w:val="00C13442"/>
    <w:rsid w:val="00C1348C"/>
    <w:rsid w:val="00C1360F"/>
    <w:rsid w:val="00C1395E"/>
    <w:rsid w:val="00C13A69"/>
    <w:rsid w:val="00C13B53"/>
    <w:rsid w:val="00C13B7B"/>
    <w:rsid w:val="00C13E7D"/>
    <w:rsid w:val="00C13FA3"/>
    <w:rsid w:val="00C14837"/>
    <w:rsid w:val="00C14A57"/>
    <w:rsid w:val="00C14A9A"/>
    <w:rsid w:val="00C14AF7"/>
    <w:rsid w:val="00C14B3D"/>
    <w:rsid w:val="00C14B54"/>
    <w:rsid w:val="00C14FBE"/>
    <w:rsid w:val="00C151A5"/>
    <w:rsid w:val="00C151E3"/>
    <w:rsid w:val="00C15217"/>
    <w:rsid w:val="00C15443"/>
    <w:rsid w:val="00C1562C"/>
    <w:rsid w:val="00C15BEA"/>
    <w:rsid w:val="00C15D60"/>
    <w:rsid w:val="00C15E70"/>
    <w:rsid w:val="00C15EF9"/>
    <w:rsid w:val="00C160C0"/>
    <w:rsid w:val="00C1615F"/>
    <w:rsid w:val="00C16297"/>
    <w:rsid w:val="00C169E7"/>
    <w:rsid w:val="00C16BCE"/>
    <w:rsid w:val="00C16CB9"/>
    <w:rsid w:val="00C16D74"/>
    <w:rsid w:val="00C16F14"/>
    <w:rsid w:val="00C17271"/>
    <w:rsid w:val="00C1757F"/>
    <w:rsid w:val="00C176E7"/>
    <w:rsid w:val="00C178FF"/>
    <w:rsid w:val="00C1799E"/>
    <w:rsid w:val="00C17D29"/>
    <w:rsid w:val="00C20017"/>
    <w:rsid w:val="00C2030C"/>
    <w:rsid w:val="00C20A47"/>
    <w:rsid w:val="00C20CC7"/>
    <w:rsid w:val="00C20CD1"/>
    <w:rsid w:val="00C20E9D"/>
    <w:rsid w:val="00C20F2D"/>
    <w:rsid w:val="00C210DE"/>
    <w:rsid w:val="00C21109"/>
    <w:rsid w:val="00C2110C"/>
    <w:rsid w:val="00C217A0"/>
    <w:rsid w:val="00C21DBC"/>
    <w:rsid w:val="00C21EE3"/>
    <w:rsid w:val="00C21F31"/>
    <w:rsid w:val="00C2200E"/>
    <w:rsid w:val="00C2237D"/>
    <w:rsid w:val="00C2269A"/>
    <w:rsid w:val="00C2289A"/>
    <w:rsid w:val="00C22A39"/>
    <w:rsid w:val="00C22B6D"/>
    <w:rsid w:val="00C22CEB"/>
    <w:rsid w:val="00C22FCC"/>
    <w:rsid w:val="00C23023"/>
    <w:rsid w:val="00C2343E"/>
    <w:rsid w:val="00C23920"/>
    <w:rsid w:val="00C239C7"/>
    <w:rsid w:val="00C23AC2"/>
    <w:rsid w:val="00C23B79"/>
    <w:rsid w:val="00C23DD3"/>
    <w:rsid w:val="00C23E67"/>
    <w:rsid w:val="00C23F99"/>
    <w:rsid w:val="00C24118"/>
    <w:rsid w:val="00C241BF"/>
    <w:rsid w:val="00C24258"/>
    <w:rsid w:val="00C2472F"/>
    <w:rsid w:val="00C2484B"/>
    <w:rsid w:val="00C24853"/>
    <w:rsid w:val="00C24B31"/>
    <w:rsid w:val="00C2538F"/>
    <w:rsid w:val="00C2554C"/>
    <w:rsid w:val="00C257B5"/>
    <w:rsid w:val="00C25911"/>
    <w:rsid w:val="00C25A83"/>
    <w:rsid w:val="00C25B1F"/>
    <w:rsid w:val="00C25E00"/>
    <w:rsid w:val="00C25E1C"/>
    <w:rsid w:val="00C25E4E"/>
    <w:rsid w:val="00C25EAC"/>
    <w:rsid w:val="00C261E3"/>
    <w:rsid w:val="00C262CF"/>
    <w:rsid w:val="00C26410"/>
    <w:rsid w:val="00C2653E"/>
    <w:rsid w:val="00C26870"/>
    <w:rsid w:val="00C26B28"/>
    <w:rsid w:val="00C26E47"/>
    <w:rsid w:val="00C26F13"/>
    <w:rsid w:val="00C273C4"/>
    <w:rsid w:val="00C274D2"/>
    <w:rsid w:val="00C27BF8"/>
    <w:rsid w:val="00C27E79"/>
    <w:rsid w:val="00C3018C"/>
    <w:rsid w:val="00C302BF"/>
    <w:rsid w:val="00C30565"/>
    <w:rsid w:val="00C309D4"/>
    <w:rsid w:val="00C30CD6"/>
    <w:rsid w:val="00C30F0D"/>
    <w:rsid w:val="00C3106A"/>
    <w:rsid w:val="00C3126C"/>
    <w:rsid w:val="00C312F5"/>
    <w:rsid w:val="00C3148B"/>
    <w:rsid w:val="00C31680"/>
    <w:rsid w:val="00C31713"/>
    <w:rsid w:val="00C31778"/>
    <w:rsid w:val="00C31C33"/>
    <w:rsid w:val="00C31D79"/>
    <w:rsid w:val="00C31FA7"/>
    <w:rsid w:val="00C320D9"/>
    <w:rsid w:val="00C32129"/>
    <w:rsid w:val="00C32497"/>
    <w:rsid w:val="00C32617"/>
    <w:rsid w:val="00C3311F"/>
    <w:rsid w:val="00C33168"/>
    <w:rsid w:val="00C33219"/>
    <w:rsid w:val="00C33276"/>
    <w:rsid w:val="00C33446"/>
    <w:rsid w:val="00C3357E"/>
    <w:rsid w:val="00C335F4"/>
    <w:rsid w:val="00C33609"/>
    <w:rsid w:val="00C337C8"/>
    <w:rsid w:val="00C337FE"/>
    <w:rsid w:val="00C33805"/>
    <w:rsid w:val="00C338C2"/>
    <w:rsid w:val="00C33C02"/>
    <w:rsid w:val="00C33C9F"/>
    <w:rsid w:val="00C33FAD"/>
    <w:rsid w:val="00C3436B"/>
    <w:rsid w:val="00C34378"/>
    <w:rsid w:val="00C34464"/>
    <w:rsid w:val="00C34468"/>
    <w:rsid w:val="00C34500"/>
    <w:rsid w:val="00C34509"/>
    <w:rsid w:val="00C347A5"/>
    <w:rsid w:val="00C34B19"/>
    <w:rsid w:val="00C34C25"/>
    <w:rsid w:val="00C34CA2"/>
    <w:rsid w:val="00C34CBE"/>
    <w:rsid w:val="00C34EF6"/>
    <w:rsid w:val="00C34F29"/>
    <w:rsid w:val="00C35287"/>
    <w:rsid w:val="00C3548F"/>
    <w:rsid w:val="00C358F5"/>
    <w:rsid w:val="00C35E87"/>
    <w:rsid w:val="00C35EF4"/>
    <w:rsid w:val="00C35F97"/>
    <w:rsid w:val="00C360A6"/>
    <w:rsid w:val="00C360F1"/>
    <w:rsid w:val="00C36156"/>
    <w:rsid w:val="00C36161"/>
    <w:rsid w:val="00C363DE"/>
    <w:rsid w:val="00C364DC"/>
    <w:rsid w:val="00C36A21"/>
    <w:rsid w:val="00C36A6C"/>
    <w:rsid w:val="00C36C0C"/>
    <w:rsid w:val="00C36F43"/>
    <w:rsid w:val="00C3735B"/>
    <w:rsid w:val="00C37443"/>
    <w:rsid w:val="00C375D4"/>
    <w:rsid w:val="00C37609"/>
    <w:rsid w:val="00C378DA"/>
    <w:rsid w:val="00C3793B"/>
    <w:rsid w:val="00C37D9F"/>
    <w:rsid w:val="00C37F15"/>
    <w:rsid w:val="00C400FE"/>
    <w:rsid w:val="00C40600"/>
    <w:rsid w:val="00C407DC"/>
    <w:rsid w:val="00C409DF"/>
    <w:rsid w:val="00C409E1"/>
    <w:rsid w:val="00C40A36"/>
    <w:rsid w:val="00C40D00"/>
    <w:rsid w:val="00C40D6F"/>
    <w:rsid w:val="00C40F2B"/>
    <w:rsid w:val="00C40F42"/>
    <w:rsid w:val="00C4136D"/>
    <w:rsid w:val="00C4138F"/>
    <w:rsid w:val="00C4157C"/>
    <w:rsid w:val="00C4199E"/>
    <w:rsid w:val="00C41B5A"/>
    <w:rsid w:val="00C41E38"/>
    <w:rsid w:val="00C41F7B"/>
    <w:rsid w:val="00C4209F"/>
    <w:rsid w:val="00C4223A"/>
    <w:rsid w:val="00C422DB"/>
    <w:rsid w:val="00C4265C"/>
    <w:rsid w:val="00C42755"/>
    <w:rsid w:val="00C427F9"/>
    <w:rsid w:val="00C428B4"/>
    <w:rsid w:val="00C42BBD"/>
    <w:rsid w:val="00C42C67"/>
    <w:rsid w:val="00C42D2E"/>
    <w:rsid w:val="00C42E2C"/>
    <w:rsid w:val="00C433AE"/>
    <w:rsid w:val="00C433CA"/>
    <w:rsid w:val="00C43672"/>
    <w:rsid w:val="00C43706"/>
    <w:rsid w:val="00C437E1"/>
    <w:rsid w:val="00C438B2"/>
    <w:rsid w:val="00C43BCE"/>
    <w:rsid w:val="00C43C76"/>
    <w:rsid w:val="00C43C83"/>
    <w:rsid w:val="00C43DB7"/>
    <w:rsid w:val="00C4411D"/>
    <w:rsid w:val="00C44534"/>
    <w:rsid w:val="00C44694"/>
    <w:rsid w:val="00C448B9"/>
    <w:rsid w:val="00C44B1C"/>
    <w:rsid w:val="00C457B0"/>
    <w:rsid w:val="00C45A1E"/>
    <w:rsid w:val="00C45A34"/>
    <w:rsid w:val="00C45AC4"/>
    <w:rsid w:val="00C461CA"/>
    <w:rsid w:val="00C46507"/>
    <w:rsid w:val="00C465C9"/>
    <w:rsid w:val="00C465D3"/>
    <w:rsid w:val="00C4683D"/>
    <w:rsid w:val="00C46936"/>
    <w:rsid w:val="00C46A42"/>
    <w:rsid w:val="00C46B2B"/>
    <w:rsid w:val="00C46EB8"/>
    <w:rsid w:val="00C470D2"/>
    <w:rsid w:val="00C47493"/>
    <w:rsid w:val="00C47BEE"/>
    <w:rsid w:val="00C47C4E"/>
    <w:rsid w:val="00C47E1B"/>
    <w:rsid w:val="00C47E9B"/>
    <w:rsid w:val="00C5006B"/>
    <w:rsid w:val="00C503FF"/>
    <w:rsid w:val="00C50708"/>
    <w:rsid w:val="00C50A50"/>
    <w:rsid w:val="00C5112F"/>
    <w:rsid w:val="00C5143A"/>
    <w:rsid w:val="00C51520"/>
    <w:rsid w:val="00C5160C"/>
    <w:rsid w:val="00C51709"/>
    <w:rsid w:val="00C519E8"/>
    <w:rsid w:val="00C51D3C"/>
    <w:rsid w:val="00C51DA0"/>
    <w:rsid w:val="00C51F19"/>
    <w:rsid w:val="00C522CF"/>
    <w:rsid w:val="00C52384"/>
    <w:rsid w:val="00C52457"/>
    <w:rsid w:val="00C52469"/>
    <w:rsid w:val="00C52655"/>
    <w:rsid w:val="00C529E5"/>
    <w:rsid w:val="00C52AE1"/>
    <w:rsid w:val="00C52B2B"/>
    <w:rsid w:val="00C52C7D"/>
    <w:rsid w:val="00C52CB6"/>
    <w:rsid w:val="00C52F50"/>
    <w:rsid w:val="00C5313E"/>
    <w:rsid w:val="00C53582"/>
    <w:rsid w:val="00C535AA"/>
    <w:rsid w:val="00C53674"/>
    <w:rsid w:val="00C5397A"/>
    <w:rsid w:val="00C53A0B"/>
    <w:rsid w:val="00C53B14"/>
    <w:rsid w:val="00C53B9B"/>
    <w:rsid w:val="00C53D24"/>
    <w:rsid w:val="00C541D6"/>
    <w:rsid w:val="00C542C4"/>
    <w:rsid w:val="00C5451A"/>
    <w:rsid w:val="00C5471B"/>
    <w:rsid w:val="00C54CA0"/>
    <w:rsid w:val="00C54D7D"/>
    <w:rsid w:val="00C54DE1"/>
    <w:rsid w:val="00C551AB"/>
    <w:rsid w:val="00C5528F"/>
    <w:rsid w:val="00C558B1"/>
    <w:rsid w:val="00C55A9F"/>
    <w:rsid w:val="00C55AB9"/>
    <w:rsid w:val="00C55B66"/>
    <w:rsid w:val="00C55F2D"/>
    <w:rsid w:val="00C56008"/>
    <w:rsid w:val="00C56015"/>
    <w:rsid w:val="00C5603E"/>
    <w:rsid w:val="00C56265"/>
    <w:rsid w:val="00C562FC"/>
    <w:rsid w:val="00C56772"/>
    <w:rsid w:val="00C56974"/>
    <w:rsid w:val="00C56C68"/>
    <w:rsid w:val="00C56D3C"/>
    <w:rsid w:val="00C57030"/>
    <w:rsid w:val="00C572FF"/>
    <w:rsid w:val="00C573D8"/>
    <w:rsid w:val="00C57415"/>
    <w:rsid w:val="00C57602"/>
    <w:rsid w:val="00C57B37"/>
    <w:rsid w:val="00C57DA8"/>
    <w:rsid w:val="00C57EBB"/>
    <w:rsid w:val="00C57EC7"/>
    <w:rsid w:val="00C601DD"/>
    <w:rsid w:val="00C60392"/>
    <w:rsid w:val="00C60536"/>
    <w:rsid w:val="00C606A7"/>
    <w:rsid w:val="00C606B6"/>
    <w:rsid w:val="00C6088D"/>
    <w:rsid w:val="00C608A1"/>
    <w:rsid w:val="00C609FA"/>
    <w:rsid w:val="00C60AD9"/>
    <w:rsid w:val="00C60CD7"/>
    <w:rsid w:val="00C60F70"/>
    <w:rsid w:val="00C61032"/>
    <w:rsid w:val="00C61054"/>
    <w:rsid w:val="00C612ED"/>
    <w:rsid w:val="00C6136E"/>
    <w:rsid w:val="00C61675"/>
    <w:rsid w:val="00C617C7"/>
    <w:rsid w:val="00C61B19"/>
    <w:rsid w:val="00C61C1E"/>
    <w:rsid w:val="00C61CBE"/>
    <w:rsid w:val="00C61D9E"/>
    <w:rsid w:val="00C61DD3"/>
    <w:rsid w:val="00C6237A"/>
    <w:rsid w:val="00C6253A"/>
    <w:rsid w:val="00C62775"/>
    <w:rsid w:val="00C627B5"/>
    <w:rsid w:val="00C6289B"/>
    <w:rsid w:val="00C62988"/>
    <w:rsid w:val="00C62BF4"/>
    <w:rsid w:val="00C62CB2"/>
    <w:rsid w:val="00C62DDC"/>
    <w:rsid w:val="00C62FCC"/>
    <w:rsid w:val="00C63027"/>
    <w:rsid w:val="00C631CE"/>
    <w:rsid w:val="00C63467"/>
    <w:rsid w:val="00C634F3"/>
    <w:rsid w:val="00C635A0"/>
    <w:rsid w:val="00C635EF"/>
    <w:rsid w:val="00C640D6"/>
    <w:rsid w:val="00C64176"/>
    <w:rsid w:val="00C64209"/>
    <w:rsid w:val="00C64456"/>
    <w:rsid w:val="00C64602"/>
    <w:rsid w:val="00C646EA"/>
    <w:rsid w:val="00C647D0"/>
    <w:rsid w:val="00C64CF8"/>
    <w:rsid w:val="00C64D01"/>
    <w:rsid w:val="00C64F17"/>
    <w:rsid w:val="00C64F53"/>
    <w:rsid w:val="00C65040"/>
    <w:rsid w:val="00C65046"/>
    <w:rsid w:val="00C651C5"/>
    <w:rsid w:val="00C6533F"/>
    <w:rsid w:val="00C655AC"/>
    <w:rsid w:val="00C655CD"/>
    <w:rsid w:val="00C655E0"/>
    <w:rsid w:val="00C65633"/>
    <w:rsid w:val="00C65724"/>
    <w:rsid w:val="00C6572F"/>
    <w:rsid w:val="00C65777"/>
    <w:rsid w:val="00C6585D"/>
    <w:rsid w:val="00C65E28"/>
    <w:rsid w:val="00C65E3C"/>
    <w:rsid w:val="00C660BA"/>
    <w:rsid w:val="00C66145"/>
    <w:rsid w:val="00C66218"/>
    <w:rsid w:val="00C662A7"/>
    <w:rsid w:val="00C66468"/>
    <w:rsid w:val="00C66E58"/>
    <w:rsid w:val="00C66E92"/>
    <w:rsid w:val="00C6716A"/>
    <w:rsid w:val="00C671E4"/>
    <w:rsid w:val="00C67396"/>
    <w:rsid w:val="00C674B0"/>
    <w:rsid w:val="00C67560"/>
    <w:rsid w:val="00C676B8"/>
    <w:rsid w:val="00C67857"/>
    <w:rsid w:val="00C67C57"/>
    <w:rsid w:val="00C67D0E"/>
    <w:rsid w:val="00C70890"/>
    <w:rsid w:val="00C709E5"/>
    <w:rsid w:val="00C70B53"/>
    <w:rsid w:val="00C70BDB"/>
    <w:rsid w:val="00C70DCE"/>
    <w:rsid w:val="00C70F72"/>
    <w:rsid w:val="00C71219"/>
    <w:rsid w:val="00C71226"/>
    <w:rsid w:val="00C71480"/>
    <w:rsid w:val="00C7163F"/>
    <w:rsid w:val="00C71671"/>
    <w:rsid w:val="00C717EB"/>
    <w:rsid w:val="00C71A08"/>
    <w:rsid w:val="00C71B62"/>
    <w:rsid w:val="00C723CE"/>
    <w:rsid w:val="00C728DD"/>
    <w:rsid w:val="00C72940"/>
    <w:rsid w:val="00C729FD"/>
    <w:rsid w:val="00C72A56"/>
    <w:rsid w:val="00C72AB4"/>
    <w:rsid w:val="00C72BF5"/>
    <w:rsid w:val="00C72C0E"/>
    <w:rsid w:val="00C72DBD"/>
    <w:rsid w:val="00C72DF8"/>
    <w:rsid w:val="00C72EB2"/>
    <w:rsid w:val="00C73151"/>
    <w:rsid w:val="00C735D4"/>
    <w:rsid w:val="00C736D3"/>
    <w:rsid w:val="00C73A64"/>
    <w:rsid w:val="00C73C2E"/>
    <w:rsid w:val="00C73D0E"/>
    <w:rsid w:val="00C73E69"/>
    <w:rsid w:val="00C745B3"/>
    <w:rsid w:val="00C74A19"/>
    <w:rsid w:val="00C74B63"/>
    <w:rsid w:val="00C74CA6"/>
    <w:rsid w:val="00C75165"/>
    <w:rsid w:val="00C7522D"/>
    <w:rsid w:val="00C754F3"/>
    <w:rsid w:val="00C757D6"/>
    <w:rsid w:val="00C75C6F"/>
    <w:rsid w:val="00C75D23"/>
    <w:rsid w:val="00C75DA3"/>
    <w:rsid w:val="00C76024"/>
    <w:rsid w:val="00C76108"/>
    <w:rsid w:val="00C7630A"/>
    <w:rsid w:val="00C7643F"/>
    <w:rsid w:val="00C76470"/>
    <w:rsid w:val="00C764D6"/>
    <w:rsid w:val="00C76590"/>
    <w:rsid w:val="00C76710"/>
    <w:rsid w:val="00C767AE"/>
    <w:rsid w:val="00C767CF"/>
    <w:rsid w:val="00C767FC"/>
    <w:rsid w:val="00C768D6"/>
    <w:rsid w:val="00C76E23"/>
    <w:rsid w:val="00C7700F"/>
    <w:rsid w:val="00C77126"/>
    <w:rsid w:val="00C77182"/>
    <w:rsid w:val="00C77197"/>
    <w:rsid w:val="00C77354"/>
    <w:rsid w:val="00C7748F"/>
    <w:rsid w:val="00C77B73"/>
    <w:rsid w:val="00C77E7E"/>
    <w:rsid w:val="00C77EBE"/>
    <w:rsid w:val="00C77F85"/>
    <w:rsid w:val="00C804C4"/>
    <w:rsid w:val="00C8051C"/>
    <w:rsid w:val="00C80817"/>
    <w:rsid w:val="00C80837"/>
    <w:rsid w:val="00C80D98"/>
    <w:rsid w:val="00C80DEE"/>
    <w:rsid w:val="00C81030"/>
    <w:rsid w:val="00C8122D"/>
    <w:rsid w:val="00C8143A"/>
    <w:rsid w:val="00C8145F"/>
    <w:rsid w:val="00C81924"/>
    <w:rsid w:val="00C819F1"/>
    <w:rsid w:val="00C81AF3"/>
    <w:rsid w:val="00C81EDF"/>
    <w:rsid w:val="00C81F02"/>
    <w:rsid w:val="00C82176"/>
    <w:rsid w:val="00C82270"/>
    <w:rsid w:val="00C823F5"/>
    <w:rsid w:val="00C82891"/>
    <w:rsid w:val="00C82A62"/>
    <w:rsid w:val="00C8303B"/>
    <w:rsid w:val="00C83764"/>
    <w:rsid w:val="00C838EE"/>
    <w:rsid w:val="00C83AFA"/>
    <w:rsid w:val="00C83B59"/>
    <w:rsid w:val="00C83DBD"/>
    <w:rsid w:val="00C83F3D"/>
    <w:rsid w:val="00C84288"/>
    <w:rsid w:val="00C845FC"/>
    <w:rsid w:val="00C84B39"/>
    <w:rsid w:val="00C84C17"/>
    <w:rsid w:val="00C84CF0"/>
    <w:rsid w:val="00C85123"/>
    <w:rsid w:val="00C851B5"/>
    <w:rsid w:val="00C85511"/>
    <w:rsid w:val="00C8552D"/>
    <w:rsid w:val="00C8561E"/>
    <w:rsid w:val="00C85A52"/>
    <w:rsid w:val="00C85BFF"/>
    <w:rsid w:val="00C85DCE"/>
    <w:rsid w:val="00C85EAD"/>
    <w:rsid w:val="00C85F2A"/>
    <w:rsid w:val="00C85FFC"/>
    <w:rsid w:val="00C861EE"/>
    <w:rsid w:val="00C8620E"/>
    <w:rsid w:val="00C8635E"/>
    <w:rsid w:val="00C86702"/>
    <w:rsid w:val="00C86964"/>
    <w:rsid w:val="00C86D44"/>
    <w:rsid w:val="00C86EB7"/>
    <w:rsid w:val="00C87019"/>
    <w:rsid w:val="00C87322"/>
    <w:rsid w:val="00C8777F"/>
    <w:rsid w:val="00C87957"/>
    <w:rsid w:val="00C87C6D"/>
    <w:rsid w:val="00C87D1A"/>
    <w:rsid w:val="00C87DE2"/>
    <w:rsid w:val="00C90023"/>
    <w:rsid w:val="00C902BB"/>
    <w:rsid w:val="00C9031D"/>
    <w:rsid w:val="00C905E6"/>
    <w:rsid w:val="00C907EF"/>
    <w:rsid w:val="00C90832"/>
    <w:rsid w:val="00C909EE"/>
    <w:rsid w:val="00C90AF5"/>
    <w:rsid w:val="00C90F55"/>
    <w:rsid w:val="00C90F62"/>
    <w:rsid w:val="00C911E0"/>
    <w:rsid w:val="00C9146C"/>
    <w:rsid w:val="00C916C5"/>
    <w:rsid w:val="00C917A8"/>
    <w:rsid w:val="00C91B49"/>
    <w:rsid w:val="00C91BF7"/>
    <w:rsid w:val="00C91D42"/>
    <w:rsid w:val="00C91D4A"/>
    <w:rsid w:val="00C92074"/>
    <w:rsid w:val="00C920CE"/>
    <w:rsid w:val="00C9233A"/>
    <w:rsid w:val="00C924CF"/>
    <w:rsid w:val="00C92CE2"/>
    <w:rsid w:val="00C92E67"/>
    <w:rsid w:val="00C92F6F"/>
    <w:rsid w:val="00C932B6"/>
    <w:rsid w:val="00C933A1"/>
    <w:rsid w:val="00C93540"/>
    <w:rsid w:val="00C93697"/>
    <w:rsid w:val="00C93E5D"/>
    <w:rsid w:val="00C93F2A"/>
    <w:rsid w:val="00C942AA"/>
    <w:rsid w:val="00C943DF"/>
    <w:rsid w:val="00C94670"/>
    <w:rsid w:val="00C94730"/>
    <w:rsid w:val="00C94822"/>
    <w:rsid w:val="00C948D3"/>
    <w:rsid w:val="00C94F30"/>
    <w:rsid w:val="00C9514E"/>
    <w:rsid w:val="00C953CA"/>
    <w:rsid w:val="00C95611"/>
    <w:rsid w:val="00C95722"/>
    <w:rsid w:val="00C957D6"/>
    <w:rsid w:val="00C957F7"/>
    <w:rsid w:val="00C95B77"/>
    <w:rsid w:val="00C95C9D"/>
    <w:rsid w:val="00C95DCA"/>
    <w:rsid w:val="00C95EAD"/>
    <w:rsid w:val="00C96117"/>
    <w:rsid w:val="00C9614F"/>
    <w:rsid w:val="00C961DF"/>
    <w:rsid w:val="00C9624E"/>
    <w:rsid w:val="00C967CD"/>
    <w:rsid w:val="00C9690F"/>
    <w:rsid w:val="00C96B17"/>
    <w:rsid w:val="00C96C37"/>
    <w:rsid w:val="00C96E47"/>
    <w:rsid w:val="00C974E0"/>
    <w:rsid w:val="00C975A2"/>
    <w:rsid w:val="00C9769F"/>
    <w:rsid w:val="00C976D2"/>
    <w:rsid w:val="00C9779A"/>
    <w:rsid w:val="00C977E2"/>
    <w:rsid w:val="00C97B6B"/>
    <w:rsid w:val="00C97BC3"/>
    <w:rsid w:val="00C97EFA"/>
    <w:rsid w:val="00C97F6E"/>
    <w:rsid w:val="00CA031C"/>
    <w:rsid w:val="00CA0472"/>
    <w:rsid w:val="00CA06AF"/>
    <w:rsid w:val="00CA0872"/>
    <w:rsid w:val="00CA089B"/>
    <w:rsid w:val="00CA0A3D"/>
    <w:rsid w:val="00CA0DA6"/>
    <w:rsid w:val="00CA10DD"/>
    <w:rsid w:val="00CA119B"/>
    <w:rsid w:val="00CA1220"/>
    <w:rsid w:val="00CA1521"/>
    <w:rsid w:val="00CA1622"/>
    <w:rsid w:val="00CA1748"/>
    <w:rsid w:val="00CA1797"/>
    <w:rsid w:val="00CA1B07"/>
    <w:rsid w:val="00CA1B5B"/>
    <w:rsid w:val="00CA1BE0"/>
    <w:rsid w:val="00CA1CBC"/>
    <w:rsid w:val="00CA1D6D"/>
    <w:rsid w:val="00CA1E1F"/>
    <w:rsid w:val="00CA238F"/>
    <w:rsid w:val="00CA2756"/>
    <w:rsid w:val="00CA27A3"/>
    <w:rsid w:val="00CA2A09"/>
    <w:rsid w:val="00CA2CE8"/>
    <w:rsid w:val="00CA2D7C"/>
    <w:rsid w:val="00CA3092"/>
    <w:rsid w:val="00CA30AC"/>
    <w:rsid w:val="00CA3390"/>
    <w:rsid w:val="00CA35A3"/>
    <w:rsid w:val="00CA35B7"/>
    <w:rsid w:val="00CA3676"/>
    <w:rsid w:val="00CA3714"/>
    <w:rsid w:val="00CA3B48"/>
    <w:rsid w:val="00CA3B66"/>
    <w:rsid w:val="00CA3BC4"/>
    <w:rsid w:val="00CA3C90"/>
    <w:rsid w:val="00CA3D9D"/>
    <w:rsid w:val="00CA406B"/>
    <w:rsid w:val="00CA413D"/>
    <w:rsid w:val="00CA41AE"/>
    <w:rsid w:val="00CA44A9"/>
    <w:rsid w:val="00CA46CF"/>
    <w:rsid w:val="00CA4821"/>
    <w:rsid w:val="00CA4A6A"/>
    <w:rsid w:val="00CA4BA4"/>
    <w:rsid w:val="00CA4F77"/>
    <w:rsid w:val="00CA51B2"/>
    <w:rsid w:val="00CA522A"/>
    <w:rsid w:val="00CA5771"/>
    <w:rsid w:val="00CA5C98"/>
    <w:rsid w:val="00CA5D51"/>
    <w:rsid w:val="00CA6365"/>
    <w:rsid w:val="00CA6538"/>
    <w:rsid w:val="00CA65DD"/>
    <w:rsid w:val="00CA6719"/>
    <w:rsid w:val="00CA693E"/>
    <w:rsid w:val="00CA6942"/>
    <w:rsid w:val="00CA6C53"/>
    <w:rsid w:val="00CA6CBB"/>
    <w:rsid w:val="00CA7270"/>
    <w:rsid w:val="00CA7347"/>
    <w:rsid w:val="00CA741E"/>
    <w:rsid w:val="00CA741F"/>
    <w:rsid w:val="00CA75CE"/>
    <w:rsid w:val="00CA770E"/>
    <w:rsid w:val="00CA7B45"/>
    <w:rsid w:val="00CA7DAA"/>
    <w:rsid w:val="00CAD932"/>
    <w:rsid w:val="00CB001D"/>
    <w:rsid w:val="00CB0138"/>
    <w:rsid w:val="00CB01B4"/>
    <w:rsid w:val="00CB02D8"/>
    <w:rsid w:val="00CB0588"/>
    <w:rsid w:val="00CB069F"/>
    <w:rsid w:val="00CB084E"/>
    <w:rsid w:val="00CB09CD"/>
    <w:rsid w:val="00CB1241"/>
    <w:rsid w:val="00CB148B"/>
    <w:rsid w:val="00CB1571"/>
    <w:rsid w:val="00CB188C"/>
    <w:rsid w:val="00CB1B6A"/>
    <w:rsid w:val="00CB20E0"/>
    <w:rsid w:val="00CB2342"/>
    <w:rsid w:val="00CB23A7"/>
    <w:rsid w:val="00CB2DA6"/>
    <w:rsid w:val="00CB30CC"/>
    <w:rsid w:val="00CB3184"/>
    <w:rsid w:val="00CB320B"/>
    <w:rsid w:val="00CB3326"/>
    <w:rsid w:val="00CB35D2"/>
    <w:rsid w:val="00CB39CC"/>
    <w:rsid w:val="00CB3C33"/>
    <w:rsid w:val="00CB3C9B"/>
    <w:rsid w:val="00CB3CB5"/>
    <w:rsid w:val="00CB3CDB"/>
    <w:rsid w:val="00CB3DA9"/>
    <w:rsid w:val="00CB4634"/>
    <w:rsid w:val="00CB463B"/>
    <w:rsid w:val="00CB4C9C"/>
    <w:rsid w:val="00CB4D0E"/>
    <w:rsid w:val="00CB5041"/>
    <w:rsid w:val="00CB51C0"/>
    <w:rsid w:val="00CB56E8"/>
    <w:rsid w:val="00CB58A8"/>
    <w:rsid w:val="00CB59C2"/>
    <w:rsid w:val="00CB5A62"/>
    <w:rsid w:val="00CB5D04"/>
    <w:rsid w:val="00CB5F05"/>
    <w:rsid w:val="00CB5F16"/>
    <w:rsid w:val="00CB5FCD"/>
    <w:rsid w:val="00CB5FF8"/>
    <w:rsid w:val="00CB6462"/>
    <w:rsid w:val="00CB655C"/>
    <w:rsid w:val="00CB6633"/>
    <w:rsid w:val="00CB6930"/>
    <w:rsid w:val="00CB6970"/>
    <w:rsid w:val="00CB6C17"/>
    <w:rsid w:val="00CB6DB4"/>
    <w:rsid w:val="00CB7393"/>
    <w:rsid w:val="00CB79E9"/>
    <w:rsid w:val="00CB7C2B"/>
    <w:rsid w:val="00CB7C9B"/>
    <w:rsid w:val="00CB7D74"/>
    <w:rsid w:val="00CB7D85"/>
    <w:rsid w:val="00CB7F17"/>
    <w:rsid w:val="00CC0000"/>
    <w:rsid w:val="00CC0077"/>
    <w:rsid w:val="00CC013B"/>
    <w:rsid w:val="00CC0758"/>
    <w:rsid w:val="00CC087E"/>
    <w:rsid w:val="00CC09A1"/>
    <w:rsid w:val="00CC0ACB"/>
    <w:rsid w:val="00CC0AF3"/>
    <w:rsid w:val="00CC0B40"/>
    <w:rsid w:val="00CC1011"/>
    <w:rsid w:val="00CC150D"/>
    <w:rsid w:val="00CC161F"/>
    <w:rsid w:val="00CC199F"/>
    <w:rsid w:val="00CC1A68"/>
    <w:rsid w:val="00CC1C0A"/>
    <w:rsid w:val="00CC22EB"/>
    <w:rsid w:val="00CC2351"/>
    <w:rsid w:val="00CC29CD"/>
    <w:rsid w:val="00CC2A3B"/>
    <w:rsid w:val="00CC2B36"/>
    <w:rsid w:val="00CC2C05"/>
    <w:rsid w:val="00CC2E9E"/>
    <w:rsid w:val="00CC315F"/>
    <w:rsid w:val="00CC3173"/>
    <w:rsid w:val="00CC35B5"/>
    <w:rsid w:val="00CC360F"/>
    <w:rsid w:val="00CC363F"/>
    <w:rsid w:val="00CC36D4"/>
    <w:rsid w:val="00CC390C"/>
    <w:rsid w:val="00CC3A79"/>
    <w:rsid w:val="00CC3AED"/>
    <w:rsid w:val="00CC3F50"/>
    <w:rsid w:val="00CC4125"/>
    <w:rsid w:val="00CC4237"/>
    <w:rsid w:val="00CC431A"/>
    <w:rsid w:val="00CC459D"/>
    <w:rsid w:val="00CC496B"/>
    <w:rsid w:val="00CC4A1B"/>
    <w:rsid w:val="00CC4B54"/>
    <w:rsid w:val="00CC4D26"/>
    <w:rsid w:val="00CC4DCE"/>
    <w:rsid w:val="00CC4E85"/>
    <w:rsid w:val="00CC50A4"/>
    <w:rsid w:val="00CC529E"/>
    <w:rsid w:val="00CC52B9"/>
    <w:rsid w:val="00CC53FF"/>
    <w:rsid w:val="00CC5702"/>
    <w:rsid w:val="00CC59BD"/>
    <w:rsid w:val="00CC5C46"/>
    <w:rsid w:val="00CC5E63"/>
    <w:rsid w:val="00CC6011"/>
    <w:rsid w:val="00CC632F"/>
    <w:rsid w:val="00CC635C"/>
    <w:rsid w:val="00CC63C8"/>
    <w:rsid w:val="00CC63EF"/>
    <w:rsid w:val="00CC65D9"/>
    <w:rsid w:val="00CC675F"/>
    <w:rsid w:val="00CC67DD"/>
    <w:rsid w:val="00CC6842"/>
    <w:rsid w:val="00CC69A0"/>
    <w:rsid w:val="00CC6A58"/>
    <w:rsid w:val="00CC6B8D"/>
    <w:rsid w:val="00CC6D2D"/>
    <w:rsid w:val="00CC6EB6"/>
    <w:rsid w:val="00CC750F"/>
    <w:rsid w:val="00CC7654"/>
    <w:rsid w:val="00CC79D4"/>
    <w:rsid w:val="00CC7E47"/>
    <w:rsid w:val="00CC7ED0"/>
    <w:rsid w:val="00CC7F66"/>
    <w:rsid w:val="00CD01D1"/>
    <w:rsid w:val="00CD0280"/>
    <w:rsid w:val="00CD0380"/>
    <w:rsid w:val="00CD03A3"/>
    <w:rsid w:val="00CD03EC"/>
    <w:rsid w:val="00CD051C"/>
    <w:rsid w:val="00CD062F"/>
    <w:rsid w:val="00CD0630"/>
    <w:rsid w:val="00CD07D2"/>
    <w:rsid w:val="00CD080B"/>
    <w:rsid w:val="00CD0849"/>
    <w:rsid w:val="00CD08BD"/>
    <w:rsid w:val="00CD0CE3"/>
    <w:rsid w:val="00CD0E99"/>
    <w:rsid w:val="00CD0F8A"/>
    <w:rsid w:val="00CD10BA"/>
    <w:rsid w:val="00CD10E5"/>
    <w:rsid w:val="00CD116E"/>
    <w:rsid w:val="00CD118F"/>
    <w:rsid w:val="00CD126B"/>
    <w:rsid w:val="00CD1477"/>
    <w:rsid w:val="00CD17BB"/>
    <w:rsid w:val="00CD1822"/>
    <w:rsid w:val="00CD1867"/>
    <w:rsid w:val="00CD19A7"/>
    <w:rsid w:val="00CD1A3B"/>
    <w:rsid w:val="00CD1CFB"/>
    <w:rsid w:val="00CD1D2D"/>
    <w:rsid w:val="00CD1D9E"/>
    <w:rsid w:val="00CD267A"/>
    <w:rsid w:val="00CD27F9"/>
    <w:rsid w:val="00CD298E"/>
    <w:rsid w:val="00CD2B87"/>
    <w:rsid w:val="00CD2BA7"/>
    <w:rsid w:val="00CD2BD6"/>
    <w:rsid w:val="00CD2D7A"/>
    <w:rsid w:val="00CD2DFF"/>
    <w:rsid w:val="00CD3514"/>
    <w:rsid w:val="00CD380F"/>
    <w:rsid w:val="00CD3D40"/>
    <w:rsid w:val="00CD3EC9"/>
    <w:rsid w:val="00CD3F97"/>
    <w:rsid w:val="00CD4086"/>
    <w:rsid w:val="00CD4126"/>
    <w:rsid w:val="00CD41AF"/>
    <w:rsid w:val="00CD41CF"/>
    <w:rsid w:val="00CD43E1"/>
    <w:rsid w:val="00CD44A4"/>
    <w:rsid w:val="00CD4507"/>
    <w:rsid w:val="00CD4569"/>
    <w:rsid w:val="00CD4689"/>
    <w:rsid w:val="00CD48CD"/>
    <w:rsid w:val="00CD4DCA"/>
    <w:rsid w:val="00CD4EF3"/>
    <w:rsid w:val="00CD5348"/>
    <w:rsid w:val="00CD535C"/>
    <w:rsid w:val="00CD53EF"/>
    <w:rsid w:val="00CD545A"/>
    <w:rsid w:val="00CD549B"/>
    <w:rsid w:val="00CD54C6"/>
    <w:rsid w:val="00CD5857"/>
    <w:rsid w:val="00CD587C"/>
    <w:rsid w:val="00CD5A95"/>
    <w:rsid w:val="00CD5B8C"/>
    <w:rsid w:val="00CD5BAB"/>
    <w:rsid w:val="00CD5DCC"/>
    <w:rsid w:val="00CD607A"/>
    <w:rsid w:val="00CD61B2"/>
    <w:rsid w:val="00CD6280"/>
    <w:rsid w:val="00CD634F"/>
    <w:rsid w:val="00CD639B"/>
    <w:rsid w:val="00CD6630"/>
    <w:rsid w:val="00CD663F"/>
    <w:rsid w:val="00CD6703"/>
    <w:rsid w:val="00CD6846"/>
    <w:rsid w:val="00CD6AFA"/>
    <w:rsid w:val="00CD6D8B"/>
    <w:rsid w:val="00CD6E35"/>
    <w:rsid w:val="00CD6E9F"/>
    <w:rsid w:val="00CD6F77"/>
    <w:rsid w:val="00CD717E"/>
    <w:rsid w:val="00CD7236"/>
    <w:rsid w:val="00CD7352"/>
    <w:rsid w:val="00CD7657"/>
    <w:rsid w:val="00CD7661"/>
    <w:rsid w:val="00CD7B82"/>
    <w:rsid w:val="00CD7C21"/>
    <w:rsid w:val="00CE0147"/>
    <w:rsid w:val="00CE01E8"/>
    <w:rsid w:val="00CE0270"/>
    <w:rsid w:val="00CE03A1"/>
    <w:rsid w:val="00CE0821"/>
    <w:rsid w:val="00CE0842"/>
    <w:rsid w:val="00CE08F6"/>
    <w:rsid w:val="00CE0994"/>
    <w:rsid w:val="00CE0A16"/>
    <w:rsid w:val="00CE0A60"/>
    <w:rsid w:val="00CE0D7F"/>
    <w:rsid w:val="00CE0FF7"/>
    <w:rsid w:val="00CE1026"/>
    <w:rsid w:val="00CE11DF"/>
    <w:rsid w:val="00CE14D3"/>
    <w:rsid w:val="00CE1800"/>
    <w:rsid w:val="00CE1820"/>
    <w:rsid w:val="00CE1A96"/>
    <w:rsid w:val="00CE1D04"/>
    <w:rsid w:val="00CE1F63"/>
    <w:rsid w:val="00CE1F76"/>
    <w:rsid w:val="00CE202F"/>
    <w:rsid w:val="00CE207E"/>
    <w:rsid w:val="00CE2296"/>
    <w:rsid w:val="00CE253A"/>
    <w:rsid w:val="00CE2910"/>
    <w:rsid w:val="00CE2BCA"/>
    <w:rsid w:val="00CE2BD3"/>
    <w:rsid w:val="00CE2C78"/>
    <w:rsid w:val="00CE2CC8"/>
    <w:rsid w:val="00CE2CF0"/>
    <w:rsid w:val="00CE2D5D"/>
    <w:rsid w:val="00CE2DD1"/>
    <w:rsid w:val="00CE3414"/>
    <w:rsid w:val="00CE3441"/>
    <w:rsid w:val="00CE34DA"/>
    <w:rsid w:val="00CE3515"/>
    <w:rsid w:val="00CE3810"/>
    <w:rsid w:val="00CE3A32"/>
    <w:rsid w:val="00CE3A7D"/>
    <w:rsid w:val="00CE41CC"/>
    <w:rsid w:val="00CE431A"/>
    <w:rsid w:val="00CE4369"/>
    <w:rsid w:val="00CE43A2"/>
    <w:rsid w:val="00CE4408"/>
    <w:rsid w:val="00CE450B"/>
    <w:rsid w:val="00CE4673"/>
    <w:rsid w:val="00CE47A1"/>
    <w:rsid w:val="00CE491D"/>
    <w:rsid w:val="00CE532B"/>
    <w:rsid w:val="00CE53FA"/>
    <w:rsid w:val="00CE5664"/>
    <w:rsid w:val="00CE568F"/>
    <w:rsid w:val="00CE5694"/>
    <w:rsid w:val="00CE56D0"/>
    <w:rsid w:val="00CE5755"/>
    <w:rsid w:val="00CE5AF1"/>
    <w:rsid w:val="00CE5EC2"/>
    <w:rsid w:val="00CE5FB7"/>
    <w:rsid w:val="00CE61D3"/>
    <w:rsid w:val="00CE6235"/>
    <w:rsid w:val="00CE64B0"/>
    <w:rsid w:val="00CE66E5"/>
    <w:rsid w:val="00CE6803"/>
    <w:rsid w:val="00CE68D3"/>
    <w:rsid w:val="00CE699B"/>
    <w:rsid w:val="00CE6A1B"/>
    <w:rsid w:val="00CE6B89"/>
    <w:rsid w:val="00CE6FB6"/>
    <w:rsid w:val="00CE700B"/>
    <w:rsid w:val="00CE70B9"/>
    <w:rsid w:val="00CE729B"/>
    <w:rsid w:val="00CE7679"/>
    <w:rsid w:val="00CE783E"/>
    <w:rsid w:val="00CE7AE9"/>
    <w:rsid w:val="00CE7C4D"/>
    <w:rsid w:val="00CE7DB1"/>
    <w:rsid w:val="00CF0055"/>
    <w:rsid w:val="00CF0177"/>
    <w:rsid w:val="00CF01DA"/>
    <w:rsid w:val="00CF030D"/>
    <w:rsid w:val="00CF034E"/>
    <w:rsid w:val="00CF0438"/>
    <w:rsid w:val="00CF04F1"/>
    <w:rsid w:val="00CF0A87"/>
    <w:rsid w:val="00CF0B68"/>
    <w:rsid w:val="00CF15E7"/>
    <w:rsid w:val="00CF199A"/>
    <w:rsid w:val="00CF1AB8"/>
    <w:rsid w:val="00CF2205"/>
    <w:rsid w:val="00CF2333"/>
    <w:rsid w:val="00CF2457"/>
    <w:rsid w:val="00CF24DD"/>
    <w:rsid w:val="00CF254E"/>
    <w:rsid w:val="00CF29EE"/>
    <w:rsid w:val="00CF2ECE"/>
    <w:rsid w:val="00CF2F86"/>
    <w:rsid w:val="00CF2FB3"/>
    <w:rsid w:val="00CF30D6"/>
    <w:rsid w:val="00CF3170"/>
    <w:rsid w:val="00CF318C"/>
    <w:rsid w:val="00CF3CB9"/>
    <w:rsid w:val="00CF3F0B"/>
    <w:rsid w:val="00CF3F1E"/>
    <w:rsid w:val="00CF3F8E"/>
    <w:rsid w:val="00CF40A9"/>
    <w:rsid w:val="00CF454B"/>
    <w:rsid w:val="00CF45FA"/>
    <w:rsid w:val="00CF4768"/>
    <w:rsid w:val="00CF4C0C"/>
    <w:rsid w:val="00CF532C"/>
    <w:rsid w:val="00CF53AC"/>
    <w:rsid w:val="00CF5401"/>
    <w:rsid w:val="00CF5532"/>
    <w:rsid w:val="00CF559B"/>
    <w:rsid w:val="00CF57C7"/>
    <w:rsid w:val="00CF586E"/>
    <w:rsid w:val="00CF58A7"/>
    <w:rsid w:val="00CF59C8"/>
    <w:rsid w:val="00CF5B70"/>
    <w:rsid w:val="00CF5FE4"/>
    <w:rsid w:val="00CF6412"/>
    <w:rsid w:val="00CF649B"/>
    <w:rsid w:val="00CF6986"/>
    <w:rsid w:val="00CF6B94"/>
    <w:rsid w:val="00CF6C39"/>
    <w:rsid w:val="00CF713C"/>
    <w:rsid w:val="00CF7145"/>
    <w:rsid w:val="00CF720D"/>
    <w:rsid w:val="00CF75C5"/>
    <w:rsid w:val="00CF7BFD"/>
    <w:rsid w:val="00CF7CBA"/>
    <w:rsid w:val="00CF7D32"/>
    <w:rsid w:val="00D00147"/>
    <w:rsid w:val="00D004C1"/>
    <w:rsid w:val="00D00540"/>
    <w:rsid w:val="00D007D2"/>
    <w:rsid w:val="00D00A04"/>
    <w:rsid w:val="00D00AEF"/>
    <w:rsid w:val="00D00C7A"/>
    <w:rsid w:val="00D00CDF"/>
    <w:rsid w:val="00D00F4C"/>
    <w:rsid w:val="00D00FB5"/>
    <w:rsid w:val="00D01450"/>
    <w:rsid w:val="00D01743"/>
    <w:rsid w:val="00D01782"/>
    <w:rsid w:val="00D01B0E"/>
    <w:rsid w:val="00D01B6D"/>
    <w:rsid w:val="00D01B82"/>
    <w:rsid w:val="00D01B90"/>
    <w:rsid w:val="00D01F46"/>
    <w:rsid w:val="00D02522"/>
    <w:rsid w:val="00D0270A"/>
    <w:rsid w:val="00D028C9"/>
    <w:rsid w:val="00D02A6D"/>
    <w:rsid w:val="00D02A75"/>
    <w:rsid w:val="00D02AAE"/>
    <w:rsid w:val="00D02C2F"/>
    <w:rsid w:val="00D02D72"/>
    <w:rsid w:val="00D02E6D"/>
    <w:rsid w:val="00D02F93"/>
    <w:rsid w:val="00D02FBC"/>
    <w:rsid w:val="00D0319E"/>
    <w:rsid w:val="00D03466"/>
    <w:rsid w:val="00D036A5"/>
    <w:rsid w:val="00D03D12"/>
    <w:rsid w:val="00D03E1A"/>
    <w:rsid w:val="00D0409F"/>
    <w:rsid w:val="00D040A7"/>
    <w:rsid w:val="00D040BB"/>
    <w:rsid w:val="00D04159"/>
    <w:rsid w:val="00D041D7"/>
    <w:rsid w:val="00D04578"/>
    <w:rsid w:val="00D046E1"/>
    <w:rsid w:val="00D04C50"/>
    <w:rsid w:val="00D050BD"/>
    <w:rsid w:val="00D05236"/>
    <w:rsid w:val="00D05369"/>
    <w:rsid w:val="00D053B7"/>
    <w:rsid w:val="00D0555D"/>
    <w:rsid w:val="00D056D8"/>
    <w:rsid w:val="00D05776"/>
    <w:rsid w:val="00D057D7"/>
    <w:rsid w:val="00D0582F"/>
    <w:rsid w:val="00D05BD2"/>
    <w:rsid w:val="00D05D14"/>
    <w:rsid w:val="00D0663C"/>
    <w:rsid w:val="00D067FE"/>
    <w:rsid w:val="00D06936"/>
    <w:rsid w:val="00D06E13"/>
    <w:rsid w:val="00D07016"/>
    <w:rsid w:val="00D07063"/>
    <w:rsid w:val="00D07156"/>
    <w:rsid w:val="00D071FE"/>
    <w:rsid w:val="00D07264"/>
    <w:rsid w:val="00D0726A"/>
    <w:rsid w:val="00D0738D"/>
    <w:rsid w:val="00D077D9"/>
    <w:rsid w:val="00D07921"/>
    <w:rsid w:val="00D07ACA"/>
    <w:rsid w:val="00D07C81"/>
    <w:rsid w:val="00D07D51"/>
    <w:rsid w:val="00D07FD1"/>
    <w:rsid w:val="00D10501"/>
    <w:rsid w:val="00D1091E"/>
    <w:rsid w:val="00D10A70"/>
    <w:rsid w:val="00D10ECB"/>
    <w:rsid w:val="00D110D6"/>
    <w:rsid w:val="00D111D3"/>
    <w:rsid w:val="00D11275"/>
    <w:rsid w:val="00D112B1"/>
    <w:rsid w:val="00D1138E"/>
    <w:rsid w:val="00D113CD"/>
    <w:rsid w:val="00D11510"/>
    <w:rsid w:val="00D11593"/>
    <w:rsid w:val="00D116AF"/>
    <w:rsid w:val="00D116F7"/>
    <w:rsid w:val="00D11967"/>
    <w:rsid w:val="00D11B6B"/>
    <w:rsid w:val="00D11DE7"/>
    <w:rsid w:val="00D11F32"/>
    <w:rsid w:val="00D1208E"/>
    <w:rsid w:val="00D1209E"/>
    <w:rsid w:val="00D121E2"/>
    <w:rsid w:val="00D12227"/>
    <w:rsid w:val="00D1224D"/>
    <w:rsid w:val="00D12269"/>
    <w:rsid w:val="00D1226C"/>
    <w:rsid w:val="00D12722"/>
    <w:rsid w:val="00D128F5"/>
    <w:rsid w:val="00D128F7"/>
    <w:rsid w:val="00D1295D"/>
    <w:rsid w:val="00D129F5"/>
    <w:rsid w:val="00D12B6A"/>
    <w:rsid w:val="00D12C36"/>
    <w:rsid w:val="00D12FA8"/>
    <w:rsid w:val="00D12FCC"/>
    <w:rsid w:val="00D130FE"/>
    <w:rsid w:val="00D134BF"/>
    <w:rsid w:val="00D139D5"/>
    <w:rsid w:val="00D13C30"/>
    <w:rsid w:val="00D13CC8"/>
    <w:rsid w:val="00D13F40"/>
    <w:rsid w:val="00D143F1"/>
    <w:rsid w:val="00D1497E"/>
    <w:rsid w:val="00D149C3"/>
    <w:rsid w:val="00D14AB2"/>
    <w:rsid w:val="00D14B28"/>
    <w:rsid w:val="00D14CC3"/>
    <w:rsid w:val="00D14EC2"/>
    <w:rsid w:val="00D15089"/>
    <w:rsid w:val="00D151E0"/>
    <w:rsid w:val="00D15418"/>
    <w:rsid w:val="00D1564C"/>
    <w:rsid w:val="00D1565B"/>
    <w:rsid w:val="00D15820"/>
    <w:rsid w:val="00D15840"/>
    <w:rsid w:val="00D158EC"/>
    <w:rsid w:val="00D15A62"/>
    <w:rsid w:val="00D15C4F"/>
    <w:rsid w:val="00D15E64"/>
    <w:rsid w:val="00D15EC0"/>
    <w:rsid w:val="00D15F11"/>
    <w:rsid w:val="00D16053"/>
    <w:rsid w:val="00D16121"/>
    <w:rsid w:val="00D16242"/>
    <w:rsid w:val="00D163CD"/>
    <w:rsid w:val="00D16604"/>
    <w:rsid w:val="00D1684D"/>
    <w:rsid w:val="00D16A73"/>
    <w:rsid w:val="00D16AD9"/>
    <w:rsid w:val="00D16B91"/>
    <w:rsid w:val="00D16FDA"/>
    <w:rsid w:val="00D17047"/>
    <w:rsid w:val="00D173C1"/>
    <w:rsid w:val="00D17918"/>
    <w:rsid w:val="00D179AF"/>
    <w:rsid w:val="00D17A61"/>
    <w:rsid w:val="00D17D65"/>
    <w:rsid w:val="00D17E76"/>
    <w:rsid w:val="00D200A9"/>
    <w:rsid w:val="00D202DA"/>
    <w:rsid w:val="00D20302"/>
    <w:rsid w:val="00D20960"/>
    <w:rsid w:val="00D20C3C"/>
    <w:rsid w:val="00D21032"/>
    <w:rsid w:val="00D210FD"/>
    <w:rsid w:val="00D213A0"/>
    <w:rsid w:val="00D21441"/>
    <w:rsid w:val="00D21544"/>
    <w:rsid w:val="00D21699"/>
    <w:rsid w:val="00D2177A"/>
    <w:rsid w:val="00D218E8"/>
    <w:rsid w:val="00D21A06"/>
    <w:rsid w:val="00D21A1D"/>
    <w:rsid w:val="00D21E27"/>
    <w:rsid w:val="00D21EF5"/>
    <w:rsid w:val="00D21F5A"/>
    <w:rsid w:val="00D21FA4"/>
    <w:rsid w:val="00D2203C"/>
    <w:rsid w:val="00D227FC"/>
    <w:rsid w:val="00D22A0E"/>
    <w:rsid w:val="00D22A24"/>
    <w:rsid w:val="00D22C9E"/>
    <w:rsid w:val="00D22D18"/>
    <w:rsid w:val="00D22EBD"/>
    <w:rsid w:val="00D23006"/>
    <w:rsid w:val="00D237CB"/>
    <w:rsid w:val="00D23CB0"/>
    <w:rsid w:val="00D23D90"/>
    <w:rsid w:val="00D23E58"/>
    <w:rsid w:val="00D23EFA"/>
    <w:rsid w:val="00D2403B"/>
    <w:rsid w:val="00D24110"/>
    <w:rsid w:val="00D2446F"/>
    <w:rsid w:val="00D2480A"/>
    <w:rsid w:val="00D24C2A"/>
    <w:rsid w:val="00D24C53"/>
    <w:rsid w:val="00D24D3A"/>
    <w:rsid w:val="00D24EF3"/>
    <w:rsid w:val="00D24F83"/>
    <w:rsid w:val="00D250DF"/>
    <w:rsid w:val="00D25120"/>
    <w:rsid w:val="00D2525D"/>
    <w:rsid w:val="00D25378"/>
    <w:rsid w:val="00D254C7"/>
    <w:rsid w:val="00D25552"/>
    <w:rsid w:val="00D25559"/>
    <w:rsid w:val="00D258D6"/>
    <w:rsid w:val="00D25A1A"/>
    <w:rsid w:val="00D25B32"/>
    <w:rsid w:val="00D26136"/>
    <w:rsid w:val="00D262FF"/>
    <w:rsid w:val="00D26321"/>
    <w:rsid w:val="00D26332"/>
    <w:rsid w:val="00D265C6"/>
    <w:rsid w:val="00D26608"/>
    <w:rsid w:val="00D2664D"/>
    <w:rsid w:val="00D26A6D"/>
    <w:rsid w:val="00D26ACC"/>
    <w:rsid w:val="00D26BF9"/>
    <w:rsid w:val="00D26D5D"/>
    <w:rsid w:val="00D26E37"/>
    <w:rsid w:val="00D270BC"/>
    <w:rsid w:val="00D3014B"/>
    <w:rsid w:val="00D3024C"/>
    <w:rsid w:val="00D3037B"/>
    <w:rsid w:val="00D305CB"/>
    <w:rsid w:val="00D307E4"/>
    <w:rsid w:val="00D308A1"/>
    <w:rsid w:val="00D30A89"/>
    <w:rsid w:val="00D30CE2"/>
    <w:rsid w:val="00D30E0C"/>
    <w:rsid w:val="00D30F37"/>
    <w:rsid w:val="00D30F74"/>
    <w:rsid w:val="00D3120E"/>
    <w:rsid w:val="00D31649"/>
    <w:rsid w:val="00D316FE"/>
    <w:rsid w:val="00D31917"/>
    <w:rsid w:val="00D31ED7"/>
    <w:rsid w:val="00D31F8D"/>
    <w:rsid w:val="00D31F97"/>
    <w:rsid w:val="00D32033"/>
    <w:rsid w:val="00D320AF"/>
    <w:rsid w:val="00D3212E"/>
    <w:rsid w:val="00D32134"/>
    <w:rsid w:val="00D329E3"/>
    <w:rsid w:val="00D329FC"/>
    <w:rsid w:val="00D32D31"/>
    <w:rsid w:val="00D32DE5"/>
    <w:rsid w:val="00D32EDC"/>
    <w:rsid w:val="00D32F92"/>
    <w:rsid w:val="00D331AC"/>
    <w:rsid w:val="00D332F7"/>
    <w:rsid w:val="00D33665"/>
    <w:rsid w:val="00D3394A"/>
    <w:rsid w:val="00D33C5B"/>
    <w:rsid w:val="00D33CD9"/>
    <w:rsid w:val="00D33E59"/>
    <w:rsid w:val="00D33E62"/>
    <w:rsid w:val="00D33F1B"/>
    <w:rsid w:val="00D33F9C"/>
    <w:rsid w:val="00D342B0"/>
    <w:rsid w:val="00D3463C"/>
    <w:rsid w:val="00D348A1"/>
    <w:rsid w:val="00D348C3"/>
    <w:rsid w:val="00D34974"/>
    <w:rsid w:val="00D34A60"/>
    <w:rsid w:val="00D34D92"/>
    <w:rsid w:val="00D34F12"/>
    <w:rsid w:val="00D35177"/>
    <w:rsid w:val="00D351E0"/>
    <w:rsid w:val="00D354E0"/>
    <w:rsid w:val="00D35573"/>
    <w:rsid w:val="00D35781"/>
    <w:rsid w:val="00D361BD"/>
    <w:rsid w:val="00D3678F"/>
    <w:rsid w:val="00D36794"/>
    <w:rsid w:val="00D367A5"/>
    <w:rsid w:val="00D3708C"/>
    <w:rsid w:val="00D3713C"/>
    <w:rsid w:val="00D374A2"/>
    <w:rsid w:val="00D3784D"/>
    <w:rsid w:val="00D37A62"/>
    <w:rsid w:val="00D37BBE"/>
    <w:rsid w:val="00D40017"/>
    <w:rsid w:val="00D40107"/>
    <w:rsid w:val="00D40215"/>
    <w:rsid w:val="00D40452"/>
    <w:rsid w:val="00D404E6"/>
    <w:rsid w:val="00D40500"/>
    <w:rsid w:val="00D40944"/>
    <w:rsid w:val="00D40D54"/>
    <w:rsid w:val="00D41A6C"/>
    <w:rsid w:val="00D41B39"/>
    <w:rsid w:val="00D41DE3"/>
    <w:rsid w:val="00D41DFA"/>
    <w:rsid w:val="00D41EAC"/>
    <w:rsid w:val="00D42015"/>
    <w:rsid w:val="00D421E7"/>
    <w:rsid w:val="00D42208"/>
    <w:rsid w:val="00D422BD"/>
    <w:rsid w:val="00D42317"/>
    <w:rsid w:val="00D42379"/>
    <w:rsid w:val="00D42563"/>
    <w:rsid w:val="00D427B3"/>
    <w:rsid w:val="00D427C8"/>
    <w:rsid w:val="00D427F0"/>
    <w:rsid w:val="00D42832"/>
    <w:rsid w:val="00D42D8A"/>
    <w:rsid w:val="00D43411"/>
    <w:rsid w:val="00D4352A"/>
    <w:rsid w:val="00D435AC"/>
    <w:rsid w:val="00D43826"/>
    <w:rsid w:val="00D43872"/>
    <w:rsid w:val="00D43A4A"/>
    <w:rsid w:val="00D4419F"/>
    <w:rsid w:val="00D442FD"/>
    <w:rsid w:val="00D44444"/>
    <w:rsid w:val="00D44484"/>
    <w:rsid w:val="00D444DA"/>
    <w:rsid w:val="00D4457C"/>
    <w:rsid w:val="00D44832"/>
    <w:rsid w:val="00D448C8"/>
    <w:rsid w:val="00D44A39"/>
    <w:rsid w:val="00D44C4B"/>
    <w:rsid w:val="00D453E0"/>
    <w:rsid w:val="00D45421"/>
    <w:rsid w:val="00D45768"/>
    <w:rsid w:val="00D45A6E"/>
    <w:rsid w:val="00D45B62"/>
    <w:rsid w:val="00D45C8A"/>
    <w:rsid w:val="00D45E01"/>
    <w:rsid w:val="00D467CF"/>
    <w:rsid w:val="00D468EF"/>
    <w:rsid w:val="00D46A32"/>
    <w:rsid w:val="00D46B43"/>
    <w:rsid w:val="00D46F00"/>
    <w:rsid w:val="00D47026"/>
    <w:rsid w:val="00D4718D"/>
    <w:rsid w:val="00D4741D"/>
    <w:rsid w:val="00D4744C"/>
    <w:rsid w:val="00D4759E"/>
    <w:rsid w:val="00D476D1"/>
    <w:rsid w:val="00D47871"/>
    <w:rsid w:val="00D47A3E"/>
    <w:rsid w:val="00D47A86"/>
    <w:rsid w:val="00D47A93"/>
    <w:rsid w:val="00D47AE3"/>
    <w:rsid w:val="00D47C5F"/>
    <w:rsid w:val="00D47D28"/>
    <w:rsid w:val="00D47DB3"/>
    <w:rsid w:val="00D47E04"/>
    <w:rsid w:val="00D50181"/>
    <w:rsid w:val="00D503E9"/>
    <w:rsid w:val="00D50711"/>
    <w:rsid w:val="00D5075A"/>
    <w:rsid w:val="00D50A38"/>
    <w:rsid w:val="00D50E22"/>
    <w:rsid w:val="00D50EFF"/>
    <w:rsid w:val="00D50F7D"/>
    <w:rsid w:val="00D5125C"/>
    <w:rsid w:val="00D512B3"/>
    <w:rsid w:val="00D51629"/>
    <w:rsid w:val="00D51730"/>
    <w:rsid w:val="00D5175A"/>
    <w:rsid w:val="00D5184A"/>
    <w:rsid w:val="00D51BCF"/>
    <w:rsid w:val="00D51C24"/>
    <w:rsid w:val="00D51E90"/>
    <w:rsid w:val="00D51F0C"/>
    <w:rsid w:val="00D51F8E"/>
    <w:rsid w:val="00D522FB"/>
    <w:rsid w:val="00D52383"/>
    <w:rsid w:val="00D52463"/>
    <w:rsid w:val="00D5265A"/>
    <w:rsid w:val="00D52826"/>
    <w:rsid w:val="00D5290A"/>
    <w:rsid w:val="00D52A63"/>
    <w:rsid w:val="00D52FDA"/>
    <w:rsid w:val="00D52FF2"/>
    <w:rsid w:val="00D53721"/>
    <w:rsid w:val="00D53AD4"/>
    <w:rsid w:val="00D53BAE"/>
    <w:rsid w:val="00D53BB8"/>
    <w:rsid w:val="00D53C43"/>
    <w:rsid w:val="00D53C80"/>
    <w:rsid w:val="00D53E18"/>
    <w:rsid w:val="00D54024"/>
    <w:rsid w:val="00D54238"/>
    <w:rsid w:val="00D543BD"/>
    <w:rsid w:val="00D545AC"/>
    <w:rsid w:val="00D546CD"/>
    <w:rsid w:val="00D547E7"/>
    <w:rsid w:val="00D548BA"/>
    <w:rsid w:val="00D5496E"/>
    <w:rsid w:val="00D54A6A"/>
    <w:rsid w:val="00D54E57"/>
    <w:rsid w:val="00D54F09"/>
    <w:rsid w:val="00D552DD"/>
    <w:rsid w:val="00D55329"/>
    <w:rsid w:val="00D555C2"/>
    <w:rsid w:val="00D555F2"/>
    <w:rsid w:val="00D55601"/>
    <w:rsid w:val="00D55C56"/>
    <w:rsid w:val="00D55EC8"/>
    <w:rsid w:val="00D55F43"/>
    <w:rsid w:val="00D55F92"/>
    <w:rsid w:val="00D560AA"/>
    <w:rsid w:val="00D56186"/>
    <w:rsid w:val="00D56371"/>
    <w:rsid w:val="00D56435"/>
    <w:rsid w:val="00D565DF"/>
    <w:rsid w:val="00D565FD"/>
    <w:rsid w:val="00D56663"/>
    <w:rsid w:val="00D567EF"/>
    <w:rsid w:val="00D56870"/>
    <w:rsid w:val="00D56A26"/>
    <w:rsid w:val="00D56AA2"/>
    <w:rsid w:val="00D56B1A"/>
    <w:rsid w:val="00D56D73"/>
    <w:rsid w:val="00D56DDE"/>
    <w:rsid w:val="00D56E53"/>
    <w:rsid w:val="00D57423"/>
    <w:rsid w:val="00D575BD"/>
    <w:rsid w:val="00D575F6"/>
    <w:rsid w:val="00D57601"/>
    <w:rsid w:val="00D576C6"/>
    <w:rsid w:val="00D57872"/>
    <w:rsid w:val="00D57D7F"/>
    <w:rsid w:val="00D57E63"/>
    <w:rsid w:val="00D6008F"/>
    <w:rsid w:val="00D602F4"/>
    <w:rsid w:val="00D60652"/>
    <w:rsid w:val="00D6073B"/>
    <w:rsid w:val="00D60834"/>
    <w:rsid w:val="00D6096B"/>
    <w:rsid w:val="00D6114E"/>
    <w:rsid w:val="00D617E9"/>
    <w:rsid w:val="00D6184B"/>
    <w:rsid w:val="00D618DF"/>
    <w:rsid w:val="00D61A09"/>
    <w:rsid w:val="00D61A45"/>
    <w:rsid w:val="00D6207D"/>
    <w:rsid w:val="00D620BF"/>
    <w:rsid w:val="00D62571"/>
    <w:rsid w:val="00D6277C"/>
    <w:rsid w:val="00D62AC7"/>
    <w:rsid w:val="00D63453"/>
    <w:rsid w:val="00D6365B"/>
    <w:rsid w:val="00D63756"/>
    <w:rsid w:val="00D63AF0"/>
    <w:rsid w:val="00D63BC6"/>
    <w:rsid w:val="00D63E3E"/>
    <w:rsid w:val="00D64047"/>
    <w:rsid w:val="00D641AE"/>
    <w:rsid w:val="00D642AC"/>
    <w:rsid w:val="00D64332"/>
    <w:rsid w:val="00D64399"/>
    <w:rsid w:val="00D644CF"/>
    <w:rsid w:val="00D64567"/>
    <w:rsid w:val="00D64784"/>
    <w:rsid w:val="00D64892"/>
    <w:rsid w:val="00D64A78"/>
    <w:rsid w:val="00D64ADA"/>
    <w:rsid w:val="00D64AF0"/>
    <w:rsid w:val="00D64B0E"/>
    <w:rsid w:val="00D64D14"/>
    <w:rsid w:val="00D64DA8"/>
    <w:rsid w:val="00D65288"/>
    <w:rsid w:val="00D65445"/>
    <w:rsid w:val="00D65508"/>
    <w:rsid w:val="00D65550"/>
    <w:rsid w:val="00D655F7"/>
    <w:rsid w:val="00D6576D"/>
    <w:rsid w:val="00D65942"/>
    <w:rsid w:val="00D65F97"/>
    <w:rsid w:val="00D66179"/>
    <w:rsid w:val="00D66773"/>
    <w:rsid w:val="00D668D2"/>
    <w:rsid w:val="00D66A8C"/>
    <w:rsid w:val="00D66A8E"/>
    <w:rsid w:val="00D66BC7"/>
    <w:rsid w:val="00D66BEA"/>
    <w:rsid w:val="00D66EB6"/>
    <w:rsid w:val="00D67172"/>
    <w:rsid w:val="00D672CF"/>
    <w:rsid w:val="00D6746F"/>
    <w:rsid w:val="00D675AB"/>
    <w:rsid w:val="00D67691"/>
    <w:rsid w:val="00D67776"/>
    <w:rsid w:val="00D67A51"/>
    <w:rsid w:val="00D67AF9"/>
    <w:rsid w:val="00D67CA8"/>
    <w:rsid w:val="00D67CCF"/>
    <w:rsid w:val="00D67D0D"/>
    <w:rsid w:val="00D67FEE"/>
    <w:rsid w:val="00D7015A"/>
    <w:rsid w:val="00D70379"/>
    <w:rsid w:val="00D70382"/>
    <w:rsid w:val="00D703F8"/>
    <w:rsid w:val="00D70599"/>
    <w:rsid w:val="00D7065C"/>
    <w:rsid w:val="00D708AD"/>
    <w:rsid w:val="00D708CA"/>
    <w:rsid w:val="00D70A1D"/>
    <w:rsid w:val="00D70AB8"/>
    <w:rsid w:val="00D70B1D"/>
    <w:rsid w:val="00D7118B"/>
    <w:rsid w:val="00D71196"/>
    <w:rsid w:val="00D711E5"/>
    <w:rsid w:val="00D7159D"/>
    <w:rsid w:val="00D715FC"/>
    <w:rsid w:val="00D71A0B"/>
    <w:rsid w:val="00D71D29"/>
    <w:rsid w:val="00D7201F"/>
    <w:rsid w:val="00D72090"/>
    <w:rsid w:val="00D720BD"/>
    <w:rsid w:val="00D72100"/>
    <w:rsid w:val="00D722E4"/>
    <w:rsid w:val="00D723BE"/>
    <w:rsid w:val="00D725B4"/>
    <w:rsid w:val="00D72769"/>
    <w:rsid w:val="00D728F1"/>
    <w:rsid w:val="00D72A18"/>
    <w:rsid w:val="00D72D4D"/>
    <w:rsid w:val="00D730FA"/>
    <w:rsid w:val="00D73321"/>
    <w:rsid w:val="00D733CC"/>
    <w:rsid w:val="00D733D8"/>
    <w:rsid w:val="00D734E9"/>
    <w:rsid w:val="00D736C0"/>
    <w:rsid w:val="00D73881"/>
    <w:rsid w:val="00D73B93"/>
    <w:rsid w:val="00D73F8D"/>
    <w:rsid w:val="00D743E9"/>
    <w:rsid w:val="00D744DD"/>
    <w:rsid w:val="00D745EE"/>
    <w:rsid w:val="00D74649"/>
    <w:rsid w:val="00D74A0A"/>
    <w:rsid w:val="00D74ADA"/>
    <w:rsid w:val="00D74AF6"/>
    <w:rsid w:val="00D74D73"/>
    <w:rsid w:val="00D74FEC"/>
    <w:rsid w:val="00D75463"/>
    <w:rsid w:val="00D756BD"/>
    <w:rsid w:val="00D756EE"/>
    <w:rsid w:val="00D75998"/>
    <w:rsid w:val="00D75A27"/>
    <w:rsid w:val="00D75BC4"/>
    <w:rsid w:val="00D75BCB"/>
    <w:rsid w:val="00D76690"/>
    <w:rsid w:val="00D76976"/>
    <w:rsid w:val="00D76A55"/>
    <w:rsid w:val="00D76E4E"/>
    <w:rsid w:val="00D776FC"/>
    <w:rsid w:val="00D77B7C"/>
    <w:rsid w:val="00D77E5A"/>
    <w:rsid w:val="00D77E82"/>
    <w:rsid w:val="00D8015A"/>
    <w:rsid w:val="00D80285"/>
    <w:rsid w:val="00D8034B"/>
    <w:rsid w:val="00D80468"/>
    <w:rsid w:val="00D8060D"/>
    <w:rsid w:val="00D80944"/>
    <w:rsid w:val="00D80AB3"/>
    <w:rsid w:val="00D80B53"/>
    <w:rsid w:val="00D80D09"/>
    <w:rsid w:val="00D811A3"/>
    <w:rsid w:val="00D812FE"/>
    <w:rsid w:val="00D814E4"/>
    <w:rsid w:val="00D81687"/>
    <w:rsid w:val="00D81A51"/>
    <w:rsid w:val="00D81C89"/>
    <w:rsid w:val="00D81E41"/>
    <w:rsid w:val="00D81F3A"/>
    <w:rsid w:val="00D81F55"/>
    <w:rsid w:val="00D82018"/>
    <w:rsid w:val="00D82414"/>
    <w:rsid w:val="00D82679"/>
    <w:rsid w:val="00D827E2"/>
    <w:rsid w:val="00D82A61"/>
    <w:rsid w:val="00D83151"/>
    <w:rsid w:val="00D83267"/>
    <w:rsid w:val="00D833EE"/>
    <w:rsid w:val="00D83444"/>
    <w:rsid w:val="00D836E1"/>
    <w:rsid w:val="00D83891"/>
    <w:rsid w:val="00D83916"/>
    <w:rsid w:val="00D83930"/>
    <w:rsid w:val="00D83C31"/>
    <w:rsid w:val="00D83CDC"/>
    <w:rsid w:val="00D83F99"/>
    <w:rsid w:val="00D84007"/>
    <w:rsid w:val="00D84EC6"/>
    <w:rsid w:val="00D84F35"/>
    <w:rsid w:val="00D85069"/>
    <w:rsid w:val="00D853B2"/>
    <w:rsid w:val="00D85444"/>
    <w:rsid w:val="00D85919"/>
    <w:rsid w:val="00D85BA9"/>
    <w:rsid w:val="00D85D07"/>
    <w:rsid w:val="00D862B2"/>
    <w:rsid w:val="00D8630D"/>
    <w:rsid w:val="00D8633D"/>
    <w:rsid w:val="00D864A6"/>
    <w:rsid w:val="00D866E5"/>
    <w:rsid w:val="00D867F5"/>
    <w:rsid w:val="00D868A6"/>
    <w:rsid w:val="00D86A4D"/>
    <w:rsid w:val="00D86AA6"/>
    <w:rsid w:val="00D86C18"/>
    <w:rsid w:val="00D86FFF"/>
    <w:rsid w:val="00D8722C"/>
    <w:rsid w:val="00D87234"/>
    <w:rsid w:val="00D87552"/>
    <w:rsid w:val="00D8778C"/>
    <w:rsid w:val="00D87961"/>
    <w:rsid w:val="00D8796E"/>
    <w:rsid w:val="00D87D9E"/>
    <w:rsid w:val="00D87DF4"/>
    <w:rsid w:val="00D87FDB"/>
    <w:rsid w:val="00D9025E"/>
    <w:rsid w:val="00D904CB"/>
    <w:rsid w:val="00D90670"/>
    <w:rsid w:val="00D906A9"/>
    <w:rsid w:val="00D90875"/>
    <w:rsid w:val="00D90BD2"/>
    <w:rsid w:val="00D90C87"/>
    <w:rsid w:val="00D90E4A"/>
    <w:rsid w:val="00D90EDC"/>
    <w:rsid w:val="00D90F2A"/>
    <w:rsid w:val="00D91529"/>
    <w:rsid w:val="00D915FE"/>
    <w:rsid w:val="00D91658"/>
    <w:rsid w:val="00D91ADF"/>
    <w:rsid w:val="00D91B3C"/>
    <w:rsid w:val="00D91B75"/>
    <w:rsid w:val="00D91BDC"/>
    <w:rsid w:val="00D91BF6"/>
    <w:rsid w:val="00D91C4D"/>
    <w:rsid w:val="00D91D23"/>
    <w:rsid w:val="00D91D9B"/>
    <w:rsid w:val="00D91F5D"/>
    <w:rsid w:val="00D91F78"/>
    <w:rsid w:val="00D920D5"/>
    <w:rsid w:val="00D92489"/>
    <w:rsid w:val="00D924E4"/>
    <w:rsid w:val="00D925D7"/>
    <w:rsid w:val="00D925E2"/>
    <w:rsid w:val="00D92661"/>
    <w:rsid w:val="00D926C3"/>
    <w:rsid w:val="00D92727"/>
    <w:rsid w:val="00D9285D"/>
    <w:rsid w:val="00D92C6B"/>
    <w:rsid w:val="00D92C86"/>
    <w:rsid w:val="00D92F1F"/>
    <w:rsid w:val="00D93229"/>
    <w:rsid w:val="00D93567"/>
    <w:rsid w:val="00D93608"/>
    <w:rsid w:val="00D93A31"/>
    <w:rsid w:val="00D93A3E"/>
    <w:rsid w:val="00D93BCE"/>
    <w:rsid w:val="00D93D13"/>
    <w:rsid w:val="00D94036"/>
    <w:rsid w:val="00D943B4"/>
    <w:rsid w:val="00D945F9"/>
    <w:rsid w:val="00D947B0"/>
    <w:rsid w:val="00D94AE3"/>
    <w:rsid w:val="00D94D1A"/>
    <w:rsid w:val="00D94D9F"/>
    <w:rsid w:val="00D94EE9"/>
    <w:rsid w:val="00D94FE5"/>
    <w:rsid w:val="00D95524"/>
    <w:rsid w:val="00D95681"/>
    <w:rsid w:val="00D95705"/>
    <w:rsid w:val="00D95789"/>
    <w:rsid w:val="00D9579B"/>
    <w:rsid w:val="00D957A3"/>
    <w:rsid w:val="00D9582F"/>
    <w:rsid w:val="00D9598D"/>
    <w:rsid w:val="00D95A85"/>
    <w:rsid w:val="00D95D84"/>
    <w:rsid w:val="00D95D98"/>
    <w:rsid w:val="00D95DC0"/>
    <w:rsid w:val="00D95E08"/>
    <w:rsid w:val="00D95E80"/>
    <w:rsid w:val="00D95F1D"/>
    <w:rsid w:val="00D961CE"/>
    <w:rsid w:val="00D96308"/>
    <w:rsid w:val="00D9647A"/>
    <w:rsid w:val="00D96481"/>
    <w:rsid w:val="00D9652F"/>
    <w:rsid w:val="00D966DF"/>
    <w:rsid w:val="00D96896"/>
    <w:rsid w:val="00D96A2B"/>
    <w:rsid w:val="00D96A58"/>
    <w:rsid w:val="00D96B14"/>
    <w:rsid w:val="00D96C13"/>
    <w:rsid w:val="00D96D59"/>
    <w:rsid w:val="00D97507"/>
    <w:rsid w:val="00D975CC"/>
    <w:rsid w:val="00D978D2"/>
    <w:rsid w:val="00D97CD0"/>
    <w:rsid w:val="00D97F98"/>
    <w:rsid w:val="00DA01E4"/>
    <w:rsid w:val="00DA0382"/>
    <w:rsid w:val="00DA03F0"/>
    <w:rsid w:val="00DA050F"/>
    <w:rsid w:val="00DA07FD"/>
    <w:rsid w:val="00DA08FA"/>
    <w:rsid w:val="00DA0F68"/>
    <w:rsid w:val="00DA0FEF"/>
    <w:rsid w:val="00DA112E"/>
    <w:rsid w:val="00DA135F"/>
    <w:rsid w:val="00DA15F0"/>
    <w:rsid w:val="00DA17ED"/>
    <w:rsid w:val="00DA184A"/>
    <w:rsid w:val="00DA19BB"/>
    <w:rsid w:val="00DA1B63"/>
    <w:rsid w:val="00DA1BBE"/>
    <w:rsid w:val="00DA1C7A"/>
    <w:rsid w:val="00DA1CE0"/>
    <w:rsid w:val="00DA1D2D"/>
    <w:rsid w:val="00DA1D35"/>
    <w:rsid w:val="00DA2058"/>
    <w:rsid w:val="00DA24FD"/>
    <w:rsid w:val="00DA2711"/>
    <w:rsid w:val="00DA2A59"/>
    <w:rsid w:val="00DA2ADF"/>
    <w:rsid w:val="00DA3435"/>
    <w:rsid w:val="00DA343E"/>
    <w:rsid w:val="00DA347B"/>
    <w:rsid w:val="00DA352E"/>
    <w:rsid w:val="00DA3C84"/>
    <w:rsid w:val="00DA3EDF"/>
    <w:rsid w:val="00DA3FD6"/>
    <w:rsid w:val="00DA3FDA"/>
    <w:rsid w:val="00DA40EB"/>
    <w:rsid w:val="00DA40F6"/>
    <w:rsid w:val="00DA40FA"/>
    <w:rsid w:val="00DA42BB"/>
    <w:rsid w:val="00DA4466"/>
    <w:rsid w:val="00DA44B9"/>
    <w:rsid w:val="00DA46EF"/>
    <w:rsid w:val="00DA4D2D"/>
    <w:rsid w:val="00DA4D34"/>
    <w:rsid w:val="00DA4DA6"/>
    <w:rsid w:val="00DA4FE8"/>
    <w:rsid w:val="00DA50F5"/>
    <w:rsid w:val="00DA56B1"/>
    <w:rsid w:val="00DA588E"/>
    <w:rsid w:val="00DA5965"/>
    <w:rsid w:val="00DA5D8E"/>
    <w:rsid w:val="00DA6031"/>
    <w:rsid w:val="00DA6049"/>
    <w:rsid w:val="00DA6188"/>
    <w:rsid w:val="00DA6193"/>
    <w:rsid w:val="00DA628C"/>
    <w:rsid w:val="00DA63AD"/>
    <w:rsid w:val="00DA64AF"/>
    <w:rsid w:val="00DA66D7"/>
    <w:rsid w:val="00DA67D2"/>
    <w:rsid w:val="00DA6819"/>
    <w:rsid w:val="00DA686E"/>
    <w:rsid w:val="00DA6B7D"/>
    <w:rsid w:val="00DA6C34"/>
    <w:rsid w:val="00DA777D"/>
    <w:rsid w:val="00DA77BB"/>
    <w:rsid w:val="00DA77DE"/>
    <w:rsid w:val="00DA7AD4"/>
    <w:rsid w:val="00DA7C81"/>
    <w:rsid w:val="00DB0005"/>
    <w:rsid w:val="00DB01A4"/>
    <w:rsid w:val="00DB038D"/>
    <w:rsid w:val="00DB05A7"/>
    <w:rsid w:val="00DB075F"/>
    <w:rsid w:val="00DB0890"/>
    <w:rsid w:val="00DB098D"/>
    <w:rsid w:val="00DB0D1B"/>
    <w:rsid w:val="00DB1035"/>
    <w:rsid w:val="00DB10BE"/>
    <w:rsid w:val="00DB10CC"/>
    <w:rsid w:val="00DB112B"/>
    <w:rsid w:val="00DB12E0"/>
    <w:rsid w:val="00DB144C"/>
    <w:rsid w:val="00DB1547"/>
    <w:rsid w:val="00DB1759"/>
    <w:rsid w:val="00DB1A90"/>
    <w:rsid w:val="00DB1CE1"/>
    <w:rsid w:val="00DB1CE7"/>
    <w:rsid w:val="00DB1D6A"/>
    <w:rsid w:val="00DB1FFE"/>
    <w:rsid w:val="00DB2125"/>
    <w:rsid w:val="00DB2446"/>
    <w:rsid w:val="00DB25A5"/>
    <w:rsid w:val="00DB26A1"/>
    <w:rsid w:val="00DB26B4"/>
    <w:rsid w:val="00DB28DB"/>
    <w:rsid w:val="00DB2AFF"/>
    <w:rsid w:val="00DB2C02"/>
    <w:rsid w:val="00DB2C12"/>
    <w:rsid w:val="00DB2C81"/>
    <w:rsid w:val="00DB2E5C"/>
    <w:rsid w:val="00DB2F7B"/>
    <w:rsid w:val="00DB311C"/>
    <w:rsid w:val="00DB34C3"/>
    <w:rsid w:val="00DB3A57"/>
    <w:rsid w:val="00DB3AD9"/>
    <w:rsid w:val="00DB3B3A"/>
    <w:rsid w:val="00DB3F9F"/>
    <w:rsid w:val="00DB428C"/>
    <w:rsid w:val="00DB449D"/>
    <w:rsid w:val="00DB449E"/>
    <w:rsid w:val="00DB4898"/>
    <w:rsid w:val="00DB490B"/>
    <w:rsid w:val="00DB4936"/>
    <w:rsid w:val="00DB4CEE"/>
    <w:rsid w:val="00DB4F43"/>
    <w:rsid w:val="00DB5033"/>
    <w:rsid w:val="00DB5326"/>
    <w:rsid w:val="00DB541B"/>
    <w:rsid w:val="00DB58AF"/>
    <w:rsid w:val="00DB6123"/>
    <w:rsid w:val="00DB6158"/>
    <w:rsid w:val="00DB62DB"/>
    <w:rsid w:val="00DB682D"/>
    <w:rsid w:val="00DB6B0F"/>
    <w:rsid w:val="00DB6D98"/>
    <w:rsid w:val="00DB7014"/>
    <w:rsid w:val="00DB7022"/>
    <w:rsid w:val="00DB745F"/>
    <w:rsid w:val="00DB751A"/>
    <w:rsid w:val="00DB7637"/>
    <w:rsid w:val="00DB769F"/>
    <w:rsid w:val="00DB77F0"/>
    <w:rsid w:val="00DB7C75"/>
    <w:rsid w:val="00DC0172"/>
    <w:rsid w:val="00DC021E"/>
    <w:rsid w:val="00DC02AA"/>
    <w:rsid w:val="00DC038D"/>
    <w:rsid w:val="00DC0599"/>
    <w:rsid w:val="00DC05E8"/>
    <w:rsid w:val="00DC0669"/>
    <w:rsid w:val="00DC0835"/>
    <w:rsid w:val="00DC095F"/>
    <w:rsid w:val="00DC0E7F"/>
    <w:rsid w:val="00DC0EB2"/>
    <w:rsid w:val="00DC13D7"/>
    <w:rsid w:val="00DC1536"/>
    <w:rsid w:val="00DC15ED"/>
    <w:rsid w:val="00DC1779"/>
    <w:rsid w:val="00DC198A"/>
    <w:rsid w:val="00DC19FF"/>
    <w:rsid w:val="00DC1AB2"/>
    <w:rsid w:val="00DC1D78"/>
    <w:rsid w:val="00DC1FC7"/>
    <w:rsid w:val="00DC20D6"/>
    <w:rsid w:val="00DC2168"/>
    <w:rsid w:val="00DC21AF"/>
    <w:rsid w:val="00DC290E"/>
    <w:rsid w:val="00DC3366"/>
    <w:rsid w:val="00DC3649"/>
    <w:rsid w:val="00DC3880"/>
    <w:rsid w:val="00DC391A"/>
    <w:rsid w:val="00DC3993"/>
    <w:rsid w:val="00DC3C61"/>
    <w:rsid w:val="00DC40A1"/>
    <w:rsid w:val="00DC40F9"/>
    <w:rsid w:val="00DC468D"/>
    <w:rsid w:val="00DC4694"/>
    <w:rsid w:val="00DC485A"/>
    <w:rsid w:val="00DC4A52"/>
    <w:rsid w:val="00DC4AB1"/>
    <w:rsid w:val="00DC4E55"/>
    <w:rsid w:val="00DC4EFA"/>
    <w:rsid w:val="00DC50F5"/>
    <w:rsid w:val="00DC522C"/>
    <w:rsid w:val="00DC52E4"/>
    <w:rsid w:val="00DC5709"/>
    <w:rsid w:val="00DC5B0B"/>
    <w:rsid w:val="00DC5C45"/>
    <w:rsid w:val="00DC65A1"/>
    <w:rsid w:val="00DC6805"/>
    <w:rsid w:val="00DC69A2"/>
    <w:rsid w:val="00DC6BF5"/>
    <w:rsid w:val="00DC6C12"/>
    <w:rsid w:val="00DC6E59"/>
    <w:rsid w:val="00DC723A"/>
    <w:rsid w:val="00DC7A8C"/>
    <w:rsid w:val="00DC7C27"/>
    <w:rsid w:val="00DC7E39"/>
    <w:rsid w:val="00DC7F10"/>
    <w:rsid w:val="00DC7F12"/>
    <w:rsid w:val="00DD0277"/>
    <w:rsid w:val="00DD0619"/>
    <w:rsid w:val="00DD0668"/>
    <w:rsid w:val="00DD072A"/>
    <w:rsid w:val="00DD0D87"/>
    <w:rsid w:val="00DD0F0A"/>
    <w:rsid w:val="00DD1048"/>
    <w:rsid w:val="00DD1148"/>
    <w:rsid w:val="00DD130E"/>
    <w:rsid w:val="00DD145C"/>
    <w:rsid w:val="00DD1480"/>
    <w:rsid w:val="00DD149A"/>
    <w:rsid w:val="00DD1616"/>
    <w:rsid w:val="00DD1ABC"/>
    <w:rsid w:val="00DD21AB"/>
    <w:rsid w:val="00DD2277"/>
    <w:rsid w:val="00DD244E"/>
    <w:rsid w:val="00DD2636"/>
    <w:rsid w:val="00DD2720"/>
    <w:rsid w:val="00DD2995"/>
    <w:rsid w:val="00DD2CBC"/>
    <w:rsid w:val="00DD30DB"/>
    <w:rsid w:val="00DD331A"/>
    <w:rsid w:val="00DD3401"/>
    <w:rsid w:val="00DD3491"/>
    <w:rsid w:val="00DD3523"/>
    <w:rsid w:val="00DD36D4"/>
    <w:rsid w:val="00DD3CDE"/>
    <w:rsid w:val="00DD3D08"/>
    <w:rsid w:val="00DD3D35"/>
    <w:rsid w:val="00DD4052"/>
    <w:rsid w:val="00DD4181"/>
    <w:rsid w:val="00DD422A"/>
    <w:rsid w:val="00DD42B6"/>
    <w:rsid w:val="00DD4534"/>
    <w:rsid w:val="00DD4698"/>
    <w:rsid w:val="00DD472F"/>
    <w:rsid w:val="00DD473B"/>
    <w:rsid w:val="00DD47E4"/>
    <w:rsid w:val="00DD4897"/>
    <w:rsid w:val="00DD4A23"/>
    <w:rsid w:val="00DD4E14"/>
    <w:rsid w:val="00DD4E61"/>
    <w:rsid w:val="00DD4EC8"/>
    <w:rsid w:val="00DD4ED8"/>
    <w:rsid w:val="00DD4F7E"/>
    <w:rsid w:val="00DD500C"/>
    <w:rsid w:val="00DD537F"/>
    <w:rsid w:val="00DD562D"/>
    <w:rsid w:val="00DD5935"/>
    <w:rsid w:val="00DD5A2C"/>
    <w:rsid w:val="00DD5B01"/>
    <w:rsid w:val="00DD5C5D"/>
    <w:rsid w:val="00DD5D5F"/>
    <w:rsid w:val="00DD5DE6"/>
    <w:rsid w:val="00DD6562"/>
    <w:rsid w:val="00DD6779"/>
    <w:rsid w:val="00DD6818"/>
    <w:rsid w:val="00DD6AD6"/>
    <w:rsid w:val="00DD6AFB"/>
    <w:rsid w:val="00DD6EB4"/>
    <w:rsid w:val="00DD7081"/>
    <w:rsid w:val="00DD76EF"/>
    <w:rsid w:val="00DD786F"/>
    <w:rsid w:val="00DD7ADB"/>
    <w:rsid w:val="00DD7E06"/>
    <w:rsid w:val="00DD7F18"/>
    <w:rsid w:val="00DE0114"/>
    <w:rsid w:val="00DE02B0"/>
    <w:rsid w:val="00DE0375"/>
    <w:rsid w:val="00DE03E4"/>
    <w:rsid w:val="00DE0498"/>
    <w:rsid w:val="00DE04D8"/>
    <w:rsid w:val="00DE0A6C"/>
    <w:rsid w:val="00DE0A99"/>
    <w:rsid w:val="00DE0B52"/>
    <w:rsid w:val="00DE117F"/>
    <w:rsid w:val="00DE1232"/>
    <w:rsid w:val="00DE1A8E"/>
    <w:rsid w:val="00DE1ACE"/>
    <w:rsid w:val="00DE1B92"/>
    <w:rsid w:val="00DE1BDB"/>
    <w:rsid w:val="00DE1E66"/>
    <w:rsid w:val="00DE1F70"/>
    <w:rsid w:val="00DE20F6"/>
    <w:rsid w:val="00DE2443"/>
    <w:rsid w:val="00DE25B2"/>
    <w:rsid w:val="00DE2C90"/>
    <w:rsid w:val="00DE2DBD"/>
    <w:rsid w:val="00DE2EDE"/>
    <w:rsid w:val="00DE2FC2"/>
    <w:rsid w:val="00DE30AD"/>
    <w:rsid w:val="00DE3252"/>
    <w:rsid w:val="00DE33AE"/>
    <w:rsid w:val="00DE34BA"/>
    <w:rsid w:val="00DE34F2"/>
    <w:rsid w:val="00DE3829"/>
    <w:rsid w:val="00DE3B59"/>
    <w:rsid w:val="00DE3E99"/>
    <w:rsid w:val="00DE3EAD"/>
    <w:rsid w:val="00DE4006"/>
    <w:rsid w:val="00DE4115"/>
    <w:rsid w:val="00DE4690"/>
    <w:rsid w:val="00DE4AB2"/>
    <w:rsid w:val="00DE4B06"/>
    <w:rsid w:val="00DE4CB1"/>
    <w:rsid w:val="00DE4DDD"/>
    <w:rsid w:val="00DE4F81"/>
    <w:rsid w:val="00DE51F5"/>
    <w:rsid w:val="00DE54CA"/>
    <w:rsid w:val="00DE54EA"/>
    <w:rsid w:val="00DE54F9"/>
    <w:rsid w:val="00DE5966"/>
    <w:rsid w:val="00DE5AF8"/>
    <w:rsid w:val="00DE5B75"/>
    <w:rsid w:val="00DE5D16"/>
    <w:rsid w:val="00DE6176"/>
    <w:rsid w:val="00DE6324"/>
    <w:rsid w:val="00DE678E"/>
    <w:rsid w:val="00DE69CD"/>
    <w:rsid w:val="00DE6D63"/>
    <w:rsid w:val="00DE6D9A"/>
    <w:rsid w:val="00DE6FF4"/>
    <w:rsid w:val="00DE709B"/>
    <w:rsid w:val="00DE710E"/>
    <w:rsid w:val="00DE72BB"/>
    <w:rsid w:val="00DE7354"/>
    <w:rsid w:val="00DE75BF"/>
    <w:rsid w:val="00DE75D0"/>
    <w:rsid w:val="00DE7774"/>
    <w:rsid w:val="00DE7953"/>
    <w:rsid w:val="00DE798A"/>
    <w:rsid w:val="00DE7A20"/>
    <w:rsid w:val="00DE7DD4"/>
    <w:rsid w:val="00DF0176"/>
    <w:rsid w:val="00DF0177"/>
    <w:rsid w:val="00DF01EB"/>
    <w:rsid w:val="00DF026C"/>
    <w:rsid w:val="00DF0370"/>
    <w:rsid w:val="00DF0389"/>
    <w:rsid w:val="00DF0395"/>
    <w:rsid w:val="00DF0742"/>
    <w:rsid w:val="00DF099C"/>
    <w:rsid w:val="00DF0A28"/>
    <w:rsid w:val="00DF0EFA"/>
    <w:rsid w:val="00DF11B4"/>
    <w:rsid w:val="00DF16CD"/>
    <w:rsid w:val="00DF16ED"/>
    <w:rsid w:val="00DF181A"/>
    <w:rsid w:val="00DF1ABA"/>
    <w:rsid w:val="00DF1AD9"/>
    <w:rsid w:val="00DF1CDA"/>
    <w:rsid w:val="00DF1D37"/>
    <w:rsid w:val="00DF206A"/>
    <w:rsid w:val="00DF2417"/>
    <w:rsid w:val="00DF24E0"/>
    <w:rsid w:val="00DF25AE"/>
    <w:rsid w:val="00DF274A"/>
    <w:rsid w:val="00DF2924"/>
    <w:rsid w:val="00DF29F2"/>
    <w:rsid w:val="00DF2B28"/>
    <w:rsid w:val="00DF2C55"/>
    <w:rsid w:val="00DF2C92"/>
    <w:rsid w:val="00DF2CEC"/>
    <w:rsid w:val="00DF2D22"/>
    <w:rsid w:val="00DF2FBB"/>
    <w:rsid w:val="00DF3081"/>
    <w:rsid w:val="00DF3276"/>
    <w:rsid w:val="00DF34FF"/>
    <w:rsid w:val="00DF3528"/>
    <w:rsid w:val="00DF3651"/>
    <w:rsid w:val="00DF369F"/>
    <w:rsid w:val="00DF36F9"/>
    <w:rsid w:val="00DF39DA"/>
    <w:rsid w:val="00DF3A5F"/>
    <w:rsid w:val="00DF3DD7"/>
    <w:rsid w:val="00DF4027"/>
    <w:rsid w:val="00DF4087"/>
    <w:rsid w:val="00DF4400"/>
    <w:rsid w:val="00DF499A"/>
    <w:rsid w:val="00DF4AE8"/>
    <w:rsid w:val="00DF4D0F"/>
    <w:rsid w:val="00DF5292"/>
    <w:rsid w:val="00DF54E9"/>
    <w:rsid w:val="00DF59DE"/>
    <w:rsid w:val="00DF5C01"/>
    <w:rsid w:val="00DF5C23"/>
    <w:rsid w:val="00DF6110"/>
    <w:rsid w:val="00DF61AA"/>
    <w:rsid w:val="00DF63BD"/>
    <w:rsid w:val="00DF64C8"/>
    <w:rsid w:val="00DF64F5"/>
    <w:rsid w:val="00DF6699"/>
    <w:rsid w:val="00DF6A17"/>
    <w:rsid w:val="00DF6C37"/>
    <w:rsid w:val="00DF6CDF"/>
    <w:rsid w:val="00DF6DFC"/>
    <w:rsid w:val="00DF6ED0"/>
    <w:rsid w:val="00DF7106"/>
    <w:rsid w:val="00DF7193"/>
    <w:rsid w:val="00DF785A"/>
    <w:rsid w:val="00DF790E"/>
    <w:rsid w:val="00DF7DF4"/>
    <w:rsid w:val="00DF7F85"/>
    <w:rsid w:val="00E00182"/>
    <w:rsid w:val="00E001BF"/>
    <w:rsid w:val="00E0028D"/>
    <w:rsid w:val="00E00537"/>
    <w:rsid w:val="00E0057A"/>
    <w:rsid w:val="00E00632"/>
    <w:rsid w:val="00E00704"/>
    <w:rsid w:val="00E009BA"/>
    <w:rsid w:val="00E009F5"/>
    <w:rsid w:val="00E00AE2"/>
    <w:rsid w:val="00E00D61"/>
    <w:rsid w:val="00E00E99"/>
    <w:rsid w:val="00E0105D"/>
    <w:rsid w:val="00E01378"/>
    <w:rsid w:val="00E01512"/>
    <w:rsid w:val="00E01B2C"/>
    <w:rsid w:val="00E01BFB"/>
    <w:rsid w:val="00E01D5A"/>
    <w:rsid w:val="00E01F00"/>
    <w:rsid w:val="00E01F84"/>
    <w:rsid w:val="00E021CD"/>
    <w:rsid w:val="00E023DE"/>
    <w:rsid w:val="00E02634"/>
    <w:rsid w:val="00E02704"/>
    <w:rsid w:val="00E02DBE"/>
    <w:rsid w:val="00E03275"/>
    <w:rsid w:val="00E032D4"/>
    <w:rsid w:val="00E0341E"/>
    <w:rsid w:val="00E0373C"/>
    <w:rsid w:val="00E037E9"/>
    <w:rsid w:val="00E037F8"/>
    <w:rsid w:val="00E03957"/>
    <w:rsid w:val="00E03C1F"/>
    <w:rsid w:val="00E04012"/>
    <w:rsid w:val="00E040B0"/>
    <w:rsid w:val="00E04130"/>
    <w:rsid w:val="00E04143"/>
    <w:rsid w:val="00E04148"/>
    <w:rsid w:val="00E04261"/>
    <w:rsid w:val="00E043EE"/>
    <w:rsid w:val="00E04639"/>
    <w:rsid w:val="00E05204"/>
    <w:rsid w:val="00E054BE"/>
    <w:rsid w:val="00E0552A"/>
    <w:rsid w:val="00E05657"/>
    <w:rsid w:val="00E0578C"/>
    <w:rsid w:val="00E057D7"/>
    <w:rsid w:val="00E057DC"/>
    <w:rsid w:val="00E058CD"/>
    <w:rsid w:val="00E05921"/>
    <w:rsid w:val="00E05CCD"/>
    <w:rsid w:val="00E05DAF"/>
    <w:rsid w:val="00E064AF"/>
    <w:rsid w:val="00E06710"/>
    <w:rsid w:val="00E067AA"/>
    <w:rsid w:val="00E0700A"/>
    <w:rsid w:val="00E07432"/>
    <w:rsid w:val="00E07537"/>
    <w:rsid w:val="00E07772"/>
    <w:rsid w:val="00E07DFA"/>
    <w:rsid w:val="00E10175"/>
    <w:rsid w:val="00E10640"/>
    <w:rsid w:val="00E10886"/>
    <w:rsid w:val="00E10B49"/>
    <w:rsid w:val="00E10C29"/>
    <w:rsid w:val="00E10F9C"/>
    <w:rsid w:val="00E11047"/>
    <w:rsid w:val="00E115A2"/>
    <w:rsid w:val="00E115EC"/>
    <w:rsid w:val="00E1160A"/>
    <w:rsid w:val="00E11662"/>
    <w:rsid w:val="00E119BB"/>
    <w:rsid w:val="00E11AC2"/>
    <w:rsid w:val="00E11C35"/>
    <w:rsid w:val="00E11EAE"/>
    <w:rsid w:val="00E11F73"/>
    <w:rsid w:val="00E121FF"/>
    <w:rsid w:val="00E122E8"/>
    <w:rsid w:val="00E1233A"/>
    <w:rsid w:val="00E12605"/>
    <w:rsid w:val="00E12669"/>
    <w:rsid w:val="00E127F8"/>
    <w:rsid w:val="00E1283D"/>
    <w:rsid w:val="00E128E8"/>
    <w:rsid w:val="00E12950"/>
    <w:rsid w:val="00E129C5"/>
    <w:rsid w:val="00E12A79"/>
    <w:rsid w:val="00E12ADD"/>
    <w:rsid w:val="00E12F25"/>
    <w:rsid w:val="00E12FD9"/>
    <w:rsid w:val="00E13002"/>
    <w:rsid w:val="00E13527"/>
    <w:rsid w:val="00E13AB5"/>
    <w:rsid w:val="00E13BA4"/>
    <w:rsid w:val="00E13DEB"/>
    <w:rsid w:val="00E13F6F"/>
    <w:rsid w:val="00E14045"/>
    <w:rsid w:val="00E1411B"/>
    <w:rsid w:val="00E14389"/>
    <w:rsid w:val="00E14631"/>
    <w:rsid w:val="00E146AE"/>
    <w:rsid w:val="00E14AAA"/>
    <w:rsid w:val="00E14C04"/>
    <w:rsid w:val="00E15270"/>
    <w:rsid w:val="00E1528A"/>
    <w:rsid w:val="00E152AC"/>
    <w:rsid w:val="00E1562A"/>
    <w:rsid w:val="00E157CD"/>
    <w:rsid w:val="00E15801"/>
    <w:rsid w:val="00E15A07"/>
    <w:rsid w:val="00E15BD3"/>
    <w:rsid w:val="00E16038"/>
    <w:rsid w:val="00E161CF"/>
    <w:rsid w:val="00E167FA"/>
    <w:rsid w:val="00E16824"/>
    <w:rsid w:val="00E168CB"/>
    <w:rsid w:val="00E168D5"/>
    <w:rsid w:val="00E177E6"/>
    <w:rsid w:val="00E17A72"/>
    <w:rsid w:val="00E17F12"/>
    <w:rsid w:val="00E20560"/>
    <w:rsid w:val="00E20617"/>
    <w:rsid w:val="00E206E5"/>
    <w:rsid w:val="00E20A09"/>
    <w:rsid w:val="00E20F46"/>
    <w:rsid w:val="00E21226"/>
    <w:rsid w:val="00E2183D"/>
    <w:rsid w:val="00E219EC"/>
    <w:rsid w:val="00E21ABC"/>
    <w:rsid w:val="00E21B6B"/>
    <w:rsid w:val="00E21BE0"/>
    <w:rsid w:val="00E21C32"/>
    <w:rsid w:val="00E21DAD"/>
    <w:rsid w:val="00E21F8A"/>
    <w:rsid w:val="00E21FD0"/>
    <w:rsid w:val="00E220D0"/>
    <w:rsid w:val="00E222C0"/>
    <w:rsid w:val="00E2237F"/>
    <w:rsid w:val="00E224A4"/>
    <w:rsid w:val="00E2254A"/>
    <w:rsid w:val="00E2271D"/>
    <w:rsid w:val="00E22DEB"/>
    <w:rsid w:val="00E23544"/>
    <w:rsid w:val="00E23653"/>
    <w:rsid w:val="00E23D23"/>
    <w:rsid w:val="00E23D3D"/>
    <w:rsid w:val="00E23F85"/>
    <w:rsid w:val="00E24046"/>
    <w:rsid w:val="00E240A4"/>
    <w:rsid w:val="00E242EE"/>
    <w:rsid w:val="00E246BA"/>
    <w:rsid w:val="00E24B4A"/>
    <w:rsid w:val="00E24BCB"/>
    <w:rsid w:val="00E24CFE"/>
    <w:rsid w:val="00E2520A"/>
    <w:rsid w:val="00E25780"/>
    <w:rsid w:val="00E257C4"/>
    <w:rsid w:val="00E25829"/>
    <w:rsid w:val="00E25A58"/>
    <w:rsid w:val="00E25AFB"/>
    <w:rsid w:val="00E25C46"/>
    <w:rsid w:val="00E263EA"/>
    <w:rsid w:val="00E26523"/>
    <w:rsid w:val="00E26547"/>
    <w:rsid w:val="00E268BC"/>
    <w:rsid w:val="00E26B06"/>
    <w:rsid w:val="00E26CB0"/>
    <w:rsid w:val="00E26D1D"/>
    <w:rsid w:val="00E26FC5"/>
    <w:rsid w:val="00E27081"/>
    <w:rsid w:val="00E2790B"/>
    <w:rsid w:val="00E27A47"/>
    <w:rsid w:val="00E27B44"/>
    <w:rsid w:val="00E27B47"/>
    <w:rsid w:val="00E27DE2"/>
    <w:rsid w:val="00E27E6A"/>
    <w:rsid w:val="00E30574"/>
    <w:rsid w:val="00E30B9F"/>
    <w:rsid w:val="00E30BD2"/>
    <w:rsid w:val="00E30E05"/>
    <w:rsid w:val="00E31039"/>
    <w:rsid w:val="00E3110A"/>
    <w:rsid w:val="00E31140"/>
    <w:rsid w:val="00E3125A"/>
    <w:rsid w:val="00E3127C"/>
    <w:rsid w:val="00E313FA"/>
    <w:rsid w:val="00E31474"/>
    <w:rsid w:val="00E3149A"/>
    <w:rsid w:val="00E314F8"/>
    <w:rsid w:val="00E3151D"/>
    <w:rsid w:val="00E31586"/>
    <w:rsid w:val="00E318E8"/>
    <w:rsid w:val="00E31A70"/>
    <w:rsid w:val="00E31A7D"/>
    <w:rsid w:val="00E31F62"/>
    <w:rsid w:val="00E31FCE"/>
    <w:rsid w:val="00E32428"/>
    <w:rsid w:val="00E32D87"/>
    <w:rsid w:val="00E32DD6"/>
    <w:rsid w:val="00E32F4D"/>
    <w:rsid w:val="00E330BA"/>
    <w:rsid w:val="00E33123"/>
    <w:rsid w:val="00E331F0"/>
    <w:rsid w:val="00E33377"/>
    <w:rsid w:val="00E335D2"/>
    <w:rsid w:val="00E337C2"/>
    <w:rsid w:val="00E337FC"/>
    <w:rsid w:val="00E33810"/>
    <w:rsid w:val="00E33846"/>
    <w:rsid w:val="00E33AFE"/>
    <w:rsid w:val="00E33D87"/>
    <w:rsid w:val="00E33FCD"/>
    <w:rsid w:val="00E34311"/>
    <w:rsid w:val="00E34338"/>
    <w:rsid w:val="00E34662"/>
    <w:rsid w:val="00E34734"/>
    <w:rsid w:val="00E34A74"/>
    <w:rsid w:val="00E34BBD"/>
    <w:rsid w:val="00E34E46"/>
    <w:rsid w:val="00E34EDE"/>
    <w:rsid w:val="00E35118"/>
    <w:rsid w:val="00E35223"/>
    <w:rsid w:val="00E35293"/>
    <w:rsid w:val="00E355FF"/>
    <w:rsid w:val="00E35609"/>
    <w:rsid w:val="00E3594B"/>
    <w:rsid w:val="00E359B5"/>
    <w:rsid w:val="00E35B33"/>
    <w:rsid w:val="00E35BFD"/>
    <w:rsid w:val="00E35C3E"/>
    <w:rsid w:val="00E35D88"/>
    <w:rsid w:val="00E36085"/>
    <w:rsid w:val="00E36434"/>
    <w:rsid w:val="00E36B62"/>
    <w:rsid w:val="00E36C16"/>
    <w:rsid w:val="00E36D88"/>
    <w:rsid w:val="00E36EE9"/>
    <w:rsid w:val="00E37179"/>
    <w:rsid w:val="00E37208"/>
    <w:rsid w:val="00E3774F"/>
    <w:rsid w:val="00E379BC"/>
    <w:rsid w:val="00E37BFA"/>
    <w:rsid w:val="00E37CA9"/>
    <w:rsid w:val="00E37FD7"/>
    <w:rsid w:val="00E4008E"/>
    <w:rsid w:val="00E406C9"/>
    <w:rsid w:val="00E40716"/>
    <w:rsid w:val="00E407FF"/>
    <w:rsid w:val="00E4085B"/>
    <w:rsid w:val="00E4092A"/>
    <w:rsid w:val="00E40956"/>
    <w:rsid w:val="00E40B3F"/>
    <w:rsid w:val="00E40B4C"/>
    <w:rsid w:val="00E40BBB"/>
    <w:rsid w:val="00E40E7C"/>
    <w:rsid w:val="00E40F64"/>
    <w:rsid w:val="00E410A6"/>
    <w:rsid w:val="00E41127"/>
    <w:rsid w:val="00E4118E"/>
    <w:rsid w:val="00E4148B"/>
    <w:rsid w:val="00E41B07"/>
    <w:rsid w:val="00E41C8E"/>
    <w:rsid w:val="00E41C91"/>
    <w:rsid w:val="00E41FA3"/>
    <w:rsid w:val="00E4228F"/>
    <w:rsid w:val="00E42326"/>
    <w:rsid w:val="00E42370"/>
    <w:rsid w:val="00E4245C"/>
    <w:rsid w:val="00E426E9"/>
    <w:rsid w:val="00E4283F"/>
    <w:rsid w:val="00E42CDF"/>
    <w:rsid w:val="00E42CE6"/>
    <w:rsid w:val="00E42EFA"/>
    <w:rsid w:val="00E43382"/>
    <w:rsid w:val="00E4358B"/>
    <w:rsid w:val="00E43708"/>
    <w:rsid w:val="00E4376A"/>
    <w:rsid w:val="00E437DC"/>
    <w:rsid w:val="00E43CD0"/>
    <w:rsid w:val="00E43DF9"/>
    <w:rsid w:val="00E44197"/>
    <w:rsid w:val="00E44251"/>
    <w:rsid w:val="00E443AB"/>
    <w:rsid w:val="00E443D7"/>
    <w:rsid w:val="00E445DD"/>
    <w:rsid w:val="00E44876"/>
    <w:rsid w:val="00E44927"/>
    <w:rsid w:val="00E44BC6"/>
    <w:rsid w:val="00E44D0B"/>
    <w:rsid w:val="00E44E83"/>
    <w:rsid w:val="00E44FA7"/>
    <w:rsid w:val="00E45505"/>
    <w:rsid w:val="00E4562F"/>
    <w:rsid w:val="00E4567E"/>
    <w:rsid w:val="00E457EC"/>
    <w:rsid w:val="00E45812"/>
    <w:rsid w:val="00E45B3E"/>
    <w:rsid w:val="00E45E7E"/>
    <w:rsid w:val="00E45F79"/>
    <w:rsid w:val="00E45FC3"/>
    <w:rsid w:val="00E46092"/>
    <w:rsid w:val="00E461DA"/>
    <w:rsid w:val="00E46274"/>
    <w:rsid w:val="00E46393"/>
    <w:rsid w:val="00E46693"/>
    <w:rsid w:val="00E468CD"/>
    <w:rsid w:val="00E46902"/>
    <w:rsid w:val="00E46EA9"/>
    <w:rsid w:val="00E46F90"/>
    <w:rsid w:val="00E47060"/>
    <w:rsid w:val="00E47921"/>
    <w:rsid w:val="00E47B19"/>
    <w:rsid w:val="00E5008E"/>
    <w:rsid w:val="00E5022A"/>
    <w:rsid w:val="00E502F2"/>
    <w:rsid w:val="00E50429"/>
    <w:rsid w:val="00E505B3"/>
    <w:rsid w:val="00E505C3"/>
    <w:rsid w:val="00E50797"/>
    <w:rsid w:val="00E50A2B"/>
    <w:rsid w:val="00E50C9D"/>
    <w:rsid w:val="00E50CB1"/>
    <w:rsid w:val="00E50CE0"/>
    <w:rsid w:val="00E50D6D"/>
    <w:rsid w:val="00E50DB3"/>
    <w:rsid w:val="00E50E40"/>
    <w:rsid w:val="00E51048"/>
    <w:rsid w:val="00E51239"/>
    <w:rsid w:val="00E514B2"/>
    <w:rsid w:val="00E51715"/>
    <w:rsid w:val="00E517A6"/>
    <w:rsid w:val="00E519E7"/>
    <w:rsid w:val="00E51CE3"/>
    <w:rsid w:val="00E52001"/>
    <w:rsid w:val="00E5200E"/>
    <w:rsid w:val="00E5202F"/>
    <w:rsid w:val="00E52148"/>
    <w:rsid w:val="00E5236A"/>
    <w:rsid w:val="00E52483"/>
    <w:rsid w:val="00E524DE"/>
    <w:rsid w:val="00E5278E"/>
    <w:rsid w:val="00E527D2"/>
    <w:rsid w:val="00E5295E"/>
    <w:rsid w:val="00E52A11"/>
    <w:rsid w:val="00E52A46"/>
    <w:rsid w:val="00E52B1A"/>
    <w:rsid w:val="00E52EBC"/>
    <w:rsid w:val="00E52FCE"/>
    <w:rsid w:val="00E52FDE"/>
    <w:rsid w:val="00E53046"/>
    <w:rsid w:val="00E530F2"/>
    <w:rsid w:val="00E5316A"/>
    <w:rsid w:val="00E53396"/>
    <w:rsid w:val="00E53422"/>
    <w:rsid w:val="00E53463"/>
    <w:rsid w:val="00E53543"/>
    <w:rsid w:val="00E5354B"/>
    <w:rsid w:val="00E536B1"/>
    <w:rsid w:val="00E5386E"/>
    <w:rsid w:val="00E539CE"/>
    <w:rsid w:val="00E53AC3"/>
    <w:rsid w:val="00E53BD5"/>
    <w:rsid w:val="00E53F30"/>
    <w:rsid w:val="00E54045"/>
    <w:rsid w:val="00E541A5"/>
    <w:rsid w:val="00E54477"/>
    <w:rsid w:val="00E54579"/>
    <w:rsid w:val="00E546F1"/>
    <w:rsid w:val="00E547FD"/>
    <w:rsid w:val="00E548FF"/>
    <w:rsid w:val="00E54A2D"/>
    <w:rsid w:val="00E54ADD"/>
    <w:rsid w:val="00E54B0B"/>
    <w:rsid w:val="00E54D75"/>
    <w:rsid w:val="00E55354"/>
    <w:rsid w:val="00E553EF"/>
    <w:rsid w:val="00E555BF"/>
    <w:rsid w:val="00E55778"/>
    <w:rsid w:val="00E5598D"/>
    <w:rsid w:val="00E559C0"/>
    <w:rsid w:val="00E55CC9"/>
    <w:rsid w:val="00E55D66"/>
    <w:rsid w:val="00E55E7F"/>
    <w:rsid w:val="00E56084"/>
    <w:rsid w:val="00E5639B"/>
    <w:rsid w:val="00E563C9"/>
    <w:rsid w:val="00E564A8"/>
    <w:rsid w:val="00E566DD"/>
    <w:rsid w:val="00E56A73"/>
    <w:rsid w:val="00E56B5A"/>
    <w:rsid w:val="00E56C9B"/>
    <w:rsid w:val="00E56D92"/>
    <w:rsid w:val="00E56DC8"/>
    <w:rsid w:val="00E571C5"/>
    <w:rsid w:val="00E5726A"/>
    <w:rsid w:val="00E573F6"/>
    <w:rsid w:val="00E57486"/>
    <w:rsid w:val="00E5750A"/>
    <w:rsid w:val="00E57573"/>
    <w:rsid w:val="00E57723"/>
    <w:rsid w:val="00E57CB9"/>
    <w:rsid w:val="00E57D03"/>
    <w:rsid w:val="00E57EB2"/>
    <w:rsid w:val="00E57F64"/>
    <w:rsid w:val="00E6006C"/>
    <w:rsid w:val="00E600B9"/>
    <w:rsid w:val="00E601CF"/>
    <w:rsid w:val="00E6029A"/>
    <w:rsid w:val="00E605C2"/>
    <w:rsid w:val="00E60682"/>
    <w:rsid w:val="00E608B1"/>
    <w:rsid w:val="00E608F7"/>
    <w:rsid w:val="00E60900"/>
    <w:rsid w:val="00E60CBB"/>
    <w:rsid w:val="00E60E06"/>
    <w:rsid w:val="00E60E33"/>
    <w:rsid w:val="00E61595"/>
    <w:rsid w:val="00E615BC"/>
    <w:rsid w:val="00E615FE"/>
    <w:rsid w:val="00E61641"/>
    <w:rsid w:val="00E617EC"/>
    <w:rsid w:val="00E6192F"/>
    <w:rsid w:val="00E6205F"/>
    <w:rsid w:val="00E6206B"/>
    <w:rsid w:val="00E620E0"/>
    <w:rsid w:val="00E6218F"/>
    <w:rsid w:val="00E62291"/>
    <w:rsid w:val="00E622CD"/>
    <w:rsid w:val="00E62607"/>
    <w:rsid w:val="00E62D63"/>
    <w:rsid w:val="00E62DE1"/>
    <w:rsid w:val="00E63181"/>
    <w:rsid w:val="00E63464"/>
    <w:rsid w:val="00E637BB"/>
    <w:rsid w:val="00E63944"/>
    <w:rsid w:val="00E63C48"/>
    <w:rsid w:val="00E63ECD"/>
    <w:rsid w:val="00E63FD1"/>
    <w:rsid w:val="00E6403F"/>
    <w:rsid w:val="00E640A8"/>
    <w:rsid w:val="00E64398"/>
    <w:rsid w:val="00E64455"/>
    <w:rsid w:val="00E64984"/>
    <w:rsid w:val="00E649D8"/>
    <w:rsid w:val="00E6522E"/>
    <w:rsid w:val="00E653C8"/>
    <w:rsid w:val="00E65442"/>
    <w:rsid w:val="00E6547A"/>
    <w:rsid w:val="00E660A5"/>
    <w:rsid w:val="00E66240"/>
    <w:rsid w:val="00E665E8"/>
    <w:rsid w:val="00E66868"/>
    <w:rsid w:val="00E66BD6"/>
    <w:rsid w:val="00E66D44"/>
    <w:rsid w:val="00E66F51"/>
    <w:rsid w:val="00E66F9E"/>
    <w:rsid w:val="00E66FE1"/>
    <w:rsid w:val="00E673E3"/>
    <w:rsid w:val="00E67555"/>
    <w:rsid w:val="00E67688"/>
    <w:rsid w:val="00E678C2"/>
    <w:rsid w:val="00E67A4B"/>
    <w:rsid w:val="00E67A5F"/>
    <w:rsid w:val="00E67F1C"/>
    <w:rsid w:val="00E700F3"/>
    <w:rsid w:val="00E70170"/>
    <w:rsid w:val="00E704CA"/>
    <w:rsid w:val="00E70740"/>
    <w:rsid w:val="00E70875"/>
    <w:rsid w:val="00E70947"/>
    <w:rsid w:val="00E70D7F"/>
    <w:rsid w:val="00E70DA0"/>
    <w:rsid w:val="00E712B6"/>
    <w:rsid w:val="00E71313"/>
    <w:rsid w:val="00E713F3"/>
    <w:rsid w:val="00E713F9"/>
    <w:rsid w:val="00E71688"/>
    <w:rsid w:val="00E716DB"/>
    <w:rsid w:val="00E71769"/>
    <w:rsid w:val="00E71A0C"/>
    <w:rsid w:val="00E71A65"/>
    <w:rsid w:val="00E71AED"/>
    <w:rsid w:val="00E71E28"/>
    <w:rsid w:val="00E71EFA"/>
    <w:rsid w:val="00E7219B"/>
    <w:rsid w:val="00E7245F"/>
    <w:rsid w:val="00E7290F"/>
    <w:rsid w:val="00E72C8E"/>
    <w:rsid w:val="00E730F0"/>
    <w:rsid w:val="00E73325"/>
    <w:rsid w:val="00E73412"/>
    <w:rsid w:val="00E73798"/>
    <w:rsid w:val="00E7395A"/>
    <w:rsid w:val="00E73A02"/>
    <w:rsid w:val="00E73F6A"/>
    <w:rsid w:val="00E740B4"/>
    <w:rsid w:val="00E74496"/>
    <w:rsid w:val="00E7484C"/>
    <w:rsid w:val="00E74C30"/>
    <w:rsid w:val="00E74E12"/>
    <w:rsid w:val="00E74EEC"/>
    <w:rsid w:val="00E75130"/>
    <w:rsid w:val="00E758E9"/>
    <w:rsid w:val="00E75961"/>
    <w:rsid w:val="00E75AE9"/>
    <w:rsid w:val="00E75CAF"/>
    <w:rsid w:val="00E75F63"/>
    <w:rsid w:val="00E76338"/>
    <w:rsid w:val="00E765DE"/>
    <w:rsid w:val="00E768D3"/>
    <w:rsid w:val="00E7697F"/>
    <w:rsid w:val="00E76B94"/>
    <w:rsid w:val="00E76E75"/>
    <w:rsid w:val="00E77298"/>
    <w:rsid w:val="00E773C8"/>
    <w:rsid w:val="00E77425"/>
    <w:rsid w:val="00E775F9"/>
    <w:rsid w:val="00E77622"/>
    <w:rsid w:val="00E77767"/>
    <w:rsid w:val="00E777EE"/>
    <w:rsid w:val="00E779DD"/>
    <w:rsid w:val="00E77A2D"/>
    <w:rsid w:val="00E77B25"/>
    <w:rsid w:val="00E77D03"/>
    <w:rsid w:val="00E77E35"/>
    <w:rsid w:val="00E77F1F"/>
    <w:rsid w:val="00E8023F"/>
    <w:rsid w:val="00E803B4"/>
    <w:rsid w:val="00E804DE"/>
    <w:rsid w:val="00E806D0"/>
    <w:rsid w:val="00E8078D"/>
    <w:rsid w:val="00E80955"/>
    <w:rsid w:val="00E80AC8"/>
    <w:rsid w:val="00E80BBD"/>
    <w:rsid w:val="00E80C91"/>
    <w:rsid w:val="00E80E52"/>
    <w:rsid w:val="00E81151"/>
    <w:rsid w:val="00E81175"/>
    <w:rsid w:val="00E8128F"/>
    <w:rsid w:val="00E8142F"/>
    <w:rsid w:val="00E8152C"/>
    <w:rsid w:val="00E81988"/>
    <w:rsid w:val="00E81AB3"/>
    <w:rsid w:val="00E82229"/>
    <w:rsid w:val="00E8223B"/>
    <w:rsid w:val="00E822E8"/>
    <w:rsid w:val="00E82461"/>
    <w:rsid w:val="00E825D8"/>
    <w:rsid w:val="00E8264C"/>
    <w:rsid w:val="00E82A5E"/>
    <w:rsid w:val="00E82A75"/>
    <w:rsid w:val="00E82BB8"/>
    <w:rsid w:val="00E82E0C"/>
    <w:rsid w:val="00E82FE2"/>
    <w:rsid w:val="00E83370"/>
    <w:rsid w:val="00E8340E"/>
    <w:rsid w:val="00E8364D"/>
    <w:rsid w:val="00E83AE7"/>
    <w:rsid w:val="00E83B7A"/>
    <w:rsid w:val="00E83C3D"/>
    <w:rsid w:val="00E83D22"/>
    <w:rsid w:val="00E845CF"/>
    <w:rsid w:val="00E84B8E"/>
    <w:rsid w:val="00E84D1E"/>
    <w:rsid w:val="00E85274"/>
    <w:rsid w:val="00E856AD"/>
    <w:rsid w:val="00E85AF8"/>
    <w:rsid w:val="00E86124"/>
    <w:rsid w:val="00E8627C"/>
    <w:rsid w:val="00E8645A"/>
    <w:rsid w:val="00E86BA8"/>
    <w:rsid w:val="00E86DB1"/>
    <w:rsid w:val="00E86DDC"/>
    <w:rsid w:val="00E86EAF"/>
    <w:rsid w:val="00E86F33"/>
    <w:rsid w:val="00E870C7"/>
    <w:rsid w:val="00E8725B"/>
    <w:rsid w:val="00E873C9"/>
    <w:rsid w:val="00E874C8"/>
    <w:rsid w:val="00E87892"/>
    <w:rsid w:val="00E878AC"/>
    <w:rsid w:val="00E87AE4"/>
    <w:rsid w:val="00E87B52"/>
    <w:rsid w:val="00E87D56"/>
    <w:rsid w:val="00E87E0F"/>
    <w:rsid w:val="00E90016"/>
    <w:rsid w:val="00E900B6"/>
    <w:rsid w:val="00E90187"/>
    <w:rsid w:val="00E90313"/>
    <w:rsid w:val="00E9056B"/>
    <w:rsid w:val="00E9059F"/>
    <w:rsid w:val="00E9073E"/>
    <w:rsid w:val="00E90749"/>
    <w:rsid w:val="00E907CA"/>
    <w:rsid w:val="00E90840"/>
    <w:rsid w:val="00E90997"/>
    <w:rsid w:val="00E909D2"/>
    <w:rsid w:val="00E90B6F"/>
    <w:rsid w:val="00E90EBF"/>
    <w:rsid w:val="00E91303"/>
    <w:rsid w:val="00E918CB"/>
    <w:rsid w:val="00E9190E"/>
    <w:rsid w:val="00E91931"/>
    <w:rsid w:val="00E9232A"/>
    <w:rsid w:val="00E92337"/>
    <w:rsid w:val="00E923AB"/>
    <w:rsid w:val="00E925D0"/>
    <w:rsid w:val="00E92640"/>
    <w:rsid w:val="00E92653"/>
    <w:rsid w:val="00E928DB"/>
    <w:rsid w:val="00E92956"/>
    <w:rsid w:val="00E92C60"/>
    <w:rsid w:val="00E92CFB"/>
    <w:rsid w:val="00E9309B"/>
    <w:rsid w:val="00E93119"/>
    <w:rsid w:val="00E9318D"/>
    <w:rsid w:val="00E933F2"/>
    <w:rsid w:val="00E93421"/>
    <w:rsid w:val="00E935A6"/>
    <w:rsid w:val="00E93870"/>
    <w:rsid w:val="00E93C4F"/>
    <w:rsid w:val="00E93EBE"/>
    <w:rsid w:val="00E93EDD"/>
    <w:rsid w:val="00E94150"/>
    <w:rsid w:val="00E9427F"/>
    <w:rsid w:val="00E943F5"/>
    <w:rsid w:val="00E944A3"/>
    <w:rsid w:val="00E94523"/>
    <w:rsid w:val="00E9466F"/>
    <w:rsid w:val="00E94862"/>
    <w:rsid w:val="00E94921"/>
    <w:rsid w:val="00E94970"/>
    <w:rsid w:val="00E94B76"/>
    <w:rsid w:val="00E94C41"/>
    <w:rsid w:val="00E94EF5"/>
    <w:rsid w:val="00E9507E"/>
    <w:rsid w:val="00E9513B"/>
    <w:rsid w:val="00E95286"/>
    <w:rsid w:val="00E953FA"/>
    <w:rsid w:val="00E95466"/>
    <w:rsid w:val="00E95468"/>
    <w:rsid w:val="00E9549F"/>
    <w:rsid w:val="00E9577C"/>
    <w:rsid w:val="00E9589E"/>
    <w:rsid w:val="00E95B67"/>
    <w:rsid w:val="00E95C85"/>
    <w:rsid w:val="00E95C96"/>
    <w:rsid w:val="00E95D16"/>
    <w:rsid w:val="00E95E11"/>
    <w:rsid w:val="00E964AF"/>
    <w:rsid w:val="00E96576"/>
    <w:rsid w:val="00E965F5"/>
    <w:rsid w:val="00E96975"/>
    <w:rsid w:val="00E9697A"/>
    <w:rsid w:val="00E96B8C"/>
    <w:rsid w:val="00E96C28"/>
    <w:rsid w:val="00E96CEA"/>
    <w:rsid w:val="00E96CF5"/>
    <w:rsid w:val="00E978C3"/>
    <w:rsid w:val="00E97A1F"/>
    <w:rsid w:val="00E97D20"/>
    <w:rsid w:val="00E97EED"/>
    <w:rsid w:val="00EA0028"/>
    <w:rsid w:val="00EA01B2"/>
    <w:rsid w:val="00EA02E3"/>
    <w:rsid w:val="00EA0320"/>
    <w:rsid w:val="00EA0545"/>
    <w:rsid w:val="00EA0810"/>
    <w:rsid w:val="00EA08A9"/>
    <w:rsid w:val="00EA0C80"/>
    <w:rsid w:val="00EA1537"/>
    <w:rsid w:val="00EA16F4"/>
    <w:rsid w:val="00EA19EF"/>
    <w:rsid w:val="00EA1B28"/>
    <w:rsid w:val="00EA1CE4"/>
    <w:rsid w:val="00EA1DAE"/>
    <w:rsid w:val="00EA1E5F"/>
    <w:rsid w:val="00EA1ECF"/>
    <w:rsid w:val="00EA211A"/>
    <w:rsid w:val="00EA2196"/>
    <w:rsid w:val="00EA2388"/>
    <w:rsid w:val="00EA24CA"/>
    <w:rsid w:val="00EA2722"/>
    <w:rsid w:val="00EA2B61"/>
    <w:rsid w:val="00EA2C58"/>
    <w:rsid w:val="00EA2FA6"/>
    <w:rsid w:val="00EA3238"/>
    <w:rsid w:val="00EA3B90"/>
    <w:rsid w:val="00EA3C21"/>
    <w:rsid w:val="00EA413D"/>
    <w:rsid w:val="00EA42B1"/>
    <w:rsid w:val="00EA4488"/>
    <w:rsid w:val="00EA46AC"/>
    <w:rsid w:val="00EA46CC"/>
    <w:rsid w:val="00EA46D5"/>
    <w:rsid w:val="00EA4801"/>
    <w:rsid w:val="00EA48DB"/>
    <w:rsid w:val="00EA499F"/>
    <w:rsid w:val="00EA4A22"/>
    <w:rsid w:val="00EA55B5"/>
    <w:rsid w:val="00EA57E5"/>
    <w:rsid w:val="00EA5846"/>
    <w:rsid w:val="00EA5931"/>
    <w:rsid w:val="00EA5A30"/>
    <w:rsid w:val="00EA5D0B"/>
    <w:rsid w:val="00EA6445"/>
    <w:rsid w:val="00EA6496"/>
    <w:rsid w:val="00EA6944"/>
    <w:rsid w:val="00EA6A6A"/>
    <w:rsid w:val="00EA6BF0"/>
    <w:rsid w:val="00EA6D3B"/>
    <w:rsid w:val="00EA6EE5"/>
    <w:rsid w:val="00EA74D1"/>
    <w:rsid w:val="00EA756D"/>
    <w:rsid w:val="00EA76AC"/>
    <w:rsid w:val="00EA784B"/>
    <w:rsid w:val="00EA7A8A"/>
    <w:rsid w:val="00EA7AFA"/>
    <w:rsid w:val="00EA7B7C"/>
    <w:rsid w:val="00EA7B9D"/>
    <w:rsid w:val="00EA7D77"/>
    <w:rsid w:val="00EB02DF"/>
    <w:rsid w:val="00EB0599"/>
    <w:rsid w:val="00EB0643"/>
    <w:rsid w:val="00EB0B94"/>
    <w:rsid w:val="00EB0DD1"/>
    <w:rsid w:val="00EB123B"/>
    <w:rsid w:val="00EB1244"/>
    <w:rsid w:val="00EB196F"/>
    <w:rsid w:val="00EB1A45"/>
    <w:rsid w:val="00EB1BD3"/>
    <w:rsid w:val="00EB1C61"/>
    <w:rsid w:val="00EB1DA7"/>
    <w:rsid w:val="00EB1FEE"/>
    <w:rsid w:val="00EB2054"/>
    <w:rsid w:val="00EB2300"/>
    <w:rsid w:val="00EB2C50"/>
    <w:rsid w:val="00EB2D5D"/>
    <w:rsid w:val="00EB2EE2"/>
    <w:rsid w:val="00EB2F05"/>
    <w:rsid w:val="00EB300D"/>
    <w:rsid w:val="00EB34FC"/>
    <w:rsid w:val="00EB35C6"/>
    <w:rsid w:val="00EB3764"/>
    <w:rsid w:val="00EB3942"/>
    <w:rsid w:val="00EB39C3"/>
    <w:rsid w:val="00EB3D26"/>
    <w:rsid w:val="00EB3E05"/>
    <w:rsid w:val="00EB42D6"/>
    <w:rsid w:val="00EB434F"/>
    <w:rsid w:val="00EB44E8"/>
    <w:rsid w:val="00EB4714"/>
    <w:rsid w:val="00EB4800"/>
    <w:rsid w:val="00EB4A1A"/>
    <w:rsid w:val="00EB4A2A"/>
    <w:rsid w:val="00EB4AAF"/>
    <w:rsid w:val="00EB4BA2"/>
    <w:rsid w:val="00EB4BD9"/>
    <w:rsid w:val="00EB4CF7"/>
    <w:rsid w:val="00EB4EFE"/>
    <w:rsid w:val="00EB4FBA"/>
    <w:rsid w:val="00EB5087"/>
    <w:rsid w:val="00EB50E8"/>
    <w:rsid w:val="00EB5A3C"/>
    <w:rsid w:val="00EB5CDE"/>
    <w:rsid w:val="00EB6012"/>
    <w:rsid w:val="00EB604D"/>
    <w:rsid w:val="00EB6341"/>
    <w:rsid w:val="00EB64C4"/>
    <w:rsid w:val="00EB6684"/>
    <w:rsid w:val="00EB6BA0"/>
    <w:rsid w:val="00EB6FA2"/>
    <w:rsid w:val="00EB741F"/>
    <w:rsid w:val="00EB76E2"/>
    <w:rsid w:val="00EB795C"/>
    <w:rsid w:val="00EB7C28"/>
    <w:rsid w:val="00EC010E"/>
    <w:rsid w:val="00EC02D3"/>
    <w:rsid w:val="00EC0773"/>
    <w:rsid w:val="00EC0B01"/>
    <w:rsid w:val="00EC0BEB"/>
    <w:rsid w:val="00EC110E"/>
    <w:rsid w:val="00EC1115"/>
    <w:rsid w:val="00EC150D"/>
    <w:rsid w:val="00EC1A30"/>
    <w:rsid w:val="00EC1B4B"/>
    <w:rsid w:val="00EC1E8D"/>
    <w:rsid w:val="00EC2006"/>
    <w:rsid w:val="00EC2379"/>
    <w:rsid w:val="00EC241C"/>
    <w:rsid w:val="00EC27D7"/>
    <w:rsid w:val="00EC2A38"/>
    <w:rsid w:val="00EC2A99"/>
    <w:rsid w:val="00EC2B43"/>
    <w:rsid w:val="00EC2E45"/>
    <w:rsid w:val="00EC2E63"/>
    <w:rsid w:val="00EC2F81"/>
    <w:rsid w:val="00EC30F8"/>
    <w:rsid w:val="00EC31C1"/>
    <w:rsid w:val="00EC3290"/>
    <w:rsid w:val="00EC34B5"/>
    <w:rsid w:val="00EC3511"/>
    <w:rsid w:val="00EC3A40"/>
    <w:rsid w:val="00EC3B98"/>
    <w:rsid w:val="00EC3BF7"/>
    <w:rsid w:val="00EC4055"/>
    <w:rsid w:val="00EC405F"/>
    <w:rsid w:val="00EC416F"/>
    <w:rsid w:val="00EC41A7"/>
    <w:rsid w:val="00EC426E"/>
    <w:rsid w:val="00EC4513"/>
    <w:rsid w:val="00EC46CF"/>
    <w:rsid w:val="00EC475F"/>
    <w:rsid w:val="00EC477C"/>
    <w:rsid w:val="00EC47DD"/>
    <w:rsid w:val="00EC49DE"/>
    <w:rsid w:val="00EC4D56"/>
    <w:rsid w:val="00EC4D7A"/>
    <w:rsid w:val="00EC4ED0"/>
    <w:rsid w:val="00EC5263"/>
    <w:rsid w:val="00EC54DA"/>
    <w:rsid w:val="00EC551E"/>
    <w:rsid w:val="00EC588A"/>
    <w:rsid w:val="00EC5AAA"/>
    <w:rsid w:val="00EC5AE6"/>
    <w:rsid w:val="00EC5CC2"/>
    <w:rsid w:val="00EC5D98"/>
    <w:rsid w:val="00EC5E22"/>
    <w:rsid w:val="00EC62D5"/>
    <w:rsid w:val="00EC6628"/>
    <w:rsid w:val="00EC6648"/>
    <w:rsid w:val="00EC678F"/>
    <w:rsid w:val="00EC6837"/>
    <w:rsid w:val="00EC6A46"/>
    <w:rsid w:val="00EC6AA7"/>
    <w:rsid w:val="00EC6C17"/>
    <w:rsid w:val="00EC6DD3"/>
    <w:rsid w:val="00EC71BB"/>
    <w:rsid w:val="00EC738E"/>
    <w:rsid w:val="00EC79E0"/>
    <w:rsid w:val="00EC7B8C"/>
    <w:rsid w:val="00EC7C7E"/>
    <w:rsid w:val="00EC7EAC"/>
    <w:rsid w:val="00EC7EC0"/>
    <w:rsid w:val="00EC7F4D"/>
    <w:rsid w:val="00ED0273"/>
    <w:rsid w:val="00ED034D"/>
    <w:rsid w:val="00ED063D"/>
    <w:rsid w:val="00ED0661"/>
    <w:rsid w:val="00ED086A"/>
    <w:rsid w:val="00ED0A86"/>
    <w:rsid w:val="00ED0B8A"/>
    <w:rsid w:val="00ED0C57"/>
    <w:rsid w:val="00ED0D9F"/>
    <w:rsid w:val="00ED128C"/>
    <w:rsid w:val="00ED12FD"/>
    <w:rsid w:val="00ED1461"/>
    <w:rsid w:val="00ED15E3"/>
    <w:rsid w:val="00ED1680"/>
    <w:rsid w:val="00ED180D"/>
    <w:rsid w:val="00ED19A3"/>
    <w:rsid w:val="00ED1B22"/>
    <w:rsid w:val="00ED21AB"/>
    <w:rsid w:val="00ED2985"/>
    <w:rsid w:val="00ED2C82"/>
    <w:rsid w:val="00ED2D41"/>
    <w:rsid w:val="00ED2E63"/>
    <w:rsid w:val="00ED36A7"/>
    <w:rsid w:val="00ED3CEC"/>
    <w:rsid w:val="00ED3EB7"/>
    <w:rsid w:val="00ED4089"/>
    <w:rsid w:val="00ED4185"/>
    <w:rsid w:val="00ED42AD"/>
    <w:rsid w:val="00ED42DA"/>
    <w:rsid w:val="00ED44EA"/>
    <w:rsid w:val="00ED44F0"/>
    <w:rsid w:val="00ED454C"/>
    <w:rsid w:val="00ED4B54"/>
    <w:rsid w:val="00ED4F89"/>
    <w:rsid w:val="00ED4F9A"/>
    <w:rsid w:val="00ED4F9F"/>
    <w:rsid w:val="00ED541B"/>
    <w:rsid w:val="00ED548C"/>
    <w:rsid w:val="00ED5556"/>
    <w:rsid w:val="00ED55D2"/>
    <w:rsid w:val="00ED5898"/>
    <w:rsid w:val="00ED5966"/>
    <w:rsid w:val="00ED5A6E"/>
    <w:rsid w:val="00ED5B13"/>
    <w:rsid w:val="00ED5B99"/>
    <w:rsid w:val="00ED5C7B"/>
    <w:rsid w:val="00ED5FF8"/>
    <w:rsid w:val="00ED6086"/>
    <w:rsid w:val="00ED61FF"/>
    <w:rsid w:val="00ED63BC"/>
    <w:rsid w:val="00ED6A48"/>
    <w:rsid w:val="00ED6BE8"/>
    <w:rsid w:val="00ED6C16"/>
    <w:rsid w:val="00ED6C74"/>
    <w:rsid w:val="00ED6DA7"/>
    <w:rsid w:val="00ED7081"/>
    <w:rsid w:val="00ED72F8"/>
    <w:rsid w:val="00ED7684"/>
    <w:rsid w:val="00ED7861"/>
    <w:rsid w:val="00ED7C43"/>
    <w:rsid w:val="00ED7C80"/>
    <w:rsid w:val="00ED7E83"/>
    <w:rsid w:val="00ED7EA7"/>
    <w:rsid w:val="00EE0003"/>
    <w:rsid w:val="00EE01E5"/>
    <w:rsid w:val="00EE021C"/>
    <w:rsid w:val="00EE032E"/>
    <w:rsid w:val="00EE0404"/>
    <w:rsid w:val="00EE0411"/>
    <w:rsid w:val="00EE043D"/>
    <w:rsid w:val="00EE0716"/>
    <w:rsid w:val="00EE0894"/>
    <w:rsid w:val="00EE0C32"/>
    <w:rsid w:val="00EE0C35"/>
    <w:rsid w:val="00EE0D84"/>
    <w:rsid w:val="00EE0F22"/>
    <w:rsid w:val="00EE1071"/>
    <w:rsid w:val="00EE1081"/>
    <w:rsid w:val="00EE114B"/>
    <w:rsid w:val="00EE12DF"/>
    <w:rsid w:val="00EE1893"/>
    <w:rsid w:val="00EE18FD"/>
    <w:rsid w:val="00EE1E1B"/>
    <w:rsid w:val="00EE1EEC"/>
    <w:rsid w:val="00EE21C6"/>
    <w:rsid w:val="00EE2530"/>
    <w:rsid w:val="00EE25B8"/>
    <w:rsid w:val="00EE264B"/>
    <w:rsid w:val="00EE267A"/>
    <w:rsid w:val="00EE2797"/>
    <w:rsid w:val="00EE2969"/>
    <w:rsid w:val="00EE297E"/>
    <w:rsid w:val="00EE2BD5"/>
    <w:rsid w:val="00EE2BF1"/>
    <w:rsid w:val="00EE2EE6"/>
    <w:rsid w:val="00EE2F9B"/>
    <w:rsid w:val="00EE3027"/>
    <w:rsid w:val="00EE3246"/>
    <w:rsid w:val="00EE3311"/>
    <w:rsid w:val="00EE34A8"/>
    <w:rsid w:val="00EE361A"/>
    <w:rsid w:val="00EE365E"/>
    <w:rsid w:val="00EE3823"/>
    <w:rsid w:val="00EE39BE"/>
    <w:rsid w:val="00EE3A07"/>
    <w:rsid w:val="00EE3AB0"/>
    <w:rsid w:val="00EE3C69"/>
    <w:rsid w:val="00EE3E2B"/>
    <w:rsid w:val="00EE3EF3"/>
    <w:rsid w:val="00EE3FE4"/>
    <w:rsid w:val="00EE44BC"/>
    <w:rsid w:val="00EE44F5"/>
    <w:rsid w:val="00EE486E"/>
    <w:rsid w:val="00EE4E2B"/>
    <w:rsid w:val="00EE501E"/>
    <w:rsid w:val="00EE5045"/>
    <w:rsid w:val="00EE5310"/>
    <w:rsid w:val="00EE533B"/>
    <w:rsid w:val="00EE5418"/>
    <w:rsid w:val="00EE5508"/>
    <w:rsid w:val="00EE561B"/>
    <w:rsid w:val="00EE5703"/>
    <w:rsid w:val="00EE58D7"/>
    <w:rsid w:val="00EE5B19"/>
    <w:rsid w:val="00EE5C13"/>
    <w:rsid w:val="00EE5DF7"/>
    <w:rsid w:val="00EE5EED"/>
    <w:rsid w:val="00EE60D3"/>
    <w:rsid w:val="00EE6207"/>
    <w:rsid w:val="00EE6223"/>
    <w:rsid w:val="00EE63AF"/>
    <w:rsid w:val="00EE6592"/>
    <w:rsid w:val="00EE659C"/>
    <w:rsid w:val="00EE65E5"/>
    <w:rsid w:val="00EE665A"/>
    <w:rsid w:val="00EE6CFE"/>
    <w:rsid w:val="00EE6E17"/>
    <w:rsid w:val="00EE6E85"/>
    <w:rsid w:val="00EE6F33"/>
    <w:rsid w:val="00EE703F"/>
    <w:rsid w:val="00EE70F5"/>
    <w:rsid w:val="00EE7664"/>
    <w:rsid w:val="00EE76F4"/>
    <w:rsid w:val="00EE7957"/>
    <w:rsid w:val="00EE79F6"/>
    <w:rsid w:val="00EE7D01"/>
    <w:rsid w:val="00EE7DED"/>
    <w:rsid w:val="00EE7EB9"/>
    <w:rsid w:val="00EE7F69"/>
    <w:rsid w:val="00EF0073"/>
    <w:rsid w:val="00EF00A6"/>
    <w:rsid w:val="00EF01D7"/>
    <w:rsid w:val="00EF0219"/>
    <w:rsid w:val="00EF0744"/>
    <w:rsid w:val="00EF0759"/>
    <w:rsid w:val="00EF128E"/>
    <w:rsid w:val="00EF143F"/>
    <w:rsid w:val="00EF14ED"/>
    <w:rsid w:val="00EF168E"/>
    <w:rsid w:val="00EF1C8C"/>
    <w:rsid w:val="00EF1CE7"/>
    <w:rsid w:val="00EF1D45"/>
    <w:rsid w:val="00EF1D53"/>
    <w:rsid w:val="00EF1FD2"/>
    <w:rsid w:val="00EF2167"/>
    <w:rsid w:val="00EF2297"/>
    <w:rsid w:val="00EF23C8"/>
    <w:rsid w:val="00EF2427"/>
    <w:rsid w:val="00EF28EB"/>
    <w:rsid w:val="00EF2A41"/>
    <w:rsid w:val="00EF2CA5"/>
    <w:rsid w:val="00EF2E22"/>
    <w:rsid w:val="00EF2E4F"/>
    <w:rsid w:val="00EF2E80"/>
    <w:rsid w:val="00EF2F91"/>
    <w:rsid w:val="00EF3365"/>
    <w:rsid w:val="00EF375B"/>
    <w:rsid w:val="00EF37F1"/>
    <w:rsid w:val="00EF38C1"/>
    <w:rsid w:val="00EF3AB5"/>
    <w:rsid w:val="00EF3AD8"/>
    <w:rsid w:val="00EF3B7C"/>
    <w:rsid w:val="00EF3E87"/>
    <w:rsid w:val="00EF41CB"/>
    <w:rsid w:val="00EF449F"/>
    <w:rsid w:val="00EF4563"/>
    <w:rsid w:val="00EF4809"/>
    <w:rsid w:val="00EF481D"/>
    <w:rsid w:val="00EF4BB5"/>
    <w:rsid w:val="00EF4CEA"/>
    <w:rsid w:val="00EF5040"/>
    <w:rsid w:val="00EF5252"/>
    <w:rsid w:val="00EF55E8"/>
    <w:rsid w:val="00EF564A"/>
    <w:rsid w:val="00EF5A8C"/>
    <w:rsid w:val="00EF5BBB"/>
    <w:rsid w:val="00EF5C7F"/>
    <w:rsid w:val="00EF61DD"/>
    <w:rsid w:val="00EF6BE4"/>
    <w:rsid w:val="00EF6C5E"/>
    <w:rsid w:val="00EF6CB1"/>
    <w:rsid w:val="00EF7511"/>
    <w:rsid w:val="00EF751D"/>
    <w:rsid w:val="00EF75E4"/>
    <w:rsid w:val="00EF7A07"/>
    <w:rsid w:val="00EF7BC6"/>
    <w:rsid w:val="00EF7ED5"/>
    <w:rsid w:val="00EF7F1C"/>
    <w:rsid w:val="00F00084"/>
    <w:rsid w:val="00F0019E"/>
    <w:rsid w:val="00F002CD"/>
    <w:rsid w:val="00F004F9"/>
    <w:rsid w:val="00F006EC"/>
    <w:rsid w:val="00F00BD4"/>
    <w:rsid w:val="00F00C47"/>
    <w:rsid w:val="00F00EE7"/>
    <w:rsid w:val="00F00F5F"/>
    <w:rsid w:val="00F01038"/>
    <w:rsid w:val="00F010BD"/>
    <w:rsid w:val="00F01245"/>
    <w:rsid w:val="00F016C4"/>
    <w:rsid w:val="00F01761"/>
    <w:rsid w:val="00F01970"/>
    <w:rsid w:val="00F01C17"/>
    <w:rsid w:val="00F01FCB"/>
    <w:rsid w:val="00F022A4"/>
    <w:rsid w:val="00F02739"/>
    <w:rsid w:val="00F02B60"/>
    <w:rsid w:val="00F02E01"/>
    <w:rsid w:val="00F03119"/>
    <w:rsid w:val="00F03467"/>
    <w:rsid w:val="00F034A4"/>
    <w:rsid w:val="00F03CC9"/>
    <w:rsid w:val="00F0460F"/>
    <w:rsid w:val="00F0469E"/>
    <w:rsid w:val="00F0474A"/>
    <w:rsid w:val="00F04A8B"/>
    <w:rsid w:val="00F04B4F"/>
    <w:rsid w:val="00F04F6A"/>
    <w:rsid w:val="00F04FE4"/>
    <w:rsid w:val="00F05057"/>
    <w:rsid w:val="00F050AB"/>
    <w:rsid w:val="00F05716"/>
    <w:rsid w:val="00F057C3"/>
    <w:rsid w:val="00F058C4"/>
    <w:rsid w:val="00F05B40"/>
    <w:rsid w:val="00F05B6A"/>
    <w:rsid w:val="00F05F0B"/>
    <w:rsid w:val="00F05FA1"/>
    <w:rsid w:val="00F06075"/>
    <w:rsid w:val="00F067F9"/>
    <w:rsid w:val="00F06803"/>
    <w:rsid w:val="00F06976"/>
    <w:rsid w:val="00F06BC9"/>
    <w:rsid w:val="00F06C11"/>
    <w:rsid w:val="00F06CB1"/>
    <w:rsid w:val="00F06DA9"/>
    <w:rsid w:val="00F0701A"/>
    <w:rsid w:val="00F07317"/>
    <w:rsid w:val="00F07548"/>
    <w:rsid w:val="00F076F6"/>
    <w:rsid w:val="00F076FF"/>
    <w:rsid w:val="00F0788D"/>
    <w:rsid w:val="00F07998"/>
    <w:rsid w:val="00F07A3F"/>
    <w:rsid w:val="00F07A70"/>
    <w:rsid w:val="00F07C0D"/>
    <w:rsid w:val="00F07D46"/>
    <w:rsid w:val="00F07EF4"/>
    <w:rsid w:val="00F07FF4"/>
    <w:rsid w:val="00F10075"/>
    <w:rsid w:val="00F1007F"/>
    <w:rsid w:val="00F1033B"/>
    <w:rsid w:val="00F1037D"/>
    <w:rsid w:val="00F10662"/>
    <w:rsid w:val="00F107C6"/>
    <w:rsid w:val="00F109BD"/>
    <w:rsid w:val="00F10B0F"/>
    <w:rsid w:val="00F10CD4"/>
    <w:rsid w:val="00F10CDB"/>
    <w:rsid w:val="00F10DF5"/>
    <w:rsid w:val="00F110B5"/>
    <w:rsid w:val="00F110EE"/>
    <w:rsid w:val="00F11129"/>
    <w:rsid w:val="00F111DF"/>
    <w:rsid w:val="00F112FD"/>
    <w:rsid w:val="00F11584"/>
    <w:rsid w:val="00F115D5"/>
    <w:rsid w:val="00F1161D"/>
    <w:rsid w:val="00F11747"/>
    <w:rsid w:val="00F117AF"/>
    <w:rsid w:val="00F11AF7"/>
    <w:rsid w:val="00F11BFE"/>
    <w:rsid w:val="00F11C44"/>
    <w:rsid w:val="00F11D51"/>
    <w:rsid w:val="00F11F6B"/>
    <w:rsid w:val="00F1212C"/>
    <w:rsid w:val="00F12171"/>
    <w:rsid w:val="00F1218A"/>
    <w:rsid w:val="00F12375"/>
    <w:rsid w:val="00F12696"/>
    <w:rsid w:val="00F129A2"/>
    <w:rsid w:val="00F12AED"/>
    <w:rsid w:val="00F12FB5"/>
    <w:rsid w:val="00F135C7"/>
    <w:rsid w:val="00F136FB"/>
    <w:rsid w:val="00F13739"/>
    <w:rsid w:val="00F1376C"/>
    <w:rsid w:val="00F13AF2"/>
    <w:rsid w:val="00F13BCA"/>
    <w:rsid w:val="00F13F5C"/>
    <w:rsid w:val="00F13FFE"/>
    <w:rsid w:val="00F140C9"/>
    <w:rsid w:val="00F14198"/>
    <w:rsid w:val="00F143D7"/>
    <w:rsid w:val="00F1445E"/>
    <w:rsid w:val="00F14803"/>
    <w:rsid w:val="00F148F1"/>
    <w:rsid w:val="00F14C35"/>
    <w:rsid w:val="00F14CCE"/>
    <w:rsid w:val="00F14D37"/>
    <w:rsid w:val="00F150E9"/>
    <w:rsid w:val="00F15302"/>
    <w:rsid w:val="00F153F9"/>
    <w:rsid w:val="00F156AD"/>
    <w:rsid w:val="00F158A0"/>
    <w:rsid w:val="00F15CF5"/>
    <w:rsid w:val="00F15E35"/>
    <w:rsid w:val="00F15EEE"/>
    <w:rsid w:val="00F15FBB"/>
    <w:rsid w:val="00F1644F"/>
    <w:rsid w:val="00F167E9"/>
    <w:rsid w:val="00F16A01"/>
    <w:rsid w:val="00F16D0C"/>
    <w:rsid w:val="00F16DE3"/>
    <w:rsid w:val="00F16E3F"/>
    <w:rsid w:val="00F1700D"/>
    <w:rsid w:val="00F17011"/>
    <w:rsid w:val="00F170A8"/>
    <w:rsid w:val="00F171FC"/>
    <w:rsid w:val="00F172A4"/>
    <w:rsid w:val="00F176A6"/>
    <w:rsid w:val="00F177D9"/>
    <w:rsid w:val="00F17AF9"/>
    <w:rsid w:val="00F17DFA"/>
    <w:rsid w:val="00F17F83"/>
    <w:rsid w:val="00F2008E"/>
    <w:rsid w:val="00F20176"/>
    <w:rsid w:val="00F2038B"/>
    <w:rsid w:val="00F204FE"/>
    <w:rsid w:val="00F20533"/>
    <w:rsid w:val="00F20704"/>
    <w:rsid w:val="00F20736"/>
    <w:rsid w:val="00F20912"/>
    <w:rsid w:val="00F20B48"/>
    <w:rsid w:val="00F20B58"/>
    <w:rsid w:val="00F20FD3"/>
    <w:rsid w:val="00F210BA"/>
    <w:rsid w:val="00F210C5"/>
    <w:rsid w:val="00F213FA"/>
    <w:rsid w:val="00F21521"/>
    <w:rsid w:val="00F2156A"/>
    <w:rsid w:val="00F215D8"/>
    <w:rsid w:val="00F217B2"/>
    <w:rsid w:val="00F21912"/>
    <w:rsid w:val="00F21D9C"/>
    <w:rsid w:val="00F22129"/>
    <w:rsid w:val="00F2241D"/>
    <w:rsid w:val="00F226A0"/>
    <w:rsid w:val="00F2290C"/>
    <w:rsid w:val="00F22A4F"/>
    <w:rsid w:val="00F22D29"/>
    <w:rsid w:val="00F22EF7"/>
    <w:rsid w:val="00F22F8A"/>
    <w:rsid w:val="00F22FBF"/>
    <w:rsid w:val="00F22FDC"/>
    <w:rsid w:val="00F230A7"/>
    <w:rsid w:val="00F23341"/>
    <w:rsid w:val="00F23443"/>
    <w:rsid w:val="00F234CB"/>
    <w:rsid w:val="00F2367F"/>
    <w:rsid w:val="00F23799"/>
    <w:rsid w:val="00F2385E"/>
    <w:rsid w:val="00F23CD8"/>
    <w:rsid w:val="00F23D13"/>
    <w:rsid w:val="00F23DE6"/>
    <w:rsid w:val="00F23E7A"/>
    <w:rsid w:val="00F23EB8"/>
    <w:rsid w:val="00F23F3C"/>
    <w:rsid w:val="00F24016"/>
    <w:rsid w:val="00F24072"/>
    <w:rsid w:val="00F2412C"/>
    <w:rsid w:val="00F24AB7"/>
    <w:rsid w:val="00F24AEA"/>
    <w:rsid w:val="00F24CDB"/>
    <w:rsid w:val="00F24EA7"/>
    <w:rsid w:val="00F24EAD"/>
    <w:rsid w:val="00F24F10"/>
    <w:rsid w:val="00F2562B"/>
    <w:rsid w:val="00F25632"/>
    <w:rsid w:val="00F25E2F"/>
    <w:rsid w:val="00F25E32"/>
    <w:rsid w:val="00F2601F"/>
    <w:rsid w:val="00F2609C"/>
    <w:rsid w:val="00F261DD"/>
    <w:rsid w:val="00F2639B"/>
    <w:rsid w:val="00F26406"/>
    <w:rsid w:val="00F26654"/>
    <w:rsid w:val="00F26683"/>
    <w:rsid w:val="00F26688"/>
    <w:rsid w:val="00F2670C"/>
    <w:rsid w:val="00F26C78"/>
    <w:rsid w:val="00F26FDC"/>
    <w:rsid w:val="00F2725D"/>
    <w:rsid w:val="00F27309"/>
    <w:rsid w:val="00F27844"/>
    <w:rsid w:val="00F27D91"/>
    <w:rsid w:val="00F301E8"/>
    <w:rsid w:val="00F30289"/>
    <w:rsid w:val="00F30413"/>
    <w:rsid w:val="00F3095E"/>
    <w:rsid w:val="00F309FF"/>
    <w:rsid w:val="00F30DE1"/>
    <w:rsid w:val="00F310B3"/>
    <w:rsid w:val="00F31204"/>
    <w:rsid w:val="00F31B9B"/>
    <w:rsid w:val="00F31D89"/>
    <w:rsid w:val="00F32199"/>
    <w:rsid w:val="00F3224D"/>
    <w:rsid w:val="00F32314"/>
    <w:rsid w:val="00F3247E"/>
    <w:rsid w:val="00F324C1"/>
    <w:rsid w:val="00F324E2"/>
    <w:rsid w:val="00F329D2"/>
    <w:rsid w:val="00F32C62"/>
    <w:rsid w:val="00F32CC6"/>
    <w:rsid w:val="00F32D54"/>
    <w:rsid w:val="00F32D5B"/>
    <w:rsid w:val="00F32FC0"/>
    <w:rsid w:val="00F331AF"/>
    <w:rsid w:val="00F332AE"/>
    <w:rsid w:val="00F33406"/>
    <w:rsid w:val="00F335D8"/>
    <w:rsid w:val="00F33757"/>
    <w:rsid w:val="00F337B2"/>
    <w:rsid w:val="00F337E8"/>
    <w:rsid w:val="00F33DDF"/>
    <w:rsid w:val="00F33FCF"/>
    <w:rsid w:val="00F34128"/>
    <w:rsid w:val="00F3433C"/>
    <w:rsid w:val="00F345D9"/>
    <w:rsid w:val="00F3482A"/>
    <w:rsid w:val="00F34867"/>
    <w:rsid w:val="00F34E03"/>
    <w:rsid w:val="00F350F2"/>
    <w:rsid w:val="00F351E6"/>
    <w:rsid w:val="00F3521E"/>
    <w:rsid w:val="00F35260"/>
    <w:rsid w:val="00F35561"/>
    <w:rsid w:val="00F35572"/>
    <w:rsid w:val="00F357BB"/>
    <w:rsid w:val="00F3581F"/>
    <w:rsid w:val="00F35AB4"/>
    <w:rsid w:val="00F3637A"/>
    <w:rsid w:val="00F363D7"/>
    <w:rsid w:val="00F363DB"/>
    <w:rsid w:val="00F364C1"/>
    <w:rsid w:val="00F365F9"/>
    <w:rsid w:val="00F367EA"/>
    <w:rsid w:val="00F369C2"/>
    <w:rsid w:val="00F3701C"/>
    <w:rsid w:val="00F3704D"/>
    <w:rsid w:val="00F371DF"/>
    <w:rsid w:val="00F37472"/>
    <w:rsid w:val="00F374E3"/>
    <w:rsid w:val="00F37735"/>
    <w:rsid w:val="00F377ED"/>
    <w:rsid w:val="00F378D0"/>
    <w:rsid w:val="00F37931"/>
    <w:rsid w:val="00F37B0C"/>
    <w:rsid w:val="00F37DF2"/>
    <w:rsid w:val="00F37E16"/>
    <w:rsid w:val="00F4010B"/>
    <w:rsid w:val="00F402D8"/>
    <w:rsid w:val="00F40350"/>
    <w:rsid w:val="00F40491"/>
    <w:rsid w:val="00F4054D"/>
    <w:rsid w:val="00F406CC"/>
    <w:rsid w:val="00F40A51"/>
    <w:rsid w:val="00F40C3A"/>
    <w:rsid w:val="00F40DF0"/>
    <w:rsid w:val="00F40EFD"/>
    <w:rsid w:val="00F40F02"/>
    <w:rsid w:val="00F40FC2"/>
    <w:rsid w:val="00F4100E"/>
    <w:rsid w:val="00F41102"/>
    <w:rsid w:val="00F411E2"/>
    <w:rsid w:val="00F411F1"/>
    <w:rsid w:val="00F41326"/>
    <w:rsid w:val="00F413D6"/>
    <w:rsid w:val="00F41563"/>
    <w:rsid w:val="00F416DD"/>
    <w:rsid w:val="00F418B9"/>
    <w:rsid w:val="00F419A4"/>
    <w:rsid w:val="00F41E60"/>
    <w:rsid w:val="00F42091"/>
    <w:rsid w:val="00F42726"/>
    <w:rsid w:val="00F43047"/>
    <w:rsid w:val="00F437D9"/>
    <w:rsid w:val="00F43938"/>
    <w:rsid w:val="00F43A62"/>
    <w:rsid w:val="00F43ABE"/>
    <w:rsid w:val="00F43B4D"/>
    <w:rsid w:val="00F43C55"/>
    <w:rsid w:val="00F43F7E"/>
    <w:rsid w:val="00F440C9"/>
    <w:rsid w:val="00F44199"/>
    <w:rsid w:val="00F44427"/>
    <w:rsid w:val="00F446D7"/>
    <w:rsid w:val="00F44AFE"/>
    <w:rsid w:val="00F44B9D"/>
    <w:rsid w:val="00F44CBA"/>
    <w:rsid w:val="00F44F62"/>
    <w:rsid w:val="00F45475"/>
    <w:rsid w:val="00F454BA"/>
    <w:rsid w:val="00F455BA"/>
    <w:rsid w:val="00F45A71"/>
    <w:rsid w:val="00F45BF0"/>
    <w:rsid w:val="00F45BFD"/>
    <w:rsid w:val="00F4608E"/>
    <w:rsid w:val="00F4641E"/>
    <w:rsid w:val="00F46BDF"/>
    <w:rsid w:val="00F46E48"/>
    <w:rsid w:val="00F46E7F"/>
    <w:rsid w:val="00F46EFE"/>
    <w:rsid w:val="00F470E3"/>
    <w:rsid w:val="00F4743B"/>
    <w:rsid w:val="00F4743D"/>
    <w:rsid w:val="00F4748F"/>
    <w:rsid w:val="00F47620"/>
    <w:rsid w:val="00F4779F"/>
    <w:rsid w:val="00F47995"/>
    <w:rsid w:val="00F47D47"/>
    <w:rsid w:val="00F47FDA"/>
    <w:rsid w:val="00F50021"/>
    <w:rsid w:val="00F50587"/>
    <w:rsid w:val="00F50777"/>
    <w:rsid w:val="00F507CE"/>
    <w:rsid w:val="00F507D2"/>
    <w:rsid w:val="00F50D83"/>
    <w:rsid w:val="00F50E7E"/>
    <w:rsid w:val="00F50F22"/>
    <w:rsid w:val="00F5120F"/>
    <w:rsid w:val="00F51347"/>
    <w:rsid w:val="00F5158C"/>
    <w:rsid w:val="00F519DD"/>
    <w:rsid w:val="00F51B67"/>
    <w:rsid w:val="00F51F40"/>
    <w:rsid w:val="00F520E3"/>
    <w:rsid w:val="00F5276A"/>
    <w:rsid w:val="00F528A3"/>
    <w:rsid w:val="00F52A76"/>
    <w:rsid w:val="00F52BB2"/>
    <w:rsid w:val="00F52C20"/>
    <w:rsid w:val="00F52C53"/>
    <w:rsid w:val="00F52CB0"/>
    <w:rsid w:val="00F52F58"/>
    <w:rsid w:val="00F53125"/>
    <w:rsid w:val="00F53449"/>
    <w:rsid w:val="00F5351D"/>
    <w:rsid w:val="00F535A5"/>
    <w:rsid w:val="00F536F1"/>
    <w:rsid w:val="00F53951"/>
    <w:rsid w:val="00F53EE7"/>
    <w:rsid w:val="00F54157"/>
    <w:rsid w:val="00F549E0"/>
    <w:rsid w:val="00F54AED"/>
    <w:rsid w:val="00F54C05"/>
    <w:rsid w:val="00F54D11"/>
    <w:rsid w:val="00F55306"/>
    <w:rsid w:val="00F5573A"/>
    <w:rsid w:val="00F55A9A"/>
    <w:rsid w:val="00F55CDF"/>
    <w:rsid w:val="00F55E08"/>
    <w:rsid w:val="00F55E09"/>
    <w:rsid w:val="00F55E2D"/>
    <w:rsid w:val="00F55E33"/>
    <w:rsid w:val="00F55F4C"/>
    <w:rsid w:val="00F560BA"/>
    <w:rsid w:val="00F5660B"/>
    <w:rsid w:val="00F566B0"/>
    <w:rsid w:val="00F5689A"/>
    <w:rsid w:val="00F56957"/>
    <w:rsid w:val="00F56AF2"/>
    <w:rsid w:val="00F56CE1"/>
    <w:rsid w:val="00F56D0C"/>
    <w:rsid w:val="00F56D81"/>
    <w:rsid w:val="00F57143"/>
    <w:rsid w:val="00F57299"/>
    <w:rsid w:val="00F57486"/>
    <w:rsid w:val="00F5772A"/>
    <w:rsid w:val="00F57753"/>
    <w:rsid w:val="00F57829"/>
    <w:rsid w:val="00F5793A"/>
    <w:rsid w:val="00F5793B"/>
    <w:rsid w:val="00F57990"/>
    <w:rsid w:val="00F57D0E"/>
    <w:rsid w:val="00F57D47"/>
    <w:rsid w:val="00F57E0B"/>
    <w:rsid w:val="00F57E28"/>
    <w:rsid w:val="00F57F21"/>
    <w:rsid w:val="00F60066"/>
    <w:rsid w:val="00F6011A"/>
    <w:rsid w:val="00F606F4"/>
    <w:rsid w:val="00F6086B"/>
    <w:rsid w:val="00F6096E"/>
    <w:rsid w:val="00F60A5F"/>
    <w:rsid w:val="00F60D5B"/>
    <w:rsid w:val="00F60FAB"/>
    <w:rsid w:val="00F61072"/>
    <w:rsid w:val="00F6148B"/>
    <w:rsid w:val="00F6156C"/>
    <w:rsid w:val="00F6169D"/>
    <w:rsid w:val="00F61B18"/>
    <w:rsid w:val="00F61BE6"/>
    <w:rsid w:val="00F6204D"/>
    <w:rsid w:val="00F622D5"/>
    <w:rsid w:val="00F624AC"/>
    <w:rsid w:val="00F6252E"/>
    <w:rsid w:val="00F62582"/>
    <w:rsid w:val="00F62CC7"/>
    <w:rsid w:val="00F62F1C"/>
    <w:rsid w:val="00F62FB9"/>
    <w:rsid w:val="00F6333B"/>
    <w:rsid w:val="00F634EA"/>
    <w:rsid w:val="00F636AB"/>
    <w:rsid w:val="00F63A89"/>
    <w:rsid w:val="00F63CA0"/>
    <w:rsid w:val="00F63CAD"/>
    <w:rsid w:val="00F63D5F"/>
    <w:rsid w:val="00F63DB5"/>
    <w:rsid w:val="00F63F3F"/>
    <w:rsid w:val="00F63F47"/>
    <w:rsid w:val="00F64062"/>
    <w:rsid w:val="00F64122"/>
    <w:rsid w:val="00F6446D"/>
    <w:rsid w:val="00F646BF"/>
    <w:rsid w:val="00F647A6"/>
    <w:rsid w:val="00F647CE"/>
    <w:rsid w:val="00F647E6"/>
    <w:rsid w:val="00F649AF"/>
    <w:rsid w:val="00F64BD4"/>
    <w:rsid w:val="00F64F14"/>
    <w:rsid w:val="00F64F69"/>
    <w:rsid w:val="00F651CA"/>
    <w:rsid w:val="00F657D9"/>
    <w:rsid w:val="00F65CA3"/>
    <w:rsid w:val="00F65E49"/>
    <w:rsid w:val="00F65E5E"/>
    <w:rsid w:val="00F66111"/>
    <w:rsid w:val="00F66291"/>
    <w:rsid w:val="00F6629F"/>
    <w:rsid w:val="00F664C5"/>
    <w:rsid w:val="00F666A1"/>
    <w:rsid w:val="00F6695B"/>
    <w:rsid w:val="00F670CA"/>
    <w:rsid w:val="00F67290"/>
    <w:rsid w:val="00F6734B"/>
    <w:rsid w:val="00F67588"/>
    <w:rsid w:val="00F67AB2"/>
    <w:rsid w:val="00F67CB0"/>
    <w:rsid w:val="00F7002A"/>
    <w:rsid w:val="00F705EB"/>
    <w:rsid w:val="00F70886"/>
    <w:rsid w:val="00F708F0"/>
    <w:rsid w:val="00F70BB6"/>
    <w:rsid w:val="00F70BE0"/>
    <w:rsid w:val="00F70CAB"/>
    <w:rsid w:val="00F70E72"/>
    <w:rsid w:val="00F71387"/>
    <w:rsid w:val="00F713C5"/>
    <w:rsid w:val="00F71400"/>
    <w:rsid w:val="00F716D0"/>
    <w:rsid w:val="00F71E2A"/>
    <w:rsid w:val="00F71E70"/>
    <w:rsid w:val="00F71E93"/>
    <w:rsid w:val="00F71F6B"/>
    <w:rsid w:val="00F72009"/>
    <w:rsid w:val="00F720E2"/>
    <w:rsid w:val="00F723FA"/>
    <w:rsid w:val="00F724A6"/>
    <w:rsid w:val="00F72E59"/>
    <w:rsid w:val="00F72EC4"/>
    <w:rsid w:val="00F72F83"/>
    <w:rsid w:val="00F7305C"/>
    <w:rsid w:val="00F73B4E"/>
    <w:rsid w:val="00F73D36"/>
    <w:rsid w:val="00F73E5D"/>
    <w:rsid w:val="00F73F09"/>
    <w:rsid w:val="00F74164"/>
    <w:rsid w:val="00F7453C"/>
    <w:rsid w:val="00F74550"/>
    <w:rsid w:val="00F7467D"/>
    <w:rsid w:val="00F74696"/>
    <w:rsid w:val="00F746A6"/>
    <w:rsid w:val="00F74946"/>
    <w:rsid w:val="00F749EF"/>
    <w:rsid w:val="00F74A5F"/>
    <w:rsid w:val="00F74AAE"/>
    <w:rsid w:val="00F74ED8"/>
    <w:rsid w:val="00F750DF"/>
    <w:rsid w:val="00F756C3"/>
    <w:rsid w:val="00F757A9"/>
    <w:rsid w:val="00F75810"/>
    <w:rsid w:val="00F75833"/>
    <w:rsid w:val="00F75A4C"/>
    <w:rsid w:val="00F75BD3"/>
    <w:rsid w:val="00F7607B"/>
    <w:rsid w:val="00F760B6"/>
    <w:rsid w:val="00F76186"/>
    <w:rsid w:val="00F76284"/>
    <w:rsid w:val="00F7650E"/>
    <w:rsid w:val="00F76547"/>
    <w:rsid w:val="00F7656D"/>
    <w:rsid w:val="00F768CD"/>
    <w:rsid w:val="00F76AAD"/>
    <w:rsid w:val="00F76B99"/>
    <w:rsid w:val="00F76D54"/>
    <w:rsid w:val="00F777E2"/>
    <w:rsid w:val="00F77928"/>
    <w:rsid w:val="00F77FFB"/>
    <w:rsid w:val="00F80957"/>
    <w:rsid w:val="00F80A11"/>
    <w:rsid w:val="00F80F67"/>
    <w:rsid w:val="00F81211"/>
    <w:rsid w:val="00F81531"/>
    <w:rsid w:val="00F8162C"/>
    <w:rsid w:val="00F8163D"/>
    <w:rsid w:val="00F81863"/>
    <w:rsid w:val="00F818A4"/>
    <w:rsid w:val="00F81CCD"/>
    <w:rsid w:val="00F81E94"/>
    <w:rsid w:val="00F820EB"/>
    <w:rsid w:val="00F824F3"/>
    <w:rsid w:val="00F827E4"/>
    <w:rsid w:val="00F82A7E"/>
    <w:rsid w:val="00F830AC"/>
    <w:rsid w:val="00F831CF"/>
    <w:rsid w:val="00F83244"/>
    <w:rsid w:val="00F8329F"/>
    <w:rsid w:val="00F834E3"/>
    <w:rsid w:val="00F83A24"/>
    <w:rsid w:val="00F83B02"/>
    <w:rsid w:val="00F84850"/>
    <w:rsid w:val="00F84A8C"/>
    <w:rsid w:val="00F84BD1"/>
    <w:rsid w:val="00F84D89"/>
    <w:rsid w:val="00F84F29"/>
    <w:rsid w:val="00F85111"/>
    <w:rsid w:val="00F85127"/>
    <w:rsid w:val="00F851B9"/>
    <w:rsid w:val="00F85276"/>
    <w:rsid w:val="00F855A8"/>
    <w:rsid w:val="00F85752"/>
    <w:rsid w:val="00F85A42"/>
    <w:rsid w:val="00F85DBD"/>
    <w:rsid w:val="00F85E2F"/>
    <w:rsid w:val="00F86057"/>
    <w:rsid w:val="00F8617B"/>
    <w:rsid w:val="00F86395"/>
    <w:rsid w:val="00F86449"/>
    <w:rsid w:val="00F8677A"/>
    <w:rsid w:val="00F8688A"/>
    <w:rsid w:val="00F868B9"/>
    <w:rsid w:val="00F86976"/>
    <w:rsid w:val="00F86E49"/>
    <w:rsid w:val="00F86EB5"/>
    <w:rsid w:val="00F87226"/>
    <w:rsid w:val="00F8729A"/>
    <w:rsid w:val="00F87399"/>
    <w:rsid w:val="00F87694"/>
    <w:rsid w:val="00F87768"/>
    <w:rsid w:val="00F8791D"/>
    <w:rsid w:val="00F87E90"/>
    <w:rsid w:val="00F902BF"/>
    <w:rsid w:val="00F90671"/>
    <w:rsid w:val="00F906D2"/>
    <w:rsid w:val="00F90B73"/>
    <w:rsid w:val="00F90BFD"/>
    <w:rsid w:val="00F90CE3"/>
    <w:rsid w:val="00F90DEC"/>
    <w:rsid w:val="00F90E72"/>
    <w:rsid w:val="00F90E75"/>
    <w:rsid w:val="00F90F62"/>
    <w:rsid w:val="00F910A3"/>
    <w:rsid w:val="00F9111A"/>
    <w:rsid w:val="00F916AC"/>
    <w:rsid w:val="00F91720"/>
    <w:rsid w:val="00F9192F"/>
    <w:rsid w:val="00F91D08"/>
    <w:rsid w:val="00F91EBC"/>
    <w:rsid w:val="00F91EFD"/>
    <w:rsid w:val="00F91F07"/>
    <w:rsid w:val="00F92057"/>
    <w:rsid w:val="00F92113"/>
    <w:rsid w:val="00F92550"/>
    <w:rsid w:val="00F9260F"/>
    <w:rsid w:val="00F92695"/>
    <w:rsid w:val="00F9299C"/>
    <w:rsid w:val="00F92CFE"/>
    <w:rsid w:val="00F92D46"/>
    <w:rsid w:val="00F92D5E"/>
    <w:rsid w:val="00F92E23"/>
    <w:rsid w:val="00F92EA3"/>
    <w:rsid w:val="00F9304C"/>
    <w:rsid w:val="00F93076"/>
    <w:rsid w:val="00F934F4"/>
    <w:rsid w:val="00F93528"/>
    <w:rsid w:val="00F940CC"/>
    <w:rsid w:val="00F9413A"/>
    <w:rsid w:val="00F94238"/>
    <w:rsid w:val="00F94279"/>
    <w:rsid w:val="00F9440E"/>
    <w:rsid w:val="00F9457F"/>
    <w:rsid w:val="00F947B1"/>
    <w:rsid w:val="00F94887"/>
    <w:rsid w:val="00F94DCF"/>
    <w:rsid w:val="00F94E67"/>
    <w:rsid w:val="00F94E6F"/>
    <w:rsid w:val="00F94F15"/>
    <w:rsid w:val="00F9519B"/>
    <w:rsid w:val="00F952E8"/>
    <w:rsid w:val="00F95468"/>
    <w:rsid w:val="00F9562B"/>
    <w:rsid w:val="00F95652"/>
    <w:rsid w:val="00F957D8"/>
    <w:rsid w:val="00F95AAC"/>
    <w:rsid w:val="00F95AC7"/>
    <w:rsid w:val="00F95B6C"/>
    <w:rsid w:val="00F95C37"/>
    <w:rsid w:val="00F95E56"/>
    <w:rsid w:val="00F95F51"/>
    <w:rsid w:val="00F96033"/>
    <w:rsid w:val="00F96158"/>
    <w:rsid w:val="00F9621F"/>
    <w:rsid w:val="00F9636C"/>
    <w:rsid w:val="00F96422"/>
    <w:rsid w:val="00F96456"/>
    <w:rsid w:val="00F969CC"/>
    <w:rsid w:val="00F96BF7"/>
    <w:rsid w:val="00F96DCE"/>
    <w:rsid w:val="00F96F10"/>
    <w:rsid w:val="00F971DF"/>
    <w:rsid w:val="00F97221"/>
    <w:rsid w:val="00F973C0"/>
    <w:rsid w:val="00F976BC"/>
    <w:rsid w:val="00F97A92"/>
    <w:rsid w:val="00F97D92"/>
    <w:rsid w:val="00FA0278"/>
    <w:rsid w:val="00FA03C6"/>
    <w:rsid w:val="00FA078F"/>
    <w:rsid w:val="00FA08D2"/>
    <w:rsid w:val="00FA099C"/>
    <w:rsid w:val="00FA0B15"/>
    <w:rsid w:val="00FA0C89"/>
    <w:rsid w:val="00FA0FBD"/>
    <w:rsid w:val="00FA1119"/>
    <w:rsid w:val="00FA11AF"/>
    <w:rsid w:val="00FA12A8"/>
    <w:rsid w:val="00FA1396"/>
    <w:rsid w:val="00FA13DA"/>
    <w:rsid w:val="00FA160D"/>
    <w:rsid w:val="00FA180F"/>
    <w:rsid w:val="00FA1AD2"/>
    <w:rsid w:val="00FA1C21"/>
    <w:rsid w:val="00FA219D"/>
    <w:rsid w:val="00FA2338"/>
    <w:rsid w:val="00FA23E3"/>
    <w:rsid w:val="00FA27FA"/>
    <w:rsid w:val="00FA28B6"/>
    <w:rsid w:val="00FA2988"/>
    <w:rsid w:val="00FA2CD7"/>
    <w:rsid w:val="00FA2DF5"/>
    <w:rsid w:val="00FA2EF1"/>
    <w:rsid w:val="00FA2FC5"/>
    <w:rsid w:val="00FA30C2"/>
    <w:rsid w:val="00FA3162"/>
    <w:rsid w:val="00FA32B2"/>
    <w:rsid w:val="00FA32C1"/>
    <w:rsid w:val="00FA330E"/>
    <w:rsid w:val="00FA33D8"/>
    <w:rsid w:val="00FA34C9"/>
    <w:rsid w:val="00FA37F2"/>
    <w:rsid w:val="00FA3A1B"/>
    <w:rsid w:val="00FA3BE8"/>
    <w:rsid w:val="00FA40D9"/>
    <w:rsid w:val="00FA4143"/>
    <w:rsid w:val="00FA416F"/>
    <w:rsid w:val="00FA423B"/>
    <w:rsid w:val="00FA4331"/>
    <w:rsid w:val="00FA43AC"/>
    <w:rsid w:val="00FA46A4"/>
    <w:rsid w:val="00FA46CF"/>
    <w:rsid w:val="00FA48B1"/>
    <w:rsid w:val="00FA48D3"/>
    <w:rsid w:val="00FA4B14"/>
    <w:rsid w:val="00FA4B38"/>
    <w:rsid w:val="00FA4C16"/>
    <w:rsid w:val="00FA4F12"/>
    <w:rsid w:val="00FA515A"/>
    <w:rsid w:val="00FA5326"/>
    <w:rsid w:val="00FA5414"/>
    <w:rsid w:val="00FA5B26"/>
    <w:rsid w:val="00FA5CDB"/>
    <w:rsid w:val="00FA5D2B"/>
    <w:rsid w:val="00FA5F2F"/>
    <w:rsid w:val="00FA6004"/>
    <w:rsid w:val="00FA6053"/>
    <w:rsid w:val="00FA6732"/>
    <w:rsid w:val="00FA680D"/>
    <w:rsid w:val="00FA6B8B"/>
    <w:rsid w:val="00FA6D87"/>
    <w:rsid w:val="00FA6F4F"/>
    <w:rsid w:val="00FA70D4"/>
    <w:rsid w:val="00FA7115"/>
    <w:rsid w:val="00FA7153"/>
    <w:rsid w:val="00FA71C5"/>
    <w:rsid w:val="00FA7210"/>
    <w:rsid w:val="00FA73C1"/>
    <w:rsid w:val="00FA74A5"/>
    <w:rsid w:val="00FA7658"/>
    <w:rsid w:val="00FA778F"/>
    <w:rsid w:val="00FA7918"/>
    <w:rsid w:val="00FA793A"/>
    <w:rsid w:val="00FA7B7A"/>
    <w:rsid w:val="00FB01C5"/>
    <w:rsid w:val="00FB01EF"/>
    <w:rsid w:val="00FB027A"/>
    <w:rsid w:val="00FB03B5"/>
    <w:rsid w:val="00FB0430"/>
    <w:rsid w:val="00FB0433"/>
    <w:rsid w:val="00FB0662"/>
    <w:rsid w:val="00FB073F"/>
    <w:rsid w:val="00FB0C7E"/>
    <w:rsid w:val="00FB14D0"/>
    <w:rsid w:val="00FB1905"/>
    <w:rsid w:val="00FB1968"/>
    <w:rsid w:val="00FB1AC6"/>
    <w:rsid w:val="00FB1C8C"/>
    <w:rsid w:val="00FB1D0A"/>
    <w:rsid w:val="00FB1E11"/>
    <w:rsid w:val="00FB1F2C"/>
    <w:rsid w:val="00FB20A2"/>
    <w:rsid w:val="00FB20B7"/>
    <w:rsid w:val="00FB282E"/>
    <w:rsid w:val="00FB2BCA"/>
    <w:rsid w:val="00FB2EEE"/>
    <w:rsid w:val="00FB302B"/>
    <w:rsid w:val="00FB30B9"/>
    <w:rsid w:val="00FB3157"/>
    <w:rsid w:val="00FB3A43"/>
    <w:rsid w:val="00FB3B07"/>
    <w:rsid w:val="00FB3C97"/>
    <w:rsid w:val="00FB3DBF"/>
    <w:rsid w:val="00FB429A"/>
    <w:rsid w:val="00FB43D9"/>
    <w:rsid w:val="00FB4417"/>
    <w:rsid w:val="00FB45C2"/>
    <w:rsid w:val="00FB4811"/>
    <w:rsid w:val="00FB4902"/>
    <w:rsid w:val="00FB496A"/>
    <w:rsid w:val="00FB49A4"/>
    <w:rsid w:val="00FB4C5E"/>
    <w:rsid w:val="00FB4F78"/>
    <w:rsid w:val="00FB51E1"/>
    <w:rsid w:val="00FB5449"/>
    <w:rsid w:val="00FB57C0"/>
    <w:rsid w:val="00FB58ED"/>
    <w:rsid w:val="00FB5A5B"/>
    <w:rsid w:val="00FB5BFC"/>
    <w:rsid w:val="00FB5EA6"/>
    <w:rsid w:val="00FB5FCA"/>
    <w:rsid w:val="00FB6128"/>
    <w:rsid w:val="00FB618F"/>
    <w:rsid w:val="00FB63F6"/>
    <w:rsid w:val="00FB641F"/>
    <w:rsid w:val="00FB647D"/>
    <w:rsid w:val="00FB64A2"/>
    <w:rsid w:val="00FB65A9"/>
    <w:rsid w:val="00FB66B8"/>
    <w:rsid w:val="00FB692A"/>
    <w:rsid w:val="00FB6BF1"/>
    <w:rsid w:val="00FB6F42"/>
    <w:rsid w:val="00FB70B3"/>
    <w:rsid w:val="00FB70D7"/>
    <w:rsid w:val="00FB7100"/>
    <w:rsid w:val="00FB715D"/>
    <w:rsid w:val="00FB739D"/>
    <w:rsid w:val="00FB73A2"/>
    <w:rsid w:val="00FB748E"/>
    <w:rsid w:val="00FB7504"/>
    <w:rsid w:val="00FB7895"/>
    <w:rsid w:val="00FB790C"/>
    <w:rsid w:val="00FB7B17"/>
    <w:rsid w:val="00FB7B2B"/>
    <w:rsid w:val="00FB7C8D"/>
    <w:rsid w:val="00FB7EDA"/>
    <w:rsid w:val="00FC02BB"/>
    <w:rsid w:val="00FC041A"/>
    <w:rsid w:val="00FC0835"/>
    <w:rsid w:val="00FC0858"/>
    <w:rsid w:val="00FC099A"/>
    <w:rsid w:val="00FC0BFF"/>
    <w:rsid w:val="00FC13E7"/>
    <w:rsid w:val="00FC1A96"/>
    <w:rsid w:val="00FC1B9C"/>
    <w:rsid w:val="00FC1D2A"/>
    <w:rsid w:val="00FC1DE4"/>
    <w:rsid w:val="00FC207B"/>
    <w:rsid w:val="00FC249D"/>
    <w:rsid w:val="00FC260A"/>
    <w:rsid w:val="00FC285A"/>
    <w:rsid w:val="00FC2E77"/>
    <w:rsid w:val="00FC2E84"/>
    <w:rsid w:val="00FC3085"/>
    <w:rsid w:val="00FC308B"/>
    <w:rsid w:val="00FC3669"/>
    <w:rsid w:val="00FC3793"/>
    <w:rsid w:val="00FC3B89"/>
    <w:rsid w:val="00FC3BF3"/>
    <w:rsid w:val="00FC3D99"/>
    <w:rsid w:val="00FC407D"/>
    <w:rsid w:val="00FC43D5"/>
    <w:rsid w:val="00FC4674"/>
    <w:rsid w:val="00FC4998"/>
    <w:rsid w:val="00FC4A0D"/>
    <w:rsid w:val="00FC4A8A"/>
    <w:rsid w:val="00FC4C96"/>
    <w:rsid w:val="00FC4DCF"/>
    <w:rsid w:val="00FC4DE2"/>
    <w:rsid w:val="00FC4F17"/>
    <w:rsid w:val="00FC50AC"/>
    <w:rsid w:val="00FC5101"/>
    <w:rsid w:val="00FC5133"/>
    <w:rsid w:val="00FC53D6"/>
    <w:rsid w:val="00FC55B2"/>
    <w:rsid w:val="00FC56B3"/>
    <w:rsid w:val="00FC572D"/>
    <w:rsid w:val="00FC57F4"/>
    <w:rsid w:val="00FC5D20"/>
    <w:rsid w:val="00FC5DC4"/>
    <w:rsid w:val="00FC6008"/>
    <w:rsid w:val="00FC62D8"/>
    <w:rsid w:val="00FC643F"/>
    <w:rsid w:val="00FC654A"/>
    <w:rsid w:val="00FC6657"/>
    <w:rsid w:val="00FC67C2"/>
    <w:rsid w:val="00FC69E7"/>
    <w:rsid w:val="00FC6DDA"/>
    <w:rsid w:val="00FC71EB"/>
    <w:rsid w:val="00FC720A"/>
    <w:rsid w:val="00FC74DA"/>
    <w:rsid w:val="00FC7608"/>
    <w:rsid w:val="00FC7784"/>
    <w:rsid w:val="00FC78BB"/>
    <w:rsid w:val="00FC79F3"/>
    <w:rsid w:val="00FD00DC"/>
    <w:rsid w:val="00FD00F7"/>
    <w:rsid w:val="00FD03C8"/>
    <w:rsid w:val="00FD0532"/>
    <w:rsid w:val="00FD0897"/>
    <w:rsid w:val="00FD089C"/>
    <w:rsid w:val="00FD09CD"/>
    <w:rsid w:val="00FD0C4D"/>
    <w:rsid w:val="00FD0F4F"/>
    <w:rsid w:val="00FD148D"/>
    <w:rsid w:val="00FD14D1"/>
    <w:rsid w:val="00FD166C"/>
    <w:rsid w:val="00FD1681"/>
    <w:rsid w:val="00FD16DD"/>
    <w:rsid w:val="00FD1789"/>
    <w:rsid w:val="00FD18F7"/>
    <w:rsid w:val="00FD1BA8"/>
    <w:rsid w:val="00FD1CE1"/>
    <w:rsid w:val="00FD1D31"/>
    <w:rsid w:val="00FD1F25"/>
    <w:rsid w:val="00FD20AD"/>
    <w:rsid w:val="00FD21B5"/>
    <w:rsid w:val="00FD2233"/>
    <w:rsid w:val="00FD22B3"/>
    <w:rsid w:val="00FD22C3"/>
    <w:rsid w:val="00FD233D"/>
    <w:rsid w:val="00FD2635"/>
    <w:rsid w:val="00FD2D33"/>
    <w:rsid w:val="00FD2E4A"/>
    <w:rsid w:val="00FD2F28"/>
    <w:rsid w:val="00FD2F32"/>
    <w:rsid w:val="00FD2F72"/>
    <w:rsid w:val="00FD2FF2"/>
    <w:rsid w:val="00FD3018"/>
    <w:rsid w:val="00FD331B"/>
    <w:rsid w:val="00FD35D9"/>
    <w:rsid w:val="00FD3736"/>
    <w:rsid w:val="00FD38E9"/>
    <w:rsid w:val="00FD39CA"/>
    <w:rsid w:val="00FD3BBE"/>
    <w:rsid w:val="00FD3C72"/>
    <w:rsid w:val="00FD3DD5"/>
    <w:rsid w:val="00FD3EB2"/>
    <w:rsid w:val="00FD3EB4"/>
    <w:rsid w:val="00FD3F46"/>
    <w:rsid w:val="00FD3FEF"/>
    <w:rsid w:val="00FD4002"/>
    <w:rsid w:val="00FD4025"/>
    <w:rsid w:val="00FD40E0"/>
    <w:rsid w:val="00FD42D6"/>
    <w:rsid w:val="00FD4367"/>
    <w:rsid w:val="00FD47CB"/>
    <w:rsid w:val="00FD4826"/>
    <w:rsid w:val="00FD4CFD"/>
    <w:rsid w:val="00FD4D66"/>
    <w:rsid w:val="00FD4DB2"/>
    <w:rsid w:val="00FD543A"/>
    <w:rsid w:val="00FD54EB"/>
    <w:rsid w:val="00FD54F0"/>
    <w:rsid w:val="00FD5865"/>
    <w:rsid w:val="00FD58B6"/>
    <w:rsid w:val="00FD5F08"/>
    <w:rsid w:val="00FD5FF9"/>
    <w:rsid w:val="00FD6301"/>
    <w:rsid w:val="00FD640F"/>
    <w:rsid w:val="00FD64FA"/>
    <w:rsid w:val="00FD6544"/>
    <w:rsid w:val="00FD6711"/>
    <w:rsid w:val="00FD68B3"/>
    <w:rsid w:val="00FD68D5"/>
    <w:rsid w:val="00FD69CD"/>
    <w:rsid w:val="00FD69F3"/>
    <w:rsid w:val="00FD6A52"/>
    <w:rsid w:val="00FD6E0B"/>
    <w:rsid w:val="00FD6E0C"/>
    <w:rsid w:val="00FD7186"/>
    <w:rsid w:val="00FD71A7"/>
    <w:rsid w:val="00FD7308"/>
    <w:rsid w:val="00FD7575"/>
    <w:rsid w:val="00FD771A"/>
    <w:rsid w:val="00FD7958"/>
    <w:rsid w:val="00FD79BA"/>
    <w:rsid w:val="00FD7A2E"/>
    <w:rsid w:val="00FD7B2D"/>
    <w:rsid w:val="00FD7D87"/>
    <w:rsid w:val="00FE000E"/>
    <w:rsid w:val="00FE01D8"/>
    <w:rsid w:val="00FE041A"/>
    <w:rsid w:val="00FE06DB"/>
    <w:rsid w:val="00FE078E"/>
    <w:rsid w:val="00FE07CC"/>
    <w:rsid w:val="00FE09BE"/>
    <w:rsid w:val="00FE0B06"/>
    <w:rsid w:val="00FE0E2E"/>
    <w:rsid w:val="00FE11FD"/>
    <w:rsid w:val="00FE1477"/>
    <w:rsid w:val="00FE15E5"/>
    <w:rsid w:val="00FE1861"/>
    <w:rsid w:val="00FE1AAF"/>
    <w:rsid w:val="00FE1B69"/>
    <w:rsid w:val="00FE2256"/>
    <w:rsid w:val="00FE2303"/>
    <w:rsid w:val="00FE2391"/>
    <w:rsid w:val="00FE23B0"/>
    <w:rsid w:val="00FE26A7"/>
    <w:rsid w:val="00FE287E"/>
    <w:rsid w:val="00FE2B0F"/>
    <w:rsid w:val="00FE2DD5"/>
    <w:rsid w:val="00FE2E0D"/>
    <w:rsid w:val="00FE2FF0"/>
    <w:rsid w:val="00FE3144"/>
    <w:rsid w:val="00FE35E4"/>
    <w:rsid w:val="00FE38DB"/>
    <w:rsid w:val="00FE3A38"/>
    <w:rsid w:val="00FE3C12"/>
    <w:rsid w:val="00FE3CBE"/>
    <w:rsid w:val="00FE3CD4"/>
    <w:rsid w:val="00FE40E4"/>
    <w:rsid w:val="00FE4164"/>
    <w:rsid w:val="00FE4165"/>
    <w:rsid w:val="00FE423A"/>
    <w:rsid w:val="00FE474C"/>
    <w:rsid w:val="00FE47F7"/>
    <w:rsid w:val="00FE481C"/>
    <w:rsid w:val="00FE4863"/>
    <w:rsid w:val="00FE4923"/>
    <w:rsid w:val="00FE4BB7"/>
    <w:rsid w:val="00FE4C7C"/>
    <w:rsid w:val="00FE4CDD"/>
    <w:rsid w:val="00FE4CDF"/>
    <w:rsid w:val="00FE4D55"/>
    <w:rsid w:val="00FE4E78"/>
    <w:rsid w:val="00FE5190"/>
    <w:rsid w:val="00FE5208"/>
    <w:rsid w:val="00FE57A7"/>
    <w:rsid w:val="00FE57AB"/>
    <w:rsid w:val="00FE5B38"/>
    <w:rsid w:val="00FE5B84"/>
    <w:rsid w:val="00FE5C3C"/>
    <w:rsid w:val="00FE5E9D"/>
    <w:rsid w:val="00FE64F0"/>
    <w:rsid w:val="00FE655E"/>
    <w:rsid w:val="00FE65CD"/>
    <w:rsid w:val="00FE69BB"/>
    <w:rsid w:val="00FE6C28"/>
    <w:rsid w:val="00FE6E50"/>
    <w:rsid w:val="00FE72C3"/>
    <w:rsid w:val="00FE7516"/>
    <w:rsid w:val="00FE7640"/>
    <w:rsid w:val="00FE77C4"/>
    <w:rsid w:val="00FE7C6A"/>
    <w:rsid w:val="00FF0092"/>
    <w:rsid w:val="00FF0258"/>
    <w:rsid w:val="00FF0558"/>
    <w:rsid w:val="00FF0646"/>
    <w:rsid w:val="00FF07A1"/>
    <w:rsid w:val="00FF0865"/>
    <w:rsid w:val="00FF0B0C"/>
    <w:rsid w:val="00FF0E96"/>
    <w:rsid w:val="00FF0F01"/>
    <w:rsid w:val="00FF142B"/>
    <w:rsid w:val="00FF1951"/>
    <w:rsid w:val="00FF1D52"/>
    <w:rsid w:val="00FF1FE2"/>
    <w:rsid w:val="00FF209F"/>
    <w:rsid w:val="00FF2164"/>
    <w:rsid w:val="00FF21BB"/>
    <w:rsid w:val="00FF22C0"/>
    <w:rsid w:val="00FF23A0"/>
    <w:rsid w:val="00FF243C"/>
    <w:rsid w:val="00FF2624"/>
    <w:rsid w:val="00FF2696"/>
    <w:rsid w:val="00FF26E7"/>
    <w:rsid w:val="00FF26F9"/>
    <w:rsid w:val="00FF28C7"/>
    <w:rsid w:val="00FF2A63"/>
    <w:rsid w:val="00FF2F57"/>
    <w:rsid w:val="00FF2F96"/>
    <w:rsid w:val="00FF316A"/>
    <w:rsid w:val="00FF333C"/>
    <w:rsid w:val="00FF34B7"/>
    <w:rsid w:val="00FF384B"/>
    <w:rsid w:val="00FF389C"/>
    <w:rsid w:val="00FF3A13"/>
    <w:rsid w:val="00FF3C01"/>
    <w:rsid w:val="00FF3FC4"/>
    <w:rsid w:val="00FF42D1"/>
    <w:rsid w:val="00FF4348"/>
    <w:rsid w:val="00FF444F"/>
    <w:rsid w:val="00FF4460"/>
    <w:rsid w:val="00FF488B"/>
    <w:rsid w:val="00FF4947"/>
    <w:rsid w:val="00FF4C17"/>
    <w:rsid w:val="00FF510D"/>
    <w:rsid w:val="00FF522B"/>
    <w:rsid w:val="00FF5347"/>
    <w:rsid w:val="00FF54B9"/>
    <w:rsid w:val="00FF57FD"/>
    <w:rsid w:val="00FF581C"/>
    <w:rsid w:val="00FF58EC"/>
    <w:rsid w:val="00FF5A4D"/>
    <w:rsid w:val="00FF5F2A"/>
    <w:rsid w:val="00FF61A7"/>
    <w:rsid w:val="00FF624C"/>
    <w:rsid w:val="00FF666A"/>
    <w:rsid w:val="00FF669E"/>
    <w:rsid w:val="00FF689B"/>
    <w:rsid w:val="00FF69BF"/>
    <w:rsid w:val="00FF6AAA"/>
    <w:rsid w:val="00FF6C05"/>
    <w:rsid w:val="00FF6D2D"/>
    <w:rsid w:val="00FF6D45"/>
    <w:rsid w:val="00FF7177"/>
    <w:rsid w:val="00FF71AB"/>
    <w:rsid w:val="00FF74D0"/>
    <w:rsid w:val="00FF764A"/>
    <w:rsid w:val="00FF7670"/>
    <w:rsid w:val="00FF77DB"/>
    <w:rsid w:val="00FF78E6"/>
    <w:rsid w:val="00FF7999"/>
    <w:rsid w:val="00FF79C9"/>
    <w:rsid w:val="00FF7BB7"/>
    <w:rsid w:val="010BE5A0"/>
    <w:rsid w:val="014A1099"/>
    <w:rsid w:val="0187202E"/>
    <w:rsid w:val="019F82D7"/>
    <w:rsid w:val="01A9E61A"/>
    <w:rsid w:val="01B12270"/>
    <w:rsid w:val="01C251B7"/>
    <w:rsid w:val="01EA0848"/>
    <w:rsid w:val="021764E5"/>
    <w:rsid w:val="02414821"/>
    <w:rsid w:val="02547EBF"/>
    <w:rsid w:val="025CFF98"/>
    <w:rsid w:val="02628A6B"/>
    <w:rsid w:val="02A50D0B"/>
    <w:rsid w:val="02C2BD90"/>
    <w:rsid w:val="02C2C9E4"/>
    <w:rsid w:val="02C78476"/>
    <w:rsid w:val="02FFD092"/>
    <w:rsid w:val="030C51EE"/>
    <w:rsid w:val="03260E3A"/>
    <w:rsid w:val="032AEDE2"/>
    <w:rsid w:val="036139B0"/>
    <w:rsid w:val="03801ED8"/>
    <w:rsid w:val="03B3D6FC"/>
    <w:rsid w:val="03B55A87"/>
    <w:rsid w:val="03F4FFF1"/>
    <w:rsid w:val="0412FBFE"/>
    <w:rsid w:val="04161FFB"/>
    <w:rsid w:val="04308CDA"/>
    <w:rsid w:val="044177E4"/>
    <w:rsid w:val="0457FE90"/>
    <w:rsid w:val="045F12A4"/>
    <w:rsid w:val="0489F8E1"/>
    <w:rsid w:val="04A16730"/>
    <w:rsid w:val="04C2E333"/>
    <w:rsid w:val="04FAB32D"/>
    <w:rsid w:val="050F5DD3"/>
    <w:rsid w:val="0542287B"/>
    <w:rsid w:val="055846E7"/>
    <w:rsid w:val="0598BD39"/>
    <w:rsid w:val="05A37437"/>
    <w:rsid w:val="05BCF6F4"/>
    <w:rsid w:val="05E002A7"/>
    <w:rsid w:val="05EC5568"/>
    <w:rsid w:val="05F19C9F"/>
    <w:rsid w:val="05F25C58"/>
    <w:rsid w:val="05FBC2E1"/>
    <w:rsid w:val="05FE09A8"/>
    <w:rsid w:val="060CBF17"/>
    <w:rsid w:val="063E05C7"/>
    <w:rsid w:val="064E4AC2"/>
    <w:rsid w:val="066B2127"/>
    <w:rsid w:val="069CD956"/>
    <w:rsid w:val="06A64C72"/>
    <w:rsid w:val="06E87260"/>
    <w:rsid w:val="072A73E5"/>
    <w:rsid w:val="073A12A5"/>
    <w:rsid w:val="0750554F"/>
    <w:rsid w:val="075C03BD"/>
    <w:rsid w:val="07655F2E"/>
    <w:rsid w:val="07893607"/>
    <w:rsid w:val="07B1E0C4"/>
    <w:rsid w:val="07BDF76A"/>
    <w:rsid w:val="07DB8FC9"/>
    <w:rsid w:val="07DFB5D3"/>
    <w:rsid w:val="07EFF18B"/>
    <w:rsid w:val="07FE1130"/>
    <w:rsid w:val="0828AF85"/>
    <w:rsid w:val="0833CD6D"/>
    <w:rsid w:val="084C5219"/>
    <w:rsid w:val="0853ED95"/>
    <w:rsid w:val="08A513FB"/>
    <w:rsid w:val="08ABC140"/>
    <w:rsid w:val="08CFB2AE"/>
    <w:rsid w:val="08D00852"/>
    <w:rsid w:val="08DA37E6"/>
    <w:rsid w:val="08DFB022"/>
    <w:rsid w:val="08E29AD2"/>
    <w:rsid w:val="0905D89E"/>
    <w:rsid w:val="0919E14D"/>
    <w:rsid w:val="09261F50"/>
    <w:rsid w:val="0926AFD5"/>
    <w:rsid w:val="093320A1"/>
    <w:rsid w:val="093645F5"/>
    <w:rsid w:val="0938BF32"/>
    <w:rsid w:val="0948C4BF"/>
    <w:rsid w:val="099223BD"/>
    <w:rsid w:val="09995BFA"/>
    <w:rsid w:val="09B6C992"/>
    <w:rsid w:val="09B9041F"/>
    <w:rsid w:val="09E0FC6E"/>
    <w:rsid w:val="09EFB976"/>
    <w:rsid w:val="09FC3D26"/>
    <w:rsid w:val="0A06BD80"/>
    <w:rsid w:val="0A18E6EA"/>
    <w:rsid w:val="0A25B449"/>
    <w:rsid w:val="0A2E0170"/>
    <w:rsid w:val="0A31653B"/>
    <w:rsid w:val="0A420495"/>
    <w:rsid w:val="0A459338"/>
    <w:rsid w:val="0A7A16EB"/>
    <w:rsid w:val="0A80FA22"/>
    <w:rsid w:val="0AB2F4D2"/>
    <w:rsid w:val="0AB36DB2"/>
    <w:rsid w:val="0AB3E8F8"/>
    <w:rsid w:val="0AECBA8E"/>
    <w:rsid w:val="0AEDE1FF"/>
    <w:rsid w:val="0B345BFE"/>
    <w:rsid w:val="0B8E1150"/>
    <w:rsid w:val="0B989C2A"/>
    <w:rsid w:val="0B9A7DAE"/>
    <w:rsid w:val="0BD6A748"/>
    <w:rsid w:val="0C004676"/>
    <w:rsid w:val="0C080A31"/>
    <w:rsid w:val="0C1631B1"/>
    <w:rsid w:val="0C2D5356"/>
    <w:rsid w:val="0C4A4989"/>
    <w:rsid w:val="0C4BA35D"/>
    <w:rsid w:val="0C5F4E88"/>
    <w:rsid w:val="0C8A4264"/>
    <w:rsid w:val="0C918983"/>
    <w:rsid w:val="0C959121"/>
    <w:rsid w:val="0CB2CF07"/>
    <w:rsid w:val="0CD510EE"/>
    <w:rsid w:val="0CF96DF8"/>
    <w:rsid w:val="0D0C9E0C"/>
    <w:rsid w:val="0D1B1ADE"/>
    <w:rsid w:val="0D2D1FAA"/>
    <w:rsid w:val="0D3B529D"/>
    <w:rsid w:val="0D3C4EDD"/>
    <w:rsid w:val="0D5E40EA"/>
    <w:rsid w:val="0D6ADFB8"/>
    <w:rsid w:val="0D70CD7F"/>
    <w:rsid w:val="0D75B18C"/>
    <w:rsid w:val="0D8D1108"/>
    <w:rsid w:val="0D9090D6"/>
    <w:rsid w:val="0D9D6E6B"/>
    <w:rsid w:val="0DA030CD"/>
    <w:rsid w:val="0DB0404D"/>
    <w:rsid w:val="0DC27025"/>
    <w:rsid w:val="0DC55CD2"/>
    <w:rsid w:val="0DCCE4C0"/>
    <w:rsid w:val="0DDD75A1"/>
    <w:rsid w:val="0E1A28B4"/>
    <w:rsid w:val="0E36D99C"/>
    <w:rsid w:val="0E3B3347"/>
    <w:rsid w:val="0E624692"/>
    <w:rsid w:val="0E62C075"/>
    <w:rsid w:val="0E9A84BE"/>
    <w:rsid w:val="0ECDBF54"/>
    <w:rsid w:val="0ED895D9"/>
    <w:rsid w:val="0EEA1ED8"/>
    <w:rsid w:val="0F3E0610"/>
    <w:rsid w:val="0F5C4A25"/>
    <w:rsid w:val="0F7BCEA6"/>
    <w:rsid w:val="0FB781B7"/>
    <w:rsid w:val="0FBC59CC"/>
    <w:rsid w:val="0FBF1B18"/>
    <w:rsid w:val="0FC33D67"/>
    <w:rsid w:val="0FC5F6DF"/>
    <w:rsid w:val="0FCDE994"/>
    <w:rsid w:val="0FCFCFB9"/>
    <w:rsid w:val="0FD07A3E"/>
    <w:rsid w:val="0FFF037E"/>
    <w:rsid w:val="0FFF8587"/>
    <w:rsid w:val="10149964"/>
    <w:rsid w:val="1049E88D"/>
    <w:rsid w:val="10659B6F"/>
    <w:rsid w:val="1067292B"/>
    <w:rsid w:val="107779D3"/>
    <w:rsid w:val="1079FB9F"/>
    <w:rsid w:val="10BD33D5"/>
    <w:rsid w:val="10EF7FE3"/>
    <w:rsid w:val="10F39B19"/>
    <w:rsid w:val="1101E812"/>
    <w:rsid w:val="1111C705"/>
    <w:rsid w:val="1114F00F"/>
    <w:rsid w:val="114BD73D"/>
    <w:rsid w:val="115A38B2"/>
    <w:rsid w:val="115E6653"/>
    <w:rsid w:val="115EC163"/>
    <w:rsid w:val="11987794"/>
    <w:rsid w:val="11A67C6F"/>
    <w:rsid w:val="11D78CAE"/>
    <w:rsid w:val="12091A4A"/>
    <w:rsid w:val="12393ABD"/>
    <w:rsid w:val="1257ED86"/>
    <w:rsid w:val="1267FBE3"/>
    <w:rsid w:val="12860011"/>
    <w:rsid w:val="12A692D0"/>
    <w:rsid w:val="12A80B44"/>
    <w:rsid w:val="12B2B919"/>
    <w:rsid w:val="12BCC6CC"/>
    <w:rsid w:val="12D35537"/>
    <w:rsid w:val="12D70C94"/>
    <w:rsid w:val="12EE7979"/>
    <w:rsid w:val="12F80415"/>
    <w:rsid w:val="13127230"/>
    <w:rsid w:val="1328C87A"/>
    <w:rsid w:val="1345E0D1"/>
    <w:rsid w:val="136F1749"/>
    <w:rsid w:val="13769A86"/>
    <w:rsid w:val="1376A084"/>
    <w:rsid w:val="137E2F3E"/>
    <w:rsid w:val="13824283"/>
    <w:rsid w:val="13933151"/>
    <w:rsid w:val="13A69A89"/>
    <w:rsid w:val="13E78F17"/>
    <w:rsid w:val="13FFDA55"/>
    <w:rsid w:val="143F4FFC"/>
    <w:rsid w:val="1446A1BB"/>
    <w:rsid w:val="14535985"/>
    <w:rsid w:val="149DAA39"/>
    <w:rsid w:val="14BDFBC2"/>
    <w:rsid w:val="14DBE8E3"/>
    <w:rsid w:val="14DCD6F2"/>
    <w:rsid w:val="14E4A808"/>
    <w:rsid w:val="14E9D6E6"/>
    <w:rsid w:val="14EFD746"/>
    <w:rsid w:val="153DF19E"/>
    <w:rsid w:val="15624022"/>
    <w:rsid w:val="1585258F"/>
    <w:rsid w:val="15C9FD45"/>
    <w:rsid w:val="15CE3BAA"/>
    <w:rsid w:val="15D4D04E"/>
    <w:rsid w:val="15D9AB49"/>
    <w:rsid w:val="15EE5295"/>
    <w:rsid w:val="15FF7E36"/>
    <w:rsid w:val="160DDD51"/>
    <w:rsid w:val="162698A0"/>
    <w:rsid w:val="164581B9"/>
    <w:rsid w:val="1646D649"/>
    <w:rsid w:val="16480A79"/>
    <w:rsid w:val="165106B4"/>
    <w:rsid w:val="165AC783"/>
    <w:rsid w:val="1675927A"/>
    <w:rsid w:val="167BDA6A"/>
    <w:rsid w:val="16954014"/>
    <w:rsid w:val="169B3C03"/>
    <w:rsid w:val="16AE8F31"/>
    <w:rsid w:val="16B20765"/>
    <w:rsid w:val="16CA071A"/>
    <w:rsid w:val="16D8C362"/>
    <w:rsid w:val="16F6BB70"/>
    <w:rsid w:val="16F90A9C"/>
    <w:rsid w:val="1701E2BC"/>
    <w:rsid w:val="1739AFB3"/>
    <w:rsid w:val="173FB248"/>
    <w:rsid w:val="174C2A1E"/>
    <w:rsid w:val="17517363"/>
    <w:rsid w:val="176CF7D7"/>
    <w:rsid w:val="1771AA27"/>
    <w:rsid w:val="17742BAB"/>
    <w:rsid w:val="178CD66E"/>
    <w:rsid w:val="17B25AA6"/>
    <w:rsid w:val="17B26031"/>
    <w:rsid w:val="17BA9125"/>
    <w:rsid w:val="17DA358B"/>
    <w:rsid w:val="17E7B252"/>
    <w:rsid w:val="17F98429"/>
    <w:rsid w:val="18005927"/>
    <w:rsid w:val="180142E9"/>
    <w:rsid w:val="181978FF"/>
    <w:rsid w:val="18473F25"/>
    <w:rsid w:val="1852FB09"/>
    <w:rsid w:val="185DD9D0"/>
    <w:rsid w:val="18659019"/>
    <w:rsid w:val="18743001"/>
    <w:rsid w:val="188563B5"/>
    <w:rsid w:val="189AA51B"/>
    <w:rsid w:val="18AB7340"/>
    <w:rsid w:val="18BA6022"/>
    <w:rsid w:val="18EA4FF7"/>
    <w:rsid w:val="18F5A9AE"/>
    <w:rsid w:val="18FC9513"/>
    <w:rsid w:val="1903A605"/>
    <w:rsid w:val="1904ED0F"/>
    <w:rsid w:val="1921EC14"/>
    <w:rsid w:val="195A335E"/>
    <w:rsid w:val="195C9CCA"/>
    <w:rsid w:val="197BC92D"/>
    <w:rsid w:val="199A385E"/>
    <w:rsid w:val="19A097BF"/>
    <w:rsid w:val="19A47056"/>
    <w:rsid w:val="19A8597F"/>
    <w:rsid w:val="19B065E7"/>
    <w:rsid w:val="19D796EA"/>
    <w:rsid w:val="19F6C9C7"/>
    <w:rsid w:val="19FAF8B6"/>
    <w:rsid w:val="1A07001D"/>
    <w:rsid w:val="1A0E8E8C"/>
    <w:rsid w:val="1A1ADD90"/>
    <w:rsid w:val="1A40CC1D"/>
    <w:rsid w:val="1A473646"/>
    <w:rsid w:val="1A562595"/>
    <w:rsid w:val="1A6C75EF"/>
    <w:rsid w:val="1A8A5007"/>
    <w:rsid w:val="1AB9C476"/>
    <w:rsid w:val="1AFEC154"/>
    <w:rsid w:val="1B03A059"/>
    <w:rsid w:val="1B085B25"/>
    <w:rsid w:val="1B0DB5FB"/>
    <w:rsid w:val="1B30628C"/>
    <w:rsid w:val="1B93C760"/>
    <w:rsid w:val="1BAB116D"/>
    <w:rsid w:val="1BBE0806"/>
    <w:rsid w:val="1BCCE97B"/>
    <w:rsid w:val="1BD0DEC1"/>
    <w:rsid w:val="1BD53906"/>
    <w:rsid w:val="1BD887B6"/>
    <w:rsid w:val="1BEFA2BE"/>
    <w:rsid w:val="1C087DA5"/>
    <w:rsid w:val="1C21A402"/>
    <w:rsid w:val="1C376F29"/>
    <w:rsid w:val="1C7CB81A"/>
    <w:rsid w:val="1C85E289"/>
    <w:rsid w:val="1C89315F"/>
    <w:rsid w:val="1C9687B7"/>
    <w:rsid w:val="1CB5B4B7"/>
    <w:rsid w:val="1CBBD952"/>
    <w:rsid w:val="1CBFBFBE"/>
    <w:rsid w:val="1CCFCC69"/>
    <w:rsid w:val="1D06F102"/>
    <w:rsid w:val="1D217993"/>
    <w:rsid w:val="1D3D191D"/>
    <w:rsid w:val="1D4302CE"/>
    <w:rsid w:val="1D43C493"/>
    <w:rsid w:val="1D46D6AE"/>
    <w:rsid w:val="1D4A8098"/>
    <w:rsid w:val="1D57479E"/>
    <w:rsid w:val="1D80BAC3"/>
    <w:rsid w:val="1D8A50C7"/>
    <w:rsid w:val="1D8F2731"/>
    <w:rsid w:val="1DA058C8"/>
    <w:rsid w:val="1DA5E488"/>
    <w:rsid w:val="1DA9FAFC"/>
    <w:rsid w:val="1DBAD745"/>
    <w:rsid w:val="1DCA2AF8"/>
    <w:rsid w:val="1DCC80B4"/>
    <w:rsid w:val="1DF2CBA7"/>
    <w:rsid w:val="1DF9C98A"/>
    <w:rsid w:val="1E127274"/>
    <w:rsid w:val="1E2C9761"/>
    <w:rsid w:val="1E3218CB"/>
    <w:rsid w:val="1E513470"/>
    <w:rsid w:val="1E587BF5"/>
    <w:rsid w:val="1E82A187"/>
    <w:rsid w:val="1E84A1C6"/>
    <w:rsid w:val="1E87F800"/>
    <w:rsid w:val="1ECB2155"/>
    <w:rsid w:val="1ED76536"/>
    <w:rsid w:val="1EE12C4B"/>
    <w:rsid w:val="1F01BB0A"/>
    <w:rsid w:val="1F0E0F22"/>
    <w:rsid w:val="1F2859D7"/>
    <w:rsid w:val="1F36E4C6"/>
    <w:rsid w:val="1F450645"/>
    <w:rsid w:val="1F47A8FA"/>
    <w:rsid w:val="1F5D6281"/>
    <w:rsid w:val="1F82E676"/>
    <w:rsid w:val="1FABEF84"/>
    <w:rsid w:val="1FAE1B6F"/>
    <w:rsid w:val="1FB073B0"/>
    <w:rsid w:val="1FB2620A"/>
    <w:rsid w:val="1FCBAB37"/>
    <w:rsid w:val="1FCC4A3E"/>
    <w:rsid w:val="1FFAFFE3"/>
    <w:rsid w:val="20344A02"/>
    <w:rsid w:val="20361470"/>
    <w:rsid w:val="204A9DFC"/>
    <w:rsid w:val="204DBD67"/>
    <w:rsid w:val="2082170D"/>
    <w:rsid w:val="208D8BC4"/>
    <w:rsid w:val="209C53E4"/>
    <w:rsid w:val="20A0C69C"/>
    <w:rsid w:val="20D661BC"/>
    <w:rsid w:val="20EF4877"/>
    <w:rsid w:val="2116107A"/>
    <w:rsid w:val="2119C5D5"/>
    <w:rsid w:val="212FBD43"/>
    <w:rsid w:val="214BEDCC"/>
    <w:rsid w:val="214E1A94"/>
    <w:rsid w:val="2171AE36"/>
    <w:rsid w:val="21AA7999"/>
    <w:rsid w:val="21CB014D"/>
    <w:rsid w:val="2219368A"/>
    <w:rsid w:val="222BA2C9"/>
    <w:rsid w:val="22386CFE"/>
    <w:rsid w:val="2267A88C"/>
    <w:rsid w:val="2283B936"/>
    <w:rsid w:val="229FCB26"/>
    <w:rsid w:val="22A449FE"/>
    <w:rsid w:val="22A59D8F"/>
    <w:rsid w:val="22AB0DD7"/>
    <w:rsid w:val="22B35A1D"/>
    <w:rsid w:val="235AD0C7"/>
    <w:rsid w:val="23641680"/>
    <w:rsid w:val="239454BC"/>
    <w:rsid w:val="239CCC85"/>
    <w:rsid w:val="23A2FCBE"/>
    <w:rsid w:val="23B6D84A"/>
    <w:rsid w:val="23B809EB"/>
    <w:rsid w:val="23C926EE"/>
    <w:rsid w:val="23CCF5EC"/>
    <w:rsid w:val="24150694"/>
    <w:rsid w:val="242D5E1B"/>
    <w:rsid w:val="243BDE21"/>
    <w:rsid w:val="2454FCF3"/>
    <w:rsid w:val="2456F650"/>
    <w:rsid w:val="24639D27"/>
    <w:rsid w:val="24790451"/>
    <w:rsid w:val="248F06A9"/>
    <w:rsid w:val="24BC7620"/>
    <w:rsid w:val="24DFD4B2"/>
    <w:rsid w:val="2510A2AB"/>
    <w:rsid w:val="25221261"/>
    <w:rsid w:val="252BD0F7"/>
    <w:rsid w:val="254167D0"/>
    <w:rsid w:val="2556B14E"/>
    <w:rsid w:val="25585AA8"/>
    <w:rsid w:val="255B3B56"/>
    <w:rsid w:val="2577FFC0"/>
    <w:rsid w:val="25B7E36C"/>
    <w:rsid w:val="25DBB76E"/>
    <w:rsid w:val="25E28091"/>
    <w:rsid w:val="25F43E38"/>
    <w:rsid w:val="260FD78F"/>
    <w:rsid w:val="26580974"/>
    <w:rsid w:val="267ABC66"/>
    <w:rsid w:val="268ECCA6"/>
    <w:rsid w:val="26A9D8D8"/>
    <w:rsid w:val="26B2A715"/>
    <w:rsid w:val="2714A454"/>
    <w:rsid w:val="273E7AAE"/>
    <w:rsid w:val="274D621D"/>
    <w:rsid w:val="279963B6"/>
    <w:rsid w:val="27BEF49A"/>
    <w:rsid w:val="27C73962"/>
    <w:rsid w:val="27E50F98"/>
    <w:rsid w:val="27FAB2AE"/>
    <w:rsid w:val="282C9C4B"/>
    <w:rsid w:val="2878B6AE"/>
    <w:rsid w:val="28924BE2"/>
    <w:rsid w:val="28A9E700"/>
    <w:rsid w:val="28C7B1A4"/>
    <w:rsid w:val="28D684A6"/>
    <w:rsid w:val="28D95487"/>
    <w:rsid w:val="28EE4EC2"/>
    <w:rsid w:val="29178809"/>
    <w:rsid w:val="29243BAB"/>
    <w:rsid w:val="2954987B"/>
    <w:rsid w:val="2956A12B"/>
    <w:rsid w:val="295D9B79"/>
    <w:rsid w:val="296F0B23"/>
    <w:rsid w:val="29B5E3D9"/>
    <w:rsid w:val="29DBB88C"/>
    <w:rsid w:val="29DC9D65"/>
    <w:rsid w:val="2A046298"/>
    <w:rsid w:val="2A0C0F0F"/>
    <w:rsid w:val="2A1BC1E3"/>
    <w:rsid w:val="2A5668FA"/>
    <w:rsid w:val="2A87E19A"/>
    <w:rsid w:val="2A95C2CE"/>
    <w:rsid w:val="2AA26310"/>
    <w:rsid w:val="2B282BD6"/>
    <w:rsid w:val="2B29A404"/>
    <w:rsid w:val="2B2EBA25"/>
    <w:rsid w:val="2B31389B"/>
    <w:rsid w:val="2B4DE8A9"/>
    <w:rsid w:val="2B573359"/>
    <w:rsid w:val="2B6D8959"/>
    <w:rsid w:val="2B89A98F"/>
    <w:rsid w:val="2BBC36D6"/>
    <w:rsid w:val="2BDD151B"/>
    <w:rsid w:val="2BDEB851"/>
    <w:rsid w:val="2BE8FA91"/>
    <w:rsid w:val="2BEF4F2A"/>
    <w:rsid w:val="2BF644A7"/>
    <w:rsid w:val="2C0DB2E3"/>
    <w:rsid w:val="2C7E0CAA"/>
    <w:rsid w:val="2CC69E30"/>
    <w:rsid w:val="2CE01846"/>
    <w:rsid w:val="2D113273"/>
    <w:rsid w:val="2D14F9BB"/>
    <w:rsid w:val="2D18A7F3"/>
    <w:rsid w:val="2D3E8158"/>
    <w:rsid w:val="2D6A4534"/>
    <w:rsid w:val="2D7AB843"/>
    <w:rsid w:val="2DA31742"/>
    <w:rsid w:val="2DA419C8"/>
    <w:rsid w:val="2DABC710"/>
    <w:rsid w:val="2DAD454E"/>
    <w:rsid w:val="2DB1BBFE"/>
    <w:rsid w:val="2DCB6B2E"/>
    <w:rsid w:val="2DD333D8"/>
    <w:rsid w:val="2DE9E525"/>
    <w:rsid w:val="2E29D99B"/>
    <w:rsid w:val="2E39685A"/>
    <w:rsid w:val="2E44FF39"/>
    <w:rsid w:val="2E459368"/>
    <w:rsid w:val="2E4677DC"/>
    <w:rsid w:val="2E485463"/>
    <w:rsid w:val="2E7611B7"/>
    <w:rsid w:val="2E8D35C5"/>
    <w:rsid w:val="2EA8B6CB"/>
    <w:rsid w:val="2EB1DF7A"/>
    <w:rsid w:val="2EC4C4AD"/>
    <w:rsid w:val="2EF57EF8"/>
    <w:rsid w:val="2F11328A"/>
    <w:rsid w:val="2F321979"/>
    <w:rsid w:val="2F333C42"/>
    <w:rsid w:val="2F3EC9B5"/>
    <w:rsid w:val="2F508195"/>
    <w:rsid w:val="2F7FFC1C"/>
    <w:rsid w:val="2FC9F3C7"/>
    <w:rsid w:val="2FEB94C1"/>
    <w:rsid w:val="30055A4E"/>
    <w:rsid w:val="3006BEA9"/>
    <w:rsid w:val="301B8637"/>
    <w:rsid w:val="3036F7BF"/>
    <w:rsid w:val="30471E12"/>
    <w:rsid w:val="30563E83"/>
    <w:rsid w:val="3063B9DE"/>
    <w:rsid w:val="3073D7FC"/>
    <w:rsid w:val="309BFB50"/>
    <w:rsid w:val="30A185D9"/>
    <w:rsid w:val="30A8DADB"/>
    <w:rsid w:val="31156C29"/>
    <w:rsid w:val="31163C84"/>
    <w:rsid w:val="3142D3B3"/>
    <w:rsid w:val="314DFC99"/>
    <w:rsid w:val="3152E715"/>
    <w:rsid w:val="3161A9FB"/>
    <w:rsid w:val="3168E466"/>
    <w:rsid w:val="3169916B"/>
    <w:rsid w:val="31770067"/>
    <w:rsid w:val="31A2B2B5"/>
    <w:rsid w:val="31B51D7A"/>
    <w:rsid w:val="31C0671C"/>
    <w:rsid w:val="31DB8780"/>
    <w:rsid w:val="31E4AFCE"/>
    <w:rsid w:val="31EFF327"/>
    <w:rsid w:val="32075DEA"/>
    <w:rsid w:val="32136439"/>
    <w:rsid w:val="321B36B2"/>
    <w:rsid w:val="321CB6F7"/>
    <w:rsid w:val="3223C8A5"/>
    <w:rsid w:val="322CB128"/>
    <w:rsid w:val="32341B88"/>
    <w:rsid w:val="325BDBD9"/>
    <w:rsid w:val="3284D158"/>
    <w:rsid w:val="3297CBBF"/>
    <w:rsid w:val="32A52F67"/>
    <w:rsid w:val="32C3FC6C"/>
    <w:rsid w:val="32C71A9B"/>
    <w:rsid w:val="32D74319"/>
    <w:rsid w:val="33019B45"/>
    <w:rsid w:val="3301C38C"/>
    <w:rsid w:val="330AC621"/>
    <w:rsid w:val="3317D4A8"/>
    <w:rsid w:val="331A4038"/>
    <w:rsid w:val="337F5FF3"/>
    <w:rsid w:val="33910B72"/>
    <w:rsid w:val="33C36540"/>
    <w:rsid w:val="33D3DDDC"/>
    <w:rsid w:val="33DC88B8"/>
    <w:rsid w:val="33E94CCA"/>
    <w:rsid w:val="3402822E"/>
    <w:rsid w:val="34070F80"/>
    <w:rsid w:val="3410CE4C"/>
    <w:rsid w:val="341A3F76"/>
    <w:rsid w:val="3421406E"/>
    <w:rsid w:val="342CB890"/>
    <w:rsid w:val="3435E753"/>
    <w:rsid w:val="34363F57"/>
    <w:rsid w:val="344B41F8"/>
    <w:rsid w:val="347ACD48"/>
    <w:rsid w:val="3488C2F5"/>
    <w:rsid w:val="34D0B8F3"/>
    <w:rsid w:val="34D1E643"/>
    <w:rsid w:val="3504D243"/>
    <w:rsid w:val="3505C5A4"/>
    <w:rsid w:val="350F30F0"/>
    <w:rsid w:val="3518E565"/>
    <w:rsid w:val="352356A3"/>
    <w:rsid w:val="3527EE5B"/>
    <w:rsid w:val="3528B077"/>
    <w:rsid w:val="352FD724"/>
    <w:rsid w:val="35423300"/>
    <w:rsid w:val="357B7042"/>
    <w:rsid w:val="35A7D06A"/>
    <w:rsid w:val="35AE4CE0"/>
    <w:rsid w:val="35B3ADD9"/>
    <w:rsid w:val="35C4B1B0"/>
    <w:rsid w:val="35C584A7"/>
    <w:rsid w:val="35DCC3DE"/>
    <w:rsid w:val="35F30A93"/>
    <w:rsid w:val="3603DCDD"/>
    <w:rsid w:val="36050460"/>
    <w:rsid w:val="360CE066"/>
    <w:rsid w:val="3614CA12"/>
    <w:rsid w:val="361F681A"/>
    <w:rsid w:val="363266EE"/>
    <w:rsid w:val="364281A4"/>
    <w:rsid w:val="36469904"/>
    <w:rsid w:val="364A9C17"/>
    <w:rsid w:val="365A2D7C"/>
    <w:rsid w:val="3693F9C9"/>
    <w:rsid w:val="36990A30"/>
    <w:rsid w:val="36A03EF0"/>
    <w:rsid w:val="36C9196D"/>
    <w:rsid w:val="36CA45D1"/>
    <w:rsid w:val="36DF5BE9"/>
    <w:rsid w:val="372FEF32"/>
    <w:rsid w:val="3744748B"/>
    <w:rsid w:val="374CC78A"/>
    <w:rsid w:val="375EC60D"/>
    <w:rsid w:val="3765019D"/>
    <w:rsid w:val="376D9FA5"/>
    <w:rsid w:val="376EC3CE"/>
    <w:rsid w:val="3776BFD2"/>
    <w:rsid w:val="3776E466"/>
    <w:rsid w:val="37A8DE12"/>
    <w:rsid w:val="37DE491F"/>
    <w:rsid w:val="37FC89F1"/>
    <w:rsid w:val="383D8EF1"/>
    <w:rsid w:val="385C9946"/>
    <w:rsid w:val="3861345B"/>
    <w:rsid w:val="386A0880"/>
    <w:rsid w:val="388202A8"/>
    <w:rsid w:val="389E2F1F"/>
    <w:rsid w:val="38AB0CA8"/>
    <w:rsid w:val="38AD56DF"/>
    <w:rsid w:val="38B36102"/>
    <w:rsid w:val="38B78D58"/>
    <w:rsid w:val="38F33727"/>
    <w:rsid w:val="3901E08D"/>
    <w:rsid w:val="390F8406"/>
    <w:rsid w:val="39182F7A"/>
    <w:rsid w:val="393203C0"/>
    <w:rsid w:val="3995144F"/>
    <w:rsid w:val="39999FCA"/>
    <w:rsid w:val="39EC441B"/>
    <w:rsid w:val="39EE9904"/>
    <w:rsid w:val="3A08799D"/>
    <w:rsid w:val="3A196C59"/>
    <w:rsid w:val="3A578836"/>
    <w:rsid w:val="3A5DC4A1"/>
    <w:rsid w:val="3A8478A4"/>
    <w:rsid w:val="3A8A3FD4"/>
    <w:rsid w:val="3A8AB76C"/>
    <w:rsid w:val="3A8D9F32"/>
    <w:rsid w:val="3ACE1C96"/>
    <w:rsid w:val="3ADDF32A"/>
    <w:rsid w:val="3AEEF923"/>
    <w:rsid w:val="3B005E13"/>
    <w:rsid w:val="3B059282"/>
    <w:rsid w:val="3B1A56DD"/>
    <w:rsid w:val="3B3B2358"/>
    <w:rsid w:val="3B6EA027"/>
    <w:rsid w:val="3B8FE23B"/>
    <w:rsid w:val="3B98462F"/>
    <w:rsid w:val="3B995B9F"/>
    <w:rsid w:val="3B9AFA61"/>
    <w:rsid w:val="3BE7A741"/>
    <w:rsid w:val="3BEC1E35"/>
    <w:rsid w:val="3C20711B"/>
    <w:rsid w:val="3C60BDF1"/>
    <w:rsid w:val="3C87D82C"/>
    <w:rsid w:val="3CC00074"/>
    <w:rsid w:val="3CD70132"/>
    <w:rsid w:val="3CE6F488"/>
    <w:rsid w:val="3CEB31C0"/>
    <w:rsid w:val="3CF5BE35"/>
    <w:rsid w:val="3D2601C1"/>
    <w:rsid w:val="3D47CD76"/>
    <w:rsid w:val="3D64988D"/>
    <w:rsid w:val="3D784578"/>
    <w:rsid w:val="3D89A0A8"/>
    <w:rsid w:val="3DB4BDC0"/>
    <w:rsid w:val="3DE8252D"/>
    <w:rsid w:val="3DF598D5"/>
    <w:rsid w:val="3E3B4313"/>
    <w:rsid w:val="3E43F699"/>
    <w:rsid w:val="3E45F66D"/>
    <w:rsid w:val="3E60FE0D"/>
    <w:rsid w:val="3E78F4A3"/>
    <w:rsid w:val="3E797C09"/>
    <w:rsid w:val="3E84F977"/>
    <w:rsid w:val="3EA64D63"/>
    <w:rsid w:val="3EA9F2D5"/>
    <w:rsid w:val="3ECFBBA9"/>
    <w:rsid w:val="3F111372"/>
    <w:rsid w:val="3F395439"/>
    <w:rsid w:val="3F6F6B18"/>
    <w:rsid w:val="3F9F2D4B"/>
    <w:rsid w:val="3FA54498"/>
    <w:rsid w:val="3FB6DC93"/>
    <w:rsid w:val="3FBA1F37"/>
    <w:rsid w:val="3FF6B7A5"/>
    <w:rsid w:val="400ABBA0"/>
    <w:rsid w:val="4012C4B6"/>
    <w:rsid w:val="401FD753"/>
    <w:rsid w:val="4025D18C"/>
    <w:rsid w:val="4031A315"/>
    <w:rsid w:val="406DF79C"/>
    <w:rsid w:val="40798E0A"/>
    <w:rsid w:val="407F5EFA"/>
    <w:rsid w:val="40897DFA"/>
    <w:rsid w:val="40968BE4"/>
    <w:rsid w:val="40AA9D44"/>
    <w:rsid w:val="40B834F2"/>
    <w:rsid w:val="40BCE0E6"/>
    <w:rsid w:val="40BDB2D4"/>
    <w:rsid w:val="40C82036"/>
    <w:rsid w:val="41059549"/>
    <w:rsid w:val="41220066"/>
    <w:rsid w:val="413C6121"/>
    <w:rsid w:val="416C66EC"/>
    <w:rsid w:val="417718DF"/>
    <w:rsid w:val="41792865"/>
    <w:rsid w:val="4188E3A8"/>
    <w:rsid w:val="41BEB049"/>
    <w:rsid w:val="41C3F06C"/>
    <w:rsid w:val="41E1E049"/>
    <w:rsid w:val="41FED214"/>
    <w:rsid w:val="422E2A02"/>
    <w:rsid w:val="424558AF"/>
    <w:rsid w:val="4249A2E0"/>
    <w:rsid w:val="424A0A2E"/>
    <w:rsid w:val="4256510A"/>
    <w:rsid w:val="427227EF"/>
    <w:rsid w:val="428CD47A"/>
    <w:rsid w:val="42942C2C"/>
    <w:rsid w:val="4299CD38"/>
    <w:rsid w:val="42A08150"/>
    <w:rsid w:val="42A5D336"/>
    <w:rsid w:val="42B8FDF1"/>
    <w:rsid w:val="42CE44C4"/>
    <w:rsid w:val="42D3748B"/>
    <w:rsid w:val="42DB61A6"/>
    <w:rsid w:val="43032626"/>
    <w:rsid w:val="430B9E63"/>
    <w:rsid w:val="430F8452"/>
    <w:rsid w:val="431CE4A1"/>
    <w:rsid w:val="431E40EE"/>
    <w:rsid w:val="433F8320"/>
    <w:rsid w:val="43441BB9"/>
    <w:rsid w:val="434BC2FC"/>
    <w:rsid w:val="435AD6AF"/>
    <w:rsid w:val="435FAE14"/>
    <w:rsid w:val="437318F5"/>
    <w:rsid w:val="4375A3AB"/>
    <w:rsid w:val="43826153"/>
    <w:rsid w:val="43881A62"/>
    <w:rsid w:val="43898915"/>
    <w:rsid w:val="439DBDB8"/>
    <w:rsid w:val="43B5A72E"/>
    <w:rsid w:val="43CF064A"/>
    <w:rsid w:val="43FDDFF7"/>
    <w:rsid w:val="44196A64"/>
    <w:rsid w:val="442EB7EE"/>
    <w:rsid w:val="4461A167"/>
    <w:rsid w:val="44622050"/>
    <w:rsid w:val="4462BD71"/>
    <w:rsid w:val="446FA3C5"/>
    <w:rsid w:val="448E8A8A"/>
    <w:rsid w:val="44A4E047"/>
    <w:rsid w:val="44B2B4B2"/>
    <w:rsid w:val="44B93D06"/>
    <w:rsid w:val="44CBFBB8"/>
    <w:rsid w:val="44F7612B"/>
    <w:rsid w:val="451955EF"/>
    <w:rsid w:val="455A8DB6"/>
    <w:rsid w:val="457A7A66"/>
    <w:rsid w:val="45850F8C"/>
    <w:rsid w:val="45A1F61E"/>
    <w:rsid w:val="45BE3D77"/>
    <w:rsid w:val="45CAD3F4"/>
    <w:rsid w:val="45FCBE8E"/>
    <w:rsid w:val="4602D88D"/>
    <w:rsid w:val="4606CDCF"/>
    <w:rsid w:val="460A9959"/>
    <w:rsid w:val="46286D17"/>
    <w:rsid w:val="46347F09"/>
    <w:rsid w:val="466C652B"/>
    <w:rsid w:val="466F2365"/>
    <w:rsid w:val="467CB2D8"/>
    <w:rsid w:val="46A179D8"/>
    <w:rsid w:val="46A6159B"/>
    <w:rsid w:val="46AC4051"/>
    <w:rsid w:val="46CCCBCC"/>
    <w:rsid w:val="46FC618C"/>
    <w:rsid w:val="4704F279"/>
    <w:rsid w:val="4706E2D4"/>
    <w:rsid w:val="47175C44"/>
    <w:rsid w:val="47262530"/>
    <w:rsid w:val="47521F28"/>
    <w:rsid w:val="475F028E"/>
    <w:rsid w:val="4769CF29"/>
    <w:rsid w:val="476A5BAD"/>
    <w:rsid w:val="477E8BCA"/>
    <w:rsid w:val="4797C09A"/>
    <w:rsid w:val="47BCBCE9"/>
    <w:rsid w:val="47C256A9"/>
    <w:rsid w:val="47CA5A0D"/>
    <w:rsid w:val="47E926A8"/>
    <w:rsid w:val="47FB75A1"/>
    <w:rsid w:val="48061F70"/>
    <w:rsid w:val="480F9669"/>
    <w:rsid w:val="48109B85"/>
    <w:rsid w:val="48453602"/>
    <w:rsid w:val="4873FEA0"/>
    <w:rsid w:val="4881D749"/>
    <w:rsid w:val="48839FBE"/>
    <w:rsid w:val="489DE010"/>
    <w:rsid w:val="489FD963"/>
    <w:rsid w:val="48AD9B93"/>
    <w:rsid w:val="48B2C42E"/>
    <w:rsid w:val="48D80F06"/>
    <w:rsid w:val="48DDA938"/>
    <w:rsid w:val="48EAB621"/>
    <w:rsid w:val="48F158F3"/>
    <w:rsid w:val="48F46861"/>
    <w:rsid w:val="491A6C23"/>
    <w:rsid w:val="491B901F"/>
    <w:rsid w:val="492B89BD"/>
    <w:rsid w:val="4935510D"/>
    <w:rsid w:val="4958FB34"/>
    <w:rsid w:val="496BF272"/>
    <w:rsid w:val="497B1B3D"/>
    <w:rsid w:val="497D4D2B"/>
    <w:rsid w:val="497DD43A"/>
    <w:rsid w:val="498172AC"/>
    <w:rsid w:val="4990F67C"/>
    <w:rsid w:val="499C1196"/>
    <w:rsid w:val="49BAA1CE"/>
    <w:rsid w:val="49E16EF0"/>
    <w:rsid w:val="49F0363D"/>
    <w:rsid w:val="4A534F85"/>
    <w:rsid w:val="4A53CA2D"/>
    <w:rsid w:val="4A5C2A95"/>
    <w:rsid w:val="4A7D0218"/>
    <w:rsid w:val="4AA6DEF3"/>
    <w:rsid w:val="4AA9A205"/>
    <w:rsid w:val="4ABCDE8E"/>
    <w:rsid w:val="4ACA957F"/>
    <w:rsid w:val="4AF2BCBC"/>
    <w:rsid w:val="4B2D88D4"/>
    <w:rsid w:val="4B3AA2AB"/>
    <w:rsid w:val="4B5C5A3D"/>
    <w:rsid w:val="4B84658C"/>
    <w:rsid w:val="4BB0855D"/>
    <w:rsid w:val="4BB90B4D"/>
    <w:rsid w:val="4BCBEEA9"/>
    <w:rsid w:val="4C131A55"/>
    <w:rsid w:val="4C26F26E"/>
    <w:rsid w:val="4C27740D"/>
    <w:rsid w:val="4C300F2D"/>
    <w:rsid w:val="4C35CB5B"/>
    <w:rsid w:val="4C39D4A1"/>
    <w:rsid w:val="4C46D01E"/>
    <w:rsid w:val="4C6B502E"/>
    <w:rsid w:val="4C7C6D82"/>
    <w:rsid w:val="4CAF10C6"/>
    <w:rsid w:val="4CB67C5F"/>
    <w:rsid w:val="4CBA06E5"/>
    <w:rsid w:val="4CC32F80"/>
    <w:rsid w:val="4CC4D373"/>
    <w:rsid w:val="4CC5654F"/>
    <w:rsid w:val="4CDE486B"/>
    <w:rsid w:val="4CFC5727"/>
    <w:rsid w:val="4D0228C8"/>
    <w:rsid w:val="4D04D683"/>
    <w:rsid w:val="4D060703"/>
    <w:rsid w:val="4D1792A3"/>
    <w:rsid w:val="4D7969CB"/>
    <w:rsid w:val="4D8AF66B"/>
    <w:rsid w:val="4DC913E0"/>
    <w:rsid w:val="4DD90A2E"/>
    <w:rsid w:val="4DE131AC"/>
    <w:rsid w:val="4ECD2386"/>
    <w:rsid w:val="4EDA4BD7"/>
    <w:rsid w:val="4EDA4FEB"/>
    <w:rsid w:val="4EECE38E"/>
    <w:rsid w:val="4F1C3A4F"/>
    <w:rsid w:val="4F2DF070"/>
    <w:rsid w:val="4F40AFBD"/>
    <w:rsid w:val="4F497C56"/>
    <w:rsid w:val="4F59C32A"/>
    <w:rsid w:val="4F646825"/>
    <w:rsid w:val="4FA05439"/>
    <w:rsid w:val="4FA59758"/>
    <w:rsid w:val="4FB1155C"/>
    <w:rsid w:val="4FB91E0F"/>
    <w:rsid w:val="4FE3A84F"/>
    <w:rsid w:val="4FF522E9"/>
    <w:rsid w:val="50027C82"/>
    <w:rsid w:val="50086DD3"/>
    <w:rsid w:val="5016F435"/>
    <w:rsid w:val="506C8321"/>
    <w:rsid w:val="5071A46C"/>
    <w:rsid w:val="50768C1B"/>
    <w:rsid w:val="507F31D6"/>
    <w:rsid w:val="508A7918"/>
    <w:rsid w:val="509109F8"/>
    <w:rsid w:val="50A129C7"/>
    <w:rsid w:val="50B0B105"/>
    <w:rsid w:val="50B97BEA"/>
    <w:rsid w:val="50BD8261"/>
    <w:rsid w:val="50CC0BA1"/>
    <w:rsid w:val="50E50298"/>
    <w:rsid w:val="50EB8935"/>
    <w:rsid w:val="5125F1F1"/>
    <w:rsid w:val="5126A065"/>
    <w:rsid w:val="512768E3"/>
    <w:rsid w:val="512E62B7"/>
    <w:rsid w:val="513BD101"/>
    <w:rsid w:val="5158C19B"/>
    <w:rsid w:val="515CC1D3"/>
    <w:rsid w:val="517D6DA9"/>
    <w:rsid w:val="517DDA35"/>
    <w:rsid w:val="518B5410"/>
    <w:rsid w:val="51A86A03"/>
    <w:rsid w:val="51AC8785"/>
    <w:rsid w:val="5210BEA0"/>
    <w:rsid w:val="5213277B"/>
    <w:rsid w:val="522429FD"/>
    <w:rsid w:val="52329242"/>
    <w:rsid w:val="523E922A"/>
    <w:rsid w:val="526F8AD4"/>
    <w:rsid w:val="527304F0"/>
    <w:rsid w:val="527C7DD1"/>
    <w:rsid w:val="52AD806D"/>
    <w:rsid w:val="52B5F91E"/>
    <w:rsid w:val="52BF3FF2"/>
    <w:rsid w:val="52DDF466"/>
    <w:rsid w:val="52EDB769"/>
    <w:rsid w:val="5301C7DB"/>
    <w:rsid w:val="5309D96E"/>
    <w:rsid w:val="534D6172"/>
    <w:rsid w:val="534E97D8"/>
    <w:rsid w:val="535EE355"/>
    <w:rsid w:val="536466A4"/>
    <w:rsid w:val="53652A1A"/>
    <w:rsid w:val="53692B17"/>
    <w:rsid w:val="53850006"/>
    <w:rsid w:val="53AEF9A1"/>
    <w:rsid w:val="53B5744B"/>
    <w:rsid w:val="53B6EDD1"/>
    <w:rsid w:val="53ED87DC"/>
    <w:rsid w:val="5409C4EB"/>
    <w:rsid w:val="5423346C"/>
    <w:rsid w:val="54313A5C"/>
    <w:rsid w:val="54AC3E61"/>
    <w:rsid w:val="54B0B9FB"/>
    <w:rsid w:val="54D3D7CC"/>
    <w:rsid w:val="54DB1A97"/>
    <w:rsid w:val="54DBAFDC"/>
    <w:rsid w:val="54E416A0"/>
    <w:rsid w:val="54E75222"/>
    <w:rsid w:val="5529BD95"/>
    <w:rsid w:val="553E5B17"/>
    <w:rsid w:val="5568B130"/>
    <w:rsid w:val="557A3765"/>
    <w:rsid w:val="5584779D"/>
    <w:rsid w:val="558B1AD2"/>
    <w:rsid w:val="55A192F4"/>
    <w:rsid w:val="55C21834"/>
    <w:rsid w:val="55C95ED1"/>
    <w:rsid w:val="55E9A3D2"/>
    <w:rsid w:val="5614BE9A"/>
    <w:rsid w:val="56197CA5"/>
    <w:rsid w:val="5624EE89"/>
    <w:rsid w:val="5645D09E"/>
    <w:rsid w:val="5657FEBD"/>
    <w:rsid w:val="568AF8EF"/>
    <w:rsid w:val="56B196D9"/>
    <w:rsid w:val="56C4C002"/>
    <w:rsid w:val="56D44EDD"/>
    <w:rsid w:val="56FC955B"/>
    <w:rsid w:val="57044A1E"/>
    <w:rsid w:val="570D195A"/>
    <w:rsid w:val="570DCF31"/>
    <w:rsid w:val="57217CBF"/>
    <w:rsid w:val="573C719A"/>
    <w:rsid w:val="573FE6D6"/>
    <w:rsid w:val="575DDB2A"/>
    <w:rsid w:val="5797853F"/>
    <w:rsid w:val="57A84AE9"/>
    <w:rsid w:val="57BC4D34"/>
    <w:rsid w:val="57CD4404"/>
    <w:rsid w:val="57EE7B7A"/>
    <w:rsid w:val="57F57314"/>
    <w:rsid w:val="5804CB6B"/>
    <w:rsid w:val="58415265"/>
    <w:rsid w:val="5861C915"/>
    <w:rsid w:val="588556E7"/>
    <w:rsid w:val="58A90D7F"/>
    <w:rsid w:val="5902DF6B"/>
    <w:rsid w:val="590D18BA"/>
    <w:rsid w:val="590FCDD5"/>
    <w:rsid w:val="593777FF"/>
    <w:rsid w:val="593B1431"/>
    <w:rsid w:val="5975BFD1"/>
    <w:rsid w:val="59955F13"/>
    <w:rsid w:val="59BCA37D"/>
    <w:rsid w:val="59CE648B"/>
    <w:rsid w:val="59E8ECB0"/>
    <w:rsid w:val="5A0D7666"/>
    <w:rsid w:val="5A20B8D8"/>
    <w:rsid w:val="5A27CB44"/>
    <w:rsid w:val="5A33B30E"/>
    <w:rsid w:val="5A3B2469"/>
    <w:rsid w:val="5A3C3C01"/>
    <w:rsid w:val="5A3CF97F"/>
    <w:rsid w:val="5A473F2D"/>
    <w:rsid w:val="5A6A34F2"/>
    <w:rsid w:val="5A73EBA0"/>
    <w:rsid w:val="5A856717"/>
    <w:rsid w:val="5A9AC85C"/>
    <w:rsid w:val="5AB5281A"/>
    <w:rsid w:val="5ABC247D"/>
    <w:rsid w:val="5AC14F99"/>
    <w:rsid w:val="5AD81108"/>
    <w:rsid w:val="5AEBE3CE"/>
    <w:rsid w:val="5AEE02D3"/>
    <w:rsid w:val="5B4B6B3B"/>
    <w:rsid w:val="5B9D57B9"/>
    <w:rsid w:val="5BC34002"/>
    <w:rsid w:val="5BD68FD5"/>
    <w:rsid w:val="5BEAF700"/>
    <w:rsid w:val="5C2C9309"/>
    <w:rsid w:val="5C2CFCAA"/>
    <w:rsid w:val="5C4FAE2F"/>
    <w:rsid w:val="5C70BF55"/>
    <w:rsid w:val="5C9CDA42"/>
    <w:rsid w:val="5CA106BB"/>
    <w:rsid w:val="5CA440B0"/>
    <w:rsid w:val="5CD12B53"/>
    <w:rsid w:val="5CEDF716"/>
    <w:rsid w:val="5CF8C235"/>
    <w:rsid w:val="5CFE6C1A"/>
    <w:rsid w:val="5D0D9926"/>
    <w:rsid w:val="5D25295B"/>
    <w:rsid w:val="5D289A36"/>
    <w:rsid w:val="5D2D6F1D"/>
    <w:rsid w:val="5D5F429D"/>
    <w:rsid w:val="5D7BC911"/>
    <w:rsid w:val="5D809824"/>
    <w:rsid w:val="5D8AF9C7"/>
    <w:rsid w:val="5D91100D"/>
    <w:rsid w:val="5DB64F12"/>
    <w:rsid w:val="5DBD09BA"/>
    <w:rsid w:val="5DBE50A6"/>
    <w:rsid w:val="5DC649DC"/>
    <w:rsid w:val="5DF21B5E"/>
    <w:rsid w:val="5DFD0D69"/>
    <w:rsid w:val="5E22A638"/>
    <w:rsid w:val="5E2AE2F8"/>
    <w:rsid w:val="5E320A7D"/>
    <w:rsid w:val="5E347229"/>
    <w:rsid w:val="5E53B848"/>
    <w:rsid w:val="5E6F071B"/>
    <w:rsid w:val="5E7747AC"/>
    <w:rsid w:val="5E998A9F"/>
    <w:rsid w:val="5E9A44F4"/>
    <w:rsid w:val="5EC9C78F"/>
    <w:rsid w:val="5EEFA1AB"/>
    <w:rsid w:val="5F35346F"/>
    <w:rsid w:val="5F61C908"/>
    <w:rsid w:val="5F61D67A"/>
    <w:rsid w:val="5F8890AD"/>
    <w:rsid w:val="5FB7D578"/>
    <w:rsid w:val="5FD2C258"/>
    <w:rsid w:val="5FE205D0"/>
    <w:rsid w:val="5FE4FF8C"/>
    <w:rsid w:val="60177D79"/>
    <w:rsid w:val="60190FC5"/>
    <w:rsid w:val="601B0B43"/>
    <w:rsid w:val="602EDC57"/>
    <w:rsid w:val="60368D87"/>
    <w:rsid w:val="60436DCE"/>
    <w:rsid w:val="6058CDAA"/>
    <w:rsid w:val="6060B5D7"/>
    <w:rsid w:val="6060E0CC"/>
    <w:rsid w:val="60620418"/>
    <w:rsid w:val="60941B8E"/>
    <w:rsid w:val="6098A2E4"/>
    <w:rsid w:val="60A9EDCA"/>
    <w:rsid w:val="60B81476"/>
    <w:rsid w:val="60C25467"/>
    <w:rsid w:val="60F91B4D"/>
    <w:rsid w:val="611BA7DA"/>
    <w:rsid w:val="6130FD50"/>
    <w:rsid w:val="613BCE4D"/>
    <w:rsid w:val="61632709"/>
    <w:rsid w:val="61896AF6"/>
    <w:rsid w:val="61ADAD35"/>
    <w:rsid w:val="61BB3076"/>
    <w:rsid w:val="61C16041"/>
    <w:rsid w:val="61DDD03C"/>
    <w:rsid w:val="61F7F14D"/>
    <w:rsid w:val="61FCBDE4"/>
    <w:rsid w:val="62061B4F"/>
    <w:rsid w:val="6217E150"/>
    <w:rsid w:val="6221F557"/>
    <w:rsid w:val="623C3959"/>
    <w:rsid w:val="623CB10A"/>
    <w:rsid w:val="624BC8DF"/>
    <w:rsid w:val="6268B952"/>
    <w:rsid w:val="6298D4FC"/>
    <w:rsid w:val="62A3AEF3"/>
    <w:rsid w:val="62A66DE0"/>
    <w:rsid w:val="62BDC3EF"/>
    <w:rsid w:val="62D3715D"/>
    <w:rsid w:val="63119436"/>
    <w:rsid w:val="6322C858"/>
    <w:rsid w:val="63342B2F"/>
    <w:rsid w:val="633DFB3D"/>
    <w:rsid w:val="6356C74A"/>
    <w:rsid w:val="63854216"/>
    <w:rsid w:val="63D6E200"/>
    <w:rsid w:val="63DB3269"/>
    <w:rsid w:val="63DE567D"/>
    <w:rsid w:val="63FC6055"/>
    <w:rsid w:val="640F03A0"/>
    <w:rsid w:val="641432F0"/>
    <w:rsid w:val="64268DC7"/>
    <w:rsid w:val="6426A7FB"/>
    <w:rsid w:val="644E55F1"/>
    <w:rsid w:val="64607FD5"/>
    <w:rsid w:val="64726E70"/>
    <w:rsid w:val="64821372"/>
    <w:rsid w:val="6499093D"/>
    <w:rsid w:val="64BF057C"/>
    <w:rsid w:val="64C05FD3"/>
    <w:rsid w:val="64C0B90C"/>
    <w:rsid w:val="64C9DBCA"/>
    <w:rsid w:val="64D9E9C3"/>
    <w:rsid w:val="64E1C978"/>
    <w:rsid w:val="64F37838"/>
    <w:rsid w:val="6502FC3A"/>
    <w:rsid w:val="652F9730"/>
    <w:rsid w:val="65332F95"/>
    <w:rsid w:val="653A926A"/>
    <w:rsid w:val="6543CE67"/>
    <w:rsid w:val="65501041"/>
    <w:rsid w:val="656432F0"/>
    <w:rsid w:val="657D909B"/>
    <w:rsid w:val="658B5B5A"/>
    <w:rsid w:val="65B7A3D7"/>
    <w:rsid w:val="65DC4553"/>
    <w:rsid w:val="660B9D78"/>
    <w:rsid w:val="6617F675"/>
    <w:rsid w:val="667A61DE"/>
    <w:rsid w:val="6687FE8D"/>
    <w:rsid w:val="668D6164"/>
    <w:rsid w:val="669B255F"/>
    <w:rsid w:val="66A24F48"/>
    <w:rsid w:val="66A741FD"/>
    <w:rsid w:val="66AB05D5"/>
    <w:rsid w:val="67339B32"/>
    <w:rsid w:val="6753E28A"/>
    <w:rsid w:val="6755967D"/>
    <w:rsid w:val="675E570B"/>
    <w:rsid w:val="676C074E"/>
    <w:rsid w:val="6770227A"/>
    <w:rsid w:val="6770C2DD"/>
    <w:rsid w:val="677B6E0D"/>
    <w:rsid w:val="6787FF1F"/>
    <w:rsid w:val="679E66EC"/>
    <w:rsid w:val="67F9950F"/>
    <w:rsid w:val="6838DC65"/>
    <w:rsid w:val="68597FCF"/>
    <w:rsid w:val="685A3D0C"/>
    <w:rsid w:val="686C459B"/>
    <w:rsid w:val="688F0285"/>
    <w:rsid w:val="68901186"/>
    <w:rsid w:val="68CA03BF"/>
    <w:rsid w:val="68DF8152"/>
    <w:rsid w:val="68F1AD58"/>
    <w:rsid w:val="690463B9"/>
    <w:rsid w:val="69063611"/>
    <w:rsid w:val="6909F3E0"/>
    <w:rsid w:val="690BFE22"/>
    <w:rsid w:val="692210BC"/>
    <w:rsid w:val="696822B9"/>
    <w:rsid w:val="69A52304"/>
    <w:rsid w:val="69A8A539"/>
    <w:rsid w:val="69AEBB67"/>
    <w:rsid w:val="69AF1CFF"/>
    <w:rsid w:val="69B3BB77"/>
    <w:rsid w:val="69B97775"/>
    <w:rsid w:val="69BA64B8"/>
    <w:rsid w:val="69E3A925"/>
    <w:rsid w:val="69FE4AB2"/>
    <w:rsid w:val="6A0BC3AB"/>
    <w:rsid w:val="6A269E63"/>
    <w:rsid w:val="6A2CA77B"/>
    <w:rsid w:val="6A40F4D7"/>
    <w:rsid w:val="6A5400CA"/>
    <w:rsid w:val="6A62D8AE"/>
    <w:rsid w:val="6A77E1C8"/>
    <w:rsid w:val="6AB49850"/>
    <w:rsid w:val="6AF1F40D"/>
    <w:rsid w:val="6AF4B16C"/>
    <w:rsid w:val="6B06A6B7"/>
    <w:rsid w:val="6B12C5F3"/>
    <w:rsid w:val="6B364E03"/>
    <w:rsid w:val="6B3B3F3C"/>
    <w:rsid w:val="6B45C00D"/>
    <w:rsid w:val="6B799231"/>
    <w:rsid w:val="6BA28DE5"/>
    <w:rsid w:val="6BB43D92"/>
    <w:rsid w:val="6BDA3665"/>
    <w:rsid w:val="6BDF1FA3"/>
    <w:rsid w:val="6BF2BCF3"/>
    <w:rsid w:val="6C10B40F"/>
    <w:rsid w:val="6C561EA3"/>
    <w:rsid w:val="6C574255"/>
    <w:rsid w:val="6C5CBAFA"/>
    <w:rsid w:val="6C74144E"/>
    <w:rsid w:val="6C7C412A"/>
    <w:rsid w:val="6C9C2E23"/>
    <w:rsid w:val="6C9D05C5"/>
    <w:rsid w:val="6C9ECDFA"/>
    <w:rsid w:val="6CA6087E"/>
    <w:rsid w:val="6CAF6237"/>
    <w:rsid w:val="6CC0E60D"/>
    <w:rsid w:val="6CCF44C3"/>
    <w:rsid w:val="6CE1A5AF"/>
    <w:rsid w:val="6CE7E46E"/>
    <w:rsid w:val="6CF6EA52"/>
    <w:rsid w:val="6D529429"/>
    <w:rsid w:val="6D62AA96"/>
    <w:rsid w:val="6D7096AA"/>
    <w:rsid w:val="6DA11D84"/>
    <w:rsid w:val="6DA74371"/>
    <w:rsid w:val="6DB3A92C"/>
    <w:rsid w:val="6DB73A34"/>
    <w:rsid w:val="6DBF4B48"/>
    <w:rsid w:val="6DCE64C6"/>
    <w:rsid w:val="6E071E83"/>
    <w:rsid w:val="6E0A1AB3"/>
    <w:rsid w:val="6E0ABB69"/>
    <w:rsid w:val="6E190115"/>
    <w:rsid w:val="6E2306C6"/>
    <w:rsid w:val="6E36718D"/>
    <w:rsid w:val="6E4510F3"/>
    <w:rsid w:val="6E4AFB48"/>
    <w:rsid w:val="6E541A48"/>
    <w:rsid w:val="6E66CEB2"/>
    <w:rsid w:val="6E6DCF15"/>
    <w:rsid w:val="6E9CCDFA"/>
    <w:rsid w:val="6EABFD32"/>
    <w:rsid w:val="6EBD72E2"/>
    <w:rsid w:val="6EC68A93"/>
    <w:rsid w:val="6EDED75B"/>
    <w:rsid w:val="6EFE9BB8"/>
    <w:rsid w:val="6F18581E"/>
    <w:rsid w:val="6F6655BD"/>
    <w:rsid w:val="6F75F37F"/>
    <w:rsid w:val="6F98B1B6"/>
    <w:rsid w:val="6FAF498E"/>
    <w:rsid w:val="6FB6E44D"/>
    <w:rsid w:val="6FC03F23"/>
    <w:rsid w:val="6FD7E996"/>
    <w:rsid w:val="701E2637"/>
    <w:rsid w:val="702B0506"/>
    <w:rsid w:val="70439CD6"/>
    <w:rsid w:val="704EE879"/>
    <w:rsid w:val="706DA47A"/>
    <w:rsid w:val="709D2518"/>
    <w:rsid w:val="70A2259E"/>
    <w:rsid w:val="70AB53A1"/>
    <w:rsid w:val="70AFAA62"/>
    <w:rsid w:val="70D76087"/>
    <w:rsid w:val="7113C165"/>
    <w:rsid w:val="7120D87C"/>
    <w:rsid w:val="7139890F"/>
    <w:rsid w:val="713C0B08"/>
    <w:rsid w:val="7161EF44"/>
    <w:rsid w:val="7168D135"/>
    <w:rsid w:val="716A851B"/>
    <w:rsid w:val="717264C4"/>
    <w:rsid w:val="71778518"/>
    <w:rsid w:val="7187F242"/>
    <w:rsid w:val="718D714E"/>
    <w:rsid w:val="718E79E6"/>
    <w:rsid w:val="7191FDD7"/>
    <w:rsid w:val="7192691D"/>
    <w:rsid w:val="71C76F8D"/>
    <w:rsid w:val="71D13D0A"/>
    <w:rsid w:val="71DC9336"/>
    <w:rsid w:val="71E774B8"/>
    <w:rsid w:val="71F21074"/>
    <w:rsid w:val="722960ED"/>
    <w:rsid w:val="722A466E"/>
    <w:rsid w:val="726F4B77"/>
    <w:rsid w:val="727469AC"/>
    <w:rsid w:val="72959BFC"/>
    <w:rsid w:val="72A4380D"/>
    <w:rsid w:val="72A6299D"/>
    <w:rsid w:val="72B30C95"/>
    <w:rsid w:val="72BA4327"/>
    <w:rsid w:val="72E9D5D4"/>
    <w:rsid w:val="72FE1600"/>
    <w:rsid w:val="73105E91"/>
    <w:rsid w:val="731246CE"/>
    <w:rsid w:val="7320C326"/>
    <w:rsid w:val="7323EAE8"/>
    <w:rsid w:val="732A2FF0"/>
    <w:rsid w:val="73314613"/>
    <w:rsid w:val="7334A8C6"/>
    <w:rsid w:val="73370544"/>
    <w:rsid w:val="733A5DB8"/>
    <w:rsid w:val="736BF726"/>
    <w:rsid w:val="737A9E5D"/>
    <w:rsid w:val="737C02A7"/>
    <w:rsid w:val="737D3F15"/>
    <w:rsid w:val="73830D6F"/>
    <w:rsid w:val="738ECAB7"/>
    <w:rsid w:val="73C5B556"/>
    <w:rsid w:val="73D411DE"/>
    <w:rsid w:val="73EFDA5F"/>
    <w:rsid w:val="73F89FFB"/>
    <w:rsid w:val="73F9B27D"/>
    <w:rsid w:val="740DB49A"/>
    <w:rsid w:val="745EF6BF"/>
    <w:rsid w:val="7470A2A2"/>
    <w:rsid w:val="74821BD5"/>
    <w:rsid w:val="748D0A50"/>
    <w:rsid w:val="749F63A0"/>
    <w:rsid w:val="74CC79F6"/>
    <w:rsid w:val="74CF4B1B"/>
    <w:rsid w:val="74DEE623"/>
    <w:rsid w:val="74F5D202"/>
    <w:rsid w:val="750C1CC4"/>
    <w:rsid w:val="7512D5E8"/>
    <w:rsid w:val="753016F1"/>
    <w:rsid w:val="7538FFB4"/>
    <w:rsid w:val="753AEB5B"/>
    <w:rsid w:val="7558DEB3"/>
    <w:rsid w:val="756B199E"/>
    <w:rsid w:val="757DAEC3"/>
    <w:rsid w:val="75AE26E5"/>
    <w:rsid w:val="75B17000"/>
    <w:rsid w:val="75D7A94B"/>
    <w:rsid w:val="75E4C4E8"/>
    <w:rsid w:val="75EDCC7E"/>
    <w:rsid w:val="75F363D6"/>
    <w:rsid w:val="75F37DF2"/>
    <w:rsid w:val="75FE3D21"/>
    <w:rsid w:val="760B1A6C"/>
    <w:rsid w:val="761E8943"/>
    <w:rsid w:val="763E2942"/>
    <w:rsid w:val="7674FD96"/>
    <w:rsid w:val="7679D93A"/>
    <w:rsid w:val="7680508E"/>
    <w:rsid w:val="768988E4"/>
    <w:rsid w:val="769E4805"/>
    <w:rsid w:val="76A1E844"/>
    <w:rsid w:val="76AB171D"/>
    <w:rsid w:val="76BECCB5"/>
    <w:rsid w:val="76BFD3B8"/>
    <w:rsid w:val="76CCE09E"/>
    <w:rsid w:val="76F7D6CF"/>
    <w:rsid w:val="7717906A"/>
    <w:rsid w:val="774B8917"/>
    <w:rsid w:val="774D2744"/>
    <w:rsid w:val="776030A0"/>
    <w:rsid w:val="77B441CB"/>
    <w:rsid w:val="77B91794"/>
    <w:rsid w:val="77C4363B"/>
    <w:rsid w:val="77C8CA94"/>
    <w:rsid w:val="77DE715C"/>
    <w:rsid w:val="77FAB6FE"/>
    <w:rsid w:val="78074F96"/>
    <w:rsid w:val="781AAE85"/>
    <w:rsid w:val="7842016C"/>
    <w:rsid w:val="7849FB70"/>
    <w:rsid w:val="784D15A0"/>
    <w:rsid w:val="788854FF"/>
    <w:rsid w:val="788B73A1"/>
    <w:rsid w:val="78996F87"/>
    <w:rsid w:val="78CDE5C9"/>
    <w:rsid w:val="78D146F5"/>
    <w:rsid w:val="790C7D05"/>
    <w:rsid w:val="7948A5A1"/>
    <w:rsid w:val="798BB418"/>
    <w:rsid w:val="7998C460"/>
    <w:rsid w:val="79A7F9F3"/>
    <w:rsid w:val="79AAB836"/>
    <w:rsid w:val="79C61290"/>
    <w:rsid w:val="7A429420"/>
    <w:rsid w:val="7A51D87C"/>
    <w:rsid w:val="7A582187"/>
    <w:rsid w:val="7A887721"/>
    <w:rsid w:val="7A906BE6"/>
    <w:rsid w:val="7AB0CFF5"/>
    <w:rsid w:val="7AB0EFE5"/>
    <w:rsid w:val="7AEE8A26"/>
    <w:rsid w:val="7B10C4F4"/>
    <w:rsid w:val="7B641681"/>
    <w:rsid w:val="7B79EF1B"/>
    <w:rsid w:val="7B949EA6"/>
    <w:rsid w:val="7BAF4167"/>
    <w:rsid w:val="7BC6D948"/>
    <w:rsid w:val="7BE09946"/>
    <w:rsid w:val="7C11F4E4"/>
    <w:rsid w:val="7C181926"/>
    <w:rsid w:val="7C1F9E5F"/>
    <w:rsid w:val="7C453430"/>
    <w:rsid w:val="7C4EA1A9"/>
    <w:rsid w:val="7C51A223"/>
    <w:rsid w:val="7C5C9D3A"/>
    <w:rsid w:val="7C6EA498"/>
    <w:rsid w:val="7C71F747"/>
    <w:rsid w:val="7C763FF8"/>
    <w:rsid w:val="7C803CC7"/>
    <w:rsid w:val="7C9464C5"/>
    <w:rsid w:val="7C960933"/>
    <w:rsid w:val="7C9E4138"/>
    <w:rsid w:val="7CB4FC4C"/>
    <w:rsid w:val="7CC17878"/>
    <w:rsid w:val="7CD9415E"/>
    <w:rsid w:val="7CDA97D2"/>
    <w:rsid w:val="7CEDD766"/>
    <w:rsid w:val="7CF828DD"/>
    <w:rsid w:val="7D38E405"/>
    <w:rsid w:val="7D3AB66D"/>
    <w:rsid w:val="7D531128"/>
    <w:rsid w:val="7D593A51"/>
    <w:rsid w:val="7D59402D"/>
    <w:rsid w:val="7D6CC852"/>
    <w:rsid w:val="7D6D075A"/>
    <w:rsid w:val="7D9406C8"/>
    <w:rsid w:val="7D9EC12F"/>
    <w:rsid w:val="7DA3248A"/>
    <w:rsid w:val="7DA7F75C"/>
    <w:rsid w:val="7DAE1A41"/>
    <w:rsid w:val="7DAE27B2"/>
    <w:rsid w:val="7DCCAFEE"/>
    <w:rsid w:val="7DF69402"/>
    <w:rsid w:val="7E0B46C2"/>
    <w:rsid w:val="7E2B7EA5"/>
    <w:rsid w:val="7E2BB904"/>
    <w:rsid w:val="7E59F2E9"/>
    <w:rsid w:val="7E93DBDB"/>
    <w:rsid w:val="7EA5115C"/>
    <w:rsid w:val="7EB93B98"/>
    <w:rsid w:val="7EE1D3AE"/>
    <w:rsid w:val="7F22CBD4"/>
    <w:rsid w:val="7F377D71"/>
    <w:rsid w:val="7F4A1C59"/>
    <w:rsid w:val="7F541BCF"/>
    <w:rsid w:val="7F68EFA9"/>
    <w:rsid w:val="7F8EDD22"/>
    <w:rsid w:val="7F9D1BF4"/>
    <w:rsid w:val="7FA8A94A"/>
    <w:rsid w:val="7FB03883"/>
    <w:rsid w:val="7FB55B4A"/>
    <w:rsid w:val="7FBAF096"/>
    <w:rsid w:val="7FCA41BC"/>
    <w:rsid w:val="7FE9113B"/>
    <w:rsid w:val="7FF148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815227"/>
  <w15:docId w15:val="{5EA9AFCD-BEA7-44D8-BCE9-28F80BF5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Strong" w:semiHidden="1"/>
    <w:lsdException w:name="Emphasis" w:semiHidden="1" w:uiPriority="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iPriority="0"/>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9"/>
      </w:numPr>
      <w:spacing w:before="240"/>
      <w:outlineLvl w:val="0"/>
    </w:pPr>
    <w:rPr>
      <w:b/>
      <w:smallCaps/>
    </w:rPr>
  </w:style>
  <w:style w:type="paragraph" w:styleId="Heading2">
    <w:name w:val="heading 2"/>
    <w:basedOn w:val="Normal"/>
    <w:next w:val="Text2"/>
    <w:uiPriority w:val="10"/>
    <w:qFormat/>
    <w:pPr>
      <w:keepNext/>
      <w:numPr>
        <w:ilvl w:val="1"/>
        <w:numId w:val="19"/>
      </w:numPr>
      <w:outlineLvl w:val="1"/>
    </w:pPr>
    <w:rPr>
      <w:b/>
    </w:rPr>
  </w:style>
  <w:style w:type="paragraph" w:styleId="Heading3">
    <w:name w:val="heading 3"/>
    <w:basedOn w:val="Normal"/>
    <w:next w:val="Text3"/>
    <w:uiPriority w:val="10"/>
    <w:qFormat/>
    <w:pPr>
      <w:keepNext/>
      <w:numPr>
        <w:ilvl w:val="2"/>
        <w:numId w:val="19"/>
      </w:numPr>
      <w:outlineLvl w:val="2"/>
    </w:pPr>
    <w:rPr>
      <w:i/>
    </w:rPr>
  </w:style>
  <w:style w:type="paragraph" w:styleId="Heading4">
    <w:name w:val="heading 4"/>
    <w:basedOn w:val="Normal"/>
    <w:next w:val="Text4"/>
    <w:uiPriority w:val="10"/>
    <w:qFormat/>
    <w:pPr>
      <w:keepNext/>
      <w:numPr>
        <w:ilvl w:val="3"/>
        <w:numId w:val="19"/>
      </w:numPr>
      <w:outlineLvl w:val="3"/>
    </w:pPr>
  </w:style>
  <w:style w:type="paragraph" w:styleId="Heading5">
    <w:name w:val="heading 5"/>
    <w:basedOn w:val="Normal"/>
    <w:next w:val="Normal"/>
    <w:semiHidden/>
    <w:pPr>
      <w:keepNext/>
      <w:numPr>
        <w:ilvl w:val="4"/>
        <w:numId w:val="19"/>
      </w:numPr>
      <w:outlineLvl w:val="4"/>
    </w:pPr>
  </w:style>
  <w:style w:type="paragraph" w:styleId="Heading6">
    <w:name w:val="heading 6"/>
    <w:basedOn w:val="Normal"/>
    <w:next w:val="Normal"/>
    <w:semiHidden/>
    <w:pPr>
      <w:keepNext/>
      <w:numPr>
        <w:ilvl w:val="5"/>
        <w:numId w:val="19"/>
      </w:numPr>
      <w:outlineLvl w:val="5"/>
    </w:pPr>
  </w:style>
  <w:style w:type="paragraph" w:styleId="Heading7">
    <w:name w:val="heading 7"/>
    <w:basedOn w:val="Normal"/>
    <w:next w:val="Normal"/>
    <w:semiHidden/>
    <w:pPr>
      <w:keepNext/>
      <w:numPr>
        <w:ilvl w:val="6"/>
        <w:numId w:val="19"/>
      </w:numPr>
      <w:outlineLvl w:val="6"/>
    </w:pPr>
  </w:style>
  <w:style w:type="paragraph" w:styleId="Heading8">
    <w:name w:val="heading 8"/>
    <w:basedOn w:val="Normal"/>
    <w:next w:val="Normal"/>
    <w:semiHidden/>
    <w:pPr>
      <w:keepNext/>
      <w:numPr>
        <w:ilvl w:val="7"/>
        <w:numId w:val="19"/>
      </w:numPr>
      <w:outlineLvl w:val="7"/>
    </w:pPr>
  </w:style>
  <w:style w:type="paragraph" w:styleId="Heading9">
    <w:name w:val="heading 9"/>
    <w:basedOn w:val="Normal"/>
    <w:next w:val="Normal"/>
    <w:semiHidden/>
    <w:pPr>
      <w:keepNext/>
      <w:numPr>
        <w:ilvl w:val="8"/>
        <w:numId w:val="1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sid w:val="00F351E6"/>
    <w:rPr>
      <w:color w:val="0000FF"/>
      <w:shd w:val="clear" w:color="auto" w:fill="auto"/>
    </w:rPr>
  </w:style>
  <w:style w:type="character" w:customStyle="1" w:styleId="FooterChar">
    <w:name w:val="Footer Char"/>
    <w:basedOn w:val="DefaultParagraphFont"/>
    <w:uiPriority w:val="99"/>
    <w:rsid w:val="00F351E6"/>
    <w:rPr>
      <w:sz w:val="16"/>
    </w:rPr>
  </w:style>
  <w:style w:type="paragraph" w:customStyle="1" w:styleId="Pagedecouverture">
    <w:name w:val="Page de couverture"/>
    <w:basedOn w:val="Normal"/>
    <w:next w:val="Normal"/>
    <w:rsid w:val="00F351E6"/>
    <w:pPr>
      <w:spacing w:after="0"/>
    </w:pPr>
    <w:rPr>
      <w:rFonts w:eastAsia="Calibri"/>
      <w:szCs w:val="22"/>
    </w:rPr>
  </w:style>
  <w:style w:type="paragraph" w:customStyle="1" w:styleId="FooterCoverPage">
    <w:name w:val="Footer Cover Page"/>
    <w:basedOn w:val="Normal"/>
    <w:link w:val="FooterCoverPageChar"/>
    <w:rsid w:val="00F351E6"/>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F351E6"/>
  </w:style>
  <w:style w:type="paragraph" w:customStyle="1" w:styleId="FooterSensitivity">
    <w:name w:val="Footer Sensitivity"/>
    <w:basedOn w:val="Normal"/>
    <w:link w:val="FooterSensitivityChar"/>
    <w:rsid w:val="00F351E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sid w:val="00F351E6"/>
    <w:rPr>
      <w:b/>
      <w:sz w:val="32"/>
    </w:rPr>
  </w:style>
  <w:style w:type="paragraph" w:customStyle="1" w:styleId="HeaderCoverPage">
    <w:name w:val="Header Cover Page"/>
    <w:basedOn w:val="Normal"/>
    <w:link w:val="HeaderCoverPageChar"/>
    <w:rsid w:val="00F351E6"/>
    <w:pPr>
      <w:tabs>
        <w:tab w:val="center" w:pos="4535"/>
        <w:tab w:val="right" w:pos="9071"/>
      </w:tabs>
      <w:spacing w:after="120"/>
    </w:pPr>
  </w:style>
  <w:style w:type="character" w:customStyle="1" w:styleId="HeaderCoverPageChar">
    <w:name w:val="Header Cover Page Char"/>
    <w:link w:val="HeaderCoverPage"/>
    <w:rsid w:val="00F351E6"/>
  </w:style>
  <w:style w:type="paragraph" w:customStyle="1" w:styleId="HeaderSensitivity">
    <w:name w:val="Header Sensitivity"/>
    <w:basedOn w:val="Normal"/>
    <w:link w:val="HeaderSensitivityChar"/>
    <w:rsid w:val="00F351E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F351E6"/>
    <w:rPr>
      <w:b/>
      <w:sz w:val="32"/>
    </w:rPr>
  </w:style>
  <w:style w:type="paragraph" w:customStyle="1" w:styleId="HeaderSensitivityRight">
    <w:name w:val="Header Sensitivity Right"/>
    <w:basedOn w:val="Normal"/>
    <w:link w:val="HeaderSensitivityRightChar"/>
    <w:rsid w:val="00F351E6"/>
    <w:pPr>
      <w:spacing w:after="120"/>
      <w:jc w:val="right"/>
    </w:pPr>
    <w:rPr>
      <w:sz w:val="28"/>
    </w:rPr>
  </w:style>
  <w:style w:type="character" w:customStyle="1" w:styleId="HeaderSensitivityRightChar">
    <w:name w:val="Header Sensitivity Right Char"/>
    <w:link w:val="HeaderSensitivityRight"/>
    <w:rsid w:val="00F351E6"/>
    <w:rPr>
      <w:sz w:val="28"/>
    </w:rPr>
  </w:style>
  <w:style w:type="paragraph" w:customStyle="1" w:styleId="Heading11">
    <w:name w:val="Heading 11"/>
    <w:basedOn w:val="Normal"/>
    <w:next w:val="Normal"/>
    <w:rsid w:val="00F351E6"/>
    <w:pPr>
      <w:keepNext/>
      <w:keepLines/>
      <w:spacing w:before="240" w:after="0" w:line="276" w:lineRule="auto"/>
      <w:jc w:val="left"/>
      <w:outlineLvl w:val="0"/>
    </w:pPr>
    <w:rPr>
      <w:rFonts w:ascii="Cambria" w:hAnsi="Cambria"/>
      <w:color w:val="365F91"/>
      <w:sz w:val="32"/>
      <w:szCs w:val="32"/>
    </w:rPr>
  </w:style>
  <w:style w:type="paragraph" w:customStyle="1" w:styleId="Heading21">
    <w:name w:val="Heading 21"/>
    <w:basedOn w:val="Normal"/>
    <w:next w:val="Normal"/>
    <w:rsid w:val="00F351E6"/>
    <w:pPr>
      <w:keepNext/>
      <w:keepLines/>
      <w:spacing w:before="40" w:after="0" w:line="276" w:lineRule="auto"/>
      <w:jc w:val="left"/>
      <w:outlineLvl w:val="1"/>
    </w:pPr>
    <w:rPr>
      <w:rFonts w:ascii="Cambria" w:hAnsi="Cambria"/>
      <w:color w:val="365F91"/>
      <w:sz w:val="26"/>
      <w:szCs w:val="26"/>
    </w:rPr>
  </w:style>
  <w:style w:type="paragraph" w:customStyle="1" w:styleId="Heading31">
    <w:name w:val="Heading 31"/>
    <w:basedOn w:val="Normal"/>
    <w:next w:val="Normal"/>
    <w:rsid w:val="00F351E6"/>
    <w:pPr>
      <w:keepNext/>
      <w:keepLines/>
      <w:spacing w:before="40" w:after="0" w:line="276" w:lineRule="auto"/>
      <w:jc w:val="left"/>
      <w:outlineLvl w:val="2"/>
    </w:pPr>
    <w:rPr>
      <w:rFonts w:ascii="Cambria" w:hAnsi="Cambria"/>
      <w:color w:val="243F60"/>
      <w:szCs w:val="24"/>
    </w:rPr>
  </w:style>
  <w:style w:type="paragraph" w:customStyle="1" w:styleId="Heading41">
    <w:name w:val="Heading 41"/>
    <w:basedOn w:val="Normal"/>
    <w:next w:val="Normal"/>
    <w:rsid w:val="00F351E6"/>
    <w:pPr>
      <w:keepNext/>
      <w:keepLines/>
      <w:spacing w:before="40" w:after="0" w:line="276" w:lineRule="auto"/>
      <w:jc w:val="left"/>
      <w:outlineLvl w:val="3"/>
    </w:pPr>
    <w:rPr>
      <w:rFonts w:ascii="Cambria" w:hAnsi="Cambria"/>
      <w:i/>
      <w:iCs/>
      <w:color w:val="365F91"/>
      <w:sz w:val="22"/>
      <w:szCs w:val="22"/>
    </w:rPr>
  </w:style>
  <w:style w:type="paragraph" w:customStyle="1" w:styleId="Heading51">
    <w:name w:val="Heading 51"/>
    <w:basedOn w:val="Normal"/>
    <w:next w:val="Normal"/>
    <w:rsid w:val="00F351E6"/>
    <w:pPr>
      <w:keepNext/>
      <w:keepLines/>
      <w:spacing w:before="40" w:after="0" w:line="276" w:lineRule="auto"/>
      <w:jc w:val="left"/>
      <w:outlineLvl w:val="4"/>
    </w:pPr>
    <w:rPr>
      <w:rFonts w:ascii="Cambria" w:hAnsi="Cambria"/>
      <w:color w:val="365F91"/>
      <w:sz w:val="22"/>
      <w:szCs w:val="22"/>
    </w:rPr>
  </w:style>
  <w:style w:type="character" w:customStyle="1" w:styleId="UnresolvedMention1">
    <w:name w:val="Unresolved Mention1"/>
    <w:rsid w:val="00F351E6"/>
    <w:rPr>
      <w:color w:val="605E5C"/>
      <w:shd w:val="clear" w:color="auto" w:fill="E1DFDD"/>
    </w:rPr>
  </w:style>
  <w:style w:type="character" w:customStyle="1" w:styleId="Heading1Char">
    <w:name w:val="Heading 1 Char"/>
    <w:rsid w:val="00F351E6"/>
    <w:rPr>
      <w:b/>
      <w:smallCaps/>
    </w:rPr>
  </w:style>
  <w:style w:type="character" w:customStyle="1" w:styleId="Heading2Char">
    <w:name w:val="Heading 2 Char"/>
    <w:rsid w:val="00F351E6"/>
    <w:rPr>
      <w:b/>
    </w:rPr>
  </w:style>
  <w:style w:type="character" w:customStyle="1" w:styleId="Heading3Char">
    <w:name w:val="Heading 3 Char"/>
    <w:rsid w:val="00F351E6"/>
    <w:rPr>
      <w:i/>
    </w:rPr>
  </w:style>
  <w:style w:type="character" w:customStyle="1" w:styleId="Heading4Char">
    <w:name w:val="Heading 4 Char"/>
    <w:rsid w:val="00F351E6"/>
  </w:style>
  <w:style w:type="character" w:customStyle="1" w:styleId="Heading5Char">
    <w:name w:val="Heading 5 Char"/>
    <w:rsid w:val="00F351E6"/>
  </w:style>
  <w:style w:type="paragraph" w:customStyle="1" w:styleId="TOCHeading1">
    <w:name w:val="TOC Heading1"/>
    <w:basedOn w:val="Heading1"/>
    <w:next w:val="Normal"/>
    <w:rsid w:val="00F351E6"/>
    <w:pPr>
      <w:keepLines/>
      <w:numPr>
        <w:numId w:val="0"/>
      </w:numPr>
      <w:spacing w:after="0" w:line="259" w:lineRule="auto"/>
      <w:jc w:val="left"/>
    </w:pPr>
    <w:rPr>
      <w:rFonts w:ascii="Cambria" w:hAnsi="Cambria"/>
      <w:b w:val="0"/>
      <w:smallCaps w:val="0"/>
      <w:color w:val="365F91"/>
      <w:sz w:val="32"/>
      <w:szCs w:val="32"/>
    </w:rPr>
  </w:style>
  <w:style w:type="paragraph" w:customStyle="1" w:styleId="TOC21">
    <w:name w:val="TOC 21"/>
    <w:basedOn w:val="Normal"/>
    <w:next w:val="Normal"/>
    <w:autoRedefine/>
    <w:rsid w:val="00F351E6"/>
    <w:pPr>
      <w:tabs>
        <w:tab w:val="left" w:pos="1100"/>
        <w:tab w:val="right" w:leader="dot" w:pos="9062"/>
      </w:tabs>
      <w:spacing w:after="100" w:line="259" w:lineRule="auto"/>
      <w:ind w:left="220"/>
      <w:jc w:val="left"/>
    </w:pPr>
    <w:rPr>
      <w:noProof/>
      <w:sz w:val="22"/>
      <w:szCs w:val="22"/>
      <w:lang w:eastAsia="en-GB"/>
    </w:rPr>
  </w:style>
  <w:style w:type="paragraph" w:customStyle="1" w:styleId="TOC11">
    <w:name w:val="TOC 11"/>
    <w:basedOn w:val="Normal"/>
    <w:next w:val="Normal"/>
    <w:autoRedefine/>
    <w:rsid w:val="00F351E6"/>
    <w:pPr>
      <w:tabs>
        <w:tab w:val="left" w:pos="660"/>
        <w:tab w:val="right" w:leader="dot" w:pos="9062"/>
      </w:tabs>
      <w:spacing w:after="100" w:line="259" w:lineRule="auto"/>
      <w:jc w:val="left"/>
    </w:pPr>
    <w:rPr>
      <w:rFonts w:ascii="Calibri" w:hAnsi="Calibri"/>
      <w:sz w:val="22"/>
      <w:szCs w:val="22"/>
      <w:lang w:eastAsia="en-GB"/>
    </w:rPr>
  </w:style>
  <w:style w:type="paragraph" w:customStyle="1" w:styleId="TOC31">
    <w:name w:val="TOC 31"/>
    <w:basedOn w:val="Normal"/>
    <w:next w:val="Normal"/>
    <w:autoRedefine/>
    <w:rsid w:val="00F351E6"/>
    <w:pPr>
      <w:tabs>
        <w:tab w:val="left" w:pos="1320"/>
        <w:tab w:val="right" w:leader="dot" w:pos="9062"/>
      </w:tabs>
      <w:spacing w:after="100" w:line="259" w:lineRule="auto"/>
      <w:ind w:left="440"/>
      <w:jc w:val="left"/>
    </w:pPr>
    <w:rPr>
      <w:b/>
      <w:noProof/>
      <w:szCs w:val="24"/>
      <w:lang w:eastAsia="en-GB"/>
    </w:rPr>
  </w:style>
  <w:style w:type="paragraph" w:customStyle="1" w:styleId="lp11">
    <w:name w:val="lp11"/>
    <w:basedOn w:val="Normal"/>
    <w:next w:val="ListParagraph"/>
    <w:link w:val="ListParagraphChar"/>
    <w:rsid w:val="00F351E6"/>
    <w:pPr>
      <w:spacing w:after="200" w:line="276" w:lineRule="auto"/>
      <w:ind w:left="720"/>
      <w:contextualSpacing/>
      <w:jc w:val="left"/>
    </w:pPr>
    <w:rPr>
      <w:rFonts w:ascii="Calibri" w:eastAsia="Calibri" w:hAnsi="Calibri"/>
      <w:sz w:val="22"/>
      <w:szCs w:val="22"/>
    </w:rPr>
  </w:style>
  <w:style w:type="paragraph" w:customStyle="1" w:styleId="Footno1">
    <w:name w:val="Footno1"/>
    <w:basedOn w:val="Normal"/>
    <w:next w:val="FootnoteText"/>
    <w:link w:val="FootnoteTextChar"/>
    <w:rsid w:val="00F351E6"/>
    <w:pPr>
      <w:spacing w:after="0"/>
      <w:jc w:val="left"/>
    </w:pPr>
    <w:rPr>
      <w:rFonts w:ascii="Calibri" w:eastAsia="Calibri" w:hAnsi="Calibri"/>
      <w:sz w:val="20"/>
    </w:rPr>
  </w:style>
  <w:style w:type="character" w:customStyle="1" w:styleId="FootnoteTextChar">
    <w:name w:val="Footnote Text Char"/>
    <w:aliases w:val="Footnote Text Char1 Char,Footnote Text Char Char Char,DTE-Voetnoottekst Char1 Char Char,DTE-Voetnoottekst Char Char Char Char,fn Char Char Char,footnote text Char Char Char,Footnotes Char Char Char,Footnote ak Char Char Char"/>
    <w:link w:val="Footno1"/>
    <w:rsid w:val="00F351E6"/>
    <w:rPr>
      <w:rFonts w:ascii="Calibri" w:eastAsia="Calibri" w:hAnsi="Calibri"/>
      <w:sz w:val="20"/>
    </w:rPr>
  </w:style>
  <w:style w:type="character" w:customStyle="1" w:styleId="Hyperlink1">
    <w:name w:val="Hyperlink1"/>
    <w:rsid w:val="00F351E6"/>
    <w:rPr>
      <w:color w:val="0000FF"/>
      <w:u w:val="single"/>
    </w:rPr>
  </w:style>
  <w:style w:type="paragraph" w:customStyle="1" w:styleId="BalloonText1">
    <w:name w:val="Balloon Text1"/>
    <w:basedOn w:val="Normal"/>
    <w:next w:val="BalloonText"/>
    <w:link w:val="BalloonTextChar"/>
    <w:rsid w:val="00F351E6"/>
    <w:pPr>
      <w:spacing w:after="0"/>
      <w:jc w:val="left"/>
    </w:pPr>
    <w:rPr>
      <w:rFonts w:ascii="Segoe UI" w:eastAsia="Calibri" w:hAnsi="Segoe UI" w:cs="Segoe UI"/>
      <w:sz w:val="18"/>
      <w:szCs w:val="18"/>
    </w:rPr>
  </w:style>
  <w:style w:type="character" w:customStyle="1" w:styleId="BalloonTextChar">
    <w:name w:val="Balloon Text Char"/>
    <w:link w:val="BalloonText1"/>
    <w:rsid w:val="00F351E6"/>
    <w:rPr>
      <w:rFonts w:ascii="Segoe UI" w:eastAsia="Calibri" w:hAnsi="Segoe UI" w:cs="Segoe UI"/>
      <w:sz w:val="18"/>
      <w:szCs w:val="18"/>
    </w:rPr>
  </w:style>
  <w:style w:type="paragraph" w:customStyle="1" w:styleId="NoSpacing1">
    <w:name w:val="No Spacing1"/>
    <w:next w:val="NoSpacing"/>
    <w:rsid w:val="00F351E6"/>
    <w:rPr>
      <w:rFonts w:ascii="Calibri" w:eastAsia="Calibri" w:hAnsi="Calibri"/>
      <w:sz w:val="22"/>
      <w:szCs w:val="22"/>
      <w:lang w:eastAsia="en-GB"/>
    </w:rPr>
  </w:style>
  <w:style w:type="paragraph" w:customStyle="1" w:styleId="04aNumeration">
    <w:name w:val="04a_Numeration"/>
    <w:basedOn w:val="Normal"/>
    <w:link w:val="04aNumerationChar"/>
    <w:rsid w:val="00F351E6"/>
    <w:pPr>
      <w:numPr>
        <w:numId w:val="1"/>
      </w:numPr>
      <w:spacing w:after="250" w:line="276" w:lineRule="auto"/>
    </w:pPr>
    <w:rPr>
      <w:rFonts w:ascii="Georgia" w:hAnsi="Georgia"/>
      <w:sz w:val="20"/>
      <w:szCs w:val="24"/>
      <w:lang w:eastAsia="en-GB"/>
    </w:rPr>
  </w:style>
  <w:style w:type="character" w:customStyle="1" w:styleId="04aNumerationChar">
    <w:name w:val="04a_Numeration Char"/>
    <w:link w:val="04aNumeration"/>
    <w:locked/>
    <w:rsid w:val="00F351E6"/>
    <w:rPr>
      <w:rFonts w:ascii="Georgia" w:hAnsi="Georgia"/>
      <w:sz w:val="20"/>
      <w:szCs w:val="24"/>
      <w:lang w:eastAsia="en-GB"/>
    </w:rPr>
  </w:style>
  <w:style w:type="character" w:styleId="CommentReference">
    <w:name w:val="annotation reference"/>
    <w:rsid w:val="00F351E6"/>
    <w:rPr>
      <w:sz w:val="16"/>
      <w:szCs w:val="16"/>
    </w:rPr>
  </w:style>
  <w:style w:type="paragraph" w:customStyle="1" w:styleId="CommentText1">
    <w:name w:val="Comment Text1"/>
    <w:basedOn w:val="Normal"/>
    <w:next w:val="CommentText"/>
    <w:link w:val="CommentTextChar"/>
    <w:rsid w:val="00F351E6"/>
    <w:pPr>
      <w:spacing w:after="200"/>
      <w:jc w:val="left"/>
    </w:pPr>
    <w:rPr>
      <w:rFonts w:ascii="Calibri" w:eastAsia="Calibri" w:hAnsi="Calibri"/>
      <w:sz w:val="20"/>
    </w:rPr>
  </w:style>
  <w:style w:type="character" w:customStyle="1" w:styleId="CommentTextChar">
    <w:name w:val="Comment Text Char"/>
    <w:link w:val="CommentText1"/>
    <w:rsid w:val="00F351E6"/>
    <w:rPr>
      <w:rFonts w:ascii="Calibri" w:eastAsia="Calibri" w:hAnsi="Calibri"/>
      <w:sz w:val="20"/>
    </w:rPr>
  </w:style>
  <w:style w:type="paragraph" w:customStyle="1" w:styleId="CommentSubject1">
    <w:name w:val="Comment Subject1"/>
    <w:basedOn w:val="CommentText"/>
    <w:next w:val="CommentText"/>
    <w:rsid w:val="00F351E6"/>
    <w:pPr>
      <w:spacing w:after="200"/>
    </w:pPr>
    <w:rPr>
      <w:b/>
      <w:bCs/>
    </w:rPr>
  </w:style>
  <w:style w:type="character" w:customStyle="1" w:styleId="CommentSubjectChar">
    <w:name w:val="Comment Subject Char"/>
    <w:link w:val="CommentSubject"/>
    <w:rsid w:val="00F351E6"/>
    <w:rPr>
      <w:b/>
      <w:bCs/>
      <w:sz w:val="20"/>
    </w:rPr>
  </w:style>
  <w:style w:type="paragraph" w:customStyle="1" w:styleId="NormalWeb1">
    <w:name w:val="Normal (Web)1"/>
    <w:basedOn w:val="Normal"/>
    <w:next w:val="NormalWeb"/>
    <w:rsid w:val="00F351E6"/>
    <w:pPr>
      <w:spacing w:after="0"/>
      <w:jc w:val="left"/>
    </w:pPr>
    <w:rPr>
      <w:rFonts w:eastAsia="Calibri"/>
      <w:szCs w:val="24"/>
      <w:lang w:eastAsia="en-GB"/>
    </w:rPr>
  </w:style>
  <w:style w:type="paragraph" w:customStyle="1" w:styleId="0Bodytext">
    <w:name w:val="(0)Body text"/>
    <w:basedOn w:val="Normal"/>
    <w:link w:val="0BodytextZchn"/>
    <w:rsid w:val="00F351E6"/>
    <w:pPr>
      <w:spacing w:before="60" w:after="120"/>
    </w:pPr>
    <w:rPr>
      <w:rFonts w:ascii="Verdana" w:eastAsia="Calibri" w:hAnsi="Verdana" w:cs="Arial"/>
      <w:color w:val="333333"/>
      <w:sz w:val="20"/>
      <w:lang w:eastAsia="en-GB"/>
    </w:rPr>
  </w:style>
  <w:style w:type="character" w:customStyle="1" w:styleId="0BodytextZchn">
    <w:name w:val="(0)Body text Zchn"/>
    <w:link w:val="0Bodytext"/>
    <w:rsid w:val="00F351E6"/>
    <w:rPr>
      <w:rFonts w:ascii="Verdana" w:eastAsia="Calibri" w:hAnsi="Verdana" w:cs="Arial"/>
      <w:color w:val="333333"/>
      <w:sz w:val="20"/>
      <w:lang w:val="en-GB" w:eastAsia="en-GB"/>
    </w:rPr>
  </w:style>
  <w:style w:type="table" w:customStyle="1" w:styleId="Deloitte1">
    <w:name w:val="Deloitte1"/>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Exposant 3 Point,Footnote reference number,Odwołanie przypisu,number,2001+ Fußnotenzeichen"/>
    <w:basedOn w:val="Normal"/>
    <w:link w:val="FootnoteReference"/>
    <w:rsid w:val="00F351E6"/>
    <w:pPr>
      <w:spacing w:after="160" w:line="240" w:lineRule="exact"/>
      <w:jc w:val="left"/>
    </w:pPr>
    <w:rPr>
      <w:vertAlign w:val="superscript"/>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p11"/>
    <w:locked/>
    <w:rsid w:val="00F351E6"/>
    <w:rPr>
      <w:rFonts w:ascii="Calibri" w:eastAsia="Calibri" w:hAnsi="Calibri"/>
      <w:sz w:val="22"/>
      <w:szCs w:val="22"/>
    </w:rPr>
  </w:style>
  <w:style w:type="paragraph" w:customStyle="1" w:styleId="Default">
    <w:name w:val="Default"/>
    <w:rsid w:val="00F351E6"/>
    <w:pPr>
      <w:autoSpaceDE w:val="0"/>
      <w:autoSpaceDN w:val="0"/>
      <w:adjustRightInd w:val="0"/>
    </w:pPr>
    <w:rPr>
      <w:rFonts w:ascii="Arial" w:hAnsi="Arial" w:cs="Arial"/>
      <w:color w:val="000000"/>
      <w:szCs w:val="24"/>
      <w:lang w:eastAsia="en-GB"/>
    </w:rPr>
  </w:style>
  <w:style w:type="paragraph" w:customStyle="1" w:styleId="SecurityMarking">
    <w:name w:val="SecurityMarking"/>
    <w:basedOn w:val="Normal"/>
    <w:rsid w:val="00F351E6"/>
    <w:pPr>
      <w:spacing w:after="0" w:line="276" w:lineRule="auto"/>
      <w:ind w:left="5103"/>
      <w:jc w:val="left"/>
    </w:pPr>
    <w:rPr>
      <w:rFonts w:eastAsia="Calibri"/>
      <w:sz w:val="28"/>
      <w:szCs w:val="22"/>
    </w:rPr>
  </w:style>
  <w:style w:type="paragraph" w:customStyle="1" w:styleId="DateMarking">
    <w:name w:val="DateMarking"/>
    <w:basedOn w:val="Normal"/>
    <w:rsid w:val="00F351E6"/>
    <w:pPr>
      <w:spacing w:after="0" w:line="276" w:lineRule="auto"/>
      <w:ind w:left="5103"/>
      <w:jc w:val="left"/>
    </w:pPr>
    <w:rPr>
      <w:rFonts w:eastAsia="Calibri"/>
      <w:i/>
      <w:sz w:val="28"/>
      <w:szCs w:val="22"/>
    </w:rPr>
  </w:style>
  <w:style w:type="paragraph" w:customStyle="1" w:styleId="ReleasableTo">
    <w:name w:val="ReleasableTo"/>
    <w:basedOn w:val="Normal"/>
    <w:rsid w:val="00F351E6"/>
    <w:pPr>
      <w:spacing w:after="0" w:line="276" w:lineRule="auto"/>
      <w:ind w:left="5103"/>
      <w:jc w:val="left"/>
    </w:pPr>
    <w:rPr>
      <w:rFonts w:eastAsia="Calibri"/>
      <w:i/>
      <w:sz w:val="28"/>
      <w:szCs w:val="22"/>
    </w:rPr>
  </w:style>
  <w:style w:type="paragraph" w:customStyle="1" w:styleId="TOC91">
    <w:name w:val="TOC 91"/>
    <w:basedOn w:val="Normal"/>
    <w:next w:val="Normal"/>
    <w:autoRedefine/>
    <w:rsid w:val="00F351E6"/>
    <w:pPr>
      <w:spacing w:after="100" w:line="276" w:lineRule="auto"/>
      <w:ind w:left="1760"/>
      <w:jc w:val="left"/>
    </w:pPr>
    <w:rPr>
      <w:rFonts w:ascii="Calibri" w:eastAsia="Calibri" w:hAnsi="Calibri"/>
      <w:sz w:val="22"/>
      <w:szCs w:val="22"/>
    </w:rPr>
  </w:style>
  <w:style w:type="paragraph" w:customStyle="1" w:styleId="Revision1">
    <w:name w:val="Revision1"/>
    <w:next w:val="Revision"/>
    <w:hidden/>
    <w:rsid w:val="00F351E6"/>
    <w:rPr>
      <w:rFonts w:ascii="Calibri" w:eastAsia="Calibri" w:hAnsi="Calibri"/>
      <w:sz w:val="22"/>
      <w:szCs w:val="22"/>
      <w:lang w:eastAsia="en-GB"/>
    </w:rPr>
  </w:style>
  <w:style w:type="character" w:customStyle="1" w:styleId="FollowedHyperlink1">
    <w:name w:val="FollowedHyperlink1"/>
    <w:rsid w:val="00F351E6"/>
    <w:rPr>
      <w:color w:val="800080"/>
      <w:u w:val="single"/>
    </w:rPr>
  </w:style>
  <w:style w:type="paragraph" w:customStyle="1" w:styleId="Briefingtext">
    <w:name w:val="Briefing text"/>
    <w:basedOn w:val="Normal"/>
    <w:link w:val="BriefingtextChar"/>
    <w:rsid w:val="00F351E6"/>
    <w:rPr>
      <w:rFonts w:ascii="Arial" w:hAnsi="Arial" w:cs="Arial"/>
      <w:sz w:val="22"/>
      <w:szCs w:val="24"/>
    </w:rPr>
  </w:style>
  <w:style w:type="character" w:customStyle="1" w:styleId="BriefingtextChar">
    <w:name w:val="Briefing text Char"/>
    <w:link w:val="Briefingtext"/>
    <w:rsid w:val="00F351E6"/>
    <w:rPr>
      <w:rFonts w:ascii="Arial" w:hAnsi="Arial" w:cs="Arial"/>
      <w:sz w:val="22"/>
      <w:szCs w:val="24"/>
    </w:rPr>
  </w:style>
  <w:style w:type="character" w:customStyle="1" w:styleId="e24kjd">
    <w:name w:val="e24kjd"/>
    <w:basedOn w:val="DefaultParagraphFont"/>
    <w:rsid w:val="00F351E6"/>
  </w:style>
  <w:style w:type="character" w:styleId="Emphasis">
    <w:name w:val="Emphasis"/>
    <w:qFormat/>
    <w:rsid w:val="00F351E6"/>
    <w:rPr>
      <w:i/>
      <w:iCs/>
    </w:rPr>
  </w:style>
  <w:style w:type="paragraph" w:customStyle="1" w:styleId="Disclaimer">
    <w:name w:val="Disclaimer"/>
    <w:basedOn w:val="Normal"/>
    <w:rsid w:val="00F351E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Calibri"/>
      <w:szCs w:val="22"/>
    </w:rPr>
  </w:style>
  <w:style w:type="table" w:customStyle="1" w:styleId="TableGrid1">
    <w:name w:val="Table Grid1"/>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rsid w:val="00F351E6"/>
    <w:pPr>
      <w:spacing w:after="0"/>
    </w:pPr>
    <w:rPr>
      <w:rFonts w:ascii="Calibri" w:eastAsia="Calibri" w:hAnsi="Calibri"/>
      <w:color w:val="000000"/>
      <w:sz w:val="20"/>
      <w:szCs w:val="24"/>
    </w:rPr>
  </w:style>
  <w:style w:type="character" w:customStyle="1" w:styleId="TableChar">
    <w:name w:val="Table Char"/>
    <w:link w:val="Table"/>
    <w:rsid w:val="00F351E6"/>
    <w:rPr>
      <w:rFonts w:ascii="Calibri" w:eastAsia="Calibri" w:hAnsi="Calibri"/>
      <w:color w:val="000000"/>
      <w:sz w:val="20"/>
      <w:szCs w:val="24"/>
    </w:rPr>
  </w:style>
  <w:style w:type="paragraph" w:customStyle="1" w:styleId="FigTabCaption">
    <w:name w:val="FigTab Caption"/>
    <w:basedOn w:val="Caption"/>
    <w:link w:val="FigTabCaptionChar"/>
    <w:rsid w:val="00F351E6"/>
    <w:pPr>
      <w:keepNext/>
      <w:spacing w:before="0" w:after="0"/>
      <w:jc w:val="left"/>
    </w:pPr>
    <w:rPr>
      <w:rFonts w:ascii="Calibri" w:eastAsia="Calibri" w:hAnsi="Calibri"/>
      <w:b/>
      <w:i w:val="0"/>
      <w:color w:val="FFFFFF"/>
      <w:sz w:val="20"/>
      <w:szCs w:val="24"/>
    </w:rPr>
  </w:style>
  <w:style w:type="character" w:customStyle="1" w:styleId="FigTabCaptionChar">
    <w:name w:val="FigTab Caption Char"/>
    <w:link w:val="FigTabCaption"/>
    <w:rsid w:val="00F351E6"/>
    <w:rPr>
      <w:rFonts w:ascii="Calibri" w:eastAsia="Calibri" w:hAnsi="Calibri"/>
      <w:b/>
      <w:color w:val="FFFFFF"/>
      <w:sz w:val="20"/>
      <w:szCs w:val="24"/>
    </w:rPr>
  </w:style>
  <w:style w:type="paragraph" w:customStyle="1" w:styleId="C1">
    <w:name w:val="C1"/>
    <w:basedOn w:val="Normal"/>
    <w:next w:val="Normal"/>
    <w:link w:val="CaptionChar"/>
    <w:rsid w:val="00F351E6"/>
    <w:pPr>
      <w:spacing w:after="200"/>
      <w:jc w:val="left"/>
    </w:pPr>
    <w:rPr>
      <w:rFonts w:ascii="Calibri" w:eastAsia="Calibri" w:hAnsi="Calibri"/>
      <w:i/>
      <w:iCs/>
      <w:color w:val="1F497D"/>
      <w:sz w:val="18"/>
      <w:szCs w:val="18"/>
    </w:rPr>
  </w:style>
  <w:style w:type="table" w:customStyle="1" w:styleId="TableGrid2">
    <w:name w:val="Table Grid2"/>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Exposant 3 Point Char Char Char"/>
    <w:basedOn w:val="Normal"/>
    <w:rsid w:val="00F351E6"/>
    <w:pPr>
      <w:spacing w:after="160" w:line="240" w:lineRule="exact"/>
    </w:pPr>
    <w:rPr>
      <w:rFonts w:eastAsia="Calibri"/>
      <w:sz w:val="20"/>
      <w:vertAlign w:val="superscript"/>
    </w:rPr>
  </w:style>
  <w:style w:type="paragraph" w:customStyle="1" w:styleId="Bullet2">
    <w:name w:val="Bullet 2"/>
    <w:aliases w:val="Bullet2,BTBullet2"/>
    <w:basedOn w:val="Normal"/>
    <w:rsid w:val="00F351E6"/>
    <w:pPr>
      <w:tabs>
        <w:tab w:val="num" w:pos="1021"/>
      </w:tabs>
      <w:spacing w:before="120" w:after="120"/>
      <w:ind w:left="1021" w:hanging="341"/>
      <w:contextualSpacing/>
      <w:jc w:val="left"/>
    </w:pPr>
    <w:rPr>
      <w:rFonts w:ascii="Verdana" w:eastAsia="Calibri" w:hAnsi="Verdana"/>
      <w:color w:val="000000"/>
      <w:sz w:val="20"/>
      <w:szCs w:val="22"/>
      <w:lang w:eastAsia="en-GB"/>
    </w:rPr>
  </w:style>
  <w:style w:type="character" w:customStyle="1" w:styleId="CaptionChar">
    <w:name w:val="Caption Char"/>
    <w:aliases w:val="Caption PSP Char,Caption - Centre Graphic Char,Char Char Char Char,Caption1 Char Char Char Char Char Char Char Char Char,Caption1 Char Char Char Char Char Char Char Char Tegn Tegn Tegn Tegn Tegn Char,Char Char,C Char"/>
    <w:link w:val="C1"/>
    <w:rsid w:val="00F351E6"/>
    <w:rPr>
      <w:rFonts w:ascii="Calibri" w:eastAsia="Calibri" w:hAnsi="Calibri"/>
      <w:i/>
      <w:iCs/>
      <w:color w:val="1F497D"/>
      <w:sz w:val="18"/>
      <w:szCs w:val="18"/>
    </w:rPr>
  </w:style>
  <w:style w:type="paragraph" w:customStyle="1" w:styleId="Body">
    <w:name w:val="Body"/>
    <w:basedOn w:val="Normal"/>
    <w:link w:val="BodyChar"/>
    <w:rsid w:val="00F351E6"/>
    <w:pPr>
      <w:spacing w:before="120" w:after="120"/>
    </w:pPr>
    <w:rPr>
      <w:rFonts w:ascii="Verdana" w:eastAsia="Calibri" w:hAnsi="Verdana"/>
      <w:color w:val="000000"/>
      <w:sz w:val="20"/>
      <w:szCs w:val="22"/>
      <w:lang w:eastAsia="en-GB"/>
    </w:rPr>
  </w:style>
  <w:style w:type="character" w:customStyle="1" w:styleId="BodyChar">
    <w:name w:val="Body Char"/>
    <w:link w:val="Body"/>
    <w:rsid w:val="00F351E6"/>
    <w:rPr>
      <w:rFonts w:ascii="Verdana" w:eastAsia="Calibri" w:hAnsi="Verdana"/>
      <w:color w:val="000000"/>
      <w:sz w:val="20"/>
      <w:szCs w:val="22"/>
      <w:lang w:val="en-GB" w:eastAsia="en-GB"/>
    </w:rPr>
  </w:style>
  <w:style w:type="paragraph" w:customStyle="1" w:styleId="TableHeading">
    <w:name w:val="TableHeading"/>
    <w:aliases w:val="TableHeadingWhite"/>
    <w:basedOn w:val="Normal"/>
    <w:rsid w:val="00F351E6"/>
    <w:pPr>
      <w:spacing w:before="120" w:after="0"/>
      <w:ind w:left="113"/>
      <w:jc w:val="left"/>
    </w:pPr>
    <w:rPr>
      <w:rFonts w:ascii="Verdana" w:eastAsia="Calibri" w:hAnsi="Verdana"/>
      <w:b/>
      <w:color w:val="FFFFFF"/>
      <w:sz w:val="20"/>
      <w:szCs w:val="22"/>
      <w:lang w:eastAsia="en-GB"/>
    </w:rPr>
  </w:style>
  <w:style w:type="table" w:customStyle="1" w:styleId="TableGrid3">
    <w:name w:val="Table Grid3"/>
    <w:basedOn w:val="TableNormal"/>
    <w:next w:val="TableGrid"/>
    <w:locked/>
    <w:rsid w:val="00F351E6"/>
    <w:rPr>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SP">
    <w:name w:val="Bullet PSP"/>
    <w:basedOn w:val="Normal"/>
    <w:link w:val="BulletPSPChar"/>
    <w:rsid w:val="00F351E6"/>
    <w:pPr>
      <w:numPr>
        <w:numId w:val="3"/>
      </w:numPr>
      <w:spacing w:before="120" w:after="160" w:line="259" w:lineRule="auto"/>
      <w:contextualSpacing/>
    </w:pPr>
    <w:rPr>
      <w:rFonts w:ascii="Calibri" w:hAnsi="Calibri"/>
      <w:color w:val="000000"/>
      <w:szCs w:val="22"/>
    </w:rPr>
  </w:style>
  <w:style w:type="character" w:customStyle="1" w:styleId="BulletPSPChar">
    <w:name w:val="Bullet PSP Char"/>
    <w:link w:val="BulletPSP"/>
    <w:rsid w:val="00F351E6"/>
    <w:rPr>
      <w:rFonts w:ascii="Calibri" w:hAnsi="Calibri"/>
      <w:color w:val="000000"/>
      <w:szCs w:val="22"/>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rsid w:val="00F351E6"/>
    <w:pPr>
      <w:spacing w:after="160" w:line="240" w:lineRule="exact"/>
      <w:jc w:val="left"/>
    </w:pPr>
    <w:rPr>
      <w:rFonts w:ascii="Calibri" w:eastAsia="Calibri" w:hAnsi="Calibri"/>
      <w:sz w:val="22"/>
      <w:szCs w:val="22"/>
      <w:vertAlign w:val="superscript"/>
    </w:rPr>
  </w:style>
  <w:style w:type="table" w:customStyle="1" w:styleId="Table1-PSPbrand">
    <w:name w:val="Table 1 - PSP brand"/>
    <w:basedOn w:val="TableNormal"/>
    <w:rsid w:val="00F351E6"/>
    <w:rPr>
      <w:rFonts w:ascii="Calibri" w:eastAsia="Calibri" w:hAnsi="Calibri"/>
      <w:sz w:val="20"/>
      <w:lang w:eastAsia="en-GB"/>
    </w:rPr>
    <w:tblPr>
      <w:tblStyleRowBandSize w:val="1"/>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tcPr>
      <w:shd w:val="clear" w:color="auto" w:fill="FFFFFF"/>
    </w:tcPr>
    <w:tblStylePr w:type="firstRow">
      <w:rPr>
        <w:b/>
        <w:color w:val="4F81BD"/>
      </w:rPr>
      <w:tblPr/>
      <w:tcPr>
        <w:shd w:val="clear" w:color="auto" w:fill="000000"/>
      </w:tcPr>
    </w:tblStylePr>
    <w:tblStylePr w:type="band2Horz">
      <w:tblPr/>
      <w:tcPr>
        <w:shd w:val="clear" w:color="auto" w:fill="DDD9C3"/>
      </w:tcPr>
    </w:tblStylePr>
  </w:style>
  <w:style w:type="paragraph" w:customStyle="1" w:styleId="CM1">
    <w:name w:val="CM1"/>
    <w:basedOn w:val="Default"/>
    <w:next w:val="Default"/>
    <w:rsid w:val="00F351E6"/>
    <w:rPr>
      <w:rFonts w:ascii="EUAlbertina" w:hAnsi="EUAlbertina" w:cs="Times New Roman"/>
      <w:color w:val="auto"/>
    </w:rPr>
  </w:style>
  <w:style w:type="paragraph" w:styleId="HTMLPreformatted">
    <w:name w:val="HTML Preformatted"/>
    <w:basedOn w:val="Normal"/>
    <w:link w:val="HTMLPreformattedChar"/>
    <w:rsid w:val="00F35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lang w:eastAsia="en-GB"/>
    </w:rPr>
  </w:style>
  <w:style w:type="character" w:customStyle="1" w:styleId="HTMLPreformattedChar">
    <w:name w:val="HTML Preformatted Char"/>
    <w:basedOn w:val="DefaultParagraphFont"/>
    <w:link w:val="HTMLPreformatted"/>
    <w:rsid w:val="00F351E6"/>
    <w:rPr>
      <w:rFonts w:ascii="Courier New" w:hAnsi="Courier New" w:cs="Courier New"/>
      <w:sz w:val="20"/>
      <w:lang w:val="en-GB" w:eastAsia="en-GB"/>
    </w:rPr>
  </w:style>
  <w:style w:type="paragraph" w:customStyle="1" w:styleId="Normal1">
    <w:name w:val="Normal1"/>
    <w:basedOn w:val="Normal"/>
    <w:rsid w:val="00F351E6"/>
    <w:pPr>
      <w:spacing w:before="100" w:beforeAutospacing="1" w:after="100" w:afterAutospacing="1"/>
      <w:jc w:val="left"/>
    </w:pPr>
    <w:rPr>
      <w:szCs w:val="24"/>
      <w:lang w:eastAsia="en-GB"/>
    </w:rPr>
  </w:style>
  <w:style w:type="character" w:customStyle="1" w:styleId="super">
    <w:name w:val="super"/>
    <w:basedOn w:val="DefaultParagraphFont"/>
    <w:rsid w:val="00F351E6"/>
  </w:style>
  <w:style w:type="character" w:customStyle="1" w:styleId="Heading1Char1">
    <w:name w:val="Heading 1 Char1"/>
    <w:rsid w:val="00F351E6"/>
    <w:rPr>
      <w:rFonts w:ascii="Calibri Light" w:eastAsia="Times New Roman" w:hAnsi="Calibri Light" w:cs="Times New Roman"/>
      <w:color w:val="2E74B5"/>
      <w:sz w:val="32"/>
      <w:szCs w:val="32"/>
    </w:rPr>
  </w:style>
  <w:style w:type="character" w:customStyle="1" w:styleId="Heading2Char1">
    <w:name w:val="Heading 2 Char1"/>
    <w:rsid w:val="00F351E6"/>
    <w:rPr>
      <w:rFonts w:ascii="Calibri Light" w:eastAsia="Times New Roman" w:hAnsi="Calibri Light" w:cs="Times New Roman"/>
      <w:color w:val="2E74B5"/>
      <w:sz w:val="26"/>
      <w:szCs w:val="26"/>
    </w:rPr>
  </w:style>
  <w:style w:type="character" w:customStyle="1" w:styleId="Heading3Char1">
    <w:name w:val="Heading 3 Char1"/>
    <w:rsid w:val="00F351E6"/>
    <w:rPr>
      <w:rFonts w:ascii="Calibri Light" w:eastAsia="Times New Roman" w:hAnsi="Calibri Light" w:cs="Times New Roman"/>
      <w:color w:val="1F4D78"/>
      <w:sz w:val="24"/>
      <w:szCs w:val="24"/>
    </w:rPr>
  </w:style>
  <w:style w:type="character" w:customStyle="1" w:styleId="Heading4Char1">
    <w:name w:val="Heading 4 Char1"/>
    <w:rsid w:val="00F351E6"/>
    <w:rPr>
      <w:rFonts w:ascii="Calibri Light" w:eastAsia="Times New Roman" w:hAnsi="Calibri Light" w:cs="Times New Roman"/>
      <w:i/>
      <w:iCs/>
      <w:color w:val="2E74B5"/>
    </w:rPr>
  </w:style>
  <w:style w:type="character" w:customStyle="1" w:styleId="Heading5Char1">
    <w:name w:val="Heading 5 Char1"/>
    <w:rsid w:val="00F351E6"/>
    <w:rPr>
      <w:rFonts w:ascii="Calibri Light" w:eastAsia="Times New Roman" w:hAnsi="Calibri Light" w:cs="Times New Roman"/>
      <w:color w:val="2E74B5"/>
    </w:rPr>
  </w:style>
  <w:style w:type="paragraph" w:styleId="ListParagraph">
    <w:name w:val="List Paragraph"/>
    <w:basedOn w:val="Normal"/>
    <w:qFormat/>
    <w:rsid w:val="00F351E6"/>
    <w:pPr>
      <w:spacing w:after="160" w:line="259" w:lineRule="auto"/>
      <w:ind w:left="720"/>
      <w:contextualSpacing/>
      <w:jc w:val="left"/>
    </w:pPr>
    <w:rPr>
      <w:rFonts w:ascii="Calibri" w:eastAsia="Calibri" w:hAnsi="Calibri"/>
      <w:sz w:val="22"/>
      <w:szCs w:val="22"/>
    </w:rPr>
  </w:style>
  <w:style w:type="character" w:customStyle="1" w:styleId="FootnoteTextChar1">
    <w:name w:val="Footnote Text Char1"/>
    <w:rsid w:val="00F351E6"/>
    <w:rPr>
      <w:sz w:val="20"/>
    </w:rPr>
  </w:style>
  <w:style w:type="character" w:styleId="Hyperlink">
    <w:name w:val="Hyperlink"/>
    <w:uiPriority w:val="99"/>
    <w:rsid w:val="00F351E6"/>
    <w:rPr>
      <w:color w:val="0563C1"/>
      <w:u w:val="single"/>
    </w:rPr>
  </w:style>
  <w:style w:type="paragraph" w:styleId="BalloonText">
    <w:name w:val="Balloon Text"/>
    <w:basedOn w:val="Normal"/>
    <w:link w:val="BalloonTextChar1"/>
    <w:rsid w:val="00F351E6"/>
    <w:pPr>
      <w:spacing w:after="0"/>
      <w:jc w:val="left"/>
    </w:pPr>
    <w:rPr>
      <w:rFonts w:ascii="Segoe UI" w:eastAsia="Calibri" w:hAnsi="Segoe UI" w:cs="Segoe UI"/>
      <w:sz w:val="18"/>
      <w:szCs w:val="18"/>
    </w:rPr>
  </w:style>
  <w:style w:type="character" w:customStyle="1" w:styleId="BalloonTextChar1">
    <w:name w:val="Balloon Text Char1"/>
    <w:basedOn w:val="DefaultParagraphFont"/>
    <w:link w:val="BalloonText"/>
    <w:rsid w:val="00F351E6"/>
    <w:rPr>
      <w:rFonts w:ascii="Segoe UI" w:eastAsia="Calibri" w:hAnsi="Segoe UI" w:cs="Segoe UI"/>
      <w:sz w:val="18"/>
      <w:szCs w:val="18"/>
    </w:rPr>
  </w:style>
  <w:style w:type="paragraph" w:styleId="NoSpacing">
    <w:name w:val="No Spacing"/>
    <w:qFormat/>
    <w:rsid w:val="00F351E6"/>
    <w:rPr>
      <w:rFonts w:ascii="Calibri" w:eastAsia="Calibri" w:hAnsi="Calibri"/>
      <w:sz w:val="22"/>
      <w:szCs w:val="22"/>
      <w:lang w:eastAsia="en-GB"/>
    </w:rPr>
  </w:style>
  <w:style w:type="paragraph" w:styleId="CommentText">
    <w:name w:val="annotation text"/>
    <w:basedOn w:val="Normal"/>
    <w:link w:val="CommentTextChar1"/>
    <w:rsid w:val="00F351E6"/>
    <w:pPr>
      <w:spacing w:after="160"/>
      <w:jc w:val="left"/>
    </w:pPr>
    <w:rPr>
      <w:rFonts w:ascii="Calibri" w:eastAsia="Calibri" w:hAnsi="Calibri"/>
      <w:sz w:val="20"/>
    </w:rPr>
  </w:style>
  <w:style w:type="character" w:customStyle="1" w:styleId="CommentTextChar1">
    <w:name w:val="Comment Text Char1"/>
    <w:basedOn w:val="DefaultParagraphFont"/>
    <w:link w:val="CommentText"/>
    <w:rsid w:val="00F351E6"/>
    <w:rPr>
      <w:rFonts w:ascii="Calibri" w:eastAsia="Calibri" w:hAnsi="Calibri"/>
      <w:sz w:val="20"/>
    </w:rPr>
  </w:style>
  <w:style w:type="paragraph" w:styleId="CommentSubject">
    <w:name w:val="annotation subject"/>
    <w:basedOn w:val="CommentText"/>
    <w:next w:val="CommentText"/>
    <w:link w:val="CommentSubjectChar"/>
    <w:rsid w:val="00F351E6"/>
    <w:rPr>
      <w:rFonts w:ascii="Times New Roman" w:eastAsia="Times New Roman" w:hAnsi="Times New Roman"/>
      <w:b/>
      <w:bCs/>
    </w:rPr>
  </w:style>
  <w:style w:type="character" w:customStyle="1" w:styleId="CommentSubjectChar1">
    <w:name w:val="Comment Subject Char1"/>
    <w:basedOn w:val="CommentTextChar1"/>
    <w:rsid w:val="00F351E6"/>
    <w:rPr>
      <w:rFonts w:ascii="Calibri" w:eastAsia="Calibri" w:hAnsi="Calibri"/>
      <w:b/>
      <w:bCs/>
      <w:sz w:val="20"/>
    </w:rPr>
  </w:style>
  <w:style w:type="paragraph" w:styleId="NormalWeb">
    <w:name w:val="Normal (Web)"/>
    <w:basedOn w:val="Normal"/>
    <w:rsid w:val="00F351E6"/>
    <w:pPr>
      <w:spacing w:after="160" w:line="259" w:lineRule="auto"/>
      <w:jc w:val="left"/>
    </w:pPr>
    <w:rPr>
      <w:rFonts w:eastAsia="Calibri"/>
      <w:szCs w:val="24"/>
    </w:rPr>
  </w:style>
  <w:style w:type="paragraph" w:styleId="Revision">
    <w:name w:val="Revision"/>
    <w:hidden/>
    <w:rsid w:val="00F351E6"/>
    <w:rPr>
      <w:rFonts w:ascii="Calibri" w:eastAsia="Calibri" w:hAnsi="Calibri"/>
      <w:sz w:val="22"/>
      <w:szCs w:val="22"/>
      <w:lang w:eastAsia="en-GB"/>
    </w:rPr>
  </w:style>
  <w:style w:type="character" w:styleId="FollowedHyperlink">
    <w:name w:val="FollowedHyperlink"/>
    <w:rsid w:val="00F351E6"/>
    <w:rPr>
      <w:color w:val="954F72"/>
      <w:u w:val="single"/>
    </w:rPr>
  </w:style>
  <w:style w:type="character" w:customStyle="1" w:styleId="UnresolvedMention2">
    <w:name w:val="Unresolved Mention2"/>
    <w:rsid w:val="00F351E6"/>
    <w:rPr>
      <w:color w:val="605E5C"/>
      <w:shd w:val="clear" w:color="auto" w:fill="E1DFDD"/>
    </w:rPr>
  </w:style>
  <w:style w:type="paragraph" w:customStyle="1" w:styleId="oj-doc-ti">
    <w:name w:val="oj-doc-ti"/>
    <w:basedOn w:val="Normal"/>
    <w:rsid w:val="00F351E6"/>
    <w:pPr>
      <w:spacing w:before="100" w:beforeAutospacing="1" w:after="100" w:afterAutospacing="1"/>
      <w:jc w:val="left"/>
    </w:pPr>
    <w:rPr>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SUPERS,BVI fnr,Footnote symbol,note TESI,-E Fußnotenzeichen,Ref,de nota al pie,(NECG) Footnote Reference,Footnote number,Bodyfootnotes,Nota,Char1,FR,Appel note de bas de p,fr,o,fn Char1, BVI fnr,Style "/>
    <w:link w:val="16Point"/>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2"/>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1"/>
      </w:numPr>
    </w:pPr>
  </w:style>
  <w:style w:type="paragraph" w:customStyle="1" w:styleId="ContNumLevel2">
    <w:name w:val="ContNum (Level 2)"/>
    <w:basedOn w:val="Normal"/>
    <w:uiPriority w:val="20"/>
    <w:pPr>
      <w:numPr>
        <w:ilvl w:val="1"/>
        <w:numId w:val="21"/>
      </w:numPr>
    </w:pPr>
  </w:style>
  <w:style w:type="paragraph" w:customStyle="1" w:styleId="ContNumLevel3">
    <w:name w:val="ContNum (Level 3)"/>
    <w:basedOn w:val="Normal"/>
    <w:uiPriority w:val="20"/>
    <w:pPr>
      <w:numPr>
        <w:ilvl w:val="2"/>
        <w:numId w:val="21"/>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TBG Style,Footnote Text Char3 Char,Footnote Text Char2 Char Char,Footnote Text Char1 Char1 Char Char,Footnote Text Char2 Char Char Char1 Char,Footnote Text Char1 Char1 Char Char Char Char,Footnot,DTE-Voetnoottekst"/>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20"/>
      </w:numPr>
      <w:spacing w:line="360" w:lineRule="auto"/>
    </w:pPr>
  </w:style>
  <w:style w:type="paragraph" w:customStyle="1" w:styleId="LegalNumPar2">
    <w:name w:val="LegalNumPar2"/>
    <w:basedOn w:val="Normal"/>
    <w:uiPriority w:val="20"/>
    <w:pPr>
      <w:numPr>
        <w:ilvl w:val="1"/>
        <w:numId w:val="20"/>
      </w:numPr>
      <w:spacing w:line="360" w:lineRule="auto"/>
    </w:pPr>
  </w:style>
  <w:style w:type="paragraph" w:customStyle="1" w:styleId="LegalNumPar3">
    <w:name w:val="LegalNumPar3"/>
    <w:basedOn w:val="Normal"/>
    <w:uiPriority w:val="20"/>
    <w:pPr>
      <w:numPr>
        <w:ilvl w:val="2"/>
        <w:numId w:val="20"/>
      </w:numPr>
      <w:spacing w:line="360" w:lineRule="auto"/>
    </w:pPr>
  </w:style>
  <w:style w:type="paragraph" w:styleId="ListBullet">
    <w:name w:val="List Bullet"/>
    <w:basedOn w:val="Normal"/>
    <w:uiPriority w:val="35"/>
    <w:pPr>
      <w:numPr>
        <w:numId w:val="18"/>
      </w:numPr>
    </w:pPr>
  </w:style>
  <w:style w:type="paragraph" w:customStyle="1" w:styleId="ListBulletLevel2">
    <w:name w:val="List Bullet (Level 2)"/>
    <w:basedOn w:val="Normal"/>
    <w:uiPriority w:val="35"/>
    <w:semiHidden/>
    <w:unhideWhenUsed/>
    <w:pPr>
      <w:numPr>
        <w:ilvl w:val="1"/>
        <w:numId w:val="18"/>
      </w:numPr>
    </w:pPr>
  </w:style>
  <w:style w:type="paragraph" w:customStyle="1" w:styleId="ListBulletLevel3">
    <w:name w:val="List Bullet (Level 3)"/>
    <w:basedOn w:val="Normal"/>
    <w:uiPriority w:val="35"/>
    <w:semiHidden/>
    <w:unhideWhenUsed/>
    <w:pPr>
      <w:numPr>
        <w:ilvl w:val="2"/>
        <w:numId w:val="18"/>
      </w:numPr>
    </w:pPr>
  </w:style>
  <w:style w:type="paragraph" w:customStyle="1" w:styleId="ListBulletLevel4">
    <w:name w:val="List Bullet (Level 4)"/>
    <w:basedOn w:val="Normal"/>
    <w:uiPriority w:val="35"/>
    <w:semiHidden/>
    <w:unhideWhenUsed/>
    <w:pPr>
      <w:numPr>
        <w:ilvl w:val="3"/>
        <w:numId w:val="18"/>
      </w:numPr>
    </w:pPr>
  </w:style>
  <w:style w:type="paragraph" w:customStyle="1" w:styleId="ListBullet1">
    <w:name w:val="List Bullet 1"/>
    <w:basedOn w:val="Text1"/>
    <w:uiPriority w:val="35"/>
    <w:pPr>
      <w:numPr>
        <w:numId w:val="17"/>
      </w:numPr>
    </w:pPr>
  </w:style>
  <w:style w:type="paragraph" w:customStyle="1" w:styleId="ListBullet1Level2">
    <w:name w:val="List Bullet 1 (Level 2)"/>
    <w:basedOn w:val="Text1"/>
    <w:uiPriority w:val="35"/>
    <w:semiHidden/>
    <w:unhideWhenUsed/>
    <w:pPr>
      <w:numPr>
        <w:ilvl w:val="1"/>
        <w:numId w:val="17"/>
      </w:numPr>
    </w:pPr>
  </w:style>
  <w:style w:type="paragraph" w:customStyle="1" w:styleId="ListBullet1Level3">
    <w:name w:val="List Bullet 1 (Level 3)"/>
    <w:basedOn w:val="Text1"/>
    <w:uiPriority w:val="35"/>
    <w:semiHidden/>
    <w:unhideWhenUsed/>
    <w:pPr>
      <w:numPr>
        <w:ilvl w:val="2"/>
        <w:numId w:val="17"/>
      </w:numPr>
    </w:pPr>
  </w:style>
  <w:style w:type="paragraph" w:customStyle="1" w:styleId="ListBullet1Level4">
    <w:name w:val="List Bullet 1 (Level 4)"/>
    <w:basedOn w:val="Text1"/>
    <w:uiPriority w:val="35"/>
    <w:semiHidden/>
    <w:unhideWhenUsed/>
    <w:pPr>
      <w:numPr>
        <w:ilvl w:val="3"/>
        <w:numId w:val="17"/>
      </w:numPr>
    </w:pPr>
  </w:style>
  <w:style w:type="paragraph" w:styleId="ListBullet2">
    <w:name w:val="List Bullet 2"/>
    <w:basedOn w:val="Text2"/>
    <w:uiPriority w:val="35"/>
    <w:pPr>
      <w:numPr>
        <w:numId w:val="16"/>
      </w:numPr>
    </w:pPr>
  </w:style>
  <w:style w:type="paragraph" w:customStyle="1" w:styleId="ListBullet2Level2">
    <w:name w:val="List Bullet 2 (Level 2)"/>
    <w:basedOn w:val="Text2"/>
    <w:uiPriority w:val="35"/>
    <w:semiHidden/>
    <w:unhideWhenUsed/>
    <w:pPr>
      <w:numPr>
        <w:ilvl w:val="1"/>
        <w:numId w:val="16"/>
      </w:numPr>
    </w:pPr>
  </w:style>
  <w:style w:type="paragraph" w:customStyle="1" w:styleId="ListBullet2Level3">
    <w:name w:val="List Bullet 2 (Level 3)"/>
    <w:basedOn w:val="Text2"/>
    <w:uiPriority w:val="35"/>
    <w:semiHidden/>
    <w:unhideWhenUsed/>
    <w:pPr>
      <w:numPr>
        <w:ilvl w:val="2"/>
        <w:numId w:val="16"/>
      </w:numPr>
    </w:pPr>
  </w:style>
  <w:style w:type="paragraph" w:customStyle="1" w:styleId="ListBullet2Level4">
    <w:name w:val="List Bullet 2 (Level 4)"/>
    <w:basedOn w:val="Text2"/>
    <w:uiPriority w:val="35"/>
    <w:semiHidden/>
    <w:unhideWhenUsed/>
    <w:pPr>
      <w:numPr>
        <w:ilvl w:val="3"/>
        <w:numId w:val="16"/>
      </w:numPr>
    </w:pPr>
  </w:style>
  <w:style w:type="paragraph" w:styleId="ListBullet3">
    <w:name w:val="List Bullet 3"/>
    <w:basedOn w:val="Text3"/>
    <w:uiPriority w:val="35"/>
    <w:pPr>
      <w:numPr>
        <w:numId w:val="15"/>
      </w:numPr>
    </w:pPr>
  </w:style>
  <w:style w:type="paragraph" w:customStyle="1" w:styleId="ListBullet3Level2">
    <w:name w:val="List Bullet 3 (Level 2)"/>
    <w:basedOn w:val="Text3"/>
    <w:uiPriority w:val="35"/>
    <w:semiHidden/>
    <w:unhideWhenUsed/>
    <w:pPr>
      <w:numPr>
        <w:ilvl w:val="1"/>
        <w:numId w:val="15"/>
      </w:numPr>
    </w:pPr>
  </w:style>
  <w:style w:type="paragraph" w:customStyle="1" w:styleId="ListBullet3Level3">
    <w:name w:val="List Bullet 3 (Level 3)"/>
    <w:basedOn w:val="Text3"/>
    <w:uiPriority w:val="35"/>
    <w:semiHidden/>
    <w:unhideWhenUsed/>
    <w:pPr>
      <w:numPr>
        <w:ilvl w:val="2"/>
        <w:numId w:val="15"/>
      </w:numPr>
    </w:pPr>
  </w:style>
  <w:style w:type="paragraph" w:customStyle="1" w:styleId="ListBullet3Level4">
    <w:name w:val="List Bullet 3 (Level 4)"/>
    <w:basedOn w:val="Text3"/>
    <w:uiPriority w:val="35"/>
    <w:semiHidden/>
    <w:unhideWhenUsed/>
    <w:pPr>
      <w:numPr>
        <w:ilvl w:val="3"/>
        <w:numId w:val="15"/>
      </w:numPr>
    </w:pPr>
  </w:style>
  <w:style w:type="paragraph" w:styleId="ListBullet4">
    <w:name w:val="List Bullet 4"/>
    <w:basedOn w:val="Text4"/>
    <w:uiPriority w:val="35"/>
    <w:pPr>
      <w:numPr>
        <w:numId w:val="14"/>
      </w:numPr>
    </w:pPr>
  </w:style>
  <w:style w:type="paragraph" w:customStyle="1" w:styleId="ListBullet4Level2">
    <w:name w:val="List Bullet 4 (Level 2)"/>
    <w:basedOn w:val="Text4"/>
    <w:uiPriority w:val="35"/>
    <w:semiHidden/>
    <w:unhideWhenUsed/>
    <w:pPr>
      <w:numPr>
        <w:ilvl w:val="1"/>
        <w:numId w:val="14"/>
      </w:numPr>
    </w:pPr>
  </w:style>
  <w:style w:type="paragraph" w:customStyle="1" w:styleId="ListBullet4Level3">
    <w:name w:val="List Bullet 4 (Level 3)"/>
    <w:basedOn w:val="Text4"/>
    <w:uiPriority w:val="35"/>
    <w:semiHidden/>
    <w:unhideWhenUsed/>
    <w:pPr>
      <w:numPr>
        <w:ilvl w:val="2"/>
        <w:numId w:val="14"/>
      </w:numPr>
    </w:pPr>
  </w:style>
  <w:style w:type="paragraph" w:customStyle="1" w:styleId="ListBullet4Level4">
    <w:name w:val="List Bullet 4 (Level 4)"/>
    <w:basedOn w:val="Text4"/>
    <w:uiPriority w:val="35"/>
    <w:semiHidden/>
    <w:unhideWhenUsed/>
    <w:pPr>
      <w:numPr>
        <w:ilvl w:val="3"/>
        <w:numId w:val="14"/>
      </w:numPr>
    </w:pPr>
  </w:style>
  <w:style w:type="paragraph" w:customStyle="1" w:styleId="ListDash">
    <w:name w:val="List Dash"/>
    <w:basedOn w:val="Normal"/>
    <w:uiPriority w:val="35"/>
    <w:pPr>
      <w:numPr>
        <w:numId w:val="8"/>
      </w:numPr>
    </w:pPr>
  </w:style>
  <w:style w:type="paragraph" w:customStyle="1" w:styleId="ListDashLevel2">
    <w:name w:val="List Dash (Level 2)"/>
    <w:basedOn w:val="Normal"/>
    <w:semiHidden/>
    <w:unhideWhenUsed/>
    <w:pPr>
      <w:numPr>
        <w:ilvl w:val="1"/>
        <w:numId w:val="8"/>
      </w:numPr>
    </w:pPr>
  </w:style>
  <w:style w:type="paragraph" w:customStyle="1" w:styleId="ListDashLevel3">
    <w:name w:val="List Dash (Level 3)"/>
    <w:basedOn w:val="Normal"/>
    <w:semiHidden/>
    <w:unhideWhenUsed/>
    <w:pPr>
      <w:numPr>
        <w:ilvl w:val="2"/>
        <w:numId w:val="8"/>
      </w:numPr>
    </w:pPr>
  </w:style>
  <w:style w:type="paragraph" w:customStyle="1" w:styleId="ListDashLevel4">
    <w:name w:val="List Dash (Level 4)"/>
    <w:basedOn w:val="Normal"/>
    <w:semiHidden/>
    <w:unhideWhenUsed/>
    <w:pPr>
      <w:numPr>
        <w:ilvl w:val="3"/>
        <w:numId w:val="8"/>
      </w:numPr>
    </w:pPr>
  </w:style>
  <w:style w:type="paragraph" w:customStyle="1" w:styleId="ListDash1">
    <w:name w:val="List Dash 1"/>
    <w:basedOn w:val="Text1"/>
    <w:uiPriority w:val="35"/>
    <w:pPr>
      <w:numPr>
        <w:numId w:val="7"/>
      </w:numPr>
    </w:pPr>
  </w:style>
  <w:style w:type="paragraph" w:customStyle="1" w:styleId="ListDash1Level2">
    <w:name w:val="List Dash 1 (Level 2)"/>
    <w:basedOn w:val="Text1"/>
    <w:uiPriority w:val="35"/>
    <w:semiHidden/>
    <w:unhideWhenUsed/>
    <w:pPr>
      <w:numPr>
        <w:ilvl w:val="1"/>
        <w:numId w:val="7"/>
      </w:numPr>
    </w:pPr>
  </w:style>
  <w:style w:type="paragraph" w:customStyle="1" w:styleId="ListDash1Level3">
    <w:name w:val="List Dash 1 (Level 3)"/>
    <w:basedOn w:val="Text1"/>
    <w:uiPriority w:val="35"/>
    <w:semiHidden/>
    <w:unhideWhenUsed/>
    <w:pPr>
      <w:numPr>
        <w:ilvl w:val="2"/>
        <w:numId w:val="7"/>
      </w:numPr>
    </w:pPr>
  </w:style>
  <w:style w:type="paragraph" w:customStyle="1" w:styleId="ListDash1Level4">
    <w:name w:val="List Dash 1 (Level 4)"/>
    <w:basedOn w:val="Text1"/>
    <w:uiPriority w:val="35"/>
    <w:semiHidden/>
    <w:unhideWhenUsed/>
    <w:pPr>
      <w:numPr>
        <w:ilvl w:val="3"/>
        <w:numId w:val="7"/>
      </w:numPr>
    </w:pPr>
  </w:style>
  <w:style w:type="paragraph" w:customStyle="1" w:styleId="ListDash2">
    <w:name w:val="List Dash 2"/>
    <w:basedOn w:val="Text2"/>
    <w:uiPriority w:val="35"/>
    <w:pPr>
      <w:numPr>
        <w:numId w:val="6"/>
      </w:numPr>
    </w:pPr>
  </w:style>
  <w:style w:type="paragraph" w:customStyle="1" w:styleId="ListDash2Level2">
    <w:name w:val="List Dash 2 (Level 2)"/>
    <w:basedOn w:val="Text2"/>
    <w:uiPriority w:val="35"/>
    <w:semiHidden/>
    <w:unhideWhenUsed/>
    <w:pPr>
      <w:numPr>
        <w:ilvl w:val="1"/>
        <w:numId w:val="6"/>
      </w:numPr>
    </w:pPr>
  </w:style>
  <w:style w:type="paragraph" w:customStyle="1" w:styleId="ListDash2Level3">
    <w:name w:val="List Dash 2 (Level 3)"/>
    <w:basedOn w:val="Text2"/>
    <w:uiPriority w:val="35"/>
    <w:semiHidden/>
    <w:unhideWhenUsed/>
    <w:pPr>
      <w:numPr>
        <w:ilvl w:val="2"/>
        <w:numId w:val="6"/>
      </w:numPr>
    </w:pPr>
  </w:style>
  <w:style w:type="paragraph" w:customStyle="1" w:styleId="ListDash2Level4">
    <w:name w:val="List Dash 2 (Level 4)"/>
    <w:basedOn w:val="Text2"/>
    <w:uiPriority w:val="35"/>
    <w:semiHidden/>
    <w:unhideWhenUsed/>
    <w:pPr>
      <w:numPr>
        <w:ilvl w:val="3"/>
        <w:numId w:val="6"/>
      </w:numPr>
    </w:pPr>
  </w:style>
  <w:style w:type="paragraph" w:customStyle="1" w:styleId="ListDash3">
    <w:name w:val="List Dash 3"/>
    <w:basedOn w:val="Text3"/>
    <w:uiPriority w:val="35"/>
    <w:pPr>
      <w:numPr>
        <w:numId w:val="5"/>
      </w:numPr>
    </w:pPr>
  </w:style>
  <w:style w:type="paragraph" w:customStyle="1" w:styleId="ListDash3Level2">
    <w:name w:val="List Dash 3 (Level 2)"/>
    <w:basedOn w:val="Text3"/>
    <w:uiPriority w:val="35"/>
    <w:semiHidden/>
    <w:unhideWhenUsed/>
    <w:pPr>
      <w:numPr>
        <w:ilvl w:val="1"/>
        <w:numId w:val="5"/>
      </w:numPr>
    </w:pPr>
  </w:style>
  <w:style w:type="paragraph" w:customStyle="1" w:styleId="ListDash3Level3">
    <w:name w:val="List Dash 3 (Level 3)"/>
    <w:basedOn w:val="Text3"/>
    <w:uiPriority w:val="35"/>
    <w:semiHidden/>
    <w:unhideWhenUsed/>
    <w:pPr>
      <w:numPr>
        <w:ilvl w:val="2"/>
        <w:numId w:val="5"/>
      </w:numPr>
    </w:pPr>
  </w:style>
  <w:style w:type="paragraph" w:customStyle="1" w:styleId="ListDash3Level4">
    <w:name w:val="List Dash 3 (Level 4)"/>
    <w:basedOn w:val="Text3"/>
    <w:uiPriority w:val="35"/>
    <w:semiHidden/>
    <w:unhideWhenUsed/>
    <w:pPr>
      <w:numPr>
        <w:ilvl w:val="3"/>
        <w:numId w:val="5"/>
      </w:numPr>
    </w:pPr>
  </w:style>
  <w:style w:type="paragraph" w:customStyle="1" w:styleId="ListDash4">
    <w:name w:val="List Dash 4"/>
    <w:basedOn w:val="Text4"/>
    <w:uiPriority w:val="35"/>
    <w:pPr>
      <w:numPr>
        <w:numId w:val="4"/>
      </w:numPr>
    </w:pPr>
  </w:style>
  <w:style w:type="paragraph" w:customStyle="1" w:styleId="ListDash4Level2">
    <w:name w:val="List Dash 4 (Level 2)"/>
    <w:basedOn w:val="Text4"/>
    <w:uiPriority w:val="35"/>
    <w:semiHidden/>
    <w:unhideWhenUsed/>
    <w:pPr>
      <w:numPr>
        <w:ilvl w:val="1"/>
        <w:numId w:val="4"/>
      </w:numPr>
    </w:pPr>
  </w:style>
  <w:style w:type="paragraph" w:customStyle="1" w:styleId="ListDash4Level3">
    <w:name w:val="List Dash 4 (Level 3)"/>
    <w:basedOn w:val="Text4"/>
    <w:uiPriority w:val="35"/>
    <w:semiHidden/>
    <w:unhideWhenUsed/>
    <w:pPr>
      <w:numPr>
        <w:ilvl w:val="2"/>
        <w:numId w:val="4"/>
      </w:numPr>
    </w:pPr>
  </w:style>
  <w:style w:type="paragraph" w:customStyle="1" w:styleId="ListDash4Level4">
    <w:name w:val="List Dash 4 (Level 4)"/>
    <w:basedOn w:val="Text4"/>
    <w:uiPriority w:val="35"/>
    <w:semiHidden/>
    <w:unhideWhenUsed/>
    <w:pPr>
      <w:numPr>
        <w:ilvl w:val="3"/>
        <w:numId w:val="4"/>
      </w:numPr>
    </w:pPr>
  </w:style>
  <w:style w:type="paragraph" w:styleId="ListNumber">
    <w:name w:val="List Number"/>
    <w:basedOn w:val="Normal"/>
    <w:uiPriority w:val="30"/>
    <w:pPr>
      <w:numPr>
        <w:numId w:val="13"/>
      </w:numPr>
    </w:pPr>
  </w:style>
  <w:style w:type="paragraph" w:customStyle="1" w:styleId="ListNumberLevel2">
    <w:name w:val="List Number (Level 2)"/>
    <w:basedOn w:val="Normal"/>
    <w:uiPriority w:val="30"/>
    <w:pPr>
      <w:numPr>
        <w:ilvl w:val="1"/>
        <w:numId w:val="13"/>
      </w:numPr>
    </w:pPr>
  </w:style>
  <w:style w:type="paragraph" w:customStyle="1" w:styleId="ListNumberLevel3">
    <w:name w:val="List Number (Level 3)"/>
    <w:basedOn w:val="Normal"/>
    <w:uiPriority w:val="30"/>
    <w:pPr>
      <w:numPr>
        <w:ilvl w:val="2"/>
        <w:numId w:val="13"/>
      </w:numPr>
    </w:pPr>
  </w:style>
  <w:style w:type="paragraph" w:customStyle="1" w:styleId="ListNumberLevel4">
    <w:name w:val="List Number (Level 4)"/>
    <w:basedOn w:val="Normal"/>
    <w:uiPriority w:val="30"/>
    <w:pPr>
      <w:numPr>
        <w:ilvl w:val="3"/>
        <w:numId w:val="13"/>
      </w:numPr>
    </w:pPr>
  </w:style>
  <w:style w:type="paragraph" w:customStyle="1" w:styleId="ListNumber1">
    <w:name w:val="List Number 1"/>
    <w:basedOn w:val="Text1"/>
    <w:uiPriority w:val="30"/>
    <w:pPr>
      <w:numPr>
        <w:numId w:val="12"/>
      </w:numPr>
      <w:tabs>
        <w:tab w:val="clear" w:pos="1191"/>
        <w:tab w:val="num" w:pos="360"/>
      </w:tabs>
      <w:ind w:left="482" w:firstLine="0"/>
    </w:pPr>
  </w:style>
  <w:style w:type="paragraph" w:customStyle="1" w:styleId="ListNumber1Level2">
    <w:name w:val="List Number 1 (Level 2)"/>
    <w:basedOn w:val="Text1"/>
    <w:uiPriority w:val="30"/>
    <w:unhideWhenUsed/>
    <w:pPr>
      <w:numPr>
        <w:ilvl w:val="1"/>
        <w:numId w:val="12"/>
      </w:numPr>
      <w:tabs>
        <w:tab w:val="clear" w:pos="1899"/>
        <w:tab w:val="num" w:pos="360"/>
      </w:tabs>
      <w:ind w:left="482" w:firstLine="0"/>
    </w:pPr>
  </w:style>
  <w:style w:type="paragraph" w:customStyle="1" w:styleId="ListNumber1Level3">
    <w:name w:val="List Number 1 (Level 3)"/>
    <w:basedOn w:val="Text1"/>
    <w:uiPriority w:val="30"/>
    <w:semiHidden/>
    <w:unhideWhenUsed/>
    <w:pPr>
      <w:numPr>
        <w:ilvl w:val="2"/>
        <w:numId w:val="12"/>
      </w:numPr>
      <w:tabs>
        <w:tab w:val="clear" w:pos="2608"/>
        <w:tab w:val="num" w:pos="360"/>
      </w:tabs>
      <w:ind w:left="482" w:firstLine="0"/>
    </w:pPr>
  </w:style>
  <w:style w:type="paragraph" w:customStyle="1" w:styleId="ListNumber1Level4">
    <w:name w:val="List Number 1 (Level 4)"/>
    <w:basedOn w:val="Text1"/>
    <w:uiPriority w:val="30"/>
    <w:semiHidden/>
    <w:unhideWhenUsed/>
    <w:pPr>
      <w:numPr>
        <w:ilvl w:val="3"/>
        <w:numId w:val="12"/>
      </w:numPr>
      <w:tabs>
        <w:tab w:val="clear" w:pos="3317"/>
        <w:tab w:val="num" w:pos="360"/>
      </w:tabs>
      <w:ind w:left="482" w:firstLine="0"/>
    </w:pPr>
  </w:style>
  <w:style w:type="paragraph" w:styleId="ListNumber2">
    <w:name w:val="List Number 2"/>
    <w:basedOn w:val="Text2"/>
    <w:uiPriority w:val="30"/>
    <w:pPr>
      <w:numPr>
        <w:numId w:val="11"/>
      </w:numPr>
    </w:pPr>
  </w:style>
  <w:style w:type="paragraph" w:customStyle="1" w:styleId="ListNumber2Level2">
    <w:name w:val="List Number 2 (Level 2)"/>
    <w:basedOn w:val="Text2"/>
    <w:uiPriority w:val="30"/>
    <w:semiHidden/>
    <w:unhideWhenUsed/>
    <w:pPr>
      <w:numPr>
        <w:ilvl w:val="1"/>
        <w:numId w:val="11"/>
      </w:numPr>
    </w:pPr>
  </w:style>
  <w:style w:type="paragraph" w:customStyle="1" w:styleId="ListNumber2Level3">
    <w:name w:val="List Number 2 (Level 3)"/>
    <w:basedOn w:val="Text2"/>
    <w:uiPriority w:val="30"/>
    <w:semiHidden/>
    <w:unhideWhenUsed/>
    <w:pPr>
      <w:numPr>
        <w:ilvl w:val="2"/>
        <w:numId w:val="11"/>
      </w:numPr>
    </w:pPr>
  </w:style>
  <w:style w:type="paragraph" w:customStyle="1" w:styleId="ListNumber2Level4">
    <w:name w:val="List Number 2 (Level 4)"/>
    <w:basedOn w:val="Text2"/>
    <w:uiPriority w:val="30"/>
    <w:semiHidden/>
    <w:unhideWhenUsed/>
    <w:pPr>
      <w:numPr>
        <w:ilvl w:val="3"/>
        <w:numId w:val="11"/>
      </w:numPr>
    </w:pPr>
  </w:style>
  <w:style w:type="paragraph" w:styleId="ListNumber3">
    <w:name w:val="List Number 3"/>
    <w:basedOn w:val="Text3"/>
    <w:uiPriority w:val="30"/>
    <w:pPr>
      <w:numPr>
        <w:numId w:val="10"/>
      </w:numPr>
    </w:pPr>
  </w:style>
  <w:style w:type="paragraph" w:customStyle="1" w:styleId="ListNumber3Level2">
    <w:name w:val="List Number 3 (Level 2)"/>
    <w:basedOn w:val="Text3"/>
    <w:uiPriority w:val="30"/>
    <w:semiHidden/>
    <w:unhideWhenUsed/>
    <w:pPr>
      <w:numPr>
        <w:ilvl w:val="1"/>
        <w:numId w:val="10"/>
      </w:numPr>
    </w:pPr>
  </w:style>
  <w:style w:type="paragraph" w:customStyle="1" w:styleId="ListNumber3Level3">
    <w:name w:val="List Number 3 (Level 3)"/>
    <w:basedOn w:val="Text3"/>
    <w:uiPriority w:val="30"/>
    <w:semiHidden/>
    <w:unhideWhenUsed/>
    <w:pPr>
      <w:numPr>
        <w:ilvl w:val="2"/>
        <w:numId w:val="10"/>
      </w:numPr>
    </w:pPr>
  </w:style>
  <w:style w:type="paragraph" w:customStyle="1" w:styleId="ListNumber3Level4">
    <w:name w:val="List Number 3 (Level 4)"/>
    <w:basedOn w:val="Text3"/>
    <w:uiPriority w:val="30"/>
    <w:semiHidden/>
    <w:unhideWhenUsed/>
    <w:pPr>
      <w:numPr>
        <w:ilvl w:val="3"/>
        <w:numId w:val="10"/>
      </w:numPr>
    </w:pPr>
  </w:style>
  <w:style w:type="paragraph" w:styleId="ListNumber4">
    <w:name w:val="List Number 4"/>
    <w:basedOn w:val="Text4"/>
    <w:uiPriority w:val="30"/>
    <w:pPr>
      <w:numPr>
        <w:numId w:val="9"/>
      </w:numPr>
    </w:pPr>
  </w:style>
  <w:style w:type="paragraph" w:customStyle="1" w:styleId="ListNumber4Level2">
    <w:name w:val="List Number 4 (Level 2)"/>
    <w:basedOn w:val="Text4"/>
    <w:uiPriority w:val="30"/>
    <w:semiHidden/>
    <w:unhideWhenUsed/>
    <w:pPr>
      <w:numPr>
        <w:ilvl w:val="1"/>
        <w:numId w:val="9"/>
      </w:numPr>
    </w:pPr>
  </w:style>
  <w:style w:type="paragraph" w:customStyle="1" w:styleId="ListNumber4Level3">
    <w:name w:val="List Number 4 (Level 3)"/>
    <w:basedOn w:val="Text4"/>
    <w:uiPriority w:val="30"/>
    <w:semiHidden/>
    <w:unhideWhenUsed/>
    <w:pPr>
      <w:numPr>
        <w:ilvl w:val="2"/>
        <w:numId w:val="9"/>
      </w:numPr>
    </w:pPr>
  </w:style>
  <w:style w:type="paragraph" w:customStyle="1" w:styleId="ListNumber4Level4">
    <w:name w:val="List Number 4 (Level 4)"/>
    <w:basedOn w:val="Text4"/>
    <w:uiPriority w:val="30"/>
    <w:semiHidden/>
    <w:unhideWhenUsed/>
    <w:pPr>
      <w:numPr>
        <w:ilvl w:val="3"/>
        <w:numId w:val="9"/>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3"/>
      </w:numPr>
    </w:pPr>
  </w:style>
  <w:style w:type="paragraph" w:customStyle="1" w:styleId="TableListBulletLevel2">
    <w:name w:val="Table List Bullet (Level 2)"/>
    <w:basedOn w:val="TableText"/>
    <w:uiPriority w:val="55"/>
    <w:semiHidden/>
    <w:unhideWhenUsed/>
    <w:pPr>
      <w:numPr>
        <w:ilvl w:val="1"/>
        <w:numId w:val="23"/>
      </w:numPr>
    </w:pPr>
  </w:style>
  <w:style w:type="paragraph" w:customStyle="1" w:styleId="TableListBulletLevel3">
    <w:name w:val="Table List Bullet (Level 3)"/>
    <w:basedOn w:val="TableText"/>
    <w:uiPriority w:val="55"/>
    <w:semiHidden/>
    <w:unhideWhenUsed/>
    <w:pPr>
      <w:numPr>
        <w:ilvl w:val="2"/>
        <w:numId w:val="23"/>
      </w:numPr>
    </w:pPr>
  </w:style>
  <w:style w:type="paragraph" w:customStyle="1" w:styleId="TableListBulletLevel4">
    <w:name w:val="Table List Bullet (Level 4)"/>
    <w:basedOn w:val="TableText"/>
    <w:uiPriority w:val="55"/>
    <w:semiHidden/>
    <w:unhideWhenUsed/>
    <w:pPr>
      <w:numPr>
        <w:ilvl w:val="3"/>
        <w:numId w:val="23"/>
      </w:numPr>
    </w:pPr>
  </w:style>
  <w:style w:type="paragraph" w:customStyle="1" w:styleId="TableListDash">
    <w:name w:val="Table List Dash"/>
    <w:basedOn w:val="TableText"/>
    <w:uiPriority w:val="55"/>
    <w:pPr>
      <w:numPr>
        <w:numId w:val="24"/>
      </w:numPr>
    </w:pPr>
  </w:style>
  <w:style w:type="paragraph" w:customStyle="1" w:styleId="TableListDashLevel2">
    <w:name w:val="Table List Dash (Level 2)"/>
    <w:basedOn w:val="TableText"/>
    <w:uiPriority w:val="55"/>
    <w:semiHidden/>
    <w:unhideWhenUsed/>
    <w:pPr>
      <w:numPr>
        <w:ilvl w:val="1"/>
        <w:numId w:val="24"/>
      </w:numPr>
    </w:pPr>
  </w:style>
  <w:style w:type="paragraph" w:customStyle="1" w:styleId="TableListDashLevel3">
    <w:name w:val="Table List Dash (Level 3)"/>
    <w:basedOn w:val="TableText"/>
    <w:uiPriority w:val="55"/>
    <w:semiHidden/>
    <w:unhideWhenUsed/>
    <w:pPr>
      <w:numPr>
        <w:ilvl w:val="2"/>
        <w:numId w:val="24"/>
      </w:numPr>
    </w:pPr>
  </w:style>
  <w:style w:type="paragraph" w:customStyle="1" w:styleId="TableListDashLevel4">
    <w:name w:val="Table List Dash (Level 4)"/>
    <w:basedOn w:val="TableText"/>
    <w:uiPriority w:val="55"/>
    <w:semiHidden/>
    <w:unhideWhenUsed/>
    <w:pPr>
      <w:numPr>
        <w:ilvl w:val="3"/>
        <w:numId w:val="24"/>
      </w:numPr>
    </w:pPr>
  </w:style>
  <w:style w:type="paragraph" w:customStyle="1" w:styleId="TableListNumber">
    <w:name w:val="Table List Number"/>
    <w:basedOn w:val="TableText"/>
    <w:uiPriority w:val="55"/>
    <w:pPr>
      <w:numPr>
        <w:numId w:val="25"/>
      </w:numPr>
    </w:pPr>
  </w:style>
  <w:style w:type="paragraph" w:customStyle="1" w:styleId="TableListNumberLevel2">
    <w:name w:val="Table List Number (Level 2)"/>
    <w:basedOn w:val="TableText"/>
    <w:uiPriority w:val="55"/>
    <w:semiHidden/>
    <w:unhideWhenUsed/>
    <w:pPr>
      <w:numPr>
        <w:ilvl w:val="1"/>
        <w:numId w:val="25"/>
      </w:numPr>
    </w:pPr>
  </w:style>
  <w:style w:type="paragraph" w:customStyle="1" w:styleId="TableListNumberLevel3">
    <w:name w:val="Table List Number (Level 3)"/>
    <w:basedOn w:val="TableText"/>
    <w:uiPriority w:val="55"/>
    <w:semiHidden/>
    <w:unhideWhenUsed/>
    <w:pPr>
      <w:numPr>
        <w:ilvl w:val="2"/>
        <w:numId w:val="25"/>
      </w:numPr>
    </w:pPr>
  </w:style>
  <w:style w:type="paragraph" w:customStyle="1" w:styleId="TableListNumberLevel4">
    <w:name w:val="Table List Number (Level 4)"/>
    <w:basedOn w:val="TableText"/>
    <w:uiPriority w:val="55"/>
    <w:semiHidden/>
    <w:unhideWhenUsed/>
    <w:pPr>
      <w:numPr>
        <w:ilvl w:val="3"/>
        <w:numId w:val="25"/>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UnresolvedMention">
    <w:name w:val="Unresolved Mention"/>
    <w:basedOn w:val="DefaultParagraphFont"/>
    <w:uiPriority w:val="99"/>
    <w:semiHidden/>
    <w:unhideWhenUsed/>
    <w:rsid w:val="004123CD"/>
    <w:rPr>
      <w:color w:val="605E5C"/>
      <w:shd w:val="clear" w:color="auto" w:fill="E1DFDD"/>
    </w:rPr>
  </w:style>
  <w:style w:type="paragraph" w:customStyle="1" w:styleId="paragraph">
    <w:name w:val="paragraph"/>
    <w:basedOn w:val="Normal"/>
    <w:rsid w:val="004123CD"/>
    <w:pPr>
      <w:spacing w:before="100" w:beforeAutospacing="1" w:after="100" w:afterAutospacing="1"/>
      <w:jc w:val="left"/>
    </w:pPr>
    <w:rPr>
      <w:szCs w:val="24"/>
      <w:lang w:val="en-IE" w:eastAsia="en-IE"/>
    </w:rPr>
  </w:style>
  <w:style w:type="character" w:customStyle="1" w:styleId="normaltextrun">
    <w:name w:val="normaltextrun"/>
    <w:basedOn w:val="DefaultParagraphFont"/>
    <w:rsid w:val="004123CD"/>
  </w:style>
  <w:style w:type="character" w:customStyle="1" w:styleId="eop">
    <w:name w:val="eop"/>
    <w:basedOn w:val="DefaultParagraphFont"/>
    <w:rsid w:val="004123CD"/>
  </w:style>
  <w:style w:type="character" w:customStyle="1" w:styleId="superscript">
    <w:name w:val="superscript"/>
    <w:basedOn w:val="DefaultParagraphFont"/>
    <w:rsid w:val="004123CD"/>
  </w:style>
  <w:style w:type="character" w:customStyle="1" w:styleId="Mention">
    <w:name w:val="Mention"/>
    <w:basedOn w:val="DefaultParagraphFont"/>
    <w:uiPriority w:val="99"/>
    <w:unhideWhenUsed/>
    <w:rsid w:val="00CC2351"/>
    <w:rPr>
      <w:color w:val="2B579A"/>
      <w:shd w:val="clear" w:color="auto" w:fill="E1DFDD"/>
    </w:rPr>
  </w:style>
  <w:style w:type="paragraph" w:customStyle="1" w:styleId="Languesfaisantfoi">
    <w:name w:val="Langues faisant foi"/>
    <w:basedOn w:val="Normal"/>
    <w:next w:val="Normal"/>
    <w:rsid w:val="0076530B"/>
    <w:pPr>
      <w:spacing w:before="360"/>
      <w:jc w:val="center"/>
    </w:pPr>
    <w:rPr>
      <w:rFonts w:eastAsiaTheme="minorHAnsi"/>
      <w:szCs w:val="22"/>
    </w:rPr>
  </w:style>
  <w:style w:type="paragraph" w:customStyle="1" w:styleId="LanguesfaisantfoiPagedecouverture">
    <w:name w:val="Langues faisant foi (Page de couverture)"/>
    <w:basedOn w:val="Normal"/>
    <w:next w:val="Normal"/>
    <w:rsid w:val="0076530B"/>
    <w:pPr>
      <w:spacing w:before="360"/>
      <w:jc w:val="center"/>
    </w:pPr>
    <w:rPr>
      <w:rFonts w:eastAsiaTheme="minorHAnsi"/>
      <w:szCs w:val="22"/>
    </w:rPr>
  </w:style>
  <w:style w:type="paragraph" w:customStyle="1" w:styleId="IntrtEEE">
    <w:name w:val="Intérêt EEE"/>
    <w:basedOn w:val="Languesfaisantfoi"/>
    <w:next w:val="Normal"/>
    <w:rsid w:val="0076530B"/>
    <w:pPr>
      <w:spacing w:after="0"/>
    </w:pPr>
  </w:style>
  <w:style w:type="paragraph" w:customStyle="1" w:styleId="IntrtEEEPagedecouverture">
    <w:name w:val="Intérêt EEE (Page de couverture)"/>
    <w:basedOn w:val="IntrtEEE"/>
    <w:next w:val="Normal"/>
    <w:rsid w:val="00765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432395">
      <w:bodyDiv w:val="1"/>
      <w:marLeft w:val="0"/>
      <w:marRight w:val="0"/>
      <w:marTop w:val="0"/>
      <w:marBottom w:val="0"/>
      <w:divBdr>
        <w:top w:val="none" w:sz="0" w:space="0" w:color="auto"/>
        <w:left w:val="none" w:sz="0" w:space="0" w:color="auto"/>
        <w:bottom w:val="none" w:sz="0" w:space="0" w:color="auto"/>
        <w:right w:val="none" w:sz="0" w:space="0" w:color="auto"/>
      </w:divBdr>
      <w:divsChild>
        <w:div w:id="778178327">
          <w:marLeft w:val="0"/>
          <w:marRight w:val="0"/>
          <w:marTop w:val="0"/>
          <w:marBottom w:val="0"/>
          <w:divBdr>
            <w:top w:val="none" w:sz="0" w:space="0" w:color="auto"/>
            <w:left w:val="none" w:sz="0" w:space="0" w:color="auto"/>
            <w:bottom w:val="none" w:sz="0" w:space="0" w:color="auto"/>
            <w:right w:val="none" w:sz="0" w:space="0" w:color="auto"/>
          </w:divBdr>
        </w:div>
        <w:div w:id="835921094">
          <w:marLeft w:val="0"/>
          <w:marRight w:val="0"/>
          <w:marTop w:val="0"/>
          <w:marBottom w:val="0"/>
          <w:divBdr>
            <w:top w:val="none" w:sz="0" w:space="0" w:color="auto"/>
            <w:left w:val="none" w:sz="0" w:space="0" w:color="auto"/>
            <w:bottom w:val="none" w:sz="0" w:space="0" w:color="auto"/>
            <w:right w:val="none" w:sz="0" w:space="0" w:color="auto"/>
          </w:divBdr>
        </w:div>
        <w:div w:id="1279987364">
          <w:marLeft w:val="0"/>
          <w:marRight w:val="0"/>
          <w:marTop w:val="0"/>
          <w:marBottom w:val="0"/>
          <w:divBdr>
            <w:top w:val="none" w:sz="0" w:space="0" w:color="auto"/>
            <w:left w:val="none" w:sz="0" w:space="0" w:color="auto"/>
            <w:bottom w:val="none" w:sz="0" w:space="0" w:color="auto"/>
            <w:right w:val="none" w:sz="0" w:space="0" w:color="auto"/>
          </w:divBdr>
        </w:div>
        <w:div w:id="1836728788">
          <w:marLeft w:val="0"/>
          <w:marRight w:val="0"/>
          <w:marTop w:val="0"/>
          <w:marBottom w:val="0"/>
          <w:divBdr>
            <w:top w:val="none" w:sz="0" w:space="0" w:color="auto"/>
            <w:left w:val="none" w:sz="0" w:space="0" w:color="auto"/>
            <w:bottom w:val="none" w:sz="0" w:space="0" w:color="auto"/>
            <w:right w:val="none" w:sz="0" w:space="0" w:color="auto"/>
          </w:divBdr>
        </w:div>
      </w:divsChild>
    </w:div>
    <w:div w:id="265424624">
      <w:bodyDiv w:val="1"/>
      <w:marLeft w:val="0"/>
      <w:marRight w:val="0"/>
      <w:marTop w:val="0"/>
      <w:marBottom w:val="0"/>
      <w:divBdr>
        <w:top w:val="none" w:sz="0" w:space="0" w:color="auto"/>
        <w:left w:val="none" w:sz="0" w:space="0" w:color="auto"/>
        <w:bottom w:val="none" w:sz="0" w:space="0" w:color="auto"/>
        <w:right w:val="none" w:sz="0" w:space="0" w:color="auto"/>
      </w:divBdr>
    </w:div>
    <w:div w:id="345329421">
      <w:bodyDiv w:val="1"/>
      <w:marLeft w:val="0"/>
      <w:marRight w:val="0"/>
      <w:marTop w:val="0"/>
      <w:marBottom w:val="0"/>
      <w:divBdr>
        <w:top w:val="none" w:sz="0" w:space="0" w:color="auto"/>
        <w:left w:val="none" w:sz="0" w:space="0" w:color="auto"/>
        <w:bottom w:val="none" w:sz="0" w:space="0" w:color="auto"/>
        <w:right w:val="none" w:sz="0" w:space="0" w:color="auto"/>
      </w:divBdr>
    </w:div>
    <w:div w:id="353728441">
      <w:bodyDiv w:val="1"/>
      <w:marLeft w:val="0"/>
      <w:marRight w:val="0"/>
      <w:marTop w:val="0"/>
      <w:marBottom w:val="0"/>
      <w:divBdr>
        <w:top w:val="none" w:sz="0" w:space="0" w:color="auto"/>
        <w:left w:val="none" w:sz="0" w:space="0" w:color="auto"/>
        <w:bottom w:val="none" w:sz="0" w:space="0" w:color="auto"/>
        <w:right w:val="none" w:sz="0" w:space="0" w:color="auto"/>
      </w:divBdr>
    </w:div>
    <w:div w:id="372535880">
      <w:bodyDiv w:val="1"/>
      <w:marLeft w:val="0"/>
      <w:marRight w:val="0"/>
      <w:marTop w:val="0"/>
      <w:marBottom w:val="0"/>
      <w:divBdr>
        <w:top w:val="none" w:sz="0" w:space="0" w:color="auto"/>
        <w:left w:val="none" w:sz="0" w:space="0" w:color="auto"/>
        <w:bottom w:val="none" w:sz="0" w:space="0" w:color="auto"/>
        <w:right w:val="none" w:sz="0" w:space="0" w:color="auto"/>
      </w:divBdr>
    </w:div>
    <w:div w:id="438572915">
      <w:bodyDiv w:val="1"/>
      <w:marLeft w:val="0"/>
      <w:marRight w:val="0"/>
      <w:marTop w:val="0"/>
      <w:marBottom w:val="0"/>
      <w:divBdr>
        <w:top w:val="none" w:sz="0" w:space="0" w:color="auto"/>
        <w:left w:val="none" w:sz="0" w:space="0" w:color="auto"/>
        <w:bottom w:val="none" w:sz="0" w:space="0" w:color="auto"/>
        <w:right w:val="none" w:sz="0" w:space="0" w:color="auto"/>
      </w:divBdr>
    </w:div>
    <w:div w:id="444926923">
      <w:bodyDiv w:val="1"/>
      <w:marLeft w:val="0"/>
      <w:marRight w:val="0"/>
      <w:marTop w:val="0"/>
      <w:marBottom w:val="0"/>
      <w:divBdr>
        <w:top w:val="none" w:sz="0" w:space="0" w:color="auto"/>
        <w:left w:val="none" w:sz="0" w:space="0" w:color="auto"/>
        <w:bottom w:val="none" w:sz="0" w:space="0" w:color="auto"/>
        <w:right w:val="none" w:sz="0" w:space="0" w:color="auto"/>
      </w:divBdr>
      <w:divsChild>
        <w:div w:id="1163930936">
          <w:marLeft w:val="0"/>
          <w:marRight w:val="0"/>
          <w:marTop w:val="0"/>
          <w:marBottom w:val="0"/>
          <w:divBdr>
            <w:top w:val="none" w:sz="0" w:space="0" w:color="auto"/>
            <w:left w:val="none" w:sz="0" w:space="0" w:color="auto"/>
            <w:bottom w:val="none" w:sz="0" w:space="0" w:color="auto"/>
            <w:right w:val="none" w:sz="0" w:space="0" w:color="auto"/>
          </w:divBdr>
        </w:div>
        <w:div w:id="1189417255">
          <w:marLeft w:val="0"/>
          <w:marRight w:val="0"/>
          <w:marTop w:val="0"/>
          <w:marBottom w:val="0"/>
          <w:divBdr>
            <w:top w:val="none" w:sz="0" w:space="0" w:color="auto"/>
            <w:left w:val="none" w:sz="0" w:space="0" w:color="auto"/>
            <w:bottom w:val="none" w:sz="0" w:space="0" w:color="auto"/>
            <w:right w:val="none" w:sz="0" w:space="0" w:color="auto"/>
          </w:divBdr>
        </w:div>
        <w:div w:id="1385064951">
          <w:marLeft w:val="0"/>
          <w:marRight w:val="0"/>
          <w:marTop w:val="0"/>
          <w:marBottom w:val="0"/>
          <w:divBdr>
            <w:top w:val="none" w:sz="0" w:space="0" w:color="auto"/>
            <w:left w:val="none" w:sz="0" w:space="0" w:color="auto"/>
            <w:bottom w:val="none" w:sz="0" w:space="0" w:color="auto"/>
            <w:right w:val="none" w:sz="0" w:space="0" w:color="auto"/>
          </w:divBdr>
        </w:div>
        <w:div w:id="1502617474">
          <w:marLeft w:val="0"/>
          <w:marRight w:val="0"/>
          <w:marTop w:val="0"/>
          <w:marBottom w:val="0"/>
          <w:divBdr>
            <w:top w:val="none" w:sz="0" w:space="0" w:color="auto"/>
            <w:left w:val="none" w:sz="0" w:space="0" w:color="auto"/>
            <w:bottom w:val="none" w:sz="0" w:space="0" w:color="auto"/>
            <w:right w:val="none" w:sz="0" w:space="0" w:color="auto"/>
          </w:divBdr>
        </w:div>
      </w:divsChild>
    </w:div>
    <w:div w:id="589781629">
      <w:bodyDiv w:val="1"/>
      <w:marLeft w:val="0"/>
      <w:marRight w:val="0"/>
      <w:marTop w:val="0"/>
      <w:marBottom w:val="0"/>
      <w:divBdr>
        <w:top w:val="none" w:sz="0" w:space="0" w:color="auto"/>
        <w:left w:val="none" w:sz="0" w:space="0" w:color="auto"/>
        <w:bottom w:val="none" w:sz="0" w:space="0" w:color="auto"/>
        <w:right w:val="none" w:sz="0" w:space="0" w:color="auto"/>
      </w:divBdr>
    </w:div>
    <w:div w:id="687485747">
      <w:bodyDiv w:val="1"/>
      <w:marLeft w:val="0"/>
      <w:marRight w:val="0"/>
      <w:marTop w:val="0"/>
      <w:marBottom w:val="0"/>
      <w:divBdr>
        <w:top w:val="none" w:sz="0" w:space="0" w:color="auto"/>
        <w:left w:val="none" w:sz="0" w:space="0" w:color="auto"/>
        <w:bottom w:val="none" w:sz="0" w:space="0" w:color="auto"/>
        <w:right w:val="none" w:sz="0" w:space="0" w:color="auto"/>
      </w:divBdr>
    </w:div>
    <w:div w:id="911043446">
      <w:bodyDiv w:val="1"/>
      <w:marLeft w:val="0"/>
      <w:marRight w:val="0"/>
      <w:marTop w:val="0"/>
      <w:marBottom w:val="0"/>
      <w:divBdr>
        <w:top w:val="none" w:sz="0" w:space="0" w:color="auto"/>
        <w:left w:val="none" w:sz="0" w:space="0" w:color="auto"/>
        <w:bottom w:val="none" w:sz="0" w:space="0" w:color="auto"/>
        <w:right w:val="none" w:sz="0" w:space="0" w:color="auto"/>
      </w:divBdr>
    </w:div>
    <w:div w:id="953832599">
      <w:bodyDiv w:val="1"/>
      <w:marLeft w:val="0"/>
      <w:marRight w:val="0"/>
      <w:marTop w:val="0"/>
      <w:marBottom w:val="0"/>
      <w:divBdr>
        <w:top w:val="none" w:sz="0" w:space="0" w:color="auto"/>
        <w:left w:val="none" w:sz="0" w:space="0" w:color="auto"/>
        <w:bottom w:val="none" w:sz="0" w:space="0" w:color="auto"/>
        <w:right w:val="none" w:sz="0" w:space="0" w:color="auto"/>
      </w:divBdr>
    </w:div>
    <w:div w:id="1230651363">
      <w:bodyDiv w:val="1"/>
      <w:marLeft w:val="0"/>
      <w:marRight w:val="0"/>
      <w:marTop w:val="0"/>
      <w:marBottom w:val="0"/>
      <w:divBdr>
        <w:top w:val="none" w:sz="0" w:space="0" w:color="auto"/>
        <w:left w:val="none" w:sz="0" w:space="0" w:color="auto"/>
        <w:bottom w:val="none" w:sz="0" w:space="0" w:color="auto"/>
        <w:right w:val="none" w:sz="0" w:space="0" w:color="auto"/>
      </w:divBdr>
    </w:div>
    <w:div w:id="1245214788">
      <w:bodyDiv w:val="1"/>
      <w:marLeft w:val="0"/>
      <w:marRight w:val="0"/>
      <w:marTop w:val="0"/>
      <w:marBottom w:val="0"/>
      <w:divBdr>
        <w:top w:val="none" w:sz="0" w:space="0" w:color="auto"/>
        <w:left w:val="none" w:sz="0" w:space="0" w:color="auto"/>
        <w:bottom w:val="none" w:sz="0" w:space="0" w:color="auto"/>
        <w:right w:val="none" w:sz="0" w:space="0" w:color="auto"/>
      </w:divBdr>
    </w:div>
    <w:div w:id="1308631377">
      <w:bodyDiv w:val="1"/>
      <w:marLeft w:val="0"/>
      <w:marRight w:val="0"/>
      <w:marTop w:val="0"/>
      <w:marBottom w:val="0"/>
      <w:divBdr>
        <w:top w:val="none" w:sz="0" w:space="0" w:color="auto"/>
        <w:left w:val="none" w:sz="0" w:space="0" w:color="auto"/>
        <w:bottom w:val="none" w:sz="0" w:space="0" w:color="auto"/>
        <w:right w:val="none" w:sz="0" w:space="0" w:color="auto"/>
      </w:divBdr>
    </w:div>
    <w:div w:id="1522207479">
      <w:bodyDiv w:val="1"/>
      <w:marLeft w:val="0"/>
      <w:marRight w:val="0"/>
      <w:marTop w:val="0"/>
      <w:marBottom w:val="0"/>
      <w:divBdr>
        <w:top w:val="none" w:sz="0" w:space="0" w:color="auto"/>
        <w:left w:val="none" w:sz="0" w:space="0" w:color="auto"/>
        <w:bottom w:val="none" w:sz="0" w:space="0" w:color="auto"/>
        <w:right w:val="none" w:sz="0" w:space="0" w:color="auto"/>
      </w:divBdr>
    </w:div>
    <w:div w:id="1556355578">
      <w:bodyDiv w:val="1"/>
      <w:marLeft w:val="0"/>
      <w:marRight w:val="0"/>
      <w:marTop w:val="0"/>
      <w:marBottom w:val="0"/>
      <w:divBdr>
        <w:top w:val="none" w:sz="0" w:space="0" w:color="auto"/>
        <w:left w:val="none" w:sz="0" w:space="0" w:color="auto"/>
        <w:bottom w:val="none" w:sz="0" w:space="0" w:color="auto"/>
        <w:right w:val="none" w:sz="0" w:space="0" w:color="auto"/>
      </w:divBdr>
    </w:div>
    <w:div w:id="1609509279">
      <w:bodyDiv w:val="1"/>
      <w:marLeft w:val="0"/>
      <w:marRight w:val="0"/>
      <w:marTop w:val="0"/>
      <w:marBottom w:val="0"/>
      <w:divBdr>
        <w:top w:val="none" w:sz="0" w:space="0" w:color="auto"/>
        <w:left w:val="none" w:sz="0" w:space="0" w:color="auto"/>
        <w:bottom w:val="none" w:sz="0" w:space="0" w:color="auto"/>
        <w:right w:val="none" w:sz="0" w:space="0" w:color="auto"/>
      </w:divBdr>
    </w:div>
    <w:div w:id="1625697395">
      <w:bodyDiv w:val="1"/>
      <w:marLeft w:val="0"/>
      <w:marRight w:val="0"/>
      <w:marTop w:val="0"/>
      <w:marBottom w:val="0"/>
      <w:divBdr>
        <w:top w:val="none" w:sz="0" w:space="0" w:color="auto"/>
        <w:left w:val="none" w:sz="0" w:space="0" w:color="auto"/>
        <w:bottom w:val="none" w:sz="0" w:space="0" w:color="auto"/>
        <w:right w:val="none" w:sz="0" w:space="0" w:color="auto"/>
      </w:divBdr>
    </w:div>
    <w:div w:id="1920753160">
      <w:bodyDiv w:val="1"/>
      <w:marLeft w:val="0"/>
      <w:marRight w:val="0"/>
      <w:marTop w:val="0"/>
      <w:marBottom w:val="0"/>
      <w:divBdr>
        <w:top w:val="none" w:sz="0" w:space="0" w:color="auto"/>
        <w:left w:val="none" w:sz="0" w:space="0" w:color="auto"/>
        <w:bottom w:val="none" w:sz="0" w:space="0" w:color="auto"/>
        <w:right w:val="none" w:sz="0" w:space="0" w:color="auto"/>
      </w:divBdr>
    </w:div>
    <w:div w:id="1962611573">
      <w:bodyDiv w:val="1"/>
      <w:marLeft w:val="0"/>
      <w:marRight w:val="0"/>
      <w:marTop w:val="0"/>
      <w:marBottom w:val="0"/>
      <w:divBdr>
        <w:top w:val="none" w:sz="0" w:space="0" w:color="auto"/>
        <w:left w:val="none" w:sz="0" w:space="0" w:color="auto"/>
        <w:bottom w:val="none" w:sz="0" w:space="0" w:color="auto"/>
        <w:right w:val="none" w:sz="0" w:space="0" w:color="auto"/>
      </w:divBdr>
    </w:div>
    <w:div w:id="2035689646">
      <w:bodyDiv w:val="1"/>
      <w:marLeft w:val="0"/>
      <w:marRight w:val="0"/>
      <w:marTop w:val="0"/>
      <w:marBottom w:val="0"/>
      <w:divBdr>
        <w:top w:val="none" w:sz="0" w:space="0" w:color="auto"/>
        <w:left w:val="none" w:sz="0" w:space="0" w:color="auto"/>
        <w:bottom w:val="none" w:sz="0" w:space="0" w:color="auto"/>
        <w:right w:val="none" w:sz="0" w:space="0" w:color="auto"/>
      </w:divBdr>
    </w:div>
    <w:div w:id="2074888228">
      <w:bodyDiv w:val="1"/>
      <w:marLeft w:val="0"/>
      <w:marRight w:val="0"/>
      <w:marTop w:val="0"/>
      <w:marBottom w:val="0"/>
      <w:divBdr>
        <w:top w:val="none" w:sz="0" w:space="0" w:color="auto"/>
        <w:left w:val="none" w:sz="0" w:space="0" w:color="auto"/>
        <w:bottom w:val="none" w:sz="0" w:space="0" w:color="auto"/>
        <w:right w:val="none" w:sz="0" w:space="0" w:color="auto"/>
      </w:divBdr>
    </w:div>
    <w:div w:id="2091123924">
      <w:bodyDiv w:val="1"/>
      <w:marLeft w:val="0"/>
      <w:marRight w:val="0"/>
      <w:marTop w:val="0"/>
      <w:marBottom w:val="0"/>
      <w:divBdr>
        <w:top w:val="none" w:sz="0" w:space="0" w:color="auto"/>
        <w:left w:val="none" w:sz="0" w:space="0" w:color="auto"/>
        <w:bottom w:val="none" w:sz="0" w:space="0" w:color="auto"/>
        <w:right w:val="none" w:sz="0" w:space="0" w:color="auto"/>
      </w:divBdr>
    </w:div>
    <w:div w:id="2117020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legal-content/EN/TXT/?uri=CELEX:32021R1833"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cftc.gov/"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finance.ec.europa.eu/capital-markets-union-and-financial-markets/financial-markets/post-trade-services/derivatives-emir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inance.ec.europa.eu/capital-markets-union-and-financial-markets/financial-markets/prudential-rules-investment-firm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_del/2022/1299/oj/eng" TargetMode="External"/><Relationship Id="rId3" Type="http://schemas.openxmlformats.org/officeDocument/2006/relationships/hyperlink" Target="https://www.eba.europa.eu/sites/default/files/document_library/About%20Us/Missions%20and%20tasks/Call%20for%20Advice/2023/1052019/CfA_IFR%20and%20IFD%20review%20-%20final.pdf" TargetMode="External"/><Relationship Id="rId7" Type="http://schemas.openxmlformats.org/officeDocument/2006/relationships/hyperlink" Target="https://www.amf-france.org/sites/institutionnel/files/private/2022-07/Analyse%20des%20donn%C3%A9es%20MIF2_Commodities.pdf" TargetMode="External"/><Relationship Id="rId2" Type="http://schemas.openxmlformats.org/officeDocument/2006/relationships/hyperlink" Target="https://eur-lex.europa.eu/legal-content/EN/TXT/?uri=CELEX%3A52025DC0079&amp;qid=1741780110418" TargetMode="External"/><Relationship Id="rId1" Type="http://schemas.openxmlformats.org/officeDocument/2006/relationships/hyperlink" Target="https://eur-lex.europa.eu/legal-content/EN/TXT/?uri=CELEX%3A52025DC0085" TargetMode="External"/><Relationship Id="rId6" Type="http://schemas.openxmlformats.org/officeDocument/2006/relationships/hyperlink" Target="https://www.esma.europa.eu/sites/default/files/library/esma70-446-775_preliminary_data_report_on_mcm.pdf" TargetMode="External"/><Relationship Id="rId5" Type="http://schemas.openxmlformats.org/officeDocument/2006/relationships/hyperlink" Target="https://eur-lex.europa.eu/legal-content/EN/TXT/?uri=celex%3A32024R2809" TargetMode="External"/><Relationship Id="rId4" Type="http://schemas.openxmlformats.org/officeDocument/2006/relationships/hyperlink" Target="https://finance.ec.europa.eu/regulation-and-supervision/consultations-0/targeted-consultation-review-functioning-commodity-derivatives-markets-and-certain-aspects-relating_en" TargetMode="External"/><Relationship Id="rId9" Type="http://schemas.openxmlformats.org/officeDocument/2006/relationships/hyperlink" Target="https://www.iosco.org/library/pubdocs/pdf/IOSCOPD7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17" ma:contentTypeDescription="Crée un document." ma:contentTypeScope="" ma:versionID="7e74dca996eba65e69498b575ed49139">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56ed4965f6485b2e7561887e994c8593"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DocStatus"/>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ComplainTitle" minOccurs="0"/>
                <xsd:element ref="ns2:NameofComplai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Status" ma:index="10" ma:displayName="Doc Status" ma:format="Dropdown" ma:indexed="true" ma:internalName="DocStatus">
      <xsd:simpleType>
        <xsd:restriction base="dms:Choice">
          <xsd:enumeration value="Draft"/>
          <xsd:enumeration value="Final"/>
        </xsd:restrictio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ComplainTitle" ma:index="23" nillable="true" ma:displayName="General Info" ma:format="Dropdown" ma:internalName="ComplainTitle">
      <xsd:simpleType>
        <xsd:restriction base="dms:Text">
          <xsd:maxLength value="255"/>
        </xsd:restriction>
      </xsd:simpleType>
    </xsd:element>
    <xsd:element name="NameofComplainer" ma:index="24" nillable="true" ma:displayName="Name of Complainer" ma:format="Dropdown" ma:internalName="NameofComplai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7a201d3d-60fb-479e-b5be-4da6b1dc61cd}"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Status xmlns="a280f3ed-f921-4226-9525-27fa6d577539">Green</DocStatus>
    <NameofComplainer xmlns="a280f3ed-f921-4226-9525-27fa6d577539" xsi:nil="true"/>
    <ComplainTitle xmlns="a280f3ed-f921-4226-9525-27fa6d577539" xsi:nil="true"/>
    <TaxCatchAll xmlns="278287c8-5be4-4613-8138-480f9be48247" xsi:nil="true"/>
    <lcf76f155ced4ddcb4097134ff3c332f xmlns="a280f3ed-f921-4226-9525-27fa6d577539">
      <Terms xmlns="http://schemas.microsoft.com/office/infopath/2007/PartnerControls"/>
    </lcf76f155ced4ddcb4097134ff3c332f>
    <_Flow_SignoffStatus xmlns="a280f3ed-f921-4226-9525-27fa6d57753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D0B5E-9D4E-48F2-BE59-B605E15AE703}">
  <ds:schemaRefs>
    <ds:schemaRef ds:uri="http://schemas.microsoft.com/sharepoint/v3/contenttype/forms"/>
  </ds:schemaRefs>
</ds:datastoreItem>
</file>

<file path=customXml/itemProps2.xml><?xml version="1.0" encoding="utf-8"?>
<ds:datastoreItem xmlns:ds="http://schemas.openxmlformats.org/officeDocument/2006/customXml" ds:itemID="{90E6E3F3-D033-46F5-8C59-8FEEBD06C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1BA6C-53A9-424A-9066-18033944AC70}">
  <ds:schemaRefs>
    <ds:schemaRef ds:uri="http://purl.org/dc/terms/"/>
    <ds:schemaRef ds:uri="a280f3ed-f921-4226-9525-27fa6d577539"/>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278287c8-5be4-4613-8138-480f9be48247"/>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F31FB9B-5098-47CD-AB30-C956E0CE7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7491</Words>
  <Characters>42704</Characters>
  <Application>Microsoft Office Word</Application>
  <DocSecurity>0</DocSecurity>
  <PresentationFormat>Microsoft Word 14.0</PresentationFormat>
  <Lines>355</Lines>
  <Paragraphs>100</Paragraphs>
  <ScaleCrop>true</ScaleCrop>
  <Manager/>
  <Company/>
  <LinksUpToDate>false</LinksUpToDate>
  <CharactersWithSpaces>50095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2026-04-30T07:49:00Z</dcterms:created>
  <dcterms:modified xsi:type="dcterms:W3CDTF">2026-05-18T11:48:00Z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MSIP_Label_6bd9ddd1-4d20-43f6-abfa-fc3c07406f94_Enabled">
    <vt:lpwstr>true</vt:lpwstr>
  </property>
  <property fmtid="{D5CDD505-2E9C-101B-9397-08002B2CF9AE}" pid="9" name="MSIP_Label_6bd9ddd1-4d20-43f6-abfa-fc3c07406f94_SetDate">
    <vt:lpwstr>2026-04-16T13:09:30Z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d781d51b-0948-4c23-9a8d-afd7b70c9c39</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0x010100F099A588E0F14746BFAC081FD6A566B8</vt:lpwstr>
  </property>
</Properties>
</file>