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7F50D" w14:textId="7EDEFEBD" w:rsidR="00F351E6" w:rsidRPr="00575C33" w:rsidRDefault="001E6A08" w:rsidP="001E6A08">
      <w:pPr>
        <w:pStyle w:val="Pagedecouverture"/>
        <w:rPr>
          <w:noProof/>
        </w:rPr>
      </w:pPr>
      <w:bookmarkStart w:id="0" w:name="_Hlk122340132"/>
      <w:bookmarkStart w:id="1" w:name="LW_BM_COVERPAGE"/>
      <w:r>
        <w:rPr>
          <w:noProof/>
        </w:rPr>
        <w:pict w14:anchorId="3DA85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A315C6-4B57-4B55-A3B4-E2FC2AF00D93" style="width:455.25pt;height:327.75pt">
            <v:imagedata r:id="rId11" o:title=""/>
          </v:shape>
        </w:pict>
      </w:r>
    </w:p>
    <w:bookmarkEnd w:id="1"/>
    <w:p w14:paraId="0EA0A15B" w14:textId="77777777" w:rsidR="00F351E6" w:rsidRPr="00575C33" w:rsidRDefault="00F351E6" w:rsidP="0023640F">
      <w:pPr>
        <w:rPr>
          <w:noProof/>
          <w:szCs w:val="24"/>
          <w:lang w:val="en-IE"/>
        </w:rPr>
        <w:sectPr w:rsidR="00F351E6" w:rsidRPr="00575C33" w:rsidSect="001E6A08">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bookmarkStart w:id="2" w:name="_GoBack"/>
    <w:bookmarkEnd w:id="2"/>
    <w:p w14:paraId="78A3B0D7" w14:textId="03D0247F" w:rsidR="00BA691C" w:rsidRDefault="00F351E6">
      <w:pPr>
        <w:pStyle w:val="TOC1"/>
        <w:rPr>
          <w:rFonts w:asciiTheme="minorHAnsi" w:eastAsiaTheme="minorEastAsia" w:hAnsiTheme="minorHAnsi" w:cstheme="minorBidi"/>
          <w:noProof/>
          <w:kern w:val="2"/>
          <w:szCs w:val="24"/>
          <w:lang w:val="fr-BE" w:eastAsia="fr-BE"/>
          <w14:ligatures w14:val="standardContextual"/>
        </w:rPr>
      </w:pPr>
      <w:r>
        <w:rPr>
          <w:b/>
          <w:noProof/>
        </w:rPr>
        <w:lastRenderedPageBreak/>
        <w:fldChar w:fldCharType="begin"/>
      </w:r>
      <w:r>
        <w:rPr>
          <w:b/>
          <w:noProof/>
        </w:rPr>
        <w:instrText xml:space="preserve"> TOC \o "1-3" \h \z \u  \* MERGEFORMAT </w:instrText>
      </w:r>
      <w:r>
        <w:rPr>
          <w:b/>
          <w:noProof/>
        </w:rPr>
        <w:fldChar w:fldCharType="separate"/>
      </w:r>
      <w:hyperlink w:anchor="_Toc229413223" w:history="1">
        <w:r w:rsidR="00BA691C" w:rsidRPr="00572C71">
          <w:rPr>
            <w:rStyle w:val="Hyperlink"/>
            <w:b/>
            <w:noProof/>
          </w:rPr>
          <w:t>LISTE DES ABRÉVIATIONS</w:t>
        </w:r>
        <w:r w:rsidR="00BA691C">
          <w:rPr>
            <w:noProof/>
            <w:webHidden/>
          </w:rPr>
          <w:tab/>
        </w:r>
        <w:r w:rsidR="00BA691C">
          <w:rPr>
            <w:noProof/>
            <w:webHidden/>
          </w:rPr>
          <w:fldChar w:fldCharType="begin"/>
        </w:r>
        <w:r w:rsidR="00BA691C">
          <w:rPr>
            <w:noProof/>
            <w:webHidden/>
          </w:rPr>
          <w:instrText xml:space="preserve"> PAGEREF _Toc229413223 \h </w:instrText>
        </w:r>
        <w:r w:rsidR="00BA691C">
          <w:rPr>
            <w:noProof/>
            <w:webHidden/>
          </w:rPr>
        </w:r>
        <w:r w:rsidR="00BA691C">
          <w:rPr>
            <w:noProof/>
            <w:webHidden/>
          </w:rPr>
          <w:fldChar w:fldCharType="separate"/>
        </w:r>
        <w:r w:rsidR="005D6A9E">
          <w:rPr>
            <w:noProof/>
            <w:webHidden/>
          </w:rPr>
          <w:t>2</w:t>
        </w:r>
        <w:r w:rsidR="00BA691C">
          <w:rPr>
            <w:noProof/>
            <w:webHidden/>
          </w:rPr>
          <w:fldChar w:fldCharType="end"/>
        </w:r>
      </w:hyperlink>
    </w:p>
    <w:p w14:paraId="3AC4266F" w14:textId="2FCF72D2" w:rsidR="00BA691C" w:rsidRDefault="001E6A08">
      <w:pPr>
        <w:pStyle w:val="TOC1"/>
        <w:rPr>
          <w:rFonts w:asciiTheme="minorHAnsi" w:eastAsiaTheme="minorEastAsia" w:hAnsiTheme="minorHAnsi" w:cstheme="minorBidi"/>
          <w:noProof/>
          <w:kern w:val="2"/>
          <w:szCs w:val="24"/>
          <w:lang w:val="fr-BE" w:eastAsia="fr-BE"/>
          <w14:ligatures w14:val="standardContextual"/>
        </w:rPr>
      </w:pPr>
      <w:hyperlink w:anchor="_Toc229413224" w:history="1">
        <w:r w:rsidR="00BA691C" w:rsidRPr="00572C71">
          <w:rPr>
            <w:rStyle w:val="Hyperlink"/>
            <w:b/>
            <w:noProof/>
          </w:rPr>
          <w:t>1.</w:t>
        </w:r>
        <w:r w:rsidR="00BA691C">
          <w:rPr>
            <w:rFonts w:asciiTheme="minorHAnsi" w:eastAsiaTheme="minorEastAsia" w:hAnsiTheme="minorHAnsi" w:cstheme="minorBidi"/>
            <w:noProof/>
            <w:kern w:val="2"/>
            <w:szCs w:val="24"/>
            <w:lang w:val="fr-BE" w:eastAsia="fr-BE"/>
            <w14:ligatures w14:val="standardContextual"/>
          </w:rPr>
          <w:tab/>
        </w:r>
        <w:r w:rsidR="00BA691C" w:rsidRPr="00BA691C">
          <w:rPr>
            <w:rStyle w:val="Hyperlink"/>
            <w:rFonts w:ascii="Times New Roman Bold" w:hAnsi="Times New Roman Bold"/>
            <w:b/>
            <w:caps/>
            <w:noProof/>
          </w:rPr>
          <w:t>Introduction</w:t>
        </w:r>
        <w:r w:rsidR="00BA691C">
          <w:rPr>
            <w:noProof/>
            <w:webHidden/>
          </w:rPr>
          <w:tab/>
        </w:r>
        <w:r w:rsidR="00BA691C">
          <w:rPr>
            <w:noProof/>
            <w:webHidden/>
          </w:rPr>
          <w:fldChar w:fldCharType="begin"/>
        </w:r>
        <w:r w:rsidR="00BA691C">
          <w:rPr>
            <w:noProof/>
            <w:webHidden/>
          </w:rPr>
          <w:instrText xml:space="preserve"> PAGEREF _Toc229413224 \h </w:instrText>
        </w:r>
        <w:r w:rsidR="00BA691C">
          <w:rPr>
            <w:noProof/>
            <w:webHidden/>
          </w:rPr>
        </w:r>
        <w:r w:rsidR="00BA691C">
          <w:rPr>
            <w:noProof/>
            <w:webHidden/>
          </w:rPr>
          <w:fldChar w:fldCharType="separate"/>
        </w:r>
        <w:r w:rsidR="005D6A9E">
          <w:rPr>
            <w:noProof/>
            <w:webHidden/>
          </w:rPr>
          <w:t>3</w:t>
        </w:r>
        <w:r w:rsidR="00BA691C">
          <w:rPr>
            <w:noProof/>
            <w:webHidden/>
          </w:rPr>
          <w:fldChar w:fldCharType="end"/>
        </w:r>
      </w:hyperlink>
    </w:p>
    <w:p w14:paraId="120353C2" w14:textId="4CC9B684" w:rsidR="00BA691C" w:rsidRDefault="001E6A08">
      <w:pPr>
        <w:pStyle w:val="TOC1"/>
        <w:rPr>
          <w:rFonts w:asciiTheme="minorHAnsi" w:eastAsiaTheme="minorEastAsia" w:hAnsiTheme="minorHAnsi" w:cstheme="minorBidi"/>
          <w:noProof/>
          <w:kern w:val="2"/>
          <w:szCs w:val="24"/>
          <w:lang w:val="fr-BE" w:eastAsia="fr-BE"/>
          <w14:ligatures w14:val="standardContextual"/>
        </w:rPr>
      </w:pPr>
      <w:hyperlink w:anchor="_Toc229413225" w:history="1">
        <w:r w:rsidR="00BA691C" w:rsidRPr="00572C71">
          <w:rPr>
            <w:rStyle w:val="Hyperlink"/>
            <w:b/>
            <w:noProof/>
          </w:rPr>
          <w:t>2.</w:t>
        </w:r>
        <w:r w:rsidR="00BA691C">
          <w:rPr>
            <w:rFonts w:asciiTheme="minorHAnsi" w:eastAsiaTheme="minorEastAsia" w:hAnsiTheme="minorHAnsi" w:cstheme="minorBidi"/>
            <w:noProof/>
            <w:kern w:val="2"/>
            <w:szCs w:val="24"/>
            <w:lang w:val="fr-BE" w:eastAsia="fr-BE"/>
            <w14:ligatures w14:val="standardContextual"/>
          </w:rPr>
          <w:tab/>
        </w:r>
        <w:r w:rsidR="00BA691C" w:rsidRPr="00572C71">
          <w:rPr>
            <w:rStyle w:val="Hyperlink"/>
            <w:b/>
            <w:noProof/>
          </w:rPr>
          <w:t>ASPECTS RELATIFS AUX DONNÉES CONCERNANT LES INSTRUMENTS DÉRIVÉS SUR MATIÈRES PREMIÈRES</w:t>
        </w:r>
        <w:r w:rsidR="00BA691C">
          <w:rPr>
            <w:noProof/>
            <w:webHidden/>
          </w:rPr>
          <w:tab/>
        </w:r>
        <w:r w:rsidR="00BA691C">
          <w:rPr>
            <w:noProof/>
            <w:webHidden/>
          </w:rPr>
          <w:fldChar w:fldCharType="begin"/>
        </w:r>
        <w:r w:rsidR="00BA691C">
          <w:rPr>
            <w:noProof/>
            <w:webHidden/>
          </w:rPr>
          <w:instrText xml:space="preserve"> PAGEREF _Toc229413225 \h </w:instrText>
        </w:r>
        <w:r w:rsidR="00BA691C">
          <w:rPr>
            <w:noProof/>
            <w:webHidden/>
          </w:rPr>
        </w:r>
        <w:r w:rsidR="00BA691C">
          <w:rPr>
            <w:noProof/>
            <w:webHidden/>
          </w:rPr>
          <w:fldChar w:fldCharType="separate"/>
        </w:r>
        <w:r w:rsidR="005D6A9E">
          <w:rPr>
            <w:noProof/>
            <w:webHidden/>
          </w:rPr>
          <w:t>4</w:t>
        </w:r>
        <w:r w:rsidR="00BA691C">
          <w:rPr>
            <w:noProof/>
            <w:webHidden/>
          </w:rPr>
          <w:fldChar w:fldCharType="end"/>
        </w:r>
      </w:hyperlink>
    </w:p>
    <w:p w14:paraId="24B0EE61" w14:textId="4BD5157F" w:rsidR="00BA691C" w:rsidRDefault="001E6A08">
      <w:pPr>
        <w:pStyle w:val="TOC1"/>
        <w:rPr>
          <w:rFonts w:asciiTheme="minorHAnsi" w:eastAsiaTheme="minorEastAsia" w:hAnsiTheme="minorHAnsi" w:cstheme="minorBidi"/>
          <w:noProof/>
          <w:kern w:val="2"/>
          <w:szCs w:val="24"/>
          <w:lang w:val="fr-BE" w:eastAsia="fr-BE"/>
          <w14:ligatures w14:val="standardContextual"/>
        </w:rPr>
      </w:pPr>
      <w:hyperlink w:anchor="_Toc229413226" w:history="1">
        <w:r w:rsidR="00BA691C" w:rsidRPr="00572C71">
          <w:rPr>
            <w:rStyle w:val="Hyperlink"/>
            <w:b/>
            <w:bCs/>
            <w:noProof/>
          </w:rPr>
          <w:t>3.</w:t>
        </w:r>
        <w:r w:rsidR="00BA691C">
          <w:rPr>
            <w:rFonts w:asciiTheme="minorHAnsi" w:eastAsiaTheme="minorEastAsia" w:hAnsiTheme="minorHAnsi" w:cstheme="minorBidi"/>
            <w:noProof/>
            <w:kern w:val="2"/>
            <w:szCs w:val="24"/>
            <w:lang w:val="fr-BE" w:eastAsia="fr-BE"/>
            <w14:ligatures w14:val="standardContextual"/>
          </w:rPr>
          <w:tab/>
        </w:r>
        <w:r w:rsidR="00BA691C" w:rsidRPr="00572C71">
          <w:rPr>
            <w:rStyle w:val="Hyperlink"/>
            <w:b/>
            <w:noProof/>
          </w:rPr>
          <w:t>L’EXEMPTION POUR ACTIVITÉ ACCESSOIRE</w:t>
        </w:r>
        <w:r w:rsidR="00BA691C">
          <w:rPr>
            <w:noProof/>
            <w:webHidden/>
          </w:rPr>
          <w:tab/>
        </w:r>
        <w:r w:rsidR="00BA691C">
          <w:rPr>
            <w:noProof/>
            <w:webHidden/>
          </w:rPr>
          <w:fldChar w:fldCharType="begin"/>
        </w:r>
        <w:r w:rsidR="00BA691C">
          <w:rPr>
            <w:noProof/>
            <w:webHidden/>
          </w:rPr>
          <w:instrText xml:space="preserve"> PAGEREF _Toc229413226 \h </w:instrText>
        </w:r>
        <w:r w:rsidR="00BA691C">
          <w:rPr>
            <w:noProof/>
            <w:webHidden/>
          </w:rPr>
        </w:r>
        <w:r w:rsidR="00BA691C">
          <w:rPr>
            <w:noProof/>
            <w:webHidden/>
          </w:rPr>
          <w:fldChar w:fldCharType="separate"/>
        </w:r>
        <w:r w:rsidR="005D6A9E">
          <w:rPr>
            <w:noProof/>
            <w:webHidden/>
          </w:rPr>
          <w:t>9</w:t>
        </w:r>
        <w:r w:rsidR="00BA691C">
          <w:rPr>
            <w:noProof/>
            <w:webHidden/>
          </w:rPr>
          <w:fldChar w:fldCharType="end"/>
        </w:r>
      </w:hyperlink>
    </w:p>
    <w:p w14:paraId="32B5BBDB" w14:textId="39DB6163" w:rsidR="00BA691C" w:rsidRDefault="001E6A08">
      <w:pPr>
        <w:pStyle w:val="TOC1"/>
        <w:rPr>
          <w:rFonts w:asciiTheme="minorHAnsi" w:eastAsiaTheme="minorEastAsia" w:hAnsiTheme="minorHAnsi" w:cstheme="minorBidi"/>
          <w:noProof/>
          <w:kern w:val="2"/>
          <w:szCs w:val="24"/>
          <w:lang w:val="fr-BE" w:eastAsia="fr-BE"/>
          <w14:ligatures w14:val="standardContextual"/>
        </w:rPr>
      </w:pPr>
      <w:hyperlink w:anchor="_Toc229413227" w:history="1">
        <w:r w:rsidR="00BA691C" w:rsidRPr="00572C71">
          <w:rPr>
            <w:rStyle w:val="Hyperlink"/>
            <w:b/>
            <w:noProof/>
          </w:rPr>
          <w:t>4.</w:t>
        </w:r>
        <w:r w:rsidR="00BA691C">
          <w:rPr>
            <w:rFonts w:asciiTheme="minorHAnsi" w:eastAsiaTheme="minorEastAsia" w:hAnsiTheme="minorHAnsi" w:cstheme="minorBidi"/>
            <w:noProof/>
            <w:kern w:val="2"/>
            <w:szCs w:val="24"/>
            <w:lang w:val="fr-BE" w:eastAsia="fr-BE"/>
            <w14:ligatures w14:val="standardContextual"/>
          </w:rPr>
          <w:tab/>
        </w:r>
        <w:r w:rsidR="00BA691C" w:rsidRPr="00572C71">
          <w:rPr>
            <w:rStyle w:val="Hyperlink"/>
            <w:b/>
            <w:noProof/>
          </w:rPr>
          <w:t>LIMITES DE POSITION, CONTRÔLES EN MATIÈRE DE GESTION DES POSITIONS ET DÉCLARATION DES POSITIONS</w:t>
        </w:r>
        <w:r w:rsidR="00BA691C">
          <w:rPr>
            <w:noProof/>
            <w:webHidden/>
          </w:rPr>
          <w:tab/>
        </w:r>
        <w:r w:rsidR="00BA691C">
          <w:rPr>
            <w:noProof/>
            <w:webHidden/>
          </w:rPr>
          <w:fldChar w:fldCharType="begin"/>
        </w:r>
        <w:r w:rsidR="00BA691C">
          <w:rPr>
            <w:noProof/>
            <w:webHidden/>
          </w:rPr>
          <w:instrText xml:space="preserve"> PAGEREF _Toc229413227 \h </w:instrText>
        </w:r>
        <w:r w:rsidR="00BA691C">
          <w:rPr>
            <w:noProof/>
            <w:webHidden/>
          </w:rPr>
        </w:r>
        <w:r w:rsidR="00BA691C">
          <w:rPr>
            <w:noProof/>
            <w:webHidden/>
          </w:rPr>
          <w:fldChar w:fldCharType="separate"/>
        </w:r>
        <w:r w:rsidR="005D6A9E">
          <w:rPr>
            <w:noProof/>
            <w:webHidden/>
          </w:rPr>
          <w:t>13</w:t>
        </w:r>
        <w:r w:rsidR="00BA691C">
          <w:rPr>
            <w:noProof/>
            <w:webHidden/>
          </w:rPr>
          <w:fldChar w:fldCharType="end"/>
        </w:r>
      </w:hyperlink>
    </w:p>
    <w:p w14:paraId="00F49861" w14:textId="501F4E64" w:rsidR="00BA691C" w:rsidRDefault="001E6A08">
      <w:pPr>
        <w:pStyle w:val="TOC1"/>
        <w:rPr>
          <w:rFonts w:asciiTheme="minorHAnsi" w:eastAsiaTheme="minorEastAsia" w:hAnsiTheme="minorHAnsi" w:cstheme="minorBidi"/>
          <w:noProof/>
          <w:kern w:val="2"/>
          <w:szCs w:val="24"/>
          <w:lang w:val="fr-BE" w:eastAsia="fr-BE"/>
          <w14:ligatures w14:val="standardContextual"/>
        </w:rPr>
      </w:pPr>
      <w:hyperlink w:anchor="_Toc229413228" w:history="1">
        <w:r w:rsidR="00BA691C" w:rsidRPr="00572C71">
          <w:rPr>
            <w:rStyle w:val="Hyperlink"/>
            <w:b/>
            <w:bCs/>
            <w:noProof/>
          </w:rPr>
          <w:t>5.</w:t>
        </w:r>
        <w:r w:rsidR="00BA691C">
          <w:rPr>
            <w:rFonts w:asciiTheme="minorHAnsi" w:eastAsiaTheme="minorEastAsia" w:hAnsiTheme="minorHAnsi" w:cstheme="minorBidi"/>
            <w:noProof/>
            <w:kern w:val="2"/>
            <w:szCs w:val="24"/>
            <w:lang w:val="fr-BE" w:eastAsia="fr-BE"/>
            <w14:ligatures w14:val="standardContextual"/>
          </w:rPr>
          <w:tab/>
        </w:r>
        <w:r w:rsidR="00BA691C" w:rsidRPr="00572C71">
          <w:rPr>
            <w:rStyle w:val="Hyperlink"/>
            <w:b/>
            <w:noProof/>
          </w:rPr>
          <w:t>CONCLUSIONS</w:t>
        </w:r>
        <w:r w:rsidR="00BA691C">
          <w:rPr>
            <w:noProof/>
            <w:webHidden/>
          </w:rPr>
          <w:tab/>
        </w:r>
        <w:r w:rsidR="00BA691C">
          <w:rPr>
            <w:noProof/>
            <w:webHidden/>
          </w:rPr>
          <w:fldChar w:fldCharType="begin"/>
        </w:r>
        <w:r w:rsidR="00BA691C">
          <w:rPr>
            <w:noProof/>
            <w:webHidden/>
          </w:rPr>
          <w:instrText xml:space="preserve"> PAGEREF _Toc229413228 \h </w:instrText>
        </w:r>
        <w:r w:rsidR="00BA691C">
          <w:rPr>
            <w:noProof/>
            <w:webHidden/>
          </w:rPr>
        </w:r>
        <w:r w:rsidR="00BA691C">
          <w:rPr>
            <w:noProof/>
            <w:webHidden/>
          </w:rPr>
          <w:fldChar w:fldCharType="separate"/>
        </w:r>
        <w:r w:rsidR="005D6A9E">
          <w:rPr>
            <w:noProof/>
            <w:webHidden/>
          </w:rPr>
          <w:t>19</w:t>
        </w:r>
        <w:r w:rsidR="00BA691C">
          <w:rPr>
            <w:noProof/>
            <w:webHidden/>
          </w:rPr>
          <w:fldChar w:fldCharType="end"/>
        </w:r>
      </w:hyperlink>
    </w:p>
    <w:p w14:paraId="4EF77561" w14:textId="42867038" w:rsidR="46AC4051" w:rsidRPr="00795E8F" w:rsidRDefault="00F351E6" w:rsidP="007065F7">
      <w:pPr>
        <w:keepNext/>
        <w:keepLines/>
        <w:outlineLvl w:val="0"/>
        <w:rPr>
          <w:b/>
          <w:noProof/>
        </w:rPr>
      </w:pPr>
      <w:r>
        <w:rPr>
          <w:noProof/>
        </w:rPr>
        <w:fldChar w:fldCharType="end"/>
      </w:r>
      <w:r>
        <w:rPr>
          <w:noProof/>
        </w:rPr>
        <w:br w:type="page"/>
      </w:r>
      <w:bookmarkStart w:id="3" w:name="_Toc229413223"/>
      <w:r>
        <w:rPr>
          <w:b/>
          <w:noProof/>
        </w:rPr>
        <w:t>LISTE DES ABRÉVIATIONS</w:t>
      </w:r>
      <w:bookmarkEnd w:id="3"/>
    </w:p>
    <w:p w14:paraId="66667F0F" w14:textId="0DFFA2B4" w:rsidR="39182F7A" w:rsidRDefault="003166F1" w:rsidP="00AC60EB">
      <w:pPr>
        <w:tabs>
          <w:tab w:val="left" w:pos="660"/>
          <w:tab w:val="right" w:leader="dot" w:pos="9062"/>
        </w:tabs>
        <w:spacing w:line="259" w:lineRule="auto"/>
        <w:rPr>
          <w:noProof/>
        </w:rPr>
      </w:pPr>
      <w:r>
        <w:rPr>
          <w:noProof/>
        </w:rPr>
        <w:t>EAA: exemption pour activité accessoire</w:t>
      </w:r>
    </w:p>
    <w:p w14:paraId="5D147564" w14:textId="00A3085D" w:rsidR="38AB0CA8" w:rsidRPr="00575C33" w:rsidRDefault="38AB0CA8" w:rsidP="00AC60EB">
      <w:pPr>
        <w:tabs>
          <w:tab w:val="left" w:pos="660"/>
          <w:tab w:val="right" w:leader="dot" w:pos="9062"/>
        </w:tabs>
        <w:spacing w:line="259" w:lineRule="auto"/>
        <w:rPr>
          <w:noProof/>
        </w:rPr>
      </w:pPr>
      <w:r>
        <w:rPr>
          <w:noProof/>
        </w:rPr>
        <w:t>ACER: Agence de coopération des régulateurs de l’énergie</w:t>
      </w:r>
    </w:p>
    <w:p w14:paraId="4FFE9A77" w14:textId="221D4D01" w:rsidR="40BCE0E6" w:rsidRDefault="40BCE0E6" w:rsidP="00AC60EB">
      <w:pPr>
        <w:tabs>
          <w:tab w:val="left" w:pos="660"/>
          <w:tab w:val="right" w:leader="dot" w:pos="9062"/>
        </w:tabs>
        <w:spacing w:line="259" w:lineRule="auto"/>
        <w:rPr>
          <w:rFonts w:eastAsia="Calibri"/>
          <w:noProof/>
        </w:rPr>
      </w:pPr>
      <w:r>
        <w:rPr>
          <w:noProof/>
        </w:rPr>
        <w:t xml:space="preserve">RDC 2022/1299: règlement délégué (UE) 2022/1299 de la Commission </w:t>
      </w:r>
    </w:p>
    <w:p w14:paraId="16B36BC7" w14:textId="14D2580C" w:rsidR="31770067" w:rsidRPr="00BA691C" w:rsidRDefault="31770067" w:rsidP="00AC60EB">
      <w:pPr>
        <w:tabs>
          <w:tab w:val="left" w:pos="660"/>
          <w:tab w:val="right" w:leader="dot" w:pos="9062"/>
        </w:tabs>
        <w:spacing w:line="259" w:lineRule="auto"/>
        <w:rPr>
          <w:noProof/>
          <w:lang w:val="en-IE"/>
        </w:rPr>
      </w:pPr>
      <w:r w:rsidRPr="00BA691C">
        <w:rPr>
          <w:noProof/>
          <w:lang w:val="en-IE"/>
        </w:rPr>
        <w:t xml:space="preserve">CFTC: Commodities and Futures Trading Commission </w:t>
      </w:r>
    </w:p>
    <w:p w14:paraId="7C217CF6" w14:textId="53522692" w:rsidR="167BDA6A" w:rsidRPr="00575C33" w:rsidRDefault="167BDA6A" w:rsidP="00AC60EB">
      <w:pPr>
        <w:tabs>
          <w:tab w:val="left" w:pos="660"/>
          <w:tab w:val="right" w:leader="dot" w:pos="9062"/>
        </w:tabs>
        <w:spacing w:line="259" w:lineRule="auto"/>
        <w:rPr>
          <w:noProof/>
        </w:rPr>
      </w:pPr>
      <w:r>
        <w:rPr>
          <w:noProof/>
        </w:rPr>
        <w:t>CMRP: train de mesures de relance par les marchés de capitaux [directive (UE) 2021/338]</w:t>
      </w:r>
    </w:p>
    <w:p w14:paraId="0E7C4DC5" w14:textId="5831E433" w:rsidR="20EF4877" w:rsidRPr="00575C33" w:rsidRDefault="65501041" w:rsidP="00AC60EB">
      <w:pPr>
        <w:tabs>
          <w:tab w:val="left" w:pos="660"/>
          <w:tab w:val="right" w:leader="dot" w:pos="9062"/>
        </w:tabs>
        <w:spacing w:line="259" w:lineRule="auto"/>
        <w:rPr>
          <w:noProof/>
        </w:rPr>
      </w:pPr>
      <w:r>
        <w:rPr>
          <w:noProof/>
        </w:rPr>
        <w:t>EEOTC: contrat de gré à gré économiquement équivalent</w:t>
      </w:r>
    </w:p>
    <w:p w14:paraId="17F495AD" w14:textId="1A1DA44C" w:rsidR="20EF4877" w:rsidRPr="00575C33" w:rsidRDefault="20EF4877" w:rsidP="00AC60EB">
      <w:pPr>
        <w:tabs>
          <w:tab w:val="left" w:pos="660"/>
          <w:tab w:val="right" w:leader="dot" w:pos="9062"/>
        </w:tabs>
        <w:spacing w:line="259" w:lineRule="auto"/>
        <w:rPr>
          <w:noProof/>
        </w:rPr>
      </w:pPr>
      <w:r>
        <w:rPr>
          <w:noProof/>
        </w:rPr>
        <w:t>EMIR: règlement sur l’infrastructure du marché européen [règlement (UE) nº 648/2012]</w:t>
      </w:r>
    </w:p>
    <w:p w14:paraId="56306910" w14:textId="3BFD3EBA" w:rsidR="7849FB70" w:rsidRPr="00575C33" w:rsidRDefault="7849FB70" w:rsidP="00AC60EB">
      <w:pPr>
        <w:tabs>
          <w:tab w:val="left" w:pos="660"/>
          <w:tab w:val="right" w:leader="dot" w:pos="9062"/>
        </w:tabs>
        <w:spacing w:line="259" w:lineRule="auto"/>
        <w:rPr>
          <w:noProof/>
        </w:rPr>
      </w:pPr>
      <w:r>
        <w:rPr>
          <w:noProof/>
        </w:rPr>
        <w:t>AEMF: Autorité européenne des marchés financiers</w:t>
      </w:r>
    </w:p>
    <w:p w14:paraId="72BB6FFA" w14:textId="55409817" w:rsidR="115A38B2" w:rsidRPr="00575C33" w:rsidRDefault="641432F0" w:rsidP="00AC60EB">
      <w:pPr>
        <w:tabs>
          <w:tab w:val="left" w:pos="660"/>
          <w:tab w:val="right" w:leader="dot" w:pos="9062"/>
        </w:tabs>
        <w:spacing w:line="259" w:lineRule="auto"/>
        <w:rPr>
          <w:noProof/>
        </w:rPr>
      </w:pPr>
      <w:r>
        <w:rPr>
          <w:noProof/>
        </w:rPr>
        <w:t>UE: Union européenne</w:t>
      </w:r>
    </w:p>
    <w:p w14:paraId="202B024C" w14:textId="03F6F4A8" w:rsidR="36990A30" w:rsidRPr="00575C33" w:rsidRDefault="18BA6022" w:rsidP="00AC60EB">
      <w:pPr>
        <w:tabs>
          <w:tab w:val="left" w:pos="660"/>
          <w:tab w:val="right" w:leader="dot" w:pos="9062"/>
        </w:tabs>
        <w:rPr>
          <w:noProof/>
        </w:rPr>
      </w:pPr>
      <w:r>
        <w:rPr>
          <w:noProof/>
        </w:rPr>
        <w:t>Quota du SEQE:</w:t>
      </w:r>
      <w:r>
        <w:rPr>
          <w:noProof/>
        </w:rPr>
        <w:tab/>
      </w:r>
      <w:r w:rsidR="00BA691C">
        <w:rPr>
          <w:noProof/>
        </w:rPr>
        <w:t xml:space="preserve"> </w:t>
      </w:r>
      <w:r>
        <w:rPr>
          <w:noProof/>
        </w:rPr>
        <w:t>quota d’émission dans le cadre du système d’échange de quotas d’émission de l’UE</w:t>
      </w:r>
    </w:p>
    <w:p w14:paraId="5BF5D155" w14:textId="1362B2EF" w:rsidR="6A2CA77B" w:rsidRPr="00575C33" w:rsidRDefault="6BA28DE5" w:rsidP="00AC60EB">
      <w:pPr>
        <w:tabs>
          <w:tab w:val="left" w:pos="660"/>
          <w:tab w:val="right" w:leader="dot" w:pos="9062"/>
        </w:tabs>
        <w:rPr>
          <w:noProof/>
        </w:rPr>
      </w:pPr>
      <w:r>
        <w:rPr>
          <w:noProof/>
        </w:rPr>
        <w:t>SEQE:</w:t>
      </w:r>
      <w:r w:rsidR="00BA691C">
        <w:rPr>
          <w:noProof/>
        </w:rPr>
        <w:t xml:space="preserve"> </w:t>
      </w:r>
      <w:r>
        <w:rPr>
          <w:noProof/>
        </w:rPr>
        <w:t>système d’échange de quotas d’émission de l’UE</w:t>
      </w:r>
    </w:p>
    <w:p w14:paraId="1271DC24" w14:textId="6EC6AC5B" w:rsidR="5DC649DC" w:rsidRDefault="62A3AEF3" w:rsidP="00AC60EB">
      <w:pPr>
        <w:tabs>
          <w:tab w:val="left" w:pos="660"/>
          <w:tab w:val="right" w:leader="dot" w:pos="9062"/>
        </w:tabs>
        <w:rPr>
          <w:noProof/>
        </w:rPr>
      </w:pPr>
      <w:r>
        <w:rPr>
          <w:noProof/>
        </w:rPr>
        <w:t>IFD: directive concernant la surveillance prudentielle des entreprises d’investissement [directive (UE) 2019/2034]</w:t>
      </w:r>
    </w:p>
    <w:p w14:paraId="62A6B006" w14:textId="205E6810" w:rsidR="5DC649DC" w:rsidRDefault="5DC649DC" w:rsidP="00AC60EB">
      <w:pPr>
        <w:tabs>
          <w:tab w:val="left" w:pos="660"/>
          <w:tab w:val="right" w:leader="dot" w:pos="9062"/>
        </w:tabs>
        <w:rPr>
          <w:noProof/>
        </w:rPr>
      </w:pPr>
      <w:r>
        <w:rPr>
          <w:noProof/>
        </w:rPr>
        <w:t>IFR: règlement concernant les exigences prudentielles applicables aux entreprises d’investissement [règlement (UE) 2019/2033]</w:t>
      </w:r>
    </w:p>
    <w:p w14:paraId="3A2E9A3B" w14:textId="1860B0B4" w:rsidR="4C26F26E" w:rsidRPr="00575C33" w:rsidRDefault="4C26F26E" w:rsidP="00AC60EB">
      <w:pPr>
        <w:tabs>
          <w:tab w:val="left" w:pos="660"/>
          <w:tab w:val="right" w:leader="dot" w:pos="9062"/>
        </w:tabs>
        <w:rPr>
          <w:noProof/>
        </w:rPr>
      </w:pPr>
      <w:r>
        <w:rPr>
          <w:noProof/>
        </w:rPr>
        <w:t>MiFID II: directive concernant les marchés d’instruments financiers [directive 2014/65/UE]</w:t>
      </w:r>
    </w:p>
    <w:p w14:paraId="32AECE8C" w14:textId="3ED49C61" w:rsidR="6FD7E996" w:rsidRPr="00575C33" w:rsidRDefault="6FD7E996" w:rsidP="00AC60EB">
      <w:pPr>
        <w:tabs>
          <w:tab w:val="left" w:pos="660"/>
          <w:tab w:val="right" w:leader="dot" w:pos="9062"/>
        </w:tabs>
        <w:rPr>
          <w:noProof/>
        </w:rPr>
      </w:pPr>
      <w:r>
        <w:rPr>
          <w:noProof/>
        </w:rPr>
        <w:t>MiFIR: règlement concernant les marchés d’instruments financiers [règlement (UE) 600/2014]</w:t>
      </w:r>
    </w:p>
    <w:p w14:paraId="5F299F63" w14:textId="14F1C892" w:rsidR="32341B88" w:rsidRDefault="314DFC99" w:rsidP="00AC60EB">
      <w:pPr>
        <w:tabs>
          <w:tab w:val="left" w:pos="660"/>
          <w:tab w:val="right" w:leader="dot" w:pos="9062"/>
        </w:tabs>
        <w:rPr>
          <w:noProof/>
        </w:rPr>
      </w:pPr>
      <w:r>
        <w:rPr>
          <w:noProof/>
        </w:rPr>
        <w:t>ANC: autorité nationale compétente</w:t>
      </w:r>
    </w:p>
    <w:p w14:paraId="71893991" w14:textId="74EF0C03" w:rsidR="6B799231" w:rsidRDefault="3614CA12" w:rsidP="00AC60EB">
      <w:pPr>
        <w:tabs>
          <w:tab w:val="left" w:pos="660"/>
          <w:tab w:val="right" w:leader="dot" w:pos="9062"/>
        </w:tabs>
        <w:rPr>
          <w:noProof/>
        </w:rPr>
      </w:pPr>
      <w:r>
        <w:rPr>
          <w:noProof/>
        </w:rPr>
        <w:t>ARN: autorité de régulation nationale</w:t>
      </w:r>
    </w:p>
    <w:p w14:paraId="326ABB6C" w14:textId="603E38E2" w:rsidR="1079FB9F" w:rsidRDefault="690463B9" w:rsidP="00AC60EB">
      <w:pPr>
        <w:tabs>
          <w:tab w:val="left" w:pos="660"/>
          <w:tab w:val="right" w:leader="dot" w:pos="9062"/>
        </w:tabs>
        <w:rPr>
          <w:noProof/>
        </w:rPr>
      </w:pPr>
      <w:r>
        <w:rPr>
          <w:noProof/>
        </w:rPr>
        <w:t>OTC: de gré à gré (</w:t>
      </w:r>
      <w:r>
        <w:rPr>
          <w:i/>
          <w:iCs/>
          <w:noProof/>
        </w:rPr>
        <w:t>over-the-counter</w:t>
      </w:r>
      <w:r>
        <w:rPr>
          <w:noProof/>
        </w:rPr>
        <w:t xml:space="preserve">) </w:t>
      </w:r>
    </w:p>
    <w:p w14:paraId="47F829E6" w14:textId="38D76E62" w:rsidR="243BDE21" w:rsidRPr="00575C33" w:rsidRDefault="4375A3AB" w:rsidP="00AC60EB">
      <w:pPr>
        <w:tabs>
          <w:tab w:val="left" w:pos="660"/>
          <w:tab w:val="right" w:leader="dot" w:pos="9062"/>
        </w:tabs>
        <w:rPr>
          <w:noProof/>
        </w:rPr>
      </w:pPr>
      <w:r>
        <w:rPr>
          <w:noProof/>
        </w:rPr>
        <w:t>PMC:</w:t>
      </w:r>
      <w:r>
        <w:rPr>
          <w:noProof/>
        </w:rPr>
        <w:tab/>
        <w:t>contrôles en matière de gestion des positions</w:t>
      </w:r>
    </w:p>
    <w:p w14:paraId="366CD502" w14:textId="1571380A" w:rsidR="0A25B449" w:rsidRPr="00575C33" w:rsidRDefault="0A25B449" w:rsidP="00AC60EB">
      <w:pPr>
        <w:tabs>
          <w:tab w:val="left" w:pos="660"/>
          <w:tab w:val="right" w:leader="dot" w:pos="9062"/>
        </w:tabs>
        <w:rPr>
          <w:noProof/>
        </w:rPr>
      </w:pPr>
      <w:r>
        <w:rPr>
          <w:noProof/>
        </w:rPr>
        <w:t>REMIT:</w:t>
      </w:r>
      <w:r w:rsidR="00BA691C">
        <w:rPr>
          <w:noProof/>
        </w:rPr>
        <w:t xml:space="preserve"> </w:t>
      </w:r>
      <w:r>
        <w:rPr>
          <w:noProof/>
        </w:rPr>
        <w:t>règlement concernant l’intégrité et la transparence du marché de gros de l’énergie [règlement (UE) nº 1227/2011]</w:t>
      </w:r>
    </w:p>
    <w:p w14:paraId="0E56298B" w14:textId="7CDC6CA2" w:rsidR="4C26F26E" w:rsidRPr="00575C33" w:rsidRDefault="4C26F26E" w:rsidP="00AC60EB">
      <w:pPr>
        <w:tabs>
          <w:tab w:val="left" w:pos="660"/>
          <w:tab w:val="right" w:leader="dot" w:pos="9062"/>
        </w:tabs>
        <w:rPr>
          <w:noProof/>
        </w:rPr>
      </w:pPr>
      <w:r>
        <w:rPr>
          <w:noProof/>
        </w:rPr>
        <w:t>TFUE: traité sur le fonctionnement de l’Union européenne</w:t>
      </w:r>
    </w:p>
    <w:p w14:paraId="1BA82C44" w14:textId="6604E724" w:rsidR="48453602" w:rsidRDefault="060CBF17" w:rsidP="00AC60EB">
      <w:pPr>
        <w:tabs>
          <w:tab w:val="left" w:pos="660"/>
          <w:tab w:val="right" w:leader="dot" w:pos="9062"/>
        </w:tabs>
        <w:rPr>
          <w:noProof/>
        </w:rPr>
      </w:pPr>
      <w:r>
        <w:rPr>
          <w:noProof/>
        </w:rPr>
        <w:t>TTF: mécanisme «Title Transfer Facility»</w:t>
      </w:r>
    </w:p>
    <w:p w14:paraId="0AE326FA" w14:textId="6DB2D0A7" w:rsidR="064E4AC2" w:rsidRDefault="08DFB022" w:rsidP="00AC60EB">
      <w:pPr>
        <w:tabs>
          <w:tab w:val="left" w:pos="660"/>
          <w:tab w:val="right" w:leader="dot" w:pos="9062"/>
        </w:tabs>
        <w:rPr>
          <w:noProof/>
        </w:rPr>
      </w:pPr>
      <w:r>
        <w:rPr>
          <w:noProof/>
        </w:rPr>
        <w:t>PN: Plate-forme de négociation</w:t>
      </w:r>
    </w:p>
    <w:p w14:paraId="7D2ABDE5" w14:textId="0BE4605D" w:rsidR="00BF6C5E" w:rsidRPr="00BA691C" w:rsidRDefault="00F351E6" w:rsidP="00620950">
      <w:pPr>
        <w:keepNext/>
        <w:keepLines/>
        <w:numPr>
          <w:ilvl w:val="0"/>
          <w:numId w:val="2"/>
        </w:numPr>
        <w:outlineLvl w:val="0"/>
        <w:rPr>
          <w:rFonts w:ascii="Times New Roman Bold" w:hAnsi="Times New Roman Bold"/>
          <w:b/>
          <w:caps/>
          <w:noProof/>
        </w:rPr>
      </w:pPr>
      <w:bookmarkStart w:id="4" w:name="_Toc878023"/>
      <w:bookmarkStart w:id="5" w:name="_Toc17730531"/>
      <w:bookmarkStart w:id="6" w:name="_Toc41385899"/>
      <w:bookmarkStart w:id="7" w:name="_Toc52294919"/>
      <w:bookmarkStart w:id="8" w:name="_Toc52302081"/>
      <w:bookmarkStart w:id="9" w:name="_Toc52901478"/>
      <w:bookmarkStart w:id="10" w:name="_Toc4058292"/>
      <w:bookmarkStart w:id="11" w:name="_Toc10474382"/>
      <w:bookmarkStart w:id="12" w:name="_Toc93411858"/>
      <w:bookmarkStart w:id="13" w:name="_Toc229413224"/>
      <w:r w:rsidRPr="00BA691C">
        <w:rPr>
          <w:rFonts w:ascii="Times New Roman Bold" w:hAnsi="Times New Roman Bold"/>
          <w:b/>
          <w:caps/>
          <w:noProof/>
        </w:rPr>
        <w:t>Introduction</w:t>
      </w:r>
      <w:bookmarkStart w:id="14" w:name="_Toc878026"/>
      <w:bookmarkStart w:id="15" w:name="_Toc4058295"/>
      <w:bookmarkStart w:id="16" w:name="_Toc10474385"/>
      <w:bookmarkStart w:id="17" w:name="_Toc17730534"/>
      <w:bookmarkStart w:id="18" w:name="_Toc41385903"/>
      <w:bookmarkStart w:id="19" w:name="_Toc52294924"/>
      <w:bookmarkStart w:id="20" w:name="_Toc52302086"/>
      <w:bookmarkStart w:id="21" w:name="_Toc52901484"/>
      <w:bookmarkEnd w:id="4"/>
      <w:bookmarkEnd w:id="5"/>
      <w:bookmarkEnd w:id="6"/>
      <w:bookmarkEnd w:id="7"/>
      <w:bookmarkEnd w:id="8"/>
      <w:bookmarkEnd w:id="9"/>
      <w:bookmarkEnd w:id="10"/>
      <w:bookmarkEnd w:id="11"/>
      <w:bookmarkEnd w:id="12"/>
      <w:bookmarkEnd w:id="13"/>
    </w:p>
    <w:p w14:paraId="5241FAAA" w14:textId="59D2A95C" w:rsidR="00DF4AE8" w:rsidRDefault="0E1A28B4" w:rsidP="00AC60EB">
      <w:pPr>
        <w:rPr>
          <w:noProof/>
        </w:rPr>
      </w:pPr>
      <w:r>
        <w:rPr>
          <w:noProof/>
        </w:rPr>
        <w:t xml:space="preserve">Les instruments dérivés sur matières premières sont des instruments essentiels permettant aux acteurs du marché de couvrir leurs expositions sur les marchés des matières premières sous-jacents (tels que les marchés de l’énergie, des produits de base agricoles ou encore des métaux). Ces marchés se caractérisent par la participation d’entités majoritairement non financières. Il s’agit, pour la plupart, de producteurs de matières premières physiques, d’entreprises de services publics, de grandes sociétés non financières à forte intensité énergétique et de négociants en produits de base physiques qui ont directement recours aux marchés d’instruments dérivés sur matières premières pour atténuer les risques inhérents à leurs activités commerciales. </w:t>
      </w:r>
    </w:p>
    <w:p w14:paraId="45AA1413" w14:textId="763298A2" w:rsidR="00DF4AE8" w:rsidRDefault="0E1A28B4" w:rsidP="21CB014D">
      <w:pPr>
        <w:rPr>
          <w:noProof/>
        </w:rPr>
      </w:pPr>
      <w:r>
        <w:rPr>
          <w:noProof/>
        </w:rPr>
        <w:t>Le bon fonctionnement des marchés des instruments dérivés sur matières premières joue un rôle important pour la stabilité et la prospérité de l’économie de l’UE et, s’agissant des marchés des dérivés énergétiques, pour le caractère abordable de l’énergie dans l’UE ainsi que le fonctionnement efficace du marché. Le pacte pour une industrie propre (</w:t>
      </w:r>
      <w:r>
        <w:rPr>
          <w:rStyle w:val="FootnoteReference"/>
          <w:noProof/>
          <w:szCs w:val="24"/>
        </w:rPr>
        <w:footnoteReference w:id="2"/>
      </w:r>
      <w:r>
        <w:rPr>
          <w:noProof/>
        </w:rPr>
        <w:t>) et le plan d’action pour une énergie abordable (</w:t>
      </w:r>
      <w:r>
        <w:rPr>
          <w:rStyle w:val="FootnoteReference"/>
          <w:noProof/>
        </w:rPr>
        <w:footnoteReference w:id="3"/>
      </w:r>
      <w:r>
        <w:rPr>
          <w:noProof/>
        </w:rPr>
        <w:t>) de la Commission, adoptés en février 2025, soulignent le rôle de marchés efficients, y compris des marchés des produits dérivés (</w:t>
      </w:r>
      <w:r>
        <w:rPr>
          <w:rStyle w:val="FootnoteReference"/>
          <w:noProof/>
          <w:szCs w:val="24"/>
        </w:rPr>
        <w:footnoteReference w:id="4"/>
      </w:r>
      <w:r>
        <w:rPr>
          <w:noProof/>
        </w:rPr>
        <w:t>). En outre, le régime des instruments dérivés sur matières premières est une composante essentielle des marchés financiers européens, qui donne aux acteurs du marché la capacité de gérer les risques et d’investir dans une série d’instruments dérivés sur matières premières, dont les quotas d’émission (quotas du SEQE) et les instruments dérivés sur quotas d’émission. Les marchés des instruments dérivés sur matières premières dans l’UE sont donc soumis à un vaste ensemble de règles qui tiennent compte de la nature spécifique de ces instruments et de leur importance pour l’économie de l’UE.</w:t>
      </w:r>
    </w:p>
    <w:p w14:paraId="2F8D9E48" w14:textId="1BDE19F3" w:rsidR="00C47BEE" w:rsidRPr="00575C33" w:rsidRDefault="1F5D6281" w:rsidP="00AC60EB">
      <w:pPr>
        <w:rPr>
          <w:noProof/>
        </w:rPr>
      </w:pPr>
      <w:r>
        <w:rPr>
          <w:noProof/>
        </w:rPr>
        <w:t xml:space="preserve">La </w:t>
      </w:r>
      <w:bookmarkEnd w:id="0"/>
      <w:bookmarkEnd w:id="14"/>
      <w:bookmarkEnd w:id="15"/>
      <w:bookmarkEnd w:id="16"/>
      <w:bookmarkEnd w:id="17"/>
      <w:bookmarkEnd w:id="18"/>
      <w:bookmarkEnd w:id="19"/>
      <w:bookmarkEnd w:id="20"/>
      <w:bookmarkEnd w:id="21"/>
      <w:r>
        <w:rPr>
          <w:noProof/>
        </w:rPr>
        <w:t>Commission européenne soumet le présent rapport au Parlement européen et au Conseil en vertu de l’article 90, paragraphe 5, de la directive sur les marchés d'instruments financiers (directive 2014/65/UE ou MiFID II]. Lors de l’élaboration du présent rapport, conformément à l’exigence énoncée à l’article 90, paragraphe 5, de la directive MiFID II, la Commission a sollicité l’avis de l’Autorité européenne des marchés financiers (AEMF), de l’Autorité bancaire européenne (ABE) et de l’Agence pour la coopération des régulateurs de l’énergie (ACER). Les contributions demandées ont été soumises par l’AEMF et l’ACER. L’ABE a informé la Commission européenne que son analyse des marchés des matières premières nécessiterait un examen plus approfondi et ne l’a donc pas incluse dans sa réponse à la demande d’avis de la Commission aux fins des rapports relatifs aux exigences prudentielles applicables aux entreprises d’investissement (</w:t>
      </w:r>
      <w:r>
        <w:rPr>
          <w:rStyle w:val="FootnoteReference"/>
          <w:noProof/>
          <w:lang w:val="en-IE"/>
        </w:rPr>
        <w:footnoteReference w:id="5"/>
      </w:r>
      <w:r>
        <w:rPr>
          <w:noProof/>
        </w:rPr>
        <w:t>). En conséquence, le présent rapport n’intègre pas la contribution de l’ABE.</w:t>
      </w:r>
    </w:p>
    <w:p w14:paraId="44BD056A" w14:textId="01FC1BD2" w:rsidR="00EE043D" w:rsidRPr="00575C33" w:rsidRDefault="51A86A03" w:rsidP="0031778B">
      <w:pPr>
        <w:rPr>
          <w:noProof/>
        </w:rPr>
      </w:pPr>
      <w:r>
        <w:rPr>
          <w:noProof/>
        </w:rPr>
        <w:t>La Commission européenne a également consulté les acteurs du marché dans le cadre d’une consultation ciblée ouverte pendant une période de huit semaines, de février à avril 2025 (</w:t>
      </w:r>
      <w:r>
        <w:rPr>
          <w:rStyle w:val="normaltextrun"/>
          <w:noProof/>
          <w:vertAlign w:val="superscript"/>
          <w:lang w:eastAsia="en-IE"/>
        </w:rPr>
        <w:footnoteReference w:id="6"/>
      </w:r>
      <w:r>
        <w:rPr>
          <w:rStyle w:val="normaltextrun"/>
          <w:noProof/>
        </w:rPr>
        <w:t>)</w:t>
      </w:r>
      <w:r>
        <w:rPr>
          <w:noProof/>
        </w:rPr>
        <w:t>. Au total, 94 réponses ont été reçues, dont 67 émanant du secteur (dont 12 bourses et leurs associations) et 12 d’autorités publiques et de régulateurs du marché. Lors de l’élaboration du présent rapport, la Commission a soigneusement examiné ces contributions ainsi que les données pertinentes et les tendances du marché afin d’étayer son analyse.</w:t>
      </w:r>
    </w:p>
    <w:p w14:paraId="15B1F68F" w14:textId="0011CCA4" w:rsidR="00142607" w:rsidRDefault="0DCCE4C0" w:rsidP="21CB014D">
      <w:pPr>
        <w:pStyle w:val="paragraph"/>
        <w:spacing w:before="0" w:beforeAutospacing="0" w:after="240" w:afterAutospacing="0"/>
        <w:jc w:val="both"/>
        <w:textAlignment w:val="baseline"/>
        <w:rPr>
          <w:rStyle w:val="normaltextrun"/>
          <w:noProof/>
        </w:rPr>
      </w:pPr>
      <w:r>
        <w:rPr>
          <w:rStyle w:val="normaltextrun"/>
          <w:noProof/>
        </w:rPr>
        <w:t>Conformément à l’exigence énoncée à l’article 90, paragraphe 5, de la directive MiFID II, le rapport évalue, pour chacun des éléments suivants, sa contribution à la liquidité et au bon fonctionnement des marchés européens des instruments dérivés sur matières premières, des quotas d’émission et des instruments dérivés sur quotas d’émission:</w:t>
      </w:r>
    </w:p>
    <w:p w14:paraId="674C7FF3" w14:textId="5B2C87B0" w:rsidR="00142607" w:rsidRPr="00575C33" w:rsidRDefault="00142607" w:rsidP="00AC60EB">
      <w:pPr>
        <w:pStyle w:val="paragraph"/>
        <w:numPr>
          <w:ilvl w:val="0"/>
          <w:numId w:val="31"/>
        </w:numPr>
        <w:spacing w:before="0" w:beforeAutospacing="0" w:after="240" w:afterAutospacing="0"/>
        <w:jc w:val="both"/>
        <w:textAlignment w:val="baseline"/>
        <w:rPr>
          <w:rStyle w:val="eop"/>
          <w:rFonts w:eastAsia="Calibri"/>
          <w:noProof/>
        </w:rPr>
      </w:pPr>
      <w:r>
        <w:rPr>
          <w:rStyle w:val="normaltextrun"/>
          <w:noProof/>
        </w:rPr>
        <w:t>les régimes concernant les limites de position et les contrôles en matière de gestion des positions, sur la base des données fournies à l’AEMF par les autorités compétentes conformément à l’article 57, paragraphes 5 et 10, de la directive MiFID II;</w:t>
      </w:r>
      <w:r>
        <w:rPr>
          <w:rStyle w:val="eop"/>
          <w:noProof/>
        </w:rPr>
        <w:t xml:space="preserve"> </w:t>
      </w:r>
    </w:p>
    <w:p w14:paraId="7CD5695C" w14:textId="1277D56F" w:rsidR="00142607" w:rsidRDefault="2E7611B7" w:rsidP="21CB014D">
      <w:pPr>
        <w:pStyle w:val="paragraph"/>
        <w:numPr>
          <w:ilvl w:val="0"/>
          <w:numId w:val="31"/>
        </w:numPr>
        <w:spacing w:before="0" w:beforeAutospacing="0" w:after="240" w:afterAutospacing="0"/>
        <w:jc w:val="both"/>
        <w:textAlignment w:val="baseline"/>
        <w:rPr>
          <w:rStyle w:val="eop"/>
          <w:rFonts w:eastAsia="Calibri"/>
          <w:noProof/>
        </w:rPr>
      </w:pPr>
      <w:r>
        <w:rPr>
          <w:rStyle w:val="normaltextrun"/>
          <w:noProof/>
        </w:rPr>
        <w:t>les éléments visés à l’article 2, paragraphe 4, deuxième et troisième alinéas, de la directive MiFID et les critères permettant de déterminer quand une activité doit être considérée comme accessoire par rapport à l’activité principale au niveau du groupe conformément au</w:t>
      </w:r>
      <w:r>
        <w:rPr>
          <w:noProof/>
        </w:rPr>
        <w:t xml:space="preserve"> </w:t>
      </w:r>
      <w:hyperlink r:id="rId18">
        <w:r>
          <w:rPr>
            <w:rStyle w:val="normaltextrun"/>
            <w:noProof/>
          </w:rPr>
          <w:t>règlement délégué (UE) 2021/1833 de la Commission</w:t>
        </w:r>
      </w:hyperlink>
      <w:r>
        <w:rPr>
          <w:rStyle w:val="normaltextrun"/>
          <w:noProof/>
        </w:rPr>
        <w:t>(</w:t>
      </w:r>
      <w:r>
        <w:rPr>
          <w:rStyle w:val="superscript"/>
          <w:noProof/>
          <w:vertAlign w:val="superscript"/>
        </w:rPr>
        <w:t>2</w:t>
      </w:r>
      <w:r>
        <w:rPr>
          <w:rStyle w:val="normaltextrun"/>
          <w:noProof/>
        </w:rPr>
        <w:t xml:space="preserve">), compte tenu i) de la capacité à conclure des transactions en vue de réduire efficacement les risques directement liés à l’activité commerciale ou à l’activité de financement de trésorerie, </w:t>
      </w:r>
      <w:r>
        <w:rPr>
          <w:noProof/>
        </w:rPr>
        <w:t xml:space="preserve">ii) de l’application, à partir du 26 juin 2026, des exigences prévues par le </w:t>
      </w:r>
      <w:hyperlink r:id="rId19" w:anchor="legislation">
        <w:r>
          <w:rPr>
            <w:rStyle w:val="normaltextrun"/>
            <w:noProof/>
          </w:rPr>
          <w:t>règlement (UE) 2019/2033</w:t>
        </w:r>
      </w:hyperlink>
      <w:r>
        <w:rPr>
          <w:noProof/>
        </w:rPr>
        <w:t xml:space="preserve"> aux entreprises d’investissement spécialisées dans les instruments dérivés sur matières premières, les quotas d’émission ou les instruments dérivés sur ceux-ci, et iii) des exigences applicables aux contreparties financières énoncées dans le </w:t>
      </w:r>
      <w:hyperlink r:id="rId20" w:anchor="legislation">
        <w:r>
          <w:rPr>
            <w:rStyle w:val="normaltextrun"/>
            <w:noProof/>
          </w:rPr>
          <w:t>règlement (UE) 648/2012</w:t>
        </w:r>
      </w:hyperlink>
      <w:r>
        <w:rPr>
          <w:noProof/>
        </w:rPr>
        <w:t>;</w:t>
      </w:r>
    </w:p>
    <w:p w14:paraId="2237F7B1" w14:textId="6AB03FBC" w:rsidR="00142607" w:rsidRPr="00AC60EB" w:rsidRDefault="00142607" w:rsidP="00AC60EB">
      <w:pPr>
        <w:pStyle w:val="paragraph"/>
        <w:numPr>
          <w:ilvl w:val="0"/>
          <w:numId w:val="31"/>
        </w:numPr>
        <w:spacing w:before="0" w:beforeAutospacing="0" w:after="240" w:afterAutospacing="0"/>
        <w:jc w:val="both"/>
        <w:textAlignment w:val="baseline"/>
        <w:rPr>
          <w:rStyle w:val="normaltextrun"/>
          <w:rFonts w:eastAsia="Calibri"/>
          <w:noProof/>
        </w:rPr>
      </w:pPr>
      <w:r>
        <w:rPr>
          <w:rStyle w:val="normaltextrun"/>
          <w:noProof/>
        </w:rPr>
        <w:t xml:space="preserve">les principaux éléments permettant d’obtenir un ensemble de données harmonisé pour les transactions effectuées par le marché des instruments dérivés sur matières premières auprès d’une entité unique de collecte, ainsi que les informations pertinentes concernant les données relatives aux transactions devant être rendues publiques et leur format le plus adapté. </w:t>
      </w:r>
    </w:p>
    <w:p w14:paraId="373C12DF" w14:textId="0157B4B5" w:rsidR="00484E85" w:rsidRDefault="2B31389B" w:rsidP="00AC60EB">
      <w:pPr>
        <w:rPr>
          <w:noProof/>
        </w:rPr>
      </w:pPr>
      <w:r>
        <w:rPr>
          <w:noProof/>
        </w:rPr>
        <w:t xml:space="preserve">En outre, le rapport Draghi publié en septembre 2024 a formulé certaines propositions de modification du cadre réglementaire régissant les marchés des instruments dérivés sur matières premières. </w:t>
      </w:r>
    </w:p>
    <w:p w14:paraId="74F35775" w14:textId="77777777" w:rsidR="009B1053" w:rsidRPr="00BA691C" w:rsidRDefault="009B1053" w:rsidP="00AC60EB">
      <w:pPr>
        <w:rPr>
          <w:noProof/>
          <w:szCs w:val="24"/>
          <w:lang w:val="fr-BE"/>
        </w:rPr>
      </w:pPr>
    </w:p>
    <w:p w14:paraId="197B4AAA" w14:textId="42287DBF" w:rsidR="009B1053" w:rsidRPr="009B1053" w:rsidRDefault="009B1053" w:rsidP="009B1053">
      <w:pPr>
        <w:keepNext/>
        <w:keepLines/>
        <w:numPr>
          <w:ilvl w:val="0"/>
          <w:numId w:val="2"/>
        </w:numPr>
        <w:outlineLvl w:val="0"/>
        <w:rPr>
          <w:b/>
          <w:noProof/>
        </w:rPr>
      </w:pPr>
      <w:bookmarkStart w:id="22" w:name="_Toc229413225"/>
      <w:r>
        <w:rPr>
          <w:b/>
          <w:noProof/>
        </w:rPr>
        <w:t>ASPECTS RELATIFS AUX DONNÉES CONCERNANT LES INSTRUMENTS DÉRIVÉS SUR MATIÈRES PREMIÈRES</w:t>
      </w:r>
      <w:bookmarkEnd w:id="22"/>
    </w:p>
    <w:p w14:paraId="29EC1FF2" w14:textId="4C6556EB" w:rsidR="009B1053" w:rsidRPr="00575C33" w:rsidRDefault="009B1053" w:rsidP="009B1053">
      <w:pPr>
        <w:rPr>
          <w:noProof/>
          <w:szCs w:val="24"/>
        </w:rPr>
      </w:pPr>
      <w:r>
        <w:rPr>
          <w:i/>
          <w:noProof/>
        </w:rPr>
        <w:t>Contexte</w:t>
      </w:r>
    </w:p>
    <w:p w14:paraId="629245A1" w14:textId="1557F31B" w:rsidR="009B1053" w:rsidRPr="00575C33" w:rsidRDefault="1D43C493" w:rsidP="009B1053">
      <w:pPr>
        <w:rPr>
          <w:noProof/>
        </w:rPr>
      </w:pPr>
      <w:r>
        <w:rPr>
          <w:noProof/>
        </w:rPr>
        <w:t>La négociation d’instruments dérivés sur matières premières est soumise aux obligations de transparence et de déclaration prévues par la directive MiFID II, le règlement MiFIR et le règlement EMIR. Ces règles n’opèrent pas de distinction selon la nature de la matière première sous-jacente. En outre, les instruments dérivés sur matières premières liées à l’énergie sont également soumis à des obligations de déclaration (bien que des dispositions visant à éviter les doubles déclarations soient prévues) en vertu du règlement (UE) nº 1227/2011 (REMIT).</w:t>
      </w:r>
    </w:p>
    <w:p w14:paraId="20860C9A" w14:textId="79DEF532" w:rsidR="009B1053" w:rsidRPr="00575C33" w:rsidRDefault="1D43C493" w:rsidP="009B1053">
      <w:pPr>
        <w:rPr>
          <w:noProof/>
        </w:rPr>
      </w:pPr>
      <w:r>
        <w:rPr>
          <w:noProof/>
        </w:rPr>
        <w:t>Si les déclarations aux référentiels centraux au titre du règlement EMIR couvrent l’ensemble des transactions sur instruments dérivés sur matières premières impliquant au moins une contrepartie de l’UE, les obligations de déclaration au titre de la directive MiFID II/du règlement MiFIR diffèrent selon le type de données, l’entité destinataire des données déclarées et le fait que la transaction soit ou non effectuée sur une plate-forme de négociation. Le règlement MiFIR précise en outre les conditions dans lesquelles certaines données pré-négociation (ordres) et données relatives aux transactions sur instruments financiers doivent être rendues publiques. La directive MiFID II prévoit que les informations relatives aux positions doivent être communiquées quotidiennement aux autorités nationales compétentes (ANC) par les plates-formes de négociation en ce qui concerne les participants au marché actifs sur ces plates-formes (</w:t>
      </w:r>
      <w:r>
        <w:rPr>
          <w:rStyle w:val="FootnoteReference"/>
          <w:noProof/>
        </w:rPr>
        <w:footnoteReference w:id="7"/>
      </w:r>
      <w:r>
        <w:rPr>
          <w:noProof/>
        </w:rPr>
        <w:t>). Les acteurs du marché sont, eux, tenus de déclarer quotidiennement aux plates-formes de négociation leurs positions sur les contrats dérivés négociés sur lesdites plates-formes (</w:t>
      </w:r>
      <w:r>
        <w:rPr>
          <w:rStyle w:val="FootnoteReference"/>
          <w:noProof/>
        </w:rPr>
        <w:footnoteReference w:id="8"/>
      </w:r>
      <w:r>
        <w:rPr>
          <w:noProof/>
        </w:rPr>
        <w:t>). Enfin, les entreprises d’investissement doivent déclarer quotidiennement à l’autorité nationale compétente concernée (</w:t>
      </w:r>
      <w:r>
        <w:rPr>
          <w:rStyle w:val="FootnoteReference"/>
          <w:noProof/>
        </w:rPr>
        <w:footnoteReference w:id="9"/>
      </w:r>
      <w:r>
        <w:rPr>
          <w:noProof/>
        </w:rPr>
        <w:t xml:space="preserve">) </w:t>
      </w:r>
      <w:bookmarkStart w:id="23" w:name="_Int_PO8OMKX2"/>
      <w:r>
        <w:rPr>
          <w:noProof/>
        </w:rPr>
        <w:t>leurs positions sur des contrats de gré à gré économiquement équivalents</w:t>
      </w:r>
      <w:bookmarkEnd w:id="23"/>
      <w:r>
        <w:rPr>
          <w:noProof/>
        </w:rPr>
        <w:t> (</w:t>
      </w:r>
      <w:r>
        <w:rPr>
          <w:rStyle w:val="FootnoteReference"/>
          <w:noProof/>
        </w:rPr>
        <w:footnoteReference w:id="10"/>
      </w:r>
      <w:r>
        <w:rPr>
          <w:noProof/>
        </w:rPr>
        <w:t xml:space="preserve">). </w:t>
      </w:r>
    </w:p>
    <w:p w14:paraId="519E44FD" w14:textId="352C9CB4" w:rsidR="009B1053" w:rsidRPr="00575C33" w:rsidRDefault="3D2601C1" w:rsidP="00372E29">
      <w:pPr>
        <w:spacing w:line="259" w:lineRule="auto"/>
        <w:rPr>
          <w:noProof/>
        </w:rPr>
      </w:pPr>
      <w:r>
        <w:rPr>
          <w:noProof/>
        </w:rPr>
        <w:t>Le règlement REMIT, tel que modifié par le règlement (UE) 2024/1106 (REMIT II), et le règlement d’exécution (UE) nº 1348/2014 (RE REMIT) ont introduit des exigences de déclaration détaillées pour les transactions et les ordres liés à des produits énergétiques de gros (</w:t>
      </w:r>
      <w:r>
        <w:rPr>
          <w:rStyle w:val="FootnoteReference"/>
          <w:noProof/>
          <w:lang w:val="en-IE"/>
        </w:rPr>
        <w:footnoteReference w:id="11"/>
      </w:r>
      <w:r>
        <w:rPr>
          <w:noProof/>
        </w:rPr>
        <w:t>).</w:t>
      </w:r>
    </w:p>
    <w:p w14:paraId="3FC97DF8" w14:textId="76BB6303" w:rsidR="009B1053" w:rsidRPr="00575C33" w:rsidRDefault="1D43C493" w:rsidP="009B1053">
      <w:pPr>
        <w:rPr>
          <w:noProof/>
        </w:rPr>
      </w:pPr>
      <w:r>
        <w:rPr>
          <w:noProof/>
        </w:rPr>
        <w:t>Entré en vigueur en mai 2024, le règlement REMIT II a instauré l’obligation de mettre en place des mécanismes de partage des données entre différentes autorités de régulation, dont l’ACER, l’AEMF, Eurofisc, la Commission européenne, les autorités de régulation nationales (ARN), les ANC et d’autres autorités pertinentes dans l’UE. En outre, étant donné que le règlement REMIT couvre les produits dérivés sur l’énergie en tant que produits énergétiques de gros, des dispositions spécifiques du règlement REMIT II visent à éviter la double déclaration au titre, à la fois, du corpus réglementaire financier et dudit règlement. Le règlement REMIT II prévoit ainsi que les personnes qui ont déclaré des transactions conformément au règlement MiFIR ou au règlement EMIR ne sont pas soumises à des obligations de double déclaration en ce qui concerne ces transactions (</w:t>
      </w:r>
      <w:r>
        <w:rPr>
          <w:rStyle w:val="FootnoteReference"/>
          <w:noProof/>
        </w:rPr>
        <w:footnoteReference w:id="12"/>
      </w:r>
      <w:r>
        <w:rPr>
          <w:noProof/>
        </w:rPr>
        <w:t xml:space="preserve">). </w:t>
      </w:r>
    </w:p>
    <w:p w14:paraId="2FF267B0" w14:textId="1238DEBD" w:rsidR="009B1053" w:rsidRPr="00575C33" w:rsidRDefault="1D43C493" w:rsidP="21CB014D">
      <w:pPr>
        <w:rPr>
          <w:noProof/>
        </w:rPr>
      </w:pPr>
      <w:r>
        <w:rPr>
          <w:noProof/>
        </w:rPr>
        <w:t xml:space="preserve">Le cadre réglementaire actuel se traduit par une multiplicité de canaux de déclaration, l’accès aux données étant limité à des régulateurs spécifiques. Par exemple, l’ACER et les ARN reçoivent des données relatives aux produits énergétiques de gros (en plus de certaines données financières obtenues via l’accès aux données des référentiels centraux au titre du règlement EMIR pour les produits énergétiques de gros qui sont également considérés comme des instruments financiers), tandis que l’AEMF et les ANC reçoivent des données financières. Cette séparation signifie que les données disponibles pour les autorités de surveillance du secteur de l’énergie ne parviennent pas toujours aux régulateurs financiers, et inversement, ce qui peut entraver la surveillance intermarchés. Par exemple, l’AEMF et les ANC n’ont pas systématiquement accès aux données sur les produits relevant de l’exclusion C6 (ou «C6 carve-out») ni à celles concernant les produits du marché au comptant déclarées à l’ACER. En outre, les différences de normes de déclaration entre les réglementations MiFIR/EMIR et REMIT II compliquent la déclaration et l’analyse des données, même pour les produits connexes. </w:t>
      </w:r>
    </w:p>
    <w:p w14:paraId="0180A78E" w14:textId="14ED5B60" w:rsidR="009B1053" w:rsidRPr="00575C33" w:rsidRDefault="1D43C493" w:rsidP="60190FC5">
      <w:pPr>
        <w:rPr>
          <w:noProof/>
          <w:sz w:val="22"/>
          <w:szCs w:val="22"/>
        </w:rPr>
      </w:pPr>
      <w:r>
        <w:rPr>
          <w:noProof/>
        </w:rPr>
        <w:t xml:space="preserve">La consultation des parties prenantes portait sur plusieurs aspects liés aux données. Elle examinait ainsi si l’AEMF disposait d’un accès suffisant aux données relatives aux transactions par l’intermédiaire des ANC. Elle explorait également les domaines dans lesquels le partage d’informations et l’accès aux informations pertinentes pourraient être améliorés ou rationalisés ainsi que les possibilités d’harmoniser davantage les mécanismes de déclaration entre les corpus réglementaires financiers et énergétiques. L’une des options envisagées dans le document de consultation était la création d’un mécanisme centralisé de collecte de données pour les contrats au comptant et les contrats dérivés. La consultation visait en outre à clarifier si, dans le cadre d’un tel mécanisme, la déclaration des données pertinentes devrait être assurée par i) les référentiels centraux, ii) les mécanismes de déclaration enregistrés (RRM), iii) une entité tierce également chargée de consolider les données pertinentes reçues des référentiels centraux et des RRM, en garantissant l’égalité d’accès à l’ensemble des régulateurs, tels que l’AEMF, l’ACER, les ARN, les ANC et la Commission, ou iv) une quelconque autre entité. Enfin, la consultation comportait des questions visant à déterminer si un tel mécanisme centralisé pourrait également servir de guichet unique pour la déclaration des données par les acteurs du marché actifs à la fois sur les marchés physiques/au comptant et sur les marchés de dérivés, ce qui allégerait la charge déclarative pour les négociants en matières premières. Elle demandait également s’il convenait d’envisager une approche autre que le mécanisme de collecte centralisé, consistant à instaurer un accès systématique réciproque entre les bases de données des ANC et celles de l’ACER. </w:t>
      </w:r>
    </w:p>
    <w:p w14:paraId="3FA8932E" w14:textId="436A7438" w:rsidR="009B1053" w:rsidRPr="00575C33" w:rsidRDefault="7FB03883" w:rsidP="009B1053">
      <w:pPr>
        <w:rPr>
          <w:noProof/>
        </w:rPr>
      </w:pPr>
      <w:r>
        <w:rPr>
          <w:noProof/>
        </w:rPr>
        <w:t>Enfin, le rapport Draghi de 2024 recommandait de recueillir des données sur les transactions et les positions relatives aux instruments dérivés sur l’énergie négociés de gré à gré. La Commission fait observer que le règlement EMIR prévoit déjà la déclaration de toutes les transactions portant sur des produits dérivés, y compris les transactions de gré à gré, qui impliquent au moins une contrepartie de l’UE. En revanche, en ce qui concerne les données relatives aux positions, et comme indiqué à la section 4 du présent rapport, les entités qui ne sont pas des entreprises d’investissement ne sont actuellement pas tenues de déclarer les positions sur dérivés de gré à gré aux régulateurs de l’UE (</w:t>
      </w:r>
      <w:r>
        <w:rPr>
          <w:rStyle w:val="FootnoteReference"/>
          <w:noProof/>
          <w:lang w:val="en-US"/>
        </w:rPr>
        <w:footnoteReference w:id="13"/>
      </w:r>
      <w:r>
        <w:rPr>
          <w:noProof/>
        </w:rPr>
        <w:t xml:space="preserve">). </w:t>
      </w:r>
    </w:p>
    <w:p w14:paraId="41232613" w14:textId="77777777" w:rsidR="009B1053" w:rsidRDefault="009B1053" w:rsidP="009B1053">
      <w:pPr>
        <w:rPr>
          <w:i/>
          <w:iCs/>
          <w:noProof/>
          <w:szCs w:val="24"/>
        </w:rPr>
      </w:pPr>
      <w:r>
        <w:rPr>
          <w:i/>
          <w:noProof/>
        </w:rPr>
        <w:t>Retour d’information des parties prenantes et évaluation</w:t>
      </w:r>
    </w:p>
    <w:p w14:paraId="7C788E73" w14:textId="1D21E8EE" w:rsidR="009B1053" w:rsidRDefault="1D43C493" w:rsidP="009B1053">
      <w:pPr>
        <w:rPr>
          <w:noProof/>
        </w:rPr>
      </w:pPr>
      <w:r>
        <w:rPr>
          <w:noProof/>
        </w:rPr>
        <w:t>S’agissant de l’harmonisation des déclarations, plus de la moitié des répondants estiment que les déclarations, par exemple celles relatives aux transactions, au titre de REMIT II et de MiFID II/MiFIR/EMIR, devraient être rationalisées et que les doubles déclarations devraient être supprimées. Ils soulignent néanmoins que chacun des cadres d’information financière et énergétique poursuit des objectifs différents et présente des caractéristiques propres, et mettent en garde contre des modifications immédiates des régimes de déclaration existants, compte tenu notamment des coûts de mise en œuvre que de telles modifications pourraient entraîner. Au vu des coûts qui pourraient découler de ce processus, les participants estiment qu’une analyse d’impact et une analyse coûts-avantages devraient être réalisées avant toute initiative d’harmonisation. Neuf représentants du secteur, dont trois plates-formes de négociation et une association boursière favorables à l’harmonisation, ont explicitement plaidé en faveur d’une approche progressive, par étapes, commençant par l’amélioration du partage des données entre les autorités de régulation, avant d’envisager une refonte complète des exigences existantes. Plusieurs répondants actifs dans la surveillance/la régulation ont suggéré de relever les champs de données communs aux cadres énergétique et financier, notamment par l’utilisation d’identifiants uniques communs, fondés sur des normes internationales.</w:t>
      </w:r>
    </w:p>
    <w:p w14:paraId="37FDD308" w14:textId="707C4DC6" w:rsidR="009B1053" w:rsidRDefault="1D43C493" w:rsidP="21CB014D">
      <w:pPr>
        <w:rPr>
          <w:noProof/>
        </w:rPr>
      </w:pPr>
      <w:r>
        <w:rPr>
          <w:noProof/>
        </w:rPr>
        <w:t>La Commission reconnaît qu’une refonte des normes de déclaration, bien qu’elle soit susceptible d’apporter des avantages à long terme sous la forme d’un cadre simplifié, supposerait à court terme des coûts d’adaptation liés à la modification des formats de déclaration. En outre, cela pourrait compliquer la déclaration d’autres catégories de dérivés au titre du règlement EMIR, celui-ci ne se limitant pas aux instruments dérivés sur matières premières.</w:t>
      </w:r>
    </w:p>
    <w:p w14:paraId="1F959A1F" w14:textId="213EEE93" w:rsidR="009B1053" w:rsidRDefault="1D43C493" w:rsidP="009B1053">
      <w:pPr>
        <w:rPr>
          <w:noProof/>
        </w:rPr>
      </w:pPr>
      <w:r>
        <w:rPr>
          <w:noProof/>
        </w:rPr>
        <w:t>Les parties prenantes étaient partagées quant à la création d’un mécanisme centralisé de collecte de données. La moitié des répondants étaient d’avis qu’un tel mécanisme pourrait faciliter la déclaration, à condition qu’il s’appuie sur l’infrastructure existante et n’introduise pas de nouvelles exigences en matière de données ni de complexité ou de coûts supplémentaires. L’autre moitié craignait des coûts de mise en œuvre et attirait l’attention sur les caractéristiques intrinsèquement différentes des marchés, qui justifient les régimes actuels distincts. Deux régulateurs ont déclaré qu’une approche centralisée en matière de déclaration permettrait aux ANC, aux ARN, à l’AEMF et à l’ACER d’accéder à un même ensemble de données, complet et consolidé, ce qui leur donnerait une vision globale des marchés physiques et des marchés de dérivés.</w:t>
      </w:r>
    </w:p>
    <w:p w14:paraId="4946644A" w14:textId="2D2B4C45" w:rsidR="009B1053" w:rsidRDefault="1D43C493" w:rsidP="21CB014D">
      <w:pPr>
        <w:rPr>
          <w:noProof/>
        </w:rPr>
      </w:pPr>
      <w:r>
        <w:rPr>
          <w:noProof/>
        </w:rPr>
        <w:t>À titre subsidiaire, même parmi les partisans d’un tel mécanisme centralisé, il a été proposé de s’appuyer sur les dispositions existantes du règlement REMIT II, qui prévoient des mécanismes étendus de coopération et d’échange d’informations entre les différents régulateurs, et de les transposer dans le cadre financier afin d’améliorer le flux de données entre l’ACER et les autorités financières (et inversement), solution jugée plus efficace au regard de ses coûts. Une telle approche permettrait en outre d’éviter les demandes ponctuelles d’accès aux données. Les parties prenantes se sont donc montrées plus favorables à l’amélioration du partage des données entre les régulateurs qu’à la mise en place d’un mécanisme entièrement nouveau. La Commission souscrit à l’avis selon lequel un partage de données plus systématique et plus institutionnalisé et un accès réciproque à ces données par les autorités de surveillance financières et énergétiques seraient hautement souhaitables.</w:t>
      </w:r>
    </w:p>
    <w:p w14:paraId="2C823A3C" w14:textId="18BBF31D" w:rsidR="009B1053" w:rsidRDefault="1D43C493" w:rsidP="21CB014D">
      <w:pPr>
        <w:rPr>
          <w:noProof/>
        </w:rPr>
      </w:pPr>
      <w:r>
        <w:rPr>
          <w:noProof/>
        </w:rPr>
        <w:t>Pour ce qui est des règles de transparence pré- et post-négociation [notamment en ce qui concerne l’activité de négociation sur les systèmes multilatéraux de négociation (MTF) et les systèmes organisés de négociation (OTF)], 70 % des répondants se sont dits opposés à toute modification des règles actuelles, invoquant les risques d’exposition des participants au regard de leurs stratégies de couverture, et la nature particulière des marchés de matières premières. Certains répondants ont souligné qu’avant le réexamen du règlement MiFIR (</w:t>
      </w:r>
      <w:r>
        <w:rPr>
          <w:rStyle w:val="FootnoteReference"/>
          <w:noProof/>
          <w:lang w:val="en-IE"/>
        </w:rPr>
        <w:footnoteReference w:id="14"/>
      </w:r>
      <w:r>
        <w:rPr>
          <w:noProof/>
        </w:rPr>
        <w:t>), les instruments dérivés sur matières premières négociés sur les MTF et les OTF étaient soumis à des exigences de transparence pré- et post-négociation précisément du seul fait de leur négociation sur ces plates-formes. Ledit réexamen a conclu que le champ de la transparence des produits dérivés ne devrait pas reposer sur la notion de «négocié sur une plate-forme de négociation» en raison de la faible fongibilité de ces contrats. Les répondants ont insisté sur le fait que les obligations de transparence ne devraient s’appliquer qu’aux instruments dérivés suffisamment normalisés pour que les données publiées à leur sujet soient pertinentes pour les participants au marché. La Commission constate qu’en tout état de cause, l’activité de négociation d’instruments dérivés sur matières premières est actuellement marginale sur les OTF (0,3 % des volumes négociés en 2024) (</w:t>
      </w:r>
      <w:r>
        <w:rPr>
          <w:rStyle w:val="FootnoteReference"/>
          <w:noProof/>
          <w:lang w:val="en-IE"/>
        </w:rPr>
        <w:footnoteReference w:id="15"/>
      </w:r>
      <w:r>
        <w:rPr>
          <w:noProof/>
        </w:rPr>
        <w:t>) et inexistante sur les MTF (</w:t>
      </w:r>
      <w:r>
        <w:rPr>
          <w:rStyle w:val="FootnoteReference"/>
          <w:noProof/>
          <w:lang w:val="en-IE"/>
        </w:rPr>
        <w:footnoteReference w:id="16"/>
      </w:r>
      <w:r>
        <w:rPr>
          <w:noProof/>
        </w:rPr>
        <w:t>).</w:t>
      </w:r>
    </w:p>
    <w:p w14:paraId="1B00D0FD" w14:textId="45B96BFC" w:rsidR="009B1053" w:rsidRPr="00575C33" w:rsidRDefault="1D43C493" w:rsidP="21CB014D">
      <w:pPr>
        <w:rPr>
          <w:noProof/>
        </w:rPr>
      </w:pPr>
      <w:r>
        <w:rPr>
          <w:noProof/>
        </w:rPr>
        <w:t xml:space="preserve">44 des 48 répondants ayant exprimé leur point de vue sur ce sujet se sont dits opposés à l’inclusion dans le système consolidé de publication de données pré- et/ou post-négociation sur les instruments dérivés sur matières premières négociés en bourse. Nombre d’entre eux ont fait observer que, contrairement aux produits dérivés de gré à gré, les produits dérivés négociés en bourse sont négociés sur des marchés réglementés, la tarification et les volumes de négociation étant donc déjà accessibles au public, et que l’activité de négociation est concentrée sur un très petit nombre de marchés réglementés (limitant ainsi la valeur ajoutée d’un système consolidé de publication pour cette catégorie d’actifs). Seuls quatre participants du secteur de l’énergie se sont déclarés favorables à l’idée d’inclure dans le système consolidé de publication des données pré- et/ou post-négociation sur les instruments dérivés sur matières premières négociés en bourse. </w:t>
      </w:r>
    </w:p>
    <w:p w14:paraId="022A1298" w14:textId="77777777" w:rsidR="00F07548" w:rsidRDefault="009B1053" w:rsidP="009B1053">
      <w:pPr>
        <w:rPr>
          <w:i/>
          <w:noProof/>
        </w:rPr>
      </w:pPr>
      <w:r>
        <w:rPr>
          <w:i/>
          <w:noProof/>
        </w:rPr>
        <w:t>Conclusions de l’évaluation menée par la Commission</w:t>
      </w:r>
    </w:p>
    <w:p w14:paraId="095E2E70" w14:textId="565A31A3" w:rsidR="009B1053" w:rsidRDefault="1D43C493" w:rsidP="009B1053">
      <w:pPr>
        <w:rPr>
          <w:rStyle w:val="normaltextrun"/>
          <w:noProof/>
        </w:rPr>
      </w:pPr>
      <w:r>
        <w:rPr>
          <w:rStyle w:val="normaltextrun"/>
          <w:noProof/>
        </w:rPr>
        <w:t>La Commission est consciente que le cadre actuel de déclaration applicable aux instruments dérivés sur matières premières est complexe. Cette complexité est particulièrement marquée pour les instruments dérivés sur matières premières liées à l’énergie, étant donné que tant le marché au comptant sous-jacent que les produits dérivés sur énergie sont soumis à des obligations de déclaration spécifiques en vertu du règlement REMIT II, tandis que ces derniers sont également déclarés dans le cadre financier (contrairement à d’autres types d’instruments dérivés sur matières premières qui ne sont déclarés que dans le cadre de la législation financière). Bien que, comme indiqué ci-dessus, le règlement REMIT II contienne des dispositions visant à éviter la double déclaration, des gains d’efficacité supplémentaires pourraient encore être réalisés.</w:t>
      </w:r>
    </w:p>
    <w:p w14:paraId="7D283ED3" w14:textId="161751C6" w:rsidR="009B1053" w:rsidRDefault="1D43C493" w:rsidP="009B1053">
      <w:pPr>
        <w:rPr>
          <w:rStyle w:val="normaltextrun"/>
          <w:noProof/>
        </w:rPr>
      </w:pPr>
      <w:r>
        <w:rPr>
          <w:rStyle w:val="normaltextrun"/>
          <w:noProof/>
        </w:rPr>
        <w:t>Si l’harmonisation des normes et la rationalisation des obligations de déclaration contribueraient à simplifier les cadres pertinents, à réduire la charge pesant sur les entreprises et à rationaliser les données utilisées par les autorités de surveillance, elles nécessiteraient une évaluation approfondie des modifications législatives requises ainsi que des coûts associés, tant pour les acteurs du marché que pour les autorités de surveillance/régulateurs. De même, la création d’un mécanisme de déclaration unique, bien que globalement souhaitable à terme, pourrait soulever d’importants défis, eu égard aux coûts de sa mise en œuvre et à la difficulté potentielle à différencier la déclaration des instruments dérivés sur matières premières de celle d’autres instruments dérivés.</w:t>
      </w:r>
    </w:p>
    <w:p w14:paraId="0BFF1114" w14:textId="78D60AE2" w:rsidR="009B1053" w:rsidRDefault="1D43C493" w:rsidP="009B1053">
      <w:pPr>
        <w:rPr>
          <w:rStyle w:val="normaltextrun"/>
          <w:noProof/>
        </w:rPr>
      </w:pPr>
      <w:r>
        <w:rPr>
          <w:rStyle w:val="normaltextrun"/>
          <w:noProof/>
        </w:rPr>
        <w:t xml:space="preserve">Dans le cadre d’une possible approche progressive, des mesures à court terme pourraient être envisagées afin de faciliter le partage de données entre autorités et d’améliorer l’interopérabilité des ensembles de données. De telles mesures pourraient inclure l’institutionnalisation des échanges de données entre les régulateurs financiers et les régulateurs de l’énergie, avec un accès réciproque systématique à leurs données de surveillance respectives, éliminant ainsi la nécessité de demandes d’accès ponctuelles. La Commission pourrait également envisager l’adoption de formats d’identifiants uniques pour les transactions déclarées au titre des cadres tant financier qu'énergétique. </w:t>
      </w:r>
    </w:p>
    <w:p w14:paraId="5CDFB4C8" w14:textId="28010553" w:rsidR="009B1053" w:rsidRDefault="1D43C493" w:rsidP="21CB014D">
      <w:pPr>
        <w:rPr>
          <w:noProof/>
        </w:rPr>
      </w:pPr>
      <w:r>
        <w:rPr>
          <w:noProof/>
        </w:rPr>
        <w:t>Enfin, en ce qui concerne les exigences de transparence pré- et post-négociation, la Commission est d’avis que le cadre actuel garantit un niveau d’information suffisant pour le public et que, par conséquent, aucune modification n’est nécessaire à cet égard. Ces conclusions s’appliquent également aux quotas d’émission et aux contrats dérivés sur quotas d’émission.</w:t>
      </w:r>
    </w:p>
    <w:p w14:paraId="56E17FF9" w14:textId="77777777" w:rsidR="00BE2881" w:rsidRPr="00BE2881" w:rsidRDefault="00BE2881" w:rsidP="009B1053">
      <w:pPr>
        <w:rPr>
          <w:noProof/>
          <w:szCs w:val="24"/>
        </w:rPr>
      </w:pPr>
    </w:p>
    <w:p w14:paraId="4998F48B" w14:textId="31C22827" w:rsidR="00F32D54" w:rsidRPr="00575C33" w:rsidRDefault="601B0B43" w:rsidP="21CB014D">
      <w:pPr>
        <w:keepNext/>
        <w:keepLines/>
        <w:numPr>
          <w:ilvl w:val="0"/>
          <w:numId w:val="2"/>
        </w:numPr>
        <w:outlineLvl w:val="0"/>
        <w:rPr>
          <w:b/>
          <w:bCs/>
          <w:noProof/>
        </w:rPr>
      </w:pPr>
      <w:bookmarkStart w:id="24" w:name="_Toc229413226"/>
      <w:r>
        <w:rPr>
          <w:b/>
          <w:noProof/>
        </w:rPr>
        <w:t>L’EXEMPTION POUR ACTIVITÉ ACCESSOIRE</w:t>
      </w:r>
      <w:bookmarkEnd w:id="24"/>
    </w:p>
    <w:p w14:paraId="71A43F65" w14:textId="40B25B14" w:rsidR="00004440" w:rsidRPr="00575C33" w:rsidRDefault="2510A2AB" w:rsidP="21CB014D">
      <w:pPr>
        <w:rPr>
          <w:i/>
          <w:iCs/>
          <w:noProof/>
          <w:shd w:val="clear" w:color="auto" w:fill="FFFFFF"/>
        </w:rPr>
      </w:pPr>
      <w:r>
        <w:rPr>
          <w:i/>
          <w:noProof/>
          <w:shd w:val="clear" w:color="auto" w:fill="FFFFFF"/>
        </w:rPr>
        <w:t>Rôle et fonctionnement</w:t>
      </w:r>
    </w:p>
    <w:p w14:paraId="546E1C63" w14:textId="5978E74E" w:rsidR="00401BAE" w:rsidRPr="00575C33" w:rsidRDefault="6CC0E60D" w:rsidP="00AC60EB">
      <w:pPr>
        <w:rPr>
          <w:noProof/>
          <w:shd w:val="clear" w:color="auto" w:fill="FFFFFF"/>
        </w:rPr>
      </w:pPr>
      <w:r>
        <w:rPr>
          <w:noProof/>
          <w:shd w:val="clear" w:color="auto" w:fill="FFFFFF"/>
        </w:rPr>
        <w:t>Les marchés d’instruments dérivés sur matières premières se caractérisent par la participation importante d’entités dont l’activité principale ne consiste pas à fournir des services financiers, mais qui recourent aux marchés d’instruments dérivés pour couvrir leurs positions sur les marchés physiques sous-jacents ou, dans certains cas, tirer parti des évolutions du marché afin de générer un profit.</w:t>
      </w:r>
    </w:p>
    <w:p w14:paraId="5BFA9C56" w14:textId="1281FCAF" w:rsidR="00753F1C" w:rsidRPr="00575C33" w:rsidRDefault="6CC0E60D" w:rsidP="00AC60EB">
      <w:pPr>
        <w:rPr>
          <w:noProof/>
          <w:shd w:val="clear" w:color="auto" w:fill="FFFFFF"/>
        </w:rPr>
      </w:pPr>
      <w:r>
        <w:rPr>
          <w:noProof/>
          <w:shd w:val="clear" w:color="auto" w:fill="FFFFFF"/>
        </w:rPr>
        <w:t>Les entités non financières représentent environ les deux tiers des participants au marché à terme du gaz naturel (</w:t>
      </w:r>
      <w:r>
        <w:rPr>
          <w:rStyle w:val="FootnoteReference"/>
          <w:noProof/>
          <w:shd w:val="clear" w:color="auto" w:fill="FFFFFF"/>
        </w:rPr>
        <w:footnoteReference w:id="17"/>
      </w:r>
      <w:r>
        <w:rPr>
          <w:noProof/>
          <w:shd w:val="clear" w:color="auto" w:fill="FFFFFF"/>
        </w:rPr>
        <w:t>) et environ 60 % des acteurs du marché à terme du blé (</w:t>
      </w:r>
      <w:r>
        <w:rPr>
          <w:rStyle w:val="FootnoteReference"/>
          <w:noProof/>
          <w:shd w:val="clear" w:color="auto" w:fill="FFFFFF"/>
        </w:rPr>
        <w:footnoteReference w:id="18"/>
      </w:r>
      <w:r>
        <w:rPr>
          <w:noProof/>
          <w:shd w:val="clear" w:color="auto" w:fill="FFFFFF"/>
        </w:rPr>
        <w:t>) eu égard aux positions détenues sur leurs marchés respectifs. Certaines entités non financières agissent également en tant que teneurs de marché et peuvent également être actives à la fois sur les marchés physiques/au comptant et sur les marchés de dérivés. L’exemption pour activité accessoire (EAA) prévue à l’article 2, paragraphe 1, point j), de la directive MiFID II exempte actuellement certains acteurs non financiers des marchés qui négocient des instruments dérivés sur matières premières de l’obligation d’obtenir un agrément au titre de la directive MiFID II (et des exigences de conformité qui y sont associées) si cette activité de négociation est exercée pour compte propre et n’est pas liée à l’exécution d’ordres de clients, ou si elle fournit des services d’investissement portant sur des instruments dérivés sur matières premières, des quotas d’émission ou des instruments dérivés sur ceux-ci à des clients ou à des fournisseurs de leur activité principale, à condition que cette activité soit considérée comme «accessoire» à leur activité principale, que ce soit individuellement ou sur une base agrégée.</w:t>
      </w:r>
    </w:p>
    <w:p w14:paraId="483A429F" w14:textId="72CC4199" w:rsidR="00753F1C" w:rsidRPr="00575C33" w:rsidRDefault="6CC0E60D" w:rsidP="21CB014D">
      <w:pPr>
        <w:rPr>
          <w:noProof/>
          <w:shd w:val="clear" w:color="auto" w:fill="FFFFFF"/>
        </w:rPr>
      </w:pPr>
      <w:r>
        <w:rPr>
          <w:noProof/>
          <w:shd w:val="clear" w:color="auto" w:fill="FFFFFF"/>
        </w:rPr>
        <w:t xml:space="preserve">Trois tests alternatifs au titre de la directive MiFID II sont utilisés pour déterminer si l’activité d’une entreprise est accessoire à son activité principale. Le respect de l’un quelconque de ces critères suffit pour bénéficier de l’exemption: </w:t>
      </w:r>
    </w:p>
    <w:p w14:paraId="06D3989F" w14:textId="4914BE34" w:rsidR="00753F1C" w:rsidRPr="00575C33" w:rsidRDefault="6CC0E60D"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le </w:t>
      </w:r>
      <w:r>
        <w:rPr>
          <w:rFonts w:ascii="Times New Roman" w:hAnsi="Times New Roman"/>
          <w:i/>
          <w:noProof/>
          <w:sz w:val="24"/>
          <w:shd w:val="clear" w:color="auto" w:fill="FFFFFF"/>
        </w:rPr>
        <w:t>test du seuil de minimis</w:t>
      </w:r>
      <w:r>
        <w:rPr>
          <w:rFonts w:ascii="Times New Roman" w:hAnsi="Times New Roman"/>
          <w:noProof/>
          <w:sz w:val="24"/>
          <w:shd w:val="clear" w:color="auto" w:fill="FFFFFF"/>
        </w:rPr>
        <w:t>, pour les entités dont l’encours net de l’exposition notionnelle en instruments dérivés sur matières premières ou quotas d’émission ou instruments dérivés sur ces derniers donnant lieu à un règlement en espèces, négociés dans l’Union, à l’exclusion des instruments dérivés sur matières premières ou des quotas d’émission ou des instruments dérivés sur ces derniers qui sont négociés sur une plate-forme de négociation, est inférieur à un seuil annuel de 3 milliards d’EUR;</w:t>
      </w:r>
    </w:p>
    <w:p w14:paraId="5D4F60DE" w14:textId="77777777" w:rsidR="00753F1C" w:rsidRPr="00575C33" w:rsidRDefault="00CD7657"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le </w:t>
      </w:r>
      <w:r>
        <w:rPr>
          <w:rFonts w:ascii="Times New Roman" w:hAnsi="Times New Roman"/>
          <w:i/>
          <w:noProof/>
          <w:sz w:val="24"/>
          <w:shd w:val="clear" w:color="auto" w:fill="FFFFFF"/>
        </w:rPr>
        <w:t>test basé sur l’activité de négociation</w:t>
      </w:r>
      <w:r>
        <w:rPr>
          <w:rFonts w:ascii="Times New Roman" w:hAnsi="Times New Roman"/>
          <w:noProof/>
          <w:sz w:val="24"/>
          <w:shd w:val="clear" w:color="auto" w:fill="FFFFFF"/>
        </w:rPr>
        <w:t>, pour les entités dont la taille des activités liées aux instruments dérivés sur matières premières représente 50 % ou moins de la taille totale des autres activités de négociation du groupe;</w:t>
      </w:r>
    </w:p>
    <w:p w14:paraId="7710213F" w14:textId="77777777" w:rsidR="00753F1C" w:rsidRPr="00575C33" w:rsidRDefault="00CD7657"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le </w:t>
      </w:r>
      <w:r>
        <w:rPr>
          <w:rFonts w:ascii="Times New Roman" w:hAnsi="Times New Roman"/>
          <w:i/>
          <w:noProof/>
          <w:sz w:val="24"/>
          <w:shd w:val="clear" w:color="auto" w:fill="FFFFFF"/>
        </w:rPr>
        <w:t>test du capital utilisé</w:t>
      </w:r>
      <w:r>
        <w:rPr>
          <w:rFonts w:ascii="Times New Roman" w:hAnsi="Times New Roman"/>
          <w:noProof/>
          <w:sz w:val="24"/>
          <w:shd w:val="clear" w:color="auto" w:fill="FFFFFF"/>
        </w:rPr>
        <w:t>, pour les entités dont le montant estimatif du capital utilisé pour l’exercice de leurs activités liées aux instruments dérivés sur matières premières ne représente pas plus de 50 % du capital utilisé au niveau du groupe pour l’exercice de l’activité principale.</w:t>
      </w:r>
    </w:p>
    <w:p w14:paraId="5BB08A37" w14:textId="6357C558" w:rsidR="00396EB6" w:rsidRDefault="1F450645" w:rsidP="21CB014D">
      <w:pPr>
        <w:rPr>
          <w:noProof/>
          <w:shd w:val="clear" w:color="auto" w:fill="FFFFFF"/>
        </w:rPr>
      </w:pPr>
      <w:r>
        <w:rPr>
          <w:noProof/>
          <w:shd w:val="clear" w:color="auto" w:fill="FFFFFF"/>
        </w:rPr>
        <w:t xml:space="preserve">Il convient de noter que tous les seuils susmentionnés excluent les activités de négociation liées à la couverture. </w:t>
      </w:r>
    </w:p>
    <w:p w14:paraId="78FA2977" w14:textId="0B4AFD7C" w:rsidR="00650496" w:rsidRPr="00575C33" w:rsidRDefault="23B6D84A" w:rsidP="00AC60EB">
      <w:pPr>
        <w:rPr>
          <w:noProof/>
          <w:shd w:val="clear" w:color="auto" w:fill="FFFFFF"/>
        </w:rPr>
      </w:pPr>
      <w:r>
        <w:rPr>
          <w:noProof/>
          <w:shd w:val="clear" w:color="auto" w:fill="FFFFFF"/>
        </w:rPr>
        <w:t xml:space="preserve">La qualification en tant qu’entreprise d’investissement au sens de la directive MiFID II emporte des conséquences étendues. Elle implique non seulement l’application des exigences organisationnelles et opérationnelles de la directive MiFID II (ainsi que le rôle de surveillance et les pouvoirs de sanction associés des ANC), mais également la qualification de contrepartie financière au titre du règlement (UE) nº 648/2012 (EMIR), notamment en ce qui concerne les exigences associées en matière d’échange de marges bilatérales dans le cadre de la négociation de produits dérivés, et l’application du régime prudentiel prévu par le règlement (UE) 2019/2033 (règlement concernant les exigences prudentielles applicables aux entreprises d’investissement, IFR) et la directive (UE) 2019/2034 (directive concernant la surveillance prudentielle des entreprises d’investissement, IFD), y compris les exigences en matière de fonds propres et de liquidité associées. Il convient toutefois de noter qu’un certain nombre d’exigences essentielles du corpus réglementaire financier s’appliquent à toutes les entités, qu’elles soient ou non considérées comme des entreprises d’investissement. Il s’agit notamment des exigences relatives aux abus de marché, aux limites de position et à la déclaration au titre du règlement EMIR. </w:t>
      </w:r>
    </w:p>
    <w:p w14:paraId="4723EC01" w14:textId="7F724E5E" w:rsidR="00CD7657" w:rsidRPr="00575C33" w:rsidRDefault="6CC0E60D" w:rsidP="00AC60EB">
      <w:pPr>
        <w:rPr>
          <w:noProof/>
          <w:shd w:val="clear" w:color="auto" w:fill="FFFFFF"/>
        </w:rPr>
      </w:pPr>
      <w:r>
        <w:rPr>
          <w:noProof/>
          <w:shd w:val="clear" w:color="auto" w:fill="FFFFFF"/>
        </w:rPr>
        <w:t>En 2021, le train de mesures de relance par les marchés de capitaux (CMRP) a introduit plusieurs modifications visant à réduire une partie de la charge administrative pesant sur les investisseurs expérimentés dans leurs relations interentreprises et à offrir aux marchés émergents de matières premières des possibilités pour continuer à se développer, à s’approfondir et à améliorer leur liquidité. La directive (UE) 2021/338 a simplifié le test pour l’EAA, en introduisant le seuil de minimis susmentionné fondé sur l’exposition. L’obligation faite aux acteurs du marché de notifier chaque année leur respect des critères de l’EAA a été supprimée et remplacée par la possibilité pour les ANC d’exiger des informations sur une base ad hoc.</w:t>
      </w:r>
    </w:p>
    <w:p w14:paraId="31EFD43C" w14:textId="6E9DF1AB" w:rsidR="006A17DA" w:rsidRPr="00575C33" w:rsidRDefault="2956A12B" w:rsidP="00AC60EB">
      <w:pPr>
        <w:rPr>
          <w:noProof/>
        </w:rPr>
      </w:pPr>
      <w:r>
        <w:rPr>
          <w:noProof/>
          <w:shd w:val="clear" w:color="auto" w:fill="FFFFFF"/>
        </w:rPr>
        <w:t xml:space="preserve">D’autres pays et territoires, tels que les États-Unis et le Royaume-Uni, ont également mis en place des règles visant à éviter que les entités négociant des instruments dérivés sur matières premières à titre accessoire ne soient soumises à la législation financière. Aux États-Unis, l’exception </w:t>
      </w:r>
      <w:r>
        <w:rPr>
          <w:i/>
          <w:noProof/>
          <w:shd w:val="clear" w:color="auto" w:fill="FFFFFF"/>
        </w:rPr>
        <w:t>Swap Dealer De Minimis</w:t>
      </w:r>
      <w:r>
        <w:rPr>
          <w:i/>
          <w:noProof/>
        </w:rPr>
        <w:t xml:space="preserve"> </w:t>
      </w:r>
      <w:r>
        <w:rPr>
          <w:noProof/>
        </w:rPr>
        <w:t xml:space="preserve">exempte les entités dont l’activité brute de négociation de swaps ne dépasse pas 8 milliards de dollars américains (USD) sur une période de douze mois de l’obligation de s’enregistrer auprès de la CFTC. L’exception américaine ne couvre que les activités de négociation pour le compte d’un client et exclut du calcul du seuil toute activité de négociation pour compte propre. À ce stade, aucun élément n’indique que d’autres grands pays ou territoires aient l’intention de durcir leur équivalent fonctionnel de l’EAA. </w:t>
      </w:r>
    </w:p>
    <w:p w14:paraId="787D1B27" w14:textId="4520F2EE" w:rsidR="00602508" w:rsidRPr="00575C33" w:rsidRDefault="5657FEBD" w:rsidP="00AC60EB">
      <w:pPr>
        <w:rPr>
          <w:noProof/>
        </w:rPr>
      </w:pPr>
      <w:r>
        <w:rPr>
          <w:noProof/>
        </w:rPr>
        <w:t xml:space="preserve">Enfin, le rapport Draghi mentionne les avantages potentiels qu’il y aurait à soumettre les grands acteurs du marché, notamment dans le domaine de l’énergie, au statut d’entreprise d’investissement afin de renforcer la transparence du marché et de réduire le risque de comportements abusifs. </w:t>
      </w:r>
    </w:p>
    <w:p w14:paraId="09080616" w14:textId="779C411B" w:rsidR="002068CF" w:rsidRPr="00575C33" w:rsidRDefault="00161F9D" w:rsidP="00AC60EB">
      <w:pPr>
        <w:rPr>
          <w:rStyle w:val="normaltextrun"/>
          <w:i/>
          <w:noProof/>
          <w:szCs w:val="24"/>
          <w:shd w:val="clear" w:color="auto" w:fill="FFFFFF"/>
        </w:rPr>
      </w:pPr>
      <w:r>
        <w:rPr>
          <w:rStyle w:val="normaltextrun"/>
          <w:i/>
          <w:noProof/>
          <w:shd w:val="clear" w:color="auto" w:fill="FFFFFF"/>
        </w:rPr>
        <w:t xml:space="preserve">Retour d’information des parties prenantes et évaluation </w:t>
      </w:r>
    </w:p>
    <w:p w14:paraId="41F12536" w14:textId="1B160BEB" w:rsidR="00602508" w:rsidRPr="00575C33" w:rsidRDefault="00602508" w:rsidP="00AC60EB">
      <w:pPr>
        <w:rPr>
          <w:rStyle w:val="normaltextrun"/>
          <w:noProof/>
          <w:szCs w:val="24"/>
          <w:shd w:val="clear" w:color="auto" w:fill="FFFFFF"/>
        </w:rPr>
      </w:pPr>
      <w:r>
        <w:rPr>
          <w:rStyle w:val="normaltextrun"/>
          <w:noProof/>
          <w:shd w:val="clear" w:color="auto" w:fill="FFFFFF"/>
        </w:rPr>
        <w:t>La consultation des parties prenantes a permis d’examiner en détail tous les aspects pertinents du fonctionnement de l’EAA, tels que l’utilité de l’exemption en tant que telle, la pertinence des trois tests et l’adéquation des méthodes (par exemple, seuils fondés sur des valeurs brutes ou nettes).</w:t>
      </w:r>
    </w:p>
    <w:p w14:paraId="24CF0019" w14:textId="6FBCCF1D" w:rsidR="0023640F" w:rsidRPr="00575C33" w:rsidRDefault="1B03A059" w:rsidP="00AC60EB">
      <w:pPr>
        <w:rPr>
          <w:rStyle w:val="normaltextrun"/>
          <w:noProof/>
          <w:shd w:val="clear" w:color="auto" w:fill="FFFFFF"/>
        </w:rPr>
      </w:pPr>
      <w:r>
        <w:rPr>
          <w:rStyle w:val="normaltextrun"/>
          <w:noProof/>
          <w:shd w:val="clear" w:color="auto" w:fill="FFFFFF"/>
        </w:rPr>
        <w:t>Les parties prenantes ont systématiquement souligné l’importance de l’EAA pour garantir la participation continue d’acteurs majoritairement non financiers aux marchés des matières premières. Elles ont fait valoir que cette exemption était nécessaire non seulement pour permettre à ces entités de couvrir adéquatement leurs expositions commerciales et de planifier leurs activités de manière efficace, mais aussi pour préserver la profondeur des marchés des instruments dérivés sur matières premières dans l’Union.</w:t>
      </w:r>
      <w:r>
        <w:rPr>
          <w:rStyle w:val="normaltextrun"/>
          <w:noProof/>
        </w:rPr>
        <w:t xml:space="preserve"> Les répondants ont également mis en avant la valeur ajoutée des activités de négociation non liées à la couverture, y compris celles exercées par les entreprises non financières bénéficiant de l’EAA, en ce qu’elles contribuent à la profondeur et à la liquidité des marchés, à la réduction de la concentration et à la formation des prix grâce à l’apport d’une expertise de marché.</w:t>
      </w:r>
    </w:p>
    <w:p w14:paraId="778C8561" w14:textId="35B63DB1" w:rsidR="00017857" w:rsidRPr="00575C33" w:rsidRDefault="40BDB2D4" w:rsidP="21CB014D">
      <w:pPr>
        <w:rPr>
          <w:rStyle w:val="normaltextrun"/>
          <w:noProof/>
          <w:shd w:val="clear" w:color="auto" w:fill="FFFFFF"/>
        </w:rPr>
      </w:pPr>
      <w:r>
        <w:rPr>
          <w:rStyle w:val="normaltextrun"/>
          <w:noProof/>
          <w:shd w:val="clear" w:color="auto" w:fill="FFFFFF"/>
        </w:rPr>
        <w:t>Les parties prenantes ont presque unanimement soutenu la nécessité de préserver la stabilité réglementaire dans ce domaine à la suite des changements introduits en 2021 par le CMRP. Les propositions visant à simplifier les tests, par exemple en se concentrant uniquement sur la négociation pour compte propre, comme c’est le cas dans d’autres pays et territoires, ainsi que celles visant à les renforcer ont été rejetées pour des raisons similaires, afin de maintenir la stabilité du cadre réglementaire.</w:t>
      </w:r>
    </w:p>
    <w:p w14:paraId="7F593A0B" w14:textId="7FBE2474" w:rsidR="00262A96" w:rsidRPr="00575C33" w:rsidRDefault="5BC34002" w:rsidP="00AC60EB">
      <w:pPr>
        <w:rPr>
          <w:rStyle w:val="normaltextrun"/>
          <w:noProof/>
          <w:shd w:val="clear" w:color="auto" w:fill="FFFFFF"/>
        </w:rPr>
      </w:pPr>
      <w:r>
        <w:rPr>
          <w:rStyle w:val="normaltextrun"/>
          <w:noProof/>
          <w:shd w:val="clear" w:color="auto" w:fill="FFFFFF"/>
        </w:rPr>
        <w:t xml:space="preserve">Dans l’ensemble, la consultation des parties prenantes a montré qu’un durcissement de l’EAA aurait des conséquences considérables sur le fonctionnement des entreprises qui en bénéficient actuellement. Ce point de vue est largement partagé par les représentants du secteur et les autorités de régulation. Les principaux facteurs de coût </w:t>
      </w:r>
      <w:r>
        <w:rPr>
          <w:rStyle w:val="normaltextrun"/>
          <w:noProof/>
        </w:rPr>
        <w:t>recensés</w:t>
      </w:r>
      <w:r>
        <w:rPr>
          <w:rStyle w:val="normaltextrun"/>
          <w:noProof/>
          <w:shd w:val="clear" w:color="auto" w:fill="FFFFFF"/>
        </w:rPr>
        <w:t xml:space="preserve"> étaient les suivants: </w:t>
      </w:r>
    </w:p>
    <w:p w14:paraId="6C8DB5E4" w14:textId="2317890A" w:rsidR="00262A96" w:rsidRPr="00575C33" w:rsidRDefault="000B1156" w:rsidP="09E0FC6E">
      <w:pPr>
        <w:pStyle w:val="ListParagraph"/>
        <w:numPr>
          <w:ilvl w:val="0"/>
          <w:numId w:val="27"/>
        </w:numPr>
        <w:spacing w:after="240"/>
        <w:rPr>
          <w:rStyle w:val="normaltextrun"/>
          <w:rFonts w:ascii="Times New Roman" w:hAnsi="Times New Roman"/>
          <w:noProof/>
          <w:sz w:val="24"/>
          <w:szCs w:val="24"/>
          <w:shd w:val="clear" w:color="auto" w:fill="FFFFFF"/>
        </w:rPr>
      </w:pPr>
      <w:r>
        <w:rPr>
          <w:rStyle w:val="normaltextrun"/>
          <w:rFonts w:ascii="Times New Roman" w:hAnsi="Times New Roman"/>
          <w:noProof/>
          <w:sz w:val="24"/>
          <w:shd w:val="clear" w:color="auto" w:fill="FFFFFF"/>
        </w:rPr>
        <w:t>les obligations prudentielles résultant de l’application des exigences de fonds propres et de liquidité prévues par le règlement IFR/la directive IFD;</w:t>
      </w:r>
    </w:p>
    <w:p w14:paraId="22349903" w14:textId="77777777" w:rsidR="00192AA7" w:rsidRDefault="00614951" w:rsidP="00192AA7">
      <w:pPr>
        <w:pStyle w:val="ListParagraph"/>
        <w:numPr>
          <w:ilvl w:val="0"/>
          <w:numId w:val="27"/>
        </w:numPr>
        <w:spacing w:after="0"/>
        <w:contextualSpacing w:val="0"/>
        <w:rPr>
          <w:rStyle w:val="normaltextrun"/>
          <w:rFonts w:ascii="Times New Roman" w:hAnsi="Times New Roman"/>
          <w:noProof/>
          <w:sz w:val="24"/>
          <w:szCs w:val="24"/>
          <w:shd w:val="clear" w:color="auto" w:fill="FFFFFF"/>
        </w:rPr>
      </w:pPr>
      <w:r>
        <w:rPr>
          <w:rStyle w:val="normaltextrun"/>
          <w:rFonts w:ascii="Times New Roman" w:hAnsi="Times New Roman"/>
          <w:noProof/>
          <w:sz w:val="24"/>
          <w:shd w:val="clear" w:color="auto" w:fill="FFFFFF"/>
        </w:rPr>
        <w:t xml:space="preserve">les exigences de marge pour les transactions de gré à gré résultant d’une requalification comme contreparties financières au titre du règlement EMIR; et </w:t>
      </w:r>
    </w:p>
    <w:p w14:paraId="5929C756" w14:textId="4E68B6AB" w:rsidR="00F749EF" w:rsidRPr="00192AA7" w:rsidRDefault="000B1156">
      <w:pPr>
        <w:pStyle w:val="ListParagraph"/>
        <w:numPr>
          <w:ilvl w:val="0"/>
          <w:numId w:val="27"/>
        </w:numPr>
        <w:spacing w:after="240"/>
        <w:contextualSpacing w:val="0"/>
        <w:rPr>
          <w:rStyle w:val="normaltextrun"/>
          <w:rFonts w:ascii="Times New Roman" w:hAnsi="Times New Roman"/>
          <w:noProof/>
          <w:sz w:val="24"/>
          <w:szCs w:val="24"/>
          <w:shd w:val="clear" w:color="auto" w:fill="FFFFFF"/>
        </w:rPr>
      </w:pPr>
      <w:r>
        <w:rPr>
          <w:rStyle w:val="normaltextrun"/>
          <w:rFonts w:ascii="Times New Roman" w:hAnsi="Times New Roman"/>
          <w:noProof/>
          <w:sz w:val="24"/>
          <w:shd w:val="clear" w:color="auto" w:fill="FFFFFF"/>
        </w:rPr>
        <w:t>les coûts globaux de conformité aux exigences de la directive MiFID II.</w:t>
      </w:r>
    </w:p>
    <w:p w14:paraId="0B4AB0F8" w14:textId="5CF5000B" w:rsidR="00192AA7" w:rsidRDefault="12860011" w:rsidP="00AC60EB">
      <w:pPr>
        <w:rPr>
          <w:noProof/>
          <w:shd w:val="clear" w:color="auto" w:fill="FFFFFF"/>
        </w:rPr>
      </w:pPr>
      <w:r>
        <w:rPr>
          <w:noProof/>
          <w:shd w:val="clear" w:color="auto" w:fill="FFFFFF"/>
        </w:rPr>
        <w:t xml:space="preserve">Les répondants, dont trois autorités publiques, ont exprimé des préoccupations quant au fait qu’un durcissement des conditions de l’EAA pourrait entraîner une forte augmentation des coûts opérationnels, ou des difficultés à gérer </w:t>
      </w:r>
      <w:r>
        <w:rPr>
          <w:noProof/>
        </w:rPr>
        <w:t>correctement les risques (par exemple, en raison d’une détérioration des conditions du marché, voir ci-dessous)</w:t>
      </w:r>
      <w:r>
        <w:rPr>
          <w:noProof/>
          <w:shd w:val="clear" w:color="auto" w:fill="FFFFFF"/>
        </w:rPr>
        <w:t xml:space="preserve">. La Commission reconnaît que de telles modifications pourraient entraîner </w:t>
      </w:r>
      <w:r>
        <w:rPr>
          <w:noProof/>
        </w:rPr>
        <w:t xml:space="preserve">des coûts </w:t>
      </w:r>
      <w:r>
        <w:rPr>
          <w:noProof/>
          <w:shd w:val="clear" w:color="auto" w:fill="FFFFFF"/>
        </w:rPr>
        <w:t xml:space="preserve">supplémentaires de conformité et, </w:t>
      </w:r>
      <w:r>
        <w:rPr>
          <w:noProof/>
        </w:rPr>
        <w:t xml:space="preserve">au regard des </w:t>
      </w:r>
      <w:r>
        <w:rPr>
          <w:noProof/>
          <w:shd w:val="clear" w:color="auto" w:fill="FFFFFF"/>
        </w:rPr>
        <w:t xml:space="preserve">règles prudentielles actuelles, des </w:t>
      </w:r>
      <w:r>
        <w:rPr>
          <w:noProof/>
        </w:rPr>
        <w:t xml:space="preserve">contraintes accrues de </w:t>
      </w:r>
      <w:r>
        <w:rPr>
          <w:noProof/>
          <w:shd w:val="clear" w:color="auto" w:fill="FFFFFF"/>
        </w:rPr>
        <w:t>fonds propres</w:t>
      </w:r>
      <w:r>
        <w:rPr>
          <w:noProof/>
        </w:rPr>
        <w:t xml:space="preserve"> </w:t>
      </w:r>
      <w:r>
        <w:rPr>
          <w:noProof/>
          <w:shd w:val="clear" w:color="auto" w:fill="FFFFFF"/>
        </w:rPr>
        <w:t xml:space="preserve">à des fins prudentielles. </w:t>
      </w:r>
      <w:r>
        <w:rPr>
          <w:noProof/>
        </w:rPr>
        <w:t xml:space="preserve">Si ces éléments doivent être appréciés à la lumière des bénéfices escomptés, et si un durcissement de l’EAA pourrait théoriquement réduire les activités de négociation à risque en restreignant les activités de négociation non liées à la couverture de ses bénéficiaires actuels, les répondants ont fait observer que cette situation </w:t>
      </w:r>
      <w:r>
        <w:rPr>
          <w:noProof/>
          <w:shd w:val="clear" w:color="auto" w:fill="FFFFFF"/>
        </w:rPr>
        <w:t>pourrait</w:t>
      </w:r>
      <w:r>
        <w:rPr>
          <w:noProof/>
        </w:rPr>
        <w:t xml:space="preserve"> néanmoins </w:t>
      </w:r>
      <w:r>
        <w:rPr>
          <w:noProof/>
          <w:shd w:val="clear" w:color="auto" w:fill="FFFFFF"/>
        </w:rPr>
        <w:t>présenter un risque</w:t>
      </w:r>
      <w:r>
        <w:rPr>
          <w:noProof/>
        </w:rPr>
        <w:t xml:space="preserve"> que certaines </w:t>
      </w:r>
      <w:r>
        <w:rPr>
          <w:noProof/>
          <w:shd w:val="clear" w:color="auto" w:fill="FFFFFF"/>
        </w:rPr>
        <w:t>entreprises, qui ne sont actuellement pas soumises aux règles en matière de conduite financière et à la réglementation prudentielle, se retirent de ces marchés. Un retrait significatif</w:t>
      </w:r>
      <w:r>
        <w:rPr>
          <w:noProof/>
        </w:rPr>
        <w:t xml:space="preserve"> d’entreprises existantes, s’il n’est pas compensé par de nouveaux entrants, pourrait entraîner une réduction </w:t>
      </w:r>
      <w:r>
        <w:rPr>
          <w:noProof/>
          <w:shd w:val="clear" w:color="auto" w:fill="FFFFFF"/>
        </w:rPr>
        <w:t xml:space="preserve">de la profondeur, de la liquidité et de l’efficacité des marchés de matières premières, ce qui se traduirait </w:t>
      </w:r>
      <w:r>
        <w:rPr>
          <w:noProof/>
        </w:rPr>
        <w:t xml:space="preserve">par une plus grande concentration de ces marchés, </w:t>
      </w:r>
      <w:r>
        <w:rPr>
          <w:noProof/>
          <w:shd w:val="clear" w:color="auto" w:fill="FFFFFF"/>
        </w:rPr>
        <w:t xml:space="preserve">des coûts plus élevés et une moindre fiabilité des opérations de couverture. Plusieurs parties prenantes ont indiqué que ces coûts accrus, qu’ils soient directs ou dus à une couverture imparfaite, pourraient en définitive être répercutés sur les clients finaux sous la forme de prix plus élevés des matières premières. </w:t>
      </w:r>
    </w:p>
    <w:p w14:paraId="34EA5264" w14:textId="496CACDB" w:rsidR="00A9415A" w:rsidRPr="00575C33" w:rsidRDefault="451955EF" w:rsidP="21CB014D">
      <w:pPr>
        <w:rPr>
          <w:noProof/>
          <w:shd w:val="clear" w:color="auto" w:fill="FFFFFF"/>
        </w:rPr>
      </w:pPr>
      <w:r>
        <w:rPr>
          <w:noProof/>
          <w:shd w:val="clear" w:color="auto" w:fill="FFFFFF"/>
        </w:rPr>
        <w:t>La consultation visait également à déterminer si les parties prenantes estimaient que les exigences prudentielles auraient pu atténuer les tensions de liquidité auxquelles certains acteurs du marché avaient été confrontés lors de la crise énergétique de 2022 et de la hausse connexe des appels de marge. Toutes les parties prenantes qui ont répondu, à l’exception d’une seule, ont estimé que ces exigences n’auraient pas amélioré la situation et auraient même pu l’aggraver en restreignant davantage l’accès aux liquidités.</w:t>
      </w:r>
    </w:p>
    <w:p w14:paraId="5D41D66E" w14:textId="0C7E1685" w:rsidR="00131047" w:rsidRPr="00575C33" w:rsidRDefault="5C4FAE2F" w:rsidP="00AC60EB">
      <w:pPr>
        <w:rPr>
          <w:noProof/>
          <w:shd w:val="clear" w:color="auto" w:fill="FFFFFF"/>
        </w:rPr>
      </w:pPr>
      <w:r>
        <w:rPr>
          <w:noProof/>
          <w:shd w:val="clear" w:color="auto" w:fill="FFFFFF"/>
        </w:rPr>
        <w:t>Certaines parties prenantes ont souligné que plusieurs dispositions essentielles relatives à la négociation d’instruments dérivés sur matières premières, telles que les règles relatives aux abus de marché, la déclaration des positions et les limites de position, ainsi que les obligations de déclaration au titre du règlement EMIR, s’appliquent indépendamment du statut réglementaire des négociants en matières premières. Elles ont dès lors mis en doute la nécessité et la valeur ajoutée d’imposer l’obtention du statut d’entreprise d’investissement à part entière. Seuls trois répondants sur 73 ayant fourni un retour d’information sur ce point étaient ouverts à l’idée d’une révision du régime de l’EAA, et un seul d’entre eux appelait explicitement à une réforme. Deux autorités publiques (du même État membre) ont fait observer qu’en cas de réexamen de l’EAA, un régime prudentiel adapté devrait être mis en place pour les négociants en matières premières afin de tenir compte de leurs profils de risque et modèles d’entreprise spécifiques. La Commission note qu’en ce qui concerne la surveillance des pratiques et la surveillance du marché, les répondants n’ont avancé aucun élément donnant à penser que le durcissement de l’EAA renforcerait l’intégrité des marchés.</w:t>
      </w:r>
    </w:p>
    <w:p w14:paraId="41CC3538" w14:textId="17F70C23" w:rsidR="00131047" w:rsidRPr="00575C33" w:rsidRDefault="2DD333D8" w:rsidP="21CB014D">
      <w:pPr>
        <w:rPr>
          <w:noProof/>
          <w:shd w:val="clear" w:color="auto" w:fill="FFFFFF"/>
        </w:rPr>
      </w:pPr>
      <w:r>
        <w:rPr>
          <w:noProof/>
          <w:shd w:val="clear" w:color="auto" w:fill="FFFFFF"/>
        </w:rPr>
        <w:t xml:space="preserve">La Commission note que de nombreux participants étaient d’avis que le durcissement du régime de l’EAA placerait les acteurs du marché des matières premières de l’UE dans une situation de désavantage concurrentiel par rapport à leurs homologues mondiaux, d’autant que d’autres pays et territoires adoptent des cadres réglementaires plus souples. </w:t>
      </w:r>
    </w:p>
    <w:p w14:paraId="52227777" w14:textId="417E04EA" w:rsidR="00131047" w:rsidRPr="00575C33" w:rsidRDefault="12860011" w:rsidP="21CB014D">
      <w:pPr>
        <w:rPr>
          <w:noProof/>
          <w:shd w:val="clear" w:color="auto" w:fill="FFFFFF"/>
        </w:rPr>
      </w:pPr>
      <w:r>
        <w:rPr>
          <w:noProof/>
          <w:shd w:val="clear" w:color="auto" w:fill="FFFFFF"/>
        </w:rPr>
        <w:t>En ce qui concerne la structure et le fonctionnement des trois tests, la consultation a montré que ceux-ci sont précieux et que les répondants y ont recours, et ce en dépit de l’interprétation de la Commission selon laquelle toutes les entités bénéficiant actuellement de l’EAA sans exception répondraient au test du seuil de minimis. Les parties prenantes ont estimé que la modification ou la suppression de l’un de ces tests entraînerait des coûts d’adaptation pour les acteurs du marché, qui ont déjà dû mettre en œuvre des systèmes et des procédures pour se conformer au test qu’ils ont choisi.</w:t>
      </w:r>
    </w:p>
    <w:p w14:paraId="0F4DED12" w14:textId="7A9A08E8" w:rsidR="00131047" w:rsidRPr="00575C33" w:rsidRDefault="12860011" w:rsidP="21CB014D">
      <w:pPr>
        <w:rPr>
          <w:noProof/>
          <w:shd w:val="clear" w:color="auto" w:fill="FFFFFF"/>
        </w:rPr>
      </w:pPr>
      <w:r>
        <w:rPr>
          <w:noProof/>
          <w:shd w:val="clear" w:color="auto" w:fill="FFFFFF"/>
        </w:rPr>
        <w:t>De même, les parties prenantes ont estimé que toute modification des méthodes de calcul des seuils pertinents nécessiterait des adaptations inutiles. Plus précisément, les répondants ont estimé que le passage à un seuil fondé sur les activités de négociation brutes, comme c’est le cas aux États-Unis, sur la base de l’activité de négociation globale, était incompatible avec l’approche fondée sur les risques prévue par la directive MiFID II, qui se traduit le mieux par un seuil fondé sur les activités de négociation nettes.</w:t>
      </w:r>
    </w:p>
    <w:p w14:paraId="183F2AA3" w14:textId="78F0F2D2" w:rsidR="00131047" w:rsidRPr="00575C33" w:rsidRDefault="12860011" w:rsidP="21CB014D">
      <w:pPr>
        <w:rPr>
          <w:noProof/>
          <w:shd w:val="clear" w:color="auto" w:fill="FFFFFF"/>
        </w:rPr>
      </w:pPr>
      <w:r>
        <w:rPr>
          <w:noProof/>
          <w:shd w:val="clear" w:color="auto" w:fill="FFFFFF"/>
        </w:rPr>
        <w:t>Enfin, en ce qui concerne la suppression des notifications annuelles relatives au respect des seuils de l’EAA par les négociants en instruments dérivés sur matières premières, plus de la moitié des répondants étaient d’avis que la modification du CMRP a réduit la charge et les formalités administratives. Plusieurs répondants ont souligné que les ANC pouvaient toujours demander des informations sur une base ad hoc, en plus des données déjà fournies sur la base des déclarations au titre de la directive MiFID II et du règlement EMIR. Toutefois, certains répondants ont suggéré d’envisager une notification initiale unique à une seule autorité nationale compétente ou à l’AEMF afin de tenir un registre à l’échelle de l’UE des entités actives sur les marchés des instruments dérivés sur matières premières. Sans être excessivement lourde pour les entreprises, une telle notification pourrait fournir aux autorités de surveillance une vue d’ensemble des acteurs du marché (notamment si elle est associée à une notification des entreprises cessant leur activité sur les marchés des instruments dérivés sur matières premières).</w:t>
      </w:r>
    </w:p>
    <w:p w14:paraId="36956D33" w14:textId="564583CE" w:rsidR="00B86A4A" w:rsidRPr="00AC60EB" w:rsidRDefault="00D01450" w:rsidP="00AC60EB">
      <w:pPr>
        <w:rPr>
          <w:rStyle w:val="normaltextrun"/>
          <w:i/>
          <w:noProof/>
        </w:rPr>
      </w:pPr>
      <w:r>
        <w:rPr>
          <w:i/>
          <w:noProof/>
        </w:rPr>
        <w:t>Conclusions de l’évaluation menée par la Commission</w:t>
      </w:r>
    </w:p>
    <w:p w14:paraId="5D90C76E" w14:textId="621723E3" w:rsidR="004C4949" w:rsidRPr="00575C33" w:rsidRDefault="00A85539" w:rsidP="00AC60EB">
      <w:pPr>
        <w:rPr>
          <w:rStyle w:val="normaltextrun"/>
          <w:noProof/>
          <w:shd w:val="clear" w:color="auto" w:fill="FFFFFF"/>
        </w:rPr>
      </w:pPr>
      <w:r>
        <w:rPr>
          <w:rStyle w:val="normaltextrun"/>
          <w:noProof/>
          <w:shd w:val="clear" w:color="auto" w:fill="FFFFFF"/>
        </w:rPr>
        <w:t xml:space="preserve">Sur la base des retours des parties prenantes, </w:t>
      </w:r>
      <w:r>
        <w:rPr>
          <w:rStyle w:val="normaltextrun"/>
          <w:noProof/>
        </w:rPr>
        <w:t xml:space="preserve">aucun </w:t>
      </w:r>
      <w:r>
        <w:rPr>
          <w:rStyle w:val="normaltextrun"/>
          <w:noProof/>
          <w:shd w:val="clear" w:color="auto" w:fill="FFFFFF"/>
        </w:rPr>
        <w:t>élément significatif n’indique que l’EAA ne fonctionnerait pas de manière adéquate. Il ressort également de ces réactions</w:t>
      </w:r>
      <w:r>
        <w:rPr>
          <w:rStyle w:val="normaltextrun"/>
          <w:noProof/>
        </w:rPr>
        <w:t xml:space="preserve"> que toute</w:t>
      </w:r>
      <w:r>
        <w:rPr>
          <w:rStyle w:val="normaltextrun"/>
          <w:noProof/>
          <w:shd w:val="clear" w:color="auto" w:fill="FFFFFF"/>
        </w:rPr>
        <w:t xml:space="preserve"> modification du champ d’application et du fonctionnement de l’EAA </w:t>
      </w:r>
      <w:r>
        <w:rPr>
          <w:rStyle w:val="normaltextrun"/>
          <w:noProof/>
        </w:rPr>
        <w:t xml:space="preserve">pourrait </w:t>
      </w:r>
      <w:r>
        <w:rPr>
          <w:rStyle w:val="normaltextrun"/>
          <w:noProof/>
          <w:shd w:val="clear" w:color="auto" w:fill="FFFFFF"/>
        </w:rPr>
        <w:t xml:space="preserve">avoir des conséquences importantes, notamment sur la compétitivité des entreprises de l’UE sur les marchés des instruments dérivés sur matières premières. À ce stade, les </w:t>
      </w:r>
      <w:r>
        <w:rPr>
          <w:rStyle w:val="normaltextrun"/>
          <w:noProof/>
        </w:rPr>
        <w:t xml:space="preserve">réponses recueillies </w:t>
      </w:r>
      <w:r>
        <w:rPr>
          <w:rStyle w:val="normaltextrun"/>
          <w:noProof/>
          <w:shd w:val="clear" w:color="auto" w:fill="FFFFFF"/>
        </w:rPr>
        <w:t>ne suggèrent pas</w:t>
      </w:r>
      <w:r>
        <w:rPr>
          <w:rStyle w:val="normaltextrun"/>
          <w:noProof/>
        </w:rPr>
        <w:t xml:space="preserve"> qu’il soit urgent </w:t>
      </w:r>
      <w:r>
        <w:rPr>
          <w:rStyle w:val="normaltextrun"/>
          <w:noProof/>
          <w:shd w:val="clear" w:color="auto" w:fill="FFFFFF"/>
        </w:rPr>
        <w:t>de modifier le régime de l’EAA. À cet égard, la Commission note que les principales dispositions relatives aux pratiques de marché, notamment en ce qui concerne les abus de marché et les limites de position</w:t>
      </w:r>
      <w:r>
        <w:rPr>
          <w:rStyle w:val="normaltextrun"/>
          <w:noProof/>
        </w:rPr>
        <w:t xml:space="preserve">, </w:t>
      </w:r>
      <w:r>
        <w:rPr>
          <w:rStyle w:val="normaltextrun"/>
          <w:noProof/>
          <w:shd w:val="clear" w:color="auto" w:fill="FFFFFF"/>
        </w:rPr>
        <w:t xml:space="preserve">s’appliquent déjà, que les entités de négociation aient ou non le statut d’entreprises d’investissement. </w:t>
      </w:r>
    </w:p>
    <w:p w14:paraId="53211ECC" w14:textId="6536695E" w:rsidR="00DC0172" w:rsidRDefault="56B196D9" w:rsidP="00AC60EB">
      <w:pPr>
        <w:rPr>
          <w:rStyle w:val="normaltextrun"/>
          <w:noProof/>
          <w:shd w:val="clear" w:color="auto" w:fill="FFFFFF"/>
        </w:rPr>
      </w:pPr>
      <w:r>
        <w:rPr>
          <w:rStyle w:val="normaltextrun"/>
          <w:noProof/>
        </w:rPr>
        <w:t xml:space="preserve">Si </w:t>
      </w:r>
      <w:r>
        <w:rPr>
          <w:rStyle w:val="normaltextrun"/>
          <w:noProof/>
          <w:shd w:val="clear" w:color="auto" w:fill="FFFFFF"/>
        </w:rPr>
        <w:t>une révision du régime de l’EAA devait être envisagée à un stade ultérieur, ce qui pourrait conduire à ce qu’un plus grand nombre d’entités soient soumises à un agrément et à une surveillance en tant qu’entreprises d’investissement, un régime prudentiel adapté et proportionné au profil de risque des entreprises actives sur les marchés des instruments dérivés sur matières premières</w:t>
      </w:r>
      <w:r>
        <w:rPr>
          <w:rStyle w:val="normaltextrun"/>
          <w:noProof/>
        </w:rPr>
        <w:t xml:space="preserve"> semblerait plus approprié</w:t>
      </w:r>
      <w:r>
        <w:rPr>
          <w:rStyle w:val="normaltextrun"/>
          <w:noProof/>
          <w:shd w:val="clear" w:color="auto" w:fill="FFFFFF"/>
        </w:rPr>
        <w:t>. Nonobstant ce qui précède, la Commission pourrait envisager, comme l’ont suggéré certaines parties prenantes, que toutes les entités actives sur les marchés des instruments dérivés sur matières premières adressent une notification unique aux ANC lors du lancement et de la cessation de leurs activités, afin d’accroître la visibilité dont disposent les autorités de surveillance quant à l’identité des participants au marché. Il en va de même pour les entreprises actives dans la négociation de quotas du SEQE ou d’instruments dérivés sur quotas du SEQE.</w:t>
      </w:r>
    </w:p>
    <w:p w14:paraId="15195C0C" w14:textId="77777777" w:rsidR="009B1053" w:rsidRDefault="009B1053" w:rsidP="00AC60EB">
      <w:pPr>
        <w:rPr>
          <w:rStyle w:val="normaltextrun"/>
          <w:noProof/>
          <w:shd w:val="clear" w:color="auto" w:fill="FFFFFF"/>
        </w:rPr>
      </w:pPr>
    </w:p>
    <w:p w14:paraId="48379DE7" w14:textId="77777777" w:rsidR="009B1053" w:rsidRPr="0046101A" w:rsidRDefault="009B1053" w:rsidP="009B1053">
      <w:pPr>
        <w:keepNext/>
        <w:keepLines/>
        <w:numPr>
          <w:ilvl w:val="0"/>
          <w:numId w:val="2"/>
        </w:numPr>
        <w:outlineLvl w:val="0"/>
        <w:rPr>
          <w:b/>
          <w:noProof/>
        </w:rPr>
      </w:pPr>
      <w:bookmarkStart w:id="25" w:name="_Toc229413227"/>
      <w:r>
        <w:rPr>
          <w:b/>
          <w:noProof/>
        </w:rPr>
        <w:t>LIMITES DE POSITION, CONTRÔLES EN MATIÈRE DE GESTION DES POSITIONS ET DÉCLARATION DES POSITIONS</w:t>
      </w:r>
      <w:bookmarkEnd w:id="25"/>
    </w:p>
    <w:p w14:paraId="18B18674" w14:textId="77777777" w:rsidR="009B1053" w:rsidRPr="00575C33" w:rsidRDefault="009B1053" w:rsidP="009B1053">
      <w:pPr>
        <w:rPr>
          <w:i/>
          <w:iCs/>
          <w:noProof/>
          <w:szCs w:val="24"/>
        </w:rPr>
      </w:pPr>
      <w:r>
        <w:rPr>
          <w:i/>
          <w:noProof/>
        </w:rPr>
        <w:t>Rôle et fonctionnement des limites de position et des contrôles en matière de gestion des positions</w:t>
      </w:r>
    </w:p>
    <w:p w14:paraId="6D7FDA51" w14:textId="77777777" w:rsidR="009B1053" w:rsidRPr="00575C33" w:rsidRDefault="009B1053" w:rsidP="009B1053">
      <w:pPr>
        <w:pStyle w:val="paragraph"/>
        <w:spacing w:before="0" w:beforeAutospacing="0" w:after="240" w:afterAutospacing="0"/>
        <w:jc w:val="both"/>
        <w:textAlignment w:val="baseline"/>
        <w:rPr>
          <w:noProof/>
        </w:rPr>
      </w:pPr>
      <w:r>
        <w:rPr>
          <w:noProof/>
        </w:rPr>
        <w:t>Les limites de position constituent un élément fondamental du cadre réglementaire régissant la négociation d’instruments dérivés sur matières premières dans l’UE. Elles limitent la taille d’une position nette qu’une personne peut détenir à tout moment sur certains contrats dérivés sur matières premières, dans le double objectif i) de garantir un déroulement ordonné de la négociation et du règlement et ii) d’empêcher les manipulations de marché.</w:t>
      </w:r>
    </w:p>
    <w:p w14:paraId="5CE74EE2" w14:textId="5D7DFDEC" w:rsidR="009B1053" w:rsidRPr="00575C33" w:rsidRDefault="1D43C493" w:rsidP="21CB014D">
      <w:pPr>
        <w:pStyle w:val="paragraph"/>
        <w:spacing w:before="0" w:beforeAutospacing="0" w:after="240" w:afterAutospacing="0"/>
        <w:jc w:val="both"/>
        <w:textAlignment w:val="baseline"/>
        <w:rPr>
          <w:noProof/>
        </w:rPr>
      </w:pPr>
      <w:r>
        <w:rPr>
          <w:noProof/>
        </w:rPr>
        <w:t>Les limites de position sont fixées par les ANC, conformément aux principes énoncés dans le règlement délégué (UE) 2022/1302 et sur la base d’un avis de l’AEMF. Elles s’appliquent aux produits dérivés négociés en bourse ainsi qu’aux contrats de gré à gré économiquement équivalents (EEOTC). Elles ne s’appliquent pas aux quotas d’émission et aux instruments dérivés sur quotas d’émission. Elles ne s’appliquent pas aux contrats relevant du «C6 carve-out», dès lors que ces instruments ne relèvent pas de la législation financière.</w:t>
      </w:r>
    </w:p>
    <w:p w14:paraId="30CA1EE0" w14:textId="1704ECD1" w:rsidR="009B1053" w:rsidRPr="00575C33" w:rsidRDefault="1D43C493" w:rsidP="21CB014D">
      <w:pPr>
        <w:pStyle w:val="paragraph"/>
        <w:spacing w:before="0" w:beforeAutospacing="0" w:after="240" w:afterAutospacing="0"/>
        <w:jc w:val="both"/>
        <w:textAlignment w:val="baseline"/>
        <w:rPr>
          <w:noProof/>
        </w:rPr>
      </w:pPr>
      <w:r>
        <w:rPr>
          <w:noProof/>
        </w:rPr>
        <w:t>Le régime initial de limites de position établi par la directive MiFID II s’est révélé trop restrictif. Par conséquent, en 2021, le CMRP a considérablement allégé ce régime afin de soutenir le développement et l’approfondissement des marchés d’instruments dérivés sur matières premières. Plus précisément, le CMRP:</w:t>
      </w:r>
    </w:p>
    <w:p w14:paraId="550F4AFE"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Pr>
          <w:noProof/>
        </w:rPr>
        <w:t>a réduit le champ des contrats soumis à des limites de position aux seuls instruments dérivés sur matières premières agricoles et aux instruments dérivés sur matières premières non agricoles d’importance significative ou critique. Les contrats sont considérés comme importants ou critiques lorsque les positions ouvertes atteignent au moins 300 000 lots en moyenne sur une année;</w:t>
      </w:r>
    </w:p>
    <w:p w14:paraId="46BCE763"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Pr>
          <w:noProof/>
        </w:rPr>
        <w:t>a étendu l’exemption pour opérations de couverture aux positions prises par des entités financières qui font partie d’un groupe à dominante commerciale (c’est-à-dire non financière); et</w:t>
      </w:r>
    </w:p>
    <w:p w14:paraId="58059722"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Pr>
          <w:noProof/>
        </w:rPr>
        <w:t xml:space="preserve">a étendu l’exemption aux positions résultant de transactions conclues afin de satisfaire à des obligations d'injection de liquidité sur une plate-forme de négociation. </w:t>
      </w:r>
    </w:p>
    <w:p w14:paraId="6983C8D8" w14:textId="4D172EBB" w:rsidR="009B1053" w:rsidRPr="00575C33" w:rsidRDefault="1D43C493" w:rsidP="21CB014D">
      <w:pPr>
        <w:pStyle w:val="paragraph"/>
        <w:spacing w:before="0" w:beforeAutospacing="0" w:after="240" w:afterAutospacing="0"/>
        <w:jc w:val="both"/>
        <w:textAlignment w:val="baseline"/>
        <w:rPr>
          <w:noProof/>
        </w:rPr>
      </w:pPr>
      <w:r>
        <w:rPr>
          <w:noProof/>
        </w:rPr>
        <w:t>À ce jour, trois contrats dérivés sur matières premières non agricoles sont soumis à une limite de position: le contrat dérivé TTF négocié sur ICE Endex et sur le European Energy Exchange (EEX), le contrat dérivé THE négocié sur EEX et sur ICE Endex, et le contrat German Power Base négocié sur EEX.</w:t>
      </w:r>
    </w:p>
    <w:p w14:paraId="7FBCE9F8" w14:textId="7076EDE8" w:rsidR="009B1053" w:rsidRPr="00575C33" w:rsidRDefault="1D43C493" w:rsidP="21CB014D">
      <w:pPr>
        <w:pStyle w:val="paragraph"/>
        <w:spacing w:before="0" w:beforeAutospacing="0" w:after="240" w:afterAutospacing="0"/>
        <w:jc w:val="both"/>
        <w:textAlignment w:val="baseline"/>
        <w:rPr>
          <w:rStyle w:val="normaltextrun"/>
          <w:noProof/>
        </w:rPr>
      </w:pPr>
      <w:r>
        <w:rPr>
          <w:noProof/>
        </w:rPr>
        <w:t>Les personnes détenant des positions qui remplissent les conditions et souhaitant bénéficier de l’une des exemptions susmentionnées doivent introduire une demande formelle auprès de l’autorité nationale compétente qui fixe la limite de position pour le contrat concerné.</w:t>
      </w:r>
    </w:p>
    <w:p w14:paraId="0D68D7B1" w14:textId="579DE7BE" w:rsidR="009B1053" w:rsidRPr="00575C33" w:rsidRDefault="1D43C493" w:rsidP="21CB014D">
      <w:pPr>
        <w:pStyle w:val="paragraph"/>
        <w:spacing w:before="0" w:beforeAutospacing="0" w:after="240" w:afterAutospacing="0"/>
        <w:jc w:val="both"/>
        <w:textAlignment w:val="baseline"/>
        <w:rPr>
          <w:rStyle w:val="normaltextrun"/>
          <w:noProof/>
        </w:rPr>
      </w:pPr>
      <w:r>
        <w:rPr>
          <w:rStyle w:val="normaltextrun"/>
          <w:noProof/>
        </w:rPr>
        <w:t xml:space="preserve">Le caractère approprié du fonctionnement du régime des limites de position devrait être apprécié au regard du fait que, dans d’autres pays et territoires, les plates-formes de négociation jouent un rôle globalement plus important dans l’adaptation, l’application et le suivi des limites de position. </w:t>
      </w:r>
      <w:r>
        <w:rPr>
          <w:noProof/>
        </w:rPr>
        <w:t xml:space="preserve">Ainsi, aux États-Unis, pour les contrats qui ne sont pas soumis aux limites de position fédérales fixées par la </w:t>
      </w:r>
      <w:hyperlink r:id="rId21">
        <w:r>
          <w:rPr>
            <w:rStyle w:val="normaltextrun"/>
            <w:noProof/>
          </w:rPr>
          <w:t>Commodities and Futures Trading Commission (CFTC)</w:t>
        </w:r>
      </w:hyperlink>
      <w:r>
        <w:rPr>
          <w:noProof/>
        </w:rPr>
        <w:t>, les plates-formes de négociation sont libres de fixer les limites de position comme elles l’entendent.</w:t>
      </w:r>
      <w:r>
        <w:rPr>
          <w:rStyle w:val="normaltextrun"/>
          <w:noProof/>
        </w:rPr>
        <w:t xml:space="preserve"> De même, les plates-formes de négociation jouent un rôle plus important dans l’octroi d’exemptions pour couverture et d’autres exemptions aux acteurs du marché, dans le respect des conditions fixées dans l’ordonnance de la CFTC.</w:t>
      </w:r>
    </w:p>
    <w:p w14:paraId="0A2759E0" w14:textId="146B73FD" w:rsidR="009B1053" w:rsidRPr="00575C33" w:rsidRDefault="1D43C493" w:rsidP="21CB014D">
      <w:pPr>
        <w:pStyle w:val="paragraph"/>
        <w:spacing w:before="0" w:beforeAutospacing="0" w:after="240" w:afterAutospacing="0"/>
        <w:jc w:val="both"/>
        <w:textAlignment w:val="baseline"/>
        <w:rPr>
          <w:rStyle w:val="normaltextrun"/>
          <w:rFonts w:eastAsia="Calibri"/>
          <w:noProof/>
        </w:rPr>
      </w:pPr>
      <w:r>
        <w:rPr>
          <w:rStyle w:val="normaltextrun"/>
          <w:noProof/>
        </w:rPr>
        <w:t>Les limites de position sont complétées par des contrôles en matière de gestion des positions, qui imposent aux plates-formes de négociation de mettre en place des dispositifs pour surveiller les positions ouvertes des participants au marché et d’assurer un fonctionnement ordonné des négociations sur leur plate-forme. L’obligation d’établir des PMC a une portée plus large et s’applique à toutes les positions sur instruments dérivés sur matières premières, que le contrat soit ou non soumis à une limite de position. Elle couvre tous les types de positions, y compris celles prises à des fins de couverture. L’objectif des PMC est de permettre aux plates-formes de négociation</w:t>
      </w:r>
      <w:r>
        <w:rPr>
          <w:noProof/>
        </w:rPr>
        <w:t xml:space="preserve"> de déceler l’accumulation de positions importantes et concentrées susceptibles d’entraîner des distorsions de prix, des manipulations de marché ou d’autres pratiques de négociation abusives. </w:t>
      </w:r>
      <w:r>
        <w:rPr>
          <w:rStyle w:val="normaltextrun"/>
          <w:noProof/>
        </w:rPr>
        <w:t>Conformément à l’article 57, paragraphe 8, de la directive MiFID II, ces contrôles doivent au minimum inclure le pouvoir:</w:t>
      </w:r>
    </w:p>
    <w:p w14:paraId="22AF9F2C"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de surveiller les positions ouvertes;</w:t>
      </w:r>
    </w:p>
    <w:p w14:paraId="467A28AF" w14:textId="5F01C6F3" w:rsidR="009B1053" w:rsidRPr="00795E8F" w:rsidRDefault="1D43C493" w:rsidP="21CB014D">
      <w:pPr>
        <w:pStyle w:val="paragraph"/>
        <w:numPr>
          <w:ilvl w:val="0"/>
          <w:numId w:val="28"/>
        </w:numPr>
        <w:spacing w:before="0" w:beforeAutospacing="0" w:after="240" w:afterAutospacing="0"/>
        <w:jc w:val="both"/>
        <w:textAlignment w:val="baseline"/>
        <w:rPr>
          <w:noProof/>
        </w:rPr>
      </w:pPr>
      <w:r>
        <w:rPr>
          <w:noProof/>
        </w:rPr>
        <w:t xml:space="preserve">d’obtenir des informations complètes sur les positions prises, y compris, mais sans s’y limiter, sur la taille et l’objectif de l’établissement de la position; </w:t>
      </w:r>
    </w:p>
    <w:p w14:paraId="5777A946"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de clôturer ou de réduire la position;</w:t>
      </w:r>
    </w:p>
    <w:p w14:paraId="24A5CB42"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d’exiger du détenteur de la position qu’il réinjecte de la liquidité sur le marché dans certaines situations.</w:t>
      </w:r>
    </w:p>
    <w:p w14:paraId="07735AE0" w14:textId="2A7F5511" w:rsidR="009B1053" w:rsidRPr="00575C33" w:rsidRDefault="1D43C493" w:rsidP="21CB014D">
      <w:pPr>
        <w:pStyle w:val="paragraph"/>
        <w:spacing w:before="0" w:beforeAutospacing="0" w:after="240" w:afterAutospacing="0"/>
        <w:jc w:val="both"/>
        <w:textAlignment w:val="baseline"/>
        <w:rPr>
          <w:rFonts w:eastAsia="Calibri"/>
          <w:noProof/>
        </w:rPr>
      </w:pPr>
      <w:r>
        <w:rPr>
          <w:noProof/>
        </w:rPr>
        <w:t>En outre, pour les contrats qui peuvent être réglés par livraison physique, le règlement délégué (UE) 2022/1299 de la Commission complétant la directive MiFID II (</w:t>
      </w:r>
      <w:r>
        <w:rPr>
          <w:rStyle w:val="FootnoteReference"/>
          <w:rFonts w:eastAsia="Calibri"/>
          <w:noProof/>
        </w:rPr>
        <w:footnoteReference w:id="19"/>
      </w:r>
      <w:r>
        <w:rPr>
          <w:noProof/>
        </w:rPr>
        <w:t xml:space="preserve">) a introduit l’obligation de fixer des seuils de vigilance, dont l’objectif est de déclencher un dialogue avec le détenteur de position si certains seuils qualitatifs ou quantitatifs sont franchis. Les plates-formes de négociation devraient communiquer tous les détails de leurs PMC à leurs ANC, y compris le nombre de cas où les seuils de vigilance ont été atteints. </w:t>
      </w:r>
    </w:p>
    <w:p w14:paraId="6F720A2E" w14:textId="472F3F22" w:rsidR="009B1053" w:rsidRPr="00575C33" w:rsidRDefault="1D43C493" w:rsidP="21CB014D">
      <w:pPr>
        <w:rPr>
          <w:noProof/>
        </w:rPr>
      </w:pPr>
      <w:r>
        <w:rPr>
          <w:noProof/>
        </w:rPr>
        <w:t>Enfin, la déclaration des positions comprend, en vertu de l’article 58, paragraphe 3, de la directive MiFID II, l’obligation pour les participants au marché de transmettre des informations sur les positions aux plates-formes de négociation. L’un des objectifs de cette exigence est de fournir aux plates-formes de négociation les informations nécessaires à l’exécution de leur mandat de gestion des positions. Les acteurs du marché sont ainsi tenus de communiquer aux plates-formes de négociation sur lesquelles ils négocient le détail des positions qu’ils détiennent sur les contrats négociés sur cette plate-forme. Les informations communiquées aux plates-formes de négociation n’incluent toutefois pas les positions sur des contrats identiques négociés sur d’autres plates-formes, ni les positions sur des contrats de gré à gré portant sur le même sous-jacent. Il convient de noter que la Financial Conduct Authority (FCA) du Royaume-Uni a récemment étudié la possibilité d’étendre le champ des contrats que les participants au marché doivent déclarer aux plates-formes de négociation, mais a conclu qu’une telle mesure serait excessivement lourde pour ceux-ci. La FCA a également décidé que les plates-formes de négociation seraient habilitées, dans le cadre de leur mandat de contrôle en matière de gestion des positions, à demander des informations sur les positions dans un ensemble plus large de contrats de gré à gré, lorsque ces positions présentent un risque pour le déroulement ordonné et équitable des négociations sur leurs marchés (</w:t>
      </w:r>
      <w:r>
        <w:rPr>
          <w:rStyle w:val="FootnoteReference"/>
          <w:noProof/>
          <w:lang w:eastAsia="en-IE"/>
        </w:rPr>
        <w:footnoteReference w:id="20"/>
      </w:r>
      <w:r>
        <w:rPr>
          <w:noProof/>
        </w:rPr>
        <w:t>).</w:t>
      </w:r>
    </w:p>
    <w:p w14:paraId="04FD7981" w14:textId="77777777" w:rsidR="009B1053" w:rsidRPr="00F32D54" w:rsidRDefault="009B1053" w:rsidP="009B1053">
      <w:pPr>
        <w:rPr>
          <w:i/>
          <w:noProof/>
          <w:szCs w:val="24"/>
        </w:rPr>
      </w:pPr>
      <w:r>
        <w:rPr>
          <w:i/>
          <w:noProof/>
        </w:rPr>
        <w:t>Retour d’information des parties prenantes et évaluation</w:t>
      </w:r>
    </w:p>
    <w:p w14:paraId="0B2B07D5" w14:textId="7BBD3FDC" w:rsidR="009B1053" w:rsidRPr="00575C33" w:rsidRDefault="1D43C493" w:rsidP="009B1053">
      <w:pPr>
        <w:rPr>
          <w:noProof/>
        </w:rPr>
      </w:pPr>
      <w:r>
        <w:rPr>
          <w:noProof/>
        </w:rPr>
        <w:t>La consultation ciblée menée par la Commission a permis de recueillir l’avis des parties prenantes sur un vaste ensemble de questions relatives aux limites de position, aux contrôles en matière de gestion des positions et à la déclaration des positions.</w:t>
      </w:r>
    </w:p>
    <w:p w14:paraId="0CD8322D" w14:textId="77777777" w:rsidR="009B1053" w:rsidRPr="00575C33" w:rsidRDefault="009B1053" w:rsidP="009B1053">
      <w:pPr>
        <w:pStyle w:val="ListParagraph"/>
        <w:numPr>
          <w:ilvl w:val="0"/>
          <w:numId w:val="28"/>
        </w:numPr>
        <w:spacing w:after="240"/>
        <w:contextualSpacing w:val="0"/>
        <w:rPr>
          <w:rFonts w:ascii="Times New Roman" w:hAnsi="Times New Roman"/>
          <w:i/>
          <w:iCs/>
          <w:noProof/>
          <w:sz w:val="24"/>
          <w:szCs w:val="24"/>
        </w:rPr>
      </w:pPr>
      <w:r>
        <w:rPr>
          <w:rFonts w:ascii="Times New Roman" w:hAnsi="Times New Roman"/>
          <w:i/>
          <w:noProof/>
          <w:sz w:val="24"/>
        </w:rPr>
        <w:t>Limites de positions</w:t>
      </w:r>
    </w:p>
    <w:p w14:paraId="5D0999E0" w14:textId="3EF99D07" w:rsidR="009B1053" w:rsidRPr="00575C33" w:rsidRDefault="1D43C493" w:rsidP="009B1053">
      <w:pPr>
        <w:rPr>
          <w:noProof/>
        </w:rPr>
      </w:pPr>
      <w:r>
        <w:rPr>
          <w:noProof/>
        </w:rPr>
        <w:t>Une grande majorité des répondants, y compris les régulateurs et les autorités publiques, ont estimé que le régime actuel de limites de position fonctionnait de manière adéquate et qu’il avait atteint ses objectifs consistant à contribuer à la prévention des abus de marché et à garantir un déroulement ordonné des négociations. Les parties prenantes ont souligné que les réformes du CMRP avaient permis d’atténuer les effets négatifs précédemment observés sur la profondeur et la liquidité du marché et avaient rendu la mesure plus ciblée, plus proportionnée et plus efficace. Dans l’ensemble, dans le contexte actuel, les parties prenantes étaient d’avis que le régime actuel en matière de limites de position n’a eu aucune incidence négative sur la liquidité du marché, ni sur la capacité des acteurs du marché à se couvrir eux-mêmes, grâce à une exemption pour opérations de couverture qui fonctionne bien. En particulier, plusieurs répondants ont souligné que l’exemption pour opérations de couverture post-CMRP, mieux adaptée, s’était révélée particulièrement utile pendant la crise énergétique, en permettant une couverture efficace.</w:t>
      </w:r>
    </w:p>
    <w:p w14:paraId="546102B0" w14:textId="47AEFDD2" w:rsidR="009B1053" w:rsidRPr="00575C33" w:rsidRDefault="1D43C493" w:rsidP="009B1053">
      <w:pPr>
        <w:rPr>
          <w:noProof/>
        </w:rPr>
      </w:pPr>
      <w:r>
        <w:rPr>
          <w:noProof/>
        </w:rPr>
        <w:t>L’enquête menée par la Commission sur la base des données de position quotidiennes des ANC relatives aux instruments dérivés TTF montre que, si les positions de certains acteurs du marché se sont parfois rapprochées des limites, elles ont systématiquement décliné avant de les franchir. De l’avis de la Commission, cela démontre que les limites de position fonctionnent correctement et sont fixées à des niveaux appropriés.</w:t>
      </w:r>
    </w:p>
    <w:p w14:paraId="28B0EB63" w14:textId="77777777" w:rsidR="009B1053" w:rsidRPr="00575C33" w:rsidRDefault="009B1053" w:rsidP="009B1053">
      <w:pPr>
        <w:rPr>
          <w:noProof/>
        </w:rPr>
      </w:pPr>
      <w:r>
        <w:rPr>
          <w:noProof/>
        </w:rPr>
        <w:t>La Commission fait également observer que des limites de position peuvent contribuer à éviter une concentration excessive du marché. À cet égard, la Commission note que la concentration des positions sur le marché des instruments dérivés TTF n’a cessé de diminuer, passant d’une situation où les dix principaux participants représentaient environ 50 % de toutes les positions longues en juillet 2022 à une situation où ils n’en représentaient plus qu’environ 35 % à la fin de 2024 (</w:t>
      </w:r>
      <w:r>
        <w:rPr>
          <w:rStyle w:val="FootnoteReference"/>
          <w:noProof/>
          <w:lang w:val="en-US" w:eastAsia="en-IE"/>
        </w:rPr>
        <w:footnoteReference w:id="21"/>
      </w:r>
      <w:r>
        <w:rPr>
          <w:noProof/>
        </w:rPr>
        <w:t>). </w:t>
      </w:r>
    </w:p>
    <w:p w14:paraId="2642F974" w14:textId="36885245" w:rsidR="009B1053" w:rsidRPr="00575C33" w:rsidRDefault="1D43C493" w:rsidP="21CB014D">
      <w:pPr>
        <w:rPr>
          <w:noProof/>
        </w:rPr>
      </w:pPr>
      <w:r>
        <w:rPr>
          <w:noProof/>
        </w:rPr>
        <w:t>La plupart des répondants, y compris la majorité des autorités publiques, ont estimé qu’il n’était pas nécessaire de modifier le champ des contrats soumis aux limites de position, ni le type de positions concernées. Les répondants ont également rejeté presque unanimement la suggestion du rapport Draghi de différencier les limites de position en fonction des types de négociants. La Commission estime qu’il n’est pas nécessaire de différencier davantage le régime des limites de position par type d’acteur du marché, compte tenu de l’exemption pour opérations de couverture prévue par la directive MiFID II, qui offre déjà une certaine souplesse aux entreprises non financières, et du risque non négligeable de rendre le cadre inutilement complexe.</w:t>
      </w:r>
    </w:p>
    <w:p w14:paraId="72688B5D" w14:textId="14C81286" w:rsidR="009B1053" w:rsidRDefault="72A4380D" w:rsidP="00C80837">
      <w:pPr>
        <w:rPr>
          <w:noProof/>
        </w:rPr>
      </w:pPr>
      <w:r>
        <w:rPr>
          <w:noProof/>
        </w:rPr>
        <w:t xml:space="preserve">Certaines parties prenantes du secteur ont fait observer que les procédures de demande et d’octroi d’exemptions pour opérations de couverture ou fourniture de liquidité étaient lourdes. 57 % des répondants ont suggéré que ces tâches soient transférées aux plates-formes de négociation. Cinq plates-formes de négociation et deux associations boursières ont toutefois marqué leur désaccord avec cette suggestion. En outre, deux régulateurs ont indiqué que le rôle des plates-formes de négociation ne devrait pas être étendu à la fixation des limites de position, notamment en raison de conflits d’intérêts commerciaux entre les plates-formes où un même contrat est négocié. La Commission voit également des difficultés dans ce dernier cas et tend donc à considérer qu’aucune délégation de tâches liées à la fixation de limites de position ne devrait être envisagée. Néanmoins, il apparaît que le processus d’octroi d’exemptions pour opérations de couverture ou fourniture de liquidité pourrait être rendu plus souple en déléguant certaines tâches, telles que le traitement des demandes et la validation des demandes d’exemptions, à des plates-formes de négociation, notamment lorsque la marge d’appréciation requise est faible, voire nulle. </w:t>
      </w:r>
    </w:p>
    <w:p w14:paraId="60C0EAE6" w14:textId="5CACC146" w:rsidR="007A26FA" w:rsidRPr="005B2608" w:rsidRDefault="0ED895D9" w:rsidP="00C80837">
      <w:pPr>
        <w:rPr>
          <w:noProof/>
        </w:rPr>
      </w:pPr>
      <w:r>
        <w:rPr>
          <w:noProof/>
        </w:rPr>
        <w:t>Enfin, deux répondants ont soulevé des questions en ce qui concerne l’application du régime des limites de position de l’UE aux positions prises sur des plates-formes de pays tiers, et en ce qui concerne le risque potentiel de contournement que cela implique. Le régime actuel de la directive MiFID en matière de limites de position peut être sujet à une insécurité juridique en ce qui concerne les positions prises par des entreprises d’investissement de l’UE et leurs clients sur des plates-formes de pays tiers proposant la négociation de contrats dérivés sur matières premières économiquement équivalents et la mesure dans laquelle ces positions devraient être déclarées et prises en compte dans les limites de position, lorsque ces contrats sont soumis à des limites de position dans l’UE. Cela pourrait contribuer à créer des conditions de concurrence inégales entre les plates-formes de l’UE et celles de pays tiers et créer des incitations potentielles à négocier des produits dérivés économiquement équivalents sur des plates-formes de pays tiers plutôt que sur des plates-formes de l’UE.</w:t>
      </w:r>
    </w:p>
    <w:p w14:paraId="2FB75FC7" w14:textId="77777777" w:rsidR="009B1053" w:rsidRPr="00575C33" w:rsidRDefault="009B1053" w:rsidP="009B1053">
      <w:pPr>
        <w:pStyle w:val="ListParagraph"/>
        <w:numPr>
          <w:ilvl w:val="0"/>
          <w:numId w:val="28"/>
        </w:numPr>
        <w:spacing w:after="240"/>
        <w:contextualSpacing w:val="0"/>
        <w:rPr>
          <w:rFonts w:ascii="Times New Roman" w:hAnsi="Times New Roman"/>
          <w:noProof/>
          <w:sz w:val="24"/>
          <w:szCs w:val="24"/>
        </w:rPr>
      </w:pPr>
      <w:r>
        <w:rPr>
          <w:rFonts w:ascii="Times New Roman" w:hAnsi="Times New Roman"/>
          <w:i/>
          <w:noProof/>
          <w:sz w:val="24"/>
        </w:rPr>
        <w:t>Communication des positions et contrôles en matière de gestion des positions</w:t>
      </w:r>
    </w:p>
    <w:p w14:paraId="28E22BD6" w14:textId="49E2AAA6" w:rsidR="009B1053" w:rsidRPr="00141E67" w:rsidRDefault="1D43C493" w:rsidP="21CB014D">
      <w:pPr>
        <w:rPr>
          <w:noProof/>
        </w:rPr>
      </w:pPr>
      <w:r>
        <w:rPr>
          <w:noProof/>
        </w:rPr>
        <w:t xml:space="preserve">En ce qui concerne la déclaration des positions, tous les répondants, sauf un, ont fait part de leurs préoccupations quant à l’obligation éventuelle pour les acteurs du marché de déclarer systématiquement les positions de gré à gré aux plates-formes de négociation afin de soutenir leur mandat de contrôle en matière de gestion des positions. Les répondants soulignent une charge potentielle importante et le risque que cela conduise à un partage inapproprié d’informations commercialement sensibles. Les parties prenantes privilégient plutôt une meilleure utilisation des données existantes. Environ 10 % des répondants (notamment trois autorités publiques) ont suggéré que la déclaration des positions de gré à gré économiquement équivalentes soit étendue à tous les acteurs du marché et s’applique donc aux entreprises autres que les entreprises d’investissement, notamment afin de garantir une application adéquate des limites de position. </w:t>
      </w:r>
    </w:p>
    <w:p w14:paraId="07B882B8" w14:textId="0959D5E6" w:rsidR="009B1053" w:rsidRPr="00575C33" w:rsidRDefault="1D43C493" w:rsidP="009B1053">
      <w:pPr>
        <w:rPr>
          <w:noProof/>
        </w:rPr>
      </w:pPr>
      <w:r>
        <w:rPr>
          <w:noProof/>
        </w:rPr>
        <w:t>Toutefois, plusieurs des parties prenantes opposées à la déclaration systématique des positions de gré à gré aux plates-formes de négociation ont estimé que celles-ci devraient avoir la possibilité de demander des informations supplémentaires sur les positions concernant un éventail plus large de contrats de gré à gré, lorsque les positions sur ces contrats peuvent influencer le prix des contrats négociés sur ladite plate-forme, et uniquement dans des circonstances spécifiques, par exemple en période de tensions sur les marchés ou de risque accru (par opposition à une déclaration systématique). La Commission est d’avis que cela pourrait renforcer la capacité des plates-formes de négociation à exercer leurs contrôles en matière de gestion des positions et contribuer à surveiller le déroulement ordonné des négociations et, à terme, à préserver les marchés contre les risques pour la stabilité financière, tout en limitant les coûts de mise en œuvre par rapport à la déclaration systématique des positions de gré à gré aux plates-formes de négociation.</w:t>
      </w:r>
    </w:p>
    <w:p w14:paraId="4C7B7561" w14:textId="141E156A" w:rsidR="009B1053" w:rsidRPr="00575C33" w:rsidRDefault="1D43C493" w:rsidP="009B1053">
      <w:pPr>
        <w:rPr>
          <w:noProof/>
        </w:rPr>
      </w:pPr>
      <w:r>
        <w:rPr>
          <w:noProof/>
        </w:rPr>
        <w:t>Environ 85 % des répondants ont estimé que les autorités de surveillance du secteur financier et du secteur de l’énergie devraient avoir accès à l’intégralité de leurs ensembles de données respectifs (par exemple, les ARN devraient avoir accès aux données MiFID/MiFIR, tandis que les ANC devraient avoir accès aux données concernant les exemptions C6 et les marchés au comptant). La Commission estime que cet objectif pourrait être atteint grâce à une coopération facilitée et au partage de données (voir la section relative aux données).</w:t>
      </w:r>
    </w:p>
    <w:p w14:paraId="3752EE58" w14:textId="05440938" w:rsidR="009B1053" w:rsidRPr="001A7809" w:rsidRDefault="1D43C493" w:rsidP="009B1053">
      <w:pPr>
        <w:rPr>
          <w:noProof/>
        </w:rPr>
      </w:pPr>
      <w:r>
        <w:rPr>
          <w:noProof/>
        </w:rPr>
        <w:t>Enfin, les avis des parties prenantes sur l’extension potentielle de la déclaration des bénéficiaires finaux aux positions détenues par des acteurs du marché de pays tiers étaient partagés. Si, dans l’ensemble, les répondants (notamment ceux établis dans l’UE) se sont accordés sur la valeur ajoutée de ces informations, trois d’entre eux ont souligné la charge supplémentaire encourue et les difficultés potentielles en ce qui concerne la garantie du respect des règles par les acteurs du marché de pays tiers. Les autorités de réglementation ont vivement plaidé pour que cette lacune soit comblée, y compris en ce qui concerne les données relatives aux transactions. Deux régulateurs financiers et un régulateur de l’énergie ont souligné que le système actuel empêche une surveillance adéquate et entraîne d’éventuelles vulnérabilités systémiques. Il convient de noter que les règlements actuels des principales plates-formes de négociation pour les instruments dérivés sur matières premières (notamment les instruments dérivés sur l’énergie) imposent déjà la fourniture de ces informations, notamment pour se conformer aux obligations de déclaration prévues par le règlement REMIT.</w:t>
      </w:r>
    </w:p>
    <w:p w14:paraId="038E7339" w14:textId="77777777" w:rsidR="009B1053" w:rsidRPr="001A7809" w:rsidRDefault="009B1053" w:rsidP="00772B47">
      <w:pPr>
        <w:keepNext/>
        <w:rPr>
          <w:i/>
          <w:noProof/>
        </w:rPr>
      </w:pPr>
      <w:r>
        <w:rPr>
          <w:i/>
          <w:noProof/>
        </w:rPr>
        <w:t>Conclusions de l’évaluation menée par la Commission</w:t>
      </w:r>
    </w:p>
    <w:p w14:paraId="0AE70F9A" w14:textId="546B8D95" w:rsidR="009B1053" w:rsidRPr="001A7809" w:rsidRDefault="1D43C493" w:rsidP="21CB014D">
      <w:pPr>
        <w:keepNext/>
        <w:rPr>
          <w:noProof/>
        </w:rPr>
      </w:pPr>
      <w:r>
        <w:rPr>
          <w:noProof/>
        </w:rPr>
        <w:t>Dans l’ensemble, la Commission considère que le régime actuel en matière de limites de position fonctionne de manière adéquate. Aucun élément probant ne permet de conclure qu’il faille durcir le régime ou l’assouplir. La Commission estime également que les modifications apportées par le CMRP ont contribué à approfondir encore les marchés des instruments dérivés sur matières premières, notamment dans le segment des instruments dérivés liés à l’énergie.</w:t>
      </w:r>
    </w:p>
    <w:p w14:paraId="5D4E3BC5" w14:textId="601FF37B" w:rsidR="009B1053" w:rsidRPr="00E2271D" w:rsidRDefault="1D43C493" w:rsidP="21CB014D">
      <w:pPr>
        <w:rPr>
          <w:noProof/>
        </w:rPr>
      </w:pPr>
      <w:r>
        <w:rPr>
          <w:noProof/>
        </w:rPr>
        <w:t xml:space="preserve">La Commission estime qu’il est possible d’étudier plus avant les conditions dans lesquelles les plates-formes de négociation pourraient se voir confier des responsabilités plus importantes, mais bien encadrées, en ce qui concerne l’octroi d’exemptions pour opérations de couverture et fourniture de liquidités, ainsi que, éventuellement, d’exemptions ad hoc, en vue de rendre la mesure plus souple et plus réactive aux tendances du marché, tout en évitant un transfert significatif de pouvoirs des régulateurs. Des garanties spécifiques, telles que des rapports systématiques (mais ciblés) aux autorités nationales compétentes et des examens réguliers par celles-ci, devraient être mises en place pour éviter tout conflit d’intérêts et permettre aux autorités de surveillance d’avoir une vue d’ensemble des exemptions existantes. Toutefois, la Commission ne juge pas approprié de transférer le pouvoir de fixer des limites de position aux plates-formes de négociation. </w:t>
      </w:r>
    </w:p>
    <w:p w14:paraId="5E7EE42B" w14:textId="327226CF" w:rsidR="00361012" w:rsidRPr="00800D99" w:rsidRDefault="2C7E0CAA" w:rsidP="3E60FE0D">
      <w:pPr>
        <w:rPr>
          <w:noProof/>
        </w:rPr>
      </w:pPr>
      <w:r>
        <w:rPr>
          <w:noProof/>
        </w:rPr>
        <w:t>En ce qui concerne l’application de limites de position aux positions prises sur des plates-formes de pays tiers, la Commission a proposé, dans le cadre du paquet «intégration et surveillance du marché», de préciser que les positions détenues par des entreprises d’investissement de l’UE et leurs clients sur des contrats économiquement équivalents négociés en dehors d’une plate-forme de négociation de l’UE devraient être prises en compte dans l’appréciation du respect du régime de limites de position prévu par la directive MiFID. Cela garantirait le même traitement pour les positions sur des contrats négociés sur des plates-formes de l’UE, sur des plates-formes de pays tiers ou de gré à gré. Cette clarification est conforme aux objectifs d’autonomie stratégique et de compétitivité de l’UE mis en évidence dans le rapport Draghi, car elle créerait des conditions de concurrence équitables sur toutes les plates-formes de négociation, supprimerait les incitations à négocier en dehors de l’UE et éviterait un éventuel contournement des règles de l’UE. Elle garantit également la sécurité juridique pour les acteurs du marché, réduisant ainsi les coûts liés à l’insécurité juridique.</w:t>
      </w:r>
    </w:p>
    <w:p w14:paraId="4CE999B4" w14:textId="25227F3A" w:rsidR="009B1053" w:rsidRPr="000F1690" w:rsidRDefault="3D64988D" w:rsidP="60190FC5">
      <w:pPr>
        <w:rPr>
          <w:noProof/>
        </w:rPr>
      </w:pPr>
      <w:r>
        <w:rPr>
          <w:noProof/>
        </w:rPr>
        <w:t>Afin d’aider les plates-formes de négociation à remplir leur mandat de gestion des positions et de garantir un fonctionnement équitable et ordonné des marchés, la Commission pourrait étudier plus avant les conditions dans lesquelles les plates-formes de négociation pourraient se voir confier des pouvoirs étendus de contrôle en matière de gestion des positions leur permettant de demander, sur une base ad hoc et dans certaines circonstances, des informations sur les positions détenues par leurs participants au marché sur un ensemble plus large de contrats de gré à gré liés aux instruments dérivés sur matières premières qu’elles proposent à la négociation, ainsi que sur les actifs et passifs liés à la matière première sous-jacente. Ce pouvoir devrait s’étendre à tous les contrats de gré à gré ayant la capacité d’influencer les conditions de tarification ou de règlement des contrats sur la plate-forme concernée dans l’UE. Cette proposition permettrait également de mieux aligner les règles de l’UE sur les conclusions tirées par l’OICV dans un récent rapport sur la réglementation et la surveillance des marchés d’instruments dérivés sur matières premières (</w:t>
      </w:r>
      <w:r>
        <w:rPr>
          <w:noProof/>
          <w:vertAlign w:val="superscript"/>
          <w:lang w:eastAsia="en-IE"/>
        </w:rPr>
        <w:footnoteReference w:id="22"/>
      </w:r>
      <w:r>
        <w:rPr>
          <w:noProof/>
        </w:rPr>
        <w:t>), dans lequel l’OICV recommandait de poursuivre les travaux visant à améliorer la capacité des bourses à obtenir des informations sur les positions des participants au marché concernant les instruments dérivés sur matières premières négociés de gré à gré qui leur sont liés et sur les marchés des matières premières physiques sous-jacentes. La Commission estime toutefois qu’il ne serait pas proportionné d’imposer aux acteurs du marché l’obligation de déclarer systématiquement leurs positions sur le marché sous-jacent et sur un large éventail de contrats de gré à gré aux plates-formes de négociation, compte tenu de la charge que pourrait représenter une telle mesure. Pour la même raison, la déclaration aux autorités de surveillance de toutes les positions sur les marchés sous-jacents ou sur les contrats de gré à gré, au-delà de la déclaration des positions de gré à gré économiquement équivalentes par les entreprises d’investissement, ne semble pas appropriée. Néanmoins, pour assurer des conditions de concurrence équitables entre les différents types d’acteurs du marché, la Commission pourrait examiner s’il serait possible d’étendre la déclaration des positions de gré à gré économiquement équivalentes à tous les acteurs du marché (</w:t>
      </w:r>
      <w:r>
        <w:rPr>
          <w:rStyle w:val="FootnoteReference"/>
          <w:noProof/>
          <w:lang w:val="en-US" w:eastAsia="en-IE"/>
        </w:rPr>
        <w:footnoteReference w:id="23"/>
      </w:r>
      <w:r>
        <w:rPr>
          <w:noProof/>
        </w:rPr>
        <w:t>), afin de garantir l’application appropriée des limites de position.</w:t>
      </w:r>
    </w:p>
    <w:p w14:paraId="62B14C2E" w14:textId="7D8F8385" w:rsidR="009B1053" w:rsidRPr="009B1053" w:rsidRDefault="658B5B5A" w:rsidP="00AC60EB">
      <w:pPr>
        <w:rPr>
          <w:noProof/>
          <w:szCs w:val="24"/>
        </w:rPr>
      </w:pPr>
      <w:r>
        <w:rPr>
          <w:noProof/>
        </w:rPr>
        <w:t>Enfin, la Commission pourrait examiner dans quelle mesure une éventuelle obligation supplémentaire pour les acteurs du marché de pays tiers de fournir des informations sur les bénéficiaires finaux pourrait être appropriée pour combler l’écart dans la déclaration actuelle des positions.</w:t>
      </w:r>
    </w:p>
    <w:p w14:paraId="5084ED94" w14:textId="77777777" w:rsidR="00D9582F" w:rsidRPr="00BA691C" w:rsidRDefault="00D9582F" w:rsidP="00AC60EB">
      <w:pPr>
        <w:rPr>
          <w:b/>
          <w:bCs/>
          <w:noProof/>
          <w:szCs w:val="24"/>
          <w:lang w:val="fr-BE" w:eastAsia="en-IE"/>
        </w:rPr>
      </w:pPr>
    </w:p>
    <w:p w14:paraId="33192F97" w14:textId="33C17122" w:rsidR="00D867F5" w:rsidRPr="00681590" w:rsidRDefault="00D867F5" w:rsidP="00D9582F">
      <w:pPr>
        <w:keepNext/>
        <w:keepLines/>
        <w:numPr>
          <w:ilvl w:val="0"/>
          <w:numId w:val="2"/>
        </w:numPr>
        <w:outlineLvl w:val="0"/>
        <w:rPr>
          <w:b/>
          <w:bCs/>
          <w:noProof/>
          <w:szCs w:val="24"/>
        </w:rPr>
      </w:pPr>
      <w:bookmarkStart w:id="26" w:name="_Toc229413228"/>
      <w:r>
        <w:rPr>
          <w:b/>
          <w:noProof/>
        </w:rPr>
        <w:t>CONCLUSIONS</w:t>
      </w:r>
      <w:bookmarkEnd w:id="26"/>
      <w:r>
        <w:rPr>
          <w:b/>
          <w:noProof/>
        </w:rPr>
        <w:t xml:space="preserve"> </w:t>
      </w:r>
    </w:p>
    <w:p w14:paraId="21DDF802" w14:textId="6E72FDAD" w:rsidR="3D47CD76" w:rsidRPr="00575C33" w:rsidRDefault="77C8CA94" w:rsidP="60190FC5">
      <w:pPr>
        <w:rPr>
          <w:noProof/>
        </w:rPr>
      </w:pPr>
      <w:r>
        <w:rPr>
          <w:noProof/>
        </w:rPr>
        <w:t>Les réponses des parties prenantes, ainsi que l’évaluation ultérieure de la Commission fondée sur l’analyse des tendances du marché, n’ont pas fait apparaître de nécessité urgente d’apporter des modifications substantielles aux éléments examinés du cadre relatif aux instruments dérivés sur matières premières, même si certaines modifications ciblées pourraient être envisagées à l’avenir.</w:t>
      </w:r>
    </w:p>
    <w:sectPr w:rsidR="3D47CD76" w:rsidRPr="00575C33" w:rsidSect="003173E0">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851E4" w14:textId="77777777" w:rsidR="00E32428" w:rsidRDefault="00E32428">
      <w:pPr>
        <w:spacing w:after="0"/>
      </w:pPr>
      <w:r>
        <w:separator/>
      </w:r>
    </w:p>
  </w:endnote>
  <w:endnote w:type="continuationSeparator" w:id="0">
    <w:p w14:paraId="6BA4A512" w14:textId="77777777" w:rsidR="00E32428" w:rsidRDefault="00E32428">
      <w:pPr>
        <w:spacing w:after="0"/>
      </w:pPr>
      <w:r>
        <w:continuationSeparator/>
      </w:r>
    </w:p>
  </w:endnote>
  <w:endnote w:type="continuationNotice" w:id="1">
    <w:p w14:paraId="70234FFE" w14:textId="77777777" w:rsidR="00E32428" w:rsidRDefault="00E324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2341" w14:textId="3FB28F1C" w:rsidR="001E6A08" w:rsidRPr="001E6A08" w:rsidRDefault="001E6A08" w:rsidP="001E6A08">
    <w:pPr>
      <w:pStyle w:val="FooterCoverPage"/>
      <w:rPr>
        <w:rFonts w:ascii="Arial" w:hAnsi="Arial" w:cs="Arial"/>
        <w:b/>
        <w:sz w:val="48"/>
      </w:rPr>
    </w:pPr>
    <w:r w:rsidRPr="001E6A08">
      <w:rPr>
        <w:rFonts w:ascii="Arial" w:hAnsi="Arial" w:cs="Arial"/>
        <w:b/>
        <w:sz w:val="48"/>
      </w:rPr>
      <w:t>FR</w:t>
    </w:r>
    <w:r w:rsidRPr="001E6A08">
      <w:rPr>
        <w:rFonts w:ascii="Arial" w:hAnsi="Arial" w:cs="Arial"/>
        <w:b/>
        <w:sz w:val="48"/>
      </w:rPr>
      <w:tab/>
    </w:r>
    <w:r w:rsidRPr="001E6A08">
      <w:rPr>
        <w:rFonts w:ascii="Arial" w:hAnsi="Arial" w:cs="Arial"/>
        <w:b/>
        <w:sz w:val="48"/>
      </w:rPr>
      <w:tab/>
    </w:r>
    <w:r w:rsidRPr="001E6A08">
      <w:tab/>
    </w:r>
    <w:r w:rsidRPr="001E6A0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12211" w14:textId="3B893427" w:rsidR="001E6A08" w:rsidRPr="001E6A08" w:rsidRDefault="001E6A08" w:rsidP="001E6A08">
    <w:pPr>
      <w:pStyle w:val="FooterCoverPage"/>
      <w:rPr>
        <w:rFonts w:ascii="Arial" w:hAnsi="Arial" w:cs="Arial"/>
        <w:b/>
        <w:sz w:val="48"/>
      </w:rPr>
    </w:pPr>
    <w:r w:rsidRPr="001E6A08">
      <w:rPr>
        <w:rFonts w:ascii="Arial" w:hAnsi="Arial" w:cs="Arial"/>
        <w:b/>
        <w:sz w:val="48"/>
      </w:rPr>
      <w:t>FR</w:t>
    </w:r>
    <w:r w:rsidRPr="001E6A08">
      <w:rPr>
        <w:rFonts w:ascii="Arial" w:hAnsi="Arial" w:cs="Arial"/>
        <w:b/>
        <w:sz w:val="48"/>
      </w:rPr>
      <w:tab/>
    </w:r>
    <w:r w:rsidRPr="001E6A08">
      <w:rPr>
        <w:rFonts w:ascii="Arial" w:hAnsi="Arial" w:cs="Arial"/>
        <w:b/>
        <w:sz w:val="48"/>
      </w:rPr>
      <w:tab/>
    </w:r>
    <w:r w:rsidRPr="001E6A08">
      <w:tab/>
    </w:r>
    <w:r w:rsidRPr="001E6A0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DF5F6" w14:textId="77777777" w:rsidR="001E6A08" w:rsidRPr="001E6A08" w:rsidRDefault="001E6A08" w:rsidP="001E6A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6062" w14:textId="3D69BCBD" w:rsidR="00AF3CE0" w:rsidRPr="00D9582F" w:rsidRDefault="00AF3CE0" w:rsidP="00D958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625277"/>
      <w:docPartObj>
        <w:docPartGallery w:val="Page Numbers (Bottom of Page)"/>
        <w:docPartUnique/>
      </w:docPartObj>
    </w:sdtPr>
    <w:sdtEndPr>
      <w:rPr>
        <w:noProof/>
      </w:rPr>
    </w:sdtEndPr>
    <w:sdtContent>
      <w:p w14:paraId="02B919CD" w14:textId="4B9ABD4F" w:rsidR="00D65508" w:rsidRDefault="00D65508">
        <w:pPr>
          <w:pStyle w:val="Footer"/>
          <w:jc w:val="center"/>
        </w:pPr>
        <w:r>
          <w:fldChar w:fldCharType="begin"/>
        </w:r>
        <w:r>
          <w:instrText xml:space="preserve"> PAGE   \* MERGEFORMAT </w:instrText>
        </w:r>
        <w:r>
          <w:fldChar w:fldCharType="separate"/>
        </w:r>
        <w:r w:rsidR="001E6A08">
          <w:rPr>
            <w:noProof/>
          </w:rPr>
          <w:t>1</w:t>
        </w:r>
        <w:r>
          <w:fldChar w:fldCharType="end"/>
        </w:r>
      </w:p>
    </w:sdtContent>
  </w:sdt>
  <w:p w14:paraId="73553986" w14:textId="62978AA2" w:rsidR="00AF3CE0" w:rsidRPr="00D9582F" w:rsidRDefault="00AF3CE0" w:rsidP="00D958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114F1" w14:textId="6AAE52CC" w:rsidR="00AF3CE0" w:rsidRPr="00D9582F" w:rsidRDefault="00AF3CE0" w:rsidP="00D95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235D1" w14:textId="77777777" w:rsidR="00E32428" w:rsidRDefault="00E32428">
      <w:pPr>
        <w:spacing w:after="0"/>
      </w:pPr>
      <w:r>
        <w:separator/>
      </w:r>
    </w:p>
  </w:footnote>
  <w:footnote w:type="continuationSeparator" w:id="0">
    <w:p w14:paraId="7913638F" w14:textId="77777777" w:rsidR="00E32428" w:rsidRDefault="00E32428">
      <w:pPr>
        <w:spacing w:after="0"/>
      </w:pPr>
      <w:r>
        <w:continuationSeparator/>
      </w:r>
    </w:p>
  </w:footnote>
  <w:footnote w:type="continuationNotice" w:id="1">
    <w:p w14:paraId="51B3C9D8" w14:textId="77777777" w:rsidR="00E32428" w:rsidRDefault="00E32428">
      <w:pPr>
        <w:spacing w:after="0"/>
      </w:pPr>
    </w:p>
  </w:footnote>
  <w:footnote w:id="2">
    <w:p w14:paraId="4D640400" w14:textId="748D1501" w:rsidR="007A1CB7" w:rsidRPr="006630D0" w:rsidRDefault="21CB014D" w:rsidP="00F11C44">
      <w:pPr>
        <w:pStyle w:val="FootnoteText"/>
        <w:spacing w:after="0"/>
      </w:pPr>
      <w:r>
        <w:t>(</w:t>
      </w:r>
      <w:r>
        <w:rPr>
          <w:rStyle w:val="FootnoteReference"/>
        </w:rPr>
        <w:footnoteRef/>
      </w:r>
      <w:r>
        <w:t>)</w:t>
      </w:r>
      <w:r>
        <w:tab/>
      </w:r>
      <w:hyperlink r:id="rId1" w:history="1">
        <w:r>
          <w:rPr>
            <w:rStyle w:val="Hyperlink"/>
          </w:rPr>
          <w:t>https://eur-lex.europa.eu/legal-content/FR/TXT/?uri=CELEX%3A52025DC0085</w:t>
        </w:r>
      </w:hyperlink>
      <w:r>
        <w:t>.</w:t>
      </w:r>
    </w:p>
  </w:footnote>
  <w:footnote w:id="3">
    <w:p w14:paraId="2F141EF2" w14:textId="5A01A3A5" w:rsidR="00795E8F" w:rsidRPr="00215DF7" w:rsidRDefault="00795E8F" w:rsidP="00F11C44">
      <w:pPr>
        <w:pStyle w:val="FootnoteText"/>
        <w:spacing w:after="0"/>
      </w:pPr>
      <w:r>
        <w:t>(</w:t>
      </w:r>
      <w:r>
        <w:rPr>
          <w:rStyle w:val="FootnoteReference"/>
        </w:rPr>
        <w:footnoteRef/>
      </w:r>
      <w:r>
        <w:t>)</w:t>
      </w:r>
      <w:r>
        <w:tab/>
      </w:r>
      <w:hyperlink r:id="rId2" w:history="1">
        <w:r>
          <w:rPr>
            <w:rStyle w:val="Hyperlink"/>
          </w:rPr>
          <w:t>https://eur-lex.europa.eu/legal-content/FR/TXT/?uri=CELEX%3A52025DC0079&amp;qid=1741780110418</w:t>
        </w:r>
      </w:hyperlink>
      <w:r>
        <w:t>.</w:t>
      </w:r>
    </w:p>
  </w:footnote>
  <w:footnote w:id="4">
    <w:p w14:paraId="747314A8" w14:textId="71F7DBBD" w:rsidR="001113B9" w:rsidRPr="0076530B" w:rsidRDefault="21CB014D" w:rsidP="00F11C44">
      <w:pPr>
        <w:pStyle w:val="FootnoteText"/>
        <w:spacing w:after="0"/>
      </w:pPr>
      <w:r>
        <w:t>(</w:t>
      </w:r>
      <w:r>
        <w:rPr>
          <w:rStyle w:val="FootnoteReference"/>
        </w:rPr>
        <w:footnoteRef/>
      </w:r>
      <w:r>
        <w:t>)</w:t>
      </w:r>
      <w:r>
        <w:tab/>
        <w:t>Tant le pacte pour une industrie propre que le plan d’action pour une énergie abordable font référence au groupe de travail sur le marché du gaz mis en place par la Commission, qui s’est penché, entre autres, sur le fonctionnement du marché des dérivés du gaz.</w:t>
      </w:r>
    </w:p>
  </w:footnote>
  <w:footnote w:id="5">
    <w:p w14:paraId="0B929738" w14:textId="5E525601" w:rsidR="00795E8F" w:rsidRPr="00795E8F" w:rsidRDefault="00795E8F" w:rsidP="00F11C44">
      <w:pPr>
        <w:pStyle w:val="FootnoteText"/>
        <w:spacing w:after="0"/>
      </w:pPr>
      <w:r>
        <w:t>(</w:t>
      </w:r>
      <w:r>
        <w:rPr>
          <w:rStyle w:val="FootnoteReference"/>
        </w:rPr>
        <w:footnoteRef/>
      </w:r>
      <w:r>
        <w:t>)</w:t>
      </w:r>
      <w:r>
        <w:tab/>
      </w:r>
      <w:hyperlink r:id="rId3" w:history="1">
        <w:r>
          <w:rPr>
            <w:rStyle w:val="Hyperlink"/>
          </w:rPr>
          <w:t>CfA_IFR and IFD review – final.pdf (Demande d'avis - réexamen de l’IFR et de l’IFD - final)</w:t>
        </w:r>
      </w:hyperlink>
      <w:r>
        <w:t>.</w:t>
      </w:r>
    </w:p>
  </w:footnote>
  <w:footnote w:id="6">
    <w:p w14:paraId="795921AA" w14:textId="38A8D737" w:rsidR="004247C0" w:rsidRPr="004247C0" w:rsidRDefault="21CB014D" w:rsidP="00F11C44">
      <w:pPr>
        <w:pStyle w:val="FootnoteText"/>
        <w:spacing w:after="0"/>
      </w:pPr>
      <w:r>
        <w:t>(</w:t>
      </w:r>
      <w:r>
        <w:rPr>
          <w:rStyle w:val="FootnoteReference"/>
        </w:rPr>
        <w:footnoteRef/>
      </w:r>
      <w:r>
        <w:t>)</w:t>
      </w:r>
      <w:r>
        <w:tab/>
      </w:r>
      <w:hyperlink r:id="rId4" w:history="1">
        <w:r>
          <w:rPr>
            <w:rStyle w:val="Hyperlink"/>
          </w:rPr>
          <w:t>Targeted consultation on the review of the functioning of commodity derivatives markets and certain aspects relating to spot energy markets 2025 – Finance (Consultation ciblée – Examen du fonctionnement des marchés des instruments dérivés sur matières premières et de certains aspects relatifs aux marchés de l’énergie au comptant en 2025 – Finances)</w:t>
        </w:r>
      </w:hyperlink>
      <w:r>
        <w:t>.</w:t>
      </w:r>
    </w:p>
  </w:footnote>
  <w:footnote w:id="7">
    <w:p w14:paraId="2D28D88F" w14:textId="77777777" w:rsidR="009B1053" w:rsidRPr="00FB6128" w:rsidRDefault="009B1053" w:rsidP="00F11C44">
      <w:pPr>
        <w:pStyle w:val="FootnoteText"/>
        <w:spacing w:after="0"/>
      </w:pPr>
      <w:r>
        <w:t>(</w:t>
      </w:r>
      <w:r>
        <w:rPr>
          <w:rStyle w:val="FootnoteReference"/>
        </w:rPr>
        <w:footnoteRef/>
      </w:r>
      <w:r>
        <w:t>)</w:t>
      </w:r>
      <w:r>
        <w:tab/>
        <w:t>Article 58, paragraphe 1, de la directive MiFID II.</w:t>
      </w:r>
    </w:p>
  </w:footnote>
  <w:footnote w:id="8">
    <w:p w14:paraId="1308C03E" w14:textId="77777777" w:rsidR="009B1053" w:rsidRPr="00D565DF" w:rsidRDefault="009B1053" w:rsidP="00F11C44">
      <w:pPr>
        <w:pStyle w:val="FootnoteText"/>
        <w:spacing w:after="0"/>
      </w:pPr>
      <w:r>
        <w:t>(</w:t>
      </w:r>
      <w:r>
        <w:rPr>
          <w:rStyle w:val="FootnoteReference"/>
        </w:rPr>
        <w:footnoteRef/>
      </w:r>
      <w:r>
        <w:t>)</w:t>
      </w:r>
      <w:r>
        <w:tab/>
        <w:t>Article 58, paragraphe 3, de la directive MiFID II.</w:t>
      </w:r>
    </w:p>
  </w:footnote>
  <w:footnote w:id="9">
    <w:p w14:paraId="635E8D5D" w14:textId="065216F7" w:rsidR="00BA26F7" w:rsidRPr="00BA26F7" w:rsidRDefault="00BA26F7" w:rsidP="00F11C44">
      <w:pPr>
        <w:pStyle w:val="FootnoteText"/>
        <w:spacing w:after="0"/>
      </w:pPr>
      <w:r>
        <w:t>(</w:t>
      </w:r>
      <w:r>
        <w:rPr>
          <w:rStyle w:val="FootnoteReference"/>
        </w:rPr>
        <w:footnoteRef/>
      </w:r>
      <w:r>
        <w:t>)</w:t>
      </w:r>
      <w:r>
        <w:tab/>
        <w:t>À l’ANC du marché le plus liquide pour l’instrument dérivé sur matières premières auquel le contrat de gré à gré est équivalent.</w:t>
      </w:r>
    </w:p>
  </w:footnote>
  <w:footnote w:id="10">
    <w:p w14:paraId="51C3B947" w14:textId="77777777" w:rsidR="009B1053" w:rsidRPr="00B92AFD" w:rsidRDefault="009B1053" w:rsidP="00F11C44">
      <w:pPr>
        <w:spacing w:after="0"/>
      </w:pPr>
      <w:r>
        <w:rPr>
          <w:sz w:val="20"/>
        </w:rPr>
        <w:t>(</w:t>
      </w:r>
      <w:r>
        <w:rPr>
          <w:sz w:val="20"/>
          <w:vertAlign w:val="superscript"/>
        </w:rPr>
        <w:footnoteRef/>
      </w:r>
      <w:r>
        <w:rPr>
          <w:sz w:val="20"/>
        </w:rPr>
        <w:t>) Article 58, paragraphe 2, du règlement MiFID II.</w:t>
      </w:r>
    </w:p>
  </w:footnote>
  <w:footnote w:id="11">
    <w:p w14:paraId="21521EF6" w14:textId="4F38848D" w:rsidR="00752A9C" w:rsidRPr="00C15443" w:rsidRDefault="00752A9C" w:rsidP="00F11C44">
      <w:pPr>
        <w:pStyle w:val="FootnoteText"/>
        <w:spacing w:after="0"/>
      </w:pPr>
      <w:r>
        <w:t>(</w:t>
      </w:r>
      <w:r>
        <w:rPr>
          <w:rStyle w:val="FootnoteReference"/>
        </w:rPr>
        <w:footnoteRef/>
      </w:r>
      <w:r>
        <w:t>)</w:t>
      </w:r>
      <w:r>
        <w:tab/>
        <w:t>Article 2, paragraphe 4, du règlement REMIT II.</w:t>
      </w:r>
    </w:p>
  </w:footnote>
  <w:footnote w:id="12">
    <w:p w14:paraId="5B89D8C6" w14:textId="0B25DACC" w:rsidR="00752A9C" w:rsidRPr="00C15443" w:rsidRDefault="00752A9C" w:rsidP="00F11C44">
      <w:pPr>
        <w:pStyle w:val="FootnoteText"/>
        <w:spacing w:after="0"/>
      </w:pPr>
      <w:r>
        <w:t>(</w:t>
      </w:r>
      <w:r>
        <w:rPr>
          <w:rStyle w:val="FootnoteReference"/>
        </w:rPr>
        <w:footnoteRef/>
      </w:r>
      <w:r>
        <w:t>)</w:t>
      </w:r>
      <w:r>
        <w:tab/>
        <w:t>L’article 6, paragraphe 5, du règlement d’exécution REMIT dispose en outre que «[l]orsque des personnes ont déclaré des informations relatives à des transactions conformément aux dispositions de l’article 26 du règlement (UE) nº 600/2014 ou de l’article 9 du règlement (UE) nº 648/2012, leurs obligations de déclaration conformément aux termes de l’article 8, paragraphe 1, du règlement (UE) nº 1227/2011 sont considérées comme remplies».</w:t>
      </w:r>
    </w:p>
  </w:footnote>
  <w:footnote w:id="13">
    <w:p w14:paraId="19680AE1" w14:textId="0AF27FBD" w:rsidR="00EE1081" w:rsidRPr="00EE1081" w:rsidRDefault="00EE1081" w:rsidP="00F11C44">
      <w:pPr>
        <w:pStyle w:val="FootnoteText"/>
        <w:spacing w:after="0"/>
      </w:pPr>
      <w:r>
        <w:t>(</w:t>
      </w:r>
      <w:r>
        <w:rPr>
          <w:rStyle w:val="FootnoteReference"/>
        </w:rPr>
        <w:footnoteRef/>
      </w:r>
      <w:r>
        <w:t>)</w:t>
      </w:r>
      <w:r>
        <w:tab/>
        <w:t>À moins qu’elles n’effectuent des transactions par l’intermédiaire d’une entreprise d’investissement de l’UE, auquel cas l’entreprise d’investissement les déclare en leur nom.</w:t>
      </w:r>
    </w:p>
  </w:footnote>
  <w:footnote w:id="14">
    <w:p w14:paraId="5CA7BFD1" w14:textId="77777777" w:rsidR="009B1053" w:rsidRPr="000A26D4" w:rsidRDefault="009B1053" w:rsidP="00F11C44">
      <w:pPr>
        <w:pStyle w:val="FootnoteText"/>
        <w:spacing w:after="0"/>
      </w:pPr>
      <w:r>
        <w:t>(</w:t>
      </w:r>
      <w:r>
        <w:rPr>
          <w:rStyle w:val="FootnoteReference"/>
        </w:rPr>
        <w:footnoteRef/>
      </w:r>
      <w:r>
        <w:t>)</w:t>
      </w:r>
      <w:r>
        <w:tab/>
      </w:r>
      <w:hyperlink r:id="rId5" w:history="1">
        <w:r>
          <w:rPr>
            <w:rStyle w:val="Hyperlink"/>
          </w:rPr>
          <w:t>Règlement (UE) 2024/2809 du Parlement européen et du Conseil du 23 octobre 2024 modifiant les règlements (UE) 2017/1129, (UE) nº 596/2014 et (UE) nº 600/2014 afin de rendre les marchés des capitaux de l’Union plus attractifs pour les entreprises et de faciliter l’accès des petites et moyennes entreprises aux capitaux</w:t>
        </w:r>
      </w:hyperlink>
      <w:r>
        <w:t>.</w:t>
      </w:r>
    </w:p>
  </w:footnote>
  <w:footnote w:id="15">
    <w:p w14:paraId="2A76ABC4" w14:textId="77777777" w:rsidR="009B1053" w:rsidRPr="00E933F2" w:rsidRDefault="009B1053" w:rsidP="00F11C44">
      <w:pPr>
        <w:pStyle w:val="FootnoteText"/>
        <w:spacing w:after="0"/>
      </w:pPr>
      <w:r>
        <w:t>(</w:t>
      </w:r>
      <w:r>
        <w:rPr>
          <w:rStyle w:val="FootnoteReference"/>
        </w:rPr>
        <w:footnoteRef/>
      </w:r>
      <w:r>
        <w:t>)</w:t>
      </w:r>
      <w:r>
        <w:tab/>
        <w:t xml:space="preserve">Cela s’explique également par le fait que les contrats réglés par livraison physique négociés sur des OTF sont exclus de la législation financière et ne sont donc pas considérés comme des instruments financiers («produits relevant de l’exclusion C6»). </w:t>
      </w:r>
    </w:p>
  </w:footnote>
  <w:footnote w:id="16">
    <w:p w14:paraId="25A834D4" w14:textId="77777777" w:rsidR="009B1053" w:rsidRPr="009B1053" w:rsidRDefault="009B1053" w:rsidP="00F11C44">
      <w:pPr>
        <w:pStyle w:val="FootnoteText"/>
        <w:spacing w:after="0"/>
      </w:pPr>
      <w:r>
        <w:t>(</w:t>
      </w:r>
      <w:r>
        <w:rPr>
          <w:rStyle w:val="FootnoteReference"/>
        </w:rPr>
        <w:footnoteRef/>
      </w:r>
      <w:r>
        <w:t>)</w:t>
      </w:r>
      <w:r>
        <w:tab/>
        <w:t>Source: données de l’AEMF.</w:t>
      </w:r>
    </w:p>
  </w:footnote>
  <w:footnote w:id="17">
    <w:p w14:paraId="0B65594A" w14:textId="7568FE67" w:rsidR="005514EF" w:rsidRPr="005514EF" w:rsidRDefault="005514EF" w:rsidP="00F11C44">
      <w:pPr>
        <w:pStyle w:val="FootnoteText"/>
        <w:spacing w:after="0"/>
      </w:pPr>
      <w:r>
        <w:t>(</w:t>
      </w:r>
      <w:r>
        <w:rPr>
          <w:rStyle w:val="FootnoteReference"/>
        </w:rPr>
        <w:footnoteRef/>
      </w:r>
      <w:r>
        <w:t>)</w:t>
      </w:r>
      <w:r>
        <w:tab/>
      </w:r>
      <w:hyperlink r:id="rId6" w:history="1">
        <w:r>
          <w:rPr>
            <w:rStyle w:val="Hyperlink"/>
          </w:rPr>
          <w:t>esma70-446-775_preliminary_data_report_on_mcm.pdf</w:t>
        </w:r>
      </w:hyperlink>
      <w:r>
        <w:t>.</w:t>
      </w:r>
    </w:p>
  </w:footnote>
  <w:footnote w:id="18">
    <w:p w14:paraId="15B9BBF8" w14:textId="02046017" w:rsidR="005514EF" w:rsidRPr="005514EF" w:rsidRDefault="005514EF" w:rsidP="00F11C44">
      <w:pPr>
        <w:pStyle w:val="FootnoteText"/>
        <w:spacing w:after="0"/>
      </w:pPr>
      <w:r>
        <w:t>(</w:t>
      </w:r>
      <w:r>
        <w:rPr>
          <w:rStyle w:val="FootnoteReference"/>
        </w:rPr>
        <w:footnoteRef/>
      </w:r>
      <w:r>
        <w:t>)</w:t>
      </w:r>
      <w:r>
        <w:tab/>
      </w:r>
      <w:hyperlink r:id="rId7" w:history="1">
        <w:r>
          <w:rPr>
            <w:rStyle w:val="Hyperlink"/>
          </w:rPr>
          <w:t>Analyse des données de position MIF 2 sur les dérivés de matières premières:</w:t>
        </w:r>
      </w:hyperlink>
      <w:hyperlink r:id="rId8" w:history="1">
        <w:r>
          <w:rPr>
            <w:rStyle w:val="Hyperlink"/>
          </w:rPr>
          <w:t xml:space="preserve"> qui sont les acteurs et quel est leur poids sur le segment matif des dérivés agricoles?</w:t>
        </w:r>
      </w:hyperlink>
    </w:p>
  </w:footnote>
  <w:footnote w:id="19">
    <w:p w14:paraId="61829983" w14:textId="77777777" w:rsidR="009B1053" w:rsidRPr="00F81863" w:rsidRDefault="009B1053" w:rsidP="00F11C44">
      <w:pPr>
        <w:pStyle w:val="FootnoteText"/>
        <w:spacing w:after="0"/>
      </w:pPr>
      <w:r>
        <w:t>(</w:t>
      </w:r>
      <w:r>
        <w:rPr>
          <w:rStyle w:val="FootnoteReference"/>
        </w:rPr>
        <w:footnoteRef/>
      </w:r>
      <w:r>
        <w:t>)</w:t>
      </w:r>
      <w:r>
        <w:tab/>
      </w:r>
      <w:hyperlink r:id="rId9" w:history="1">
        <w:r>
          <w:rPr>
            <w:rStyle w:val="Hyperlink"/>
          </w:rPr>
          <w:t>Règlement délégué – 2022/1299 – FR – EUR-Lex</w:t>
        </w:r>
      </w:hyperlink>
      <w:r>
        <w:t>.</w:t>
      </w:r>
    </w:p>
  </w:footnote>
  <w:footnote w:id="20">
    <w:p w14:paraId="697FFF92" w14:textId="17AFFF22" w:rsidR="009B1053" w:rsidRPr="00F81863" w:rsidRDefault="009B1053" w:rsidP="009B1053">
      <w:pPr>
        <w:pStyle w:val="FootnoteText"/>
        <w:spacing w:after="0"/>
      </w:pPr>
      <w:r>
        <w:t>(</w:t>
      </w:r>
      <w:r>
        <w:rPr>
          <w:rStyle w:val="FootnoteReference"/>
        </w:rPr>
        <w:footnoteRef/>
      </w:r>
      <w:r>
        <w:t>)</w:t>
      </w:r>
      <w:r>
        <w:tab/>
        <w:t>Cette consultation a notamment été suscitée par les événements survenus sur le London Metals Exchange en mars 2022, lesquels étaient liés à la création de positions importantes sur le marché de gré à gré qui n’étaient pas visibles pour les opérateurs de plates-formes de négociation, entravant ainsi leur capacité à remplir leur mandat de gestion des positions.</w:t>
      </w:r>
    </w:p>
  </w:footnote>
  <w:footnote w:id="21">
    <w:p w14:paraId="6E7C74E1" w14:textId="77777777" w:rsidR="009B1053" w:rsidRPr="00F81863" w:rsidRDefault="009B1053" w:rsidP="009B1053">
      <w:pPr>
        <w:pStyle w:val="FootnoteText"/>
        <w:spacing w:after="0"/>
      </w:pPr>
      <w:r>
        <w:t>(</w:t>
      </w:r>
      <w:r>
        <w:rPr>
          <w:rStyle w:val="FootnoteReference"/>
        </w:rPr>
        <w:footnoteRef/>
      </w:r>
      <w:r>
        <w:t>)</w:t>
      </w:r>
      <w:r>
        <w:tab/>
        <w:t>Source: données EEX et ICE pour l’été 2022 et 2024.</w:t>
      </w:r>
    </w:p>
  </w:footnote>
  <w:footnote w:id="22">
    <w:p w14:paraId="6A632A11" w14:textId="55DB859B" w:rsidR="005E7D89" w:rsidRPr="00040C54" w:rsidRDefault="21CB014D" w:rsidP="00F11C44">
      <w:pPr>
        <w:pStyle w:val="FootnoteText"/>
        <w:spacing w:after="0"/>
        <w:ind w:left="567" w:hanging="567"/>
      </w:pPr>
      <w:r>
        <w:t>(</w:t>
      </w:r>
      <w:r>
        <w:rPr>
          <w:rStyle w:val="FootnoteReference"/>
        </w:rPr>
        <w:footnoteRef/>
      </w:r>
      <w:r>
        <w:t>)</w:t>
      </w:r>
      <w:r>
        <w:tab/>
      </w:r>
      <w:hyperlink r:id="rId10" w:history="1">
        <w:r>
          <w:rPr>
            <w:rStyle w:val="Hyperlink"/>
          </w:rPr>
          <w:t>https://www.iosco.org/library/pubdocs/pdf/IOSCOPD781.pdf</w:t>
        </w:r>
      </w:hyperlink>
      <w:r>
        <w:t xml:space="preserve">. </w:t>
      </w:r>
    </w:p>
  </w:footnote>
  <w:footnote w:id="23">
    <w:p w14:paraId="169A6F81" w14:textId="3E26C7A9" w:rsidR="00FA28B6" w:rsidRPr="00FA28B6" w:rsidRDefault="00FA28B6" w:rsidP="00F11C44">
      <w:pPr>
        <w:pStyle w:val="FootnoteText"/>
        <w:spacing w:after="0"/>
      </w:pPr>
      <w:r>
        <w:t>(</w:t>
      </w:r>
      <w:r>
        <w:rPr>
          <w:rStyle w:val="FootnoteReference"/>
        </w:rPr>
        <w:footnoteRef/>
      </w:r>
      <w:r>
        <w:t>)</w:t>
      </w:r>
      <w:r>
        <w:tab/>
        <w:t>C’est-à-dire au-delà des entreprises d’investissement et des entreprises autres que d’investissement qui effectuent des transactions par l’intermédiaire d’une entreprise d’investissement.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3FE89" w14:textId="77777777" w:rsidR="001E6A08" w:rsidRPr="001E6A08" w:rsidRDefault="001E6A08" w:rsidP="001E6A0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6C688" w14:textId="77777777" w:rsidR="001E6A08" w:rsidRPr="001E6A08" w:rsidRDefault="001E6A08" w:rsidP="001E6A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61BAA" w14:textId="77777777" w:rsidR="001E6A08" w:rsidRPr="001E6A08" w:rsidRDefault="001E6A08" w:rsidP="001E6A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DCEED" w14:textId="77777777" w:rsidR="00AF3CE0" w:rsidRDefault="00AF3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48D3" w14:textId="77777777" w:rsidR="00AF3CE0" w:rsidRDefault="00AF3C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98F7D" w14:textId="77777777" w:rsidR="00AF3CE0" w:rsidRDefault="00AF3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829E44B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D8D1E0E"/>
    <w:multiLevelType w:val="multilevel"/>
    <w:tmpl w:val="4112E5BC"/>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FB7115"/>
    <w:multiLevelType w:val="multilevel"/>
    <w:tmpl w:val="4860F4E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CAA6E53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4FF6E5C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9E05CF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F4D6467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340CC3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2E36590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47A184D"/>
    <w:multiLevelType w:val="hybridMultilevel"/>
    <w:tmpl w:val="E72C02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8DFDF8"/>
    <w:multiLevelType w:val="multilevel"/>
    <w:tmpl w:val="B4F822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87003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8772AAF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7BC4A53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92987FB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ABA0C5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A7B67E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4261A85"/>
    <w:multiLevelType w:val="hybridMultilevel"/>
    <w:tmpl w:val="F0FA3B54"/>
    <w:lvl w:ilvl="0" w:tplc="5B204194">
      <w:start w:val="1"/>
      <w:numFmt w:val="decimal"/>
      <w:pStyle w:val="04aNumeration"/>
      <w:lvlText w:val="%1."/>
      <w:lvlJc w:val="left"/>
      <w:pPr>
        <w:tabs>
          <w:tab w:val="num" w:pos="284"/>
        </w:tabs>
        <w:ind w:left="284" w:hanging="284"/>
      </w:pPr>
      <w:rPr>
        <w:rFonts w:ascii="Arial" w:hAnsi="Arial" w:cs="Arial" w:hint="default"/>
        <w:b w:val="0"/>
        <w:i w:val="0"/>
        <w:sz w:val="22"/>
        <w:szCs w:val="22"/>
      </w:rPr>
    </w:lvl>
    <w:lvl w:ilvl="1" w:tplc="65726592">
      <w:start w:val="1"/>
      <w:numFmt w:val="upperLetter"/>
      <w:lvlText w:val="%2."/>
      <w:lvlJc w:val="left"/>
      <w:pPr>
        <w:tabs>
          <w:tab w:val="num" w:pos="1156"/>
        </w:tabs>
        <w:ind w:left="1156" w:hanging="360"/>
      </w:pPr>
      <w:rPr>
        <w:rFonts w:hint="default"/>
        <w:b w:val="0"/>
        <w:i w:val="0"/>
      </w:rPr>
    </w:lvl>
    <w:lvl w:ilvl="2" w:tplc="0407001B">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18" w15:restartNumberingAfterBreak="0">
    <w:nsid w:val="4E1A63DF"/>
    <w:multiLevelType w:val="multilevel"/>
    <w:tmpl w:val="5750F45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6BA056F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AF0037A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025A818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4724136"/>
    <w:multiLevelType w:val="hybridMultilevel"/>
    <w:tmpl w:val="53346BC4"/>
    <w:lvl w:ilvl="0" w:tplc="835CD9B4">
      <w:start w:val="1"/>
      <w:numFmt w:val="lowerLetter"/>
      <w:lvlText w:val="(%1)"/>
      <w:lvlJc w:val="left"/>
      <w:pPr>
        <w:ind w:left="1080" w:hanging="360"/>
      </w:pPr>
      <w:rPr>
        <w:rFonts w:eastAsia="Times New Roman"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977472E"/>
    <w:multiLevelType w:val="multilevel"/>
    <w:tmpl w:val="B802D96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A162CEF"/>
    <w:multiLevelType w:val="multilevel"/>
    <w:tmpl w:val="8F4864D0"/>
    <w:lvl w:ilvl="0">
      <w:start w:val="1"/>
      <w:numFmt w:val="bullet"/>
      <w:pStyle w:val="BulletPSP"/>
      <w:lvlText w:val=""/>
      <w:lvlJc w:val="left"/>
      <w:pPr>
        <w:ind w:left="145" w:hanging="283"/>
      </w:pPr>
      <w:rPr>
        <w:rFonts w:ascii="Symbol" w:hAnsi="Symbol" w:hint="default"/>
        <w:color w:val="5B9BD5"/>
      </w:rPr>
    </w:lvl>
    <w:lvl w:ilvl="1">
      <w:start w:val="1"/>
      <w:numFmt w:val="bullet"/>
      <w:lvlText w:val=""/>
      <w:lvlJc w:val="left"/>
      <w:pPr>
        <w:ind w:left="429" w:hanging="283"/>
      </w:pPr>
      <w:rPr>
        <w:rFonts w:ascii="Symbol" w:hAnsi="Symbol" w:hint="default"/>
        <w:color w:val="44546A"/>
      </w:rPr>
    </w:lvl>
    <w:lvl w:ilvl="2">
      <w:start w:val="1"/>
      <w:numFmt w:val="bullet"/>
      <w:lvlText w:val=""/>
      <w:lvlJc w:val="left"/>
      <w:pPr>
        <w:ind w:left="713" w:hanging="283"/>
      </w:pPr>
      <w:rPr>
        <w:rFonts w:ascii="Symbol" w:hAnsi="Symbol" w:hint="default"/>
        <w:color w:val="E7E6E6"/>
      </w:rPr>
    </w:lvl>
    <w:lvl w:ilvl="3">
      <w:start w:val="1"/>
      <w:numFmt w:val="bullet"/>
      <w:lvlText w:val=""/>
      <w:lvlJc w:val="left"/>
      <w:pPr>
        <w:ind w:left="997" w:hanging="283"/>
      </w:pPr>
      <w:rPr>
        <w:rFonts w:ascii="Symbol" w:hAnsi="Symbol" w:hint="default"/>
        <w:color w:val="ED7D31"/>
      </w:rPr>
    </w:lvl>
    <w:lvl w:ilvl="4">
      <w:start w:val="1"/>
      <w:numFmt w:val="bullet"/>
      <w:lvlText w:val=""/>
      <w:lvlJc w:val="left"/>
      <w:pPr>
        <w:ind w:left="1281" w:hanging="283"/>
      </w:pPr>
      <w:rPr>
        <w:rFonts w:ascii="Symbol" w:hAnsi="Symbol" w:hint="default"/>
        <w:color w:val="000000"/>
      </w:rPr>
    </w:lvl>
    <w:lvl w:ilvl="5">
      <w:start w:val="1"/>
      <w:numFmt w:val="bullet"/>
      <w:lvlText w:val=""/>
      <w:lvlJc w:val="left"/>
      <w:pPr>
        <w:ind w:left="1565" w:hanging="283"/>
      </w:pPr>
      <w:rPr>
        <w:rFonts w:ascii="Symbol" w:hAnsi="Symbol" w:hint="default"/>
        <w:color w:val="FFC000"/>
      </w:rPr>
    </w:lvl>
    <w:lvl w:ilvl="6">
      <w:start w:val="1"/>
      <w:numFmt w:val="bullet"/>
      <w:lvlText w:val=""/>
      <w:lvlJc w:val="left"/>
      <w:pPr>
        <w:ind w:left="1849" w:hanging="283"/>
      </w:pPr>
      <w:rPr>
        <w:rFonts w:ascii="Symbol" w:hAnsi="Symbol" w:hint="default"/>
      </w:rPr>
    </w:lvl>
    <w:lvl w:ilvl="7">
      <w:start w:val="1"/>
      <w:numFmt w:val="bullet"/>
      <w:lvlText w:val="o"/>
      <w:lvlJc w:val="left"/>
      <w:pPr>
        <w:ind w:left="2133" w:hanging="283"/>
      </w:pPr>
      <w:rPr>
        <w:rFonts w:ascii="Courier New" w:hAnsi="Courier New" w:hint="default"/>
      </w:rPr>
    </w:lvl>
    <w:lvl w:ilvl="8">
      <w:start w:val="1"/>
      <w:numFmt w:val="bullet"/>
      <w:lvlText w:val=""/>
      <w:lvlJc w:val="left"/>
      <w:pPr>
        <w:ind w:left="2417" w:hanging="283"/>
      </w:pPr>
      <w:rPr>
        <w:rFonts w:ascii="Wingdings" w:hAnsi="Wingdings" w:hint="default"/>
      </w:rPr>
    </w:lvl>
  </w:abstractNum>
  <w:abstractNum w:abstractNumId="25" w15:restartNumberingAfterBreak="0">
    <w:nsid w:val="766A24F3"/>
    <w:multiLevelType w:val="hybridMultilevel"/>
    <w:tmpl w:val="891EBEA8"/>
    <w:lvl w:ilvl="0" w:tplc="F0E0613A">
      <w:start w:val="1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9F50F3B"/>
    <w:multiLevelType w:val="hybridMultilevel"/>
    <w:tmpl w:val="BB124F74"/>
    <w:lvl w:ilvl="0" w:tplc="A32E8DF6">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BDA2288"/>
    <w:multiLevelType w:val="hybridMultilevel"/>
    <w:tmpl w:val="8BF84DFE"/>
    <w:lvl w:ilvl="0" w:tplc="74B81204">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C33ED92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0" w15:restartNumberingAfterBreak="0">
    <w:nsid w:val="7DE645DF"/>
    <w:multiLevelType w:val="hybridMultilevel"/>
    <w:tmpl w:val="A00A26A0"/>
    <w:lvl w:ilvl="0" w:tplc="74B8120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7"/>
  </w:num>
  <w:num w:numId="2">
    <w:abstractNumId w:val="1"/>
  </w:num>
  <w:num w:numId="3">
    <w:abstractNumId w:val="24"/>
  </w:num>
  <w:num w:numId="4">
    <w:abstractNumId w:val="0"/>
  </w:num>
  <w:num w:numId="5">
    <w:abstractNumId w:val="13"/>
  </w:num>
  <w:num w:numId="6">
    <w:abstractNumId w:val="8"/>
  </w:num>
  <w:num w:numId="7">
    <w:abstractNumId w:val="14"/>
  </w:num>
  <w:num w:numId="8">
    <w:abstractNumId w:val="20"/>
  </w:num>
  <w:num w:numId="9">
    <w:abstractNumId w:val="23"/>
  </w:num>
  <w:num w:numId="10">
    <w:abstractNumId w:val="2"/>
  </w:num>
  <w:num w:numId="11">
    <w:abstractNumId w:val="7"/>
  </w:num>
  <w:num w:numId="12">
    <w:abstractNumId w:val="16"/>
  </w:num>
  <w:num w:numId="13">
    <w:abstractNumId w:val="3"/>
  </w:num>
  <w:num w:numId="14">
    <w:abstractNumId w:val="5"/>
  </w:num>
  <w:num w:numId="15">
    <w:abstractNumId w:val="6"/>
  </w:num>
  <w:num w:numId="16">
    <w:abstractNumId w:val="10"/>
  </w:num>
  <w:num w:numId="17">
    <w:abstractNumId w:val="15"/>
  </w:num>
  <w:num w:numId="18">
    <w:abstractNumId w:val="19"/>
  </w:num>
  <w:num w:numId="19">
    <w:abstractNumId w:val="28"/>
  </w:num>
  <w:num w:numId="20">
    <w:abstractNumId w:val="11"/>
  </w:num>
  <w:num w:numId="21">
    <w:abstractNumId w:val="12"/>
  </w:num>
  <w:num w:numId="22">
    <w:abstractNumId w:val="29"/>
  </w:num>
  <w:num w:numId="23">
    <w:abstractNumId w:val="18"/>
  </w:num>
  <w:num w:numId="24">
    <w:abstractNumId w:val="21"/>
  </w:num>
  <w:num w:numId="25">
    <w:abstractNumId w:val="4"/>
  </w:num>
  <w:num w:numId="26">
    <w:abstractNumId w:val="25"/>
  </w:num>
  <w:num w:numId="27">
    <w:abstractNumId w:val="30"/>
  </w:num>
  <w:num w:numId="28">
    <w:abstractNumId w:val="26"/>
  </w:num>
  <w:num w:numId="29">
    <w:abstractNumId w:val="9"/>
  </w:num>
  <w:num w:numId="30">
    <w:abstractNumId w:val="27"/>
  </w:num>
  <w:num w:numId="31">
    <w:abstractNumId w:val="22"/>
  </w:num>
  <w:num w:numId="3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1A315C6-4B57-4B55-A3B4-E2FC2AF00D93"/>
    <w:docVar w:name="LW_COVERPAGE_TYPE" w:val="1"/>
    <w:docVar w:name="LW_CROSSREFERENCE" w:val="&lt;UNUSED&gt;"/>
    <w:docVar w:name="LW_DocType" w:val="EUROLOOK"/>
    <w:docVar w:name="LW_EMISSION" w:val="26.5.2026"/>
    <w:docVar w:name="LW_EMISSION_ISODATE" w:val="2026-05-26"/>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u8217?évaluation par la Commission des marchés des instruments dérivés sur matières premières, des marchés des quotas d\u8217?émission et des marchés des instruments dérivés sur quotas d\u8217?émission, conformément à l\u8217?article 90, paragraphe 5, de la directive concernant les marchés d\u8217?instruments financiers (MiFID II) [directive 2014/65/UE], telle que modifiée en février 2024"/>
    <w:docVar w:name="LW_TYPE.DOC.CP" w:val="RAPPORT DE LA COMMISSION AU PARLEMENT EUROPÉEN ET AU CONSEIL"/>
    <w:docVar w:name="LwApiVersions" w:val="LW4CoDe 1.24.5.0; LW 9.2, Build 20251112"/>
  </w:docVars>
  <w:rsids>
    <w:rsidRoot w:val="00F351E6"/>
    <w:rsid w:val="000000D3"/>
    <w:rsid w:val="0000024D"/>
    <w:rsid w:val="000003E4"/>
    <w:rsid w:val="00000637"/>
    <w:rsid w:val="00000BF4"/>
    <w:rsid w:val="00000E4C"/>
    <w:rsid w:val="00000EB7"/>
    <w:rsid w:val="00000F77"/>
    <w:rsid w:val="0000119B"/>
    <w:rsid w:val="0000132B"/>
    <w:rsid w:val="0000187D"/>
    <w:rsid w:val="00001BE1"/>
    <w:rsid w:val="00001E3D"/>
    <w:rsid w:val="00001E70"/>
    <w:rsid w:val="00002122"/>
    <w:rsid w:val="000027E4"/>
    <w:rsid w:val="000029B3"/>
    <w:rsid w:val="00002B5B"/>
    <w:rsid w:val="0000301F"/>
    <w:rsid w:val="00003117"/>
    <w:rsid w:val="000031D3"/>
    <w:rsid w:val="000031F9"/>
    <w:rsid w:val="0000328B"/>
    <w:rsid w:val="000037B1"/>
    <w:rsid w:val="00003A20"/>
    <w:rsid w:val="00003BAE"/>
    <w:rsid w:val="00003C4B"/>
    <w:rsid w:val="00004440"/>
    <w:rsid w:val="000047F2"/>
    <w:rsid w:val="00004B55"/>
    <w:rsid w:val="00005120"/>
    <w:rsid w:val="0000522C"/>
    <w:rsid w:val="000053C1"/>
    <w:rsid w:val="00005787"/>
    <w:rsid w:val="00005AAB"/>
    <w:rsid w:val="000061CF"/>
    <w:rsid w:val="000062A5"/>
    <w:rsid w:val="00006362"/>
    <w:rsid w:val="00006768"/>
    <w:rsid w:val="00006783"/>
    <w:rsid w:val="0000684C"/>
    <w:rsid w:val="000069AB"/>
    <w:rsid w:val="00006DA3"/>
    <w:rsid w:val="00007092"/>
    <w:rsid w:val="00007221"/>
    <w:rsid w:val="0000732E"/>
    <w:rsid w:val="0000755F"/>
    <w:rsid w:val="00007977"/>
    <w:rsid w:val="00007B34"/>
    <w:rsid w:val="00007BC5"/>
    <w:rsid w:val="00007CE0"/>
    <w:rsid w:val="00007DA4"/>
    <w:rsid w:val="00007DD2"/>
    <w:rsid w:val="00010376"/>
    <w:rsid w:val="00010817"/>
    <w:rsid w:val="0001088B"/>
    <w:rsid w:val="00010AB8"/>
    <w:rsid w:val="00010B49"/>
    <w:rsid w:val="00010C2F"/>
    <w:rsid w:val="00010D06"/>
    <w:rsid w:val="00010DA5"/>
    <w:rsid w:val="00010DAA"/>
    <w:rsid w:val="00010DF7"/>
    <w:rsid w:val="00010EEF"/>
    <w:rsid w:val="00010F60"/>
    <w:rsid w:val="0001101E"/>
    <w:rsid w:val="000111E3"/>
    <w:rsid w:val="00011286"/>
    <w:rsid w:val="000112DC"/>
    <w:rsid w:val="000112FA"/>
    <w:rsid w:val="0001142D"/>
    <w:rsid w:val="000115A9"/>
    <w:rsid w:val="00011A0F"/>
    <w:rsid w:val="00012102"/>
    <w:rsid w:val="0001215E"/>
    <w:rsid w:val="000121A6"/>
    <w:rsid w:val="000121AA"/>
    <w:rsid w:val="00012650"/>
    <w:rsid w:val="00012AE3"/>
    <w:rsid w:val="00012BF0"/>
    <w:rsid w:val="00012CE5"/>
    <w:rsid w:val="00012D2B"/>
    <w:rsid w:val="000133C1"/>
    <w:rsid w:val="0001344D"/>
    <w:rsid w:val="00013479"/>
    <w:rsid w:val="00013506"/>
    <w:rsid w:val="0001366C"/>
    <w:rsid w:val="000137BD"/>
    <w:rsid w:val="00013DCD"/>
    <w:rsid w:val="000146C4"/>
    <w:rsid w:val="00014719"/>
    <w:rsid w:val="00014999"/>
    <w:rsid w:val="00014B0D"/>
    <w:rsid w:val="00014B21"/>
    <w:rsid w:val="00014C42"/>
    <w:rsid w:val="00014D61"/>
    <w:rsid w:val="00015498"/>
    <w:rsid w:val="000155DD"/>
    <w:rsid w:val="00015788"/>
    <w:rsid w:val="0001585A"/>
    <w:rsid w:val="00015B37"/>
    <w:rsid w:val="00016427"/>
    <w:rsid w:val="00016478"/>
    <w:rsid w:val="000166B9"/>
    <w:rsid w:val="000167FF"/>
    <w:rsid w:val="00016932"/>
    <w:rsid w:val="00016BCC"/>
    <w:rsid w:val="00016C07"/>
    <w:rsid w:val="00016F3D"/>
    <w:rsid w:val="00017175"/>
    <w:rsid w:val="000172A8"/>
    <w:rsid w:val="00017857"/>
    <w:rsid w:val="00017A99"/>
    <w:rsid w:val="00017AC9"/>
    <w:rsid w:val="00017E6E"/>
    <w:rsid w:val="00017EEA"/>
    <w:rsid w:val="00020083"/>
    <w:rsid w:val="00020442"/>
    <w:rsid w:val="0002050F"/>
    <w:rsid w:val="000205CB"/>
    <w:rsid w:val="0002061E"/>
    <w:rsid w:val="00020716"/>
    <w:rsid w:val="00020745"/>
    <w:rsid w:val="00020BB1"/>
    <w:rsid w:val="00021027"/>
    <w:rsid w:val="00021114"/>
    <w:rsid w:val="00021164"/>
    <w:rsid w:val="000211B5"/>
    <w:rsid w:val="00021287"/>
    <w:rsid w:val="000213D3"/>
    <w:rsid w:val="000216E4"/>
    <w:rsid w:val="00021865"/>
    <w:rsid w:val="000218FD"/>
    <w:rsid w:val="000219CE"/>
    <w:rsid w:val="00021EAD"/>
    <w:rsid w:val="00022624"/>
    <w:rsid w:val="0002287D"/>
    <w:rsid w:val="0002299E"/>
    <w:rsid w:val="0002368B"/>
    <w:rsid w:val="000238FC"/>
    <w:rsid w:val="00023BE8"/>
    <w:rsid w:val="00023C69"/>
    <w:rsid w:val="00023CE7"/>
    <w:rsid w:val="00023F55"/>
    <w:rsid w:val="00024540"/>
    <w:rsid w:val="0002466D"/>
    <w:rsid w:val="00024792"/>
    <w:rsid w:val="0002487B"/>
    <w:rsid w:val="00025234"/>
    <w:rsid w:val="00025634"/>
    <w:rsid w:val="00025773"/>
    <w:rsid w:val="000258AE"/>
    <w:rsid w:val="00025A80"/>
    <w:rsid w:val="00026028"/>
    <w:rsid w:val="0002649E"/>
    <w:rsid w:val="000264EE"/>
    <w:rsid w:val="0002667C"/>
    <w:rsid w:val="000266C1"/>
    <w:rsid w:val="000269E6"/>
    <w:rsid w:val="00026A82"/>
    <w:rsid w:val="00026B8C"/>
    <w:rsid w:val="00026C8A"/>
    <w:rsid w:val="00026C9D"/>
    <w:rsid w:val="00026DF2"/>
    <w:rsid w:val="00026FB9"/>
    <w:rsid w:val="00027154"/>
    <w:rsid w:val="000271C1"/>
    <w:rsid w:val="00027203"/>
    <w:rsid w:val="00027846"/>
    <w:rsid w:val="00027BEA"/>
    <w:rsid w:val="00027E90"/>
    <w:rsid w:val="00027FC6"/>
    <w:rsid w:val="00030342"/>
    <w:rsid w:val="000304E0"/>
    <w:rsid w:val="000305AA"/>
    <w:rsid w:val="000305D2"/>
    <w:rsid w:val="00030787"/>
    <w:rsid w:val="00030974"/>
    <w:rsid w:val="00030ADD"/>
    <w:rsid w:val="000310A3"/>
    <w:rsid w:val="000313AB"/>
    <w:rsid w:val="00031569"/>
    <w:rsid w:val="0003192C"/>
    <w:rsid w:val="000319BD"/>
    <w:rsid w:val="00031A2A"/>
    <w:rsid w:val="00031B02"/>
    <w:rsid w:val="00031B32"/>
    <w:rsid w:val="00031B37"/>
    <w:rsid w:val="00031D13"/>
    <w:rsid w:val="0003225B"/>
    <w:rsid w:val="00032585"/>
    <w:rsid w:val="000325CD"/>
    <w:rsid w:val="00032916"/>
    <w:rsid w:val="00032E7C"/>
    <w:rsid w:val="00032E83"/>
    <w:rsid w:val="00033145"/>
    <w:rsid w:val="00033299"/>
    <w:rsid w:val="000334BB"/>
    <w:rsid w:val="0003354B"/>
    <w:rsid w:val="00033792"/>
    <w:rsid w:val="00033A30"/>
    <w:rsid w:val="00033BE4"/>
    <w:rsid w:val="00033EA0"/>
    <w:rsid w:val="00033EFA"/>
    <w:rsid w:val="00034477"/>
    <w:rsid w:val="00034E44"/>
    <w:rsid w:val="00034FF7"/>
    <w:rsid w:val="0003506E"/>
    <w:rsid w:val="00035102"/>
    <w:rsid w:val="000355CE"/>
    <w:rsid w:val="0003560E"/>
    <w:rsid w:val="00035725"/>
    <w:rsid w:val="00035B36"/>
    <w:rsid w:val="00035C4E"/>
    <w:rsid w:val="00035EF6"/>
    <w:rsid w:val="00035FD4"/>
    <w:rsid w:val="00036011"/>
    <w:rsid w:val="00036045"/>
    <w:rsid w:val="00036250"/>
    <w:rsid w:val="00036340"/>
    <w:rsid w:val="000363CA"/>
    <w:rsid w:val="00036576"/>
    <w:rsid w:val="00036A2C"/>
    <w:rsid w:val="00036A8F"/>
    <w:rsid w:val="00036AE9"/>
    <w:rsid w:val="000370AC"/>
    <w:rsid w:val="0003730A"/>
    <w:rsid w:val="000373C3"/>
    <w:rsid w:val="000378D6"/>
    <w:rsid w:val="00037DF7"/>
    <w:rsid w:val="00037FCA"/>
    <w:rsid w:val="00040061"/>
    <w:rsid w:val="00040488"/>
    <w:rsid w:val="00040666"/>
    <w:rsid w:val="00040972"/>
    <w:rsid w:val="00040C8A"/>
    <w:rsid w:val="00040DED"/>
    <w:rsid w:val="00041349"/>
    <w:rsid w:val="0004136A"/>
    <w:rsid w:val="0004144A"/>
    <w:rsid w:val="00041C59"/>
    <w:rsid w:val="00041FC2"/>
    <w:rsid w:val="000425AC"/>
    <w:rsid w:val="000425B3"/>
    <w:rsid w:val="00042667"/>
    <w:rsid w:val="00042780"/>
    <w:rsid w:val="00042C36"/>
    <w:rsid w:val="00042FAC"/>
    <w:rsid w:val="0004310E"/>
    <w:rsid w:val="00043331"/>
    <w:rsid w:val="00043354"/>
    <w:rsid w:val="0004341A"/>
    <w:rsid w:val="00043465"/>
    <w:rsid w:val="0004386A"/>
    <w:rsid w:val="00043F93"/>
    <w:rsid w:val="00044199"/>
    <w:rsid w:val="0004450D"/>
    <w:rsid w:val="00044C0E"/>
    <w:rsid w:val="00044C39"/>
    <w:rsid w:val="00044DAF"/>
    <w:rsid w:val="00044F25"/>
    <w:rsid w:val="00044F9A"/>
    <w:rsid w:val="00045099"/>
    <w:rsid w:val="00045100"/>
    <w:rsid w:val="0004519B"/>
    <w:rsid w:val="000451CC"/>
    <w:rsid w:val="00045496"/>
    <w:rsid w:val="000454F4"/>
    <w:rsid w:val="00045752"/>
    <w:rsid w:val="00045824"/>
    <w:rsid w:val="000458BF"/>
    <w:rsid w:val="00045E49"/>
    <w:rsid w:val="00045ECC"/>
    <w:rsid w:val="00046238"/>
    <w:rsid w:val="000463B6"/>
    <w:rsid w:val="000465FB"/>
    <w:rsid w:val="00046B58"/>
    <w:rsid w:val="00046B85"/>
    <w:rsid w:val="00046DC9"/>
    <w:rsid w:val="00046F0F"/>
    <w:rsid w:val="000472C4"/>
    <w:rsid w:val="0004741B"/>
    <w:rsid w:val="00047780"/>
    <w:rsid w:val="00047ABD"/>
    <w:rsid w:val="00047BA6"/>
    <w:rsid w:val="00047C2A"/>
    <w:rsid w:val="00047EBD"/>
    <w:rsid w:val="00047EDF"/>
    <w:rsid w:val="00050376"/>
    <w:rsid w:val="0005043A"/>
    <w:rsid w:val="00050462"/>
    <w:rsid w:val="00050618"/>
    <w:rsid w:val="00050F5B"/>
    <w:rsid w:val="00050FB2"/>
    <w:rsid w:val="000510E9"/>
    <w:rsid w:val="000512D3"/>
    <w:rsid w:val="00051317"/>
    <w:rsid w:val="00051641"/>
    <w:rsid w:val="000516A1"/>
    <w:rsid w:val="0005191C"/>
    <w:rsid w:val="00051D8D"/>
    <w:rsid w:val="00051EC9"/>
    <w:rsid w:val="00051EE5"/>
    <w:rsid w:val="00052007"/>
    <w:rsid w:val="000521AA"/>
    <w:rsid w:val="00052335"/>
    <w:rsid w:val="000529D2"/>
    <w:rsid w:val="00052A8F"/>
    <w:rsid w:val="00052B0E"/>
    <w:rsid w:val="00052DE8"/>
    <w:rsid w:val="00053135"/>
    <w:rsid w:val="00053385"/>
    <w:rsid w:val="00053547"/>
    <w:rsid w:val="000535B2"/>
    <w:rsid w:val="00053675"/>
    <w:rsid w:val="000536F6"/>
    <w:rsid w:val="00053730"/>
    <w:rsid w:val="0005381B"/>
    <w:rsid w:val="000539AF"/>
    <w:rsid w:val="00053BDF"/>
    <w:rsid w:val="00053F2C"/>
    <w:rsid w:val="00053FA1"/>
    <w:rsid w:val="000541B1"/>
    <w:rsid w:val="00054AC5"/>
    <w:rsid w:val="00054B0C"/>
    <w:rsid w:val="00054E99"/>
    <w:rsid w:val="00054FFA"/>
    <w:rsid w:val="0005504E"/>
    <w:rsid w:val="00055572"/>
    <w:rsid w:val="000557FF"/>
    <w:rsid w:val="00055D79"/>
    <w:rsid w:val="00055D85"/>
    <w:rsid w:val="00055EBC"/>
    <w:rsid w:val="00056377"/>
    <w:rsid w:val="00056784"/>
    <w:rsid w:val="00056A15"/>
    <w:rsid w:val="00056AA0"/>
    <w:rsid w:val="00056CF9"/>
    <w:rsid w:val="00056D6E"/>
    <w:rsid w:val="00056EFD"/>
    <w:rsid w:val="0005705B"/>
    <w:rsid w:val="00057136"/>
    <w:rsid w:val="00057166"/>
    <w:rsid w:val="000574BF"/>
    <w:rsid w:val="000577AD"/>
    <w:rsid w:val="00057872"/>
    <w:rsid w:val="00057ACD"/>
    <w:rsid w:val="00057C37"/>
    <w:rsid w:val="0006008C"/>
    <w:rsid w:val="000600F3"/>
    <w:rsid w:val="00060161"/>
    <w:rsid w:val="000603F8"/>
    <w:rsid w:val="00060456"/>
    <w:rsid w:val="00060458"/>
    <w:rsid w:val="00060507"/>
    <w:rsid w:val="00060535"/>
    <w:rsid w:val="0006068F"/>
    <w:rsid w:val="00060762"/>
    <w:rsid w:val="000608EB"/>
    <w:rsid w:val="00060BB6"/>
    <w:rsid w:val="00061045"/>
    <w:rsid w:val="0006105F"/>
    <w:rsid w:val="00061294"/>
    <w:rsid w:val="00061423"/>
    <w:rsid w:val="00061436"/>
    <w:rsid w:val="000615AD"/>
    <w:rsid w:val="0006171F"/>
    <w:rsid w:val="0006188A"/>
    <w:rsid w:val="000618E1"/>
    <w:rsid w:val="00061B26"/>
    <w:rsid w:val="00061C65"/>
    <w:rsid w:val="00062446"/>
    <w:rsid w:val="000626B4"/>
    <w:rsid w:val="000626FE"/>
    <w:rsid w:val="0006293E"/>
    <w:rsid w:val="00062C45"/>
    <w:rsid w:val="00062D7F"/>
    <w:rsid w:val="00062DE4"/>
    <w:rsid w:val="00062E20"/>
    <w:rsid w:val="00062EDC"/>
    <w:rsid w:val="000630E4"/>
    <w:rsid w:val="000633DD"/>
    <w:rsid w:val="000635B2"/>
    <w:rsid w:val="00063B10"/>
    <w:rsid w:val="00063B20"/>
    <w:rsid w:val="00063CA7"/>
    <w:rsid w:val="00063D7C"/>
    <w:rsid w:val="00063F65"/>
    <w:rsid w:val="0006401F"/>
    <w:rsid w:val="00064176"/>
    <w:rsid w:val="000643CD"/>
    <w:rsid w:val="000644CC"/>
    <w:rsid w:val="0006453A"/>
    <w:rsid w:val="00064598"/>
    <w:rsid w:val="000648BB"/>
    <w:rsid w:val="000649A9"/>
    <w:rsid w:val="00064BCF"/>
    <w:rsid w:val="00064D2B"/>
    <w:rsid w:val="0006536F"/>
    <w:rsid w:val="00065387"/>
    <w:rsid w:val="00065584"/>
    <w:rsid w:val="000655EF"/>
    <w:rsid w:val="00065A35"/>
    <w:rsid w:val="00065ACE"/>
    <w:rsid w:val="00065C4B"/>
    <w:rsid w:val="00065D2D"/>
    <w:rsid w:val="00065ED7"/>
    <w:rsid w:val="00066DB0"/>
    <w:rsid w:val="00067116"/>
    <w:rsid w:val="000671F1"/>
    <w:rsid w:val="0006744C"/>
    <w:rsid w:val="000678C6"/>
    <w:rsid w:val="0006799C"/>
    <w:rsid w:val="00067A8C"/>
    <w:rsid w:val="00067BFE"/>
    <w:rsid w:val="00067CD3"/>
    <w:rsid w:val="00067DC3"/>
    <w:rsid w:val="00067E60"/>
    <w:rsid w:val="00067EE1"/>
    <w:rsid w:val="00067F9D"/>
    <w:rsid w:val="00067FEB"/>
    <w:rsid w:val="00070244"/>
    <w:rsid w:val="00070698"/>
    <w:rsid w:val="000706A2"/>
    <w:rsid w:val="00070A7D"/>
    <w:rsid w:val="00070AB2"/>
    <w:rsid w:val="00070ACF"/>
    <w:rsid w:val="00070E42"/>
    <w:rsid w:val="00070F8C"/>
    <w:rsid w:val="000711D9"/>
    <w:rsid w:val="000715E3"/>
    <w:rsid w:val="00071888"/>
    <w:rsid w:val="00071A2B"/>
    <w:rsid w:val="00071D28"/>
    <w:rsid w:val="00071E23"/>
    <w:rsid w:val="00071E30"/>
    <w:rsid w:val="00071F12"/>
    <w:rsid w:val="00071F64"/>
    <w:rsid w:val="00071F7D"/>
    <w:rsid w:val="00072098"/>
    <w:rsid w:val="0007214F"/>
    <w:rsid w:val="000722A6"/>
    <w:rsid w:val="0007249B"/>
    <w:rsid w:val="000724FC"/>
    <w:rsid w:val="00072709"/>
    <w:rsid w:val="000727B8"/>
    <w:rsid w:val="00072844"/>
    <w:rsid w:val="00072D65"/>
    <w:rsid w:val="00072D80"/>
    <w:rsid w:val="00072D83"/>
    <w:rsid w:val="00072EA0"/>
    <w:rsid w:val="00072FA3"/>
    <w:rsid w:val="00072FFC"/>
    <w:rsid w:val="00073186"/>
    <w:rsid w:val="000738F2"/>
    <w:rsid w:val="00073D18"/>
    <w:rsid w:val="00073ED8"/>
    <w:rsid w:val="00073EF9"/>
    <w:rsid w:val="000743E0"/>
    <w:rsid w:val="00074873"/>
    <w:rsid w:val="00074ABB"/>
    <w:rsid w:val="00074DB1"/>
    <w:rsid w:val="0007556E"/>
    <w:rsid w:val="00075A13"/>
    <w:rsid w:val="0007622C"/>
    <w:rsid w:val="00076374"/>
    <w:rsid w:val="000766B5"/>
    <w:rsid w:val="00076781"/>
    <w:rsid w:val="0007683E"/>
    <w:rsid w:val="00076877"/>
    <w:rsid w:val="000769BB"/>
    <w:rsid w:val="00076ABE"/>
    <w:rsid w:val="00076D0D"/>
    <w:rsid w:val="00077043"/>
    <w:rsid w:val="00077317"/>
    <w:rsid w:val="00077745"/>
    <w:rsid w:val="00077D3A"/>
    <w:rsid w:val="00077EC6"/>
    <w:rsid w:val="0008005E"/>
    <w:rsid w:val="0008047F"/>
    <w:rsid w:val="00080515"/>
    <w:rsid w:val="00080779"/>
    <w:rsid w:val="000809CD"/>
    <w:rsid w:val="00080AB1"/>
    <w:rsid w:val="00080B10"/>
    <w:rsid w:val="00080B32"/>
    <w:rsid w:val="00080BBF"/>
    <w:rsid w:val="00080D72"/>
    <w:rsid w:val="00080E6D"/>
    <w:rsid w:val="00081133"/>
    <w:rsid w:val="0008119D"/>
    <w:rsid w:val="000811BB"/>
    <w:rsid w:val="00081686"/>
    <w:rsid w:val="0008173B"/>
    <w:rsid w:val="0008176C"/>
    <w:rsid w:val="000817BB"/>
    <w:rsid w:val="0008182B"/>
    <w:rsid w:val="000819A0"/>
    <w:rsid w:val="00081A25"/>
    <w:rsid w:val="00081AA5"/>
    <w:rsid w:val="00081B5F"/>
    <w:rsid w:val="000821B2"/>
    <w:rsid w:val="0008253D"/>
    <w:rsid w:val="000826E2"/>
    <w:rsid w:val="0008278E"/>
    <w:rsid w:val="0008285D"/>
    <w:rsid w:val="00082B20"/>
    <w:rsid w:val="00082F91"/>
    <w:rsid w:val="0008315F"/>
    <w:rsid w:val="0008328B"/>
    <w:rsid w:val="0008331A"/>
    <w:rsid w:val="00083943"/>
    <w:rsid w:val="00083E48"/>
    <w:rsid w:val="00084260"/>
    <w:rsid w:val="000847CF"/>
    <w:rsid w:val="00084BD9"/>
    <w:rsid w:val="00084DCE"/>
    <w:rsid w:val="00085566"/>
    <w:rsid w:val="000857DD"/>
    <w:rsid w:val="00085D22"/>
    <w:rsid w:val="00085EB7"/>
    <w:rsid w:val="00086583"/>
    <w:rsid w:val="000866E2"/>
    <w:rsid w:val="00086C88"/>
    <w:rsid w:val="00086D37"/>
    <w:rsid w:val="00086D59"/>
    <w:rsid w:val="00086DD0"/>
    <w:rsid w:val="00086E2A"/>
    <w:rsid w:val="00086E46"/>
    <w:rsid w:val="0008702F"/>
    <w:rsid w:val="0008710E"/>
    <w:rsid w:val="000875D8"/>
    <w:rsid w:val="000878C0"/>
    <w:rsid w:val="000878FC"/>
    <w:rsid w:val="00087918"/>
    <w:rsid w:val="0008791F"/>
    <w:rsid w:val="0009002C"/>
    <w:rsid w:val="00090104"/>
    <w:rsid w:val="0009017F"/>
    <w:rsid w:val="000907D6"/>
    <w:rsid w:val="0009082D"/>
    <w:rsid w:val="000909C2"/>
    <w:rsid w:val="00090BAE"/>
    <w:rsid w:val="00091082"/>
    <w:rsid w:val="000914BC"/>
    <w:rsid w:val="00091630"/>
    <w:rsid w:val="000916E2"/>
    <w:rsid w:val="00091831"/>
    <w:rsid w:val="00091D5A"/>
    <w:rsid w:val="00091D6A"/>
    <w:rsid w:val="00091E31"/>
    <w:rsid w:val="00091E61"/>
    <w:rsid w:val="00091F5E"/>
    <w:rsid w:val="0009246D"/>
    <w:rsid w:val="000926D4"/>
    <w:rsid w:val="00092753"/>
    <w:rsid w:val="000927FD"/>
    <w:rsid w:val="00092EEF"/>
    <w:rsid w:val="000933F9"/>
    <w:rsid w:val="000935E4"/>
    <w:rsid w:val="00093A10"/>
    <w:rsid w:val="00093AF2"/>
    <w:rsid w:val="00093B73"/>
    <w:rsid w:val="00093BF4"/>
    <w:rsid w:val="00093DC7"/>
    <w:rsid w:val="000943FF"/>
    <w:rsid w:val="000944D7"/>
    <w:rsid w:val="0009450D"/>
    <w:rsid w:val="0009455A"/>
    <w:rsid w:val="00094906"/>
    <w:rsid w:val="000949B8"/>
    <w:rsid w:val="00094A59"/>
    <w:rsid w:val="00094C17"/>
    <w:rsid w:val="00094E0C"/>
    <w:rsid w:val="000951C6"/>
    <w:rsid w:val="0009544E"/>
    <w:rsid w:val="0009549D"/>
    <w:rsid w:val="00095763"/>
    <w:rsid w:val="0009578D"/>
    <w:rsid w:val="00095911"/>
    <w:rsid w:val="00095A5E"/>
    <w:rsid w:val="00095ADA"/>
    <w:rsid w:val="00095DF2"/>
    <w:rsid w:val="00095E92"/>
    <w:rsid w:val="00096030"/>
    <w:rsid w:val="000962DC"/>
    <w:rsid w:val="00096333"/>
    <w:rsid w:val="00096507"/>
    <w:rsid w:val="000968E1"/>
    <w:rsid w:val="000969E7"/>
    <w:rsid w:val="00096AC3"/>
    <w:rsid w:val="00096B88"/>
    <w:rsid w:val="00096F10"/>
    <w:rsid w:val="0009722D"/>
    <w:rsid w:val="000972E1"/>
    <w:rsid w:val="000974D2"/>
    <w:rsid w:val="00097676"/>
    <w:rsid w:val="000976AF"/>
    <w:rsid w:val="000976EF"/>
    <w:rsid w:val="00097710"/>
    <w:rsid w:val="0009776F"/>
    <w:rsid w:val="0009780B"/>
    <w:rsid w:val="00097C7E"/>
    <w:rsid w:val="00097D00"/>
    <w:rsid w:val="000A0436"/>
    <w:rsid w:val="000A06E4"/>
    <w:rsid w:val="000A09FD"/>
    <w:rsid w:val="000A0C7B"/>
    <w:rsid w:val="000A0EB2"/>
    <w:rsid w:val="000A10FE"/>
    <w:rsid w:val="000A1537"/>
    <w:rsid w:val="000A1903"/>
    <w:rsid w:val="000A1C35"/>
    <w:rsid w:val="000A1E49"/>
    <w:rsid w:val="000A1F17"/>
    <w:rsid w:val="000A2205"/>
    <w:rsid w:val="000A24AB"/>
    <w:rsid w:val="000A2567"/>
    <w:rsid w:val="000A26D4"/>
    <w:rsid w:val="000A2947"/>
    <w:rsid w:val="000A2B26"/>
    <w:rsid w:val="000A2DE5"/>
    <w:rsid w:val="000A2E75"/>
    <w:rsid w:val="000A2F61"/>
    <w:rsid w:val="000A2F97"/>
    <w:rsid w:val="000A302A"/>
    <w:rsid w:val="000A3044"/>
    <w:rsid w:val="000A334D"/>
    <w:rsid w:val="000A37EF"/>
    <w:rsid w:val="000A38C7"/>
    <w:rsid w:val="000A3D3A"/>
    <w:rsid w:val="000A3DB6"/>
    <w:rsid w:val="000A3E75"/>
    <w:rsid w:val="000A3FB6"/>
    <w:rsid w:val="000A3FDB"/>
    <w:rsid w:val="000A4026"/>
    <w:rsid w:val="000A4484"/>
    <w:rsid w:val="000A4AC0"/>
    <w:rsid w:val="000A4DC6"/>
    <w:rsid w:val="000A4EF0"/>
    <w:rsid w:val="000A5031"/>
    <w:rsid w:val="000A5143"/>
    <w:rsid w:val="000A520F"/>
    <w:rsid w:val="000A5269"/>
    <w:rsid w:val="000A541C"/>
    <w:rsid w:val="000A54A8"/>
    <w:rsid w:val="000A5551"/>
    <w:rsid w:val="000A59F6"/>
    <w:rsid w:val="000A5B31"/>
    <w:rsid w:val="000A5C9D"/>
    <w:rsid w:val="000A5D76"/>
    <w:rsid w:val="000A5DC8"/>
    <w:rsid w:val="000A62D3"/>
    <w:rsid w:val="000A632D"/>
    <w:rsid w:val="000A6592"/>
    <w:rsid w:val="000A6824"/>
    <w:rsid w:val="000A682C"/>
    <w:rsid w:val="000A6832"/>
    <w:rsid w:val="000A6900"/>
    <w:rsid w:val="000A6941"/>
    <w:rsid w:val="000A6D2D"/>
    <w:rsid w:val="000A6E9E"/>
    <w:rsid w:val="000A70CB"/>
    <w:rsid w:val="000A7350"/>
    <w:rsid w:val="000A77BB"/>
    <w:rsid w:val="000A784A"/>
    <w:rsid w:val="000B0180"/>
    <w:rsid w:val="000B03CE"/>
    <w:rsid w:val="000B05D4"/>
    <w:rsid w:val="000B06B5"/>
    <w:rsid w:val="000B07B5"/>
    <w:rsid w:val="000B0821"/>
    <w:rsid w:val="000B08AF"/>
    <w:rsid w:val="000B09E7"/>
    <w:rsid w:val="000B0C16"/>
    <w:rsid w:val="000B0E08"/>
    <w:rsid w:val="000B0E93"/>
    <w:rsid w:val="000B0FAF"/>
    <w:rsid w:val="000B1124"/>
    <w:rsid w:val="000B1156"/>
    <w:rsid w:val="000B1420"/>
    <w:rsid w:val="000B1426"/>
    <w:rsid w:val="000B17D1"/>
    <w:rsid w:val="000B191C"/>
    <w:rsid w:val="000B1B00"/>
    <w:rsid w:val="000B1B43"/>
    <w:rsid w:val="000B1BDA"/>
    <w:rsid w:val="000B1D18"/>
    <w:rsid w:val="000B1D4A"/>
    <w:rsid w:val="000B1E6B"/>
    <w:rsid w:val="000B2020"/>
    <w:rsid w:val="000B215E"/>
    <w:rsid w:val="000B25A3"/>
    <w:rsid w:val="000B2B21"/>
    <w:rsid w:val="000B2BCD"/>
    <w:rsid w:val="000B3129"/>
    <w:rsid w:val="000B3249"/>
    <w:rsid w:val="000B37E5"/>
    <w:rsid w:val="000B37EF"/>
    <w:rsid w:val="000B3816"/>
    <w:rsid w:val="000B3A04"/>
    <w:rsid w:val="000B3AB1"/>
    <w:rsid w:val="000B3B6A"/>
    <w:rsid w:val="000B3EB2"/>
    <w:rsid w:val="000B3F27"/>
    <w:rsid w:val="000B4015"/>
    <w:rsid w:val="000B42A5"/>
    <w:rsid w:val="000B458D"/>
    <w:rsid w:val="000B470E"/>
    <w:rsid w:val="000B4876"/>
    <w:rsid w:val="000B4B8A"/>
    <w:rsid w:val="000B5340"/>
    <w:rsid w:val="000B53A9"/>
    <w:rsid w:val="000B57FD"/>
    <w:rsid w:val="000B583F"/>
    <w:rsid w:val="000B5AB2"/>
    <w:rsid w:val="000B5B4D"/>
    <w:rsid w:val="000B5F61"/>
    <w:rsid w:val="000B62C4"/>
    <w:rsid w:val="000B6753"/>
    <w:rsid w:val="000B6F3D"/>
    <w:rsid w:val="000B708A"/>
    <w:rsid w:val="000B728A"/>
    <w:rsid w:val="000B7330"/>
    <w:rsid w:val="000B75B1"/>
    <w:rsid w:val="000B77CB"/>
    <w:rsid w:val="000B789A"/>
    <w:rsid w:val="000B7A90"/>
    <w:rsid w:val="000B7BD1"/>
    <w:rsid w:val="000B7D0A"/>
    <w:rsid w:val="000B7FB0"/>
    <w:rsid w:val="000C0071"/>
    <w:rsid w:val="000C0653"/>
    <w:rsid w:val="000C0B23"/>
    <w:rsid w:val="000C0C0E"/>
    <w:rsid w:val="000C130B"/>
    <w:rsid w:val="000C1747"/>
    <w:rsid w:val="000C1900"/>
    <w:rsid w:val="000C196D"/>
    <w:rsid w:val="000C1A4A"/>
    <w:rsid w:val="000C22D2"/>
    <w:rsid w:val="000C2467"/>
    <w:rsid w:val="000C25DD"/>
    <w:rsid w:val="000C2ED2"/>
    <w:rsid w:val="000C3275"/>
    <w:rsid w:val="000C3366"/>
    <w:rsid w:val="000C3720"/>
    <w:rsid w:val="000C3B2B"/>
    <w:rsid w:val="000C3B69"/>
    <w:rsid w:val="000C3C4E"/>
    <w:rsid w:val="000C3E23"/>
    <w:rsid w:val="000C3EC7"/>
    <w:rsid w:val="000C418D"/>
    <w:rsid w:val="000C42DB"/>
    <w:rsid w:val="000C430F"/>
    <w:rsid w:val="000C46F6"/>
    <w:rsid w:val="000C4733"/>
    <w:rsid w:val="000C478D"/>
    <w:rsid w:val="000C4BDB"/>
    <w:rsid w:val="000C50B6"/>
    <w:rsid w:val="000C53CF"/>
    <w:rsid w:val="000C5455"/>
    <w:rsid w:val="000C54EF"/>
    <w:rsid w:val="000C55D4"/>
    <w:rsid w:val="000C56AA"/>
    <w:rsid w:val="000C57A1"/>
    <w:rsid w:val="000C5AFB"/>
    <w:rsid w:val="000C5BA0"/>
    <w:rsid w:val="000C5CC1"/>
    <w:rsid w:val="000C5CCE"/>
    <w:rsid w:val="000C5CD1"/>
    <w:rsid w:val="000C5D9A"/>
    <w:rsid w:val="000C6044"/>
    <w:rsid w:val="000C6114"/>
    <w:rsid w:val="000C645E"/>
    <w:rsid w:val="000C650E"/>
    <w:rsid w:val="000C6693"/>
    <w:rsid w:val="000C6896"/>
    <w:rsid w:val="000C6BA9"/>
    <w:rsid w:val="000C6C5C"/>
    <w:rsid w:val="000C6D3F"/>
    <w:rsid w:val="000C6DCD"/>
    <w:rsid w:val="000C6E9B"/>
    <w:rsid w:val="000C7153"/>
    <w:rsid w:val="000C7517"/>
    <w:rsid w:val="000C7908"/>
    <w:rsid w:val="000C7C9D"/>
    <w:rsid w:val="000C7D8C"/>
    <w:rsid w:val="000C7E4C"/>
    <w:rsid w:val="000C7EA0"/>
    <w:rsid w:val="000D00D4"/>
    <w:rsid w:val="000D01D8"/>
    <w:rsid w:val="000D02A4"/>
    <w:rsid w:val="000D05C1"/>
    <w:rsid w:val="000D0722"/>
    <w:rsid w:val="000D0A34"/>
    <w:rsid w:val="000D0F3D"/>
    <w:rsid w:val="000D1377"/>
    <w:rsid w:val="000D164A"/>
    <w:rsid w:val="000D1710"/>
    <w:rsid w:val="000D171C"/>
    <w:rsid w:val="000D17CE"/>
    <w:rsid w:val="000D19CA"/>
    <w:rsid w:val="000D1A66"/>
    <w:rsid w:val="000D1BA4"/>
    <w:rsid w:val="000D1F15"/>
    <w:rsid w:val="000D23EA"/>
    <w:rsid w:val="000D242B"/>
    <w:rsid w:val="000D2AF3"/>
    <w:rsid w:val="000D2C11"/>
    <w:rsid w:val="000D2E79"/>
    <w:rsid w:val="000D2F30"/>
    <w:rsid w:val="000D2F46"/>
    <w:rsid w:val="000D2F5E"/>
    <w:rsid w:val="000D30A8"/>
    <w:rsid w:val="000D3131"/>
    <w:rsid w:val="000D337C"/>
    <w:rsid w:val="000D339A"/>
    <w:rsid w:val="000D37C5"/>
    <w:rsid w:val="000D381A"/>
    <w:rsid w:val="000D3878"/>
    <w:rsid w:val="000D3BB8"/>
    <w:rsid w:val="000D3F7B"/>
    <w:rsid w:val="000D403E"/>
    <w:rsid w:val="000D411E"/>
    <w:rsid w:val="000D4123"/>
    <w:rsid w:val="000D451D"/>
    <w:rsid w:val="000D4977"/>
    <w:rsid w:val="000D4E24"/>
    <w:rsid w:val="000D53A6"/>
    <w:rsid w:val="000D5741"/>
    <w:rsid w:val="000D575F"/>
    <w:rsid w:val="000D5838"/>
    <w:rsid w:val="000D5D9F"/>
    <w:rsid w:val="000D5DE9"/>
    <w:rsid w:val="000D62D1"/>
    <w:rsid w:val="000D6542"/>
    <w:rsid w:val="000D667F"/>
    <w:rsid w:val="000D6ACB"/>
    <w:rsid w:val="000D6BAE"/>
    <w:rsid w:val="000D6C6C"/>
    <w:rsid w:val="000D733A"/>
    <w:rsid w:val="000D739C"/>
    <w:rsid w:val="000D74C2"/>
    <w:rsid w:val="000D7720"/>
    <w:rsid w:val="000D7A02"/>
    <w:rsid w:val="000D7AC7"/>
    <w:rsid w:val="000D7DF7"/>
    <w:rsid w:val="000D7EF6"/>
    <w:rsid w:val="000E038A"/>
    <w:rsid w:val="000E03DB"/>
    <w:rsid w:val="000E03F6"/>
    <w:rsid w:val="000E0501"/>
    <w:rsid w:val="000E0540"/>
    <w:rsid w:val="000E07C3"/>
    <w:rsid w:val="000E0CBA"/>
    <w:rsid w:val="000E0D5E"/>
    <w:rsid w:val="000E10D3"/>
    <w:rsid w:val="000E14CE"/>
    <w:rsid w:val="000E15C4"/>
    <w:rsid w:val="000E18B7"/>
    <w:rsid w:val="000E1A1E"/>
    <w:rsid w:val="000E1D5F"/>
    <w:rsid w:val="000E1E50"/>
    <w:rsid w:val="000E1E8D"/>
    <w:rsid w:val="000E1F4A"/>
    <w:rsid w:val="000E1F67"/>
    <w:rsid w:val="000E2099"/>
    <w:rsid w:val="000E20B4"/>
    <w:rsid w:val="000E20BB"/>
    <w:rsid w:val="000E2167"/>
    <w:rsid w:val="000E217D"/>
    <w:rsid w:val="000E22AA"/>
    <w:rsid w:val="000E2484"/>
    <w:rsid w:val="000E2B2E"/>
    <w:rsid w:val="000E2EC2"/>
    <w:rsid w:val="000E30E2"/>
    <w:rsid w:val="000E329B"/>
    <w:rsid w:val="000E33A0"/>
    <w:rsid w:val="000E3660"/>
    <w:rsid w:val="000E36BB"/>
    <w:rsid w:val="000E42BA"/>
    <w:rsid w:val="000E43F4"/>
    <w:rsid w:val="000E4412"/>
    <w:rsid w:val="000E44A6"/>
    <w:rsid w:val="000E4672"/>
    <w:rsid w:val="000E4B55"/>
    <w:rsid w:val="000E4EC9"/>
    <w:rsid w:val="000E5023"/>
    <w:rsid w:val="000E51C4"/>
    <w:rsid w:val="000E5212"/>
    <w:rsid w:val="000E53EA"/>
    <w:rsid w:val="000E56C1"/>
    <w:rsid w:val="000E56FF"/>
    <w:rsid w:val="000E599C"/>
    <w:rsid w:val="000E59E8"/>
    <w:rsid w:val="000E5D6A"/>
    <w:rsid w:val="000E5E85"/>
    <w:rsid w:val="000E6BFB"/>
    <w:rsid w:val="000E6CD8"/>
    <w:rsid w:val="000E6F18"/>
    <w:rsid w:val="000E7324"/>
    <w:rsid w:val="000E7436"/>
    <w:rsid w:val="000E74BC"/>
    <w:rsid w:val="000E7739"/>
    <w:rsid w:val="000E79DF"/>
    <w:rsid w:val="000E7A5F"/>
    <w:rsid w:val="000E7C06"/>
    <w:rsid w:val="000E7C9B"/>
    <w:rsid w:val="000E7E01"/>
    <w:rsid w:val="000F0265"/>
    <w:rsid w:val="000F0942"/>
    <w:rsid w:val="000F0AE3"/>
    <w:rsid w:val="000F0B48"/>
    <w:rsid w:val="000F104B"/>
    <w:rsid w:val="000F1460"/>
    <w:rsid w:val="000F14E5"/>
    <w:rsid w:val="000F1516"/>
    <w:rsid w:val="000F164C"/>
    <w:rsid w:val="000F1690"/>
    <w:rsid w:val="000F16DE"/>
    <w:rsid w:val="000F1708"/>
    <w:rsid w:val="000F1759"/>
    <w:rsid w:val="000F1A15"/>
    <w:rsid w:val="000F1A80"/>
    <w:rsid w:val="000F1DA4"/>
    <w:rsid w:val="000F1FCF"/>
    <w:rsid w:val="000F223C"/>
    <w:rsid w:val="000F22AE"/>
    <w:rsid w:val="000F2315"/>
    <w:rsid w:val="000F25BA"/>
    <w:rsid w:val="000F2B6F"/>
    <w:rsid w:val="000F2CC5"/>
    <w:rsid w:val="000F3023"/>
    <w:rsid w:val="000F305B"/>
    <w:rsid w:val="000F30B7"/>
    <w:rsid w:val="000F3330"/>
    <w:rsid w:val="000F3482"/>
    <w:rsid w:val="000F348D"/>
    <w:rsid w:val="000F3797"/>
    <w:rsid w:val="000F3BDD"/>
    <w:rsid w:val="000F3CDB"/>
    <w:rsid w:val="000F3D3C"/>
    <w:rsid w:val="000F3F57"/>
    <w:rsid w:val="000F412A"/>
    <w:rsid w:val="000F4445"/>
    <w:rsid w:val="000F44E8"/>
    <w:rsid w:val="000F4519"/>
    <w:rsid w:val="000F4608"/>
    <w:rsid w:val="000F4D90"/>
    <w:rsid w:val="000F4E56"/>
    <w:rsid w:val="000F4E5F"/>
    <w:rsid w:val="000F5096"/>
    <w:rsid w:val="000F54C8"/>
    <w:rsid w:val="000F5650"/>
    <w:rsid w:val="000F5756"/>
    <w:rsid w:val="000F5938"/>
    <w:rsid w:val="000F5981"/>
    <w:rsid w:val="000F5986"/>
    <w:rsid w:val="000F5DE9"/>
    <w:rsid w:val="000F5F17"/>
    <w:rsid w:val="000F5F99"/>
    <w:rsid w:val="000F5FEB"/>
    <w:rsid w:val="000F6367"/>
    <w:rsid w:val="000F652F"/>
    <w:rsid w:val="000F6668"/>
    <w:rsid w:val="000F6A00"/>
    <w:rsid w:val="000F6D32"/>
    <w:rsid w:val="000F6D76"/>
    <w:rsid w:val="000F76FD"/>
    <w:rsid w:val="000F775B"/>
    <w:rsid w:val="000F77F3"/>
    <w:rsid w:val="000F7D3E"/>
    <w:rsid w:val="000F7DAD"/>
    <w:rsid w:val="001000B7"/>
    <w:rsid w:val="001001A0"/>
    <w:rsid w:val="001002A9"/>
    <w:rsid w:val="00100374"/>
    <w:rsid w:val="001005E4"/>
    <w:rsid w:val="00100890"/>
    <w:rsid w:val="00100F53"/>
    <w:rsid w:val="00101934"/>
    <w:rsid w:val="00101C54"/>
    <w:rsid w:val="00101DFD"/>
    <w:rsid w:val="00101EAB"/>
    <w:rsid w:val="00101EC3"/>
    <w:rsid w:val="00101F6E"/>
    <w:rsid w:val="00102069"/>
    <w:rsid w:val="001020A5"/>
    <w:rsid w:val="00102162"/>
    <w:rsid w:val="00102235"/>
    <w:rsid w:val="0010232A"/>
    <w:rsid w:val="00102469"/>
    <w:rsid w:val="00102658"/>
    <w:rsid w:val="00102B0E"/>
    <w:rsid w:val="00102BFF"/>
    <w:rsid w:val="00103040"/>
    <w:rsid w:val="00103424"/>
    <w:rsid w:val="0010360F"/>
    <w:rsid w:val="0010369F"/>
    <w:rsid w:val="001036B1"/>
    <w:rsid w:val="001037B6"/>
    <w:rsid w:val="00103A27"/>
    <w:rsid w:val="00103EF9"/>
    <w:rsid w:val="00104316"/>
    <w:rsid w:val="0010483D"/>
    <w:rsid w:val="001048D7"/>
    <w:rsid w:val="001049B2"/>
    <w:rsid w:val="001049DF"/>
    <w:rsid w:val="00104ADA"/>
    <w:rsid w:val="00104C8F"/>
    <w:rsid w:val="00104CE2"/>
    <w:rsid w:val="00104E83"/>
    <w:rsid w:val="00104F42"/>
    <w:rsid w:val="00105575"/>
    <w:rsid w:val="001055F2"/>
    <w:rsid w:val="001056A9"/>
    <w:rsid w:val="00105B48"/>
    <w:rsid w:val="00105E2B"/>
    <w:rsid w:val="00105F5C"/>
    <w:rsid w:val="00105FE4"/>
    <w:rsid w:val="001063D8"/>
    <w:rsid w:val="001064C5"/>
    <w:rsid w:val="00106996"/>
    <w:rsid w:val="00106A0D"/>
    <w:rsid w:val="00106AE3"/>
    <w:rsid w:val="00106E00"/>
    <w:rsid w:val="00106F52"/>
    <w:rsid w:val="00106F7D"/>
    <w:rsid w:val="00107332"/>
    <w:rsid w:val="0010753D"/>
    <w:rsid w:val="001075FD"/>
    <w:rsid w:val="001079A1"/>
    <w:rsid w:val="001079AE"/>
    <w:rsid w:val="00107A36"/>
    <w:rsid w:val="00107CA9"/>
    <w:rsid w:val="001104E8"/>
    <w:rsid w:val="001105D7"/>
    <w:rsid w:val="001105E0"/>
    <w:rsid w:val="001105F9"/>
    <w:rsid w:val="00110A66"/>
    <w:rsid w:val="00110D9D"/>
    <w:rsid w:val="00110E79"/>
    <w:rsid w:val="00110F34"/>
    <w:rsid w:val="001110BF"/>
    <w:rsid w:val="00111377"/>
    <w:rsid w:val="001113B9"/>
    <w:rsid w:val="0011161E"/>
    <w:rsid w:val="00111864"/>
    <w:rsid w:val="00111C42"/>
    <w:rsid w:val="00111C47"/>
    <w:rsid w:val="00111F74"/>
    <w:rsid w:val="001121D3"/>
    <w:rsid w:val="001124BB"/>
    <w:rsid w:val="001124DA"/>
    <w:rsid w:val="0011265F"/>
    <w:rsid w:val="001126CE"/>
    <w:rsid w:val="00112981"/>
    <w:rsid w:val="00112B3C"/>
    <w:rsid w:val="001131F1"/>
    <w:rsid w:val="001132A2"/>
    <w:rsid w:val="001132EA"/>
    <w:rsid w:val="0011350B"/>
    <w:rsid w:val="00113BAC"/>
    <w:rsid w:val="00113C3F"/>
    <w:rsid w:val="00113CE8"/>
    <w:rsid w:val="00113E65"/>
    <w:rsid w:val="0011428E"/>
    <w:rsid w:val="001143FF"/>
    <w:rsid w:val="0011475E"/>
    <w:rsid w:val="0011487F"/>
    <w:rsid w:val="00114A56"/>
    <w:rsid w:val="00114AA0"/>
    <w:rsid w:val="00114B21"/>
    <w:rsid w:val="00114B7C"/>
    <w:rsid w:val="00114C32"/>
    <w:rsid w:val="00114DDD"/>
    <w:rsid w:val="00114E45"/>
    <w:rsid w:val="00114EDB"/>
    <w:rsid w:val="00114F3A"/>
    <w:rsid w:val="00115022"/>
    <w:rsid w:val="00115329"/>
    <w:rsid w:val="001153A1"/>
    <w:rsid w:val="00115547"/>
    <w:rsid w:val="001155BD"/>
    <w:rsid w:val="00115626"/>
    <w:rsid w:val="00115931"/>
    <w:rsid w:val="00115AB8"/>
    <w:rsid w:val="00115B84"/>
    <w:rsid w:val="00115CB0"/>
    <w:rsid w:val="00116009"/>
    <w:rsid w:val="00116114"/>
    <w:rsid w:val="001166AC"/>
    <w:rsid w:val="001167F8"/>
    <w:rsid w:val="00116812"/>
    <w:rsid w:val="00116A69"/>
    <w:rsid w:val="00116D43"/>
    <w:rsid w:val="00117460"/>
    <w:rsid w:val="00117705"/>
    <w:rsid w:val="00117AEA"/>
    <w:rsid w:val="00117B3B"/>
    <w:rsid w:val="00117CAD"/>
    <w:rsid w:val="00117E12"/>
    <w:rsid w:val="00117F0E"/>
    <w:rsid w:val="0012006B"/>
    <w:rsid w:val="001200D2"/>
    <w:rsid w:val="00120165"/>
    <w:rsid w:val="00120239"/>
    <w:rsid w:val="001209DF"/>
    <w:rsid w:val="00120C44"/>
    <w:rsid w:val="00120CE5"/>
    <w:rsid w:val="0012100E"/>
    <w:rsid w:val="001210DC"/>
    <w:rsid w:val="001211CF"/>
    <w:rsid w:val="001212B4"/>
    <w:rsid w:val="0012154F"/>
    <w:rsid w:val="00121F86"/>
    <w:rsid w:val="00122116"/>
    <w:rsid w:val="00122248"/>
    <w:rsid w:val="0012225A"/>
    <w:rsid w:val="0012230E"/>
    <w:rsid w:val="00122A0A"/>
    <w:rsid w:val="00122C7A"/>
    <w:rsid w:val="00122E90"/>
    <w:rsid w:val="00122F1D"/>
    <w:rsid w:val="0012325F"/>
    <w:rsid w:val="001232D6"/>
    <w:rsid w:val="001235CD"/>
    <w:rsid w:val="00123875"/>
    <w:rsid w:val="00123F61"/>
    <w:rsid w:val="00123FBF"/>
    <w:rsid w:val="00123FE3"/>
    <w:rsid w:val="0012407A"/>
    <w:rsid w:val="0012419C"/>
    <w:rsid w:val="0012464C"/>
    <w:rsid w:val="0012470A"/>
    <w:rsid w:val="00124B56"/>
    <w:rsid w:val="00124B64"/>
    <w:rsid w:val="001253BB"/>
    <w:rsid w:val="0012557A"/>
    <w:rsid w:val="001256DF"/>
    <w:rsid w:val="001257A5"/>
    <w:rsid w:val="00125A75"/>
    <w:rsid w:val="00126434"/>
    <w:rsid w:val="0012643F"/>
    <w:rsid w:val="001264AA"/>
    <w:rsid w:val="001265A0"/>
    <w:rsid w:val="0012664A"/>
    <w:rsid w:val="001267FE"/>
    <w:rsid w:val="001268D8"/>
    <w:rsid w:val="00126A42"/>
    <w:rsid w:val="00126C78"/>
    <w:rsid w:val="00126E5B"/>
    <w:rsid w:val="00127581"/>
    <w:rsid w:val="00127600"/>
    <w:rsid w:val="00127B8F"/>
    <w:rsid w:val="00127E05"/>
    <w:rsid w:val="00127F58"/>
    <w:rsid w:val="00127FB7"/>
    <w:rsid w:val="00127FD6"/>
    <w:rsid w:val="0013005A"/>
    <w:rsid w:val="0013048E"/>
    <w:rsid w:val="00130758"/>
    <w:rsid w:val="00130A76"/>
    <w:rsid w:val="00131047"/>
    <w:rsid w:val="00131085"/>
    <w:rsid w:val="00131196"/>
    <w:rsid w:val="001311A4"/>
    <w:rsid w:val="001311FC"/>
    <w:rsid w:val="0013149F"/>
    <w:rsid w:val="0013178D"/>
    <w:rsid w:val="001318FA"/>
    <w:rsid w:val="00131BB0"/>
    <w:rsid w:val="00131C59"/>
    <w:rsid w:val="001325B5"/>
    <w:rsid w:val="00132704"/>
    <w:rsid w:val="0013297F"/>
    <w:rsid w:val="00132B1D"/>
    <w:rsid w:val="00132BEA"/>
    <w:rsid w:val="00132D6B"/>
    <w:rsid w:val="00132D9D"/>
    <w:rsid w:val="00133164"/>
    <w:rsid w:val="0013319A"/>
    <w:rsid w:val="001333B7"/>
    <w:rsid w:val="001333E0"/>
    <w:rsid w:val="00133653"/>
    <w:rsid w:val="0013369D"/>
    <w:rsid w:val="00133E27"/>
    <w:rsid w:val="00133ED0"/>
    <w:rsid w:val="00134149"/>
    <w:rsid w:val="00134433"/>
    <w:rsid w:val="00134605"/>
    <w:rsid w:val="00134623"/>
    <w:rsid w:val="0013498B"/>
    <w:rsid w:val="00134D77"/>
    <w:rsid w:val="00134DDC"/>
    <w:rsid w:val="001352D8"/>
    <w:rsid w:val="00135315"/>
    <w:rsid w:val="0013532B"/>
    <w:rsid w:val="00135399"/>
    <w:rsid w:val="001353B8"/>
    <w:rsid w:val="00135533"/>
    <w:rsid w:val="001355C4"/>
    <w:rsid w:val="0013564A"/>
    <w:rsid w:val="001356C8"/>
    <w:rsid w:val="001359C3"/>
    <w:rsid w:val="00135A20"/>
    <w:rsid w:val="00135D9F"/>
    <w:rsid w:val="00135DFC"/>
    <w:rsid w:val="00135F12"/>
    <w:rsid w:val="00135F44"/>
    <w:rsid w:val="00136102"/>
    <w:rsid w:val="00136144"/>
    <w:rsid w:val="0013627B"/>
    <w:rsid w:val="001362AF"/>
    <w:rsid w:val="0013644E"/>
    <w:rsid w:val="0013650F"/>
    <w:rsid w:val="0013659A"/>
    <w:rsid w:val="00136731"/>
    <w:rsid w:val="0013685E"/>
    <w:rsid w:val="001368B4"/>
    <w:rsid w:val="0013693C"/>
    <w:rsid w:val="00136966"/>
    <w:rsid w:val="00136C56"/>
    <w:rsid w:val="00136C9E"/>
    <w:rsid w:val="0013719B"/>
    <w:rsid w:val="001373B3"/>
    <w:rsid w:val="0013743F"/>
    <w:rsid w:val="00137473"/>
    <w:rsid w:val="001375A1"/>
    <w:rsid w:val="001378C8"/>
    <w:rsid w:val="001378F5"/>
    <w:rsid w:val="00137F82"/>
    <w:rsid w:val="0014003E"/>
    <w:rsid w:val="001400CE"/>
    <w:rsid w:val="00140281"/>
    <w:rsid w:val="00140290"/>
    <w:rsid w:val="00140295"/>
    <w:rsid w:val="0014030C"/>
    <w:rsid w:val="001403E4"/>
    <w:rsid w:val="0014053E"/>
    <w:rsid w:val="00140555"/>
    <w:rsid w:val="001405DF"/>
    <w:rsid w:val="00140727"/>
    <w:rsid w:val="00140894"/>
    <w:rsid w:val="00140920"/>
    <w:rsid w:val="0014095A"/>
    <w:rsid w:val="00140B37"/>
    <w:rsid w:val="00140BF7"/>
    <w:rsid w:val="00140E2A"/>
    <w:rsid w:val="00140EB5"/>
    <w:rsid w:val="00141460"/>
    <w:rsid w:val="001416CB"/>
    <w:rsid w:val="001418F0"/>
    <w:rsid w:val="001419D0"/>
    <w:rsid w:val="00141B07"/>
    <w:rsid w:val="00141E1A"/>
    <w:rsid w:val="00141E67"/>
    <w:rsid w:val="00142084"/>
    <w:rsid w:val="001421F5"/>
    <w:rsid w:val="00142607"/>
    <w:rsid w:val="0014272F"/>
    <w:rsid w:val="001428A1"/>
    <w:rsid w:val="00142A84"/>
    <w:rsid w:val="00142B0B"/>
    <w:rsid w:val="00142C58"/>
    <w:rsid w:val="00142D4E"/>
    <w:rsid w:val="00142EBC"/>
    <w:rsid w:val="00142EBE"/>
    <w:rsid w:val="00143129"/>
    <w:rsid w:val="00143204"/>
    <w:rsid w:val="00143239"/>
    <w:rsid w:val="0014324F"/>
    <w:rsid w:val="001433EB"/>
    <w:rsid w:val="001434AC"/>
    <w:rsid w:val="0014352C"/>
    <w:rsid w:val="00143680"/>
    <w:rsid w:val="00143C53"/>
    <w:rsid w:val="00143EF3"/>
    <w:rsid w:val="00143F4D"/>
    <w:rsid w:val="001440AF"/>
    <w:rsid w:val="0014436C"/>
    <w:rsid w:val="0014440F"/>
    <w:rsid w:val="00144562"/>
    <w:rsid w:val="00144627"/>
    <w:rsid w:val="00144683"/>
    <w:rsid w:val="00144797"/>
    <w:rsid w:val="001447F5"/>
    <w:rsid w:val="001449EA"/>
    <w:rsid w:val="00144A9B"/>
    <w:rsid w:val="00144BB7"/>
    <w:rsid w:val="001450BC"/>
    <w:rsid w:val="00145315"/>
    <w:rsid w:val="00145545"/>
    <w:rsid w:val="00145A3E"/>
    <w:rsid w:val="00145C14"/>
    <w:rsid w:val="00145C9F"/>
    <w:rsid w:val="00146137"/>
    <w:rsid w:val="0014619A"/>
    <w:rsid w:val="001462A7"/>
    <w:rsid w:val="00146563"/>
    <w:rsid w:val="001469B3"/>
    <w:rsid w:val="00146B7F"/>
    <w:rsid w:val="00146C17"/>
    <w:rsid w:val="00146D95"/>
    <w:rsid w:val="00146EA1"/>
    <w:rsid w:val="00146F95"/>
    <w:rsid w:val="00147059"/>
    <w:rsid w:val="0014707D"/>
    <w:rsid w:val="00147279"/>
    <w:rsid w:val="00147447"/>
    <w:rsid w:val="001477EC"/>
    <w:rsid w:val="00147855"/>
    <w:rsid w:val="001479D8"/>
    <w:rsid w:val="00147B86"/>
    <w:rsid w:val="00147E57"/>
    <w:rsid w:val="00147EE8"/>
    <w:rsid w:val="00150025"/>
    <w:rsid w:val="001503F4"/>
    <w:rsid w:val="00150689"/>
    <w:rsid w:val="0015075C"/>
    <w:rsid w:val="001508B2"/>
    <w:rsid w:val="00150A73"/>
    <w:rsid w:val="00150BB0"/>
    <w:rsid w:val="00150BC8"/>
    <w:rsid w:val="00150D3C"/>
    <w:rsid w:val="00150F32"/>
    <w:rsid w:val="001510E5"/>
    <w:rsid w:val="0015119F"/>
    <w:rsid w:val="001511AA"/>
    <w:rsid w:val="001511F1"/>
    <w:rsid w:val="001512F7"/>
    <w:rsid w:val="001514D8"/>
    <w:rsid w:val="00151553"/>
    <w:rsid w:val="001516C6"/>
    <w:rsid w:val="001516E7"/>
    <w:rsid w:val="0015172A"/>
    <w:rsid w:val="00151CCC"/>
    <w:rsid w:val="00152295"/>
    <w:rsid w:val="00152425"/>
    <w:rsid w:val="001525C2"/>
    <w:rsid w:val="001527E9"/>
    <w:rsid w:val="00152853"/>
    <w:rsid w:val="00152C9B"/>
    <w:rsid w:val="00152D21"/>
    <w:rsid w:val="00152EAE"/>
    <w:rsid w:val="00152F1E"/>
    <w:rsid w:val="001532A0"/>
    <w:rsid w:val="0015358E"/>
    <w:rsid w:val="0015379A"/>
    <w:rsid w:val="0015394F"/>
    <w:rsid w:val="00153BBF"/>
    <w:rsid w:val="00153FC2"/>
    <w:rsid w:val="00154022"/>
    <w:rsid w:val="0015428B"/>
    <w:rsid w:val="00154787"/>
    <w:rsid w:val="00154849"/>
    <w:rsid w:val="00154987"/>
    <w:rsid w:val="00154B0C"/>
    <w:rsid w:val="001550B0"/>
    <w:rsid w:val="0015530E"/>
    <w:rsid w:val="0015542E"/>
    <w:rsid w:val="0015548C"/>
    <w:rsid w:val="00155614"/>
    <w:rsid w:val="00155877"/>
    <w:rsid w:val="001558E7"/>
    <w:rsid w:val="0015596B"/>
    <w:rsid w:val="00155B14"/>
    <w:rsid w:val="00155B18"/>
    <w:rsid w:val="00155BA4"/>
    <w:rsid w:val="00155D6F"/>
    <w:rsid w:val="00155FB3"/>
    <w:rsid w:val="001563EA"/>
    <w:rsid w:val="00156493"/>
    <w:rsid w:val="00156496"/>
    <w:rsid w:val="00156581"/>
    <w:rsid w:val="001565D0"/>
    <w:rsid w:val="00156711"/>
    <w:rsid w:val="001568E4"/>
    <w:rsid w:val="001569B2"/>
    <w:rsid w:val="00156C73"/>
    <w:rsid w:val="00156CFF"/>
    <w:rsid w:val="00156EFA"/>
    <w:rsid w:val="0015717A"/>
    <w:rsid w:val="001572EA"/>
    <w:rsid w:val="0015730F"/>
    <w:rsid w:val="00157332"/>
    <w:rsid w:val="001577A5"/>
    <w:rsid w:val="00157809"/>
    <w:rsid w:val="00157867"/>
    <w:rsid w:val="001579F1"/>
    <w:rsid w:val="00157A0F"/>
    <w:rsid w:val="00157D03"/>
    <w:rsid w:val="00157D9C"/>
    <w:rsid w:val="00157E49"/>
    <w:rsid w:val="00160330"/>
    <w:rsid w:val="001603DD"/>
    <w:rsid w:val="00160475"/>
    <w:rsid w:val="00160811"/>
    <w:rsid w:val="00160CE7"/>
    <w:rsid w:val="00160D75"/>
    <w:rsid w:val="00160F57"/>
    <w:rsid w:val="00161261"/>
    <w:rsid w:val="00161413"/>
    <w:rsid w:val="001617F0"/>
    <w:rsid w:val="00161989"/>
    <w:rsid w:val="00161A83"/>
    <w:rsid w:val="00161A8D"/>
    <w:rsid w:val="00161E2C"/>
    <w:rsid w:val="00161F0E"/>
    <w:rsid w:val="00161F9D"/>
    <w:rsid w:val="00162046"/>
    <w:rsid w:val="00162237"/>
    <w:rsid w:val="001622FD"/>
    <w:rsid w:val="001623EB"/>
    <w:rsid w:val="001628E6"/>
    <w:rsid w:val="00162988"/>
    <w:rsid w:val="00162C4B"/>
    <w:rsid w:val="00162FA4"/>
    <w:rsid w:val="00163097"/>
    <w:rsid w:val="0016327C"/>
    <w:rsid w:val="00163529"/>
    <w:rsid w:val="00163594"/>
    <w:rsid w:val="0016373D"/>
    <w:rsid w:val="001638AF"/>
    <w:rsid w:val="001639FB"/>
    <w:rsid w:val="00163A4A"/>
    <w:rsid w:val="00164004"/>
    <w:rsid w:val="0016424F"/>
    <w:rsid w:val="0016461F"/>
    <w:rsid w:val="00164654"/>
    <w:rsid w:val="001647E4"/>
    <w:rsid w:val="00164B90"/>
    <w:rsid w:val="00164C36"/>
    <w:rsid w:val="00164CB5"/>
    <w:rsid w:val="001650D9"/>
    <w:rsid w:val="001653E8"/>
    <w:rsid w:val="00165412"/>
    <w:rsid w:val="0016549F"/>
    <w:rsid w:val="001654F5"/>
    <w:rsid w:val="001656E9"/>
    <w:rsid w:val="00165964"/>
    <w:rsid w:val="00165A4F"/>
    <w:rsid w:val="00165A8F"/>
    <w:rsid w:val="00165AD3"/>
    <w:rsid w:val="00165B97"/>
    <w:rsid w:val="00165D16"/>
    <w:rsid w:val="00165D6F"/>
    <w:rsid w:val="00165DB5"/>
    <w:rsid w:val="00165E52"/>
    <w:rsid w:val="001662DF"/>
    <w:rsid w:val="0016645E"/>
    <w:rsid w:val="00166619"/>
    <w:rsid w:val="00166831"/>
    <w:rsid w:val="00166BE2"/>
    <w:rsid w:val="00166D71"/>
    <w:rsid w:val="001670F1"/>
    <w:rsid w:val="00167286"/>
    <w:rsid w:val="001674DF"/>
    <w:rsid w:val="00167D02"/>
    <w:rsid w:val="00167D84"/>
    <w:rsid w:val="00170055"/>
    <w:rsid w:val="001704DC"/>
    <w:rsid w:val="00170555"/>
    <w:rsid w:val="001706E1"/>
    <w:rsid w:val="00170748"/>
    <w:rsid w:val="001707B3"/>
    <w:rsid w:val="0017086E"/>
    <w:rsid w:val="001711D4"/>
    <w:rsid w:val="00171701"/>
    <w:rsid w:val="00171968"/>
    <w:rsid w:val="00171B18"/>
    <w:rsid w:val="00171D3F"/>
    <w:rsid w:val="00171F36"/>
    <w:rsid w:val="00171FB3"/>
    <w:rsid w:val="00171FC5"/>
    <w:rsid w:val="0017225F"/>
    <w:rsid w:val="0017235A"/>
    <w:rsid w:val="0017242B"/>
    <w:rsid w:val="00172BF2"/>
    <w:rsid w:val="00172D3C"/>
    <w:rsid w:val="00172D49"/>
    <w:rsid w:val="00172DB6"/>
    <w:rsid w:val="0017301B"/>
    <w:rsid w:val="001730C9"/>
    <w:rsid w:val="00173112"/>
    <w:rsid w:val="00173144"/>
    <w:rsid w:val="00173303"/>
    <w:rsid w:val="00173399"/>
    <w:rsid w:val="00173645"/>
    <w:rsid w:val="00173663"/>
    <w:rsid w:val="001740F1"/>
    <w:rsid w:val="00174358"/>
    <w:rsid w:val="0017470C"/>
    <w:rsid w:val="0017480D"/>
    <w:rsid w:val="0017490B"/>
    <w:rsid w:val="00174BF9"/>
    <w:rsid w:val="0017553B"/>
    <w:rsid w:val="001756F5"/>
    <w:rsid w:val="00175C91"/>
    <w:rsid w:val="00175F18"/>
    <w:rsid w:val="00176198"/>
    <w:rsid w:val="00176245"/>
    <w:rsid w:val="0017633A"/>
    <w:rsid w:val="001765D2"/>
    <w:rsid w:val="0017677A"/>
    <w:rsid w:val="0017686E"/>
    <w:rsid w:val="001769CE"/>
    <w:rsid w:val="00176A59"/>
    <w:rsid w:val="00176D04"/>
    <w:rsid w:val="00176D7A"/>
    <w:rsid w:val="00176DF3"/>
    <w:rsid w:val="00176FDA"/>
    <w:rsid w:val="00177151"/>
    <w:rsid w:val="0017737B"/>
    <w:rsid w:val="001773C3"/>
    <w:rsid w:val="0017757C"/>
    <w:rsid w:val="00177807"/>
    <w:rsid w:val="00177911"/>
    <w:rsid w:val="00177C01"/>
    <w:rsid w:val="001800B5"/>
    <w:rsid w:val="00180152"/>
    <w:rsid w:val="0018025A"/>
    <w:rsid w:val="0018046B"/>
    <w:rsid w:val="0018049B"/>
    <w:rsid w:val="0018052B"/>
    <w:rsid w:val="00180621"/>
    <w:rsid w:val="001806B0"/>
    <w:rsid w:val="00180758"/>
    <w:rsid w:val="00180BD4"/>
    <w:rsid w:val="00180F50"/>
    <w:rsid w:val="00180FB7"/>
    <w:rsid w:val="001810AF"/>
    <w:rsid w:val="001811C5"/>
    <w:rsid w:val="00181615"/>
    <w:rsid w:val="00181BBC"/>
    <w:rsid w:val="00181F02"/>
    <w:rsid w:val="001821A9"/>
    <w:rsid w:val="0018222B"/>
    <w:rsid w:val="00182260"/>
    <w:rsid w:val="001824E5"/>
    <w:rsid w:val="0018276E"/>
    <w:rsid w:val="00182AD4"/>
    <w:rsid w:val="00182D35"/>
    <w:rsid w:val="001831E1"/>
    <w:rsid w:val="0018321A"/>
    <w:rsid w:val="0018338E"/>
    <w:rsid w:val="00183401"/>
    <w:rsid w:val="00183434"/>
    <w:rsid w:val="0018351D"/>
    <w:rsid w:val="00183530"/>
    <w:rsid w:val="00183A52"/>
    <w:rsid w:val="00183AA7"/>
    <w:rsid w:val="00183B5C"/>
    <w:rsid w:val="00184014"/>
    <w:rsid w:val="00184205"/>
    <w:rsid w:val="0018420D"/>
    <w:rsid w:val="00184446"/>
    <w:rsid w:val="00184499"/>
    <w:rsid w:val="00184592"/>
    <w:rsid w:val="00184609"/>
    <w:rsid w:val="00184738"/>
    <w:rsid w:val="0018475F"/>
    <w:rsid w:val="00184842"/>
    <w:rsid w:val="00184B7A"/>
    <w:rsid w:val="00184D49"/>
    <w:rsid w:val="00184F21"/>
    <w:rsid w:val="0018517D"/>
    <w:rsid w:val="0018522F"/>
    <w:rsid w:val="001852B1"/>
    <w:rsid w:val="001852FB"/>
    <w:rsid w:val="001854C0"/>
    <w:rsid w:val="001856F0"/>
    <w:rsid w:val="001857AA"/>
    <w:rsid w:val="001858DD"/>
    <w:rsid w:val="001859B6"/>
    <w:rsid w:val="00185C9A"/>
    <w:rsid w:val="00185DC4"/>
    <w:rsid w:val="00185EB1"/>
    <w:rsid w:val="0018638C"/>
    <w:rsid w:val="001868A2"/>
    <w:rsid w:val="00186976"/>
    <w:rsid w:val="00186B0D"/>
    <w:rsid w:val="00186CD2"/>
    <w:rsid w:val="00186F85"/>
    <w:rsid w:val="00186FD3"/>
    <w:rsid w:val="0018706C"/>
    <w:rsid w:val="00187110"/>
    <w:rsid w:val="001871A5"/>
    <w:rsid w:val="00187306"/>
    <w:rsid w:val="00187407"/>
    <w:rsid w:val="00187C61"/>
    <w:rsid w:val="001902B9"/>
    <w:rsid w:val="001902D0"/>
    <w:rsid w:val="001906B1"/>
    <w:rsid w:val="0019076C"/>
    <w:rsid w:val="0019085A"/>
    <w:rsid w:val="001908CC"/>
    <w:rsid w:val="00190F5B"/>
    <w:rsid w:val="0019101F"/>
    <w:rsid w:val="001910B0"/>
    <w:rsid w:val="0019152B"/>
    <w:rsid w:val="001915B6"/>
    <w:rsid w:val="001915C3"/>
    <w:rsid w:val="001916C7"/>
    <w:rsid w:val="001916F2"/>
    <w:rsid w:val="0019172F"/>
    <w:rsid w:val="001917E1"/>
    <w:rsid w:val="00191932"/>
    <w:rsid w:val="00191D93"/>
    <w:rsid w:val="00191F14"/>
    <w:rsid w:val="00191F23"/>
    <w:rsid w:val="001922A8"/>
    <w:rsid w:val="00192517"/>
    <w:rsid w:val="0019262B"/>
    <w:rsid w:val="0019286A"/>
    <w:rsid w:val="00192A31"/>
    <w:rsid w:val="00192AA7"/>
    <w:rsid w:val="00192CEA"/>
    <w:rsid w:val="00192E5C"/>
    <w:rsid w:val="00192F5D"/>
    <w:rsid w:val="00193577"/>
    <w:rsid w:val="001938AB"/>
    <w:rsid w:val="0019394F"/>
    <w:rsid w:val="001939E1"/>
    <w:rsid w:val="00193AC5"/>
    <w:rsid w:val="00193D34"/>
    <w:rsid w:val="00193F6E"/>
    <w:rsid w:val="00193F91"/>
    <w:rsid w:val="00193FCF"/>
    <w:rsid w:val="00194072"/>
    <w:rsid w:val="00194095"/>
    <w:rsid w:val="00194138"/>
    <w:rsid w:val="001943C2"/>
    <w:rsid w:val="0019478B"/>
    <w:rsid w:val="00194D6E"/>
    <w:rsid w:val="00195019"/>
    <w:rsid w:val="00195131"/>
    <w:rsid w:val="00195475"/>
    <w:rsid w:val="00195792"/>
    <w:rsid w:val="00195805"/>
    <w:rsid w:val="00195C36"/>
    <w:rsid w:val="00195C46"/>
    <w:rsid w:val="00195C86"/>
    <w:rsid w:val="00195F3F"/>
    <w:rsid w:val="00196001"/>
    <w:rsid w:val="00196021"/>
    <w:rsid w:val="0019602D"/>
    <w:rsid w:val="001960C2"/>
    <w:rsid w:val="001960F7"/>
    <w:rsid w:val="0019680C"/>
    <w:rsid w:val="00196881"/>
    <w:rsid w:val="00196A1B"/>
    <w:rsid w:val="00196EF0"/>
    <w:rsid w:val="0019709E"/>
    <w:rsid w:val="0019713D"/>
    <w:rsid w:val="0019746A"/>
    <w:rsid w:val="001978D3"/>
    <w:rsid w:val="001979FB"/>
    <w:rsid w:val="00197AD0"/>
    <w:rsid w:val="00197AE3"/>
    <w:rsid w:val="00197BBE"/>
    <w:rsid w:val="00197E9C"/>
    <w:rsid w:val="00197EF4"/>
    <w:rsid w:val="001A00DE"/>
    <w:rsid w:val="001A0296"/>
    <w:rsid w:val="001A048F"/>
    <w:rsid w:val="001A05C6"/>
    <w:rsid w:val="001A0754"/>
    <w:rsid w:val="001A0BFF"/>
    <w:rsid w:val="001A0CB1"/>
    <w:rsid w:val="001A0E12"/>
    <w:rsid w:val="001A0E1D"/>
    <w:rsid w:val="001A0EB0"/>
    <w:rsid w:val="001A1112"/>
    <w:rsid w:val="001A120B"/>
    <w:rsid w:val="001A131B"/>
    <w:rsid w:val="001A18F2"/>
    <w:rsid w:val="001A1BC9"/>
    <w:rsid w:val="001A1C07"/>
    <w:rsid w:val="001A1E0B"/>
    <w:rsid w:val="001A1E51"/>
    <w:rsid w:val="001A2089"/>
    <w:rsid w:val="001A21F3"/>
    <w:rsid w:val="001A246E"/>
    <w:rsid w:val="001A246F"/>
    <w:rsid w:val="001A28D0"/>
    <w:rsid w:val="001A28EC"/>
    <w:rsid w:val="001A2C5C"/>
    <w:rsid w:val="001A2C62"/>
    <w:rsid w:val="001A2D33"/>
    <w:rsid w:val="001A2E22"/>
    <w:rsid w:val="001A3177"/>
    <w:rsid w:val="001A3441"/>
    <w:rsid w:val="001A377A"/>
    <w:rsid w:val="001A382B"/>
    <w:rsid w:val="001A39D9"/>
    <w:rsid w:val="001A39EF"/>
    <w:rsid w:val="001A3DF8"/>
    <w:rsid w:val="001A4023"/>
    <w:rsid w:val="001A4030"/>
    <w:rsid w:val="001A412F"/>
    <w:rsid w:val="001A41BF"/>
    <w:rsid w:val="001A44E7"/>
    <w:rsid w:val="001A4547"/>
    <w:rsid w:val="001A4744"/>
    <w:rsid w:val="001A499D"/>
    <w:rsid w:val="001A49ED"/>
    <w:rsid w:val="001A4F4F"/>
    <w:rsid w:val="001A4F96"/>
    <w:rsid w:val="001A50FC"/>
    <w:rsid w:val="001A5203"/>
    <w:rsid w:val="001A57A5"/>
    <w:rsid w:val="001A5C18"/>
    <w:rsid w:val="001A5C5A"/>
    <w:rsid w:val="001A5CFF"/>
    <w:rsid w:val="001A5ED2"/>
    <w:rsid w:val="001A68AA"/>
    <w:rsid w:val="001A6A58"/>
    <w:rsid w:val="001A6A9E"/>
    <w:rsid w:val="001A6B20"/>
    <w:rsid w:val="001A6B91"/>
    <w:rsid w:val="001A6C16"/>
    <w:rsid w:val="001A6EF8"/>
    <w:rsid w:val="001A6FC8"/>
    <w:rsid w:val="001A70F3"/>
    <w:rsid w:val="001A7249"/>
    <w:rsid w:val="001A735C"/>
    <w:rsid w:val="001A74AF"/>
    <w:rsid w:val="001A763F"/>
    <w:rsid w:val="001A76D5"/>
    <w:rsid w:val="001A7809"/>
    <w:rsid w:val="001A7C78"/>
    <w:rsid w:val="001B0029"/>
    <w:rsid w:val="001B00A0"/>
    <w:rsid w:val="001B02BF"/>
    <w:rsid w:val="001B042A"/>
    <w:rsid w:val="001B0491"/>
    <w:rsid w:val="001B09E6"/>
    <w:rsid w:val="001B0A80"/>
    <w:rsid w:val="001B0BB6"/>
    <w:rsid w:val="001B0DB1"/>
    <w:rsid w:val="001B0E60"/>
    <w:rsid w:val="001B1053"/>
    <w:rsid w:val="001B10FC"/>
    <w:rsid w:val="001B11C0"/>
    <w:rsid w:val="001B1267"/>
    <w:rsid w:val="001B132A"/>
    <w:rsid w:val="001B1627"/>
    <w:rsid w:val="001B1782"/>
    <w:rsid w:val="001B1E0F"/>
    <w:rsid w:val="001B1E53"/>
    <w:rsid w:val="001B1F4B"/>
    <w:rsid w:val="001B2136"/>
    <w:rsid w:val="001B25B6"/>
    <w:rsid w:val="001B2875"/>
    <w:rsid w:val="001B2CD2"/>
    <w:rsid w:val="001B2F06"/>
    <w:rsid w:val="001B30D4"/>
    <w:rsid w:val="001B3106"/>
    <w:rsid w:val="001B318A"/>
    <w:rsid w:val="001B3501"/>
    <w:rsid w:val="001B3A8F"/>
    <w:rsid w:val="001B3AF8"/>
    <w:rsid w:val="001B3EA4"/>
    <w:rsid w:val="001B4269"/>
    <w:rsid w:val="001B47D4"/>
    <w:rsid w:val="001B49D2"/>
    <w:rsid w:val="001B51E4"/>
    <w:rsid w:val="001B5421"/>
    <w:rsid w:val="001B54BD"/>
    <w:rsid w:val="001B573C"/>
    <w:rsid w:val="001B57EC"/>
    <w:rsid w:val="001B59E4"/>
    <w:rsid w:val="001B5A03"/>
    <w:rsid w:val="001B5A1C"/>
    <w:rsid w:val="001B5AEB"/>
    <w:rsid w:val="001B5B47"/>
    <w:rsid w:val="001B5BB4"/>
    <w:rsid w:val="001B6009"/>
    <w:rsid w:val="001B6251"/>
    <w:rsid w:val="001B67C2"/>
    <w:rsid w:val="001B68FB"/>
    <w:rsid w:val="001B6BA9"/>
    <w:rsid w:val="001B6E66"/>
    <w:rsid w:val="001B71C0"/>
    <w:rsid w:val="001B72DA"/>
    <w:rsid w:val="001B7437"/>
    <w:rsid w:val="001B762D"/>
    <w:rsid w:val="001B7692"/>
    <w:rsid w:val="001B7834"/>
    <w:rsid w:val="001B7C3C"/>
    <w:rsid w:val="001B7D88"/>
    <w:rsid w:val="001C0063"/>
    <w:rsid w:val="001C0201"/>
    <w:rsid w:val="001C02A6"/>
    <w:rsid w:val="001C0448"/>
    <w:rsid w:val="001C0491"/>
    <w:rsid w:val="001C0568"/>
    <w:rsid w:val="001C05F3"/>
    <w:rsid w:val="001C0879"/>
    <w:rsid w:val="001C0B26"/>
    <w:rsid w:val="001C0CF2"/>
    <w:rsid w:val="001C0D22"/>
    <w:rsid w:val="001C0EB3"/>
    <w:rsid w:val="001C0EDB"/>
    <w:rsid w:val="001C125B"/>
    <w:rsid w:val="001C13CE"/>
    <w:rsid w:val="001C1628"/>
    <w:rsid w:val="001C168E"/>
    <w:rsid w:val="001C175B"/>
    <w:rsid w:val="001C19A6"/>
    <w:rsid w:val="001C1B5B"/>
    <w:rsid w:val="001C1D2A"/>
    <w:rsid w:val="001C1D4E"/>
    <w:rsid w:val="001C1ED0"/>
    <w:rsid w:val="001C1EF2"/>
    <w:rsid w:val="001C2088"/>
    <w:rsid w:val="001C20CB"/>
    <w:rsid w:val="001C2114"/>
    <w:rsid w:val="001C21C5"/>
    <w:rsid w:val="001C21C6"/>
    <w:rsid w:val="001C21D5"/>
    <w:rsid w:val="001C23BF"/>
    <w:rsid w:val="001C28D7"/>
    <w:rsid w:val="001C294E"/>
    <w:rsid w:val="001C2A60"/>
    <w:rsid w:val="001C2AD7"/>
    <w:rsid w:val="001C2B8D"/>
    <w:rsid w:val="001C3403"/>
    <w:rsid w:val="001C3426"/>
    <w:rsid w:val="001C34AB"/>
    <w:rsid w:val="001C34FC"/>
    <w:rsid w:val="001C35EC"/>
    <w:rsid w:val="001C3691"/>
    <w:rsid w:val="001C379C"/>
    <w:rsid w:val="001C39D4"/>
    <w:rsid w:val="001C39ED"/>
    <w:rsid w:val="001C3BD7"/>
    <w:rsid w:val="001C3CF9"/>
    <w:rsid w:val="001C3F80"/>
    <w:rsid w:val="001C42B0"/>
    <w:rsid w:val="001C42FA"/>
    <w:rsid w:val="001C4419"/>
    <w:rsid w:val="001C44D9"/>
    <w:rsid w:val="001C465F"/>
    <w:rsid w:val="001C47CB"/>
    <w:rsid w:val="001C488A"/>
    <w:rsid w:val="001C4A49"/>
    <w:rsid w:val="001C4B0D"/>
    <w:rsid w:val="001C4D83"/>
    <w:rsid w:val="001C51DE"/>
    <w:rsid w:val="001C53CB"/>
    <w:rsid w:val="001C5697"/>
    <w:rsid w:val="001C588E"/>
    <w:rsid w:val="001C5AD2"/>
    <w:rsid w:val="001C5F9E"/>
    <w:rsid w:val="001C6922"/>
    <w:rsid w:val="001C6A8E"/>
    <w:rsid w:val="001C6EB8"/>
    <w:rsid w:val="001C6F36"/>
    <w:rsid w:val="001C6FB6"/>
    <w:rsid w:val="001C717C"/>
    <w:rsid w:val="001C774E"/>
    <w:rsid w:val="001C7847"/>
    <w:rsid w:val="001C7986"/>
    <w:rsid w:val="001C7B43"/>
    <w:rsid w:val="001C7B60"/>
    <w:rsid w:val="001C7D53"/>
    <w:rsid w:val="001C7F52"/>
    <w:rsid w:val="001D018D"/>
    <w:rsid w:val="001D0250"/>
    <w:rsid w:val="001D04D1"/>
    <w:rsid w:val="001D07DB"/>
    <w:rsid w:val="001D083E"/>
    <w:rsid w:val="001D086E"/>
    <w:rsid w:val="001D0994"/>
    <w:rsid w:val="001D0BAB"/>
    <w:rsid w:val="001D0BE5"/>
    <w:rsid w:val="001D0E17"/>
    <w:rsid w:val="001D0FAA"/>
    <w:rsid w:val="001D1174"/>
    <w:rsid w:val="001D158E"/>
    <w:rsid w:val="001D1613"/>
    <w:rsid w:val="001D1697"/>
    <w:rsid w:val="001D16DA"/>
    <w:rsid w:val="001D17D7"/>
    <w:rsid w:val="001D1843"/>
    <w:rsid w:val="001D1B25"/>
    <w:rsid w:val="001D1BE8"/>
    <w:rsid w:val="001D1F64"/>
    <w:rsid w:val="001D22D0"/>
    <w:rsid w:val="001D247A"/>
    <w:rsid w:val="001D24B8"/>
    <w:rsid w:val="001D25D5"/>
    <w:rsid w:val="001D261C"/>
    <w:rsid w:val="001D2882"/>
    <w:rsid w:val="001D2892"/>
    <w:rsid w:val="001D2969"/>
    <w:rsid w:val="001D29CA"/>
    <w:rsid w:val="001D2A6F"/>
    <w:rsid w:val="001D2CD5"/>
    <w:rsid w:val="001D3425"/>
    <w:rsid w:val="001D34DF"/>
    <w:rsid w:val="001D3527"/>
    <w:rsid w:val="001D36C3"/>
    <w:rsid w:val="001D3A10"/>
    <w:rsid w:val="001D3B84"/>
    <w:rsid w:val="001D3C60"/>
    <w:rsid w:val="001D3D4A"/>
    <w:rsid w:val="001D3D78"/>
    <w:rsid w:val="001D3F20"/>
    <w:rsid w:val="001D3FD9"/>
    <w:rsid w:val="001D41BF"/>
    <w:rsid w:val="001D4464"/>
    <w:rsid w:val="001D44FA"/>
    <w:rsid w:val="001D465B"/>
    <w:rsid w:val="001D46B4"/>
    <w:rsid w:val="001D4D3C"/>
    <w:rsid w:val="001D5000"/>
    <w:rsid w:val="001D50EB"/>
    <w:rsid w:val="001D531F"/>
    <w:rsid w:val="001D5583"/>
    <w:rsid w:val="001D5668"/>
    <w:rsid w:val="001D571D"/>
    <w:rsid w:val="001D5A71"/>
    <w:rsid w:val="001D5CCE"/>
    <w:rsid w:val="001D5DA2"/>
    <w:rsid w:val="001D5E02"/>
    <w:rsid w:val="001D5E50"/>
    <w:rsid w:val="001D5FA4"/>
    <w:rsid w:val="001D61FC"/>
    <w:rsid w:val="001D63C7"/>
    <w:rsid w:val="001D6582"/>
    <w:rsid w:val="001D662F"/>
    <w:rsid w:val="001D66D4"/>
    <w:rsid w:val="001D6A55"/>
    <w:rsid w:val="001D6A67"/>
    <w:rsid w:val="001D7058"/>
    <w:rsid w:val="001D725B"/>
    <w:rsid w:val="001D742C"/>
    <w:rsid w:val="001D74DC"/>
    <w:rsid w:val="001D7B27"/>
    <w:rsid w:val="001D7BD4"/>
    <w:rsid w:val="001D7CB2"/>
    <w:rsid w:val="001D7DBB"/>
    <w:rsid w:val="001D7E1E"/>
    <w:rsid w:val="001D7E9B"/>
    <w:rsid w:val="001E0550"/>
    <w:rsid w:val="001E05AB"/>
    <w:rsid w:val="001E0A27"/>
    <w:rsid w:val="001E0C42"/>
    <w:rsid w:val="001E0C7F"/>
    <w:rsid w:val="001E112C"/>
    <w:rsid w:val="001E12A5"/>
    <w:rsid w:val="001E13EC"/>
    <w:rsid w:val="001E143F"/>
    <w:rsid w:val="001E152B"/>
    <w:rsid w:val="001E16AB"/>
    <w:rsid w:val="001E177D"/>
    <w:rsid w:val="001E184E"/>
    <w:rsid w:val="001E187C"/>
    <w:rsid w:val="001E1AB6"/>
    <w:rsid w:val="001E1CA9"/>
    <w:rsid w:val="001E1E28"/>
    <w:rsid w:val="001E1EEC"/>
    <w:rsid w:val="001E1FD3"/>
    <w:rsid w:val="001E204E"/>
    <w:rsid w:val="001E2814"/>
    <w:rsid w:val="001E2A12"/>
    <w:rsid w:val="001E2A42"/>
    <w:rsid w:val="001E323E"/>
    <w:rsid w:val="001E3265"/>
    <w:rsid w:val="001E3272"/>
    <w:rsid w:val="001E3A50"/>
    <w:rsid w:val="001E3CA1"/>
    <w:rsid w:val="001E3D0E"/>
    <w:rsid w:val="001E3EB3"/>
    <w:rsid w:val="001E43C6"/>
    <w:rsid w:val="001E45DB"/>
    <w:rsid w:val="001E47DD"/>
    <w:rsid w:val="001E48D7"/>
    <w:rsid w:val="001E49F7"/>
    <w:rsid w:val="001E4CBE"/>
    <w:rsid w:val="001E4E91"/>
    <w:rsid w:val="001E54D2"/>
    <w:rsid w:val="001E5512"/>
    <w:rsid w:val="001E5548"/>
    <w:rsid w:val="001E56EA"/>
    <w:rsid w:val="001E5984"/>
    <w:rsid w:val="001E5A3A"/>
    <w:rsid w:val="001E5A5E"/>
    <w:rsid w:val="001E5AD9"/>
    <w:rsid w:val="001E5AF8"/>
    <w:rsid w:val="001E60FC"/>
    <w:rsid w:val="001E64C2"/>
    <w:rsid w:val="001E650C"/>
    <w:rsid w:val="001E66FF"/>
    <w:rsid w:val="001E6A08"/>
    <w:rsid w:val="001E6AB6"/>
    <w:rsid w:val="001E6B97"/>
    <w:rsid w:val="001E7227"/>
    <w:rsid w:val="001E738A"/>
    <w:rsid w:val="001E73C6"/>
    <w:rsid w:val="001E73D5"/>
    <w:rsid w:val="001E755E"/>
    <w:rsid w:val="001E765D"/>
    <w:rsid w:val="001E78C4"/>
    <w:rsid w:val="001E7D2B"/>
    <w:rsid w:val="001F000B"/>
    <w:rsid w:val="001F02F2"/>
    <w:rsid w:val="001F0342"/>
    <w:rsid w:val="001F087D"/>
    <w:rsid w:val="001F0A40"/>
    <w:rsid w:val="001F0F57"/>
    <w:rsid w:val="001F0F89"/>
    <w:rsid w:val="001F105B"/>
    <w:rsid w:val="001F115A"/>
    <w:rsid w:val="001F1258"/>
    <w:rsid w:val="001F134A"/>
    <w:rsid w:val="001F15FD"/>
    <w:rsid w:val="001F198C"/>
    <w:rsid w:val="001F1A2A"/>
    <w:rsid w:val="001F1D0D"/>
    <w:rsid w:val="001F1D2E"/>
    <w:rsid w:val="001F20C6"/>
    <w:rsid w:val="001F215F"/>
    <w:rsid w:val="001F2166"/>
    <w:rsid w:val="001F2453"/>
    <w:rsid w:val="001F26A6"/>
    <w:rsid w:val="001F2843"/>
    <w:rsid w:val="001F2D68"/>
    <w:rsid w:val="001F321A"/>
    <w:rsid w:val="001F346B"/>
    <w:rsid w:val="001F37FB"/>
    <w:rsid w:val="001F3A13"/>
    <w:rsid w:val="001F3BFD"/>
    <w:rsid w:val="001F3DED"/>
    <w:rsid w:val="001F40FE"/>
    <w:rsid w:val="001F42E4"/>
    <w:rsid w:val="001F4544"/>
    <w:rsid w:val="001F45FE"/>
    <w:rsid w:val="001F4966"/>
    <w:rsid w:val="001F4990"/>
    <w:rsid w:val="001F4B49"/>
    <w:rsid w:val="001F4BFF"/>
    <w:rsid w:val="001F4EA5"/>
    <w:rsid w:val="001F533B"/>
    <w:rsid w:val="001F536C"/>
    <w:rsid w:val="001F580D"/>
    <w:rsid w:val="001F5980"/>
    <w:rsid w:val="001F5A09"/>
    <w:rsid w:val="001F5B32"/>
    <w:rsid w:val="001F5B3C"/>
    <w:rsid w:val="001F5DFE"/>
    <w:rsid w:val="001F625C"/>
    <w:rsid w:val="001F64A2"/>
    <w:rsid w:val="001F6A1E"/>
    <w:rsid w:val="001F6A47"/>
    <w:rsid w:val="001F6AF9"/>
    <w:rsid w:val="001F6DFF"/>
    <w:rsid w:val="001F6F3C"/>
    <w:rsid w:val="001F6FDA"/>
    <w:rsid w:val="001F70DE"/>
    <w:rsid w:val="001F77A6"/>
    <w:rsid w:val="001F7D34"/>
    <w:rsid w:val="001F7D8C"/>
    <w:rsid w:val="00200026"/>
    <w:rsid w:val="0020002D"/>
    <w:rsid w:val="002000DC"/>
    <w:rsid w:val="002002DC"/>
    <w:rsid w:val="00200402"/>
    <w:rsid w:val="00200547"/>
    <w:rsid w:val="002006BE"/>
    <w:rsid w:val="0020076F"/>
    <w:rsid w:val="002008CC"/>
    <w:rsid w:val="002008F7"/>
    <w:rsid w:val="00200AC8"/>
    <w:rsid w:val="00200BAD"/>
    <w:rsid w:val="00200CB0"/>
    <w:rsid w:val="00200D4E"/>
    <w:rsid w:val="00201150"/>
    <w:rsid w:val="002012AC"/>
    <w:rsid w:val="0020144E"/>
    <w:rsid w:val="0020162F"/>
    <w:rsid w:val="00201641"/>
    <w:rsid w:val="00201825"/>
    <w:rsid w:val="00201879"/>
    <w:rsid w:val="00201B3F"/>
    <w:rsid w:val="00201B7D"/>
    <w:rsid w:val="00201BA5"/>
    <w:rsid w:val="00201CDC"/>
    <w:rsid w:val="00201E2A"/>
    <w:rsid w:val="00201F42"/>
    <w:rsid w:val="002021AD"/>
    <w:rsid w:val="002021BF"/>
    <w:rsid w:val="0020236A"/>
    <w:rsid w:val="00202492"/>
    <w:rsid w:val="002024DB"/>
    <w:rsid w:val="0020271A"/>
    <w:rsid w:val="0020299E"/>
    <w:rsid w:val="00202E32"/>
    <w:rsid w:val="00202F81"/>
    <w:rsid w:val="00203075"/>
    <w:rsid w:val="002035C2"/>
    <w:rsid w:val="002036CD"/>
    <w:rsid w:val="002036ED"/>
    <w:rsid w:val="0020372C"/>
    <w:rsid w:val="002039AC"/>
    <w:rsid w:val="00203EF0"/>
    <w:rsid w:val="00204056"/>
    <w:rsid w:val="002040A0"/>
    <w:rsid w:val="00204192"/>
    <w:rsid w:val="002041B8"/>
    <w:rsid w:val="00204B1F"/>
    <w:rsid w:val="00204C5F"/>
    <w:rsid w:val="00204EBA"/>
    <w:rsid w:val="00204F8A"/>
    <w:rsid w:val="00204FB7"/>
    <w:rsid w:val="00205299"/>
    <w:rsid w:val="002052C8"/>
    <w:rsid w:val="0020544D"/>
    <w:rsid w:val="002054F5"/>
    <w:rsid w:val="00205669"/>
    <w:rsid w:val="00205C67"/>
    <w:rsid w:val="002060FD"/>
    <w:rsid w:val="0020611E"/>
    <w:rsid w:val="00206154"/>
    <w:rsid w:val="002061D7"/>
    <w:rsid w:val="002061E1"/>
    <w:rsid w:val="002062D4"/>
    <w:rsid w:val="0020637A"/>
    <w:rsid w:val="00206419"/>
    <w:rsid w:val="00206455"/>
    <w:rsid w:val="0020658E"/>
    <w:rsid w:val="0020667C"/>
    <w:rsid w:val="00206698"/>
    <w:rsid w:val="0020679B"/>
    <w:rsid w:val="0020680A"/>
    <w:rsid w:val="00206880"/>
    <w:rsid w:val="002068CF"/>
    <w:rsid w:val="00206D88"/>
    <w:rsid w:val="00206FC0"/>
    <w:rsid w:val="00207116"/>
    <w:rsid w:val="00207344"/>
    <w:rsid w:val="00207557"/>
    <w:rsid w:val="00207880"/>
    <w:rsid w:val="00207A56"/>
    <w:rsid w:val="00207ACB"/>
    <w:rsid w:val="00207BF5"/>
    <w:rsid w:val="00207C95"/>
    <w:rsid w:val="00207FEB"/>
    <w:rsid w:val="0021010D"/>
    <w:rsid w:val="00210298"/>
    <w:rsid w:val="002102A6"/>
    <w:rsid w:val="0021041F"/>
    <w:rsid w:val="00210592"/>
    <w:rsid w:val="00210938"/>
    <w:rsid w:val="00210A08"/>
    <w:rsid w:val="00210B0A"/>
    <w:rsid w:val="00210DF3"/>
    <w:rsid w:val="00211178"/>
    <w:rsid w:val="00211452"/>
    <w:rsid w:val="00211513"/>
    <w:rsid w:val="00211628"/>
    <w:rsid w:val="00211AF8"/>
    <w:rsid w:val="00211C9F"/>
    <w:rsid w:val="00211D69"/>
    <w:rsid w:val="00211FB5"/>
    <w:rsid w:val="00212049"/>
    <w:rsid w:val="0021230B"/>
    <w:rsid w:val="00212800"/>
    <w:rsid w:val="00212A76"/>
    <w:rsid w:val="00212A83"/>
    <w:rsid w:val="00212E39"/>
    <w:rsid w:val="00212F24"/>
    <w:rsid w:val="00213095"/>
    <w:rsid w:val="0021322C"/>
    <w:rsid w:val="002134ED"/>
    <w:rsid w:val="0021360D"/>
    <w:rsid w:val="00213B73"/>
    <w:rsid w:val="00213BBB"/>
    <w:rsid w:val="00213C1B"/>
    <w:rsid w:val="00213E6B"/>
    <w:rsid w:val="00213FC2"/>
    <w:rsid w:val="00213FCE"/>
    <w:rsid w:val="00214188"/>
    <w:rsid w:val="00214734"/>
    <w:rsid w:val="00214837"/>
    <w:rsid w:val="00214AA5"/>
    <w:rsid w:val="00214D64"/>
    <w:rsid w:val="00214F03"/>
    <w:rsid w:val="00215056"/>
    <w:rsid w:val="00215275"/>
    <w:rsid w:val="0021558D"/>
    <w:rsid w:val="002158AA"/>
    <w:rsid w:val="002158BC"/>
    <w:rsid w:val="00215C9A"/>
    <w:rsid w:val="00215DF7"/>
    <w:rsid w:val="00215E17"/>
    <w:rsid w:val="00215E1D"/>
    <w:rsid w:val="00215F70"/>
    <w:rsid w:val="00215FD8"/>
    <w:rsid w:val="00216062"/>
    <w:rsid w:val="002164CB"/>
    <w:rsid w:val="002166ED"/>
    <w:rsid w:val="0021686A"/>
    <w:rsid w:val="0021691C"/>
    <w:rsid w:val="00216A07"/>
    <w:rsid w:val="00216D66"/>
    <w:rsid w:val="00216E8D"/>
    <w:rsid w:val="0021752B"/>
    <w:rsid w:val="0021756F"/>
    <w:rsid w:val="002175C3"/>
    <w:rsid w:val="002176DE"/>
    <w:rsid w:val="00217782"/>
    <w:rsid w:val="00217975"/>
    <w:rsid w:val="00217AEB"/>
    <w:rsid w:val="00217D8A"/>
    <w:rsid w:val="00217DA6"/>
    <w:rsid w:val="00217E47"/>
    <w:rsid w:val="00220108"/>
    <w:rsid w:val="002202C1"/>
    <w:rsid w:val="00220621"/>
    <w:rsid w:val="002206BF"/>
    <w:rsid w:val="0022073D"/>
    <w:rsid w:val="00220744"/>
    <w:rsid w:val="00220963"/>
    <w:rsid w:val="00220C8A"/>
    <w:rsid w:val="00220CBC"/>
    <w:rsid w:val="00220CEF"/>
    <w:rsid w:val="002212A5"/>
    <w:rsid w:val="00221A08"/>
    <w:rsid w:val="00221B50"/>
    <w:rsid w:val="00221CEF"/>
    <w:rsid w:val="00221D60"/>
    <w:rsid w:val="00221EAF"/>
    <w:rsid w:val="00221FCE"/>
    <w:rsid w:val="0022238E"/>
    <w:rsid w:val="002223D8"/>
    <w:rsid w:val="0022243B"/>
    <w:rsid w:val="00222519"/>
    <w:rsid w:val="002226A4"/>
    <w:rsid w:val="002226AF"/>
    <w:rsid w:val="00222858"/>
    <w:rsid w:val="002228CA"/>
    <w:rsid w:val="002229F8"/>
    <w:rsid w:val="00222A67"/>
    <w:rsid w:val="00222CCF"/>
    <w:rsid w:val="00222E4B"/>
    <w:rsid w:val="00222E88"/>
    <w:rsid w:val="00222EB8"/>
    <w:rsid w:val="00222EDB"/>
    <w:rsid w:val="002230A3"/>
    <w:rsid w:val="00223B37"/>
    <w:rsid w:val="00223BE0"/>
    <w:rsid w:val="00223C86"/>
    <w:rsid w:val="00223D0E"/>
    <w:rsid w:val="00223D95"/>
    <w:rsid w:val="00223E7C"/>
    <w:rsid w:val="002240AA"/>
    <w:rsid w:val="0022465A"/>
    <w:rsid w:val="00224802"/>
    <w:rsid w:val="0022499C"/>
    <w:rsid w:val="00224B91"/>
    <w:rsid w:val="00224BFF"/>
    <w:rsid w:val="00224C03"/>
    <w:rsid w:val="00224C17"/>
    <w:rsid w:val="00224CBE"/>
    <w:rsid w:val="00224D06"/>
    <w:rsid w:val="00224D15"/>
    <w:rsid w:val="00224DF0"/>
    <w:rsid w:val="00224DF2"/>
    <w:rsid w:val="00224F85"/>
    <w:rsid w:val="00225116"/>
    <w:rsid w:val="00225E70"/>
    <w:rsid w:val="002260C2"/>
    <w:rsid w:val="002261C9"/>
    <w:rsid w:val="002265DB"/>
    <w:rsid w:val="002266BD"/>
    <w:rsid w:val="002267C0"/>
    <w:rsid w:val="002268F3"/>
    <w:rsid w:val="002268F6"/>
    <w:rsid w:val="002269A5"/>
    <w:rsid w:val="002269C4"/>
    <w:rsid w:val="00226AE6"/>
    <w:rsid w:val="00226B1D"/>
    <w:rsid w:val="00226B78"/>
    <w:rsid w:val="00226D61"/>
    <w:rsid w:val="00227218"/>
    <w:rsid w:val="00227388"/>
    <w:rsid w:val="00227584"/>
    <w:rsid w:val="0022765C"/>
    <w:rsid w:val="0022772B"/>
    <w:rsid w:val="00227B5E"/>
    <w:rsid w:val="00227D1C"/>
    <w:rsid w:val="00227D87"/>
    <w:rsid w:val="00227F64"/>
    <w:rsid w:val="00230372"/>
    <w:rsid w:val="00230441"/>
    <w:rsid w:val="002304FE"/>
    <w:rsid w:val="0023054B"/>
    <w:rsid w:val="002305E4"/>
    <w:rsid w:val="00230696"/>
    <w:rsid w:val="002306CF"/>
    <w:rsid w:val="002306F7"/>
    <w:rsid w:val="0023078B"/>
    <w:rsid w:val="002308FE"/>
    <w:rsid w:val="00230CE0"/>
    <w:rsid w:val="00230DD3"/>
    <w:rsid w:val="00230F8D"/>
    <w:rsid w:val="00231323"/>
    <w:rsid w:val="00231701"/>
    <w:rsid w:val="002319DF"/>
    <w:rsid w:val="002319E0"/>
    <w:rsid w:val="00231B73"/>
    <w:rsid w:val="00231C42"/>
    <w:rsid w:val="00231C63"/>
    <w:rsid w:val="00231E02"/>
    <w:rsid w:val="0023207E"/>
    <w:rsid w:val="002322CC"/>
    <w:rsid w:val="00232725"/>
    <w:rsid w:val="0023284F"/>
    <w:rsid w:val="00232B2D"/>
    <w:rsid w:val="00233259"/>
    <w:rsid w:val="002334AB"/>
    <w:rsid w:val="00233D6D"/>
    <w:rsid w:val="00234004"/>
    <w:rsid w:val="00234077"/>
    <w:rsid w:val="0023422C"/>
    <w:rsid w:val="002342B4"/>
    <w:rsid w:val="0023469F"/>
    <w:rsid w:val="002346D5"/>
    <w:rsid w:val="002348B8"/>
    <w:rsid w:val="00234A76"/>
    <w:rsid w:val="00234D1E"/>
    <w:rsid w:val="00234E53"/>
    <w:rsid w:val="00234E5F"/>
    <w:rsid w:val="00234F11"/>
    <w:rsid w:val="00235009"/>
    <w:rsid w:val="002352C6"/>
    <w:rsid w:val="002352F0"/>
    <w:rsid w:val="002353D6"/>
    <w:rsid w:val="00235568"/>
    <w:rsid w:val="0023591A"/>
    <w:rsid w:val="00235B2D"/>
    <w:rsid w:val="00235D2A"/>
    <w:rsid w:val="00235D3C"/>
    <w:rsid w:val="00235EB1"/>
    <w:rsid w:val="00235FD0"/>
    <w:rsid w:val="0023604D"/>
    <w:rsid w:val="0023608B"/>
    <w:rsid w:val="00236247"/>
    <w:rsid w:val="0023640F"/>
    <w:rsid w:val="002364EF"/>
    <w:rsid w:val="002366EB"/>
    <w:rsid w:val="00236844"/>
    <w:rsid w:val="00236AD6"/>
    <w:rsid w:val="00236B86"/>
    <w:rsid w:val="00236BC3"/>
    <w:rsid w:val="00236EF2"/>
    <w:rsid w:val="00236EFE"/>
    <w:rsid w:val="002372CF"/>
    <w:rsid w:val="00237316"/>
    <w:rsid w:val="002374DC"/>
    <w:rsid w:val="00237502"/>
    <w:rsid w:val="0023764A"/>
    <w:rsid w:val="00237B01"/>
    <w:rsid w:val="00237B61"/>
    <w:rsid w:val="00240069"/>
    <w:rsid w:val="00240172"/>
    <w:rsid w:val="002404DF"/>
    <w:rsid w:val="00240727"/>
    <w:rsid w:val="002408DE"/>
    <w:rsid w:val="002408F5"/>
    <w:rsid w:val="00240960"/>
    <w:rsid w:val="00240B3D"/>
    <w:rsid w:val="00240F0C"/>
    <w:rsid w:val="002412EE"/>
    <w:rsid w:val="00241785"/>
    <w:rsid w:val="00241A3C"/>
    <w:rsid w:val="00241AB3"/>
    <w:rsid w:val="00241BCF"/>
    <w:rsid w:val="00241C2F"/>
    <w:rsid w:val="00241EB8"/>
    <w:rsid w:val="00241EEF"/>
    <w:rsid w:val="0024221D"/>
    <w:rsid w:val="00242226"/>
    <w:rsid w:val="002422E3"/>
    <w:rsid w:val="002423A4"/>
    <w:rsid w:val="00242630"/>
    <w:rsid w:val="00242657"/>
    <w:rsid w:val="002426F8"/>
    <w:rsid w:val="002427DA"/>
    <w:rsid w:val="00242B1A"/>
    <w:rsid w:val="00242B56"/>
    <w:rsid w:val="00242B81"/>
    <w:rsid w:val="00242E9B"/>
    <w:rsid w:val="00243299"/>
    <w:rsid w:val="002436CC"/>
    <w:rsid w:val="00243870"/>
    <w:rsid w:val="00243932"/>
    <w:rsid w:val="00243938"/>
    <w:rsid w:val="00243B1E"/>
    <w:rsid w:val="00243C47"/>
    <w:rsid w:val="00244295"/>
    <w:rsid w:val="002445F6"/>
    <w:rsid w:val="00244CC7"/>
    <w:rsid w:val="00244CE0"/>
    <w:rsid w:val="002450D6"/>
    <w:rsid w:val="0024545F"/>
    <w:rsid w:val="00245624"/>
    <w:rsid w:val="0024576F"/>
    <w:rsid w:val="0024580D"/>
    <w:rsid w:val="00245B50"/>
    <w:rsid w:val="00245D57"/>
    <w:rsid w:val="00245D6F"/>
    <w:rsid w:val="00245E77"/>
    <w:rsid w:val="00245FBE"/>
    <w:rsid w:val="00246015"/>
    <w:rsid w:val="00246072"/>
    <w:rsid w:val="0024658A"/>
    <w:rsid w:val="00246A4D"/>
    <w:rsid w:val="00246A86"/>
    <w:rsid w:val="00246D33"/>
    <w:rsid w:val="00246DA2"/>
    <w:rsid w:val="00246E28"/>
    <w:rsid w:val="00246F3F"/>
    <w:rsid w:val="00246FAC"/>
    <w:rsid w:val="0024719B"/>
    <w:rsid w:val="002471AD"/>
    <w:rsid w:val="002471AF"/>
    <w:rsid w:val="0024721F"/>
    <w:rsid w:val="00247AA4"/>
    <w:rsid w:val="00247B23"/>
    <w:rsid w:val="00250073"/>
    <w:rsid w:val="00250155"/>
    <w:rsid w:val="00250246"/>
    <w:rsid w:val="00250687"/>
    <w:rsid w:val="0025092B"/>
    <w:rsid w:val="00250BE3"/>
    <w:rsid w:val="00250D35"/>
    <w:rsid w:val="00250E05"/>
    <w:rsid w:val="00250EF2"/>
    <w:rsid w:val="002510E3"/>
    <w:rsid w:val="002513BA"/>
    <w:rsid w:val="00251481"/>
    <w:rsid w:val="00251556"/>
    <w:rsid w:val="0025183C"/>
    <w:rsid w:val="00251B65"/>
    <w:rsid w:val="00251C88"/>
    <w:rsid w:val="00251E72"/>
    <w:rsid w:val="00252315"/>
    <w:rsid w:val="002524DC"/>
    <w:rsid w:val="002527C5"/>
    <w:rsid w:val="002527DF"/>
    <w:rsid w:val="0025291E"/>
    <w:rsid w:val="00252B32"/>
    <w:rsid w:val="00252B3D"/>
    <w:rsid w:val="00252DA2"/>
    <w:rsid w:val="00253147"/>
    <w:rsid w:val="002531C1"/>
    <w:rsid w:val="00253523"/>
    <w:rsid w:val="0025371F"/>
    <w:rsid w:val="00253957"/>
    <w:rsid w:val="00253BA4"/>
    <w:rsid w:val="00253CEA"/>
    <w:rsid w:val="00253D24"/>
    <w:rsid w:val="00253E2D"/>
    <w:rsid w:val="00254151"/>
    <w:rsid w:val="00254308"/>
    <w:rsid w:val="00254508"/>
    <w:rsid w:val="002547D4"/>
    <w:rsid w:val="00254B8B"/>
    <w:rsid w:val="00254E22"/>
    <w:rsid w:val="0025570D"/>
    <w:rsid w:val="002559B6"/>
    <w:rsid w:val="00255A5C"/>
    <w:rsid w:val="00256229"/>
    <w:rsid w:val="00256260"/>
    <w:rsid w:val="00256604"/>
    <w:rsid w:val="00256851"/>
    <w:rsid w:val="00256897"/>
    <w:rsid w:val="002569C5"/>
    <w:rsid w:val="002570C5"/>
    <w:rsid w:val="00257301"/>
    <w:rsid w:val="00257392"/>
    <w:rsid w:val="00257500"/>
    <w:rsid w:val="00257637"/>
    <w:rsid w:val="00257912"/>
    <w:rsid w:val="00257AB4"/>
    <w:rsid w:val="00257B59"/>
    <w:rsid w:val="00257E41"/>
    <w:rsid w:val="00260075"/>
    <w:rsid w:val="00260127"/>
    <w:rsid w:val="00260160"/>
    <w:rsid w:val="002602D8"/>
    <w:rsid w:val="002603CF"/>
    <w:rsid w:val="00260663"/>
    <w:rsid w:val="00260834"/>
    <w:rsid w:val="0026095F"/>
    <w:rsid w:val="00260AB3"/>
    <w:rsid w:val="00260FB1"/>
    <w:rsid w:val="002614F3"/>
    <w:rsid w:val="002615E2"/>
    <w:rsid w:val="00261F05"/>
    <w:rsid w:val="00261F59"/>
    <w:rsid w:val="002620B7"/>
    <w:rsid w:val="00262274"/>
    <w:rsid w:val="0026238A"/>
    <w:rsid w:val="00262480"/>
    <w:rsid w:val="002624AA"/>
    <w:rsid w:val="0026257A"/>
    <w:rsid w:val="002625B4"/>
    <w:rsid w:val="00262626"/>
    <w:rsid w:val="002626D7"/>
    <w:rsid w:val="002627C5"/>
    <w:rsid w:val="002629AC"/>
    <w:rsid w:val="00262A96"/>
    <w:rsid w:val="00262B61"/>
    <w:rsid w:val="00262DA8"/>
    <w:rsid w:val="00262DAB"/>
    <w:rsid w:val="0026313E"/>
    <w:rsid w:val="00263223"/>
    <w:rsid w:val="002633FC"/>
    <w:rsid w:val="0026351A"/>
    <w:rsid w:val="002636FF"/>
    <w:rsid w:val="00263DFB"/>
    <w:rsid w:val="00264C90"/>
    <w:rsid w:val="00264E96"/>
    <w:rsid w:val="00264ED6"/>
    <w:rsid w:val="002653A0"/>
    <w:rsid w:val="00265430"/>
    <w:rsid w:val="00265441"/>
    <w:rsid w:val="00265461"/>
    <w:rsid w:val="002656BE"/>
    <w:rsid w:val="002657FC"/>
    <w:rsid w:val="002658F1"/>
    <w:rsid w:val="002659D2"/>
    <w:rsid w:val="00265A95"/>
    <w:rsid w:val="00265B49"/>
    <w:rsid w:val="00265CCA"/>
    <w:rsid w:val="00265D35"/>
    <w:rsid w:val="00265D43"/>
    <w:rsid w:val="00266184"/>
    <w:rsid w:val="00266A6E"/>
    <w:rsid w:val="00266B6D"/>
    <w:rsid w:val="00266E87"/>
    <w:rsid w:val="0026718D"/>
    <w:rsid w:val="0026788F"/>
    <w:rsid w:val="00267EFE"/>
    <w:rsid w:val="00267F0B"/>
    <w:rsid w:val="00270428"/>
    <w:rsid w:val="002706A0"/>
    <w:rsid w:val="002707F1"/>
    <w:rsid w:val="0027094B"/>
    <w:rsid w:val="00270D0D"/>
    <w:rsid w:val="00270E34"/>
    <w:rsid w:val="00270FF3"/>
    <w:rsid w:val="002710C1"/>
    <w:rsid w:val="002712AE"/>
    <w:rsid w:val="0027130E"/>
    <w:rsid w:val="002713DB"/>
    <w:rsid w:val="0027159A"/>
    <w:rsid w:val="0027195A"/>
    <w:rsid w:val="00271BA1"/>
    <w:rsid w:val="00271E8A"/>
    <w:rsid w:val="00271E9E"/>
    <w:rsid w:val="00272341"/>
    <w:rsid w:val="00272426"/>
    <w:rsid w:val="002725FA"/>
    <w:rsid w:val="002727FE"/>
    <w:rsid w:val="002728D8"/>
    <w:rsid w:val="00272A20"/>
    <w:rsid w:val="00272DF4"/>
    <w:rsid w:val="0027315C"/>
    <w:rsid w:val="002731B0"/>
    <w:rsid w:val="002731ED"/>
    <w:rsid w:val="002733E9"/>
    <w:rsid w:val="00273557"/>
    <w:rsid w:val="00273653"/>
    <w:rsid w:val="00273812"/>
    <w:rsid w:val="002739C6"/>
    <w:rsid w:val="00273B2D"/>
    <w:rsid w:val="00273FA2"/>
    <w:rsid w:val="00274311"/>
    <w:rsid w:val="002743F7"/>
    <w:rsid w:val="002744B4"/>
    <w:rsid w:val="0027482E"/>
    <w:rsid w:val="002748F8"/>
    <w:rsid w:val="00274AE9"/>
    <w:rsid w:val="00274C84"/>
    <w:rsid w:val="00274E8D"/>
    <w:rsid w:val="0027517C"/>
    <w:rsid w:val="002751AF"/>
    <w:rsid w:val="0027520E"/>
    <w:rsid w:val="002755E0"/>
    <w:rsid w:val="002755F7"/>
    <w:rsid w:val="002757A0"/>
    <w:rsid w:val="00275903"/>
    <w:rsid w:val="00275C4D"/>
    <w:rsid w:val="00275E3D"/>
    <w:rsid w:val="0027627F"/>
    <w:rsid w:val="00276290"/>
    <w:rsid w:val="00276307"/>
    <w:rsid w:val="0027651C"/>
    <w:rsid w:val="002768BE"/>
    <w:rsid w:val="0027690F"/>
    <w:rsid w:val="0027695D"/>
    <w:rsid w:val="00276BDE"/>
    <w:rsid w:val="002774A5"/>
    <w:rsid w:val="002774A8"/>
    <w:rsid w:val="002775A3"/>
    <w:rsid w:val="00277652"/>
    <w:rsid w:val="0027778E"/>
    <w:rsid w:val="002777F1"/>
    <w:rsid w:val="0027790C"/>
    <w:rsid w:val="0027792C"/>
    <w:rsid w:val="00277ADA"/>
    <w:rsid w:val="00277BB6"/>
    <w:rsid w:val="00280467"/>
    <w:rsid w:val="002804B8"/>
    <w:rsid w:val="0028050C"/>
    <w:rsid w:val="00280511"/>
    <w:rsid w:val="0028051C"/>
    <w:rsid w:val="002806DB"/>
    <w:rsid w:val="00280798"/>
    <w:rsid w:val="00280E72"/>
    <w:rsid w:val="00280EAD"/>
    <w:rsid w:val="00281199"/>
    <w:rsid w:val="002813FB"/>
    <w:rsid w:val="002814F3"/>
    <w:rsid w:val="00281A10"/>
    <w:rsid w:val="00281A3B"/>
    <w:rsid w:val="00281EF8"/>
    <w:rsid w:val="0028217F"/>
    <w:rsid w:val="00282242"/>
    <w:rsid w:val="002822B8"/>
    <w:rsid w:val="00282563"/>
    <w:rsid w:val="00282938"/>
    <w:rsid w:val="002829FC"/>
    <w:rsid w:val="00282B62"/>
    <w:rsid w:val="00282BDC"/>
    <w:rsid w:val="00282C05"/>
    <w:rsid w:val="00282E0A"/>
    <w:rsid w:val="00282E3B"/>
    <w:rsid w:val="00282EBC"/>
    <w:rsid w:val="00283528"/>
    <w:rsid w:val="00283577"/>
    <w:rsid w:val="00283596"/>
    <w:rsid w:val="00283653"/>
    <w:rsid w:val="0028366A"/>
    <w:rsid w:val="002837E3"/>
    <w:rsid w:val="0028390A"/>
    <w:rsid w:val="00283B98"/>
    <w:rsid w:val="00283BE0"/>
    <w:rsid w:val="00283F2F"/>
    <w:rsid w:val="00283FF1"/>
    <w:rsid w:val="00283FFE"/>
    <w:rsid w:val="0028426D"/>
    <w:rsid w:val="0028438A"/>
    <w:rsid w:val="002845BE"/>
    <w:rsid w:val="00284C9E"/>
    <w:rsid w:val="00284E29"/>
    <w:rsid w:val="0028539D"/>
    <w:rsid w:val="00285882"/>
    <w:rsid w:val="00285C43"/>
    <w:rsid w:val="00285CFC"/>
    <w:rsid w:val="00285D8E"/>
    <w:rsid w:val="00285DA6"/>
    <w:rsid w:val="0028605F"/>
    <w:rsid w:val="002861B3"/>
    <w:rsid w:val="002861BB"/>
    <w:rsid w:val="0028660D"/>
    <w:rsid w:val="00286C4D"/>
    <w:rsid w:val="00286DBA"/>
    <w:rsid w:val="00286E0D"/>
    <w:rsid w:val="002870D7"/>
    <w:rsid w:val="00287233"/>
    <w:rsid w:val="00287276"/>
    <w:rsid w:val="00287431"/>
    <w:rsid w:val="00287534"/>
    <w:rsid w:val="00287649"/>
    <w:rsid w:val="0028786F"/>
    <w:rsid w:val="00287930"/>
    <w:rsid w:val="00287DD4"/>
    <w:rsid w:val="00287FE9"/>
    <w:rsid w:val="00290002"/>
    <w:rsid w:val="00290016"/>
    <w:rsid w:val="0029006B"/>
    <w:rsid w:val="002900C7"/>
    <w:rsid w:val="00290237"/>
    <w:rsid w:val="00290F09"/>
    <w:rsid w:val="00291197"/>
    <w:rsid w:val="00291255"/>
    <w:rsid w:val="00291529"/>
    <w:rsid w:val="002915C0"/>
    <w:rsid w:val="00291698"/>
    <w:rsid w:val="002919CF"/>
    <w:rsid w:val="00291B1F"/>
    <w:rsid w:val="00291CA2"/>
    <w:rsid w:val="00291E96"/>
    <w:rsid w:val="002920C6"/>
    <w:rsid w:val="00292114"/>
    <w:rsid w:val="00292280"/>
    <w:rsid w:val="002922C7"/>
    <w:rsid w:val="00292A25"/>
    <w:rsid w:val="00292BAA"/>
    <w:rsid w:val="00292DF4"/>
    <w:rsid w:val="00292FDA"/>
    <w:rsid w:val="002930CE"/>
    <w:rsid w:val="0029322D"/>
    <w:rsid w:val="002934EA"/>
    <w:rsid w:val="00293611"/>
    <w:rsid w:val="0029391C"/>
    <w:rsid w:val="00293C3F"/>
    <w:rsid w:val="00293C97"/>
    <w:rsid w:val="00293FF0"/>
    <w:rsid w:val="00294081"/>
    <w:rsid w:val="002940A8"/>
    <w:rsid w:val="0029423E"/>
    <w:rsid w:val="002943AC"/>
    <w:rsid w:val="00294960"/>
    <w:rsid w:val="00294B54"/>
    <w:rsid w:val="00294CAC"/>
    <w:rsid w:val="00294D4D"/>
    <w:rsid w:val="0029508D"/>
    <w:rsid w:val="00295A72"/>
    <w:rsid w:val="00295F55"/>
    <w:rsid w:val="00296039"/>
    <w:rsid w:val="002961FE"/>
    <w:rsid w:val="0029621B"/>
    <w:rsid w:val="0029669D"/>
    <w:rsid w:val="0029677D"/>
    <w:rsid w:val="00296966"/>
    <w:rsid w:val="002969E1"/>
    <w:rsid w:val="00296A25"/>
    <w:rsid w:val="00296ED9"/>
    <w:rsid w:val="00296F74"/>
    <w:rsid w:val="0029707F"/>
    <w:rsid w:val="0029735D"/>
    <w:rsid w:val="0029738E"/>
    <w:rsid w:val="002974AB"/>
    <w:rsid w:val="00297C16"/>
    <w:rsid w:val="00297E4F"/>
    <w:rsid w:val="00297FE2"/>
    <w:rsid w:val="002A0099"/>
    <w:rsid w:val="002A0451"/>
    <w:rsid w:val="002A051B"/>
    <w:rsid w:val="002A07F9"/>
    <w:rsid w:val="002A0864"/>
    <w:rsid w:val="002A0C76"/>
    <w:rsid w:val="002A0CCB"/>
    <w:rsid w:val="002A0D48"/>
    <w:rsid w:val="002A1107"/>
    <w:rsid w:val="002A11D1"/>
    <w:rsid w:val="002A178F"/>
    <w:rsid w:val="002A197D"/>
    <w:rsid w:val="002A1AB9"/>
    <w:rsid w:val="002A1B0D"/>
    <w:rsid w:val="002A1C27"/>
    <w:rsid w:val="002A1D16"/>
    <w:rsid w:val="002A217F"/>
    <w:rsid w:val="002A219F"/>
    <w:rsid w:val="002A21D5"/>
    <w:rsid w:val="002A2405"/>
    <w:rsid w:val="002A24F7"/>
    <w:rsid w:val="002A2895"/>
    <w:rsid w:val="002A289D"/>
    <w:rsid w:val="002A3067"/>
    <w:rsid w:val="002A31D7"/>
    <w:rsid w:val="002A3299"/>
    <w:rsid w:val="002A3487"/>
    <w:rsid w:val="002A34A8"/>
    <w:rsid w:val="002A3573"/>
    <w:rsid w:val="002A358E"/>
    <w:rsid w:val="002A3905"/>
    <w:rsid w:val="002A3959"/>
    <w:rsid w:val="002A3999"/>
    <w:rsid w:val="002A39E4"/>
    <w:rsid w:val="002A3A10"/>
    <w:rsid w:val="002A3FD4"/>
    <w:rsid w:val="002A4282"/>
    <w:rsid w:val="002A43DA"/>
    <w:rsid w:val="002A462B"/>
    <w:rsid w:val="002A48C8"/>
    <w:rsid w:val="002A499D"/>
    <w:rsid w:val="002A4AAF"/>
    <w:rsid w:val="002A4C8D"/>
    <w:rsid w:val="002A4ECB"/>
    <w:rsid w:val="002A4FDA"/>
    <w:rsid w:val="002A507A"/>
    <w:rsid w:val="002A50D5"/>
    <w:rsid w:val="002A5144"/>
    <w:rsid w:val="002A5542"/>
    <w:rsid w:val="002A58D3"/>
    <w:rsid w:val="002A6074"/>
    <w:rsid w:val="002A630C"/>
    <w:rsid w:val="002A63A9"/>
    <w:rsid w:val="002A640D"/>
    <w:rsid w:val="002A65A4"/>
    <w:rsid w:val="002A67B5"/>
    <w:rsid w:val="002A688C"/>
    <w:rsid w:val="002A68F0"/>
    <w:rsid w:val="002A6C42"/>
    <w:rsid w:val="002A6D64"/>
    <w:rsid w:val="002A6EAB"/>
    <w:rsid w:val="002A7045"/>
    <w:rsid w:val="002A705B"/>
    <w:rsid w:val="002A7086"/>
    <w:rsid w:val="002A70BC"/>
    <w:rsid w:val="002A75EE"/>
    <w:rsid w:val="002A77EA"/>
    <w:rsid w:val="002A795B"/>
    <w:rsid w:val="002A7A0F"/>
    <w:rsid w:val="002A7E33"/>
    <w:rsid w:val="002A7F97"/>
    <w:rsid w:val="002B0237"/>
    <w:rsid w:val="002B02E8"/>
    <w:rsid w:val="002B066B"/>
    <w:rsid w:val="002B0838"/>
    <w:rsid w:val="002B09D2"/>
    <w:rsid w:val="002B0D8A"/>
    <w:rsid w:val="002B0F0A"/>
    <w:rsid w:val="002B106E"/>
    <w:rsid w:val="002B1092"/>
    <w:rsid w:val="002B116C"/>
    <w:rsid w:val="002B128F"/>
    <w:rsid w:val="002B1485"/>
    <w:rsid w:val="002B1B52"/>
    <w:rsid w:val="002B1C2E"/>
    <w:rsid w:val="002B1D64"/>
    <w:rsid w:val="002B20E2"/>
    <w:rsid w:val="002B212F"/>
    <w:rsid w:val="002B231E"/>
    <w:rsid w:val="002B24BF"/>
    <w:rsid w:val="002B2685"/>
    <w:rsid w:val="002B269F"/>
    <w:rsid w:val="002B27AA"/>
    <w:rsid w:val="002B287A"/>
    <w:rsid w:val="002B2888"/>
    <w:rsid w:val="002B2BC9"/>
    <w:rsid w:val="002B2CAD"/>
    <w:rsid w:val="002B2DD9"/>
    <w:rsid w:val="002B2EED"/>
    <w:rsid w:val="002B2F0A"/>
    <w:rsid w:val="002B2F28"/>
    <w:rsid w:val="002B3013"/>
    <w:rsid w:val="002B3285"/>
    <w:rsid w:val="002B3376"/>
    <w:rsid w:val="002B3982"/>
    <w:rsid w:val="002B3D01"/>
    <w:rsid w:val="002B3D66"/>
    <w:rsid w:val="002B3D89"/>
    <w:rsid w:val="002B3F1D"/>
    <w:rsid w:val="002B441E"/>
    <w:rsid w:val="002B47DB"/>
    <w:rsid w:val="002B4809"/>
    <w:rsid w:val="002B48FC"/>
    <w:rsid w:val="002B4AC1"/>
    <w:rsid w:val="002B4AD5"/>
    <w:rsid w:val="002B4D84"/>
    <w:rsid w:val="002B534A"/>
    <w:rsid w:val="002B55F7"/>
    <w:rsid w:val="002B5646"/>
    <w:rsid w:val="002B59BA"/>
    <w:rsid w:val="002B5AE1"/>
    <w:rsid w:val="002B5BC9"/>
    <w:rsid w:val="002B5C79"/>
    <w:rsid w:val="002B5F39"/>
    <w:rsid w:val="002B61A7"/>
    <w:rsid w:val="002B6204"/>
    <w:rsid w:val="002B62B2"/>
    <w:rsid w:val="002B633B"/>
    <w:rsid w:val="002B634E"/>
    <w:rsid w:val="002B63BB"/>
    <w:rsid w:val="002B6444"/>
    <w:rsid w:val="002B66B1"/>
    <w:rsid w:val="002B6A9C"/>
    <w:rsid w:val="002B6B2E"/>
    <w:rsid w:val="002B6D24"/>
    <w:rsid w:val="002B700E"/>
    <w:rsid w:val="002B7271"/>
    <w:rsid w:val="002B72BA"/>
    <w:rsid w:val="002B749F"/>
    <w:rsid w:val="002B757B"/>
    <w:rsid w:val="002B75ED"/>
    <w:rsid w:val="002B784F"/>
    <w:rsid w:val="002B7931"/>
    <w:rsid w:val="002B7B1C"/>
    <w:rsid w:val="002B7BFA"/>
    <w:rsid w:val="002B7C4F"/>
    <w:rsid w:val="002B7EA6"/>
    <w:rsid w:val="002B7F86"/>
    <w:rsid w:val="002B7FC5"/>
    <w:rsid w:val="002C015B"/>
    <w:rsid w:val="002C0186"/>
    <w:rsid w:val="002C099B"/>
    <w:rsid w:val="002C09ED"/>
    <w:rsid w:val="002C0B0E"/>
    <w:rsid w:val="002C0BBF"/>
    <w:rsid w:val="002C0C2B"/>
    <w:rsid w:val="002C0E80"/>
    <w:rsid w:val="002C1124"/>
    <w:rsid w:val="002C13E2"/>
    <w:rsid w:val="002C14BA"/>
    <w:rsid w:val="002C15B0"/>
    <w:rsid w:val="002C1BF5"/>
    <w:rsid w:val="002C1D59"/>
    <w:rsid w:val="002C1E1A"/>
    <w:rsid w:val="002C1FAC"/>
    <w:rsid w:val="002C1FEA"/>
    <w:rsid w:val="002C1FFF"/>
    <w:rsid w:val="002C229E"/>
    <w:rsid w:val="002C23FF"/>
    <w:rsid w:val="002C25E2"/>
    <w:rsid w:val="002C262D"/>
    <w:rsid w:val="002C273D"/>
    <w:rsid w:val="002C2995"/>
    <w:rsid w:val="002C29FF"/>
    <w:rsid w:val="002C2A03"/>
    <w:rsid w:val="002C2EFA"/>
    <w:rsid w:val="002C30F7"/>
    <w:rsid w:val="002C3219"/>
    <w:rsid w:val="002C3D3E"/>
    <w:rsid w:val="002C3FC7"/>
    <w:rsid w:val="002C4064"/>
    <w:rsid w:val="002C406F"/>
    <w:rsid w:val="002C4084"/>
    <w:rsid w:val="002C4092"/>
    <w:rsid w:val="002C4099"/>
    <w:rsid w:val="002C4379"/>
    <w:rsid w:val="002C4386"/>
    <w:rsid w:val="002C44BA"/>
    <w:rsid w:val="002C4974"/>
    <w:rsid w:val="002C4A19"/>
    <w:rsid w:val="002C4B7C"/>
    <w:rsid w:val="002C4EF3"/>
    <w:rsid w:val="002C4F08"/>
    <w:rsid w:val="002C4F6F"/>
    <w:rsid w:val="002C4F7F"/>
    <w:rsid w:val="002C516A"/>
    <w:rsid w:val="002C5834"/>
    <w:rsid w:val="002C5869"/>
    <w:rsid w:val="002C5A57"/>
    <w:rsid w:val="002C5AAD"/>
    <w:rsid w:val="002C5B45"/>
    <w:rsid w:val="002C60A8"/>
    <w:rsid w:val="002C656D"/>
    <w:rsid w:val="002C6D3D"/>
    <w:rsid w:val="002C6E4F"/>
    <w:rsid w:val="002C6FA6"/>
    <w:rsid w:val="002C712D"/>
    <w:rsid w:val="002C73BA"/>
    <w:rsid w:val="002C748B"/>
    <w:rsid w:val="002C748E"/>
    <w:rsid w:val="002C749D"/>
    <w:rsid w:val="002C755D"/>
    <w:rsid w:val="002C7736"/>
    <w:rsid w:val="002C7772"/>
    <w:rsid w:val="002C78DD"/>
    <w:rsid w:val="002C7B8F"/>
    <w:rsid w:val="002C7C39"/>
    <w:rsid w:val="002C7C3C"/>
    <w:rsid w:val="002C7C62"/>
    <w:rsid w:val="002C7C8F"/>
    <w:rsid w:val="002C7D27"/>
    <w:rsid w:val="002C7D8F"/>
    <w:rsid w:val="002C7E84"/>
    <w:rsid w:val="002D0025"/>
    <w:rsid w:val="002D007F"/>
    <w:rsid w:val="002D00DC"/>
    <w:rsid w:val="002D05A7"/>
    <w:rsid w:val="002D05BE"/>
    <w:rsid w:val="002D05EC"/>
    <w:rsid w:val="002D065E"/>
    <w:rsid w:val="002D0792"/>
    <w:rsid w:val="002D0A10"/>
    <w:rsid w:val="002D0D61"/>
    <w:rsid w:val="002D0E20"/>
    <w:rsid w:val="002D1461"/>
    <w:rsid w:val="002D16FA"/>
    <w:rsid w:val="002D1712"/>
    <w:rsid w:val="002D1799"/>
    <w:rsid w:val="002D17F5"/>
    <w:rsid w:val="002D1A9A"/>
    <w:rsid w:val="002D1AE8"/>
    <w:rsid w:val="002D1D38"/>
    <w:rsid w:val="002D1E51"/>
    <w:rsid w:val="002D21DF"/>
    <w:rsid w:val="002D225C"/>
    <w:rsid w:val="002D228E"/>
    <w:rsid w:val="002D26E3"/>
    <w:rsid w:val="002D277F"/>
    <w:rsid w:val="002D2873"/>
    <w:rsid w:val="002D2899"/>
    <w:rsid w:val="002D2A82"/>
    <w:rsid w:val="002D2AEF"/>
    <w:rsid w:val="002D2BE9"/>
    <w:rsid w:val="002D2C5F"/>
    <w:rsid w:val="002D2D5F"/>
    <w:rsid w:val="002D2E23"/>
    <w:rsid w:val="002D3211"/>
    <w:rsid w:val="002D329D"/>
    <w:rsid w:val="002D32DE"/>
    <w:rsid w:val="002D34FD"/>
    <w:rsid w:val="002D3592"/>
    <w:rsid w:val="002D3694"/>
    <w:rsid w:val="002D38A6"/>
    <w:rsid w:val="002D3C94"/>
    <w:rsid w:val="002D3D75"/>
    <w:rsid w:val="002D3DA6"/>
    <w:rsid w:val="002D3E6F"/>
    <w:rsid w:val="002D40B0"/>
    <w:rsid w:val="002D44F6"/>
    <w:rsid w:val="002D4869"/>
    <w:rsid w:val="002D488D"/>
    <w:rsid w:val="002D4945"/>
    <w:rsid w:val="002D4B43"/>
    <w:rsid w:val="002D516C"/>
    <w:rsid w:val="002D52DA"/>
    <w:rsid w:val="002D5336"/>
    <w:rsid w:val="002D536E"/>
    <w:rsid w:val="002D537C"/>
    <w:rsid w:val="002D53EB"/>
    <w:rsid w:val="002D5624"/>
    <w:rsid w:val="002D571B"/>
    <w:rsid w:val="002D59F7"/>
    <w:rsid w:val="002D5A6C"/>
    <w:rsid w:val="002D5AC1"/>
    <w:rsid w:val="002D5B0C"/>
    <w:rsid w:val="002D5D6C"/>
    <w:rsid w:val="002D5E03"/>
    <w:rsid w:val="002D658D"/>
    <w:rsid w:val="002D6636"/>
    <w:rsid w:val="002D698A"/>
    <w:rsid w:val="002D6BEB"/>
    <w:rsid w:val="002D6BFA"/>
    <w:rsid w:val="002D6D81"/>
    <w:rsid w:val="002D6F3B"/>
    <w:rsid w:val="002D6FDA"/>
    <w:rsid w:val="002D74C1"/>
    <w:rsid w:val="002D753D"/>
    <w:rsid w:val="002D77AF"/>
    <w:rsid w:val="002D7997"/>
    <w:rsid w:val="002D79EC"/>
    <w:rsid w:val="002D7E4A"/>
    <w:rsid w:val="002E027B"/>
    <w:rsid w:val="002E0298"/>
    <w:rsid w:val="002E071D"/>
    <w:rsid w:val="002E0767"/>
    <w:rsid w:val="002E0C52"/>
    <w:rsid w:val="002E0D93"/>
    <w:rsid w:val="002E0E0C"/>
    <w:rsid w:val="002E10D9"/>
    <w:rsid w:val="002E10E6"/>
    <w:rsid w:val="002E117B"/>
    <w:rsid w:val="002E1351"/>
    <w:rsid w:val="002E17FD"/>
    <w:rsid w:val="002E1852"/>
    <w:rsid w:val="002E1B58"/>
    <w:rsid w:val="002E1CFD"/>
    <w:rsid w:val="002E203C"/>
    <w:rsid w:val="002E2B21"/>
    <w:rsid w:val="002E2F71"/>
    <w:rsid w:val="002E31C1"/>
    <w:rsid w:val="002E32AE"/>
    <w:rsid w:val="002E32CE"/>
    <w:rsid w:val="002E3383"/>
    <w:rsid w:val="002E37EE"/>
    <w:rsid w:val="002E3CE8"/>
    <w:rsid w:val="002E3F43"/>
    <w:rsid w:val="002E4061"/>
    <w:rsid w:val="002E41EF"/>
    <w:rsid w:val="002E4889"/>
    <w:rsid w:val="002E492D"/>
    <w:rsid w:val="002E4A13"/>
    <w:rsid w:val="002E546E"/>
    <w:rsid w:val="002E54FF"/>
    <w:rsid w:val="002E56F9"/>
    <w:rsid w:val="002E5A04"/>
    <w:rsid w:val="002E5B84"/>
    <w:rsid w:val="002E603E"/>
    <w:rsid w:val="002E613F"/>
    <w:rsid w:val="002E6218"/>
    <w:rsid w:val="002E6311"/>
    <w:rsid w:val="002E6569"/>
    <w:rsid w:val="002E66FB"/>
    <w:rsid w:val="002E6932"/>
    <w:rsid w:val="002E69C4"/>
    <w:rsid w:val="002E6BDB"/>
    <w:rsid w:val="002E6BF3"/>
    <w:rsid w:val="002E6D77"/>
    <w:rsid w:val="002E7362"/>
    <w:rsid w:val="002E7A73"/>
    <w:rsid w:val="002E7BBF"/>
    <w:rsid w:val="002E7C76"/>
    <w:rsid w:val="002E7D90"/>
    <w:rsid w:val="002E7E65"/>
    <w:rsid w:val="002E7F1F"/>
    <w:rsid w:val="002E9801"/>
    <w:rsid w:val="002F0290"/>
    <w:rsid w:val="002F06B3"/>
    <w:rsid w:val="002F06C8"/>
    <w:rsid w:val="002F070B"/>
    <w:rsid w:val="002F0A8C"/>
    <w:rsid w:val="002F0BA3"/>
    <w:rsid w:val="002F0EF7"/>
    <w:rsid w:val="002F1173"/>
    <w:rsid w:val="002F12CF"/>
    <w:rsid w:val="002F1529"/>
    <w:rsid w:val="002F1643"/>
    <w:rsid w:val="002F1C9F"/>
    <w:rsid w:val="002F1DC8"/>
    <w:rsid w:val="002F2212"/>
    <w:rsid w:val="002F247C"/>
    <w:rsid w:val="002F26B6"/>
    <w:rsid w:val="002F26EE"/>
    <w:rsid w:val="002F2711"/>
    <w:rsid w:val="002F2986"/>
    <w:rsid w:val="002F2BCF"/>
    <w:rsid w:val="002F2DB7"/>
    <w:rsid w:val="002F3159"/>
    <w:rsid w:val="002F380F"/>
    <w:rsid w:val="002F3814"/>
    <w:rsid w:val="002F3874"/>
    <w:rsid w:val="002F38B2"/>
    <w:rsid w:val="002F3952"/>
    <w:rsid w:val="002F3BF7"/>
    <w:rsid w:val="002F3C5B"/>
    <w:rsid w:val="002F3C60"/>
    <w:rsid w:val="002F3D53"/>
    <w:rsid w:val="002F4036"/>
    <w:rsid w:val="002F4102"/>
    <w:rsid w:val="002F420C"/>
    <w:rsid w:val="002F4238"/>
    <w:rsid w:val="002F46F8"/>
    <w:rsid w:val="002F49A9"/>
    <w:rsid w:val="002F4ADE"/>
    <w:rsid w:val="002F4C82"/>
    <w:rsid w:val="002F4CDD"/>
    <w:rsid w:val="002F4DB6"/>
    <w:rsid w:val="002F5083"/>
    <w:rsid w:val="002F51E8"/>
    <w:rsid w:val="002F559C"/>
    <w:rsid w:val="002F576A"/>
    <w:rsid w:val="002F5C0E"/>
    <w:rsid w:val="002F5CAE"/>
    <w:rsid w:val="002F5E10"/>
    <w:rsid w:val="002F6617"/>
    <w:rsid w:val="002F6676"/>
    <w:rsid w:val="002F67BB"/>
    <w:rsid w:val="002F67C6"/>
    <w:rsid w:val="002F6A3D"/>
    <w:rsid w:val="002F6AA0"/>
    <w:rsid w:val="002F6BBF"/>
    <w:rsid w:val="002F6C4D"/>
    <w:rsid w:val="002F6D4E"/>
    <w:rsid w:val="002F6D7D"/>
    <w:rsid w:val="002F6DDB"/>
    <w:rsid w:val="002F6E2A"/>
    <w:rsid w:val="002F6F8C"/>
    <w:rsid w:val="002F73F4"/>
    <w:rsid w:val="002F74F7"/>
    <w:rsid w:val="002F7570"/>
    <w:rsid w:val="002F75C1"/>
    <w:rsid w:val="002F77CB"/>
    <w:rsid w:val="002F78C1"/>
    <w:rsid w:val="002F78DB"/>
    <w:rsid w:val="002F7B38"/>
    <w:rsid w:val="002F7CA8"/>
    <w:rsid w:val="0030011B"/>
    <w:rsid w:val="00300147"/>
    <w:rsid w:val="0030017D"/>
    <w:rsid w:val="00300542"/>
    <w:rsid w:val="00300550"/>
    <w:rsid w:val="003007B0"/>
    <w:rsid w:val="003007F1"/>
    <w:rsid w:val="00300BBE"/>
    <w:rsid w:val="00300D5A"/>
    <w:rsid w:val="00300DDA"/>
    <w:rsid w:val="00300ED7"/>
    <w:rsid w:val="00300FDC"/>
    <w:rsid w:val="00301129"/>
    <w:rsid w:val="00301173"/>
    <w:rsid w:val="003013FF"/>
    <w:rsid w:val="0030150F"/>
    <w:rsid w:val="00301570"/>
    <w:rsid w:val="00301681"/>
    <w:rsid w:val="003016AB"/>
    <w:rsid w:val="003017AA"/>
    <w:rsid w:val="00301891"/>
    <w:rsid w:val="00301A06"/>
    <w:rsid w:val="00301ADD"/>
    <w:rsid w:val="00301B4B"/>
    <w:rsid w:val="00301C1D"/>
    <w:rsid w:val="00301D25"/>
    <w:rsid w:val="00301F38"/>
    <w:rsid w:val="00302154"/>
    <w:rsid w:val="003021A8"/>
    <w:rsid w:val="003025C0"/>
    <w:rsid w:val="003025D6"/>
    <w:rsid w:val="0030260B"/>
    <w:rsid w:val="00302736"/>
    <w:rsid w:val="0030275C"/>
    <w:rsid w:val="0030275E"/>
    <w:rsid w:val="00302C33"/>
    <w:rsid w:val="00302C39"/>
    <w:rsid w:val="00302CE5"/>
    <w:rsid w:val="00303382"/>
    <w:rsid w:val="003037FF"/>
    <w:rsid w:val="00303820"/>
    <w:rsid w:val="0030393C"/>
    <w:rsid w:val="003039EA"/>
    <w:rsid w:val="00303B8A"/>
    <w:rsid w:val="00304587"/>
    <w:rsid w:val="00304761"/>
    <w:rsid w:val="0030488C"/>
    <w:rsid w:val="003048A8"/>
    <w:rsid w:val="00304950"/>
    <w:rsid w:val="00304BA1"/>
    <w:rsid w:val="00304CA8"/>
    <w:rsid w:val="00304DFA"/>
    <w:rsid w:val="003050F4"/>
    <w:rsid w:val="00305587"/>
    <w:rsid w:val="00305ADC"/>
    <w:rsid w:val="00305C96"/>
    <w:rsid w:val="00305CB2"/>
    <w:rsid w:val="00305E16"/>
    <w:rsid w:val="00305E54"/>
    <w:rsid w:val="00306018"/>
    <w:rsid w:val="0030617A"/>
    <w:rsid w:val="0030657F"/>
    <w:rsid w:val="00306809"/>
    <w:rsid w:val="00306841"/>
    <w:rsid w:val="003068B2"/>
    <w:rsid w:val="003069BD"/>
    <w:rsid w:val="00306A71"/>
    <w:rsid w:val="00306E91"/>
    <w:rsid w:val="00306ED6"/>
    <w:rsid w:val="00306EED"/>
    <w:rsid w:val="003070B0"/>
    <w:rsid w:val="0030710C"/>
    <w:rsid w:val="0030720D"/>
    <w:rsid w:val="0030779B"/>
    <w:rsid w:val="0030798D"/>
    <w:rsid w:val="00307A0D"/>
    <w:rsid w:val="00307B91"/>
    <w:rsid w:val="00307CC8"/>
    <w:rsid w:val="00307F5D"/>
    <w:rsid w:val="003100CB"/>
    <w:rsid w:val="00310331"/>
    <w:rsid w:val="003109D1"/>
    <w:rsid w:val="00310A75"/>
    <w:rsid w:val="00310ADF"/>
    <w:rsid w:val="00310D0E"/>
    <w:rsid w:val="00310E4C"/>
    <w:rsid w:val="00310ECF"/>
    <w:rsid w:val="00310F0E"/>
    <w:rsid w:val="00311040"/>
    <w:rsid w:val="00311072"/>
    <w:rsid w:val="00311887"/>
    <w:rsid w:val="0031197A"/>
    <w:rsid w:val="00311E8F"/>
    <w:rsid w:val="00311F83"/>
    <w:rsid w:val="00312274"/>
    <w:rsid w:val="003123ED"/>
    <w:rsid w:val="003123F9"/>
    <w:rsid w:val="00312424"/>
    <w:rsid w:val="00312475"/>
    <w:rsid w:val="00312584"/>
    <w:rsid w:val="0031261E"/>
    <w:rsid w:val="00312857"/>
    <w:rsid w:val="00312894"/>
    <w:rsid w:val="00312935"/>
    <w:rsid w:val="00313124"/>
    <w:rsid w:val="003131D9"/>
    <w:rsid w:val="0031336C"/>
    <w:rsid w:val="003135F7"/>
    <w:rsid w:val="0031360B"/>
    <w:rsid w:val="00313E5A"/>
    <w:rsid w:val="003140FC"/>
    <w:rsid w:val="00314222"/>
    <w:rsid w:val="00314231"/>
    <w:rsid w:val="00314362"/>
    <w:rsid w:val="003145D4"/>
    <w:rsid w:val="00314601"/>
    <w:rsid w:val="003149B2"/>
    <w:rsid w:val="00314A4F"/>
    <w:rsid w:val="00314B67"/>
    <w:rsid w:val="00314B97"/>
    <w:rsid w:val="00314F3E"/>
    <w:rsid w:val="00315242"/>
    <w:rsid w:val="003153A6"/>
    <w:rsid w:val="0031579B"/>
    <w:rsid w:val="003157CF"/>
    <w:rsid w:val="003158DD"/>
    <w:rsid w:val="00315CB9"/>
    <w:rsid w:val="00315F27"/>
    <w:rsid w:val="00316101"/>
    <w:rsid w:val="00316154"/>
    <w:rsid w:val="00316280"/>
    <w:rsid w:val="0031649F"/>
    <w:rsid w:val="0031659E"/>
    <w:rsid w:val="00316622"/>
    <w:rsid w:val="003166F1"/>
    <w:rsid w:val="00316819"/>
    <w:rsid w:val="00316AF8"/>
    <w:rsid w:val="00316B71"/>
    <w:rsid w:val="00316BF2"/>
    <w:rsid w:val="00316E0D"/>
    <w:rsid w:val="0031705B"/>
    <w:rsid w:val="0031706E"/>
    <w:rsid w:val="003173E0"/>
    <w:rsid w:val="003173E8"/>
    <w:rsid w:val="0031778B"/>
    <w:rsid w:val="003179AC"/>
    <w:rsid w:val="003179CB"/>
    <w:rsid w:val="003201B4"/>
    <w:rsid w:val="0032036A"/>
    <w:rsid w:val="003203FE"/>
    <w:rsid w:val="00320607"/>
    <w:rsid w:val="0032093D"/>
    <w:rsid w:val="00320A2D"/>
    <w:rsid w:val="00320B3B"/>
    <w:rsid w:val="00320C26"/>
    <w:rsid w:val="00321091"/>
    <w:rsid w:val="003212C1"/>
    <w:rsid w:val="00321368"/>
    <w:rsid w:val="00321419"/>
    <w:rsid w:val="00321484"/>
    <w:rsid w:val="0032183A"/>
    <w:rsid w:val="0032186D"/>
    <w:rsid w:val="00321900"/>
    <w:rsid w:val="00321904"/>
    <w:rsid w:val="00321A1A"/>
    <w:rsid w:val="00321A51"/>
    <w:rsid w:val="00321BF1"/>
    <w:rsid w:val="00321C09"/>
    <w:rsid w:val="00321E0F"/>
    <w:rsid w:val="00322336"/>
    <w:rsid w:val="0032241E"/>
    <w:rsid w:val="00322449"/>
    <w:rsid w:val="003224BD"/>
    <w:rsid w:val="0032263C"/>
    <w:rsid w:val="0032269A"/>
    <w:rsid w:val="00322716"/>
    <w:rsid w:val="00322CD9"/>
    <w:rsid w:val="00322D7B"/>
    <w:rsid w:val="00322E0A"/>
    <w:rsid w:val="00322F45"/>
    <w:rsid w:val="003233C2"/>
    <w:rsid w:val="00323452"/>
    <w:rsid w:val="00323566"/>
    <w:rsid w:val="00323993"/>
    <w:rsid w:val="00323B86"/>
    <w:rsid w:val="00323DF3"/>
    <w:rsid w:val="00324079"/>
    <w:rsid w:val="0032476E"/>
    <w:rsid w:val="00324775"/>
    <w:rsid w:val="003248EA"/>
    <w:rsid w:val="0032492A"/>
    <w:rsid w:val="00324AD4"/>
    <w:rsid w:val="00324B94"/>
    <w:rsid w:val="00324BB6"/>
    <w:rsid w:val="00324E7B"/>
    <w:rsid w:val="00324E94"/>
    <w:rsid w:val="00324F05"/>
    <w:rsid w:val="00325089"/>
    <w:rsid w:val="00325154"/>
    <w:rsid w:val="00325388"/>
    <w:rsid w:val="0032555F"/>
    <w:rsid w:val="00325A7A"/>
    <w:rsid w:val="00325B97"/>
    <w:rsid w:val="00325E0C"/>
    <w:rsid w:val="00326137"/>
    <w:rsid w:val="003263C5"/>
    <w:rsid w:val="00326420"/>
    <w:rsid w:val="00326550"/>
    <w:rsid w:val="003265AE"/>
    <w:rsid w:val="0032687C"/>
    <w:rsid w:val="00326A41"/>
    <w:rsid w:val="00326F93"/>
    <w:rsid w:val="00327067"/>
    <w:rsid w:val="003270BC"/>
    <w:rsid w:val="00327153"/>
    <w:rsid w:val="00327213"/>
    <w:rsid w:val="0032732F"/>
    <w:rsid w:val="0032746D"/>
    <w:rsid w:val="00327AA3"/>
    <w:rsid w:val="00327CF1"/>
    <w:rsid w:val="00327D31"/>
    <w:rsid w:val="00327E4B"/>
    <w:rsid w:val="003300FD"/>
    <w:rsid w:val="0033032D"/>
    <w:rsid w:val="00330767"/>
    <w:rsid w:val="00330995"/>
    <w:rsid w:val="00330D59"/>
    <w:rsid w:val="00330ED7"/>
    <w:rsid w:val="003310CD"/>
    <w:rsid w:val="00331443"/>
    <w:rsid w:val="003317B8"/>
    <w:rsid w:val="00331815"/>
    <w:rsid w:val="00331B0A"/>
    <w:rsid w:val="00331B1A"/>
    <w:rsid w:val="00332182"/>
    <w:rsid w:val="003323C4"/>
    <w:rsid w:val="00332448"/>
    <w:rsid w:val="0033267A"/>
    <w:rsid w:val="003327B3"/>
    <w:rsid w:val="00332A4F"/>
    <w:rsid w:val="00332B76"/>
    <w:rsid w:val="00332EE8"/>
    <w:rsid w:val="00333190"/>
    <w:rsid w:val="00333274"/>
    <w:rsid w:val="00333434"/>
    <w:rsid w:val="0033355B"/>
    <w:rsid w:val="003335A0"/>
    <w:rsid w:val="00333C4A"/>
    <w:rsid w:val="00333DC6"/>
    <w:rsid w:val="00333E7E"/>
    <w:rsid w:val="00333EFE"/>
    <w:rsid w:val="00333F4A"/>
    <w:rsid w:val="00334298"/>
    <w:rsid w:val="00334440"/>
    <w:rsid w:val="0033450F"/>
    <w:rsid w:val="00334D6A"/>
    <w:rsid w:val="0033507E"/>
    <w:rsid w:val="00335310"/>
    <w:rsid w:val="0033555E"/>
    <w:rsid w:val="003356DF"/>
    <w:rsid w:val="00335AEE"/>
    <w:rsid w:val="00335C7E"/>
    <w:rsid w:val="00335E40"/>
    <w:rsid w:val="00335E6C"/>
    <w:rsid w:val="003364E4"/>
    <w:rsid w:val="00336505"/>
    <w:rsid w:val="00336983"/>
    <w:rsid w:val="003369D1"/>
    <w:rsid w:val="00336A9C"/>
    <w:rsid w:val="00336B00"/>
    <w:rsid w:val="00336B8C"/>
    <w:rsid w:val="00336FBB"/>
    <w:rsid w:val="00337075"/>
    <w:rsid w:val="00337089"/>
    <w:rsid w:val="00337131"/>
    <w:rsid w:val="003374F4"/>
    <w:rsid w:val="00337514"/>
    <w:rsid w:val="00337750"/>
    <w:rsid w:val="0033781B"/>
    <w:rsid w:val="0033786B"/>
    <w:rsid w:val="00337B3E"/>
    <w:rsid w:val="00337D7D"/>
    <w:rsid w:val="00337FAF"/>
    <w:rsid w:val="0033A97B"/>
    <w:rsid w:val="003408A2"/>
    <w:rsid w:val="003408E7"/>
    <w:rsid w:val="00340A84"/>
    <w:rsid w:val="00340C8E"/>
    <w:rsid w:val="00340F64"/>
    <w:rsid w:val="00341222"/>
    <w:rsid w:val="00341593"/>
    <w:rsid w:val="00341BB5"/>
    <w:rsid w:val="00341E12"/>
    <w:rsid w:val="00341F89"/>
    <w:rsid w:val="0034222B"/>
    <w:rsid w:val="0034229F"/>
    <w:rsid w:val="0034243E"/>
    <w:rsid w:val="00342645"/>
    <w:rsid w:val="00342762"/>
    <w:rsid w:val="00342840"/>
    <w:rsid w:val="003429A4"/>
    <w:rsid w:val="003429A6"/>
    <w:rsid w:val="00342B67"/>
    <w:rsid w:val="00342D96"/>
    <w:rsid w:val="00342ED6"/>
    <w:rsid w:val="00342FF7"/>
    <w:rsid w:val="00343453"/>
    <w:rsid w:val="0034345F"/>
    <w:rsid w:val="003434A9"/>
    <w:rsid w:val="00343627"/>
    <w:rsid w:val="00343801"/>
    <w:rsid w:val="0034389E"/>
    <w:rsid w:val="00343A45"/>
    <w:rsid w:val="00343AB4"/>
    <w:rsid w:val="00343C51"/>
    <w:rsid w:val="00343CCB"/>
    <w:rsid w:val="00343E5E"/>
    <w:rsid w:val="0034419B"/>
    <w:rsid w:val="003442CD"/>
    <w:rsid w:val="0034463B"/>
    <w:rsid w:val="00344671"/>
    <w:rsid w:val="003446DC"/>
    <w:rsid w:val="00344824"/>
    <w:rsid w:val="00344ACE"/>
    <w:rsid w:val="00344D4D"/>
    <w:rsid w:val="00344E20"/>
    <w:rsid w:val="0034500B"/>
    <w:rsid w:val="003450AA"/>
    <w:rsid w:val="0034526A"/>
    <w:rsid w:val="003452F3"/>
    <w:rsid w:val="00345481"/>
    <w:rsid w:val="003454A9"/>
    <w:rsid w:val="003459FE"/>
    <w:rsid w:val="00345CCE"/>
    <w:rsid w:val="00345D10"/>
    <w:rsid w:val="00345D56"/>
    <w:rsid w:val="00346206"/>
    <w:rsid w:val="003462A2"/>
    <w:rsid w:val="003465C9"/>
    <w:rsid w:val="00346D61"/>
    <w:rsid w:val="00346ED4"/>
    <w:rsid w:val="003472AB"/>
    <w:rsid w:val="003473BE"/>
    <w:rsid w:val="003474CB"/>
    <w:rsid w:val="003475CF"/>
    <w:rsid w:val="00350146"/>
    <w:rsid w:val="00350164"/>
    <w:rsid w:val="00350293"/>
    <w:rsid w:val="003502D8"/>
    <w:rsid w:val="0035035C"/>
    <w:rsid w:val="003503CE"/>
    <w:rsid w:val="003503E3"/>
    <w:rsid w:val="003504A3"/>
    <w:rsid w:val="00350BC9"/>
    <w:rsid w:val="00350C25"/>
    <w:rsid w:val="00351241"/>
    <w:rsid w:val="00351278"/>
    <w:rsid w:val="00351286"/>
    <w:rsid w:val="0035136E"/>
    <w:rsid w:val="00351523"/>
    <w:rsid w:val="00351610"/>
    <w:rsid w:val="00351810"/>
    <w:rsid w:val="0035181E"/>
    <w:rsid w:val="003518E3"/>
    <w:rsid w:val="00351B58"/>
    <w:rsid w:val="00351CB4"/>
    <w:rsid w:val="00351D10"/>
    <w:rsid w:val="00351D4C"/>
    <w:rsid w:val="00351DB3"/>
    <w:rsid w:val="003520A4"/>
    <w:rsid w:val="0035217F"/>
    <w:rsid w:val="00352441"/>
    <w:rsid w:val="003525D3"/>
    <w:rsid w:val="00352619"/>
    <w:rsid w:val="00352714"/>
    <w:rsid w:val="003528CA"/>
    <w:rsid w:val="00352B16"/>
    <w:rsid w:val="00352CD6"/>
    <w:rsid w:val="00352D19"/>
    <w:rsid w:val="00352D21"/>
    <w:rsid w:val="00352DEF"/>
    <w:rsid w:val="00352FB2"/>
    <w:rsid w:val="00353763"/>
    <w:rsid w:val="00353C90"/>
    <w:rsid w:val="00353CC2"/>
    <w:rsid w:val="00353EC8"/>
    <w:rsid w:val="00353FD3"/>
    <w:rsid w:val="00354165"/>
    <w:rsid w:val="0035419E"/>
    <w:rsid w:val="0035427D"/>
    <w:rsid w:val="003544EA"/>
    <w:rsid w:val="00354508"/>
    <w:rsid w:val="00354968"/>
    <w:rsid w:val="0035498C"/>
    <w:rsid w:val="00354B62"/>
    <w:rsid w:val="00354DCA"/>
    <w:rsid w:val="00354DD7"/>
    <w:rsid w:val="003550F9"/>
    <w:rsid w:val="003551BB"/>
    <w:rsid w:val="00355218"/>
    <w:rsid w:val="00355370"/>
    <w:rsid w:val="00355437"/>
    <w:rsid w:val="00355606"/>
    <w:rsid w:val="0035583A"/>
    <w:rsid w:val="00355909"/>
    <w:rsid w:val="00355B2F"/>
    <w:rsid w:val="00355BA0"/>
    <w:rsid w:val="003560A9"/>
    <w:rsid w:val="00356178"/>
    <w:rsid w:val="003561D9"/>
    <w:rsid w:val="00356524"/>
    <w:rsid w:val="003567E4"/>
    <w:rsid w:val="003568B2"/>
    <w:rsid w:val="00356993"/>
    <w:rsid w:val="00356AF8"/>
    <w:rsid w:val="00356C75"/>
    <w:rsid w:val="003573D5"/>
    <w:rsid w:val="00357AB0"/>
    <w:rsid w:val="00357C9B"/>
    <w:rsid w:val="00357DA8"/>
    <w:rsid w:val="00357E0F"/>
    <w:rsid w:val="00357E32"/>
    <w:rsid w:val="00357E97"/>
    <w:rsid w:val="00360105"/>
    <w:rsid w:val="00360582"/>
    <w:rsid w:val="00360A7F"/>
    <w:rsid w:val="00360BF7"/>
    <w:rsid w:val="00361012"/>
    <w:rsid w:val="0036126D"/>
    <w:rsid w:val="00361455"/>
    <w:rsid w:val="0036168D"/>
    <w:rsid w:val="003616C2"/>
    <w:rsid w:val="00361A2C"/>
    <w:rsid w:val="00361D02"/>
    <w:rsid w:val="00361D15"/>
    <w:rsid w:val="00361F08"/>
    <w:rsid w:val="00362038"/>
    <w:rsid w:val="00362222"/>
    <w:rsid w:val="003624B1"/>
    <w:rsid w:val="00362ADC"/>
    <w:rsid w:val="00362C37"/>
    <w:rsid w:val="00362D13"/>
    <w:rsid w:val="00362D25"/>
    <w:rsid w:val="00362DA1"/>
    <w:rsid w:val="00363253"/>
    <w:rsid w:val="0036333D"/>
    <w:rsid w:val="00363756"/>
    <w:rsid w:val="00363A55"/>
    <w:rsid w:val="00363B29"/>
    <w:rsid w:val="00363CB8"/>
    <w:rsid w:val="00363EAC"/>
    <w:rsid w:val="00363EC1"/>
    <w:rsid w:val="003645B8"/>
    <w:rsid w:val="0036463B"/>
    <w:rsid w:val="003646A0"/>
    <w:rsid w:val="003646E2"/>
    <w:rsid w:val="00364825"/>
    <w:rsid w:val="0036485B"/>
    <w:rsid w:val="003648B9"/>
    <w:rsid w:val="00364AD7"/>
    <w:rsid w:val="00364B0E"/>
    <w:rsid w:val="00364C18"/>
    <w:rsid w:val="00364C20"/>
    <w:rsid w:val="00364F21"/>
    <w:rsid w:val="00364FED"/>
    <w:rsid w:val="00365337"/>
    <w:rsid w:val="003653CE"/>
    <w:rsid w:val="0036561B"/>
    <w:rsid w:val="0036569B"/>
    <w:rsid w:val="00365853"/>
    <w:rsid w:val="0036595C"/>
    <w:rsid w:val="0036598D"/>
    <w:rsid w:val="00365B05"/>
    <w:rsid w:val="00365ED1"/>
    <w:rsid w:val="003660D3"/>
    <w:rsid w:val="00366386"/>
    <w:rsid w:val="003663E9"/>
    <w:rsid w:val="00366709"/>
    <w:rsid w:val="003668F5"/>
    <w:rsid w:val="00366929"/>
    <w:rsid w:val="00366BEC"/>
    <w:rsid w:val="00366C6C"/>
    <w:rsid w:val="00366CCA"/>
    <w:rsid w:val="00366E0E"/>
    <w:rsid w:val="003672C6"/>
    <w:rsid w:val="003672FC"/>
    <w:rsid w:val="0036730A"/>
    <w:rsid w:val="003675C6"/>
    <w:rsid w:val="00367A5B"/>
    <w:rsid w:val="00367BCB"/>
    <w:rsid w:val="00367C08"/>
    <w:rsid w:val="00367C34"/>
    <w:rsid w:val="00367E8C"/>
    <w:rsid w:val="00370056"/>
    <w:rsid w:val="0037013F"/>
    <w:rsid w:val="003701CA"/>
    <w:rsid w:val="003702C1"/>
    <w:rsid w:val="0037056A"/>
    <w:rsid w:val="0037071F"/>
    <w:rsid w:val="0037084D"/>
    <w:rsid w:val="003708FC"/>
    <w:rsid w:val="00370A5E"/>
    <w:rsid w:val="00370AFC"/>
    <w:rsid w:val="00370C61"/>
    <w:rsid w:val="00370D82"/>
    <w:rsid w:val="00371454"/>
    <w:rsid w:val="00371585"/>
    <w:rsid w:val="003716F4"/>
    <w:rsid w:val="0037198E"/>
    <w:rsid w:val="00371AC0"/>
    <w:rsid w:val="00371B30"/>
    <w:rsid w:val="003720AA"/>
    <w:rsid w:val="003722BF"/>
    <w:rsid w:val="003722C4"/>
    <w:rsid w:val="003724AE"/>
    <w:rsid w:val="00372AD9"/>
    <w:rsid w:val="00372BC3"/>
    <w:rsid w:val="00372DC0"/>
    <w:rsid w:val="00372E29"/>
    <w:rsid w:val="00372E85"/>
    <w:rsid w:val="00372FC4"/>
    <w:rsid w:val="00373051"/>
    <w:rsid w:val="003732C5"/>
    <w:rsid w:val="003734F7"/>
    <w:rsid w:val="003738D6"/>
    <w:rsid w:val="003739D8"/>
    <w:rsid w:val="00373B4E"/>
    <w:rsid w:val="00373CBB"/>
    <w:rsid w:val="003742AA"/>
    <w:rsid w:val="003742B3"/>
    <w:rsid w:val="003742F8"/>
    <w:rsid w:val="00374391"/>
    <w:rsid w:val="00374694"/>
    <w:rsid w:val="0037477C"/>
    <w:rsid w:val="0037480C"/>
    <w:rsid w:val="003748B9"/>
    <w:rsid w:val="00374951"/>
    <w:rsid w:val="00374B45"/>
    <w:rsid w:val="00374C14"/>
    <w:rsid w:val="00374D48"/>
    <w:rsid w:val="00375335"/>
    <w:rsid w:val="0037555A"/>
    <w:rsid w:val="00375725"/>
    <w:rsid w:val="00375909"/>
    <w:rsid w:val="00375910"/>
    <w:rsid w:val="00375A6A"/>
    <w:rsid w:val="00375B35"/>
    <w:rsid w:val="00375BE3"/>
    <w:rsid w:val="00375C11"/>
    <w:rsid w:val="00375CE1"/>
    <w:rsid w:val="00375D20"/>
    <w:rsid w:val="00375F89"/>
    <w:rsid w:val="00375FA0"/>
    <w:rsid w:val="0037621F"/>
    <w:rsid w:val="0037622F"/>
    <w:rsid w:val="003763E7"/>
    <w:rsid w:val="0037644C"/>
    <w:rsid w:val="003769CF"/>
    <w:rsid w:val="00376F30"/>
    <w:rsid w:val="00376F72"/>
    <w:rsid w:val="00376F8D"/>
    <w:rsid w:val="00377030"/>
    <w:rsid w:val="0037704A"/>
    <w:rsid w:val="00377264"/>
    <w:rsid w:val="00377B6D"/>
    <w:rsid w:val="00377C3F"/>
    <w:rsid w:val="00377C40"/>
    <w:rsid w:val="00377C78"/>
    <w:rsid w:val="00377E2D"/>
    <w:rsid w:val="00377FAD"/>
    <w:rsid w:val="003801A4"/>
    <w:rsid w:val="00380231"/>
    <w:rsid w:val="003806D7"/>
    <w:rsid w:val="00380926"/>
    <w:rsid w:val="00380C5D"/>
    <w:rsid w:val="00380D3B"/>
    <w:rsid w:val="003811F5"/>
    <w:rsid w:val="00381463"/>
    <w:rsid w:val="0038164B"/>
    <w:rsid w:val="003816DD"/>
    <w:rsid w:val="00381B62"/>
    <w:rsid w:val="00381C9A"/>
    <w:rsid w:val="00381DF2"/>
    <w:rsid w:val="00381F20"/>
    <w:rsid w:val="0038207B"/>
    <w:rsid w:val="003824E1"/>
    <w:rsid w:val="0038259E"/>
    <w:rsid w:val="0038264A"/>
    <w:rsid w:val="00382C82"/>
    <w:rsid w:val="00383375"/>
    <w:rsid w:val="003833BD"/>
    <w:rsid w:val="00383429"/>
    <w:rsid w:val="00383471"/>
    <w:rsid w:val="0038351C"/>
    <w:rsid w:val="0038352C"/>
    <w:rsid w:val="003836C3"/>
    <w:rsid w:val="00383CD8"/>
    <w:rsid w:val="00383D25"/>
    <w:rsid w:val="00383F91"/>
    <w:rsid w:val="003840BF"/>
    <w:rsid w:val="003840CA"/>
    <w:rsid w:val="003843CE"/>
    <w:rsid w:val="0038467B"/>
    <w:rsid w:val="0038496A"/>
    <w:rsid w:val="00384A46"/>
    <w:rsid w:val="003851F1"/>
    <w:rsid w:val="003852C9"/>
    <w:rsid w:val="00385A0B"/>
    <w:rsid w:val="003864E9"/>
    <w:rsid w:val="00386C83"/>
    <w:rsid w:val="00386D03"/>
    <w:rsid w:val="00386FC1"/>
    <w:rsid w:val="003870B1"/>
    <w:rsid w:val="003871A5"/>
    <w:rsid w:val="0038769B"/>
    <w:rsid w:val="00390215"/>
    <w:rsid w:val="00390278"/>
    <w:rsid w:val="003905C7"/>
    <w:rsid w:val="00390705"/>
    <w:rsid w:val="00390B08"/>
    <w:rsid w:val="00390B85"/>
    <w:rsid w:val="00390E1C"/>
    <w:rsid w:val="003913C2"/>
    <w:rsid w:val="00391480"/>
    <w:rsid w:val="003915E8"/>
    <w:rsid w:val="003915F6"/>
    <w:rsid w:val="00391CB9"/>
    <w:rsid w:val="003920A7"/>
    <w:rsid w:val="003920E4"/>
    <w:rsid w:val="00392272"/>
    <w:rsid w:val="00392400"/>
    <w:rsid w:val="003928CE"/>
    <w:rsid w:val="0039301A"/>
    <w:rsid w:val="00393144"/>
    <w:rsid w:val="003933DC"/>
    <w:rsid w:val="003933EC"/>
    <w:rsid w:val="00393894"/>
    <w:rsid w:val="003939FF"/>
    <w:rsid w:val="00393A0D"/>
    <w:rsid w:val="00393B6A"/>
    <w:rsid w:val="00393C75"/>
    <w:rsid w:val="00393F1B"/>
    <w:rsid w:val="00393F59"/>
    <w:rsid w:val="0039409F"/>
    <w:rsid w:val="00394138"/>
    <w:rsid w:val="00394303"/>
    <w:rsid w:val="0039448B"/>
    <w:rsid w:val="00394711"/>
    <w:rsid w:val="00394B52"/>
    <w:rsid w:val="00394D0D"/>
    <w:rsid w:val="00394D9D"/>
    <w:rsid w:val="003950AD"/>
    <w:rsid w:val="00395900"/>
    <w:rsid w:val="00395B20"/>
    <w:rsid w:val="00395BFB"/>
    <w:rsid w:val="00395E7F"/>
    <w:rsid w:val="0039655F"/>
    <w:rsid w:val="003966F2"/>
    <w:rsid w:val="00396901"/>
    <w:rsid w:val="00396C2C"/>
    <w:rsid w:val="00396DA3"/>
    <w:rsid w:val="00396E2F"/>
    <w:rsid w:val="00396EB6"/>
    <w:rsid w:val="00396EC6"/>
    <w:rsid w:val="00396F32"/>
    <w:rsid w:val="00397055"/>
    <w:rsid w:val="0039710D"/>
    <w:rsid w:val="0039724C"/>
    <w:rsid w:val="003972B6"/>
    <w:rsid w:val="003973D5"/>
    <w:rsid w:val="003973F3"/>
    <w:rsid w:val="0039744C"/>
    <w:rsid w:val="00397689"/>
    <w:rsid w:val="00397714"/>
    <w:rsid w:val="00397994"/>
    <w:rsid w:val="00397AD1"/>
    <w:rsid w:val="003A0022"/>
    <w:rsid w:val="003A03D3"/>
    <w:rsid w:val="003A05B4"/>
    <w:rsid w:val="003A0C9E"/>
    <w:rsid w:val="003A0FA2"/>
    <w:rsid w:val="003A1025"/>
    <w:rsid w:val="003A105B"/>
    <w:rsid w:val="003A113A"/>
    <w:rsid w:val="003A123D"/>
    <w:rsid w:val="003A12B1"/>
    <w:rsid w:val="003A1B53"/>
    <w:rsid w:val="003A1D2F"/>
    <w:rsid w:val="003A1D7D"/>
    <w:rsid w:val="003A1DAC"/>
    <w:rsid w:val="003A1E0C"/>
    <w:rsid w:val="003A1E95"/>
    <w:rsid w:val="003A218C"/>
    <w:rsid w:val="003A21CE"/>
    <w:rsid w:val="003A22AA"/>
    <w:rsid w:val="003A23E2"/>
    <w:rsid w:val="003A23FE"/>
    <w:rsid w:val="003A2530"/>
    <w:rsid w:val="003A2796"/>
    <w:rsid w:val="003A285F"/>
    <w:rsid w:val="003A2ADC"/>
    <w:rsid w:val="003A2AED"/>
    <w:rsid w:val="003A2B55"/>
    <w:rsid w:val="003A2D5B"/>
    <w:rsid w:val="003A2D62"/>
    <w:rsid w:val="003A2E21"/>
    <w:rsid w:val="003A2EB0"/>
    <w:rsid w:val="003A31D8"/>
    <w:rsid w:val="003A3232"/>
    <w:rsid w:val="003A32EC"/>
    <w:rsid w:val="003A3400"/>
    <w:rsid w:val="003A397F"/>
    <w:rsid w:val="003A3A87"/>
    <w:rsid w:val="003A3B69"/>
    <w:rsid w:val="003A4040"/>
    <w:rsid w:val="003A45F9"/>
    <w:rsid w:val="003A478E"/>
    <w:rsid w:val="003A4C74"/>
    <w:rsid w:val="003A4E22"/>
    <w:rsid w:val="003A50B0"/>
    <w:rsid w:val="003A519C"/>
    <w:rsid w:val="003A53F2"/>
    <w:rsid w:val="003A54E5"/>
    <w:rsid w:val="003A565A"/>
    <w:rsid w:val="003A57BF"/>
    <w:rsid w:val="003A5B42"/>
    <w:rsid w:val="003A5B98"/>
    <w:rsid w:val="003A5BEB"/>
    <w:rsid w:val="003A5D4C"/>
    <w:rsid w:val="003A5DDE"/>
    <w:rsid w:val="003A624F"/>
    <w:rsid w:val="003A64CB"/>
    <w:rsid w:val="003A64D5"/>
    <w:rsid w:val="003A6697"/>
    <w:rsid w:val="003A672A"/>
    <w:rsid w:val="003A68AF"/>
    <w:rsid w:val="003A6A1A"/>
    <w:rsid w:val="003A6AEC"/>
    <w:rsid w:val="003A6E4F"/>
    <w:rsid w:val="003A7384"/>
    <w:rsid w:val="003A7689"/>
    <w:rsid w:val="003A7B11"/>
    <w:rsid w:val="003A7D1C"/>
    <w:rsid w:val="003A7D35"/>
    <w:rsid w:val="003B01C6"/>
    <w:rsid w:val="003B01E9"/>
    <w:rsid w:val="003B0444"/>
    <w:rsid w:val="003B0537"/>
    <w:rsid w:val="003B0FAB"/>
    <w:rsid w:val="003B15D0"/>
    <w:rsid w:val="003B1629"/>
    <w:rsid w:val="003B1800"/>
    <w:rsid w:val="003B1906"/>
    <w:rsid w:val="003B1CBE"/>
    <w:rsid w:val="003B1CEB"/>
    <w:rsid w:val="003B1EF9"/>
    <w:rsid w:val="003B1F52"/>
    <w:rsid w:val="003B2317"/>
    <w:rsid w:val="003B2875"/>
    <w:rsid w:val="003B29A8"/>
    <w:rsid w:val="003B2D8F"/>
    <w:rsid w:val="003B2DA8"/>
    <w:rsid w:val="003B2FF0"/>
    <w:rsid w:val="003B31C1"/>
    <w:rsid w:val="003B38C8"/>
    <w:rsid w:val="003B38EE"/>
    <w:rsid w:val="003B3EBF"/>
    <w:rsid w:val="003B427F"/>
    <w:rsid w:val="003B43C0"/>
    <w:rsid w:val="003B45CC"/>
    <w:rsid w:val="003B4BE8"/>
    <w:rsid w:val="003B50BA"/>
    <w:rsid w:val="003B53C5"/>
    <w:rsid w:val="003B54AB"/>
    <w:rsid w:val="003B54B6"/>
    <w:rsid w:val="003B5517"/>
    <w:rsid w:val="003B558C"/>
    <w:rsid w:val="003B560B"/>
    <w:rsid w:val="003B5813"/>
    <w:rsid w:val="003B5B86"/>
    <w:rsid w:val="003B5C3B"/>
    <w:rsid w:val="003B5C8B"/>
    <w:rsid w:val="003B5D60"/>
    <w:rsid w:val="003B5F23"/>
    <w:rsid w:val="003B5F69"/>
    <w:rsid w:val="003B6215"/>
    <w:rsid w:val="003B64E8"/>
    <w:rsid w:val="003B672A"/>
    <w:rsid w:val="003B6AB7"/>
    <w:rsid w:val="003B6B1F"/>
    <w:rsid w:val="003B6C3C"/>
    <w:rsid w:val="003B7023"/>
    <w:rsid w:val="003B7044"/>
    <w:rsid w:val="003B706C"/>
    <w:rsid w:val="003B7263"/>
    <w:rsid w:val="003B73B2"/>
    <w:rsid w:val="003B75CA"/>
    <w:rsid w:val="003B7747"/>
    <w:rsid w:val="003B7757"/>
    <w:rsid w:val="003B79C1"/>
    <w:rsid w:val="003B7FE0"/>
    <w:rsid w:val="003C02B3"/>
    <w:rsid w:val="003C0341"/>
    <w:rsid w:val="003C064D"/>
    <w:rsid w:val="003C0C41"/>
    <w:rsid w:val="003C0DF5"/>
    <w:rsid w:val="003C0F06"/>
    <w:rsid w:val="003C171A"/>
    <w:rsid w:val="003C18C6"/>
    <w:rsid w:val="003C1986"/>
    <w:rsid w:val="003C1B46"/>
    <w:rsid w:val="003C1C94"/>
    <w:rsid w:val="003C1CA3"/>
    <w:rsid w:val="003C1D36"/>
    <w:rsid w:val="003C23FB"/>
    <w:rsid w:val="003C244A"/>
    <w:rsid w:val="003C2577"/>
    <w:rsid w:val="003C2A13"/>
    <w:rsid w:val="003C2AF2"/>
    <w:rsid w:val="003C2C9C"/>
    <w:rsid w:val="003C310C"/>
    <w:rsid w:val="003C31B5"/>
    <w:rsid w:val="003C367F"/>
    <w:rsid w:val="003C3819"/>
    <w:rsid w:val="003C391F"/>
    <w:rsid w:val="003C3A49"/>
    <w:rsid w:val="003C3ECB"/>
    <w:rsid w:val="003C4916"/>
    <w:rsid w:val="003C4A0F"/>
    <w:rsid w:val="003C4A25"/>
    <w:rsid w:val="003C4C36"/>
    <w:rsid w:val="003C4CAB"/>
    <w:rsid w:val="003C4D88"/>
    <w:rsid w:val="003C4E16"/>
    <w:rsid w:val="003C50BF"/>
    <w:rsid w:val="003C514B"/>
    <w:rsid w:val="003C5151"/>
    <w:rsid w:val="003C51B0"/>
    <w:rsid w:val="003C558C"/>
    <w:rsid w:val="003C5B00"/>
    <w:rsid w:val="003C5B7F"/>
    <w:rsid w:val="003C5C84"/>
    <w:rsid w:val="003C5D50"/>
    <w:rsid w:val="003C5FB3"/>
    <w:rsid w:val="003C638F"/>
    <w:rsid w:val="003C6490"/>
    <w:rsid w:val="003C6654"/>
    <w:rsid w:val="003C67D4"/>
    <w:rsid w:val="003C6839"/>
    <w:rsid w:val="003C6913"/>
    <w:rsid w:val="003C69D2"/>
    <w:rsid w:val="003C6AF9"/>
    <w:rsid w:val="003C6CCB"/>
    <w:rsid w:val="003C6ED7"/>
    <w:rsid w:val="003C6F05"/>
    <w:rsid w:val="003C70CE"/>
    <w:rsid w:val="003C70D7"/>
    <w:rsid w:val="003C71A4"/>
    <w:rsid w:val="003C7287"/>
    <w:rsid w:val="003C73D7"/>
    <w:rsid w:val="003C74C4"/>
    <w:rsid w:val="003C7545"/>
    <w:rsid w:val="003C76B7"/>
    <w:rsid w:val="003C777F"/>
    <w:rsid w:val="003C7E49"/>
    <w:rsid w:val="003D00E0"/>
    <w:rsid w:val="003D012E"/>
    <w:rsid w:val="003D0131"/>
    <w:rsid w:val="003D02C3"/>
    <w:rsid w:val="003D0588"/>
    <w:rsid w:val="003D05DE"/>
    <w:rsid w:val="003D068B"/>
    <w:rsid w:val="003D0AD4"/>
    <w:rsid w:val="003D0AD9"/>
    <w:rsid w:val="003D0C46"/>
    <w:rsid w:val="003D0D38"/>
    <w:rsid w:val="003D0D9B"/>
    <w:rsid w:val="003D0F31"/>
    <w:rsid w:val="003D1ACA"/>
    <w:rsid w:val="003D1B67"/>
    <w:rsid w:val="003D1D8F"/>
    <w:rsid w:val="003D2161"/>
    <w:rsid w:val="003D218B"/>
    <w:rsid w:val="003D21A9"/>
    <w:rsid w:val="003D24CB"/>
    <w:rsid w:val="003D25DF"/>
    <w:rsid w:val="003D2940"/>
    <w:rsid w:val="003D2ED4"/>
    <w:rsid w:val="003D314E"/>
    <w:rsid w:val="003D358D"/>
    <w:rsid w:val="003D3723"/>
    <w:rsid w:val="003D37AC"/>
    <w:rsid w:val="003D3DD1"/>
    <w:rsid w:val="003D416B"/>
    <w:rsid w:val="003D41AE"/>
    <w:rsid w:val="003D4366"/>
    <w:rsid w:val="003D44C1"/>
    <w:rsid w:val="003D4931"/>
    <w:rsid w:val="003D4AF2"/>
    <w:rsid w:val="003D4C03"/>
    <w:rsid w:val="003D4E93"/>
    <w:rsid w:val="003D4ED0"/>
    <w:rsid w:val="003D4F29"/>
    <w:rsid w:val="003D4F4C"/>
    <w:rsid w:val="003D503B"/>
    <w:rsid w:val="003D51C4"/>
    <w:rsid w:val="003D5279"/>
    <w:rsid w:val="003D53AE"/>
    <w:rsid w:val="003D55D4"/>
    <w:rsid w:val="003D56D7"/>
    <w:rsid w:val="003D5785"/>
    <w:rsid w:val="003D578D"/>
    <w:rsid w:val="003D5936"/>
    <w:rsid w:val="003D599B"/>
    <w:rsid w:val="003D5C30"/>
    <w:rsid w:val="003D5D75"/>
    <w:rsid w:val="003D5FAC"/>
    <w:rsid w:val="003D610F"/>
    <w:rsid w:val="003D61F4"/>
    <w:rsid w:val="003D62F0"/>
    <w:rsid w:val="003D6AD3"/>
    <w:rsid w:val="003D6B3B"/>
    <w:rsid w:val="003D71AA"/>
    <w:rsid w:val="003D727D"/>
    <w:rsid w:val="003D7285"/>
    <w:rsid w:val="003D7321"/>
    <w:rsid w:val="003D74EA"/>
    <w:rsid w:val="003D758D"/>
    <w:rsid w:val="003D763B"/>
    <w:rsid w:val="003D7755"/>
    <w:rsid w:val="003D79D7"/>
    <w:rsid w:val="003D7A4D"/>
    <w:rsid w:val="003D7D4C"/>
    <w:rsid w:val="003D7FCF"/>
    <w:rsid w:val="003E02E3"/>
    <w:rsid w:val="003E046E"/>
    <w:rsid w:val="003E04FB"/>
    <w:rsid w:val="003E050A"/>
    <w:rsid w:val="003E0529"/>
    <w:rsid w:val="003E066E"/>
    <w:rsid w:val="003E0722"/>
    <w:rsid w:val="003E08D9"/>
    <w:rsid w:val="003E0CB8"/>
    <w:rsid w:val="003E0EA6"/>
    <w:rsid w:val="003E1016"/>
    <w:rsid w:val="003E1122"/>
    <w:rsid w:val="003E1477"/>
    <w:rsid w:val="003E15F7"/>
    <w:rsid w:val="003E16CE"/>
    <w:rsid w:val="003E16FA"/>
    <w:rsid w:val="003E191A"/>
    <w:rsid w:val="003E1B39"/>
    <w:rsid w:val="003E1BA4"/>
    <w:rsid w:val="003E1C2D"/>
    <w:rsid w:val="003E1CD3"/>
    <w:rsid w:val="003E2047"/>
    <w:rsid w:val="003E21C7"/>
    <w:rsid w:val="003E2750"/>
    <w:rsid w:val="003E2AAD"/>
    <w:rsid w:val="003E2BCC"/>
    <w:rsid w:val="003E319D"/>
    <w:rsid w:val="003E32AD"/>
    <w:rsid w:val="003E34C9"/>
    <w:rsid w:val="003E3590"/>
    <w:rsid w:val="003E38E4"/>
    <w:rsid w:val="003E3AB6"/>
    <w:rsid w:val="003E3B0F"/>
    <w:rsid w:val="003E3B87"/>
    <w:rsid w:val="003E3D91"/>
    <w:rsid w:val="003E403E"/>
    <w:rsid w:val="003E4074"/>
    <w:rsid w:val="003E40DA"/>
    <w:rsid w:val="003E4312"/>
    <w:rsid w:val="003E43CD"/>
    <w:rsid w:val="003E461C"/>
    <w:rsid w:val="003E4797"/>
    <w:rsid w:val="003E4DF1"/>
    <w:rsid w:val="003E4F0F"/>
    <w:rsid w:val="003E513C"/>
    <w:rsid w:val="003E524B"/>
    <w:rsid w:val="003E52C9"/>
    <w:rsid w:val="003E540E"/>
    <w:rsid w:val="003E5842"/>
    <w:rsid w:val="003E59FF"/>
    <w:rsid w:val="003E5BA3"/>
    <w:rsid w:val="003E5EB5"/>
    <w:rsid w:val="003E6117"/>
    <w:rsid w:val="003E612C"/>
    <w:rsid w:val="003E61FB"/>
    <w:rsid w:val="003E622D"/>
    <w:rsid w:val="003E6288"/>
    <w:rsid w:val="003E662C"/>
    <w:rsid w:val="003E6846"/>
    <w:rsid w:val="003E6852"/>
    <w:rsid w:val="003E68DB"/>
    <w:rsid w:val="003E6D24"/>
    <w:rsid w:val="003E71A5"/>
    <w:rsid w:val="003E7738"/>
    <w:rsid w:val="003E795A"/>
    <w:rsid w:val="003E7972"/>
    <w:rsid w:val="003E7B50"/>
    <w:rsid w:val="003E7C46"/>
    <w:rsid w:val="003E7FD8"/>
    <w:rsid w:val="003F017F"/>
    <w:rsid w:val="003F0247"/>
    <w:rsid w:val="003F032B"/>
    <w:rsid w:val="003F0580"/>
    <w:rsid w:val="003F083D"/>
    <w:rsid w:val="003F0A99"/>
    <w:rsid w:val="003F0B1E"/>
    <w:rsid w:val="003F0C0C"/>
    <w:rsid w:val="003F0C67"/>
    <w:rsid w:val="003F0F1F"/>
    <w:rsid w:val="003F10CA"/>
    <w:rsid w:val="003F115A"/>
    <w:rsid w:val="003F11F2"/>
    <w:rsid w:val="003F15C3"/>
    <w:rsid w:val="003F179F"/>
    <w:rsid w:val="003F1A53"/>
    <w:rsid w:val="003F1B3C"/>
    <w:rsid w:val="003F1BD4"/>
    <w:rsid w:val="003F1CC5"/>
    <w:rsid w:val="003F1F98"/>
    <w:rsid w:val="003F1FCF"/>
    <w:rsid w:val="003F2014"/>
    <w:rsid w:val="003F20BA"/>
    <w:rsid w:val="003F226F"/>
    <w:rsid w:val="003F2521"/>
    <w:rsid w:val="003F278D"/>
    <w:rsid w:val="003F2828"/>
    <w:rsid w:val="003F2A59"/>
    <w:rsid w:val="003F2C65"/>
    <w:rsid w:val="003F3149"/>
    <w:rsid w:val="003F3438"/>
    <w:rsid w:val="003F34A2"/>
    <w:rsid w:val="003F3812"/>
    <w:rsid w:val="003F394B"/>
    <w:rsid w:val="003F3A4F"/>
    <w:rsid w:val="003F3A9F"/>
    <w:rsid w:val="003F3B2A"/>
    <w:rsid w:val="003F3BC9"/>
    <w:rsid w:val="003F3C2A"/>
    <w:rsid w:val="003F3EF5"/>
    <w:rsid w:val="003F3F09"/>
    <w:rsid w:val="003F4252"/>
    <w:rsid w:val="003F42E5"/>
    <w:rsid w:val="003F4707"/>
    <w:rsid w:val="003F4818"/>
    <w:rsid w:val="003F4AAC"/>
    <w:rsid w:val="003F4C66"/>
    <w:rsid w:val="003F4E20"/>
    <w:rsid w:val="003F4EAC"/>
    <w:rsid w:val="003F56F8"/>
    <w:rsid w:val="003F596F"/>
    <w:rsid w:val="003F59D3"/>
    <w:rsid w:val="003F5A47"/>
    <w:rsid w:val="003F5A53"/>
    <w:rsid w:val="003F5D89"/>
    <w:rsid w:val="003F5DD8"/>
    <w:rsid w:val="003F5F42"/>
    <w:rsid w:val="003F60F2"/>
    <w:rsid w:val="003F6388"/>
    <w:rsid w:val="003F64E0"/>
    <w:rsid w:val="003F6696"/>
    <w:rsid w:val="003F67B6"/>
    <w:rsid w:val="003F67DC"/>
    <w:rsid w:val="003F6808"/>
    <w:rsid w:val="003F6AAF"/>
    <w:rsid w:val="003F6D2B"/>
    <w:rsid w:val="003F6F5B"/>
    <w:rsid w:val="003F7458"/>
    <w:rsid w:val="003F77B4"/>
    <w:rsid w:val="003F77B7"/>
    <w:rsid w:val="003F78E2"/>
    <w:rsid w:val="003F7AF1"/>
    <w:rsid w:val="003F7CF3"/>
    <w:rsid w:val="004001B5"/>
    <w:rsid w:val="00400659"/>
    <w:rsid w:val="00400A65"/>
    <w:rsid w:val="00400B8C"/>
    <w:rsid w:val="00400CFD"/>
    <w:rsid w:val="00400EAD"/>
    <w:rsid w:val="00400F50"/>
    <w:rsid w:val="00400FD8"/>
    <w:rsid w:val="004013C7"/>
    <w:rsid w:val="00401413"/>
    <w:rsid w:val="0040168B"/>
    <w:rsid w:val="00401840"/>
    <w:rsid w:val="004018E2"/>
    <w:rsid w:val="004018F6"/>
    <w:rsid w:val="00401BAE"/>
    <w:rsid w:val="00401D31"/>
    <w:rsid w:val="00401D8A"/>
    <w:rsid w:val="00401E3F"/>
    <w:rsid w:val="00402098"/>
    <w:rsid w:val="00402175"/>
    <w:rsid w:val="004023F3"/>
    <w:rsid w:val="0040254E"/>
    <w:rsid w:val="004026AC"/>
    <w:rsid w:val="004026C6"/>
    <w:rsid w:val="0040272F"/>
    <w:rsid w:val="00402A11"/>
    <w:rsid w:val="00402B26"/>
    <w:rsid w:val="00402CF5"/>
    <w:rsid w:val="00402D32"/>
    <w:rsid w:val="00402F9B"/>
    <w:rsid w:val="004033BF"/>
    <w:rsid w:val="004034B5"/>
    <w:rsid w:val="004039BB"/>
    <w:rsid w:val="00403A5C"/>
    <w:rsid w:val="00403AC4"/>
    <w:rsid w:val="00403D9B"/>
    <w:rsid w:val="00403EA2"/>
    <w:rsid w:val="00404167"/>
    <w:rsid w:val="004041AE"/>
    <w:rsid w:val="00404592"/>
    <w:rsid w:val="0040459C"/>
    <w:rsid w:val="00404628"/>
    <w:rsid w:val="00404698"/>
    <w:rsid w:val="00404D1F"/>
    <w:rsid w:val="00404E96"/>
    <w:rsid w:val="0040560A"/>
    <w:rsid w:val="00405779"/>
    <w:rsid w:val="00405A70"/>
    <w:rsid w:val="00405E46"/>
    <w:rsid w:val="0040618E"/>
    <w:rsid w:val="00406425"/>
    <w:rsid w:val="00406795"/>
    <w:rsid w:val="004067EC"/>
    <w:rsid w:val="00406935"/>
    <w:rsid w:val="00406992"/>
    <w:rsid w:val="00406A43"/>
    <w:rsid w:val="00406D51"/>
    <w:rsid w:val="00406DF1"/>
    <w:rsid w:val="00406E0C"/>
    <w:rsid w:val="00406EBA"/>
    <w:rsid w:val="0040710D"/>
    <w:rsid w:val="00407130"/>
    <w:rsid w:val="0040725D"/>
    <w:rsid w:val="00407476"/>
    <w:rsid w:val="00407527"/>
    <w:rsid w:val="004079D2"/>
    <w:rsid w:val="00407AAA"/>
    <w:rsid w:val="00407B2A"/>
    <w:rsid w:val="00407B7E"/>
    <w:rsid w:val="00407CFD"/>
    <w:rsid w:val="00410088"/>
    <w:rsid w:val="00410150"/>
    <w:rsid w:val="004102BE"/>
    <w:rsid w:val="00410397"/>
    <w:rsid w:val="00410CB7"/>
    <w:rsid w:val="00410EB2"/>
    <w:rsid w:val="0041102A"/>
    <w:rsid w:val="004111C2"/>
    <w:rsid w:val="00411329"/>
    <w:rsid w:val="0041139F"/>
    <w:rsid w:val="004114E7"/>
    <w:rsid w:val="00411515"/>
    <w:rsid w:val="004116B7"/>
    <w:rsid w:val="00411724"/>
    <w:rsid w:val="004117A8"/>
    <w:rsid w:val="0041182C"/>
    <w:rsid w:val="00411AE8"/>
    <w:rsid w:val="00411D79"/>
    <w:rsid w:val="004123CD"/>
    <w:rsid w:val="0041241D"/>
    <w:rsid w:val="00412421"/>
    <w:rsid w:val="0041246B"/>
    <w:rsid w:val="004124AC"/>
    <w:rsid w:val="004127B9"/>
    <w:rsid w:val="004127F2"/>
    <w:rsid w:val="00412955"/>
    <w:rsid w:val="00412B5E"/>
    <w:rsid w:val="00412C28"/>
    <w:rsid w:val="0041301A"/>
    <w:rsid w:val="0041317C"/>
    <w:rsid w:val="004131BC"/>
    <w:rsid w:val="004133C7"/>
    <w:rsid w:val="004136C4"/>
    <w:rsid w:val="00413965"/>
    <w:rsid w:val="00413990"/>
    <w:rsid w:val="00413AC1"/>
    <w:rsid w:val="00413CA7"/>
    <w:rsid w:val="00413CF0"/>
    <w:rsid w:val="00413DF5"/>
    <w:rsid w:val="004140E2"/>
    <w:rsid w:val="004140F2"/>
    <w:rsid w:val="0041463D"/>
    <w:rsid w:val="00414855"/>
    <w:rsid w:val="00414A92"/>
    <w:rsid w:val="00414C5E"/>
    <w:rsid w:val="00414E81"/>
    <w:rsid w:val="00414EA6"/>
    <w:rsid w:val="0041516A"/>
    <w:rsid w:val="0041569D"/>
    <w:rsid w:val="00415A61"/>
    <w:rsid w:val="00415BFD"/>
    <w:rsid w:val="00415F37"/>
    <w:rsid w:val="00415F7E"/>
    <w:rsid w:val="0041603A"/>
    <w:rsid w:val="00416319"/>
    <w:rsid w:val="00416649"/>
    <w:rsid w:val="0041667F"/>
    <w:rsid w:val="00416D92"/>
    <w:rsid w:val="004172D5"/>
    <w:rsid w:val="00417744"/>
    <w:rsid w:val="00417795"/>
    <w:rsid w:val="0041787F"/>
    <w:rsid w:val="00417AC0"/>
    <w:rsid w:val="00417AC7"/>
    <w:rsid w:val="00417B7F"/>
    <w:rsid w:val="00417ECF"/>
    <w:rsid w:val="00417F90"/>
    <w:rsid w:val="00417FE7"/>
    <w:rsid w:val="00417FFE"/>
    <w:rsid w:val="00420123"/>
    <w:rsid w:val="0042087C"/>
    <w:rsid w:val="00420A45"/>
    <w:rsid w:val="00420BE5"/>
    <w:rsid w:val="00420CD4"/>
    <w:rsid w:val="00420CEE"/>
    <w:rsid w:val="00420E91"/>
    <w:rsid w:val="00420EDA"/>
    <w:rsid w:val="0042109F"/>
    <w:rsid w:val="00421311"/>
    <w:rsid w:val="0042148A"/>
    <w:rsid w:val="00421821"/>
    <w:rsid w:val="00421874"/>
    <w:rsid w:val="00421A2E"/>
    <w:rsid w:val="00421E25"/>
    <w:rsid w:val="004220F4"/>
    <w:rsid w:val="0042215C"/>
    <w:rsid w:val="00422385"/>
    <w:rsid w:val="00422527"/>
    <w:rsid w:val="004227F9"/>
    <w:rsid w:val="004228F9"/>
    <w:rsid w:val="00422CA1"/>
    <w:rsid w:val="00422EA0"/>
    <w:rsid w:val="00423318"/>
    <w:rsid w:val="004234C7"/>
    <w:rsid w:val="00423A07"/>
    <w:rsid w:val="00423B64"/>
    <w:rsid w:val="00423BD8"/>
    <w:rsid w:val="00423DAA"/>
    <w:rsid w:val="00423E8E"/>
    <w:rsid w:val="0042402B"/>
    <w:rsid w:val="0042408F"/>
    <w:rsid w:val="004247C0"/>
    <w:rsid w:val="004248FB"/>
    <w:rsid w:val="00424A25"/>
    <w:rsid w:val="00424AD3"/>
    <w:rsid w:val="00424CB6"/>
    <w:rsid w:val="00424CC4"/>
    <w:rsid w:val="00424FCB"/>
    <w:rsid w:val="0042541E"/>
    <w:rsid w:val="00425605"/>
    <w:rsid w:val="004257DC"/>
    <w:rsid w:val="00425CE2"/>
    <w:rsid w:val="00425DF0"/>
    <w:rsid w:val="00425EDC"/>
    <w:rsid w:val="004263DF"/>
    <w:rsid w:val="00426534"/>
    <w:rsid w:val="00426A1B"/>
    <w:rsid w:val="00426ACD"/>
    <w:rsid w:val="00426B9F"/>
    <w:rsid w:val="00426BE6"/>
    <w:rsid w:val="00426D5C"/>
    <w:rsid w:val="00427679"/>
    <w:rsid w:val="00427806"/>
    <w:rsid w:val="00427843"/>
    <w:rsid w:val="00427A2D"/>
    <w:rsid w:val="00430076"/>
    <w:rsid w:val="004300A0"/>
    <w:rsid w:val="004302B8"/>
    <w:rsid w:val="00430316"/>
    <w:rsid w:val="00430328"/>
    <w:rsid w:val="00430786"/>
    <w:rsid w:val="00430A76"/>
    <w:rsid w:val="00430B37"/>
    <w:rsid w:val="00430C6E"/>
    <w:rsid w:val="00430C9D"/>
    <w:rsid w:val="0043121A"/>
    <w:rsid w:val="00431418"/>
    <w:rsid w:val="0043174C"/>
    <w:rsid w:val="00431825"/>
    <w:rsid w:val="00431AA3"/>
    <w:rsid w:val="00431BF3"/>
    <w:rsid w:val="004321D3"/>
    <w:rsid w:val="00432280"/>
    <w:rsid w:val="00432809"/>
    <w:rsid w:val="00432A61"/>
    <w:rsid w:val="0043308C"/>
    <w:rsid w:val="00433109"/>
    <w:rsid w:val="004332D2"/>
    <w:rsid w:val="004334A8"/>
    <w:rsid w:val="00433EB4"/>
    <w:rsid w:val="00433FF1"/>
    <w:rsid w:val="0043411D"/>
    <w:rsid w:val="00434333"/>
    <w:rsid w:val="0043439C"/>
    <w:rsid w:val="00434590"/>
    <w:rsid w:val="00434775"/>
    <w:rsid w:val="00434856"/>
    <w:rsid w:val="004349CA"/>
    <w:rsid w:val="00434A1C"/>
    <w:rsid w:val="00434ADC"/>
    <w:rsid w:val="00434FDF"/>
    <w:rsid w:val="0043504D"/>
    <w:rsid w:val="004350AE"/>
    <w:rsid w:val="00435354"/>
    <w:rsid w:val="00435657"/>
    <w:rsid w:val="004357C8"/>
    <w:rsid w:val="00435ACC"/>
    <w:rsid w:val="00435C58"/>
    <w:rsid w:val="00435F78"/>
    <w:rsid w:val="00436178"/>
    <w:rsid w:val="0043625B"/>
    <w:rsid w:val="0043648F"/>
    <w:rsid w:val="00436797"/>
    <w:rsid w:val="00436875"/>
    <w:rsid w:val="00436A11"/>
    <w:rsid w:val="00436AF5"/>
    <w:rsid w:val="00436C8B"/>
    <w:rsid w:val="00436C97"/>
    <w:rsid w:val="00436E93"/>
    <w:rsid w:val="00437124"/>
    <w:rsid w:val="0043733F"/>
    <w:rsid w:val="0043743E"/>
    <w:rsid w:val="00437711"/>
    <w:rsid w:val="004378D2"/>
    <w:rsid w:val="004379F6"/>
    <w:rsid w:val="00437C99"/>
    <w:rsid w:val="00437E83"/>
    <w:rsid w:val="00440108"/>
    <w:rsid w:val="00440133"/>
    <w:rsid w:val="00440658"/>
    <w:rsid w:val="004406D1"/>
    <w:rsid w:val="0044090A"/>
    <w:rsid w:val="00440A9E"/>
    <w:rsid w:val="00440E18"/>
    <w:rsid w:val="00440F19"/>
    <w:rsid w:val="00440F90"/>
    <w:rsid w:val="004411A4"/>
    <w:rsid w:val="00441392"/>
    <w:rsid w:val="00441514"/>
    <w:rsid w:val="0044166F"/>
    <w:rsid w:val="004417BA"/>
    <w:rsid w:val="00441881"/>
    <w:rsid w:val="00441936"/>
    <w:rsid w:val="00441A26"/>
    <w:rsid w:val="00441BB4"/>
    <w:rsid w:val="00441CEB"/>
    <w:rsid w:val="00441E57"/>
    <w:rsid w:val="00441FD9"/>
    <w:rsid w:val="00442567"/>
    <w:rsid w:val="00442569"/>
    <w:rsid w:val="00442991"/>
    <w:rsid w:val="00442ABB"/>
    <w:rsid w:val="00442B37"/>
    <w:rsid w:val="00442B7F"/>
    <w:rsid w:val="00442BFE"/>
    <w:rsid w:val="00442E07"/>
    <w:rsid w:val="0044305F"/>
    <w:rsid w:val="0044309E"/>
    <w:rsid w:val="00443211"/>
    <w:rsid w:val="00443364"/>
    <w:rsid w:val="004434C4"/>
    <w:rsid w:val="00443A9E"/>
    <w:rsid w:val="00443D5F"/>
    <w:rsid w:val="00443D82"/>
    <w:rsid w:val="00443F08"/>
    <w:rsid w:val="00443F0B"/>
    <w:rsid w:val="00443F0C"/>
    <w:rsid w:val="004441E2"/>
    <w:rsid w:val="00444333"/>
    <w:rsid w:val="004449FD"/>
    <w:rsid w:val="00444A70"/>
    <w:rsid w:val="00444B42"/>
    <w:rsid w:val="00444E40"/>
    <w:rsid w:val="00444F78"/>
    <w:rsid w:val="00445064"/>
    <w:rsid w:val="00445109"/>
    <w:rsid w:val="0044516D"/>
    <w:rsid w:val="004454A8"/>
    <w:rsid w:val="004454B5"/>
    <w:rsid w:val="004454FC"/>
    <w:rsid w:val="00445633"/>
    <w:rsid w:val="004456B6"/>
    <w:rsid w:val="0044572F"/>
    <w:rsid w:val="00445970"/>
    <w:rsid w:val="00445AC8"/>
    <w:rsid w:val="00445C3A"/>
    <w:rsid w:val="00445CC2"/>
    <w:rsid w:val="00445E70"/>
    <w:rsid w:val="00445F93"/>
    <w:rsid w:val="004461EC"/>
    <w:rsid w:val="004467C3"/>
    <w:rsid w:val="0044681B"/>
    <w:rsid w:val="004468F2"/>
    <w:rsid w:val="0044698D"/>
    <w:rsid w:val="00446ACC"/>
    <w:rsid w:val="00446D02"/>
    <w:rsid w:val="00446EDD"/>
    <w:rsid w:val="00446F47"/>
    <w:rsid w:val="004471A8"/>
    <w:rsid w:val="00447792"/>
    <w:rsid w:val="00447B72"/>
    <w:rsid w:val="00447E9A"/>
    <w:rsid w:val="004501AA"/>
    <w:rsid w:val="00450247"/>
    <w:rsid w:val="004508C6"/>
    <w:rsid w:val="004511F4"/>
    <w:rsid w:val="00451237"/>
    <w:rsid w:val="004515B5"/>
    <w:rsid w:val="004519A2"/>
    <w:rsid w:val="00451C67"/>
    <w:rsid w:val="00451E10"/>
    <w:rsid w:val="00452109"/>
    <w:rsid w:val="00452143"/>
    <w:rsid w:val="004521AC"/>
    <w:rsid w:val="004523DF"/>
    <w:rsid w:val="00452708"/>
    <w:rsid w:val="00452789"/>
    <w:rsid w:val="00452930"/>
    <w:rsid w:val="00452EA6"/>
    <w:rsid w:val="00452FEF"/>
    <w:rsid w:val="00453071"/>
    <w:rsid w:val="00453303"/>
    <w:rsid w:val="004535DE"/>
    <w:rsid w:val="00453AE6"/>
    <w:rsid w:val="00453D0B"/>
    <w:rsid w:val="00453DD2"/>
    <w:rsid w:val="00454099"/>
    <w:rsid w:val="004542D3"/>
    <w:rsid w:val="0045435B"/>
    <w:rsid w:val="00454672"/>
    <w:rsid w:val="0045476D"/>
    <w:rsid w:val="00454A6F"/>
    <w:rsid w:val="00454BB3"/>
    <w:rsid w:val="00454D66"/>
    <w:rsid w:val="00454DC3"/>
    <w:rsid w:val="00454E77"/>
    <w:rsid w:val="00454F46"/>
    <w:rsid w:val="00454F8D"/>
    <w:rsid w:val="004550F7"/>
    <w:rsid w:val="00455669"/>
    <w:rsid w:val="004559F4"/>
    <w:rsid w:val="00455BA7"/>
    <w:rsid w:val="00455D67"/>
    <w:rsid w:val="004560E4"/>
    <w:rsid w:val="0045647B"/>
    <w:rsid w:val="00456756"/>
    <w:rsid w:val="00456B0B"/>
    <w:rsid w:val="00456C57"/>
    <w:rsid w:val="00456C92"/>
    <w:rsid w:val="00456D4A"/>
    <w:rsid w:val="00457691"/>
    <w:rsid w:val="004577D5"/>
    <w:rsid w:val="004577ED"/>
    <w:rsid w:val="004578A3"/>
    <w:rsid w:val="00460062"/>
    <w:rsid w:val="0046007C"/>
    <w:rsid w:val="00460167"/>
    <w:rsid w:val="004601D2"/>
    <w:rsid w:val="00460408"/>
    <w:rsid w:val="0046063B"/>
    <w:rsid w:val="00460882"/>
    <w:rsid w:val="00460A21"/>
    <w:rsid w:val="00460BC6"/>
    <w:rsid w:val="00460D3C"/>
    <w:rsid w:val="00460FAD"/>
    <w:rsid w:val="0046101A"/>
    <w:rsid w:val="004616DC"/>
    <w:rsid w:val="004617F0"/>
    <w:rsid w:val="00461886"/>
    <w:rsid w:val="00461B10"/>
    <w:rsid w:val="00461BD1"/>
    <w:rsid w:val="00461C0B"/>
    <w:rsid w:val="00461FF4"/>
    <w:rsid w:val="00462283"/>
    <w:rsid w:val="00462759"/>
    <w:rsid w:val="00462809"/>
    <w:rsid w:val="00462847"/>
    <w:rsid w:val="00462B41"/>
    <w:rsid w:val="00462CA4"/>
    <w:rsid w:val="00462D72"/>
    <w:rsid w:val="00463246"/>
    <w:rsid w:val="0046361A"/>
    <w:rsid w:val="00463A2B"/>
    <w:rsid w:val="00463B50"/>
    <w:rsid w:val="00463DEE"/>
    <w:rsid w:val="00463EA0"/>
    <w:rsid w:val="00464115"/>
    <w:rsid w:val="004648A6"/>
    <w:rsid w:val="004649F4"/>
    <w:rsid w:val="00464C8D"/>
    <w:rsid w:val="00464D59"/>
    <w:rsid w:val="00464E75"/>
    <w:rsid w:val="00465D4D"/>
    <w:rsid w:val="00465EB7"/>
    <w:rsid w:val="00465FB1"/>
    <w:rsid w:val="00466188"/>
    <w:rsid w:val="00466585"/>
    <w:rsid w:val="004665D7"/>
    <w:rsid w:val="0046698D"/>
    <w:rsid w:val="00466B25"/>
    <w:rsid w:val="00466D92"/>
    <w:rsid w:val="00466E69"/>
    <w:rsid w:val="00466E6F"/>
    <w:rsid w:val="00467076"/>
    <w:rsid w:val="00467083"/>
    <w:rsid w:val="004673CD"/>
    <w:rsid w:val="00467508"/>
    <w:rsid w:val="00467A2A"/>
    <w:rsid w:val="00467C81"/>
    <w:rsid w:val="00467E20"/>
    <w:rsid w:val="00467E77"/>
    <w:rsid w:val="004700C3"/>
    <w:rsid w:val="0047014B"/>
    <w:rsid w:val="0047053D"/>
    <w:rsid w:val="00470835"/>
    <w:rsid w:val="004708C0"/>
    <w:rsid w:val="00470F4C"/>
    <w:rsid w:val="004713CC"/>
    <w:rsid w:val="00471851"/>
    <w:rsid w:val="004718E5"/>
    <w:rsid w:val="004719B2"/>
    <w:rsid w:val="00471C32"/>
    <w:rsid w:val="00471E3C"/>
    <w:rsid w:val="004721B9"/>
    <w:rsid w:val="0047224F"/>
    <w:rsid w:val="00472575"/>
    <w:rsid w:val="00472606"/>
    <w:rsid w:val="00472693"/>
    <w:rsid w:val="004727ED"/>
    <w:rsid w:val="00472A41"/>
    <w:rsid w:val="00472AD4"/>
    <w:rsid w:val="00472B40"/>
    <w:rsid w:val="00472B58"/>
    <w:rsid w:val="00472E40"/>
    <w:rsid w:val="00472E52"/>
    <w:rsid w:val="00472F03"/>
    <w:rsid w:val="0047318C"/>
    <w:rsid w:val="00473614"/>
    <w:rsid w:val="004737BA"/>
    <w:rsid w:val="004738E6"/>
    <w:rsid w:val="004739A4"/>
    <w:rsid w:val="00473A72"/>
    <w:rsid w:val="00473BA9"/>
    <w:rsid w:val="00473DE2"/>
    <w:rsid w:val="00473E05"/>
    <w:rsid w:val="00473EEB"/>
    <w:rsid w:val="00474109"/>
    <w:rsid w:val="004744BF"/>
    <w:rsid w:val="00474808"/>
    <w:rsid w:val="00474DDE"/>
    <w:rsid w:val="00474EF8"/>
    <w:rsid w:val="004750E1"/>
    <w:rsid w:val="004750ED"/>
    <w:rsid w:val="004753C8"/>
    <w:rsid w:val="0047574C"/>
    <w:rsid w:val="0047590D"/>
    <w:rsid w:val="00475C45"/>
    <w:rsid w:val="0047607F"/>
    <w:rsid w:val="004760D4"/>
    <w:rsid w:val="0047642B"/>
    <w:rsid w:val="004764E9"/>
    <w:rsid w:val="004764ED"/>
    <w:rsid w:val="00476D61"/>
    <w:rsid w:val="00476EC6"/>
    <w:rsid w:val="00477030"/>
    <w:rsid w:val="00477209"/>
    <w:rsid w:val="00477934"/>
    <w:rsid w:val="00477A9C"/>
    <w:rsid w:val="00477D38"/>
    <w:rsid w:val="00480000"/>
    <w:rsid w:val="004801C3"/>
    <w:rsid w:val="00480208"/>
    <w:rsid w:val="00480553"/>
    <w:rsid w:val="004806D2"/>
    <w:rsid w:val="00480819"/>
    <w:rsid w:val="0048082E"/>
    <w:rsid w:val="00480BA9"/>
    <w:rsid w:val="00480DAE"/>
    <w:rsid w:val="00481241"/>
    <w:rsid w:val="004812A1"/>
    <w:rsid w:val="004813C2"/>
    <w:rsid w:val="00481411"/>
    <w:rsid w:val="004815A1"/>
    <w:rsid w:val="0048170F"/>
    <w:rsid w:val="004817B5"/>
    <w:rsid w:val="004817F0"/>
    <w:rsid w:val="00481854"/>
    <w:rsid w:val="00481860"/>
    <w:rsid w:val="00481904"/>
    <w:rsid w:val="00481BCC"/>
    <w:rsid w:val="00481C18"/>
    <w:rsid w:val="00482139"/>
    <w:rsid w:val="0048230B"/>
    <w:rsid w:val="00482C7C"/>
    <w:rsid w:val="00483069"/>
    <w:rsid w:val="004830C2"/>
    <w:rsid w:val="004832ED"/>
    <w:rsid w:val="00483367"/>
    <w:rsid w:val="004833D1"/>
    <w:rsid w:val="0048345D"/>
    <w:rsid w:val="00483E8A"/>
    <w:rsid w:val="0048432F"/>
    <w:rsid w:val="00484371"/>
    <w:rsid w:val="0048459C"/>
    <w:rsid w:val="00484613"/>
    <w:rsid w:val="0048461A"/>
    <w:rsid w:val="00484681"/>
    <w:rsid w:val="0048468F"/>
    <w:rsid w:val="004846DE"/>
    <w:rsid w:val="004848C4"/>
    <w:rsid w:val="0048491B"/>
    <w:rsid w:val="00484D67"/>
    <w:rsid w:val="00484E85"/>
    <w:rsid w:val="004850EA"/>
    <w:rsid w:val="004854C5"/>
    <w:rsid w:val="0048568F"/>
    <w:rsid w:val="004857BB"/>
    <w:rsid w:val="00485B04"/>
    <w:rsid w:val="00485B6C"/>
    <w:rsid w:val="00485BE0"/>
    <w:rsid w:val="00485EA0"/>
    <w:rsid w:val="00486088"/>
    <w:rsid w:val="00486550"/>
    <w:rsid w:val="0048675C"/>
    <w:rsid w:val="00486A1B"/>
    <w:rsid w:val="00487A61"/>
    <w:rsid w:val="00487ADE"/>
    <w:rsid w:val="00487AF8"/>
    <w:rsid w:val="00487B04"/>
    <w:rsid w:val="00487B66"/>
    <w:rsid w:val="00487CE2"/>
    <w:rsid w:val="00487F8E"/>
    <w:rsid w:val="00490523"/>
    <w:rsid w:val="00490792"/>
    <w:rsid w:val="00490CB2"/>
    <w:rsid w:val="00490DBE"/>
    <w:rsid w:val="00490DD0"/>
    <w:rsid w:val="00491064"/>
    <w:rsid w:val="00491081"/>
    <w:rsid w:val="00491082"/>
    <w:rsid w:val="00491130"/>
    <w:rsid w:val="004912C4"/>
    <w:rsid w:val="004914D9"/>
    <w:rsid w:val="0049153A"/>
    <w:rsid w:val="00491835"/>
    <w:rsid w:val="00491881"/>
    <w:rsid w:val="0049189C"/>
    <w:rsid w:val="0049194F"/>
    <w:rsid w:val="004919E3"/>
    <w:rsid w:val="004919F2"/>
    <w:rsid w:val="00491C10"/>
    <w:rsid w:val="00491E34"/>
    <w:rsid w:val="00491FF0"/>
    <w:rsid w:val="00492015"/>
    <w:rsid w:val="004923C8"/>
    <w:rsid w:val="0049255F"/>
    <w:rsid w:val="004927AE"/>
    <w:rsid w:val="00492810"/>
    <w:rsid w:val="00492BBD"/>
    <w:rsid w:val="00492CD4"/>
    <w:rsid w:val="00492D69"/>
    <w:rsid w:val="00493052"/>
    <w:rsid w:val="004931C0"/>
    <w:rsid w:val="0049325D"/>
    <w:rsid w:val="00493347"/>
    <w:rsid w:val="0049364A"/>
    <w:rsid w:val="004936E1"/>
    <w:rsid w:val="004938B9"/>
    <w:rsid w:val="00493A2E"/>
    <w:rsid w:val="00493E56"/>
    <w:rsid w:val="0049433B"/>
    <w:rsid w:val="0049469D"/>
    <w:rsid w:val="0049482E"/>
    <w:rsid w:val="00494875"/>
    <w:rsid w:val="0049495F"/>
    <w:rsid w:val="004949A4"/>
    <w:rsid w:val="00494A52"/>
    <w:rsid w:val="00494B2E"/>
    <w:rsid w:val="00494D85"/>
    <w:rsid w:val="00494DEC"/>
    <w:rsid w:val="00494E2B"/>
    <w:rsid w:val="00494E85"/>
    <w:rsid w:val="004951AE"/>
    <w:rsid w:val="004951FB"/>
    <w:rsid w:val="00495431"/>
    <w:rsid w:val="0049543C"/>
    <w:rsid w:val="00495518"/>
    <w:rsid w:val="004955EB"/>
    <w:rsid w:val="00495A8F"/>
    <w:rsid w:val="00495BEE"/>
    <w:rsid w:val="00495D64"/>
    <w:rsid w:val="00495F3E"/>
    <w:rsid w:val="00496089"/>
    <w:rsid w:val="004961AA"/>
    <w:rsid w:val="004962AA"/>
    <w:rsid w:val="00496311"/>
    <w:rsid w:val="004963C8"/>
    <w:rsid w:val="0049664C"/>
    <w:rsid w:val="004966D7"/>
    <w:rsid w:val="0049694B"/>
    <w:rsid w:val="004969CA"/>
    <w:rsid w:val="00496CDA"/>
    <w:rsid w:val="00496EC7"/>
    <w:rsid w:val="00496EF5"/>
    <w:rsid w:val="00497267"/>
    <w:rsid w:val="004972D4"/>
    <w:rsid w:val="004975E8"/>
    <w:rsid w:val="004978B8"/>
    <w:rsid w:val="004979A4"/>
    <w:rsid w:val="004979D2"/>
    <w:rsid w:val="00497FFE"/>
    <w:rsid w:val="004A09B0"/>
    <w:rsid w:val="004A0A6A"/>
    <w:rsid w:val="004A0B98"/>
    <w:rsid w:val="004A103B"/>
    <w:rsid w:val="004A15D0"/>
    <w:rsid w:val="004A161F"/>
    <w:rsid w:val="004A1812"/>
    <w:rsid w:val="004A1CFF"/>
    <w:rsid w:val="004A1D34"/>
    <w:rsid w:val="004A1EB7"/>
    <w:rsid w:val="004A1FA1"/>
    <w:rsid w:val="004A235D"/>
    <w:rsid w:val="004A24DC"/>
    <w:rsid w:val="004A259C"/>
    <w:rsid w:val="004A27EB"/>
    <w:rsid w:val="004A2DC2"/>
    <w:rsid w:val="004A2EB0"/>
    <w:rsid w:val="004A2ED1"/>
    <w:rsid w:val="004A332A"/>
    <w:rsid w:val="004A3331"/>
    <w:rsid w:val="004A3741"/>
    <w:rsid w:val="004A3813"/>
    <w:rsid w:val="004A3D05"/>
    <w:rsid w:val="004A3F30"/>
    <w:rsid w:val="004A4A49"/>
    <w:rsid w:val="004A4B9C"/>
    <w:rsid w:val="004A4DAB"/>
    <w:rsid w:val="004A4EE4"/>
    <w:rsid w:val="004A4FC3"/>
    <w:rsid w:val="004A5008"/>
    <w:rsid w:val="004A50EC"/>
    <w:rsid w:val="004A520D"/>
    <w:rsid w:val="004A5299"/>
    <w:rsid w:val="004A55B5"/>
    <w:rsid w:val="004A56A2"/>
    <w:rsid w:val="004A57F6"/>
    <w:rsid w:val="004A5B11"/>
    <w:rsid w:val="004A5D7C"/>
    <w:rsid w:val="004A60A9"/>
    <w:rsid w:val="004A60B8"/>
    <w:rsid w:val="004A6421"/>
    <w:rsid w:val="004A6480"/>
    <w:rsid w:val="004A64EA"/>
    <w:rsid w:val="004A65E3"/>
    <w:rsid w:val="004A6EC3"/>
    <w:rsid w:val="004A6FFB"/>
    <w:rsid w:val="004A7002"/>
    <w:rsid w:val="004A7086"/>
    <w:rsid w:val="004A7450"/>
    <w:rsid w:val="004A767F"/>
    <w:rsid w:val="004A78F7"/>
    <w:rsid w:val="004A7A11"/>
    <w:rsid w:val="004A7AF1"/>
    <w:rsid w:val="004A7B03"/>
    <w:rsid w:val="004A7B1F"/>
    <w:rsid w:val="004A7C70"/>
    <w:rsid w:val="004A7E2B"/>
    <w:rsid w:val="004B04D8"/>
    <w:rsid w:val="004B0521"/>
    <w:rsid w:val="004B08A5"/>
    <w:rsid w:val="004B08B3"/>
    <w:rsid w:val="004B0BCF"/>
    <w:rsid w:val="004B0F5C"/>
    <w:rsid w:val="004B1031"/>
    <w:rsid w:val="004B105E"/>
    <w:rsid w:val="004B1111"/>
    <w:rsid w:val="004B121E"/>
    <w:rsid w:val="004B122A"/>
    <w:rsid w:val="004B1568"/>
    <w:rsid w:val="004B1589"/>
    <w:rsid w:val="004B15A7"/>
    <w:rsid w:val="004B16C4"/>
    <w:rsid w:val="004B181F"/>
    <w:rsid w:val="004B1AD4"/>
    <w:rsid w:val="004B1C30"/>
    <w:rsid w:val="004B1FA1"/>
    <w:rsid w:val="004B1FBE"/>
    <w:rsid w:val="004B20FD"/>
    <w:rsid w:val="004B2153"/>
    <w:rsid w:val="004B22A9"/>
    <w:rsid w:val="004B25F3"/>
    <w:rsid w:val="004B27FB"/>
    <w:rsid w:val="004B29DF"/>
    <w:rsid w:val="004B2C37"/>
    <w:rsid w:val="004B2C65"/>
    <w:rsid w:val="004B2D42"/>
    <w:rsid w:val="004B2D94"/>
    <w:rsid w:val="004B3832"/>
    <w:rsid w:val="004B3B11"/>
    <w:rsid w:val="004B3B5F"/>
    <w:rsid w:val="004B416A"/>
    <w:rsid w:val="004B445E"/>
    <w:rsid w:val="004B4687"/>
    <w:rsid w:val="004B46EF"/>
    <w:rsid w:val="004B4E19"/>
    <w:rsid w:val="004B503E"/>
    <w:rsid w:val="004B5240"/>
    <w:rsid w:val="004B534C"/>
    <w:rsid w:val="004B5560"/>
    <w:rsid w:val="004B57AE"/>
    <w:rsid w:val="004B57B4"/>
    <w:rsid w:val="004B5A7F"/>
    <w:rsid w:val="004B5C9D"/>
    <w:rsid w:val="004B5FC6"/>
    <w:rsid w:val="004B6086"/>
    <w:rsid w:val="004B6227"/>
    <w:rsid w:val="004B6247"/>
    <w:rsid w:val="004B630C"/>
    <w:rsid w:val="004B67EC"/>
    <w:rsid w:val="004B6928"/>
    <w:rsid w:val="004B6AA3"/>
    <w:rsid w:val="004B6D75"/>
    <w:rsid w:val="004B6E6B"/>
    <w:rsid w:val="004B705D"/>
    <w:rsid w:val="004B70A5"/>
    <w:rsid w:val="004B70A7"/>
    <w:rsid w:val="004B725B"/>
    <w:rsid w:val="004B7901"/>
    <w:rsid w:val="004B7C1F"/>
    <w:rsid w:val="004C0029"/>
    <w:rsid w:val="004C0121"/>
    <w:rsid w:val="004C0707"/>
    <w:rsid w:val="004C07B8"/>
    <w:rsid w:val="004C08D8"/>
    <w:rsid w:val="004C0E13"/>
    <w:rsid w:val="004C0EDC"/>
    <w:rsid w:val="004C13BF"/>
    <w:rsid w:val="004C198C"/>
    <w:rsid w:val="004C1B1A"/>
    <w:rsid w:val="004C1D91"/>
    <w:rsid w:val="004C1E76"/>
    <w:rsid w:val="004C1ED2"/>
    <w:rsid w:val="004C1F81"/>
    <w:rsid w:val="004C205E"/>
    <w:rsid w:val="004C2101"/>
    <w:rsid w:val="004C2455"/>
    <w:rsid w:val="004C255F"/>
    <w:rsid w:val="004C260F"/>
    <w:rsid w:val="004C287F"/>
    <w:rsid w:val="004C2ADD"/>
    <w:rsid w:val="004C32DD"/>
    <w:rsid w:val="004C33B9"/>
    <w:rsid w:val="004C340B"/>
    <w:rsid w:val="004C3426"/>
    <w:rsid w:val="004C361F"/>
    <w:rsid w:val="004C3747"/>
    <w:rsid w:val="004C3748"/>
    <w:rsid w:val="004C3767"/>
    <w:rsid w:val="004C37B2"/>
    <w:rsid w:val="004C38D0"/>
    <w:rsid w:val="004C3978"/>
    <w:rsid w:val="004C3B2D"/>
    <w:rsid w:val="004C3C43"/>
    <w:rsid w:val="004C3CEA"/>
    <w:rsid w:val="004C3F1B"/>
    <w:rsid w:val="004C464B"/>
    <w:rsid w:val="004C4860"/>
    <w:rsid w:val="004C4949"/>
    <w:rsid w:val="004C4B68"/>
    <w:rsid w:val="004C4B9E"/>
    <w:rsid w:val="004C4CD2"/>
    <w:rsid w:val="004C5224"/>
    <w:rsid w:val="004C54F0"/>
    <w:rsid w:val="004C55C7"/>
    <w:rsid w:val="004C577F"/>
    <w:rsid w:val="004C581C"/>
    <w:rsid w:val="004C5E1E"/>
    <w:rsid w:val="004C60AC"/>
    <w:rsid w:val="004C62CE"/>
    <w:rsid w:val="004C67FF"/>
    <w:rsid w:val="004C6855"/>
    <w:rsid w:val="004C686E"/>
    <w:rsid w:val="004C6A52"/>
    <w:rsid w:val="004C6CEE"/>
    <w:rsid w:val="004C6E67"/>
    <w:rsid w:val="004C6F61"/>
    <w:rsid w:val="004C74BB"/>
    <w:rsid w:val="004C7825"/>
    <w:rsid w:val="004C79EE"/>
    <w:rsid w:val="004C7AA0"/>
    <w:rsid w:val="004C7BE1"/>
    <w:rsid w:val="004C7CB9"/>
    <w:rsid w:val="004C7E66"/>
    <w:rsid w:val="004C7E95"/>
    <w:rsid w:val="004C7FA4"/>
    <w:rsid w:val="004D00A4"/>
    <w:rsid w:val="004D03A7"/>
    <w:rsid w:val="004D05A0"/>
    <w:rsid w:val="004D088C"/>
    <w:rsid w:val="004D0935"/>
    <w:rsid w:val="004D0B19"/>
    <w:rsid w:val="004D0BC0"/>
    <w:rsid w:val="004D0C34"/>
    <w:rsid w:val="004D0CFF"/>
    <w:rsid w:val="004D0EB0"/>
    <w:rsid w:val="004D0F5C"/>
    <w:rsid w:val="004D0FAA"/>
    <w:rsid w:val="004D11EF"/>
    <w:rsid w:val="004D12B8"/>
    <w:rsid w:val="004D13AD"/>
    <w:rsid w:val="004D1467"/>
    <w:rsid w:val="004D149B"/>
    <w:rsid w:val="004D15C4"/>
    <w:rsid w:val="004D1740"/>
    <w:rsid w:val="004D1751"/>
    <w:rsid w:val="004D17A6"/>
    <w:rsid w:val="004D18E3"/>
    <w:rsid w:val="004D1D22"/>
    <w:rsid w:val="004D1EA5"/>
    <w:rsid w:val="004D1FB4"/>
    <w:rsid w:val="004D20DB"/>
    <w:rsid w:val="004D215F"/>
    <w:rsid w:val="004D27BD"/>
    <w:rsid w:val="004D28DB"/>
    <w:rsid w:val="004D29AF"/>
    <w:rsid w:val="004D29DF"/>
    <w:rsid w:val="004D2AEB"/>
    <w:rsid w:val="004D2C7B"/>
    <w:rsid w:val="004D2D41"/>
    <w:rsid w:val="004D2EF3"/>
    <w:rsid w:val="004D2FFC"/>
    <w:rsid w:val="004D318F"/>
    <w:rsid w:val="004D31C0"/>
    <w:rsid w:val="004D3686"/>
    <w:rsid w:val="004D37B2"/>
    <w:rsid w:val="004D383B"/>
    <w:rsid w:val="004D3D38"/>
    <w:rsid w:val="004D3DD3"/>
    <w:rsid w:val="004D3E6C"/>
    <w:rsid w:val="004D41A5"/>
    <w:rsid w:val="004D4207"/>
    <w:rsid w:val="004D4267"/>
    <w:rsid w:val="004D485D"/>
    <w:rsid w:val="004D4873"/>
    <w:rsid w:val="004D4ADD"/>
    <w:rsid w:val="004D4C3A"/>
    <w:rsid w:val="004D4C9F"/>
    <w:rsid w:val="004D4CF1"/>
    <w:rsid w:val="004D4F26"/>
    <w:rsid w:val="004D4FCB"/>
    <w:rsid w:val="004D511B"/>
    <w:rsid w:val="004D5445"/>
    <w:rsid w:val="004D557C"/>
    <w:rsid w:val="004D57ED"/>
    <w:rsid w:val="004D5948"/>
    <w:rsid w:val="004D594C"/>
    <w:rsid w:val="004D59D7"/>
    <w:rsid w:val="004D5C6A"/>
    <w:rsid w:val="004D5C97"/>
    <w:rsid w:val="004D5E24"/>
    <w:rsid w:val="004D5EF8"/>
    <w:rsid w:val="004D5FC9"/>
    <w:rsid w:val="004D6037"/>
    <w:rsid w:val="004D613D"/>
    <w:rsid w:val="004D61A4"/>
    <w:rsid w:val="004D61B0"/>
    <w:rsid w:val="004D6764"/>
    <w:rsid w:val="004D6957"/>
    <w:rsid w:val="004D6BA3"/>
    <w:rsid w:val="004D6C6C"/>
    <w:rsid w:val="004D6D27"/>
    <w:rsid w:val="004D6F0C"/>
    <w:rsid w:val="004D7012"/>
    <w:rsid w:val="004D7390"/>
    <w:rsid w:val="004D73DC"/>
    <w:rsid w:val="004D768A"/>
    <w:rsid w:val="004D7BB3"/>
    <w:rsid w:val="004E01F4"/>
    <w:rsid w:val="004E0347"/>
    <w:rsid w:val="004E05C9"/>
    <w:rsid w:val="004E06AC"/>
    <w:rsid w:val="004E0FC9"/>
    <w:rsid w:val="004E134F"/>
    <w:rsid w:val="004E1496"/>
    <w:rsid w:val="004E162C"/>
    <w:rsid w:val="004E1A11"/>
    <w:rsid w:val="004E1D14"/>
    <w:rsid w:val="004E23E7"/>
    <w:rsid w:val="004E2BF2"/>
    <w:rsid w:val="004E2E8B"/>
    <w:rsid w:val="004E31E6"/>
    <w:rsid w:val="004E345F"/>
    <w:rsid w:val="004E357D"/>
    <w:rsid w:val="004E364B"/>
    <w:rsid w:val="004E36D5"/>
    <w:rsid w:val="004E376B"/>
    <w:rsid w:val="004E38BD"/>
    <w:rsid w:val="004E3906"/>
    <w:rsid w:val="004E3C37"/>
    <w:rsid w:val="004E3E16"/>
    <w:rsid w:val="004E44E2"/>
    <w:rsid w:val="004E455A"/>
    <w:rsid w:val="004E45E5"/>
    <w:rsid w:val="004E47C0"/>
    <w:rsid w:val="004E4856"/>
    <w:rsid w:val="004E491C"/>
    <w:rsid w:val="004E4D40"/>
    <w:rsid w:val="004E4F22"/>
    <w:rsid w:val="004E4F68"/>
    <w:rsid w:val="004E4F95"/>
    <w:rsid w:val="004E4FCA"/>
    <w:rsid w:val="004E4FFC"/>
    <w:rsid w:val="004E52C6"/>
    <w:rsid w:val="004E5430"/>
    <w:rsid w:val="004E55E7"/>
    <w:rsid w:val="004E5901"/>
    <w:rsid w:val="004E59D3"/>
    <w:rsid w:val="004E5CB8"/>
    <w:rsid w:val="004E5D47"/>
    <w:rsid w:val="004E6176"/>
    <w:rsid w:val="004E635D"/>
    <w:rsid w:val="004E6399"/>
    <w:rsid w:val="004E6424"/>
    <w:rsid w:val="004E6450"/>
    <w:rsid w:val="004E6569"/>
    <w:rsid w:val="004E658D"/>
    <w:rsid w:val="004E6C1D"/>
    <w:rsid w:val="004E6FB5"/>
    <w:rsid w:val="004E708C"/>
    <w:rsid w:val="004E70FA"/>
    <w:rsid w:val="004E7160"/>
    <w:rsid w:val="004E718B"/>
    <w:rsid w:val="004E71A6"/>
    <w:rsid w:val="004E735C"/>
    <w:rsid w:val="004E770D"/>
    <w:rsid w:val="004E77A8"/>
    <w:rsid w:val="004E77EC"/>
    <w:rsid w:val="004E7A39"/>
    <w:rsid w:val="004E7DA1"/>
    <w:rsid w:val="004E7DBC"/>
    <w:rsid w:val="004F01B9"/>
    <w:rsid w:val="004F01C2"/>
    <w:rsid w:val="004F0201"/>
    <w:rsid w:val="004F02A6"/>
    <w:rsid w:val="004F0DF5"/>
    <w:rsid w:val="004F10AC"/>
    <w:rsid w:val="004F11AC"/>
    <w:rsid w:val="004F11C4"/>
    <w:rsid w:val="004F1268"/>
    <w:rsid w:val="004F12BE"/>
    <w:rsid w:val="004F13BE"/>
    <w:rsid w:val="004F15FA"/>
    <w:rsid w:val="004F183C"/>
    <w:rsid w:val="004F195A"/>
    <w:rsid w:val="004F1CAC"/>
    <w:rsid w:val="004F1E41"/>
    <w:rsid w:val="004F24C8"/>
    <w:rsid w:val="004F262B"/>
    <w:rsid w:val="004F28CC"/>
    <w:rsid w:val="004F2A56"/>
    <w:rsid w:val="004F2D8A"/>
    <w:rsid w:val="004F304D"/>
    <w:rsid w:val="004F3522"/>
    <w:rsid w:val="004F3740"/>
    <w:rsid w:val="004F397D"/>
    <w:rsid w:val="004F3A75"/>
    <w:rsid w:val="004F3D6A"/>
    <w:rsid w:val="004F3D70"/>
    <w:rsid w:val="004F3E3C"/>
    <w:rsid w:val="004F4049"/>
    <w:rsid w:val="004F4116"/>
    <w:rsid w:val="004F42B6"/>
    <w:rsid w:val="004F4528"/>
    <w:rsid w:val="004F4571"/>
    <w:rsid w:val="004F493F"/>
    <w:rsid w:val="004F49DA"/>
    <w:rsid w:val="004F4AC9"/>
    <w:rsid w:val="004F4B3B"/>
    <w:rsid w:val="004F4D6F"/>
    <w:rsid w:val="004F5042"/>
    <w:rsid w:val="004F51BB"/>
    <w:rsid w:val="004F5214"/>
    <w:rsid w:val="004F5488"/>
    <w:rsid w:val="004F56A5"/>
    <w:rsid w:val="004F5800"/>
    <w:rsid w:val="004F59E1"/>
    <w:rsid w:val="004F5A37"/>
    <w:rsid w:val="004F5DC6"/>
    <w:rsid w:val="004F609E"/>
    <w:rsid w:val="004F60C0"/>
    <w:rsid w:val="004F6343"/>
    <w:rsid w:val="004F644A"/>
    <w:rsid w:val="004F6680"/>
    <w:rsid w:val="004F6879"/>
    <w:rsid w:val="004F68DD"/>
    <w:rsid w:val="004F69A7"/>
    <w:rsid w:val="004F6AD3"/>
    <w:rsid w:val="004F6B0B"/>
    <w:rsid w:val="004F6E4F"/>
    <w:rsid w:val="004F7115"/>
    <w:rsid w:val="004F7188"/>
    <w:rsid w:val="004F7411"/>
    <w:rsid w:val="004F7530"/>
    <w:rsid w:val="004F754C"/>
    <w:rsid w:val="004F78FC"/>
    <w:rsid w:val="004F7C6E"/>
    <w:rsid w:val="004F7FC1"/>
    <w:rsid w:val="00500054"/>
    <w:rsid w:val="005000D7"/>
    <w:rsid w:val="0050013C"/>
    <w:rsid w:val="0050019A"/>
    <w:rsid w:val="00500213"/>
    <w:rsid w:val="00500346"/>
    <w:rsid w:val="005003A1"/>
    <w:rsid w:val="005006A5"/>
    <w:rsid w:val="0050071D"/>
    <w:rsid w:val="00500A2D"/>
    <w:rsid w:val="00500A63"/>
    <w:rsid w:val="00500BFF"/>
    <w:rsid w:val="00500DCA"/>
    <w:rsid w:val="00500DF7"/>
    <w:rsid w:val="00500E49"/>
    <w:rsid w:val="00501916"/>
    <w:rsid w:val="00501CEA"/>
    <w:rsid w:val="00501EEB"/>
    <w:rsid w:val="005023E6"/>
    <w:rsid w:val="005024CC"/>
    <w:rsid w:val="00502550"/>
    <w:rsid w:val="00502566"/>
    <w:rsid w:val="00502642"/>
    <w:rsid w:val="00502719"/>
    <w:rsid w:val="005027C3"/>
    <w:rsid w:val="0050284F"/>
    <w:rsid w:val="005028C0"/>
    <w:rsid w:val="005028DD"/>
    <w:rsid w:val="00502AF4"/>
    <w:rsid w:val="00502C25"/>
    <w:rsid w:val="00502F23"/>
    <w:rsid w:val="00503246"/>
    <w:rsid w:val="00503510"/>
    <w:rsid w:val="0050364F"/>
    <w:rsid w:val="0050388D"/>
    <w:rsid w:val="0050389E"/>
    <w:rsid w:val="005038CF"/>
    <w:rsid w:val="00503AE2"/>
    <w:rsid w:val="00503B02"/>
    <w:rsid w:val="00503C2A"/>
    <w:rsid w:val="00503D3E"/>
    <w:rsid w:val="00503E0A"/>
    <w:rsid w:val="00503ED7"/>
    <w:rsid w:val="00503F9C"/>
    <w:rsid w:val="005047AF"/>
    <w:rsid w:val="005047EA"/>
    <w:rsid w:val="00504B07"/>
    <w:rsid w:val="0050500C"/>
    <w:rsid w:val="00505099"/>
    <w:rsid w:val="00505227"/>
    <w:rsid w:val="00505350"/>
    <w:rsid w:val="005056DC"/>
    <w:rsid w:val="005058B2"/>
    <w:rsid w:val="00505A16"/>
    <w:rsid w:val="005065D9"/>
    <w:rsid w:val="0050663D"/>
    <w:rsid w:val="005068E8"/>
    <w:rsid w:val="00506946"/>
    <w:rsid w:val="00506952"/>
    <w:rsid w:val="00506A82"/>
    <w:rsid w:val="00506AC4"/>
    <w:rsid w:val="00506DAB"/>
    <w:rsid w:val="00506E33"/>
    <w:rsid w:val="00506EA2"/>
    <w:rsid w:val="00507225"/>
    <w:rsid w:val="00507751"/>
    <w:rsid w:val="005077AA"/>
    <w:rsid w:val="00507808"/>
    <w:rsid w:val="00507AAC"/>
    <w:rsid w:val="00507B56"/>
    <w:rsid w:val="00507B6D"/>
    <w:rsid w:val="00507CF2"/>
    <w:rsid w:val="005104AD"/>
    <w:rsid w:val="005105E6"/>
    <w:rsid w:val="0051061C"/>
    <w:rsid w:val="005107E0"/>
    <w:rsid w:val="00510938"/>
    <w:rsid w:val="00510BCD"/>
    <w:rsid w:val="00510D91"/>
    <w:rsid w:val="00510EDB"/>
    <w:rsid w:val="00510FE5"/>
    <w:rsid w:val="005113C0"/>
    <w:rsid w:val="00511411"/>
    <w:rsid w:val="0051149F"/>
    <w:rsid w:val="0051154D"/>
    <w:rsid w:val="005117FC"/>
    <w:rsid w:val="0051183C"/>
    <w:rsid w:val="0051195D"/>
    <w:rsid w:val="00511D60"/>
    <w:rsid w:val="00511F44"/>
    <w:rsid w:val="005120F4"/>
    <w:rsid w:val="00512788"/>
    <w:rsid w:val="0051294C"/>
    <w:rsid w:val="00512A8A"/>
    <w:rsid w:val="00512AAD"/>
    <w:rsid w:val="00512EBC"/>
    <w:rsid w:val="00512F11"/>
    <w:rsid w:val="00513660"/>
    <w:rsid w:val="005136C1"/>
    <w:rsid w:val="005137A7"/>
    <w:rsid w:val="0051396C"/>
    <w:rsid w:val="00513D9E"/>
    <w:rsid w:val="0051414A"/>
    <w:rsid w:val="00514249"/>
    <w:rsid w:val="005146CA"/>
    <w:rsid w:val="0051482E"/>
    <w:rsid w:val="00514AE9"/>
    <w:rsid w:val="00514DF7"/>
    <w:rsid w:val="0051512E"/>
    <w:rsid w:val="005153D2"/>
    <w:rsid w:val="005157AA"/>
    <w:rsid w:val="00515821"/>
    <w:rsid w:val="00515861"/>
    <w:rsid w:val="005158F3"/>
    <w:rsid w:val="00515B01"/>
    <w:rsid w:val="00515C22"/>
    <w:rsid w:val="00515D0B"/>
    <w:rsid w:val="00515F25"/>
    <w:rsid w:val="0051600A"/>
    <w:rsid w:val="005162B3"/>
    <w:rsid w:val="005162F5"/>
    <w:rsid w:val="005162F6"/>
    <w:rsid w:val="00516308"/>
    <w:rsid w:val="0051699F"/>
    <w:rsid w:val="00516A8D"/>
    <w:rsid w:val="00516EF1"/>
    <w:rsid w:val="00516FF9"/>
    <w:rsid w:val="005171A9"/>
    <w:rsid w:val="00517399"/>
    <w:rsid w:val="00517720"/>
    <w:rsid w:val="00517728"/>
    <w:rsid w:val="005179B1"/>
    <w:rsid w:val="005179CC"/>
    <w:rsid w:val="00517E03"/>
    <w:rsid w:val="00517EFE"/>
    <w:rsid w:val="0052057A"/>
    <w:rsid w:val="0052086F"/>
    <w:rsid w:val="00520B7F"/>
    <w:rsid w:val="00520FF7"/>
    <w:rsid w:val="00521197"/>
    <w:rsid w:val="00521463"/>
    <w:rsid w:val="0052147E"/>
    <w:rsid w:val="00521506"/>
    <w:rsid w:val="0052151D"/>
    <w:rsid w:val="0052161A"/>
    <w:rsid w:val="005217DA"/>
    <w:rsid w:val="0052188A"/>
    <w:rsid w:val="0052195D"/>
    <w:rsid w:val="00521A4F"/>
    <w:rsid w:val="00521A97"/>
    <w:rsid w:val="00521C20"/>
    <w:rsid w:val="00521FAD"/>
    <w:rsid w:val="00522334"/>
    <w:rsid w:val="00522403"/>
    <w:rsid w:val="0052284E"/>
    <w:rsid w:val="005228E8"/>
    <w:rsid w:val="00522A2A"/>
    <w:rsid w:val="00522AB6"/>
    <w:rsid w:val="00523249"/>
    <w:rsid w:val="00523399"/>
    <w:rsid w:val="00523721"/>
    <w:rsid w:val="005237EA"/>
    <w:rsid w:val="0052381F"/>
    <w:rsid w:val="00523974"/>
    <w:rsid w:val="005239A6"/>
    <w:rsid w:val="00523C07"/>
    <w:rsid w:val="00523D9E"/>
    <w:rsid w:val="005240E8"/>
    <w:rsid w:val="00524324"/>
    <w:rsid w:val="0052447D"/>
    <w:rsid w:val="00524F7E"/>
    <w:rsid w:val="00525307"/>
    <w:rsid w:val="0052535F"/>
    <w:rsid w:val="005254BE"/>
    <w:rsid w:val="005254C7"/>
    <w:rsid w:val="005254D0"/>
    <w:rsid w:val="005255EC"/>
    <w:rsid w:val="00525903"/>
    <w:rsid w:val="00525C2D"/>
    <w:rsid w:val="00525EB8"/>
    <w:rsid w:val="00526111"/>
    <w:rsid w:val="005261E4"/>
    <w:rsid w:val="0052647F"/>
    <w:rsid w:val="00526675"/>
    <w:rsid w:val="0052667C"/>
    <w:rsid w:val="0052680A"/>
    <w:rsid w:val="00526CBD"/>
    <w:rsid w:val="00526ECA"/>
    <w:rsid w:val="0052711F"/>
    <w:rsid w:val="00527805"/>
    <w:rsid w:val="00527899"/>
    <w:rsid w:val="005278FA"/>
    <w:rsid w:val="00527916"/>
    <w:rsid w:val="0052795D"/>
    <w:rsid w:val="00527992"/>
    <w:rsid w:val="005279D7"/>
    <w:rsid w:val="00527D20"/>
    <w:rsid w:val="00527FCF"/>
    <w:rsid w:val="0053020E"/>
    <w:rsid w:val="00530467"/>
    <w:rsid w:val="00530C0F"/>
    <w:rsid w:val="00530CA1"/>
    <w:rsid w:val="00530D32"/>
    <w:rsid w:val="00530D89"/>
    <w:rsid w:val="00530F05"/>
    <w:rsid w:val="00531258"/>
    <w:rsid w:val="005318B1"/>
    <w:rsid w:val="00531BD5"/>
    <w:rsid w:val="00531DB5"/>
    <w:rsid w:val="00531E2B"/>
    <w:rsid w:val="00531EF3"/>
    <w:rsid w:val="00531F5D"/>
    <w:rsid w:val="0053203B"/>
    <w:rsid w:val="00532323"/>
    <w:rsid w:val="005323CD"/>
    <w:rsid w:val="005323DF"/>
    <w:rsid w:val="005324E8"/>
    <w:rsid w:val="0053259C"/>
    <w:rsid w:val="00532E09"/>
    <w:rsid w:val="00532E7C"/>
    <w:rsid w:val="00532FDE"/>
    <w:rsid w:val="00532FFB"/>
    <w:rsid w:val="00533501"/>
    <w:rsid w:val="00533543"/>
    <w:rsid w:val="0053354C"/>
    <w:rsid w:val="00533BE0"/>
    <w:rsid w:val="00533C10"/>
    <w:rsid w:val="00533C39"/>
    <w:rsid w:val="00533C7D"/>
    <w:rsid w:val="00533D54"/>
    <w:rsid w:val="00534062"/>
    <w:rsid w:val="00534103"/>
    <w:rsid w:val="0053427B"/>
    <w:rsid w:val="00534305"/>
    <w:rsid w:val="00534323"/>
    <w:rsid w:val="005347B4"/>
    <w:rsid w:val="00534C05"/>
    <w:rsid w:val="00534D22"/>
    <w:rsid w:val="00534F1E"/>
    <w:rsid w:val="00534F86"/>
    <w:rsid w:val="005350A0"/>
    <w:rsid w:val="005354CB"/>
    <w:rsid w:val="005356E7"/>
    <w:rsid w:val="00535754"/>
    <w:rsid w:val="005357DD"/>
    <w:rsid w:val="005359F0"/>
    <w:rsid w:val="00535A6C"/>
    <w:rsid w:val="00535CAA"/>
    <w:rsid w:val="00535E27"/>
    <w:rsid w:val="00535F5B"/>
    <w:rsid w:val="005361FB"/>
    <w:rsid w:val="00536403"/>
    <w:rsid w:val="00536757"/>
    <w:rsid w:val="005368FB"/>
    <w:rsid w:val="00536ADE"/>
    <w:rsid w:val="00536C9F"/>
    <w:rsid w:val="00536CD0"/>
    <w:rsid w:val="005370AB"/>
    <w:rsid w:val="00537378"/>
    <w:rsid w:val="005373E5"/>
    <w:rsid w:val="00537551"/>
    <w:rsid w:val="00537579"/>
    <w:rsid w:val="005377D1"/>
    <w:rsid w:val="00537996"/>
    <w:rsid w:val="00537F9E"/>
    <w:rsid w:val="00540158"/>
    <w:rsid w:val="00540346"/>
    <w:rsid w:val="00540514"/>
    <w:rsid w:val="00540648"/>
    <w:rsid w:val="00540B2F"/>
    <w:rsid w:val="00540C70"/>
    <w:rsid w:val="00540EF9"/>
    <w:rsid w:val="00540FBF"/>
    <w:rsid w:val="005411AF"/>
    <w:rsid w:val="005411B4"/>
    <w:rsid w:val="0054143B"/>
    <w:rsid w:val="00541674"/>
    <w:rsid w:val="00541780"/>
    <w:rsid w:val="00541AF2"/>
    <w:rsid w:val="00541B18"/>
    <w:rsid w:val="00541C6A"/>
    <w:rsid w:val="00541D15"/>
    <w:rsid w:val="00541EC3"/>
    <w:rsid w:val="00542318"/>
    <w:rsid w:val="00542573"/>
    <w:rsid w:val="00542756"/>
    <w:rsid w:val="00542868"/>
    <w:rsid w:val="005428C2"/>
    <w:rsid w:val="005428FE"/>
    <w:rsid w:val="00542945"/>
    <w:rsid w:val="00542A39"/>
    <w:rsid w:val="00542A78"/>
    <w:rsid w:val="00542B33"/>
    <w:rsid w:val="00542BFB"/>
    <w:rsid w:val="00542C9D"/>
    <w:rsid w:val="00542D65"/>
    <w:rsid w:val="00542DC7"/>
    <w:rsid w:val="00542F9C"/>
    <w:rsid w:val="00543389"/>
    <w:rsid w:val="005434AE"/>
    <w:rsid w:val="0054365C"/>
    <w:rsid w:val="00543F2F"/>
    <w:rsid w:val="005440E7"/>
    <w:rsid w:val="00544395"/>
    <w:rsid w:val="00544A2F"/>
    <w:rsid w:val="005450B6"/>
    <w:rsid w:val="005451A3"/>
    <w:rsid w:val="005451D1"/>
    <w:rsid w:val="005452ED"/>
    <w:rsid w:val="00545331"/>
    <w:rsid w:val="0054568E"/>
    <w:rsid w:val="005456BB"/>
    <w:rsid w:val="00545890"/>
    <w:rsid w:val="00545A7A"/>
    <w:rsid w:val="00545C38"/>
    <w:rsid w:val="00545C5B"/>
    <w:rsid w:val="00545C6E"/>
    <w:rsid w:val="00545C84"/>
    <w:rsid w:val="00545CA7"/>
    <w:rsid w:val="00545E04"/>
    <w:rsid w:val="00545E29"/>
    <w:rsid w:val="005460A1"/>
    <w:rsid w:val="005469DB"/>
    <w:rsid w:val="005469F6"/>
    <w:rsid w:val="005471B1"/>
    <w:rsid w:val="005472B4"/>
    <w:rsid w:val="005474BF"/>
    <w:rsid w:val="00547881"/>
    <w:rsid w:val="00547986"/>
    <w:rsid w:val="00547996"/>
    <w:rsid w:val="00547A52"/>
    <w:rsid w:val="00547B38"/>
    <w:rsid w:val="00547C1B"/>
    <w:rsid w:val="00547E1C"/>
    <w:rsid w:val="00547F04"/>
    <w:rsid w:val="00547F1D"/>
    <w:rsid w:val="0054BCE5"/>
    <w:rsid w:val="00550091"/>
    <w:rsid w:val="005501D4"/>
    <w:rsid w:val="005504B3"/>
    <w:rsid w:val="005508DF"/>
    <w:rsid w:val="00550C1F"/>
    <w:rsid w:val="00551011"/>
    <w:rsid w:val="00551306"/>
    <w:rsid w:val="005514EF"/>
    <w:rsid w:val="005514FD"/>
    <w:rsid w:val="005516F5"/>
    <w:rsid w:val="0055185B"/>
    <w:rsid w:val="00551A48"/>
    <w:rsid w:val="00551C60"/>
    <w:rsid w:val="00551EE7"/>
    <w:rsid w:val="0055202E"/>
    <w:rsid w:val="00552145"/>
    <w:rsid w:val="00552187"/>
    <w:rsid w:val="005522BC"/>
    <w:rsid w:val="00552C63"/>
    <w:rsid w:val="00552CC5"/>
    <w:rsid w:val="00553524"/>
    <w:rsid w:val="00553A7B"/>
    <w:rsid w:val="00553C4D"/>
    <w:rsid w:val="00553F04"/>
    <w:rsid w:val="00553F49"/>
    <w:rsid w:val="00553FF0"/>
    <w:rsid w:val="00554062"/>
    <w:rsid w:val="00554316"/>
    <w:rsid w:val="005546F9"/>
    <w:rsid w:val="00554763"/>
    <w:rsid w:val="005547C7"/>
    <w:rsid w:val="00554A1D"/>
    <w:rsid w:val="00554E82"/>
    <w:rsid w:val="00554FFF"/>
    <w:rsid w:val="00555372"/>
    <w:rsid w:val="0055552B"/>
    <w:rsid w:val="005555AB"/>
    <w:rsid w:val="00555656"/>
    <w:rsid w:val="005558A1"/>
    <w:rsid w:val="00555972"/>
    <w:rsid w:val="00555B0A"/>
    <w:rsid w:val="00555C48"/>
    <w:rsid w:val="00555E6C"/>
    <w:rsid w:val="0055658F"/>
    <w:rsid w:val="0055694E"/>
    <w:rsid w:val="00556A29"/>
    <w:rsid w:val="00556F8C"/>
    <w:rsid w:val="00557122"/>
    <w:rsid w:val="00557581"/>
    <w:rsid w:val="005577EF"/>
    <w:rsid w:val="00557BD4"/>
    <w:rsid w:val="00557D1A"/>
    <w:rsid w:val="00557D56"/>
    <w:rsid w:val="00557DAB"/>
    <w:rsid w:val="0056066A"/>
    <w:rsid w:val="00560892"/>
    <w:rsid w:val="005608E8"/>
    <w:rsid w:val="00560AE7"/>
    <w:rsid w:val="00560B93"/>
    <w:rsid w:val="00560C26"/>
    <w:rsid w:val="00560C28"/>
    <w:rsid w:val="00560E66"/>
    <w:rsid w:val="005610E6"/>
    <w:rsid w:val="0056113E"/>
    <w:rsid w:val="00561163"/>
    <w:rsid w:val="00561640"/>
    <w:rsid w:val="00561D55"/>
    <w:rsid w:val="00561F38"/>
    <w:rsid w:val="005621A3"/>
    <w:rsid w:val="005625CC"/>
    <w:rsid w:val="005625D2"/>
    <w:rsid w:val="005625E0"/>
    <w:rsid w:val="00562855"/>
    <w:rsid w:val="00562B37"/>
    <w:rsid w:val="005633C1"/>
    <w:rsid w:val="00563645"/>
    <w:rsid w:val="005636DB"/>
    <w:rsid w:val="0056383C"/>
    <w:rsid w:val="00563984"/>
    <w:rsid w:val="0056398F"/>
    <w:rsid w:val="005639BF"/>
    <w:rsid w:val="00563BC4"/>
    <w:rsid w:val="00563D5B"/>
    <w:rsid w:val="00563DF4"/>
    <w:rsid w:val="00564079"/>
    <w:rsid w:val="00564146"/>
    <w:rsid w:val="005643BE"/>
    <w:rsid w:val="00564750"/>
    <w:rsid w:val="00564989"/>
    <w:rsid w:val="00564D6A"/>
    <w:rsid w:val="00564E78"/>
    <w:rsid w:val="00564EEA"/>
    <w:rsid w:val="00565009"/>
    <w:rsid w:val="0056511E"/>
    <w:rsid w:val="0056553C"/>
    <w:rsid w:val="005656DF"/>
    <w:rsid w:val="00565BCF"/>
    <w:rsid w:val="00565BD5"/>
    <w:rsid w:val="00565D0F"/>
    <w:rsid w:val="0056613F"/>
    <w:rsid w:val="00566146"/>
    <w:rsid w:val="00566297"/>
    <w:rsid w:val="005662E3"/>
    <w:rsid w:val="005662E4"/>
    <w:rsid w:val="00566426"/>
    <w:rsid w:val="00566516"/>
    <w:rsid w:val="00566609"/>
    <w:rsid w:val="00566910"/>
    <w:rsid w:val="00566C2C"/>
    <w:rsid w:val="00566D0A"/>
    <w:rsid w:val="00567007"/>
    <w:rsid w:val="0056717F"/>
    <w:rsid w:val="00567225"/>
    <w:rsid w:val="0056734C"/>
    <w:rsid w:val="005676F9"/>
    <w:rsid w:val="00567D1A"/>
    <w:rsid w:val="00567EDE"/>
    <w:rsid w:val="00567F20"/>
    <w:rsid w:val="00570254"/>
    <w:rsid w:val="00570746"/>
    <w:rsid w:val="00570893"/>
    <w:rsid w:val="00570907"/>
    <w:rsid w:val="00570930"/>
    <w:rsid w:val="00570A10"/>
    <w:rsid w:val="00570A87"/>
    <w:rsid w:val="00570B0C"/>
    <w:rsid w:val="00570B7B"/>
    <w:rsid w:val="00571060"/>
    <w:rsid w:val="0057136F"/>
    <w:rsid w:val="00571461"/>
    <w:rsid w:val="005716DE"/>
    <w:rsid w:val="00571723"/>
    <w:rsid w:val="00571A14"/>
    <w:rsid w:val="00571A53"/>
    <w:rsid w:val="00571D2D"/>
    <w:rsid w:val="00571E9F"/>
    <w:rsid w:val="0057204C"/>
    <w:rsid w:val="00572119"/>
    <w:rsid w:val="005721F0"/>
    <w:rsid w:val="00572219"/>
    <w:rsid w:val="0057275D"/>
    <w:rsid w:val="00572789"/>
    <w:rsid w:val="00572B3C"/>
    <w:rsid w:val="005731A3"/>
    <w:rsid w:val="00573252"/>
    <w:rsid w:val="005732D9"/>
    <w:rsid w:val="00573452"/>
    <w:rsid w:val="005734A1"/>
    <w:rsid w:val="005736A6"/>
    <w:rsid w:val="0057384C"/>
    <w:rsid w:val="00573940"/>
    <w:rsid w:val="00573B51"/>
    <w:rsid w:val="00573B91"/>
    <w:rsid w:val="00573B93"/>
    <w:rsid w:val="00573C78"/>
    <w:rsid w:val="00573D9A"/>
    <w:rsid w:val="00573F2C"/>
    <w:rsid w:val="00574049"/>
    <w:rsid w:val="005743F9"/>
    <w:rsid w:val="0057445E"/>
    <w:rsid w:val="005744D8"/>
    <w:rsid w:val="0057465E"/>
    <w:rsid w:val="00574682"/>
    <w:rsid w:val="00574A1C"/>
    <w:rsid w:val="00574AAE"/>
    <w:rsid w:val="00574B2E"/>
    <w:rsid w:val="00574D53"/>
    <w:rsid w:val="00574E47"/>
    <w:rsid w:val="00574EBC"/>
    <w:rsid w:val="00574FC6"/>
    <w:rsid w:val="00575750"/>
    <w:rsid w:val="00575850"/>
    <w:rsid w:val="00575B34"/>
    <w:rsid w:val="00575B99"/>
    <w:rsid w:val="00575C33"/>
    <w:rsid w:val="00575C6C"/>
    <w:rsid w:val="00575F1C"/>
    <w:rsid w:val="00575F5F"/>
    <w:rsid w:val="005760A2"/>
    <w:rsid w:val="00576296"/>
    <w:rsid w:val="00576605"/>
    <w:rsid w:val="0057685F"/>
    <w:rsid w:val="005769DA"/>
    <w:rsid w:val="00576A7E"/>
    <w:rsid w:val="00576BE3"/>
    <w:rsid w:val="00576C08"/>
    <w:rsid w:val="00576E35"/>
    <w:rsid w:val="00576EB4"/>
    <w:rsid w:val="00576F13"/>
    <w:rsid w:val="00577033"/>
    <w:rsid w:val="0057732C"/>
    <w:rsid w:val="00577363"/>
    <w:rsid w:val="005775C8"/>
    <w:rsid w:val="0057774E"/>
    <w:rsid w:val="00577946"/>
    <w:rsid w:val="00577948"/>
    <w:rsid w:val="00577AA4"/>
    <w:rsid w:val="00577AFF"/>
    <w:rsid w:val="00577B83"/>
    <w:rsid w:val="00577ED1"/>
    <w:rsid w:val="0058014B"/>
    <w:rsid w:val="00580486"/>
    <w:rsid w:val="0058058C"/>
    <w:rsid w:val="005805F0"/>
    <w:rsid w:val="00580724"/>
    <w:rsid w:val="005808C1"/>
    <w:rsid w:val="00580A41"/>
    <w:rsid w:val="00580A7A"/>
    <w:rsid w:val="00580B08"/>
    <w:rsid w:val="00580D86"/>
    <w:rsid w:val="00580E9D"/>
    <w:rsid w:val="0058137C"/>
    <w:rsid w:val="005813CA"/>
    <w:rsid w:val="0058153D"/>
    <w:rsid w:val="005815EF"/>
    <w:rsid w:val="0058182A"/>
    <w:rsid w:val="0058195F"/>
    <w:rsid w:val="00581B97"/>
    <w:rsid w:val="00581C73"/>
    <w:rsid w:val="00581DEB"/>
    <w:rsid w:val="00581F13"/>
    <w:rsid w:val="00581FE7"/>
    <w:rsid w:val="005824F2"/>
    <w:rsid w:val="0058273C"/>
    <w:rsid w:val="0058279D"/>
    <w:rsid w:val="0058299C"/>
    <w:rsid w:val="00582BBE"/>
    <w:rsid w:val="00582D71"/>
    <w:rsid w:val="00583006"/>
    <w:rsid w:val="005831A3"/>
    <w:rsid w:val="00583351"/>
    <w:rsid w:val="00583409"/>
    <w:rsid w:val="00583543"/>
    <w:rsid w:val="00583B24"/>
    <w:rsid w:val="00584128"/>
    <w:rsid w:val="005844D8"/>
    <w:rsid w:val="00584679"/>
    <w:rsid w:val="00584749"/>
    <w:rsid w:val="00584840"/>
    <w:rsid w:val="0058484B"/>
    <w:rsid w:val="00584DE2"/>
    <w:rsid w:val="00584F05"/>
    <w:rsid w:val="00584F5B"/>
    <w:rsid w:val="00584FEE"/>
    <w:rsid w:val="0058503D"/>
    <w:rsid w:val="00585379"/>
    <w:rsid w:val="0058556C"/>
    <w:rsid w:val="005856B7"/>
    <w:rsid w:val="00585707"/>
    <w:rsid w:val="00585A00"/>
    <w:rsid w:val="00585B91"/>
    <w:rsid w:val="005862A6"/>
    <w:rsid w:val="0058633A"/>
    <w:rsid w:val="00586478"/>
    <w:rsid w:val="005864CA"/>
    <w:rsid w:val="0058659E"/>
    <w:rsid w:val="005868DF"/>
    <w:rsid w:val="0058698F"/>
    <w:rsid w:val="00586A29"/>
    <w:rsid w:val="00586A7E"/>
    <w:rsid w:val="00586B18"/>
    <w:rsid w:val="00586B36"/>
    <w:rsid w:val="00586DC5"/>
    <w:rsid w:val="00586DE5"/>
    <w:rsid w:val="00586E66"/>
    <w:rsid w:val="00586EED"/>
    <w:rsid w:val="0058712D"/>
    <w:rsid w:val="005871F0"/>
    <w:rsid w:val="00587281"/>
    <w:rsid w:val="00587484"/>
    <w:rsid w:val="005875EA"/>
    <w:rsid w:val="0058773F"/>
    <w:rsid w:val="0058787F"/>
    <w:rsid w:val="00587B76"/>
    <w:rsid w:val="00587DDF"/>
    <w:rsid w:val="005901F4"/>
    <w:rsid w:val="00590227"/>
    <w:rsid w:val="00590360"/>
    <w:rsid w:val="005904A1"/>
    <w:rsid w:val="0059087B"/>
    <w:rsid w:val="005908AC"/>
    <w:rsid w:val="00590CEB"/>
    <w:rsid w:val="00590D31"/>
    <w:rsid w:val="00590E98"/>
    <w:rsid w:val="00591389"/>
    <w:rsid w:val="005916CC"/>
    <w:rsid w:val="005918A5"/>
    <w:rsid w:val="005918F4"/>
    <w:rsid w:val="00591AEF"/>
    <w:rsid w:val="00592038"/>
    <w:rsid w:val="005921C7"/>
    <w:rsid w:val="005923DB"/>
    <w:rsid w:val="00592486"/>
    <w:rsid w:val="005924FE"/>
    <w:rsid w:val="00592559"/>
    <w:rsid w:val="005926C6"/>
    <w:rsid w:val="00592EC4"/>
    <w:rsid w:val="00593272"/>
    <w:rsid w:val="00593429"/>
    <w:rsid w:val="005936F3"/>
    <w:rsid w:val="00593732"/>
    <w:rsid w:val="00593B34"/>
    <w:rsid w:val="00593D52"/>
    <w:rsid w:val="00593D7D"/>
    <w:rsid w:val="00593EB4"/>
    <w:rsid w:val="00594455"/>
    <w:rsid w:val="00594645"/>
    <w:rsid w:val="0059467D"/>
    <w:rsid w:val="00594861"/>
    <w:rsid w:val="005948D3"/>
    <w:rsid w:val="005948E7"/>
    <w:rsid w:val="0059499B"/>
    <w:rsid w:val="00594EFA"/>
    <w:rsid w:val="00594F47"/>
    <w:rsid w:val="00594F5D"/>
    <w:rsid w:val="00595384"/>
    <w:rsid w:val="0059549E"/>
    <w:rsid w:val="00595571"/>
    <w:rsid w:val="0059590B"/>
    <w:rsid w:val="0059592B"/>
    <w:rsid w:val="005959AB"/>
    <w:rsid w:val="00595CC8"/>
    <w:rsid w:val="00595D14"/>
    <w:rsid w:val="00595D4C"/>
    <w:rsid w:val="00595F8C"/>
    <w:rsid w:val="0059604E"/>
    <w:rsid w:val="00596237"/>
    <w:rsid w:val="00596521"/>
    <w:rsid w:val="00596702"/>
    <w:rsid w:val="00596931"/>
    <w:rsid w:val="00596D55"/>
    <w:rsid w:val="00596D8B"/>
    <w:rsid w:val="0059748A"/>
    <w:rsid w:val="00597772"/>
    <w:rsid w:val="00597826"/>
    <w:rsid w:val="00597C5E"/>
    <w:rsid w:val="00597CB0"/>
    <w:rsid w:val="00597F68"/>
    <w:rsid w:val="005A041F"/>
    <w:rsid w:val="005A0687"/>
    <w:rsid w:val="005A0A93"/>
    <w:rsid w:val="005A0B1B"/>
    <w:rsid w:val="005A0B46"/>
    <w:rsid w:val="005A0D80"/>
    <w:rsid w:val="005A0FF0"/>
    <w:rsid w:val="005A13BC"/>
    <w:rsid w:val="005A1771"/>
    <w:rsid w:val="005A1A11"/>
    <w:rsid w:val="005A1F2E"/>
    <w:rsid w:val="005A1F66"/>
    <w:rsid w:val="005A201C"/>
    <w:rsid w:val="005A2331"/>
    <w:rsid w:val="005A254D"/>
    <w:rsid w:val="005A2654"/>
    <w:rsid w:val="005A268F"/>
    <w:rsid w:val="005A289D"/>
    <w:rsid w:val="005A2D87"/>
    <w:rsid w:val="005A2E8C"/>
    <w:rsid w:val="005A2ECA"/>
    <w:rsid w:val="005A305C"/>
    <w:rsid w:val="005A3371"/>
    <w:rsid w:val="005A344C"/>
    <w:rsid w:val="005A34D4"/>
    <w:rsid w:val="005A388C"/>
    <w:rsid w:val="005A3B55"/>
    <w:rsid w:val="005A3E21"/>
    <w:rsid w:val="005A3F9A"/>
    <w:rsid w:val="005A42A0"/>
    <w:rsid w:val="005A4475"/>
    <w:rsid w:val="005A4602"/>
    <w:rsid w:val="005A4928"/>
    <w:rsid w:val="005A4A30"/>
    <w:rsid w:val="005A4C1C"/>
    <w:rsid w:val="005A50F7"/>
    <w:rsid w:val="005A51A0"/>
    <w:rsid w:val="005A5364"/>
    <w:rsid w:val="005A5A10"/>
    <w:rsid w:val="005A5AE0"/>
    <w:rsid w:val="005A6099"/>
    <w:rsid w:val="005A61B1"/>
    <w:rsid w:val="005A63FB"/>
    <w:rsid w:val="005A6621"/>
    <w:rsid w:val="005A668F"/>
    <w:rsid w:val="005A6769"/>
    <w:rsid w:val="005A6C34"/>
    <w:rsid w:val="005A6D8B"/>
    <w:rsid w:val="005A6EE9"/>
    <w:rsid w:val="005A756F"/>
    <w:rsid w:val="005A7620"/>
    <w:rsid w:val="005A7C1A"/>
    <w:rsid w:val="005A7C86"/>
    <w:rsid w:val="005A7DFB"/>
    <w:rsid w:val="005A7FF5"/>
    <w:rsid w:val="005B03EA"/>
    <w:rsid w:val="005B04C3"/>
    <w:rsid w:val="005B08A8"/>
    <w:rsid w:val="005B0B3A"/>
    <w:rsid w:val="005B106A"/>
    <w:rsid w:val="005B1477"/>
    <w:rsid w:val="005B19DB"/>
    <w:rsid w:val="005B1B7A"/>
    <w:rsid w:val="005B2033"/>
    <w:rsid w:val="005B2047"/>
    <w:rsid w:val="005B20DC"/>
    <w:rsid w:val="005B252C"/>
    <w:rsid w:val="005B2608"/>
    <w:rsid w:val="005B261F"/>
    <w:rsid w:val="005B317B"/>
    <w:rsid w:val="005B319F"/>
    <w:rsid w:val="005B35DC"/>
    <w:rsid w:val="005B3706"/>
    <w:rsid w:val="005B385D"/>
    <w:rsid w:val="005B39E6"/>
    <w:rsid w:val="005B3A83"/>
    <w:rsid w:val="005B3B1F"/>
    <w:rsid w:val="005B3BEC"/>
    <w:rsid w:val="005B3C4D"/>
    <w:rsid w:val="005B3DB5"/>
    <w:rsid w:val="005B4144"/>
    <w:rsid w:val="005B41C0"/>
    <w:rsid w:val="005B4268"/>
    <w:rsid w:val="005B44EF"/>
    <w:rsid w:val="005B452A"/>
    <w:rsid w:val="005B4547"/>
    <w:rsid w:val="005B47DC"/>
    <w:rsid w:val="005B488D"/>
    <w:rsid w:val="005B4A85"/>
    <w:rsid w:val="005B4ACA"/>
    <w:rsid w:val="005B4CFA"/>
    <w:rsid w:val="005B4DB0"/>
    <w:rsid w:val="005B4E92"/>
    <w:rsid w:val="005B4F31"/>
    <w:rsid w:val="005B4F8F"/>
    <w:rsid w:val="005B512D"/>
    <w:rsid w:val="005B5443"/>
    <w:rsid w:val="005B56B6"/>
    <w:rsid w:val="005B581C"/>
    <w:rsid w:val="005B5C87"/>
    <w:rsid w:val="005B5E47"/>
    <w:rsid w:val="005B5EA4"/>
    <w:rsid w:val="005B5F4D"/>
    <w:rsid w:val="005B62F3"/>
    <w:rsid w:val="005B6C92"/>
    <w:rsid w:val="005B6CAC"/>
    <w:rsid w:val="005B6FBA"/>
    <w:rsid w:val="005B70BC"/>
    <w:rsid w:val="005B7A3F"/>
    <w:rsid w:val="005B7B82"/>
    <w:rsid w:val="005B7FB5"/>
    <w:rsid w:val="005C01BB"/>
    <w:rsid w:val="005C01F5"/>
    <w:rsid w:val="005C046F"/>
    <w:rsid w:val="005C0520"/>
    <w:rsid w:val="005C076A"/>
    <w:rsid w:val="005C07A5"/>
    <w:rsid w:val="005C0962"/>
    <w:rsid w:val="005C0C02"/>
    <w:rsid w:val="005C147F"/>
    <w:rsid w:val="005C1669"/>
    <w:rsid w:val="005C1811"/>
    <w:rsid w:val="005C1AF9"/>
    <w:rsid w:val="005C1B74"/>
    <w:rsid w:val="005C1CAC"/>
    <w:rsid w:val="005C2267"/>
    <w:rsid w:val="005C24BC"/>
    <w:rsid w:val="005C2546"/>
    <w:rsid w:val="005C29DD"/>
    <w:rsid w:val="005C2B13"/>
    <w:rsid w:val="005C2F1A"/>
    <w:rsid w:val="005C302E"/>
    <w:rsid w:val="005C324D"/>
    <w:rsid w:val="005C3269"/>
    <w:rsid w:val="005C32FC"/>
    <w:rsid w:val="005C3807"/>
    <w:rsid w:val="005C3C88"/>
    <w:rsid w:val="005C3C9B"/>
    <w:rsid w:val="005C3D08"/>
    <w:rsid w:val="005C3D31"/>
    <w:rsid w:val="005C42E5"/>
    <w:rsid w:val="005C4412"/>
    <w:rsid w:val="005C45D5"/>
    <w:rsid w:val="005C460D"/>
    <w:rsid w:val="005C4675"/>
    <w:rsid w:val="005C469A"/>
    <w:rsid w:val="005C4828"/>
    <w:rsid w:val="005C493E"/>
    <w:rsid w:val="005C5082"/>
    <w:rsid w:val="005C5125"/>
    <w:rsid w:val="005C522B"/>
    <w:rsid w:val="005C5281"/>
    <w:rsid w:val="005C5556"/>
    <w:rsid w:val="005C5727"/>
    <w:rsid w:val="005C57B1"/>
    <w:rsid w:val="005C588C"/>
    <w:rsid w:val="005C5973"/>
    <w:rsid w:val="005C59AA"/>
    <w:rsid w:val="005C5ADC"/>
    <w:rsid w:val="005C5B65"/>
    <w:rsid w:val="005C5BE8"/>
    <w:rsid w:val="005C5CD4"/>
    <w:rsid w:val="005C5D8F"/>
    <w:rsid w:val="005C5E4E"/>
    <w:rsid w:val="005C6116"/>
    <w:rsid w:val="005C613A"/>
    <w:rsid w:val="005C63BE"/>
    <w:rsid w:val="005C64A2"/>
    <w:rsid w:val="005C65E9"/>
    <w:rsid w:val="005C6A3C"/>
    <w:rsid w:val="005C6B11"/>
    <w:rsid w:val="005C6BBE"/>
    <w:rsid w:val="005C747B"/>
    <w:rsid w:val="005C7489"/>
    <w:rsid w:val="005C75DA"/>
    <w:rsid w:val="005C77C7"/>
    <w:rsid w:val="005C7BA2"/>
    <w:rsid w:val="005C7CCB"/>
    <w:rsid w:val="005C7E94"/>
    <w:rsid w:val="005C7F0F"/>
    <w:rsid w:val="005D011E"/>
    <w:rsid w:val="005D0158"/>
    <w:rsid w:val="005D01D0"/>
    <w:rsid w:val="005D0899"/>
    <w:rsid w:val="005D09F0"/>
    <w:rsid w:val="005D0C82"/>
    <w:rsid w:val="005D0D80"/>
    <w:rsid w:val="005D124D"/>
    <w:rsid w:val="005D12E2"/>
    <w:rsid w:val="005D13FE"/>
    <w:rsid w:val="005D173C"/>
    <w:rsid w:val="005D1A46"/>
    <w:rsid w:val="005D1DE4"/>
    <w:rsid w:val="005D21E6"/>
    <w:rsid w:val="005D2264"/>
    <w:rsid w:val="005D2466"/>
    <w:rsid w:val="005D2482"/>
    <w:rsid w:val="005D258B"/>
    <w:rsid w:val="005D27E8"/>
    <w:rsid w:val="005D27ED"/>
    <w:rsid w:val="005D2B21"/>
    <w:rsid w:val="005D2CAC"/>
    <w:rsid w:val="005D2E06"/>
    <w:rsid w:val="005D3044"/>
    <w:rsid w:val="005D30EF"/>
    <w:rsid w:val="005D32FC"/>
    <w:rsid w:val="005D3504"/>
    <w:rsid w:val="005D3826"/>
    <w:rsid w:val="005D3844"/>
    <w:rsid w:val="005D4002"/>
    <w:rsid w:val="005D4004"/>
    <w:rsid w:val="005D4188"/>
    <w:rsid w:val="005D4319"/>
    <w:rsid w:val="005D4359"/>
    <w:rsid w:val="005D44C1"/>
    <w:rsid w:val="005D44DF"/>
    <w:rsid w:val="005D4560"/>
    <w:rsid w:val="005D45F8"/>
    <w:rsid w:val="005D4862"/>
    <w:rsid w:val="005D4904"/>
    <w:rsid w:val="005D4A2B"/>
    <w:rsid w:val="005D4D77"/>
    <w:rsid w:val="005D4FCC"/>
    <w:rsid w:val="005D524E"/>
    <w:rsid w:val="005D5587"/>
    <w:rsid w:val="005D57DA"/>
    <w:rsid w:val="005D5967"/>
    <w:rsid w:val="005D59D0"/>
    <w:rsid w:val="005D59D8"/>
    <w:rsid w:val="005D5B07"/>
    <w:rsid w:val="005D5B4B"/>
    <w:rsid w:val="005D5BD4"/>
    <w:rsid w:val="005D5DB3"/>
    <w:rsid w:val="005D5FDC"/>
    <w:rsid w:val="005D5FE8"/>
    <w:rsid w:val="005D625F"/>
    <w:rsid w:val="005D64DC"/>
    <w:rsid w:val="005D66F7"/>
    <w:rsid w:val="005D672D"/>
    <w:rsid w:val="005D6A9E"/>
    <w:rsid w:val="005D6DCB"/>
    <w:rsid w:val="005D6E01"/>
    <w:rsid w:val="005D6ED7"/>
    <w:rsid w:val="005D6FA9"/>
    <w:rsid w:val="005D7149"/>
    <w:rsid w:val="005D71F6"/>
    <w:rsid w:val="005D730D"/>
    <w:rsid w:val="005D733A"/>
    <w:rsid w:val="005D7959"/>
    <w:rsid w:val="005D7FF9"/>
    <w:rsid w:val="005E0076"/>
    <w:rsid w:val="005E0172"/>
    <w:rsid w:val="005E01AA"/>
    <w:rsid w:val="005E0447"/>
    <w:rsid w:val="005E05E6"/>
    <w:rsid w:val="005E0965"/>
    <w:rsid w:val="005E0AD5"/>
    <w:rsid w:val="005E0C00"/>
    <w:rsid w:val="005E0CA6"/>
    <w:rsid w:val="005E0FC8"/>
    <w:rsid w:val="005E14AD"/>
    <w:rsid w:val="005E16D0"/>
    <w:rsid w:val="005E1838"/>
    <w:rsid w:val="005E198A"/>
    <w:rsid w:val="005E1A2C"/>
    <w:rsid w:val="005E1FAA"/>
    <w:rsid w:val="005E204D"/>
    <w:rsid w:val="005E2062"/>
    <w:rsid w:val="005E23B8"/>
    <w:rsid w:val="005E24A9"/>
    <w:rsid w:val="005E292A"/>
    <w:rsid w:val="005E2D2D"/>
    <w:rsid w:val="005E2EA6"/>
    <w:rsid w:val="005E2F0A"/>
    <w:rsid w:val="005E3307"/>
    <w:rsid w:val="005E35A2"/>
    <w:rsid w:val="005E3695"/>
    <w:rsid w:val="005E372E"/>
    <w:rsid w:val="005E3798"/>
    <w:rsid w:val="005E3A3D"/>
    <w:rsid w:val="005E3AD2"/>
    <w:rsid w:val="005E3B95"/>
    <w:rsid w:val="005E3DEB"/>
    <w:rsid w:val="005E3EF8"/>
    <w:rsid w:val="005E3F71"/>
    <w:rsid w:val="005E413D"/>
    <w:rsid w:val="005E45BA"/>
    <w:rsid w:val="005E4669"/>
    <w:rsid w:val="005E471D"/>
    <w:rsid w:val="005E49E9"/>
    <w:rsid w:val="005E4A28"/>
    <w:rsid w:val="005E4C06"/>
    <w:rsid w:val="005E4E61"/>
    <w:rsid w:val="005E4EB6"/>
    <w:rsid w:val="005E5218"/>
    <w:rsid w:val="005E533B"/>
    <w:rsid w:val="005E56C0"/>
    <w:rsid w:val="005E5745"/>
    <w:rsid w:val="005E5800"/>
    <w:rsid w:val="005E5840"/>
    <w:rsid w:val="005E59FB"/>
    <w:rsid w:val="005E5B87"/>
    <w:rsid w:val="005E5E04"/>
    <w:rsid w:val="005E61FB"/>
    <w:rsid w:val="005E620D"/>
    <w:rsid w:val="005E64A5"/>
    <w:rsid w:val="005E667C"/>
    <w:rsid w:val="005E670D"/>
    <w:rsid w:val="005E6726"/>
    <w:rsid w:val="005E6739"/>
    <w:rsid w:val="005E6E52"/>
    <w:rsid w:val="005E6ED2"/>
    <w:rsid w:val="005E732E"/>
    <w:rsid w:val="005E7377"/>
    <w:rsid w:val="005E743C"/>
    <w:rsid w:val="005E7601"/>
    <w:rsid w:val="005E76A9"/>
    <w:rsid w:val="005E76DE"/>
    <w:rsid w:val="005E7C90"/>
    <w:rsid w:val="005E7CF4"/>
    <w:rsid w:val="005E7D17"/>
    <w:rsid w:val="005E7D43"/>
    <w:rsid w:val="005E7D89"/>
    <w:rsid w:val="005F023D"/>
    <w:rsid w:val="005F0249"/>
    <w:rsid w:val="005F04DE"/>
    <w:rsid w:val="005F0567"/>
    <w:rsid w:val="005F0789"/>
    <w:rsid w:val="005F09B9"/>
    <w:rsid w:val="005F0C8F"/>
    <w:rsid w:val="005F0EA0"/>
    <w:rsid w:val="005F0EF6"/>
    <w:rsid w:val="005F101C"/>
    <w:rsid w:val="005F10C6"/>
    <w:rsid w:val="005F10DF"/>
    <w:rsid w:val="005F1102"/>
    <w:rsid w:val="005F1159"/>
    <w:rsid w:val="005F126C"/>
    <w:rsid w:val="005F12ED"/>
    <w:rsid w:val="005F1645"/>
    <w:rsid w:val="005F1ECC"/>
    <w:rsid w:val="005F1F1D"/>
    <w:rsid w:val="005F2026"/>
    <w:rsid w:val="005F2172"/>
    <w:rsid w:val="005F22EA"/>
    <w:rsid w:val="005F2345"/>
    <w:rsid w:val="005F2889"/>
    <w:rsid w:val="005F2A37"/>
    <w:rsid w:val="005F2A66"/>
    <w:rsid w:val="005F2AC9"/>
    <w:rsid w:val="005F2ACF"/>
    <w:rsid w:val="005F2D33"/>
    <w:rsid w:val="005F2D6D"/>
    <w:rsid w:val="005F2D77"/>
    <w:rsid w:val="005F2D82"/>
    <w:rsid w:val="005F2EF4"/>
    <w:rsid w:val="005F3025"/>
    <w:rsid w:val="005F30BE"/>
    <w:rsid w:val="005F30D6"/>
    <w:rsid w:val="005F32E3"/>
    <w:rsid w:val="005F3A1D"/>
    <w:rsid w:val="005F3A55"/>
    <w:rsid w:val="005F3B27"/>
    <w:rsid w:val="005F3E14"/>
    <w:rsid w:val="005F4084"/>
    <w:rsid w:val="005F439F"/>
    <w:rsid w:val="005F478D"/>
    <w:rsid w:val="005F483C"/>
    <w:rsid w:val="005F4A4C"/>
    <w:rsid w:val="005F4B04"/>
    <w:rsid w:val="005F4D1D"/>
    <w:rsid w:val="005F4D8C"/>
    <w:rsid w:val="005F5053"/>
    <w:rsid w:val="005F51AD"/>
    <w:rsid w:val="005F5268"/>
    <w:rsid w:val="005F533A"/>
    <w:rsid w:val="005F53E8"/>
    <w:rsid w:val="005F5452"/>
    <w:rsid w:val="005F5465"/>
    <w:rsid w:val="005F5928"/>
    <w:rsid w:val="005F5BC0"/>
    <w:rsid w:val="005F5EEA"/>
    <w:rsid w:val="005F68A8"/>
    <w:rsid w:val="005F699B"/>
    <w:rsid w:val="005F6D85"/>
    <w:rsid w:val="005F6F05"/>
    <w:rsid w:val="005F706A"/>
    <w:rsid w:val="005F729F"/>
    <w:rsid w:val="005F72B7"/>
    <w:rsid w:val="005F76B1"/>
    <w:rsid w:val="005F76F5"/>
    <w:rsid w:val="005F7A19"/>
    <w:rsid w:val="005F7EF2"/>
    <w:rsid w:val="005F7F7C"/>
    <w:rsid w:val="006000E2"/>
    <w:rsid w:val="00600116"/>
    <w:rsid w:val="00600119"/>
    <w:rsid w:val="006001F3"/>
    <w:rsid w:val="006002E4"/>
    <w:rsid w:val="00600661"/>
    <w:rsid w:val="006006DE"/>
    <w:rsid w:val="00600717"/>
    <w:rsid w:val="00600E0F"/>
    <w:rsid w:val="00600F16"/>
    <w:rsid w:val="006010F0"/>
    <w:rsid w:val="00601400"/>
    <w:rsid w:val="00601524"/>
    <w:rsid w:val="00601526"/>
    <w:rsid w:val="00601DEE"/>
    <w:rsid w:val="00601EE9"/>
    <w:rsid w:val="00602229"/>
    <w:rsid w:val="00602366"/>
    <w:rsid w:val="00602508"/>
    <w:rsid w:val="006025FA"/>
    <w:rsid w:val="00602752"/>
    <w:rsid w:val="0060287B"/>
    <w:rsid w:val="00602B43"/>
    <w:rsid w:val="00602E28"/>
    <w:rsid w:val="00603075"/>
    <w:rsid w:val="006030BD"/>
    <w:rsid w:val="0060332F"/>
    <w:rsid w:val="006038A2"/>
    <w:rsid w:val="006038C6"/>
    <w:rsid w:val="00604182"/>
    <w:rsid w:val="006043A3"/>
    <w:rsid w:val="00604514"/>
    <w:rsid w:val="00604B29"/>
    <w:rsid w:val="006052ED"/>
    <w:rsid w:val="006053A0"/>
    <w:rsid w:val="006053C1"/>
    <w:rsid w:val="0060548E"/>
    <w:rsid w:val="00605653"/>
    <w:rsid w:val="0060578C"/>
    <w:rsid w:val="006057E7"/>
    <w:rsid w:val="00605957"/>
    <w:rsid w:val="00605B76"/>
    <w:rsid w:val="00605BFA"/>
    <w:rsid w:val="00605DB7"/>
    <w:rsid w:val="0060618A"/>
    <w:rsid w:val="006061A9"/>
    <w:rsid w:val="0060665D"/>
    <w:rsid w:val="0060685E"/>
    <w:rsid w:val="0060695E"/>
    <w:rsid w:val="00606D53"/>
    <w:rsid w:val="00607058"/>
    <w:rsid w:val="006073BB"/>
    <w:rsid w:val="00607776"/>
    <w:rsid w:val="00607B4A"/>
    <w:rsid w:val="00607B77"/>
    <w:rsid w:val="00607E65"/>
    <w:rsid w:val="00607F4E"/>
    <w:rsid w:val="00607FC8"/>
    <w:rsid w:val="006104FC"/>
    <w:rsid w:val="00610695"/>
    <w:rsid w:val="0061092E"/>
    <w:rsid w:val="00610DEF"/>
    <w:rsid w:val="00610E9E"/>
    <w:rsid w:val="006111B9"/>
    <w:rsid w:val="00611359"/>
    <w:rsid w:val="00611379"/>
    <w:rsid w:val="0061160E"/>
    <w:rsid w:val="00611762"/>
    <w:rsid w:val="00611913"/>
    <w:rsid w:val="00611942"/>
    <w:rsid w:val="00611997"/>
    <w:rsid w:val="006119D1"/>
    <w:rsid w:val="00611A42"/>
    <w:rsid w:val="00611ACA"/>
    <w:rsid w:val="00611F62"/>
    <w:rsid w:val="00611FFB"/>
    <w:rsid w:val="00612024"/>
    <w:rsid w:val="00612081"/>
    <w:rsid w:val="006122F3"/>
    <w:rsid w:val="00612458"/>
    <w:rsid w:val="00612498"/>
    <w:rsid w:val="00612CC3"/>
    <w:rsid w:val="00613076"/>
    <w:rsid w:val="00613108"/>
    <w:rsid w:val="006131CC"/>
    <w:rsid w:val="00613436"/>
    <w:rsid w:val="0061373D"/>
    <w:rsid w:val="0061381E"/>
    <w:rsid w:val="0061396B"/>
    <w:rsid w:val="006139A2"/>
    <w:rsid w:val="006139D8"/>
    <w:rsid w:val="00613EEF"/>
    <w:rsid w:val="006142D6"/>
    <w:rsid w:val="00614818"/>
    <w:rsid w:val="0061487C"/>
    <w:rsid w:val="00614881"/>
    <w:rsid w:val="00614951"/>
    <w:rsid w:val="00614CDE"/>
    <w:rsid w:val="00614DD2"/>
    <w:rsid w:val="00614F38"/>
    <w:rsid w:val="0061523B"/>
    <w:rsid w:val="0061564B"/>
    <w:rsid w:val="00615926"/>
    <w:rsid w:val="00615AF4"/>
    <w:rsid w:val="00615DEF"/>
    <w:rsid w:val="00615E5B"/>
    <w:rsid w:val="006161AF"/>
    <w:rsid w:val="006163DE"/>
    <w:rsid w:val="006164F9"/>
    <w:rsid w:val="00616588"/>
    <w:rsid w:val="00616AD0"/>
    <w:rsid w:val="00616BC2"/>
    <w:rsid w:val="00616F3A"/>
    <w:rsid w:val="006170F6"/>
    <w:rsid w:val="00617239"/>
    <w:rsid w:val="006172AC"/>
    <w:rsid w:val="00617343"/>
    <w:rsid w:val="00617384"/>
    <w:rsid w:val="0061743D"/>
    <w:rsid w:val="006174D2"/>
    <w:rsid w:val="00617A94"/>
    <w:rsid w:val="00617CA5"/>
    <w:rsid w:val="00617D1E"/>
    <w:rsid w:val="00617EF6"/>
    <w:rsid w:val="006207CF"/>
    <w:rsid w:val="006208E6"/>
    <w:rsid w:val="00620950"/>
    <w:rsid w:val="00620B34"/>
    <w:rsid w:val="00620B4F"/>
    <w:rsid w:val="00620D15"/>
    <w:rsid w:val="00620F11"/>
    <w:rsid w:val="00621149"/>
    <w:rsid w:val="006215A4"/>
    <w:rsid w:val="00621B24"/>
    <w:rsid w:val="00621BB1"/>
    <w:rsid w:val="00621D1F"/>
    <w:rsid w:val="00621E40"/>
    <w:rsid w:val="00621E93"/>
    <w:rsid w:val="00621FB4"/>
    <w:rsid w:val="0062217B"/>
    <w:rsid w:val="00622209"/>
    <w:rsid w:val="00622561"/>
    <w:rsid w:val="00622698"/>
    <w:rsid w:val="00622799"/>
    <w:rsid w:val="00622994"/>
    <w:rsid w:val="00622C6F"/>
    <w:rsid w:val="00622DBC"/>
    <w:rsid w:val="006230D6"/>
    <w:rsid w:val="006230E6"/>
    <w:rsid w:val="00623250"/>
    <w:rsid w:val="00623337"/>
    <w:rsid w:val="006234CE"/>
    <w:rsid w:val="0062378F"/>
    <w:rsid w:val="00623792"/>
    <w:rsid w:val="0062385B"/>
    <w:rsid w:val="0062396B"/>
    <w:rsid w:val="00623D5B"/>
    <w:rsid w:val="0062405E"/>
    <w:rsid w:val="00624127"/>
    <w:rsid w:val="00624244"/>
    <w:rsid w:val="0062470D"/>
    <w:rsid w:val="00624750"/>
    <w:rsid w:val="00624943"/>
    <w:rsid w:val="00624ACD"/>
    <w:rsid w:val="00624B2A"/>
    <w:rsid w:val="00624C1E"/>
    <w:rsid w:val="00624C3B"/>
    <w:rsid w:val="00624E3B"/>
    <w:rsid w:val="00624F04"/>
    <w:rsid w:val="00624F54"/>
    <w:rsid w:val="0062516D"/>
    <w:rsid w:val="006251EF"/>
    <w:rsid w:val="00625604"/>
    <w:rsid w:val="006256C6"/>
    <w:rsid w:val="006259C0"/>
    <w:rsid w:val="00625A2C"/>
    <w:rsid w:val="00625A64"/>
    <w:rsid w:val="00625C4C"/>
    <w:rsid w:val="00626079"/>
    <w:rsid w:val="006260FC"/>
    <w:rsid w:val="006261CA"/>
    <w:rsid w:val="006261E3"/>
    <w:rsid w:val="00626437"/>
    <w:rsid w:val="00626570"/>
    <w:rsid w:val="006267E9"/>
    <w:rsid w:val="00626981"/>
    <w:rsid w:val="00626C52"/>
    <w:rsid w:val="00626D66"/>
    <w:rsid w:val="00626D99"/>
    <w:rsid w:val="00626EB1"/>
    <w:rsid w:val="0062715E"/>
    <w:rsid w:val="006271E1"/>
    <w:rsid w:val="006273E7"/>
    <w:rsid w:val="00627540"/>
    <w:rsid w:val="006275F5"/>
    <w:rsid w:val="00627B8F"/>
    <w:rsid w:val="00627DE1"/>
    <w:rsid w:val="00627E88"/>
    <w:rsid w:val="00627EF4"/>
    <w:rsid w:val="00627F10"/>
    <w:rsid w:val="00630008"/>
    <w:rsid w:val="00630073"/>
    <w:rsid w:val="0063014B"/>
    <w:rsid w:val="006304B5"/>
    <w:rsid w:val="0063065A"/>
    <w:rsid w:val="006306CA"/>
    <w:rsid w:val="00630874"/>
    <w:rsid w:val="00630F83"/>
    <w:rsid w:val="0063135F"/>
    <w:rsid w:val="00631732"/>
    <w:rsid w:val="006317C3"/>
    <w:rsid w:val="00631B3D"/>
    <w:rsid w:val="00631C12"/>
    <w:rsid w:val="00631D1F"/>
    <w:rsid w:val="00631F32"/>
    <w:rsid w:val="0063200A"/>
    <w:rsid w:val="00632052"/>
    <w:rsid w:val="00632205"/>
    <w:rsid w:val="006324C3"/>
    <w:rsid w:val="00632770"/>
    <w:rsid w:val="006327B6"/>
    <w:rsid w:val="006328A7"/>
    <w:rsid w:val="00632AAD"/>
    <w:rsid w:val="00632AC3"/>
    <w:rsid w:val="00632F6B"/>
    <w:rsid w:val="00632FC5"/>
    <w:rsid w:val="0063323B"/>
    <w:rsid w:val="006333EA"/>
    <w:rsid w:val="006334C1"/>
    <w:rsid w:val="00633872"/>
    <w:rsid w:val="00633875"/>
    <w:rsid w:val="0063398D"/>
    <w:rsid w:val="00633CCF"/>
    <w:rsid w:val="00633D9E"/>
    <w:rsid w:val="00633E32"/>
    <w:rsid w:val="00633FA5"/>
    <w:rsid w:val="006340CF"/>
    <w:rsid w:val="0063420E"/>
    <w:rsid w:val="00634290"/>
    <w:rsid w:val="006344B9"/>
    <w:rsid w:val="006345E4"/>
    <w:rsid w:val="00634891"/>
    <w:rsid w:val="006348A2"/>
    <w:rsid w:val="00634A4B"/>
    <w:rsid w:val="006352ED"/>
    <w:rsid w:val="00635352"/>
    <w:rsid w:val="00635F87"/>
    <w:rsid w:val="00636084"/>
    <w:rsid w:val="00636300"/>
    <w:rsid w:val="00636397"/>
    <w:rsid w:val="006367EA"/>
    <w:rsid w:val="00636967"/>
    <w:rsid w:val="00636B87"/>
    <w:rsid w:val="00636C32"/>
    <w:rsid w:val="00636CC6"/>
    <w:rsid w:val="00636CE3"/>
    <w:rsid w:val="00636CF6"/>
    <w:rsid w:val="00636E85"/>
    <w:rsid w:val="00636FF5"/>
    <w:rsid w:val="00637449"/>
    <w:rsid w:val="00637467"/>
    <w:rsid w:val="0063748F"/>
    <w:rsid w:val="006376AF"/>
    <w:rsid w:val="00637800"/>
    <w:rsid w:val="00637D7E"/>
    <w:rsid w:val="00637E18"/>
    <w:rsid w:val="0063E737"/>
    <w:rsid w:val="00640171"/>
    <w:rsid w:val="006402D8"/>
    <w:rsid w:val="00640389"/>
    <w:rsid w:val="00640409"/>
    <w:rsid w:val="006407FF"/>
    <w:rsid w:val="0064092B"/>
    <w:rsid w:val="00640971"/>
    <w:rsid w:val="00640B3E"/>
    <w:rsid w:val="00640CFF"/>
    <w:rsid w:val="006410D5"/>
    <w:rsid w:val="006419A1"/>
    <w:rsid w:val="00641A2A"/>
    <w:rsid w:val="00641CA5"/>
    <w:rsid w:val="00641E77"/>
    <w:rsid w:val="0064219D"/>
    <w:rsid w:val="006424A2"/>
    <w:rsid w:val="00642710"/>
    <w:rsid w:val="0064271F"/>
    <w:rsid w:val="0064286B"/>
    <w:rsid w:val="00642949"/>
    <w:rsid w:val="006430DF"/>
    <w:rsid w:val="006431B6"/>
    <w:rsid w:val="0064331A"/>
    <w:rsid w:val="006434C6"/>
    <w:rsid w:val="006435C8"/>
    <w:rsid w:val="006435F3"/>
    <w:rsid w:val="006438CC"/>
    <w:rsid w:val="00643AF1"/>
    <w:rsid w:val="00643D37"/>
    <w:rsid w:val="006440C5"/>
    <w:rsid w:val="006442BF"/>
    <w:rsid w:val="00644809"/>
    <w:rsid w:val="0064485A"/>
    <w:rsid w:val="00644CAC"/>
    <w:rsid w:val="00644CDE"/>
    <w:rsid w:val="00644E08"/>
    <w:rsid w:val="006450B2"/>
    <w:rsid w:val="006455BE"/>
    <w:rsid w:val="00645E0A"/>
    <w:rsid w:val="00645EAC"/>
    <w:rsid w:val="00645F13"/>
    <w:rsid w:val="00646070"/>
    <w:rsid w:val="00646281"/>
    <w:rsid w:val="00646310"/>
    <w:rsid w:val="006467A9"/>
    <w:rsid w:val="00646AB7"/>
    <w:rsid w:val="00646AC2"/>
    <w:rsid w:val="00646C90"/>
    <w:rsid w:val="00646CD7"/>
    <w:rsid w:val="00646D8A"/>
    <w:rsid w:val="00646FF1"/>
    <w:rsid w:val="0064727D"/>
    <w:rsid w:val="00647362"/>
    <w:rsid w:val="006474C1"/>
    <w:rsid w:val="0064782C"/>
    <w:rsid w:val="00647956"/>
    <w:rsid w:val="006479AC"/>
    <w:rsid w:val="00647B38"/>
    <w:rsid w:val="006502CC"/>
    <w:rsid w:val="00650496"/>
    <w:rsid w:val="006504BF"/>
    <w:rsid w:val="00650720"/>
    <w:rsid w:val="00650A36"/>
    <w:rsid w:val="00650C7D"/>
    <w:rsid w:val="00650CA4"/>
    <w:rsid w:val="00650F04"/>
    <w:rsid w:val="00650F12"/>
    <w:rsid w:val="006513D9"/>
    <w:rsid w:val="00651443"/>
    <w:rsid w:val="00651A68"/>
    <w:rsid w:val="00651CE0"/>
    <w:rsid w:val="00651DC8"/>
    <w:rsid w:val="00652150"/>
    <w:rsid w:val="00652256"/>
    <w:rsid w:val="006522FD"/>
    <w:rsid w:val="00652498"/>
    <w:rsid w:val="0065265F"/>
    <w:rsid w:val="006526B8"/>
    <w:rsid w:val="00652861"/>
    <w:rsid w:val="0065295B"/>
    <w:rsid w:val="00652A79"/>
    <w:rsid w:val="00652BA6"/>
    <w:rsid w:val="00652BE4"/>
    <w:rsid w:val="006532B1"/>
    <w:rsid w:val="006533B4"/>
    <w:rsid w:val="0065353D"/>
    <w:rsid w:val="00653593"/>
    <w:rsid w:val="006536EC"/>
    <w:rsid w:val="00653721"/>
    <w:rsid w:val="006537B6"/>
    <w:rsid w:val="00653A2D"/>
    <w:rsid w:val="00653AA5"/>
    <w:rsid w:val="00653DD0"/>
    <w:rsid w:val="00653EA3"/>
    <w:rsid w:val="00653FA7"/>
    <w:rsid w:val="00653FD7"/>
    <w:rsid w:val="00653FD8"/>
    <w:rsid w:val="0065445B"/>
    <w:rsid w:val="00654729"/>
    <w:rsid w:val="00654B65"/>
    <w:rsid w:val="00654B82"/>
    <w:rsid w:val="00655374"/>
    <w:rsid w:val="006553AB"/>
    <w:rsid w:val="006554DC"/>
    <w:rsid w:val="00655544"/>
    <w:rsid w:val="0065555E"/>
    <w:rsid w:val="006556D6"/>
    <w:rsid w:val="006558C0"/>
    <w:rsid w:val="00655B22"/>
    <w:rsid w:val="00655BB6"/>
    <w:rsid w:val="00655BDA"/>
    <w:rsid w:val="00655C27"/>
    <w:rsid w:val="00655F2E"/>
    <w:rsid w:val="00655F44"/>
    <w:rsid w:val="00655FAB"/>
    <w:rsid w:val="00655FB7"/>
    <w:rsid w:val="006560E6"/>
    <w:rsid w:val="00656124"/>
    <w:rsid w:val="006561DC"/>
    <w:rsid w:val="006566A7"/>
    <w:rsid w:val="00656AB1"/>
    <w:rsid w:val="00656BC3"/>
    <w:rsid w:val="00656CE7"/>
    <w:rsid w:val="006570FB"/>
    <w:rsid w:val="006572F1"/>
    <w:rsid w:val="006574B3"/>
    <w:rsid w:val="00657549"/>
    <w:rsid w:val="006577FF"/>
    <w:rsid w:val="00657AB0"/>
    <w:rsid w:val="00657BBA"/>
    <w:rsid w:val="00657CDC"/>
    <w:rsid w:val="00657EDA"/>
    <w:rsid w:val="00657F45"/>
    <w:rsid w:val="00660204"/>
    <w:rsid w:val="006608A2"/>
    <w:rsid w:val="00660A61"/>
    <w:rsid w:val="00660BCD"/>
    <w:rsid w:val="00660FA2"/>
    <w:rsid w:val="00661073"/>
    <w:rsid w:val="006612C3"/>
    <w:rsid w:val="00661386"/>
    <w:rsid w:val="00661388"/>
    <w:rsid w:val="00661505"/>
    <w:rsid w:val="006619B9"/>
    <w:rsid w:val="00661EE7"/>
    <w:rsid w:val="00661F68"/>
    <w:rsid w:val="006620CA"/>
    <w:rsid w:val="006621AB"/>
    <w:rsid w:val="0066237C"/>
    <w:rsid w:val="006624BF"/>
    <w:rsid w:val="00662594"/>
    <w:rsid w:val="006625D2"/>
    <w:rsid w:val="006627D7"/>
    <w:rsid w:val="0066281F"/>
    <w:rsid w:val="0066283D"/>
    <w:rsid w:val="00662BD3"/>
    <w:rsid w:val="00662C45"/>
    <w:rsid w:val="00662D5A"/>
    <w:rsid w:val="00662E38"/>
    <w:rsid w:val="006630D0"/>
    <w:rsid w:val="006631A4"/>
    <w:rsid w:val="006632B7"/>
    <w:rsid w:val="006633A1"/>
    <w:rsid w:val="00663568"/>
    <w:rsid w:val="006635ED"/>
    <w:rsid w:val="0066376F"/>
    <w:rsid w:val="006639D0"/>
    <w:rsid w:val="00663A45"/>
    <w:rsid w:val="00663B28"/>
    <w:rsid w:val="00663B32"/>
    <w:rsid w:val="00663EB0"/>
    <w:rsid w:val="0066406D"/>
    <w:rsid w:val="0066433A"/>
    <w:rsid w:val="006644BC"/>
    <w:rsid w:val="006649D9"/>
    <w:rsid w:val="00664A58"/>
    <w:rsid w:val="00664B38"/>
    <w:rsid w:val="00664C10"/>
    <w:rsid w:val="00664C12"/>
    <w:rsid w:val="0066518D"/>
    <w:rsid w:val="006653C6"/>
    <w:rsid w:val="00665426"/>
    <w:rsid w:val="006657A7"/>
    <w:rsid w:val="00665CC7"/>
    <w:rsid w:val="00665E22"/>
    <w:rsid w:val="0066615B"/>
    <w:rsid w:val="00666814"/>
    <w:rsid w:val="00666BF1"/>
    <w:rsid w:val="00666EA5"/>
    <w:rsid w:val="00666EB0"/>
    <w:rsid w:val="00666EF2"/>
    <w:rsid w:val="00667208"/>
    <w:rsid w:val="0066754A"/>
    <w:rsid w:val="006675D4"/>
    <w:rsid w:val="00667994"/>
    <w:rsid w:val="00667A03"/>
    <w:rsid w:val="00667C05"/>
    <w:rsid w:val="0067049A"/>
    <w:rsid w:val="0067049D"/>
    <w:rsid w:val="00670764"/>
    <w:rsid w:val="00670943"/>
    <w:rsid w:val="00670D2A"/>
    <w:rsid w:val="00670EBF"/>
    <w:rsid w:val="00671023"/>
    <w:rsid w:val="006710CD"/>
    <w:rsid w:val="0067171F"/>
    <w:rsid w:val="006717A8"/>
    <w:rsid w:val="006717FC"/>
    <w:rsid w:val="0067192E"/>
    <w:rsid w:val="00671A10"/>
    <w:rsid w:val="00671B6E"/>
    <w:rsid w:val="00671BCD"/>
    <w:rsid w:val="00671DBD"/>
    <w:rsid w:val="00672197"/>
    <w:rsid w:val="00672273"/>
    <w:rsid w:val="006723C1"/>
    <w:rsid w:val="00672459"/>
    <w:rsid w:val="006725D1"/>
    <w:rsid w:val="0067267E"/>
    <w:rsid w:val="006728CD"/>
    <w:rsid w:val="00672AD3"/>
    <w:rsid w:val="00672B8F"/>
    <w:rsid w:val="00672D49"/>
    <w:rsid w:val="00672E45"/>
    <w:rsid w:val="00672EBA"/>
    <w:rsid w:val="006732DC"/>
    <w:rsid w:val="0067337B"/>
    <w:rsid w:val="0067351F"/>
    <w:rsid w:val="00673B4B"/>
    <w:rsid w:val="00673BC4"/>
    <w:rsid w:val="00673FC8"/>
    <w:rsid w:val="0067406E"/>
    <w:rsid w:val="006748AA"/>
    <w:rsid w:val="006749EE"/>
    <w:rsid w:val="006750A3"/>
    <w:rsid w:val="00675220"/>
    <w:rsid w:val="006754A6"/>
    <w:rsid w:val="00675556"/>
    <w:rsid w:val="0067565F"/>
    <w:rsid w:val="0067570F"/>
    <w:rsid w:val="00675AF4"/>
    <w:rsid w:val="00675D0A"/>
    <w:rsid w:val="00675DAC"/>
    <w:rsid w:val="006766CE"/>
    <w:rsid w:val="00676807"/>
    <w:rsid w:val="00676B5A"/>
    <w:rsid w:val="00676BE2"/>
    <w:rsid w:val="00676CB2"/>
    <w:rsid w:val="00676DBE"/>
    <w:rsid w:val="00676DC8"/>
    <w:rsid w:val="00676F5E"/>
    <w:rsid w:val="006770CA"/>
    <w:rsid w:val="00677415"/>
    <w:rsid w:val="0067775C"/>
    <w:rsid w:val="006778B7"/>
    <w:rsid w:val="00677A9D"/>
    <w:rsid w:val="00677CDD"/>
    <w:rsid w:val="00677F37"/>
    <w:rsid w:val="00680158"/>
    <w:rsid w:val="00680221"/>
    <w:rsid w:val="00680284"/>
    <w:rsid w:val="0068052B"/>
    <w:rsid w:val="00680D28"/>
    <w:rsid w:val="00680F28"/>
    <w:rsid w:val="0068100A"/>
    <w:rsid w:val="00681240"/>
    <w:rsid w:val="00681498"/>
    <w:rsid w:val="00681590"/>
    <w:rsid w:val="00681865"/>
    <w:rsid w:val="00681C9F"/>
    <w:rsid w:val="00681F38"/>
    <w:rsid w:val="006820B5"/>
    <w:rsid w:val="006824EF"/>
    <w:rsid w:val="00682724"/>
    <w:rsid w:val="00682765"/>
    <w:rsid w:val="00682F85"/>
    <w:rsid w:val="0068300B"/>
    <w:rsid w:val="00683050"/>
    <w:rsid w:val="0068330E"/>
    <w:rsid w:val="0068389A"/>
    <w:rsid w:val="00683A24"/>
    <w:rsid w:val="00683E26"/>
    <w:rsid w:val="00683E56"/>
    <w:rsid w:val="006840DE"/>
    <w:rsid w:val="0068416C"/>
    <w:rsid w:val="006847D6"/>
    <w:rsid w:val="00684B7E"/>
    <w:rsid w:val="0068528C"/>
    <w:rsid w:val="00685341"/>
    <w:rsid w:val="00685442"/>
    <w:rsid w:val="00685A8C"/>
    <w:rsid w:val="00685B30"/>
    <w:rsid w:val="00685B49"/>
    <w:rsid w:val="00685D62"/>
    <w:rsid w:val="00685F6A"/>
    <w:rsid w:val="00685FB5"/>
    <w:rsid w:val="00686223"/>
    <w:rsid w:val="0068652A"/>
    <w:rsid w:val="006866D1"/>
    <w:rsid w:val="00686ABB"/>
    <w:rsid w:val="00686B12"/>
    <w:rsid w:val="00686BF7"/>
    <w:rsid w:val="00686FD3"/>
    <w:rsid w:val="00687454"/>
    <w:rsid w:val="006876D3"/>
    <w:rsid w:val="0068778B"/>
    <w:rsid w:val="00687846"/>
    <w:rsid w:val="006878EF"/>
    <w:rsid w:val="00687998"/>
    <w:rsid w:val="00687A3D"/>
    <w:rsid w:val="00687A8F"/>
    <w:rsid w:val="00687BDB"/>
    <w:rsid w:val="00687CBB"/>
    <w:rsid w:val="00687D03"/>
    <w:rsid w:val="00687DFE"/>
    <w:rsid w:val="00687E5E"/>
    <w:rsid w:val="0069009D"/>
    <w:rsid w:val="00690572"/>
    <w:rsid w:val="0069069C"/>
    <w:rsid w:val="0069075F"/>
    <w:rsid w:val="00690CDD"/>
    <w:rsid w:val="00690E0B"/>
    <w:rsid w:val="00691032"/>
    <w:rsid w:val="0069153E"/>
    <w:rsid w:val="00691661"/>
    <w:rsid w:val="0069194B"/>
    <w:rsid w:val="00691AB4"/>
    <w:rsid w:val="00691D10"/>
    <w:rsid w:val="006921AB"/>
    <w:rsid w:val="00692565"/>
    <w:rsid w:val="00692848"/>
    <w:rsid w:val="00692881"/>
    <w:rsid w:val="006928A1"/>
    <w:rsid w:val="00692947"/>
    <w:rsid w:val="00692AB7"/>
    <w:rsid w:val="00692B66"/>
    <w:rsid w:val="00692C59"/>
    <w:rsid w:val="00692D9E"/>
    <w:rsid w:val="00693442"/>
    <w:rsid w:val="006934CD"/>
    <w:rsid w:val="00693659"/>
    <w:rsid w:val="0069367B"/>
    <w:rsid w:val="006938C4"/>
    <w:rsid w:val="00693B0B"/>
    <w:rsid w:val="00693B5C"/>
    <w:rsid w:val="00693CDB"/>
    <w:rsid w:val="00693DD2"/>
    <w:rsid w:val="00694150"/>
    <w:rsid w:val="006942E9"/>
    <w:rsid w:val="0069448C"/>
    <w:rsid w:val="00694612"/>
    <w:rsid w:val="00694638"/>
    <w:rsid w:val="006948C2"/>
    <w:rsid w:val="00694EB6"/>
    <w:rsid w:val="00695083"/>
    <w:rsid w:val="0069510F"/>
    <w:rsid w:val="006951C2"/>
    <w:rsid w:val="006952ED"/>
    <w:rsid w:val="0069532D"/>
    <w:rsid w:val="00695396"/>
    <w:rsid w:val="0069541A"/>
    <w:rsid w:val="00695836"/>
    <w:rsid w:val="00695D03"/>
    <w:rsid w:val="0069621D"/>
    <w:rsid w:val="00696345"/>
    <w:rsid w:val="006963BF"/>
    <w:rsid w:val="006963F1"/>
    <w:rsid w:val="0069640A"/>
    <w:rsid w:val="00696722"/>
    <w:rsid w:val="0069688A"/>
    <w:rsid w:val="00696A5E"/>
    <w:rsid w:val="00697181"/>
    <w:rsid w:val="0069744B"/>
    <w:rsid w:val="006974C3"/>
    <w:rsid w:val="0069797B"/>
    <w:rsid w:val="00697989"/>
    <w:rsid w:val="00697A1F"/>
    <w:rsid w:val="00697B4D"/>
    <w:rsid w:val="00697D10"/>
    <w:rsid w:val="00697E6A"/>
    <w:rsid w:val="00697FD4"/>
    <w:rsid w:val="006A02DE"/>
    <w:rsid w:val="006A0518"/>
    <w:rsid w:val="006A0578"/>
    <w:rsid w:val="006A07E8"/>
    <w:rsid w:val="006A09E4"/>
    <w:rsid w:val="006A0A0D"/>
    <w:rsid w:val="006A0C4D"/>
    <w:rsid w:val="006A0E74"/>
    <w:rsid w:val="006A0EB8"/>
    <w:rsid w:val="006A100D"/>
    <w:rsid w:val="006A1246"/>
    <w:rsid w:val="006A162B"/>
    <w:rsid w:val="006A17DA"/>
    <w:rsid w:val="006A18BA"/>
    <w:rsid w:val="006A1976"/>
    <w:rsid w:val="006A1AC4"/>
    <w:rsid w:val="006A1D99"/>
    <w:rsid w:val="006A1DAE"/>
    <w:rsid w:val="006A200A"/>
    <w:rsid w:val="006A20B1"/>
    <w:rsid w:val="006A2276"/>
    <w:rsid w:val="006A22AD"/>
    <w:rsid w:val="006A241B"/>
    <w:rsid w:val="006A2A56"/>
    <w:rsid w:val="006A2D14"/>
    <w:rsid w:val="006A307F"/>
    <w:rsid w:val="006A3269"/>
    <w:rsid w:val="006A326E"/>
    <w:rsid w:val="006A3275"/>
    <w:rsid w:val="006A3840"/>
    <w:rsid w:val="006A3E80"/>
    <w:rsid w:val="006A41B7"/>
    <w:rsid w:val="006A442D"/>
    <w:rsid w:val="006A4538"/>
    <w:rsid w:val="006A4702"/>
    <w:rsid w:val="006A49F5"/>
    <w:rsid w:val="006A4AA6"/>
    <w:rsid w:val="006A4B8A"/>
    <w:rsid w:val="006A4C73"/>
    <w:rsid w:val="006A4D86"/>
    <w:rsid w:val="006A4D99"/>
    <w:rsid w:val="006A4EFA"/>
    <w:rsid w:val="006A4F05"/>
    <w:rsid w:val="006A5116"/>
    <w:rsid w:val="006A51EF"/>
    <w:rsid w:val="006A520A"/>
    <w:rsid w:val="006A54D9"/>
    <w:rsid w:val="006A56EF"/>
    <w:rsid w:val="006A5744"/>
    <w:rsid w:val="006A58E1"/>
    <w:rsid w:val="006A59DF"/>
    <w:rsid w:val="006A5ADE"/>
    <w:rsid w:val="006A5D09"/>
    <w:rsid w:val="006A6215"/>
    <w:rsid w:val="006A6436"/>
    <w:rsid w:val="006A644C"/>
    <w:rsid w:val="006A6576"/>
    <w:rsid w:val="006A663F"/>
    <w:rsid w:val="006A67BA"/>
    <w:rsid w:val="006A68FC"/>
    <w:rsid w:val="006A6902"/>
    <w:rsid w:val="006A69D8"/>
    <w:rsid w:val="006A6AB5"/>
    <w:rsid w:val="006A6BB1"/>
    <w:rsid w:val="006A6C18"/>
    <w:rsid w:val="006A6CA0"/>
    <w:rsid w:val="006A737C"/>
    <w:rsid w:val="006A7745"/>
    <w:rsid w:val="006A7896"/>
    <w:rsid w:val="006A7976"/>
    <w:rsid w:val="006A7BEC"/>
    <w:rsid w:val="006A7D49"/>
    <w:rsid w:val="006A7F95"/>
    <w:rsid w:val="006B0183"/>
    <w:rsid w:val="006B01B7"/>
    <w:rsid w:val="006B0201"/>
    <w:rsid w:val="006B0374"/>
    <w:rsid w:val="006B046D"/>
    <w:rsid w:val="006B0530"/>
    <w:rsid w:val="006B0614"/>
    <w:rsid w:val="006B085C"/>
    <w:rsid w:val="006B0AD7"/>
    <w:rsid w:val="006B0D75"/>
    <w:rsid w:val="006B0E5B"/>
    <w:rsid w:val="006B0EEA"/>
    <w:rsid w:val="006B19B2"/>
    <w:rsid w:val="006B19BB"/>
    <w:rsid w:val="006B1BF3"/>
    <w:rsid w:val="006B1C3A"/>
    <w:rsid w:val="006B21B9"/>
    <w:rsid w:val="006B245C"/>
    <w:rsid w:val="006B2696"/>
    <w:rsid w:val="006B298D"/>
    <w:rsid w:val="006B2DE2"/>
    <w:rsid w:val="006B2F72"/>
    <w:rsid w:val="006B3077"/>
    <w:rsid w:val="006B3476"/>
    <w:rsid w:val="006B3B4E"/>
    <w:rsid w:val="006B3B65"/>
    <w:rsid w:val="006B3F18"/>
    <w:rsid w:val="006B3F8C"/>
    <w:rsid w:val="006B3FE2"/>
    <w:rsid w:val="006B420E"/>
    <w:rsid w:val="006B427D"/>
    <w:rsid w:val="006B45A8"/>
    <w:rsid w:val="006B4C00"/>
    <w:rsid w:val="006B4E35"/>
    <w:rsid w:val="006B4E3B"/>
    <w:rsid w:val="006B4ED6"/>
    <w:rsid w:val="006B4F3E"/>
    <w:rsid w:val="006B4F41"/>
    <w:rsid w:val="006B4F4C"/>
    <w:rsid w:val="006B5488"/>
    <w:rsid w:val="006B55D5"/>
    <w:rsid w:val="006B5E29"/>
    <w:rsid w:val="006B5F63"/>
    <w:rsid w:val="006B5FA1"/>
    <w:rsid w:val="006B6081"/>
    <w:rsid w:val="006B6181"/>
    <w:rsid w:val="006B636E"/>
    <w:rsid w:val="006B65D9"/>
    <w:rsid w:val="006B6786"/>
    <w:rsid w:val="006B6C06"/>
    <w:rsid w:val="006B6D61"/>
    <w:rsid w:val="006B6F1A"/>
    <w:rsid w:val="006B6F50"/>
    <w:rsid w:val="006B705B"/>
    <w:rsid w:val="006B7094"/>
    <w:rsid w:val="006B7129"/>
    <w:rsid w:val="006B71C0"/>
    <w:rsid w:val="006B7254"/>
    <w:rsid w:val="006B755F"/>
    <w:rsid w:val="006B76ED"/>
    <w:rsid w:val="006B7DED"/>
    <w:rsid w:val="006B7FB8"/>
    <w:rsid w:val="006C0213"/>
    <w:rsid w:val="006C0566"/>
    <w:rsid w:val="006C05BB"/>
    <w:rsid w:val="006C0E1C"/>
    <w:rsid w:val="006C1347"/>
    <w:rsid w:val="006C143D"/>
    <w:rsid w:val="006C1502"/>
    <w:rsid w:val="006C15A0"/>
    <w:rsid w:val="006C1B11"/>
    <w:rsid w:val="006C1CDA"/>
    <w:rsid w:val="006C1DF7"/>
    <w:rsid w:val="006C2305"/>
    <w:rsid w:val="006C23BF"/>
    <w:rsid w:val="006C23E5"/>
    <w:rsid w:val="006C2849"/>
    <w:rsid w:val="006C28E6"/>
    <w:rsid w:val="006C2A9E"/>
    <w:rsid w:val="006C2C9D"/>
    <w:rsid w:val="006C2FCD"/>
    <w:rsid w:val="006C32C5"/>
    <w:rsid w:val="006C335F"/>
    <w:rsid w:val="006C3534"/>
    <w:rsid w:val="006C384E"/>
    <w:rsid w:val="006C3857"/>
    <w:rsid w:val="006C3E49"/>
    <w:rsid w:val="006C3F24"/>
    <w:rsid w:val="006C410F"/>
    <w:rsid w:val="006C4112"/>
    <w:rsid w:val="006C4278"/>
    <w:rsid w:val="006C4588"/>
    <w:rsid w:val="006C4589"/>
    <w:rsid w:val="006C46E1"/>
    <w:rsid w:val="006C4956"/>
    <w:rsid w:val="006C539A"/>
    <w:rsid w:val="006C5405"/>
    <w:rsid w:val="006C5419"/>
    <w:rsid w:val="006C5749"/>
    <w:rsid w:val="006C594B"/>
    <w:rsid w:val="006C5B8E"/>
    <w:rsid w:val="006C5E0E"/>
    <w:rsid w:val="006C5F3E"/>
    <w:rsid w:val="006C5FE1"/>
    <w:rsid w:val="006C6236"/>
    <w:rsid w:val="006C63A7"/>
    <w:rsid w:val="006C650D"/>
    <w:rsid w:val="006C67C1"/>
    <w:rsid w:val="006C6995"/>
    <w:rsid w:val="006C6A29"/>
    <w:rsid w:val="006C6A8B"/>
    <w:rsid w:val="006C6FE5"/>
    <w:rsid w:val="006C745A"/>
    <w:rsid w:val="006C7656"/>
    <w:rsid w:val="006C775D"/>
    <w:rsid w:val="006C7921"/>
    <w:rsid w:val="006C7A87"/>
    <w:rsid w:val="006C7D4D"/>
    <w:rsid w:val="006D0115"/>
    <w:rsid w:val="006D0153"/>
    <w:rsid w:val="006D0498"/>
    <w:rsid w:val="006D05A3"/>
    <w:rsid w:val="006D0DDB"/>
    <w:rsid w:val="006D0E7C"/>
    <w:rsid w:val="006D1191"/>
    <w:rsid w:val="006D1279"/>
    <w:rsid w:val="006D1559"/>
    <w:rsid w:val="006D1655"/>
    <w:rsid w:val="006D17B7"/>
    <w:rsid w:val="006D17FB"/>
    <w:rsid w:val="006D181C"/>
    <w:rsid w:val="006D1A1F"/>
    <w:rsid w:val="006D1C2E"/>
    <w:rsid w:val="006D1F9E"/>
    <w:rsid w:val="006D229A"/>
    <w:rsid w:val="006D2519"/>
    <w:rsid w:val="006D284E"/>
    <w:rsid w:val="006D2B89"/>
    <w:rsid w:val="006D2DAB"/>
    <w:rsid w:val="006D304C"/>
    <w:rsid w:val="006D3051"/>
    <w:rsid w:val="006D33C4"/>
    <w:rsid w:val="006D33F6"/>
    <w:rsid w:val="006D387A"/>
    <w:rsid w:val="006D4351"/>
    <w:rsid w:val="006D467A"/>
    <w:rsid w:val="006D4741"/>
    <w:rsid w:val="006D4826"/>
    <w:rsid w:val="006D4890"/>
    <w:rsid w:val="006D4A07"/>
    <w:rsid w:val="006D4BC8"/>
    <w:rsid w:val="006D5095"/>
    <w:rsid w:val="006D5200"/>
    <w:rsid w:val="006D5444"/>
    <w:rsid w:val="006D551D"/>
    <w:rsid w:val="006D55A2"/>
    <w:rsid w:val="006D5709"/>
    <w:rsid w:val="006D574F"/>
    <w:rsid w:val="006D584F"/>
    <w:rsid w:val="006D5CCB"/>
    <w:rsid w:val="006D5CD6"/>
    <w:rsid w:val="006D5D09"/>
    <w:rsid w:val="006D5DE5"/>
    <w:rsid w:val="006D5FE7"/>
    <w:rsid w:val="006D6B6B"/>
    <w:rsid w:val="006D6D7D"/>
    <w:rsid w:val="006D7099"/>
    <w:rsid w:val="006D713F"/>
    <w:rsid w:val="006D7266"/>
    <w:rsid w:val="006D750D"/>
    <w:rsid w:val="006D751F"/>
    <w:rsid w:val="006D762E"/>
    <w:rsid w:val="006D7702"/>
    <w:rsid w:val="006D785C"/>
    <w:rsid w:val="006D7997"/>
    <w:rsid w:val="006D79D5"/>
    <w:rsid w:val="006D7C07"/>
    <w:rsid w:val="006D7DAE"/>
    <w:rsid w:val="006D7EE0"/>
    <w:rsid w:val="006E0070"/>
    <w:rsid w:val="006E0082"/>
    <w:rsid w:val="006E0266"/>
    <w:rsid w:val="006E0272"/>
    <w:rsid w:val="006E092D"/>
    <w:rsid w:val="006E0AD5"/>
    <w:rsid w:val="006E0BC3"/>
    <w:rsid w:val="006E0BEA"/>
    <w:rsid w:val="006E0EEF"/>
    <w:rsid w:val="006E102F"/>
    <w:rsid w:val="006E125A"/>
    <w:rsid w:val="006E1614"/>
    <w:rsid w:val="006E1793"/>
    <w:rsid w:val="006E1972"/>
    <w:rsid w:val="006E19CE"/>
    <w:rsid w:val="006E1A7F"/>
    <w:rsid w:val="006E1BC6"/>
    <w:rsid w:val="006E1EEF"/>
    <w:rsid w:val="006E1FCB"/>
    <w:rsid w:val="006E204F"/>
    <w:rsid w:val="006E24EC"/>
    <w:rsid w:val="006E263A"/>
    <w:rsid w:val="006E2754"/>
    <w:rsid w:val="006E2807"/>
    <w:rsid w:val="006E2A89"/>
    <w:rsid w:val="006E2B3E"/>
    <w:rsid w:val="006E2BD3"/>
    <w:rsid w:val="006E3038"/>
    <w:rsid w:val="006E3108"/>
    <w:rsid w:val="006E3176"/>
    <w:rsid w:val="006E31E2"/>
    <w:rsid w:val="006E358D"/>
    <w:rsid w:val="006E3B8F"/>
    <w:rsid w:val="006E3CCD"/>
    <w:rsid w:val="006E3DB6"/>
    <w:rsid w:val="006E42F6"/>
    <w:rsid w:val="006E462B"/>
    <w:rsid w:val="006E49AF"/>
    <w:rsid w:val="006E49D5"/>
    <w:rsid w:val="006E4B80"/>
    <w:rsid w:val="006E51E3"/>
    <w:rsid w:val="006E5307"/>
    <w:rsid w:val="006E5366"/>
    <w:rsid w:val="006E558A"/>
    <w:rsid w:val="006E573E"/>
    <w:rsid w:val="006E57C9"/>
    <w:rsid w:val="006E5930"/>
    <w:rsid w:val="006E5A63"/>
    <w:rsid w:val="006E5BD1"/>
    <w:rsid w:val="006E5D70"/>
    <w:rsid w:val="006E5EC2"/>
    <w:rsid w:val="006E5F2A"/>
    <w:rsid w:val="006E606C"/>
    <w:rsid w:val="006E60CC"/>
    <w:rsid w:val="006E62B8"/>
    <w:rsid w:val="006E6381"/>
    <w:rsid w:val="006E65AD"/>
    <w:rsid w:val="006E6633"/>
    <w:rsid w:val="006E6718"/>
    <w:rsid w:val="006E6972"/>
    <w:rsid w:val="006E6C80"/>
    <w:rsid w:val="006E6CAE"/>
    <w:rsid w:val="006E6FF3"/>
    <w:rsid w:val="006E71E7"/>
    <w:rsid w:val="006E7808"/>
    <w:rsid w:val="006E7950"/>
    <w:rsid w:val="006E7BDB"/>
    <w:rsid w:val="006E7C04"/>
    <w:rsid w:val="006E7CBC"/>
    <w:rsid w:val="006E7F3B"/>
    <w:rsid w:val="006E7FEA"/>
    <w:rsid w:val="006F01E7"/>
    <w:rsid w:val="006F040F"/>
    <w:rsid w:val="006F048F"/>
    <w:rsid w:val="006F0612"/>
    <w:rsid w:val="006F06F3"/>
    <w:rsid w:val="006F0845"/>
    <w:rsid w:val="006F0920"/>
    <w:rsid w:val="006F0949"/>
    <w:rsid w:val="006F0CE8"/>
    <w:rsid w:val="006F0FD8"/>
    <w:rsid w:val="006F10F9"/>
    <w:rsid w:val="006F12DC"/>
    <w:rsid w:val="006F15C3"/>
    <w:rsid w:val="006F15FD"/>
    <w:rsid w:val="006F1606"/>
    <w:rsid w:val="006F1789"/>
    <w:rsid w:val="006F1827"/>
    <w:rsid w:val="006F198E"/>
    <w:rsid w:val="006F202B"/>
    <w:rsid w:val="006F205C"/>
    <w:rsid w:val="006F2072"/>
    <w:rsid w:val="006F22EB"/>
    <w:rsid w:val="006F2379"/>
    <w:rsid w:val="006F2515"/>
    <w:rsid w:val="006F2A3A"/>
    <w:rsid w:val="006F2BA9"/>
    <w:rsid w:val="006F2C88"/>
    <w:rsid w:val="006F2D45"/>
    <w:rsid w:val="006F2EA3"/>
    <w:rsid w:val="006F3013"/>
    <w:rsid w:val="006F3035"/>
    <w:rsid w:val="006F3115"/>
    <w:rsid w:val="006F3347"/>
    <w:rsid w:val="006F33AB"/>
    <w:rsid w:val="006F348B"/>
    <w:rsid w:val="006F3BD7"/>
    <w:rsid w:val="006F3D1C"/>
    <w:rsid w:val="006F3DA8"/>
    <w:rsid w:val="006F417C"/>
    <w:rsid w:val="006F46D5"/>
    <w:rsid w:val="006F46FB"/>
    <w:rsid w:val="006F48F5"/>
    <w:rsid w:val="006F4A26"/>
    <w:rsid w:val="006F4B83"/>
    <w:rsid w:val="006F4FAC"/>
    <w:rsid w:val="006F4FFA"/>
    <w:rsid w:val="006F5226"/>
    <w:rsid w:val="006F532E"/>
    <w:rsid w:val="006F541A"/>
    <w:rsid w:val="006F5572"/>
    <w:rsid w:val="006F56C2"/>
    <w:rsid w:val="006F5801"/>
    <w:rsid w:val="006F5A00"/>
    <w:rsid w:val="006F5ADC"/>
    <w:rsid w:val="006F5F0F"/>
    <w:rsid w:val="006F60AD"/>
    <w:rsid w:val="006F61CE"/>
    <w:rsid w:val="006F63F3"/>
    <w:rsid w:val="006F66B0"/>
    <w:rsid w:val="006F686C"/>
    <w:rsid w:val="006F6B41"/>
    <w:rsid w:val="006F6B56"/>
    <w:rsid w:val="006F6FC9"/>
    <w:rsid w:val="006F7039"/>
    <w:rsid w:val="006F72C8"/>
    <w:rsid w:val="006F765D"/>
    <w:rsid w:val="006F77D5"/>
    <w:rsid w:val="006F7B26"/>
    <w:rsid w:val="006F7B68"/>
    <w:rsid w:val="006F7DDC"/>
    <w:rsid w:val="006F7ED1"/>
    <w:rsid w:val="006F7F51"/>
    <w:rsid w:val="00700035"/>
    <w:rsid w:val="007000C1"/>
    <w:rsid w:val="0070016B"/>
    <w:rsid w:val="00700380"/>
    <w:rsid w:val="007003CC"/>
    <w:rsid w:val="0070043F"/>
    <w:rsid w:val="007005B5"/>
    <w:rsid w:val="00700C96"/>
    <w:rsid w:val="00700D67"/>
    <w:rsid w:val="00700D93"/>
    <w:rsid w:val="00700FC0"/>
    <w:rsid w:val="007012E3"/>
    <w:rsid w:val="007013FE"/>
    <w:rsid w:val="007017BF"/>
    <w:rsid w:val="00701A03"/>
    <w:rsid w:val="00701A8C"/>
    <w:rsid w:val="00701BF6"/>
    <w:rsid w:val="00701C78"/>
    <w:rsid w:val="00701D90"/>
    <w:rsid w:val="007020B0"/>
    <w:rsid w:val="00702377"/>
    <w:rsid w:val="007027C0"/>
    <w:rsid w:val="00702986"/>
    <w:rsid w:val="00702A5A"/>
    <w:rsid w:val="00702BA1"/>
    <w:rsid w:val="00702C83"/>
    <w:rsid w:val="00702E23"/>
    <w:rsid w:val="00702FB9"/>
    <w:rsid w:val="007031E2"/>
    <w:rsid w:val="0070320D"/>
    <w:rsid w:val="00703211"/>
    <w:rsid w:val="0070324E"/>
    <w:rsid w:val="00703675"/>
    <w:rsid w:val="00703692"/>
    <w:rsid w:val="0070369C"/>
    <w:rsid w:val="00703726"/>
    <w:rsid w:val="0070393A"/>
    <w:rsid w:val="00703ACE"/>
    <w:rsid w:val="00703B83"/>
    <w:rsid w:val="00703B98"/>
    <w:rsid w:val="00703DBD"/>
    <w:rsid w:val="007040A9"/>
    <w:rsid w:val="00704177"/>
    <w:rsid w:val="0070461E"/>
    <w:rsid w:val="00704ED0"/>
    <w:rsid w:val="0070510A"/>
    <w:rsid w:val="007053DA"/>
    <w:rsid w:val="0070576E"/>
    <w:rsid w:val="00705859"/>
    <w:rsid w:val="00705B6D"/>
    <w:rsid w:val="0070612B"/>
    <w:rsid w:val="007064D1"/>
    <w:rsid w:val="007065F7"/>
    <w:rsid w:val="007067FA"/>
    <w:rsid w:val="00706986"/>
    <w:rsid w:val="007069BB"/>
    <w:rsid w:val="00706A78"/>
    <w:rsid w:val="00706F23"/>
    <w:rsid w:val="00706F5A"/>
    <w:rsid w:val="007074B4"/>
    <w:rsid w:val="007074EC"/>
    <w:rsid w:val="0070758B"/>
    <w:rsid w:val="00707728"/>
    <w:rsid w:val="007078B8"/>
    <w:rsid w:val="00707999"/>
    <w:rsid w:val="007079AA"/>
    <w:rsid w:val="00707C2D"/>
    <w:rsid w:val="00707C9C"/>
    <w:rsid w:val="00707C9D"/>
    <w:rsid w:val="00707CA4"/>
    <w:rsid w:val="00707DCA"/>
    <w:rsid w:val="00707E69"/>
    <w:rsid w:val="00707F06"/>
    <w:rsid w:val="0071020F"/>
    <w:rsid w:val="007102E6"/>
    <w:rsid w:val="00710BD6"/>
    <w:rsid w:val="00710BE0"/>
    <w:rsid w:val="00710D5C"/>
    <w:rsid w:val="00710DDC"/>
    <w:rsid w:val="00710E55"/>
    <w:rsid w:val="00711030"/>
    <w:rsid w:val="00711601"/>
    <w:rsid w:val="0071167B"/>
    <w:rsid w:val="00711C6D"/>
    <w:rsid w:val="00711CB3"/>
    <w:rsid w:val="0071212C"/>
    <w:rsid w:val="007125DD"/>
    <w:rsid w:val="007125FE"/>
    <w:rsid w:val="00712D80"/>
    <w:rsid w:val="00712FDE"/>
    <w:rsid w:val="00712FE0"/>
    <w:rsid w:val="00713305"/>
    <w:rsid w:val="00713356"/>
    <w:rsid w:val="00713751"/>
    <w:rsid w:val="0071376B"/>
    <w:rsid w:val="00713B80"/>
    <w:rsid w:val="00713F17"/>
    <w:rsid w:val="007140F4"/>
    <w:rsid w:val="007143C7"/>
    <w:rsid w:val="0071443E"/>
    <w:rsid w:val="007146D8"/>
    <w:rsid w:val="0071491E"/>
    <w:rsid w:val="00714AEB"/>
    <w:rsid w:val="00714DDD"/>
    <w:rsid w:val="007151C2"/>
    <w:rsid w:val="00715756"/>
    <w:rsid w:val="007157CE"/>
    <w:rsid w:val="007157FB"/>
    <w:rsid w:val="00715873"/>
    <w:rsid w:val="0071593E"/>
    <w:rsid w:val="00715A5F"/>
    <w:rsid w:val="00715B52"/>
    <w:rsid w:val="0071611E"/>
    <w:rsid w:val="007161F4"/>
    <w:rsid w:val="007162BD"/>
    <w:rsid w:val="00716350"/>
    <w:rsid w:val="007163E1"/>
    <w:rsid w:val="00716498"/>
    <w:rsid w:val="00716DBD"/>
    <w:rsid w:val="00716EBB"/>
    <w:rsid w:val="00716EFC"/>
    <w:rsid w:val="00716F39"/>
    <w:rsid w:val="007176BB"/>
    <w:rsid w:val="00717991"/>
    <w:rsid w:val="00717B04"/>
    <w:rsid w:val="00720A5D"/>
    <w:rsid w:val="00720B2C"/>
    <w:rsid w:val="00720C7D"/>
    <w:rsid w:val="00720D41"/>
    <w:rsid w:val="00720FB2"/>
    <w:rsid w:val="00721044"/>
    <w:rsid w:val="007210F6"/>
    <w:rsid w:val="0072130E"/>
    <w:rsid w:val="007214BF"/>
    <w:rsid w:val="00721690"/>
    <w:rsid w:val="007216EB"/>
    <w:rsid w:val="00721759"/>
    <w:rsid w:val="00721765"/>
    <w:rsid w:val="00721870"/>
    <w:rsid w:val="007219BB"/>
    <w:rsid w:val="007219CB"/>
    <w:rsid w:val="00721F61"/>
    <w:rsid w:val="00722385"/>
    <w:rsid w:val="0072269F"/>
    <w:rsid w:val="0072273D"/>
    <w:rsid w:val="00722746"/>
    <w:rsid w:val="0072277C"/>
    <w:rsid w:val="00722840"/>
    <w:rsid w:val="007228D2"/>
    <w:rsid w:val="0072291E"/>
    <w:rsid w:val="00722AA6"/>
    <w:rsid w:val="00722D04"/>
    <w:rsid w:val="00722E7E"/>
    <w:rsid w:val="0072325E"/>
    <w:rsid w:val="007237D0"/>
    <w:rsid w:val="007237D7"/>
    <w:rsid w:val="007239DD"/>
    <w:rsid w:val="00723D04"/>
    <w:rsid w:val="00723D1E"/>
    <w:rsid w:val="00723E52"/>
    <w:rsid w:val="00723F55"/>
    <w:rsid w:val="0072426C"/>
    <w:rsid w:val="0072430A"/>
    <w:rsid w:val="00724524"/>
    <w:rsid w:val="0072452D"/>
    <w:rsid w:val="0072491A"/>
    <w:rsid w:val="00724992"/>
    <w:rsid w:val="00724BFC"/>
    <w:rsid w:val="00724BFD"/>
    <w:rsid w:val="00724C15"/>
    <w:rsid w:val="00724C63"/>
    <w:rsid w:val="00724CB7"/>
    <w:rsid w:val="00724D58"/>
    <w:rsid w:val="0072516C"/>
    <w:rsid w:val="007251D6"/>
    <w:rsid w:val="0072526B"/>
    <w:rsid w:val="0072528E"/>
    <w:rsid w:val="00725333"/>
    <w:rsid w:val="007253DF"/>
    <w:rsid w:val="0072563C"/>
    <w:rsid w:val="00725AD9"/>
    <w:rsid w:val="00725DC9"/>
    <w:rsid w:val="00725EF7"/>
    <w:rsid w:val="00725F5E"/>
    <w:rsid w:val="00726000"/>
    <w:rsid w:val="0072660D"/>
    <w:rsid w:val="0072677A"/>
    <w:rsid w:val="007267FC"/>
    <w:rsid w:val="0072686E"/>
    <w:rsid w:val="00726974"/>
    <w:rsid w:val="00726D41"/>
    <w:rsid w:val="00726E9D"/>
    <w:rsid w:val="00726EA4"/>
    <w:rsid w:val="00726F48"/>
    <w:rsid w:val="00726FE7"/>
    <w:rsid w:val="00727093"/>
    <w:rsid w:val="007271F4"/>
    <w:rsid w:val="00727213"/>
    <w:rsid w:val="00727722"/>
    <w:rsid w:val="0072794A"/>
    <w:rsid w:val="00727988"/>
    <w:rsid w:val="00727C44"/>
    <w:rsid w:val="00727D70"/>
    <w:rsid w:val="00727E59"/>
    <w:rsid w:val="00727F76"/>
    <w:rsid w:val="00727F9C"/>
    <w:rsid w:val="00730005"/>
    <w:rsid w:val="007305E2"/>
    <w:rsid w:val="00730995"/>
    <w:rsid w:val="00730B7C"/>
    <w:rsid w:val="00730D72"/>
    <w:rsid w:val="00730E46"/>
    <w:rsid w:val="00730F22"/>
    <w:rsid w:val="0073138B"/>
    <w:rsid w:val="007313F0"/>
    <w:rsid w:val="007315B6"/>
    <w:rsid w:val="007316A9"/>
    <w:rsid w:val="00731AC9"/>
    <w:rsid w:val="00731BD2"/>
    <w:rsid w:val="007322DD"/>
    <w:rsid w:val="00732373"/>
    <w:rsid w:val="007325E6"/>
    <w:rsid w:val="00732B64"/>
    <w:rsid w:val="00732BC8"/>
    <w:rsid w:val="00732C3E"/>
    <w:rsid w:val="00732E1B"/>
    <w:rsid w:val="007334E0"/>
    <w:rsid w:val="00733767"/>
    <w:rsid w:val="007337BC"/>
    <w:rsid w:val="00733901"/>
    <w:rsid w:val="00733B61"/>
    <w:rsid w:val="007340E1"/>
    <w:rsid w:val="007341D3"/>
    <w:rsid w:val="007342FC"/>
    <w:rsid w:val="007343B1"/>
    <w:rsid w:val="0073450F"/>
    <w:rsid w:val="00734514"/>
    <w:rsid w:val="00734A13"/>
    <w:rsid w:val="00734C7C"/>
    <w:rsid w:val="00734D20"/>
    <w:rsid w:val="00734E2B"/>
    <w:rsid w:val="007350D6"/>
    <w:rsid w:val="0073514B"/>
    <w:rsid w:val="00735549"/>
    <w:rsid w:val="007357AE"/>
    <w:rsid w:val="0073598D"/>
    <w:rsid w:val="00735A4B"/>
    <w:rsid w:val="00735CFE"/>
    <w:rsid w:val="007360B3"/>
    <w:rsid w:val="007362BA"/>
    <w:rsid w:val="00736388"/>
    <w:rsid w:val="00736552"/>
    <w:rsid w:val="00736A8E"/>
    <w:rsid w:val="00736CB2"/>
    <w:rsid w:val="00736D40"/>
    <w:rsid w:val="00736D80"/>
    <w:rsid w:val="00736F94"/>
    <w:rsid w:val="00737636"/>
    <w:rsid w:val="00737CD4"/>
    <w:rsid w:val="00737F6F"/>
    <w:rsid w:val="00740072"/>
    <w:rsid w:val="007404BE"/>
    <w:rsid w:val="007406B6"/>
    <w:rsid w:val="00740878"/>
    <w:rsid w:val="00740A77"/>
    <w:rsid w:val="00740C72"/>
    <w:rsid w:val="00740D9B"/>
    <w:rsid w:val="00740F9F"/>
    <w:rsid w:val="00740FBE"/>
    <w:rsid w:val="00741011"/>
    <w:rsid w:val="00741546"/>
    <w:rsid w:val="00741775"/>
    <w:rsid w:val="0074177A"/>
    <w:rsid w:val="007417B3"/>
    <w:rsid w:val="00741933"/>
    <w:rsid w:val="00741D00"/>
    <w:rsid w:val="00741E57"/>
    <w:rsid w:val="00741EB8"/>
    <w:rsid w:val="00741EDB"/>
    <w:rsid w:val="00742014"/>
    <w:rsid w:val="00742463"/>
    <w:rsid w:val="00742514"/>
    <w:rsid w:val="00742542"/>
    <w:rsid w:val="007425F3"/>
    <w:rsid w:val="00742760"/>
    <w:rsid w:val="00742A01"/>
    <w:rsid w:val="00742D0E"/>
    <w:rsid w:val="007430EE"/>
    <w:rsid w:val="00743128"/>
    <w:rsid w:val="0074334B"/>
    <w:rsid w:val="007433C7"/>
    <w:rsid w:val="007433EC"/>
    <w:rsid w:val="007437EA"/>
    <w:rsid w:val="00743924"/>
    <w:rsid w:val="00743D4A"/>
    <w:rsid w:val="00743EF1"/>
    <w:rsid w:val="00743F13"/>
    <w:rsid w:val="00744246"/>
    <w:rsid w:val="00744741"/>
    <w:rsid w:val="0074493E"/>
    <w:rsid w:val="00744A11"/>
    <w:rsid w:val="00744B20"/>
    <w:rsid w:val="00744B24"/>
    <w:rsid w:val="00744C82"/>
    <w:rsid w:val="00744D22"/>
    <w:rsid w:val="00744E43"/>
    <w:rsid w:val="00744F94"/>
    <w:rsid w:val="00745749"/>
    <w:rsid w:val="00745B25"/>
    <w:rsid w:val="00745C9B"/>
    <w:rsid w:val="00745D81"/>
    <w:rsid w:val="00745DF1"/>
    <w:rsid w:val="00745FD0"/>
    <w:rsid w:val="007462DC"/>
    <w:rsid w:val="0074650B"/>
    <w:rsid w:val="00746589"/>
    <w:rsid w:val="0074662D"/>
    <w:rsid w:val="007469EA"/>
    <w:rsid w:val="00746C8B"/>
    <w:rsid w:val="00746C9D"/>
    <w:rsid w:val="00746D48"/>
    <w:rsid w:val="00746D8B"/>
    <w:rsid w:val="00746E6E"/>
    <w:rsid w:val="00746ED5"/>
    <w:rsid w:val="00746F92"/>
    <w:rsid w:val="00747040"/>
    <w:rsid w:val="0074711F"/>
    <w:rsid w:val="0074751B"/>
    <w:rsid w:val="00747A76"/>
    <w:rsid w:val="00747EFC"/>
    <w:rsid w:val="00747F97"/>
    <w:rsid w:val="00750030"/>
    <w:rsid w:val="0075004E"/>
    <w:rsid w:val="0075014F"/>
    <w:rsid w:val="00750335"/>
    <w:rsid w:val="00750845"/>
    <w:rsid w:val="00750A51"/>
    <w:rsid w:val="007511DF"/>
    <w:rsid w:val="00751276"/>
    <w:rsid w:val="0075184A"/>
    <w:rsid w:val="0075190A"/>
    <w:rsid w:val="00751961"/>
    <w:rsid w:val="007519D5"/>
    <w:rsid w:val="00751D0F"/>
    <w:rsid w:val="0075209F"/>
    <w:rsid w:val="007520D3"/>
    <w:rsid w:val="00752319"/>
    <w:rsid w:val="007525BC"/>
    <w:rsid w:val="00752A9C"/>
    <w:rsid w:val="00752C09"/>
    <w:rsid w:val="007530CD"/>
    <w:rsid w:val="007534A2"/>
    <w:rsid w:val="00753E0A"/>
    <w:rsid w:val="00753F1C"/>
    <w:rsid w:val="007544AC"/>
    <w:rsid w:val="007545C5"/>
    <w:rsid w:val="00754711"/>
    <w:rsid w:val="007550F5"/>
    <w:rsid w:val="0075511B"/>
    <w:rsid w:val="00755326"/>
    <w:rsid w:val="007554AB"/>
    <w:rsid w:val="00755AD1"/>
    <w:rsid w:val="00756169"/>
    <w:rsid w:val="00756185"/>
    <w:rsid w:val="00756248"/>
    <w:rsid w:val="00756261"/>
    <w:rsid w:val="007566B4"/>
    <w:rsid w:val="00756DA0"/>
    <w:rsid w:val="00756E80"/>
    <w:rsid w:val="00756F78"/>
    <w:rsid w:val="00756FEE"/>
    <w:rsid w:val="0075703A"/>
    <w:rsid w:val="007571FA"/>
    <w:rsid w:val="00757346"/>
    <w:rsid w:val="0075755F"/>
    <w:rsid w:val="007575AE"/>
    <w:rsid w:val="007575F0"/>
    <w:rsid w:val="00757C36"/>
    <w:rsid w:val="00757CA5"/>
    <w:rsid w:val="00757CCC"/>
    <w:rsid w:val="00757DBF"/>
    <w:rsid w:val="00757DC8"/>
    <w:rsid w:val="00757E91"/>
    <w:rsid w:val="00760059"/>
    <w:rsid w:val="0076007C"/>
    <w:rsid w:val="007600BA"/>
    <w:rsid w:val="00760411"/>
    <w:rsid w:val="00760512"/>
    <w:rsid w:val="00760614"/>
    <w:rsid w:val="00760741"/>
    <w:rsid w:val="007608F5"/>
    <w:rsid w:val="00760908"/>
    <w:rsid w:val="00760A78"/>
    <w:rsid w:val="00760AE4"/>
    <w:rsid w:val="00760C80"/>
    <w:rsid w:val="00760C97"/>
    <w:rsid w:val="00761133"/>
    <w:rsid w:val="007616B7"/>
    <w:rsid w:val="0076183D"/>
    <w:rsid w:val="00761A7E"/>
    <w:rsid w:val="00761F31"/>
    <w:rsid w:val="00761F87"/>
    <w:rsid w:val="007624EF"/>
    <w:rsid w:val="007626D3"/>
    <w:rsid w:val="00763081"/>
    <w:rsid w:val="0076342E"/>
    <w:rsid w:val="00763838"/>
    <w:rsid w:val="00763B37"/>
    <w:rsid w:val="00763CF2"/>
    <w:rsid w:val="00763ECB"/>
    <w:rsid w:val="0076418C"/>
    <w:rsid w:val="007641CC"/>
    <w:rsid w:val="00764218"/>
    <w:rsid w:val="00764273"/>
    <w:rsid w:val="00764333"/>
    <w:rsid w:val="007645CE"/>
    <w:rsid w:val="00764617"/>
    <w:rsid w:val="00764794"/>
    <w:rsid w:val="007649F0"/>
    <w:rsid w:val="00764B65"/>
    <w:rsid w:val="00764B8A"/>
    <w:rsid w:val="00764C81"/>
    <w:rsid w:val="00764CE8"/>
    <w:rsid w:val="00764E19"/>
    <w:rsid w:val="00764FFD"/>
    <w:rsid w:val="007650E2"/>
    <w:rsid w:val="00765227"/>
    <w:rsid w:val="0076530B"/>
    <w:rsid w:val="00765525"/>
    <w:rsid w:val="00765555"/>
    <w:rsid w:val="007655DE"/>
    <w:rsid w:val="00765855"/>
    <w:rsid w:val="007658D7"/>
    <w:rsid w:val="0076590E"/>
    <w:rsid w:val="00765B00"/>
    <w:rsid w:val="00765EFD"/>
    <w:rsid w:val="0076631E"/>
    <w:rsid w:val="007663FE"/>
    <w:rsid w:val="007665C1"/>
    <w:rsid w:val="007666E6"/>
    <w:rsid w:val="007668B7"/>
    <w:rsid w:val="007669EF"/>
    <w:rsid w:val="00766B2D"/>
    <w:rsid w:val="00767439"/>
    <w:rsid w:val="0076760D"/>
    <w:rsid w:val="00767697"/>
    <w:rsid w:val="007676A2"/>
    <w:rsid w:val="00767B78"/>
    <w:rsid w:val="007701D3"/>
    <w:rsid w:val="00770504"/>
    <w:rsid w:val="0077064E"/>
    <w:rsid w:val="007706E5"/>
    <w:rsid w:val="00770B7B"/>
    <w:rsid w:val="00770BFF"/>
    <w:rsid w:val="0077132D"/>
    <w:rsid w:val="007713DE"/>
    <w:rsid w:val="00771536"/>
    <w:rsid w:val="0077153A"/>
    <w:rsid w:val="0077179F"/>
    <w:rsid w:val="007718F0"/>
    <w:rsid w:val="00771A7C"/>
    <w:rsid w:val="00771B4D"/>
    <w:rsid w:val="00771BD5"/>
    <w:rsid w:val="00771D5B"/>
    <w:rsid w:val="00771E74"/>
    <w:rsid w:val="00771FBE"/>
    <w:rsid w:val="00771FD6"/>
    <w:rsid w:val="00772067"/>
    <w:rsid w:val="007720A6"/>
    <w:rsid w:val="0077218E"/>
    <w:rsid w:val="0077224E"/>
    <w:rsid w:val="00772336"/>
    <w:rsid w:val="0077258C"/>
    <w:rsid w:val="00772787"/>
    <w:rsid w:val="00772B47"/>
    <w:rsid w:val="00772C93"/>
    <w:rsid w:val="00772DAB"/>
    <w:rsid w:val="00772F62"/>
    <w:rsid w:val="0077385F"/>
    <w:rsid w:val="00773992"/>
    <w:rsid w:val="007739C9"/>
    <w:rsid w:val="007739F5"/>
    <w:rsid w:val="00773CE5"/>
    <w:rsid w:val="00773FB5"/>
    <w:rsid w:val="00774532"/>
    <w:rsid w:val="0077453E"/>
    <w:rsid w:val="00774695"/>
    <w:rsid w:val="007746F9"/>
    <w:rsid w:val="0077479F"/>
    <w:rsid w:val="007748BD"/>
    <w:rsid w:val="007749BE"/>
    <w:rsid w:val="00774AE1"/>
    <w:rsid w:val="00774DE0"/>
    <w:rsid w:val="00774F70"/>
    <w:rsid w:val="007750A5"/>
    <w:rsid w:val="007750BD"/>
    <w:rsid w:val="0077535A"/>
    <w:rsid w:val="0077543C"/>
    <w:rsid w:val="007755BC"/>
    <w:rsid w:val="00775CA9"/>
    <w:rsid w:val="00775D0C"/>
    <w:rsid w:val="00775F05"/>
    <w:rsid w:val="007760FA"/>
    <w:rsid w:val="00776550"/>
    <w:rsid w:val="0077666B"/>
    <w:rsid w:val="00776734"/>
    <w:rsid w:val="00776800"/>
    <w:rsid w:val="00776BDD"/>
    <w:rsid w:val="00776BE5"/>
    <w:rsid w:val="00776C24"/>
    <w:rsid w:val="00776D75"/>
    <w:rsid w:val="00776E16"/>
    <w:rsid w:val="00777016"/>
    <w:rsid w:val="0077710B"/>
    <w:rsid w:val="0077719F"/>
    <w:rsid w:val="00777822"/>
    <w:rsid w:val="00777882"/>
    <w:rsid w:val="007778FE"/>
    <w:rsid w:val="0077797D"/>
    <w:rsid w:val="00777CA7"/>
    <w:rsid w:val="00777CB2"/>
    <w:rsid w:val="00777F57"/>
    <w:rsid w:val="00780100"/>
    <w:rsid w:val="007801BF"/>
    <w:rsid w:val="0078036E"/>
    <w:rsid w:val="007807B0"/>
    <w:rsid w:val="00780A47"/>
    <w:rsid w:val="00780B22"/>
    <w:rsid w:val="00780DC1"/>
    <w:rsid w:val="00780F90"/>
    <w:rsid w:val="0078101C"/>
    <w:rsid w:val="0078109D"/>
    <w:rsid w:val="00781102"/>
    <w:rsid w:val="007812AB"/>
    <w:rsid w:val="00781755"/>
    <w:rsid w:val="0078184B"/>
    <w:rsid w:val="0078198E"/>
    <w:rsid w:val="00781B86"/>
    <w:rsid w:val="007823AB"/>
    <w:rsid w:val="00782BD3"/>
    <w:rsid w:val="00782CCC"/>
    <w:rsid w:val="00782D0E"/>
    <w:rsid w:val="00782DEE"/>
    <w:rsid w:val="00782F3B"/>
    <w:rsid w:val="007830B6"/>
    <w:rsid w:val="007830F4"/>
    <w:rsid w:val="00783145"/>
    <w:rsid w:val="007831F8"/>
    <w:rsid w:val="007833E0"/>
    <w:rsid w:val="0078380B"/>
    <w:rsid w:val="00783A0C"/>
    <w:rsid w:val="00783CB1"/>
    <w:rsid w:val="00783CD2"/>
    <w:rsid w:val="007846D3"/>
    <w:rsid w:val="00784938"/>
    <w:rsid w:val="00784961"/>
    <w:rsid w:val="00784AEC"/>
    <w:rsid w:val="00784F85"/>
    <w:rsid w:val="00784FF7"/>
    <w:rsid w:val="007852CB"/>
    <w:rsid w:val="007853CD"/>
    <w:rsid w:val="00786084"/>
    <w:rsid w:val="007860C4"/>
    <w:rsid w:val="007861FF"/>
    <w:rsid w:val="0078622A"/>
    <w:rsid w:val="00786586"/>
    <w:rsid w:val="0078673D"/>
    <w:rsid w:val="00786853"/>
    <w:rsid w:val="0078686F"/>
    <w:rsid w:val="007869EC"/>
    <w:rsid w:val="00786A9B"/>
    <w:rsid w:val="00786B48"/>
    <w:rsid w:val="007870F3"/>
    <w:rsid w:val="0078718D"/>
    <w:rsid w:val="00787382"/>
    <w:rsid w:val="00787580"/>
    <w:rsid w:val="0078769D"/>
    <w:rsid w:val="007876C5"/>
    <w:rsid w:val="0078782D"/>
    <w:rsid w:val="00787888"/>
    <w:rsid w:val="00787CF7"/>
    <w:rsid w:val="00790368"/>
    <w:rsid w:val="007903F7"/>
    <w:rsid w:val="007904F6"/>
    <w:rsid w:val="00790B66"/>
    <w:rsid w:val="00790BE1"/>
    <w:rsid w:val="00790DF1"/>
    <w:rsid w:val="00790EDF"/>
    <w:rsid w:val="00790F9D"/>
    <w:rsid w:val="0079110D"/>
    <w:rsid w:val="007913A6"/>
    <w:rsid w:val="007913B3"/>
    <w:rsid w:val="007913DD"/>
    <w:rsid w:val="00791968"/>
    <w:rsid w:val="00791A48"/>
    <w:rsid w:val="00791CC9"/>
    <w:rsid w:val="00791DDF"/>
    <w:rsid w:val="00791E56"/>
    <w:rsid w:val="00791F30"/>
    <w:rsid w:val="00792061"/>
    <w:rsid w:val="007921CA"/>
    <w:rsid w:val="007928D8"/>
    <w:rsid w:val="00792942"/>
    <w:rsid w:val="007929EC"/>
    <w:rsid w:val="00792AB2"/>
    <w:rsid w:val="00792DF3"/>
    <w:rsid w:val="00792E8C"/>
    <w:rsid w:val="00792EE5"/>
    <w:rsid w:val="00792F32"/>
    <w:rsid w:val="00792FF4"/>
    <w:rsid w:val="007930D5"/>
    <w:rsid w:val="00793143"/>
    <w:rsid w:val="007931C3"/>
    <w:rsid w:val="007932BB"/>
    <w:rsid w:val="0079331B"/>
    <w:rsid w:val="0079370A"/>
    <w:rsid w:val="007937B5"/>
    <w:rsid w:val="007938B0"/>
    <w:rsid w:val="00793B3F"/>
    <w:rsid w:val="00793B8B"/>
    <w:rsid w:val="00793BFA"/>
    <w:rsid w:val="00793F05"/>
    <w:rsid w:val="0079411C"/>
    <w:rsid w:val="00794143"/>
    <w:rsid w:val="007947A5"/>
    <w:rsid w:val="00794A4F"/>
    <w:rsid w:val="00794A78"/>
    <w:rsid w:val="00794ABF"/>
    <w:rsid w:val="00794BEF"/>
    <w:rsid w:val="00794C69"/>
    <w:rsid w:val="00794CA9"/>
    <w:rsid w:val="00794D64"/>
    <w:rsid w:val="00794F34"/>
    <w:rsid w:val="00794FF4"/>
    <w:rsid w:val="007951E3"/>
    <w:rsid w:val="0079567A"/>
    <w:rsid w:val="00795758"/>
    <w:rsid w:val="007959D4"/>
    <w:rsid w:val="00795E8F"/>
    <w:rsid w:val="00796112"/>
    <w:rsid w:val="00796224"/>
    <w:rsid w:val="00796295"/>
    <w:rsid w:val="0079629F"/>
    <w:rsid w:val="0079672B"/>
    <w:rsid w:val="00796946"/>
    <w:rsid w:val="00796A1D"/>
    <w:rsid w:val="00796A9E"/>
    <w:rsid w:val="00796B6F"/>
    <w:rsid w:val="00796C4F"/>
    <w:rsid w:val="00796E2B"/>
    <w:rsid w:val="00796F3C"/>
    <w:rsid w:val="00797133"/>
    <w:rsid w:val="007971BE"/>
    <w:rsid w:val="0079737C"/>
    <w:rsid w:val="007978C9"/>
    <w:rsid w:val="007978D1"/>
    <w:rsid w:val="00797CD2"/>
    <w:rsid w:val="00797EFA"/>
    <w:rsid w:val="007A0064"/>
    <w:rsid w:val="007A02F2"/>
    <w:rsid w:val="007A02F9"/>
    <w:rsid w:val="007A0BB5"/>
    <w:rsid w:val="007A0DBA"/>
    <w:rsid w:val="007A10C7"/>
    <w:rsid w:val="007A10FF"/>
    <w:rsid w:val="007A11FD"/>
    <w:rsid w:val="007A1463"/>
    <w:rsid w:val="007A1A00"/>
    <w:rsid w:val="007A1CB7"/>
    <w:rsid w:val="007A218B"/>
    <w:rsid w:val="007A22B9"/>
    <w:rsid w:val="007A26FA"/>
    <w:rsid w:val="007A289C"/>
    <w:rsid w:val="007A2B49"/>
    <w:rsid w:val="007A2C56"/>
    <w:rsid w:val="007A2C60"/>
    <w:rsid w:val="007A2D16"/>
    <w:rsid w:val="007A2D3E"/>
    <w:rsid w:val="007A2E4E"/>
    <w:rsid w:val="007A323E"/>
    <w:rsid w:val="007A39D2"/>
    <w:rsid w:val="007A3C48"/>
    <w:rsid w:val="007A3EE9"/>
    <w:rsid w:val="007A3EF7"/>
    <w:rsid w:val="007A47B4"/>
    <w:rsid w:val="007A4849"/>
    <w:rsid w:val="007A4A02"/>
    <w:rsid w:val="007A4BDA"/>
    <w:rsid w:val="007A4E89"/>
    <w:rsid w:val="007A5247"/>
    <w:rsid w:val="007A532C"/>
    <w:rsid w:val="007A53D5"/>
    <w:rsid w:val="007A6480"/>
    <w:rsid w:val="007A6529"/>
    <w:rsid w:val="007A662A"/>
    <w:rsid w:val="007A6637"/>
    <w:rsid w:val="007A67BC"/>
    <w:rsid w:val="007A688D"/>
    <w:rsid w:val="007A6B99"/>
    <w:rsid w:val="007A6D22"/>
    <w:rsid w:val="007A6E13"/>
    <w:rsid w:val="007A6EDC"/>
    <w:rsid w:val="007A6FD5"/>
    <w:rsid w:val="007A7603"/>
    <w:rsid w:val="007A7CFE"/>
    <w:rsid w:val="007A7F04"/>
    <w:rsid w:val="007A7FE0"/>
    <w:rsid w:val="007B020B"/>
    <w:rsid w:val="007B023E"/>
    <w:rsid w:val="007B0383"/>
    <w:rsid w:val="007B04C1"/>
    <w:rsid w:val="007B0611"/>
    <w:rsid w:val="007B099D"/>
    <w:rsid w:val="007B135C"/>
    <w:rsid w:val="007B135F"/>
    <w:rsid w:val="007B13A6"/>
    <w:rsid w:val="007B1721"/>
    <w:rsid w:val="007B191F"/>
    <w:rsid w:val="007B1B30"/>
    <w:rsid w:val="007B1C0E"/>
    <w:rsid w:val="007B2032"/>
    <w:rsid w:val="007B208C"/>
    <w:rsid w:val="007B27BA"/>
    <w:rsid w:val="007B2C23"/>
    <w:rsid w:val="007B2E36"/>
    <w:rsid w:val="007B2FFD"/>
    <w:rsid w:val="007B30D0"/>
    <w:rsid w:val="007B3280"/>
    <w:rsid w:val="007B32AD"/>
    <w:rsid w:val="007B3685"/>
    <w:rsid w:val="007B3878"/>
    <w:rsid w:val="007B3912"/>
    <w:rsid w:val="007B3924"/>
    <w:rsid w:val="007B395E"/>
    <w:rsid w:val="007B3AE2"/>
    <w:rsid w:val="007B3B92"/>
    <w:rsid w:val="007B3E3D"/>
    <w:rsid w:val="007B421B"/>
    <w:rsid w:val="007B4429"/>
    <w:rsid w:val="007B46A8"/>
    <w:rsid w:val="007B4AAA"/>
    <w:rsid w:val="007B4C09"/>
    <w:rsid w:val="007B4C54"/>
    <w:rsid w:val="007B54C2"/>
    <w:rsid w:val="007B57DF"/>
    <w:rsid w:val="007B5835"/>
    <w:rsid w:val="007B597D"/>
    <w:rsid w:val="007B5A25"/>
    <w:rsid w:val="007B5BAB"/>
    <w:rsid w:val="007B5F44"/>
    <w:rsid w:val="007B683C"/>
    <w:rsid w:val="007B689C"/>
    <w:rsid w:val="007B6B2B"/>
    <w:rsid w:val="007B6E56"/>
    <w:rsid w:val="007B6F69"/>
    <w:rsid w:val="007B7143"/>
    <w:rsid w:val="007B7352"/>
    <w:rsid w:val="007B794C"/>
    <w:rsid w:val="007B7967"/>
    <w:rsid w:val="007B79B3"/>
    <w:rsid w:val="007B7AD5"/>
    <w:rsid w:val="007B7B10"/>
    <w:rsid w:val="007C08F4"/>
    <w:rsid w:val="007C0AB1"/>
    <w:rsid w:val="007C0DD0"/>
    <w:rsid w:val="007C0DF0"/>
    <w:rsid w:val="007C1076"/>
    <w:rsid w:val="007C1A0B"/>
    <w:rsid w:val="007C1C95"/>
    <w:rsid w:val="007C1D7B"/>
    <w:rsid w:val="007C1E2A"/>
    <w:rsid w:val="007C1F0E"/>
    <w:rsid w:val="007C204F"/>
    <w:rsid w:val="007C21F1"/>
    <w:rsid w:val="007C28CB"/>
    <w:rsid w:val="007C2A33"/>
    <w:rsid w:val="007C2B94"/>
    <w:rsid w:val="007C2D3E"/>
    <w:rsid w:val="007C3074"/>
    <w:rsid w:val="007C30F9"/>
    <w:rsid w:val="007C312F"/>
    <w:rsid w:val="007C34AC"/>
    <w:rsid w:val="007C34FA"/>
    <w:rsid w:val="007C35CC"/>
    <w:rsid w:val="007C3741"/>
    <w:rsid w:val="007C381F"/>
    <w:rsid w:val="007C3B0D"/>
    <w:rsid w:val="007C3BA8"/>
    <w:rsid w:val="007C413B"/>
    <w:rsid w:val="007C4B1C"/>
    <w:rsid w:val="007C4CF8"/>
    <w:rsid w:val="007C502F"/>
    <w:rsid w:val="007C50B3"/>
    <w:rsid w:val="007C54B2"/>
    <w:rsid w:val="007C5D0B"/>
    <w:rsid w:val="007C5D24"/>
    <w:rsid w:val="007C5E05"/>
    <w:rsid w:val="007C61A5"/>
    <w:rsid w:val="007C6289"/>
    <w:rsid w:val="007C6976"/>
    <w:rsid w:val="007C6D32"/>
    <w:rsid w:val="007C6D6E"/>
    <w:rsid w:val="007C6DE4"/>
    <w:rsid w:val="007C6EC2"/>
    <w:rsid w:val="007C70BE"/>
    <w:rsid w:val="007C7147"/>
    <w:rsid w:val="007C72EA"/>
    <w:rsid w:val="007C76BD"/>
    <w:rsid w:val="007C7724"/>
    <w:rsid w:val="007C7835"/>
    <w:rsid w:val="007C7949"/>
    <w:rsid w:val="007C7B66"/>
    <w:rsid w:val="007C7C9D"/>
    <w:rsid w:val="007C7FAB"/>
    <w:rsid w:val="007D02D1"/>
    <w:rsid w:val="007D0350"/>
    <w:rsid w:val="007D0550"/>
    <w:rsid w:val="007D086E"/>
    <w:rsid w:val="007D0A4B"/>
    <w:rsid w:val="007D0BF9"/>
    <w:rsid w:val="007D0EF8"/>
    <w:rsid w:val="007D1396"/>
    <w:rsid w:val="007D13FB"/>
    <w:rsid w:val="007D14E3"/>
    <w:rsid w:val="007D1596"/>
    <w:rsid w:val="007D16C5"/>
    <w:rsid w:val="007D1803"/>
    <w:rsid w:val="007D184F"/>
    <w:rsid w:val="007D1C00"/>
    <w:rsid w:val="007D1C2E"/>
    <w:rsid w:val="007D1CC9"/>
    <w:rsid w:val="007D1D13"/>
    <w:rsid w:val="007D1EBF"/>
    <w:rsid w:val="007D28EB"/>
    <w:rsid w:val="007D29E3"/>
    <w:rsid w:val="007D29F8"/>
    <w:rsid w:val="007D2A33"/>
    <w:rsid w:val="007D2B8E"/>
    <w:rsid w:val="007D2F67"/>
    <w:rsid w:val="007D325C"/>
    <w:rsid w:val="007D34E0"/>
    <w:rsid w:val="007D35F2"/>
    <w:rsid w:val="007D3A29"/>
    <w:rsid w:val="007D3A2B"/>
    <w:rsid w:val="007D3BD4"/>
    <w:rsid w:val="007D3EDE"/>
    <w:rsid w:val="007D41DF"/>
    <w:rsid w:val="007D41EF"/>
    <w:rsid w:val="007D45B4"/>
    <w:rsid w:val="007D4685"/>
    <w:rsid w:val="007D4846"/>
    <w:rsid w:val="007D4863"/>
    <w:rsid w:val="007D4911"/>
    <w:rsid w:val="007D4988"/>
    <w:rsid w:val="007D4994"/>
    <w:rsid w:val="007D4BC9"/>
    <w:rsid w:val="007D4F98"/>
    <w:rsid w:val="007D55B1"/>
    <w:rsid w:val="007D584A"/>
    <w:rsid w:val="007D5D3C"/>
    <w:rsid w:val="007D608C"/>
    <w:rsid w:val="007D6188"/>
    <w:rsid w:val="007D63D6"/>
    <w:rsid w:val="007D640A"/>
    <w:rsid w:val="007D676D"/>
    <w:rsid w:val="007D6878"/>
    <w:rsid w:val="007D69CB"/>
    <w:rsid w:val="007D79A6"/>
    <w:rsid w:val="007D7AAD"/>
    <w:rsid w:val="007D7AFB"/>
    <w:rsid w:val="007D7DF5"/>
    <w:rsid w:val="007D7E12"/>
    <w:rsid w:val="007D7E73"/>
    <w:rsid w:val="007E003D"/>
    <w:rsid w:val="007E00A9"/>
    <w:rsid w:val="007E03C0"/>
    <w:rsid w:val="007E044E"/>
    <w:rsid w:val="007E08B5"/>
    <w:rsid w:val="007E0A8A"/>
    <w:rsid w:val="007E0A90"/>
    <w:rsid w:val="007E0B6A"/>
    <w:rsid w:val="007E0BA7"/>
    <w:rsid w:val="007E0D45"/>
    <w:rsid w:val="007E0F2A"/>
    <w:rsid w:val="007E137C"/>
    <w:rsid w:val="007E14CC"/>
    <w:rsid w:val="007E1680"/>
    <w:rsid w:val="007E172C"/>
    <w:rsid w:val="007E187E"/>
    <w:rsid w:val="007E1988"/>
    <w:rsid w:val="007E20CB"/>
    <w:rsid w:val="007E216A"/>
    <w:rsid w:val="007E2347"/>
    <w:rsid w:val="007E2583"/>
    <w:rsid w:val="007E262C"/>
    <w:rsid w:val="007E29CD"/>
    <w:rsid w:val="007E2C02"/>
    <w:rsid w:val="007E2D12"/>
    <w:rsid w:val="007E2F28"/>
    <w:rsid w:val="007E305F"/>
    <w:rsid w:val="007E3157"/>
    <w:rsid w:val="007E330E"/>
    <w:rsid w:val="007E34BA"/>
    <w:rsid w:val="007E358D"/>
    <w:rsid w:val="007E3592"/>
    <w:rsid w:val="007E35EF"/>
    <w:rsid w:val="007E3806"/>
    <w:rsid w:val="007E3888"/>
    <w:rsid w:val="007E3D5C"/>
    <w:rsid w:val="007E3E2F"/>
    <w:rsid w:val="007E3E54"/>
    <w:rsid w:val="007E3F1A"/>
    <w:rsid w:val="007E3FB0"/>
    <w:rsid w:val="007E3FB7"/>
    <w:rsid w:val="007E4370"/>
    <w:rsid w:val="007E44DF"/>
    <w:rsid w:val="007E49CE"/>
    <w:rsid w:val="007E4AC4"/>
    <w:rsid w:val="007E4B2A"/>
    <w:rsid w:val="007E4B30"/>
    <w:rsid w:val="007E4D0E"/>
    <w:rsid w:val="007E5094"/>
    <w:rsid w:val="007E5280"/>
    <w:rsid w:val="007E52E0"/>
    <w:rsid w:val="007E5428"/>
    <w:rsid w:val="007E5803"/>
    <w:rsid w:val="007E5A00"/>
    <w:rsid w:val="007E5A82"/>
    <w:rsid w:val="007E5DB9"/>
    <w:rsid w:val="007E5F78"/>
    <w:rsid w:val="007E60A2"/>
    <w:rsid w:val="007E6192"/>
    <w:rsid w:val="007E62C7"/>
    <w:rsid w:val="007E6343"/>
    <w:rsid w:val="007E65AF"/>
    <w:rsid w:val="007E65F1"/>
    <w:rsid w:val="007E6982"/>
    <w:rsid w:val="007E6AC0"/>
    <w:rsid w:val="007E6DDC"/>
    <w:rsid w:val="007E6E15"/>
    <w:rsid w:val="007E6F2B"/>
    <w:rsid w:val="007E7626"/>
    <w:rsid w:val="007E787D"/>
    <w:rsid w:val="007E788C"/>
    <w:rsid w:val="007E79F8"/>
    <w:rsid w:val="007E7B43"/>
    <w:rsid w:val="007E7D6E"/>
    <w:rsid w:val="007E7E5C"/>
    <w:rsid w:val="007E7FCE"/>
    <w:rsid w:val="007F002C"/>
    <w:rsid w:val="007F00B7"/>
    <w:rsid w:val="007F0353"/>
    <w:rsid w:val="007F0377"/>
    <w:rsid w:val="007F050C"/>
    <w:rsid w:val="007F0552"/>
    <w:rsid w:val="007F0587"/>
    <w:rsid w:val="007F06F8"/>
    <w:rsid w:val="007F07FA"/>
    <w:rsid w:val="007F0A6B"/>
    <w:rsid w:val="007F0AC6"/>
    <w:rsid w:val="007F1319"/>
    <w:rsid w:val="007F168B"/>
    <w:rsid w:val="007F17C7"/>
    <w:rsid w:val="007F1910"/>
    <w:rsid w:val="007F1B87"/>
    <w:rsid w:val="007F1BFD"/>
    <w:rsid w:val="007F20B3"/>
    <w:rsid w:val="007F23FD"/>
    <w:rsid w:val="007F2404"/>
    <w:rsid w:val="007F2598"/>
    <w:rsid w:val="007F2B2D"/>
    <w:rsid w:val="007F2DA9"/>
    <w:rsid w:val="007F2E90"/>
    <w:rsid w:val="007F2EE2"/>
    <w:rsid w:val="007F2F28"/>
    <w:rsid w:val="007F2F95"/>
    <w:rsid w:val="007F3070"/>
    <w:rsid w:val="007F3179"/>
    <w:rsid w:val="007F3393"/>
    <w:rsid w:val="007F3572"/>
    <w:rsid w:val="007F35A9"/>
    <w:rsid w:val="007F3767"/>
    <w:rsid w:val="007F37D5"/>
    <w:rsid w:val="007F38FE"/>
    <w:rsid w:val="007F39BE"/>
    <w:rsid w:val="007F3A35"/>
    <w:rsid w:val="007F3B31"/>
    <w:rsid w:val="007F3B9F"/>
    <w:rsid w:val="007F3C89"/>
    <w:rsid w:val="007F3DA4"/>
    <w:rsid w:val="007F3E75"/>
    <w:rsid w:val="007F41F5"/>
    <w:rsid w:val="007F4379"/>
    <w:rsid w:val="007F4445"/>
    <w:rsid w:val="007F45C0"/>
    <w:rsid w:val="007F45FD"/>
    <w:rsid w:val="007F4686"/>
    <w:rsid w:val="007F46B9"/>
    <w:rsid w:val="007F4DF4"/>
    <w:rsid w:val="007F53C7"/>
    <w:rsid w:val="007F54BE"/>
    <w:rsid w:val="007F54D4"/>
    <w:rsid w:val="007F56C6"/>
    <w:rsid w:val="007F58F4"/>
    <w:rsid w:val="007F58F5"/>
    <w:rsid w:val="007F5B56"/>
    <w:rsid w:val="007F5D18"/>
    <w:rsid w:val="007F61A3"/>
    <w:rsid w:val="007F68FC"/>
    <w:rsid w:val="007F69FA"/>
    <w:rsid w:val="007F6A02"/>
    <w:rsid w:val="007F6D0C"/>
    <w:rsid w:val="007F6DCA"/>
    <w:rsid w:val="007F6E39"/>
    <w:rsid w:val="007F6F80"/>
    <w:rsid w:val="007F70F8"/>
    <w:rsid w:val="007F748B"/>
    <w:rsid w:val="007F75F6"/>
    <w:rsid w:val="007F7622"/>
    <w:rsid w:val="007F7A33"/>
    <w:rsid w:val="007F7AEC"/>
    <w:rsid w:val="007F7E22"/>
    <w:rsid w:val="007F7FD0"/>
    <w:rsid w:val="0080013C"/>
    <w:rsid w:val="00800274"/>
    <w:rsid w:val="00800342"/>
    <w:rsid w:val="008005C2"/>
    <w:rsid w:val="00800999"/>
    <w:rsid w:val="00800A2F"/>
    <w:rsid w:val="00800D99"/>
    <w:rsid w:val="00800F8C"/>
    <w:rsid w:val="0080100B"/>
    <w:rsid w:val="008010D6"/>
    <w:rsid w:val="00801335"/>
    <w:rsid w:val="00801645"/>
    <w:rsid w:val="00801975"/>
    <w:rsid w:val="0080199D"/>
    <w:rsid w:val="00801CB2"/>
    <w:rsid w:val="00802220"/>
    <w:rsid w:val="00802313"/>
    <w:rsid w:val="00802445"/>
    <w:rsid w:val="00802481"/>
    <w:rsid w:val="0080254F"/>
    <w:rsid w:val="008025CD"/>
    <w:rsid w:val="008026F4"/>
    <w:rsid w:val="00802705"/>
    <w:rsid w:val="00802973"/>
    <w:rsid w:val="00802D53"/>
    <w:rsid w:val="008030D6"/>
    <w:rsid w:val="008030F7"/>
    <w:rsid w:val="008035A7"/>
    <w:rsid w:val="008035E3"/>
    <w:rsid w:val="008039D0"/>
    <w:rsid w:val="00803CB1"/>
    <w:rsid w:val="00803CCC"/>
    <w:rsid w:val="00803CDE"/>
    <w:rsid w:val="00803DFB"/>
    <w:rsid w:val="00804126"/>
    <w:rsid w:val="00804232"/>
    <w:rsid w:val="0080451F"/>
    <w:rsid w:val="008046A8"/>
    <w:rsid w:val="0080477F"/>
    <w:rsid w:val="0080479D"/>
    <w:rsid w:val="00804A66"/>
    <w:rsid w:val="00804B65"/>
    <w:rsid w:val="00804F70"/>
    <w:rsid w:val="00804F94"/>
    <w:rsid w:val="00804FAF"/>
    <w:rsid w:val="00804FFE"/>
    <w:rsid w:val="008050B4"/>
    <w:rsid w:val="008053A3"/>
    <w:rsid w:val="0080574C"/>
    <w:rsid w:val="0080575A"/>
    <w:rsid w:val="00805D5F"/>
    <w:rsid w:val="00805E86"/>
    <w:rsid w:val="00805FDD"/>
    <w:rsid w:val="00806355"/>
    <w:rsid w:val="008064F0"/>
    <w:rsid w:val="00806937"/>
    <w:rsid w:val="00806993"/>
    <w:rsid w:val="008069BE"/>
    <w:rsid w:val="00806FF8"/>
    <w:rsid w:val="008071B4"/>
    <w:rsid w:val="00807376"/>
    <w:rsid w:val="00807616"/>
    <w:rsid w:val="00807940"/>
    <w:rsid w:val="00807A32"/>
    <w:rsid w:val="00807EA4"/>
    <w:rsid w:val="00807EDB"/>
    <w:rsid w:val="00810168"/>
    <w:rsid w:val="008101C9"/>
    <w:rsid w:val="0081067D"/>
    <w:rsid w:val="00810680"/>
    <w:rsid w:val="0081084C"/>
    <w:rsid w:val="008109CB"/>
    <w:rsid w:val="00810A3D"/>
    <w:rsid w:val="00810C95"/>
    <w:rsid w:val="00810D38"/>
    <w:rsid w:val="00810F4B"/>
    <w:rsid w:val="00810F96"/>
    <w:rsid w:val="00810FC7"/>
    <w:rsid w:val="00810FE9"/>
    <w:rsid w:val="008111E5"/>
    <w:rsid w:val="00811436"/>
    <w:rsid w:val="00811831"/>
    <w:rsid w:val="008118CC"/>
    <w:rsid w:val="0081192D"/>
    <w:rsid w:val="00811C60"/>
    <w:rsid w:val="00811E8D"/>
    <w:rsid w:val="00811F2C"/>
    <w:rsid w:val="00812161"/>
    <w:rsid w:val="00812212"/>
    <w:rsid w:val="008124E2"/>
    <w:rsid w:val="008125DC"/>
    <w:rsid w:val="00812647"/>
    <w:rsid w:val="00812860"/>
    <w:rsid w:val="00812AE9"/>
    <w:rsid w:val="00812E4B"/>
    <w:rsid w:val="008130FC"/>
    <w:rsid w:val="0081344E"/>
    <w:rsid w:val="008134AD"/>
    <w:rsid w:val="00813680"/>
    <w:rsid w:val="008136B7"/>
    <w:rsid w:val="00813944"/>
    <w:rsid w:val="00813B12"/>
    <w:rsid w:val="00813F43"/>
    <w:rsid w:val="00813FCA"/>
    <w:rsid w:val="00814046"/>
    <w:rsid w:val="008140FA"/>
    <w:rsid w:val="00814187"/>
    <w:rsid w:val="008141AB"/>
    <w:rsid w:val="0081440F"/>
    <w:rsid w:val="00814480"/>
    <w:rsid w:val="0081463C"/>
    <w:rsid w:val="008147D8"/>
    <w:rsid w:val="00814B0B"/>
    <w:rsid w:val="00814C0E"/>
    <w:rsid w:val="00814C54"/>
    <w:rsid w:val="00815160"/>
    <w:rsid w:val="00815357"/>
    <w:rsid w:val="008154AD"/>
    <w:rsid w:val="008154EC"/>
    <w:rsid w:val="00815872"/>
    <w:rsid w:val="00815947"/>
    <w:rsid w:val="00815B42"/>
    <w:rsid w:val="00815F76"/>
    <w:rsid w:val="0081609D"/>
    <w:rsid w:val="008163C4"/>
    <w:rsid w:val="008163F6"/>
    <w:rsid w:val="008164A2"/>
    <w:rsid w:val="008167F3"/>
    <w:rsid w:val="00816B87"/>
    <w:rsid w:val="00816C7A"/>
    <w:rsid w:val="00816D46"/>
    <w:rsid w:val="008172B8"/>
    <w:rsid w:val="0081733A"/>
    <w:rsid w:val="0081733B"/>
    <w:rsid w:val="00817572"/>
    <w:rsid w:val="008175FD"/>
    <w:rsid w:val="00817647"/>
    <w:rsid w:val="00817814"/>
    <w:rsid w:val="008178C2"/>
    <w:rsid w:val="008178F1"/>
    <w:rsid w:val="00817B04"/>
    <w:rsid w:val="00817E79"/>
    <w:rsid w:val="00817F9F"/>
    <w:rsid w:val="008201D5"/>
    <w:rsid w:val="008205B4"/>
    <w:rsid w:val="00820AB8"/>
    <w:rsid w:val="00820CC6"/>
    <w:rsid w:val="00820FE1"/>
    <w:rsid w:val="008211BB"/>
    <w:rsid w:val="0082144F"/>
    <w:rsid w:val="0082156C"/>
    <w:rsid w:val="008215D6"/>
    <w:rsid w:val="008219A4"/>
    <w:rsid w:val="00821A71"/>
    <w:rsid w:val="00821AAB"/>
    <w:rsid w:val="00821B29"/>
    <w:rsid w:val="00821B6D"/>
    <w:rsid w:val="00821D70"/>
    <w:rsid w:val="00821EF2"/>
    <w:rsid w:val="008220B0"/>
    <w:rsid w:val="00822375"/>
    <w:rsid w:val="008224F5"/>
    <w:rsid w:val="0082257F"/>
    <w:rsid w:val="008226B6"/>
    <w:rsid w:val="0082282B"/>
    <w:rsid w:val="0082286F"/>
    <w:rsid w:val="00822892"/>
    <w:rsid w:val="00822962"/>
    <w:rsid w:val="008229C0"/>
    <w:rsid w:val="00822B66"/>
    <w:rsid w:val="008231D0"/>
    <w:rsid w:val="008232C2"/>
    <w:rsid w:val="008233ED"/>
    <w:rsid w:val="008238E1"/>
    <w:rsid w:val="00823A89"/>
    <w:rsid w:val="00824029"/>
    <w:rsid w:val="00824064"/>
    <w:rsid w:val="008240B5"/>
    <w:rsid w:val="00824121"/>
    <w:rsid w:val="0082413E"/>
    <w:rsid w:val="0082432F"/>
    <w:rsid w:val="00824477"/>
    <w:rsid w:val="00824596"/>
    <w:rsid w:val="008247C4"/>
    <w:rsid w:val="008249F8"/>
    <w:rsid w:val="00824A82"/>
    <w:rsid w:val="00824BEB"/>
    <w:rsid w:val="00824BFE"/>
    <w:rsid w:val="00824C97"/>
    <w:rsid w:val="00824E37"/>
    <w:rsid w:val="00825052"/>
    <w:rsid w:val="00825109"/>
    <w:rsid w:val="00825247"/>
    <w:rsid w:val="008252C1"/>
    <w:rsid w:val="008254A5"/>
    <w:rsid w:val="00825530"/>
    <w:rsid w:val="008255FC"/>
    <w:rsid w:val="00825C2F"/>
    <w:rsid w:val="00825F68"/>
    <w:rsid w:val="0082644B"/>
    <w:rsid w:val="00826718"/>
    <w:rsid w:val="008269F9"/>
    <w:rsid w:val="00826DC8"/>
    <w:rsid w:val="00826EE0"/>
    <w:rsid w:val="00826F5F"/>
    <w:rsid w:val="0082734E"/>
    <w:rsid w:val="008273AA"/>
    <w:rsid w:val="00827595"/>
    <w:rsid w:val="0082777B"/>
    <w:rsid w:val="0082789B"/>
    <w:rsid w:val="008278DB"/>
    <w:rsid w:val="00827ACA"/>
    <w:rsid w:val="00830061"/>
    <w:rsid w:val="0083014D"/>
    <w:rsid w:val="008302C5"/>
    <w:rsid w:val="008305BB"/>
    <w:rsid w:val="00830739"/>
    <w:rsid w:val="00831195"/>
    <w:rsid w:val="00831262"/>
    <w:rsid w:val="00831302"/>
    <w:rsid w:val="008316A0"/>
    <w:rsid w:val="0083187F"/>
    <w:rsid w:val="00831C52"/>
    <w:rsid w:val="00831F17"/>
    <w:rsid w:val="0083227B"/>
    <w:rsid w:val="008324CE"/>
    <w:rsid w:val="008325D2"/>
    <w:rsid w:val="0083292D"/>
    <w:rsid w:val="0083296A"/>
    <w:rsid w:val="008329B2"/>
    <w:rsid w:val="00832C13"/>
    <w:rsid w:val="00832CD3"/>
    <w:rsid w:val="00832D74"/>
    <w:rsid w:val="00832D9D"/>
    <w:rsid w:val="0083357F"/>
    <w:rsid w:val="008340A5"/>
    <w:rsid w:val="0083445E"/>
    <w:rsid w:val="00834519"/>
    <w:rsid w:val="008345A1"/>
    <w:rsid w:val="00834653"/>
    <w:rsid w:val="008348D7"/>
    <w:rsid w:val="00834AB2"/>
    <w:rsid w:val="00834CDB"/>
    <w:rsid w:val="00834D59"/>
    <w:rsid w:val="00834F6C"/>
    <w:rsid w:val="00835252"/>
    <w:rsid w:val="0083541F"/>
    <w:rsid w:val="008354C5"/>
    <w:rsid w:val="0083553F"/>
    <w:rsid w:val="00835994"/>
    <w:rsid w:val="00835BA0"/>
    <w:rsid w:val="00835CAE"/>
    <w:rsid w:val="00835DFE"/>
    <w:rsid w:val="00835E4D"/>
    <w:rsid w:val="00835F8A"/>
    <w:rsid w:val="00835F9A"/>
    <w:rsid w:val="0083653E"/>
    <w:rsid w:val="0083692F"/>
    <w:rsid w:val="00836948"/>
    <w:rsid w:val="00836983"/>
    <w:rsid w:val="00836C5C"/>
    <w:rsid w:val="00836E45"/>
    <w:rsid w:val="00837031"/>
    <w:rsid w:val="008370F7"/>
    <w:rsid w:val="00837215"/>
    <w:rsid w:val="008372F5"/>
    <w:rsid w:val="008374F5"/>
    <w:rsid w:val="00837986"/>
    <w:rsid w:val="00837B5C"/>
    <w:rsid w:val="00837DC5"/>
    <w:rsid w:val="008403B6"/>
    <w:rsid w:val="00840515"/>
    <w:rsid w:val="00840836"/>
    <w:rsid w:val="00840AFD"/>
    <w:rsid w:val="00840CDF"/>
    <w:rsid w:val="00840E23"/>
    <w:rsid w:val="00841031"/>
    <w:rsid w:val="00841075"/>
    <w:rsid w:val="00841429"/>
    <w:rsid w:val="00841949"/>
    <w:rsid w:val="00841956"/>
    <w:rsid w:val="00841ACB"/>
    <w:rsid w:val="00841AD5"/>
    <w:rsid w:val="00841CF6"/>
    <w:rsid w:val="00841DE1"/>
    <w:rsid w:val="00841E64"/>
    <w:rsid w:val="00841F19"/>
    <w:rsid w:val="00841F3F"/>
    <w:rsid w:val="0084213A"/>
    <w:rsid w:val="00842313"/>
    <w:rsid w:val="00842357"/>
    <w:rsid w:val="008426DF"/>
    <w:rsid w:val="008429DD"/>
    <w:rsid w:val="008429EE"/>
    <w:rsid w:val="00842B89"/>
    <w:rsid w:val="00842C92"/>
    <w:rsid w:val="00842FCA"/>
    <w:rsid w:val="00843052"/>
    <w:rsid w:val="0084334F"/>
    <w:rsid w:val="008434CF"/>
    <w:rsid w:val="00843A36"/>
    <w:rsid w:val="00843B4A"/>
    <w:rsid w:val="00843D58"/>
    <w:rsid w:val="00844042"/>
    <w:rsid w:val="008444CA"/>
    <w:rsid w:val="00844537"/>
    <w:rsid w:val="008445A9"/>
    <w:rsid w:val="0084467B"/>
    <w:rsid w:val="00844A33"/>
    <w:rsid w:val="00844F30"/>
    <w:rsid w:val="00845374"/>
    <w:rsid w:val="008457E4"/>
    <w:rsid w:val="00845A90"/>
    <w:rsid w:val="00845B25"/>
    <w:rsid w:val="00845D9C"/>
    <w:rsid w:val="00845F8D"/>
    <w:rsid w:val="00846076"/>
    <w:rsid w:val="008460AC"/>
    <w:rsid w:val="008461E9"/>
    <w:rsid w:val="0084641D"/>
    <w:rsid w:val="00846519"/>
    <w:rsid w:val="0084657A"/>
    <w:rsid w:val="00846CD7"/>
    <w:rsid w:val="00846D70"/>
    <w:rsid w:val="008471D0"/>
    <w:rsid w:val="008473B1"/>
    <w:rsid w:val="0084743E"/>
    <w:rsid w:val="00847958"/>
    <w:rsid w:val="0084798B"/>
    <w:rsid w:val="00847AC8"/>
    <w:rsid w:val="00847AFE"/>
    <w:rsid w:val="00847ED0"/>
    <w:rsid w:val="00847FAD"/>
    <w:rsid w:val="00850169"/>
    <w:rsid w:val="008502FD"/>
    <w:rsid w:val="00850A5B"/>
    <w:rsid w:val="00850AB4"/>
    <w:rsid w:val="00850C17"/>
    <w:rsid w:val="00850C96"/>
    <w:rsid w:val="00850D5A"/>
    <w:rsid w:val="00850E71"/>
    <w:rsid w:val="0085100E"/>
    <w:rsid w:val="00851236"/>
    <w:rsid w:val="00851518"/>
    <w:rsid w:val="00851570"/>
    <w:rsid w:val="00851666"/>
    <w:rsid w:val="00851669"/>
    <w:rsid w:val="00851A2B"/>
    <w:rsid w:val="00851A92"/>
    <w:rsid w:val="00851B35"/>
    <w:rsid w:val="00851B56"/>
    <w:rsid w:val="0085201E"/>
    <w:rsid w:val="0085208B"/>
    <w:rsid w:val="008520E6"/>
    <w:rsid w:val="0085210F"/>
    <w:rsid w:val="008521E2"/>
    <w:rsid w:val="00852354"/>
    <w:rsid w:val="008524A8"/>
    <w:rsid w:val="008524EB"/>
    <w:rsid w:val="00852565"/>
    <w:rsid w:val="008525BE"/>
    <w:rsid w:val="00852B43"/>
    <w:rsid w:val="00852FB1"/>
    <w:rsid w:val="008531BB"/>
    <w:rsid w:val="0085326A"/>
    <w:rsid w:val="0085338F"/>
    <w:rsid w:val="00853479"/>
    <w:rsid w:val="00853684"/>
    <w:rsid w:val="008536EA"/>
    <w:rsid w:val="00853756"/>
    <w:rsid w:val="00853EC5"/>
    <w:rsid w:val="00854486"/>
    <w:rsid w:val="00854521"/>
    <w:rsid w:val="0085463A"/>
    <w:rsid w:val="008547A9"/>
    <w:rsid w:val="0085488C"/>
    <w:rsid w:val="0085494D"/>
    <w:rsid w:val="0085496B"/>
    <w:rsid w:val="00854B96"/>
    <w:rsid w:val="00854C1B"/>
    <w:rsid w:val="00854D6B"/>
    <w:rsid w:val="00854E23"/>
    <w:rsid w:val="008550C3"/>
    <w:rsid w:val="00855172"/>
    <w:rsid w:val="0085520F"/>
    <w:rsid w:val="008552D4"/>
    <w:rsid w:val="008553F1"/>
    <w:rsid w:val="0085540A"/>
    <w:rsid w:val="008556CD"/>
    <w:rsid w:val="00855A40"/>
    <w:rsid w:val="00855A9E"/>
    <w:rsid w:val="00855B3C"/>
    <w:rsid w:val="00855FA5"/>
    <w:rsid w:val="00856054"/>
    <w:rsid w:val="00856181"/>
    <w:rsid w:val="008562B6"/>
    <w:rsid w:val="0085632E"/>
    <w:rsid w:val="0085634A"/>
    <w:rsid w:val="00856584"/>
    <w:rsid w:val="008566AF"/>
    <w:rsid w:val="008567A6"/>
    <w:rsid w:val="00856811"/>
    <w:rsid w:val="00856A8D"/>
    <w:rsid w:val="00856BCD"/>
    <w:rsid w:val="00857143"/>
    <w:rsid w:val="0085723C"/>
    <w:rsid w:val="008575C7"/>
    <w:rsid w:val="008578FA"/>
    <w:rsid w:val="00857929"/>
    <w:rsid w:val="00857CFB"/>
    <w:rsid w:val="00857EDE"/>
    <w:rsid w:val="0086045F"/>
    <w:rsid w:val="00860F17"/>
    <w:rsid w:val="00861022"/>
    <w:rsid w:val="008610C5"/>
    <w:rsid w:val="008611AE"/>
    <w:rsid w:val="00861235"/>
    <w:rsid w:val="00861242"/>
    <w:rsid w:val="0086129A"/>
    <w:rsid w:val="008612B5"/>
    <w:rsid w:val="0086176B"/>
    <w:rsid w:val="00861C93"/>
    <w:rsid w:val="00861DF8"/>
    <w:rsid w:val="00861F21"/>
    <w:rsid w:val="00861F62"/>
    <w:rsid w:val="008620AA"/>
    <w:rsid w:val="008620AB"/>
    <w:rsid w:val="00862440"/>
    <w:rsid w:val="008624BA"/>
    <w:rsid w:val="00862525"/>
    <w:rsid w:val="0086263D"/>
    <w:rsid w:val="00862676"/>
    <w:rsid w:val="00862796"/>
    <w:rsid w:val="008627B9"/>
    <w:rsid w:val="00863152"/>
    <w:rsid w:val="0086349A"/>
    <w:rsid w:val="008638B5"/>
    <w:rsid w:val="00863CDB"/>
    <w:rsid w:val="008640AF"/>
    <w:rsid w:val="00864130"/>
    <w:rsid w:val="00864233"/>
    <w:rsid w:val="00864390"/>
    <w:rsid w:val="00864B3C"/>
    <w:rsid w:val="00864B8E"/>
    <w:rsid w:val="00864CF2"/>
    <w:rsid w:val="00864D21"/>
    <w:rsid w:val="00864DC0"/>
    <w:rsid w:val="00864EF0"/>
    <w:rsid w:val="00865235"/>
    <w:rsid w:val="00865293"/>
    <w:rsid w:val="00865697"/>
    <w:rsid w:val="00865833"/>
    <w:rsid w:val="00865855"/>
    <w:rsid w:val="0086597D"/>
    <w:rsid w:val="00865A87"/>
    <w:rsid w:val="008662E5"/>
    <w:rsid w:val="008663D2"/>
    <w:rsid w:val="00866508"/>
    <w:rsid w:val="00866770"/>
    <w:rsid w:val="00866885"/>
    <w:rsid w:val="008669F4"/>
    <w:rsid w:val="00866CDE"/>
    <w:rsid w:val="00866DBB"/>
    <w:rsid w:val="00867058"/>
    <w:rsid w:val="00867142"/>
    <w:rsid w:val="00867340"/>
    <w:rsid w:val="0086740D"/>
    <w:rsid w:val="008675BF"/>
    <w:rsid w:val="008675F2"/>
    <w:rsid w:val="008677CD"/>
    <w:rsid w:val="00867822"/>
    <w:rsid w:val="00867863"/>
    <w:rsid w:val="00867D89"/>
    <w:rsid w:val="00867DF1"/>
    <w:rsid w:val="008703B3"/>
    <w:rsid w:val="00870508"/>
    <w:rsid w:val="008705E1"/>
    <w:rsid w:val="008705F3"/>
    <w:rsid w:val="008706A3"/>
    <w:rsid w:val="0087083E"/>
    <w:rsid w:val="00870DF2"/>
    <w:rsid w:val="00870E1F"/>
    <w:rsid w:val="00870F54"/>
    <w:rsid w:val="00871168"/>
    <w:rsid w:val="008714A6"/>
    <w:rsid w:val="008714B0"/>
    <w:rsid w:val="00871606"/>
    <w:rsid w:val="00871707"/>
    <w:rsid w:val="008717DE"/>
    <w:rsid w:val="00871806"/>
    <w:rsid w:val="0087181C"/>
    <w:rsid w:val="00871A32"/>
    <w:rsid w:val="00871D8C"/>
    <w:rsid w:val="00871F39"/>
    <w:rsid w:val="0087218D"/>
    <w:rsid w:val="00872239"/>
    <w:rsid w:val="008722B2"/>
    <w:rsid w:val="008722DA"/>
    <w:rsid w:val="00872393"/>
    <w:rsid w:val="00872635"/>
    <w:rsid w:val="00872706"/>
    <w:rsid w:val="0087283E"/>
    <w:rsid w:val="00872901"/>
    <w:rsid w:val="0087291B"/>
    <w:rsid w:val="008729D4"/>
    <w:rsid w:val="008729F5"/>
    <w:rsid w:val="00872B77"/>
    <w:rsid w:val="00872C08"/>
    <w:rsid w:val="00872EED"/>
    <w:rsid w:val="00872F28"/>
    <w:rsid w:val="00873022"/>
    <w:rsid w:val="00873090"/>
    <w:rsid w:val="0087318C"/>
    <w:rsid w:val="008731D1"/>
    <w:rsid w:val="0087397F"/>
    <w:rsid w:val="00873A9A"/>
    <w:rsid w:val="00873D52"/>
    <w:rsid w:val="00873F2E"/>
    <w:rsid w:val="008740E1"/>
    <w:rsid w:val="00874403"/>
    <w:rsid w:val="00874656"/>
    <w:rsid w:val="008746A9"/>
    <w:rsid w:val="00874AF8"/>
    <w:rsid w:val="00874BEA"/>
    <w:rsid w:val="00874FB5"/>
    <w:rsid w:val="0087519E"/>
    <w:rsid w:val="008751E8"/>
    <w:rsid w:val="00875258"/>
    <w:rsid w:val="0087571F"/>
    <w:rsid w:val="008757B4"/>
    <w:rsid w:val="0087591A"/>
    <w:rsid w:val="00875B85"/>
    <w:rsid w:val="00875CEB"/>
    <w:rsid w:val="00876A59"/>
    <w:rsid w:val="00876A81"/>
    <w:rsid w:val="00876A8C"/>
    <w:rsid w:val="00876C42"/>
    <w:rsid w:val="00876F22"/>
    <w:rsid w:val="00877157"/>
    <w:rsid w:val="0087753E"/>
    <w:rsid w:val="0087777A"/>
    <w:rsid w:val="00877A1F"/>
    <w:rsid w:val="008803FC"/>
    <w:rsid w:val="00880498"/>
    <w:rsid w:val="00880806"/>
    <w:rsid w:val="0088085F"/>
    <w:rsid w:val="0088089E"/>
    <w:rsid w:val="00880A02"/>
    <w:rsid w:val="00880B35"/>
    <w:rsid w:val="00880DF3"/>
    <w:rsid w:val="00881010"/>
    <w:rsid w:val="00881205"/>
    <w:rsid w:val="008813EE"/>
    <w:rsid w:val="008815CB"/>
    <w:rsid w:val="00881670"/>
    <w:rsid w:val="008817A6"/>
    <w:rsid w:val="008818E3"/>
    <w:rsid w:val="008819AD"/>
    <w:rsid w:val="00881E02"/>
    <w:rsid w:val="00882012"/>
    <w:rsid w:val="008821E4"/>
    <w:rsid w:val="0088257D"/>
    <w:rsid w:val="008825FE"/>
    <w:rsid w:val="00882924"/>
    <w:rsid w:val="00882A5E"/>
    <w:rsid w:val="00882DBC"/>
    <w:rsid w:val="00883161"/>
    <w:rsid w:val="008835EB"/>
    <w:rsid w:val="0088360C"/>
    <w:rsid w:val="00883A56"/>
    <w:rsid w:val="00884269"/>
    <w:rsid w:val="0088450D"/>
    <w:rsid w:val="00884927"/>
    <w:rsid w:val="00884B6D"/>
    <w:rsid w:val="00884CE0"/>
    <w:rsid w:val="00884D01"/>
    <w:rsid w:val="00884D88"/>
    <w:rsid w:val="00884E0C"/>
    <w:rsid w:val="00884E2F"/>
    <w:rsid w:val="00884E45"/>
    <w:rsid w:val="008852DD"/>
    <w:rsid w:val="008853C0"/>
    <w:rsid w:val="00885557"/>
    <w:rsid w:val="00885959"/>
    <w:rsid w:val="008860A7"/>
    <w:rsid w:val="0088633B"/>
    <w:rsid w:val="0088636F"/>
    <w:rsid w:val="008866A8"/>
    <w:rsid w:val="00886825"/>
    <w:rsid w:val="00886839"/>
    <w:rsid w:val="0088706F"/>
    <w:rsid w:val="008876DF"/>
    <w:rsid w:val="008876E4"/>
    <w:rsid w:val="00887771"/>
    <w:rsid w:val="0088777D"/>
    <w:rsid w:val="0088785C"/>
    <w:rsid w:val="00887BE6"/>
    <w:rsid w:val="00887CE4"/>
    <w:rsid w:val="00887DB7"/>
    <w:rsid w:val="00887E74"/>
    <w:rsid w:val="00887EAC"/>
    <w:rsid w:val="00887EB0"/>
    <w:rsid w:val="00887EFB"/>
    <w:rsid w:val="0089029B"/>
    <w:rsid w:val="008902D8"/>
    <w:rsid w:val="0089049C"/>
    <w:rsid w:val="0089055B"/>
    <w:rsid w:val="00890590"/>
    <w:rsid w:val="00890598"/>
    <w:rsid w:val="00890BC0"/>
    <w:rsid w:val="00890CA7"/>
    <w:rsid w:val="00890F11"/>
    <w:rsid w:val="00891100"/>
    <w:rsid w:val="00891C20"/>
    <w:rsid w:val="00891F10"/>
    <w:rsid w:val="0089207A"/>
    <w:rsid w:val="00892557"/>
    <w:rsid w:val="00892656"/>
    <w:rsid w:val="008927A1"/>
    <w:rsid w:val="008929FB"/>
    <w:rsid w:val="00892C08"/>
    <w:rsid w:val="00892CBD"/>
    <w:rsid w:val="00892ED2"/>
    <w:rsid w:val="00892F7F"/>
    <w:rsid w:val="008931AC"/>
    <w:rsid w:val="008933BD"/>
    <w:rsid w:val="008939B1"/>
    <w:rsid w:val="00893BA6"/>
    <w:rsid w:val="00893CBE"/>
    <w:rsid w:val="00893D6A"/>
    <w:rsid w:val="00893D96"/>
    <w:rsid w:val="00893E40"/>
    <w:rsid w:val="008941AC"/>
    <w:rsid w:val="00894253"/>
    <w:rsid w:val="0089451D"/>
    <w:rsid w:val="008945F6"/>
    <w:rsid w:val="0089485B"/>
    <w:rsid w:val="008949A7"/>
    <w:rsid w:val="00895009"/>
    <w:rsid w:val="008957B4"/>
    <w:rsid w:val="008959BB"/>
    <w:rsid w:val="00895A7D"/>
    <w:rsid w:val="00895AB8"/>
    <w:rsid w:val="00895AF2"/>
    <w:rsid w:val="00895E65"/>
    <w:rsid w:val="00895EE1"/>
    <w:rsid w:val="00895FD4"/>
    <w:rsid w:val="00896454"/>
    <w:rsid w:val="00896574"/>
    <w:rsid w:val="008965C7"/>
    <w:rsid w:val="008965F4"/>
    <w:rsid w:val="00896679"/>
    <w:rsid w:val="00896724"/>
    <w:rsid w:val="00896886"/>
    <w:rsid w:val="00896CA9"/>
    <w:rsid w:val="00896E4D"/>
    <w:rsid w:val="0089700A"/>
    <w:rsid w:val="00897178"/>
    <w:rsid w:val="00897196"/>
    <w:rsid w:val="00897219"/>
    <w:rsid w:val="00897283"/>
    <w:rsid w:val="008977FD"/>
    <w:rsid w:val="00897E13"/>
    <w:rsid w:val="00897E44"/>
    <w:rsid w:val="008A0084"/>
    <w:rsid w:val="008A0804"/>
    <w:rsid w:val="008A0959"/>
    <w:rsid w:val="008A0989"/>
    <w:rsid w:val="008A0A13"/>
    <w:rsid w:val="008A0A82"/>
    <w:rsid w:val="008A0ACE"/>
    <w:rsid w:val="008A0DF4"/>
    <w:rsid w:val="008A0F92"/>
    <w:rsid w:val="008A1126"/>
    <w:rsid w:val="008A11CE"/>
    <w:rsid w:val="008A1965"/>
    <w:rsid w:val="008A1C64"/>
    <w:rsid w:val="008A20FD"/>
    <w:rsid w:val="008A233D"/>
    <w:rsid w:val="008A27BC"/>
    <w:rsid w:val="008A290A"/>
    <w:rsid w:val="008A2D0E"/>
    <w:rsid w:val="008A2DA2"/>
    <w:rsid w:val="008A2E43"/>
    <w:rsid w:val="008A2F1D"/>
    <w:rsid w:val="008A3055"/>
    <w:rsid w:val="008A3100"/>
    <w:rsid w:val="008A31A1"/>
    <w:rsid w:val="008A3753"/>
    <w:rsid w:val="008A37EE"/>
    <w:rsid w:val="008A3805"/>
    <w:rsid w:val="008A3A5D"/>
    <w:rsid w:val="008A3C4E"/>
    <w:rsid w:val="008A4114"/>
    <w:rsid w:val="008A443E"/>
    <w:rsid w:val="008A4462"/>
    <w:rsid w:val="008A44C8"/>
    <w:rsid w:val="008A48FF"/>
    <w:rsid w:val="008A490A"/>
    <w:rsid w:val="008A4CE7"/>
    <w:rsid w:val="008A5134"/>
    <w:rsid w:val="008A5286"/>
    <w:rsid w:val="008A52F2"/>
    <w:rsid w:val="008A5B07"/>
    <w:rsid w:val="008A5C54"/>
    <w:rsid w:val="008A60F0"/>
    <w:rsid w:val="008A63CE"/>
    <w:rsid w:val="008A6493"/>
    <w:rsid w:val="008A64AA"/>
    <w:rsid w:val="008A64D8"/>
    <w:rsid w:val="008A651F"/>
    <w:rsid w:val="008A65C0"/>
    <w:rsid w:val="008A683C"/>
    <w:rsid w:val="008A6B35"/>
    <w:rsid w:val="008A6DEE"/>
    <w:rsid w:val="008A6DF9"/>
    <w:rsid w:val="008A703A"/>
    <w:rsid w:val="008A71C0"/>
    <w:rsid w:val="008A75AC"/>
    <w:rsid w:val="008A775F"/>
    <w:rsid w:val="008A78A4"/>
    <w:rsid w:val="008A7A01"/>
    <w:rsid w:val="008A7AAD"/>
    <w:rsid w:val="008A7F44"/>
    <w:rsid w:val="008A7FE7"/>
    <w:rsid w:val="008B0434"/>
    <w:rsid w:val="008B0699"/>
    <w:rsid w:val="008B0720"/>
    <w:rsid w:val="008B0749"/>
    <w:rsid w:val="008B08CD"/>
    <w:rsid w:val="008B09DC"/>
    <w:rsid w:val="008B0A18"/>
    <w:rsid w:val="008B0AC5"/>
    <w:rsid w:val="008B0F24"/>
    <w:rsid w:val="008B0F85"/>
    <w:rsid w:val="008B1020"/>
    <w:rsid w:val="008B106F"/>
    <w:rsid w:val="008B121B"/>
    <w:rsid w:val="008B14B3"/>
    <w:rsid w:val="008B1669"/>
    <w:rsid w:val="008B176C"/>
    <w:rsid w:val="008B1AA5"/>
    <w:rsid w:val="008B1C29"/>
    <w:rsid w:val="008B1C68"/>
    <w:rsid w:val="008B1C84"/>
    <w:rsid w:val="008B1CD4"/>
    <w:rsid w:val="008B1D4B"/>
    <w:rsid w:val="008B2065"/>
    <w:rsid w:val="008B2187"/>
    <w:rsid w:val="008B2328"/>
    <w:rsid w:val="008B251A"/>
    <w:rsid w:val="008B289A"/>
    <w:rsid w:val="008B2BE2"/>
    <w:rsid w:val="008B2BEC"/>
    <w:rsid w:val="008B2C2A"/>
    <w:rsid w:val="008B32CB"/>
    <w:rsid w:val="008B385F"/>
    <w:rsid w:val="008B3B80"/>
    <w:rsid w:val="008B3DA0"/>
    <w:rsid w:val="008B3E43"/>
    <w:rsid w:val="008B4049"/>
    <w:rsid w:val="008B4547"/>
    <w:rsid w:val="008B45DD"/>
    <w:rsid w:val="008B45E6"/>
    <w:rsid w:val="008B4A03"/>
    <w:rsid w:val="008B4A6E"/>
    <w:rsid w:val="008B4ADB"/>
    <w:rsid w:val="008B4B2F"/>
    <w:rsid w:val="008B4EF3"/>
    <w:rsid w:val="008B5513"/>
    <w:rsid w:val="008B5567"/>
    <w:rsid w:val="008B58DC"/>
    <w:rsid w:val="008B59CE"/>
    <w:rsid w:val="008B5AC4"/>
    <w:rsid w:val="008B5CDC"/>
    <w:rsid w:val="008B5FE0"/>
    <w:rsid w:val="008B6040"/>
    <w:rsid w:val="008B6053"/>
    <w:rsid w:val="008B667A"/>
    <w:rsid w:val="008B67A8"/>
    <w:rsid w:val="008B6867"/>
    <w:rsid w:val="008B6B87"/>
    <w:rsid w:val="008B6FEB"/>
    <w:rsid w:val="008B7930"/>
    <w:rsid w:val="008B7B57"/>
    <w:rsid w:val="008B7B71"/>
    <w:rsid w:val="008B7F88"/>
    <w:rsid w:val="008C0177"/>
    <w:rsid w:val="008C026A"/>
    <w:rsid w:val="008C078E"/>
    <w:rsid w:val="008C09FF"/>
    <w:rsid w:val="008C0DF6"/>
    <w:rsid w:val="008C0E9E"/>
    <w:rsid w:val="008C0FAF"/>
    <w:rsid w:val="008C11A4"/>
    <w:rsid w:val="008C1207"/>
    <w:rsid w:val="008C15AD"/>
    <w:rsid w:val="008C1977"/>
    <w:rsid w:val="008C1A2E"/>
    <w:rsid w:val="008C1B61"/>
    <w:rsid w:val="008C1B75"/>
    <w:rsid w:val="008C1C3E"/>
    <w:rsid w:val="008C1D86"/>
    <w:rsid w:val="008C1E87"/>
    <w:rsid w:val="008C1F73"/>
    <w:rsid w:val="008C20CE"/>
    <w:rsid w:val="008C26E6"/>
    <w:rsid w:val="008C2AF2"/>
    <w:rsid w:val="008C2B04"/>
    <w:rsid w:val="008C2BFD"/>
    <w:rsid w:val="008C2DC3"/>
    <w:rsid w:val="008C2DEF"/>
    <w:rsid w:val="008C2F47"/>
    <w:rsid w:val="008C317F"/>
    <w:rsid w:val="008C3560"/>
    <w:rsid w:val="008C365F"/>
    <w:rsid w:val="008C3668"/>
    <w:rsid w:val="008C368C"/>
    <w:rsid w:val="008C3A17"/>
    <w:rsid w:val="008C3A4D"/>
    <w:rsid w:val="008C3EF2"/>
    <w:rsid w:val="008C3FBA"/>
    <w:rsid w:val="008C3FE0"/>
    <w:rsid w:val="008C4387"/>
    <w:rsid w:val="008C4463"/>
    <w:rsid w:val="008C46DA"/>
    <w:rsid w:val="008C484E"/>
    <w:rsid w:val="008C4944"/>
    <w:rsid w:val="008C4DCB"/>
    <w:rsid w:val="008C4E48"/>
    <w:rsid w:val="008C4EA8"/>
    <w:rsid w:val="008C504C"/>
    <w:rsid w:val="008C50E1"/>
    <w:rsid w:val="008C50FA"/>
    <w:rsid w:val="008C5169"/>
    <w:rsid w:val="008C51D2"/>
    <w:rsid w:val="008C5410"/>
    <w:rsid w:val="008C54B4"/>
    <w:rsid w:val="008C5A8C"/>
    <w:rsid w:val="008C5D65"/>
    <w:rsid w:val="008C5F71"/>
    <w:rsid w:val="008C617D"/>
    <w:rsid w:val="008C61BA"/>
    <w:rsid w:val="008C621B"/>
    <w:rsid w:val="008C635D"/>
    <w:rsid w:val="008C65AD"/>
    <w:rsid w:val="008C67C7"/>
    <w:rsid w:val="008C682F"/>
    <w:rsid w:val="008C694E"/>
    <w:rsid w:val="008C6965"/>
    <w:rsid w:val="008C6AEA"/>
    <w:rsid w:val="008C6B3D"/>
    <w:rsid w:val="008C6C16"/>
    <w:rsid w:val="008C6C2C"/>
    <w:rsid w:val="008C6D24"/>
    <w:rsid w:val="008C6D58"/>
    <w:rsid w:val="008C759E"/>
    <w:rsid w:val="008C7676"/>
    <w:rsid w:val="008C769A"/>
    <w:rsid w:val="008C79F1"/>
    <w:rsid w:val="008C7BE9"/>
    <w:rsid w:val="008C7CD4"/>
    <w:rsid w:val="008C7D40"/>
    <w:rsid w:val="008C7FAD"/>
    <w:rsid w:val="008D011D"/>
    <w:rsid w:val="008D0237"/>
    <w:rsid w:val="008D02A2"/>
    <w:rsid w:val="008D02D6"/>
    <w:rsid w:val="008D048C"/>
    <w:rsid w:val="008D052B"/>
    <w:rsid w:val="008D0705"/>
    <w:rsid w:val="008D0E1E"/>
    <w:rsid w:val="008D0E49"/>
    <w:rsid w:val="008D123A"/>
    <w:rsid w:val="008D1380"/>
    <w:rsid w:val="008D168E"/>
    <w:rsid w:val="008D174F"/>
    <w:rsid w:val="008D1B48"/>
    <w:rsid w:val="008D1D0A"/>
    <w:rsid w:val="008D1D17"/>
    <w:rsid w:val="008D2045"/>
    <w:rsid w:val="008D277C"/>
    <w:rsid w:val="008D28FC"/>
    <w:rsid w:val="008D2A01"/>
    <w:rsid w:val="008D2A9C"/>
    <w:rsid w:val="008D2C18"/>
    <w:rsid w:val="008D2DC3"/>
    <w:rsid w:val="008D2F8C"/>
    <w:rsid w:val="008D3281"/>
    <w:rsid w:val="008D3398"/>
    <w:rsid w:val="008D3597"/>
    <w:rsid w:val="008D35CE"/>
    <w:rsid w:val="008D36EA"/>
    <w:rsid w:val="008D3751"/>
    <w:rsid w:val="008D395C"/>
    <w:rsid w:val="008D3CE7"/>
    <w:rsid w:val="008D3E83"/>
    <w:rsid w:val="008D3F3D"/>
    <w:rsid w:val="008D4794"/>
    <w:rsid w:val="008D4A67"/>
    <w:rsid w:val="008D4CC9"/>
    <w:rsid w:val="008D55FE"/>
    <w:rsid w:val="008D590C"/>
    <w:rsid w:val="008D5A5E"/>
    <w:rsid w:val="008D5BA4"/>
    <w:rsid w:val="008D5CB7"/>
    <w:rsid w:val="008D5D08"/>
    <w:rsid w:val="008D5DDA"/>
    <w:rsid w:val="008D5F2F"/>
    <w:rsid w:val="008D5F5B"/>
    <w:rsid w:val="008D61CB"/>
    <w:rsid w:val="008D64B0"/>
    <w:rsid w:val="008D6CBC"/>
    <w:rsid w:val="008D6E4B"/>
    <w:rsid w:val="008D7004"/>
    <w:rsid w:val="008D7381"/>
    <w:rsid w:val="008D7557"/>
    <w:rsid w:val="008D7568"/>
    <w:rsid w:val="008D7595"/>
    <w:rsid w:val="008D7ABC"/>
    <w:rsid w:val="008D7AFD"/>
    <w:rsid w:val="008D7B1C"/>
    <w:rsid w:val="008D7CE5"/>
    <w:rsid w:val="008D7FEC"/>
    <w:rsid w:val="008E01DB"/>
    <w:rsid w:val="008E0739"/>
    <w:rsid w:val="008E0814"/>
    <w:rsid w:val="008E0830"/>
    <w:rsid w:val="008E0846"/>
    <w:rsid w:val="008E0CA1"/>
    <w:rsid w:val="008E13E9"/>
    <w:rsid w:val="008E13FD"/>
    <w:rsid w:val="008E147C"/>
    <w:rsid w:val="008E14A8"/>
    <w:rsid w:val="008E162A"/>
    <w:rsid w:val="008E162B"/>
    <w:rsid w:val="008E1655"/>
    <w:rsid w:val="008E1721"/>
    <w:rsid w:val="008E175C"/>
    <w:rsid w:val="008E192A"/>
    <w:rsid w:val="008E1E2D"/>
    <w:rsid w:val="008E24A4"/>
    <w:rsid w:val="008E2590"/>
    <w:rsid w:val="008E25EF"/>
    <w:rsid w:val="008E27A9"/>
    <w:rsid w:val="008E2956"/>
    <w:rsid w:val="008E2F30"/>
    <w:rsid w:val="008E32C4"/>
    <w:rsid w:val="008E36C2"/>
    <w:rsid w:val="008E3736"/>
    <w:rsid w:val="008E3DFA"/>
    <w:rsid w:val="008E41D0"/>
    <w:rsid w:val="008E42BD"/>
    <w:rsid w:val="008E42EF"/>
    <w:rsid w:val="008E44DE"/>
    <w:rsid w:val="008E46A3"/>
    <w:rsid w:val="008E46F4"/>
    <w:rsid w:val="008E47FB"/>
    <w:rsid w:val="008E4853"/>
    <w:rsid w:val="008E4E04"/>
    <w:rsid w:val="008E5063"/>
    <w:rsid w:val="008E5143"/>
    <w:rsid w:val="008E5245"/>
    <w:rsid w:val="008E5370"/>
    <w:rsid w:val="008E53B8"/>
    <w:rsid w:val="008E55A9"/>
    <w:rsid w:val="008E58F8"/>
    <w:rsid w:val="008E5D6C"/>
    <w:rsid w:val="008E5EAE"/>
    <w:rsid w:val="008E5FD4"/>
    <w:rsid w:val="008E6224"/>
    <w:rsid w:val="008E6C1E"/>
    <w:rsid w:val="008E6D2F"/>
    <w:rsid w:val="008E704F"/>
    <w:rsid w:val="008E7465"/>
    <w:rsid w:val="008E7468"/>
    <w:rsid w:val="008E74D9"/>
    <w:rsid w:val="008E76ED"/>
    <w:rsid w:val="008E772A"/>
    <w:rsid w:val="008E7865"/>
    <w:rsid w:val="008E78C4"/>
    <w:rsid w:val="008E7AE7"/>
    <w:rsid w:val="008E7B3C"/>
    <w:rsid w:val="008E7C15"/>
    <w:rsid w:val="008E7D99"/>
    <w:rsid w:val="008F0415"/>
    <w:rsid w:val="008F0540"/>
    <w:rsid w:val="008F0576"/>
    <w:rsid w:val="008F0BB1"/>
    <w:rsid w:val="008F0ECA"/>
    <w:rsid w:val="008F0F76"/>
    <w:rsid w:val="008F0FE1"/>
    <w:rsid w:val="008F1149"/>
    <w:rsid w:val="008F114A"/>
    <w:rsid w:val="008F11C7"/>
    <w:rsid w:val="008F1401"/>
    <w:rsid w:val="008F14B4"/>
    <w:rsid w:val="008F16D0"/>
    <w:rsid w:val="008F1A93"/>
    <w:rsid w:val="008F1C61"/>
    <w:rsid w:val="008F1D05"/>
    <w:rsid w:val="008F218E"/>
    <w:rsid w:val="008F2287"/>
    <w:rsid w:val="008F2466"/>
    <w:rsid w:val="008F255A"/>
    <w:rsid w:val="008F2625"/>
    <w:rsid w:val="008F2AED"/>
    <w:rsid w:val="008F2FBD"/>
    <w:rsid w:val="008F309A"/>
    <w:rsid w:val="008F325C"/>
    <w:rsid w:val="008F3483"/>
    <w:rsid w:val="008F358F"/>
    <w:rsid w:val="008F35F1"/>
    <w:rsid w:val="008F3D1B"/>
    <w:rsid w:val="008F3D7D"/>
    <w:rsid w:val="008F417C"/>
    <w:rsid w:val="008F4252"/>
    <w:rsid w:val="008F43A4"/>
    <w:rsid w:val="008F4461"/>
    <w:rsid w:val="008F45A0"/>
    <w:rsid w:val="008F481F"/>
    <w:rsid w:val="008F4D4A"/>
    <w:rsid w:val="008F4DAE"/>
    <w:rsid w:val="008F54F0"/>
    <w:rsid w:val="008F5524"/>
    <w:rsid w:val="008F5529"/>
    <w:rsid w:val="008F56E8"/>
    <w:rsid w:val="008F5733"/>
    <w:rsid w:val="008F57E2"/>
    <w:rsid w:val="008F5BB1"/>
    <w:rsid w:val="008F5C9D"/>
    <w:rsid w:val="008F6037"/>
    <w:rsid w:val="008F6110"/>
    <w:rsid w:val="008F684D"/>
    <w:rsid w:val="008F6858"/>
    <w:rsid w:val="008F68ED"/>
    <w:rsid w:val="008F6E1E"/>
    <w:rsid w:val="008F73C7"/>
    <w:rsid w:val="008F757A"/>
    <w:rsid w:val="008F79D1"/>
    <w:rsid w:val="008F7A26"/>
    <w:rsid w:val="008F7B4D"/>
    <w:rsid w:val="008F7F7F"/>
    <w:rsid w:val="009000F0"/>
    <w:rsid w:val="00900528"/>
    <w:rsid w:val="00900547"/>
    <w:rsid w:val="009006F8"/>
    <w:rsid w:val="00900747"/>
    <w:rsid w:val="00900C60"/>
    <w:rsid w:val="00900E72"/>
    <w:rsid w:val="00900FF5"/>
    <w:rsid w:val="0090108B"/>
    <w:rsid w:val="009011CA"/>
    <w:rsid w:val="009011D3"/>
    <w:rsid w:val="009016CC"/>
    <w:rsid w:val="009016D1"/>
    <w:rsid w:val="00901ABE"/>
    <w:rsid w:val="00901BA6"/>
    <w:rsid w:val="00901F20"/>
    <w:rsid w:val="00901F2B"/>
    <w:rsid w:val="009023BF"/>
    <w:rsid w:val="009023E9"/>
    <w:rsid w:val="009026D0"/>
    <w:rsid w:val="0090271C"/>
    <w:rsid w:val="0090275F"/>
    <w:rsid w:val="009027EA"/>
    <w:rsid w:val="00902805"/>
    <w:rsid w:val="00902B43"/>
    <w:rsid w:val="00902B9D"/>
    <w:rsid w:val="009030E8"/>
    <w:rsid w:val="00903220"/>
    <w:rsid w:val="009033A4"/>
    <w:rsid w:val="00903457"/>
    <w:rsid w:val="00903AF5"/>
    <w:rsid w:val="00903C21"/>
    <w:rsid w:val="00903D2E"/>
    <w:rsid w:val="00904092"/>
    <w:rsid w:val="009041E3"/>
    <w:rsid w:val="0090434E"/>
    <w:rsid w:val="00904360"/>
    <w:rsid w:val="00904499"/>
    <w:rsid w:val="0090458D"/>
    <w:rsid w:val="009046AC"/>
    <w:rsid w:val="0090475B"/>
    <w:rsid w:val="0090494C"/>
    <w:rsid w:val="009049CF"/>
    <w:rsid w:val="00904A48"/>
    <w:rsid w:val="00904B0E"/>
    <w:rsid w:val="00904B2D"/>
    <w:rsid w:val="00904D0D"/>
    <w:rsid w:val="009051F9"/>
    <w:rsid w:val="00905677"/>
    <w:rsid w:val="00905723"/>
    <w:rsid w:val="00905EE6"/>
    <w:rsid w:val="009060BB"/>
    <w:rsid w:val="00906267"/>
    <w:rsid w:val="009063C4"/>
    <w:rsid w:val="0090641E"/>
    <w:rsid w:val="00906875"/>
    <w:rsid w:val="009069D3"/>
    <w:rsid w:val="00906C26"/>
    <w:rsid w:val="00906D0F"/>
    <w:rsid w:val="00906DE1"/>
    <w:rsid w:val="00906E95"/>
    <w:rsid w:val="00906F7B"/>
    <w:rsid w:val="009071A4"/>
    <w:rsid w:val="009071CE"/>
    <w:rsid w:val="00907226"/>
    <w:rsid w:val="00907342"/>
    <w:rsid w:val="0090753E"/>
    <w:rsid w:val="00907A73"/>
    <w:rsid w:val="00907AF6"/>
    <w:rsid w:val="00907B2A"/>
    <w:rsid w:val="00907BD5"/>
    <w:rsid w:val="00907D8D"/>
    <w:rsid w:val="00910259"/>
    <w:rsid w:val="00910334"/>
    <w:rsid w:val="009105B9"/>
    <w:rsid w:val="00910682"/>
    <w:rsid w:val="009106D1"/>
    <w:rsid w:val="00910713"/>
    <w:rsid w:val="00910765"/>
    <w:rsid w:val="00910BAD"/>
    <w:rsid w:val="00910C27"/>
    <w:rsid w:val="00910C2B"/>
    <w:rsid w:val="00910D36"/>
    <w:rsid w:val="00910DFE"/>
    <w:rsid w:val="00910E2F"/>
    <w:rsid w:val="009110BA"/>
    <w:rsid w:val="009110D3"/>
    <w:rsid w:val="009111BB"/>
    <w:rsid w:val="00911455"/>
    <w:rsid w:val="0091145F"/>
    <w:rsid w:val="009115ED"/>
    <w:rsid w:val="009116ED"/>
    <w:rsid w:val="00911D10"/>
    <w:rsid w:val="00911DDE"/>
    <w:rsid w:val="00911FE9"/>
    <w:rsid w:val="0091230C"/>
    <w:rsid w:val="00912448"/>
    <w:rsid w:val="009127D5"/>
    <w:rsid w:val="00912890"/>
    <w:rsid w:val="00912916"/>
    <w:rsid w:val="0091292A"/>
    <w:rsid w:val="00912F73"/>
    <w:rsid w:val="00912F86"/>
    <w:rsid w:val="0091321B"/>
    <w:rsid w:val="00913578"/>
    <w:rsid w:val="00913801"/>
    <w:rsid w:val="00913963"/>
    <w:rsid w:val="00913CAD"/>
    <w:rsid w:val="0091458A"/>
    <w:rsid w:val="0091461A"/>
    <w:rsid w:val="009147FE"/>
    <w:rsid w:val="00914A17"/>
    <w:rsid w:val="00914A8A"/>
    <w:rsid w:val="00914ACC"/>
    <w:rsid w:val="00914B14"/>
    <w:rsid w:val="00914BA2"/>
    <w:rsid w:val="00914E02"/>
    <w:rsid w:val="0091500B"/>
    <w:rsid w:val="00915213"/>
    <w:rsid w:val="009152EE"/>
    <w:rsid w:val="009158AF"/>
    <w:rsid w:val="00915A06"/>
    <w:rsid w:val="00915A4B"/>
    <w:rsid w:val="00915AC1"/>
    <w:rsid w:val="00915B48"/>
    <w:rsid w:val="00915D47"/>
    <w:rsid w:val="00915ECC"/>
    <w:rsid w:val="009161CF"/>
    <w:rsid w:val="009164DB"/>
    <w:rsid w:val="0091670F"/>
    <w:rsid w:val="00917021"/>
    <w:rsid w:val="009175D6"/>
    <w:rsid w:val="009177D7"/>
    <w:rsid w:val="00917AFE"/>
    <w:rsid w:val="00917B29"/>
    <w:rsid w:val="00917C82"/>
    <w:rsid w:val="00917D30"/>
    <w:rsid w:val="00917D7B"/>
    <w:rsid w:val="00917F9F"/>
    <w:rsid w:val="009200A6"/>
    <w:rsid w:val="0092020C"/>
    <w:rsid w:val="00920A79"/>
    <w:rsid w:val="00920C31"/>
    <w:rsid w:val="00920C9C"/>
    <w:rsid w:val="00920D37"/>
    <w:rsid w:val="00920FCE"/>
    <w:rsid w:val="0092109F"/>
    <w:rsid w:val="00921112"/>
    <w:rsid w:val="0092131B"/>
    <w:rsid w:val="00921BBF"/>
    <w:rsid w:val="00921C47"/>
    <w:rsid w:val="00921E60"/>
    <w:rsid w:val="00921E77"/>
    <w:rsid w:val="0092252E"/>
    <w:rsid w:val="00922C31"/>
    <w:rsid w:val="00922EA6"/>
    <w:rsid w:val="00922EF0"/>
    <w:rsid w:val="00922F4B"/>
    <w:rsid w:val="00923085"/>
    <w:rsid w:val="0092313A"/>
    <w:rsid w:val="009233F1"/>
    <w:rsid w:val="00923690"/>
    <w:rsid w:val="00923741"/>
    <w:rsid w:val="00923770"/>
    <w:rsid w:val="00923AE1"/>
    <w:rsid w:val="00923BBA"/>
    <w:rsid w:val="00923C85"/>
    <w:rsid w:val="00924480"/>
    <w:rsid w:val="0092450C"/>
    <w:rsid w:val="00924849"/>
    <w:rsid w:val="00924A74"/>
    <w:rsid w:val="00924E59"/>
    <w:rsid w:val="00925042"/>
    <w:rsid w:val="00925202"/>
    <w:rsid w:val="0092532D"/>
    <w:rsid w:val="009256D2"/>
    <w:rsid w:val="00925794"/>
    <w:rsid w:val="009257DD"/>
    <w:rsid w:val="00925BC8"/>
    <w:rsid w:val="00925D28"/>
    <w:rsid w:val="00925D7E"/>
    <w:rsid w:val="00925F0C"/>
    <w:rsid w:val="009260D0"/>
    <w:rsid w:val="00926277"/>
    <w:rsid w:val="00926329"/>
    <w:rsid w:val="009264EE"/>
    <w:rsid w:val="0092652A"/>
    <w:rsid w:val="009265AE"/>
    <w:rsid w:val="00926AB2"/>
    <w:rsid w:val="00926B58"/>
    <w:rsid w:val="00926D51"/>
    <w:rsid w:val="00926D7D"/>
    <w:rsid w:val="00926FAD"/>
    <w:rsid w:val="009270B6"/>
    <w:rsid w:val="009270DA"/>
    <w:rsid w:val="00927167"/>
    <w:rsid w:val="009272AE"/>
    <w:rsid w:val="0092768C"/>
    <w:rsid w:val="00927708"/>
    <w:rsid w:val="00927719"/>
    <w:rsid w:val="00927A54"/>
    <w:rsid w:val="00927B6C"/>
    <w:rsid w:val="0093023A"/>
    <w:rsid w:val="009302EE"/>
    <w:rsid w:val="00930300"/>
    <w:rsid w:val="0093057D"/>
    <w:rsid w:val="00930802"/>
    <w:rsid w:val="00930848"/>
    <w:rsid w:val="0093088E"/>
    <w:rsid w:val="00930C0B"/>
    <w:rsid w:val="00930E52"/>
    <w:rsid w:val="009312F9"/>
    <w:rsid w:val="00931392"/>
    <w:rsid w:val="009314DD"/>
    <w:rsid w:val="0093160C"/>
    <w:rsid w:val="00931661"/>
    <w:rsid w:val="009316D5"/>
    <w:rsid w:val="0093180E"/>
    <w:rsid w:val="0093187A"/>
    <w:rsid w:val="00931977"/>
    <w:rsid w:val="009319D9"/>
    <w:rsid w:val="00931A84"/>
    <w:rsid w:val="00931C0A"/>
    <w:rsid w:val="00931FD6"/>
    <w:rsid w:val="00932115"/>
    <w:rsid w:val="009322AE"/>
    <w:rsid w:val="009326CD"/>
    <w:rsid w:val="00932D71"/>
    <w:rsid w:val="00932F62"/>
    <w:rsid w:val="0093314D"/>
    <w:rsid w:val="00933244"/>
    <w:rsid w:val="00933420"/>
    <w:rsid w:val="00933A51"/>
    <w:rsid w:val="00933CCC"/>
    <w:rsid w:val="00933CDB"/>
    <w:rsid w:val="00933D2C"/>
    <w:rsid w:val="0093426F"/>
    <w:rsid w:val="009345C2"/>
    <w:rsid w:val="009346F0"/>
    <w:rsid w:val="00934A02"/>
    <w:rsid w:val="00934BE8"/>
    <w:rsid w:val="00934C68"/>
    <w:rsid w:val="00934D99"/>
    <w:rsid w:val="00935927"/>
    <w:rsid w:val="00935A5E"/>
    <w:rsid w:val="00935C1E"/>
    <w:rsid w:val="00936136"/>
    <w:rsid w:val="00936279"/>
    <w:rsid w:val="00936785"/>
    <w:rsid w:val="0093681B"/>
    <w:rsid w:val="009369B0"/>
    <w:rsid w:val="00936B1F"/>
    <w:rsid w:val="00936F28"/>
    <w:rsid w:val="009370BD"/>
    <w:rsid w:val="0093711E"/>
    <w:rsid w:val="009372FA"/>
    <w:rsid w:val="009373BB"/>
    <w:rsid w:val="00937471"/>
    <w:rsid w:val="0093758B"/>
    <w:rsid w:val="0093763C"/>
    <w:rsid w:val="00937774"/>
    <w:rsid w:val="00937863"/>
    <w:rsid w:val="0093786A"/>
    <w:rsid w:val="00937AD8"/>
    <w:rsid w:val="00937B08"/>
    <w:rsid w:val="00937E66"/>
    <w:rsid w:val="00940019"/>
    <w:rsid w:val="0094011A"/>
    <w:rsid w:val="00940938"/>
    <w:rsid w:val="00940B90"/>
    <w:rsid w:val="00940FB2"/>
    <w:rsid w:val="009414E3"/>
    <w:rsid w:val="00941692"/>
    <w:rsid w:val="0094188E"/>
    <w:rsid w:val="00941B78"/>
    <w:rsid w:val="00941B7B"/>
    <w:rsid w:val="00941C38"/>
    <w:rsid w:val="00941CFC"/>
    <w:rsid w:val="00941E4F"/>
    <w:rsid w:val="00941E68"/>
    <w:rsid w:val="00941F39"/>
    <w:rsid w:val="0094202A"/>
    <w:rsid w:val="009420D0"/>
    <w:rsid w:val="00942739"/>
    <w:rsid w:val="009429F1"/>
    <w:rsid w:val="00942D28"/>
    <w:rsid w:val="00942D41"/>
    <w:rsid w:val="009431D6"/>
    <w:rsid w:val="00943252"/>
    <w:rsid w:val="0094345F"/>
    <w:rsid w:val="00943653"/>
    <w:rsid w:val="00943AAA"/>
    <w:rsid w:val="00944673"/>
    <w:rsid w:val="00944971"/>
    <w:rsid w:val="009449A9"/>
    <w:rsid w:val="009449D1"/>
    <w:rsid w:val="00944F40"/>
    <w:rsid w:val="00945106"/>
    <w:rsid w:val="0094525F"/>
    <w:rsid w:val="009452FA"/>
    <w:rsid w:val="00945317"/>
    <w:rsid w:val="009456F1"/>
    <w:rsid w:val="009459CB"/>
    <w:rsid w:val="00945C50"/>
    <w:rsid w:val="00945CC0"/>
    <w:rsid w:val="00945F6D"/>
    <w:rsid w:val="00946322"/>
    <w:rsid w:val="00946618"/>
    <w:rsid w:val="00946CDA"/>
    <w:rsid w:val="009470DE"/>
    <w:rsid w:val="009474E0"/>
    <w:rsid w:val="0094752F"/>
    <w:rsid w:val="0094762A"/>
    <w:rsid w:val="00947672"/>
    <w:rsid w:val="00947704"/>
    <w:rsid w:val="009478BC"/>
    <w:rsid w:val="00947976"/>
    <w:rsid w:val="00947A74"/>
    <w:rsid w:val="00947F2A"/>
    <w:rsid w:val="00947F32"/>
    <w:rsid w:val="009500C2"/>
    <w:rsid w:val="009500DC"/>
    <w:rsid w:val="00950300"/>
    <w:rsid w:val="00950357"/>
    <w:rsid w:val="0095037F"/>
    <w:rsid w:val="00950797"/>
    <w:rsid w:val="00950809"/>
    <w:rsid w:val="0095094A"/>
    <w:rsid w:val="00950A4F"/>
    <w:rsid w:val="00950C60"/>
    <w:rsid w:val="0095109F"/>
    <w:rsid w:val="00951434"/>
    <w:rsid w:val="00951458"/>
    <w:rsid w:val="009515A0"/>
    <w:rsid w:val="0095165C"/>
    <w:rsid w:val="00951783"/>
    <w:rsid w:val="009517F8"/>
    <w:rsid w:val="00951AD1"/>
    <w:rsid w:val="00951AE6"/>
    <w:rsid w:val="00951B84"/>
    <w:rsid w:val="00951F74"/>
    <w:rsid w:val="00952258"/>
    <w:rsid w:val="009527C4"/>
    <w:rsid w:val="00952B76"/>
    <w:rsid w:val="009532EA"/>
    <w:rsid w:val="00953879"/>
    <w:rsid w:val="009540C9"/>
    <w:rsid w:val="0095474C"/>
    <w:rsid w:val="00954B05"/>
    <w:rsid w:val="00954BAB"/>
    <w:rsid w:val="00954DEB"/>
    <w:rsid w:val="00954FC5"/>
    <w:rsid w:val="00955268"/>
    <w:rsid w:val="00955832"/>
    <w:rsid w:val="00955B45"/>
    <w:rsid w:val="00955B91"/>
    <w:rsid w:val="00955C48"/>
    <w:rsid w:val="00955D7C"/>
    <w:rsid w:val="00955DA0"/>
    <w:rsid w:val="00955E6B"/>
    <w:rsid w:val="00955EF7"/>
    <w:rsid w:val="009564D5"/>
    <w:rsid w:val="00956706"/>
    <w:rsid w:val="00956A5F"/>
    <w:rsid w:val="00956D39"/>
    <w:rsid w:val="00956DE3"/>
    <w:rsid w:val="00957071"/>
    <w:rsid w:val="00957160"/>
    <w:rsid w:val="0095724F"/>
    <w:rsid w:val="0095735B"/>
    <w:rsid w:val="0095775A"/>
    <w:rsid w:val="00957AD3"/>
    <w:rsid w:val="00957ADD"/>
    <w:rsid w:val="00957B5B"/>
    <w:rsid w:val="00957D1F"/>
    <w:rsid w:val="00957E8D"/>
    <w:rsid w:val="00960111"/>
    <w:rsid w:val="00960148"/>
    <w:rsid w:val="00960281"/>
    <w:rsid w:val="0096072D"/>
    <w:rsid w:val="00960986"/>
    <w:rsid w:val="00960B23"/>
    <w:rsid w:val="00960DBF"/>
    <w:rsid w:val="00960F01"/>
    <w:rsid w:val="009610A5"/>
    <w:rsid w:val="0096139F"/>
    <w:rsid w:val="009614AE"/>
    <w:rsid w:val="00961889"/>
    <w:rsid w:val="009619B0"/>
    <w:rsid w:val="00961BE8"/>
    <w:rsid w:val="00961F83"/>
    <w:rsid w:val="00961FDE"/>
    <w:rsid w:val="00961FF2"/>
    <w:rsid w:val="00962138"/>
    <w:rsid w:val="00962261"/>
    <w:rsid w:val="00962605"/>
    <w:rsid w:val="0096264E"/>
    <w:rsid w:val="0096295F"/>
    <w:rsid w:val="009629F1"/>
    <w:rsid w:val="00962E68"/>
    <w:rsid w:val="00962FB8"/>
    <w:rsid w:val="0096301E"/>
    <w:rsid w:val="009630A9"/>
    <w:rsid w:val="009630C5"/>
    <w:rsid w:val="009631B9"/>
    <w:rsid w:val="0096336E"/>
    <w:rsid w:val="00963769"/>
    <w:rsid w:val="00963799"/>
    <w:rsid w:val="009637BB"/>
    <w:rsid w:val="0096396D"/>
    <w:rsid w:val="00963D9B"/>
    <w:rsid w:val="00963F67"/>
    <w:rsid w:val="00964187"/>
    <w:rsid w:val="009645E5"/>
    <w:rsid w:val="00964DEC"/>
    <w:rsid w:val="00964F25"/>
    <w:rsid w:val="00965421"/>
    <w:rsid w:val="0096563B"/>
    <w:rsid w:val="00965650"/>
    <w:rsid w:val="00965946"/>
    <w:rsid w:val="00965CC3"/>
    <w:rsid w:val="00965F39"/>
    <w:rsid w:val="00965FA6"/>
    <w:rsid w:val="0096603E"/>
    <w:rsid w:val="00966067"/>
    <w:rsid w:val="00966174"/>
    <w:rsid w:val="00966263"/>
    <w:rsid w:val="00966746"/>
    <w:rsid w:val="009669B8"/>
    <w:rsid w:val="00966BC0"/>
    <w:rsid w:val="00966D52"/>
    <w:rsid w:val="00966EF3"/>
    <w:rsid w:val="00967114"/>
    <w:rsid w:val="009671C8"/>
    <w:rsid w:val="00967255"/>
    <w:rsid w:val="0096741A"/>
    <w:rsid w:val="0096744B"/>
    <w:rsid w:val="009674A6"/>
    <w:rsid w:val="009676FF"/>
    <w:rsid w:val="00967ADD"/>
    <w:rsid w:val="00967ADF"/>
    <w:rsid w:val="00967B00"/>
    <w:rsid w:val="00967CC7"/>
    <w:rsid w:val="00970006"/>
    <w:rsid w:val="0097002F"/>
    <w:rsid w:val="0097008B"/>
    <w:rsid w:val="0097016F"/>
    <w:rsid w:val="009701B4"/>
    <w:rsid w:val="009704B5"/>
    <w:rsid w:val="009704F8"/>
    <w:rsid w:val="009706E8"/>
    <w:rsid w:val="0097076F"/>
    <w:rsid w:val="009707A3"/>
    <w:rsid w:val="009707B3"/>
    <w:rsid w:val="009708D1"/>
    <w:rsid w:val="009708F0"/>
    <w:rsid w:val="00970E85"/>
    <w:rsid w:val="00970F83"/>
    <w:rsid w:val="00970FF3"/>
    <w:rsid w:val="009710FE"/>
    <w:rsid w:val="00971191"/>
    <w:rsid w:val="0097126A"/>
    <w:rsid w:val="009714FB"/>
    <w:rsid w:val="009715A6"/>
    <w:rsid w:val="009716BD"/>
    <w:rsid w:val="0097175C"/>
    <w:rsid w:val="009717CC"/>
    <w:rsid w:val="009719B3"/>
    <w:rsid w:val="00971C2F"/>
    <w:rsid w:val="00971C47"/>
    <w:rsid w:val="00971E09"/>
    <w:rsid w:val="00971F6E"/>
    <w:rsid w:val="00972587"/>
    <w:rsid w:val="0097265B"/>
    <w:rsid w:val="00972AD7"/>
    <w:rsid w:val="00972F0A"/>
    <w:rsid w:val="00973223"/>
    <w:rsid w:val="0097379D"/>
    <w:rsid w:val="009737C2"/>
    <w:rsid w:val="00973A8A"/>
    <w:rsid w:val="00973B01"/>
    <w:rsid w:val="00973C1D"/>
    <w:rsid w:val="00973DBC"/>
    <w:rsid w:val="00973DE0"/>
    <w:rsid w:val="009742E5"/>
    <w:rsid w:val="00974501"/>
    <w:rsid w:val="00974559"/>
    <w:rsid w:val="009747E7"/>
    <w:rsid w:val="00974824"/>
    <w:rsid w:val="00974949"/>
    <w:rsid w:val="00974A1D"/>
    <w:rsid w:val="00974AE3"/>
    <w:rsid w:val="00974CDE"/>
    <w:rsid w:val="00974DCD"/>
    <w:rsid w:val="00975325"/>
    <w:rsid w:val="00975572"/>
    <w:rsid w:val="00975C33"/>
    <w:rsid w:val="00975D83"/>
    <w:rsid w:val="00975E48"/>
    <w:rsid w:val="00975FD3"/>
    <w:rsid w:val="009761A7"/>
    <w:rsid w:val="00976319"/>
    <w:rsid w:val="00976397"/>
    <w:rsid w:val="009764D4"/>
    <w:rsid w:val="009764EA"/>
    <w:rsid w:val="0097655E"/>
    <w:rsid w:val="009767EB"/>
    <w:rsid w:val="009768E0"/>
    <w:rsid w:val="00976EC8"/>
    <w:rsid w:val="009770E4"/>
    <w:rsid w:val="0097718A"/>
    <w:rsid w:val="00977293"/>
    <w:rsid w:val="00977320"/>
    <w:rsid w:val="009773C8"/>
    <w:rsid w:val="00977C74"/>
    <w:rsid w:val="00977DC9"/>
    <w:rsid w:val="009801F1"/>
    <w:rsid w:val="0098041B"/>
    <w:rsid w:val="009804A7"/>
    <w:rsid w:val="00980535"/>
    <w:rsid w:val="0098075C"/>
    <w:rsid w:val="00980B12"/>
    <w:rsid w:val="00980E06"/>
    <w:rsid w:val="00980F4F"/>
    <w:rsid w:val="00980FD2"/>
    <w:rsid w:val="00981159"/>
    <w:rsid w:val="0098134E"/>
    <w:rsid w:val="009813C1"/>
    <w:rsid w:val="00981646"/>
    <w:rsid w:val="00981785"/>
    <w:rsid w:val="0098183F"/>
    <w:rsid w:val="00981C30"/>
    <w:rsid w:val="00981CC8"/>
    <w:rsid w:val="00981DE7"/>
    <w:rsid w:val="0098237E"/>
    <w:rsid w:val="00982401"/>
    <w:rsid w:val="00982423"/>
    <w:rsid w:val="009828D3"/>
    <w:rsid w:val="00982935"/>
    <w:rsid w:val="00982938"/>
    <w:rsid w:val="00982A89"/>
    <w:rsid w:val="00982CF9"/>
    <w:rsid w:val="00983023"/>
    <w:rsid w:val="0098314E"/>
    <w:rsid w:val="0098318A"/>
    <w:rsid w:val="00983488"/>
    <w:rsid w:val="009834D2"/>
    <w:rsid w:val="009836CF"/>
    <w:rsid w:val="009841EE"/>
    <w:rsid w:val="00984553"/>
    <w:rsid w:val="00984675"/>
    <w:rsid w:val="009848A4"/>
    <w:rsid w:val="00984972"/>
    <w:rsid w:val="00984CFB"/>
    <w:rsid w:val="00984FCC"/>
    <w:rsid w:val="0098526F"/>
    <w:rsid w:val="009852C3"/>
    <w:rsid w:val="0098531D"/>
    <w:rsid w:val="00985671"/>
    <w:rsid w:val="0098588D"/>
    <w:rsid w:val="00985949"/>
    <w:rsid w:val="00985B5E"/>
    <w:rsid w:val="00985D2C"/>
    <w:rsid w:val="00985DB5"/>
    <w:rsid w:val="00985F8D"/>
    <w:rsid w:val="00985F8F"/>
    <w:rsid w:val="00986270"/>
    <w:rsid w:val="009867BF"/>
    <w:rsid w:val="009867C4"/>
    <w:rsid w:val="00986BB7"/>
    <w:rsid w:val="00986C18"/>
    <w:rsid w:val="00986C4D"/>
    <w:rsid w:val="00986E2B"/>
    <w:rsid w:val="00986F3A"/>
    <w:rsid w:val="00986F7A"/>
    <w:rsid w:val="00987114"/>
    <w:rsid w:val="0098730A"/>
    <w:rsid w:val="00987329"/>
    <w:rsid w:val="0098758E"/>
    <w:rsid w:val="00987647"/>
    <w:rsid w:val="00987726"/>
    <w:rsid w:val="00987D61"/>
    <w:rsid w:val="00987F1B"/>
    <w:rsid w:val="00987F6F"/>
    <w:rsid w:val="009902FF"/>
    <w:rsid w:val="0099066B"/>
    <w:rsid w:val="00990838"/>
    <w:rsid w:val="0099096C"/>
    <w:rsid w:val="00990EB6"/>
    <w:rsid w:val="00990EC0"/>
    <w:rsid w:val="00990EE8"/>
    <w:rsid w:val="009911FF"/>
    <w:rsid w:val="009914FD"/>
    <w:rsid w:val="00991DF8"/>
    <w:rsid w:val="00992122"/>
    <w:rsid w:val="009921E1"/>
    <w:rsid w:val="00992433"/>
    <w:rsid w:val="0099248A"/>
    <w:rsid w:val="0099251E"/>
    <w:rsid w:val="00992A3B"/>
    <w:rsid w:val="00993047"/>
    <w:rsid w:val="00993182"/>
    <w:rsid w:val="00993541"/>
    <w:rsid w:val="009935A4"/>
    <w:rsid w:val="00993BC2"/>
    <w:rsid w:val="00993CE4"/>
    <w:rsid w:val="00993E2E"/>
    <w:rsid w:val="00993E3C"/>
    <w:rsid w:val="0099456F"/>
    <w:rsid w:val="009945A7"/>
    <w:rsid w:val="009945E7"/>
    <w:rsid w:val="009946D2"/>
    <w:rsid w:val="00994B33"/>
    <w:rsid w:val="00994BC5"/>
    <w:rsid w:val="00994DBD"/>
    <w:rsid w:val="00994EAC"/>
    <w:rsid w:val="009955EC"/>
    <w:rsid w:val="00995669"/>
    <w:rsid w:val="009957BF"/>
    <w:rsid w:val="009958E1"/>
    <w:rsid w:val="009959AD"/>
    <w:rsid w:val="00995C02"/>
    <w:rsid w:val="00995F79"/>
    <w:rsid w:val="00996063"/>
    <w:rsid w:val="00996238"/>
    <w:rsid w:val="00996897"/>
    <w:rsid w:val="00996AE7"/>
    <w:rsid w:val="00996DF4"/>
    <w:rsid w:val="00996E10"/>
    <w:rsid w:val="00996E70"/>
    <w:rsid w:val="0099707E"/>
    <w:rsid w:val="0099713B"/>
    <w:rsid w:val="0099737D"/>
    <w:rsid w:val="009973A6"/>
    <w:rsid w:val="009974EC"/>
    <w:rsid w:val="009978AD"/>
    <w:rsid w:val="009978CB"/>
    <w:rsid w:val="00997DFA"/>
    <w:rsid w:val="00997E55"/>
    <w:rsid w:val="00997ED5"/>
    <w:rsid w:val="009A00C7"/>
    <w:rsid w:val="009A013E"/>
    <w:rsid w:val="009A01FB"/>
    <w:rsid w:val="009A0381"/>
    <w:rsid w:val="009A03F8"/>
    <w:rsid w:val="009A0656"/>
    <w:rsid w:val="009A0798"/>
    <w:rsid w:val="009A0911"/>
    <w:rsid w:val="009A1217"/>
    <w:rsid w:val="009A136B"/>
    <w:rsid w:val="009A13DF"/>
    <w:rsid w:val="009A146C"/>
    <w:rsid w:val="009A14A8"/>
    <w:rsid w:val="009A15AB"/>
    <w:rsid w:val="009A15D8"/>
    <w:rsid w:val="009A162B"/>
    <w:rsid w:val="009A1775"/>
    <w:rsid w:val="009A1807"/>
    <w:rsid w:val="009A1953"/>
    <w:rsid w:val="009A1A18"/>
    <w:rsid w:val="009A1A78"/>
    <w:rsid w:val="009A1C26"/>
    <w:rsid w:val="009A1F35"/>
    <w:rsid w:val="009A20EC"/>
    <w:rsid w:val="009A2216"/>
    <w:rsid w:val="009A228C"/>
    <w:rsid w:val="009A23CD"/>
    <w:rsid w:val="009A25D4"/>
    <w:rsid w:val="009A2841"/>
    <w:rsid w:val="009A28EA"/>
    <w:rsid w:val="009A2EB9"/>
    <w:rsid w:val="009A3021"/>
    <w:rsid w:val="009A338B"/>
    <w:rsid w:val="009A361C"/>
    <w:rsid w:val="009A3CCA"/>
    <w:rsid w:val="009A4270"/>
    <w:rsid w:val="009A4522"/>
    <w:rsid w:val="009A4938"/>
    <w:rsid w:val="009A498E"/>
    <w:rsid w:val="009A523D"/>
    <w:rsid w:val="009A5440"/>
    <w:rsid w:val="009A54F1"/>
    <w:rsid w:val="009A56A0"/>
    <w:rsid w:val="009A56E1"/>
    <w:rsid w:val="009A5AC7"/>
    <w:rsid w:val="009A5B29"/>
    <w:rsid w:val="009A5D80"/>
    <w:rsid w:val="009A6207"/>
    <w:rsid w:val="009A6283"/>
    <w:rsid w:val="009A66BC"/>
    <w:rsid w:val="009A6E0B"/>
    <w:rsid w:val="009A6E47"/>
    <w:rsid w:val="009A6EE4"/>
    <w:rsid w:val="009A6EFB"/>
    <w:rsid w:val="009A6F13"/>
    <w:rsid w:val="009A707B"/>
    <w:rsid w:val="009A71D6"/>
    <w:rsid w:val="009A7570"/>
    <w:rsid w:val="009A78E8"/>
    <w:rsid w:val="009A796A"/>
    <w:rsid w:val="009A7A1F"/>
    <w:rsid w:val="009A7AA0"/>
    <w:rsid w:val="009A7C70"/>
    <w:rsid w:val="009B0079"/>
    <w:rsid w:val="009B060E"/>
    <w:rsid w:val="009B06A9"/>
    <w:rsid w:val="009B094B"/>
    <w:rsid w:val="009B099A"/>
    <w:rsid w:val="009B0A00"/>
    <w:rsid w:val="009B0DE9"/>
    <w:rsid w:val="009B1053"/>
    <w:rsid w:val="009B1176"/>
    <w:rsid w:val="009B119B"/>
    <w:rsid w:val="009B1768"/>
    <w:rsid w:val="009B1957"/>
    <w:rsid w:val="009B1D85"/>
    <w:rsid w:val="009B1EE9"/>
    <w:rsid w:val="009B21C5"/>
    <w:rsid w:val="009B25F1"/>
    <w:rsid w:val="009B278E"/>
    <w:rsid w:val="009B2D58"/>
    <w:rsid w:val="009B2F93"/>
    <w:rsid w:val="009B309B"/>
    <w:rsid w:val="009B315C"/>
    <w:rsid w:val="009B32F1"/>
    <w:rsid w:val="009B3594"/>
    <w:rsid w:val="009B35D1"/>
    <w:rsid w:val="009B365B"/>
    <w:rsid w:val="009B3700"/>
    <w:rsid w:val="009B37E6"/>
    <w:rsid w:val="009B391F"/>
    <w:rsid w:val="009B39E2"/>
    <w:rsid w:val="009B3ADD"/>
    <w:rsid w:val="009B3B19"/>
    <w:rsid w:val="009B3F77"/>
    <w:rsid w:val="009B4090"/>
    <w:rsid w:val="009B40D0"/>
    <w:rsid w:val="009B4288"/>
    <w:rsid w:val="009B455C"/>
    <w:rsid w:val="009B45EA"/>
    <w:rsid w:val="009B46F6"/>
    <w:rsid w:val="009B4983"/>
    <w:rsid w:val="009B4BC7"/>
    <w:rsid w:val="009B50B9"/>
    <w:rsid w:val="009B54CF"/>
    <w:rsid w:val="009B55B5"/>
    <w:rsid w:val="009B55C5"/>
    <w:rsid w:val="009B589F"/>
    <w:rsid w:val="009B5BE6"/>
    <w:rsid w:val="009B6493"/>
    <w:rsid w:val="009B6739"/>
    <w:rsid w:val="009B6807"/>
    <w:rsid w:val="009B697C"/>
    <w:rsid w:val="009B69D8"/>
    <w:rsid w:val="009B6C6C"/>
    <w:rsid w:val="009B6CF7"/>
    <w:rsid w:val="009B6D64"/>
    <w:rsid w:val="009B6F0F"/>
    <w:rsid w:val="009B6FE4"/>
    <w:rsid w:val="009B7039"/>
    <w:rsid w:val="009B7115"/>
    <w:rsid w:val="009B7521"/>
    <w:rsid w:val="009B7706"/>
    <w:rsid w:val="009B772A"/>
    <w:rsid w:val="009B7F00"/>
    <w:rsid w:val="009C0245"/>
    <w:rsid w:val="009C0334"/>
    <w:rsid w:val="009C058B"/>
    <w:rsid w:val="009C0658"/>
    <w:rsid w:val="009C0AEB"/>
    <w:rsid w:val="009C0B1D"/>
    <w:rsid w:val="009C0F2B"/>
    <w:rsid w:val="009C11EB"/>
    <w:rsid w:val="009C126D"/>
    <w:rsid w:val="009C14D1"/>
    <w:rsid w:val="009C163F"/>
    <w:rsid w:val="009C16CD"/>
    <w:rsid w:val="009C192B"/>
    <w:rsid w:val="009C1B68"/>
    <w:rsid w:val="009C1DF2"/>
    <w:rsid w:val="009C1F24"/>
    <w:rsid w:val="009C24AC"/>
    <w:rsid w:val="009C2904"/>
    <w:rsid w:val="009C2B25"/>
    <w:rsid w:val="009C2CDF"/>
    <w:rsid w:val="009C2D72"/>
    <w:rsid w:val="009C2DBA"/>
    <w:rsid w:val="009C2F9E"/>
    <w:rsid w:val="009C2FEF"/>
    <w:rsid w:val="009C30E5"/>
    <w:rsid w:val="009C315F"/>
    <w:rsid w:val="009C31D3"/>
    <w:rsid w:val="009C34DC"/>
    <w:rsid w:val="009C34F5"/>
    <w:rsid w:val="009C37FF"/>
    <w:rsid w:val="009C3B50"/>
    <w:rsid w:val="009C3BCB"/>
    <w:rsid w:val="009C3D31"/>
    <w:rsid w:val="009C3F35"/>
    <w:rsid w:val="009C407D"/>
    <w:rsid w:val="009C408C"/>
    <w:rsid w:val="009C426C"/>
    <w:rsid w:val="009C4362"/>
    <w:rsid w:val="009C4523"/>
    <w:rsid w:val="009C4B4B"/>
    <w:rsid w:val="009C4E77"/>
    <w:rsid w:val="009C5047"/>
    <w:rsid w:val="009C529F"/>
    <w:rsid w:val="009C54C5"/>
    <w:rsid w:val="009C5600"/>
    <w:rsid w:val="009C56FC"/>
    <w:rsid w:val="009C57FB"/>
    <w:rsid w:val="009C5914"/>
    <w:rsid w:val="009C59CF"/>
    <w:rsid w:val="009C5C36"/>
    <w:rsid w:val="009C5E1A"/>
    <w:rsid w:val="009C6018"/>
    <w:rsid w:val="009C637A"/>
    <w:rsid w:val="009C64BB"/>
    <w:rsid w:val="009C66A9"/>
    <w:rsid w:val="009C69CE"/>
    <w:rsid w:val="009C6A2E"/>
    <w:rsid w:val="009C7230"/>
    <w:rsid w:val="009C73F4"/>
    <w:rsid w:val="009C74DE"/>
    <w:rsid w:val="009C75FE"/>
    <w:rsid w:val="009C77A5"/>
    <w:rsid w:val="009C78B1"/>
    <w:rsid w:val="009C7A8B"/>
    <w:rsid w:val="009C7F22"/>
    <w:rsid w:val="009C7F6B"/>
    <w:rsid w:val="009D027A"/>
    <w:rsid w:val="009D036E"/>
    <w:rsid w:val="009D0726"/>
    <w:rsid w:val="009D0BA5"/>
    <w:rsid w:val="009D0CA8"/>
    <w:rsid w:val="009D10A6"/>
    <w:rsid w:val="009D1141"/>
    <w:rsid w:val="009D149E"/>
    <w:rsid w:val="009D16D5"/>
    <w:rsid w:val="009D1B7E"/>
    <w:rsid w:val="009D1CBA"/>
    <w:rsid w:val="009D1D95"/>
    <w:rsid w:val="009D21AC"/>
    <w:rsid w:val="009D2287"/>
    <w:rsid w:val="009D244D"/>
    <w:rsid w:val="009D2642"/>
    <w:rsid w:val="009D2668"/>
    <w:rsid w:val="009D293E"/>
    <w:rsid w:val="009D2A95"/>
    <w:rsid w:val="009D2CEE"/>
    <w:rsid w:val="009D2D1D"/>
    <w:rsid w:val="009D2FAB"/>
    <w:rsid w:val="009D3091"/>
    <w:rsid w:val="009D3202"/>
    <w:rsid w:val="009D33F1"/>
    <w:rsid w:val="009D3708"/>
    <w:rsid w:val="009D3930"/>
    <w:rsid w:val="009D3953"/>
    <w:rsid w:val="009D396D"/>
    <w:rsid w:val="009D3B2D"/>
    <w:rsid w:val="009D3F95"/>
    <w:rsid w:val="009D3FA4"/>
    <w:rsid w:val="009D3FD4"/>
    <w:rsid w:val="009D4045"/>
    <w:rsid w:val="009D4458"/>
    <w:rsid w:val="009D456F"/>
    <w:rsid w:val="009D4B92"/>
    <w:rsid w:val="009D5105"/>
    <w:rsid w:val="009D51DB"/>
    <w:rsid w:val="009D52CF"/>
    <w:rsid w:val="009D54EC"/>
    <w:rsid w:val="009D5C4A"/>
    <w:rsid w:val="009D5D29"/>
    <w:rsid w:val="009D62B8"/>
    <w:rsid w:val="009D6A9B"/>
    <w:rsid w:val="009D6D5D"/>
    <w:rsid w:val="009D6E55"/>
    <w:rsid w:val="009D70E3"/>
    <w:rsid w:val="009D7261"/>
    <w:rsid w:val="009D7371"/>
    <w:rsid w:val="009D7961"/>
    <w:rsid w:val="009D7A49"/>
    <w:rsid w:val="009D7A91"/>
    <w:rsid w:val="009D7FAC"/>
    <w:rsid w:val="009D7FF1"/>
    <w:rsid w:val="009E00AF"/>
    <w:rsid w:val="009E00F1"/>
    <w:rsid w:val="009E013A"/>
    <w:rsid w:val="009E0790"/>
    <w:rsid w:val="009E08CC"/>
    <w:rsid w:val="009E0ACB"/>
    <w:rsid w:val="009E0D5E"/>
    <w:rsid w:val="009E1106"/>
    <w:rsid w:val="009E1342"/>
    <w:rsid w:val="009E151C"/>
    <w:rsid w:val="009E1527"/>
    <w:rsid w:val="009E16B3"/>
    <w:rsid w:val="009E173A"/>
    <w:rsid w:val="009E17A9"/>
    <w:rsid w:val="009E1977"/>
    <w:rsid w:val="009E1986"/>
    <w:rsid w:val="009E1AB4"/>
    <w:rsid w:val="009E1AE8"/>
    <w:rsid w:val="009E1BC5"/>
    <w:rsid w:val="009E1EA5"/>
    <w:rsid w:val="009E225B"/>
    <w:rsid w:val="009E2386"/>
    <w:rsid w:val="009E24D1"/>
    <w:rsid w:val="009E24EF"/>
    <w:rsid w:val="009E2563"/>
    <w:rsid w:val="009E260E"/>
    <w:rsid w:val="009E27D2"/>
    <w:rsid w:val="009E28A9"/>
    <w:rsid w:val="009E2B60"/>
    <w:rsid w:val="009E2D3C"/>
    <w:rsid w:val="009E2E9E"/>
    <w:rsid w:val="009E2FF2"/>
    <w:rsid w:val="009E354D"/>
    <w:rsid w:val="009E3570"/>
    <w:rsid w:val="009E3673"/>
    <w:rsid w:val="009E36AB"/>
    <w:rsid w:val="009E37CD"/>
    <w:rsid w:val="009E3C7D"/>
    <w:rsid w:val="009E4377"/>
    <w:rsid w:val="009E4452"/>
    <w:rsid w:val="009E45BA"/>
    <w:rsid w:val="009E464A"/>
    <w:rsid w:val="009E48C8"/>
    <w:rsid w:val="009E4900"/>
    <w:rsid w:val="009E4A13"/>
    <w:rsid w:val="009E4D68"/>
    <w:rsid w:val="009E4FA5"/>
    <w:rsid w:val="009E4FDB"/>
    <w:rsid w:val="009E5247"/>
    <w:rsid w:val="009E52BB"/>
    <w:rsid w:val="009E572E"/>
    <w:rsid w:val="009E5BEA"/>
    <w:rsid w:val="009E5D05"/>
    <w:rsid w:val="009E61FF"/>
    <w:rsid w:val="009E6242"/>
    <w:rsid w:val="009E663E"/>
    <w:rsid w:val="009E6872"/>
    <w:rsid w:val="009E69B8"/>
    <w:rsid w:val="009E6C40"/>
    <w:rsid w:val="009E6CA1"/>
    <w:rsid w:val="009E6D6C"/>
    <w:rsid w:val="009E6EA9"/>
    <w:rsid w:val="009E6EF5"/>
    <w:rsid w:val="009E7099"/>
    <w:rsid w:val="009E7162"/>
    <w:rsid w:val="009E7376"/>
    <w:rsid w:val="009E7393"/>
    <w:rsid w:val="009E7456"/>
    <w:rsid w:val="009E757F"/>
    <w:rsid w:val="009E770D"/>
    <w:rsid w:val="009E77DF"/>
    <w:rsid w:val="009E77F3"/>
    <w:rsid w:val="009E793B"/>
    <w:rsid w:val="009E79EC"/>
    <w:rsid w:val="009E7ADF"/>
    <w:rsid w:val="009E7D40"/>
    <w:rsid w:val="009E7EDD"/>
    <w:rsid w:val="009F01BF"/>
    <w:rsid w:val="009F040A"/>
    <w:rsid w:val="009F0506"/>
    <w:rsid w:val="009F07B1"/>
    <w:rsid w:val="009F07D0"/>
    <w:rsid w:val="009F0C30"/>
    <w:rsid w:val="009F0F76"/>
    <w:rsid w:val="009F0FB8"/>
    <w:rsid w:val="009F15FE"/>
    <w:rsid w:val="009F165D"/>
    <w:rsid w:val="009F1714"/>
    <w:rsid w:val="009F1854"/>
    <w:rsid w:val="009F19BF"/>
    <w:rsid w:val="009F1B4C"/>
    <w:rsid w:val="009F1D61"/>
    <w:rsid w:val="009F22BF"/>
    <w:rsid w:val="009F2602"/>
    <w:rsid w:val="009F2642"/>
    <w:rsid w:val="009F2657"/>
    <w:rsid w:val="009F26AB"/>
    <w:rsid w:val="009F27AD"/>
    <w:rsid w:val="009F27FC"/>
    <w:rsid w:val="009F280A"/>
    <w:rsid w:val="009F2D68"/>
    <w:rsid w:val="009F2D97"/>
    <w:rsid w:val="009F2DFE"/>
    <w:rsid w:val="009F326F"/>
    <w:rsid w:val="009F32D2"/>
    <w:rsid w:val="009F35E9"/>
    <w:rsid w:val="009F3704"/>
    <w:rsid w:val="009F3763"/>
    <w:rsid w:val="009F39EF"/>
    <w:rsid w:val="009F4296"/>
    <w:rsid w:val="009F42B4"/>
    <w:rsid w:val="009F4719"/>
    <w:rsid w:val="009F4721"/>
    <w:rsid w:val="009F4992"/>
    <w:rsid w:val="009F49F4"/>
    <w:rsid w:val="009F4ACC"/>
    <w:rsid w:val="009F4D39"/>
    <w:rsid w:val="009F4E3F"/>
    <w:rsid w:val="009F5201"/>
    <w:rsid w:val="009F52B1"/>
    <w:rsid w:val="009F52FA"/>
    <w:rsid w:val="009F53B8"/>
    <w:rsid w:val="009F53EA"/>
    <w:rsid w:val="009F54CA"/>
    <w:rsid w:val="009F56E1"/>
    <w:rsid w:val="009F5A1E"/>
    <w:rsid w:val="009F5A24"/>
    <w:rsid w:val="009F5B92"/>
    <w:rsid w:val="009F5BD5"/>
    <w:rsid w:val="009F5C15"/>
    <w:rsid w:val="009F5DDF"/>
    <w:rsid w:val="009F639C"/>
    <w:rsid w:val="009F6563"/>
    <w:rsid w:val="009F68C9"/>
    <w:rsid w:val="009F6A0B"/>
    <w:rsid w:val="009F6B22"/>
    <w:rsid w:val="009F6D6E"/>
    <w:rsid w:val="009F6DE8"/>
    <w:rsid w:val="009F6FC1"/>
    <w:rsid w:val="009F771F"/>
    <w:rsid w:val="009F7A2B"/>
    <w:rsid w:val="009F7E90"/>
    <w:rsid w:val="00A00260"/>
    <w:rsid w:val="00A002D0"/>
    <w:rsid w:val="00A00502"/>
    <w:rsid w:val="00A0076D"/>
    <w:rsid w:val="00A00A0C"/>
    <w:rsid w:val="00A00DB4"/>
    <w:rsid w:val="00A00F8A"/>
    <w:rsid w:val="00A01074"/>
    <w:rsid w:val="00A01188"/>
    <w:rsid w:val="00A015D0"/>
    <w:rsid w:val="00A0167B"/>
    <w:rsid w:val="00A017DD"/>
    <w:rsid w:val="00A01822"/>
    <w:rsid w:val="00A018E6"/>
    <w:rsid w:val="00A01D77"/>
    <w:rsid w:val="00A01DF5"/>
    <w:rsid w:val="00A01E17"/>
    <w:rsid w:val="00A0209A"/>
    <w:rsid w:val="00A022F7"/>
    <w:rsid w:val="00A0242A"/>
    <w:rsid w:val="00A02803"/>
    <w:rsid w:val="00A02A95"/>
    <w:rsid w:val="00A02F86"/>
    <w:rsid w:val="00A02FB3"/>
    <w:rsid w:val="00A0311A"/>
    <w:rsid w:val="00A032B6"/>
    <w:rsid w:val="00A032D5"/>
    <w:rsid w:val="00A032E9"/>
    <w:rsid w:val="00A039D5"/>
    <w:rsid w:val="00A03C80"/>
    <w:rsid w:val="00A040DD"/>
    <w:rsid w:val="00A0420F"/>
    <w:rsid w:val="00A0468E"/>
    <w:rsid w:val="00A047BC"/>
    <w:rsid w:val="00A04915"/>
    <w:rsid w:val="00A04CFC"/>
    <w:rsid w:val="00A05353"/>
    <w:rsid w:val="00A05952"/>
    <w:rsid w:val="00A05971"/>
    <w:rsid w:val="00A05CB9"/>
    <w:rsid w:val="00A05EB2"/>
    <w:rsid w:val="00A05F9D"/>
    <w:rsid w:val="00A0642E"/>
    <w:rsid w:val="00A066FC"/>
    <w:rsid w:val="00A0679D"/>
    <w:rsid w:val="00A06A00"/>
    <w:rsid w:val="00A06B2B"/>
    <w:rsid w:val="00A06C6F"/>
    <w:rsid w:val="00A074DF"/>
    <w:rsid w:val="00A0762D"/>
    <w:rsid w:val="00A07796"/>
    <w:rsid w:val="00A07D7A"/>
    <w:rsid w:val="00A07D9E"/>
    <w:rsid w:val="00A1013D"/>
    <w:rsid w:val="00A101FB"/>
    <w:rsid w:val="00A103FC"/>
    <w:rsid w:val="00A108B2"/>
    <w:rsid w:val="00A108EE"/>
    <w:rsid w:val="00A10E6E"/>
    <w:rsid w:val="00A10F98"/>
    <w:rsid w:val="00A111D4"/>
    <w:rsid w:val="00A114F5"/>
    <w:rsid w:val="00A115F4"/>
    <w:rsid w:val="00A1162E"/>
    <w:rsid w:val="00A11775"/>
    <w:rsid w:val="00A119FE"/>
    <w:rsid w:val="00A11A87"/>
    <w:rsid w:val="00A11ACF"/>
    <w:rsid w:val="00A11BF7"/>
    <w:rsid w:val="00A11C5A"/>
    <w:rsid w:val="00A11C7B"/>
    <w:rsid w:val="00A11E33"/>
    <w:rsid w:val="00A123E2"/>
    <w:rsid w:val="00A1261F"/>
    <w:rsid w:val="00A12845"/>
    <w:rsid w:val="00A1292C"/>
    <w:rsid w:val="00A12B9A"/>
    <w:rsid w:val="00A12D04"/>
    <w:rsid w:val="00A12F1D"/>
    <w:rsid w:val="00A13017"/>
    <w:rsid w:val="00A1301C"/>
    <w:rsid w:val="00A13076"/>
    <w:rsid w:val="00A130B4"/>
    <w:rsid w:val="00A13116"/>
    <w:rsid w:val="00A1336A"/>
    <w:rsid w:val="00A13698"/>
    <w:rsid w:val="00A139BF"/>
    <w:rsid w:val="00A13CB0"/>
    <w:rsid w:val="00A14046"/>
    <w:rsid w:val="00A140F3"/>
    <w:rsid w:val="00A14A6A"/>
    <w:rsid w:val="00A14DF9"/>
    <w:rsid w:val="00A14F42"/>
    <w:rsid w:val="00A159BE"/>
    <w:rsid w:val="00A159F6"/>
    <w:rsid w:val="00A15E3F"/>
    <w:rsid w:val="00A160B7"/>
    <w:rsid w:val="00A160FF"/>
    <w:rsid w:val="00A16127"/>
    <w:rsid w:val="00A161B3"/>
    <w:rsid w:val="00A163CF"/>
    <w:rsid w:val="00A16579"/>
    <w:rsid w:val="00A166FA"/>
    <w:rsid w:val="00A166FE"/>
    <w:rsid w:val="00A167AA"/>
    <w:rsid w:val="00A1688E"/>
    <w:rsid w:val="00A16B51"/>
    <w:rsid w:val="00A16C16"/>
    <w:rsid w:val="00A16C4B"/>
    <w:rsid w:val="00A16D41"/>
    <w:rsid w:val="00A170A1"/>
    <w:rsid w:val="00A174A4"/>
    <w:rsid w:val="00A1761A"/>
    <w:rsid w:val="00A17842"/>
    <w:rsid w:val="00A17B87"/>
    <w:rsid w:val="00A17C18"/>
    <w:rsid w:val="00A2010E"/>
    <w:rsid w:val="00A202B3"/>
    <w:rsid w:val="00A206D2"/>
    <w:rsid w:val="00A209C9"/>
    <w:rsid w:val="00A209FB"/>
    <w:rsid w:val="00A20B8B"/>
    <w:rsid w:val="00A20C8E"/>
    <w:rsid w:val="00A20E02"/>
    <w:rsid w:val="00A20E63"/>
    <w:rsid w:val="00A20F87"/>
    <w:rsid w:val="00A210D0"/>
    <w:rsid w:val="00A21160"/>
    <w:rsid w:val="00A2125B"/>
    <w:rsid w:val="00A213D5"/>
    <w:rsid w:val="00A2161A"/>
    <w:rsid w:val="00A21968"/>
    <w:rsid w:val="00A21977"/>
    <w:rsid w:val="00A21D41"/>
    <w:rsid w:val="00A22252"/>
    <w:rsid w:val="00A224B3"/>
    <w:rsid w:val="00A224D1"/>
    <w:rsid w:val="00A2259F"/>
    <w:rsid w:val="00A22698"/>
    <w:rsid w:val="00A22711"/>
    <w:rsid w:val="00A228F9"/>
    <w:rsid w:val="00A22C84"/>
    <w:rsid w:val="00A23052"/>
    <w:rsid w:val="00A2305C"/>
    <w:rsid w:val="00A2321D"/>
    <w:rsid w:val="00A232E6"/>
    <w:rsid w:val="00A23708"/>
    <w:rsid w:val="00A23BB8"/>
    <w:rsid w:val="00A240EF"/>
    <w:rsid w:val="00A24180"/>
    <w:rsid w:val="00A2426B"/>
    <w:rsid w:val="00A2458E"/>
    <w:rsid w:val="00A2487E"/>
    <w:rsid w:val="00A24880"/>
    <w:rsid w:val="00A24A3D"/>
    <w:rsid w:val="00A24CE5"/>
    <w:rsid w:val="00A24F20"/>
    <w:rsid w:val="00A25080"/>
    <w:rsid w:val="00A2529B"/>
    <w:rsid w:val="00A252C7"/>
    <w:rsid w:val="00A2534F"/>
    <w:rsid w:val="00A2536E"/>
    <w:rsid w:val="00A255FE"/>
    <w:rsid w:val="00A256B0"/>
    <w:rsid w:val="00A2575F"/>
    <w:rsid w:val="00A25C83"/>
    <w:rsid w:val="00A25CFF"/>
    <w:rsid w:val="00A25D63"/>
    <w:rsid w:val="00A25DDD"/>
    <w:rsid w:val="00A25E11"/>
    <w:rsid w:val="00A26203"/>
    <w:rsid w:val="00A263C5"/>
    <w:rsid w:val="00A2646B"/>
    <w:rsid w:val="00A2678C"/>
    <w:rsid w:val="00A267C4"/>
    <w:rsid w:val="00A26A11"/>
    <w:rsid w:val="00A26ADF"/>
    <w:rsid w:val="00A26E92"/>
    <w:rsid w:val="00A26EC5"/>
    <w:rsid w:val="00A26F86"/>
    <w:rsid w:val="00A271D0"/>
    <w:rsid w:val="00A271D5"/>
    <w:rsid w:val="00A27856"/>
    <w:rsid w:val="00A278A2"/>
    <w:rsid w:val="00A278F7"/>
    <w:rsid w:val="00A27E8C"/>
    <w:rsid w:val="00A27FB1"/>
    <w:rsid w:val="00A3023D"/>
    <w:rsid w:val="00A302B4"/>
    <w:rsid w:val="00A30581"/>
    <w:rsid w:val="00A3066B"/>
    <w:rsid w:val="00A30671"/>
    <w:rsid w:val="00A306B6"/>
    <w:rsid w:val="00A307BA"/>
    <w:rsid w:val="00A3096C"/>
    <w:rsid w:val="00A309A6"/>
    <w:rsid w:val="00A30B18"/>
    <w:rsid w:val="00A30C31"/>
    <w:rsid w:val="00A30FB7"/>
    <w:rsid w:val="00A3109E"/>
    <w:rsid w:val="00A310F0"/>
    <w:rsid w:val="00A313F0"/>
    <w:rsid w:val="00A314C7"/>
    <w:rsid w:val="00A314DA"/>
    <w:rsid w:val="00A31E5F"/>
    <w:rsid w:val="00A31ED9"/>
    <w:rsid w:val="00A31EEB"/>
    <w:rsid w:val="00A31F9B"/>
    <w:rsid w:val="00A31FB8"/>
    <w:rsid w:val="00A321C5"/>
    <w:rsid w:val="00A32308"/>
    <w:rsid w:val="00A3250B"/>
    <w:rsid w:val="00A327AD"/>
    <w:rsid w:val="00A32835"/>
    <w:rsid w:val="00A3287F"/>
    <w:rsid w:val="00A32A1E"/>
    <w:rsid w:val="00A32AB0"/>
    <w:rsid w:val="00A32AB4"/>
    <w:rsid w:val="00A32B0C"/>
    <w:rsid w:val="00A32D9A"/>
    <w:rsid w:val="00A32DAA"/>
    <w:rsid w:val="00A333DD"/>
    <w:rsid w:val="00A333EE"/>
    <w:rsid w:val="00A335AA"/>
    <w:rsid w:val="00A336DD"/>
    <w:rsid w:val="00A337FC"/>
    <w:rsid w:val="00A338F7"/>
    <w:rsid w:val="00A33B3D"/>
    <w:rsid w:val="00A33ECA"/>
    <w:rsid w:val="00A33F7B"/>
    <w:rsid w:val="00A33FC9"/>
    <w:rsid w:val="00A344D2"/>
    <w:rsid w:val="00A3462E"/>
    <w:rsid w:val="00A349C7"/>
    <w:rsid w:val="00A34C15"/>
    <w:rsid w:val="00A34E4F"/>
    <w:rsid w:val="00A34EF7"/>
    <w:rsid w:val="00A35262"/>
    <w:rsid w:val="00A353BB"/>
    <w:rsid w:val="00A353D1"/>
    <w:rsid w:val="00A35483"/>
    <w:rsid w:val="00A3559F"/>
    <w:rsid w:val="00A35A4C"/>
    <w:rsid w:val="00A35F99"/>
    <w:rsid w:val="00A35FD0"/>
    <w:rsid w:val="00A36554"/>
    <w:rsid w:val="00A365F7"/>
    <w:rsid w:val="00A3667B"/>
    <w:rsid w:val="00A366D2"/>
    <w:rsid w:val="00A3675E"/>
    <w:rsid w:val="00A36922"/>
    <w:rsid w:val="00A378B7"/>
    <w:rsid w:val="00A37AD0"/>
    <w:rsid w:val="00A37D18"/>
    <w:rsid w:val="00A37D6F"/>
    <w:rsid w:val="00A37EBE"/>
    <w:rsid w:val="00A4001E"/>
    <w:rsid w:val="00A40045"/>
    <w:rsid w:val="00A403A5"/>
    <w:rsid w:val="00A40F7A"/>
    <w:rsid w:val="00A4106F"/>
    <w:rsid w:val="00A411B4"/>
    <w:rsid w:val="00A41232"/>
    <w:rsid w:val="00A41AE5"/>
    <w:rsid w:val="00A4219A"/>
    <w:rsid w:val="00A42223"/>
    <w:rsid w:val="00A422FC"/>
    <w:rsid w:val="00A4232E"/>
    <w:rsid w:val="00A4242C"/>
    <w:rsid w:val="00A42467"/>
    <w:rsid w:val="00A42543"/>
    <w:rsid w:val="00A425D0"/>
    <w:rsid w:val="00A4266A"/>
    <w:rsid w:val="00A42864"/>
    <w:rsid w:val="00A42BFB"/>
    <w:rsid w:val="00A42CE6"/>
    <w:rsid w:val="00A430BA"/>
    <w:rsid w:val="00A430E1"/>
    <w:rsid w:val="00A43190"/>
    <w:rsid w:val="00A431C2"/>
    <w:rsid w:val="00A4355B"/>
    <w:rsid w:val="00A442DE"/>
    <w:rsid w:val="00A443A9"/>
    <w:rsid w:val="00A44438"/>
    <w:rsid w:val="00A44465"/>
    <w:rsid w:val="00A445C7"/>
    <w:rsid w:val="00A44735"/>
    <w:rsid w:val="00A44837"/>
    <w:rsid w:val="00A44B21"/>
    <w:rsid w:val="00A44C0E"/>
    <w:rsid w:val="00A451F1"/>
    <w:rsid w:val="00A45286"/>
    <w:rsid w:val="00A453AA"/>
    <w:rsid w:val="00A45452"/>
    <w:rsid w:val="00A457BD"/>
    <w:rsid w:val="00A45821"/>
    <w:rsid w:val="00A4589F"/>
    <w:rsid w:val="00A45AEF"/>
    <w:rsid w:val="00A45C24"/>
    <w:rsid w:val="00A45C6E"/>
    <w:rsid w:val="00A45DDA"/>
    <w:rsid w:val="00A460CB"/>
    <w:rsid w:val="00A463B1"/>
    <w:rsid w:val="00A4649D"/>
    <w:rsid w:val="00A465C0"/>
    <w:rsid w:val="00A46756"/>
    <w:rsid w:val="00A46911"/>
    <w:rsid w:val="00A46947"/>
    <w:rsid w:val="00A46A9E"/>
    <w:rsid w:val="00A46EB1"/>
    <w:rsid w:val="00A46F55"/>
    <w:rsid w:val="00A4751B"/>
    <w:rsid w:val="00A47CC4"/>
    <w:rsid w:val="00A47FEE"/>
    <w:rsid w:val="00A50092"/>
    <w:rsid w:val="00A500B6"/>
    <w:rsid w:val="00A5039A"/>
    <w:rsid w:val="00A503EC"/>
    <w:rsid w:val="00A50654"/>
    <w:rsid w:val="00A506C1"/>
    <w:rsid w:val="00A50A0A"/>
    <w:rsid w:val="00A50AC6"/>
    <w:rsid w:val="00A50B63"/>
    <w:rsid w:val="00A50C09"/>
    <w:rsid w:val="00A50CA7"/>
    <w:rsid w:val="00A50F1A"/>
    <w:rsid w:val="00A50F9A"/>
    <w:rsid w:val="00A51148"/>
    <w:rsid w:val="00A51644"/>
    <w:rsid w:val="00A51658"/>
    <w:rsid w:val="00A51818"/>
    <w:rsid w:val="00A5187C"/>
    <w:rsid w:val="00A51A68"/>
    <w:rsid w:val="00A51B1B"/>
    <w:rsid w:val="00A51DFE"/>
    <w:rsid w:val="00A51EC9"/>
    <w:rsid w:val="00A52086"/>
    <w:rsid w:val="00A521B7"/>
    <w:rsid w:val="00A52216"/>
    <w:rsid w:val="00A522D3"/>
    <w:rsid w:val="00A526F9"/>
    <w:rsid w:val="00A528BF"/>
    <w:rsid w:val="00A52FB1"/>
    <w:rsid w:val="00A531FA"/>
    <w:rsid w:val="00A5375B"/>
    <w:rsid w:val="00A53791"/>
    <w:rsid w:val="00A5382E"/>
    <w:rsid w:val="00A53A29"/>
    <w:rsid w:val="00A53ACD"/>
    <w:rsid w:val="00A53C5C"/>
    <w:rsid w:val="00A53CA4"/>
    <w:rsid w:val="00A5490B"/>
    <w:rsid w:val="00A54A3D"/>
    <w:rsid w:val="00A54A5E"/>
    <w:rsid w:val="00A54B27"/>
    <w:rsid w:val="00A54D6D"/>
    <w:rsid w:val="00A55637"/>
    <w:rsid w:val="00A55A64"/>
    <w:rsid w:val="00A55C29"/>
    <w:rsid w:val="00A55E56"/>
    <w:rsid w:val="00A55F49"/>
    <w:rsid w:val="00A56355"/>
    <w:rsid w:val="00A56572"/>
    <w:rsid w:val="00A565E2"/>
    <w:rsid w:val="00A56D00"/>
    <w:rsid w:val="00A570AC"/>
    <w:rsid w:val="00A570C7"/>
    <w:rsid w:val="00A57132"/>
    <w:rsid w:val="00A573D3"/>
    <w:rsid w:val="00A57823"/>
    <w:rsid w:val="00A57845"/>
    <w:rsid w:val="00A5788E"/>
    <w:rsid w:val="00A57C46"/>
    <w:rsid w:val="00A57DF5"/>
    <w:rsid w:val="00A60304"/>
    <w:rsid w:val="00A60527"/>
    <w:rsid w:val="00A60A58"/>
    <w:rsid w:val="00A60C02"/>
    <w:rsid w:val="00A60C42"/>
    <w:rsid w:val="00A60C62"/>
    <w:rsid w:val="00A60FEA"/>
    <w:rsid w:val="00A613C4"/>
    <w:rsid w:val="00A618D6"/>
    <w:rsid w:val="00A61B83"/>
    <w:rsid w:val="00A620F9"/>
    <w:rsid w:val="00A626EB"/>
    <w:rsid w:val="00A6274F"/>
    <w:rsid w:val="00A62AFC"/>
    <w:rsid w:val="00A63024"/>
    <w:rsid w:val="00A6317A"/>
    <w:rsid w:val="00A6359E"/>
    <w:rsid w:val="00A63642"/>
    <w:rsid w:val="00A63D40"/>
    <w:rsid w:val="00A6404A"/>
    <w:rsid w:val="00A641DA"/>
    <w:rsid w:val="00A64377"/>
    <w:rsid w:val="00A643EB"/>
    <w:rsid w:val="00A64439"/>
    <w:rsid w:val="00A645C7"/>
    <w:rsid w:val="00A647EA"/>
    <w:rsid w:val="00A6492F"/>
    <w:rsid w:val="00A64DCC"/>
    <w:rsid w:val="00A64F58"/>
    <w:rsid w:val="00A6502E"/>
    <w:rsid w:val="00A650A3"/>
    <w:rsid w:val="00A6558F"/>
    <w:rsid w:val="00A655D1"/>
    <w:rsid w:val="00A65A77"/>
    <w:rsid w:val="00A65E86"/>
    <w:rsid w:val="00A65F75"/>
    <w:rsid w:val="00A663B5"/>
    <w:rsid w:val="00A66402"/>
    <w:rsid w:val="00A66471"/>
    <w:rsid w:val="00A6678D"/>
    <w:rsid w:val="00A66AC2"/>
    <w:rsid w:val="00A66EA7"/>
    <w:rsid w:val="00A6711C"/>
    <w:rsid w:val="00A6742B"/>
    <w:rsid w:val="00A67612"/>
    <w:rsid w:val="00A67683"/>
    <w:rsid w:val="00A67C5F"/>
    <w:rsid w:val="00A67E31"/>
    <w:rsid w:val="00A7016A"/>
    <w:rsid w:val="00A7045D"/>
    <w:rsid w:val="00A70474"/>
    <w:rsid w:val="00A70536"/>
    <w:rsid w:val="00A70A1B"/>
    <w:rsid w:val="00A70B3A"/>
    <w:rsid w:val="00A70B8C"/>
    <w:rsid w:val="00A70BC5"/>
    <w:rsid w:val="00A70C15"/>
    <w:rsid w:val="00A70D4B"/>
    <w:rsid w:val="00A70DCA"/>
    <w:rsid w:val="00A70EB5"/>
    <w:rsid w:val="00A7102F"/>
    <w:rsid w:val="00A711FB"/>
    <w:rsid w:val="00A71313"/>
    <w:rsid w:val="00A717C7"/>
    <w:rsid w:val="00A71AF1"/>
    <w:rsid w:val="00A71B3E"/>
    <w:rsid w:val="00A71BB3"/>
    <w:rsid w:val="00A71DDC"/>
    <w:rsid w:val="00A71E90"/>
    <w:rsid w:val="00A72084"/>
    <w:rsid w:val="00A720DF"/>
    <w:rsid w:val="00A72165"/>
    <w:rsid w:val="00A725AF"/>
    <w:rsid w:val="00A726B6"/>
    <w:rsid w:val="00A72EDF"/>
    <w:rsid w:val="00A73249"/>
    <w:rsid w:val="00A732EE"/>
    <w:rsid w:val="00A7336B"/>
    <w:rsid w:val="00A73522"/>
    <w:rsid w:val="00A73564"/>
    <w:rsid w:val="00A739AF"/>
    <w:rsid w:val="00A73E6C"/>
    <w:rsid w:val="00A740AA"/>
    <w:rsid w:val="00A7445F"/>
    <w:rsid w:val="00A74D39"/>
    <w:rsid w:val="00A750E3"/>
    <w:rsid w:val="00A7513F"/>
    <w:rsid w:val="00A75281"/>
    <w:rsid w:val="00A75515"/>
    <w:rsid w:val="00A755B2"/>
    <w:rsid w:val="00A75B9F"/>
    <w:rsid w:val="00A75BBA"/>
    <w:rsid w:val="00A75CD2"/>
    <w:rsid w:val="00A76066"/>
    <w:rsid w:val="00A760A0"/>
    <w:rsid w:val="00A761F6"/>
    <w:rsid w:val="00A76229"/>
    <w:rsid w:val="00A76508"/>
    <w:rsid w:val="00A76847"/>
    <w:rsid w:val="00A76A07"/>
    <w:rsid w:val="00A76E58"/>
    <w:rsid w:val="00A76F23"/>
    <w:rsid w:val="00A7710C"/>
    <w:rsid w:val="00A771E7"/>
    <w:rsid w:val="00A774E9"/>
    <w:rsid w:val="00A77547"/>
    <w:rsid w:val="00A77748"/>
    <w:rsid w:val="00A777C5"/>
    <w:rsid w:val="00A7790F"/>
    <w:rsid w:val="00A77A1E"/>
    <w:rsid w:val="00A77EA9"/>
    <w:rsid w:val="00A80180"/>
    <w:rsid w:val="00A803F8"/>
    <w:rsid w:val="00A80562"/>
    <w:rsid w:val="00A805E3"/>
    <w:rsid w:val="00A80C40"/>
    <w:rsid w:val="00A80C85"/>
    <w:rsid w:val="00A80D63"/>
    <w:rsid w:val="00A80DEB"/>
    <w:rsid w:val="00A80E1C"/>
    <w:rsid w:val="00A810A0"/>
    <w:rsid w:val="00A815EE"/>
    <w:rsid w:val="00A818ED"/>
    <w:rsid w:val="00A819F0"/>
    <w:rsid w:val="00A81BC0"/>
    <w:rsid w:val="00A81BCA"/>
    <w:rsid w:val="00A81ED0"/>
    <w:rsid w:val="00A8226F"/>
    <w:rsid w:val="00A82291"/>
    <w:rsid w:val="00A82408"/>
    <w:rsid w:val="00A82A71"/>
    <w:rsid w:val="00A83071"/>
    <w:rsid w:val="00A8314C"/>
    <w:rsid w:val="00A8349C"/>
    <w:rsid w:val="00A8356C"/>
    <w:rsid w:val="00A8358D"/>
    <w:rsid w:val="00A8374D"/>
    <w:rsid w:val="00A837B2"/>
    <w:rsid w:val="00A837FF"/>
    <w:rsid w:val="00A839A6"/>
    <w:rsid w:val="00A83B30"/>
    <w:rsid w:val="00A83C6A"/>
    <w:rsid w:val="00A83CB2"/>
    <w:rsid w:val="00A83E99"/>
    <w:rsid w:val="00A83F5C"/>
    <w:rsid w:val="00A83F79"/>
    <w:rsid w:val="00A840AA"/>
    <w:rsid w:val="00A841AF"/>
    <w:rsid w:val="00A844FD"/>
    <w:rsid w:val="00A846EF"/>
    <w:rsid w:val="00A84941"/>
    <w:rsid w:val="00A84E08"/>
    <w:rsid w:val="00A853E7"/>
    <w:rsid w:val="00A854D9"/>
    <w:rsid w:val="00A85539"/>
    <w:rsid w:val="00A85673"/>
    <w:rsid w:val="00A85A65"/>
    <w:rsid w:val="00A85B15"/>
    <w:rsid w:val="00A861B9"/>
    <w:rsid w:val="00A86464"/>
    <w:rsid w:val="00A86734"/>
    <w:rsid w:val="00A86853"/>
    <w:rsid w:val="00A86B7E"/>
    <w:rsid w:val="00A86C3F"/>
    <w:rsid w:val="00A87562"/>
    <w:rsid w:val="00A87787"/>
    <w:rsid w:val="00A87986"/>
    <w:rsid w:val="00A87A1B"/>
    <w:rsid w:val="00A87D1A"/>
    <w:rsid w:val="00A87FA2"/>
    <w:rsid w:val="00A902E2"/>
    <w:rsid w:val="00A90991"/>
    <w:rsid w:val="00A90B84"/>
    <w:rsid w:val="00A90BF9"/>
    <w:rsid w:val="00A90CA6"/>
    <w:rsid w:val="00A90CE3"/>
    <w:rsid w:val="00A912C2"/>
    <w:rsid w:val="00A91354"/>
    <w:rsid w:val="00A91437"/>
    <w:rsid w:val="00A91915"/>
    <w:rsid w:val="00A91D67"/>
    <w:rsid w:val="00A91F1A"/>
    <w:rsid w:val="00A91FF2"/>
    <w:rsid w:val="00A9201D"/>
    <w:rsid w:val="00A920A0"/>
    <w:rsid w:val="00A92243"/>
    <w:rsid w:val="00A924DF"/>
    <w:rsid w:val="00A92B24"/>
    <w:rsid w:val="00A9331C"/>
    <w:rsid w:val="00A93335"/>
    <w:rsid w:val="00A93561"/>
    <w:rsid w:val="00A936D1"/>
    <w:rsid w:val="00A9375B"/>
    <w:rsid w:val="00A938AD"/>
    <w:rsid w:val="00A93A89"/>
    <w:rsid w:val="00A93CFF"/>
    <w:rsid w:val="00A93D1D"/>
    <w:rsid w:val="00A9415A"/>
    <w:rsid w:val="00A94191"/>
    <w:rsid w:val="00A943C5"/>
    <w:rsid w:val="00A9445B"/>
    <w:rsid w:val="00A94473"/>
    <w:rsid w:val="00A9448A"/>
    <w:rsid w:val="00A94569"/>
    <w:rsid w:val="00A94582"/>
    <w:rsid w:val="00A94D81"/>
    <w:rsid w:val="00A94EF5"/>
    <w:rsid w:val="00A94F56"/>
    <w:rsid w:val="00A9505E"/>
    <w:rsid w:val="00A950A2"/>
    <w:rsid w:val="00A950B0"/>
    <w:rsid w:val="00A95864"/>
    <w:rsid w:val="00A959BF"/>
    <w:rsid w:val="00A95B38"/>
    <w:rsid w:val="00A95F89"/>
    <w:rsid w:val="00A9606B"/>
    <w:rsid w:val="00A96114"/>
    <w:rsid w:val="00A9611A"/>
    <w:rsid w:val="00A96132"/>
    <w:rsid w:val="00A961CD"/>
    <w:rsid w:val="00A96228"/>
    <w:rsid w:val="00A9625B"/>
    <w:rsid w:val="00A964CB"/>
    <w:rsid w:val="00A964D4"/>
    <w:rsid w:val="00A965D1"/>
    <w:rsid w:val="00A9661B"/>
    <w:rsid w:val="00A96626"/>
    <w:rsid w:val="00A966D9"/>
    <w:rsid w:val="00A966DE"/>
    <w:rsid w:val="00A96795"/>
    <w:rsid w:val="00A96916"/>
    <w:rsid w:val="00A9695D"/>
    <w:rsid w:val="00A96BE4"/>
    <w:rsid w:val="00A96C42"/>
    <w:rsid w:val="00A96CC6"/>
    <w:rsid w:val="00A96E37"/>
    <w:rsid w:val="00A970F8"/>
    <w:rsid w:val="00A97147"/>
    <w:rsid w:val="00A97853"/>
    <w:rsid w:val="00A97872"/>
    <w:rsid w:val="00A97B7D"/>
    <w:rsid w:val="00A97C18"/>
    <w:rsid w:val="00A97D13"/>
    <w:rsid w:val="00A97DAD"/>
    <w:rsid w:val="00A97F55"/>
    <w:rsid w:val="00AA024B"/>
    <w:rsid w:val="00AA02CD"/>
    <w:rsid w:val="00AA0394"/>
    <w:rsid w:val="00AA0677"/>
    <w:rsid w:val="00AA06A3"/>
    <w:rsid w:val="00AA07DA"/>
    <w:rsid w:val="00AA0859"/>
    <w:rsid w:val="00AA09A8"/>
    <w:rsid w:val="00AA0F20"/>
    <w:rsid w:val="00AA0FEC"/>
    <w:rsid w:val="00AA10FE"/>
    <w:rsid w:val="00AA1301"/>
    <w:rsid w:val="00AA1CE6"/>
    <w:rsid w:val="00AA2047"/>
    <w:rsid w:val="00AA207F"/>
    <w:rsid w:val="00AA2172"/>
    <w:rsid w:val="00AA219B"/>
    <w:rsid w:val="00AA21F1"/>
    <w:rsid w:val="00AA22C2"/>
    <w:rsid w:val="00AA22DB"/>
    <w:rsid w:val="00AA2C0A"/>
    <w:rsid w:val="00AA2CDC"/>
    <w:rsid w:val="00AA2CDE"/>
    <w:rsid w:val="00AA2E89"/>
    <w:rsid w:val="00AA2ED4"/>
    <w:rsid w:val="00AA302A"/>
    <w:rsid w:val="00AA3188"/>
    <w:rsid w:val="00AA36EF"/>
    <w:rsid w:val="00AA3768"/>
    <w:rsid w:val="00AA3B0A"/>
    <w:rsid w:val="00AA3B5E"/>
    <w:rsid w:val="00AA3CD0"/>
    <w:rsid w:val="00AA3E6F"/>
    <w:rsid w:val="00AA3E80"/>
    <w:rsid w:val="00AA3F22"/>
    <w:rsid w:val="00AA40A8"/>
    <w:rsid w:val="00AA421C"/>
    <w:rsid w:val="00AA426D"/>
    <w:rsid w:val="00AA444C"/>
    <w:rsid w:val="00AA4566"/>
    <w:rsid w:val="00AA47D3"/>
    <w:rsid w:val="00AA4A41"/>
    <w:rsid w:val="00AA4AAB"/>
    <w:rsid w:val="00AA4B5A"/>
    <w:rsid w:val="00AA4D6C"/>
    <w:rsid w:val="00AA4E73"/>
    <w:rsid w:val="00AA4FF1"/>
    <w:rsid w:val="00AA5003"/>
    <w:rsid w:val="00AA5121"/>
    <w:rsid w:val="00AA51D9"/>
    <w:rsid w:val="00AA520E"/>
    <w:rsid w:val="00AA52B4"/>
    <w:rsid w:val="00AA539D"/>
    <w:rsid w:val="00AA53B5"/>
    <w:rsid w:val="00AA542A"/>
    <w:rsid w:val="00AA54A3"/>
    <w:rsid w:val="00AA55A0"/>
    <w:rsid w:val="00AA570E"/>
    <w:rsid w:val="00AA5831"/>
    <w:rsid w:val="00AA593B"/>
    <w:rsid w:val="00AA5B36"/>
    <w:rsid w:val="00AA5BBF"/>
    <w:rsid w:val="00AA5E11"/>
    <w:rsid w:val="00AA5EC3"/>
    <w:rsid w:val="00AA60F0"/>
    <w:rsid w:val="00AA6138"/>
    <w:rsid w:val="00AA623F"/>
    <w:rsid w:val="00AA62AB"/>
    <w:rsid w:val="00AA643C"/>
    <w:rsid w:val="00AA65EB"/>
    <w:rsid w:val="00AA66C0"/>
    <w:rsid w:val="00AA6840"/>
    <w:rsid w:val="00AA6B5B"/>
    <w:rsid w:val="00AA6D5E"/>
    <w:rsid w:val="00AA6F26"/>
    <w:rsid w:val="00AA7151"/>
    <w:rsid w:val="00AA73B0"/>
    <w:rsid w:val="00AA763B"/>
    <w:rsid w:val="00AA7726"/>
    <w:rsid w:val="00AA7AB1"/>
    <w:rsid w:val="00AA7AF7"/>
    <w:rsid w:val="00AA7B7D"/>
    <w:rsid w:val="00AA7D54"/>
    <w:rsid w:val="00AB0156"/>
    <w:rsid w:val="00AB01CB"/>
    <w:rsid w:val="00AB020C"/>
    <w:rsid w:val="00AB02DC"/>
    <w:rsid w:val="00AB03B8"/>
    <w:rsid w:val="00AB08D0"/>
    <w:rsid w:val="00AB098D"/>
    <w:rsid w:val="00AB0B6A"/>
    <w:rsid w:val="00AB0EDA"/>
    <w:rsid w:val="00AB0EF4"/>
    <w:rsid w:val="00AB1020"/>
    <w:rsid w:val="00AB1036"/>
    <w:rsid w:val="00AB12CB"/>
    <w:rsid w:val="00AB150E"/>
    <w:rsid w:val="00AB16B9"/>
    <w:rsid w:val="00AB1AA7"/>
    <w:rsid w:val="00AB1D36"/>
    <w:rsid w:val="00AB1DFB"/>
    <w:rsid w:val="00AB1E03"/>
    <w:rsid w:val="00AB1E37"/>
    <w:rsid w:val="00AB20D6"/>
    <w:rsid w:val="00AB220A"/>
    <w:rsid w:val="00AB2463"/>
    <w:rsid w:val="00AB2626"/>
    <w:rsid w:val="00AB2761"/>
    <w:rsid w:val="00AB2D7A"/>
    <w:rsid w:val="00AB2E75"/>
    <w:rsid w:val="00AB2E9D"/>
    <w:rsid w:val="00AB2FAD"/>
    <w:rsid w:val="00AB31D5"/>
    <w:rsid w:val="00AB352A"/>
    <w:rsid w:val="00AB35C2"/>
    <w:rsid w:val="00AB35D3"/>
    <w:rsid w:val="00AB37CD"/>
    <w:rsid w:val="00AB3966"/>
    <w:rsid w:val="00AB3971"/>
    <w:rsid w:val="00AB3A21"/>
    <w:rsid w:val="00AB3AC7"/>
    <w:rsid w:val="00AB3F29"/>
    <w:rsid w:val="00AB43A0"/>
    <w:rsid w:val="00AB46EB"/>
    <w:rsid w:val="00AB4BA9"/>
    <w:rsid w:val="00AB4C4A"/>
    <w:rsid w:val="00AB4CB5"/>
    <w:rsid w:val="00AB51B9"/>
    <w:rsid w:val="00AB5498"/>
    <w:rsid w:val="00AB5652"/>
    <w:rsid w:val="00AB57F0"/>
    <w:rsid w:val="00AB59F1"/>
    <w:rsid w:val="00AB5A20"/>
    <w:rsid w:val="00AB5AA7"/>
    <w:rsid w:val="00AB5ECA"/>
    <w:rsid w:val="00AB6174"/>
    <w:rsid w:val="00AB6278"/>
    <w:rsid w:val="00AB6431"/>
    <w:rsid w:val="00AB66D7"/>
    <w:rsid w:val="00AB6A23"/>
    <w:rsid w:val="00AB6AAF"/>
    <w:rsid w:val="00AB6C3E"/>
    <w:rsid w:val="00AB6E51"/>
    <w:rsid w:val="00AB6F95"/>
    <w:rsid w:val="00AB7021"/>
    <w:rsid w:val="00AB7024"/>
    <w:rsid w:val="00AB74DC"/>
    <w:rsid w:val="00AB77D7"/>
    <w:rsid w:val="00AB77EF"/>
    <w:rsid w:val="00AB79AD"/>
    <w:rsid w:val="00AB7A93"/>
    <w:rsid w:val="00AB7BB5"/>
    <w:rsid w:val="00AB7DF5"/>
    <w:rsid w:val="00AB7EC1"/>
    <w:rsid w:val="00AB7FB9"/>
    <w:rsid w:val="00AC02A3"/>
    <w:rsid w:val="00AC042A"/>
    <w:rsid w:val="00AC04E6"/>
    <w:rsid w:val="00AC051F"/>
    <w:rsid w:val="00AC0A0A"/>
    <w:rsid w:val="00AC0ED8"/>
    <w:rsid w:val="00AC0F4F"/>
    <w:rsid w:val="00AC10EA"/>
    <w:rsid w:val="00AC11EF"/>
    <w:rsid w:val="00AC1554"/>
    <w:rsid w:val="00AC161B"/>
    <w:rsid w:val="00AC17B9"/>
    <w:rsid w:val="00AC1899"/>
    <w:rsid w:val="00AC19A6"/>
    <w:rsid w:val="00AC1C55"/>
    <w:rsid w:val="00AC1CCA"/>
    <w:rsid w:val="00AC1D4E"/>
    <w:rsid w:val="00AC217A"/>
    <w:rsid w:val="00AC25AA"/>
    <w:rsid w:val="00AC2CEB"/>
    <w:rsid w:val="00AC328F"/>
    <w:rsid w:val="00AC32C1"/>
    <w:rsid w:val="00AC37E0"/>
    <w:rsid w:val="00AC3C07"/>
    <w:rsid w:val="00AC3D77"/>
    <w:rsid w:val="00AC4288"/>
    <w:rsid w:val="00AC430B"/>
    <w:rsid w:val="00AC482D"/>
    <w:rsid w:val="00AC4AA3"/>
    <w:rsid w:val="00AC4C4E"/>
    <w:rsid w:val="00AC4F77"/>
    <w:rsid w:val="00AC4FE5"/>
    <w:rsid w:val="00AC5170"/>
    <w:rsid w:val="00AC51CF"/>
    <w:rsid w:val="00AC53CD"/>
    <w:rsid w:val="00AC5762"/>
    <w:rsid w:val="00AC59FF"/>
    <w:rsid w:val="00AC5E29"/>
    <w:rsid w:val="00AC5EB7"/>
    <w:rsid w:val="00AC60CF"/>
    <w:rsid w:val="00AC60EB"/>
    <w:rsid w:val="00AC6438"/>
    <w:rsid w:val="00AC65C1"/>
    <w:rsid w:val="00AC672E"/>
    <w:rsid w:val="00AC6A5C"/>
    <w:rsid w:val="00AC6D81"/>
    <w:rsid w:val="00AC6F6B"/>
    <w:rsid w:val="00AC7067"/>
    <w:rsid w:val="00AC72F0"/>
    <w:rsid w:val="00AC7988"/>
    <w:rsid w:val="00AC7AF1"/>
    <w:rsid w:val="00AC7D58"/>
    <w:rsid w:val="00AC7DD5"/>
    <w:rsid w:val="00AC7EB8"/>
    <w:rsid w:val="00AD03EF"/>
    <w:rsid w:val="00AD04D5"/>
    <w:rsid w:val="00AD067A"/>
    <w:rsid w:val="00AD08A2"/>
    <w:rsid w:val="00AD0AC0"/>
    <w:rsid w:val="00AD0F36"/>
    <w:rsid w:val="00AD1154"/>
    <w:rsid w:val="00AD128A"/>
    <w:rsid w:val="00AD1504"/>
    <w:rsid w:val="00AD16F1"/>
    <w:rsid w:val="00AD18AA"/>
    <w:rsid w:val="00AD1D31"/>
    <w:rsid w:val="00AD1F93"/>
    <w:rsid w:val="00AD1F9C"/>
    <w:rsid w:val="00AD202F"/>
    <w:rsid w:val="00AD23D8"/>
    <w:rsid w:val="00AD2458"/>
    <w:rsid w:val="00AD2A75"/>
    <w:rsid w:val="00AD2A93"/>
    <w:rsid w:val="00AD2B03"/>
    <w:rsid w:val="00AD2B2E"/>
    <w:rsid w:val="00AD2B79"/>
    <w:rsid w:val="00AD2D7F"/>
    <w:rsid w:val="00AD2F73"/>
    <w:rsid w:val="00AD3262"/>
    <w:rsid w:val="00AD3318"/>
    <w:rsid w:val="00AD41E8"/>
    <w:rsid w:val="00AD4584"/>
    <w:rsid w:val="00AD4611"/>
    <w:rsid w:val="00AD465C"/>
    <w:rsid w:val="00AD46F8"/>
    <w:rsid w:val="00AD4858"/>
    <w:rsid w:val="00AD4995"/>
    <w:rsid w:val="00AD49D5"/>
    <w:rsid w:val="00AD4B16"/>
    <w:rsid w:val="00AD4C4B"/>
    <w:rsid w:val="00AD4E45"/>
    <w:rsid w:val="00AD4EA6"/>
    <w:rsid w:val="00AD4F5E"/>
    <w:rsid w:val="00AD4FFE"/>
    <w:rsid w:val="00AD58E8"/>
    <w:rsid w:val="00AD5AD0"/>
    <w:rsid w:val="00AD5BCE"/>
    <w:rsid w:val="00AD5C8D"/>
    <w:rsid w:val="00AD5EC7"/>
    <w:rsid w:val="00AD5FA1"/>
    <w:rsid w:val="00AD5FC0"/>
    <w:rsid w:val="00AD6438"/>
    <w:rsid w:val="00AD643E"/>
    <w:rsid w:val="00AD666F"/>
    <w:rsid w:val="00AD68CA"/>
    <w:rsid w:val="00AD69F6"/>
    <w:rsid w:val="00AD710F"/>
    <w:rsid w:val="00AD718F"/>
    <w:rsid w:val="00AD7228"/>
    <w:rsid w:val="00AD7260"/>
    <w:rsid w:val="00AD7472"/>
    <w:rsid w:val="00AD78A0"/>
    <w:rsid w:val="00AD79EA"/>
    <w:rsid w:val="00AD79ED"/>
    <w:rsid w:val="00AE0168"/>
    <w:rsid w:val="00AE0175"/>
    <w:rsid w:val="00AE040F"/>
    <w:rsid w:val="00AE0429"/>
    <w:rsid w:val="00AE04A7"/>
    <w:rsid w:val="00AE0608"/>
    <w:rsid w:val="00AE0836"/>
    <w:rsid w:val="00AE0AB7"/>
    <w:rsid w:val="00AE0C3B"/>
    <w:rsid w:val="00AE0DAA"/>
    <w:rsid w:val="00AE0E01"/>
    <w:rsid w:val="00AE11C6"/>
    <w:rsid w:val="00AE161B"/>
    <w:rsid w:val="00AE1704"/>
    <w:rsid w:val="00AE1AD2"/>
    <w:rsid w:val="00AE1BB5"/>
    <w:rsid w:val="00AE1C8E"/>
    <w:rsid w:val="00AE1D55"/>
    <w:rsid w:val="00AE1ED6"/>
    <w:rsid w:val="00AE1FDE"/>
    <w:rsid w:val="00AE2044"/>
    <w:rsid w:val="00AE221F"/>
    <w:rsid w:val="00AE27EE"/>
    <w:rsid w:val="00AE2983"/>
    <w:rsid w:val="00AE2C89"/>
    <w:rsid w:val="00AE2CCB"/>
    <w:rsid w:val="00AE2EC2"/>
    <w:rsid w:val="00AE2FB6"/>
    <w:rsid w:val="00AE311B"/>
    <w:rsid w:val="00AE321B"/>
    <w:rsid w:val="00AE343B"/>
    <w:rsid w:val="00AE3B6B"/>
    <w:rsid w:val="00AE3C29"/>
    <w:rsid w:val="00AE3DC1"/>
    <w:rsid w:val="00AE3DC9"/>
    <w:rsid w:val="00AE3F04"/>
    <w:rsid w:val="00AE3F2A"/>
    <w:rsid w:val="00AE4262"/>
    <w:rsid w:val="00AE43FC"/>
    <w:rsid w:val="00AE46C4"/>
    <w:rsid w:val="00AE4823"/>
    <w:rsid w:val="00AE485F"/>
    <w:rsid w:val="00AE492F"/>
    <w:rsid w:val="00AE512A"/>
    <w:rsid w:val="00AE5527"/>
    <w:rsid w:val="00AE55C9"/>
    <w:rsid w:val="00AE56A2"/>
    <w:rsid w:val="00AE5986"/>
    <w:rsid w:val="00AE598C"/>
    <w:rsid w:val="00AE5ADB"/>
    <w:rsid w:val="00AE5F10"/>
    <w:rsid w:val="00AE60A7"/>
    <w:rsid w:val="00AE6A58"/>
    <w:rsid w:val="00AE7048"/>
    <w:rsid w:val="00AE7099"/>
    <w:rsid w:val="00AE712F"/>
    <w:rsid w:val="00AE7A02"/>
    <w:rsid w:val="00AE7AA8"/>
    <w:rsid w:val="00AE7BE5"/>
    <w:rsid w:val="00AE7F47"/>
    <w:rsid w:val="00AF0152"/>
    <w:rsid w:val="00AF01DB"/>
    <w:rsid w:val="00AF0301"/>
    <w:rsid w:val="00AF042A"/>
    <w:rsid w:val="00AF048C"/>
    <w:rsid w:val="00AF04C0"/>
    <w:rsid w:val="00AF0657"/>
    <w:rsid w:val="00AF0709"/>
    <w:rsid w:val="00AF08E1"/>
    <w:rsid w:val="00AF08E3"/>
    <w:rsid w:val="00AF0CD9"/>
    <w:rsid w:val="00AF1026"/>
    <w:rsid w:val="00AF1082"/>
    <w:rsid w:val="00AF1305"/>
    <w:rsid w:val="00AF1316"/>
    <w:rsid w:val="00AF17BF"/>
    <w:rsid w:val="00AF1800"/>
    <w:rsid w:val="00AF198C"/>
    <w:rsid w:val="00AF19CD"/>
    <w:rsid w:val="00AF1A6F"/>
    <w:rsid w:val="00AF1B33"/>
    <w:rsid w:val="00AF1B6C"/>
    <w:rsid w:val="00AF1BA2"/>
    <w:rsid w:val="00AF24C3"/>
    <w:rsid w:val="00AF2991"/>
    <w:rsid w:val="00AF2C45"/>
    <w:rsid w:val="00AF2DC1"/>
    <w:rsid w:val="00AF30EB"/>
    <w:rsid w:val="00AF3240"/>
    <w:rsid w:val="00AF3580"/>
    <w:rsid w:val="00AF35FE"/>
    <w:rsid w:val="00AF3807"/>
    <w:rsid w:val="00AF3C76"/>
    <w:rsid w:val="00AF3CE0"/>
    <w:rsid w:val="00AF4036"/>
    <w:rsid w:val="00AF41CE"/>
    <w:rsid w:val="00AF41FD"/>
    <w:rsid w:val="00AF425B"/>
    <w:rsid w:val="00AF4267"/>
    <w:rsid w:val="00AF437E"/>
    <w:rsid w:val="00AF44F6"/>
    <w:rsid w:val="00AF4598"/>
    <w:rsid w:val="00AF46FD"/>
    <w:rsid w:val="00AF47EB"/>
    <w:rsid w:val="00AF4A19"/>
    <w:rsid w:val="00AF4A85"/>
    <w:rsid w:val="00AF4D96"/>
    <w:rsid w:val="00AF4FC8"/>
    <w:rsid w:val="00AF53CA"/>
    <w:rsid w:val="00AF56B4"/>
    <w:rsid w:val="00AF5788"/>
    <w:rsid w:val="00AF5C3A"/>
    <w:rsid w:val="00AF5EB0"/>
    <w:rsid w:val="00AF5F19"/>
    <w:rsid w:val="00AF5F2A"/>
    <w:rsid w:val="00AF60FF"/>
    <w:rsid w:val="00AF6371"/>
    <w:rsid w:val="00AF6448"/>
    <w:rsid w:val="00AF645C"/>
    <w:rsid w:val="00AF6482"/>
    <w:rsid w:val="00AF6857"/>
    <w:rsid w:val="00AF6E97"/>
    <w:rsid w:val="00AF6F99"/>
    <w:rsid w:val="00AF7049"/>
    <w:rsid w:val="00AF70CF"/>
    <w:rsid w:val="00AF71EA"/>
    <w:rsid w:val="00AF728D"/>
    <w:rsid w:val="00AF75F7"/>
    <w:rsid w:val="00AF78D8"/>
    <w:rsid w:val="00AF78F6"/>
    <w:rsid w:val="00AF7931"/>
    <w:rsid w:val="00AF7D2D"/>
    <w:rsid w:val="00B00135"/>
    <w:rsid w:val="00B00187"/>
    <w:rsid w:val="00B0026B"/>
    <w:rsid w:val="00B007E7"/>
    <w:rsid w:val="00B00A44"/>
    <w:rsid w:val="00B00C5D"/>
    <w:rsid w:val="00B00CC1"/>
    <w:rsid w:val="00B00FB0"/>
    <w:rsid w:val="00B01124"/>
    <w:rsid w:val="00B01599"/>
    <w:rsid w:val="00B017A0"/>
    <w:rsid w:val="00B01E8C"/>
    <w:rsid w:val="00B023FB"/>
    <w:rsid w:val="00B025AF"/>
    <w:rsid w:val="00B02607"/>
    <w:rsid w:val="00B0261B"/>
    <w:rsid w:val="00B026C9"/>
    <w:rsid w:val="00B02820"/>
    <w:rsid w:val="00B02A68"/>
    <w:rsid w:val="00B02D25"/>
    <w:rsid w:val="00B02DAD"/>
    <w:rsid w:val="00B02DEC"/>
    <w:rsid w:val="00B0309F"/>
    <w:rsid w:val="00B03103"/>
    <w:rsid w:val="00B034B3"/>
    <w:rsid w:val="00B03527"/>
    <w:rsid w:val="00B035F9"/>
    <w:rsid w:val="00B0373E"/>
    <w:rsid w:val="00B0379C"/>
    <w:rsid w:val="00B0394F"/>
    <w:rsid w:val="00B03C99"/>
    <w:rsid w:val="00B03CB2"/>
    <w:rsid w:val="00B04100"/>
    <w:rsid w:val="00B0422F"/>
    <w:rsid w:val="00B0424C"/>
    <w:rsid w:val="00B0447A"/>
    <w:rsid w:val="00B0462E"/>
    <w:rsid w:val="00B04C92"/>
    <w:rsid w:val="00B04D90"/>
    <w:rsid w:val="00B04E68"/>
    <w:rsid w:val="00B04FAD"/>
    <w:rsid w:val="00B05294"/>
    <w:rsid w:val="00B05344"/>
    <w:rsid w:val="00B05496"/>
    <w:rsid w:val="00B05589"/>
    <w:rsid w:val="00B05E42"/>
    <w:rsid w:val="00B05FBD"/>
    <w:rsid w:val="00B05FF5"/>
    <w:rsid w:val="00B0630F"/>
    <w:rsid w:val="00B066DD"/>
    <w:rsid w:val="00B068CC"/>
    <w:rsid w:val="00B068D8"/>
    <w:rsid w:val="00B06A33"/>
    <w:rsid w:val="00B06CEA"/>
    <w:rsid w:val="00B0703A"/>
    <w:rsid w:val="00B0708C"/>
    <w:rsid w:val="00B072A5"/>
    <w:rsid w:val="00B0753D"/>
    <w:rsid w:val="00B07729"/>
    <w:rsid w:val="00B07B1A"/>
    <w:rsid w:val="00B07DE3"/>
    <w:rsid w:val="00B07DEF"/>
    <w:rsid w:val="00B07FC9"/>
    <w:rsid w:val="00B103A5"/>
    <w:rsid w:val="00B103CF"/>
    <w:rsid w:val="00B103ED"/>
    <w:rsid w:val="00B10714"/>
    <w:rsid w:val="00B10729"/>
    <w:rsid w:val="00B1096B"/>
    <w:rsid w:val="00B10A62"/>
    <w:rsid w:val="00B10A8D"/>
    <w:rsid w:val="00B10C8C"/>
    <w:rsid w:val="00B10E5E"/>
    <w:rsid w:val="00B10E74"/>
    <w:rsid w:val="00B10EAC"/>
    <w:rsid w:val="00B10F7F"/>
    <w:rsid w:val="00B1118E"/>
    <w:rsid w:val="00B114E0"/>
    <w:rsid w:val="00B115E3"/>
    <w:rsid w:val="00B11601"/>
    <w:rsid w:val="00B1170D"/>
    <w:rsid w:val="00B11804"/>
    <w:rsid w:val="00B11A40"/>
    <w:rsid w:val="00B11D74"/>
    <w:rsid w:val="00B11DD5"/>
    <w:rsid w:val="00B11F22"/>
    <w:rsid w:val="00B120E0"/>
    <w:rsid w:val="00B122D5"/>
    <w:rsid w:val="00B123AE"/>
    <w:rsid w:val="00B12813"/>
    <w:rsid w:val="00B129B2"/>
    <w:rsid w:val="00B12DAC"/>
    <w:rsid w:val="00B132C9"/>
    <w:rsid w:val="00B1396A"/>
    <w:rsid w:val="00B13B84"/>
    <w:rsid w:val="00B13C96"/>
    <w:rsid w:val="00B13F13"/>
    <w:rsid w:val="00B13F4A"/>
    <w:rsid w:val="00B141BC"/>
    <w:rsid w:val="00B142D2"/>
    <w:rsid w:val="00B144D3"/>
    <w:rsid w:val="00B14541"/>
    <w:rsid w:val="00B14679"/>
    <w:rsid w:val="00B1495F"/>
    <w:rsid w:val="00B14A2C"/>
    <w:rsid w:val="00B14B26"/>
    <w:rsid w:val="00B14BB0"/>
    <w:rsid w:val="00B14DBA"/>
    <w:rsid w:val="00B14F48"/>
    <w:rsid w:val="00B150B9"/>
    <w:rsid w:val="00B15324"/>
    <w:rsid w:val="00B1557B"/>
    <w:rsid w:val="00B15591"/>
    <w:rsid w:val="00B1586B"/>
    <w:rsid w:val="00B1587E"/>
    <w:rsid w:val="00B15963"/>
    <w:rsid w:val="00B16095"/>
    <w:rsid w:val="00B160AF"/>
    <w:rsid w:val="00B162C6"/>
    <w:rsid w:val="00B162E3"/>
    <w:rsid w:val="00B16348"/>
    <w:rsid w:val="00B1648C"/>
    <w:rsid w:val="00B16644"/>
    <w:rsid w:val="00B16749"/>
    <w:rsid w:val="00B16877"/>
    <w:rsid w:val="00B16B29"/>
    <w:rsid w:val="00B16BB8"/>
    <w:rsid w:val="00B16EC2"/>
    <w:rsid w:val="00B16F97"/>
    <w:rsid w:val="00B172F1"/>
    <w:rsid w:val="00B173BC"/>
    <w:rsid w:val="00B17566"/>
    <w:rsid w:val="00B17657"/>
    <w:rsid w:val="00B17A5A"/>
    <w:rsid w:val="00B2000F"/>
    <w:rsid w:val="00B20013"/>
    <w:rsid w:val="00B201AE"/>
    <w:rsid w:val="00B20361"/>
    <w:rsid w:val="00B2076B"/>
    <w:rsid w:val="00B2096A"/>
    <w:rsid w:val="00B20FA6"/>
    <w:rsid w:val="00B2104D"/>
    <w:rsid w:val="00B2106E"/>
    <w:rsid w:val="00B21103"/>
    <w:rsid w:val="00B211A9"/>
    <w:rsid w:val="00B21410"/>
    <w:rsid w:val="00B21464"/>
    <w:rsid w:val="00B216FA"/>
    <w:rsid w:val="00B21A72"/>
    <w:rsid w:val="00B21B75"/>
    <w:rsid w:val="00B21C7F"/>
    <w:rsid w:val="00B21CFC"/>
    <w:rsid w:val="00B21DBE"/>
    <w:rsid w:val="00B2242A"/>
    <w:rsid w:val="00B22841"/>
    <w:rsid w:val="00B22B96"/>
    <w:rsid w:val="00B22D7B"/>
    <w:rsid w:val="00B22F5C"/>
    <w:rsid w:val="00B2320A"/>
    <w:rsid w:val="00B2325C"/>
    <w:rsid w:val="00B23286"/>
    <w:rsid w:val="00B2333B"/>
    <w:rsid w:val="00B233E1"/>
    <w:rsid w:val="00B235C0"/>
    <w:rsid w:val="00B23643"/>
    <w:rsid w:val="00B23DD0"/>
    <w:rsid w:val="00B24136"/>
    <w:rsid w:val="00B24147"/>
    <w:rsid w:val="00B249C7"/>
    <w:rsid w:val="00B24B8E"/>
    <w:rsid w:val="00B24B93"/>
    <w:rsid w:val="00B24CB0"/>
    <w:rsid w:val="00B25124"/>
    <w:rsid w:val="00B25528"/>
    <w:rsid w:val="00B2554A"/>
    <w:rsid w:val="00B256D0"/>
    <w:rsid w:val="00B257AF"/>
    <w:rsid w:val="00B25BE9"/>
    <w:rsid w:val="00B25D89"/>
    <w:rsid w:val="00B25F98"/>
    <w:rsid w:val="00B25FD2"/>
    <w:rsid w:val="00B261B7"/>
    <w:rsid w:val="00B261E0"/>
    <w:rsid w:val="00B261E3"/>
    <w:rsid w:val="00B26590"/>
    <w:rsid w:val="00B26696"/>
    <w:rsid w:val="00B26864"/>
    <w:rsid w:val="00B26A05"/>
    <w:rsid w:val="00B26A89"/>
    <w:rsid w:val="00B26AAC"/>
    <w:rsid w:val="00B26D9D"/>
    <w:rsid w:val="00B26FBE"/>
    <w:rsid w:val="00B27796"/>
    <w:rsid w:val="00B27BEA"/>
    <w:rsid w:val="00B27C67"/>
    <w:rsid w:val="00B27D59"/>
    <w:rsid w:val="00B27F6D"/>
    <w:rsid w:val="00B30040"/>
    <w:rsid w:val="00B30082"/>
    <w:rsid w:val="00B304E6"/>
    <w:rsid w:val="00B3060E"/>
    <w:rsid w:val="00B30681"/>
    <w:rsid w:val="00B30830"/>
    <w:rsid w:val="00B30BE4"/>
    <w:rsid w:val="00B30D0A"/>
    <w:rsid w:val="00B31C3F"/>
    <w:rsid w:val="00B31E3F"/>
    <w:rsid w:val="00B320D6"/>
    <w:rsid w:val="00B324EC"/>
    <w:rsid w:val="00B3294E"/>
    <w:rsid w:val="00B3295D"/>
    <w:rsid w:val="00B33429"/>
    <w:rsid w:val="00B33650"/>
    <w:rsid w:val="00B33A4E"/>
    <w:rsid w:val="00B33C7E"/>
    <w:rsid w:val="00B33CE3"/>
    <w:rsid w:val="00B33D04"/>
    <w:rsid w:val="00B33DA8"/>
    <w:rsid w:val="00B33E15"/>
    <w:rsid w:val="00B33FB3"/>
    <w:rsid w:val="00B34111"/>
    <w:rsid w:val="00B3429C"/>
    <w:rsid w:val="00B3438E"/>
    <w:rsid w:val="00B3451A"/>
    <w:rsid w:val="00B34662"/>
    <w:rsid w:val="00B34770"/>
    <w:rsid w:val="00B347DA"/>
    <w:rsid w:val="00B348B6"/>
    <w:rsid w:val="00B34ACF"/>
    <w:rsid w:val="00B34E41"/>
    <w:rsid w:val="00B350B0"/>
    <w:rsid w:val="00B35200"/>
    <w:rsid w:val="00B352B7"/>
    <w:rsid w:val="00B35332"/>
    <w:rsid w:val="00B353A5"/>
    <w:rsid w:val="00B358BD"/>
    <w:rsid w:val="00B358DF"/>
    <w:rsid w:val="00B35992"/>
    <w:rsid w:val="00B35A64"/>
    <w:rsid w:val="00B35B17"/>
    <w:rsid w:val="00B35BBE"/>
    <w:rsid w:val="00B35CCB"/>
    <w:rsid w:val="00B35EF5"/>
    <w:rsid w:val="00B360AA"/>
    <w:rsid w:val="00B362E0"/>
    <w:rsid w:val="00B363C4"/>
    <w:rsid w:val="00B36589"/>
    <w:rsid w:val="00B36924"/>
    <w:rsid w:val="00B3695C"/>
    <w:rsid w:val="00B36B5D"/>
    <w:rsid w:val="00B36D85"/>
    <w:rsid w:val="00B36DE6"/>
    <w:rsid w:val="00B37088"/>
    <w:rsid w:val="00B371A9"/>
    <w:rsid w:val="00B373C5"/>
    <w:rsid w:val="00B37697"/>
    <w:rsid w:val="00B37748"/>
    <w:rsid w:val="00B3789F"/>
    <w:rsid w:val="00B37929"/>
    <w:rsid w:val="00B37B3D"/>
    <w:rsid w:val="00B37D2E"/>
    <w:rsid w:val="00B37EA8"/>
    <w:rsid w:val="00B37F59"/>
    <w:rsid w:val="00B400D6"/>
    <w:rsid w:val="00B4016B"/>
    <w:rsid w:val="00B40537"/>
    <w:rsid w:val="00B40792"/>
    <w:rsid w:val="00B407A0"/>
    <w:rsid w:val="00B40A83"/>
    <w:rsid w:val="00B40BA2"/>
    <w:rsid w:val="00B40EAC"/>
    <w:rsid w:val="00B40F4C"/>
    <w:rsid w:val="00B41050"/>
    <w:rsid w:val="00B413E4"/>
    <w:rsid w:val="00B417B5"/>
    <w:rsid w:val="00B4199B"/>
    <w:rsid w:val="00B41AB0"/>
    <w:rsid w:val="00B41E6E"/>
    <w:rsid w:val="00B4206D"/>
    <w:rsid w:val="00B4215B"/>
    <w:rsid w:val="00B426FD"/>
    <w:rsid w:val="00B427F2"/>
    <w:rsid w:val="00B42813"/>
    <w:rsid w:val="00B42BB3"/>
    <w:rsid w:val="00B42CD5"/>
    <w:rsid w:val="00B42DFA"/>
    <w:rsid w:val="00B43074"/>
    <w:rsid w:val="00B43145"/>
    <w:rsid w:val="00B43165"/>
    <w:rsid w:val="00B431AF"/>
    <w:rsid w:val="00B43227"/>
    <w:rsid w:val="00B433CA"/>
    <w:rsid w:val="00B43599"/>
    <w:rsid w:val="00B438B8"/>
    <w:rsid w:val="00B439B4"/>
    <w:rsid w:val="00B43B8C"/>
    <w:rsid w:val="00B43CB6"/>
    <w:rsid w:val="00B43EC7"/>
    <w:rsid w:val="00B43EDC"/>
    <w:rsid w:val="00B44134"/>
    <w:rsid w:val="00B44150"/>
    <w:rsid w:val="00B4428D"/>
    <w:rsid w:val="00B44425"/>
    <w:rsid w:val="00B44441"/>
    <w:rsid w:val="00B4454A"/>
    <w:rsid w:val="00B449C7"/>
    <w:rsid w:val="00B44DF4"/>
    <w:rsid w:val="00B44F02"/>
    <w:rsid w:val="00B44F8B"/>
    <w:rsid w:val="00B44FF5"/>
    <w:rsid w:val="00B450BB"/>
    <w:rsid w:val="00B45145"/>
    <w:rsid w:val="00B45352"/>
    <w:rsid w:val="00B45633"/>
    <w:rsid w:val="00B45D39"/>
    <w:rsid w:val="00B45D86"/>
    <w:rsid w:val="00B45E66"/>
    <w:rsid w:val="00B45E91"/>
    <w:rsid w:val="00B45FC4"/>
    <w:rsid w:val="00B46028"/>
    <w:rsid w:val="00B46137"/>
    <w:rsid w:val="00B4641B"/>
    <w:rsid w:val="00B469EE"/>
    <w:rsid w:val="00B46C4B"/>
    <w:rsid w:val="00B46DA1"/>
    <w:rsid w:val="00B46E8F"/>
    <w:rsid w:val="00B46ED5"/>
    <w:rsid w:val="00B471AD"/>
    <w:rsid w:val="00B47220"/>
    <w:rsid w:val="00B475B1"/>
    <w:rsid w:val="00B475E2"/>
    <w:rsid w:val="00B476FC"/>
    <w:rsid w:val="00B4784A"/>
    <w:rsid w:val="00B4790E"/>
    <w:rsid w:val="00B47BBF"/>
    <w:rsid w:val="00B47CCF"/>
    <w:rsid w:val="00B47E12"/>
    <w:rsid w:val="00B47E39"/>
    <w:rsid w:val="00B50148"/>
    <w:rsid w:val="00B50A44"/>
    <w:rsid w:val="00B50A48"/>
    <w:rsid w:val="00B50A5E"/>
    <w:rsid w:val="00B50B8B"/>
    <w:rsid w:val="00B50C0B"/>
    <w:rsid w:val="00B50CC8"/>
    <w:rsid w:val="00B50DF1"/>
    <w:rsid w:val="00B50EDB"/>
    <w:rsid w:val="00B50F54"/>
    <w:rsid w:val="00B511A3"/>
    <w:rsid w:val="00B5178E"/>
    <w:rsid w:val="00B51870"/>
    <w:rsid w:val="00B518AA"/>
    <w:rsid w:val="00B518DA"/>
    <w:rsid w:val="00B5190E"/>
    <w:rsid w:val="00B51924"/>
    <w:rsid w:val="00B5194D"/>
    <w:rsid w:val="00B51974"/>
    <w:rsid w:val="00B51982"/>
    <w:rsid w:val="00B519DC"/>
    <w:rsid w:val="00B52304"/>
    <w:rsid w:val="00B523C8"/>
    <w:rsid w:val="00B5241C"/>
    <w:rsid w:val="00B5244F"/>
    <w:rsid w:val="00B52648"/>
    <w:rsid w:val="00B528E8"/>
    <w:rsid w:val="00B5298C"/>
    <w:rsid w:val="00B52996"/>
    <w:rsid w:val="00B52C5E"/>
    <w:rsid w:val="00B52DD6"/>
    <w:rsid w:val="00B52E1F"/>
    <w:rsid w:val="00B52EE3"/>
    <w:rsid w:val="00B530E3"/>
    <w:rsid w:val="00B532CE"/>
    <w:rsid w:val="00B53303"/>
    <w:rsid w:val="00B534BD"/>
    <w:rsid w:val="00B53782"/>
    <w:rsid w:val="00B53A33"/>
    <w:rsid w:val="00B53A37"/>
    <w:rsid w:val="00B53B28"/>
    <w:rsid w:val="00B53EF8"/>
    <w:rsid w:val="00B54172"/>
    <w:rsid w:val="00B541E3"/>
    <w:rsid w:val="00B54284"/>
    <w:rsid w:val="00B542FD"/>
    <w:rsid w:val="00B54546"/>
    <w:rsid w:val="00B5474C"/>
    <w:rsid w:val="00B54753"/>
    <w:rsid w:val="00B54853"/>
    <w:rsid w:val="00B54971"/>
    <w:rsid w:val="00B54BE5"/>
    <w:rsid w:val="00B54F53"/>
    <w:rsid w:val="00B55481"/>
    <w:rsid w:val="00B55488"/>
    <w:rsid w:val="00B559B6"/>
    <w:rsid w:val="00B55C33"/>
    <w:rsid w:val="00B55C7C"/>
    <w:rsid w:val="00B55D52"/>
    <w:rsid w:val="00B55DC8"/>
    <w:rsid w:val="00B55E39"/>
    <w:rsid w:val="00B55EF2"/>
    <w:rsid w:val="00B562EA"/>
    <w:rsid w:val="00B563AE"/>
    <w:rsid w:val="00B5643F"/>
    <w:rsid w:val="00B5674C"/>
    <w:rsid w:val="00B56992"/>
    <w:rsid w:val="00B56D66"/>
    <w:rsid w:val="00B56ECC"/>
    <w:rsid w:val="00B5739F"/>
    <w:rsid w:val="00B57436"/>
    <w:rsid w:val="00B57AEB"/>
    <w:rsid w:val="00B57CCE"/>
    <w:rsid w:val="00B57E2C"/>
    <w:rsid w:val="00B57EA9"/>
    <w:rsid w:val="00B605AC"/>
    <w:rsid w:val="00B6066A"/>
    <w:rsid w:val="00B60696"/>
    <w:rsid w:val="00B60718"/>
    <w:rsid w:val="00B60747"/>
    <w:rsid w:val="00B607EE"/>
    <w:rsid w:val="00B608E8"/>
    <w:rsid w:val="00B6092B"/>
    <w:rsid w:val="00B60C61"/>
    <w:rsid w:val="00B60DEF"/>
    <w:rsid w:val="00B60E12"/>
    <w:rsid w:val="00B6103E"/>
    <w:rsid w:val="00B612B2"/>
    <w:rsid w:val="00B6130B"/>
    <w:rsid w:val="00B61816"/>
    <w:rsid w:val="00B61923"/>
    <w:rsid w:val="00B61A45"/>
    <w:rsid w:val="00B61B3D"/>
    <w:rsid w:val="00B61DEF"/>
    <w:rsid w:val="00B61EA9"/>
    <w:rsid w:val="00B61EC8"/>
    <w:rsid w:val="00B62026"/>
    <w:rsid w:val="00B62213"/>
    <w:rsid w:val="00B6266C"/>
    <w:rsid w:val="00B627CE"/>
    <w:rsid w:val="00B6280B"/>
    <w:rsid w:val="00B62B22"/>
    <w:rsid w:val="00B62B7D"/>
    <w:rsid w:val="00B63238"/>
    <w:rsid w:val="00B6396C"/>
    <w:rsid w:val="00B63B3F"/>
    <w:rsid w:val="00B64016"/>
    <w:rsid w:val="00B640E7"/>
    <w:rsid w:val="00B64179"/>
    <w:rsid w:val="00B642ED"/>
    <w:rsid w:val="00B6433E"/>
    <w:rsid w:val="00B64370"/>
    <w:rsid w:val="00B643C5"/>
    <w:rsid w:val="00B6457B"/>
    <w:rsid w:val="00B645C6"/>
    <w:rsid w:val="00B6480F"/>
    <w:rsid w:val="00B648BE"/>
    <w:rsid w:val="00B64DDF"/>
    <w:rsid w:val="00B64FFF"/>
    <w:rsid w:val="00B6506A"/>
    <w:rsid w:val="00B653E7"/>
    <w:rsid w:val="00B653EB"/>
    <w:rsid w:val="00B65B4C"/>
    <w:rsid w:val="00B662B0"/>
    <w:rsid w:val="00B66399"/>
    <w:rsid w:val="00B663FB"/>
    <w:rsid w:val="00B66402"/>
    <w:rsid w:val="00B6644A"/>
    <w:rsid w:val="00B669FB"/>
    <w:rsid w:val="00B66A1C"/>
    <w:rsid w:val="00B66A6A"/>
    <w:rsid w:val="00B66C9A"/>
    <w:rsid w:val="00B66FE0"/>
    <w:rsid w:val="00B6731C"/>
    <w:rsid w:val="00B67323"/>
    <w:rsid w:val="00B67434"/>
    <w:rsid w:val="00B6798D"/>
    <w:rsid w:val="00B679CA"/>
    <w:rsid w:val="00B67A25"/>
    <w:rsid w:val="00B67E66"/>
    <w:rsid w:val="00B7006E"/>
    <w:rsid w:val="00B7071E"/>
    <w:rsid w:val="00B707A6"/>
    <w:rsid w:val="00B708BB"/>
    <w:rsid w:val="00B7091A"/>
    <w:rsid w:val="00B70B12"/>
    <w:rsid w:val="00B70C0D"/>
    <w:rsid w:val="00B70DE7"/>
    <w:rsid w:val="00B71047"/>
    <w:rsid w:val="00B71369"/>
    <w:rsid w:val="00B713FB"/>
    <w:rsid w:val="00B71853"/>
    <w:rsid w:val="00B71925"/>
    <w:rsid w:val="00B71F69"/>
    <w:rsid w:val="00B72251"/>
    <w:rsid w:val="00B72800"/>
    <w:rsid w:val="00B72F1F"/>
    <w:rsid w:val="00B73194"/>
    <w:rsid w:val="00B738A7"/>
    <w:rsid w:val="00B73919"/>
    <w:rsid w:val="00B73BA4"/>
    <w:rsid w:val="00B73D89"/>
    <w:rsid w:val="00B73FC3"/>
    <w:rsid w:val="00B742F0"/>
    <w:rsid w:val="00B7434D"/>
    <w:rsid w:val="00B744DE"/>
    <w:rsid w:val="00B746FF"/>
    <w:rsid w:val="00B74CFA"/>
    <w:rsid w:val="00B74EEC"/>
    <w:rsid w:val="00B75194"/>
    <w:rsid w:val="00B75376"/>
    <w:rsid w:val="00B753A5"/>
    <w:rsid w:val="00B75446"/>
    <w:rsid w:val="00B754DE"/>
    <w:rsid w:val="00B75872"/>
    <w:rsid w:val="00B75C1A"/>
    <w:rsid w:val="00B75D85"/>
    <w:rsid w:val="00B75FC9"/>
    <w:rsid w:val="00B763A0"/>
    <w:rsid w:val="00B763AB"/>
    <w:rsid w:val="00B76496"/>
    <w:rsid w:val="00B7716B"/>
    <w:rsid w:val="00B7718E"/>
    <w:rsid w:val="00B771F1"/>
    <w:rsid w:val="00B773B2"/>
    <w:rsid w:val="00B77419"/>
    <w:rsid w:val="00B775CD"/>
    <w:rsid w:val="00B77640"/>
    <w:rsid w:val="00B777B1"/>
    <w:rsid w:val="00B77844"/>
    <w:rsid w:val="00B779A3"/>
    <w:rsid w:val="00B77BAE"/>
    <w:rsid w:val="00B77C24"/>
    <w:rsid w:val="00B77F5D"/>
    <w:rsid w:val="00B77F6D"/>
    <w:rsid w:val="00B80025"/>
    <w:rsid w:val="00B800B9"/>
    <w:rsid w:val="00B80167"/>
    <w:rsid w:val="00B80186"/>
    <w:rsid w:val="00B802E0"/>
    <w:rsid w:val="00B80D2D"/>
    <w:rsid w:val="00B80EC8"/>
    <w:rsid w:val="00B810B6"/>
    <w:rsid w:val="00B811BF"/>
    <w:rsid w:val="00B8158F"/>
    <w:rsid w:val="00B81A62"/>
    <w:rsid w:val="00B81AAB"/>
    <w:rsid w:val="00B81B10"/>
    <w:rsid w:val="00B81B3B"/>
    <w:rsid w:val="00B81C15"/>
    <w:rsid w:val="00B81CBD"/>
    <w:rsid w:val="00B82048"/>
    <w:rsid w:val="00B82967"/>
    <w:rsid w:val="00B829CE"/>
    <w:rsid w:val="00B829E1"/>
    <w:rsid w:val="00B82B8B"/>
    <w:rsid w:val="00B82BE1"/>
    <w:rsid w:val="00B82CDB"/>
    <w:rsid w:val="00B82CFD"/>
    <w:rsid w:val="00B82F1E"/>
    <w:rsid w:val="00B82FB5"/>
    <w:rsid w:val="00B83010"/>
    <w:rsid w:val="00B833B6"/>
    <w:rsid w:val="00B834F4"/>
    <w:rsid w:val="00B83846"/>
    <w:rsid w:val="00B8399E"/>
    <w:rsid w:val="00B839A4"/>
    <w:rsid w:val="00B83A5D"/>
    <w:rsid w:val="00B83DBC"/>
    <w:rsid w:val="00B83F94"/>
    <w:rsid w:val="00B83FD0"/>
    <w:rsid w:val="00B841BA"/>
    <w:rsid w:val="00B842DA"/>
    <w:rsid w:val="00B84865"/>
    <w:rsid w:val="00B84C61"/>
    <w:rsid w:val="00B84D5F"/>
    <w:rsid w:val="00B84DA0"/>
    <w:rsid w:val="00B84F09"/>
    <w:rsid w:val="00B8507B"/>
    <w:rsid w:val="00B850BB"/>
    <w:rsid w:val="00B850D4"/>
    <w:rsid w:val="00B85102"/>
    <w:rsid w:val="00B85199"/>
    <w:rsid w:val="00B851C8"/>
    <w:rsid w:val="00B85719"/>
    <w:rsid w:val="00B85927"/>
    <w:rsid w:val="00B85AFF"/>
    <w:rsid w:val="00B85EE6"/>
    <w:rsid w:val="00B86082"/>
    <w:rsid w:val="00B8629F"/>
    <w:rsid w:val="00B866B2"/>
    <w:rsid w:val="00B867FD"/>
    <w:rsid w:val="00B86828"/>
    <w:rsid w:val="00B86A4A"/>
    <w:rsid w:val="00B86AFB"/>
    <w:rsid w:val="00B86B27"/>
    <w:rsid w:val="00B86C1B"/>
    <w:rsid w:val="00B86D8D"/>
    <w:rsid w:val="00B86DE3"/>
    <w:rsid w:val="00B87628"/>
    <w:rsid w:val="00B87B62"/>
    <w:rsid w:val="00B87DF5"/>
    <w:rsid w:val="00B90522"/>
    <w:rsid w:val="00B90AAD"/>
    <w:rsid w:val="00B90C1D"/>
    <w:rsid w:val="00B90C7C"/>
    <w:rsid w:val="00B91062"/>
    <w:rsid w:val="00B91118"/>
    <w:rsid w:val="00B9111D"/>
    <w:rsid w:val="00B913A5"/>
    <w:rsid w:val="00B913F4"/>
    <w:rsid w:val="00B91477"/>
    <w:rsid w:val="00B9163B"/>
    <w:rsid w:val="00B91677"/>
    <w:rsid w:val="00B916BA"/>
    <w:rsid w:val="00B91801"/>
    <w:rsid w:val="00B9188A"/>
    <w:rsid w:val="00B9188C"/>
    <w:rsid w:val="00B920B8"/>
    <w:rsid w:val="00B9230B"/>
    <w:rsid w:val="00B92424"/>
    <w:rsid w:val="00B9266C"/>
    <w:rsid w:val="00B926D3"/>
    <w:rsid w:val="00B92A03"/>
    <w:rsid w:val="00B92A9B"/>
    <w:rsid w:val="00B92ADE"/>
    <w:rsid w:val="00B92AFD"/>
    <w:rsid w:val="00B92B1D"/>
    <w:rsid w:val="00B92CA3"/>
    <w:rsid w:val="00B92E9A"/>
    <w:rsid w:val="00B930D7"/>
    <w:rsid w:val="00B931BD"/>
    <w:rsid w:val="00B93252"/>
    <w:rsid w:val="00B935A5"/>
    <w:rsid w:val="00B93849"/>
    <w:rsid w:val="00B93930"/>
    <w:rsid w:val="00B9395B"/>
    <w:rsid w:val="00B94188"/>
    <w:rsid w:val="00B944AE"/>
    <w:rsid w:val="00B94608"/>
    <w:rsid w:val="00B94A4F"/>
    <w:rsid w:val="00B94B37"/>
    <w:rsid w:val="00B94FD2"/>
    <w:rsid w:val="00B953E8"/>
    <w:rsid w:val="00B954DF"/>
    <w:rsid w:val="00B956AB"/>
    <w:rsid w:val="00B957F6"/>
    <w:rsid w:val="00B958E1"/>
    <w:rsid w:val="00B959EB"/>
    <w:rsid w:val="00B95BC4"/>
    <w:rsid w:val="00B96265"/>
    <w:rsid w:val="00B9633E"/>
    <w:rsid w:val="00B96567"/>
    <w:rsid w:val="00B9659D"/>
    <w:rsid w:val="00B96619"/>
    <w:rsid w:val="00B967F5"/>
    <w:rsid w:val="00B9696C"/>
    <w:rsid w:val="00B96D38"/>
    <w:rsid w:val="00B96D39"/>
    <w:rsid w:val="00B96DF6"/>
    <w:rsid w:val="00B96ED6"/>
    <w:rsid w:val="00B96F4F"/>
    <w:rsid w:val="00B97462"/>
    <w:rsid w:val="00B97562"/>
    <w:rsid w:val="00B97739"/>
    <w:rsid w:val="00B979AD"/>
    <w:rsid w:val="00B97CBB"/>
    <w:rsid w:val="00B97CD6"/>
    <w:rsid w:val="00B97EE2"/>
    <w:rsid w:val="00BA01A0"/>
    <w:rsid w:val="00BA07F5"/>
    <w:rsid w:val="00BA0875"/>
    <w:rsid w:val="00BA09B3"/>
    <w:rsid w:val="00BA0C1C"/>
    <w:rsid w:val="00BA0D39"/>
    <w:rsid w:val="00BA0F50"/>
    <w:rsid w:val="00BA0F54"/>
    <w:rsid w:val="00BA1020"/>
    <w:rsid w:val="00BA115C"/>
    <w:rsid w:val="00BA1239"/>
    <w:rsid w:val="00BA12D2"/>
    <w:rsid w:val="00BA135B"/>
    <w:rsid w:val="00BA15D7"/>
    <w:rsid w:val="00BA171C"/>
    <w:rsid w:val="00BA1723"/>
    <w:rsid w:val="00BA188C"/>
    <w:rsid w:val="00BA1A0D"/>
    <w:rsid w:val="00BA1C90"/>
    <w:rsid w:val="00BA1CD3"/>
    <w:rsid w:val="00BA1D71"/>
    <w:rsid w:val="00BA1DDF"/>
    <w:rsid w:val="00BA1E4B"/>
    <w:rsid w:val="00BA1F5A"/>
    <w:rsid w:val="00BA257B"/>
    <w:rsid w:val="00BA26F7"/>
    <w:rsid w:val="00BA2763"/>
    <w:rsid w:val="00BA27C3"/>
    <w:rsid w:val="00BA27DF"/>
    <w:rsid w:val="00BA2B49"/>
    <w:rsid w:val="00BA2DDB"/>
    <w:rsid w:val="00BA3194"/>
    <w:rsid w:val="00BA32BA"/>
    <w:rsid w:val="00BA34F7"/>
    <w:rsid w:val="00BA37AE"/>
    <w:rsid w:val="00BA3854"/>
    <w:rsid w:val="00BA387C"/>
    <w:rsid w:val="00BA3897"/>
    <w:rsid w:val="00BA3A32"/>
    <w:rsid w:val="00BA3CD6"/>
    <w:rsid w:val="00BA3E04"/>
    <w:rsid w:val="00BA3E62"/>
    <w:rsid w:val="00BA4051"/>
    <w:rsid w:val="00BA4052"/>
    <w:rsid w:val="00BA4119"/>
    <w:rsid w:val="00BA41B7"/>
    <w:rsid w:val="00BA42A8"/>
    <w:rsid w:val="00BA44CB"/>
    <w:rsid w:val="00BA476D"/>
    <w:rsid w:val="00BA4DBA"/>
    <w:rsid w:val="00BA528D"/>
    <w:rsid w:val="00BA5399"/>
    <w:rsid w:val="00BA5426"/>
    <w:rsid w:val="00BA5590"/>
    <w:rsid w:val="00BA55AD"/>
    <w:rsid w:val="00BA5910"/>
    <w:rsid w:val="00BA5DAD"/>
    <w:rsid w:val="00BA5ED0"/>
    <w:rsid w:val="00BA602C"/>
    <w:rsid w:val="00BA62B6"/>
    <w:rsid w:val="00BA65F3"/>
    <w:rsid w:val="00BA672B"/>
    <w:rsid w:val="00BA684B"/>
    <w:rsid w:val="00BA691C"/>
    <w:rsid w:val="00BA6EA8"/>
    <w:rsid w:val="00BA708F"/>
    <w:rsid w:val="00BA70F9"/>
    <w:rsid w:val="00BA7368"/>
    <w:rsid w:val="00BA7474"/>
    <w:rsid w:val="00BA747D"/>
    <w:rsid w:val="00BA7723"/>
    <w:rsid w:val="00BA7750"/>
    <w:rsid w:val="00BA7917"/>
    <w:rsid w:val="00BA7AF3"/>
    <w:rsid w:val="00BA7B4D"/>
    <w:rsid w:val="00BA7F2B"/>
    <w:rsid w:val="00BA7F5B"/>
    <w:rsid w:val="00BB0069"/>
    <w:rsid w:val="00BB0129"/>
    <w:rsid w:val="00BB01B9"/>
    <w:rsid w:val="00BB0287"/>
    <w:rsid w:val="00BB0510"/>
    <w:rsid w:val="00BB05A3"/>
    <w:rsid w:val="00BB05F3"/>
    <w:rsid w:val="00BB0620"/>
    <w:rsid w:val="00BB0637"/>
    <w:rsid w:val="00BB0753"/>
    <w:rsid w:val="00BB07A4"/>
    <w:rsid w:val="00BB07E7"/>
    <w:rsid w:val="00BB0BEB"/>
    <w:rsid w:val="00BB0C6E"/>
    <w:rsid w:val="00BB0E23"/>
    <w:rsid w:val="00BB0E57"/>
    <w:rsid w:val="00BB10DE"/>
    <w:rsid w:val="00BB13C2"/>
    <w:rsid w:val="00BB14CA"/>
    <w:rsid w:val="00BB17AD"/>
    <w:rsid w:val="00BB184B"/>
    <w:rsid w:val="00BB1A69"/>
    <w:rsid w:val="00BB1CEA"/>
    <w:rsid w:val="00BB21C5"/>
    <w:rsid w:val="00BB2401"/>
    <w:rsid w:val="00BB2481"/>
    <w:rsid w:val="00BB2516"/>
    <w:rsid w:val="00BB2696"/>
    <w:rsid w:val="00BB26BB"/>
    <w:rsid w:val="00BB282D"/>
    <w:rsid w:val="00BB2BC4"/>
    <w:rsid w:val="00BB2CEF"/>
    <w:rsid w:val="00BB3172"/>
    <w:rsid w:val="00BB346C"/>
    <w:rsid w:val="00BB3549"/>
    <w:rsid w:val="00BB3681"/>
    <w:rsid w:val="00BB394B"/>
    <w:rsid w:val="00BB3C11"/>
    <w:rsid w:val="00BB41A4"/>
    <w:rsid w:val="00BB426B"/>
    <w:rsid w:val="00BB4477"/>
    <w:rsid w:val="00BB477C"/>
    <w:rsid w:val="00BB49E5"/>
    <w:rsid w:val="00BB4B95"/>
    <w:rsid w:val="00BB4CC1"/>
    <w:rsid w:val="00BB527E"/>
    <w:rsid w:val="00BB53EA"/>
    <w:rsid w:val="00BB556E"/>
    <w:rsid w:val="00BB5629"/>
    <w:rsid w:val="00BB5757"/>
    <w:rsid w:val="00BB5CB1"/>
    <w:rsid w:val="00BB5E5F"/>
    <w:rsid w:val="00BB60BF"/>
    <w:rsid w:val="00BB6654"/>
    <w:rsid w:val="00BB680A"/>
    <w:rsid w:val="00BB69E3"/>
    <w:rsid w:val="00BB6D2A"/>
    <w:rsid w:val="00BB6D6E"/>
    <w:rsid w:val="00BB6D78"/>
    <w:rsid w:val="00BB6E14"/>
    <w:rsid w:val="00BB6EA2"/>
    <w:rsid w:val="00BB6F26"/>
    <w:rsid w:val="00BB728F"/>
    <w:rsid w:val="00BB7392"/>
    <w:rsid w:val="00BB75F4"/>
    <w:rsid w:val="00BB777D"/>
    <w:rsid w:val="00BB784B"/>
    <w:rsid w:val="00BB7902"/>
    <w:rsid w:val="00BB7996"/>
    <w:rsid w:val="00BB79BE"/>
    <w:rsid w:val="00BB7C51"/>
    <w:rsid w:val="00BB7CE9"/>
    <w:rsid w:val="00BB7D10"/>
    <w:rsid w:val="00BB7E9E"/>
    <w:rsid w:val="00BC0244"/>
    <w:rsid w:val="00BC0271"/>
    <w:rsid w:val="00BC08FA"/>
    <w:rsid w:val="00BC0B9E"/>
    <w:rsid w:val="00BC1060"/>
    <w:rsid w:val="00BC10B5"/>
    <w:rsid w:val="00BC1294"/>
    <w:rsid w:val="00BC138B"/>
    <w:rsid w:val="00BC1450"/>
    <w:rsid w:val="00BC153D"/>
    <w:rsid w:val="00BC16C6"/>
    <w:rsid w:val="00BC1715"/>
    <w:rsid w:val="00BC19FF"/>
    <w:rsid w:val="00BC1B5B"/>
    <w:rsid w:val="00BC1C03"/>
    <w:rsid w:val="00BC240B"/>
    <w:rsid w:val="00BC257B"/>
    <w:rsid w:val="00BC2737"/>
    <w:rsid w:val="00BC2D09"/>
    <w:rsid w:val="00BC2E13"/>
    <w:rsid w:val="00BC35C3"/>
    <w:rsid w:val="00BC384A"/>
    <w:rsid w:val="00BC3D6E"/>
    <w:rsid w:val="00BC3E46"/>
    <w:rsid w:val="00BC401D"/>
    <w:rsid w:val="00BC4087"/>
    <w:rsid w:val="00BC40AE"/>
    <w:rsid w:val="00BC44B2"/>
    <w:rsid w:val="00BC455C"/>
    <w:rsid w:val="00BC4CD7"/>
    <w:rsid w:val="00BC4FD1"/>
    <w:rsid w:val="00BC4FE5"/>
    <w:rsid w:val="00BC518F"/>
    <w:rsid w:val="00BC51C3"/>
    <w:rsid w:val="00BC60DF"/>
    <w:rsid w:val="00BC6273"/>
    <w:rsid w:val="00BC6446"/>
    <w:rsid w:val="00BC64F2"/>
    <w:rsid w:val="00BC658E"/>
    <w:rsid w:val="00BC673E"/>
    <w:rsid w:val="00BC693E"/>
    <w:rsid w:val="00BC694A"/>
    <w:rsid w:val="00BC697C"/>
    <w:rsid w:val="00BC6A7B"/>
    <w:rsid w:val="00BC6BB6"/>
    <w:rsid w:val="00BC6DEB"/>
    <w:rsid w:val="00BC702C"/>
    <w:rsid w:val="00BC7588"/>
    <w:rsid w:val="00BC758C"/>
    <w:rsid w:val="00BC7805"/>
    <w:rsid w:val="00BC7A87"/>
    <w:rsid w:val="00BC7CF0"/>
    <w:rsid w:val="00BC7DFA"/>
    <w:rsid w:val="00BD036C"/>
    <w:rsid w:val="00BD0417"/>
    <w:rsid w:val="00BD0A4B"/>
    <w:rsid w:val="00BD0D30"/>
    <w:rsid w:val="00BD10D9"/>
    <w:rsid w:val="00BD14D5"/>
    <w:rsid w:val="00BD1554"/>
    <w:rsid w:val="00BD1699"/>
    <w:rsid w:val="00BD1C24"/>
    <w:rsid w:val="00BD1CC1"/>
    <w:rsid w:val="00BD1E35"/>
    <w:rsid w:val="00BD2537"/>
    <w:rsid w:val="00BD26D8"/>
    <w:rsid w:val="00BD2984"/>
    <w:rsid w:val="00BD316E"/>
    <w:rsid w:val="00BD32C4"/>
    <w:rsid w:val="00BD3442"/>
    <w:rsid w:val="00BD3725"/>
    <w:rsid w:val="00BD399D"/>
    <w:rsid w:val="00BD3B6F"/>
    <w:rsid w:val="00BD3B7A"/>
    <w:rsid w:val="00BD3D68"/>
    <w:rsid w:val="00BD3E11"/>
    <w:rsid w:val="00BD43F0"/>
    <w:rsid w:val="00BD47C6"/>
    <w:rsid w:val="00BD4A1F"/>
    <w:rsid w:val="00BD4A65"/>
    <w:rsid w:val="00BD4C62"/>
    <w:rsid w:val="00BD4D47"/>
    <w:rsid w:val="00BD51D0"/>
    <w:rsid w:val="00BD526A"/>
    <w:rsid w:val="00BD53AD"/>
    <w:rsid w:val="00BD53D1"/>
    <w:rsid w:val="00BD5688"/>
    <w:rsid w:val="00BD5970"/>
    <w:rsid w:val="00BD59C4"/>
    <w:rsid w:val="00BD5A2A"/>
    <w:rsid w:val="00BD5B75"/>
    <w:rsid w:val="00BD5CCA"/>
    <w:rsid w:val="00BD605E"/>
    <w:rsid w:val="00BD607A"/>
    <w:rsid w:val="00BD6267"/>
    <w:rsid w:val="00BD6BCD"/>
    <w:rsid w:val="00BD6BFE"/>
    <w:rsid w:val="00BD6DA4"/>
    <w:rsid w:val="00BD6DAE"/>
    <w:rsid w:val="00BD7AE5"/>
    <w:rsid w:val="00BE0484"/>
    <w:rsid w:val="00BE06DA"/>
    <w:rsid w:val="00BE08C7"/>
    <w:rsid w:val="00BE0D05"/>
    <w:rsid w:val="00BE106B"/>
    <w:rsid w:val="00BE10DC"/>
    <w:rsid w:val="00BE1365"/>
    <w:rsid w:val="00BE13E2"/>
    <w:rsid w:val="00BE1A23"/>
    <w:rsid w:val="00BE1C63"/>
    <w:rsid w:val="00BE1DA5"/>
    <w:rsid w:val="00BE1FBE"/>
    <w:rsid w:val="00BE264A"/>
    <w:rsid w:val="00BE2881"/>
    <w:rsid w:val="00BE2C38"/>
    <w:rsid w:val="00BE32D4"/>
    <w:rsid w:val="00BE35A7"/>
    <w:rsid w:val="00BE3970"/>
    <w:rsid w:val="00BE3ABE"/>
    <w:rsid w:val="00BE3B3E"/>
    <w:rsid w:val="00BE3BB7"/>
    <w:rsid w:val="00BE410E"/>
    <w:rsid w:val="00BE41A0"/>
    <w:rsid w:val="00BE42AD"/>
    <w:rsid w:val="00BE4338"/>
    <w:rsid w:val="00BE4359"/>
    <w:rsid w:val="00BE456B"/>
    <w:rsid w:val="00BE4784"/>
    <w:rsid w:val="00BE4AEF"/>
    <w:rsid w:val="00BE4B44"/>
    <w:rsid w:val="00BE4C97"/>
    <w:rsid w:val="00BE506D"/>
    <w:rsid w:val="00BE52DE"/>
    <w:rsid w:val="00BE53DE"/>
    <w:rsid w:val="00BE556E"/>
    <w:rsid w:val="00BE6103"/>
    <w:rsid w:val="00BE61A9"/>
    <w:rsid w:val="00BE61FA"/>
    <w:rsid w:val="00BE66B5"/>
    <w:rsid w:val="00BE6AF8"/>
    <w:rsid w:val="00BE6C56"/>
    <w:rsid w:val="00BE6DB0"/>
    <w:rsid w:val="00BE6E55"/>
    <w:rsid w:val="00BE6E61"/>
    <w:rsid w:val="00BE6E7E"/>
    <w:rsid w:val="00BE7074"/>
    <w:rsid w:val="00BE725C"/>
    <w:rsid w:val="00BE77C3"/>
    <w:rsid w:val="00BE79BD"/>
    <w:rsid w:val="00BE7ADC"/>
    <w:rsid w:val="00BE7B8B"/>
    <w:rsid w:val="00BE7EF8"/>
    <w:rsid w:val="00BF00AB"/>
    <w:rsid w:val="00BF0623"/>
    <w:rsid w:val="00BF0C46"/>
    <w:rsid w:val="00BF0CF1"/>
    <w:rsid w:val="00BF0EAA"/>
    <w:rsid w:val="00BF11D9"/>
    <w:rsid w:val="00BF191D"/>
    <w:rsid w:val="00BF1C2C"/>
    <w:rsid w:val="00BF1F7B"/>
    <w:rsid w:val="00BF1FA7"/>
    <w:rsid w:val="00BF23BA"/>
    <w:rsid w:val="00BF2510"/>
    <w:rsid w:val="00BF25CD"/>
    <w:rsid w:val="00BF265A"/>
    <w:rsid w:val="00BF2B26"/>
    <w:rsid w:val="00BF2DF1"/>
    <w:rsid w:val="00BF2E1A"/>
    <w:rsid w:val="00BF2FF2"/>
    <w:rsid w:val="00BF304D"/>
    <w:rsid w:val="00BF3127"/>
    <w:rsid w:val="00BF3352"/>
    <w:rsid w:val="00BF35D7"/>
    <w:rsid w:val="00BF369E"/>
    <w:rsid w:val="00BF370D"/>
    <w:rsid w:val="00BF39A3"/>
    <w:rsid w:val="00BF3ADA"/>
    <w:rsid w:val="00BF3B1D"/>
    <w:rsid w:val="00BF3B2F"/>
    <w:rsid w:val="00BF3B3F"/>
    <w:rsid w:val="00BF3B44"/>
    <w:rsid w:val="00BF4728"/>
    <w:rsid w:val="00BF4A28"/>
    <w:rsid w:val="00BF5628"/>
    <w:rsid w:val="00BF56CE"/>
    <w:rsid w:val="00BF5713"/>
    <w:rsid w:val="00BF5938"/>
    <w:rsid w:val="00BF5ABA"/>
    <w:rsid w:val="00BF5B5A"/>
    <w:rsid w:val="00BF602E"/>
    <w:rsid w:val="00BF6402"/>
    <w:rsid w:val="00BF6459"/>
    <w:rsid w:val="00BF65B5"/>
    <w:rsid w:val="00BF66E8"/>
    <w:rsid w:val="00BF6835"/>
    <w:rsid w:val="00BF68DD"/>
    <w:rsid w:val="00BF6BAC"/>
    <w:rsid w:val="00BF6C5E"/>
    <w:rsid w:val="00BF6C8F"/>
    <w:rsid w:val="00BF6D29"/>
    <w:rsid w:val="00BF6F9E"/>
    <w:rsid w:val="00BF70C7"/>
    <w:rsid w:val="00BF7125"/>
    <w:rsid w:val="00BF72A1"/>
    <w:rsid w:val="00BF7569"/>
    <w:rsid w:val="00BF78DC"/>
    <w:rsid w:val="00BF7A64"/>
    <w:rsid w:val="00BF7A79"/>
    <w:rsid w:val="00BF7CE7"/>
    <w:rsid w:val="00BF7FC4"/>
    <w:rsid w:val="00C0004D"/>
    <w:rsid w:val="00C002D6"/>
    <w:rsid w:val="00C00357"/>
    <w:rsid w:val="00C0099B"/>
    <w:rsid w:val="00C00CF1"/>
    <w:rsid w:val="00C00E1F"/>
    <w:rsid w:val="00C01194"/>
    <w:rsid w:val="00C0119C"/>
    <w:rsid w:val="00C01627"/>
    <w:rsid w:val="00C0193C"/>
    <w:rsid w:val="00C019DF"/>
    <w:rsid w:val="00C01A23"/>
    <w:rsid w:val="00C01BE1"/>
    <w:rsid w:val="00C01DF7"/>
    <w:rsid w:val="00C01E04"/>
    <w:rsid w:val="00C01E79"/>
    <w:rsid w:val="00C02218"/>
    <w:rsid w:val="00C023F8"/>
    <w:rsid w:val="00C025F1"/>
    <w:rsid w:val="00C02690"/>
    <w:rsid w:val="00C02997"/>
    <w:rsid w:val="00C02C32"/>
    <w:rsid w:val="00C02C9D"/>
    <w:rsid w:val="00C03348"/>
    <w:rsid w:val="00C034A8"/>
    <w:rsid w:val="00C035D0"/>
    <w:rsid w:val="00C0362B"/>
    <w:rsid w:val="00C03732"/>
    <w:rsid w:val="00C03777"/>
    <w:rsid w:val="00C03A17"/>
    <w:rsid w:val="00C03AE4"/>
    <w:rsid w:val="00C03BA4"/>
    <w:rsid w:val="00C03CF8"/>
    <w:rsid w:val="00C03F3B"/>
    <w:rsid w:val="00C03FE5"/>
    <w:rsid w:val="00C0442B"/>
    <w:rsid w:val="00C044B5"/>
    <w:rsid w:val="00C046B2"/>
    <w:rsid w:val="00C0475D"/>
    <w:rsid w:val="00C04B47"/>
    <w:rsid w:val="00C04B83"/>
    <w:rsid w:val="00C04CD3"/>
    <w:rsid w:val="00C04D51"/>
    <w:rsid w:val="00C04DE2"/>
    <w:rsid w:val="00C04E87"/>
    <w:rsid w:val="00C05413"/>
    <w:rsid w:val="00C054C3"/>
    <w:rsid w:val="00C05743"/>
    <w:rsid w:val="00C05C36"/>
    <w:rsid w:val="00C0604E"/>
    <w:rsid w:val="00C06091"/>
    <w:rsid w:val="00C060C6"/>
    <w:rsid w:val="00C0616E"/>
    <w:rsid w:val="00C063B5"/>
    <w:rsid w:val="00C06627"/>
    <w:rsid w:val="00C066BA"/>
    <w:rsid w:val="00C06939"/>
    <w:rsid w:val="00C06B1C"/>
    <w:rsid w:val="00C07456"/>
    <w:rsid w:val="00C074E3"/>
    <w:rsid w:val="00C077E2"/>
    <w:rsid w:val="00C07950"/>
    <w:rsid w:val="00C07A4A"/>
    <w:rsid w:val="00C07B02"/>
    <w:rsid w:val="00C07D6C"/>
    <w:rsid w:val="00C07DD8"/>
    <w:rsid w:val="00C07EFF"/>
    <w:rsid w:val="00C10009"/>
    <w:rsid w:val="00C100A1"/>
    <w:rsid w:val="00C103B1"/>
    <w:rsid w:val="00C1096D"/>
    <w:rsid w:val="00C10ACB"/>
    <w:rsid w:val="00C11205"/>
    <w:rsid w:val="00C1127D"/>
    <w:rsid w:val="00C1145D"/>
    <w:rsid w:val="00C11534"/>
    <w:rsid w:val="00C115DD"/>
    <w:rsid w:val="00C118D4"/>
    <w:rsid w:val="00C11A48"/>
    <w:rsid w:val="00C11BED"/>
    <w:rsid w:val="00C121C9"/>
    <w:rsid w:val="00C1272A"/>
    <w:rsid w:val="00C12A19"/>
    <w:rsid w:val="00C12A78"/>
    <w:rsid w:val="00C12ABF"/>
    <w:rsid w:val="00C12DFE"/>
    <w:rsid w:val="00C12E03"/>
    <w:rsid w:val="00C12EC4"/>
    <w:rsid w:val="00C1314C"/>
    <w:rsid w:val="00C13250"/>
    <w:rsid w:val="00C13267"/>
    <w:rsid w:val="00C13442"/>
    <w:rsid w:val="00C1348C"/>
    <w:rsid w:val="00C1360F"/>
    <w:rsid w:val="00C1395E"/>
    <w:rsid w:val="00C13A69"/>
    <w:rsid w:val="00C13B53"/>
    <w:rsid w:val="00C13B7B"/>
    <w:rsid w:val="00C13E7D"/>
    <w:rsid w:val="00C13FA3"/>
    <w:rsid w:val="00C14837"/>
    <w:rsid w:val="00C14A57"/>
    <w:rsid w:val="00C14A9A"/>
    <w:rsid w:val="00C14AF7"/>
    <w:rsid w:val="00C14B3D"/>
    <w:rsid w:val="00C14B54"/>
    <w:rsid w:val="00C14FBE"/>
    <w:rsid w:val="00C151A5"/>
    <w:rsid w:val="00C151E3"/>
    <w:rsid w:val="00C15217"/>
    <w:rsid w:val="00C15443"/>
    <w:rsid w:val="00C1562C"/>
    <w:rsid w:val="00C15BEA"/>
    <w:rsid w:val="00C15D60"/>
    <w:rsid w:val="00C15E70"/>
    <w:rsid w:val="00C15EF9"/>
    <w:rsid w:val="00C160C0"/>
    <w:rsid w:val="00C1615F"/>
    <w:rsid w:val="00C16297"/>
    <w:rsid w:val="00C169E7"/>
    <w:rsid w:val="00C16BCE"/>
    <w:rsid w:val="00C16CB9"/>
    <w:rsid w:val="00C16D74"/>
    <w:rsid w:val="00C16F14"/>
    <w:rsid w:val="00C17271"/>
    <w:rsid w:val="00C1757F"/>
    <w:rsid w:val="00C176E7"/>
    <w:rsid w:val="00C178FF"/>
    <w:rsid w:val="00C1799E"/>
    <w:rsid w:val="00C17D29"/>
    <w:rsid w:val="00C20017"/>
    <w:rsid w:val="00C2030C"/>
    <w:rsid w:val="00C20A47"/>
    <w:rsid w:val="00C20CC7"/>
    <w:rsid w:val="00C20CD1"/>
    <w:rsid w:val="00C20E9D"/>
    <w:rsid w:val="00C20F2D"/>
    <w:rsid w:val="00C210DE"/>
    <w:rsid w:val="00C21109"/>
    <w:rsid w:val="00C2110C"/>
    <w:rsid w:val="00C217A0"/>
    <w:rsid w:val="00C21DBC"/>
    <w:rsid w:val="00C21EE3"/>
    <w:rsid w:val="00C21F31"/>
    <w:rsid w:val="00C2200E"/>
    <w:rsid w:val="00C2237D"/>
    <w:rsid w:val="00C2269A"/>
    <w:rsid w:val="00C2289A"/>
    <w:rsid w:val="00C22A39"/>
    <w:rsid w:val="00C22B6D"/>
    <w:rsid w:val="00C22CEB"/>
    <w:rsid w:val="00C22FCC"/>
    <w:rsid w:val="00C23023"/>
    <w:rsid w:val="00C2343E"/>
    <w:rsid w:val="00C23920"/>
    <w:rsid w:val="00C239C7"/>
    <w:rsid w:val="00C23AC2"/>
    <w:rsid w:val="00C23B79"/>
    <w:rsid w:val="00C23DD3"/>
    <w:rsid w:val="00C23E67"/>
    <w:rsid w:val="00C23F99"/>
    <w:rsid w:val="00C24118"/>
    <w:rsid w:val="00C241BF"/>
    <w:rsid w:val="00C24258"/>
    <w:rsid w:val="00C2472F"/>
    <w:rsid w:val="00C2484B"/>
    <w:rsid w:val="00C24853"/>
    <w:rsid w:val="00C24B31"/>
    <w:rsid w:val="00C2538F"/>
    <w:rsid w:val="00C2554C"/>
    <w:rsid w:val="00C257B5"/>
    <w:rsid w:val="00C25911"/>
    <w:rsid w:val="00C25A83"/>
    <w:rsid w:val="00C25B1F"/>
    <w:rsid w:val="00C25E00"/>
    <w:rsid w:val="00C25E1C"/>
    <w:rsid w:val="00C25E4E"/>
    <w:rsid w:val="00C25EAC"/>
    <w:rsid w:val="00C261E3"/>
    <w:rsid w:val="00C262CF"/>
    <w:rsid w:val="00C26410"/>
    <w:rsid w:val="00C2653E"/>
    <w:rsid w:val="00C26870"/>
    <w:rsid w:val="00C26B28"/>
    <w:rsid w:val="00C26E47"/>
    <w:rsid w:val="00C26F13"/>
    <w:rsid w:val="00C273C4"/>
    <w:rsid w:val="00C274D2"/>
    <w:rsid w:val="00C27BF8"/>
    <w:rsid w:val="00C27E79"/>
    <w:rsid w:val="00C3018C"/>
    <w:rsid w:val="00C302BF"/>
    <w:rsid w:val="00C30565"/>
    <w:rsid w:val="00C309D4"/>
    <w:rsid w:val="00C30CD6"/>
    <w:rsid w:val="00C30F0D"/>
    <w:rsid w:val="00C3106A"/>
    <w:rsid w:val="00C3126C"/>
    <w:rsid w:val="00C312F5"/>
    <w:rsid w:val="00C3148B"/>
    <w:rsid w:val="00C31680"/>
    <w:rsid w:val="00C31713"/>
    <w:rsid w:val="00C31778"/>
    <w:rsid w:val="00C31C33"/>
    <w:rsid w:val="00C31D79"/>
    <w:rsid w:val="00C31FA7"/>
    <w:rsid w:val="00C320D9"/>
    <w:rsid w:val="00C32129"/>
    <w:rsid w:val="00C32497"/>
    <w:rsid w:val="00C32617"/>
    <w:rsid w:val="00C3311F"/>
    <w:rsid w:val="00C33168"/>
    <w:rsid w:val="00C33219"/>
    <w:rsid w:val="00C33276"/>
    <w:rsid w:val="00C33446"/>
    <w:rsid w:val="00C3357E"/>
    <w:rsid w:val="00C335F4"/>
    <w:rsid w:val="00C33609"/>
    <w:rsid w:val="00C337C8"/>
    <w:rsid w:val="00C337FE"/>
    <w:rsid w:val="00C33805"/>
    <w:rsid w:val="00C338C2"/>
    <w:rsid w:val="00C33C02"/>
    <w:rsid w:val="00C33C9F"/>
    <w:rsid w:val="00C33FAD"/>
    <w:rsid w:val="00C3436B"/>
    <w:rsid w:val="00C34378"/>
    <w:rsid w:val="00C34464"/>
    <w:rsid w:val="00C34468"/>
    <w:rsid w:val="00C34500"/>
    <w:rsid w:val="00C34509"/>
    <w:rsid w:val="00C347A5"/>
    <w:rsid w:val="00C34B19"/>
    <w:rsid w:val="00C34C25"/>
    <w:rsid w:val="00C34CA2"/>
    <w:rsid w:val="00C34CBE"/>
    <w:rsid w:val="00C34EF6"/>
    <w:rsid w:val="00C34F29"/>
    <w:rsid w:val="00C35287"/>
    <w:rsid w:val="00C3548F"/>
    <w:rsid w:val="00C358F5"/>
    <w:rsid w:val="00C35E87"/>
    <w:rsid w:val="00C35EF4"/>
    <w:rsid w:val="00C35F97"/>
    <w:rsid w:val="00C360A6"/>
    <w:rsid w:val="00C360F1"/>
    <w:rsid w:val="00C36156"/>
    <w:rsid w:val="00C36161"/>
    <w:rsid w:val="00C363DE"/>
    <w:rsid w:val="00C364DC"/>
    <w:rsid w:val="00C36A21"/>
    <w:rsid w:val="00C36A6C"/>
    <w:rsid w:val="00C36C0C"/>
    <w:rsid w:val="00C36F43"/>
    <w:rsid w:val="00C3735B"/>
    <w:rsid w:val="00C37443"/>
    <w:rsid w:val="00C375D4"/>
    <w:rsid w:val="00C37609"/>
    <w:rsid w:val="00C378DA"/>
    <w:rsid w:val="00C3793B"/>
    <w:rsid w:val="00C37D9F"/>
    <w:rsid w:val="00C37F15"/>
    <w:rsid w:val="00C400FE"/>
    <w:rsid w:val="00C40600"/>
    <w:rsid w:val="00C407DC"/>
    <w:rsid w:val="00C409DF"/>
    <w:rsid w:val="00C409E1"/>
    <w:rsid w:val="00C40A36"/>
    <w:rsid w:val="00C40D00"/>
    <w:rsid w:val="00C40D6F"/>
    <w:rsid w:val="00C40F2B"/>
    <w:rsid w:val="00C40F42"/>
    <w:rsid w:val="00C4136D"/>
    <w:rsid w:val="00C4138F"/>
    <w:rsid w:val="00C4157C"/>
    <w:rsid w:val="00C4199E"/>
    <w:rsid w:val="00C41B5A"/>
    <w:rsid w:val="00C41E38"/>
    <w:rsid w:val="00C41F7B"/>
    <w:rsid w:val="00C4209F"/>
    <w:rsid w:val="00C4223A"/>
    <w:rsid w:val="00C422DB"/>
    <w:rsid w:val="00C4265C"/>
    <w:rsid w:val="00C42755"/>
    <w:rsid w:val="00C427F9"/>
    <w:rsid w:val="00C428B4"/>
    <w:rsid w:val="00C42BBD"/>
    <w:rsid w:val="00C42C67"/>
    <w:rsid w:val="00C42D2E"/>
    <w:rsid w:val="00C42E2C"/>
    <w:rsid w:val="00C433AE"/>
    <w:rsid w:val="00C433CA"/>
    <w:rsid w:val="00C43672"/>
    <w:rsid w:val="00C43706"/>
    <w:rsid w:val="00C437E1"/>
    <w:rsid w:val="00C438B2"/>
    <w:rsid w:val="00C43BCE"/>
    <w:rsid w:val="00C43C76"/>
    <w:rsid w:val="00C43C83"/>
    <w:rsid w:val="00C43DB7"/>
    <w:rsid w:val="00C4411D"/>
    <w:rsid w:val="00C44534"/>
    <w:rsid w:val="00C44694"/>
    <w:rsid w:val="00C448B9"/>
    <w:rsid w:val="00C44B1C"/>
    <w:rsid w:val="00C457B0"/>
    <w:rsid w:val="00C45A1E"/>
    <w:rsid w:val="00C45A34"/>
    <w:rsid w:val="00C45AC4"/>
    <w:rsid w:val="00C461CA"/>
    <w:rsid w:val="00C46507"/>
    <w:rsid w:val="00C465C9"/>
    <w:rsid w:val="00C465D3"/>
    <w:rsid w:val="00C4683D"/>
    <w:rsid w:val="00C46936"/>
    <w:rsid w:val="00C46A42"/>
    <w:rsid w:val="00C46B2B"/>
    <w:rsid w:val="00C46EB8"/>
    <w:rsid w:val="00C470D2"/>
    <w:rsid w:val="00C47493"/>
    <w:rsid w:val="00C47BEE"/>
    <w:rsid w:val="00C47C4E"/>
    <w:rsid w:val="00C47E1B"/>
    <w:rsid w:val="00C47E9B"/>
    <w:rsid w:val="00C5006B"/>
    <w:rsid w:val="00C503FF"/>
    <w:rsid w:val="00C50708"/>
    <w:rsid w:val="00C50A50"/>
    <w:rsid w:val="00C5112F"/>
    <w:rsid w:val="00C5143A"/>
    <w:rsid w:val="00C51520"/>
    <w:rsid w:val="00C5160C"/>
    <w:rsid w:val="00C51709"/>
    <w:rsid w:val="00C519E8"/>
    <w:rsid w:val="00C51D3C"/>
    <w:rsid w:val="00C51DA0"/>
    <w:rsid w:val="00C51F19"/>
    <w:rsid w:val="00C522CF"/>
    <w:rsid w:val="00C52384"/>
    <w:rsid w:val="00C52457"/>
    <w:rsid w:val="00C52469"/>
    <w:rsid w:val="00C52655"/>
    <w:rsid w:val="00C529E5"/>
    <w:rsid w:val="00C52AE1"/>
    <w:rsid w:val="00C52B2B"/>
    <w:rsid w:val="00C52C7D"/>
    <w:rsid w:val="00C52CB6"/>
    <w:rsid w:val="00C52F50"/>
    <w:rsid w:val="00C5313E"/>
    <w:rsid w:val="00C53582"/>
    <w:rsid w:val="00C535AA"/>
    <w:rsid w:val="00C53674"/>
    <w:rsid w:val="00C5397A"/>
    <w:rsid w:val="00C53A0B"/>
    <w:rsid w:val="00C53B14"/>
    <w:rsid w:val="00C53B9B"/>
    <w:rsid w:val="00C53D24"/>
    <w:rsid w:val="00C541D6"/>
    <w:rsid w:val="00C542C4"/>
    <w:rsid w:val="00C5451A"/>
    <w:rsid w:val="00C5471B"/>
    <w:rsid w:val="00C54CA0"/>
    <w:rsid w:val="00C54D7D"/>
    <w:rsid w:val="00C54DE1"/>
    <w:rsid w:val="00C551AB"/>
    <w:rsid w:val="00C5528F"/>
    <w:rsid w:val="00C558B1"/>
    <w:rsid w:val="00C55A9F"/>
    <w:rsid w:val="00C55AB9"/>
    <w:rsid w:val="00C55B66"/>
    <w:rsid w:val="00C55F2D"/>
    <w:rsid w:val="00C56008"/>
    <w:rsid w:val="00C56015"/>
    <w:rsid w:val="00C5603E"/>
    <w:rsid w:val="00C56265"/>
    <w:rsid w:val="00C562FC"/>
    <w:rsid w:val="00C56772"/>
    <w:rsid w:val="00C56974"/>
    <w:rsid w:val="00C56C68"/>
    <w:rsid w:val="00C56D3C"/>
    <w:rsid w:val="00C57030"/>
    <w:rsid w:val="00C572FF"/>
    <w:rsid w:val="00C573D8"/>
    <w:rsid w:val="00C57415"/>
    <w:rsid w:val="00C57602"/>
    <w:rsid w:val="00C57B37"/>
    <w:rsid w:val="00C57DA8"/>
    <w:rsid w:val="00C57EBB"/>
    <w:rsid w:val="00C57EC7"/>
    <w:rsid w:val="00C601DD"/>
    <w:rsid w:val="00C60392"/>
    <w:rsid w:val="00C60536"/>
    <w:rsid w:val="00C606A7"/>
    <w:rsid w:val="00C606B6"/>
    <w:rsid w:val="00C6088D"/>
    <w:rsid w:val="00C608A1"/>
    <w:rsid w:val="00C609FA"/>
    <w:rsid w:val="00C60AD9"/>
    <w:rsid w:val="00C60CD7"/>
    <w:rsid w:val="00C60F70"/>
    <w:rsid w:val="00C61032"/>
    <w:rsid w:val="00C61054"/>
    <w:rsid w:val="00C612ED"/>
    <w:rsid w:val="00C6136E"/>
    <w:rsid w:val="00C61675"/>
    <w:rsid w:val="00C617C7"/>
    <w:rsid w:val="00C61B19"/>
    <w:rsid w:val="00C61C1E"/>
    <w:rsid w:val="00C61CBE"/>
    <w:rsid w:val="00C61D9E"/>
    <w:rsid w:val="00C61DD3"/>
    <w:rsid w:val="00C6237A"/>
    <w:rsid w:val="00C6253A"/>
    <w:rsid w:val="00C62775"/>
    <w:rsid w:val="00C627B5"/>
    <w:rsid w:val="00C6289B"/>
    <w:rsid w:val="00C62988"/>
    <w:rsid w:val="00C62BF4"/>
    <w:rsid w:val="00C62CB2"/>
    <w:rsid w:val="00C62DDC"/>
    <w:rsid w:val="00C62FCC"/>
    <w:rsid w:val="00C63027"/>
    <w:rsid w:val="00C631CE"/>
    <w:rsid w:val="00C63467"/>
    <w:rsid w:val="00C634F3"/>
    <w:rsid w:val="00C635A0"/>
    <w:rsid w:val="00C635EF"/>
    <w:rsid w:val="00C640D6"/>
    <w:rsid w:val="00C64176"/>
    <w:rsid w:val="00C64209"/>
    <w:rsid w:val="00C64456"/>
    <w:rsid w:val="00C64602"/>
    <w:rsid w:val="00C646EA"/>
    <w:rsid w:val="00C647D0"/>
    <w:rsid w:val="00C64CF8"/>
    <w:rsid w:val="00C64D01"/>
    <w:rsid w:val="00C64F17"/>
    <w:rsid w:val="00C64F53"/>
    <w:rsid w:val="00C65040"/>
    <w:rsid w:val="00C65046"/>
    <w:rsid w:val="00C651C5"/>
    <w:rsid w:val="00C6533F"/>
    <w:rsid w:val="00C655AC"/>
    <w:rsid w:val="00C655CD"/>
    <w:rsid w:val="00C655E0"/>
    <w:rsid w:val="00C65633"/>
    <w:rsid w:val="00C65724"/>
    <w:rsid w:val="00C6572F"/>
    <w:rsid w:val="00C65777"/>
    <w:rsid w:val="00C6585D"/>
    <w:rsid w:val="00C65E28"/>
    <w:rsid w:val="00C65E3C"/>
    <w:rsid w:val="00C660BA"/>
    <w:rsid w:val="00C66145"/>
    <w:rsid w:val="00C66218"/>
    <w:rsid w:val="00C662A7"/>
    <w:rsid w:val="00C66468"/>
    <w:rsid w:val="00C66E58"/>
    <w:rsid w:val="00C66E92"/>
    <w:rsid w:val="00C6716A"/>
    <w:rsid w:val="00C671E4"/>
    <w:rsid w:val="00C67396"/>
    <w:rsid w:val="00C674B0"/>
    <w:rsid w:val="00C67560"/>
    <w:rsid w:val="00C676B8"/>
    <w:rsid w:val="00C67857"/>
    <w:rsid w:val="00C67C57"/>
    <w:rsid w:val="00C67D0E"/>
    <w:rsid w:val="00C70890"/>
    <w:rsid w:val="00C709E5"/>
    <w:rsid w:val="00C70B53"/>
    <w:rsid w:val="00C70BDB"/>
    <w:rsid w:val="00C70DCE"/>
    <w:rsid w:val="00C70F72"/>
    <w:rsid w:val="00C71219"/>
    <w:rsid w:val="00C71226"/>
    <w:rsid w:val="00C71480"/>
    <w:rsid w:val="00C7163F"/>
    <w:rsid w:val="00C71671"/>
    <w:rsid w:val="00C717EB"/>
    <w:rsid w:val="00C71A08"/>
    <w:rsid w:val="00C71B62"/>
    <w:rsid w:val="00C723CE"/>
    <w:rsid w:val="00C728DD"/>
    <w:rsid w:val="00C72940"/>
    <w:rsid w:val="00C729FD"/>
    <w:rsid w:val="00C72A56"/>
    <w:rsid w:val="00C72AB4"/>
    <w:rsid w:val="00C72BF5"/>
    <w:rsid w:val="00C72C0E"/>
    <w:rsid w:val="00C72DBD"/>
    <w:rsid w:val="00C72DF8"/>
    <w:rsid w:val="00C72EB2"/>
    <w:rsid w:val="00C73151"/>
    <w:rsid w:val="00C735D4"/>
    <w:rsid w:val="00C736D3"/>
    <w:rsid w:val="00C73A64"/>
    <w:rsid w:val="00C73C2E"/>
    <w:rsid w:val="00C73D0E"/>
    <w:rsid w:val="00C73E69"/>
    <w:rsid w:val="00C745B3"/>
    <w:rsid w:val="00C74A19"/>
    <w:rsid w:val="00C74B63"/>
    <w:rsid w:val="00C74CA6"/>
    <w:rsid w:val="00C75165"/>
    <w:rsid w:val="00C7522D"/>
    <w:rsid w:val="00C754F3"/>
    <w:rsid w:val="00C757D6"/>
    <w:rsid w:val="00C75C6F"/>
    <w:rsid w:val="00C75D23"/>
    <w:rsid w:val="00C75DA3"/>
    <w:rsid w:val="00C76024"/>
    <w:rsid w:val="00C76108"/>
    <w:rsid w:val="00C7630A"/>
    <w:rsid w:val="00C7643F"/>
    <w:rsid w:val="00C76470"/>
    <w:rsid w:val="00C764D6"/>
    <w:rsid w:val="00C76590"/>
    <w:rsid w:val="00C76710"/>
    <w:rsid w:val="00C767AE"/>
    <w:rsid w:val="00C767CF"/>
    <w:rsid w:val="00C767FC"/>
    <w:rsid w:val="00C768D6"/>
    <w:rsid w:val="00C76E23"/>
    <w:rsid w:val="00C7700F"/>
    <w:rsid w:val="00C77126"/>
    <w:rsid w:val="00C77182"/>
    <w:rsid w:val="00C77197"/>
    <w:rsid w:val="00C77354"/>
    <w:rsid w:val="00C7748F"/>
    <w:rsid w:val="00C77B73"/>
    <w:rsid w:val="00C77E7E"/>
    <w:rsid w:val="00C77EBE"/>
    <w:rsid w:val="00C77F85"/>
    <w:rsid w:val="00C804C4"/>
    <w:rsid w:val="00C8051C"/>
    <w:rsid w:val="00C80817"/>
    <w:rsid w:val="00C80837"/>
    <w:rsid w:val="00C80D98"/>
    <w:rsid w:val="00C80DEE"/>
    <w:rsid w:val="00C81030"/>
    <w:rsid w:val="00C8122D"/>
    <w:rsid w:val="00C8143A"/>
    <w:rsid w:val="00C8145F"/>
    <w:rsid w:val="00C81924"/>
    <w:rsid w:val="00C819F1"/>
    <w:rsid w:val="00C81AF3"/>
    <w:rsid w:val="00C81EDF"/>
    <w:rsid w:val="00C81F02"/>
    <w:rsid w:val="00C82176"/>
    <w:rsid w:val="00C82270"/>
    <w:rsid w:val="00C823F5"/>
    <w:rsid w:val="00C82891"/>
    <w:rsid w:val="00C82A62"/>
    <w:rsid w:val="00C8303B"/>
    <w:rsid w:val="00C83764"/>
    <w:rsid w:val="00C838EE"/>
    <w:rsid w:val="00C83AFA"/>
    <w:rsid w:val="00C83B59"/>
    <w:rsid w:val="00C83DBD"/>
    <w:rsid w:val="00C83F3D"/>
    <w:rsid w:val="00C84288"/>
    <w:rsid w:val="00C845FC"/>
    <w:rsid w:val="00C84B39"/>
    <w:rsid w:val="00C84C17"/>
    <w:rsid w:val="00C84CF0"/>
    <w:rsid w:val="00C85123"/>
    <w:rsid w:val="00C851B5"/>
    <w:rsid w:val="00C85511"/>
    <w:rsid w:val="00C8552D"/>
    <w:rsid w:val="00C8561E"/>
    <w:rsid w:val="00C85A52"/>
    <w:rsid w:val="00C85BFF"/>
    <w:rsid w:val="00C85DCE"/>
    <w:rsid w:val="00C85EAD"/>
    <w:rsid w:val="00C85F2A"/>
    <w:rsid w:val="00C85FFC"/>
    <w:rsid w:val="00C861EE"/>
    <w:rsid w:val="00C8620E"/>
    <w:rsid w:val="00C8635E"/>
    <w:rsid w:val="00C86702"/>
    <w:rsid w:val="00C86964"/>
    <w:rsid w:val="00C86D44"/>
    <w:rsid w:val="00C86EB7"/>
    <w:rsid w:val="00C87019"/>
    <w:rsid w:val="00C87322"/>
    <w:rsid w:val="00C8777F"/>
    <w:rsid w:val="00C87957"/>
    <w:rsid w:val="00C87C6D"/>
    <w:rsid w:val="00C87D1A"/>
    <w:rsid w:val="00C87DE2"/>
    <w:rsid w:val="00C90023"/>
    <w:rsid w:val="00C902BB"/>
    <w:rsid w:val="00C9031D"/>
    <w:rsid w:val="00C905E6"/>
    <w:rsid w:val="00C907EF"/>
    <w:rsid w:val="00C90832"/>
    <w:rsid w:val="00C909EE"/>
    <w:rsid w:val="00C90AF5"/>
    <w:rsid w:val="00C90F55"/>
    <w:rsid w:val="00C90F62"/>
    <w:rsid w:val="00C911E0"/>
    <w:rsid w:val="00C9146C"/>
    <w:rsid w:val="00C916C5"/>
    <w:rsid w:val="00C917A8"/>
    <w:rsid w:val="00C91B49"/>
    <w:rsid w:val="00C91BF7"/>
    <w:rsid w:val="00C91D42"/>
    <w:rsid w:val="00C91D4A"/>
    <w:rsid w:val="00C92074"/>
    <w:rsid w:val="00C920CE"/>
    <w:rsid w:val="00C9233A"/>
    <w:rsid w:val="00C924CF"/>
    <w:rsid w:val="00C92CE2"/>
    <w:rsid w:val="00C92E67"/>
    <w:rsid w:val="00C92F6F"/>
    <w:rsid w:val="00C932B6"/>
    <w:rsid w:val="00C933A1"/>
    <w:rsid w:val="00C93540"/>
    <w:rsid w:val="00C93697"/>
    <w:rsid w:val="00C93E5D"/>
    <w:rsid w:val="00C93F2A"/>
    <w:rsid w:val="00C942AA"/>
    <w:rsid w:val="00C943DF"/>
    <w:rsid w:val="00C94670"/>
    <w:rsid w:val="00C94730"/>
    <w:rsid w:val="00C94822"/>
    <w:rsid w:val="00C948D3"/>
    <w:rsid w:val="00C94F30"/>
    <w:rsid w:val="00C9514E"/>
    <w:rsid w:val="00C953CA"/>
    <w:rsid w:val="00C95611"/>
    <w:rsid w:val="00C95722"/>
    <w:rsid w:val="00C957D6"/>
    <w:rsid w:val="00C957F7"/>
    <w:rsid w:val="00C95B77"/>
    <w:rsid w:val="00C95C9D"/>
    <w:rsid w:val="00C95DCA"/>
    <w:rsid w:val="00C95EAD"/>
    <w:rsid w:val="00C96117"/>
    <w:rsid w:val="00C9614F"/>
    <w:rsid w:val="00C961DF"/>
    <w:rsid w:val="00C9624E"/>
    <w:rsid w:val="00C967CD"/>
    <w:rsid w:val="00C9690F"/>
    <w:rsid w:val="00C96B17"/>
    <w:rsid w:val="00C96C37"/>
    <w:rsid w:val="00C96E47"/>
    <w:rsid w:val="00C974E0"/>
    <w:rsid w:val="00C975A2"/>
    <w:rsid w:val="00C9769F"/>
    <w:rsid w:val="00C976D2"/>
    <w:rsid w:val="00C9779A"/>
    <w:rsid w:val="00C977E2"/>
    <w:rsid w:val="00C97B6B"/>
    <w:rsid w:val="00C97BC3"/>
    <w:rsid w:val="00C97EFA"/>
    <w:rsid w:val="00C97F6E"/>
    <w:rsid w:val="00CA031C"/>
    <w:rsid w:val="00CA0472"/>
    <w:rsid w:val="00CA06AF"/>
    <w:rsid w:val="00CA0872"/>
    <w:rsid w:val="00CA089B"/>
    <w:rsid w:val="00CA0A3D"/>
    <w:rsid w:val="00CA0DA6"/>
    <w:rsid w:val="00CA10DD"/>
    <w:rsid w:val="00CA119B"/>
    <w:rsid w:val="00CA1220"/>
    <w:rsid w:val="00CA1521"/>
    <w:rsid w:val="00CA1622"/>
    <w:rsid w:val="00CA1748"/>
    <w:rsid w:val="00CA1797"/>
    <w:rsid w:val="00CA1B07"/>
    <w:rsid w:val="00CA1B5B"/>
    <w:rsid w:val="00CA1BE0"/>
    <w:rsid w:val="00CA1CBC"/>
    <w:rsid w:val="00CA1D6D"/>
    <w:rsid w:val="00CA1E1F"/>
    <w:rsid w:val="00CA238F"/>
    <w:rsid w:val="00CA2756"/>
    <w:rsid w:val="00CA27A3"/>
    <w:rsid w:val="00CA2A09"/>
    <w:rsid w:val="00CA2CE8"/>
    <w:rsid w:val="00CA2D7C"/>
    <w:rsid w:val="00CA3092"/>
    <w:rsid w:val="00CA30AC"/>
    <w:rsid w:val="00CA3390"/>
    <w:rsid w:val="00CA35A3"/>
    <w:rsid w:val="00CA35B7"/>
    <w:rsid w:val="00CA3676"/>
    <w:rsid w:val="00CA3714"/>
    <w:rsid w:val="00CA3B48"/>
    <w:rsid w:val="00CA3B66"/>
    <w:rsid w:val="00CA3BC4"/>
    <w:rsid w:val="00CA3C90"/>
    <w:rsid w:val="00CA3D9D"/>
    <w:rsid w:val="00CA406B"/>
    <w:rsid w:val="00CA413D"/>
    <w:rsid w:val="00CA41AE"/>
    <w:rsid w:val="00CA44A9"/>
    <w:rsid w:val="00CA46CF"/>
    <w:rsid w:val="00CA4821"/>
    <w:rsid w:val="00CA4A6A"/>
    <w:rsid w:val="00CA4BA4"/>
    <w:rsid w:val="00CA4F77"/>
    <w:rsid w:val="00CA51B2"/>
    <w:rsid w:val="00CA522A"/>
    <w:rsid w:val="00CA5771"/>
    <w:rsid w:val="00CA5C98"/>
    <w:rsid w:val="00CA5D51"/>
    <w:rsid w:val="00CA6365"/>
    <w:rsid w:val="00CA6538"/>
    <w:rsid w:val="00CA65DD"/>
    <w:rsid w:val="00CA6719"/>
    <w:rsid w:val="00CA693E"/>
    <w:rsid w:val="00CA6942"/>
    <w:rsid w:val="00CA6C53"/>
    <w:rsid w:val="00CA6CBB"/>
    <w:rsid w:val="00CA7270"/>
    <w:rsid w:val="00CA7347"/>
    <w:rsid w:val="00CA741E"/>
    <w:rsid w:val="00CA741F"/>
    <w:rsid w:val="00CA75CE"/>
    <w:rsid w:val="00CA770E"/>
    <w:rsid w:val="00CA7B45"/>
    <w:rsid w:val="00CA7DAA"/>
    <w:rsid w:val="00CAD932"/>
    <w:rsid w:val="00CB001D"/>
    <w:rsid w:val="00CB0138"/>
    <w:rsid w:val="00CB01B4"/>
    <w:rsid w:val="00CB02D8"/>
    <w:rsid w:val="00CB0588"/>
    <w:rsid w:val="00CB069F"/>
    <w:rsid w:val="00CB084E"/>
    <w:rsid w:val="00CB09CD"/>
    <w:rsid w:val="00CB1241"/>
    <w:rsid w:val="00CB148B"/>
    <w:rsid w:val="00CB1571"/>
    <w:rsid w:val="00CB188C"/>
    <w:rsid w:val="00CB1B6A"/>
    <w:rsid w:val="00CB20E0"/>
    <w:rsid w:val="00CB2342"/>
    <w:rsid w:val="00CB23A7"/>
    <w:rsid w:val="00CB2DA6"/>
    <w:rsid w:val="00CB30CC"/>
    <w:rsid w:val="00CB3184"/>
    <w:rsid w:val="00CB320B"/>
    <w:rsid w:val="00CB3326"/>
    <w:rsid w:val="00CB35D2"/>
    <w:rsid w:val="00CB39CC"/>
    <w:rsid w:val="00CB3C33"/>
    <w:rsid w:val="00CB3C9B"/>
    <w:rsid w:val="00CB3CB5"/>
    <w:rsid w:val="00CB3CDB"/>
    <w:rsid w:val="00CB3DA9"/>
    <w:rsid w:val="00CB4634"/>
    <w:rsid w:val="00CB463B"/>
    <w:rsid w:val="00CB4C9C"/>
    <w:rsid w:val="00CB4D0E"/>
    <w:rsid w:val="00CB5041"/>
    <w:rsid w:val="00CB51C0"/>
    <w:rsid w:val="00CB56E8"/>
    <w:rsid w:val="00CB58A8"/>
    <w:rsid w:val="00CB59C2"/>
    <w:rsid w:val="00CB5A62"/>
    <w:rsid w:val="00CB5D04"/>
    <w:rsid w:val="00CB5F05"/>
    <w:rsid w:val="00CB5F16"/>
    <w:rsid w:val="00CB5FCD"/>
    <w:rsid w:val="00CB5FF8"/>
    <w:rsid w:val="00CB6462"/>
    <w:rsid w:val="00CB655C"/>
    <w:rsid w:val="00CB6633"/>
    <w:rsid w:val="00CB6930"/>
    <w:rsid w:val="00CB6970"/>
    <w:rsid w:val="00CB6C17"/>
    <w:rsid w:val="00CB6DB4"/>
    <w:rsid w:val="00CB7393"/>
    <w:rsid w:val="00CB79E9"/>
    <w:rsid w:val="00CB7C2B"/>
    <w:rsid w:val="00CB7C9B"/>
    <w:rsid w:val="00CB7D74"/>
    <w:rsid w:val="00CB7D85"/>
    <w:rsid w:val="00CB7F17"/>
    <w:rsid w:val="00CC0000"/>
    <w:rsid w:val="00CC0077"/>
    <w:rsid w:val="00CC013B"/>
    <w:rsid w:val="00CC0758"/>
    <w:rsid w:val="00CC087E"/>
    <w:rsid w:val="00CC09A1"/>
    <w:rsid w:val="00CC0ACB"/>
    <w:rsid w:val="00CC0AF3"/>
    <w:rsid w:val="00CC0B40"/>
    <w:rsid w:val="00CC1011"/>
    <w:rsid w:val="00CC150D"/>
    <w:rsid w:val="00CC161F"/>
    <w:rsid w:val="00CC199F"/>
    <w:rsid w:val="00CC1A68"/>
    <w:rsid w:val="00CC1C0A"/>
    <w:rsid w:val="00CC22EB"/>
    <w:rsid w:val="00CC2351"/>
    <w:rsid w:val="00CC29CD"/>
    <w:rsid w:val="00CC2A3B"/>
    <w:rsid w:val="00CC2B36"/>
    <w:rsid w:val="00CC2C05"/>
    <w:rsid w:val="00CC2E9E"/>
    <w:rsid w:val="00CC315F"/>
    <w:rsid w:val="00CC3173"/>
    <w:rsid w:val="00CC35B5"/>
    <w:rsid w:val="00CC360F"/>
    <w:rsid w:val="00CC363F"/>
    <w:rsid w:val="00CC36D4"/>
    <w:rsid w:val="00CC390C"/>
    <w:rsid w:val="00CC3A79"/>
    <w:rsid w:val="00CC3AED"/>
    <w:rsid w:val="00CC3F50"/>
    <w:rsid w:val="00CC4125"/>
    <w:rsid w:val="00CC4237"/>
    <w:rsid w:val="00CC431A"/>
    <w:rsid w:val="00CC459D"/>
    <w:rsid w:val="00CC496B"/>
    <w:rsid w:val="00CC4A1B"/>
    <w:rsid w:val="00CC4B54"/>
    <w:rsid w:val="00CC4D26"/>
    <w:rsid w:val="00CC4DCE"/>
    <w:rsid w:val="00CC4E85"/>
    <w:rsid w:val="00CC50A4"/>
    <w:rsid w:val="00CC529E"/>
    <w:rsid w:val="00CC52B9"/>
    <w:rsid w:val="00CC53FF"/>
    <w:rsid w:val="00CC5702"/>
    <w:rsid w:val="00CC59BD"/>
    <w:rsid w:val="00CC5C46"/>
    <w:rsid w:val="00CC5E63"/>
    <w:rsid w:val="00CC6011"/>
    <w:rsid w:val="00CC632F"/>
    <w:rsid w:val="00CC635C"/>
    <w:rsid w:val="00CC63C8"/>
    <w:rsid w:val="00CC63EF"/>
    <w:rsid w:val="00CC65D9"/>
    <w:rsid w:val="00CC675F"/>
    <w:rsid w:val="00CC67DD"/>
    <w:rsid w:val="00CC6842"/>
    <w:rsid w:val="00CC69A0"/>
    <w:rsid w:val="00CC6A58"/>
    <w:rsid w:val="00CC6B8D"/>
    <w:rsid w:val="00CC6D2D"/>
    <w:rsid w:val="00CC6EB6"/>
    <w:rsid w:val="00CC750F"/>
    <w:rsid w:val="00CC7654"/>
    <w:rsid w:val="00CC79D4"/>
    <w:rsid w:val="00CC7E47"/>
    <w:rsid w:val="00CC7ED0"/>
    <w:rsid w:val="00CC7F66"/>
    <w:rsid w:val="00CD01D1"/>
    <w:rsid w:val="00CD0280"/>
    <w:rsid w:val="00CD0380"/>
    <w:rsid w:val="00CD03A3"/>
    <w:rsid w:val="00CD03EC"/>
    <w:rsid w:val="00CD051C"/>
    <w:rsid w:val="00CD062F"/>
    <w:rsid w:val="00CD0630"/>
    <w:rsid w:val="00CD07D2"/>
    <w:rsid w:val="00CD080B"/>
    <w:rsid w:val="00CD0849"/>
    <w:rsid w:val="00CD08BD"/>
    <w:rsid w:val="00CD0CE3"/>
    <w:rsid w:val="00CD0E99"/>
    <w:rsid w:val="00CD0F8A"/>
    <w:rsid w:val="00CD10BA"/>
    <w:rsid w:val="00CD10E5"/>
    <w:rsid w:val="00CD116E"/>
    <w:rsid w:val="00CD118F"/>
    <w:rsid w:val="00CD126B"/>
    <w:rsid w:val="00CD1477"/>
    <w:rsid w:val="00CD17BB"/>
    <w:rsid w:val="00CD1822"/>
    <w:rsid w:val="00CD1867"/>
    <w:rsid w:val="00CD19A7"/>
    <w:rsid w:val="00CD1A3B"/>
    <w:rsid w:val="00CD1CFB"/>
    <w:rsid w:val="00CD1D2D"/>
    <w:rsid w:val="00CD1D9E"/>
    <w:rsid w:val="00CD267A"/>
    <w:rsid w:val="00CD27F9"/>
    <w:rsid w:val="00CD298E"/>
    <w:rsid w:val="00CD2B87"/>
    <w:rsid w:val="00CD2BA7"/>
    <w:rsid w:val="00CD2BD6"/>
    <w:rsid w:val="00CD2D7A"/>
    <w:rsid w:val="00CD2DFF"/>
    <w:rsid w:val="00CD3514"/>
    <w:rsid w:val="00CD380F"/>
    <w:rsid w:val="00CD3D40"/>
    <w:rsid w:val="00CD3EC9"/>
    <w:rsid w:val="00CD3F97"/>
    <w:rsid w:val="00CD4086"/>
    <w:rsid w:val="00CD4126"/>
    <w:rsid w:val="00CD41AF"/>
    <w:rsid w:val="00CD41CF"/>
    <w:rsid w:val="00CD43E1"/>
    <w:rsid w:val="00CD44A4"/>
    <w:rsid w:val="00CD4507"/>
    <w:rsid w:val="00CD4569"/>
    <w:rsid w:val="00CD4689"/>
    <w:rsid w:val="00CD48CD"/>
    <w:rsid w:val="00CD4DCA"/>
    <w:rsid w:val="00CD4EF3"/>
    <w:rsid w:val="00CD5348"/>
    <w:rsid w:val="00CD535C"/>
    <w:rsid w:val="00CD53EF"/>
    <w:rsid w:val="00CD545A"/>
    <w:rsid w:val="00CD549B"/>
    <w:rsid w:val="00CD54C6"/>
    <w:rsid w:val="00CD5857"/>
    <w:rsid w:val="00CD587C"/>
    <w:rsid w:val="00CD5A95"/>
    <w:rsid w:val="00CD5B8C"/>
    <w:rsid w:val="00CD5BAB"/>
    <w:rsid w:val="00CD5DCC"/>
    <w:rsid w:val="00CD607A"/>
    <w:rsid w:val="00CD61B2"/>
    <w:rsid w:val="00CD6280"/>
    <w:rsid w:val="00CD634F"/>
    <w:rsid w:val="00CD639B"/>
    <w:rsid w:val="00CD6630"/>
    <w:rsid w:val="00CD663F"/>
    <w:rsid w:val="00CD6703"/>
    <w:rsid w:val="00CD6846"/>
    <w:rsid w:val="00CD6AFA"/>
    <w:rsid w:val="00CD6D8B"/>
    <w:rsid w:val="00CD6E35"/>
    <w:rsid w:val="00CD6E9F"/>
    <w:rsid w:val="00CD6F77"/>
    <w:rsid w:val="00CD717E"/>
    <w:rsid w:val="00CD7236"/>
    <w:rsid w:val="00CD7352"/>
    <w:rsid w:val="00CD7657"/>
    <w:rsid w:val="00CD7661"/>
    <w:rsid w:val="00CD7B82"/>
    <w:rsid w:val="00CD7C21"/>
    <w:rsid w:val="00CE0147"/>
    <w:rsid w:val="00CE01E8"/>
    <w:rsid w:val="00CE0270"/>
    <w:rsid w:val="00CE03A1"/>
    <w:rsid w:val="00CE0821"/>
    <w:rsid w:val="00CE0842"/>
    <w:rsid w:val="00CE08F6"/>
    <w:rsid w:val="00CE0994"/>
    <w:rsid w:val="00CE0A16"/>
    <w:rsid w:val="00CE0A60"/>
    <w:rsid w:val="00CE0D7F"/>
    <w:rsid w:val="00CE0FF7"/>
    <w:rsid w:val="00CE1026"/>
    <w:rsid w:val="00CE11DF"/>
    <w:rsid w:val="00CE14D3"/>
    <w:rsid w:val="00CE1800"/>
    <w:rsid w:val="00CE1820"/>
    <w:rsid w:val="00CE1A96"/>
    <w:rsid w:val="00CE1D04"/>
    <w:rsid w:val="00CE1F63"/>
    <w:rsid w:val="00CE1F76"/>
    <w:rsid w:val="00CE202F"/>
    <w:rsid w:val="00CE207E"/>
    <w:rsid w:val="00CE2296"/>
    <w:rsid w:val="00CE253A"/>
    <w:rsid w:val="00CE2910"/>
    <w:rsid w:val="00CE2BCA"/>
    <w:rsid w:val="00CE2BD3"/>
    <w:rsid w:val="00CE2C78"/>
    <w:rsid w:val="00CE2CC8"/>
    <w:rsid w:val="00CE2CF0"/>
    <w:rsid w:val="00CE2D5D"/>
    <w:rsid w:val="00CE2DD1"/>
    <w:rsid w:val="00CE3414"/>
    <w:rsid w:val="00CE3441"/>
    <w:rsid w:val="00CE34DA"/>
    <w:rsid w:val="00CE3515"/>
    <w:rsid w:val="00CE3810"/>
    <w:rsid w:val="00CE3A32"/>
    <w:rsid w:val="00CE3A7D"/>
    <w:rsid w:val="00CE41CC"/>
    <w:rsid w:val="00CE431A"/>
    <w:rsid w:val="00CE4369"/>
    <w:rsid w:val="00CE43A2"/>
    <w:rsid w:val="00CE4408"/>
    <w:rsid w:val="00CE450B"/>
    <w:rsid w:val="00CE4673"/>
    <w:rsid w:val="00CE47A1"/>
    <w:rsid w:val="00CE491D"/>
    <w:rsid w:val="00CE532B"/>
    <w:rsid w:val="00CE53FA"/>
    <w:rsid w:val="00CE5664"/>
    <w:rsid w:val="00CE568F"/>
    <w:rsid w:val="00CE5694"/>
    <w:rsid w:val="00CE56D0"/>
    <w:rsid w:val="00CE5755"/>
    <w:rsid w:val="00CE5AF1"/>
    <w:rsid w:val="00CE5EC2"/>
    <w:rsid w:val="00CE5FB7"/>
    <w:rsid w:val="00CE61D3"/>
    <w:rsid w:val="00CE6235"/>
    <w:rsid w:val="00CE64B0"/>
    <w:rsid w:val="00CE66E5"/>
    <w:rsid w:val="00CE6803"/>
    <w:rsid w:val="00CE68D3"/>
    <w:rsid w:val="00CE699B"/>
    <w:rsid w:val="00CE6A1B"/>
    <w:rsid w:val="00CE6B89"/>
    <w:rsid w:val="00CE6FB6"/>
    <w:rsid w:val="00CE700B"/>
    <w:rsid w:val="00CE70B9"/>
    <w:rsid w:val="00CE729B"/>
    <w:rsid w:val="00CE7679"/>
    <w:rsid w:val="00CE783E"/>
    <w:rsid w:val="00CE7AE9"/>
    <w:rsid w:val="00CE7C4D"/>
    <w:rsid w:val="00CE7DB1"/>
    <w:rsid w:val="00CF0055"/>
    <w:rsid w:val="00CF0177"/>
    <w:rsid w:val="00CF01DA"/>
    <w:rsid w:val="00CF030D"/>
    <w:rsid w:val="00CF034E"/>
    <w:rsid w:val="00CF0438"/>
    <w:rsid w:val="00CF04F1"/>
    <w:rsid w:val="00CF0A87"/>
    <w:rsid w:val="00CF0B68"/>
    <w:rsid w:val="00CF15E7"/>
    <w:rsid w:val="00CF199A"/>
    <w:rsid w:val="00CF1AB8"/>
    <w:rsid w:val="00CF2205"/>
    <w:rsid w:val="00CF2333"/>
    <w:rsid w:val="00CF2457"/>
    <w:rsid w:val="00CF24DD"/>
    <w:rsid w:val="00CF254E"/>
    <w:rsid w:val="00CF29EE"/>
    <w:rsid w:val="00CF2ECE"/>
    <w:rsid w:val="00CF2F86"/>
    <w:rsid w:val="00CF2FB3"/>
    <w:rsid w:val="00CF30D6"/>
    <w:rsid w:val="00CF3170"/>
    <w:rsid w:val="00CF318C"/>
    <w:rsid w:val="00CF3CB9"/>
    <w:rsid w:val="00CF3F0B"/>
    <w:rsid w:val="00CF3F1E"/>
    <w:rsid w:val="00CF3F8E"/>
    <w:rsid w:val="00CF40A9"/>
    <w:rsid w:val="00CF454B"/>
    <w:rsid w:val="00CF45FA"/>
    <w:rsid w:val="00CF4768"/>
    <w:rsid w:val="00CF4C0C"/>
    <w:rsid w:val="00CF532C"/>
    <w:rsid w:val="00CF53AC"/>
    <w:rsid w:val="00CF5401"/>
    <w:rsid w:val="00CF5532"/>
    <w:rsid w:val="00CF559B"/>
    <w:rsid w:val="00CF57C7"/>
    <w:rsid w:val="00CF586E"/>
    <w:rsid w:val="00CF58A7"/>
    <w:rsid w:val="00CF59C8"/>
    <w:rsid w:val="00CF5B70"/>
    <w:rsid w:val="00CF5FE4"/>
    <w:rsid w:val="00CF6412"/>
    <w:rsid w:val="00CF649B"/>
    <w:rsid w:val="00CF6986"/>
    <w:rsid w:val="00CF6B94"/>
    <w:rsid w:val="00CF6C39"/>
    <w:rsid w:val="00CF713C"/>
    <w:rsid w:val="00CF7145"/>
    <w:rsid w:val="00CF720D"/>
    <w:rsid w:val="00CF75C5"/>
    <w:rsid w:val="00CF7BFD"/>
    <w:rsid w:val="00CF7CBA"/>
    <w:rsid w:val="00CF7D32"/>
    <w:rsid w:val="00D00147"/>
    <w:rsid w:val="00D004C1"/>
    <w:rsid w:val="00D00540"/>
    <w:rsid w:val="00D007D2"/>
    <w:rsid w:val="00D00A04"/>
    <w:rsid w:val="00D00AEF"/>
    <w:rsid w:val="00D00C7A"/>
    <w:rsid w:val="00D00CDF"/>
    <w:rsid w:val="00D00F4C"/>
    <w:rsid w:val="00D00FB5"/>
    <w:rsid w:val="00D01450"/>
    <w:rsid w:val="00D01743"/>
    <w:rsid w:val="00D01782"/>
    <w:rsid w:val="00D01B0E"/>
    <w:rsid w:val="00D01B6D"/>
    <w:rsid w:val="00D01B82"/>
    <w:rsid w:val="00D01B90"/>
    <w:rsid w:val="00D01F46"/>
    <w:rsid w:val="00D02522"/>
    <w:rsid w:val="00D0270A"/>
    <w:rsid w:val="00D028C9"/>
    <w:rsid w:val="00D02A6D"/>
    <w:rsid w:val="00D02A75"/>
    <w:rsid w:val="00D02AAE"/>
    <w:rsid w:val="00D02C2F"/>
    <w:rsid w:val="00D02D72"/>
    <w:rsid w:val="00D02E6D"/>
    <w:rsid w:val="00D02F93"/>
    <w:rsid w:val="00D02FBC"/>
    <w:rsid w:val="00D0319E"/>
    <w:rsid w:val="00D03466"/>
    <w:rsid w:val="00D036A5"/>
    <w:rsid w:val="00D03D12"/>
    <w:rsid w:val="00D03E1A"/>
    <w:rsid w:val="00D0409F"/>
    <w:rsid w:val="00D040A7"/>
    <w:rsid w:val="00D040BB"/>
    <w:rsid w:val="00D04159"/>
    <w:rsid w:val="00D041D7"/>
    <w:rsid w:val="00D04578"/>
    <w:rsid w:val="00D046E1"/>
    <w:rsid w:val="00D04C50"/>
    <w:rsid w:val="00D050BD"/>
    <w:rsid w:val="00D05236"/>
    <w:rsid w:val="00D05369"/>
    <w:rsid w:val="00D053B7"/>
    <w:rsid w:val="00D0555D"/>
    <w:rsid w:val="00D056D8"/>
    <w:rsid w:val="00D05776"/>
    <w:rsid w:val="00D057D7"/>
    <w:rsid w:val="00D0582F"/>
    <w:rsid w:val="00D05BD2"/>
    <w:rsid w:val="00D05D14"/>
    <w:rsid w:val="00D0663C"/>
    <w:rsid w:val="00D067FE"/>
    <w:rsid w:val="00D06936"/>
    <w:rsid w:val="00D06E13"/>
    <w:rsid w:val="00D07016"/>
    <w:rsid w:val="00D07063"/>
    <w:rsid w:val="00D07156"/>
    <w:rsid w:val="00D071FE"/>
    <w:rsid w:val="00D07264"/>
    <w:rsid w:val="00D0726A"/>
    <w:rsid w:val="00D0738D"/>
    <w:rsid w:val="00D077D9"/>
    <w:rsid w:val="00D07921"/>
    <w:rsid w:val="00D07ACA"/>
    <w:rsid w:val="00D07C81"/>
    <w:rsid w:val="00D07D51"/>
    <w:rsid w:val="00D07FD1"/>
    <w:rsid w:val="00D10501"/>
    <w:rsid w:val="00D1091E"/>
    <w:rsid w:val="00D10A70"/>
    <w:rsid w:val="00D10ECB"/>
    <w:rsid w:val="00D110D6"/>
    <w:rsid w:val="00D111D3"/>
    <w:rsid w:val="00D11275"/>
    <w:rsid w:val="00D112B1"/>
    <w:rsid w:val="00D1138E"/>
    <w:rsid w:val="00D113CD"/>
    <w:rsid w:val="00D11510"/>
    <w:rsid w:val="00D11593"/>
    <w:rsid w:val="00D116AF"/>
    <w:rsid w:val="00D116F7"/>
    <w:rsid w:val="00D11967"/>
    <w:rsid w:val="00D11B6B"/>
    <w:rsid w:val="00D11DE7"/>
    <w:rsid w:val="00D11F32"/>
    <w:rsid w:val="00D1208E"/>
    <w:rsid w:val="00D1209E"/>
    <w:rsid w:val="00D121E2"/>
    <w:rsid w:val="00D12227"/>
    <w:rsid w:val="00D1224D"/>
    <w:rsid w:val="00D12269"/>
    <w:rsid w:val="00D1226C"/>
    <w:rsid w:val="00D12722"/>
    <w:rsid w:val="00D128F5"/>
    <w:rsid w:val="00D128F7"/>
    <w:rsid w:val="00D1295D"/>
    <w:rsid w:val="00D129F5"/>
    <w:rsid w:val="00D12B6A"/>
    <w:rsid w:val="00D12C36"/>
    <w:rsid w:val="00D12FA8"/>
    <w:rsid w:val="00D12FCC"/>
    <w:rsid w:val="00D130FE"/>
    <w:rsid w:val="00D134BF"/>
    <w:rsid w:val="00D139D5"/>
    <w:rsid w:val="00D13C30"/>
    <w:rsid w:val="00D13CC8"/>
    <w:rsid w:val="00D13F40"/>
    <w:rsid w:val="00D143F1"/>
    <w:rsid w:val="00D1497E"/>
    <w:rsid w:val="00D149C3"/>
    <w:rsid w:val="00D14AB2"/>
    <w:rsid w:val="00D14B28"/>
    <w:rsid w:val="00D14CC3"/>
    <w:rsid w:val="00D14EC2"/>
    <w:rsid w:val="00D15089"/>
    <w:rsid w:val="00D151E0"/>
    <w:rsid w:val="00D15418"/>
    <w:rsid w:val="00D1564C"/>
    <w:rsid w:val="00D1565B"/>
    <w:rsid w:val="00D15820"/>
    <w:rsid w:val="00D15840"/>
    <w:rsid w:val="00D158EC"/>
    <w:rsid w:val="00D15A62"/>
    <w:rsid w:val="00D15C4F"/>
    <w:rsid w:val="00D15E64"/>
    <w:rsid w:val="00D15EC0"/>
    <w:rsid w:val="00D15F11"/>
    <w:rsid w:val="00D16053"/>
    <w:rsid w:val="00D16121"/>
    <w:rsid w:val="00D16242"/>
    <w:rsid w:val="00D163CD"/>
    <w:rsid w:val="00D16604"/>
    <w:rsid w:val="00D1684D"/>
    <w:rsid w:val="00D16A73"/>
    <w:rsid w:val="00D16AD9"/>
    <w:rsid w:val="00D16B91"/>
    <w:rsid w:val="00D16FDA"/>
    <w:rsid w:val="00D17047"/>
    <w:rsid w:val="00D173C1"/>
    <w:rsid w:val="00D17918"/>
    <w:rsid w:val="00D179AF"/>
    <w:rsid w:val="00D17A61"/>
    <w:rsid w:val="00D17D65"/>
    <w:rsid w:val="00D17E76"/>
    <w:rsid w:val="00D200A9"/>
    <w:rsid w:val="00D202DA"/>
    <w:rsid w:val="00D20302"/>
    <w:rsid w:val="00D20960"/>
    <w:rsid w:val="00D20C3C"/>
    <w:rsid w:val="00D21032"/>
    <w:rsid w:val="00D210FD"/>
    <w:rsid w:val="00D213A0"/>
    <w:rsid w:val="00D21441"/>
    <w:rsid w:val="00D21544"/>
    <w:rsid w:val="00D21699"/>
    <w:rsid w:val="00D2177A"/>
    <w:rsid w:val="00D218E8"/>
    <w:rsid w:val="00D21A06"/>
    <w:rsid w:val="00D21A1D"/>
    <w:rsid w:val="00D21E27"/>
    <w:rsid w:val="00D21EF5"/>
    <w:rsid w:val="00D21F5A"/>
    <w:rsid w:val="00D21FA4"/>
    <w:rsid w:val="00D2203C"/>
    <w:rsid w:val="00D227FC"/>
    <w:rsid w:val="00D22A0E"/>
    <w:rsid w:val="00D22A24"/>
    <w:rsid w:val="00D22C9E"/>
    <w:rsid w:val="00D22D18"/>
    <w:rsid w:val="00D22EBD"/>
    <w:rsid w:val="00D23006"/>
    <w:rsid w:val="00D237CB"/>
    <w:rsid w:val="00D23CB0"/>
    <w:rsid w:val="00D23D90"/>
    <w:rsid w:val="00D23E58"/>
    <w:rsid w:val="00D23EFA"/>
    <w:rsid w:val="00D2403B"/>
    <w:rsid w:val="00D24110"/>
    <w:rsid w:val="00D2446F"/>
    <w:rsid w:val="00D2480A"/>
    <w:rsid w:val="00D24C2A"/>
    <w:rsid w:val="00D24C53"/>
    <w:rsid w:val="00D24D3A"/>
    <w:rsid w:val="00D24EF3"/>
    <w:rsid w:val="00D24F83"/>
    <w:rsid w:val="00D250DF"/>
    <w:rsid w:val="00D25120"/>
    <w:rsid w:val="00D2525D"/>
    <w:rsid w:val="00D25378"/>
    <w:rsid w:val="00D254C7"/>
    <w:rsid w:val="00D25552"/>
    <w:rsid w:val="00D25559"/>
    <w:rsid w:val="00D258D6"/>
    <w:rsid w:val="00D25A1A"/>
    <w:rsid w:val="00D25B32"/>
    <w:rsid w:val="00D26136"/>
    <w:rsid w:val="00D262FF"/>
    <w:rsid w:val="00D26321"/>
    <w:rsid w:val="00D26332"/>
    <w:rsid w:val="00D265C6"/>
    <w:rsid w:val="00D26608"/>
    <w:rsid w:val="00D2664D"/>
    <w:rsid w:val="00D26A6D"/>
    <w:rsid w:val="00D26ACC"/>
    <w:rsid w:val="00D26BF9"/>
    <w:rsid w:val="00D26D5D"/>
    <w:rsid w:val="00D26E37"/>
    <w:rsid w:val="00D270BC"/>
    <w:rsid w:val="00D3014B"/>
    <w:rsid w:val="00D3024C"/>
    <w:rsid w:val="00D3037B"/>
    <w:rsid w:val="00D305CB"/>
    <w:rsid w:val="00D307E4"/>
    <w:rsid w:val="00D308A1"/>
    <w:rsid w:val="00D30A89"/>
    <w:rsid w:val="00D30CE2"/>
    <w:rsid w:val="00D30E0C"/>
    <w:rsid w:val="00D30F37"/>
    <w:rsid w:val="00D30F74"/>
    <w:rsid w:val="00D3120E"/>
    <w:rsid w:val="00D31649"/>
    <w:rsid w:val="00D316FE"/>
    <w:rsid w:val="00D31917"/>
    <w:rsid w:val="00D31ED7"/>
    <w:rsid w:val="00D31F8D"/>
    <w:rsid w:val="00D31F97"/>
    <w:rsid w:val="00D32033"/>
    <w:rsid w:val="00D320AF"/>
    <w:rsid w:val="00D3212E"/>
    <w:rsid w:val="00D32134"/>
    <w:rsid w:val="00D329E3"/>
    <w:rsid w:val="00D329FC"/>
    <w:rsid w:val="00D32D31"/>
    <w:rsid w:val="00D32DE5"/>
    <w:rsid w:val="00D32EDC"/>
    <w:rsid w:val="00D32F92"/>
    <w:rsid w:val="00D331AC"/>
    <w:rsid w:val="00D332F7"/>
    <w:rsid w:val="00D33665"/>
    <w:rsid w:val="00D3394A"/>
    <w:rsid w:val="00D33C5B"/>
    <w:rsid w:val="00D33CD9"/>
    <w:rsid w:val="00D33E59"/>
    <w:rsid w:val="00D33E62"/>
    <w:rsid w:val="00D33F1B"/>
    <w:rsid w:val="00D33F9C"/>
    <w:rsid w:val="00D342B0"/>
    <w:rsid w:val="00D3463C"/>
    <w:rsid w:val="00D348A1"/>
    <w:rsid w:val="00D348C3"/>
    <w:rsid w:val="00D34974"/>
    <w:rsid w:val="00D34A60"/>
    <w:rsid w:val="00D34D92"/>
    <w:rsid w:val="00D34F12"/>
    <w:rsid w:val="00D35177"/>
    <w:rsid w:val="00D351E0"/>
    <w:rsid w:val="00D354E0"/>
    <w:rsid w:val="00D35573"/>
    <w:rsid w:val="00D35781"/>
    <w:rsid w:val="00D361BD"/>
    <w:rsid w:val="00D3678F"/>
    <w:rsid w:val="00D36794"/>
    <w:rsid w:val="00D367A5"/>
    <w:rsid w:val="00D3708C"/>
    <w:rsid w:val="00D3713C"/>
    <w:rsid w:val="00D374A2"/>
    <w:rsid w:val="00D3784D"/>
    <w:rsid w:val="00D37A62"/>
    <w:rsid w:val="00D37BBE"/>
    <w:rsid w:val="00D40017"/>
    <w:rsid w:val="00D40107"/>
    <w:rsid w:val="00D40215"/>
    <w:rsid w:val="00D40452"/>
    <w:rsid w:val="00D404E6"/>
    <w:rsid w:val="00D40500"/>
    <w:rsid w:val="00D40944"/>
    <w:rsid w:val="00D40D54"/>
    <w:rsid w:val="00D41A6C"/>
    <w:rsid w:val="00D41B39"/>
    <w:rsid w:val="00D41DE3"/>
    <w:rsid w:val="00D41DFA"/>
    <w:rsid w:val="00D41EAC"/>
    <w:rsid w:val="00D42015"/>
    <w:rsid w:val="00D421E7"/>
    <w:rsid w:val="00D42208"/>
    <w:rsid w:val="00D422BD"/>
    <w:rsid w:val="00D42317"/>
    <w:rsid w:val="00D42379"/>
    <w:rsid w:val="00D42563"/>
    <w:rsid w:val="00D427B3"/>
    <w:rsid w:val="00D427C8"/>
    <w:rsid w:val="00D427F0"/>
    <w:rsid w:val="00D42832"/>
    <w:rsid w:val="00D42D8A"/>
    <w:rsid w:val="00D43411"/>
    <w:rsid w:val="00D4352A"/>
    <w:rsid w:val="00D435AC"/>
    <w:rsid w:val="00D43826"/>
    <w:rsid w:val="00D43872"/>
    <w:rsid w:val="00D43A4A"/>
    <w:rsid w:val="00D4419F"/>
    <w:rsid w:val="00D442FD"/>
    <w:rsid w:val="00D44444"/>
    <w:rsid w:val="00D44484"/>
    <w:rsid w:val="00D444DA"/>
    <w:rsid w:val="00D4457C"/>
    <w:rsid w:val="00D44832"/>
    <w:rsid w:val="00D448C8"/>
    <w:rsid w:val="00D44A39"/>
    <w:rsid w:val="00D44C4B"/>
    <w:rsid w:val="00D453E0"/>
    <w:rsid w:val="00D45421"/>
    <w:rsid w:val="00D45768"/>
    <w:rsid w:val="00D45A6E"/>
    <w:rsid w:val="00D45B62"/>
    <w:rsid w:val="00D45C8A"/>
    <w:rsid w:val="00D45E01"/>
    <w:rsid w:val="00D467CF"/>
    <w:rsid w:val="00D468EF"/>
    <w:rsid w:val="00D46A32"/>
    <w:rsid w:val="00D46B43"/>
    <w:rsid w:val="00D46F00"/>
    <w:rsid w:val="00D47026"/>
    <w:rsid w:val="00D4718D"/>
    <w:rsid w:val="00D4741D"/>
    <w:rsid w:val="00D4744C"/>
    <w:rsid w:val="00D4759E"/>
    <w:rsid w:val="00D476D1"/>
    <w:rsid w:val="00D47871"/>
    <w:rsid w:val="00D47A3E"/>
    <w:rsid w:val="00D47A86"/>
    <w:rsid w:val="00D47A93"/>
    <w:rsid w:val="00D47AE3"/>
    <w:rsid w:val="00D47C5F"/>
    <w:rsid w:val="00D47D28"/>
    <w:rsid w:val="00D47DB3"/>
    <w:rsid w:val="00D47E04"/>
    <w:rsid w:val="00D50181"/>
    <w:rsid w:val="00D503E9"/>
    <w:rsid w:val="00D50711"/>
    <w:rsid w:val="00D5075A"/>
    <w:rsid w:val="00D50A38"/>
    <w:rsid w:val="00D50E22"/>
    <w:rsid w:val="00D50EFF"/>
    <w:rsid w:val="00D50F7D"/>
    <w:rsid w:val="00D5125C"/>
    <w:rsid w:val="00D512B3"/>
    <w:rsid w:val="00D51629"/>
    <w:rsid w:val="00D51730"/>
    <w:rsid w:val="00D5175A"/>
    <w:rsid w:val="00D5184A"/>
    <w:rsid w:val="00D51BCF"/>
    <w:rsid w:val="00D51C24"/>
    <w:rsid w:val="00D51E90"/>
    <w:rsid w:val="00D51F0C"/>
    <w:rsid w:val="00D51F8E"/>
    <w:rsid w:val="00D522FB"/>
    <w:rsid w:val="00D52383"/>
    <w:rsid w:val="00D52463"/>
    <w:rsid w:val="00D5265A"/>
    <w:rsid w:val="00D52826"/>
    <w:rsid w:val="00D5290A"/>
    <w:rsid w:val="00D52A63"/>
    <w:rsid w:val="00D52FDA"/>
    <w:rsid w:val="00D52FF2"/>
    <w:rsid w:val="00D53721"/>
    <w:rsid w:val="00D53AD4"/>
    <w:rsid w:val="00D53BAE"/>
    <w:rsid w:val="00D53BB8"/>
    <w:rsid w:val="00D53C43"/>
    <w:rsid w:val="00D53C80"/>
    <w:rsid w:val="00D53E18"/>
    <w:rsid w:val="00D54024"/>
    <w:rsid w:val="00D54238"/>
    <w:rsid w:val="00D543BD"/>
    <w:rsid w:val="00D545AC"/>
    <w:rsid w:val="00D546CD"/>
    <w:rsid w:val="00D547E7"/>
    <w:rsid w:val="00D548BA"/>
    <w:rsid w:val="00D5496E"/>
    <w:rsid w:val="00D54A6A"/>
    <w:rsid w:val="00D54E57"/>
    <w:rsid w:val="00D54F09"/>
    <w:rsid w:val="00D552DD"/>
    <w:rsid w:val="00D55329"/>
    <w:rsid w:val="00D555C2"/>
    <w:rsid w:val="00D555F2"/>
    <w:rsid w:val="00D55601"/>
    <w:rsid w:val="00D55C56"/>
    <w:rsid w:val="00D55EC8"/>
    <w:rsid w:val="00D55F43"/>
    <w:rsid w:val="00D55F92"/>
    <w:rsid w:val="00D560AA"/>
    <w:rsid w:val="00D56186"/>
    <w:rsid w:val="00D56371"/>
    <w:rsid w:val="00D56435"/>
    <w:rsid w:val="00D565DF"/>
    <w:rsid w:val="00D565FD"/>
    <w:rsid w:val="00D56663"/>
    <w:rsid w:val="00D567EF"/>
    <w:rsid w:val="00D56870"/>
    <w:rsid w:val="00D56A26"/>
    <w:rsid w:val="00D56AA2"/>
    <w:rsid w:val="00D56B1A"/>
    <w:rsid w:val="00D56D73"/>
    <w:rsid w:val="00D56DDE"/>
    <w:rsid w:val="00D56E53"/>
    <w:rsid w:val="00D57423"/>
    <w:rsid w:val="00D575BD"/>
    <w:rsid w:val="00D575F6"/>
    <w:rsid w:val="00D57601"/>
    <w:rsid w:val="00D576C6"/>
    <w:rsid w:val="00D57872"/>
    <w:rsid w:val="00D57D7F"/>
    <w:rsid w:val="00D57E63"/>
    <w:rsid w:val="00D6008F"/>
    <w:rsid w:val="00D602F4"/>
    <w:rsid w:val="00D60652"/>
    <w:rsid w:val="00D6073B"/>
    <w:rsid w:val="00D60834"/>
    <w:rsid w:val="00D6096B"/>
    <w:rsid w:val="00D6114E"/>
    <w:rsid w:val="00D617E9"/>
    <w:rsid w:val="00D6184B"/>
    <w:rsid w:val="00D618DF"/>
    <w:rsid w:val="00D61A09"/>
    <w:rsid w:val="00D61A45"/>
    <w:rsid w:val="00D6207D"/>
    <w:rsid w:val="00D620BF"/>
    <w:rsid w:val="00D62571"/>
    <w:rsid w:val="00D6277C"/>
    <w:rsid w:val="00D62AC7"/>
    <w:rsid w:val="00D63453"/>
    <w:rsid w:val="00D6365B"/>
    <w:rsid w:val="00D63756"/>
    <w:rsid w:val="00D63AF0"/>
    <w:rsid w:val="00D63BC6"/>
    <w:rsid w:val="00D63E3E"/>
    <w:rsid w:val="00D64047"/>
    <w:rsid w:val="00D641AE"/>
    <w:rsid w:val="00D642AC"/>
    <w:rsid w:val="00D64332"/>
    <w:rsid w:val="00D64399"/>
    <w:rsid w:val="00D644CF"/>
    <w:rsid w:val="00D64567"/>
    <w:rsid w:val="00D64784"/>
    <w:rsid w:val="00D64892"/>
    <w:rsid w:val="00D64A78"/>
    <w:rsid w:val="00D64ADA"/>
    <w:rsid w:val="00D64AF0"/>
    <w:rsid w:val="00D64B0E"/>
    <w:rsid w:val="00D64D14"/>
    <w:rsid w:val="00D64DA8"/>
    <w:rsid w:val="00D65288"/>
    <w:rsid w:val="00D65445"/>
    <w:rsid w:val="00D65508"/>
    <w:rsid w:val="00D65550"/>
    <w:rsid w:val="00D655F7"/>
    <w:rsid w:val="00D6576D"/>
    <w:rsid w:val="00D65942"/>
    <w:rsid w:val="00D65F97"/>
    <w:rsid w:val="00D66179"/>
    <w:rsid w:val="00D66773"/>
    <w:rsid w:val="00D668D2"/>
    <w:rsid w:val="00D66A8C"/>
    <w:rsid w:val="00D66A8E"/>
    <w:rsid w:val="00D66BC7"/>
    <w:rsid w:val="00D66BEA"/>
    <w:rsid w:val="00D66EB6"/>
    <w:rsid w:val="00D67172"/>
    <w:rsid w:val="00D672CF"/>
    <w:rsid w:val="00D6746F"/>
    <w:rsid w:val="00D675AB"/>
    <w:rsid w:val="00D67691"/>
    <w:rsid w:val="00D67776"/>
    <w:rsid w:val="00D67A51"/>
    <w:rsid w:val="00D67AF9"/>
    <w:rsid w:val="00D67CA8"/>
    <w:rsid w:val="00D67CCF"/>
    <w:rsid w:val="00D67D0D"/>
    <w:rsid w:val="00D67FEE"/>
    <w:rsid w:val="00D7015A"/>
    <w:rsid w:val="00D70379"/>
    <w:rsid w:val="00D70382"/>
    <w:rsid w:val="00D703F8"/>
    <w:rsid w:val="00D70599"/>
    <w:rsid w:val="00D7065C"/>
    <w:rsid w:val="00D708AD"/>
    <w:rsid w:val="00D708CA"/>
    <w:rsid w:val="00D70A1D"/>
    <w:rsid w:val="00D70AB8"/>
    <w:rsid w:val="00D70B1D"/>
    <w:rsid w:val="00D7118B"/>
    <w:rsid w:val="00D71196"/>
    <w:rsid w:val="00D711E5"/>
    <w:rsid w:val="00D7159D"/>
    <w:rsid w:val="00D715FC"/>
    <w:rsid w:val="00D71A0B"/>
    <w:rsid w:val="00D71D29"/>
    <w:rsid w:val="00D7201F"/>
    <w:rsid w:val="00D72090"/>
    <w:rsid w:val="00D720BD"/>
    <w:rsid w:val="00D72100"/>
    <w:rsid w:val="00D722E4"/>
    <w:rsid w:val="00D723BE"/>
    <w:rsid w:val="00D725B4"/>
    <w:rsid w:val="00D72769"/>
    <w:rsid w:val="00D728F1"/>
    <w:rsid w:val="00D72A18"/>
    <w:rsid w:val="00D72D4D"/>
    <w:rsid w:val="00D730FA"/>
    <w:rsid w:val="00D73321"/>
    <w:rsid w:val="00D733CC"/>
    <w:rsid w:val="00D733D8"/>
    <w:rsid w:val="00D734E9"/>
    <w:rsid w:val="00D736C0"/>
    <w:rsid w:val="00D73881"/>
    <w:rsid w:val="00D73B93"/>
    <w:rsid w:val="00D73F8D"/>
    <w:rsid w:val="00D743E9"/>
    <w:rsid w:val="00D744DD"/>
    <w:rsid w:val="00D745EE"/>
    <w:rsid w:val="00D74649"/>
    <w:rsid w:val="00D74A0A"/>
    <w:rsid w:val="00D74ADA"/>
    <w:rsid w:val="00D74AF6"/>
    <w:rsid w:val="00D74D73"/>
    <w:rsid w:val="00D74FEC"/>
    <w:rsid w:val="00D75463"/>
    <w:rsid w:val="00D756BD"/>
    <w:rsid w:val="00D756EE"/>
    <w:rsid w:val="00D75998"/>
    <w:rsid w:val="00D75A27"/>
    <w:rsid w:val="00D75BC4"/>
    <w:rsid w:val="00D75BCB"/>
    <w:rsid w:val="00D76690"/>
    <w:rsid w:val="00D76976"/>
    <w:rsid w:val="00D76A55"/>
    <w:rsid w:val="00D76E4E"/>
    <w:rsid w:val="00D776FC"/>
    <w:rsid w:val="00D77B7C"/>
    <w:rsid w:val="00D77E5A"/>
    <w:rsid w:val="00D77E82"/>
    <w:rsid w:val="00D8015A"/>
    <w:rsid w:val="00D80285"/>
    <w:rsid w:val="00D8034B"/>
    <w:rsid w:val="00D80468"/>
    <w:rsid w:val="00D8060D"/>
    <w:rsid w:val="00D80944"/>
    <w:rsid w:val="00D80AB3"/>
    <w:rsid w:val="00D80B53"/>
    <w:rsid w:val="00D80D09"/>
    <w:rsid w:val="00D811A3"/>
    <w:rsid w:val="00D812FE"/>
    <w:rsid w:val="00D814E4"/>
    <w:rsid w:val="00D81687"/>
    <w:rsid w:val="00D81A51"/>
    <w:rsid w:val="00D81C89"/>
    <w:rsid w:val="00D81E41"/>
    <w:rsid w:val="00D81F3A"/>
    <w:rsid w:val="00D81F55"/>
    <w:rsid w:val="00D82018"/>
    <w:rsid w:val="00D82414"/>
    <w:rsid w:val="00D82679"/>
    <w:rsid w:val="00D827E2"/>
    <w:rsid w:val="00D82A61"/>
    <w:rsid w:val="00D83151"/>
    <w:rsid w:val="00D83267"/>
    <w:rsid w:val="00D833EE"/>
    <w:rsid w:val="00D83444"/>
    <w:rsid w:val="00D836E1"/>
    <w:rsid w:val="00D83891"/>
    <w:rsid w:val="00D83916"/>
    <w:rsid w:val="00D83930"/>
    <w:rsid w:val="00D83C31"/>
    <w:rsid w:val="00D83CDC"/>
    <w:rsid w:val="00D83F99"/>
    <w:rsid w:val="00D84007"/>
    <w:rsid w:val="00D84EC6"/>
    <w:rsid w:val="00D84F35"/>
    <w:rsid w:val="00D85069"/>
    <w:rsid w:val="00D853B2"/>
    <w:rsid w:val="00D85444"/>
    <w:rsid w:val="00D85919"/>
    <w:rsid w:val="00D85BA9"/>
    <w:rsid w:val="00D85D07"/>
    <w:rsid w:val="00D862B2"/>
    <w:rsid w:val="00D8630D"/>
    <w:rsid w:val="00D8633D"/>
    <w:rsid w:val="00D864A6"/>
    <w:rsid w:val="00D866E5"/>
    <w:rsid w:val="00D867F5"/>
    <w:rsid w:val="00D868A6"/>
    <w:rsid w:val="00D86A4D"/>
    <w:rsid w:val="00D86AA6"/>
    <w:rsid w:val="00D86C18"/>
    <w:rsid w:val="00D86FFF"/>
    <w:rsid w:val="00D8722C"/>
    <w:rsid w:val="00D87234"/>
    <w:rsid w:val="00D87552"/>
    <w:rsid w:val="00D8778C"/>
    <w:rsid w:val="00D87961"/>
    <w:rsid w:val="00D8796E"/>
    <w:rsid w:val="00D87D9E"/>
    <w:rsid w:val="00D87DF4"/>
    <w:rsid w:val="00D87FDB"/>
    <w:rsid w:val="00D9025E"/>
    <w:rsid w:val="00D904CB"/>
    <w:rsid w:val="00D90670"/>
    <w:rsid w:val="00D906A9"/>
    <w:rsid w:val="00D90875"/>
    <w:rsid w:val="00D90BD2"/>
    <w:rsid w:val="00D90C87"/>
    <w:rsid w:val="00D90E4A"/>
    <w:rsid w:val="00D90EDC"/>
    <w:rsid w:val="00D90F2A"/>
    <w:rsid w:val="00D91529"/>
    <w:rsid w:val="00D915FE"/>
    <w:rsid w:val="00D91658"/>
    <w:rsid w:val="00D91ADF"/>
    <w:rsid w:val="00D91B3C"/>
    <w:rsid w:val="00D91B75"/>
    <w:rsid w:val="00D91BDC"/>
    <w:rsid w:val="00D91BF6"/>
    <w:rsid w:val="00D91C4D"/>
    <w:rsid w:val="00D91D23"/>
    <w:rsid w:val="00D91D9B"/>
    <w:rsid w:val="00D91F5D"/>
    <w:rsid w:val="00D91F78"/>
    <w:rsid w:val="00D920D5"/>
    <w:rsid w:val="00D92489"/>
    <w:rsid w:val="00D924E4"/>
    <w:rsid w:val="00D925D7"/>
    <w:rsid w:val="00D925E2"/>
    <w:rsid w:val="00D92661"/>
    <w:rsid w:val="00D926C3"/>
    <w:rsid w:val="00D92727"/>
    <w:rsid w:val="00D9285D"/>
    <w:rsid w:val="00D92C6B"/>
    <w:rsid w:val="00D92C86"/>
    <w:rsid w:val="00D92F1F"/>
    <w:rsid w:val="00D93229"/>
    <w:rsid w:val="00D93567"/>
    <w:rsid w:val="00D93608"/>
    <w:rsid w:val="00D93A31"/>
    <w:rsid w:val="00D93A3E"/>
    <w:rsid w:val="00D93BCE"/>
    <w:rsid w:val="00D93D13"/>
    <w:rsid w:val="00D94036"/>
    <w:rsid w:val="00D943B4"/>
    <w:rsid w:val="00D945F9"/>
    <w:rsid w:val="00D947B0"/>
    <w:rsid w:val="00D94AE3"/>
    <w:rsid w:val="00D94D1A"/>
    <w:rsid w:val="00D94D9F"/>
    <w:rsid w:val="00D94EE9"/>
    <w:rsid w:val="00D94FE5"/>
    <w:rsid w:val="00D95524"/>
    <w:rsid w:val="00D95681"/>
    <w:rsid w:val="00D95705"/>
    <w:rsid w:val="00D95789"/>
    <w:rsid w:val="00D9579B"/>
    <w:rsid w:val="00D957A3"/>
    <w:rsid w:val="00D9582F"/>
    <w:rsid w:val="00D9598D"/>
    <w:rsid w:val="00D95A85"/>
    <w:rsid w:val="00D95D84"/>
    <w:rsid w:val="00D95D98"/>
    <w:rsid w:val="00D95DC0"/>
    <w:rsid w:val="00D95E08"/>
    <w:rsid w:val="00D95E80"/>
    <w:rsid w:val="00D95F1D"/>
    <w:rsid w:val="00D961CE"/>
    <w:rsid w:val="00D96308"/>
    <w:rsid w:val="00D9647A"/>
    <w:rsid w:val="00D96481"/>
    <w:rsid w:val="00D9652F"/>
    <w:rsid w:val="00D966DF"/>
    <w:rsid w:val="00D96896"/>
    <w:rsid w:val="00D96A2B"/>
    <w:rsid w:val="00D96A58"/>
    <w:rsid w:val="00D96B14"/>
    <w:rsid w:val="00D96C13"/>
    <w:rsid w:val="00D96D59"/>
    <w:rsid w:val="00D97507"/>
    <w:rsid w:val="00D975CC"/>
    <w:rsid w:val="00D978D2"/>
    <w:rsid w:val="00D97CD0"/>
    <w:rsid w:val="00D97F98"/>
    <w:rsid w:val="00DA01E4"/>
    <w:rsid w:val="00DA0382"/>
    <w:rsid w:val="00DA03F0"/>
    <w:rsid w:val="00DA050F"/>
    <w:rsid w:val="00DA07FD"/>
    <w:rsid w:val="00DA08FA"/>
    <w:rsid w:val="00DA0F68"/>
    <w:rsid w:val="00DA0FEF"/>
    <w:rsid w:val="00DA112E"/>
    <w:rsid w:val="00DA135F"/>
    <w:rsid w:val="00DA15F0"/>
    <w:rsid w:val="00DA17ED"/>
    <w:rsid w:val="00DA184A"/>
    <w:rsid w:val="00DA19BB"/>
    <w:rsid w:val="00DA1B63"/>
    <w:rsid w:val="00DA1BBE"/>
    <w:rsid w:val="00DA1C7A"/>
    <w:rsid w:val="00DA1CE0"/>
    <w:rsid w:val="00DA1D2D"/>
    <w:rsid w:val="00DA1D35"/>
    <w:rsid w:val="00DA2058"/>
    <w:rsid w:val="00DA24FD"/>
    <w:rsid w:val="00DA2711"/>
    <w:rsid w:val="00DA2A59"/>
    <w:rsid w:val="00DA2ADF"/>
    <w:rsid w:val="00DA3435"/>
    <w:rsid w:val="00DA343E"/>
    <w:rsid w:val="00DA347B"/>
    <w:rsid w:val="00DA352E"/>
    <w:rsid w:val="00DA3C84"/>
    <w:rsid w:val="00DA3EDF"/>
    <w:rsid w:val="00DA3FD6"/>
    <w:rsid w:val="00DA3FDA"/>
    <w:rsid w:val="00DA40EB"/>
    <w:rsid w:val="00DA40F6"/>
    <w:rsid w:val="00DA40FA"/>
    <w:rsid w:val="00DA42BB"/>
    <w:rsid w:val="00DA4466"/>
    <w:rsid w:val="00DA44B9"/>
    <w:rsid w:val="00DA46EF"/>
    <w:rsid w:val="00DA4D2D"/>
    <w:rsid w:val="00DA4D34"/>
    <w:rsid w:val="00DA4DA6"/>
    <w:rsid w:val="00DA4FE8"/>
    <w:rsid w:val="00DA50F5"/>
    <w:rsid w:val="00DA56B1"/>
    <w:rsid w:val="00DA588E"/>
    <w:rsid w:val="00DA5965"/>
    <w:rsid w:val="00DA5D8E"/>
    <w:rsid w:val="00DA6031"/>
    <w:rsid w:val="00DA6049"/>
    <w:rsid w:val="00DA6188"/>
    <w:rsid w:val="00DA6193"/>
    <w:rsid w:val="00DA628C"/>
    <w:rsid w:val="00DA63AD"/>
    <w:rsid w:val="00DA64AF"/>
    <w:rsid w:val="00DA66D7"/>
    <w:rsid w:val="00DA67D2"/>
    <w:rsid w:val="00DA6819"/>
    <w:rsid w:val="00DA686E"/>
    <w:rsid w:val="00DA6B7D"/>
    <w:rsid w:val="00DA6C34"/>
    <w:rsid w:val="00DA777D"/>
    <w:rsid w:val="00DA77BB"/>
    <w:rsid w:val="00DA77DE"/>
    <w:rsid w:val="00DA7AD4"/>
    <w:rsid w:val="00DA7C81"/>
    <w:rsid w:val="00DB0005"/>
    <w:rsid w:val="00DB01A4"/>
    <w:rsid w:val="00DB038D"/>
    <w:rsid w:val="00DB05A7"/>
    <w:rsid w:val="00DB075F"/>
    <w:rsid w:val="00DB0890"/>
    <w:rsid w:val="00DB098D"/>
    <w:rsid w:val="00DB0D1B"/>
    <w:rsid w:val="00DB1035"/>
    <w:rsid w:val="00DB10BE"/>
    <w:rsid w:val="00DB10CC"/>
    <w:rsid w:val="00DB112B"/>
    <w:rsid w:val="00DB12E0"/>
    <w:rsid w:val="00DB144C"/>
    <w:rsid w:val="00DB1547"/>
    <w:rsid w:val="00DB1759"/>
    <w:rsid w:val="00DB1A90"/>
    <w:rsid w:val="00DB1CE1"/>
    <w:rsid w:val="00DB1CE7"/>
    <w:rsid w:val="00DB1D6A"/>
    <w:rsid w:val="00DB1FFE"/>
    <w:rsid w:val="00DB2125"/>
    <w:rsid w:val="00DB2446"/>
    <w:rsid w:val="00DB25A5"/>
    <w:rsid w:val="00DB26A1"/>
    <w:rsid w:val="00DB26B4"/>
    <w:rsid w:val="00DB28DB"/>
    <w:rsid w:val="00DB2AFF"/>
    <w:rsid w:val="00DB2C02"/>
    <w:rsid w:val="00DB2C12"/>
    <w:rsid w:val="00DB2C81"/>
    <w:rsid w:val="00DB2E5C"/>
    <w:rsid w:val="00DB2F7B"/>
    <w:rsid w:val="00DB311C"/>
    <w:rsid w:val="00DB34C3"/>
    <w:rsid w:val="00DB3A57"/>
    <w:rsid w:val="00DB3AD9"/>
    <w:rsid w:val="00DB3B3A"/>
    <w:rsid w:val="00DB3F9F"/>
    <w:rsid w:val="00DB428C"/>
    <w:rsid w:val="00DB449D"/>
    <w:rsid w:val="00DB449E"/>
    <w:rsid w:val="00DB4898"/>
    <w:rsid w:val="00DB490B"/>
    <w:rsid w:val="00DB4936"/>
    <w:rsid w:val="00DB4CEE"/>
    <w:rsid w:val="00DB4F43"/>
    <w:rsid w:val="00DB5033"/>
    <w:rsid w:val="00DB5326"/>
    <w:rsid w:val="00DB541B"/>
    <w:rsid w:val="00DB58AF"/>
    <w:rsid w:val="00DB6123"/>
    <w:rsid w:val="00DB6158"/>
    <w:rsid w:val="00DB62DB"/>
    <w:rsid w:val="00DB682D"/>
    <w:rsid w:val="00DB6B0F"/>
    <w:rsid w:val="00DB6D98"/>
    <w:rsid w:val="00DB7014"/>
    <w:rsid w:val="00DB7022"/>
    <w:rsid w:val="00DB745F"/>
    <w:rsid w:val="00DB751A"/>
    <w:rsid w:val="00DB7637"/>
    <w:rsid w:val="00DB769F"/>
    <w:rsid w:val="00DB77F0"/>
    <w:rsid w:val="00DB7C75"/>
    <w:rsid w:val="00DC0172"/>
    <w:rsid w:val="00DC021E"/>
    <w:rsid w:val="00DC02AA"/>
    <w:rsid w:val="00DC038D"/>
    <w:rsid w:val="00DC0599"/>
    <w:rsid w:val="00DC05E8"/>
    <w:rsid w:val="00DC0669"/>
    <w:rsid w:val="00DC0835"/>
    <w:rsid w:val="00DC095F"/>
    <w:rsid w:val="00DC0E7F"/>
    <w:rsid w:val="00DC0EB2"/>
    <w:rsid w:val="00DC13D7"/>
    <w:rsid w:val="00DC1536"/>
    <w:rsid w:val="00DC15ED"/>
    <w:rsid w:val="00DC1779"/>
    <w:rsid w:val="00DC198A"/>
    <w:rsid w:val="00DC19FF"/>
    <w:rsid w:val="00DC1AB2"/>
    <w:rsid w:val="00DC1D78"/>
    <w:rsid w:val="00DC1FC7"/>
    <w:rsid w:val="00DC20D6"/>
    <w:rsid w:val="00DC2168"/>
    <w:rsid w:val="00DC21AF"/>
    <w:rsid w:val="00DC290E"/>
    <w:rsid w:val="00DC3366"/>
    <w:rsid w:val="00DC3649"/>
    <w:rsid w:val="00DC3880"/>
    <w:rsid w:val="00DC391A"/>
    <w:rsid w:val="00DC3993"/>
    <w:rsid w:val="00DC3C61"/>
    <w:rsid w:val="00DC40A1"/>
    <w:rsid w:val="00DC40F9"/>
    <w:rsid w:val="00DC468D"/>
    <w:rsid w:val="00DC4694"/>
    <w:rsid w:val="00DC485A"/>
    <w:rsid w:val="00DC4A52"/>
    <w:rsid w:val="00DC4AB1"/>
    <w:rsid w:val="00DC4E55"/>
    <w:rsid w:val="00DC4EFA"/>
    <w:rsid w:val="00DC50F5"/>
    <w:rsid w:val="00DC522C"/>
    <w:rsid w:val="00DC52E4"/>
    <w:rsid w:val="00DC5709"/>
    <w:rsid w:val="00DC5B0B"/>
    <w:rsid w:val="00DC5C45"/>
    <w:rsid w:val="00DC65A1"/>
    <w:rsid w:val="00DC6805"/>
    <w:rsid w:val="00DC69A2"/>
    <w:rsid w:val="00DC6BF5"/>
    <w:rsid w:val="00DC6C12"/>
    <w:rsid w:val="00DC6E59"/>
    <w:rsid w:val="00DC723A"/>
    <w:rsid w:val="00DC7A8C"/>
    <w:rsid w:val="00DC7C27"/>
    <w:rsid w:val="00DC7E39"/>
    <w:rsid w:val="00DC7F10"/>
    <w:rsid w:val="00DC7F12"/>
    <w:rsid w:val="00DD0277"/>
    <w:rsid w:val="00DD0619"/>
    <w:rsid w:val="00DD0668"/>
    <w:rsid w:val="00DD072A"/>
    <w:rsid w:val="00DD0D87"/>
    <w:rsid w:val="00DD0F0A"/>
    <w:rsid w:val="00DD1048"/>
    <w:rsid w:val="00DD1148"/>
    <w:rsid w:val="00DD130E"/>
    <w:rsid w:val="00DD145C"/>
    <w:rsid w:val="00DD1480"/>
    <w:rsid w:val="00DD149A"/>
    <w:rsid w:val="00DD1616"/>
    <w:rsid w:val="00DD1ABC"/>
    <w:rsid w:val="00DD21AB"/>
    <w:rsid w:val="00DD2277"/>
    <w:rsid w:val="00DD244E"/>
    <w:rsid w:val="00DD2636"/>
    <w:rsid w:val="00DD2720"/>
    <w:rsid w:val="00DD2995"/>
    <w:rsid w:val="00DD2CBC"/>
    <w:rsid w:val="00DD30DB"/>
    <w:rsid w:val="00DD331A"/>
    <w:rsid w:val="00DD3401"/>
    <w:rsid w:val="00DD3491"/>
    <w:rsid w:val="00DD3523"/>
    <w:rsid w:val="00DD36D4"/>
    <w:rsid w:val="00DD3CDE"/>
    <w:rsid w:val="00DD3D08"/>
    <w:rsid w:val="00DD3D35"/>
    <w:rsid w:val="00DD4052"/>
    <w:rsid w:val="00DD4181"/>
    <w:rsid w:val="00DD422A"/>
    <w:rsid w:val="00DD42B6"/>
    <w:rsid w:val="00DD4534"/>
    <w:rsid w:val="00DD4698"/>
    <w:rsid w:val="00DD472F"/>
    <w:rsid w:val="00DD473B"/>
    <w:rsid w:val="00DD47E4"/>
    <w:rsid w:val="00DD4897"/>
    <w:rsid w:val="00DD4A23"/>
    <w:rsid w:val="00DD4E14"/>
    <w:rsid w:val="00DD4E61"/>
    <w:rsid w:val="00DD4EC8"/>
    <w:rsid w:val="00DD4ED8"/>
    <w:rsid w:val="00DD4F7E"/>
    <w:rsid w:val="00DD500C"/>
    <w:rsid w:val="00DD537F"/>
    <w:rsid w:val="00DD562D"/>
    <w:rsid w:val="00DD5935"/>
    <w:rsid w:val="00DD5A2C"/>
    <w:rsid w:val="00DD5B01"/>
    <w:rsid w:val="00DD5C5D"/>
    <w:rsid w:val="00DD5D5F"/>
    <w:rsid w:val="00DD5DE6"/>
    <w:rsid w:val="00DD6562"/>
    <w:rsid w:val="00DD6779"/>
    <w:rsid w:val="00DD6818"/>
    <w:rsid w:val="00DD6AD6"/>
    <w:rsid w:val="00DD6AFB"/>
    <w:rsid w:val="00DD6EB4"/>
    <w:rsid w:val="00DD7081"/>
    <w:rsid w:val="00DD76EF"/>
    <w:rsid w:val="00DD786F"/>
    <w:rsid w:val="00DD7ADB"/>
    <w:rsid w:val="00DD7E06"/>
    <w:rsid w:val="00DD7F18"/>
    <w:rsid w:val="00DE0114"/>
    <w:rsid w:val="00DE02B0"/>
    <w:rsid w:val="00DE0375"/>
    <w:rsid w:val="00DE03E4"/>
    <w:rsid w:val="00DE0498"/>
    <w:rsid w:val="00DE04D8"/>
    <w:rsid w:val="00DE0A6C"/>
    <w:rsid w:val="00DE0A99"/>
    <w:rsid w:val="00DE0B52"/>
    <w:rsid w:val="00DE117F"/>
    <w:rsid w:val="00DE1232"/>
    <w:rsid w:val="00DE1A8E"/>
    <w:rsid w:val="00DE1ACE"/>
    <w:rsid w:val="00DE1B92"/>
    <w:rsid w:val="00DE1BDB"/>
    <w:rsid w:val="00DE1E66"/>
    <w:rsid w:val="00DE1F70"/>
    <w:rsid w:val="00DE20F6"/>
    <w:rsid w:val="00DE2443"/>
    <w:rsid w:val="00DE25B2"/>
    <w:rsid w:val="00DE2C90"/>
    <w:rsid w:val="00DE2DBD"/>
    <w:rsid w:val="00DE2EDE"/>
    <w:rsid w:val="00DE2FC2"/>
    <w:rsid w:val="00DE30AD"/>
    <w:rsid w:val="00DE3252"/>
    <w:rsid w:val="00DE33AE"/>
    <w:rsid w:val="00DE34BA"/>
    <w:rsid w:val="00DE34F2"/>
    <w:rsid w:val="00DE3829"/>
    <w:rsid w:val="00DE3B59"/>
    <w:rsid w:val="00DE3E99"/>
    <w:rsid w:val="00DE3EAD"/>
    <w:rsid w:val="00DE4006"/>
    <w:rsid w:val="00DE4115"/>
    <w:rsid w:val="00DE4690"/>
    <w:rsid w:val="00DE4AB2"/>
    <w:rsid w:val="00DE4B06"/>
    <w:rsid w:val="00DE4CB1"/>
    <w:rsid w:val="00DE4DDD"/>
    <w:rsid w:val="00DE4F81"/>
    <w:rsid w:val="00DE51F5"/>
    <w:rsid w:val="00DE54CA"/>
    <w:rsid w:val="00DE54EA"/>
    <w:rsid w:val="00DE54F9"/>
    <w:rsid w:val="00DE5966"/>
    <w:rsid w:val="00DE5AF8"/>
    <w:rsid w:val="00DE5B75"/>
    <w:rsid w:val="00DE5D16"/>
    <w:rsid w:val="00DE6176"/>
    <w:rsid w:val="00DE6324"/>
    <w:rsid w:val="00DE678E"/>
    <w:rsid w:val="00DE69CD"/>
    <w:rsid w:val="00DE6D63"/>
    <w:rsid w:val="00DE6D9A"/>
    <w:rsid w:val="00DE6FF4"/>
    <w:rsid w:val="00DE709B"/>
    <w:rsid w:val="00DE710E"/>
    <w:rsid w:val="00DE72BB"/>
    <w:rsid w:val="00DE7354"/>
    <w:rsid w:val="00DE75BF"/>
    <w:rsid w:val="00DE75D0"/>
    <w:rsid w:val="00DE7774"/>
    <w:rsid w:val="00DE7953"/>
    <w:rsid w:val="00DE798A"/>
    <w:rsid w:val="00DE7A20"/>
    <w:rsid w:val="00DE7DD4"/>
    <w:rsid w:val="00DF0176"/>
    <w:rsid w:val="00DF0177"/>
    <w:rsid w:val="00DF01EB"/>
    <w:rsid w:val="00DF026C"/>
    <w:rsid w:val="00DF0370"/>
    <w:rsid w:val="00DF0389"/>
    <w:rsid w:val="00DF0395"/>
    <w:rsid w:val="00DF0742"/>
    <w:rsid w:val="00DF099C"/>
    <w:rsid w:val="00DF0A28"/>
    <w:rsid w:val="00DF0EFA"/>
    <w:rsid w:val="00DF11B4"/>
    <w:rsid w:val="00DF16CD"/>
    <w:rsid w:val="00DF16ED"/>
    <w:rsid w:val="00DF181A"/>
    <w:rsid w:val="00DF1ABA"/>
    <w:rsid w:val="00DF1AD9"/>
    <w:rsid w:val="00DF1CDA"/>
    <w:rsid w:val="00DF1D37"/>
    <w:rsid w:val="00DF206A"/>
    <w:rsid w:val="00DF2417"/>
    <w:rsid w:val="00DF24E0"/>
    <w:rsid w:val="00DF25AE"/>
    <w:rsid w:val="00DF274A"/>
    <w:rsid w:val="00DF2924"/>
    <w:rsid w:val="00DF29F2"/>
    <w:rsid w:val="00DF2B28"/>
    <w:rsid w:val="00DF2C55"/>
    <w:rsid w:val="00DF2C92"/>
    <w:rsid w:val="00DF2CEC"/>
    <w:rsid w:val="00DF2D22"/>
    <w:rsid w:val="00DF2FBB"/>
    <w:rsid w:val="00DF3081"/>
    <w:rsid w:val="00DF3276"/>
    <w:rsid w:val="00DF34FF"/>
    <w:rsid w:val="00DF3528"/>
    <w:rsid w:val="00DF3651"/>
    <w:rsid w:val="00DF369F"/>
    <w:rsid w:val="00DF36F9"/>
    <w:rsid w:val="00DF39DA"/>
    <w:rsid w:val="00DF3A5F"/>
    <w:rsid w:val="00DF3DD7"/>
    <w:rsid w:val="00DF4027"/>
    <w:rsid w:val="00DF4087"/>
    <w:rsid w:val="00DF4400"/>
    <w:rsid w:val="00DF499A"/>
    <w:rsid w:val="00DF4AE8"/>
    <w:rsid w:val="00DF4D0F"/>
    <w:rsid w:val="00DF5292"/>
    <w:rsid w:val="00DF54E9"/>
    <w:rsid w:val="00DF59DE"/>
    <w:rsid w:val="00DF5C01"/>
    <w:rsid w:val="00DF5C23"/>
    <w:rsid w:val="00DF6110"/>
    <w:rsid w:val="00DF61AA"/>
    <w:rsid w:val="00DF63BD"/>
    <w:rsid w:val="00DF64C8"/>
    <w:rsid w:val="00DF64F5"/>
    <w:rsid w:val="00DF6699"/>
    <w:rsid w:val="00DF6A17"/>
    <w:rsid w:val="00DF6C37"/>
    <w:rsid w:val="00DF6CDF"/>
    <w:rsid w:val="00DF6DFC"/>
    <w:rsid w:val="00DF6ED0"/>
    <w:rsid w:val="00DF7106"/>
    <w:rsid w:val="00DF7193"/>
    <w:rsid w:val="00DF785A"/>
    <w:rsid w:val="00DF790E"/>
    <w:rsid w:val="00DF7DF4"/>
    <w:rsid w:val="00DF7F85"/>
    <w:rsid w:val="00E00182"/>
    <w:rsid w:val="00E001BF"/>
    <w:rsid w:val="00E0028D"/>
    <w:rsid w:val="00E00537"/>
    <w:rsid w:val="00E0057A"/>
    <w:rsid w:val="00E00632"/>
    <w:rsid w:val="00E00704"/>
    <w:rsid w:val="00E009BA"/>
    <w:rsid w:val="00E009F5"/>
    <w:rsid w:val="00E00AE2"/>
    <w:rsid w:val="00E00D61"/>
    <w:rsid w:val="00E00E99"/>
    <w:rsid w:val="00E0105D"/>
    <w:rsid w:val="00E01378"/>
    <w:rsid w:val="00E01512"/>
    <w:rsid w:val="00E01B2C"/>
    <w:rsid w:val="00E01BFB"/>
    <w:rsid w:val="00E01D5A"/>
    <w:rsid w:val="00E01F00"/>
    <w:rsid w:val="00E01F84"/>
    <w:rsid w:val="00E021CD"/>
    <w:rsid w:val="00E023DE"/>
    <w:rsid w:val="00E02634"/>
    <w:rsid w:val="00E02704"/>
    <w:rsid w:val="00E02DBE"/>
    <w:rsid w:val="00E03275"/>
    <w:rsid w:val="00E032D4"/>
    <w:rsid w:val="00E0341E"/>
    <w:rsid w:val="00E0373C"/>
    <w:rsid w:val="00E037E9"/>
    <w:rsid w:val="00E037F8"/>
    <w:rsid w:val="00E03957"/>
    <w:rsid w:val="00E03C1F"/>
    <w:rsid w:val="00E04012"/>
    <w:rsid w:val="00E040B0"/>
    <w:rsid w:val="00E04130"/>
    <w:rsid w:val="00E04143"/>
    <w:rsid w:val="00E04148"/>
    <w:rsid w:val="00E04261"/>
    <w:rsid w:val="00E043EE"/>
    <w:rsid w:val="00E04639"/>
    <w:rsid w:val="00E05204"/>
    <w:rsid w:val="00E054BE"/>
    <w:rsid w:val="00E0552A"/>
    <w:rsid w:val="00E05657"/>
    <w:rsid w:val="00E0578C"/>
    <w:rsid w:val="00E057D7"/>
    <w:rsid w:val="00E057DC"/>
    <w:rsid w:val="00E058CD"/>
    <w:rsid w:val="00E05921"/>
    <w:rsid w:val="00E05CCD"/>
    <w:rsid w:val="00E05DAF"/>
    <w:rsid w:val="00E064AF"/>
    <w:rsid w:val="00E06710"/>
    <w:rsid w:val="00E067AA"/>
    <w:rsid w:val="00E0700A"/>
    <w:rsid w:val="00E07432"/>
    <w:rsid w:val="00E07537"/>
    <w:rsid w:val="00E07772"/>
    <w:rsid w:val="00E07DFA"/>
    <w:rsid w:val="00E10175"/>
    <w:rsid w:val="00E10640"/>
    <w:rsid w:val="00E10886"/>
    <w:rsid w:val="00E10B49"/>
    <w:rsid w:val="00E10C29"/>
    <w:rsid w:val="00E10F9C"/>
    <w:rsid w:val="00E11047"/>
    <w:rsid w:val="00E115A2"/>
    <w:rsid w:val="00E115EC"/>
    <w:rsid w:val="00E1160A"/>
    <w:rsid w:val="00E11662"/>
    <w:rsid w:val="00E119BB"/>
    <w:rsid w:val="00E11AC2"/>
    <w:rsid w:val="00E11C35"/>
    <w:rsid w:val="00E11EAE"/>
    <w:rsid w:val="00E11F73"/>
    <w:rsid w:val="00E121FF"/>
    <w:rsid w:val="00E122E8"/>
    <w:rsid w:val="00E1233A"/>
    <w:rsid w:val="00E12605"/>
    <w:rsid w:val="00E12669"/>
    <w:rsid w:val="00E127F8"/>
    <w:rsid w:val="00E1283D"/>
    <w:rsid w:val="00E128E8"/>
    <w:rsid w:val="00E12950"/>
    <w:rsid w:val="00E129C5"/>
    <w:rsid w:val="00E12A79"/>
    <w:rsid w:val="00E12ADD"/>
    <w:rsid w:val="00E12F25"/>
    <w:rsid w:val="00E12FD9"/>
    <w:rsid w:val="00E13002"/>
    <w:rsid w:val="00E13527"/>
    <w:rsid w:val="00E13AB5"/>
    <w:rsid w:val="00E13BA4"/>
    <w:rsid w:val="00E13DEB"/>
    <w:rsid w:val="00E13F6F"/>
    <w:rsid w:val="00E14045"/>
    <w:rsid w:val="00E1411B"/>
    <w:rsid w:val="00E14389"/>
    <w:rsid w:val="00E14631"/>
    <w:rsid w:val="00E146AE"/>
    <w:rsid w:val="00E14AAA"/>
    <w:rsid w:val="00E14C04"/>
    <w:rsid w:val="00E15270"/>
    <w:rsid w:val="00E1528A"/>
    <w:rsid w:val="00E152AC"/>
    <w:rsid w:val="00E1562A"/>
    <w:rsid w:val="00E157CD"/>
    <w:rsid w:val="00E15801"/>
    <w:rsid w:val="00E15A07"/>
    <w:rsid w:val="00E15BD3"/>
    <w:rsid w:val="00E16038"/>
    <w:rsid w:val="00E161CF"/>
    <w:rsid w:val="00E167FA"/>
    <w:rsid w:val="00E16824"/>
    <w:rsid w:val="00E168CB"/>
    <w:rsid w:val="00E168D5"/>
    <w:rsid w:val="00E177E6"/>
    <w:rsid w:val="00E17A72"/>
    <w:rsid w:val="00E17F12"/>
    <w:rsid w:val="00E20560"/>
    <w:rsid w:val="00E20617"/>
    <w:rsid w:val="00E206E5"/>
    <w:rsid w:val="00E20A09"/>
    <w:rsid w:val="00E20F46"/>
    <w:rsid w:val="00E21226"/>
    <w:rsid w:val="00E2183D"/>
    <w:rsid w:val="00E219EC"/>
    <w:rsid w:val="00E21ABC"/>
    <w:rsid w:val="00E21B6B"/>
    <w:rsid w:val="00E21BE0"/>
    <w:rsid w:val="00E21C32"/>
    <w:rsid w:val="00E21DAD"/>
    <w:rsid w:val="00E21F8A"/>
    <w:rsid w:val="00E21FD0"/>
    <w:rsid w:val="00E220D0"/>
    <w:rsid w:val="00E222C0"/>
    <w:rsid w:val="00E2237F"/>
    <w:rsid w:val="00E224A4"/>
    <w:rsid w:val="00E2254A"/>
    <w:rsid w:val="00E2271D"/>
    <w:rsid w:val="00E22DEB"/>
    <w:rsid w:val="00E23544"/>
    <w:rsid w:val="00E23653"/>
    <w:rsid w:val="00E23D23"/>
    <w:rsid w:val="00E23D3D"/>
    <w:rsid w:val="00E23F85"/>
    <w:rsid w:val="00E24046"/>
    <w:rsid w:val="00E240A4"/>
    <w:rsid w:val="00E242EE"/>
    <w:rsid w:val="00E246BA"/>
    <w:rsid w:val="00E24B4A"/>
    <w:rsid w:val="00E24BCB"/>
    <w:rsid w:val="00E24CFE"/>
    <w:rsid w:val="00E2520A"/>
    <w:rsid w:val="00E25780"/>
    <w:rsid w:val="00E257C4"/>
    <w:rsid w:val="00E25829"/>
    <w:rsid w:val="00E25A58"/>
    <w:rsid w:val="00E25AFB"/>
    <w:rsid w:val="00E25C46"/>
    <w:rsid w:val="00E263EA"/>
    <w:rsid w:val="00E26523"/>
    <w:rsid w:val="00E26547"/>
    <w:rsid w:val="00E268BC"/>
    <w:rsid w:val="00E26B06"/>
    <w:rsid w:val="00E26CB0"/>
    <w:rsid w:val="00E26D1D"/>
    <w:rsid w:val="00E26FC5"/>
    <w:rsid w:val="00E27081"/>
    <w:rsid w:val="00E2790B"/>
    <w:rsid w:val="00E27A47"/>
    <w:rsid w:val="00E27B44"/>
    <w:rsid w:val="00E27B47"/>
    <w:rsid w:val="00E27DE2"/>
    <w:rsid w:val="00E27E6A"/>
    <w:rsid w:val="00E30574"/>
    <w:rsid w:val="00E30B9F"/>
    <w:rsid w:val="00E30BD2"/>
    <w:rsid w:val="00E30E05"/>
    <w:rsid w:val="00E31039"/>
    <w:rsid w:val="00E3110A"/>
    <w:rsid w:val="00E31140"/>
    <w:rsid w:val="00E3125A"/>
    <w:rsid w:val="00E3127C"/>
    <w:rsid w:val="00E313FA"/>
    <w:rsid w:val="00E31474"/>
    <w:rsid w:val="00E3149A"/>
    <w:rsid w:val="00E314F8"/>
    <w:rsid w:val="00E3151D"/>
    <w:rsid w:val="00E31586"/>
    <w:rsid w:val="00E318E8"/>
    <w:rsid w:val="00E31A70"/>
    <w:rsid w:val="00E31A7D"/>
    <w:rsid w:val="00E31F62"/>
    <w:rsid w:val="00E31FCE"/>
    <w:rsid w:val="00E32428"/>
    <w:rsid w:val="00E32D87"/>
    <w:rsid w:val="00E32DD6"/>
    <w:rsid w:val="00E32F4D"/>
    <w:rsid w:val="00E330BA"/>
    <w:rsid w:val="00E33123"/>
    <w:rsid w:val="00E331F0"/>
    <w:rsid w:val="00E33377"/>
    <w:rsid w:val="00E335D2"/>
    <w:rsid w:val="00E337C2"/>
    <w:rsid w:val="00E337FC"/>
    <w:rsid w:val="00E33810"/>
    <w:rsid w:val="00E33846"/>
    <w:rsid w:val="00E33AFE"/>
    <w:rsid w:val="00E33D87"/>
    <w:rsid w:val="00E33FCD"/>
    <w:rsid w:val="00E34311"/>
    <w:rsid w:val="00E34338"/>
    <w:rsid w:val="00E34662"/>
    <w:rsid w:val="00E34734"/>
    <w:rsid w:val="00E34A74"/>
    <w:rsid w:val="00E34BBD"/>
    <w:rsid w:val="00E34E46"/>
    <w:rsid w:val="00E34EDE"/>
    <w:rsid w:val="00E35118"/>
    <w:rsid w:val="00E35223"/>
    <w:rsid w:val="00E35293"/>
    <w:rsid w:val="00E355FF"/>
    <w:rsid w:val="00E35609"/>
    <w:rsid w:val="00E3594B"/>
    <w:rsid w:val="00E359B5"/>
    <w:rsid w:val="00E35B33"/>
    <w:rsid w:val="00E35BFD"/>
    <w:rsid w:val="00E35C3E"/>
    <w:rsid w:val="00E35D88"/>
    <w:rsid w:val="00E36085"/>
    <w:rsid w:val="00E36434"/>
    <w:rsid w:val="00E36B62"/>
    <w:rsid w:val="00E36C16"/>
    <w:rsid w:val="00E36D88"/>
    <w:rsid w:val="00E36EE9"/>
    <w:rsid w:val="00E37179"/>
    <w:rsid w:val="00E37208"/>
    <w:rsid w:val="00E3774F"/>
    <w:rsid w:val="00E379BC"/>
    <w:rsid w:val="00E37BFA"/>
    <w:rsid w:val="00E37CA9"/>
    <w:rsid w:val="00E37FD7"/>
    <w:rsid w:val="00E4008E"/>
    <w:rsid w:val="00E406C9"/>
    <w:rsid w:val="00E40716"/>
    <w:rsid w:val="00E407FF"/>
    <w:rsid w:val="00E4085B"/>
    <w:rsid w:val="00E4092A"/>
    <w:rsid w:val="00E40956"/>
    <w:rsid w:val="00E40B3F"/>
    <w:rsid w:val="00E40B4C"/>
    <w:rsid w:val="00E40BBB"/>
    <w:rsid w:val="00E40E7C"/>
    <w:rsid w:val="00E40F64"/>
    <w:rsid w:val="00E410A6"/>
    <w:rsid w:val="00E41127"/>
    <w:rsid w:val="00E4118E"/>
    <w:rsid w:val="00E4148B"/>
    <w:rsid w:val="00E41B07"/>
    <w:rsid w:val="00E41C8E"/>
    <w:rsid w:val="00E41C91"/>
    <w:rsid w:val="00E41FA3"/>
    <w:rsid w:val="00E4228F"/>
    <w:rsid w:val="00E42326"/>
    <w:rsid w:val="00E42370"/>
    <w:rsid w:val="00E4245C"/>
    <w:rsid w:val="00E426E9"/>
    <w:rsid w:val="00E4283F"/>
    <w:rsid w:val="00E42CDF"/>
    <w:rsid w:val="00E42CE6"/>
    <w:rsid w:val="00E42EFA"/>
    <w:rsid w:val="00E43382"/>
    <w:rsid w:val="00E4358B"/>
    <w:rsid w:val="00E43708"/>
    <w:rsid w:val="00E4376A"/>
    <w:rsid w:val="00E437DC"/>
    <w:rsid w:val="00E43CD0"/>
    <w:rsid w:val="00E43DF9"/>
    <w:rsid w:val="00E44197"/>
    <w:rsid w:val="00E44251"/>
    <w:rsid w:val="00E443AB"/>
    <w:rsid w:val="00E443D7"/>
    <w:rsid w:val="00E445DD"/>
    <w:rsid w:val="00E44876"/>
    <w:rsid w:val="00E44927"/>
    <w:rsid w:val="00E44BC6"/>
    <w:rsid w:val="00E44D0B"/>
    <w:rsid w:val="00E44E83"/>
    <w:rsid w:val="00E44FA7"/>
    <w:rsid w:val="00E45505"/>
    <w:rsid w:val="00E4562F"/>
    <w:rsid w:val="00E4567E"/>
    <w:rsid w:val="00E457EC"/>
    <w:rsid w:val="00E45812"/>
    <w:rsid w:val="00E45B3E"/>
    <w:rsid w:val="00E45E7E"/>
    <w:rsid w:val="00E45F79"/>
    <w:rsid w:val="00E45FC3"/>
    <w:rsid w:val="00E46092"/>
    <w:rsid w:val="00E461DA"/>
    <w:rsid w:val="00E46274"/>
    <w:rsid w:val="00E46393"/>
    <w:rsid w:val="00E46693"/>
    <w:rsid w:val="00E468CD"/>
    <w:rsid w:val="00E46902"/>
    <w:rsid w:val="00E46EA9"/>
    <w:rsid w:val="00E46F90"/>
    <w:rsid w:val="00E47060"/>
    <w:rsid w:val="00E47921"/>
    <w:rsid w:val="00E47B19"/>
    <w:rsid w:val="00E5008E"/>
    <w:rsid w:val="00E5022A"/>
    <w:rsid w:val="00E502F2"/>
    <w:rsid w:val="00E50429"/>
    <w:rsid w:val="00E505B3"/>
    <w:rsid w:val="00E505C3"/>
    <w:rsid w:val="00E50797"/>
    <w:rsid w:val="00E50A2B"/>
    <w:rsid w:val="00E50C9D"/>
    <w:rsid w:val="00E50CB1"/>
    <w:rsid w:val="00E50CE0"/>
    <w:rsid w:val="00E50D6D"/>
    <w:rsid w:val="00E50DB3"/>
    <w:rsid w:val="00E50E40"/>
    <w:rsid w:val="00E51048"/>
    <w:rsid w:val="00E51239"/>
    <w:rsid w:val="00E514B2"/>
    <w:rsid w:val="00E51715"/>
    <w:rsid w:val="00E517A6"/>
    <w:rsid w:val="00E519E7"/>
    <w:rsid w:val="00E51CE3"/>
    <w:rsid w:val="00E52001"/>
    <w:rsid w:val="00E5200E"/>
    <w:rsid w:val="00E5202F"/>
    <w:rsid w:val="00E52148"/>
    <w:rsid w:val="00E5236A"/>
    <w:rsid w:val="00E52483"/>
    <w:rsid w:val="00E524DE"/>
    <w:rsid w:val="00E5278E"/>
    <w:rsid w:val="00E527D2"/>
    <w:rsid w:val="00E5295E"/>
    <w:rsid w:val="00E52A11"/>
    <w:rsid w:val="00E52A46"/>
    <w:rsid w:val="00E52B1A"/>
    <w:rsid w:val="00E52EBC"/>
    <w:rsid w:val="00E52FCE"/>
    <w:rsid w:val="00E52FDE"/>
    <w:rsid w:val="00E53046"/>
    <w:rsid w:val="00E530F2"/>
    <w:rsid w:val="00E5316A"/>
    <w:rsid w:val="00E53396"/>
    <w:rsid w:val="00E53422"/>
    <w:rsid w:val="00E53463"/>
    <w:rsid w:val="00E53543"/>
    <w:rsid w:val="00E5354B"/>
    <w:rsid w:val="00E536B1"/>
    <w:rsid w:val="00E5386E"/>
    <w:rsid w:val="00E539CE"/>
    <w:rsid w:val="00E53AC3"/>
    <w:rsid w:val="00E53BD5"/>
    <w:rsid w:val="00E53F30"/>
    <w:rsid w:val="00E54045"/>
    <w:rsid w:val="00E541A5"/>
    <w:rsid w:val="00E54477"/>
    <w:rsid w:val="00E54579"/>
    <w:rsid w:val="00E546F1"/>
    <w:rsid w:val="00E547FD"/>
    <w:rsid w:val="00E548FF"/>
    <w:rsid w:val="00E54A2D"/>
    <w:rsid w:val="00E54ADD"/>
    <w:rsid w:val="00E54B0B"/>
    <w:rsid w:val="00E54D75"/>
    <w:rsid w:val="00E55354"/>
    <w:rsid w:val="00E553EF"/>
    <w:rsid w:val="00E555BF"/>
    <w:rsid w:val="00E55778"/>
    <w:rsid w:val="00E5598D"/>
    <w:rsid w:val="00E559C0"/>
    <w:rsid w:val="00E55CC9"/>
    <w:rsid w:val="00E55D66"/>
    <w:rsid w:val="00E55E7F"/>
    <w:rsid w:val="00E56084"/>
    <w:rsid w:val="00E5639B"/>
    <w:rsid w:val="00E563C9"/>
    <w:rsid w:val="00E564A8"/>
    <w:rsid w:val="00E566DD"/>
    <w:rsid w:val="00E56A73"/>
    <w:rsid w:val="00E56B5A"/>
    <w:rsid w:val="00E56C9B"/>
    <w:rsid w:val="00E56D92"/>
    <w:rsid w:val="00E56DC8"/>
    <w:rsid w:val="00E571C5"/>
    <w:rsid w:val="00E5726A"/>
    <w:rsid w:val="00E573F6"/>
    <w:rsid w:val="00E57486"/>
    <w:rsid w:val="00E5750A"/>
    <w:rsid w:val="00E57573"/>
    <w:rsid w:val="00E57723"/>
    <w:rsid w:val="00E57CB9"/>
    <w:rsid w:val="00E57D03"/>
    <w:rsid w:val="00E57EB2"/>
    <w:rsid w:val="00E57F64"/>
    <w:rsid w:val="00E6006C"/>
    <w:rsid w:val="00E600B9"/>
    <w:rsid w:val="00E601CF"/>
    <w:rsid w:val="00E6029A"/>
    <w:rsid w:val="00E605C2"/>
    <w:rsid w:val="00E60682"/>
    <w:rsid w:val="00E608B1"/>
    <w:rsid w:val="00E608F7"/>
    <w:rsid w:val="00E60900"/>
    <w:rsid w:val="00E60CBB"/>
    <w:rsid w:val="00E60E06"/>
    <w:rsid w:val="00E60E33"/>
    <w:rsid w:val="00E61595"/>
    <w:rsid w:val="00E615BC"/>
    <w:rsid w:val="00E615FE"/>
    <w:rsid w:val="00E61641"/>
    <w:rsid w:val="00E617EC"/>
    <w:rsid w:val="00E6192F"/>
    <w:rsid w:val="00E6205F"/>
    <w:rsid w:val="00E6206B"/>
    <w:rsid w:val="00E620E0"/>
    <w:rsid w:val="00E6218F"/>
    <w:rsid w:val="00E62291"/>
    <w:rsid w:val="00E622CD"/>
    <w:rsid w:val="00E62607"/>
    <w:rsid w:val="00E62D63"/>
    <w:rsid w:val="00E62DE1"/>
    <w:rsid w:val="00E63181"/>
    <w:rsid w:val="00E63464"/>
    <w:rsid w:val="00E637BB"/>
    <w:rsid w:val="00E63944"/>
    <w:rsid w:val="00E63C48"/>
    <w:rsid w:val="00E63ECD"/>
    <w:rsid w:val="00E63FD1"/>
    <w:rsid w:val="00E6403F"/>
    <w:rsid w:val="00E640A8"/>
    <w:rsid w:val="00E64398"/>
    <w:rsid w:val="00E64455"/>
    <w:rsid w:val="00E64984"/>
    <w:rsid w:val="00E649D8"/>
    <w:rsid w:val="00E6522E"/>
    <w:rsid w:val="00E653C8"/>
    <w:rsid w:val="00E65442"/>
    <w:rsid w:val="00E6547A"/>
    <w:rsid w:val="00E660A5"/>
    <w:rsid w:val="00E66240"/>
    <w:rsid w:val="00E665E8"/>
    <w:rsid w:val="00E66868"/>
    <w:rsid w:val="00E66BD6"/>
    <w:rsid w:val="00E66D44"/>
    <w:rsid w:val="00E66F51"/>
    <w:rsid w:val="00E66F9E"/>
    <w:rsid w:val="00E66FE1"/>
    <w:rsid w:val="00E673E3"/>
    <w:rsid w:val="00E67555"/>
    <w:rsid w:val="00E67688"/>
    <w:rsid w:val="00E678C2"/>
    <w:rsid w:val="00E67A4B"/>
    <w:rsid w:val="00E67A5F"/>
    <w:rsid w:val="00E67F1C"/>
    <w:rsid w:val="00E700F3"/>
    <w:rsid w:val="00E70170"/>
    <w:rsid w:val="00E704CA"/>
    <w:rsid w:val="00E70740"/>
    <w:rsid w:val="00E70875"/>
    <w:rsid w:val="00E70947"/>
    <w:rsid w:val="00E70D7F"/>
    <w:rsid w:val="00E70DA0"/>
    <w:rsid w:val="00E712B6"/>
    <w:rsid w:val="00E71313"/>
    <w:rsid w:val="00E713F3"/>
    <w:rsid w:val="00E713F9"/>
    <w:rsid w:val="00E71688"/>
    <w:rsid w:val="00E716DB"/>
    <w:rsid w:val="00E71769"/>
    <w:rsid w:val="00E71A0C"/>
    <w:rsid w:val="00E71A65"/>
    <w:rsid w:val="00E71AED"/>
    <w:rsid w:val="00E71E28"/>
    <w:rsid w:val="00E71EFA"/>
    <w:rsid w:val="00E7219B"/>
    <w:rsid w:val="00E7245F"/>
    <w:rsid w:val="00E7290F"/>
    <w:rsid w:val="00E72C8E"/>
    <w:rsid w:val="00E730F0"/>
    <w:rsid w:val="00E73325"/>
    <w:rsid w:val="00E73412"/>
    <w:rsid w:val="00E73798"/>
    <w:rsid w:val="00E7395A"/>
    <w:rsid w:val="00E73A02"/>
    <w:rsid w:val="00E73F6A"/>
    <w:rsid w:val="00E740B4"/>
    <w:rsid w:val="00E74496"/>
    <w:rsid w:val="00E7484C"/>
    <w:rsid w:val="00E74C30"/>
    <w:rsid w:val="00E74E12"/>
    <w:rsid w:val="00E74EEC"/>
    <w:rsid w:val="00E75130"/>
    <w:rsid w:val="00E758E9"/>
    <w:rsid w:val="00E75961"/>
    <w:rsid w:val="00E75AE9"/>
    <w:rsid w:val="00E75CAF"/>
    <w:rsid w:val="00E75F63"/>
    <w:rsid w:val="00E76338"/>
    <w:rsid w:val="00E765DE"/>
    <w:rsid w:val="00E768D3"/>
    <w:rsid w:val="00E7697F"/>
    <w:rsid w:val="00E76B94"/>
    <w:rsid w:val="00E76E75"/>
    <w:rsid w:val="00E77298"/>
    <w:rsid w:val="00E773C8"/>
    <w:rsid w:val="00E77425"/>
    <w:rsid w:val="00E775F9"/>
    <w:rsid w:val="00E77622"/>
    <w:rsid w:val="00E77767"/>
    <w:rsid w:val="00E777EE"/>
    <w:rsid w:val="00E779DD"/>
    <w:rsid w:val="00E77A2D"/>
    <w:rsid w:val="00E77B25"/>
    <w:rsid w:val="00E77D03"/>
    <w:rsid w:val="00E77E35"/>
    <w:rsid w:val="00E77F1F"/>
    <w:rsid w:val="00E8023F"/>
    <w:rsid w:val="00E803B4"/>
    <w:rsid w:val="00E804DE"/>
    <w:rsid w:val="00E806D0"/>
    <w:rsid w:val="00E8078D"/>
    <w:rsid w:val="00E80955"/>
    <w:rsid w:val="00E80AC8"/>
    <w:rsid w:val="00E80BBD"/>
    <w:rsid w:val="00E80C91"/>
    <w:rsid w:val="00E80E52"/>
    <w:rsid w:val="00E81151"/>
    <w:rsid w:val="00E81175"/>
    <w:rsid w:val="00E8128F"/>
    <w:rsid w:val="00E8142F"/>
    <w:rsid w:val="00E8152C"/>
    <w:rsid w:val="00E81988"/>
    <w:rsid w:val="00E81AB3"/>
    <w:rsid w:val="00E82229"/>
    <w:rsid w:val="00E8223B"/>
    <w:rsid w:val="00E822E8"/>
    <w:rsid w:val="00E82461"/>
    <w:rsid w:val="00E825D8"/>
    <w:rsid w:val="00E8264C"/>
    <w:rsid w:val="00E82A5E"/>
    <w:rsid w:val="00E82A75"/>
    <w:rsid w:val="00E82BB8"/>
    <w:rsid w:val="00E82E0C"/>
    <w:rsid w:val="00E82FE2"/>
    <w:rsid w:val="00E83370"/>
    <w:rsid w:val="00E8340E"/>
    <w:rsid w:val="00E8364D"/>
    <w:rsid w:val="00E83AE7"/>
    <w:rsid w:val="00E83B7A"/>
    <w:rsid w:val="00E83C3D"/>
    <w:rsid w:val="00E83D22"/>
    <w:rsid w:val="00E845CF"/>
    <w:rsid w:val="00E84B8E"/>
    <w:rsid w:val="00E84D1E"/>
    <w:rsid w:val="00E85274"/>
    <w:rsid w:val="00E856AD"/>
    <w:rsid w:val="00E85AF8"/>
    <w:rsid w:val="00E86124"/>
    <w:rsid w:val="00E8627C"/>
    <w:rsid w:val="00E8645A"/>
    <w:rsid w:val="00E86BA8"/>
    <w:rsid w:val="00E86DB1"/>
    <w:rsid w:val="00E86DDC"/>
    <w:rsid w:val="00E86EAF"/>
    <w:rsid w:val="00E86F33"/>
    <w:rsid w:val="00E870C7"/>
    <w:rsid w:val="00E8725B"/>
    <w:rsid w:val="00E873C9"/>
    <w:rsid w:val="00E874C8"/>
    <w:rsid w:val="00E87892"/>
    <w:rsid w:val="00E878AC"/>
    <w:rsid w:val="00E87AE4"/>
    <w:rsid w:val="00E87B52"/>
    <w:rsid w:val="00E87D56"/>
    <w:rsid w:val="00E87E0F"/>
    <w:rsid w:val="00E90016"/>
    <w:rsid w:val="00E900B6"/>
    <w:rsid w:val="00E90187"/>
    <w:rsid w:val="00E90313"/>
    <w:rsid w:val="00E9056B"/>
    <w:rsid w:val="00E9059F"/>
    <w:rsid w:val="00E9073E"/>
    <w:rsid w:val="00E90749"/>
    <w:rsid w:val="00E907CA"/>
    <w:rsid w:val="00E90840"/>
    <w:rsid w:val="00E90997"/>
    <w:rsid w:val="00E909D2"/>
    <w:rsid w:val="00E90B6F"/>
    <w:rsid w:val="00E90EBF"/>
    <w:rsid w:val="00E91303"/>
    <w:rsid w:val="00E918CB"/>
    <w:rsid w:val="00E9190E"/>
    <w:rsid w:val="00E91931"/>
    <w:rsid w:val="00E9232A"/>
    <w:rsid w:val="00E92337"/>
    <w:rsid w:val="00E923AB"/>
    <w:rsid w:val="00E925D0"/>
    <w:rsid w:val="00E92640"/>
    <w:rsid w:val="00E92653"/>
    <w:rsid w:val="00E928DB"/>
    <w:rsid w:val="00E92956"/>
    <w:rsid w:val="00E92C60"/>
    <w:rsid w:val="00E92CFB"/>
    <w:rsid w:val="00E9309B"/>
    <w:rsid w:val="00E93119"/>
    <w:rsid w:val="00E9318D"/>
    <w:rsid w:val="00E933F2"/>
    <w:rsid w:val="00E93421"/>
    <w:rsid w:val="00E935A6"/>
    <w:rsid w:val="00E93870"/>
    <w:rsid w:val="00E93C4F"/>
    <w:rsid w:val="00E93EBE"/>
    <w:rsid w:val="00E93EDD"/>
    <w:rsid w:val="00E94150"/>
    <w:rsid w:val="00E9427F"/>
    <w:rsid w:val="00E943F5"/>
    <w:rsid w:val="00E944A3"/>
    <w:rsid w:val="00E94523"/>
    <w:rsid w:val="00E9466F"/>
    <w:rsid w:val="00E94862"/>
    <w:rsid w:val="00E94921"/>
    <w:rsid w:val="00E94970"/>
    <w:rsid w:val="00E94B76"/>
    <w:rsid w:val="00E94C41"/>
    <w:rsid w:val="00E94EF5"/>
    <w:rsid w:val="00E9507E"/>
    <w:rsid w:val="00E9513B"/>
    <w:rsid w:val="00E95286"/>
    <w:rsid w:val="00E953FA"/>
    <w:rsid w:val="00E95466"/>
    <w:rsid w:val="00E95468"/>
    <w:rsid w:val="00E9549F"/>
    <w:rsid w:val="00E9577C"/>
    <w:rsid w:val="00E9589E"/>
    <w:rsid w:val="00E95B67"/>
    <w:rsid w:val="00E95C85"/>
    <w:rsid w:val="00E95C96"/>
    <w:rsid w:val="00E95D16"/>
    <w:rsid w:val="00E95E11"/>
    <w:rsid w:val="00E964AF"/>
    <w:rsid w:val="00E96576"/>
    <w:rsid w:val="00E965F5"/>
    <w:rsid w:val="00E96975"/>
    <w:rsid w:val="00E9697A"/>
    <w:rsid w:val="00E96B8C"/>
    <w:rsid w:val="00E96C28"/>
    <w:rsid w:val="00E96CEA"/>
    <w:rsid w:val="00E96CF5"/>
    <w:rsid w:val="00E978C3"/>
    <w:rsid w:val="00E97A1F"/>
    <w:rsid w:val="00E97D20"/>
    <w:rsid w:val="00E97EED"/>
    <w:rsid w:val="00EA0028"/>
    <w:rsid w:val="00EA01B2"/>
    <w:rsid w:val="00EA02E3"/>
    <w:rsid w:val="00EA0320"/>
    <w:rsid w:val="00EA0545"/>
    <w:rsid w:val="00EA0810"/>
    <w:rsid w:val="00EA08A9"/>
    <w:rsid w:val="00EA0C80"/>
    <w:rsid w:val="00EA1537"/>
    <w:rsid w:val="00EA16F4"/>
    <w:rsid w:val="00EA19EF"/>
    <w:rsid w:val="00EA1B28"/>
    <w:rsid w:val="00EA1CE4"/>
    <w:rsid w:val="00EA1DAE"/>
    <w:rsid w:val="00EA1E5F"/>
    <w:rsid w:val="00EA1ECF"/>
    <w:rsid w:val="00EA211A"/>
    <w:rsid w:val="00EA2196"/>
    <w:rsid w:val="00EA2388"/>
    <w:rsid w:val="00EA24CA"/>
    <w:rsid w:val="00EA2722"/>
    <w:rsid w:val="00EA2B61"/>
    <w:rsid w:val="00EA2C58"/>
    <w:rsid w:val="00EA2FA6"/>
    <w:rsid w:val="00EA3238"/>
    <w:rsid w:val="00EA3B90"/>
    <w:rsid w:val="00EA3C21"/>
    <w:rsid w:val="00EA413D"/>
    <w:rsid w:val="00EA42B1"/>
    <w:rsid w:val="00EA4488"/>
    <w:rsid w:val="00EA46AC"/>
    <w:rsid w:val="00EA46CC"/>
    <w:rsid w:val="00EA46D5"/>
    <w:rsid w:val="00EA4801"/>
    <w:rsid w:val="00EA48DB"/>
    <w:rsid w:val="00EA499F"/>
    <w:rsid w:val="00EA4A22"/>
    <w:rsid w:val="00EA55B5"/>
    <w:rsid w:val="00EA57E5"/>
    <w:rsid w:val="00EA5846"/>
    <w:rsid w:val="00EA5931"/>
    <w:rsid w:val="00EA5A30"/>
    <w:rsid w:val="00EA5D0B"/>
    <w:rsid w:val="00EA6445"/>
    <w:rsid w:val="00EA6496"/>
    <w:rsid w:val="00EA6944"/>
    <w:rsid w:val="00EA6A6A"/>
    <w:rsid w:val="00EA6BF0"/>
    <w:rsid w:val="00EA6D3B"/>
    <w:rsid w:val="00EA6EE5"/>
    <w:rsid w:val="00EA74D1"/>
    <w:rsid w:val="00EA756D"/>
    <w:rsid w:val="00EA76AC"/>
    <w:rsid w:val="00EA784B"/>
    <w:rsid w:val="00EA7A8A"/>
    <w:rsid w:val="00EA7AFA"/>
    <w:rsid w:val="00EA7B7C"/>
    <w:rsid w:val="00EA7B9D"/>
    <w:rsid w:val="00EA7D77"/>
    <w:rsid w:val="00EB02DF"/>
    <w:rsid w:val="00EB0599"/>
    <w:rsid w:val="00EB0643"/>
    <w:rsid w:val="00EB0B94"/>
    <w:rsid w:val="00EB0DD1"/>
    <w:rsid w:val="00EB123B"/>
    <w:rsid w:val="00EB1244"/>
    <w:rsid w:val="00EB196F"/>
    <w:rsid w:val="00EB1A45"/>
    <w:rsid w:val="00EB1BD3"/>
    <w:rsid w:val="00EB1C61"/>
    <w:rsid w:val="00EB1DA7"/>
    <w:rsid w:val="00EB1FEE"/>
    <w:rsid w:val="00EB2054"/>
    <w:rsid w:val="00EB2300"/>
    <w:rsid w:val="00EB2C50"/>
    <w:rsid w:val="00EB2D5D"/>
    <w:rsid w:val="00EB2EE2"/>
    <w:rsid w:val="00EB2F05"/>
    <w:rsid w:val="00EB300D"/>
    <w:rsid w:val="00EB34FC"/>
    <w:rsid w:val="00EB35C6"/>
    <w:rsid w:val="00EB3764"/>
    <w:rsid w:val="00EB3942"/>
    <w:rsid w:val="00EB39C3"/>
    <w:rsid w:val="00EB3D26"/>
    <w:rsid w:val="00EB3E05"/>
    <w:rsid w:val="00EB42D6"/>
    <w:rsid w:val="00EB434F"/>
    <w:rsid w:val="00EB44E8"/>
    <w:rsid w:val="00EB4714"/>
    <w:rsid w:val="00EB4800"/>
    <w:rsid w:val="00EB4A1A"/>
    <w:rsid w:val="00EB4A2A"/>
    <w:rsid w:val="00EB4AAF"/>
    <w:rsid w:val="00EB4BA2"/>
    <w:rsid w:val="00EB4BD9"/>
    <w:rsid w:val="00EB4CF7"/>
    <w:rsid w:val="00EB4EFE"/>
    <w:rsid w:val="00EB4FBA"/>
    <w:rsid w:val="00EB5087"/>
    <w:rsid w:val="00EB50E8"/>
    <w:rsid w:val="00EB5A3C"/>
    <w:rsid w:val="00EB5CDE"/>
    <w:rsid w:val="00EB6012"/>
    <w:rsid w:val="00EB604D"/>
    <w:rsid w:val="00EB6341"/>
    <w:rsid w:val="00EB64C4"/>
    <w:rsid w:val="00EB6684"/>
    <w:rsid w:val="00EB6BA0"/>
    <w:rsid w:val="00EB6FA2"/>
    <w:rsid w:val="00EB741F"/>
    <w:rsid w:val="00EB76E2"/>
    <w:rsid w:val="00EB795C"/>
    <w:rsid w:val="00EB7C28"/>
    <w:rsid w:val="00EC010E"/>
    <w:rsid w:val="00EC02D3"/>
    <w:rsid w:val="00EC0773"/>
    <w:rsid w:val="00EC0B01"/>
    <w:rsid w:val="00EC0BEB"/>
    <w:rsid w:val="00EC110E"/>
    <w:rsid w:val="00EC1115"/>
    <w:rsid w:val="00EC150D"/>
    <w:rsid w:val="00EC1A30"/>
    <w:rsid w:val="00EC1B4B"/>
    <w:rsid w:val="00EC1E8D"/>
    <w:rsid w:val="00EC2006"/>
    <w:rsid w:val="00EC2379"/>
    <w:rsid w:val="00EC241C"/>
    <w:rsid w:val="00EC27D7"/>
    <w:rsid w:val="00EC2A38"/>
    <w:rsid w:val="00EC2A99"/>
    <w:rsid w:val="00EC2B43"/>
    <w:rsid w:val="00EC2E45"/>
    <w:rsid w:val="00EC2E63"/>
    <w:rsid w:val="00EC2F81"/>
    <w:rsid w:val="00EC30F8"/>
    <w:rsid w:val="00EC31C1"/>
    <w:rsid w:val="00EC3290"/>
    <w:rsid w:val="00EC34B5"/>
    <w:rsid w:val="00EC3511"/>
    <w:rsid w:val="00EC3A40"/>
    <w:rsid w:val="00EC3B98"/>
    <w:rsid w:val="00EC3BF7"/>
    <w:rsid w:val="00EC4055"/>
    <w:rsid w:val="00EC405F"/>
    <w:rsid w:val="00EC416F"/>
    <w:rsid w:val="00EC41A7"/>
    <w:rsid w:val="00EC426E"/>
    <w:rsid w:val="00EC4513"/>
    <w:rsid w:val="00EC46CF"/>
    <w:rsid w:val="00EC475F"/>
    <w:rsid w:val="00EC477C"/>
    <w:rsid w:val="00EC47DD"/>
    <w:rsid w:val="00EC49DE"/>
    <w:rsid w:val="00EC4D56"/>
    <w:rsid w:val="00EC4D7A"/>
    <w:rsid w:val="00EC4ED0"/>
    <w:rsid w:val="00EC5263"/>
    <w:rsid w:val="00EC54DA"/>
    <w:rsid w:val="00EC551E"/>
    <w:rsid w:val="00EC588A"/>
    <w:rsid w:val="00EC5AAA"/>
    <w:rsid w:val="00EC5AE6"/>
    <w:rsid w:val="00EC5CC2"/>
    <w:rsid w:val="00EC5D98"/>
    <w:rsid w:val="00EC5E22"/>
    <w:rsid w:val="00EC62D5"/>
    <w:rsid w:val="00EC6628"/>
    <w:rsid w:val="00EC6648"/>
    <w:rsid w:val="00EC678F"/>
    <w:rsid w:val="00EC6837"/>
    <w:rsid w:val="00EC6A46"/>
    <w:rsid w:val="00EC6AA7"/>
    <w:rsid w:val="00EC6C17"/>
    <w:rsid w:val="00EC6DD3"/>
    <w:rsid w:val="00EC71BB"/>
    <w:rsid w:val="00EC738E"/>
    <w:rsid w:val="00EC79E0"/>
    <w:rsid w:val="00EC7B8C"/>
    <w:rsid w:val="00EC7C7E"/>
    <w:rsid w:val="00EC7EAC"/>
    <w:rsid w:val="00EC7EC0"/>
    <w:rsid w:val="00EC7F4D"/>
    <w:rsid w:val="00ED0273"/>
    <w:rsid w:val="00ED034D"/>
    <w:rsid w:val="00ED063D"/>
    <w:rsid w:val="00ED0661"/>
    <w:rsid w:val="00ED086A"/>
    <w:rsid w:val="00ED0A86"/>
    <w:rsid w:val="00ED0B8A"/>
    <w:rsid w:val="00ED0C57"/>
    <w:rsid w:val="00ED0D9F"/>
    <w:rsid w:val="00ED128C"/>
    <w:rsid w:val="00ED12FD"/>
    <w:rsid w:val="00ED1461"/>
    <w:rsid w:val="00ED15E3"/>
    <w:rsid w:val="00ED1680"/>
    <w:rsid w:val="00ED180D"/>
    <w:rsid w:val="00ED19A3"/>
    <w:rsid w:val="00ED1B22"/>
    <w:rsid w:val="00ED21AB"/>
    <w:rsid w:val="00ED2985"/>
    <w:rsid w:val="00ED2C82"/>
    <w:rsid w:val="00ED2D41"/>
    <w:rsid w:val="00ED2E63"/>
    <w:rsid w:val="00ED36A7"/>
    <w:rsid w:val="00ED3CEC"/>
    <w:rsid w:val="00ED3EB7"/>
    <w:rsid w:val="00ED4089"/>
    <w:rsid w:val="00ED4185"/>
    <w:rsid w:val="00ED42AD"/>
    <w:rsid w:val="00ED42DA"/>
    <w:rsid w:val="00ED44EA"/>
    <w:rsid w:val="00ED44F0"/>
    <w:rsid w:val="00ED454C"/>
    <w:rsid w:val="00ED4B54"/>
    <w:rsid w:val="00ED4F89"/>
    <w:rsid w:val="00ED4F9A"/>
    <w:rsid w:val="00ED4F9F"/>
    <w:rsid w:val="00ED541B"/>
    <w:rsid w:val="00ED548C"/>
    <w:rsid w:val="00ED5556"/>
    <w:rsid w:val="00ED55D2"/>
    <w:rsid w:val="00ED5898"/>
    <w:rsid w:val="00ED5966"/>
    <w:rsid w:val="00ED5A6E"/>
    <w:rsid w:val="00ED5B13"/>
    <w:rsid w:val="00ED5B99"/>
    <w:rsid w:val="00ED5C7B"/>
    <w:rsid w:val="00ED5FF8"/>
    <w:rsid w:val="00ED6086"/>
    <w:rsid w:val="00ED61FF"/>
    <w:rsid w:val="00ED63BC"/>
    <w:rsid w:val="00ED6A48"/>
    <w:rsid w:val="00ED6BE8"/>
    <w:rsid w:val="00ED6C16"/>
    <w:rsid w:val="00ED6C74"/>
    <w:rsid w:val="00ED6DA7"/>
    <w:rsid w:val="00ED7081"/>
    <w:rsid w:val="00ED72F8"/>
    <w:rsid w:val="00ED7684"/>
    <w:rsid w:val="00ED7861"/>
    <w:rsid w:val="00ED7C43"/>
    <w:rsid w:val="00ED7C80"/>
    <w:rsid w:val="00ED7E83"/>
    <w:rsid w:val="00ED7EA7"/>
    <w:rsid w:val="00EE0003"/>
    <w:rsid w:val="00EE01E5"/>
    <w:rsid w:val="00EE021C"/>
    <w:rsid w:val="00EE032E"/>
    <w:rsid w:val="00EE0404"/>
    <w:rsid w:val="00EE0411"/>
    <w:rsid w:val="00EE043D"/>
    <w:rsid w:val="00EE0716"/>
    <w:rsid w:val="00EE0894"/>
    <w:rsid w:val="00EE0C32"/>
    <w:rsid w:val="00EE0C35"/>
    <w:rsid w:val="00EE0D84"/>
    <w:rsid w:val="00EE0F22"/>
    <w:rsid w:val="00EE1071"/>
    <w:rsid w:val="00EE1081"/>
    <w:rsid w:val="00EE114B"/>
    <w:rsid w:val="00EE12DF"/>
    <w:rsid w:val="00EE1893"/>
    <w:rsid w:val="00EE18FD"/>
    <w:rsid w:val="00EE1E1B"/>
    <w:rsid w:val="00EE1EEC"/>
    <w:rsid w:val="00EE21C6"/>
    <w:rsid w:val="00EE2530"/>
    <w:rsid w:val="00EE25B8"/>
    <w:rsid w:val="00EE264B"/>
    <w:rsid w:val="00EE267A"/>
    <w:rsid w:val="00EE2797"/>
    <w:rsid w:val="00EE2969"/>
    <w:rsid w:val="00EE297E"/>
    <w:rsid w:val="00EE2BD5"/>
    <w:rsid w:val="00EE2BF1"/>
    <w:rsid w:val="00EE2F9B"/>
    <w:rsid w:val="00EE3027"/>
    <w:rsid w:val="00EE3246"/>
    <w:rsid w:val="00EE3311"/>
    <w:rsid w:val="00EE34A8"/>
    <w:rsid w:val="00EE361A"/>
    <w:rsid w:val="00EE365E"/>
    <w:rsid w:val="00EE3823"/>
    <w:rsid w:val="00EE39BE"/>
    <w:rsid w:val="00EE3A07"/>
    <w:rsid w:val="00EE3AB0"/>
    <w:rsid w:val="00EE3C69"/>
    <w:rsid w:val="00EE3E2B"/>
    <w:rsid w:val="00EE3EF3"/>
    <w:rsid w:val="00EE3FE4"/>
    <w:rsid w:val="00EE44BC"/>
    <w:rsid w:val="00EE44F5"/>
    <w:rsid w:val="00EE486E"/>
    <w:rsid w:val="00EE4E2B"/>
    <w:rsid w:val="00EE501E"/>
    <w:rsid w:val="00EE5045"/>
    <w:rsid w:val="00EE5310"/>
    <w:rsid w:val="00EE533B"/>
    <w:rsid w:val="00EE5418"/>
    <w:rsid w:val="00EE5508"/>
    <w:rsid w:val="00EE561B"/>
    <w:rsid w:val="00EE5703"/>
    <w:rsid w:val="00EE58D7"/>
    <w:rsid w:val="00EE5B19"/>
    <w:rsid w:val="00EE5C13"/>
    <w:rsid w:val="00EE5DF7"/>
    <w:rsid w:val="00EE5EED"/>
    <w:rsid w:val="00EE60D3"/>
    <w:rsid w:val="00EE6207"/>
    <w:rsid w:val="00EE6223"/>
    <w:rsid w:val="00EE63AF"/>
    <w:rsid w:val="00EE6592"/>
    <w:rsid w:val="00EE659C"/>
    <w:rsid w:val="00EE65E5"/>
    <w:rsid w:val="00EE665A"/>
    <w:rsid w:val="00EE6CFE"/>
    <w:rsid w:val="00EE6E17"/>
    <w:rsid w:val="00EE6E85"/>
    <w:rsid w:val="00EE6F33"/>
    <w:rsid w:val="00EE703F"/>
    <w:rsid w:val="00EE70F5"/>
    <w:rsid w:val="00EE7664"/>
    <w:rsid w:val="00EE76F4"/>
    <w:rsid w:val="00EE7957"/>
    <w:rsid w:val="00EE79F6"/>
    <w:rsid w:val="00EE7D01"/>
    <w:rsid w:val="00EE7DED"/>
    <w:rsid w:val="00EE7EB9"/>
    <w:rsid w:val="00EE7F69"/>
    <w:rsid w:val="00EF0073"/>
    <w:rsid w:val="00EF00A6"/>
    <w:rsid w:val="00EF01D7"/>
    <w:rsid w:val="00EF0219"/>
    <w:rsid w:val="00EF0744"/>
    <w:rsid w:val="00EF0759"/>
    <w:rsid w:val="00EF128E"/>
    <w:rsid w:val="00EF143F"/>
    <w:rsid w:val="00EF14ED"/>
    <w:rsid w:val="00EF168E"/>
    <w:rsid w:val="00EF1C8C"/>
    <w:rsid w:val="00EF1CE7"/>
    <w:rsid w:val="00EF1D45"/>
    <w:rsid w:val="00EF1D53"/>
    <w:rsid w:val="00EF1FD2"/>
    <w:rsid w:val="00EF2167"/>
    <w:rsid w:val="00EF2297"/>
    <w:rsid w:val="00EF23C8"/>
    <w:rsid w:val="00EF2427"/>
    <w:rsid w:val="00EF28EB"/>
    <w:rsid w:val="00EF2A41"/>
    <w:rsid w:val="00EF2CA5"/>
    <w:rsid w:val="00EF2E22"/>
    <w:rsid w:val="00EF2E4F"/>
    <w:rsid w:val="00EF2E80"/>
    <w:rsid w:val="00EF2F91"/>
    <w:rsid w:val="00EF3365"/>
    <w:rsid w:val="00EF375B"/>
    <w:rsid w:val="00EF37F1"/>
    <w:rsid w:val="00EF38C1"/>
    <w:rsid w:val="00EF3AB5"/>
    <w:rsid w:val="00EF3AD8"/>
    <w:rsid w:val="00EF3B7C"/>
    <w:rsid w:val="00EF3E87"/>
    <w:rsid w:val="00EF41CB"/>
    <w:rsid w:val="00EF449F"/>
    <w:rsid w:val="00EF4563"/>
    <w:rsid w:val="00EF4809"/>
    <w:rsid w:val="00EF481D"/>
    <w:rsid w:val="00EF4BB5"/>
    <w:rsid w:val="00EF4CEA"/>
    <w:rsid w:val="00EF5040"/>
    <w:rsid w:val="00EF5252"/>
    <w:rsid w:val="00EF55E8"/>
    <w:rsid w:val="00EF564A"/>
    <w:rsid w:val="00EF5A8C"/>
    <w:rsid w:val="00EF5BBB"/>
    <w:rsid w:val="00EF5C7F"/>
    <w:rsid w:val="00EF61DD"/>
    <w:rsid w:val="00EF6BE4"/>
    <w:rsid w:val="00EF6C5E"/>
    <w:rsid w:val="00EF6CB1"/>
    <w:rsid w:val="00EF7511"/>
    <w:rsid w:val="00EF751D"/>
    <w:rsid w:val="00EF75E4"/>
    <w:rsid w:val="00EF7A07"/>
    <w:rsid w:val="00EF7BC6"/>
    <w:rsid w:val="00EF7ED5"/>
    <w:rsid w:val="00EF7F1C"/>
    <w:rsid w:val="00F00084"/>
    <w:rsid w:val="00F0019E"/>
    <w:rsid w:val="00F002CD"/>
    <w:rsid w:val="00F004F9"/>
    <w:rsid w:val="00F006EC"/>
    <w:rsid w:val="00F00BD4"/>
    <w:rsid w:val="00F00C47"/>
    <w:rsid w:val="00F00EE7"/>
    <w:rsid w:val="00F00F5F"/>
    <w:rsid w:val="00F01038"/>
    <w:rsid w:val="00F010BD"/>
    <w:rsid w:val="00F01245"/>
    <w:rsid w:val="00F016C4"/>
    <w:rsid w:val="00F01761"/>
    <w:rsid w:val="00F01970"/>
    <w:rsid w:val="00F01C17"/>
    <w:rsid w:val="00F01FCB"/>
    <w:rsid w:val="00F022A4"/>
    <w:rsid w:val="00F02739"/>
    <w:rsid w:val="00F02B60"/>
    <w:rsid w:val="00F02E01"/>
    <w:rsid w:val="00F03119"/>
    <w:rsid w:val="00F03467"/>
    <w:rsid w:val="00F034A4"/>
    <w:rsid w:val="00F03CC9"/>
    <w:rsid w:val="00F0460F"/>
    <w:rsid w:val="00F0469E"/>
    <w:rsid w:val="00F0474A"/>
    <w:rsid w:val="00F04A8B"/>
    <w:rsid w:val="00F04B4F"/>
    <w:rsid w:val="00F04F6A"/>
    <w:rsid w:val="00F04FE4"/>
    <w:rsid w:val="00F05057"/>
    <w:rsid w:val="00F050AB"/>
    <w:rsid w:val="00F05716"/>
    <w:rsid w:val="00F057C3"/>
    <w:rsid w:val="00F058C4"/>
    <w:rsid w:val="00F05B40"/>
    <w:rsid w:val="00F05B6A"/>
    <w:rsid w:val="00F05F0B"/>
    <w:rsid w:val="00F05FA1"/>
    <w:rsid w:val="00F06075"/>
    <w:rsid w:val="00F067F9"/>
    <w:rsid w:val="00F06803"/>
    <w:rsid w:val="00F06976"/>
    <w:rsid w:val="00F06BC9"/>
    <w:rsid w:val="00F06C11"/>
    <w:rsid w:val="00F06CB1"/>
    <w:rsid w:val="00F06DA9"/>
    <w:rsid w:val="00F0701A"/>
    <w:rsid w:val="00F07317"/>
    <w:rsid w:val="00F07548"/>
    <w:rsid w:val="00F076F6"/>
    <w:rsid w:val="00F076FF"/>
    <w:rsid w:val="00F0788D"/>
    <w:rsid w:val="00F07998"/>
    <w:rsid w:val="00F07A3F"/>
    <w:rsid w:val="00F07A70"/>
    <w:rsid w:val="00F07C0D"/>
    <w:rsid w:val="00F07D46"/>
    <w:rsid w:val="00F07EF4"/>
    <w:rsid w:val="00F07FF4"/>
    <w:rsid w:val="00F10075"/>
    <w:rsid w:val="00F1007F"/>
    <w:rsid w:val="00F1033B"/>
    <w:rsid w:val="00F1037D"/>
    <w:rsid w:val="00F10662"/>
    <w:rsid w:val="00F107C6"/>
    <w:rsid w:val="00F109BD"/>
    <w:rsid w:val="00F10B0F"/>
    <w:rsid w:val="00F10CD4"/>
    <w:rsid w:val="00F10CDB"/>
    <w:rsid w:val="00F10DF5"/>
    <w:rsid w:val="00F110B5"/>
    <w:rsid w:val="00F110EE"/>
    <w:rsid w:val="00F11129"/>
    <w:rsid w:val="00F111DF"/>
    <w:rsid w:val="00F112FD"/>
    <w:rsid w:val="00F11584"/>
    <w:rsid w:val="00F115D5"/>
    <w:rsid w:val="00F1161D"/>
    <w:rsid w:val="00F11747"/>
    <w:rsid w:val="00F117AF"/>
    <w:rsid w:val="00F11AF7"/>
    <w:rsid w:val="00F11BFE"/>
    <w:rsid w:val="00F11C44"/>
    <w:rsid w:val="00F11D51"/>
    <w:rsid w:val="00F11F6B"/>
    <w:rsid w:val="00F1212C"/>
    <w:rsid w:val="00F12171"/>
    <w:rsid w:val="00F1218A"/>
    <w:rsid w:val="00F12375"/>
    <w:rsid w:val="00F12696"/>
    <w:rsid w:val="00F129A2"/>
    <w:rsid w:val="00F12AED"/>
    <w:rsid w:val="00F12FB5"/>
    <w:rsid w:val="00F135C7"/>
    <w:rsid w:val="00F136FB"/>
    <w:rsid w:val="00F13739"/>
    <w:rsid w:val="00F1376C"/>
    <w:rsid w:val="00F13AF2"/>
    <w:rsid w:val="00F13BCA"/>
    <w:rsid w:val="00F13F5C"/>
    <w:rsid w:val="00F13FFE"/>
    <w:rsid w:val="00F140C9"/>
    <w:rsid w:val="00F14198"/>
    <w:rsid w:val="00F143D7"/>
    <w:rsid w:val="00F1445E"/>
    <w:rsid w:val="00F14803"/>
    <w:rsid w:val="00F148F1"/>
    <w:rsid w:val="00F14C35"/>
    <w:rsid w:val="00F14CCE"/>
    <w:rsid w:val="00F14D37"/>
    <w:rsid w:val="00F150E9"/>
    <w:rsid w:val="00F15302"/>
    <w:rsid w:val="00F153F9"/>
    <w:rsid w:val="00F156AD"/>
    <w:rsid w:val="00F158A0"/>
    <w:rsid w:val="00F15CF5"/>
    <w:rsid w:val="00F15E35"/>
    <w:rsid w:val="00F15EEE"/>
    <w:rsid w:val="00F15FBB"/>
    <w:rsid w:val="00F1644F"/>
    <w:rsid w:val="00F167E9"/>
    <w:rsid w:val="00F16A01"/>
    <w:rsid w:val="00F16D0C"/>
    <w:rsid w:val="00F16DE3"/>
    <w:rsid w:val="00F16E3F"/>
    <w:rsid w:val="00F1700D"/>
    <w:rsid w:val="00F17011"/>
    <w:rsid w:val="00F170A8"/>
    <w:rsid w:val="00F171FC"/>
    <w:rsid w:val="00F172A4"/>
    <w:rsid w:val="00F176A6"/>
    <w:rsid w:val="00F177D9"/>
    <w:rsid w:val="00F17AF9"/>
    <w:rsid w:val="00F17DFA"/>
    <w:rsid w:val="00F17F83"/>
    <w:rsid w:val="00F2008E"/>
    <w:rsid w:val="00F20176"/>
    <w:rsid w:val="00F2038B"/>
    <w:rsid w:val="00F204FE"/>
    <w:rsid w:val="00F20533"/>
    <w:rsid w:val="00F20704"/>
    <w:rsid w:val="00F20736"/>
    <w:rsid w:val="00F20912"/>
    <w:rsid w:val="00F20B48"/>
    <w:rsid w:val="00F20B58"/>
    <w:rsid w:val="00F20FD3"/>
    <w:rsid w:val="00F210BA"/>
    <w:rsid w:val="00F210C5"/>
    <w:rsid w:val="00F213FA"/>
    <w:rsid w:val="00F21521"/>
    <w:rsid w:val="00F2156A"/>
    <w:rsid w:val="00F215D8"/>
    <w:rsid w:val="00F217B2"/>
    <w:rsid w:val="00F21912"/>
    <w:rsid w:val="00F21D9C"/>
    <w:rsid w:val="00F22129"/>
    <w:rsid w:val="00F2241D"/>
    <w:rsid w:val="00F226A0"/>
    <w:rsid w:val="00F2290C"/>
    <w:rsid w:val="00F22A4F"/>
    <w:rsid w:val="00F22D29"/>
    <w:rsid w:val="00F22EF7"/>
    <w:rsid w:val="00F22F8A"/>
    <w:rsid w:val="00F22FBF"/>
    <w:rsid w:val="00F22FDC"/>
    <w:rsid w:val="00F230A7"/>
    <w:rsid w:val="00F23341"/>
    <w:rsid w:val="00F23443"/>
    <w:rsid w:val="00F234CB"/>
    <w:rsid w:val="00F2367F"/>
    <w:rsid w:val="00F23799"/>
    <w:rsid w:val="00F2385E"/>
    <w:rsid w:val="00F23CD8"/>
    <w:rsid w:val="00F23D13"/>
    <w:rsid w:val="00F23DE6"/>
    <w:rsid w:val="00F23E7A"/>
    <w:rsid w:val="00F23EB8"/>
    <w:rsid w:val="00F23F3C"/>
    <w:rsid w:val="00F24016"/>
    <w:rsid w:val="00F24072"/>
    <w:rsid w:val="00F2412C"/>
    <w:rsid w:val="00F24AB7"/>
    <w:rsid w:val="00F24AEA"/>
    <w:rsid w:val="00F24CDB"/>
    <w:rsid w:val="00F24EA7"/>
    <w:rsid w:val="00F24EAD"/>
    <w:rsid w:val="00F24F10"/>
    <w:rsid w:val="00F2562B"/>
    <w:rsid w:val="00F25632"/>
    <w:rsid w:val="00F25E2F"/>
    <w:rsid w:val="00F25E32"/>
    <w:rsid w:val="00F2601F"/>
    <w:rsid w:val="00F2609C"/>
    <w:rsid w:val="00F261DD"/>
    <w:rsid w:val="00F2639B"/>
    <w:rsid w:val="00F26406"/>
    <w:rsid w:val="00F26654"/>
    <w:rsid w:val="00F26683"/>
    <w:rsid w:val="00F26688"/>
    <w:rsid w:val="00F2670C"/>
    <w:rsid w:val="00F26C78"/>
    <w:rsid w:val="00F26FDC"/>
    <w:rsid w:val="00F2725D"/>
    <w:rsid w:val="00F27309"/>
    <w:rsid w:val="00F27844"/>
    <w:rsid w:val="00F27D91"/>
    <w:rsid w:val="00F301E8"/>
    <w:rsid w:val="00F30289"/>
    <w:rsid w:val="00F30413"/>
    <w:rsid w:val="00F3095E"/>
    <w:rsid w:val="00F309FF"/>
    <w:rsid w:val="00F30DE1"/>
    <w:rsid w:val="00F310B3"/>
    <w:rsid w:val="00F31204"/>
    <w:rsid w:val="00F31B9B"/>
    <w:rsid w:val="00F31D89"/>
    <w:rsid w:val="00F32199"/>
    <w:rsid w:val="00F3224D"/>
    <w:rsid w:val="00F32314"/>
    <w:rsid w:val="00F3247E"/>
    <w:rsid w:val="00F324C1"/>
    <w:rsid w:val="00F324E2"/>
    <w:rsid w:val="00F329D2"/>
    <w:rsid w:val="00F32C62"/>
    <w:rsid w:val="00F32CC6"/>
    <w:rsid w:val="00F32D54"/>
    <w:rsid w:val="00F32D5B"/>
    <w:rsid w:val="00F32FC0"/>
    <w:rsid w:val="00F331AF"/>
    <w:rsid w:val="00F332AE"/>
    <w:rsid w:val="00F33406"/>
    <w:rsid w:val="00F335D8"/>
    <w:rsid w:val="00F33757"/>
    <w:rsid w:val="00F337B2"/>
    <w:rsid w:val="00F337E8"/>
    <w:rsid w:val="00F33DDF"/>
    <w:rsid w:val="00F33FCF"/>
    <w:rsid w:val="00F34128"/>
    <w:rsid w:val="00F3433C"/>
    <w:rsid w:val="00F345D9"/>
    <w:rsid w:val="00F3482A"/>
    <w:rsid w:val="00F34867"/>
    <w:rsid w:val="00F34E03"/>
    <w:rsid w:val="00F350F2"/>
    <w:rsid w:val="00F351E6"/>
    <w:rsid w:val="00F3521E"/>
    <w:rsid w:val="00F35260"/>
    <w:rsid w:val="00F35561"/>
    <w:rsid w:val="00F35572"/>
    <w:rsid w:val="00F357BB"/>
    <w:rsid w:val="00F3581F"/>
    <w:rsid w:val="00F35AB4"/>
    <w:rsid w:val="00F3637A"/>
    <w:rsid w:val="00F363D7"/>
    <w:rsid w:val="00F363DB"/>
    <w:rsid w:val="00F364C1"/>
    <w:rsid w:val="00F365F9"/>
    <w:rsid w:val="00F367EA"/>
    <w:rsid w:val="00F369C2"/>
    <w:rsid w:val="00F3701C"/>
    <w:rsid w:val="00F3704D"/>
    <w:rsid w:val="00F371DF"/>
    <w:rsid w:val="00F37472"/>
    <w:rsid w:val="00F374E3"/>
    <w:rsid w:val="00F37735"/>
    <w:rsid w:val="00F377ED"/>
    <w:rsid w:val="00F378D0"/>
    <w:rsid w:val="00F37931"/>
    <w:rsid w:val="00F37B0C"/>
    <w:rsid w:val="00F37DF2"/>
    <w:rsid w:val="00F37E16"/>
    <w:rsid w:val="00F4010B"/>
    <w:rsid w:val="00F402D8"/>
    <w:rsid w:val="00F40350"/>
    <w:rsid w:val="00F40491"/>
    <w:rsid w:val="00F4054D"/>
    <w:rsid w:val="00F406CC"/>
    <w:rsid w:val="00F40A51"/>
    <w:rsid w:val="00F40C3A"/>
    <w:rsid w:val="00F40DF0"/>
    <w:rsid w:val="00F40EFD"/>
    <w:rsid w:val="00F40F02"/>
    <w:rsid w:val="00F40FC2"/>
    <w:rsid w:val="00F4100E"/>
    <w:rsid w:val="00F41102"/>
    <w:rsid w:val="00F411E2"/>
    <w:rsid w:val="00F411F1"/>
    <w:rsid w:val="00F41326"/>
    <w:rsid w:val="00F413D6"/>
    <w:rsid w:val="00F41563"/>
    <w:rsid w:val="00F416DD"/>
    <w:rsid w:val="00F418B9"/>
    <w:rsid w:val="00F419A4"/>
    <w:rsid w:val="00F41E60"/>
    <w:rsid w:val="00F42091"/>
    <w:rsid w:val="00F42726"/>
    <w:rsid w:val="00F43047"/>
    <w:rsid w:val="00F437D9"/>
    <w:rsid w:val="00F43938"/>
    <w:rsid w:val="00F43A62"/>
    <w:rsid w:val="00F43ABE"/>
    <w:rsid w:val="00F43B4D"/>
    <w:rsid w:val="00F43C55"/>
    <w:rsid w:val="00F43F7E"/>
    <w:rsid w:val="00F440C9"/>
    <w:rsid w:val="00F44199"/>
    <w:rsid w:val="00F44427"/>
    <w:rsid w:val="00F446D7"/>
    <w:rsid w:val="00F44AFE"/>
    <w:rsid w:val="00F44B9D"/>
    <w:rsid w:val="00F44CBA"/>
    <w:rsid w:val="00F44F62"/>
    <w:rsid w:val="00F45475"/>
    <w:rsid w:val="00F454BA"/>
    <w:rsid w:val="00F455BA"/>
    <w:rsid w:val="00F45A71"/>
    <w:rsid w:val="00F45BF0"/>
    <w:rsid w:val="00F45BFD"/>
    <w:rsid w:val="00F4608E"/>
    <w:rsid w:val="00F4641E"/>
    <w:rsid w:val="00F46BDF"/>
    <w:rsid w:val="00F46E48"/>
    <w:rsid w:val="00F46E7F"/>
    <w:rsid w:val="00F46EFE"/>
    <w:rsid w:val="00F470E3"/>
    <w:rsid w:val="00F4743B"/>
    <w:rsid w:val="00F4743D"/>
    <w:rsid w:val="00F4748F"/>
    <w:rsid w:val="00F47620"/>
    <w:rsid w:val="00F4779F"/>
    <w:rsid w:val="00F47995"/>
    <w:rsid w:val="00F47D47"/>
    <w:rsid w:val="00F47FDA"/>
    <w:rsid w:val="00F50021"/>
    <w:rsid w:val="00F50587"/>
    <w:rsid w:val="00F50777"/>
    <w:rsid w:val="00F507CE"/>
    <w:rsid w:val="00F507D2"/>
    <w:rsid w:val="00F50D83"/>
    <w:rsid w:val="00F50E7E"/>
    <w:rsid w:val="00F50F22"/>
    <w:rsid w:val="00F5120F"/>
    <w:rsid w:val="00F51347"/>
    <w:rsid w:val="00F5158C"/>
    <w:rsid w:val="00F519DD"/>
    <w:rsid w:val="00F51B67"/>
    <w:rsid w:val="00F51F40"/>
    <w:rsid w:val="00F520E3"/>
    <w:rsid w:val="00F5276A"/>
    <w:rsid w:val="00F528A3"/>
    <w:rsid w:val="00F52A76"/>
    <w:rsid w:val="00F52BB2"/>
    <w:rsid w:val="00F52C20"/>
    <w:rsid w:val="00F52C53"/>
    <w:rsid w:val="00F52CB0"/>
    <w:rsid w:val="00F52F58"/>
    <w:rsid w:val="00F53125"/>
    <w:rsid w:val="00F53449"/>
    <w:rsid w:val="00F5351D"/>
    <w:rsid w:val="00F535A5"/>
    <w:rsid w:val="00F536F1"/>
    <w:rsid w:val="00F53951"/>
    <w:rsid w:val="00F53EE7"/>
    <w:rsid w:val="00F54157"/>
    <w:rsid w:val="00F549E0"/>
    <w:rsid w:val="00F54AED"/>
    <w:rsid w:val="00F54C05"/>
    <w:rsid w:val="00F54D11"/>
    <w:rsid w:val="00F55306"/>
    <w:rsid w:val="00F5573A"/>
    <w:rsid w:val="00F55A9A"/>
    <w:rsid w:val="00F55CDF"/>
    <w:rsid w:val="00F55E08"/>
    <w:rsid w:val="00F55E09"/>
    <w:rsid w:val="00F55E2D"/>
    <w:rsid w:val="00F55E33"/>
    <w:rsid w:val="00F55F4C"/>
    <w:rsid w:val="00F560BA"/>
    <w:rsid w:val="00F5660B"/>
    <w:rsid w:val="00F566B0"/>
    <w:rsid w:val="00F5689A"/>
    <w:rsid w:val="00F56957"/>
    <w:rsid w:val="00F56AF2"/>
    <w:rsid w:val="00F56CE1"/>
    <w:rsid w:val="00F56D0C"/>
    <w:rsid w:val="00F56D81"/>
    <w:rsid w:val="00F57143"/>
    <w:rsid w:val="00F57299"/>
    <w:rsid w:val="00F57486"/>
    <w:rsid w:val="00F5772A"/>
    <w:rsid w:val="00F57753"/>
    <w:rsid w:val="00F57829"/>
    <w:rsid w:val="00F5793A"/>
    <w:rsid w:val="00F5793B"/>
    <w:rsid w:val="00F57990"/>
    <w:rsid w:val="00F57D0E"/>
    <w:rsid w:val="00F57D47"/>
    <w:rsid w:val="00F57E0B"/>
    <w:rsid w:val="00F57E28"/>
    <w:rsid w:val="00F57F21"/>
    <w:rsid w:val="00F60066"/>
    <w:rsid w:val="00F6011A"/>
    <w:rsid w:val="00F606F4"/>
    <w:rsid w:val="00F6086B"/>
    <w:rsid w:val="00F6096E"/>
    <w:rsid w:val="00F60A5F"/>
    <w:rsid w:val="00F60D5B"/>
    <w:rsid w:val="00F60FAB"/>
    <w:rsid w:val="00F61072"/>
    <w:rsid w:val="00F6148B"/>
    <w:rsid w:val="00F6156C"/>
    <w:rsid w:val="00F6169D"/>
    <w:rsid w:val="00F61B18"/>
    <w:rsid w:val="00F61BE6"/>
    <w:rsid w:val="00F6204D"/>
    <w:rsid w:val="00F622D5"/>
    <w:rsid w:val="00F624AC"/>
    <w:rsid w:val="00F6252E"/>
    <w:rsid w:val="00F62582"/>
    <w:rsid w:val="00F62CC7"/>
    <w:rsid w:val="00F62F1C"/>
    <w:rsid w:val="00F62FB9"/>
    <w:rsid w:val="00F6333B"/>
    <w:rsid w:val="00F634EA"/>
    <w:rsid w:val="00F636AB"/>
    <w:rsid w:val="00F63A89"/>
    <w:rsid w:val="00F63CA0"/>
    <w:rsid w:val="00F63CAD"/>
    <w:rsid w:val="00F63D5F"/>
    <w:rsid w:val="00F63DB5"/>
    <w:rsid w:val="00F63F3F"/>
    <w:rsid w:val="00F63F47"/>
    <w:rsid w:val="00F64062"/>
    <w:rsid w:val="00F64122"/>
    <w:rsid w:val="00F6446D"/>
    <w:rsid w:val="00F646BF"/>
    <w:rsid w:val="00F647A6"/>
    <w:rsid w:val="00F647CE"/>
    <w:rsid w:val="00F647E6"/>
    <w:rsid w:val="00F649AF"/>
    <w:rsid w:val="00F64BD4"/>
    <w:rsid w:val="00F64F14"/>
    <w:rsid w:val="00F64F69"/>
    <w:rsid w:val="00F651CA"/>
    <w:rsid w:val="00F657D9"/>
    <w:rsid w:val="00F65CA3"/>
    <w:rsid w:val="00F65E49"/>
    <w:rsid w:val="00F65E5E"/>
    <w:rsid w:val="00F66111"/>
    <w:rsid w:val="00F66291"/>
    <w:rsid w:val="00F6629F"/>
    <w:rsid w:val="00F664C5"/>
    <w:rsid w:val="00F666A1"/>
    <w:rsid w:val="00F6695B"/>
    <w:rsid w:val="00F670CA"/>
    <w:rsid w:val="00F67290"/>
    <w:rsid w:val="00F6734B"/>
    <w:rsid w:val="00F67588"/>
    <w:rsid w:val="00F67AB2"/>
    <w:rsid w:val="00F67CB0"/>
    <w:rsid w:val="00F7002A"/>
    <w:rsid w:val="00F705EB"/>
    <w:rsid w:val="00F70886"/>
    <w:rsid w:val="00F708F0"/>
    <w:rsid w:val="00F70BB6"/>
    <w:rsid w:val="00F70BE0"/>
    <w:rsid w:val="00F70CAB"/>
    <w:rsid w:val="00F70E72"/>
    <w:rsid w:val="00F71387"/>
    <w:rsid w:val="00F713C5"/>
    <w:rsid w:val="00F71400"/>
    <w:rsid w:val="00F716D0"/>
    <w:rsid w:val="00F71E2A"/>
    <w:rsid w:val="00F71E70"/>
    <w:rsid w:val="00F71E93"/>
    <w:rsid w:val="00F71F6B"/>
    <w:rsid w:val="00F72009"/>
    <w:rsid w:val="00F720E2"/>
    <w:rsid w:val="00F723FA"/>
    <w:rsid w:val="00F724A6"/>
    <w:rsid w:val="00F72E59"/>
    <w:rsid w:val="00F72EC4"/>
    <w:rsid w:val="00F72F83"/>
    <w:rsid w:val="00F7305C"/>
    <w:rsid w:val="00F73B4E"/>
    <w:rsid w:val="00F73D36"/>
    <w:rsid w:val="00F73E5D"/>
    <w:rsid w:val="00F73F09"/>
    <w:rsid w:val="00F74164"/>
    <w:rsid w:val="00F7453C"/>
    <w:rsid w:val="00F74550"/>
    <w:rsid w:val="00F7467D"/>
    <w:rsid w:val="00F74696"/>
    <w:rsid w:val="00F746A6"/>
    <w:rsid w:val="00F74946"/>
    <w:rsid w:val="00F749EF"/>
    <w:rsid w:val="00F74A5F"/>
    <w:rsid w:val="00F74AAE"/>
    <w:rsid w:val="00F74ED8"/>
    <w:rsid w:val="00F750DF"/>
    <w:rsid w:val="00F756C3"/>
    <w:rsid w:val="00F757A9"/>
    <w:rsid w:val="00F75810"/>
    <w:rsid w:val="00F75833"/>
    <w:rsid w:val="00F75A4C"/>
    <w:rsid w:val="00F75BD3"/>
    <w:rsid w:val="00F7607B"/>
    <w:rsid w:val="00F760B6"/>
    <w:rsid w:val="00F76186"/>
    <w:rsid w:val="00F76284"/>
    <w:rsid w:val="00F7650E"/>
    <w:rsid w:val="00F76547"/>
    <w:rsid w:val="00F7656D"/>
    <w:rsid w:val="00F768CD"/>
    <w:rsid w:val="00F76AAD"/>
    <w:rsid w:val="00F76B99"/>
    <w:rsid w:val="00F76D54"/>
    <w:rsid w:val="00F777E2"/>
    <w:rsid w:val="00F77928"/>
    <w:rsid w:val="00F77FFB"/>
    <w:rsid w:val="00F80957"/>
    <w:rsid w:val="00F80A11"/>
    <w:rsid w:val="00F80A6C"/>
    <w:rsid w:val="00F80F67"/>
    <w:rsid w:val="00F81211"/>
    <w:rsid w:val="00F81531"/>
    <w:rsid w:val="00F8162C"/>
    <w:rsid w:val="00F8163D"/>
    <w:rsid w:val="00F81863"/>
    <w:rsid w:val="00F818A4"/>
    <w:rsid w:val="00F81CCD"/>
    <w:rsid w:val="00F81E94"/>
    <w:rsid w:val="00F820EB"/>
    <w:rsid w:val="00F824F3"/>
    <w:rsid w:val="00F827E4"/>
    <w:rsid w:val="00F82A7E"/>
    <w:rsid w:val="00F830AC"/>
    <w:rsid w:val="00F831CF"/>
    <w:rsid w:val="00F83244"/>
    <w:rsid w:val="00F8329F"/>
    <w:rsid w:val="00F834E3"/>
    <w:rsid w:val="00F83A24"/>
    <w:rsid w:val="00F83B02"/>
    <w:rsid w:val="00F84850"/>
    <w:rsid w:val="00F84A8C"/>
    <w:rsid w:val="00F84BD1"/>
    <w:rsid w:val="00F84D89"/>
    <w:rsid w:val="00F84F29"/>
    <w:rsid w:val="00F85111"/>
    <w:rsid w:val="00F85127"/>
    <w:rsid w:val="00F851B9"/>
    <w:rsid w:val="00F85276"/>
    <w:rsid w:val="00F855A8"/>
    <w:rsid w:val="00F85752"/>
    <w:rsid w:val="00F85A42"/>
    <w:rsid w:val="00F85DBD"/>
    <w:rsid w:val="00F85E2F"/>
    <w:rsid w:val="00F86057"/>
    <w:rsid w:val="00F8617B"/>
    <w:rsid w:val="00F86395"/>
    <w:rsid w:val="00F86449"/>
    <w:rsid w:val="00F8677A"/>
    <w:rsid w:val="00F8688A"/>
    <w:rsid w:val="00F868B9"/>
    <w:rsid w:val="00F86976"/>
    <w:rsid w:val="00F86E49"/>
    <w:rsid w:val="00F86EB5"/>
    <w:rsid w:val="00F87226"/>
    <w:rsid w:val="00F8729A"/>
    <w:rsid w:val="00F87399"/>
    <w:rsid w:val="00F87694"/>
    <w:rsid w:val="00F87768"/>
    <w:rsid w:val="00F8791D"/>
    <w:rsid w:val="00F87E90"/>
    <w:rsid w:val="00F902BF"/>
    <w:rsid w:val="00F90671"/>
    <w:rsid w:val="00F906D2"/>
    <w:rsid w:val="00F90B73"/>
    <w:rsid w:val="00F90BFD"/>
    <w:rsid w:val="00F90CE3"/>
    <w:rsid w:val="00F90DEC"/>
    <w:rsid w:val="00F90E72"/>
    <w:rsid w:val="00F90E75"/>
    <w:rsid w:val="00F90F62"/>
    <w:rsid w:val="00F910A3"/>
    <w:rsid w:val="00F9111A"/>
    <w:rsid w:val="00F916AC"/>
    <w:rsid w:val="00F91720"/>
    <w:rsid w:val="00F9192F"/>
    <w:rsid w:val="00F91D08"/>
    <w:rsid w:val="00F91EBC"/>
    <w:rsid w:val="00F91EFD"/>
    <w:rsid w:val="00F91F07"/>
    <w:rsid w:val="00F92057"/>
    <w:rsid w:val="00F92113"/>
    <w:rsid w:val="00F92550"/>
    <w:rsid w:val="00F9260F"/>
    <w:rsid w:val="00F92695"/>
    <w:rsid w:val="00F9299C"/>
    <w:rsid w:val="00F92CFE"/>
    <w:rsid w:val="00F92D46"/>
    <w:rsid w:val="00F92D5E"/>
    <w:rsid w:val="00F92E23"/>
    <w:rsid w:val="00F92EA3"/>
    <w:rsid w:val="00F9304C"/>
    <w:rsid w:val="00F93076"/>
    <w:rsid w:val="00F934F4"/>
    <w:rsid w:val="00F93528"/>
    <w:rsid w:val="00F940CC"/>
    <w:rsid w:val="00F9413A"/>
    <w:rsid w:val="00F94238"/>
    <w:rsid w:val="00F94279"/>
    <w:rsid w:val="00F9440E"/>
    <w:rsid w:val="00F9457F"/>
    <w:rsid w:val="00F947B1"/>
    <w:rsid w:val="00F94887"/>
    <w:rsid w:val="00F94DCF"/>
    <w:rsid w:val="00F94E67"/>
    <w:rsid w:val="00F94E6F"/>
    <w:rsid w:val="00F94F15"/>
    <w:rsid w:val="00F9519B"/>
    <w:rsid w:val="00F952E8"/>
    <w:rsid w:val="00F95468"/>
    <w:rsid w:val="00F9562B"/>
    <w:rsid w:val="00F95652"/>
    <w:rsid w:val="00F957D8"/>
    <w:rsid w:val="00F95AAC"/>
    <w:rsid w:val="00F95AC7"/>
    <w:rsid w:val="00F95B6C"/>
    <w:rsid w:val="00F95C37"/>
    <w:rsid w:val="00F95E56"/>
    <w:rsid w:val="00F95F51"/>
    <w:rsid w:val="00F96033"/>
    <w:rsid w:val="00F96158"/>
    <w:rsid w:val="00F9621F"/>
    <w:rsid w:val="00F9636C"/>
    <w:rsid w:val="00F96422"/>
    <w:rsid w:val="00F96456"/>
    <w:rsid w:val="00F969CC"/>
    <w:rsid w:val="00F96BF7"/>
    <w:rsid w:val="00F96DCE"/>
    <w:rsid w:val="00F96F10"/>
    <w:rsid w:val="00F971DF"/>
    <w:rsid w:val="00F97221"/>
    <w:rsid w:val="00F973C0"/>
    <w:rsid w:val="00F976BC"/>
    <w:rsid w:val="00F97A92"/>
    <w:rsid w:val="00F97D92"/>
    <w:rsid w:val="00FA0278"/>
    <w:rsid w:val="00FA03C6"/>
    <w:rsid w:val="00FA078F"/>
    <w:rsid w:val="00FA08D2"/>
    <w:rsid w:val="00FA099C"/>
    <w:rsid w:val="00FA0B15"/>
    <w:rsid w:val="00FA0C89"/>
    <w:rsid w:val="00FA0FBD"/>
    <w:rsid w:val="00FA1119"/>
    <w:rsid w:val="00FA11AF"/>
    <w:rsid w:val="00FA12A8"/>
    <w:rsid w:val="00FA1396"/>
    <w:rsid w:val="00FA13DA"/>
    <w:rsid w:val="00FA160D"/>
    <w:rsid w:val="00FA180F"/>
    <w:rsid w:val="00FA1AD2"/>
    <w:rsid w:val="00FA1C21"/>
    <w:rsid w:val="00FA219D"/>
    <w:rsid w:val="00FA2338"/>
    <w:rsid w:val="00FA23E3"/>
    <w:rsid w:val="00FA27FA"/>
    <w:rsid w:val="00FA28B6"/>
    <w:rsid w:val="00FA2988"/>
    <w:rsid w:val="00FA2CD7"/>
    <w:rsid w:val="00FA2DF5"/>
    <w:rsid w:val="00FA2EF1"/>
    <w:rsid w:val="00FA2FC5"/>
    <w:rsid w:val="00FA30C2"/>
    <w:rsid w:val="00FA3162"/>
    <w:rsid w:val="00FA32B2"/>
    <w:rsid w:val="00FA32C1"/>
    <w:rsid w:val="00FA330E"/>
    <w:rsid w:val="00FA33D8"/>
    <w:rsid w:val="00FA34C9"/>
    <w:rsid w:val="00FA37F2"/>
    <w:rsid w:val="00FA3A1B"/>
    <w:rsid w:val="00FA3BE8"/>
    <w:rsid w:val="00FA40D9"/>
    <w:rsid w:val="00FA4143"/>
    <w:rsid w:val="00FA416F"/>
    <w:rsid w:val="00FA423B"/>
    <w:rsid w:val="00FA4331"/>
    <w:rsid w:val="00FA43AC"/>
    <w:rsid w:val="00FA46A4"/>
    <w:rsid w:val="00FA46CF"/>
    <w:rsid w:val="00FA48B1"/>
    <w:rsid w:val="00FA48D3"/>
    <w:rsid w:val="00FA4B14"/>
    <w:rsid w:val="00FA4B38"/>
    <w:rsid w:val="00FA4C16"/>
    <w:rsid w:val="00FA4F12"/>
    <w:rsid w:val="00FA515A"/>
    <w:rsid w:val="00FA5326"/>
    <w:rsid w:val="00FA5414"/>
    <w:rsid w:val="00FA5B26"/>
    <w:rsid w:val="00FA5CDB"/>
    <w:rsid w:val="00FA5D2B"/>
    <w:rsid w:val="00FA5F2F"/>
    <w:rsid w:val="00FA6004"/>
    <w:rsid w:val="00FA6053"/>
    <w:rsid w:val="00FA6732"/>
    <w:rsid w:val="00FA680D"/>
    <w:rsid w:val="00FA6B8B"/>
    <w:rsid w:val="00FA6D87"/>
    <w:rsid w:val="00FA6F4F"/>
    <w:rsid w:val="00FA70D4"/>
    <w:rsid w:val="00FA7115"/>
    <w:rsid w:val="00FA7153"/>
    <w:rsid w:val="00FA71C5"/>
    <w:rsid w:val="00FA7210"/>
    <w:rsid w:val="00FA73C1"/>
    <w:rsid w:val="00FA74A5"/>
    <w:rsid w:val="00FA7658"/>
    <w:rsid w:val="00FA778F"/>
    <w:rsid w:val="00FA7918"/>
    <w:rsid w:val="00FA793A"/>
    <w:rsid w:val="00FA7B7A"/>
    <w:rsid w:val="00FB01C5"/>
    <w:rsid w:val="00FB01EF"/>
    <w:rsid w:val="00FB027A"/>
    <w:rsid w:val="00FB03B5"/>
    <w:rsid w:val="00FB0430"/>
    <w:rsid w:val="00FB0433"/>
    <w:rsid w:val="00FB0662"/>
    <w:rsid w:val="00FB073F"/>
    <w:rsid w:val="00FB0C7E"/>
    <w:rsid w:val="00FB14D0"/>
    <w:rsid w:val="00FB1905"/>
    <w:rsid w:val="00FB1968"/>
    <w:rsid w:val="00FB1AC6"/>
    <w:rsid w:val="00FB1C8C"/>
    <w:rsid w:val="00FB1D0A"/>
    <w:rsid w:val="00FB1E11"/>
    <w:rsid w:val="00FB1F2C"/>
    <w:rsid w:val="00FB20A2"/>
    <w:rsid w:val="00FB20B7"/>
    <w:rsid w:val="00FB282E"/>
    <w:rsid w:val="00FB2BCA"/>
    <w:rsid w:val="00FB2EEE"/>
    <w:rsid w:val="00FB302B"/>
    <w:rsid w:val="00FB30B9"/>
    <w:rsid w:val="00FB3157"/>
    <w:rsid w:val="00FB3A43"/>
    <w:rsid w:val="00FB3B07"/>
    <w:rsid w:val="00FB3C97"/>
    <w:rsid w:val="00FB3DBF"/>
    <w:rsid w:val="00FB429A"/>
    <w:rsid w:val="00FB43D9"/>
    <w:rsid w:val="00FB4417"/>
    <w:rsid w:val="00FB45C2"/>
    <w:rsid w:val="00FB4811"/>
    <w:rsid w:val="00FB4902"/>
    <w:rsid w:val="00FB496A"/>
    <w:rsid w:val="00FB49A4"/>
    <w:rsid w:val="00FB4C5E"/>
    <w:rsid w:val="00FB4F78"/>
    <w:rsid w:val="00FB51E1"/>
    <w:rsid w:val="00FB5449"/>
    <w:rsid w:val="00FB57C0"/>
    <w:rsid w:val="00FB58ED"/>
    <w:rsid w:val="00FB5A5B"/>
    <w:rsid w:val="00FB5BFC"/>
    <w:rsid w:val="00FB5EA6"/>
    <w:rsid w:val="00FB5FCA"/>
    <w:rsid w:val="00FB6128"/>
    <w:rsid w:val="00FB618F"/>
    <w:rsid w:val="00FB63F6"/>
    <w:rsid w:val="00FB641F"/>
    <w:rsid w:val="00FB647D"/>
    <w:rsid w:val="00FB64A2"/>
    <w:rsid w:val="00FB65A9"/>
    <w:rsid w:val="00FB66B8"/>
    <w:rsid w:val="00FB692A"/>
    <w:rsid w:val="00FB6BF1"/>
    <w:rsid w:val="00FB6F42"/>
    <w:rsid w:val="00FB70B3"/>
    <w:rsid w:val="00FB70D7"/>
    <w:rsid w:val="00FB7100"/>
    <w:rsid w:val="00FB715D"/>
    <w:rsid w:val="00FB739D"/>
    <w:rsid w:val="00FB73A2"/>
    <w:rsid w:val="00FB748E"/>
    <w:rsid w:val="00FB7504"/>
    <w:rsid w:val="00FB7895"/>
    <w:rsid w:val="00FB790C"/>
    <w:rsid w:val="00FB7B17"/>
    <w:rsid w:val="00FB7B2B"/>
    <w:rsid w:val="00FB7C8D"/>
    <w:rsid w:val="00FB7EDA"/>
    <w:rsid w:val="00FC02BB"/>
    <w:rsid w:val="00FC041A"/>
    <w:rsid w:val="00FC0835"/>
    <w:rsid w:val="00FC0858"/>
    <w:rsid w:val="00FC099A"/>
    <w:rsid w:val="00FC0BFF"/>
    <w:rsid w:val="00FC13E7"/>
    <w:rsid w:val="00FC1A96"/>
    <w:rsid w:val="00FC1B9C"/>
    <w:rsid w:val="00FC1D2A"/>
    <w:rsid w:val="00FC1DE4"/>
    <w:rsid w:val="00FC207B"/>
    <w:rsid w:val="00FC249D"/>
    <w:rsid w:val="00FC260A"/>
    <w:rsid w:val="00FC285A"/>
    <w:rsid w:val="00FC2E77"/>
    <w:rsid w:val="00FC2E84"/>
    <w:rsid w:val="00FC3085"/>
    <w:rsid w:val="00FC308B"/>
    <w:rsid w:val="00FC3669"/>
    <w:rsid w:val="00FC3793"/>
    <w:rsid w:val="00FC3B89"/>
    <w:rsid w:val="00FC3BF3"/>
    <w:rsid w:val="00FC3D99"/>
    <w:rsid w:val="00FC407D"/>
    <w:rsid w:val="00FC43D5"/>
    <w:rsid w:val="00FC4674"/>
    <w:rsid w:val="00FC4998"/>
    <w:rsid w:val="00FC4A0D"/>
    <w:rsid w:val="00FC4A8A"/>
    <w:rsid w:val="00FC4C96"/>
    <w:rsid w:val="00FC4DCF"/>
    <w:rsid w:val="00FC4DE2"/>
    <w:rsid w:val="00FC4F17"/>
    <w:rsid w:val="00FC50AC"/>
    <w:rsid w:val="00FC5101"/>
    <w:rsid w:val="00FC5133"/>
    <w:rsid w:val="00FC53D6"/>
    <w:rsid w:val="00FC55B2"/>
    <w:rsid w:val="00FC56B3"/>
    <w:rsid w:val="00FC572D"/>
    <w:rsid w:val="00FC57F4"/>
    <w:rsid w:val="00FC5D20"/>
    <w:rsid w:val="00FC5DC4"/>
    <w:rsid w:val="00FC6008"/>
    <w:rsid w:val="00FC62D8"/>
    <w:rsid w:val="00FC643F"/>
    <w:rsid w:val="00FC654A"/>
    <w:rsid w:val="00FC6657"/>
    <w:rsid w:val="00FC67C2"/>
    <w:rsid w:val="00FC69E7"/>
    <w:rsid w:val="00FC6DDA"/>
    <w:rsid w:val="00FC71EB"/>
    <w:rsid w:val="00FC720A"/>
    <w:rsid w:val="00FC74DA"/>
    <w:rsid w:val="00FC7608"/>
    <w:rsid w:val="00FC7784"/>
    <w:rsid w:val="00FC78BB"/>
    <w:rsid w:val="00FC79F3"/>
    <w:rsid w:val="00FD00DC"/>
    <w:rsid w:val="00FD00F7"/>
    <w:rsid w:val="00FD03C8"/>
    <w:rsid w:val="00FD0532"/>
    <w:rsid w:val="00FD0897"/>
    <w:rsid w:val="00FD089C"/>
    <w:rsid w:val="00FD09CD"/>
    <w:rsid w:val="00FD0C4D"/>
    <w:rsid w:val="00FD0F4F"/>
    <w:rsid w:val="00FD148D"/>
    <w:rsid w:val="00FD14D1"/>
    <w:rsid w:val="00FD166C"/>
    <w:rsid w:val="00FD1681"/>
    <w:rsid w:val="00FD16DD"/>
    <w:rsid w:val="00FD1789"/>
    <w:rsid w:val="00FD18F7"/>
    <w:rsid w:val="00FD1BA8"/>
    <w:rsid w:val="00FD1CE1"/>
    <w:rsid w:val="00FD1D31"/>
    <w:rsid w:val="00FD1F25"/>
    <w:rsid w:val="00FD20AD"/>
    <w:rsid w:val="00FD21B5"/>
    <w:rsid w:val="00FD2233"/>
    <w:rsid w:val="00FD22B3"/>
    <w:rsid w:val="00FD22C3"/>
    <w:rsid w:val="00FD233D"/>
    <w:rsid w:val="00FD2635"/>
    <w:rsid w:val="00FD2D33"/>
    <w:rsid w:val="00FD2E4A"/>
    <w:rsid w:val="00FD2F28"/>
    <w:rsid w:val="00FD2F32"/>
    <w:rsid w:val="00FD2F72"/>
    <w:rsid w:val="00FD2FF2"/>
    <w:rsid w:val="00FD3018"/>
    <w:rsid w:val="00FD331B"/>
    <w:rsid w:val="00FD35D9"/>
    <w:rsid w:val="00FD3736"/>
    <w:rsid w:val="00FD38E9"/>
    <w:rsid w:val="00FD39CA"/>
    <w:rsid w:val="00FD3BBE"/>
    <w:rsid w:val="00FD3C72"/>
    <w:rsid w:val="00FD3DD5"/>
    <w:rsid w:val="00FD3EB2"/>
    <w:rsid w:val="00FD3EB4"/>
    <w:rsid w:val="00FD3F46"/>
    <w:rsid w:val="00FD3FEF"/>
    <w:rsid w:val="00FD4002"/>
    <w:rsid w:val="00FD4025"/>
    <w:rsid w:val="00FD40E0"/>
    <w:rsid w:val="00FD42D6"/>
    <w:rsid w:val="00FD4367"/>
    <w:rsid w:val="00FD47CB"/>
    <w:rsid w:val="00FD4826"/>
    <w:rsid w:val="00FD4CFD"/>
    <w:rsid w:val="00FD4D66"/>
    <w:rsid w:val="00FD4DB2"/>
    <w:rsid w:val="00FD543A"/>
    <w:rsid w:val="00FD54EB"/>
    <w:rsid w:val="00FD54F0"/>
    <w:rsid w:val="00FD5865"/>
    <w:rsid w:val="00FD58B6"/>
    <w:rsid w:val="00FD5F08"/>
    <w:rsid w:val="00FD5FF9"/>
    <w:rsid w:val="00FD6301"/>
    <w:rsid w:val="00FD640F"/>
    <w:rsid w:val="00FD64FA"/>
    <w:rsid w:val="00FD6544"/>
    <w:rsid w:val="00FD6711"/>
    <w:rsid w:val="00FD68B3"/>
    <w:rsid w:val="00FD68D5"/>
    <w:rsid w:val="00FD69CD"/>
    <w:rsid w:val="00FD69F3"/>
    <w:rsid w:val="00FD6A52"/>
    <w:rsid w:val="00FD6E0B"/>
    <w:rsid w:val="00FD6E0C"/>
    <w:rsid w:val="00FD7186"/>
    <w:rsid w:val="00FD71A7"/>
    <w:rsid w:val="00FD7308"/>
    <w:rsid w:val="00FD7575"/>
    <w:rsid w:val="00FD771A"/>
    <w:rsid w:val="00FD7958"/>
    <w:rsid w:val="00FD79BA"/>
    <w:rsid w:val="00FD7A2E"/>
    <w:rsid w:val="00FD7B2D"/>
    <w:rsid w:val="00FD7D87"/>
    <w:rsid w:val="00FE000E"/>
    <w:rsid w:val="00FE01D8"/>
    <w:rsid w:val="00FE041A"/>
    <w:rsid w:val="00FE06DB"/>
    <w:rsid w:val="00FE078E"/>
    <w:rsid w:val="00FE07CC"/>
    <w:rsid w:val="00FE09BE"/>
    <w:rsid w:val="00FE0B06"/>
    <w:rsid w:val="00FE0E2E"/>
    <w:rsid w:val="00FE11FD"/>
    <w:rsid w:val="00FE1477"/>
    <w:rsid w:val="00FE15E5"/>
    <w:rsid w:val="00FE1861"/>
    <w:rsid w:val="00FE1AAF"/>
    <w:rsid w:val="00FE1B69"/>
    <w:rsid w:val="00FE2256"/>
    <w:rsid w:val="00FE2303"/>
    <w:rsid w:val="00FE2391"/>
    <w:rsid w:val="00FE23B0"/>
    <w:rsid w:val="00FE26A7"/>
    <w:rsid w:val="00FE287E"/>
    <w:rsid w:val="00FE2B0F"/>
    <w:rsid w:val="00FE2DD5"/>
    <w:rsid w:val="00FE2E0D"/>
    <w:rsid w:val="00FE2FF0"/>
    <w:rsid w:val="00FE3144"/>
    <w:rsid w:val="00FE35E4"/>
    <w:rsid w:val="00FE38DB"/>
    <w:rsid w:val="00FE3A38"/>
    <w:rsid w:val="00FE3C12"/>
    <w:rsid w:val="00FE3CBE"/>
    <w:rsid w:val="00FE3CD4"/>
    <w:rsid w:val="00FE40E4"/>
    <w:rsid w:val="00FE4164"/>
    <w:rsid w:val="00FE4165"/>
    <w:rsid w:val="00FE423A"/>
    <w:rsid w:val="00FE474C"/>
    <w:rsid w:val="00FE47F7"/>
    <w:rsid w:val="00FE481C"/>
    <w:rsid w:val="00FE4863"/>
    <w:rsid w:val="00FE4923"/>
    <w:rsid w:val="00FE4BB7"/>
    <w:rsid w:val="00FE4C7C"/>
    <w:rsid w:val="00FE4CDD"/>
    <w:rsid w:val="00FE4CDF"/>
    <w:rsid w:val="00FE4D55"/>
    <w:rsid w:val="00FE4E78"/>
    <w:rsid w:val="00FE5190"/>
    <w:rsid w:val="00FE5208"/>
    <w:rsid w:val="00FE57A7"/>
    <w:rsid w:val="00FE57AB"/>
    <w:rsid w:val="00FE5B38"/>
    <w:rsid w:val="00FE5B84"/>
    <w:rsid w:val="00FE5C3C"/>
    <w:rsid w:val="00FE5E9D"/>
    <w:rsid w:val="00FE64F0"/>
    <w:rsid w:val="00FE655E"/>
    <w:rsid w:val="00FE65CD"/>
    <w:rsid w:val="00FE69BB"/>
    <w:rsid w:val="00FE6C28"/>
    <w:rsid w:val="00FE6E50"/>
    <w:rsid w:val="00FE72C3"/>
    <w:rsid w:val="00FE7516"/>
    <w:rsid w:val="00FE7640"/>
    <w:rsid w:val="00FE77C4"/>
    <w:rsid w:val="00FE7C6A"/>
    <w:rsid w:val="00FF0092"/>
    <w:rsid w:val="00FF0258"/>
    <w:rsid w:val="00FF0558"/>
    <w:rsid w:val="00FF0646"/>
    <w:rsid w:val="00FF07A1"/>
    <w:rsid w:val="00FF0865"/>
    <w:rsid w:val="00FF0B0C"/>
    <w:rsid w:val="00FF0E96"/>
    <w:rsid w:val="00FF0F01"/>
    <w:rsid w:val="00FF142B"/>
    <w:rsid w:val="00FF1951"/>
    <w:rsid w:val="00FF1D52"/>
    <w:rsid w:val="00FF1FE2"/>
    <w:rsid w:val="00FF209F"/>
    <w:rsid w:val="00FF2164"/>
    <w:rsid w:val="00FF21BB"/>
    <w:rsid w:val="00FF22C0"/>
    <w:rsid w:val="00FF23A0"/>
    <w:rsid w:val="00FF243C"/>
    <w:rsid w:val="00FF2624"/>
    <w:rsid w:val="00FF2696"/>
    <w:rsid w:val="00FF26E7"/>
    <w:rsid w:val="00FF26F9"/>
    <w:rsid w:val="00FF28C7"/>
    <w:rsid w:val="00FF2A63"/>
    <w:rsid w:val="00FF2F57"/>
    <w:rsid w:val="00FF2F96"/>
    <w:rsid w:val="00FF316A"/>
    <w:rsid w:val="00FF333C"/>
    <w:rsid w:val="00FF34B7"/>
    <w:rsid w:val="00FF384B"/>
    <w:rsid w:val="00FF389C"/>
    <w:rsid w:val="00FF3A13"/>
    <w:rsid w:val="00FF3C01"/>
    <w:rsid w:val="00FF3FC4"/>
    <w:rsid w:val="00FF42D1"/>
    <w:rsid w:val="00FF4348"/>
    <w:rsid w:val="00FF444F"/>
    <w:rsid w:val="00FF4460"/>
    <w:rsid w:val="00FF488B"/>
    <w:rsid w:val="00FF4947"/>
    <w:rsid w:val="00FF4C17"/>
    <w:rsid w:val="00FF510D"/>
    <w:rsid w:val="00FF522B"/>
    <w:rsid w:val="00FF5347"/>
    <w:rsid w:val="00FF54B9"/>
    <w:rsid w:val="00FF57FD"/>
    <w:rsid w:val="00FF581C"/>
    <w:rsid w:val="00FF58EC"/>
    <w:rsid w:val="00FF5A4D"/>
    <w:rsid w:val="00FF5F2A"/>
    <w:rsid w:val="00FF61A7"/>
    <w:rsid w:val="00FF624C"/>
    <w:rsid w:val="00FF666A"/>
    <w:rsid w:val="00FF669E"/>
    <w:rsid w:val="00FF689B"/>
    <w:rsid w:val="00FF69BF"/>
    <w:rsid w:val="00FF6AAA"/>
    <w:rsid w:val="00FF6C05"/>
    <w:rsid w:val="00FF6D2D"/>
    <w:rsid w:val="00FF6D45"/>
    <w:rsid w:val="00FF7177"/>
    <w:rsid w:val="00FF71AB"/>
    <w:rsid w:val="00FF74D0"/>
    <w:rsid w:val="00FF764A"/>
    <w:rsid w:val="00FF7670"/>
    <w:rsid w:val="00FF77DB"/>
    <w:rsid w:val="00FF78E6"/>
    <w:rsid w:val="00FF7999"/>
    <w:rsid w:val="00FF79C9"/>
    <w:rsid w:val="00FF7BB7"/>
    <w:rsid w:val="010BE5A0"/>
    <w:rsid w:val="014A1099"/>
    <w:rsid w:val="0187202E"/>
    <w:rsid w:val="019F82D7"/>
    <w:rsid w:val="01A9E61A"/>
    <w:rsid w:val="01B12270"/>
    <w:rsid w:val="01C251B7"/>
    <w:rsid w:val="01EA0848"/>
    <w:rsid w:val="021764E5"/>
    <w:rsid w:val="02414821"/>
    <w:rsid w:val="02547EBF"/>
    <w:rsid w:val="025CFF98"/>
    <w:rsid w:val="02628A6B"/>
    <w:rsid w:val="02A50D0B"/>
    <w:rsid w:val="02C2BD90"/>
    <w:rsid w:val="02C2C9E4"/>
    <w:rsid w:val="02C78476"/>
    <w:rsid w:val="02FFD092"/>
    <w:rsid w:val="030C51EE"/>
    <w:rsid w:val="03260E3A"/>
    <w:rsid w:val="032AEDE2"/>
    <w:rsid w:val="036139B0"/>
    <w:rsid w:val="03801ED8"/>
    <w:rsid w:val="03B3D6FC"/>
    <w:rsid w:val="03B55A87"/>
    <w:rsid w:val="03F4FFF1"/>
    <w:rsid w:val="0412FBFE"/>
    <w:rsid w:val="04161FFB"/>
    <w:rsid w:val="04308CDA"/>
    <w:rsid w:val="044177E4"/>
    <w:rsid w:val="0457FE90"/>
    <w:rsid w:val="045F12A4"/>
    <w:rsid w:val="0489F8E1"/>
    <w:rsid w:val="04A16730"/>
    <w:rsid w:val="04C2E333"/>
    <w:rsid w:val="04FAB32D"/>
    <w:rsid w:val="050F5DD3"/>
    <w:rsid w:val="0542287B"/>
    <w:rsid w:val="055846E7"/>
    <w:rsid w:val="0598BD39"/>
    <w:rsid w:val="05A37437"/>
    <w:rsid w:val="05BCF6F4"/>
    <w:rsid w:val="05E002A7"/>
    <w:rsid w:val="05EC5568"/>
    <w:rsid w:val="05F19C9F"/>
    <w:rsid w:val="05F25C58"/>
    <w:rsid w:val="05FBC2E1"/>
    <w:rsid w:val="05FE09A8"/>
    <w:rsid w:val="060CBF17"/>
    <w:rsid w:val="063E05C7"/>
    <w:rsid w:val="064E4AC2"/>
    <w:rsid w:val="066B2127"/>
    <w:rsid w:val="069CD956"/>
    <w:rsid w:val="06A64C72"/>
    <w:rsid w:val="06E87260"/>
    <w:rsid w:val="072A73E5"/>
    <w:rsid w:val="073A12A5"/>
    <w:rsid w:val="0750554F"/>
    <w:rsid w:val="075C03BD"/>
    <w:rsid w:val="07655F2E"/>
    <w:rsid w:val="07893607"/>
    <w:rsid w:val="07B1E0C4"/>
    <w:rsid w:val="07BDF76A"/>
    <w:rsid w:val="07DB8FC9"/>
    <w:rsid w:val="07DFB5D3"/>
    <w:rsid w:val="07EFF18B"/>
    <w:rsid w:val="07FE1130"/>
    <w:rsid w:val="0828AF85"/>
    <w:rsid w:val="0833CD6D"/>
    <w:rsid w:val="084C5219"/>
    <w:rsid w:val="0853ED95"/>
    <w:rsid w:val="08A513FB"/>
    <w:rsid w:val="08ABC140"/>
    <w:rsid w:val="08CFB2AE"/>
    <w:rsid w:val="08D00852"/>
    <w:rsid w:val="08DA37E6"/>
    <w:rsid w:val="08DFB022"/>
    <w:rsid w:val="08E29AD2"/>
    <w:rsid w:val="0905D89E"/>
    <w:rsid w:val="0919E14D"/>
    <w:rsid w:val="09261F50"/>
    <w:rsid w:val="0926AFD5"/>
    <w:rsid w:val="093320A1"/>
    <w:rsid w:val="093645F5"/>
    <w:rsid w:val="0938BF32"/>
    <w:rsid w:val="0948C4BF"/>
    <w:rsid w:val="099223BD"/>
    <w:rsid w:val="09995BFA"/>
    <w:rsid w:val="09B6C992"/>
    <w:rsid w:val="09B9041F"/>
    <w:rsid w:val="09E0FC6E"/>
    <w:rsid w:val="09EFB976"/>
    <w:rsid w:val="09FC3D26"/>
    <w:rsid w:val="0A06BD80"/>
    <w:rsid w:val="0A18E6EA"/>
    <w:rsid w:val="0A25B449"/>
    <w:rsid w:val="0A2E0170"/>
    <w:rsid w:val="0A31653B"/>
    <w:rsid w:val="0A420495"/>
    <w:rsid w:val="0A459338"/>
    <w:rsid w:val="0A7A16EB"/>
    <w:rsid w:val="0A80FA22"/>
    <w:rsid w:val="0AB2F4D2"/>
    <w:rsid w:val="0AB36DB2"/>
    <w:rsid w:val="0AB3E8F8"/>
    <w:rsid w:val="0AECBA8E"/>
    <w:rsid w:val="0AEDE1FF"/>
    <w:rsid w:val="0B345BFE"/>
    <w:rsid w:val="0B8E1150"/>
    <w:rsid w:val="0B989C2A"/>
    <w:rsid w:val="0B9A7DAE"/>
    <w:rsid w:val="0BD6A748"/>
    <w:rsid w:val="0C004676"/>
    <w:rsid w:val="0C080A31"/>
    <w:rsid w:val="0C1631B1"/>
    <w:rsid w:val="0C2D5356"/>
    <w:rsid w:val="0C4A4989"/>
    <w:rsid w:val="0C4BA35D"/>
    <w:rsid w:val="0C5F4E88"/>
    <w:rsid w:val="0C8A4264"/>
    <w:rsid w:val="0C918983"/>
    <w:rsid w:val="0C959121"/>
    <w:rsid w:val="0CB2CF07"/>
    <w:rsid w:val="0CD510EE"/>
    <w:rsid w:val="0CF96DF8"/>
    <w:rsid w:val="0D0C9E0C"/>
    <w:rsid w:val="0D1B1ADE"/>
    <w:rsid w:val="0D2D1FAA"/>
    <w:rsid w:val="0D3B529D"/>
    <w:rsid w:val="0D3C4EDD"/>
    <w:rsid w:val="0D5E40EA"/>
    <w:rsid w:val="0D6ADFB8"/>
    <w:rsid w:val="0D70CD7F"/>
    <w:rsid w:val="0D75B18C"/>
    <w:rsid w:val="0D8D1108"/>
    <w:rsid w:val="0D9090D6"/>
    <w:rsid w:val="0D9D6E6B"/>
    <w:rsid w:val="0DA030CD"/>
    <w:rsid w:val="0DB0404D"/>
    <w:rsid w:val="0DC27025"/>
    <w:rsid w:val="0DC55CD2"/>
    <w:rsid w:val="0DCCE4C0"/>
    <w:rsid w:val="0DDD75A1"/>
    <w:rsid w:val="0E1A28B4"/>
    <w:rsid w:val="0E36D99C"/>
    <w:rsid w:val="0E3B3347"/>
    <w:rsid w:val="0E624692"/>
    <w:rsid w:val="0E62C075"/>
    <w:rsid w:val="0E9A84BE"/>
    <w:rsid w:val="0ECDBF54"/>
    <w:rsid w:val="0ED895D9"/>
    <w:rsid w:val="0EEA1ED8"/>
    <w:rsid w:val="0F3E0610"/>
    <w:rsid w:val="0F5C4A25"/>
    <w:rsid w:val="0F7BCEA6"/>
    <w:rsid w:val="0FB781B7"/>
    <w:rsid w:val="0FBC59CC"/>
    <w:rsid w:val="0FBF1B18"/>
    <w:rsid w:val="0FC33D67"/>
    <w:rsid w:val="0FC5F6DF"/>
    <w:rsid w:val="0FCDE994"/>
    <w:rsid w:val="0FCFCFB9"/>
    <w:rsid w:val="0FD07A3E"/>
    <w:rsid w:val="0FFF037E"/>
    <w:rsid w:val="0FFF8587"/>
    <w:rsid w:val="10149964"/>
    <w:rsid w:val="1049E88D"/>
    <w:rsid w:val="10659B6F"/>
    <w:rsid w:val="1067292B"/>
    <w:rsid w:val="107779D3"/>
    <w:rsid w:val="1079FB9F"/>
    <w:rsid w:val="10BD33D5"/>
    <w:rsid w:val="10EF7FE3"/>
    <w:rsid w:val="10F39B19"/>
    <w:rsid w:val="1101E812"/>
    <w:rsid w:val="1111C705"/>
    <w:rsid w:val="1114F00F"/>
    <w:rsid w:val="114BD73D"/>
    <w:rsid w:val="115A38B2"/>
    <w:rsid w:val="115E6653"/>
    <w:rsid w:val="115EC163"/>
    <w:rsid w:val="11987794"/>
    <w:rsid w:val="11A67C6F"/>
    <w:rsid w:val="11D78CAE"/>
    <w:rsid w:val="12091A4A"/>
    <w:rsid w:val="12393ABD"/>
    <w:rsid w:val="1257ED86"/>
    <w:rsid w:val="1267FBE3"/>
    <w:rsid w:val="12860011"/>
    <w:rsid w:val="12A692D0"/>
    <w:rsid w:val="12A80B44"/>
    <w:rsid w:val="12B2B919"/>
    <w:rsid w:val="12BCC6CC"/>
    <w:rsid w:val="12D35537"/>
    <w:rsid w:val="12D70C94"/>
    <w:rsid w:val="12EE7979"/>
    <w:rsid w:val="12F80415"/>
    <w:rsid w:val="13127230"/>
    <w:rsid w:val="1328C87A"/>
    <w:rsid w:val="1345E0D1"/>
    <w:rsid w:val="136F1749"/>
    <w:rsid w:val="13769A86"/>
    <w:rsid w:val="1376A084"/>
    <w:rsid w:val="137E2F3E"/>
    <w:rsid w:val="13824283"/>
    <w:rsid w:val="13933151"/>
    <w:rsid w:val="13A69A89"/>
    <w:rsid w:val="13E78F17"/>
    <w:rsid w:val="13FFDA55"/>
    <w:rsid w:val="143F4FFC"/>
    <w:rsid w:val="1446A1BB"/>
    <w:rsid w:val="14535985"/>
    <w:rsid w:val="149DAA39"/>
    <w:rsid w:val="14BDFBC2"/>
    <w:rsid w:val="14DBE8E3"/>
    <w:rsid w:val="14DCD6F2"/>
    <w:rsid w:val="14E4A808"/>
    <w:rsid w:val="14E9D6E6"/>
    <w:rsid w:val="14EFD746"/>
    <w:rsid w:val="153DF19E"/>
    <w:rsid w:val="15624022"/>
    <w:rsid w:val="1585258F"/>
    <w:rsid w:val="15C9FD45"/>
    <w:rsid w:val="15CE3BAA"/>
    <w:rsid w:val="15D4D04E"/>
    <w:rsid w:val="15D9AB49"/>
    <w:rsid w:val="15EE5295"/>
    <w:rsid w:val="15FF7E36"/>
    <w:rsid w:val="160DDD51"/>
    <w:rsid w:val="162698A0"/>
    <w:rsid w:val="164581B9"/>
    <w:rsid w:val="1646D649"/>
    <w:rsid w:val="16480A79"/>
    <w:rsid w:val="165106B4"/>
    <w:rsid w:val="165AC783"/>
    <w:rsid w:val="1675927A"/>
    <w:rsid w:val="167BDA6A"/>
    <w:rsid w:val="16954014"/>
    <w:rsid w:val="169B3C03"/>
    <w:rsid w:val="16AE8F31"/>
    <w:rsid w:val="16B20765"/>
    <w:rsid w:val="16CA071A"/>
    <w:rsid w:val="16D8C362"/>
    <w:rsid w:val="16F6BB70"/>
    <w:rsid w:val="16F90A9C"/>
    <w:rsid w:val="1701E2BC"/>
    <w:rsid w:val="1739AFB3"/>
    <w:rsid w:val="173FB248"/>
    <w:rsid w:val="174C2A1E"/>
    <w:rsid w:val="17517363"/>
    <w:rsid w:val="176CF7D7"/>
    <w:rsid w:val="1771AA27"/>
    <w:rsid w:val="17742BAB"/>
    <w:rsid w:val="178CD66E"/>
    <w:rsid w:val="17B25AA6"/>
    <w:rsid w:val="17B26031"/>
    <w:rsid w:val="17BA9125"/>
    <w:rsid w:val="17DA358B"/>
    <w:rsid w:val="17E7B252"/>
    <w:rsid w:val="17F98429"/>
    <w:rsid w:val="18005927"/>
    <w:rsid w:val="180142E9"/>
    <w:rsid w:val="181978FF"/>
    <w:rsid w:val="18473F25"/>
    <w:rsid w:val="1852FB09"/>
    <w:rsid w:val="185DD9D0"/>
    <w:rsid w:val="18659019"/>
    <w:rsid w:val="18743001"/>
    <w:rsid w:val="188563B5"/>
    <w:rsid w:val="189AA51B"/>
    <w:rsid w:val="18AB7340"/>
    <w:rsid w:val="18BA6022"/>
    <w:rsid w:val="18EA4FF7"/>
    <w:rsid w:val="18F5A9AE"/>
    <w:rsid w:val="18FC9513"/>
    <w:rsid w:val="1903A605"/>
    <w:rsid w:val="1904ED0F"/>
    <w:rsid w:val="1921EC14"/>
    <w:rsid w:val="195A335E"/>
    <w:rsid w:val="195C9CCA"/>
    <w:rsid w:val="197BC92D"/>
    <w:rsid w:val="199A385E"/>
    <w:rsid w:val="19A097BF"/>
    <w:rsid w:val="19A47056"/>
    <w:rsid w:val="19A8597F"/>
    <w:rsid w:val="19B065E7"/>
    <w:rsid w:val="19D796EA"/>
    <w:rsid w:val="19F6C9C7"/>
    <w:rsid w:val="19FAF8B6"/>
    <w:rsid w:val="1A07001D"/>
    <w:rsid w:val="1A0E8E8C"/>
    <w:rsid w:val="1A1ADD90"/>
    <w:rsid w:val="1A40CC1D"/>
    <w:rsid w:val="1A473646"/>
    <w:rsid w:val="1A562595"/>
    <w:rsid w:val="1A6C75EF"/>
    <w:rsid w:val="1A8A5007"/>
    <w:rsid w:val="1AB9C476"/>
    <w:rsid w:val="1AFEC154"/>
    <w:rsid w:val="1B03A059"/>
    <w:rsid w:val="1B085B25"/>
    <w:rsid w:val="1B0DB5FB"/>
    <w:rsid w:val="1B30628C"/>
    <w:rsid w:val="1B93C760"/>
    <w:rsid w:val="1BAB116D"/>
    <w:rsid w:val="1BBE0806"/>
    <w:rsid w:val="1BCCE97B"/>
    <w:rsid w:val="1BD0DEC1"/>
    <w:rsid w:val="1BD53906"/>
    <w:rsid w:val="1BD887B6"/>
    <w:rsid w:val="1BEFA2BE"/>
    <w:rsid w:val="1C087DA5"/>
    <w:rsid w:val="1C21A402"/>
    <w:rsid w:val="1C376F29"/>
    <w:rsid w:val="1C7CB81A"/>
    <w:rsid w:val="1C85E289"/>
    <w:rsid w:val="1C89315F"/>
    <w:rsid w:val="1C9687B7"/>
    <w:rsid w:val="1CB5B4B7"/>
    <w:rsid w:val="1CBBD952"/>
    <w:rsid w:val="1CBFBFBE"/>
    <w:rsid w:val="1CCFCC69"/>
    <w:rsid w:val="1D06F102"/>
    <w:rsid w:val="1D217993"/>
    <w:rsid w:val="1D3D191D"/>
    <w:rsid w:val="1D4302CE"/>
    <w:rsid w:val="1D43C493"/>
    <w:rsid w:val="1D46D6AE"/>
    <w:rsid w:val="1D4A8098"/>
    <w:rsid w:val="1D57479E"/>
    <w:rsid w:val="1D80BAC3"/>
    <w:rsid w:val="1D8A50C7"/>
    <w:rsid w:val="1D8F2731"/>
    <w:rsid w:val="1DA058C8"/>
    <w:rsid w:val="1DA5E488"/>
    <w:rsid w:val="1DA9FAFC"/>
    <w:rsid w:val="1DBAD745"/>
    <w:rsid w:val="1DCA2AF8"/>
    <w:rsid w:val="1DCC80B4"/>
    <w:rsid w:val="1DF2CBA7"/>
    <w:rsid w:val="1DF9C98A"/>
    <w:rsid w:val="1E127274"/>
    <w:rsid w:val="1E2C9761"/>
    <w:rsid w:val="1E3218CB"/>
    <w:rsid w:val="1E513470"/>
    <w:rsid w:val="1E587BF5"/>
    <w:rsid w:val="1E82A187"/>
    <w:rsid w:val="1E84A1C6"/>
    <w:rsid w:val="1E87F800"/>
    <w:rsid w:val="1ECB2155"/>
    <w:rsid w:val="1ED76536"/>
    <w:rsid w:val="1EE12C4B"/>
    <w:rsid w:val="1F01BB0A"/>
    <w:rsid w:val="1F0E0F22"/>
    <w:rsid w:val="1F2859D7"/>
    <w:rsid w:val="1F36E4C6"/>
    <w:rsid w:val="1F450645"/>
    <w:rsid w:val="1F47A8FA"/>
    <w:rsid w:val="1F5D6281"/>
    <w:rsid w:val="1F82E676"/>
    <w:rsid w:val="1FABEF84"/>
    <w:rsid w:val="1FAE1B6F"/>
    <w:rsid w:val="1FB073B0"/>
    <w:rsid w:val="1FB2620A"/>
    <w:rsid w:val="1FCBAB37"/>
    <w:rsid w:val="1FCC4A3E"/>
    <w:rsid w:val="1FFAFFE3"/>
    <w:rsid w:val="20344A02"/>
    <w:rsid w:val="20361470"/>
    <w:rsid w:val="204A9DFC"/>
    <w:rsid w:val="204DBD67"/>
    <w:rsid w:val="2082170D"/>
    <w:rsid w:val="208D8BC4"/>
    <w:rsid w:val="209C53E4"/>
    <w:rsid w:val="20A0C69C"/>
    <w:rsid w:val="20D661BC"/>
    <w:rsid w:val="20EF4877"/>
    <w:rsid w:val="2116107A"/>
    <w:rsid w:val="2119C5D5"/>
    <w:rsid w:val="212FBD43"/>
    <w:rsid w:val="214BEDCC"/>
    <w:rsid w:val="214E1A94"/>
    <w:rsid w:val="2171AE36"/>
    <w:rsid w:val="21AA7999"/>
    <w:rsid w:val="21CB014D"/>
    <w:rsid w:val="2219368A"/>
    <w:rsid w:val="222BA2C9"/>
    <w:rsid w:val="22386CFE"/>
    <w:rsid w:val="2267A88C"/>
    <w:rsid w:val="2283B936"/>
    <w:rsid w:val="229FCB26"/>
    <w:rsid w:val="22A449FE"/>
    <w:rsid w:val="22A59D8F"/>
    <w:rsid w:val="22AB0DD7"/>
    <w:rsid w:val="22B35A1D"/>
    <w:rsid w:val="235AD0C7"/>
    <w:rsid w:val="23641680"/>
    <w:rsid w:val="239454BC"/>
    <w:rsid w:val="239CCC85"/>
    <w:rsid w:val="23A2FCBE"/>
    <w:rsid w:val="23B6D84A"/>
    <w:rsid w:val="23B809EB"/>
    <w:rsid w:val="23C926EE"/>
    <w:rsid w:val="23CCF5EC"/>
    <w:rsid w:val="24150694"/>
    <w:rsid w:val="242D5E1B"/>
    <w:rsid w:val="243BDE21"/>
    <w:rsid w:val="2454FCF3"/>
    <w:rsid w:val="2456F650"/>
    <w:rsid w:val="24639D27"/>
    <w:rsid w:val="24790451"/>
    <w:rsid w:val="248F06A9"/>
    <w:rsid w:val="24BC7620"/>
    <w:rsid w:val="24DFD4B2"/>
    <w:rsid w:val="2510A2AB"/>
    <w:rsid w:val="25221261"/>
    <w:rsid w:val="252BD0F7"/>
    <w:rsid w:val="254167D0"/>
    <w:rsid w:val="2556B14E"/>
    <w:rsid w:val="25585AA8"/>
    <w:rsid w:val="255B3B56"/>
    <w:rsid w:val="2577FFC0"/>
    <w:rsid w:val="25B7E36C"/>
    <w:rsid w:val="25DBB76E"/>
    <w:rsid w:val="25E28091"/>
    <w:rsid w:val="25F43E38"/>
    <w:rsid w:val="260FD78F"/>
    <w:rsid w:val="26580974"/>
    <w:rsid w:val="267ABC66"/>
    <w:rsid w:val="268ECCA6"/>
    <w:rsid w:val="26A9D8D8"/>
    <w:rsid w:val="26B2A715"/>
    <w:rsid w:val="2714A454"/>
    <w:rsid w:val="273E7AAE"/>
    <w:rsid w:val="274D621D"/>
    <w:rsid w:val="279963B6"/>
    <w:rsid w:val="27BEF49A"/>
    <w:rsid w:val="27C73962"/>
    <w:rsid w:val="27E50F98"/>
    <w:rsid w:val="27FAB2AE"/>
    <w:rsid w:val="282C9C4B"/>
    <w:rsid w:val="2878B6AE"/>
    <w:rsid w:val="28924BE2"/>
    <w:rsid w:val="28A9E700"/>
    <w:rsid w:val="28C7B1A4"/>
    <w:rsid w:val="28D684A6"/>
    <w:rsid w:val="28D95487"/>
    <w:rsid w:val="28EE4EC2"/>
    <w:rsid w:val="29178809"/>
    <w:rsid w:val="29243BAB"/>
    <w:rsid w:val="2954987B"/>
    <w:rsid w:val="2956A12B"/>
    <w:rsid w:val="295D9B79"/>
    <w:rsid w:val="296F0B23"/>
    <w:rsid w:val="29B5E3D9"/>
    <w:rsid w:val="29DBB88C"/>
    <w:rsid w:val="29DC9D65"/>
    <w:rsid w:val="2A046298"/>
    <w:rsid w:val="2A0C0F0F"/>
    <w:rsid w:val="2A1BC1E3"/>
    <w:rsid w:val="2A5668FA"/>
    <w:rsid w:val="2A87E19A"/>
    <w:rsid w:val="2A95C2CE"/>
    <w:rsid w:val="2AA26310"/>
    <w:rsid w:val="2B282BD6"/>
    <w:rsid w:val="2B29A404"/>
    <w:rsid w:val="2B2EBA25"/>
    <w:rsid w:val="2B31389B"/>
    <w:rsid w:val="2B4DE8A9"/>
    <w:rsid w:val="2B573359"/>
    <w:rsid w:val="2B6D8959"/>
    <w:rsid w:val="2B89A98F"/>
    <w:rsid w:val="2BBC36D6"/>
    <w:rsid w:val="2BDD151B"/>
    <w:rsid w:val="2BDEB851"/>
    <w:rsid w:val="2BE8FA91"/>
    <w:rsid w:val="2BEF4F2A"/>
    <w:rsid w:val="2BF644A7"/>
    <w:rsid w:val="2C0DB2E3"/>
    <w:rsid w:val="2C7E0CAA"/>
    <w:rsid w:val="2CC69E30"/>
    <w:rsid w:val="2CE01846"/>
    <w:rsid w:val="2D113273"/>
    <w:rsid w:val="2D14F9BB"/>
    <w:rsid w:val="2D18A7F3"/>
    <w:rsid w:val="2D3E8158"/>
    <w:rsid w:val="2D6A4534"/>
    <w:rsid w:val="2D7AB843"/>
    <w:rsid w:val="2DA31742"/>
    <w:rsid w:val="2DA419C8"/>
    <w:rsid w:val="2DABC710"/>
    <w:rsid w:val="2DAD454E"/>
    <w:rsid w:val="2DB1BBFE"/>
    <w:rsid w:val="2DCB6B2E"/>
    <w:rsid w:val="2DD333D8"/>
    <w:rsid w:val="2DE9E525"/>
    <w:rsid w:val="2E29D99B"/>
    <w:rsid w:val="2E39685A"/>
    <w:rsid w:val="2E44FF39"/>
    <w:rsid w:val="2E459368"/>
    <w:rsid w:val="2E4677DC"/>
    <w:rsid w:val="2E485463"/>
    <w:rsid w:val="2E7611B7"/>
    <w:rsid w:val="2E8D35C5"/>
    <w:rsid w:val="2EA8B6CB"/>
    <w:rsid w:val="2EB1DF7A"/>
    <w:rsid w:val="2EC4C4AD"/>
    <w:rsid w:val="2EF57EF8"/>
    <w:rsid w:val="2F11328A"/>
    <w:rsid w:val="2F321979"/>
    <w:rsid w:val="2F333C42"/>
    <w:rsid w:val="2F3EC9B5"/>
    <w:rsid w:val="2F508195"/>
    <w:rsid w:val="2F7FFC1C"/>
    <w:rsid w:val="2FC9F3C7"/>
    <w:rsid w:val="2FEB94C1"/>
    <w:rsid w:val="30055A4E"/>
    <w:rsid w:val="3006BEA9"/>
    <w:rsid w:val="301B8637"/>
    <w:rsid w:val="3036F7BF"/>
    <w:rsid w:val="30471E12"/>
    <w:rsid w:val="30563E83"/>
    <w:rsid w:val="3063B9DE"/>
    <w:rsid w:val="3073D7FC"/>
    <w:rsid w:val="309BFB50"/>
    <w:rsid w:val="30A185D9"/>
    <w:rsid w:val="30A8DADB"/>
    <w:rsid w:val="31156C29"/>
    <w:rsid w:val="31163C84"/>
    <w:rsid w:val="3142D3B3"/>
    <w:rsid w:val="314DFC99"/>
    <w:rsid w:val="3152E715"/>
    <w:rsid w:val="3161A9FB"/>
    <w:rsid w:val="3168E466"/>
    <w:rsid w:val="3169916B"/>
    <w:rsid w:val="31770067"/>
    <w:rsid w:val="31A2B2B5"/>
    <w:rsid w:val="31B51D7A"/>
    <w:rsid w:val="31C0671C"/>
    <w:rsid w:val="31DB8780"/>
    <w:rsid w:val="31E4AFCE"/>
    <w:rsid w:val="31EFF327"/>
    <w:rsid w:val="32075DEA"/>
    <w:rsid w:val="32136439"/>
    <w:rsid w:val="321B36B2"/>
    <w:rsid w:val="321CB6F7"/>
    <w:rsid w:val="3223C8A5"/>
    <w:rsid w:val="322CB128"/>
    <w:rsid w:val="32341B88"/>
    <w:rsid w:val="325BDBD9"/>
    <w:rsid w:val="3284D158"/>
    <w:rsid w:val="3297CBBF"/>
    <w:rsid w:val="32A52F67"/>
    <w:rsid w:val="32C3FC6C"/>
    <w:rsid w:val="32C71A9B"/>
    <w:rsid w:val="32D74319"/>
    <w:rsid w:val="33019B45"/>
    <w:rsid w:val="3301C38C"/>
    <w:rsid w:val="330AC621"/>
    <w:rsid w:val="3317D4A8"/>
    <w:rsid w:val="331A4038"/>
    <w:rsid w:val="337F5FF3"/>
    <w:rsid w:val="33910B72"/>
    <w:rsid w:val="33C36540"/>
    <w:rsid w:val="33D3DDDC"/>
    <w:rsid w:val="33DC88B8"/>
    <w:rsid w:val="33E94CCA"/>
    <w:rsid w:val="3402822E"/>
    <w:rsid w:val="34070F80"/>
    <w:rsid w:val="3410CE4C"/>
    <w:rsid w:val="341A3F76"/>
    <w:rsid w:val="3421406E"/>
    <w:rsid w:val="342CB890"/>
    <w:rsid w:val="3435E753"/>
    <w:rsid w:val="34363F57"/>
    <w:rsid w:val="344B41F8"/>
    <w:rsid w:val="347ACD48"/>
    <w:rsid w:val="3488C2F5"/>
    <w:rsid w:val="34D0B8F3"/>
    <w:rsid w:val="34D1E643"/>
    <w:rsid w:val="3504D243"/>
    <w:rsid w:val="3505C5A4"/>
    <w:rsid w:val="350F30F0"/>
    <w:rsid w:val="3518E565"/>
    <w:rsid w:val="352356A3"/>
    <w:rsid w:val="3527EE5B"/>
    <w:rsid w:val="3528B077"/>
    <w:rsid w:val="352FD724"/>
    <w:rsid w:val="35423300"/>
    <w:rsid w:val="357B7042"/>
    <w:rsid w:val="35A7D06A"/>
    <w:rsid w:val="35AE4CE0"/>
    <w:rsid w:val="35B3ADD9"/>
    <w:rsid w:val="35C4B1B0"/>
    <w:rsid w:val="35C584A7"/>
    <w:rsid w:val="35DCC3DE"/>
    <w:rsid w:val="35F30A93"/>
    <w:rsid w:val="3603DCDD"/>
    <w:rsid w:val="36050460"/>
    <w:rsid w:val="360CE066"/>
    <w:rsid w:val="3614CA12"/>
    <w:rsid w:val="361F681A"/>
    <w:rsid w:val="363266EE"/>
    <w:rsid w:val="364281A4"/>
    <w:rsid w:val="36469904"/>
    <w:rsid w:val="364A9C17"/>
    <w:rsid w:val="365A2D7C"/>
    <w:rsid w:val="3693F9C9"/>
    <w:rsid w:val="36990A30"/>
    <w:rsid w:val="36A03EF0"/>
    <w:rsid w:val="36C9196D"/>
    <w:rsid w:val="36CA45D1"/>
    <w:rsid w:val="36DF5BE9"/>
    <w:rsid w:val="372FEF32"/>
    <w:rsid w:val="3744748B"/>
    <w:rsid w:val="374CC78A"/>
    <w:rsid w:val="375EC60D"/>
    <w:rsid w:val="3765019D"/>
    <w:rsid w:val="376D9FA5"/>
    <w:rsid w:val="376EC3CE"/>
    <w:rsid w:val="3776BFD2"/>
    <w:rsid w:val="3776E466"/>
    <w:rsid w:val="37A8DE12"/>
    <w:rsid w:val="37DE491F"/>
    <w:rsid w:val="37FC89F1"/>
    <w:rsid w:val="383D8EF1"/>
    <w:rsid w:val="385C9946"/>
    <w:rsid w:val="3861345B"/>
    <w:rsid w:val="386A0880"/>
    <w:rsid w:val="388202A8"/>
    <w:rsid w:val="389E2F1F"/>
    <w:rsid w:val="38AB0CA8"/>
    <w:rsid w:val="38AD56DF"/>
    <w:rsid w:val="38B36102"/>
    <w:rsid w:val="38B78D58"/>
    <w:rsid w:val="38F33727"/>
    <w:rsid w:val="3901E08D"/>
    <w:rsid w:val="390F8406"/>
    <w:rsid w:val="39182F7A"/>
    <w:rsid w:val="393203C0"/>
    <w:rsid w:val="3995144F"/>
    <w:rsid w:val="39999FCA"/>
    <w:rsid w:val="39EC441B"/>
    <w:rsid w:val="39EE9904"/>
    <w:rsid w:val="3A08799D"/>
    <w:rsid w:val="3A196C59"/>
    <w:rsid w:val="3A578836"/>
    <w:rsid w:val="3A5DC4A1"/>
    <w:rsid w:val="3A8478A4"/>
    <w:rsid w:val="3A8A3FD4"/>
    <w:rsid w:val="3A8AB76C"/>
    <w:rsid w:val="3A8D9F32"/>
    <w:rsid w:val="3ACE1C96"/>
    <w:rsid w:val="3ADDF32A"/>
    <w:rsid w:val="3AEEF923"/>
    <w:rsid w:val="3B005E13"/>
    <w:rsid w:val="3B059282"/>
    <w:rsid w:val="3B1A56DD"/>
    <w:rsid w:val="3B3B2358"/>
    <w:rsid w:val="3B6EA027"/>
    <w:rsid w:val="3B8FE23B"/>
    <w:rsid w:val="3B98462F"/>
    <w:rsid w:val="3B995B9F"/>
    <w:rsid w:val="3B9AFA61"/>
    <w:rsid w:val="3BE7A741"/>
    <w:rsid w:val="3BEC1E35"/>
    <w:rsid w:val="3C20711B"/>
    <w:rsid w:val="3C60BDF1"/>
    <w:rsid w:val="3C87D82C"/>
    <w:rsid w:val="3CC00074"/>
    <w:rsid w:val="3CD70132"/>
    <w:rsid w:val="3CE6F488"/>
    <w:rsid w:val="3CEB31C0"/>
    <w:rsid w:val="3CF5BE35"/>
    <w:rsid w:val="3D2601C1"/>
    <w:rsid w:val="3D47CD76"/>
    <w:rsid w:val="3D64988D"/>
    <w:rsid w:val="3D784578"/>
    <w:rsid w:val="3D89A0A8"/>
    <w:rsid w:val="3DB4BDC0"/>
    <w:rsid w:val="3DE8252D"/>
    <w:rsid w:val="3DF598D5"/>
    <w:rsid w:val="3E3B4313"/>
    <w:rsid w:val="3E43F699"/>
    <w:rsid w:val="3E45F66D"/>
    <w:rsid w:val="3E60FE0D"/>
    <w:rsid w:val="3E78F4A3"/>
    <w:rsid w:val="3E797C09"/>
    <w:rsid w:val="3E84F977"/>
    <w:rsid w:val="3EA64D63"/>
    <w:rsid w:val="3EA9F2D5"/>
    <w:rsid w:val="3ECFBBA9"/>
    <w:rsid w:val="3F111372"/>
    <w:rsid w:val="3F395439"/>
    <w:rsid w:val="3F6F6B18"/>
    <w:rsid w:val="3F9F2D4B"/>
    <w:rsid w:val="3FA54498"/>
    <w:rsid w:val="3FB6DC93"/>
    <w:rsid w:val="3FBA1F37"/>
    <w:rsid w:val="3FF6B7A5"/>
    <w:rsid w:val="400ABBA0"/>
    <w:rsid w:val="4012C4B6"/>
    <w:rsid w:val="401FD753"/>
    <w:rsid w:val="4025D18C"/>
    <w:rsid w:val="4031A315"/>
    <w:rsid w:val="406DF79C"/>
    <w:rsid w:val="40798E0A"/>
    <w:rsid w:val="407F5EFA"/>
    <w:rsid w:val="40897DFA"/>
    <w:rsid w:val="40968BE4"/>
    <w:rsid w:val="40AA9D44"/>
    <w:rsid w:val="40B834F2"/>
    <w:rsid w:val="40BCE0E6"/>
    <w:rsid w:val="40BDB2D4"/>
    <w:rsid w:val="40C82036"/>
    <w:rsid w:val="41059549"/>
    <w:rsid w:val="41220066"/>
    <w:rsid w:val="413C6121"/>
    <w:rsid w:val="416C66EC"/>
    <w:rsid w:val="417718DF"/>
    <w:rsid w:val="41792865"/>
    <w:rsid w:val="4188E3A8"/>
    <w:rsid w:val="41BEB049"/>
    <w:rsid w:val="41C3F06C"/>
    <w:rsid w:val="41E1E049"/>
    <w:rsid w:val="41FED214"/>
    <w:rsid w:val="422E2A02"/>
    <w:rsid w:val="424558AF"/>
    <w:rsid w:val="4249A2E0"/>
    <w:rsid w:val="424A0A2E"/>
    <w:rsid w:val="4256510A"/>
    <w:rsid w:val="427227EF"/>
    <w:rsid w:val="428CD47A"/>
    <w:rsid w:val="42942C2C"/>
    <w:rsid w:val="4299CD38"/>
    <w:rsid w:val="42A08150"/>
    <w:rsid w:val="42A5D336"/>
    <w:rsid w:val="42B8FDF1"/>
    <w:rsid w:val="42CE44C4"/>
    <w:rsid w:val="42D3748B"/>
    <w:rsid w:val="42DB61A6"/>
    <w:rsid w:val="43032626"/>
    <w:rsid w:val="430B9E63"/>
    <w:rsid w:val="430F8452"/>
    <w:rsid w:val="431CE4A1"/>
    <w:rsid w:val="431E40EE"/>
    <w:rsid w:val="433F8320"/>
    <w:rsid w:val="43441BB9"/>
    <w:rsid w:val="434BC2FC"/>
    <w:rsid w:val="435AD6AF"/>
    <w:rsid w:val="435FAE14"/>
    <w:rsid w:val="437318F5"/>
    <w:rsid w:val="4375A3AB"/>
    <w:rsid w:val="43826153"/>
    <w:rsid w:val="43881A62"/>
    <w:rsid w:val="43898915"/>
    <w:rsid w:val="439DBDB8"/>
    <w:rsid w:val="43B5A72E"/>
    <w:rsid w:val="43CF064A"/>
    <w:rsid w:val="43FDDFF7"/>
    <w:rsid w:val="44196A64"/>
    <w:rsid w:val="442EB7EE"/>
    <w:rsid w:val="4461A167"/>
    <w:rsid w:val="44622050"/>
    <w:rsid w:val="4462BD71"/>
    <w:rsid w:val="446FA3C5"/>
    <w:rsid w:val="448E8A8A"/>
    <w:rsid w:val="44A4E047"/>
    <w:rsid w:val="44B2B4B2"/>
    <w:rsid w:val="44B93D06"/>
    <w:rsid w:val="44CBFBB8"/>
    <w:rsid w:val="44F7612B"/>
    <w:rsid w:val="451955EF"/>
    <w:rsid w:val="455A8DB6"/>
    <w:rsid w:val="457A7A66"/>
    <w:rsid w:val="45850F8C"/>
    <w:rsid w:val="45A1F61E"/>
    <w:rsid w:val="45BE3D77"/>
    <w:rsid w:val="45CAD3F4"/>
    <w:rsid w:val="45FCBE8E"/>
    <w:rsid w:val="4602D88D"/>
    <w:rsid w:val="4606CDCF"/>
    <w:rsid w:val="460A9959"/>
    <w:rsid w:val="46286D17"/>
    <w:rsid w:val="46347F09"/>
    <w:rsid w:val="466C652B"/>
    <w:rsid w:val="466F2365"/>
    <w:rsid w:val="467CB2D8"/>
    <w:rsid w:val="46A179D8"/>
    <w:rsid w:val="46A6159B"/>
    <w:rsid w:val="46AC4051"/>
    <w:rsid w:val="46CCCBCC"/>
    <w:rsid w:val="46FC618C"/>
    <w:rsid w:val="4704F279"/>
    <w:rsid w:val="4706E2D4"/>
    <w:rsid w:val="47175C44"/>
    <w:rsid w:val="47262530"/>
    <w:rsid w:val="47521F28"/>
    <w:rsid w:val="475F028E"/>
    <w:rsid w:val="4769CF29"/>
    <w:rsid w:val="476A5BAD"/>
    <w:rsid w:val="477E8BCA"/>
    <w:rsid w:val="4797C09A"/>
    <w:rsid w:val="47BCBCE9"/>
    <w:rsid w:val="47C256A9"/>
    <w:rsid w:val="47CA5A0D"/>
    <w:rsid w:val="47E926A8"/>
    <w:rsid w:val="47FB75A1"/>
    <w:rsid w:val="48061F70"/>
    <w:rsid w:val="480F9669"/>
    <w:rsid w:val="48109B85"/>
    <w:rsid w:val="48453602"/>
    <w:rsid w:val="4873FEA0"/>
    <w:rsid w:val="4881D749"/>
    <w:rsid w:val="48839FBE"/>
    <w:rsid w:val="489DE010"/>
    <w:rsid w:val="489FD963"/>
    <w:rsid w:val="48AD9B93"/>
    <w:rsid w:val="48B2C42E"/>
    <w:rsid w:val="48D80F06"/>
    <w:rsid w:val="48DDA938"/>
    <w:rsid w:val="48EAB621"/>
    <w:rsid w:val="48F158F3"/>
    <w:rsid w:val="48F46861"/>
    <w:rsid w:val="491A6C23"/>
    <w:rsid w:val="491B901F"/>
    <w:rsid w:val="492B89BD"/>
    <w:rsid w:val="4935510D"/>
    <w:rsid w:val="4958FB34"/>
    <w:rsid w:val="496BF272"/>
    <w:rsid w:val="497B1B3D"/>
    <w:rsid w:val="497D4D2B"/>
    <w:rsid w:val="497DD43A"/>
    <w:rsid w:val="498172AC"/>
    <w:rsid w:val="4990F67C"/>
    <w:rsid w:val="499C1196"/>
    <w:rsid w:val="49BAA1CE"/>
    <w:rsid w:val="49E16EF0"/>
    <w:rsid w:val="49F0363D"/>
    <w:rsid w:val="4A534F85"/>
    <w:rsid w:val="4A53CA2D"/>
    <w:rsid w:val="4A5C2A95"/>
    <w:rsid w:val="4A7D0218"/>
    <w:rsid w:val="4AA6DEF3"/>
    <w:rsid w:val="4AA9A205"/>
    <w:rsid w:val="4ABCDE8E"/>
    <w:rsid w:val="4ACA957F"/>
    <w:rsid w:val="4AF2BCBC"/>
    <w:rsid w:val="4B2D88D4"/>
    <w:rsid w:val="4B3AA2AB"/>
    <w:rsid w:val="4B5C5A3D"/>
    <w:rsid w:val="4B84658C"/>
    <w:rsid w:val="4BB0855D"/>
    <w:rsid w:val="4BB90B4D"/>
    <w:rsid w:val="4BCBEEA9"/>
    <w:rsid w:val="4C131A55"/>
    <w:rsid w:val="4C26F26E"/>
    <w:rsid w:val="4C27740D"/>
    <w:rsid w:val="4C300F2D"/>
    <w:rsid w:val="4C35CB5B"/>
    <w:rsid w:val="4C39D4A1"/>
    <w:rsid w:val="4C46D01E"/>
    <w:rsid w:val="4C6B502E"/>
    <w:rsid w:val="4C7C6D82"/>
    <w:rsid w:val="4CAF10C6"/>
    <w:rsid w:val="4CB67C5F"/>
    <w:rsid w:val="4CBA06E5"/>
    <w:rsid w:val="4CC32F80"/>
    <w:rsid w:val="4CC4D373"/>
    <w:rsid w:val="4CC5654F"/>
    <w:rsid w:val="4CDE486B"/>
    <w:rsid w:val="4CFC5727"/>
    <w:rsid w:val="4D0228C8"/>
    <w:rsid w:val="4D04D683"/>
    <w:rsid w:val="4D060703"/>
    <w:rsid w:val="4D1792A3"/>
    <w:rsid w:val="4D7969CB"/>
    <w:rsid w:val="4D8AF66B"/>
    <w:rsid w:val="4DC913E0"/>
    <w:rsid w:val="4DD90A2E"/>
    <w:rsid w:val="4DE131AC"/>
    <w:rsid w:val="4ECD2386"/>
    <w:rsid w:val="4EDA4BD7"/>
    <w:rsid w:val="4EDA4FEB"/>
    <w:rsid w:val="4EECE38E"/>
    <w:rsid w:val="4F1C3A4F"/>
    <w:rsid w:val="4F2DF070"/>
    <w:rsid w:val="4F40AFBD"/>
    <w:rsid w:val="4F497C56"/>
    <w:rsid w:val="4F59C32A"/>
    <w:rsid w:val="4F646825"/>
    <w:rsid w:val="4FA05439"/>
    <w:rsid w:val="4FA59758"/>
    <w:rsid w:val="4FB1155C"/>
    <w:rsid w:val="4FB91E0F"/>
    <w:rsid w:val="4FE3A84F"/>
    <w:rsid w:val="4FF522E9"/>
    <w:rsid w:val="50027C82"/>
    <w:rsid w:val="50086DD3"/>
    <w:rsid w:val="5016F435"/>
    <w:rsid w:val="506C8321"/>
    <w:rsid w:val="5071A46C"/>
    <w:rsid w:val="50768C1B"/>
    <w:rsid w:val="507F31D6"/>
    <w:rsid w:val="508A7918"/>
    <w:rsid w:val="509109F8"/>
    <w:rsid w:val="50A129C7"/>
    <w:rsid w:val="50B0B105"/>
    <w:rsid w:val="50B97BEA"/>
    <w:rsid w:val="50BD8261"/>
    <w:rsid w:val="50CC0BA1"/>
    <w:rsid w:val="50E50298"/>
    <w:rsid w:val="50EB8935"/>
    <w:rsid w:val="5125F1F1"/>
    <w:rsid w:val="5126A065"/>
    <w:rsid w:val="512768E3"/>
    <w:rsid w:val="512E62B7"/>
    <w:rsid w:val="513BD101"/>
    <w:rsid w:val="5158C19B"/>
    <w:rsid w:val="515CC1D3"/>
    <w:rsid w:val="517D6DA9"/>
    <w:rsid w:val="517DDA35"/>
    <w:rsid w:val="518B5410"/>
    <w:rsid w:val="51A86A03"/>
    <w:rsid w:val="51AC8785"/>
    <w:rsid w:val="5210BEA0"/>
    <w:rsid w:val="5213277B"/>
    <w:rsid w:val="522429FD"/>
    <w:rsid w:val="52329242"/>
    <w:rsid w:val="523E922A"/>
    <w:rsid w:val="526F8AD4"/>
    <w:rsid w:val="527304F0"/>
    <w:rsid w:val="527C7DD1"/>
    <w:rsid w:val="52AD806D"/>
    <w:rsid w:val="52B5F91E"/>
    <w:rsid w:val="52BF3FF2"/>
    <w:rsid w:val="52DDF466"/>
    <w:rsid w:val="52EDB769"/>
    <w:rsid w:val="5301C7DB"/>
    <w:rsid w:val="5309D96E"/>
    <w:rsid w:val="534D6172"/>
    <w:rsid w:val="534E97D8"/>
    <w:rsid w:val="535EE355"/>
    <w:rsid w:val="536466A4"/>
    <w:rsid w:val="53652A1A"/>
    <w:rsid w:val="53692B17"/>
    <w:rsid w:val="53850006"/>
    <w:rsid w:val="53AEF9A1"/>
    <w:rsid w:val="53B5744B"/>
    <w:rsid w:val="53B6EDD1"/>
    <w:rsid w:val="53ED87DC"/>
    <w:rsid w:val="5409C4EB"/>
    <w:rsid w:val="5423346C"/>
    <w:rsid w:val="54313A5C"/>
    <w:rsid w:val="54AC3E61"/>
    <w:rsid w:val="54B0B9FB"/>
    <w:rsid w:val="54D3D7CC"/>
    <w:rsid w:val="54DB1A97"/>
    <w:rsid w:val="54DBAFDC"/>
    <w:rsid w:val="54E416A0"/>
    <w:rsid w:val="54E75222"/>
    <w:rsid w:val="5529BD95"/>
    <w:rsid w:val="553E5B17"/>
    <w:rsid w:val="5568B130"/>
    <w:rsid w:val="557A3765"/>
    <w:rsid w:val="5584779D"/>
    <w:rsid w:val="558B1AD2"/>
    <w:rsid w:val="55A192F4"/>
    <w:rsid w:val="55C21834"/>
    <w:rsid w:val="55C95ED1"/>
    <w:rsid w:val="55E9A3D2"/>
    <w:rsid w:val="5614BE9A"/>
    <w:rsid w:val="56197CA5"/>
    <w:rsid w:val="5624EE89"/>
    <w:rsid w:val="5645D09E"/>
    <w:rsid w:val="5657FEBD"/>
    <w:rsid w:val="568AF8EF"/>
    <w:rsid w:val="56B196D9"/>
    <w:rsid w:val="56C4C002"/>
    <w:rsid w:val="56D44EDD"/>
    <w:rsid w:val="56FC955B"/>
    <w:rsid w:val="57044A1E"/>
    <w:rsid w:val="570D195A"/>
    <w:rsid w:val="570DCF31"/>
    <w:rsid w:val="57217CBF"/>
    <w:rsid w:val="573C719A"/>
    <w:rsid w:val="573FE6D6"/>
    <w:rsid w:val="575DDB2A"/>
    <w:rsid w:val="5797853F"/>
    <w:rsid w:val="57A84AE9"/>
    <w:rsid w:val="57BC4D34"/>
    <w:rsid w:val="57CD4404"/>
    <w:rsid w:val="57EE7B7A"/>
    <w:rsid w:val="57F57314"/>
    <w:rsid w:val="5804CB6B"/>
    <w:rsid w:val="58415265"/>
    <w:rsid w:val="5861C915"/>
    <w:rsid w:val="588556E7"/>
    <w:rsid w:val="58A90D7F"/>
    <w:rsid w:val="5902DF6B"/>
    <w:rsid w:val="590D18BA"/>
    <w:rsid w:val="590FCDD5"/>
    <w:rsid w:val="593777FF"/>
    <w:rsid w:val="593B1431"/>
    <w:rsid w:val="5975BFD1"/>
    <w:rsid w:val="59955F13"/>
    <w:rsid w:val="59BCA37D"/>
    <w:rsid w:val="59CE648B"/>
    <w:rsid w:val="59E8ECB0"/>
    <w:rsid w:val="5A0D7666"/>
    <w:rsid w:val="5A20B8D8"/>
    <w:rsid w:val="5A27CB44"/>
    <w:rsid w:val="5A33B30E"/>
    <w:rsid w:val="5A3B2469"/>
    <w:rsid w:val="5A3C3C01"/>
    <w:rsid w:val="5A3CF97F"/>
    <w:rsid w:val="5A473F2D"/>
    <w:rsid w:val="5A6A34F2"/>
    <w:rsid w:val="5A73EBA0"/>
    <w:rsid w:val="5A856717"/>
    <w:rsid w:val="5A9AC85C"/>
    <w:rsid w:val="5AB5281A"/>
    <w:rsid w:val="5ABC247D"/>
    <w:rsid w:val="5AC14F99"/>
    <w:rsid w:val="5AD81108"/>
    <w:rsid w:val="5AEBE3CE"/>
    <w:rsid w:val="5AEE02D3"/>
    <w:rsid w:val="5B4B6B3B"/>
    <w:rsid w:val="5B9D57B9"/>
    <w:rsid w:val="5BC34002"/>
    <w:rsid w:val="5BD68FD5"/>
    <w:rsid w:val="5BEAF700"/>
    <w:rsid w:val="5C2C9309"/>
    <w:rsid w:val="5C2CFCAA"/>
    <w:rsid w:val="5C4FAE2F"/>
    <w:rsid w:val="5C70BF55"/>
    <w:rsid w:val="5C9CDA42"/>
    <w:rsid w:val="5CA106BB"/>
    <w:rsid w:val="5CA440B0"/>
    <w:rsid w:val="5CD12B53"/>
    <w:rsid w:val="5CEDF716"/>
    <w:rsid w:val="5CF8C235"/>
    <w:rsid w:val="5CFE6C1A"/>
    <w:rsid w:val="5D0D9926"/>
    <w:rsid w:val="5D25295B"/>
    <w:rsid w:val="5D289A36"/>
    <w:rsid w:val="5D2D6F1D"/>
    <w:rsid w:val="5D5F429D"/>
    <w:rsid w:val="5D7BC911"/>
    <w:rsid w:val="5D809824"/>
    <w:rsid w:val="5D8AF9C7"/>
    <w:rsid w:val="5D91100D"/>
    <w:rsid w:val="5DB64F12"/>
    <w:rsid w:val="5DBD09BA"/>
    <w:rsid w:val="5DBE50A6"/>
    <w:rsid w:val="5DC649DC"/>
    <w:rsid w:val="5DF21B5E"/>
    <w:rsid w:val="5DFD0D69"/>
    <w:rsid w:val="5E22A638"/>
    <w:rsid w:val="5E2AE2F8"/>
    <w:rsid w:val="5E320A7D"/>
    <w:rsid w:val="5E347229"/>
    <w:rsid w:val="5E53B848"/>
    <w:rsid w:val="5E6F071B"/>
    <w:rsid w:val="5E7747AC"/>
    <w:rsid w:val="5E998A9F"/>
    <w:rsid w:val="5E9A44F4"/>
    <w:rsid w:val="5EC9C78F"/>
    <w:rsid w:val="5EEFA1AB"/>
    <w:rsid w:val="5F35346F"/>
    <w:rsid w:val="5F61C908"/>
    <w:rsid w:val="5F61D67A"/>
    <w:rsid w:val="5F8890AD"/>
    <w:rsid w:val="5FB7D578"/>
    <w:rsid w:val="5FD2C258"/>
    <w:rsid w:val="5FE205D0"/>
    <w:rsid w:val="5FE4FF8C"/>
    <w:rsid w:val="60177D79"/>
    <w:rsid w:val="60190FC5"/>
    <w:rsid w:val="601B0B43"/>
    <w:rsid w:val="602EDC57"/>
    <w:rsid w:val="60368D87"/>
    <w:rsid w:val="60436DCE"/>
    <w:rsid w:val="6058CDAA"/>
    <w:rsid w:val="6060B5D7"/>
    <w:rsid w:val="6060E0CC"/>
    <w:rsid w:val="60620418"/>
    <w:rsid w:val="60941B8E"/>
    <w:rsid w:val="6098A2E4"/>
    <w:rsid w:val="60A9EDCA"/>
    <w:rsid w:val="60B81476"/>
    <w:rsid w:val="60C25467"/>
    <w:rsid w:val="60F91B4D"/>
    <w:rsid w:val="611BA7DA"/>
    <w:rsid w:val="6130FD50"/>
    <w:rsid w:val="613BCE4D"/>
    <w:rsid w:val="61632709"/>
    <w:rsid w:val="61896AF6"/>
    <w:rsid w:val="61ADAD35"/>
    <w:rsid w:val="61BB3076"/>
    <w:rsid w:val="61C16041"/>
    <w:rsid w:val="61DDD03C"/>
    <w:rsid w:val="61F7F14D"/>
    <w:rsid w:val="61FCBDE4"/>
    <w:rsid w:val="62061B4F"/>
    <w:rsid w:val="6217E150"/>
    <w:rsid w:val="6221F557"/>
    <w:rsid w:val="623C3959"/>
    <w:rsid w:val="623CB10A"/>
    <w:rsid w:val="624BC8DF"/>
    <w:rsid w:val="6268B952"/>
    <w:rsid w:val="6298D4FC"/>
    <w:rsid w:val="62A3AEF3"/>
    <w:rsid w:val="62A66DE0"/>
    <w:rsid w:val="62BDC3EF"/>
    <w:rsid w:val="62D3715D"/>
    <w:rsid w:val="63119436"/>
    <w:rsid w:val="6322C858"/>
    <w:rsid w:val="63342B2F"/>
    <w:rsid w:val="633DFB3D"/>
    <w:rsid w:val="6356C74A"/>
    <w:rsid w:val="63854216"/>
    <w:rsid w:val="63D6E200"/>
    <w:rsid w:val="63DB3269"/>
    <w:rsid w:val="63DE567D"/>
    <w:rsid w:val="63FC6055"/>
    <w:rsid w:val="640F03A0"/>
    <w:rsid w:val="641432F0"/>
    <w:rsid w:val="64268DC7"/>
    <w:rsid w:val="6426A7FB"/>
    <w:rsid w:val="644E55F1"/>
    <w:rsid w:val="64607FD5"/>
    <w:rsid w:val="64726E70"/>
    <w:rsid w:val="64821372"/>
    <w:rsid w:val="6499093D"/>
    <w:rsid w:val="64BF057C"/>
    <w:rsid w:val="64C05FD3"/>
    <w:rsid w:val="64C0B90C"/>
    <w:rsid w:val="64C9DBCA"/>
    <w:rsid w:val="64D9E9C3"/>
    <w:rsid w:val="64E1C978"/>
    <w:rsid w:val="64F37838"/>
    <w:rsid w:val="6502FC3A"/>
    <w:rsid w:val="652F9730"/>
    <w:rsid w:val="65332F95"/>
    <w:rsid w:val="653A926A"/>
    <w:rsid w:val="6543CE67"/>
    <w:rsid w:val="65501041"/>
    <w:rsid w:val="656432F0"/>
    <w:rsid w:val="657D909B"/>
    <w:rsid w:val="658B5B5A"/>
    <w:rsid w:val="65B7A3D7"/>
    <w:rsid w:val="65DC4553"/>
    <w:rsid w:val="660B9D78"/>
    <w:rsid w:val="6617F675"/>
    <w:rsid w:val="667A61DE"/>
    <w:rsid w:val="6687FE8D"/>
    <w:rsid w:val="668D6164"/>
    <w:rsid w:val="669B255F"/>
    <w:rsid w:val="66A24F48"/>
    <w:rsid w:val="66A741FD"/>
    <w:rsid w:val="66AB05D5"/>
    <w:rsid w:val="67339B32"/>
    <w:rsid w:val="6753E28A"/>
    <w:rsid w:val="6755967D"/>
    <w:rsid w:val="675E570B"/>
    <w:rsid w:val="676C074E"/>
    <w:rsid w:val="6770227A"/>
    <w:rsid w:val="6770C2DD"/>
    <w:rsid w:val="677B6E0D"/>
    <w:rsid w:val="6787FF1F"/>
    <w:rsid w:val="679E66EC"/>
    <w:rsid w:val="67F9950F"/>
    <w:rsid w:val="6838DC65"/>
    <w:rsid w:val="68597FCF"/>
    <w:rsid w:val="685A3D0C"/>
    <w:rsid w:val="686C459B"/>
    <w:rsid w:val="688F0285"/>
    <w:rsid w:val="68901186"/>
    <w:rsid w:val="68CA03BF"/>
    <w:rsid w:val="68DF8152"/>
    <w:rsid w:val="68F1AD58"/>
    <w:rsid w:val="690463B9"/>
    <w:rsid w:val="69063611"/>
    <w:rsid w:val="6909F3E0"/>
    <w:rsid w:val="690BFE22"/>
    <w:rsid w:val="692210BC"/>
    <w:rsid w:val="696822B9"/>
    <w:rsid w:val="69A52304"/>
    <w:rsid w:val="69A8A539"/>
    <w:rsid w:val="69AEBB67"/>
    <w:rsid w:val="69AF1CFF"/>
    <w:rsid w:val="69B3BB77"/>
    <w:rsid w:val="69B97775"/>
    <w:rsid w:val="69BA64B8"/>
    <w:rsid w:val="69E3A925"/>
    <w:rsid w:val="69FE4AB2"/>
    <w:rsid w:val="6A0BC3AB"/>
    <w:rsid w:val="6A269E63"/>
    <w:rsid w:val="6A2CA77B"/>
    <w:rsid w:val="6A40F4D7"/>
    <w:rsid w:val="6A5400CA"/>
    <w:rsid w:val="6A62D8AE"/>
    <w:rsid w:val="6A77E1C8"/>
    <w:rsid w:val="6AB49850"/>
    <w:rsid w:val="6AF1F40D"/>
    <w:rsid w:val="6AF4B16C"/>
    <w:rsid w:val="6B06A6B7"/>
    <w:rsid w:val="6B12C5F3"/>
    <w:rsid w:val="6B364E03"/>
    <w:rsid w:val="6B3B3F3C"/>
    <w:rsid w:val="6B45C00D"/>
    <w:rsid w:val="6B799231"/>
    <w:rsid w:val="6BA28DE5"/>
    <w:rsid w:val="6BB43D92"/>
    <w:rsid w:val="6BDA3665"/>
    <w:rsid w:val="6BDF1FA3"/>
    <w:rsid w:val="6BF2BCF3"/>
    <w:rsid w:val="6C10B40F"/>
    <w:rsid w:val="6C561EA3"/>
    <w:rsid w:val="6C574255"/>
    <w:rsid w:val="6C5CBAFA"/>
    <w:rsid w:val="6C74144E"/>
    <w:rsid w:val="6C7C412A"/>
    <w:rsid w:val="6C9C2E23"/>
    <w:rsid w:val="6C9D05C5"/>
    <w:rsid w:val="6C9ECDFA"/>
    <w:rsid w:val="6CA6087E"/>
    <w:rsid w:val="6CAF6237"/>
    <w:rsid w:val="6CC0E60D"/>
    <w:rsid w:val="6CCF44C3"/>
    <w:rsid w:val="6CE1A5AF"/>
    <w:rsid w:val="6CE7E46E"/>
    <w:rsid w:val="6CF6EA52"/>
    <w:rsid w:val="6D529429"/>
    <w:rsid w:val="6D62AA96"/>
    <w:rsid w:val="6D7096AA"/>
    <w:rsid w:val="6DA11D84"/>
    <w:rsid w:val="6DA74371"/>
    <w:rsid w:val="6DB3A92C"/>
    <w:rsid w:val="6DB73A34"/>
    <w:rsid w:val="6DBF4B48"/>
    <w:rsid w:val="6DCE64C6"/>
    <w:rsid w:val="6E071E83"/>
    <w:rsid w:val="6E0A1AB3"/>
    <w:rsid w:val="6E0ABB69"/>
    <w:rsid w:val="6E190115"/>
    <w:rsid w:val="6E2306C6"/>
    <w:rsid w:val="6E36718D"/>
    <w:rsid w:val="6E4510F3"/>
    <w:rsid w:val="6E4AFB48"/>
    <w:rsid w:val="6E541A48"/>
    <w:rsid w:val="6E66CEB2"/>
    <w:rsid w:val="6E6DCF15"/>
    <w:rsid w:val="6E9CCDFA"/>
    <w:rsid w:val="6EABFD32"/>
    <w:rsid w:val="6EBD72E2"/>
    <w:rsid w:val="6EC68A93"/>
    <w:rsid w:val="6EDED75B"/>
    <w:rsid w:val="6EFE9BB8"/>
    <w:rsid w:val="6F18581E"/>
    <w:rsid w:val="6F6655BD"/>
    <w:rsid w:val="6F75F37F"/>
    <w:rsid w:val="6F98B1B6"/>
    <w:rsid w:val="6FAF498E"/>
    <w:rsid w:val="6FB6E44D"/>
    <w:rsid w:val="6FC03F23"/>
    <w:rsid w:val="6FD7E996"/>
    <w:rsid w:val="701E2637"/>
    <w:rsid w:val="702B0506"/>
    <w:rsid w:val="70439CD6"/>
    <w:rsid w:val="704EE879"/>
    <w:rsid w:val="706DA47A"/>
    <w:rsid w:val="709D2518"/>
    <w:rsid w:val="70A2259E"/>
    <w:rsid w:val="70AB53A1"/>
    <w:rsid w:val="70AFAA62"/>
    <w:rsid w:val="70D76087"/>
    <w:rsid w:val="7113C165"/>
    <w:rsid w:val="7120D87C"/>
    <w:rsid w:val="7139890F"/>
    <w:rsid w:val="713C0B08"/>
    <w:rsid w:val="7161EF44"/>
    <w:rsid w:val="7168D135"/>
    <w:rsid w:val="716A851B"/>
    <w:rsid w:val="717264C4"/>
    <w:rsid w:val="71778518"/>
    <w:rsid w:val="7187F242"/>
    <w:rsid w:val="718D714E"/>
    <w:rsid w:val="718E79E6"/>
    <w:rsid w:val="7191FDD7"/>
    <w:rsid w:val="7192691D"/>
    <w:rsid w:val="71C76F8D"/>
    <w:rsid w:val="71D13D0A"/>
    <w:rsid w:val="71DC9336"/>
    <w:rsid w:val="71E774B8"/>
    <w:rsid w:val="71F21074"/>
    <w:rsid w:val="722960ED"/>
    <w:rsid w:val="722A466E"/>
    <w:rsid w:val="726F4B77"/>
    <w:rsid w:val="727469AC"/>
    <w:rsid w:val="72959BFC"/>
    <w:rsid w:val="72A4380D"/>
    <w:rsid w:val="72A6299D"/>
    <w:rsid w:val="72B30C95"/>
    <w:rsid w:val="72BA4327"/>
    <w:rsid w:val="72E9D5D4"/>
    <w:rsid w:val="72FE1600"/>
    <w:rsid w:val="73105E91"/>
    <w:rsid w:val="731246CE"/>
    <w:rsid w:val="7320C326"/>
    <w:rsid w:val="7323EAE8"/>
    <w:rsid w:val="732A2FF0"/>
    <w:rsid w:val="73314613"/>
    <w:rsid w:val="7334A8C6"/>
    <w:rsid w:val="73370544"/>
    <w:rsid w:val="733A5DB8"/>
    <w:rsid w:val="736BF726"/>
    <w:rsid w:val="737A9E5D"/>
    <w:rsid w:val="737C02A7"/>
    <w:rsid w:val="737D3F15"/>
    <w:rsid w:val="73830D6F"/>
    <w:rsid w:val="738ECAB7"/>
    <w:rsid w:val="73C5B556"/>
    <w:rsid w:val="73D411DE"/>
    <w:rsid w:val="73EFDA5F"/>
    <w:rsid w:val="73F89FFB"/>
    <w:rsid w:val="73F9B27D"/>
    <w:rsid w:val="740DB49A"/>
    <w:rsid w:val="745EF6BF"/>
    <w:rsid w:val="7470A2A2"/>
    <w:rsid w:val="74821BD5"/>
    <w:rsid w:val="748D0A50"/>
    <w:rsid w:val="749F63A0"/>
    <w:rsid w:val="74CC79F6"/>
    <w:rsid w:val="74CF4B1B"/>
    <w:rsid w:val="74DEE623"/>
    <w:rsid w:val="74F5D202"/>
    <w:rsid w:val="750C1CC4"/>
    <w:rsid w:val="7512D5E8"/>
    <w:rsid w:val="753016F1"/>
    <w:rsid w:val="7538FFB4"/>
    <w:rsid w:val="753AEB5B"/>
    <w:rsid w:val="7558DEB3"/>
    <w:rsid w:val="756B199E"/>
    <w:rsid w:val="757DAEC3"/>
    <w:rsid w:val="75AE26E5"/>
    <w:rsid w:val="75B17000"/>
    <w:rsid w:val="75D7A94B"/>
    <w:rsid w:val="75E4C4E8"/>
    <w:rsid w:val="75EDCC7E"/>
    <w:rsid w:val="75F363D6"/>
    <w:rsid w:val="75F37DF2"/>
    <w:rsid w:val="75FE3D21"/>
    <w:rsid w:val="760B1A6C"/>
    <w:rsid w:val="761E8943"/>
    <w:rsid w:val="763E2942"/>
    <w:rsid w:val="7674FD96"/>
    <w:rsid w:val="7679D93A"/>
    <w:rsid w:val="7680508E"/>
    <w:rsid w:val="768988E4"/>
    <w:rsid w:val="769E4805"/>
    <w:rsid w:val="76A1E844"/>
    <w:rsid w:val="76AB171D"/>
    <w:rsid w:val="76BECCB5"/>
    <w:rsid w:val="76BFD3B8"/>
    <w:rsid w:val="76CCE09E"/>
    <w:rsid w:val="76F7D6CF"/>
    <w:rsid w:val="7717906A"/>
    <w:rsid w:val="774B8917"/>
    <w:rsid w:val="774D2744"/>
    <w:rsid w:val="776030A0"/>
    <w:rsid w:val="77B441CB"/>
    <w:rsid w:val="77B91794"/>
    <w:rsid w:val="77C4363B"/>
    <w:rsid w:val="77C8CA94"/>
    <w:rsid w:val="77DE715C"/>
    <w:rsid w:val="77FAB6FE"/>
    <w:rsid w:val="78074F96"/>
    <w:rsid w:val="781AAE85"/>
    <w:rsid w:val="7842016C"/>
    <w:rsid w:val="7849FB70"/>
    <w:rsid w:val="784D15A0"/>
    <w:rsid w:val="788854FF"/>
    <w:rsid w:val="788B73A1"/>
    <w:rsid w:val="78996F87"/>
    <w:rsid w:val="78CDE5C9"/>
    <w:rsid w:val="78D146F5"/>
    <w:rsid w:val="790C7D05"/>
    <w:rsid w:val="7948A5A1"/>
    <w:rsid w:val="798BB418"/>
    <w:rsid w:val="7998C460"/>
    <w:rsid w:val="79A7F9F3"/>
    <w:rsid w:val="79AAB836"/>
    <w:rsid w:val="79C61290"/>
    <w:rsid w:val="7A429420"/>
    <w:rsid w:val="7A51D87C"/>
    <w:rsid w:val="7A582187"/>
    <w:rsid w:val="7A887721"/>
    <w:rsid w:val="7A906BE6"/>
    <w:rsid w:val="7AB0CFF5"/>
    <w:rsid w:val="7AB0EFE5"/>
    <w:rsid w:val="7AEE8A26"/>
    <w:rsid w:val="7B10C4F4"/>
    <w:rsid w:val="7B641681"/>
    <w:rsid w:val="7B79EF1B"/>
    <w:rsid w:val="7B949EA6"/>
    <w:rsid w:val="7BAF4167"/>
    <w:rsid w:val="7BC6D948"/>
    <w:rsid w:val="7BE09946"/>
    <w:rsid w:val="7C11F4E4"/>
    <w:rsid w:val="7C181926"/>
    <w:rsid w:val="7C1F9E5F"/>
    <w:rsid w:val="7C453430"/>
    <w:rsid w:val="7C4EA1A9"/>
    <w:rsid w:val="7C51A223"/>
    <w:rsid w:val="7C5C9D3A"/>
    <w:rsid w:val="7C6EA498"/>
    <w:rsid w:val="7C71F747"/>
    <w:rsid w:val="7C763FF8"/>
    <w:rsid w:val="7C803CC7"/>
    <w:rsid w:val="7C9464C5"/>
    <w:rsid w:val="7C960933"/>
    <w:rsid w:val="7C9E4138"/>
    <w:rsid w:val="7CB4FC4C"/>
    <w:rsid w:val="7CC17878"/>
    <w:rsid w:val="7CD9415E"/>
    <w:rsid w:val="7CDA97D2"/>
    <w:rsid w:val="7CEDD766"/>
    <w:rsid w:val="7CF828DD"/>
    <w:rsid w:val="7D38E405"/>
    <w:rsid w:val="7D3AB66D"/>
    <w:rsid w:val="7D531128"/>
    <w:rsid w:val="7D593A51"/>
    <w:rsid w:val="7D59402D"/>
    <w:rsid w:val="7D6CC852"/>
    <w:rsid w:val="7D6D075A"/>
    <w:rsid w:val="7D9406C8"/>
    <w:rsid w:val="7D9EC12F"/>
    <w:rsid w:val="7DA3248A"/>
    <w:rsid w:val="7DA7F75C"/>
    <w:rsid w:val="7DAE1A41"/>
    <w:rsid w:val="7DAE27B2"/>
    <w:rsid w:val="7DCCAFEE"/>
    <w:rsid w:val="7DF69402"/>
    <w:rsid w:val="7E0B46C2"/>
    <w:rsid w:val="7E2B7EA5"/>
    <w:rsid w:val="7E2BB904"/>
    <w:rsid w:val="7E59F2E9"/>
    <w:rsid w:val="7E93DBDB"/>
    <w:rsid w:val="7EA5115C"/>
    <w:rsid w:val="7EB93B98"/>
    <w:rsid w:val="7EE1D3AE"/>
    <w:rsid w:val="7F22CBD4"/>
    <w:rsid w:val="7F377D71"/>
    <w:rsid w:val="7F4A1C59"/>
    <w:rsid w:val="7F541BCF"/>
    <w:rsid w:val="7F68EFA9"/>
    <w:rsid w:val="7F8EDD22"/>
    <w:rsid w:val="7F9D1BF4"/>
    <w:rsid w:val="7FA8A94A"/>
    <w:rsid w:val="7FB03883"/>
    <w:rsid w:val="7FB55B4A"/>
    <w:rsid w:val="7FBAF096"/>
    <w:rsid w:val="7FCA41BC"/>
    <w:rsid w:val="7FE9113B"/>
    <w:rsid w:val="7FF148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815227"/>
  <w15:docId w15:val="{5EA9AFCD-BEA7-44D8-BCE9-28F80BF5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iPriority="0"/>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9"/>
      </w:numPr>
      <w:spacing w:before="240"/>
      <w:outlineLvl w:val="0"/>
    </w:pPr>
    <w:rPr>
      <w:b/>
      <w:smallCaps/>
    </w:rPr>
  </w:style>
  <w:style w:type="paragraph" w:styleId="Heading2">
    <w:name w:val="heading 2"/>
    <w:basedOn w:val="Normal"/>
    <w:next w:val="Text2"/>
    <w:uiPriority w:val="10"/>
    <w:qFormat/>
    <w:pPr>
      <w:keepNext/>
      <w:numPr>
        <w:ilvl w:val="1"/>
        <w:numId w:val="19"/>
      </w:numPr>
      <w:outlineLvl w:val="1"/>
    </w:pPr>
    <w:rPr>
      <w:b/>
    </w:rPr>
  </w:style>
  <w:style w:type="paragraph" w:styleId="Heading3">
    <w:name w:val="heading 3"/>
    <w:basedOn w:val="Normal"/>
    <w:next w:val="Text3"/>
    <w:uiPriority w:val="10"/>
    <w:qFormat/>
    <w:pPr>
      <w:keepNext/>
      <w:numPr>
        <w:ilvl w:val="2"/>
        <w:numId w:val="19"/>
      </w:numPr>
      <w:outlineLvl w:val="2"/>
    </w:pPr>
    <w:rPr>
      <w:i/>
    </w:rPr>
  </w:style>
  <w:style w:type="paragraph" w:styleId="Heading4">
    <w:name w:val="heading 4"/>
    <w:basedOn w:val="Normal"/>
    <w:next w:val="Text4"/>
    <w:uiPriority w:val="10"/>
    <w:qFormat/>
    <w:pPr>
      <w:keepNext/>
      <w:numPr>
        <w:ilvl w:val="3"/>
        <w:numId w:val="19"/>
      </w:numPr>
      <w:outlineLvl w:val="3"/>
    </w:pPr>
  </w:style>
  <w:style w:type="paragraph" w:styleId="Heading5">
    <w:name w:val="heading 5"/>
    <w:basedOn w:val="Normal"/>
    <w:next w:val="Normal"/>
    <w:semiHidden/>
    <w:pPr>
      <w:keepNext/>
      <w:numPr>
        <w:ilvl w:val="4"/>
        <w:numId w:val="19"/>
      </w:numPr>
      <w:outlineLvl w:val="4"/>
    </w:pPr>
  </w:style>
  <w:style w:type="paragraph" w:styleId="Heading6">
    <w:name w:val="heading 6"/>
    <w:basedOn w:val="Normal"/>
    <w:next w:val="Normal"/>
    <w:semiHidden/>
    <w:pPr>
      <w:keepNext/>
      <w:numPr>
        <w:ilvl w:val="5"/>
        <w:numId w:val="19"/>
      </w:numPr>
      <w:outlineLvl w:val="5"/>
    </w:pPr>
  </w:style>
  <w:style w:type="paragraph" w:styleId="Heading7">
    <w:name w:val="heading 7"/>
    <w:basedOn w:val="Normal"/>
    <w:next w:val="Normal"/>
    <w:semiHidden/>
    <w:pPr>
      <w:keepNext/>
      <w:numPr>
        <w:ilvl w:val="6"/>
        <w:numId w:val="19"/>
      </w:numPr>
      <w:outlineLvl w:val="6"/>
    </w:pPr>
  </w:style>
  <w:style w:type="paragraph" w:styleId="Heading8">
    <w:name w:val="heading 8"/>
    <w:basedOn w:val="Normal"/>
    <w:next w:val="Normal"/>
    <w:semiHidden/>
    <w:pPr>
      <w:keepNext/>
      <w:numPr>
        <w:ilvl w:val="7"/>
        <w:numId w:val="19"/>
      </w:numPr>
      <w:outlineLvl w:val="7"/>
    </w:pPr>
  </w:style>
  <w:style w:type="paragraph" w:styleId="Heading9">
    <w:name w:val="heading 9"/>
    <w:basedOn w:val="Normal"/>
    <w:next w:val="Normal"/>
    <w:semiHidden/>
    <w:pPr>
      <w:keepNext/>
      <w:numPr>
        <w:ilvl w:val="8"/>
        <w:numId w:val="1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F351E6"/>
    <w:rPr>
      <w:color w:val="0000FF"/>
      <w:shd w:val="clear" w:color="auto" w:fill="auto"/>
    </w:rPr>
  </w:style>
  <w:style w:type="character" w:customStyle="1" w:styleId="FooterChar">
    <w:name w:val="Footer Char"/>
    <w:basedOn w:val="DefaultParagraphFont"/>
    <w:uiPriority w:val="99"/>
    <w:rsid w:val="00F351E6"/>
    <w:rPr>
      <w:sz w:val="16"/>
    </w:rPr>
  </w:style>
  <w:style w:type="paragraph" w:customStyle="1" w:styleId="Pagedecouverture">
    <w:name w:val="Page de couverture"/>
    <w:basedOn w:val="Normal"/>
    <w:next w:val="Normal"/>
    <w:rsid w:val="00F351E6"/>
    <w:pPr>
      <w:spacing w:after="0"/>
    </w:pPr>
    <w:rPr>
      <w:rFonts w:eastAsia="Calibri"/>
      <w:szCs w:val="22"/>
    </w:rPr>
  </w:style>
  <w:style w:type="paragraph" w:customStyle="1" w:styleId="FooterCoverPage">
    <w:name w:val="Footer Cover Page"/>
    <w:basedOn w:val="Normal"/>
    <w:link w:val="FooterCoverPageChar"/>
    <w:rsid w:val="00F351E6"/>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F351E6"/>
  </w:style>
  <w:style w:type="paragraph" w:customStyle="1" w:styleId="FooterSensitivity">
    <w:name w:val="Footer Sensitivity"/>
    <w:basedOn w:val="Normal"/>
    <w:link w:val="FooterSensitivityChar"/>
    <w:rsid w:val="00F351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sid w:val="00F351E6"/>
    <w:rPr>
      <w:b/>
      <w:sz w:val="32"/>
    </w:rPr>
  </w:style>
  <w:style w:type="paragraph" w:customStyle="1" w:styleId="HeaderCoverPage">
    <w:name w:val="Header Cover Page"/>
    <w:basedOn w:val="Normal"/>
    <w:link w:val="HeaderCoverPageChar"/>
    <w:rsid w:val="00F351E6"/>
    <w:pPr>
      <w:tabs>
        <w:tab w:val="center" w:pos="4535"/>
        <w:tab w:val="right" w:pos="9071"/>
      </w:tabs>
      <w:spacing w:after="120"/>
    </w:pPr>
  </w:style>
  <w:style w:type="character" w:customStyle="1" w:styleId="HeaderCoverPageChar">
    <w:name w:val="Header Cover Page Char"/>
    <w:link w:val="HeaderCoverPage"/>
    <w:rsid w:val="00F351E6"/>
  </w:style>
  <w:style w:type="paragraph" w:customStyle="1" w:styleId="HeaderSensitivity">
    <w:name w:val="Header Sensitivity"/>
    <w:basedOn w:val="Normal"/>
    <w:link w:val="HeaderSensitivityChar"/>
    <w:rsid w:val="00F351E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F351E6"/>
    <w:rPr>
      <w:b/>
      <w:sz w:val="32"/>
    </w:rPr>
  </w:style>
  <w:style w:type="paragraph" w:customStyle="1" w:styleId="HeaderSensitivityRight">
    <w:name w:val="Header Sensitivity Right"/>
    <w:basedOn w:val="Normal"/>
    <w:link w:val="HeaderSensitivityRightChar"/>
    <w:rsid w:val="00F351E6"/>
    <w:pPr>
      <w:spacing w:after="120"/>
      <w:jc w:val="right"/>
    </w:pPr>
    <w:rPr>
      <w:sz w:val="28"/>
    </w:rPr>
  </w:style>
  <w:style w:type="character" w:customStyle="1" w:styleId="HeaderSensitivityRightChar">
    <w:name w:val="Header Sensitivity Right Char"/>
    <w:link w:val="HeaderSensitivityRight"/>
    <w:rsid w:val="00F351E6"/>
    <w:rPr>
      <w:sz w:val="28"/>
    </w:rPr>
  </w:style>
  <w:style w:type="paragraph" w:customStyle="1" w:styleId="Heading11">
    <w:name w:val="Heading 11"/>
    <w:basedOn w:val="Normal"/>
    <w:next w:val="Normal"/>
    <w:rsid w:val="00F351E6"/>
    <w:pPr>
      <w:keepNext/>
      <w:keepLines/>
      <w:spacing w:before="240" w:after="0" w:line="276" w:lineRule="auto"/>
      <w:jc w:val="left"/>
      <w:outlineLvl w:val="0"/>
    </w:pPr>
    <w:rPr>
      <w:rFonts w:ascii="Cambria" w:hAnsi="Cambria"/>
      <w:color w:val="365F91"/>
      <w:sz w:val="32"/>
      <w:szCs w:val="32"/>
    </w:rPr>
  </w:style>
  <w:style w:type="paragraph" w:customStyle="1" w:styleId="Heading21">
    <w:name w:val="Heading 21"/>
    <w:basedOn w:val="Normal"/>
    <w:next w:val="Normal"/>
    <w:rsid w:val="00F351E6"/>
    <w:pPr>
      <w:keepNext/>
      <w:keepLines/>
      <w:spacing w:before="40" w:after="0" w:line="276" w:lineRule="auto"/>
      <w:jc w:val="left"/>
      <w:outlineLvl w:val="1"/>
    </w:pPr>
    <w:rPr>
      <w:rFonts w:ascii="Cambria" w:hAnsi="Cambria"/>
      <w:color w:val="365F91"/>
      <w:sz w:val="26"/>
      <w:szCs w:val="26"/>
    </w:rPr>
  </w:style>
  <w:style w:type="paragraph" w:customStyle="1" w:styleId="Heading31">
    <w:name w:val="Heading 31"/>
    <w:basedOn w:val="Normal"/>
    <w:next w:val="Normal"/>
    <w:rsid w:val="00F351E6"/>
    <w:pPr>
      <w:keepNext/>
      <w:keepLines/>
      <w:spacing w:before="40" w:after="0" w:line="276" w:lineRule="auto"/>
      <w:jc w:val="left"/>
      <w:outlineLvl w:val="2"/>
    </w:pPr>
    <w:rPr>
      <w:rFonts w:ascii="Cambria" w:hAnsi="Cambria"/>
      <w:color w:val="243F60"/>
      <w:szCs w:val="24"/>
    </w:rPr>
  </w:style>
  <w:style w:type="paragraph" w:customStyle="1" w:styleId="Heading41">
    <w:name w:val="Heading 41"/>
    <w:basedOn w:val="Normal"/>
    <w:next w:val="Normal"/>
    <w:rsid w:val="00F351E6"/>
    <w:pPr>
      <w:keepNext/>
      <w:keepLines/>
      <w:spacing w:before="40" w:after="0" w:line="276" w:lineRule="auto"/>
      <w:jc w:val="left"/>
      <w:outlineLvl w:val="3"/>
    </w:pPr>
    <w:rPr>
      <w:rFonts w:ascii="Cambria" w:hAnsi="Cambria"/>
      <w:i/>
      <w:iCs/>
      <w:color w:val="365F91"/>
      <w:sz w:val="22"/>
      <w:szCs w:val="22"/>
    </w:rPr>
  </w:style>
  <w:style w:type="paragraph" w:customStyle="1" w:styleId="Heading51">
    <w:name w:val="Heading 51"/>
    <w:basedOn w:val="Normal"/>
    <w:next w:val="Normal"/>
    <w:rsid w:val="00F351E6"/>
    <w:pPr>
      <w:keepNext/>
      <w:keepLines/>
      <w:spacing w:before="40" w:after="0" w:line="276" w:lineRule="auto"/>
      <w:jc w:val="left"/>
      <w:outlineLvl w:val="4"/>
    </w:pPr>
    <w:rPr>
      <w:rFonts w:ascii="Cambria" w:hAnsi="Cambria"/>
      <w:color w:val="365F91"/>
      <w:sz w:val="22"/>
      <w:szCs w:val="22"/>
    </w:rPr>
  </w:style>
  <w:style w:type="character" w:customStyle="1" w:styleId="UnresolvedMention1">
    <w:name w:val="Unresolved Mention1"/>
    <w:rsid w:val="00F351E6"/>
    <w:rPr>
      <w:color w:val="605E5C"/>
      <w:shd w:val="clear" w:color="auto" w:fill="E1DFDD"/>
    </w:rPr>
  </w:style>
  <w:style w:type="character" w:customStyle="1" w:styleId="Heading1Char">
    <w:name w:val="Heading 1 Char"/>
    <w:rsid w:val="00F351E6"/>
    <w:rPr>
      <w:b/>
      <w:smallCaps/>
    </w:rPr>
  </w:style>
  <w:style w:type="character" w:customStyle="1" w:styleId="Heading2Char">
    <w:name w:val="Heading 2 Char"/>
    <w:rsid w:val="00F351E6"/>
    <w:rPr>
      <w:b/>
    </w:rPr>
  </w:style>
  <w:style w:type="character" w:customStyle="1" w:styleId="Heading3Char">
    <w:name w:val="Heading 3 Char"/>
    <w:rsid w:val="00F351E6"/>
    <w:rPr>
      <w:i/>
    </w:rPr>
  </w:style>
  <w:style w:type="character" w:customStyle="1" w:styleId="Heading4Char">
    <w:name w:val="Heading 4 Char"/>
    <w:rsid w:val="00F351E6"/>
  </w:style>
  <w:style w:type="character" w:customStyle="1" w:styleId="Heading5Char">
    <w:name w:val="Heading 5 Char"/>
    <w:rsid w:val="00F351E6"/>
  </w:style>
  <w:style w:type="paragraph" w:customStyle="1" w:styleId="TOCHeading1">
    <w:name w:val="TOC Heading1"/>
    <w:basedOn w:val="Heading1"/>
    <w:next w:val="Normal"/>
    <w:rsid w:val="00F351E6"/>
    <w:pPr>
      <w:keepLines/>
      <w:numPr>
        <w:numId w:val="0"/>
      </w:numPr>
      <w:spacing w:after="0" w:line="259" w:lineRule="auto"/>
      <w:jc w:val="left"/>
    </w:pPr>
    <w:rPr>
      <w:rFonts w:ascii="Cambria" w:hAnsi="Cambria"/>
      <w:b w:val="0"/>
      <w:smallCaps w:val="0"/>
      <w:color w:val="365F91"/>
      <w:sz w:val="32"/>
      <w:szCs w:val="32"/>
    </w:rPr>
  </w:style>
  <w:style w:type="paragraph" w:customStyle="1" w:styleId="TOC21">
    <w:name w:val="TOC 21"/>
    <w:basedOn w:val="Normal"/>
    <w:next w:val="Normal"/>
    <w:autoRedefine/>
    <w:rsid w:val="00F351E6"/>
    <w:pPr>
      <w:tabs>
        <w:tab w:val="left" w:pos="1100"/>
        <w:tab w:val="right" w:leader="dot" w:pos="9062"/>
      </w:tabs>
      <w:spacing w:after="100" w:line="259" w:lineRule="auto"/>
      <w:ind w:left="220"/>
      <w:jc w:val="left"/>
    </w:pPr>
    <w:rPr>
      <w:noProof/>
      <w:sz w:val="22"/>
      <w:szCs w:val="22"/>
      <w:lang w:eastAsia="en-GB"/>
    </w:rPr>
  </w:style>
  <w:style w:type="paragraph" w:customStyle="1" w:styleId="TOC11">
    <w:name w:val="TOC 11"/>
    <w:basedOn w:val="Normal"/>
    <w:next w:val="Normal"/>
    <w:autoRedefine/>
    <w:rsid w:val="00F351E6"/>
    <w:pPr>
      <w:tabs>
        <w:tab w:val="left" w:pos="660"/>
        <w:tab w:val="right" w:leader="dot" w:pos="9062"/>
      </w:tabs>
      <w:spacing w:after="100" w:line="259" w:lineRule="auto"/>
      <w:jc w:val="left"/>
    </w:pPr>
    <w:rPr>
      <w:rFonts w:ascii="Calibri" w:hAnsi="Calibri"/>
      <w:sz w:val="22"/>
      <w:szCs w:val="22"/>
      <w:lang w:eastAsia="en-GB"/>
    </w:rPr>
  </w:style>
  <w:style w:type="paragraph" w:customStyle="1" w:styleId="TOC31">
    <w:name w:val="TOC 31"/>
    <w:basedOn w:val="Normal"/>
    <w:next w:val="Normal"/>
    <w:autoRedefine/>
    <w:rsid w:val="00F351E6"/>
    <w:pPr>
      <w:tabs>
        <w:tab w:val="left" w:pos="1320"/>
        <w:tab w:val="right" w:leader="dot" w:pos="9062"/>
      </w:tabs>
      <w:spacing w:after="100" w:line="259" w:lineRule="auto"/>
      <w:ind w:left="440"/>
      <w:jc w:val="left"/>
    </w:pPr>
    <w:rPr>
      <w:b/>
      <w:noProof/>
      <w:szCs w:val="24"/>
      <w:lang w:eastAsia="en-GB"/>
    </w:rPr>
  </w:style>
  <w:style w:type="paragraph" w:customStyle="1" w:styleId="lp11">
    <w:name w:val="lp11"/>
    <w:basedOn w:val="Normal"/>
    <w:next w:val="ListParagraph"/>
    <w:link w:val="ListParagraphChar"/>
    <w:rsid w:val="00F351E6"/>
    <w:pPr>
      <w:spacing w:after="200" w:line="276" w:lineRule="auto"/>
      <w:ind w:left="720"/>
      <w:contextualSpacing/>
      <w:jc w:val="left"/>
    </w:pPr>
    <w:rPr>
      <w:rFonts w:ascii="Calibri" w:eastAsia="Calibri" w:hAnsi="Calibri"/>
      <w:sz w:val="22"/>
      <w:szCs w:val="22"/>
    </w:rPr>
  </w:style>
  <w:style w:type="paragraph" w:customStyle="1" w:styleId="Footno1">
    <w:name w:val="Footno1"/>
    <w:basedOn w:val="Normal"/>
    <w:next w:val="FootnoteText"/>
    <w:link w:val="FootnoteTextChar"/>
    <w:rsid w:val="00F351E6"/>
    <w:pPr>
      <w:spacing w:after="0"/>
      <w:jc w:val="left"/>
    </w:pPr>
    <w:rPr>
      <w:rFonts w:ascii="Calibri" w:eastAsia="Calibri" w:hAnsi="Calibri"/>
      <w:sz w:val="20"/>
    </w:rPr>
  </w:style>
  <w:style w:type="character" w:customStyle="1" w:styleId="FootnoteTextChar">
    <w:name w:val="Footnote Text Char"/>
    <w:aliases w:val="Footnote Text Char1 Char,Footnote Text Char Char Char,DTE-Voetnoottekst Char1 Char Char,DTE-Voetnoottekst Char Char Char Char,fn Char Char Char,footnote text Char Char Char,Footnotes Char Char Char,Footnote ak Char Char Char"/>
    <w:link w:val="Footno1"/>
    <w:rsid w:val="00F351E6"/>
    <w:rPr>
      <w:rFonts w:ascii="Calibri" w:eastAsia="Calibri" w:hAnsi="Calibri"/>
      <w:sz w:val="20"/>
    </w:rPr>
  </w:style>
  <w:style w:type="character" w:customStyle="1" w:styleId="Hyperlink1">
    <w:name w:val="Hyperlink1"/>
    <w:rsid w:val="00F351E6"/>
    <w:rPr>
      <w:color w:val="0000FF"/>
      <w:u w:val="single"/>
    </w:rPr>
  </w:style>
  <w:style w:type="paragraph" w:customStyle="1" w:styleId="BalloonText1">
    <w:name w:val="Balloon Text1"/>
    <w:basedOn w:val="Normal"/>
    <w:next w:val="BalloonText"/>
    <w:link w:val="BalloonTextChar"/>
    <w:rsid w:val="00F351E6"/>
    <w:pPr>
      <w:spacing w:after="0"/>
      <w:jc w:val="left"/>
    </w:pPr>
    <w:rPr>
      <w:rFonts w:ascii="Segoe UI" w:eastAsia="Calibri" w:hAnsi="Segoe UI" w:cs="Segoe UI"/>
      <w:sz w:val="18"/>
      <w:szCs w:val="18"/>
    </w:rPr>
  </w:style>
  <w:style w:type="character" w:customStyle="1" w:styleId="BalloonTextChar">
    <w:name w:val="Balloon Text Char"/>
    <w:link w:val="BalloonText1"/>
    <w:rsid w:val="00F351E6"/>
    <w:rPr>
      <w:rFonts w:ascii="Segoe UI" w:eastAsia="Calibri" w:hAnsi="Segoe UI" w:cs="Segoe UI"/>
      <w:sz w:val="18"/>
      <w:szCs w:val="18"/>
    </w:rPr>
  </w:style>
  <w:style w:type="paragraph" w:customStyle="1" w:styleId="NoSpacing1">
    <w:name w:val="No Spacing1"/>
    <w:next w:val="NoSpacing"/>
    <w:rsid w:val="00F351E6"/>
    <w:rPr>
      <w:rFonts w:ascii="Calibri" w:eastAsia="Calibri" w:hAnsi="Calibri"/>
      <w:sz w:val="22"/>
      <w:szCs w:val="22"/>
      <w:lang w:eastAsia="en-GB"/>
    </w:rPr>
  </w:style>
  <w:style w:type="paragraph" w:customStyle="1" w:styleId="04aNumeration">
    <w:name w:val="04a_Numeration"/>
    <w:basedOn w:val="Normal"/>
    <w:link w:val="04aNumerationChar"/>
    <w:rsid w:val="00F351E6"/>
    <w:pPr>
      <w:numPr>
        <w:numId w:val="1"/>
      </w:numPr>
      <w:spacing w:after="250" w:line="276" w:lineRule="auto"/>
    </w:pPr>
    <w:rPr>
      <w:rFonts w:ascii="Georgia" w:hAnsi="Georgia"/>
      <w:sz w:val="20"/>
      <w:szCs w:val="24"/>
      <w:lang w:eastAsia="en-GB"/>
    </w:rPr>
  </w:style>
  <w:style w:type="character" w:customStyle="1" w:styleId="04aNumerationChar">
    <w:name w:val="04a_Numeration Char"/>
    <w:link w:val="04aNumeration"/>
    <w:locked/>
    <w:rsid w:val="00F351E6"/>
    <w:rPr>
      <w:rFonts w:ascii="Georgia" w:hAnsi="Georgia"/>
      <w:sz w:val="20"/>
      <w:szCs w:val="24"/>
      <w:lang w:eastAsia="en-GB"/>
    </w:rPr>
  </w:style>
  <w:style w:type="character" w:styleId="CommentReference">
    <w:name w:val="annotation reference"/>
    <w:rsid w:val="00F351E6"/>
    <w:rPr>
      <w:sz w:val="16"/>
      <w:szCs w:val="16"/>
    </w:rPr>
  </w:style>
  <w:style w:type="paragraph" w:customStyle="1" w:styleId="CommentText1">
    <w:name w:val="Comment Text1"/>
    <w:basedOn w:val="Normal"/>
    <w:next w:val="CommentText"/>
    <w:link w:val="CommentTextChar"/>
    <w:rsid w:val="00F351E6"/>
    <w:pPr>
      <w:spacing w:after="200"/>
      <w:jc w:val="left"/>
    </w:pPr>
    <w:rPr>
      <w:rFonts w:ascii="Calibri" w:eastAsia="Calibri" w:hAnsi="Calibri"/>
      <w:sz w:val="20"/>
    </w:rPr>
  </w:style>
  <w:style w:type="character" w:customStyle="1" w:styleId="CommentTextChar">
    <w:name w:val="Comment Text Char"/>
    <w:link w:val="CommentText1"/>
    <w:rsid w:val="00F351E6"/>
    <w:rPr>
      <w:rFonts w:ascii="Calibri" w:eastAsia="Calibri" w:hAnsi="Calibri"/>
      <w:sz w:val="20"/>
    </w:rPr>
  </w:style>
  <w:style w:type="paragraph" w:customStyle="1" w:styleId="CommentSubject1">
    <w:name w:val="Comment Subject1"/>
    <w:basedOn w:val="CommentText"/>
    <w:next w:val="CommentText"/>
    <w:rsid w:val="00F351E6"/>
    <w:pPr>
      <w:spacing w:after="200"/>
    </w:pPr>
    <w:rPr>
      <w:b/>
      <w:bCs/>
    </w:rPr>
  </w:style>
  <w:style w:type="character" w:customStyle="1" w:styleId="CommentSubjectChar">
    <w:name w:val="Comment Subject Char"/>
    <w:link w:val="CommentSubject"/>
    <w:rsid w:val="00F351E6"/>
    <w:rPr>
      <w:b/>
      <w:bCs/>
      <w:sz w:val="20"/>
    </w:rPr>
  </w:style>
  <w:style w:type="paragraph" w:customStyle="1" w:styleId="NormalWeb1">
    <w:name w:val="Normal (Web)1"/>
    <w:basedOn w:val="Normal"/>
    <w:next w:val="NormalWeb"/>
    <w:rsid w:val="00F351E6"/>
    <w:pPr>
      <w:spacing w:after="0"/>
      <w:jc w:val="left"/>
    </w:pPr>
    <w:rPr>
      <w:rFonts w:eastAsia="Calibri"/>
      <w:szCs w:val="24"/>
      <w:lang w:eastAsia="en-GB"/>
    </w:rPr>
  </w:style>
  <w:style w:type="paragraph" w:customStyle="1" w:styleId="0Bodytext">
    <w:name w:val="(0)Body text"/>
    <w:basedOn w:val="Normal"/>
    <w:link w:val="0BodytextZchn"/>
    <w:rsid w:val="00F351E6"/>
    <w:pPr>
      <w:spacing w:before="60" w:after="120"/>
    </w:pPr>
    <w:rPr>
      <w:rFonts w:ascii="Verdana" w:eastAsia="Calibri" w:hAnsi="Verdana" w:cs="Arial"/>
      <w:color w:val="333333"/>
      <w:sz w:val="20"/>
      <w:lang w:eastAsia="en-GB"/>
    </w:rPr>
  </w:style>
  <w:style w:type="character" w:customStyle="1" w:styleId="0BodytextZchn">
    <w:name w:val="(0)Body text Zchn"/>
    <w:link w:val="0Bodytext"/>
    <w:rsid w:val="00F351E6"/>
    <w:rPr>
      <w:rFonts w:ascii="Verdana" w:eastAsia="Calibri" w:hAnsi="Verdana" w:cs="Arial"/>
      <w:color w:val="333333"/>
      <w:sz w:val="20"/>
      <w:lang w:val="fr-FR" w:eastAsia="en-GB"/>
    </w:rPr>
  </w:style>
  <w:style w:type="table" w:customStyle="1" w:styleId="Deloitte1">
    <w:name w:val="Deloitte1"/>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Exposant 3 Point,Footnote reference number,Odwołanie przypisu,number,2001+ Fußnotenzeichen"/>
    <w:basedOn w:val="Normal"/>
    <w:link w:val="FootnoteReference"/>
    <w:rsid w:val="00F351E6"/>
    <w:pPr>
      <w:spacing w:after="160" w:line="240" w:lineRule="exact"/>
      <w:jc w:val="left"/>
    </w:pPr>
    <w:rPr>
      <w:vertAlign w:val="superscript"/>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p11"/>
    <w:locked/>
    <w:rsid w:val="00F351E6"/>
    <w:rPr>
      <w:rFonts w:ascii="Calibri" w:eastAsia="Calibri" w:hAnsi="Calibri"/>
      <w:sz w:val="22"/>
      <w:szCs w:val="22"/>
    </w:rPr>
  </w:style>
  <w:style w:type="paragraph" w:customStyle="1" w:styleId="Default">
    <w:name w:val="Default"/>
    <w:rsid w:val="00F351E6"/>
    <w:pPr>
      <w:autoSpaceDE w:val="0"/>
      <w:autoSpaceDN w:val="0"/>
      <w:adjustRightInd w:val="0"/>
    </w:pPr>
    <w:rPr>
      <w:rFonts w:ascii="Arial" w:hAnsi="Arial" w:cs="Arial"/>
      <w:color w:val="000000"/>
      <w:szCs w:val="24"/>
      <w:lang w:eastAsia="en-GB"/>
    </w:rPr>
  </w:style>
  <w:style w:type="paragraph" w:customStyle="1" w:styleId="SecurityMarking">
    <w:name w:val="SecurityMarking"/>
    <w:basedOn w:val="Normal"/>
    <w:rsid w:val="00F351E6"/>
    <w:pPr>
      <w:spacing w:after="0" w:line="276" w:lineRule="auto"/>
      <w:ind w:left="5103"/>
      <w:jc w:val="left"/>
    </w:pPr>
    <w:rPr>
      <w:rFonts w:eastAsia="Calibri"/>
      <w:sz w:val="28"/>
      <w:szCs w:val="22"/>
    </w:rPr>
  </w:style>
  <w:style w:type="paragraph" w:customStyle="1" w:styleId="DateMarking">
    <w:name w:val="DateMarking"/>
    <w:basedOn w:val="Normal"/>
    <w:rsid w:val="00F351E6"/>
    <w:pPr>
      <w:spacing w:after="0" w:line="276" w:lineRule="auto"/>
      <w:ind w:left="5103"/>
      <w:jc w:val="left"/>
    </w:pPr>
    <w:rPr>
      <w:rFonts w:eastAsia="Calibri"/>
      <w:i/>
      <w:sz w:val="28"/>
      <w:szCs w:val="22"/>
    </w:rPr>
  </w:style>
  <w:style w:type="paragraph" w:customStyle="1" w:styleId="ReleasableTo">
    <w:name w:val="ReleasableTo"/>
    <w:basedOn w:val="Normal"/>
    <w:rsid w:val="00F351E6"/>
    <w:pPr>
      <w:spacing w:after="0" w:line="276" w:lineRule="auto"/>
      <w:ind w:left="5103"/>
      <w:jc w:val="left"/>
    </w:pPr>
    <w:rPr>
      <w:rFonts w:eastAsia="Calibri"/>
      <w:i/>
      <w:sz w:val="28"/>
      <w:szCs w:val="22"/>
    </w:rPr>
  </w:style>
  <w:style w:type="paragraph" w:customStyle="1" w:styleId="TOC91">
    <w:name w:val="TOC 91"/>
    <w:basedOn w:val="Normal"/>
    <w:next w:val="Normal"/>
    <w:autoRedefine/>
    <w:rsid w:val="00F351E6"/>
    <w:pPr>
      <w:spacing w:after="100" w:line="276" w:lineRule="auto"/>
      <w:ind w:left="1760"/>
      <w:jc w:val="left"/>
    </w:pPr>
    <w:rPr>
      <w:rFonts w:ascii="Calibri" w:eastAsia="Calibri" w:hAnsi="Calibri"/>
      <w:sz w:val="22"/>
      <w:szCs w:val="22"/>
    </w:rPr>
  </w:style>
  <w:style w:type="paragraph" w:customStyle="1" w:styleId="Revision1">
    <w:name w:val="Revision1"/>
    <w:next w:val="Revision"/>
    <w:hidden/>
    <w:rsid w:val="00F351E6"/>
    <w:rPr>
      <w:rFonts w:ascii="Calibri" w:eastAsia="Calibri" w:hAnsi="Calibri"/>
      <w:sz w:val="22"/>
      <w:szCs w:val="22"/>
      <w:lang w:eastAsia="en-GB"/>
    </w:rPr>
  </w:style>
  <w:style w:type="character" w:customStyle="1" w:styleId="FollowedHyperlink1">
    <w:name w:val="FollowedHyperlink1"/>
    <w:rsid w:val="00F351E6"/>
    <w:rPr>
      <w:color w:val="800080"/>
      <w:u w:val="single"/>
    </w:rPr>
  </w:style>
  <w:style w:type="paragraph" w:customStyle="1" w:styleId="Briefingtext">
    <w:name w:val="Briefing text"/>
    <w:basedOn w:val="Normal"/>
    <w:link w:val="BriefingtextChar"/>
    <w:rsid w:val="00F351E6"/>
    <w:rPr>
      <w:rFonts w:ascii="Arial" w:hAnsi="Arial" w:cs="Arial"/>
      <w:sz w:val="22"/>
      <w:szCs w:val="24"/>
    </w:rPr>
  </w:style>
  <w:style w:type="character" w:customStyle="1" w:styleId="BriefingtextChar">
    <w:name w:val="Briefing text Char"/>
    <w:link w:val="Briefingtext"/>
    <w:rsid w:val="00F351E6"/>
    <w:rPr>
      <w:rFonts w:ascii="Arial" w:hAnsi="Arial" w:cs="Arial"/>
      <w:sz w:val="22"/>
      <w:szCs w:val="24"/>
    </w:rPr>
  </w:style>
  <w:style w:type="character" w:customStyle="1" w:styleId="e24kjd">
    <w:name w:val="e24kjd"/>
    <w:basedOn w:val="DefaultParagraphFont"/>
    <w:rsid w:val="00F351E6"/>
  </w:style>
  <w:style w:type="character" w:styleId="Emphasis">
    <w:name w:val="Emphasis"/>
    <w:qFormat/>
    <w:rsid w:val="00F351E6"/>
    <w:rPr>
      <w:i/>
      <w:iCs/>
    </w:rPr>
  </w:style>
  <w:style w:type="paragraph" w:customStyle="1" w:styleId="Disclaimer">
    <w:name w:val="Disclaimer"/>
    <w:basedOn w:val="Normal"/>
    <w:rsid w:val="00F351E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Calibri"/>
      <w:szCs w:val="22"/>
    </w:rPr>
  </w:style>
  <w:style w:type="table" w:customStyle="1" w:styleId="TableGrid1">
    <w:name w:val="Table Grid1"/>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rsid w:val="00F351E6"/>
    <w:pPr>
      <w:spacing w:after="0"/>
    </w:pPr>
    <w:rPr>
      <w:rFonts w:ascii="Calibri" w:eastAsia="Calibri" w:hAnsi="Calibri"/>
      <w:color w:val="000000"/>
      <w:sz w:val="20"/>
      <w:szCs w:val="24"/>
    </w:rPr>
  </w:style>
  <w:style w:type="character" w:customStyle="1" w:styleId="TableChar">
    <w:name w:val="Table Char"/>
    <w:link w:val="Table"/>
    <w:rsid w:val="00F351E6"/>
    <w:rPr>
      <w:rFonts w:ascii="Calibri" w:eastAsia="Calibri" w:hAnsi="Calibri"/>
      <w:color w:val="000000"/>
      <w:sz w:val="20"/>
      <w:szCs w:val="24"/>
    </w:rPr>
  </w:style>
  <w:style w:type="paragraph" w:customStyle="1" w:styleId="FigTabCaption">
    <w:name w:val="FigTab Caption"/>
    <w:basedOn w:val="Caption"/>
    <w:link w:val="FigTabCaptionChar"/>
    <w:rsid w:val="00F351E6"/>
    <w:pPr>
      <w:keepNext/>
      <w:spacing w:before="0" w:after="0"/>
      <w:jc w:val="left"/>
    </w:pPr>
    <w:rPr>
      <w:rFonts w:ascii="Calibri" w:eastAsia="Calibri" w:hAnsi="Calibri"/>
      <w:b/>
      <w:i w:val="0"/>
      <w:color w:val="FFFFFF"/>
      <w:sz w:val="20"/>
      <w:szCs w:val="24"/>
    </w:rPr>
  </w:style>
  <w:style w:type="character" w:customStyle="1" w:styleId="FigTabCaptionChar">
    <w:name w:val="FigTab Caption Char"/>
    <w:link w:val="FigTabCaption"/>
    <w:rsid w:val="00F351E6"/>
    <w:rPr>
      <w:rFonts w:ascii="Calibri" w:eastAsia="Calibri" w:hAnsi="Calibri"/>
      <w:b/>
      <w:color w:val="FFFFFF"/>
      <w:sz w:val="20"/>
      <w:szCs w:val="24"/>
    </w:rPr>
  </w:style>
  <w:style w:type="paragraph" w:customStyle="1" w:styleId="C1">
    <w:name w:val="C1"/>
    <w:basedOn w:val="Normal"/>
    <w:next w:val="Normal"/>
    <w:link w:val="CaptionChar"/>
    <w:rsid w:val="00F351E6"/>
    <w:pPr>
      <w:spacing w:after="200"/>
      <w:jc w:val="left"/>
    </w:pPr>
    <w:rPr>
      <w:rFonts w:ascii="Calibri" w:eastAsia="Calibri" w:hAnsi="Calibri"/>
      <w:i/>
      <w:iCs/>
      <w:color w:val="1F497D"/>
      <w:sz w:val="18"/>
      <w:szCs w:val="18"/>
    </w:rPr>
  </w:style>
  <w:style w:type="table" w:customStyle="1" w:styleId="TableGrid2">
    <w:name w:val="Table Grid2"/>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rsid w:val="00F351E6"/>
    <w:pPr>
      <w:spacing w:after="160" w:line="240" w:lineRule="exact"/>
    </w:pPr>
    <w:rPr>
      <w:rFonts w:eastAsia="Calibri"/>
      <w:sz w:val="20"/>
      <w:vertAlign w:val="superscript"/>
    </w:rPr>
  </w:style>
  <w:style w:type="paragraph" w:customStyle="1" w:styleId="Bullet2">
    <w:name w:val="Bullet 2"/>
    <w:aliases w:val="Bullet2,BTBullet2"/>
    <w:basedOn w:val="Normal"/>
    <w:rsid w:val="00F351E6"/>
    <w:pPr>
      <w:tabs>
        <w:tab w:val="num" w:pos="1021"/>
      </w:tabs>
      <w:spacing w:before="120" w:after="120"/>
      <w:ind w:left="1021" w:hanging="341"/>
      <w:contextualSpacing/>
      <w:jc w:val="left"/>
    </w:pPr>
    <w:rPr>
      <w:rFonts w:ascii="Verdana" w:eastAsia="Calibri" w:hAnsi="Verdana"/>
      <w:color w:val="000000"/>
      <w:sz w:val="20"/>
      <w:szCs w:val="22"/>
      <w:lang w:eastAsia="en-GB"/>
    </w:rPr>
  </w:style>
  <w:style w:type="character" w:customStyle="1" w:styleId="CaptionChar">
    <w:name w:val="Caption Char"/>
    <w:aliases w:val="Caption PSP Char,Caption - Centre Graphic Char,Char Char Char Char,Caption1 Char Char Char Char Char Char Char Char Char,Caption1 Char Char Char Char Char Char Char Char Tegn Tegn Tegn Tegn Tegn Char,Char Char,C Char"/>
    <w:link w:val="C1"/>
    <w:rsid w:val="00F351E6"/>
    <w:rPr>
      <w:rFonts w:ascii="Calibri" w:eastAsia="Calibri" w:hAnsi="Calibri"/>
      <w:i/>
      <w:iCs/>
      <w:color w:val="1F497D"/>
      <w:sz w:val="18"/>
      <w:szCs w:val="18"/>
    </w:rPr>
  </w:style>
  <w:style w:type="paragraph" w:customStyle="1" w:styleId="Body">
    <w:name w:val="Body"/>
    <w:basedOn w:val="Normal"/>
    <w:link w:val="BodyChar"/>
    <w:rsid w:val="00F351E6"/>
    <w:pPr>
      <w:spacing w:before="120" w:after="120"/>
    </w:pPr>
    <w:rPr>
      <w:rFonts w:ascii="Verdana" w:eastAsia="Calibri" w:hAnsi="Verdana"/>
      <w:color w:val="000000"/>
      <w:sz w:val="20"/>
      <w:szCs w:val="22"/>
      <w:lang w:eastAsia="en-GB"/>
    </w:rPr>
  </w:style>
  <w:style w:type="character" w:customStyle="1" w:styleId="BodyChar">
    <w:name w:val="Body Char"/>
    <w:link w:val="Body"/>
    <w:rsid w:val="00F351E6"/>
    <w:rPr>
      <w:rFonts w:ascii="Verdana" w:eastAsia="Calibri" w:hAnsi="Verdana"/>
      <w:color w:val="000000"/>
      <w:sz w:val="20"/>
      <w:szCs w:val="22"/>
      <w:lang w:val="fr-FR" w:eastAsia="en-GB"/>
    </w:rPr>
  </w:style>
  <w:style w:type="paragraph" w:customStyle="1" w:styleId="TableHeading">
    <w:name w:val="TableHeading"/>
    <w:aliases w:val="TableHeadingWhite"/>
    <w:basedOn w:val="Normal"/>
    <w:rsid w:val="00F351E6"/>
    <w:pPr>
      <w:spacing w:before="120" w:after="0"/>
      <w:ind w:left="113"/>
      <w:jc w:val="left"/>
    </w:pPr>
    <w:rPr>
      <w:rFonts w:ascii="Verdana" w:eastAsia="Calibri" w:hAnsi="Verdana"/>
      <w:b/>
      <w:color w:val="FFFFFF"/>
      <w:sz w:val="20"/>
      <w:szCs w:val="22"/>
      <w:lang w:eastAsia="en-GB"/>
    </w:rPr>
  </w:style>
  <w:style w:type="table" w:customStyle="1" w:styleId="TableGrid3">
    <w:name w:val="Table Grid3"/>
    <w:basedOn w:val="TableNormal"/>
    <w:next w:val="TableGrid"/>
    <w:locked/>
    <w:rsid w:val="00F351E6"/>
    <w:rPr>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SP">
    <w:name w:val="Bullet PSP"/>
    <w:basedOn w:val="Normal"/>
    <w:link w:val="BulletPSPChar"/>
    <w:rsid w:val="00F351E6"/>
    <w:pPr>
      <w:numPr>
        <w:numId w:val="3"/>
      </w:numPr>
      <w:spacing w:before="120" w:after="160" w:line="259" w:lineRule="auto"/>
      <w:contextualSpacing/>
    </w:pPr>
    <w:rPr>
      <w:rFonts w:ascii="Calibri" w:hAnsi="Calibri"/>
      <w:color w:val="000000"/>
      <w:szCs w:val="22"/>
    </w:rPr>
  </w:style>
  <w:style w:type="character" w:customStyle="1" w:styleId="BulletPSPChar">
    <w:name w:val="Bullet PSP Char"/>
    <w:link w:val="BulletPSP"/>
    <w:rsid w:val="00F351E6"/>
    <w:rPr>
      <w:rFonts w:ascii="Calibri" w:hAnsi="Calibri"/>
      <w:color w:val="000000"/>
      <w:szCs w:val="22"/>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F351E6"/>
    <w:pPr>
      <w:spacing w:after="160" w:line="240" w:lineRule="exact"/>
      <w:jc w:val="left"/>
    </w:pPr>
    <w:rPr>
      <w:rFonts w:ascii="Calibri" w:eastAsia="Calibri" w:hAnsi="Calibri"/>
      <w:sz w:val="22"/>
      <w:szCs w:val="22"/>
      <w:vertAlign w:val="superscript"/>
    </w:rPr>
  </w:style>
  <w:style w:type="table" w:customStyle="1" w:styleId="Table1-PSPbrand">
    <w:name w:val="Table 1 - PSP brand"/>
    <w:basedOn w:val="TableNormal"/>
    <w:rsid w:val="00F351E6"/>
    <w:rPr>
      <w:rFonts w:ascii="Calibri" w:eastAsia="Calibri" w:hAnsi="Calibri"/>
      <w:sz w:val="20"/>
      <w:lang w:eastAsia="en-GB"/>
    </w:rPr>
    <w:tblPr>
      <w:tblStyleRowBandSize w:val="1"/>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tblStylePr w:type="firstRow">
      <w:rPr>
        <w:b/>
        <w:color w:val="4F81BD"/>
      </w:rPr>
      <w:tblPr/>
      <w:tcPr>
        <w:shd w:val="clear" w:color="auto" w:fill="000000"/>
      </w:tcPr>
    </w:tblStylePr>
    <w:tblStylePr w:type="band2Horz">
      <w:tblPr/>
      <w:tcPr>
        <w:shd w:val="clear" w:color="auto" w:fill="DDD9C3"/>
      </w:tcPr>
    </w:tblStylePr>
  </w:style>
  <w:style w:type="paragraph" w:customStyle="1" w:styleId="CM1">
    <w:name w:val="CM1"/>
    <w:basedOn w:val="Default"/>
    <w:next w:val="Default"/>
    <w:rsid w:val="00F351E6"/>
    <w:rPr>
      <w:rFonts w:ascii="EUAlbertina" w:hAnsi="EUAlbertina" w:cs="Times New Roman"/>
      <w:color w:val="auto"/>
    </w:rPr>
  </w:style>
  <w:style w:type="paragraph" w:styleId="HTMLPreformatted">
    <w:name w:val="HTML Preformatted"/>
    <w:basedOn w:val="Normal"/>
    <w:link w:val="HTMLPreformattedChar"/>
    <w:rsid w:val="00F35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lang w:eastAsia="en-GB"/>
    </w:rPr>
  </w:style>
  <w:style w:type="character" w:customStyle="1" w:styleId="HTMLPreformattedChar">
    <w:name w:val="HTML Preformatted Char"/>
    <w:basedOn w:val="DefaultParagraphFont"/>
    <w:link w:val="HTMLPreformatted"/>
    <w:rsid w:val="00F351E6"/>
    <w:rPr>
      <w:rFonts w:ascii="Courier New" w:hAnsi="Courier New" w:cs="Courier New"/>
      <w:sz w:val="20"/>
      <w:lang w:val="fr-FR" w:eastAsia="en-GB"/>
    </w:rPr>
  </w:style>
  <w:style w:type="paragraph" w:customStyle="1" w:styleId="Normal1">
    <w:name w:val="Normal1"/>
    <w:basedOn w:val="Normal"/>
    <w:rsid w:val="00F351E6"/>
    <w:pPr>
      <w:spacing w:before="100" w:beforeAutospacing="1" w:after="100" w:afterAutospacing="1"/>
      <w:jc w:val="left"/>
    </w:pPr>
    <w:rPr>
      <w:szCs w:val="24"/>
      <w:lang w:eastAsia="en-GB"/>
    </w:rPr>
  </w:style>
  <w:style w:type="character" w:customStyle="1" w:styleId="super">
    <w:name w:val="super"/>
    <w:basedOn w:val="DefaultParagraphFont"/>
    <w:rsid w:val="00F351E6"/>
  </w:style>
  <w:style w:type="character" w:customStyle="1" w:styleId="Heading1Char1">
    <w:name w:val="Heading 1 Char1"/>
    <w:rsid w:val="00F351E6"/>
    <w:rPr>
      <w:rFonts w:ascii="Calibri Light" w:eastAsia="Times New Roman" w:hAnsi="Calibri Light" w:cs="Times New Roman"/>
      <w:color w:val="2E74B5"/>
      <w:sz w:val="32"/>
      <w:szCs w:val="32"/>
    </w:rPr>
  </w:style>
  <w:style w:type="character" w:customStyle="1" w:styleId="Heading2Char1">
    <w:name w:val="Heading 2 Char1"/>
    <w:rsid w:val="00F351E6"/>
    <w:rPr>
      <w:rFonts w:ascii="Calibri Light" w:eastAsia="Times New Roman" w:hAnsi="Calibri Light" w:cs="Times New Roman"/>
      <w:color w:val="2E74B5"/>
      <w:sz w:val="26"/>
      <w:szCs w:val="26"/>
    </w:rPr>
  </w:style>
  <w:style w:type="character" w:customStyle="1" w:styleId="Heading3Char1">
    <w:name w:val="Heading 3 Char1"/>
    <w:rsid w:val="00F351E6"/>
    <w:rPr>
      <w:rFonts w:ascii="Calibri Light" w:eastAsia="Times New Roman" w:hAnsi="Calibri Light" w:cs="Times New Roman"/>
      <w:color w:val="1F4D78"/>
      <w:sz w:val="24"/>
      <w:szCs w:val="24"/>
    </w:rPr>
  </w:style>
  <w:style w:type="character" w:customStyle="1" w:styleId="Heading4Char1">
    <w:name w:val="Heading 4 Char1"/>
    <w:rsid w:val="00F351E6"/>
    <w:rPr>
      <w:rFonts w:ascii="Calibri Light" w:eastAsia="Times New Roman" w:hAnsi="Calibri Light" w:cs="Times New Roman"/>
      <w:i/>
      <w:iCs/>
      <w:color w:val="2E74B5"/>
    </w:rPr>
  </w:style>
  <w:style w:type="character" w:customStyle="1" w:styleId="Heading5Char1">
    <w:name w:val="Heading 5 Char1"/>
    <w:rsid w:val="00F351E6"/>
    <w:rPr>
      <w:rFonts w:ascii="Calibri Light" w:eastAsia="Times New Roman" w:hAnsi="Calibri Light" w:cs="Times New Roman"/>
      <w:color w:val="2E74B5"/>
    </w:rPr>
  </w:style>
  <w:style w:type="paragraph" w:styleId="ListParagraph">
    <w:name w:val="List Paragraph"/>
    <w:basedOn w:val="Normal"/>
    <w:qFormat/>
    <w:rsid w:val="00F351E6"/>
    <w:pPr>
      <w:spacing w:after="160" w:line="259" w:lineRule="auto"/>
      <w:ind w:left="720"/>
      <w:contextualSpacing/>
      <w:jc w:val="left"/>
    </w:pPr>
    <w:rPr>
      <w:rFonts w:ascii="Calibri" w:eastAsia="Calibri" w:hAnsi="Calibri"/>
      <w:sz w:val="22"/>
      <w:szCs w:val="22"/>
    </w:rPr>
  </w:style>
  <w:style w:type="character" w:customStyle="1" w:styleId="FootnoteTextChar1">
    <w:name w:val="Footnote Text Char1"/>
    <w:rsid w:val="00F351E6"/>
    <w:rPr>
      <w:sz w:val="20"/>
    </w:rPr>
  </w:style>
  <w:style w:type="character" w:styleId="Hyperlink">
    <w:name w:val="Hyperlink"/>
    <w:uiPriority w:val="99"/>
    <w:rsid w:val="00F351E6"/>
    <w:rPr>
      <w:color w:val="0563C1"/>
      <w:u w:val="single"/>
    </w:rPr>
  </w:style>
  <w:style w:type="paragraph" w:styleId="BalloonText">
    <w:name w:val="Balloon Text"/>
    <w:basedOn w:val="Normal"/>
    <w:link w:val="BalloonTextChar1"/>
    <w:rsid w:val="00F351E6"/>
    <w:pPr>
      <w:spacing w:after="0"/>
      <w:jc w:val="left"/>
    </w:pPr>
    <w:rPr>
      <w:rFonts w:ascii="Segoe UI" w:eastAsia="Calibri" w:hAnsi="Segoe UI" w:cs="Segoe UI"/>
      <w:sz w:val="18"/>
      <w:szCs w:val="18"/>
    </w:rPr>
  </w:style>
  <w:style w:type="character" w:customStyle="1" w:styleId="BalloonTextChar1">
    <w:name w:val="Balloon Text Char1"/>
    <w:basedOn w:val="DefaultParagraphFont"/>
    <w:link w:val="BalloonText"/>
    <w:rsid w:val="00F351E6"/>
    <w:rPr>
      <w:rFonts w:ascii="Segoe UI" w:eastAsia="Calibri" w:hAnsi="Segoe UI" w:cs="Segoe UI"/>
      <w:sz w:val="18"/>
      <w:szCs w:val="18"/>
    </w:rPr>
  </w:style>
  <w:style w:type="paragraph" w:styleId="NoSpacing">
    <w:name w:val="No Spacing"/>
    <w:qFormat/>
    <w:rsid w:val="00F351E6"/>
    <w:rPr>
      <w:rFonts w:ascii="Calibri" w:eastAsia="Calibri" w:hAnsi="Calibri"/>
      <w:sz w:val="22"/>
      <w:szCs w:val="22"/>
      <w:lang w:eastAsia="en-GB"/>
    </w:rPr>
  </w:style>
  <w:style w:type="paragraph" w:styleId="CommentText">
    <w:name w:val="annotation text"/>
    <w:basedOn w:val="Normal"/>
    <w:link w:val="CommentTextChar1"/>
    <w:rsid w:val="00F351E6"/>
    <w:pPr>
      <w:spacing w:after="160"/>
      <w:jc w:val="left"/>
    </w:pPr>
    <w:rPr>
      <w:rFonts w:ascii="Calibri" w:eastAsia="Calibri" w:hAnsi="Calibri"/>
      <w:sz w:val="20"/>
    </w:rPr>
  </w:style>
  <w:style w:type="character" w:customStyle="1" w:styleId="CommentTextChar1">
    <w:name w:val="Comment Text Char1"/>
    <w:basedOn w:val="DefaultParagraphFont"/>
    <w:link w:val="CommentText"/>
    <w:rsid w:val="00F351E6"/>
    <w:rPr>
      <w:rFonts w:ascii="Calibri" w:eastAsia="Calibri" w:hAnsi="Calibri"/>
      <w:sz w:val="20"/>
    </w:rPr>
  </w:style>
  <w:style w:type="paragraph" w:styleId="CommentSubject">
    <w:name w:val="annotation subject"/>
    <w:basedOn w:val="CommentText"/>
    <w:next w:val="CommentText"/>
    <w:link w:val="CommentSubjectChar"/>
    <w:rsid w:val="00F351E6"/>
    <w:rPr>
      <w:rFonts w:ascii="Times New Roman" w:eastAsia="Times New Roman" w:hAnsi="Times New Roman"/>
      <w:b/>
      <w:bCs/>
    </w:rPr>
  </w:style>
  <w:style w:type="character" w:customStyle="1" w:styleId="CommentSubjectChar1">
    <w:name w:val="Comment Subject Char1"/>
    <w:basedOn w:val="CommentTextChar1"/>
    <w:rsid w:val="00F351E6"/>
    <w:rPr>
      <w:rFonts w:ascii="Calibri" w:eastAsia="Calibri" w:hAnsi="Calibri"/>
      <w:b/>
      <w:bCs/>
      <w:sz w:val="20"/>
    </w:rPr>
  </w:style>
  <w:style w:type="paragraph" w:styleId="NormalWeb">
    <w:name w:val="Normal (Web)"/>
    <w:basedOn w:val="Normal"/>
    <w:rsid w:val="00F351E6"/>
    <w:pPr>
      <w:spacing w:after="160" w:line="259" w:lineRule="auto"/>
      <w:jc w:val="left"/>
    </w:pPr>
    <w:rPr>
      <w:rFonts w:eastAsia="Calibri"/>
      <w:szCs w:val="24"/>
    </w:rPr>
  </w:style>
  <w:style w:type="paragraph" w:styleId="Revision">
    <w:name w:val="Revision"/>
    <w:hidden/>
    <w:rsid w:val="00F351E6"/>
    <w:rPr>
      <w:rFonts w:ascii="Calibri" w:eastAsia="Calibri" w:hAnsi="Calibri"/>
      <w:sz w:val="22"/>
      <w:szCs w:val="22"/>
      <w:lang w:eastAsia="en-GB"/>
    </w:rPr>
  </w:style>
  <w:style w:type="character" w:styleId="FollowedHyperlink">
    <w:name w:val="FollowedHyperlink"/>
    <w:rsid w:val="00F351E6"/>
    <w:rPr>
      <w:color w:val="954F72"/>
      <w:u w:val="single"/>
    </w:rPr>
  </w:style>
  <w:style w:type="character" w:customStyle="1" w:styleId="UnresolvedMention2">
    <w:name w:val="Unresolved Mention2"/>
    <w:rsid w:val="00F351E6"/>
    <w:rPr>
      <w:color w:val="605E5C"/>
      <w:shd w:val="clear" w:color="auto" w:fill="E1DFDD"/>
    </w:rPr>
  </w:style>
  <w:style w:type="paragraph" w:customStyle="1" w:styleId="oj-doc-ti">
    <w:name w:val="oj-doc-ti"/>
    <w:basedOn w:val="Normal"/>
    <w:rsid w:val="00F351E6"/>
    <w:pPr>
      <w:spacing w:before="100" w:beforeAutospacing="1" w:after="100" w:afterAutospacing="1"/>
      <w:jc w:val="left"/>
    </w:pPr>
    <w:rPr>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SUPERS,BVI fnr,Footnote symbol,note TESI,-E Fußnotenzeichen,Ref,de nota al pie,(NECG) Footnote Reference,Footnote number,Bodyfootnotes,Nota,Char1,FR,Appel note de bas de p,fr,o,fn Char1, BVI fnr,Style "/>
    <w:link w:val="16Point"/>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2"/>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1"/>
      </w:numPr>
    </w:pPr>
  </w:style>
  <w:style w:type="paragraph" w:customStyle="1" w:styleId="ContNumLevel2">
    <w:name w:val="ContNum (Level 2)"/>
    <w:basedOn w:val="Normal"/>
    <w:uiPriority w:val="20"/>
    <w:pPr>
      <w:numPr>
        <w:ilvl w:val="1"/>
        <w:numId w:val="21"/>
      </w:numPr>
    </w:pPr>
  </w:style>
  <w:style w:type="paragraph" w:customStyle="1" w:styleId="ContNumLevel3">
    <w:name w:val="ContNum (Level 3)"/>
    <w:basedOn w:val="Normal"/>
    <w:uiPriority w:val="20"/>
    <w:pPr>
      <w:numPr>
        <w:ilvl w:val="2"/>
        <w:numId w:val="21"/>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TBG Style,Footnote Text Char3 Char,Footnote Text Char2 Char Char,Footnote Text Char1 Char1 Char Char,Footnote Text Char2 Char Char Char1 Char,Footnote Text Char1 Char1 Char Char Char Char,Footnot,DTE-Voetnoottekst"/>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20"/>
      </w:numPr>
      <w:spacing w:line="360" w:lineRule="auto"/>
    </w:pPr>
  </w:style>
  <w:style w:type="paragraph" w:customStyle="1" w:styleId="LegalNumPar2">
    <w:name w:val="LegalNumPar2"/>
    <w:basedOn w:val="Normal"/>
    <w:uiPriority w:val="20"/>
    <w:pPr>
      <w:numPr>
        <w:ilvl w:val="1"/>
        <w:numId w:val="20"/>
      </w:numPr>
      <w:spacing w:line="360" w:lineRule="auto"/>
    </w:pPr>
  </w:style>
  <w:style w:type="paragraph" w:customStyle="1" w:styleId="LegalNumPar3">
    <w:name w:val="LegalNumPar3"/>
    <w:basedOn w:val="Normal"/>
    <w:uiPriority w:val="20"/>
    <w:pPr>
      <w:numPr>
        <w:ilvl w:val="2"/>
        <w:numId w:val="20"/>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8"/>
      </w:numPr>
    </w:pPr>
  </w:style>
  <w:style w:type="paragraph" w:customStyle="1" w:styleId="ListDashLevel2">
    <w:name w:val="List Dash (Level 2)"/>
    <w:basedOn w:val="Normal"/>
    <w:semiHidden/>
    <w:unhideWhenUsed/>
    <w:pPr>
      <w:numPr>
        <w:ilvl w:val="1"/>
        <w:numId w:val="8"/>
      </w:numPr>
    </w:pPr>
  </w:style>
  <w:style w:type="paragraph" w:customStyle="1" w:styleId="ListDashLevel3">
    <w:name w:val="List Dash (Level 3)"/>
    <w:basedOn w:val="Normal"/>
    <w:semiHidden/>
    <w:unhideWhenUsed/>
    <w:pPr>
      <w:numPr>
        <w:ilvl w:val="2"/>
        <w:numId w:val="8"/>
      </w:numPr>
    </w:pPr>
  </w:style>
  <w:style w:type="paragraph" w:customStyle="1" w:styleId="ListDashLevel4">
    <w:name w:val="List Dash (Level 4)"/>
    <w:basedOn w:val="Normal"/>
    <w:semiHidden/>
    <w:unhideWhenUsed/>
    <w:pPr>
      <w:numPr>
        <w:ilvl w:val="3"/>
        <w:numId w:val="8"/>
      </w:numPr>
    </w:pPr>
  </w:style>
  <w:style w:type="paragraph" w:customStyle="1" w:styleId="ListDash1">
    <w:name w:val="List Dash 1"/>
    <w:basedOn w:val="Text1"/>
    <w:uiPriority w:val="35"/>
    <w:pPr>
      <w:numPr>
        <w:numId w:val="7"/>
      </w:numPr>
    </w:pPr>
  </w:style>
  <w:style w:type="paragraph" w:customStyle="1" w:styleId="ListDash1Level2">
    <w:name w:val="List Dash 1 (Level 2)"/>
    <w:basedOn w:val="Text1"/>
    <w:uiPriority w:val="35"/>
    <w:semiHidden/>
    <w:unhideWhenUsed/>
    <w:pPr>
      <w:numPr>
        <w:ilvl w:val="1"/>
        <w:numId w:val="7"/>
      </w:numPr>
    </w:pPr>
  </w:style>
  <w:style w:type="paragraph" w:customStyle="1" w:styleId="ListDash1Level3">
    <w:name w:val="List Dash 1 (Level 3)"/>
    <w:basedOn w:val="Text1"/>
    <w:uiPriority w:val="35"/>
    <w:semiHidden/>
    <w:unhideWhenUsed/>
    <w:pPr>
      <w:numPr>
        <w:ilvl w:val="2"/>
        <w:numId w:val="7"/>
      </w:numPr>
    </w:pPr>
  </w:style>
  <w:style w:type="paragraph" w:customStyle="1" w:styleId="ListDash1Level4">
    <w:name w:val="List Dash 1 (Level 4)"/>
    <w:basedOn w:val="Text1"/>
    <w:uiPriority w:val="35"/>
    <w:semiHidden/>
    <w:unhideWhenUsed/>
    <w:pPr>
      <w:numPr>
        <w:ilvl w:val="3"/>
        <w:numId w:val="7"/>
      </w:numPr>
    </w:pPr>
  </w:style>
  <w:style w:type="paragraph" w:customStyle="1" w:styleId="ListDash2">
    <w:name w:val="List Dash 2"/>
    <w:basedOn w:val="Text2"/>
    <w:uiPriority w:val="35"/>
    <w:pPr>
      <w:numPr>
        <w:numId w:val="6"/>
      </w:numPr>
    </w:pPr>
  </w:style>
  <w:style w:type="paragraph" w:customStyle="1" w:styleId="ListDash2Level2">
    <w:name w:val="List Dash 2 (Level 2)"/>
    <w:basedOn w:val="Text2"/>
    <w:uiPriority w:val="35"/>
    <w:semiHidden/>
    <w:unhideWhenUsed/>
    <w:pPr>
      <w:numPr>
        <w:ilvl w:val="1"/>
        <w:numId w:val="6"/>
      </w:numPr>
    </w:pPr>
  </w:style>
  <w:style w:type="paragraph" w:customStyle="1" w:styleId="ListDash2Level3">
    <w:name w:val="List Dash 2 (Level 3)"/>
    <w:basedOn w:val="Text2"/>
    <w:uiPriority w:val="35"/>
    <w:semiHidden/>
    <w:unhideWhenUsed/>
    <w:pPr>
      <w:numPr>
        <w:ilvl w:val="2"/>
        <w:numId w:val="6"/>
      </w:numPr>
    </w:pPr>
  </w:style>
  <w:style w:type="paragraph" w:customStyle="1" w:styleId="ListDash2Level4">
    <w:name w:val="List Dash 2 (Level 4)"/>
    <w:basedOn w:val="Text2"/>
    <w:uiPriority w:val="35"/>
    <w:semiHidden/>
    <w:unhideWhenUsed/>
    <w:pPr>
      <w:numPr>
        <w:ilvl w:val="3"/>
        <w:numId w:val="6"/>
      </w:numPr>
    </w:pPr>
  </w:style>
  <w:style w:type="paragraph" w:customStyle="1" w:styleId="ListDash3">
    <w:name w:val="List Dash 3"/>
    <w:basedOn w:val="Text3"/>
    <w:uiPriority w:val="35"/>
    <w:pPr>
      <w:numPr>
        <w:numId w:val="5"/>
      </w:numPr>
    </w:pPr>
  </w:style>
  <w:style w:type="paragraph" w:customStyle="1" w:styleId="ListDash3Level2">
    <w:name w:val="List Dash 3 (Level 2)"/>
    <w:basedOn w:val="Text3"/>
    <w:uiPriority w:val="35"/>
    <w:semiHidden/>
    <w:unhideWhenUsed/>
    <w:pPr>
      <w:numPr>
        <w:ilvl w:val="1"/>
        <w:numId w:val="5"/>
      </w:numPr>
    </w:pPr>
  </w:style>
  <w:style w:type="paragraph" w:customStyle="1" w:styleId="ListDash3Level3">
    <w:name w:val="List Dash 3 (Level 3)"/>
    <w:basedOn w:val="Text3"/>
    <w:uiPriority w:val="35"/>
    <w:semiHidden/>
    <w:unhideWhenUsed/>
    <w:pPr>
      <w:numPr>
        <w:ilvl w:val="2"/>
        <w:numId w:val="5"/>
      </w:numPr>
    </w:pPr>
  </w:style>
  <w:style w:type="paragraph" w:customStyle="1" w:styleId="ListDash3Level4">
    <w:name w:val="List Dash 3 (Level 4)"/>
    <w:basedOn w:val="Text3"/>
    <w:uiPriority w:val="35"/>
    <w:semiHidden/>
    <w:unhideWhenUsed/>
    <w:pPr>
      <w:numPr>
        <w:ilvl w:val="3"/>
        <w:numId w:val="5"/>
      </w:numPr>
    </w:pPr>
  </w:style>
  <w:style w:type="paragraph" w:customStyle="1" w:styleId="ListDash4">
    <w:name w:val="List Dash 4"/>
    <w:basedOn w:val="Text4"/>
    <w:uiPriority w:val="35"/>
    <w:pPr>
      <w:numPr>
        <w:numId w:val="4"/>
      </w:numPr>
    </w:pPr>
  </w:style>
  <w:style w:type="paragraph" w:customStyle="1" w:styleId="ListDash4Level2">
    <w:name w:val="List Dash 4 (Level 2)"/>
    <w:basedOn w:val="Text4"/>
    <w:uiPriority w:val="35"/>
    <w:semiHidden/>
    <w:unhideWhenUsed/>
    <w:pPr>
      <w:numPr>
        <w:ilvl w:val="1"/>
        <w:numId w:val="4"/>
      </w:numPr>
    </w:pPr>
  </w:style>
  <w:style w:type="paragraph" w:customStyle="1" w:styleId="ListDash4Level3">
    <w:name w:val="List Dash 4 (Level 3)"/>
    <w:basedOn w:val="Text4"/>
    <w:uiPriority w:val="35"/>
    <w:semiHidden/>
    <w:unhideWhenUsed/>
    <w:pPr>
      <w:numPr>
        <w:ilvl w:val="2"/>
        <w:numId w:val="4"/>
      </w:numPr>
    </w:pPr>
  </w:style>
  <w:style w:type="paragraph" w:customStyle="1" w:styleId="ListDash4Level4">
    <w:name w:val="List Dash 4 (Level 4)"/>
    <w:basedOn w:val="Text4"/>
    <w:uiPriority w:val="35"/>
    <w:semiHidden/>
    <w:unhideWhenUsed/>
    <w:pPr>
      <w:numPr>
        <w:ilvl w:val="3"/>
        <w:numId w:val="4"/>
      </w:numPr>
    </w:pPr>
  </w:style>
  <w:style w:type="paragraph" w:styleId="ListNumber">
    <w:name w:val="List Number"/>
    <w:basedOn w:val="Normal"/>
    <w:uiPriority w:val="30"/>
    <w:pPr>
      <w:numPr>
        <w:numId w:val="13"/>
      </w:numPr>
    </w:pPr>
  </w:style>
  <w:style w:type="paragraph" w:customStyle="1" w:styleId="ListNumberLevel2">
    <w:name w:val="List Number (Level 2)"/>
    <w:basedOn w:val="Normal"/>
    <w:uiPriority w:val="30"/>
    <w:pPr>
      <w:numPr>
        <w:ilvl w:val="1"/>
        <w:numId w:val="13"/>
      </w:numPr>
    </w:pPr>
  </w:style>
  <w:style w:type="paragraph" w:customStyle="1" w:styleId="ListNumberLevel3">
    <w:name w:val="List Number (Level 3)"/>
    <w:basedOn w:val="Normal"/>
    <w:uiPriority w:val="30"/>
    <w:pPr>
      <w:numPr>
        <w:ilvl w:val="2"/>
        <w:numId w:val="13"/>
      </w:numPr>
    </w:pPr>
  </w:style>
  <w:style w:type="paragraph" w:customStyle="1" w:styleId="ListNumberLevel4">
    <w:name w:val="List Number (Level 4)"/>
    <w:basedOn w:val="Normal"/>
    <w:uiPriority w:val="30"/>
    <w:pPr>
      <w:numPr>
        <w:ilvl w:val="3"/>
        <w:numId w:val="13"/>
      </w:numPr>
    </w:pPr>
  </w:style>
  <w:style w:type="paragraph" w:customStyle="1" w:styleId="ListNumber1">
    <w:name w:val="List Number 1"/>
    <w:basedOn w:val="Text1"/>
    <w:uiPriority w:val="30"/>
    <w:pPr>
      <w:numPr>
        <w:numId w:val="12"/>
      </w:numPr>
      <w:tabs>
        <w:tab w:val="clear" w:pos="1191"/>
        <w:tab w:val="num" w:pos="360"/>
      </w:tabs>
      <w:ind w:left="482" w:firstLine="0"/>
    </w:pPr>
  </w:style>
  <w:style w:type="paragraph" w:customStyle="1" w:styleId="ListNumber1Level2">
    <w:name w:val="List Number 1 (Level 2)"/>
    <w:basedOn w:val="Text1"/>
    <w:uiPriority w:val="30"/>
    <w:unhideWhenUsed/>
    <w:pPr>
      <w:numPr>
        <w:ilvl w:val="1"/>
        <w:numId w:val="12"/>
      </w:numPr>
      <w:tabs>
        <w:tab w:val="clear" w:pos="1899"/>
        <w:tab w:val="num" w:pos="360"/>
      </w:tabs>
      <w:ind w:left="482" w:firstLine="0"/>
    </w:pPr>
  </w:style>
  <w:style w:type="paragraph" w:customStyle="1" w:styleId="ListNumber1Level3">
    <w:name w:val="List Number 1 (Level 3)"/>
    <w:basedOn w:val="Text1"/>
    <w:uiPriority w:val="30"/>
    <w:semiHidden/>
    <w:unhideWhenUsed/>
    <w:pPr>
      <w:numPr>
        <w:ilvl w:val="2"/>
        <w:numId w:val="12"/>
      </w:numPr>
      <w:tabs>
        <w:tab w:val="clear" w:pos="2608"/>
        <w:tab w:val="num" w:pos="360"/>
      </w:tabs>
      <w:ind w:left="482" w:firstLine="0"/>
    </w:pPr>
  </w:style>
  <w:style w:type="paragraph" w:customStyle="1" w:styleId="ListNumber1Level4">
    <w:name w:val="List Number 1 (Level 4)"/>
    <w:basedOn w:val="Text1"/>
    <w:uiPriority w:val="30"/>
    <w:semiHidden/>
    <w:unhideWhenUsed/>
    <w:pPr>
      <w:numPr>
        <w:ilvl w:val="3"/>
        <w:numId w:val="12"/>
      </w:numPr>
      <w:tabs>
        <w:tab w:val="clear" w:pos="3317"/>
        <w:tab w:val="num" w:pos="360"/>
      </w:tabs>
      <w:ind w:left="482" w:firstLine="0"/>
    </w:pPr>
  </w:style>
  <w:style w:type="paragraph" w:styleId="ListNumber2">
    <w:name w:val="List Number 2"/>
    <w:basedOn w:val="Text2"/>
    <w:uiPriority w:val="30"/>
    <w:pPr>
      <w:numPr>
        <w:numId w:val="11"/>
      </w:numPr>
    </w:pPr>
  </w:style>
  <w:style w:type="paragraph" w:customStyle="1" w:styleId="ListNumber2Level2">
    <w:name w:val="List Number 2 (Level 2)"/>
    <w:basedOn w:val="Text2"/>
    <w:uiPriority w:val="30"/>
    <w:semiHidden/>
    <w:unhideWhenUsed/>
    <w:pPr>
      <w:numPr>
        <w:ilvl w:val="1"/>
        <w:numId w:val="11"/>
      </w:numPr>
    </w:pPr>
  </w:style>
  <w:style w:type="paragraph" w:customStyle="1" w:styleId="ListNumber2Level3">
    <w:name w:val="List Number 2 (Level 3)"/>
    <w:basedOn w:val="Text2"/>
    <w:uiPriority w:val="30"/>
    <w:semiHidden/>
    <w:unhideWhenUsed/>
    <w:pPr>
      <w:numPr>
        <w:ilvl w:val="2"/>
        <w:numId w:val="11"/>
      </w:numPr>
    </w:pPr>
  </w:style>
  <w:style w:type="paragraph" w:customStyle="1" w:styleId="ListNumber2Level4">
    <w:name w:val="List Number 2 (Level 4)"/>
    <w:basedOn w:val="Text2"/>
    <w:uiPriority w:val="30"/>
    <w:semiHidden/>
    <w:unhideWhenUsed/>
    <w:pPr>
      <w:numPr>
        <w:ilvl w:val="3"/>
        <w:numId w:val="11"/>
      </w:numPr>
    </w:pPr>
  </w:style>
  <w:style w:type="paragraph" w:styleId="ListNumber3">
    <w:name w:val="List Number 3"/>
    <w:basedOn w:val="Text3"/>
    <w:uiPriority w:val="30"/>
    <w:pPr>
      <w:numPr>
        <w:numId w:val="10"/>
      </w:numPr>
    </w:pPr>
  </w:style>
  <w:style w:type="paragraph" w:customStyle="1" w:styleId="ListNumber3Level2">
    <w:name w:val="List Number 3 (Level 2)"/>
    <w:basedOn w:val="Text3"/>
    <w:uiPriority w:val="30"/>
    <w:semiHidden/>
    <w:unhideWhenUsed/>
    <w:pPr>
      <w:numPr>
        <w:ilvl w:val="1"/>
        <w:numId w:val="10"/>
      </w:numPr>
    </w:pPr>
  </w:style>
  <w:style w:type="paragraph" w:customStyle="1" w:styleId="ListNumber3Level3">
    <w:name w:val="List Number 3 (Level 3)"/>
    <w:basedOn w:val="Text3"/>
    <w:uiPriority w:val="30"/>
    <w:semiHidden/>
    <w:unhideWhenUsed/>
    <w:pPr>
      <w:numPr>
        <w:ilvl w:val="2"/>
        <w:numId w:val="10"/>
      </w:numPr>
    </w:pPr>
  </w:style>
  <w:style w:type="paragraph" w:customStyle="1" w:styleId="ListNumber3Level4">
    <w:name w:val="List Number 3 (Level 4)"/>
    <w:basedOn w:val="Text3"/>
    <w:uiPriority w:val="30"/>
    <w:semiHidden/>
    <w:unhideWhenUsed/>
    <w:pPr>
      <w:numPr>
        <w:ilvl w:val="3"/>
        <w:numId w:val="10"/>
      </w:numPr>
    </w:pPr>
  </w:style>
  <w:style w:type="paragraph" w:styleId="ListNumber4">
    <w:name w:val="List Number 4"/>
    <w:basedOn w:val="Text4"/>
    <w:uiPriority w:val="30"/>
    <w:pPr>
      <w:numPr>
        <w:numId w:val="9"/>
      </w:numPr>
    </w:pPr>
  </w:style>
  <w:style w:type="paragraph" w:customStyle="1" w:styleId="ListNumber4Level2">
    <w:name w:val="List Number 4 (Level 2)"/>
    <w:basedOn w:val="Text4"/>
    <w:uiPriority w:val="30"/>
    <w:semiHidden/>
    <w:unhideWhenUsed/>
    <w:pPr>
      <w:numPr>
        <w:ilvl w:val="1"/>
        <w:numId w:val="9"/>
      </w:numPr>
    </w:pPr>
  </w:style>
  <w:style w:type="paragraph" w:customStyle="1" w:styleId="ListNumber4Level3">
    <w:name w:val="List Number 4 (Level 3)"/>
    <w:basedOn w:val="Text4"/>
    <w:uiPriority w:val="30"/>
    <w:semiHidden/>
    <w:unhideWhenUsed/>
    <w:pPr>
      <w:numPr>
        <w:ilvl w:val="2"/>
        <w:numId w:val="9"/>
      </w:numPr>
    </w:pPr>
  </w:style>
  <w:style w:type="paragraph" w:customStyle="1" w:styleId="ListNumber4Level4">
    <w:name w:val="List Number 4 (Level 4)"/>
    <w:basedOn w:val="Text4"/>
    <w:uiPriority w:val="30"/>
    <w:semiHidden/>
    <w:unhideWhenUsed/>
    <w:pPr>
      <w:numPr>
        <w:ilvl w:val="3"/>
        <w:numId w:val="9"/>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3"/>
      </w:numPr>
    </w:pPr>
  </w:style>
  <w:style w:type="paragraph" w:customStyle="1" w:styleId="TableListBulletLevel2">
    <w:name w:val="Table List Bullet (Level 2)"/>
    <w:basedOn w:val="TableText"/>
    <w:uiPriority w:val="55"/>
    <w:semiHidden/>
    <w:unhideWhenUsed/>
    <w:pPr>
      <w:numPr>
        <w:ilvl w:val="1"/>
        <w:numId w:val="23"/>
      </w:numPr>
    </w:pPr>
  </w:style>
  <w:style w:type="paragraph" w:customStyle="1" w:styleId="TableListBulletLevel3">
    <w:name w:val="Table List Bullet (Level 3)"/>
    <w:basedOn w:val="TableText"/>
    <w:uiPriority w:val="55"/>
    <w:semiHidden/>
    <w:unhideWhenUsed/>
    <w:pPr>
      <w:numPr>
        <w:ilvl w:val="2"/>
        <w:numId w:val="23"/>
      </w:numPr>
    </w:pPr>
  </w:style>
  <w:style w:type="paragraph" w:customStyle="1" w:styleId="TableListBulletLevel4">
    <w:name w:val="Table List Bullet (Level 4)"/>
    <w:basedOn w:val="TableText"/>
    <w:uiPriority w:val="55"/>
    <w:semiHidden/>
    <w:unhideWhenUsed/>
    <w:pPr>
      <w:numPr>
        <w:ilvl w:val="3"/>
        <w:numId w:val="23"/>
      </w:numPr>
    </w:pPr>
  </w:style>
  <w:style w:type="paragraph" w:customStyle="1" w:styleId="TableListDash">
    <w:name w:val="Table List Dash"/>
    <w:basedOn w:val="TableText"/>
    <w:uiPriority w:val="55"/>
    <w:pPr>
      <w:numPr>
        <w:numId w:val="24"/>
      </w:numPr>
    </w:pPr>
  </w:style>
  <w:style w:type="paragraph" w:customStyle="1" w:styleId="TableListDashLevel2">
    <w:name w:val="Table List Dash (Level 2)"/>
    <w:basedOn w:val="TableText"/>
    <w:uiPriority w:val="55"/>
    <w:semiHidden/>
    <w:unhideWhenUsed/>
    <w:pPr>
      <w:numPr>
        <w:ilvl w:val="1"/>
        <w:numId w:val="24"/>
      </w:numPr>
    </w:pPr>
  </w:style>
  <w:style w:type="paragraph" w:customStyle="1" w:styleId="TableListDashLevel3">
    <w:name w:val="Table List Dash (Level 3)"/>
    <w:basedOn w:val="TableText"/>
    <w:uiPriority w:val="55"/>
    <w:semiHidden/>
    <w:unhideWhenUsed/>
    <w:pPr>
      <w:numPr>
        <w:ilvl w:val="2"/>
        <w:numId w:val="24"/>
      </w:numPr>
    </w:pPr>
  </w:style>
  <w:style w:type="paragraph" w:customStyle="1" w:styleId="TableListDashLevel4">
    <w:name w:val="Table List Dash (Level 4)"/>
    <w:basedOn w:val="TableText"/>
    <w:uiPriority w:val="55"/>
    <w:semiHidden/>
    <w:unhideWhenUsed/>
    <w:pPr>
      <w:numPr>
        <w:ilvl w:val="3"/>
        <w:numId w:val="24"/>
      </w:numPr>
    </w:pPr>
  </w:style>
  <w:style w:type="paragraph" w:customStyle="1" w:styleId="TableListNumber">
    <w:name w:val="Table List Number"/>
    <w:basedOn w:val="TableText"/>
    <w:uiPriority w:val="55"/>
    <w:pPr>
      <w:numPr>
        <w:numId w:val="25"/>
      </w:numPr>
    </w:pPr>
  </w:style>
  <w:style w:type="paragraph" w:customStyle="1" w:styleId="TableListNumberLevel2">
    <w:name w:val="Table List Number (Level 2)"/>
    <w:basedOn w:val="TableText"/>
    <w:uiPriority w:val="55"/>
    <w:semiHidden/>
    <w:unhideWhenUsed/>
    <w:pPr>
      <w:numPr>
        <w:ilvl w:val="1"/>
        <w:numId w:val="25"/>
      </w:numPr>
    </w:pPr>
  </w:style>
  <w:style w:type="paragraph" w:customStyle="1" w:styleId="TableListNumberLevel3">
    <w:name w:val="Table List Number (Level 3)"/>
    <w:basedOn w:val="TableText"/>
    <w:uiPriority w:val="55"/>
    <w:semiHidden/>
    <w:unhideWhenUsed/>
    <w:pPr>
      <w:numPr>
        <w:ilvl w:val="2"/>
        <w:numId w:val="25"/>
      </w:numPr>
    </w:pPr>
  </w:style>
  <w:style w:type="paragraph" w:customStyle="1" w:styleId="TableListNumberLevel4">
    <w:name w:val="Table List Number (Level 4)"/>
    <w:basedOn w:val="TableText"/>
    <w:uiPriority w:val="55"/>
    <w:semiHidden/>
    <w:unhideWhenUsed/>
    <w:pPr>
      <w:numPr>
        <w:ilvl w:val="3"/>
        <w:numId w:val="25"/>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UnresolvedMention">
    <w:name w:val="Unresolved Mention"/>
    <w:basedOn w:val="DefaultParagraphFont"/>
    <w:uiPriority w:val="99"/>
    <w:semiHidden/>
    <w:unhideWhenUsed/>
    <w:rsid w:val="004123CD"/>
    <w:rPr>
      <w:color w:val="605E5C"/>
      <w:shd w:val="clear" w:color="auto" w:fill="E1DFDD"/>
    </w:rPr>
  </w:style>
  <w:style w:type="paragraph" w:customStyle="1" w:styleId="paragraph">
    <w:name w:val="paragraph"/>
    <w:basedOn w:val="Normal"/>
    <w:rsid w:val="004123CD"/>
    <w:pPr>
      <w:spacing w:before="100" w:beforeAutospacing="1" w:after="100" w:afterAutospacing="1"/>
      <w:jc w:val="left"/>
    </w:pPr>
    <w:rPr>
      <w:szCs w:val="24"/>
      <w:lang w:eastAsia="en-IE"/>
    </w:rPr>
  </w:style>
  <w:style w:type="character" w:customStyle="1" w:styleId="normaltextrun">
    <w:name w:val="normaltextrun"/>
    <w:basedOn w:val="DefaultParagraphFont"/>
    <w:rsid w:val="004123CD"/>
  </w:style>
  <w:style w:type="character" w:customStyle="1" w:styleId="eop">
    <w:name w:val="eop"/>
    <w:basedOn w:val="DefaultParagraphFont"/>
    <w:rsid w:val="004123CD"/>
  </w:style>
  <w:style w:type="character" w:customStyle="1" w:styleId="superscript">
    <w:name w:val="superscript"/>
    <w:basedOn w:val="DefaultParagraphFont"/>
    <w:rsid w:val="004123CD"/>
  </w:style>
  <w:style w:type="character" w:customStyle="1" w:styleId="Mention">
    <w:name w:val="Mention"/>
    <w:basedOn w:val="DefaultParagraphFont"/>
    <w:uiPriority w:val="99"/>
    <w:unhideWhenUsed/>
    <w:rsid w:val="00CC2351"/>
    <w:rPr>
      <w:color w:val="2B579A"/>
      <w:shd w:val="clear" w:color="auto" w:fill="E1DFDD"/>
    </w:rPr>
  </w:style>
  <w:style w:type="paragraph" w:customStyle="1" w:styleId="Languesfaisantfoi">
    <w:name w:val="Langues faisant foi"/>
    <w:basedOn w:val="Normal"/>
    <w:next w:val="Normal"/>
    <w:rsid w:val="0076530B"/>
    <w:pPr>
      <w:spacing w:before="360"/>
      <w:jc w:val="center"/>
    </w:pPr>
    <w:rPr>
      <w:rFonts w:eastAsiaTheme="minorHAnsi"/>
      <w:szCs w:val="22"/>
    </w:rPr>
  </w:style>
  <w:style w:type="paragraph" w:customStyle="1" w:styleId="LanguesfaisantfoiPagedecouverture">
    <w:name w:val="Langues faisant foi (Page de couverture)"/>
    <w:basedOn w:val="Normal"/>
    <w:next w:val="Normal"/>
    <w:rsid w:val="0076530B"/>
    <w:pPr>
      <w:spacing w:before="360"/>
      <w:jc w:val="center"/>
    </w:pPr>
    <w:rPr>
      <w:rFonts w:eastAsiaTheme="minorHAnsi"/>
      <w:szCs w:val="22"/>
    </w:rPr>
  </w:style>
  <w:style w:type="paragraph" w:customStyle="1" w:styleId="IntrtEEE">
    <w:name w:val="Intérêt EEE"/>
    <w:basedOn w:val="Languesfaisantfoi"/>
    <w:next w:val="Normal"/>
    <w:rsid w:val="0076530B"/>
    <w:pPr>
      <w:spacing w:after="0"/>
    </w:pPr>
  </w:style>
  <w:style w:type="paragraph" w:customStyle="1" w:styleId="IntrtEEEPagedecouverture">
    <w:name w:val="Intérêt EEE (Page de couverture)"/>
    <w:basedOn w:val="IntrtEEE"/>
    <w:next w:val="Normal"/>
    <w:rsid w:val="00765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432395">
      <w:bodyDiv w:val="1"/>
      <w:marLeft w:val="0"/>
      <w:marRight w:val="0"/>
      <w:marTop w:val="0"/>
      <w:marBottom w:val="0"/>
      <w:divBdr>
        <w:top w:val="none" w:sz="0" w:space="0" w:color="auto"/>
        <w:left w:val="none" w:sz="0" w:space="0" w:color="auto"/>
        <w:bottom w:val="none" w:sz="0" w:space="0" w:color="auto"/>
        <w:right w:val="none" w:sz="0" w:space="0" w:color="auto"/>
      </w:divBdr>
      <w:divsChild>
        <w:div w:id="778178327">
          <w:marLeft w:val="0"/>
          <w:marRight w:val="0"/>
          <w:marTop w:val="0"/>
          <w:marBottom w:val="0"/>
          <w:divBdr>
            <w:top w:val="none" w:sz="0" w:space="0" w:color="auto"/>
            <w:left w:val="none" w:sz="0" w:space="0" w:color="auto"/>
            <w:bottom w:val="none" w:sz="0" w:space="0" w:color="auto"/>
            <w:right w:val="none" w:sz="0" w:space="0" w:color="auto"/>
          </w:divBdr>
        </w:div>
        <w:div w:id="835921094">
          <w:marLeft w:val="0"/>
          <w:marRight w:val="0"/>
          <w:marTop w:val="0"/>
          <w:marBottom w:val="0"/>
          <w:divBdr>
            <w:top w:val="none" w:sz="0" w:space="0" w:color="auto"/>
            <w:left w:val="none" w:sz="0" w:space="0" w:color="auto"/>
            <w:bottom w:val="none" w:sz="0" w:space="0" w:color="auto"/>
            <w:right w:val="none" w:sz="0" w:space="0" w:color="auto"/>
          </w:divBdr>
        </w:div>
        <w:div w:id="1279987364">
          <w:marLeft w:val="0"/>
          <w:marRight w:val="0"/>
          <w:marTop w:val="0"/>
          <w:marBottom w:val="0"/>
          <w:divBdr>
            <w:top w:val="none" w:sz="0" w:space="0" w:color="auto"/>
            <w:left w:val="none" w:sz="0" w:space="0" w:color="auto"/>
            <w:bottom w:val="none" w:sz="0" w:space="0" w:color="auto"/>
            <w:right w:val="none" w:sz="0" w:space="0" w:color="auto"/>
          </w:divBdr>
        </w:div>
        <w:div w:id="1836728788">
          <w:marLeft w:val="0"/>
          <w:marRight w:val="0"/>
          <w:marTop w:val="0"/>
          <w:marBottom w:val="0"/>
          <w:divBdr>
            <w:top w:val="none" w:sz="0" w:space="0" w:color="auto"/>
            <w:left w:val="none" w:sz="0" w:space="0" w:color="auto"/>
            <w:bottom w:val="none" w:sz="0" w:space="0" w:color="auto"/>
            <w:right w:val="none" w:sz="0" w:space="0" w:color="auto"/>
          </w:divBdr>
        </w:div>
      </w:divsChild>
    </w:div>
    <w:div w:id="265424624">
      <w:bodyDiv w:val="1"/>
      <w:marLeft w:val="0"/>
      <w:marRight w:val="0"/>
      <w:marTop w:val="0"/>
      <w:marBottom w:val="0"/>
      <w:divBdr>
        <w:top w:val="none" w:sz="0" w:space="0" w:color="auto"/>
        <w:left w:val="none" w:sz="0" w:space="0" w:color="auto"/>
        <w:bottom w:val="none" w:sz="0" w:space="0" w:color="auto"/>
        <w:right w:val="none" w:sz="0" w:space="0" w:color="auto"/>
      </w:divBdr>
    </w:div>
    <w:div w:id="345329421">
      <w:bodyDiv w:val="1"/>
      <w:marLeft w:val="0"/>
      <w:marRight w:val="0"/>
      <w:marTop w:val="0"/>
      <w:marBottom w:val="0"/>
      <w:divBdr>
        <w:top w:val="none" w:sz="0" w:space="0" w:color="auto"/>
        <w:left w:val="none" w:sz="0" w:space="0" w:color="auto"/>
        <w:bottom w:val="none" w:sz="0" w:space="0" w:color="auto"/>
        <w:right w:val="none" w:sz="0" w:space="0" w:color="auto"/>
      </w:divBdr>
    </w:div>
    <w:div w:id="353728441">
      <w:bodyDiv w:val="1"/>
      <w:marLeft w:val="0"/>
      <w:marRight w:val="0"/>
      <w:marTop w:val="0"/>
      <w:marBottom w:val="0"/>
      <w:divBdr>
        <w:top w:val="none" w:sz="0" w:space="0" w:color="auto"/>
        <w:left w:val="none" w:sz="0" w:space="0" w:color="auto"/>
        <w:bottom w:val="none" w:sz="0" w:space="0" w:color="auto"/>
        <w:right w:val="none" w:sz="0" w:space="0" w:color="auto"/>
      </w:divBdr>
    </w:div>
    <w:div w:id="372535880">
      <w:bodyDiv w:val="1"/>
      <w:marLeft w:val="0"/>
      <w:marRight w:val="0"/>
      <w:marTop w:val="0"/>
      <w:marBottom w:val="0"/>
      <w:divBdr>
        <w:top w:val="none" w:sz="0" w:space="0" w:color="auto"/>
        <w:left w:val="none" w:sz="0" w:space="0" w:color="auto"/>
        <w:bottom w:val="none" w:sz="0" w:space="0" w:color="auto"/>
        <w:right w:val="none" w:sz="0" w:space="0" w:color="auto"/>
      </w:divBdr>
    </w:div>
    <w:div w:id="438572915">
      <w:bodyDiv w:val="1"/>
      <w:marLeft w:val="0"/>
      <w:marRight w:val="0"/>
      <w:marTop w:val="0"/>
      <w:marBottom w:val="0"/>
      <w:divBdr>
        <w:top w:val="none" w:sz="0" w:space="0" w:color="auto"/>
        <w:left w:val="none" w:sz="0" w:space="0" w:color="auto"/>
        <w:bottom w:val="none" w:sz="0" w:space="0" w:color="auto"/>
        <w:right w:val="none" w:sz="0" w:space="0" w:color="auto"/>
      </w:divBdr>
    </w:div>
    <w:div w:id="444926923">
      <w:bodyDiv w:val="1"/>
      <w:marLeft w:val="0"/>
      <w:marRight w:val="0"/>
      <w:marTop w:val="0"/>
      <w:marBottom w:val="0"/>
      <w:divBdr>
        <w:top w:val="none" w:sz="0" w:space="0" w:color="auto"/>
        <w:left w:val="none" w:sz="0" w:space="0" w:color="auto"/>
        <w:bottom w:val="none" w:sz="0" w:space="0" w:color="auto"/>
        <w:right w:val="none" w:sz="0" w:space="0" w:color="auto"/>
      </w:divBdr>
      <w:divsChild>
        <w:div w:id="1163930936">
          <w:marLeft w:val="0"/>
          <w:marRight w:val="0"/>
          <w:marTop w:val="0"/>
          <w:marBottom w:val="0"/>
          <w:divBdr>
            <w:top w:val="none" w:sz="0" w:space="0" w:color="auto"/>
            <w:left w:val="none" w:sz="0" w:space="0" w:color="auto"/>
            <w:bottom w:val="none" w:sz="0" w:space="0" w:color="auto"/>
            <w:right w:val="none" w:sz="0" w:space="0" w:color="auto"/>
          </w:divBdr>
        </w:div>
        <w:div w:id="1189417255">
          <w:marLeft w:val="0"/>
          <w:marRight w:val="0"/>
          <w:marTop w:val="0"/>
          <w:marBottom w:val="0"/>
          <w:divBdr>
            <w:top w:val="none" w:sz="0" w:space="0" w:color="auto"/>
            <w:left w:val="none" w:sz="0" w:space="0" w:color="auto"/>
            <w:bottom w:val="none" w:sz="0" w:space="0" w:color="auto"/>
            <w:right w:val="none" w:sz="0" w:space="0" w:color="auto"/>
          </w:divBdr>
        </w:div>
        <w:div w:id="1385064951">
          <w:marLeft w:val="0"/>
          <w:marRight w:val="0"/>
          <w:marTop w:val="0"/>
          <w:marBottom w:val="0"/>
          <w:divBdr>
            <w:top w:val="none" w:sz="0" w:space="0" w:color="auto"/>
            <w:left w:val="none" w:sz="0" w:space="0" w:color="auto"/>
            <w:bottom w:val="none" w:sz="0" w:space="0" w:color="auto"/>
            <w:right w:val="none" w:sz="0" w:space="0" w:color="auto"/>
          </w:divBdr>
        </w:div>
        <w:div w:id="1502617474">
          <w:marLeft w:val="0"/>
          <w:marRight w:val="0"/>
          <w:marTop w:val="0"/>
          <w:marBottom w:val="0"/>
          <w:divBdr>
            <w:top w:val="none" w:sz="0" w:space="0" w:color="auto"/>
            <w:left w:val="none" w:sz="0" w:space="0" w:color="auto"/>
            <w:bottom w:val="none" w:sz="0" w:space="0" w:color="auto"/>
            <w:right w:val="none" w:sz="0" w:space="0" w:color="auto"/>
          </w:divBdr>
        </w:div>
      </w:divsChild>
    </w:div>
    <w:div w:id="589781629">
      <w:bodyDiv w:val="1"/>
      <w:marLeft w:val="0"/>
      <w:marRight w:val="0"/>
      <w:marTop w:val="0"/>
      <w:marBottom w:val="0"/>
      <w:divBdr>
        <w:top w:val="none" w:sz="0" w:space="0" w:color="auto"/>
        <w:left w:val="none" w:sz="0" w:space="0" w:color="auto"/>
        <w:bottom w:val="none" w:sz="0" w:space="0" w:color="auto"/>
        <w:right w:val="none" w:sz="0" w:space="0" w:color="auto"/>
      </w:divBdr>
    </w:div>
    <w:div w:id="687485747">
      <w:bodyDiv w:val="1"/>
      <w:marLeft w:val="0"/>
      <w:marRight w:val="0"/>
      <w:marTop w:val="0"/>
      <w:marBottom w:val="0"/>
      <w:divBdr>
        <w:top w:val="none" w:sz="0" w:space="0" w:color="auto"/>
        <w:left w:val="none" w:sz="0" w:space="0" w:color="auto"/>
        <w:bottom w:val="none" w:sz="0" w:space="0" w:color="auto"/>
        <w:right w:val="none" w:sz="0" w:space="0" w:color="auto"/>
      </w:divBdr>
    </w:div>
    <w:div w:id="911043446">
      <w:bodyDiv w:val="1"/>
      <w:marLeft w:val="0"/>
      <w:marRight w:val="0"/>
      <w:marTop w:val="0"/>
      <w:marBottom w:val="0"/>
      <w:divBdr>
        <w:top w:val="none" w:sz="0" w:space="0" w:color="auto"/>
        <w:left w:val="none" w:sz="0" w:space="0" w:color="auto"/>
        <w:bottom w:val="none" w:sz="0" w:space="0" w:color="auto"/>
        <w:right w:val="none" w:sz="0" w:space="0" w:color="auto"/>
      </w:divBdr>
    </w:div>
    <w:div w:id="953832599">
      <w:bodyDiv w:val="1"/>
      <w:marLeft w:val="0"/>
      <w:marRight w:val="0"/>
      <w:marTop w:val="0"/>
      <w:marBottom w:val="0"/>
      <w:divBdr>
        <w:top w:val="none" w:sz="0" w:space="0" w:color="auto"/>
        <w:left w:val="none" w:sz="0" w:space="0" w:color="auto"/>
        <w:bottom w:val="none" w:sz="0" w:space="0" w:color="auto"/>
        <w:right w:val="none" w:sz="0" w:space="0" w:color="auto"/>
      </w:divBdr>
    </w:div>
    <w:div w:id="1230651363">
      <w:bodyDiv w:val="1"/>
      <w:marLeft w:val="0"/>
      <w:marRight w:val="0"/>
      <w:marTop w:val="0"/>
      <w:marBottom w:val="0"/>
      <w:divBdr>
        <w:top w:val="none" w:sz="0" w:space="0" w:color="auto"/>
        <w:left w:val="none" w:sz="0" w:space="0" w:color="auto"/>
        <w:bottom w:val="none" w:sz="0" w:space="0" w:color="auto"/>
        <w:right w:val="none" w:sz="0" w:space="0" w:color="auto"/>
      </w:divBdr>
    </w:div>
    <w:div w:id="1245214788">
      <w:bodyDiv w:val="1"/>
      <w:marLeft w:val="0"/>
      <w:marRight w:val="0"/>
      <w:marTop w:val="0"/>
      <w:marBottom w:val="0"/>
      <w:divBdr>
        <w:top w:val="none" w:sz="0" w:space="0" w:color="auto"/>
        <w:left w:val="none" w:sz="0" w:space="0" w:color="auto"/>
        <w:bottom w:val="none" w:sz="0" w:space="0" w:color="auto"/>
        <w:right w:val="none" w:sz="0" w:space="0" w:color="auto"/>
      </w:divBdr>
    </w:div>
    <w:div w:id="1308631377">
      <w:bodyDiv w:val="1"/>
      <w:marLeft w:val="0"/>
      <w:marRight w:val="0"/>
      <w:marTop w:val="0"/>
      <w:marBottom w:val="0"/>
      <w:divBdr>
        <w:top w:val="none" w:sz="0" w:space="0" w:color="auto"/>
        <w:left w:val="none" w:sz="0" w:space="0" w:color="auto"/>
        <w:bottom w:val="none" w:sz="0" w:space="0" w:color="auto"/>
        <w:right w:val="none" w:sz="0" w:space="0" w:color="auto"/>
      </w:divBdr>
    </w:div>
    <w:div w:id="1522207479">
      <w:bodyDiv w:val="1"/>
      <w:marLeft w:val="0"/>
      <w:marRight w:val="0"/>
      <w:marTop w:val="0"/>
      <w:marBottom w:val="0"/>
      <w:divBdr>
        <w:top w:val="none" w:sz="0" w:space="0" w:color="auto"/>
        <w:left w:val="none" w:sz="0" w:space="0" w:color="auto"/>
        <w:bottom w:val="none" w:sz="0" w:space="0" w:color="auto"/>
        <w:right w:val="none" w:sz="0" w:space="0" w:color="auto"/>
      </w:divBdr>
    </w:div>
    <w:div w:id="1556355578">
      <w:bodyDiv w:val="1"/>
      <w:marLeft w:val="0"/>
      <w:marRight w:val="0"/>
      <w:marTop w:val="0"/>
      <w:marBottom w:val="0"/>
      <w:divBdr>
        <w:top w:val="none" w:sz="0" w:space="0" w:color="auto"/>
        <w:left w:val="none" w:sz="0" w:space="0" w:color="auto"/>
        <w:bottom w:val="none" w:sz="0" w:space="0" w:color="auto"/>
        <w:right w:val="none" w:sz="0" w:space="0" w:color="auto"/>
      </w:divBdr>
    </w:div>
    <w:div w:id="1609509279">
      <w:bodyDiv w:val="1"/>
      <w:marLeft w:val="0"/>
      <w:marRight w:val="0"/>
      <w:marTop w:val="0"/>
      <w:marBottom w:val="0"/>
      <w:divBdr>
        <w:top w:val="none" w:sz="0" w:space="0" w:color="auto"/>
        <w:left w:val="none" w:sz="0" w:space="0" w:color="auto"/>
        <w:bottom w:val="none" w:sz="0" w:space="0" w:color="auto"/>
        <w:right w:val="none" w:sz="0" w:space="0" w:color="auto"/>
      </w:divBdr>
    </w:div>
    <w:div w:id="1625697395">
      <w:bodyDiv w:val="1"/>
      <w:marLeft w:val="0"/>
      <w:marRight w:val="0"/>
      <w:marTop w:val="0"/>
      <w:marBottom w:val="0"/>
      <w:divBdr>
        <w:top w:val="none" w:sz="0" w:space="0" w:color="auto"/>
        <w:left w:val="none" w:sz="0" w:space="0" w:color="auto"/>
        <w:bottom w:val="none" w:sz="0" w:space="0" w:color="auto"/>
        <w:right w:val="none" w:sz="0" w:space="0" w:color="auto"/>
      </w:divBdr>
    </w:div>
    <w:div w:id="1920753160">
      <w:bodyDiv w:val="1"/>
      <w:marLeft w:val="0"/>
      <w:marRight w:val="0"/>
      <w:marTop w:val="0"/>
      <w:marBottom w:val="0"/>
      <w:divBdr>
        <w:top w:val="none" w:sz="0" w:space="0" w:color="auto"/>
        <w:left w:val="none" w:sz="0" w:space="0" w:color="auto"/>
        <w:bottom w:val="none" w:sz="0" w:space="0" w:color="auto"/>
        <w:right w:val="none" w:sz="0" w:space="0" w:color="auto"/>
      </w:divBdr>
    </w:div>
    <w:div w:id="1962611573">
      <w:bodyDiv w:val="1"/>
      <w:marLeft w:val="0"/>
      <w:marRight w:val="0"/>
      <w:marTop w:val="0"/>
      <w:marBottom w:val="0"/>
      <w:divBdr>
        <w:top w:val="none" w:sz="0" w:space="0" w:color="auto"/>
        <w:left w:val="none" w:sz="0" w:space="0" w:color="auto"/>
        <w:bottom w:val="none" w:sz="0" w:space="0" w:color="auto"/>
        <w:right w:val="none" w:sz="0" w:space="0" w:color="auto"/>
      </w:divBdr>
    </w:div>
    <w:div w:id="2035689646">
      <w:bodyDiv w:val="1"/>
      <w:marLeft w:val="0"/>
      <w:marRight w:val="0"/>
      <w:marTop w:val="0"/>
      <w:marBottom w:val="0"/>
      <w:divBdr>
        <w:top w:val="none" w:sz="0" w:space="0" w:color="auto"/>
        <w:left w:val="none" w:sz="0" w:space="0" w:color="auto"/>
        <w:bottom w:val="none" w:sz="0" w:space="0" w:color="auto"/>
        <w:right w:val="none" w:sz="0" w:space="0" w:color="auto"/>
      </w:divBdr>
    </w:div>
    <w:div w:id="2074888228">
      <w:bodyDiv w:val="1"/>
      <w:marLeft w:val="0"/>
      <w:marRight w:val="0"/>
      <w:marTop w:val="0"/>
      <w:marBottom w:val="0"/>
      <w:divBdr>
        <w:top w:val="none" w:sz="0" w:space="0" w:color="auto"/>
        <w:left w:val="none" w:sz="0" w:space="0" w:color="auto"/>
        <w:bottom w:val="none" w:sz="0" w:space="0" w:color="auto"/>
        <w:right w:val="none" w:sz="0" w:space="0" w:color="auto"/>
      </w:divBdr>
    </w:div>
    <w:div w:id="2091123924">
      <w:bodyDiv w:val="1"/>
      <w:marLeft w:val="0"/>
      <w:marRight w:val="0"/>
      <w:marTop w:val="0"/>
      <w:marBottom w:val="0"/>
      <w:divBdr>
        <w:top w:val="none" w:sz="0" w:space="0" w:color="auto"/>
        <w:left w:val="none" w:sz="0" w:space="0" w:color="auto"/>
        <w:bottom w:val="none" w:sz="0" w:space="0" w:color="auto"/>
        <w:right w:val="none" w:sz="0" w:space="0" w:color="auto"/>
      </w:divBdr>
    </w:div>
    <w:div w:id="2117020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legal-content/FR/TXT/?uri=CELEX:32021R1833"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cftc.gov/"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finance.ec.europa.eu/capital-markets-union-and-financial-markets/financial-markets/post-trade-services/derivatives-emir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inance.ec.europa.eu/capital-markets-union-and-financial-markets/financial-markets/prudential-rules-investment-firm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amf-france.org/sites/institutionnel/files/private/2022-07/Analyse%20des%20donn%C3%A9es%20MIF2%20sur%20les%20d%C3%A9riv%C3%A9s%20de%20mati%C3%A8res%20premi%C3%A8res_0.pdf" TargetMode="External"/><Relationship Id="rId3" Type="http://schemas.openxmlformats.org/officeDocument/2006/relationships/hyperlink" Target="https://www.eba.europa.eu/sites/default/files/document_library/About%20Us/Missions%20and%20tasks/Call%20for%20Advice/2023/1052019/CfA_IFR%20and%20IFD%20review%20-%20final.pdf" TargetMode="External"/><Relationship Id="rId7" Type="http://schemas.openxmlformats.org/officeDocument/2006/relationships/hyperlink" Target="https://www.amf-france.org/sites/institutionnel/files/private/2022-07/Analyse%20des%20donn%C3%A9es%20MIF2%20sur%20les%20d%C3%A9riv%C3%A9s%20de%20mati%C3%A8res%20premi%C3%A8res_0.pdf" TargetMode="External"/><Relationship Id="rId2" Type="http://schemas.openxmlformats.org/officeDocument/2006/relationships/hyperlink" Target="https://eur-lex.europa.eu/legal-content/FR/TXT/?uri=CELEX%3A52025DC0079&amp;qid=1741780110418" TargetMode="External"/><Relationship Id="rId1" Type="http://schemas.openxmlformats.org/officeDocument/2006/relationships/hyperlink" Target="https://eur-lex.europa.eu/legal-content/FR/TXT/?uri=CELEX%3A52025DC0085" TargetMode="External"/><Relationship Id="rId6" Type="http://schemas.openxmlformats.org/officeDocument/2006/relationships/hyperlink" Target="https://www.esma.europa.eu/sites/default/files/library/esma70-446-775_preliminary_data_report_on_mcm.pdf" TargetMode="External"/><Relationship Id="rId5" Type="http://schemas.openxmlformats.org/officeDocument/2006/relationships/hyperlink" Target="https://eur-lex.europa.eu/legal-content/FR/TXT/?uri=celex%3A32024R2809" TargetMode="External"/><Relationship Id="rId10" Type="http://schemas.openxmlformats.org/officeDocument/2006/relationships/hyperlink" Target="https://www.iosco.org/library/pubdocs/pdf/IOSCOPD781.pdf" TargetMode="External"/><Relationship Id="rId4" Type="http://schemas.openxmlformats.org/officeDocument/2006/relationships/hyperlink" Target="https://finance.ec.europa.eu/regulation-and-supervision/consultations-0/targeted-consultation-review-functioning-commodity-derivatives-markets-and-certain-aspects-relating_en" TargetMode="External"/><Relationship Id="rId9" Type="http://schemas.openxmlformats.org/officeDocument/2006/relationships/hyperlink" Target="https://eur-lex.europa.eu/eli/reg_del/2022/1299/oj/f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17" ma:contentTypeDescription="Crée un document." ma:contentTypeScope="" ma:versionID="7e74dca996eba65e69498b575ed49139">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56ed4965f6485b2e7561887e994c8593"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DocStatus"/>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ComplainTitle" minOccurs="0"/>
                <xsd:element ref="ns2:NameofComplai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Status" ma:index="10" ma:displayName="Doc Status" ma:format="Dropdown" ma:indexed="true" ma:internalName="DocStatus">
      <xsd:simpleType>
        <xsd:restriction base="dms:Choice">
          <xsd:enumeration value="Draft"/>
          <xsd:enumeration value="Final"/>
        </xsd:restrictio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ComplainTitle" ma:index="23" nillable="true" ma:displayName="General Info" ma:format="Dropdown" ma:internalName="ComplainTitle">
      <xsd:simpleType>
        <xsd:restriction base="dms:Text">
          <xsd:maxLength value="255"/>
        </xsd:restriction>
      </xsd:simpleType>
    </xsd:element>
    <xsd:element name="NameofComplainer" ma:index="24" nillable="true" ma:displayName="Name of Complainer" ma:format="Dropdown" ma:internalName="NameofComplai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7a201d3d-60fb-479e-b5be-4da6b1dc61cd}"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Status xmlns="a280f3ed-f921-4226-9525-27fa6d577539">Green</DocStatus>
    <NameofComplainer xmlns="a280f3ed-f921-4226-9525-27fa6d577539" xsi:nil="true"/>
    <ComplainTitle xmlns="a280f3ed-f921-4226-9525-27fa6d577539" xsi:nil="true"/>
    <TaxCatchAll xmlns="278287c8-5be4-4613-8138-480f9be48247" xsi:nil="true"/>
    <lcf76f155ced4ddcb4097134ff3c332f xmlns="a280f3ed-f921-4226-9525-27fa6d577539">
      <Terms xmlns="http://schemas.microsoft.com/office/infopath/2007/PartnerControls"/>
    </lcf76f155ced4ddcb4097134ff3c332f>
    <_Flow_SignoffStatus xmlns="a280f3ed-f921-4226-9525-27fa6d57753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E3F3-D033-46F5-8C59-8FEEBD06C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1BA6C-53A9-424A-9066-18033944AC70}">
  <ds:schemaRefs>
    <ds:schemaRef ds:uri="http://purl.org/dc/terms/"/>
    <ds:schemaRef ds:uri="a280f3ed-f921-4226-9525-27fa6d577539"/>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278287c8-5be4-4613-8138-480f9be48247"/>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A3D0B5E-9D4E-48F2-BE59-B605E15AE703}">
  <ds:schemaRefs>
    <ds:schemaRef ds:uri="http://schemas.microsoft.com/sharepoint/v3/contenttype/forms"/>
  </ds:schemaRefs>
</ds:datastoreItem>
</file>

<file path=customXml/itemProps4.xml><?xml version="1.0" encoding="utf-8"?>
<ds:datastoreItem xmlns:ds="http://schemas.openxmlformats.org/officeDocument/2006/customXml" ds:itemID="{04288A0B-19E0-47A2-88B3-C62969075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9386</Words>
  <Characters>53504</Characters>
  <Application>Microsoft Office Word</Application>
  <DocSecurity>0</DocSecurity>
  <PresentationFormat>Microsoft Word 14.0</PresentationFormat>
  <Lines>445</Lines>
  <Paragraphs>125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2026-04-30T07:49:00Z</dcterms:created>
  <dcterms:modified xsi:type="dcterms:W3CDTF">2026-05-18T11:49:00Z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2026-04-16T13:09:30Z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d781d51b-0948-4c23-9a8d-afd7b70c9c39</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0x010100F099A588E0F14746BFAC081FD6A566B8</vt:lpwstr>
  </property>
</Properties>
</file>