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97F50D" w14:textId="24ABD8A1" w:rsidR="00F351E6" w:rsidRPr="00575C33" w:rsidRDefault="00A1048B" w:rsidP="00A1048B">
      <w:pPr>
        <w:pStyle w:val="Pagedecouverture"/>
        <w:rPr>
          <w:noProof/>
        </w:rPr>
      </w:pPr>
      <w:bookmarkStart w:id="0" w:name="_Hlk122340132"/>
      <w:bookmarkStart w:id="1" w:name="LW_BM_COVERPAGE"/>
      <w:r>
        <w:rPr>
          <w:noProof/>
        </w:rPr>
        <w:pict w14:anchorId="73BC8D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54898AA-AF56-4516-A5C4-29C25AEF84B3" style="width:455.25pt;height:327.75pt">
            <v:imagedata r:id="rId11" o:title=""/>
          </v:shape>
        </w:pict>
      </w:r>
    </w:p>
    <w:bookmarkEnd w:id="1"/>
    <w:p w14:paraId="0EA0A15B" w14:textId="77777777" w:rsidR="00F351E6" w:rsidRPr="00575C33" w:rsidRDefault="00F351E6" w:rsidP="0023640F">
      <w:pPr>
        <w:rPr>
          <w:noProof/>
          <w:szCs w:val="24"/>
          <w:lang w:val="en-IE"/>
        </w:rPr>
        <w:sectPr w:rsidR="00F351E6" w:rsidRPr="00575C33" w:rsidSect="00A1048B">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bookmarkStart w:id="2" w:name="_GoBack"/>
    <w:bookmarkEnd w:id="2"/>
    <w:p w14:paraId="2D489F95" w14:textId="596F3A72" w:rsidR="005B0BB1" w:rsidRDefault="00F351E6">
      <w:pPr>
        <w:pStyle w:val="TOC1"/>
        <w:rPr>
          <w:rFonts w:asciiTheme="minorHAnsi" w:eastAsiaTheme="minorEastAsia" w:hAnsiTheme="minorHAnsi" w:cstheme="minorBidi"/>
          <w:noProof/>
          <w:kern w:val="2"/>
          <w:szCs w:val="24"/>
          <w:lang w:val="en-IE" w:eastAsia="en-IE"/>
          <w14:ligatures w14:val="standardContextual"/>
        </w:rPr>
      </w:pPr>
      <w:r>
        <w:rPr>
          <w:b/>
          <w:noProof/>
        </w:rPr>
        <w:lastRenderedPageBreak/>
        <w:fldChar w:fldCharType="begin"/>
      </w:r>
      <w:r>
        <w:rPr>
          <w:b/>
          <w:noProof/>
        </w:rPr>
        <w:instrText xml:space="preserve"> TOC \o "1-3" \h \z \u  \* MERGEFORMAT </w:instrText>
      </w:r>
      <w:r>
        <w:rPr>
          <w:b/>
          <w:noProof/>
        </w:rPr>
        <w:fldChar w:fldCharType="separate"/>
      </w:r>
      <w:hyperlink w:anchor="_Toc229069517" w:history="1">
        <w:r w:rsidR="005B0BB1" w:rsidRPr="001F5341">
          <w:rPr>
            <w:rStyle w:val="Hyperlink"/>
            <w:b/>
            <w:noProof/>
          </w:rPr>
          <w:t>LISTA ABREVIERILOR</w:t>
        </w:r>
        <w:r w:rsidR="005B0BB1">
          <w:rPr>
            <w:noProof/>
            <w:webHidden/>
          </w:rPr>
          <w:tab/>
        </w:r>
        <w:r w:rsidR="005B0BB1">
          <w:rPr>
            <w:noProof/>
            <w:webHidden/>
          </w:rPr>
          <w:fldChar w:fldCharType="begin"/>
        </w:r>
        <w:r w:rsidR="005B0BB1">
          <w:rPr>
            <w:noProof/>
            <w:webHidden/>
          </w:rPr>
          <w:instrText xml:space="preserve"> PAGEREF _Toc229069517 \h </w:instrText>
        </w:r>
        <w:r w:rsidR="005B0BB1">
          <w:rPr>
            <w:noProof/>
            <w:webHidden/>
          </w:rPr>
        </w:r>
        <w:r w:rsidR="005B0BB1">
          <w:rPr>
            <w:noProof/>
            <w:webHidden/>
          </w:rPr>
          <w:fldChar w:fldCharType="separate"/>
        </w:r>
        <w:r w:rsidR="001F5341">
          <w:rPr>
            <w:noProof/>
            <w:webHidden/>
          </w:rPr>
          <w:t>2</w:t>
        </w:r>
        <w:r w:rsidR="005B0BB1">
          <w:rPr>
            <w:noProof/>
            <w:webHidden/>
          </w:rPr>
          <w:fldChar w:fldCharType="end"/>
        </w:r>
      </w:hyperlink>
    </w:p>
    <w:p w14:paraId="561ED47F" w14:textId="3AAAECBF" w:rsidR="005B0BB1" w:rsidRDefault="00A1048B">
      <w:pPr>
        <w:pStyle w:val="TOC1"/>
        <w:rPr>
          <w:rFonts w:asciiTheme="minorHAnsi" w:eastAsiaTheme="minorEastAsia" w:hAnsiTheme="minorHAnsi" w:cstheme="minorBidi"/>
          <w:noProof/>
          <w:kern w:val="2"/>
          <w:szCs w:val="24"/>
          <w:lang w:val="en-IE" w:eastAsia="en-IE"/>
          <w14:ligatures w14:val="standardContextual"/>
        </w:rPr>
      </w:pPr>
      <w:hyperlink w:anchor="_Toc229069518" w:history="1">
        <w:r w:rsidR="005B0BB1" w:rsidRPr="001F5341">
          <w:rPr>
            <w:rStyle w:val="Hyperlink"/>
            <w:b/>
            <w:noProof/>
          </w:rPr>
          <w:t>1.</w:t>
        </w:r>
        <w:r w:rsidR="005B0BB1">
          <w:rPr>
            <w:rFonts w:asciiTheme="minorHAnsi" w:eastAsiaTheme="minorEastAsia" w:hAnsiTheme="minorHAnsi" w:cstheme="minorBidi"/>
            <w:noProof/>
            <w:kern w:val="2"/>
            <w:szCs w:val="24"/>
            <w:lang w:val="en-IE" w:eastAsia="en-IE"/>
            <w14:ligatures w14:val="standardContextual"/>
          </w:rPr>
          <w:tab/>
        </w:r>
        <w:r w:rsidR="005B0BB1" w:rsidRPr="001F5341">
          <w:rPr>
            <w:rStyle w:val="Hyperlink"/>
            <w:b/>
            <w:noProof/>
          </w:rPr>
          <w:t>INTRODUCERE</w:t>
        </w:r>
        <w:r w:rsidR="005B0BB1">
          <w:rPr>
            <w:noProof/>
            <w:webHidden/>
          </w:rPr>
          <w:tab/>
        </w:r>
        <w:r w:rsidR="005B0BB1">
          <w:rPr>
            <w:noProof/>
            <w:webHidden/>
          </w:rPr>
          <w:fldChar w:fldCharType="begin"/>
        </w:r>
        <w:r w:rsidR="005B0BB1">
          <w:rPr>
            <w:noProof/>
            <w:webHidden/>
          </w:rPr>
          <w:instrText xml:space="preserve"> PAGEREF _Toc229069518 \h </w:instrText>
        </w:r>
        <w:r w:rsidR="005B0BB1">
          <w:rPr>
            <w:noProof/>
            <w:webHidden/>
          </w:rPr>
        </w:r>
        <w:r w:rsidR="005B0BB1">
          <w:rPr>
            <w:noProof/>
            <w:webHidden/>
          </w:rPr>
          <w:fldChar w:fldCharType="separate"/>
        </w:r>
        <w:r w:rsidR="001F5341">
          <w:rPr>
            <w:noProof/>
            <w:webHidden/>
          </w:rPr>
          <w:t>3</w:t>
        </w:r>
        <w:r w:rsidR="005B0BB1">
          <w:rPr>
            <w:noProof/>
            <w:webHidden/>
          </w:rPr>
          <w:fldChar w:fldCharType="end"/>
        </w:r>
      </w:hyperlink>
    </w:p>
    <w:p w14:paraId="77CADCE8" w14:textId="0A258597" w:rsidR="005B0BB1" w:rsidRDefault="00A1048B">
      <w:pPr>
        <w:pStyle w:val="TOC1"/>
        <w:rPr>
          <w:rFonts w:asciiTheme="minorHAnsi" w:eastAsiaTheme="minorEastAsia" w:hAnsiTheme="minorHAnsi" w:cstheme="minorBidi"/>
          <w:noProof/>
          <w:kern w:val="2"/>
          <w:szCs w:val="24"/>
          <w:lang w:val="en-IE" w:eastAsia="en-IE"/>
          <w14:ligatures w14:val="standardContextual"/>
        </w:rPr>
      </w:pPr>
      <w:hyperlink w:anchor="_Toc229069519" w:history="1">
        <w:r w:rsidR="005B0BB1" w:rsidRPr="001F5341">
          <w:rPr>
            <w:rStyle w:val="Hyperlink"/>
            <w:b/>
            <w:noProof/>
          </w:rPr>
          <w:t>2.</w:t>
        </w:r>
        <w:r w:rsidR="005B0BB1">
          <w:rPr>
            <w:rFonts w:asciiTheme="minorHAnsi" w:eastAsiaTheme="minorEastAsia" w:hAnsiTheme="minorHAnsi" w:cstheme="minorBidi"/>
            <w:noProof/>
            <w:kern w:val="2"/>
            <w:szCs w:val="24"/>
            <w:lang w:val="en-IE" w:eastAsia="en-IE"/>
            <w14:ligatures w14:val="standardContextual"/>
          </w:rPr>
          <w:tab/>
        </w:r>
        <w:r w:rsidR="005B0BB1" w:rsidRPr="001F5341">
          <w:rPr>
            <w:rStyle w:val="Hyperlink"/>
            <w:b/>
            <w:noProof/>
          </w:rPr>
          <w:t>ASPECTE LEGATE DE DATE REFERITOARE LA INSTRUMENTELE FINANCIARE DERIVATE PE MĂRFURI</w:t>
        </w:r>
        <w:r w:rsidR="005B0BB1">
          <w:rPr>
            <w:noProof/>
            <w:webHidden/>
          </w:rPr>
          <w:tab/>
        </w:r>
        <w:r w:rsidR="005B0BB1">
          <w:rPr>
            <w:noProof/>
            <w:webHidden/>
          </w:rPr>
          <w:fldChar w:fldCharType="begin"/>
        </w:r>
        <w:r w:rsidR="005B0BB1">
          <w:rPr>
            <w:noProof/>
            <w:webHidden/>
          </w:rPr>
          <w:instrText xml:space="preserve"> PAGEREF _Toc229069519 \h </w:instrText>
        </w:r>
        <w:r w:rsidR="005B0BB1">
          <w:rPr>
            <w:noProof/>
            <w:webHidden/>
          </w:rPr>
        </w:r>
        <w:r w:rsidR="005B0BB1">
          <w:rPr>
            <w:noProof/>
            <w:webHidden/>
          </w:rPr>
          <w:fldChar w:fldCharType="separate"/>
        </w:r>
        <w:r w:rsidR="001F5341">
          <w:rPr>
            <w:noProof/>
            <w:webHidden/>
          </w:rPr>
          <w:t>4</w:t>
        </w:r>
        <w:r w:rsidR="005B0BB1">
          <w:rPr>
            <w:noProof/>
            <w:webHidden/>
          </w:rPr>
          <w:fldChar w:fldCharType="end"/>
        </w:r>
      </w:hyperlink>
    </w:p>
    <w:p w14:paraId="3C89A924" w14:textId="02193EB0" w:rsidR="005B0BB1" w:rsidRDefault="00A1048B">
      <w:pPr>
        <w:pStyle w:val="TOC1"/>
        <w:rPr>
          <w:rFonts w:asciiTheme="minorHAnsi" w:eastAsiaTheme="minorEastAsia" w:hAnsiTheme="minorHAnsi" w:cstheme="minorBidi"/>
          <w:noProof/>
          <w:kern w:val="2"/>
          <w:szCs w:val="24"/>
          <w:lang w:val="en-IE" w:eastAsia="en-IE"/>
          <w14:ligatures w14:val="standardContextual"/>
        </w:rPr>
      </w:pPr>
      <w:hyperlink w:anchor="_Toc229069520" w:history="1">
        <w:r w:rsidR="005B0BB1" w:rsidRPr="001F5341">
          <w:rPr>
            <w:rStyle w:val="Hyperlink"/>
            <w:b/>
            <w:bCs/>
            <w:noProof/>
          </w:rPr>
          <w:t>3.</w:t>
        </w:r>
        <w:r w:rsidR="005B0BB1">
          <w:rPr>
            <w:rFonts w:asciiTheme="minorHAnsi" w:eastAsiaTheme="minorEastAsia" w:hAnsiTheme="minorHAnsi" w:cstheme="minorBidi"/>
            <w:noProof/>
            <w:kern w:val="2"/>
            <w:szCs w:val="24"/>
            <w:lang w:val="en-IE" w:eastAsia="en-IE"/>
            <w14:ligatures w14:val="standardContextual"/>
          </w:rPr>
          <w:tab/>
        </w:r>
        <w:r w:rsidR="005B0BB1" w:rsidRPr="001F5341">
          <w:rPr>
            <w:rStyle w:val="Hyperlink"/>
            <w:b/>
            <w:noProof/>
          </w:rPr>
          <w:t>DEROGAREA PRIVIND ACTIVITĂȚILE AUXILIARE</w:t>
        </w:r>
        <w:r w:rsidR="005B0BB1">
          <w:rPr>
            <w:noProof/>
            <w:webHidden/>
          </w:rPr>
          <w:tab/>
        </w:r>
        <w:r w:rsidR="005B0BB1">
          <w:rPr>
            <w:noProof/>
            <w:webHidden/>
          </w:rPr>
          <w:fldChar w:fldCharType="begin"/>
        </w:r>
        <w:r w:rsidR="005B0BB1">
          <w:rPr>
            <w:noProof/>
            <w:webHidden/>
          </w:rPr>
          <w:instrText xml:space="preserve"> PAGEREF _Toc229069520 \h </w:instrText>
        </w:r>
        <w:r w:rsidR="005B0BB1">
          <w:rPr>
            <w:noProof/>
            <w:webHidden/>
          </w:rPr>
        </w:r>
        <w:r w:rsidR="005B0BB1">
          <w:rPr>
            <w:noProof/>
            <w:webHidden/>
          </w:rPr>
          <w:fldChar w:fldCharType="separate"/>
        </w:r>
        <w:r w:rsidR="001F5341">
          <w:rPr>
            <w:noProof/>
            <w:webHidden/>
          </w:rPr>
          <w:t>9</w:t>
        </w:r>
        <w:r w:rsidR="005B0BB1">
          <w:rPr>
            <w:noProof/>
            <w:webHidden/>
          </w:rPr>
          <w:fldChar w:fldCharType="end"/>
        </w:r>
      </w:hyperlink>
    </w:p>
    <w:p w14:paraId="082AA379" w14:textId="4C952772" w:rsidR="005B0BB1" w:rsidRDefault="00A1048B">
      <w:pPr>
        <w:pStyle w:val="TOC1"/>
        <w:rPr>
          <w:rFonts w:asciiTheme="minorHAnsi" w:eastAsiaTheme="minorEastAsia" w:hAnsiTheme="minorHAnsi" w:cstheme="minorBidi"/>
          <w:noProof/>
          <w:kern w:val="2"/>
          <w:szCs w:val="24"/>
          <w:lang w:val="en-IE" w:eastAsia="en-IE"/>
          <w14:ligatures w14:val="standardContextual"/>
        </w:rPr>
      </w:pPr>
      <w:hyperlink w:anchor="_Toc229069521" w:history="1">
        <w:r w:rsidR="005B0BB1" w:rsidRPr="001F5341">
          <w:rPr>
            <w:rStyle w:val="Hyperlink"/>
            <w:b/>
            <w:noProof/>
          </w:rPr>
          <w:t>4.</w:t>
        </w:r>
        <w:r w:rsidR="005B0BB1">
          <w:rPr>
            <w:rFonts w:asciiTheme="minorHAnsi" w:eastAsiaTheme="minorEastAsia" w:hAnsiTheme="minorHAnsi" w:cstheme="minorBidi"/>
            <w:noProof/>
            <w:kern w:val="2"/>
            <w:szCs w:val="24"/>
            <w:lang w:val="en-IE" w:eastAsia="en-IE"/>
            <w14:ligatures w14:val="standardContextual"/>
          </w:rPr>
          <w:tab/>
        </w:r>
        <w:r w:rsidR="005B0BB1" w:rsidRPr="001F5341">
          <w:rPr>
            <w:rStyle w:val="Hyperlink"/>
            <w:b/>
            <w:noProof/>
          </w:rPr>
          <w:t>LIMITELE POZIȚIILOR, MECANISMELE DE CONTROL AL ADMINISTRĂRII POZIȚIILOR ȘI RAPORTAREA POZIȚIILOR</w:t>
        </w:r>
        <w:r w:rsidR="005B0BB1">
          <w:rPr>
            <w:noProof/>
            <w:webHidden/>
          </w:rPr>
          <w:tab/>
        </w:r>
        <w:r w:rsidR="005B0BB1">
          <w:rPr>
            <w:noProof/>
            <w:webHidden/>
          </w:rPr>
          <w:fldChar w:fldCharType="begin"/>
        </w:r>
        <w:r w:rsidR="005B0BB1">
          <w:rPr>
            <w:noProof/>
            <w:webHidden/>
          </w:rPr>
          <w:instrText xml:space="preserve"> PAGEREF _Toc229069521 \h </w:instrText>
        </w:r>
        <w:r w:rsidR="005B0BB1">
          <w:rPr>
            <w:noProof/>
            <w:webHidden/>
          </w:rPr>
        </w:r>
        <w:r w:rsidR="005B0BB1">
          <w:rPr>
            <w:noProof/>
            <w:webHidden/>
          </w:rPr>
          <w:fldChar w:fldCharType="separate"/>
        </w:r>
        <w:r w:rsidR="001F5341">
          <w:rPr>
            <w:noProof/>
            <w:webHidden/>
          </w:rPr>
          <w:t>13</w:t>
        </w:r>
        <w:r w:rsidR="005B0BB1">
          <w:rPr>
            <w:noProof/>
            <w:webHidden/>
          </w:rPr>
          <w:fldChar w:fldCharType="end"/>
        </w:r>
      </w:hyperlink>
    </w:p>
    <w:p w14:paraId="66CE00D1" w14:textId="6E23EE9C" w:rsidR="005B0BB1" w:rsidRDefault="00A1048B">
      <w:pPr>
        <w:pStyle w:val="TOC1"/>
        <w:rPr>
          <w:rFonts w:asciiTheme="minorHAnsi" w:eastAsiaTheme="minorEastAsia" w:hAnsiTheme="minorHAnsi" w:cstheme="minorBidi"/>
          <w:noProof/>
          <w:kern w:val="2"/>
          <w:szCs w:val="24"/>
          <w:lang w:val="en-IE" w:eastAsia="en-IE"/>
          <w14:ligatures w14:val="standardContextual"/>
        </w:rPr>
      </w:pPr>
      <w:hyperlink w:anchor="_Toc229069522" w:history="1">
        <w:r w:rsidR="005B0BB1" w:rsidRPr="001F5341">
          <w:rPr>
            <w:rStyle w:val="Hyperlink"/>
            <w:b/>
            <w:bCs/>
            <w:noProof/>
          </w:rPr>
          <w:t>5.</w:t>
        </w:r>
        <w:r w:rsidR="005B0BB1">
          <w:rPr>
            <w:rFonts w:asciiTheme="minorHAnsi" w:eastAsiaTheme="minorEastAsia" w:hAnsiTheme="minorHAnsi" w:cstheme="minorBidi"/>
            <w:noProof/>
            <w:kern w:val="2"/>
            <w:szCs w:val="24"/>
            <w:lang w:val="en-IE" w:eastAsia="en-IE"/>
            <w14:ligatures w14:val="standardContextual"/>
          </w:rPr>
          <w:tab/>
        </w:r>
        <w:r w:rsidR="005B0BB1" w:rsidRPr="001F5341">
          <w:rPr>
            <w:rStyle w:val="Hyperlink"/>
            <w:b/>
            <w:noProof/>
          </w:rPr>
          <w:t>CONCLUZII</w:t>
        </w:r>
        <w:r w:rsidR="005B0BB1">
          <w:rPr>
            <w:noProof/>
            <w:webHidden/>
          </w:rPr>
          <w:tab/>
        </w:r>
        <w:r w:rsidR="005B0BB1">
          <w:rPr>
            <w:noProof/>
            <w:webHidden/>
          </w:rPr>
          <w:fldChar w:fldCharType="begin"/>
        </w:r>
        <w:r w:rsidR="005B0BB1">
          <w:rPr>
            <w:noProof/>
            <w:webHidden/>
          </w:rPr>
          <w:instrText xml:space="preserve"> PAGEREF _Toc229069522 \h </w:instrText>
        </w:r>
        <w:r w:rsidR="005B0BB1">
          <w:rPr>
            <w:noProof/>
            <w:webHidden/>
          </w:rPr>
        </w:r>
        <w:r w:rsidR="005B0BB1">
          <w:rPr>
            <w:noProof/>
            <w:webHidden/>
          </w:rPr>
          <w:fldChar w:fldCharType="separate"/>
        </w:r>
        <w:r w:rsidR="001F5341">
          <w:rPr>
            <w:noProof/>
            <w:webHidden/>
          </w:rPr>
          <w:t>19</w:t>
        </w:r>
        <w:r w:rsidR="005B0BB1">
          <w:rPr>
            <w:noProof/>
            <w:webHidden/>
          </w:rPr>
          <w:fldChar w:fldCharType="end"/>
        </w:r>
      </w:hyperlink>
    </w:p>
    <w:p w14:paraId="4EF77561" w14:textId="5E033A6A" w:rsidR="46AC4051" w:rsidRPr="00975254" w:rsidRDefault="00F351E6" w:rsidP="007065F7">
      <w:pPr>
        <w:keepNext/>
        <w:keepLines/>
        <w:outlineLvl w:val="0"/>
        <w:rPr>
          <w:b/>
          <w:noProof/>
        </w:rPr>
      </w:pPr>
      <w:r>
        <w:rPr>
          <w:noProof/>
        </w:rPr>
        <w:fldChar w:fldCharType="end"/>
      </w:r>
      <w:r>
        <w:rPr>
          <w:noProof/>
        </w:rPr>
        <w:br w:type="page"/>
      </w:r>
      <w:bookmarkStart w:id="3" w:name="_Toc229069517"/>
      <w:r w:rsidRPr="00975254">
        <w:rPr>
          <w:b/>
          <w:noProof/>
        </w:rPr>
        <w:t>LISTA ABREVIERILOR</w:t>
      </w:r>
      <w:bookmarkEnd w:id="3"/>
    </w:p>
    <w:p w14:paraId="66667F0F" w14:textId="0DFFA2B4" w:rsidR="39182F7A" w:rsidRDefault="003166F1" w:rsidP="00AC60EB">
      <w:pPr>
        <w:tabs>
          <w:tab w:val="left" w:pos="660"/>
          <w:tab w:val="right" w:leader="dot" w:pos="9062"/>
        </w:tabs>
        <w:spacing w:line="259" w:lineRule="auto"/>
        <w:rPr>
          <w:noProof/>
        </w:rPr>
      </w:pPr>
      <w:r>
        <w:rPr>
          <w:noProof/>
        </w:rPr>
        <w:t>AAE: Derogare privind activitățile auxiliare</w:t>
      </w:r>
    </w:p>
    <w:p w14:paraId="5D147564" w14:textId="00A3085D" w:rsidR="38AB0CA8" w:rsidRPr="00575C33" w:rsidRDefault="38AB0CA8" w:rsidP="00AC60EB">
      <w:pPr>
        <w:tabs>
          <w:tab w:val="left" w:pos="660"/>
          <w:tab w:val="right" w:leader="dot" w:pos="9062"/>
        </w:tabs>
        <w:spacing w:line="259" w:lineRule="auto"/>
        <w:rPr>
          <w:noProof/>
        </w:rPr>
      </w:pPr>
      <w:r>
        <w:rPr>
          <w:noProof/>
        </w:rPr>
        <w:t>ACER: Agenția pentru Cooperarea Autorităților de Reglementare din Domeniul Energiei</w:t>
      </w:r>
    </w:p>
    <w:p w14:paraId="4FFE9A77" w14:textId="221D4D01" w:rsidR="40BCE0E6" w:rsidRDefault="40BCE0E6" w:rsidP="00AC60EB">
      <w:pPr>
        <w:tabs>
          <w:tab w:val="left" w:pos="660"/>
          <w:tab w:val="right" w:leader="dot" w:pos="9062"/>
        </w:tabs>
        <w:spacing w:line="259" w:lineRule="auto"/>
        <w:rPr>
          <w:rFonts w:eastAsia="Calibri"/>
          <w:noProof/>
        </w:rPr>
      </w:pPr>
      <w:r>
        <w:rPr>
          <w:noProof/>
        </w:rPr>
        <w:t xml:space="preserve">CDR </w:t>
      </w:r>
      <w:r w:rsidRPr="00975254">
        <w:rPr>
          <w:noProof/>
        </w:rPr>
        <w:t>2022</w:t>
      </w:r>
      <w:r>
        <w:rPr>
          <w:noProof/>
        </w:rPr>
        <w:t>/</w:t>
      </w:r>
      <w:r w:rsidRPr="00975254">
        <w:rPr>
          <w:noProof/>
        </w:rPr>
        <w:t>1299</w:t>
      </w:r>
      <w:r>
        <w:rPr>
          <w:noProof/>
        </w:rPr>
        <w:t xml:space="preserve">: Regulamentul delegat (UE) </w:t>
      </w:r>
      <w:r w:rsidRPr="00975254">
        <w:rPr>
          <w:noProof/>
        </w:rPr>
        <w:t>2022</w:t>
      </w:r>
      <w:r>
        <w:rPr>
          <w:noProof/>
        </w:rPr>
        <w:t>/</w:t>
      </w:r>
      <w:r w:rsidRPr="00975254">
        <w:rPr>
          <w:noProof/>
        </w:rPr>
        <w:t>1299</w:t>
      </w:r>
      <w:r>
        <w:rPr>
          <w:noProof/>
        </w:rPr>
        <w:t xml:space="preserve"> al Comisiei </w:t>
      </w:r>
    </w:p>
    <w:p w14:paraId="16B36BC7" w14:textId="14D2580C" w:rsidR="31770067" w:rsidRDefault="31770067" w:rsidP="00AC60EB">
      <w:pPr>
        <w:tabs>
          <w:tab w:val="left" w:pos="660"/>
          <w:tab w:val="right" w:leader="dot" w:pos="9062"/>
        </w:tabs>
        <w:spacing w:line="259" w:lineRule="auto"/>
        <w:rPr>
          <w:noProof/>
        </w:rPr>
      </w:pPr>
      <w:r>
        <w:rPr>
          <w:noProof/>
        </w:rPr>
        <w:t xml:space="preserve">CFTC: Comisia pentru tranzacții cu mărfuri și contracte futures </w:t>
      </w:r>
    </w:p>
    <w:p w14:paraId="7C217CF6" w14:textId="53522692" w:rsidR="167BDA6A" w:rsidRPr="00575C33" w:rsidRDefault="167BDA6A" w:rsidP="00AC60EB">
      <w:pPr>
        <w:tabs>
          <w:tab w:val="left" w:pos="660"/>
          <w:tab w:val="right" w:leader="dot" w:pos="9062"/>
        </w:tabs>
        <w:spacing w:line="259" w:lineRule="auto"/>
        <w:rPr>
          <w:noProof/>
        </w:rPr>
      </w:pPr>
      <w:r>
        <w:rPr>
          <w:noProof/>
        </w:rPr>
        <w:t xml:space="preserve">CMRP: Pachetul de măsuri privind redresarea piețelor de capital [Directiva (UE) </w:t>
      </w:r>
      <w:r w:rsidRPr="00975254">
        <w:rPr>
          <w:noProof/>
        </w:rPr>
        <w:t>2021</w:t>
      </w:r>
      <w:r>
        <w:rPr>
          <w:noProof/>
        </w:rPr>
        <w:t>/</w:t>
      </w:r>
      <w:r w:rsidRPr="00975254">
        <w:rPr>
          <w:noProof/>
        </w:rPr>
        <w:t>338</w:t>
      </w:r>
      <w:r>
        <w:rPr>
          <w:noProof/>
        </w:rPr>
        <w:t>]</w:t>
      </w:r>
    </w:p>
    <w:p w14:paraId="0E7C4DC5" w14:textId="5831E433" w:rsidR="20EF4877" w:rsidRPr="00575C33" w:rsidRDefault="65501041" w:rsidP="00AC60EB">
      <w:pPr>
        <w:tabs>
          <w:tab w:val="left" w:pos="660"/>
          <w:tab w:val="right" w:leader="dot" w:pos="9062"/>
        </w:tabs>
        <w:spacing w:line="259" w:lineRule="auto"/>
        <w:rPr>
          <w:noProof/>
        </w:rPr>
      </w:pPr>
      <w:r>
        <w:rPr>
          <w:noProof/>
        </w:rPr>
        <w:t>EEOTC: contract extrabursier echivalent din punct de vedere economic</w:t>
      </w:r>
    </w:p>
    <w:p w14:paraId="17F495AD" w14:textId="1A1DA44C" w:rsidR="20EF4877" w:rsidRPr="00575C33" w:rsidRDefault="20EF4877" w:rsidP="00AC60EB">
      <w:pPr>
        <w:tabs>
          <w:tab w:val="left" w:pos="660"/>
          <w:tab w:val="right" w:leader="dot" w:pos="9062"/>
        </w:tabs>
        <w:spacing w:line="259" w:lineRule="auto"/>
        <w:rPr>
          <w:noProof/>
        </w:rPr>
      </w:pPr>
      <w:r>
        <w:rPr>
          <w:noProof/>
        </w:rPr>
        <w:t>EMIR: Regulamentul privind infrastructura pieței europene [Regulamentul (UE) nr. </w:t>
      </w:r>
      <w:r w:rsidRPr="00975254">
        <w:rPr>
          <w:noProof/>
        </w:rPr>
        <w:t>648</w:t>
      </w:r>
      <w:r>
        <w:rPr>
          <w:noProof/>
        </w:rPr>
        <w:t>/</w:t>
      </w:r>
      <w:r w:rsidRPr="00975254">
        <w:rPr>
          <w:noProof/>
        </w:rPr>
        <w:t>2012</w:t>
      </w:r>
      <w:r>
        <w:rPr>
          <w:noProof/>
        </w:rPr>
        <w:t>]</w:t>
      </w:r>
    </w:p>
    <w:p w14:paraId="56306910" w14:textId="3BFD3EBA" w:rsidR="7849FB70" w:rsidRPr="00575C33" w:rsidRDefault="7849FB70" w:rsidP="00AC60EB">
      <w:pPr>
        <w:tabs>
          <w:tab w:val="left" w:pos="660"/>
          <w:tab w:val="right" w:leader="dot" w:pos="9062"/>
        </w:tabs>
        <w:spacing w:line="259" w:lineRule="auto"/>
        <w:rPr>
          <w:noProof/>
        </w:rPr>
      </w:pPr>
      <w:r>
        <w:rPr>
          <w:noProof/>
        </w:rPr>
        <w:t>ESMA: Autoritatea Europeană pentru Valori Mobiliare și Piețe</w:t>
      </w:r>
    </w:p>
    <w:p w14:paraId="72BB6FFA" w14:textId="55409817" w:rsidR="115A38B2" w:rsidRPr="00575C33" w:rsidRDefault="641432F0" w:rsidP="00AC60EB">
      <w:pPr>
        <w:tabs>
          <w:tab w:val="left" w:pos="660"/>
          <w:tab w:val="right" w:leader="dot" w:pos="9062"/>
        </w:tabs>
        <w:spacing w:line="259" w:lineRule="auto"/>
        <w:rPr>
          <w:noProof/>
        </w:rPr>
      </w:pPr>
      <w:r>
        <w:rPr>
          <w:noProof/>
        </w:rPr>
        <w:t>UE: Uniunea Europeană</w:t>
      </w:r>
    </w:p>
    <w:p w14:paraId="202B024C" w14:textId="0E7A52E6" w:rsidR="36990A30" w:rsidRPr="00575C33" w:rsidRDefault="18BA6022" w:rsidP="00AC60EB">
      <w:pPr>
        <w:tabs>
          <w:tab w:val="left" w:pos="660"/>
          <w:tab w:val="right" w:leader="dot" w:pos="9062"/>
        </w:tabs>
        <w:rPr>
          <w:noProof/>
        </w:rPr>
      </w:pPr>
      <w:r>
        <w:rPr>
          <w:noProof/>
        </w:rPr>
        <w:t>EUA:</w:t>
      </w:r>
      <w:r>
        <w:rPr>
          <w:noProof/>
        </w:rPr>
        <w:tab/>
        <w:t>Certificat de emisii al Uniunii Europene în cadrul schemei UE de comercializare a certificatelor de emisii</w:t>
      </w:r>
    </w:p>
    <w:p w14:paraId="5BF5D155" w14:textId="146308E9" w:rsidR="6A2CA77B" w:rsidRPr="00575C33" w:rsidRDefault="6BA28DE5" w:rsidP="00AC60EB">
      <w:pPr>
        <w:tabs>
          <w:tab w:val="left" w:pos="660"/>
          <w:tab w:val="right" w:leader="dot" w:pos="9062"/>
        </w:tabs>
        <w:rPr>
          <w:noProof/>
        </w:rPr>
      </w:pPr>
      <w:r>
        <w:rPr>
          <w:noProof/>
        </w:rPr>
        <w:t>ETS:</w:t>
      </w:r>
      <w:r>
        <w:rPr>
          <w:noProof/>
        </w:rPr>
        <w:tab/>
        <w:t>Schema UE de comercializare a certificatelor de emisii</w:t>
      </w:r>
    </w:p>
    <w:p w14:paraId="1271DC24" w14:textId="6EC6AC5B" w:rsidR="5DC649DC" w:rsidRDefault="62A3AEF3" w:rsidP="00AC60EB">
      <w:pPr>
        <w:tabs>
          <w:tab w:val="left" w:pos="660"/>
          <w:tab w:val="right" w:leader="dot" w:pos="9062"/>
        </w:tabs>
        <w:rPr>
          <w:noProof/>
        </w:rPr>
      </w:pPr>
      <w:r>
        <w:rPr>
          <w:noProof/>
        </w:rPr>
        <w:t xml:space="preserve">IFD: Directiva privind supravegherea prudențială a firmelor de investiții [Directiva (UE) </w:t>
      </w:r>
      <w:r w:rsidRPr="00975254">
        <w:rPr>
          <w:noProof/>
        </w:rPr>
        <w:t>2019</w:t>
      </w:r>
      <w:r>
        <w:rPr>
          <w:noProof/>
        </w:rPr>
        <w:t>/</w:t>
      </w:r>
      <w:r w:rsidRPr="00975254">
        <w:rPr>
          <w:noProof/>
        </w:rPr>
        <w:t>2034</w:t>
      </w:r>
      <w:r>
        <w:rPr>
          <w:noProof/>
        </w:rPr>
        <w:t>]</w:t>
      </w:r>
    </w:p>
    <w:p w14:paraId="62A6B006" w14:textId="205E6810" w:rsidR="5DC649DC" w:rsidRDefault="5DC649DC" w:rsidP="00AC60EB">
      <w:pPr>
        <w:tabs>
          <w:tab w:val="left" w:pos="660"/>
          <w:tab w:val="right" w:leader="dot" w:pos="9062"/>
        </w:tabs>
        <w:rPr>
          <w:noProof/>
        </w:rPr>
      </w:pPr>
      <w:r>
        <w:rPr>
          <w:noProof/>
        </w:rPr>
        <w:t xml:space="preserve">IFR: Regulamentul privind cerințele prudențiale ale firmelor de investiții [Regulamentul (UE) </w:t>
      </w:r>
      <w:r w:rsidRPr="00975254">
        <w:rPr>
          <w:noProof/>
        </w:rPr>
        <w:t>2019</w:t>
      </w:r>
      <w:r>
        <w:rPr>
          <w:noProof/>
        </w:rPr>
        <w:t>/</w:t>
      </w:r>
      <w:r w:rsidRPr="00975254">
        <w:rPr>
          <w:noProof/>
        </w:rPr>
        <w:t>2033</w:t>
      </w:r>
      <w:r>
        <w:rPr>
          <w:noProof/>
        </w:rPr>
        <w:t>]</w:t>
      </w:r>
    </w:p>
    <w:p w14:paraId="3A2E9A3B" w14:textId="1860B0B4" w:rsidR="4C26F26E" w:rsidRPr="00575C33" w:rsidRDefault="4C26F26E" w:rsidP="00AC60EB">
      <w:pPr>
        <w:tabs>
          <w:tab w:val="left" w:pos="660"/>
          <w:tab w:val="right" w:leader="dot" w:pos="9062"/>
        </w:tabs>
        <w:rPr>
          <w:noProof/>
        </w:rPr>
      </w:pPr>
      <w:r>
        <w:rPr>
          <w:noProof/>
        </w:rPr>
        <w:t xml:space="preserve">MiFID II: Directiva privind piețele instrumentelor financiare (Directiva </w:t>
      </w:r>
      <w:r w:rsidRPr="00975254">
        <w:rPr>
          <w:noProof/>
        </w:rPr>
        <w:t>2014</w:t>
      </w:r>
      <w:r>
        <w:rPr>
          <w:noProof/>
        </w:rPr>
        <w:t>/</w:t>
      </w:r>
      <w:r w:rsidRPr="00975254">
        <w:rPr>
          <w:noProof/>
        </w:rPr>
        <w:t>65</w:t>
      </w:r>
      <w:r>
        <w:rPr>
          <w:noProof/>
        </w:rPr>
        <w:t>/UE)</w:t>
      </w:r>
    </w:p>
    <w:p w14:paraId="32AECE8C" w14:textId="3ED49C61" w:rsidR="6FD7E996" w:rsidRPr="00575C33" w:rsidRDefault="6FD7E996" w:rsidP="00AC60EB">
      <w:pPr>
        <w:tabs>
          <w:tab w:val="left" w:pos="660"/>
          <w:tab w:val="right" w:leader="dot" w:pos="9062"/>
        </w:tabs>
        <w:rPr>
          <w:noProof/>
        </w:rPr>
      </w:pPr>
      <w:r>
        <w:rPr>
          <w:noProof/>
        </w:rPr>
        <w:t>MiFIR: Regulamentul privind piețele instrumentelor financiare [Regulamentul (UE) nr. </w:t>
      </w:r>
      <w:r w:rsidRPr="00975254">
        <w:rPr>
          <w:noProof/>
        </w:rPr>
        <w:t>600</w:t>
      </w:r>
      <w:r>
        <w:rPr>
          <w:noProof/>
        </w:rPr>
        <w:t>/</w:t>
      </w:r>
      <w:r w:rsidRPr="00975254">
        <w:rPr>
          <w:noProof/>
        </w:rPr>
        <w:t>2014</w:t>
      </w:r>
      <w:r>
        <w:rPr>
          <w:noProof/>
        </w:rPr>
        <w:t>]</w:t>
      </w:r>
    </w:p>
    <w:p w14:paraId="5F299F63" w14:textId="14F1C892" w:rsidR="32341B88" w:rsidRDefault="314DFC99" w:rsidP="00AC60EB">
      <w:pPr>
        <w:tabs>
          <w:tab w:val="left" w:pos="660"/>
          <w:tab w:val="right" w:leader="dot" w:pos="9062"/>
        </w:tabs>
        <w:rPr>
          <w:noProof/>
        </w:rPr>
      </w:pPr>
      <w:r>
        <w:rPr>
          <w:noProof/>
        </w:rPr>
        <w:t>ANC: autoritate națională competentă</w:t>
      </w:r>
    </w:p>
    <w:p w14:paraId="71893991" w14:textId="74EF0C03" w:rsidR="6B799231" w:rsidRDefault="3614CA12" w:rsidP="00AC60EB">
      <w:pPr>
        <w:tabs>
          <w:tab w:val="left" w:pos="660"/>
          <w:tab w:val="right" w:leader="dot" w:pos="9062"/>
        </w:tabs>
        <w:rPr>
          <w:noProof/>
        </w:rPr>
      </w:pPr>
      <w:r>
        <w:rPr>
          <w:noProof/>
        </w:rPr>
        <w:t>ANR: autoritatea națională de reglementare</w:t>
      </w:r>
    </w:p>
    <w:p w14:paraId="326ABB6C" w14:textId="603E38E2" w:rsidR="1079FB9F" w:rsidRDefault="690463B9" w:rsidP="00AC60EB">
      <w:pPr>
        <w:tabs>
          <w:tab w:val="left" w:pos="660"/>
          <w:tab w:val="right" w:leader="dot" w:pos="9062"/>
        </w:tabs>
        <w:rPr>
          <w:noProof/>
        </w:rPr>
      </w:pPr>
      <w:r>
        <w:rPr>
          <w:noProof/>
        </w:rPr>
        <w:t xml:space="preserve">OTC: extrabursier </w:t>
      </w:r>
    </w:p>
    <w:p w14:paraId="47F829E6" w14:textId="38D76E62" w:rsidR="243BDE21" w:rsidRPr="00575C33" w:rsidRDefault="4375A3AB" w:rsidP="00AC60EB">
      <w:pPr>
        <w:tabs>
          <w:tab w:val="left" w:pos="660"/>
          <w:tab w:val="right" w:leader="dot" w:pos="9062"/>
        </w:tabs>
        <w:rPr>
          <w:noProof/>
        </w:rPr>
      </w:pPr>
      <w:r>
        <w:rPr>
          <w:noProof/>
        </w:rPr>
        <w:t>PMC:</w:t>
      </w:r>
      <w:r>
        <w:rPr>
          <w:noProof/>
        </w:rPr>
        <w:tab/>
        <w:t>mecanisme de control al administrării pozițiilor</w:t>
      </w:r>
    </w:p>
    <w:p w14:paraId="366CD502" w14:textId="090B833E" w:rsidR="0A25B449" w:rsidRPr="00575C33" w:rsidRDefault="0A25B449" w:rsidP="00AC60EB">
      <w:pPr>
        <w:tabs>
          <w:tab w:val="left" w:pos="660"/>
          <w:tab w:val="right" w:leader="dot" w:pos="9062"/>
        </w:tabs>
        <w:rPr>
          <w:noProof/>
        </w:rPr>
      </w:pPr>
      <w:r>
        <w:rPr>
          <w:noProof/>
        </w:rPr>
        <w:t>REMIT: Regulamentul privind integritatea și transparența pieței angro de energie [Regulamentul (UE) nr. </w:t>
      </w:r>
      <w:r w:rsidRPr="00975254">
        <w:rPr>
          <w:noProof/>
        </w:rPr>
        <w:t>1227</w:t>
      </w:r>
      <w:r>
        <w:rPr>
          <w:noProof/>
        </w:rPr>
        <w:t>/</w:t>
      </w:r>
      <w:r w:rsidRPr="00975254">
        <w:rPr>
          <w:noProof/>
        </w:rPr>
        <w:t>2011</w:t>
      </w:r>
      <w:r>
        <w:rPr>
          <w:noProof/>
        </w:rPr>
        <w:t>]</w:t>
      </w:r>
    </w:p>
    <w:p w14:paraId="0E56298B" w14:textId="7CDC6CA2" w:rsidR="4C26F26E" w:rsidRPr="00575C33" w:rsidRDefault="4C26F26E" w:rsidP="00AC60EB">
      <w:pPr>
        <w:tabs>
          <w:tab w:val="left" w:pos="660"/>
          <w:tab w:val="right" w:leader="dot" w:pos="9062"/>
        </w:tabs>
        <w:rPr>
          <w:noProof/>
        </w:rPr>
      </w:pPr>
      <w:r>
        <w:rPr>
          <w:noProof/>
        </w:rPr>
        <w:t>TFUE: Tratatul privind funcționarea Uniunii Europene</w:t>
      </w:r>
    </w:p>
    <w:p w14:paraId="1BA82C44" w14:textId="6604E724" w:rsidR="48453602" w:rsidRDefault="060CBF17" w:rsidP="00AC60EB">
      <w:pPr>
        <w:tabs>
          <w:tab w:val="left" w:pos="660"/>
          <w:tab w:val="right" w:leader="dot" w:pos="9062"/>
        </w:tabs>
        <w:rPr>
          <w:noProof/>
        </w:rPr>
      </w:pPr>
      <w:r>
        <w:rPr>
          <w:noProof/>
        </w:rPr>
        <w:t>TTF: mecanismul de transfer de titluri</w:t>
      </w:r>
    </w:p>
    <w:p w14:paraId="0AE326FA" w14:textId="6DB2D0A7" w:rsidR="064E4AC2" w:rsidRDefault="08DFB022" w:rsidP="00AC60EB">
      <w:pPr>
        <w:tabs>
          <w:tab w:val="left" w:pos="660"/>
          <w:tab w:val="right" w:leader="dot" w:pos="9062"/>
        </w:tabs>
        <w:rPr>
          <w:noProof/>
        </w:rPr>
      </w:pPr>
      <w:r>
        <w:rPr>
          <w:noProof/>
        </w:rPr>
        <w:t>TV: loc de tranzacționare</w:t>
      </w:r>
    </w:p>
    <w:p w14:paraId="72084B6B" w14:textId="77777777" w:rsidR="003173E0" w:rsidRPr="003173E0" w:rsidRDefault="003173E0" w:rsidP="003173E0">
      <w:pPr>
        <w:rPr>
          <w:noProof/>
        </w:rPr>
      </w:pPr>
    </w:p>
    <w:p w14:paraId="7D2ABDE5" w14:textId="0BE4605D" w:rsidR="00BF6C5E" w:rsidRPr="00975254" w:rsidRDefault="00F351E6" w:rsidP="00620950">
      <w:pPr>
        <w:keepNext/>
        <w:keepLines/>
        <w:numPr>
          <w:ilvl w:val="0"/>
          <w:numId w:val="2"/>
        </w:numPr>
        <w:outlineLvl w:val="0"/>
        <w:rPr>
          <w:b/>
          <w:noProof/>
        </w:rPr>
      </w:pPr>
      <w:bookmarkStart w:id="4" w:name="_Toc878023"/>
      <w:bookmarkStart w:id="5" w:name="_Toc17730531"/>
      <w:bookmarkStart w:id="6" w:name="_Toc41385899"/>
      <w:bookmarkStart w:id="7" w:name="_Toc52294919"/>
      <w:bookmarkStart w:id="8" w:name="_Toc52302081"/>
      <w:bookmarkStart w:id="9" w:name="_Toc52901478"/>
      <w:bookmarkStart w:id="10" w:name="_Toc4058292"/>
      <w:bookmarkStart w:id="11" w:name="_Toc10474382"/>
      <w:bookmarkStart w:id="12" w:name="_Toc93411858"/>
      <w:bookmarkStart w:id="13" w:name="_Toc229069518"/>
      <w:r w:rsidRPr="00975254">
        <w:rPr>
          <w:b/>
          <w:noProof/>
        </w:rPr>
        <w:t>INTRODUCERE</w:t>
      </w:r>
      <w:bookmarkStart w:id="14" w:name="_Toc878026"/>
      <w:bookmarkStart w:id="15" w:name="_Toc4058295"/>
      <w:bookmarkStart w:id="16" w:name="_Toc10474385"/>
      <w:bookmarkStart w:id="17" w:name="_Toc17730534"/>
      <w:bookmarkStart w:id="18" w:name="_Toc41385903"/>
      <w:bookmarkStart w:id="19" w:name="_Toc52294924"/>
      <w:bookmarkStart w:id="20" w:name="_Toc52302086"/>
      <w:bookmarkStart w:id="21" w:name="_Toc52901484"/>
      <w:bookmarkEnd w:id="4"/>
      <w:bookmarkEnd w:id="5"/>
      <w:bookmarkEnd w:id="6"/>
      <w:bookmarkEnd w:id="7"/>
      <w:bookmarkEnd w:id="8"/>
      <w:bookmarkEnd w:id="9"/>
      <w:bookmarkEnd w:id="10"/>
      <w:bookmarkEnd w:id="11"/>
      <w:bookmarkEnd w:id="12"/>
      <w:bookmarkEnd w:id="13"/>
    </w:p>
    <w:p w14:paraId="5241FAAA" w14:textId="59D2A95C" w:rsidR="00DF4AE8" w:rsidRDefault="0E1A28B4" w:rsidP="00AC60EB">
      <w:pPr>
        <w:rPr>
          <w:noProof/>
        </w:rPr>
      </w:pPr>
      <w:r>
        <w:rPr>
          <w:noProof/>
        </w:rPr>
        <w:t xml:space="preserve">Instrumentele financiare derivate pe mărfuri sunt instrumente esențiale care permit participanților la piață să își acopere expunerile la riscurile de pe piețele de mărfuri activ suport (de exemplu, energie, mărfuri agricole, metale). Aceste piețe de mărfuri se caracterizează prin participarea în principal a unor entități nefinanciare. Printre aceste entități se numără, în mare parte, producători fizici de mărfuri, operatori de servicii de utilități publice, mari societăți nefinanciare energointensive și traderi fizici de mărfuri, care depind direct de piețele instrumentelor financiare derivate pe mărfuri pentru a atenua riscurile generate de activitatea lor comercială. </w:t>
      </w:r>
    </w:p>
    <w:p w14:paraId="45AA1413" w14:textId="763298A2" w:rsidR="00DF4AE8" w:rsidRDefault="0E1A28B4" w:rsidP="21CB014D">
      <w:pPr>
        <w:rPr>
          <w:noProof/>
        </w:rPr>
      </w:pPr>
      <w:r>
        <w:rPr>
          <w:noProof/>
        </w:rPr>
        <w:t>Buna funcționare a piețelor instrumentelor financiare derivate pe mărfuri joacă un rol important pentru stabilitatea și prosperitatea economiei UE și, în ceea ce privește piețele instrumentelor financiare derivate pe produse energetice, pentru accesibilitatea energiei în UE și funcționarea eficientă a pieței. Pactul pentru o industrie curată (</w:t>
      </w:r>
      <w:r>
        <w:rPr>
          <w:rStyle w:val="FootnoteReference"/>
          <w:noProof/>
          <w:szCs w:val="24"/>
        </w:rPr>
        <w:footnoteReference w:id="2"/>
      </w:r>
      <w:r>
        <w:rPr>
          <w:noProof/>
        </w:rPr>
        <w:t>) și Planul de acțiune al Comisiei pentru energie la prețuri accesibile (</w:t>
      </w:r>
      <w:r>
        <w:rPr>
          <w:rStyle w:val="FootnoteReference"/>
          <w:noProof/>
        </w:rPr>
        <w:footnoteReference w:id="3"/>
      </w:r>
      <w:r>
        <w:rPr>
          <w:noProof/>
        </w:rPr>
        <w:t xml:space="preserve">), adoptate în februarie </w:t>
      </w:r>
      <w:r w:rsidRPr="00975254">
        <w:rPr>
          <w:noProof/>
        </w:rPr>
        <w:t>2025</w:t>
      </w:r>
      <w:r>
        <w:rPr>
          <w:noProof/>
        </w:rPr>
        <w:t>, subliniază astfel rolul piețelor eficiente, inclusiv al piețelor instrumentelor financiare derivate (</w:t>
      </w:r>
      <w:r>
        <w:rPr>
          <w:rStyle w:val="FootnoteReference"/>
          <w:noProof/>
          <w:szCs w:val="24"/>
        </w:rPr>
        <w:footnoteReference w:id="4"/>
      </w:r>
      <w:r>
        <w:rPr>
          <w:noProof/>
        </w:rPr>
        <w:t>). Totodată, regimul instrumentelor financiare derivate pe mărfuri reprezintă o componentă esențială a piețelor financiare europene, permițând participanților la piață să gestioneze riscurile și să investească într-o gamă de instrumente financiare derivate pe mărfuri, inclusiv certificate de emisii (EUA) și instrumente financiare derivate pe certificate de emisii. Prin urmare, piețele instrumentelor financiare derivate pe mărfuri din UE fac obiectul unui set amplu de norme care țin seama de natura specifică a acestor instrumente și de relevanța lor pentru economia UE.</w:t>
      </w:r>
    </w:p>
    <w:bookmarkEnd w:id="0"/>
    <w:bookmarkEnd w:id="14"/>
    <w:bookmarkEnd w:id="15"/>
    <w:bookmarkEnd w:id="16"/>
    <w:bookmarkEnd w:id="17"/>
    <w:bookmarkEnd w:id="18"/>
    <w:bookmarkEnd w:id="19"/>
    <w:bookmarkEnd w:id="20"/>
    <w:bookmarkEnd w:id="21"/>
    <w:p w14:paraId="2F8D9E48" w14:textId="1BDE19F3" w:rsidR="00C47BEE" w:rsidRPr="00575C33" w:rsidRDefault="1F5D6281" w:rsidP="00AC60EB">
      <w:pPr>
        <w:rPr>
          <w:noProof/>
        </w:rPr>
      </w:pPr>
      <w:r>
        <w:rPr>
          <w:noProof/>
        </w:rPr>
        <w:t>Comisia Europeană prezintă prezentul raport Parlamentului European și Consiliului în temeiul articolului </w:t>
      </w:r>
      <w:r w:rsidRPr="00975254">
        <w:rPr>
          <w:noProof/>
        </w:rPr>
        <w:t>90</w:t>
      </w:r>
      <w:r>
        <w:rPr>
          <w:noProof/>
        </w:rPr>
        <w:t xml:space="preserve"> alineatul (</w:t>
      </w:r>
      <w:r w:rsidRPr="00975254">
        <w:rPr>
          <w:noProof/>
        </w:rPr>
        <w:t>5</w:t>
      </w:r>
      <w:r>
        <w:rPr>
          <w:noProof/>
        </w:rPr>
        <w:t xml:space="preserve">) din Directiva privind piețele instrumentelor financiare (MiFID II) (Directiva </w:t>
      </w:r>
      <w:r w:rsidRPr="00975254">
        <w:rPr>
          <w:noProof/>
        </w:rPr>
        <w:t>2014</w:t>
      </w:r>
      <w:r>
        <w:rPr>
          <w:noProof/>
        </w:rPr>
        <w:t>/</w:t>
      </w:r>
      <w:r w:rsidRPr="00975254">
        <w:rPr>
          <w:noProof/>
        </w:rPr>
        <w:t>65</w:t>
      </w:r>
      <w:r>
        <w:rPr>
          <w:noProof/>
        </w:rPr>
        <w:t>/UE). La elaborarea prezentului raport, în conformitate cu cerința prevăzută la articolul </w:t>
      </w:r>
      <w:r w:rsidRPr="00975254">
        <w:rPr>
          <w:noProof/>
        </w:rPr>
        <w:t>90</w:t>
      </w:r>
      <w:r>
        <w:rPr>
          <w:noProof/>
        </w:rPr>
        <w:t xml:space="preserve"> alineatul (</w:t>
      </w:r>
      <w:r w:rsidRPr="00975254">
        <w:rPr>
          <w:noProof/>
        </w:rPr>
        <w:t>5</w:t>
      </w:r>
      <w:r>
        <w:rPr>
          <w:noProof/>
        </w:rPr>
        <w:t>) din MiFID II, Comisia a solicitat contribuții din partea Autorității Europene pentru Valori Mobiliare și Piețe (ESMA), a Autorității Bancare Europene (ABE) și a Agenției pentru Cooperarea Autorităților de Reglementare din Domeniul Energiei (ACER). Contribuțiile solicitate au fost transmise de ESMA și de ACER. ABE a informat Comisia Europeană că o contribuție privind piețele de mărfuri ar necesita o analiză mai aprofundată și, prin urmare, nu a fost inclusă în răspunsul său la cererea de consiliere a Comisiei în sensul rapoartelor privind cerințele prudențiale aplicabile firmelor de investiții (</w:t>
      </w:r>
      <w:r>
        <w:rPr>
          <w:rStyle w:val="FootnoteReference"/>
          <w:noProof/>
          <w:lang w:val="en-IE"/>
        </w:rPr>
        <w:footnoteReference w:id="5"/>
      </w:r>
      <w:r>
        <w:rPr>
          <w:noProof/>
        </w:rPr>
        <w:t>). Prin urmare, prezentul raport nu include contribuția ABE.</w:t>
      </w:r>
    </w:p>
    <w:p w14:paraId="44BD056A" w14:textId="01FC1BD2" w:rsidR="00EE043D" w:rsidRPr="00575C33" w:rsidRDefault="51A86A03" w:rsidP="0031778B">
      <w:pPr>
        <w:rPr>
          <w:noProof/>
        </w:rPr>
      </w:pPr>
      <w:r>
        <w:rPr>
          <w:noProof/>
        </w:rPr>
        <w:t xml:space="preserve">De asemenea, Comisia Europeană a consultat participanții la piață prin intermediul unei consultări specifice, deschise pentru o perioadă de opt săptămâni, din februarie până în aprilie </w:t>
      </w:r>
      <w:r w:rsidRPr="00975254">
        <w:rPr>
          <w:noProof/>
        </w:rPr>
        <w:t>2025</w:t>
      </w:r>
      <w:r>
        <w:rPr>
          <w:noProof/>
        </w:rPr>
        <w:t> (</w:t>
      </w:r>
      <w:r>
        <w:rPr>
          <w:rStyle w:val="normaltextrun"/>
          <w:noProof/>
          <w:vertAlign w:val="superscript"/>
          <w:lang w:eastAsia="en-IE"/>
        </w:rPr>
        <w:footnoteReference w:id="6"/>
      </w:r>
      <w:r>
        <w:rPr>
          <w:rStyle w:val="normaltextrun"/>
          <w:noProof/>
        </w:rPr>
        <w:t>)</w:t>
      </w:r>
      <w:r>
        <w:rPr>
          <w:noProof/>
        </w:rPr>
        <w:t xml:space="preserve">. În total, au fost primite </w:t>
      </w:r>
      <w:r w:rsidRPr="00975254">
        <w:rPr>
          <w:noProof/>
        </w:rPr>
        <w:t>94</w:t>
      </w:r>
      <w:r>
        <w:rPr>
          <w:noProof/>
        </w:rPr>
        <w:t xml:space="preserve"> de răspunsuri, dintre care </w:t>
      </w:r>
      <w:r w:rsidRPr="00975254">
        <w:rPr>
          <w:noProof/>
        </w:rPr>
        <w:t>67</w:t>
      </w:r>
      <w:r>
        <w:rPr>
          <w:noProof/>
        </w:rPr>
        <w:t xml:space="preserve"> din partea operatorilor din sector (inclusiv </w:t>
      </w:r>
      <w:r w:rsidRPr="00975254">
        <w:rPr>
          <w:noProof/>
        </w:rPr>
        <w:t>12</w:t>
      </w:r>
      <w:r>
        <w:rPr>
          <w:noProof/>
        </w:rPr>
        <w:t xml:space="preserve"> din partea burselor și a asociațiilor acestora) și </w:t>
      </w:r>
      <w:r w:rsidRPr="00975254">
        <w:rPr>
          <w:noProof/>
        </w:rPr>
        <w:t>12</w:t>
      </w:r>
      <w:r>
        <w:rPr>
          <w:noProof/>
        </w:rPr>
        <w:t xml:space="preserve"> din partea autorităților publice și a autorităților de reglementare a pieței. La elaborarea prezentului raport, Comisia a examinat cu atenție răspunsurile primite și a analizat datele relevante și tendințele pieței pentru a-și completa evaluarea.</w:t>
      </w:r>
    </w:p>
    <w:p w14:paraId="15B1F68F" w14:textId="0011CCA4" w:rsidR="00142607" w:rsidRDefault="0DCCE4C0" w:rsidP="21CB014D">
      <w:pPr>
        <w:pStyle w:val="paragraph"/>
        <w:spacing w:before="0" w:beforeAutospacing="0" w:after="240" w:afterAutospacing="0"/>
        <w:jc w:val="both"/>
        <w:textAlignment w:val="baseline"/>
        <w:rPr>
          <w:rStyle w:val="normaltextrun"/>
          <w:noProof/>
        </w:rPr>
      </w:pPr>
      <w:r>
        <w:rPr>
          <w:rStyle w:val="normaltextrun"/>
          <w:noProof/>
        </w:rPr>
        <w:t>În conformitate cu cerința prevăzută la articolul </w:t>
      </w:r>
      <w:r w:rsidRPr="00975254">
        <w:rPr>
          <w:rStyle w:val="normaltextrun"/>
          <w:noProof/>
        </w:rPr>
        <w:t>90</w:t>
      </w:r>
      <w:r>
        <w:rPr>
          <w:rStyle w:val="normaltextrun"/>
          <w:noProof/>
        </w:rPr>
        <w:t xml:space="preserve"> alineatul (</w:t>
      </w:r>
      <w:r w:rsidRPr="00975254">
        <w:rPr>
          <w:rStyle w:val="normaltextrun"/>
          <w:noProof/>
        </w:rPr>
        <w:t>5</w:t>
      </w:r>
      <w:r>
        <w:rPr>
          <w:rStyle w:val="normaltextrun"/>
          <w:noProof/>
        </w:rPr>
        <w:t>) din MiFID II, raportul evaluează, pentru fiecare dintre următoarele elemente, contribuția sa la lichiditatea și buna funcționare a piețelor europene ale instrumentelor financiare derivate pe mărfuri, ale certificatelor de emisii sau ale instrumentelor financiare derivate pe acestea:</w:t>
      </w:r>
    </w:p>
    <w:p w14:paraId="674C7FF3" w14:textId="5B2C87B0" w:rsidR="00142607" w:rsidRPr="00575C33" w:rsidRDefault="00142607" w:rsidP="00AC60EB">
      <w:pPr>
        <w:pStyle w:val="paragraph"/>
        <w:numPr>
          <w:ilvl w:val="0"/>
          <w:numId w:val="31"/>
        </w:numPr>
        <w:spacing w:before="0" w:beforeAutospacing="0" w:after="240" w:afterAutospacing="0"/>
        <w:jc w:val="both"/>
        <w:textAlignment w:val="baseline"/>
        <w:rPr>
          <w:rStyle w:val="eop"/>
          <w:rFonts w:eastAsia="Calibri"/>
          <w:noProof/>
        </w:rPr>
      </w:pPr>
      <w:r>
        <w:rPr>
          <w:rStyle w:val="normaltextrun"/>
          <w:noProof/>
        </w:rPr>
        <w:t>regimurile privind limitele pozițiilor și mecanismele de control al administrării pozițiilor, regimuri care se bazează pe datele comunicate către ESMA de autoritățile competente în conformitate cu articolul </w:t>
      </w:r>
      <w:r w:rsidRPr="00975254">
        <w:rPr>
          <w:rStyle w:val="normaltextrun"/>
          <w:noProof/>
        </w:rPr>
        <w:t>57</w:t>
      </w:r>
      <w:r>
        <w:rPr>
          <w:rStyle w:val="normaltextrun"/>
          <w:noProof/>
        </w:rPr>
        <w:t xml:space="preserve"> alineatele (</w:t>
      </w:r>
      <w:r w:rsidRPr="00975254">
        <w:rPr>
          <w:rStyle w:val="normaltextrun"/>
          <w:noProof/>
        </w:rPr>
        <w:t>5</w:t>
      </w:r>
      <w:r>
        <w:rPr>
          <w:rStyle w:val="normaltextrun"/>
          <w:noProof/>
        </w:rPr>
        <w:t>) și (</w:t>
      </w:r>
      <w:r w:rsidRPr="00975254">
        <w:rPr>
          <w:rStyle w:val="normaltextrun"/>
          <w:noProof/>
        </w:rPr>
        <w:t>10</w:t>
      </w:r>
      <w:r>
        <w:rPr>
          <w:rStyle w:val="normaltextrun"/>
          <w:noProof/>
        </w:rPr>
        <w:t>) din MiFID II;</w:t>
      </w:r>
      <w:r>
        <w:rPr>
          <w:rStyle w:val="eop"/>
          <w:noProof/>
        </w:rPr>
        <w:t xml:space="preserve"> </w:t>
      </w:r>
    </w:p>
    <w:p w14:paraId="7CD5695C" w14:textId="1277D56F" w:rsidR="00142607" w:rsidRDefault="2E7611B7" w:rsidP="21CB014D">
      <w:pPr>
        <w:pStyle w:val="paragraph"/>
        <w:numPr>
          <w:ilvl w:val="0"/>
          <w:numId w:val="31"/>
        </w:numPr>
        <w:spacing w:before="0" w:beforeAutospacing="0" w:after="240" w:afterAutospacing="0"/>
        <w:jc w:val="both"/>
        <w:textAlignment w:val="baseline"/>
        <w:rPr>
          <w:rStyle w:val="eop"/>
          <w:rFonts w:eastAsia="Calibri"/>
          <w:noProof/>
        </w:rPr>
      </w:pPr>
      <w:r>
        <w:rPr>
          <w:rStyle w:val="normaltextrun"/>
          <w:noProof/>
        </w:rPr>
        <w:t>elementele menționate la articolul </w:t>
      </w:r>
      <w:r w:rsidRPr="00975254">
        <w:rPr>
          <w:rStyle w:val="normaltextrun"/>
          <w:noProof/>
        </w:rPr>
        <w:t>2</w:t>
      </w:r>
      <w:r>
        <w:rPr>
          <w:rStyle w:val="normaltextrun"/>
          <w:noProof/>
        </w:rPr>
        <w:t xml:space="preserve"> alineatul (</w:t>
      </w:r>
      <w:r w:rsidRPr="00975254">
        <w:rPr>
          <w:rStyle w:val="normaltextrun"/>
          <w:noProof/>
        </w:rPr>
        <w:t>4</w:t>
      </w:r>
      <w:r>
        <w:rPr>
          <w:rStyle w:val="normaltextrun"/>
          <w:noProof/>
        </w:rPr>
        <w:t xml:space="preserve">) al doilea și al treilea paragraf din MiFID și criteriile pentru stabilirea momentului în care o activitate trebuie considerată auxiliară în raport cu activitatea principală la nivel de grup în temeiul </w:t>
      </w:r>
      <w:hyperlink r:id="rId18">
        <w:r>
          <w:rPr>
            <w:rStyle w:val="normaltextrun"/>
            <w:noProof/>
          </w:rPr>
          <w:t xml:space="preserve">Regulamentului delegat (UE) </w:t>
        </w:r>
        <w:r w:rsidRPr="00975254">
          <w:rPr>
            <w:rStyle w:val="normaltextrun"/>
            <w:noProof/>
          </w:rPr>
          <w:t>2021</w:t>
        </w:r>
        <w:r>
          <w:rPr>
            <w:rStyle w:val="normaltextrun"/>
            <w:noProof/>
          </w:rPr>
          <w:t>/</w:t>
        </w:r>
        <w:r w:rsidRPr="00975254">
          <w:rPr>
            <w:rStyle w:val="normaltextrun"/>
            <w:noProof/>
          </w:rPr>
          <w:t>1833</w:t>
        </w:r>
        <w:r>
          <w:rPr>
            <w:rStyle w:val="normaltextrun"/>
            <w:noProof/>
          </w:rPr>
          <w:t xml:space="preserve"> al Comisiei</w:t>
        </w:r>
      </w:hyperlink>
      <w:r>
        <w:rPr>
          <w:rStyle w:val="normaltextrun"/>
          <w:noProof/>
        </w:rPr>
        <w:t> (</w:t>
      </w:r>
      <w:r w:rsidRPr="00975254">
        <w:rPr>
          <w:rStyle w:val="superscript"/>
          <w:noProof/>
          <w:vertAlign w:val="superscript"/>
        </w:rPr>
        <w:t>2</w:t>
      </w:r>
      <w:r>
        <w:rPr>
          <w:rStyle w:val="normaltextrun"/>
          <w:noProof/>
        </w:rPr>
        <w:t xml:space="preserve">), ținând seama de (i) capacitatea de a încheia tranzacții pentru reducerea efectivă a riscurilor direct legate de activitatea comercială sau de activitatea de finanțare a trezoreriei; (ii) aplicarea cerințelor începând cu </w:t>
      </w:r>
      <w:r w:rsidRPr="00975254">
        <w:rPr>
          <w:rStyle w:val="normaltextrun"/>
          <w:noProof/>
        </w:rPr>
        <w:t>26</w:t>
      </w:r>
      <w:r>
        <w:rPr>
          <w:rStyle w:val="normaltextrun"/>
          <w:noProof/>
        </w:rPr>
        <w:t xml:space="preserve"> iunie </w:t>
      </w:r>
      <w:r w:rsidRPr="00975254">
        <w:rPr>
          <w:rStyle w:val="normaltextrun"/>
          <w:noProof/>
        </w:rPr>
        <w:t>2026</w:t>
      </w:r>
      <w:r>
        <w:rPr>
          <w:rStyle w:val="normaltextrun"/>
          <w:noProof/>
        </w:rPr>
        <w:t xml:space="preserve"> pentru firmele de investiții specializate în instrumente financiare derivate pe mărfuri, certificate de emisii sau instrumente financiare derivate pe acestea, astfel cum sunt prevăzute în </w:t>
      </w:r>
      <w:hyperlink r:id="rId19" w:anchor="legislation">
        <w:r>
          <w:rPr>
            <w:rStyle w:val="normaltextrun"/>
            <w:noProof/>
          </w:rPr>
          <w:t xml:space="preserve">Regulamentul (UE) </w:t>
        </w:r>
        <w:r w:rsidRPr="00975254">
          <w:rPr>
            <w:rStyle w:val="normaltextrun"/>
            <w:noProof/>
          </w:rPr>
          <w:t>2019</w:t>
        </w:r>
        <w:r>
          <w:rPr>
            <w:rStyle w:val="normaltextrun"/>
            <w:noProof/>
          </w:rPr>
          <w:t>/</w:t>
        </w:r>
        <w:r w:rsidRPr="00975254">
          <w:rPr>
            <w:rStyle w:val="normaltextrun"/>
            <w:noProof/>
          </w:rPr>
          <w:t>2033</w:t>
        </w:r>
      </w:hyperlink>
      <w:r>
        <w:rPr>
          <w:noProof/>
        </w:rPr>
        <w:t>; (iii)</w:t>
      </w:r>
      <w:r>
        <w:rPr>
          <w:rStyle w:val="normaltextrun"/>
          <w:noProof/>
        </w:rPr>
        <w:t xml:space="preserve"> și a cerințelor pentru contrapărțile financiare prevăzute în </w:t>
      </w:r>
      <w:hyperlink r:id="rId20" w:anchor="legislation">
        <w:r>
          <w:rPr>
            <w:rStyle w:val="normaltextrun"/>
            <w:noProof/>
          </w:rPr>
          <w:t>Regulamentul (UE) nr. </w:t>
        </w:r>
        <w:r w:rsidRPr="00975254">
          <w:rPr>
            <w:rStyle w:val="normaltextrun"/>
            <w:noProof/>
          </w:rPr>
          <w:t>648</w:t>
        </w:r>
        <w:r>
          <w:rPr>
            <w:rStyle w:val="normaltextrun"/>
            <w:noProof/>
          </w:rPr>
          <w:t>/</w:t>
        </w:r>
        <w:r w:rsidRPr="00975254">
          <w:rPr>
            <w:rStyle w:val="normaltextrun"/>
            <w:noProof/>
          </w:rPr>
          <w:t>2012</w:t>
        </w:r>
      </w:hyperlink>
      <w:r>
        <w:rPr>
          <w:rStyle w:val="eop"/>
          <w:noProof/>
        </w:rPr>
        <w:t>;</w:t>
      </w:r>
    </w:p>
    <w:p w14:paraId="2237F7B1" w14:textId="6AB03FBC" w:rsidR="00142607" w:rsidRPr="00AC60EB" w:rsidRDefault="00142607" w:rsidP="00AC60EB">
      <w:pPr>
        <w:pStyle w:val="paragraph"/>
        <w:numPr>
          <w:ilvl w:val="0"/>
          <w:numId w:val="31"/>
        </w:numPr>
        <w:spacing w:before="0" w:beforeAutospacing="0" w:after="240" w:afterAutospacing="0"/>
        <w:jc w:val="both"/>
        <w:textAlignment w:val="baseline"/>
        <w:rPr>
          <w:rStyle w:val="normaltextrun"/>
          <w:rFonts w:eastAsia="Calibri"/>
          <w:noProof/>
        </w:rPr>
      </w:pPr>
      <w:r>
        <w:rPr>
          <w:rStyle w:val="normaltextrun"/>
          <w:noProof/>
        </w:rPr>
        <w:t xml:space="preserve">elementele-cheie pentru obținerea unui set de date armonizat privind tranzacțiile de pe piața instrumentelor financiare derivate pe mărfuri, destinat unei singure entități de colectare, precum și informațiile relevante privind datele referitoare la tranzacții care urmează să fie făcute publice și formatul cel mai adecvat al acestora. </w:t>
      </w:r>
    </w:p>
    <w:p w14:paraId="373C12DF" w14:textId="0157B4B5" w:rsidR="00484E85" w:rsidRDefault="2B31389B" w:rsidP="00AC60EB">
      <w:pPr>
        <w:rPr>
          <w:noProof/>
        </w:rPr>
      </w:pPr>
      <w:r>
        <w:rPr>
          <w:noProof/>
        </w:rPr>
        <w:t xml:space="preserve">În plus, raportul Draghi, publicat în septembrie </w:t>
      </w:r>
      <w:r w:rsidRPr="00975254">
        <w:rPr>
          <w:noProof/>
        </w:rPr>
        <w:t>2024</w:t>
      </w:r>
      <w:r>
        <w:rPr>
          <w:noProof/>
        </w:rPr>
        <w:t xml:space="preserve">, a formulat anumite propuneri de modificare a cadrului de reglementare aplicabil piețelor instrumentelor financiare derivate pe mărfuri. </w:t>
      </w:r>
    </w:p>
    <w:p w14:paraId="74F35775" w14:textId="77777777" w:rsidR="009B1053" w:rsidRPr="005B0BB1" w:rsidRDefault="009B1053" w:rsidP="00AC60EB">
      <w:pPr>
        <w:rPr>
          <w:noProof/>
          <w:szCs w:val="24"/>
          <w:lang w:val="fr-FR"/>
        </w:rPr>
      </w:pPr>
    </w:p>
    <w:p w14:paraId="197B4AAA" w14:textId="42287DBF" w:rsidR="009B1053" w:rsidRPr="00975254" w:rsidRDefault="009B1053" w:rsidP="009B1053">
      <w:pPr>
        <w:keepNext/>
        <w:keepLines/>
        <w:numPr>
          <w:ilvl w:val="0"/>
          <w:numId w:val="2"/>
        </w:numPr>
        <w:outlineLvl w:val="0"/>
        <w:rPr>
          <w:b/>
          <w:noProof/>
        </w:rPr>
      </w:pPr>
      <w:bookmarkStart w:id="22" w:name="_Toc229069519"/>
      <w:r w:rsidRPr="00975254">
        <w:rPr>
          <w:b/>
          <w:noProof/>
        </w:rPr>
        <w:t>ASPECTE LEGATE DE DATE REFERITOARE LA INSTRUMENTELE FINANCIARE DERIVATE PE MĂRFURI</w:t>
      </w:r>
      <w:bookmarkEnd w:id="22"/>
    </w:p>
    <w:p w14:paraId="29EC1FF2" w14:textId="4C6556EB" w:rsidR="009B1053" w:rsidRPr="00575C33" w:rsidRDefault="009B1053" w:rsidP="009B1053">
      <w:pPr>
        <w:rPr>
          <w:noProof/>
          <w:szCs w:val="24"/>
        </w:rPr>
      </w:pPr>
      <w:r w:rsidRPr="001F5341">
        <w:rPr>
          <w:i/>
          <w:noProof/>
        </w:rPr>
        <w:t>Context</w:t>
      </w:r>
    </w:p>
    <w:p w14:paraId="629245A1" w14:textId="1557F31B" w:rsidR="009B1053" w:rsidRPr="00575C33" w:rsidRDefault="1D43C493" w:rsidP="009B1053">
      <w:pPr>
        <w:rPr>
          <w:noProof/>
        </w:rPr>
      </w:pPr>
      <w:r>
        <w:rPr>
          <w:noProof/>
        </w:rPr>
        <w:t>Tranzacționarea instrumentelor financiare derivate pe mărfuri face obiectul unor cerințe de transparență și de raportare în temeiul MiFID II, al MiFIR și al EMIR. Normele respective nu fac distincție în funcție de marfa activ suport. În plus, instrumentele financiare derivate pe produse energetice fac, de asemenea, obiectul unor cerințe de raportare în temeiul Regulamentului (UE) nr. </w:t>
      </w:r>
      <w:r w:rsidRPr="00975254">
        <w:rPr>
          <w:noProof/>
        </w:rPr>
        <w:t>1227</w:t>
      </w:r>
      <w:r>
        <w:rPr>
          <w:noProof/>
        </w:rPr>
        <w:t>/</w:t>
      </w:r>
      <w:r w:rsidRPr="00975254">
        <w:rPr>
          <w:noProof/>
        </w:rPr>
        <w:t>2011</w:t>
      </w:r>
      <w:r>
        <w:rPr>
          <w:noProof/>
        </w:rPr>
        <w:t xml:space="preserve"> (REMIT), deși acesta conține dispoziții menite să evite dubla raportare.</w:t>
      </w:r>
    </w:p>
    <w:p w14:paraId="20860C9A" w14:textId="263C19A0" w:rsidR="009B1053" w:rsidRPr="00575C33" w:rsidRDefault="1D43C493" w:rsidP="009B1053">
      <w:pPr>
        <w:rPr>
          <w:noProof/>
        </w:rPr>
      </w:pPr>
      <w:r>
        <w:rPr>
          <w:noProof/>
        </w:rPr>
        <w:t>În timp ce raportarea către registrele centrale de tranzacții în temeiul EMIR acoperă toate tranzacțiile cu instrumente financiare derivate pe mărfuri care implică cel puțin o contraparte din UE, cerințele de raportare prevăzute de MiFID II/MiFIR diferă în funcție de tipul de date, de entitatea care primește datele raportate și de realizarea tranzacției într</w:t>
      </w:r>
      <w:r w:rsidR="00545FC9">
        <w:rPr>
          <w:noProof/>
        </w:rPr>
        <w:t>­</w:t>
      </w:r>
      <w:r>
        <w:rPr>
          <w:noProof/>
        </w:rPr>
        <w:t>un loc de tranzacționare. MiFIR conține, de asemenea, detalii privind condițiile în care anumite date pretranzacționare (referitoare la ordine) și anumite date privind tranzacțiile cu instrumente financiare trebuie să fie făcute publice. MiFID II prevede că informațiile privind pozițiile sunt raportate zilnic autorităților naționale competente (ANC) de către locurile de tranzacționare, în ceea ce privește participanții la piață activi în locul lor de tranzacționare (</w:t>
      </w:r>
      <w:r>
        <w:rPr>
          <w:rStyle w:val="FootnoteReference"/>
          <w:noProof/>
        </w:rPr>
        <w:footnoteReference w:id="7"/>
      </w:r>
      <w:r>
        <w:rPr>
          <w:noProof/>
        </w:rPr>
        <w:t>). La rândul lor, participanții la piață au obligația de a raporta zilnic locurilor de tranzacționare pozițiile lor în cadrul contractelor derivate tranzacționate în locul respectiv de tranzacționare (</w:t>
      </w:r>
      <w:r>
        <w:rPr>
          <w:rStyle w:val="FootnoteReference"/>
          <w:noProof/>
        </w:rPr>
        <w:footnoteReference w:id="8"/>
      </w:r>
      <w:r>
        <w:rPr>
          <w:noProof/>
        </w:rPr>
        <w:t xml:space="preserve">). În cele din urmă, firmele de investiții trebuie să raporteze </w:t>
      </w:r>
      <w:bookmarkStart w:id="23" w:name="_Int_PO8OMKX2"/>
      <w:r>
        <w:rPr>
          <w:noProof/>
        </w:rPr>
        <w:t>zilnic către</w:t>
      </w:r>
      <w:bookmarkEnd w:id="23"/>
      <w:r>
        <w:rPr>
          <w:noProof/>
        </w:rPr>
        <w:t xml:space="preserve"> ANC (</w:t>
      </w:r>
      <w:r>
        <w:rPr>
          <w:rStyle w:val="FootnoteReference"/>
          <w:noProof/>
        </w:rPr>
        <w:footnoteReference w:id="9"/>
      </w:r>
      <w:r>
        <w:rPr>
          <w:noProof/>
        </w:rPr>
        <w:t>) relevante pozițiile lor în cadrul contractelor extrabursiere (OTC) echivalente din punct de vedere economic (</w:t>
      </w:r>
      <w:r>
        <w:rPr>
          <w:rStyle w:val="FootnoteReference"/>
          <w:noProof/>
        </w:rPr>
        <w:footnoteReference w:id="10"/>
      </w:r>
      <w:r>
        <w:rPr>
          <w:noProof/>
        </w:rPr>
        <w:t xml:space="preserve">). </w:t>
      </w:r>
    </w:p>
    <w:p w14:paraId="519E44FD" w14:textId="352C9CB4" w:rsidR="009B1053" w:rsidRPr="00575C33" w:rsidRDefault="3D2601C1" w:rsidP="00372E29">
      <w:pPr>
        <w:spacing w:line="259" w:lineRule="auto"/>
        <w:rPr>
          <w:noProof/>
        </w:rPr>
      </w:pPr>
      <w:r>
        <w:rPr>
          <w:noProof/>
        </w:rPr>
        <w:t xml:space="preserve">REMIT, astfel cum a fost modificat prin Regulamentul (UE) </w:t>
      </w:r>
      <w:r w:rsidRPr="00975254">
        <w:rPr>
          <w:noProof/>
        </w:rPr>
        <w:t>2024</w:t>
      </w:r>
      <w:r>
        <w:rPr>
          <w:noProof/>
        </w:rPr>
        <w:t>/</w:t>
      </w:r>
      <w:r w:rsidRPr="00975254">
        <w:rPr>
          <w:noProof/>
        </w:rPr>
        <w:t>1106</w:t>
      </w:r>
      <w:r>
        <w:rPr>
          <w:noProof/>
        </w:rPr>
        <w:t xml:space="preserve"> (REMIT II) și prin Regulamentul de punere în aplicare (UE) nr. </w:t>
      </w:r>
      <w:r w:rsidRPr="00975254">
        <w:rPr>
          <w:noProof/>
        </w:rPr>
        <w:t>1348</w:t>
      </w:r>
      <w:r>
        <w:rPr>
          <w:noProof/>
        </w:rPr>
        <w:t>/</w:t>
      </w:r>
      <w:r w:rsidRPr="00975254">
        <w:rPr>
          <w:noProof/>
        </w:rPr>
        <w:t>2014</w:t>
      </w:r>
      <w:r>
        <w:rPr>
          <w:noProof/>
        </w:rPr>
        <w:t xml:space="preserve"> privind REMIT (REMIT IR) au introdus cerințe detaliate de raportare pentru tranzacțiile și ordinele de tranzacționare legate de produsele energetice angro (</w:t>
      </w:r>
      <w:r>
        <w:rPr>
          <w:rStyle w:val="FootnoteReference"/>
          <w:noProof/>
          <w:lang w:val="en-IE"/>
        </w:rPr>
        <w:footnoteReference w:id="11"/>
      </w:r>
      <w:r>
        <w:rPr>
          <w:noProof/>
        </w:rPr>
        <w:t>).</w:t>
      </w:r>
    </w:p>
    <w:p w14:paraId="3FC97DF8" w14:textId="76BB6303" w:rsidR="009B1053" w:rsidRPr="00575C33" w:rsidRDefault="1D43C493" w:rsidP="009B1053">
      <w:pPr>
        <w:rPr>
          <w:noProof/>
        </w:rPr>
      </w:pPr>
      <w:r>
        <w:rPr>
          <w:noProof/>
        </w:rPr>
        <w:t xml:space="preserve">REMIT II, care se aplică din mai </w:t>
      </w:r>
      <w:r w:rsidRPr="00975254">
        <w:rPr>
          <w:noProof/>
        </w:rPr>
        <w:t>2024</w:t>
      </w:r>
      <w:r>
        <w:rPr>
          <w:noProof/>
        </w:rPr>
        <w:t>, a instituit obligația de a stabili mecanisme de partajare de date între diverse autorități de reglementare, inclusiv ACER, ESMA, Eurofisc, Comisia Europeană, autoritățile naționale de reglementare (ANR), ANC și alte autorități relevante din UE. Totodată, întrucât REMIT include instrumentele financiare derivate pe produse energetice în categoria produselor energetice angro, dispozițiile specifice din REMIT II previn dubla raportare atât în temeiul cadrului de reglementare financiară, cât și în temeiul REMIT II. Prin urmare, REMIT II prevede că persoanele care au raportat tranzacții în conformitate cu MiFIR sau EMIR nu ar trebui să facă obiectul unor obligații de dublă raportare în legătură cu tranzacțiile respective (</w:t>
      </w:r>
      <w:r>
        <w:rPr>
          <w:rStyle w:val="FootnoteReference"/>
          <w:noProof/>
        </w:rPr>
        <w:footnoteReference w:id="12"/>
      </w:r>
      <w:r>
        <w:rPr>
          <w:noProof/>
        </w:rPr>
        <w:t xml:space="preserve">). </w:t>
      </w:r>
    </w:p>
    <w:p w14:paraId="2FF267B0" w14:textId="3E4C738B" w:rsidR="009B1053" w:rsidRPr="00575C33" w:rsidRDefault="1D43C493" w:rsidP="21CB014D">
      <w:pPr>
        <w:rPr>
          <w:noProof/>
        </w:rPr>
      </w:pPr>
      <w:r>
        <w:rPr>
          <w:noProof/>
        </w:rPr>
        <w:t xml:space="preserve">Cadrul de reglementare actual implică mai multe canale de raportare, accesul la date fiind limitat la anumite autorități de reglementare. De exemplu, ACER și ANR primesc date privind produsele energetice angro (pe lângă anumite date financiare, prin accesul la datele din registrele centrale de tranzacții în temeiul EMIR referitoare la produsele energetice angro care constituie, de asemenea, instrumente financiare), în timp ce ESMA și ANC primesc date financiare. Această separare face ca datele aflate la dispoziția autorităților de supraveghere din domeniul energiei să nu ajungă întotdeauna la autoritățile de reglementare financiară și invers, ceea ce poate împiedica supravegherea între piețe. Astfel, ESMA și ANC nu au acces sistematic la datele privind produsele care fac obiectul excluderii prevăzute pentru contractele menționate în anexa I secțiunea C punctul </w:t>
      </w:r>
      <w:r w:rsidRPr="00975254">
        <w:rPr>
          <w:noProof/>
        </w:rPr>
        <w:t>6</w:t>
      </w:r>
      <w:r>
        <w:rPr>
          <w:noProof/>
        </w:rPr>
        <w:t xml:space="preserve"> („C</w:t>
      </w:r>
      <w:r w:rsidRPr="00975254">
        <w:rPr>
          <w:noProof/>
        </w:rPr>
        <w:t>6</w:t>
      </w:r>
      <w:r>
        <w:rPr>
          <w:noProof/>
        </w:rPr>
        <w:t xml:space="preserve"> </w:t>
      </w:r>
      <w:r w:rsidR="00975254">
        <w:rPr>
          <w:noProof/>
        </w:rPr>
        <w:t> </w:t>
      </w:r>
      <w:r>
        <w:rPr>
          <w:noProof/>
        </w:rPr>
        <w:t xml:space="preserve">carve-out”) și produsele de pe piața spot raportate către ACER. Totodată, standardele de raportare diferite din MiFIR/EMIR și REMIT II complică raportarea și analiza datelor, chiar și în cazul produselor conexe. </w:t>
      </w:r>
    </w:p>
    <w:p w14:paraId="0180A78E" w14:textId="14ED5B60" w:rsidR="009B1053" w:rsidRPr="00575C33" w:rsidRDefault="1D43C493" w:rsidP="60190FC5">
      <w:pPr>
        <w:rPr>
          <w:noProof/>
          <w:sz w:val="22"/>
          <w:szCs w:val="22"/>
        </w:rPr>
      </w:pPr>
      <w:r>
        <w:rPr>
          <w:noProof/>
        </w:rPr>
        <w:t>Consultarea părților interesate a vizat mai multe aspecte legate de date. În cadrul acesteia s-a analizat dacă ESMA avea acces suficient la datele privind tranzacțiile prin intermediul ANC. De asemenea, au fost explorate domeniile în care schimbul de informații și accesul la informațiile relevante ar putea fi îmbunătățite sau simplificate, precum și posibilitatea unei armonizări mai bune a raportării la nivelul normelor financiare și al celor din domeniul energiei. O posibilă opțiune discutată în cadrul consultării a fost crearea unui mecanism centralizat de colectare a datelor pentru contractele spot și cele derivate. Consultarea a urmărit, totodată, să clarifice dacă, în contextul unui mecanism centralizat de colectare a datelor, raportarea datelor relevante ar trebui efectuată de (i) registrele centrale de tranzacții, (ii) mecanismele de raportare înregistrate (</w:t>
      </w:r>
      <w:r w:rsidRPr="001F5341">
        <w:rPr>
          <w:i/>
          <w:iCs/>
          <w:noProof/>
        </w:rPr>
        <w:t>registered reporting mechanism</w:t>
      </w:r>
      <w:r>
        <w:rPr>
          <w:noProof/>
        </w:rPr>
        <w:t xml:space="preserve"> - RRM), (iii) o entitate terță care ar consolida, de asemenea, datele relevante primite de la registrele centrale de tranzacții și de la RRM, asigurând acces egal pentru toate autoritățile de reglementare, precum ESMA, ACER, ANR, ANC și Comisia, sau de (iv) orice altă entitate. Nu în ultimul rând, consultarea a inclus întrebări privind posibilitatea ca mecanismul centralizat de colectare a datelor să servească, de asemenea, drept ghișeu unic pentru raportarea datelor de către participanții la piață activi atât pe piețele fizice/spot ale mărfurilor, cât și pe piețele instrumentelor financiare derivate, reducând astfel sarcina de raportare pentru traderii de mărfuri. Nu în ultimul rând, consultarea a examinat dacă ar trebui avută în vedere o abordare alternativă la mecanismul centralizat de colectare, potrivit căreia ANC ar avea acces sistematic la baza de date a ACER și viceversa. </w:t>
      </w:r>
    </w:p>
    <w:p w14:paraId="3FA8932E" w14:textId="436A7438" w:rsidR="009B1053" w:rsidRPr="00575C33" w:rsidRDefault="7FB03883" w:rsidP="009B1053">
      <w:pPr>
        <w:rPr>
          <w:noProof/>
        </w:rPr>
      </w:pPr>
      <w:r>
        <w:rPr>
          <w:noProof/>
        </w:rPr>
        <w:t xml:space="preserve">În final, Raportul Draghi din </w:t>
      </w:r>
      <w:r w:rsidRPr="00975254">
        <w:rPr>
          <w:noProof/>
        </w:rPr>
        <w:t>2024</w:t>
      </w:r>
      <w:r>
        <w:rPr>
          <w:noProof/>
        </w:rPr>
        <w:t xml:space="preserve"> a recomandat colectarea de date privind tranzacțiile și pozițiile aferente instrumentelor financiare derivate extrabursiere pe produse energetice. Comisia observă că EMIR include deja raportarea tuturor tranzacțiilor cu instrumente financiare derivate, inclusiv a tranzacțiilor extrabursiere, care implică cel puțin o contraparte din UE. În schimb, în ceea ce privește datele privind pozițiile și astfel cum se menționează în secțiunea </w:t>
      </w:r>
      <w:r w:rsidRPr="00975254">
        <w:rPr>
          <w:noProof/>
        </w:rPr>
        <w:t>4</w:t>
      </w:r>
      <w:r>
        <w:rPr>
          <w:noProof/>
        </w:rPr>
        <w:t xml:space="preserve"> din prezentul raport, entitățile care nu sunt firme de investiții nu au în prezent obligația de a raporta autorităților de reglementare din UE pozițiile extrabursiere (</w:t>
      </w:r>
      <w:r>
        <w:rPr>
          <w:rStyle w:val="FootnoteReference"/>
          <w:noProof/>
          <w:lang w:val="en-US"/>
        </w:rPr>
        <w:footnoteReference w:id="13"/>
      </w:r>
      <w:r>
        <w:rPr>
          <w:noProof/>
        </w:rPr>
        <w:t xml:space="preserve">). </w:t>
      </w:r>
    </w:p>
    <w:p w14:paraId="41232613" w14:textId="77777777" w:rsidR="009B1053" w:rsidRPr="001F5341" w:rsidRDefault="009B1053" w:rsidP="009B1053">
      <w:pPr>
        <w:rPr>
          <w:i/>
          <w:iCs/>
          <w:noProof/>
          <w:szCs w:val="24"/>
        </w:rPr>
      </w:pPr>
      <w:r w:rsidRPr="001F5341">
        <w:rPr>
          <w:i/>
          <w:noProof/>
        </w:rPr>
        <w:t>Feedback de la părțile interesate și evaluare</w:t>
      </w:r>
    </w:p>
    <w:p w14:paraId="7C788E73" w14:textId="1D21E8EE" w:rsidR="009B1053" w:rsidRDefault="1D43C493" w:rsidP="009B1053">
      <w:pPr>
        <w:rPr>
          <w:noProof/>
        </w:rPr>
      </w:pPr>
      <w:r>
        <w:rPr>
          <w:noProof/>
        </w:rPr>
        <w:t>În ceea ce privește armonizarea raportării, mai mult de jumătate dintre respondenți au fost de acord că raportarea, de exemplu cu privire la tranzacții, în temeiul REMIT II și al MiFID II/MiFIR/EMIR, ar trebui simplificată și că dubla raportare ar trebui eliminată. Totuși, aceștia au subliniat că fiecare dintre cadrele de raportare financiară și din domeniul energiei servește unor scopuri diferite și are caracteristici specifice și au avertizat împotriva unor modificări imediate ale regimurilor de raportare respective, având în vedere și costurile de punere în aplicare pe care le-ar putea genera astfel de modificări. Date fiind costurile care ar putea fi generate în cadrul acestui proces, participanții au susținut că, înainte de începerea oricărei activități de armonizare, ar trebui realizate o evaluare a impactului și o analiză cost-beneficiu. Nouă reprezentanți ai sectorului, dintre care trei locuri de tranzacționare și o asociație a burselor, favorabili armonizării, au pledat în mod explicit pentru o abordare treptată, etapizată, care să înceapă cu îmbunătățirea schimbului de date între autoritățile de reglementare, înainte de a se lua în considerare o revizuire a cerințelor de raportare existente. Mai mulți respondenți din sfera supravegherii/reglementării au sugerat că ar trebui identificate câmpuri de date de raportare comune atât pentru datele din domeniul energiei, cât și pentru cele financiare, inclusiv utilizarea unor identificatori unici comuni, pe baza unor standarde globale.</w:t>
      </w:r>
    </w:p>
    <w:p w14:paraId="37FDD308" w14:textId="707C4DC6" w:rsidR="009B1053" w:rsidRDefault="1D43C493" w:rsidP="21CB014D">
      <w:pPr>
        <w:rPr>
          <w:noProof/>
        </w:rPr>
      </w:pPr>
      <w:r>
        <w:rPr>
          <w:noProof/>
        </w:rPr>
        <w:t>Comisia recunoaște că revizuirea standardelor de raportare, deși ar putea aduce beneficii pe termen lung sub forma unui cadru simplificat, implică modificări ale formatelor de raportare și, pe termen scurt, costuri de adaptare. Totodată, acest lucru ar putea complica raportarea altor clase de instrumente financiare derivate în temeiul EMIR, întrucât raportarea prevăzută de Regulamentul EMIR nu se limitează la instrumentele financiare derivate pe mărfuri.</w:t>
      </w:r>
    </w:p>
    <w:p w14:paraId="1F959A1F" w14:textId="213EEE93" w:rsidR="009B1053" w:rsidRDefault="1D43C493" w:rsidP="009B1053">
      <w:pPr>
        <w:rPr>
          <w:noProof/>
        </w:rPr>
      </w:pPr>
      <w:r>
        <w:rPr>
          <w:noProof/>
        </w:rPr>
        <w:t>Părțile interesate au avut opinii împărțite cu privire la ideea creării unui mecanism centralizat de colectare a datelor. Jumătate dintre respondenți au fost de părere că un astfel de mecanism centralizat ar putea facilita raportarea, cu condiția ca acesta să se bazeze pe infrastructura existentă și să nu introducă noi cerințe în materie de date sau niveluri suplimentare de complexitate ori costuri suplimentare. În schimb, cealaltă jumătate s-a arătat preocupată de costurile de punere în aplicare și a evidențiat caracteristicile inerent diferite ale piețelor, care justifică diferitele regimuri de raportare aflate în prezent în vigoare. Două autorități de reglementare au afirmat că o abordare centralizată a raportării ar oferi ANC, ANR, ESMA și ACER acces la același set de date cuprinzător și consolidat, oferindu-le o perspectivă de ansamblu în materie de supraveghere atât asupra piețelor fizice, cât și asupra piețelor instrumentelor financiare derivate.</w:t>
      </w:r>
    </w:p>
    <w:p w14:paraId="4946644A" w14:textId="2D2B4C45" w:rsidR="009B1053" w:rsidRDefault="1D43C493" w:rsidP="21CB014D">
      <w:pPr>
        <w:rPr>
          <w:noProof/>
        </w:rPr>
      </w:pPr>
      <w:r>
        <w:rPr>
          <w:noProof/>
        </w:rPr>
        <w:t>În mod alternativ, chiar și în rândul susținătorilor unui astfel de mecanism centralizat, s-a sugerat valorificarea și reflectarea, în cadrul de reglementare din domeniul financiar, a dispozițiilor existente ale REMIT II, care prevăd mecanisme ample de cooperare și de schimb de informații între diferitele autorități de reglementare, pentru a îmbunătăți fluxul de date între ACER și autoritățile financiare (și viceversa), ca soluție mai eficientă din punctul de vedere al costurilor. O astfel de abordare ar evita, de asemenea, cererile ad-hoc. Prin urmare, părțile interesate s-au arătat mai deschise la ideea îmbunătățirii schimbului de date între autoritățile de reglementare decât la cea a punerii în aplicare a unui mecanism complet nou. Comisia este de acord că ar fi deosebit de dezirabil un schimb de date mai sistematic și mai instituționalizat, precum și asigurarea accesului reciproc la date pentru autoritățile de supraveghere financiară și pentru cele din domeniul energiei.</w:t>
      </w:r>
    </w:p>
    <w:p w14:paraId="2C823A3C" w14:textId="18BBF31D" w:rsidR="009B1053" w:rsidRDefault="1D43C493" w:rsidP="21CB014D">
      <w:pPr>
        <w:rPr>
          <w:noProof/>
        </w:rPr>
      </w:pPr>
      <w:r>
        <w:rPr>
          <w:noProof/>
        </w:rPr>
        <w:t xml:space="preserve">În ceea ce privește eventualele modificări ale normelor de transparență pretranzacționare și posttranzacționare [în special cele referitoare la activitatea de tranzacționare desfășurată în cadrul sistemelor multilaterale de tranzacționare (SMT) și al sistemelor organizate de tranzacționare (SOT)], </w:t>
      </w:r>
      <w:r w:rsidRPr="00975254">
        <w:rPr>
          <w:noProof/>
        </w:rPr>
        <w:t>70</w:t>
      </w:r>
      <w:r>
        <w:rPr>
          <w:noProof/>
        </w:rPr>
        <w:t> % dintre respondenți s-au opus oricărei modificări a normelor actuale, invocând potențiala expunere a participanților în raport cu strategiile lor de acoperire împotriva riscurilor și natura specifică a piețelor de mărfuri. Unii respondenți au subliniat că, anterior revizuirii MiFIR (</w:t>
      </w:r>
      <w:r>
        <w:rPr>
          <w:rStyle w:val="FootnoteReference"/>
          <w:noProof/>
          <w:lang w:val="en-IE"/>
        </w:rPr>
        <w:footnoteReference w:id="14"/>
      </w:r>
      <w:r>
        <w:rPr>
          <w:noProof/>
        </w:rPr>
        <w:t>), instrumentele financiare derivate pe mărfuri tranzacționate în SMT și SOT erau supuse transparenței pretranzacționare și posttranzacționare tocmai pentru că erau tranzacționate în cadrul acestor locuri de tranzacționare. În urma revizuirii, s-a concluzionat că domeniul de aplicare al transparenței instrumentelor financiare derivate nu ar trebui să se bazeze pe conceptul de „tranzacționat într-un loc de tranzacționare”, din cauza lipsei de fungibilitate a acestor contracte. Respondenții au susținut că cerințele de transparență ar trebui să se aplice numai instrumentelor financiare derivate, care sunt suficient de standardizate pentru ca datele publicate în legătură cu acestea să fie relevante pentru participanții la piață. Comisia recunoaște că, în orice caz, activitatea de tranzacționare cu instrumente financiare derivate pe mărfuri este în prezent marginală în cadrul SOT (</w:t>
      </w:r>
      <w:r w:rsidRPr="00975254">
        <w:rPr>
          <w:noProof/>
        </w:rPr>
        <w:t>0</w:t>
      </w:r>
      <w:r>
        <w:rPr>
          <w:noProof/>
        </w:rPr>
        <w:t>,</w:t>
      </w:r>
      <w:r w:rsidRPr="00975254">
        <w:rPr>
          <w:noProof/>
        </w:rPr>
        <w:t>3</w:t>
      </w:r>
      <w:r>
        <w:rPr>
          <w:noProof/>
        </w:rPr>
        <w:t xml:space="preserve"> % din volumele tranzacționate în </w:t>
      </w:r>
      <w:r w:rsidRPr="00975254">
        <w:rPr>
          <w:noProof/>
        </w:rPr>
        <w:t>2024</w:t>
      </w:r>
      <w:r>
        <w:rPr>
          <w:noProof/>
        </w:rPr>
        <w:t>) (</w:t>
      </w:r>
      <w:r>
        <w:rPr>
          <w:rStyle w:val="FootnoteReference"/>
          <w:noProof/>
          <w:lang w:val="en-IE"/>
        </w:rPr>
        <w:footnoteReference w:id="15"/>
      </w:r>
      <w:r>
        <w:rPr>
          <w:noProof/>
        </w:rPr>
        <w:t>) și inexistentă în cadrul SMT (</w:t>
      </w:r>
      <w:r>
        <w:rPr>
          <w:rStyle w:val="FootnoteReference"/>
          <w:noProof/>
          <w:lang w:val="en-IE"/>
        </w:rPr>
        <w:footnoteReference w:id="16"/>
      </w:r>
      <w:r>
        <w:rPr>
          <w:noProof/>
        </w:rPr>
        <w:t>).</w:t>
      </w:r>
    </w:p>
    <w:p w14:paraId="1B00D0FD" w14:textId="45B96BFC" w:rsidR="009B1053" w:rsidRPr="00575C33" w:rsidRDefault="1D43C493" w:rsidP="21CB014D">
      <w:pPr>
        <w:rPr>
          <w:noProof/>
        </w:rPr>
      </w:pPr>
      <w:r w:rsidRPr="00975254">
        <w:rPr>
          <w:noProof/>
        </w:rPr>
        <w:t>44</w:t>
      </w:r>
      <w:r>
        <w:rPr>
          <w:noProof/>
        </w:rPr>
        <w:t xml:space="preserve"> din cei </w:t>
      </w:r>
      <w:r w:rsidRPr="00975254">
        <w:rPr>
          <w:noProof/>
        </w:rPr>
        <w:t>48</w:t>
      </w:r>
      <w:r>
        <w:rPr>
          <w:noProof/>
        </w:rPr>
        <w:t xml:space="preserve"> de respondenți care și-au exprimat opiniile cu privire la acest subiect s-au opus includerii în sistemul centralizat de raportare a datelor pretranzacționare și/sau posttranzacționare privind instrumentele financiare derivate pe mărfuri tranzacționate la bursă. Mulți dintre aceștia au remarcat că, spre deosebire de instrumentele financiare derivate extrabursiere, instrumentele financiare derivate tranzacționate la bursă sunt tranzacționate pe piețe reglementate, ceea ce înseamnă că prețurile și volumele de tranzacționare sunt deja disponibile publicului și că activitatea de tranzacționare este concentrată într-un număr foarte mic de piețe reglementate (limitând astfel valoarea adăugată a unui sistem centralizat de raportare pentru această clasă de active). Numai patru participanți din sectorul energiei și-au exprimat sprijinul pentru ideea includerii în sistemul centralizat de raportare a datelor pretranzacționare și/sau posttranzacționare privind instrumentele financiare derivate pe mărfuri tranzacționate la bursă. </w:t>
      </w:r>
    </w:p>
    <w:p w14:paraId="022A1298" w14:textId="77777777" w:rsidR="00F07548" w:rsidRPr="001F5341" w:rsidRDefault="009B1053" w:rsidP="009B1053">
      <w:pPr>
        <w:rPr>
          <w:i/>
          <w:noProof/>
        </w:rPr>
      </w:pPr>
      <w:r w:rsidRPr="001F5341">
        <w:rPr>
          <w:i/>
          <w:noProof/>
        </w:rPr>
        <w:t>Concluziile evaluării Comisiei</w:t>
      </w:r>
    </w:p>
    <w:p w14:paraId="095E2E70" w14:textId="565A31A3" w:rsidR="009B1053" w:rsidRDefault="1D43C493" w:rsidP="009B1053">
      <w:pPr>
        <w:rPr>
          <w:rStyle w:val="normaltextrun"/>
          <w:noProof/>
        </w:rPr>
      </w:pPr>
      <w:r>
        <w:rPr>
          <w:rStyle w:val="normaltextrun"/>
          <w:noProof/>
        </w:rPr>
        <w:t>Comisia recunoaște complexitatea cadrului actual de raportare pentru instrumentele financiare derivate pe mărfuri. Acest lucru este valabil în special în cazul instrumentelor financiare derivate pe produse energetice, întrucât atât piața spot suport, cât și instrumentele financiare derivate pe produse energetice fac obiectul unor obligații de raportare specifice în temeiul REMIT II, în timp ce acestea din urmă sunt, de asemenea, raportate în temeiul cadrului financiar (spre deosebire de alte tipuri de instrumente financiare derivate pe mărfuri, care sunt raportate numai în temeiul legislației financiare). Deși REMIT II include dispoziții pentru a preveni dubla raportare, astfel cum s-a menționat anterior, ar mai putea exista marjă pentru sporirea eficienței proceselor de raportare existente.</w:t>
      </w:r>
    </w:p>
    <w:p w14:paraId="7D283ED3" w14:textId="161751C6" w:rsidR="009B1053" w:rsidRDefault="1D43C493" w:rsidP="009B1053">
      <w:pPr>
        <w:rPr>
          <w:rStyle w:val="normaltextrun"/>
          <w:noProof/>
        </w:rPr>
      </w:pPr>
      <w:r>
        <w:rPr>
          <w:rStyle w:val="normaltextrun"/>
          <w:noProof/>
        </w:rPr>
        <w:t>Deși armonizarea standardelor de raportare și simplificare cerințelor de raportare ar contribui la eficientizarea cadrelor relevante, la reducerea sarcinii pentru firme și la raționalizarea datelor utilizate de autoritățile de supraveghere, acest lucru ar necesita o evaluare aprofundată a modificărilor necesare aduse legislației relevante și a costurilor asociate, atât pentru participanții la piață, cât și pentru autoritățile de supraveghere/reglementare. În mod similar, crearea unui mecanism unic de raportare, deși, în general, de dorit ca rezultat final, ar putea genera provocări semnificative în ceea ce privește costurile de punere în aplicare și potențiala dificultate de a distinge între raportarea instrumentelor financiare derivate pe mărfuri și raportarea altor instrumente financiare derivate.</w:t>
      </w:r>
    </w:p>
    <w:p w14:paraId="0BFF1114" w14:textId="78D60AE2" w:rsidR="009B1053" w:rsidRDefault="1D43C493" w:rsidP="009B1053">
      <w:pPr>
        <w:rPr>
          <w:rStyle w:val="normaltextrun"/>
          <w:noProof/>
        </w:rPr>
      </w:pPr>
      <w:r>
        <w:rPr>
          <w:rStyle w:val="normaltextrun"/>
          <w:noProof/>
        </w:rPr>
        <w:t xml:space="preserve">În cadrul unei posibile abordări treptate, ar putea fi analizate măsuri pe termen scurt pentru a facilita schimbul de date între autorități și a îmbunătăți interoperabilitatea seturilor de date. Aceasta ar putea include instituționalizarea schimburilor de date între autoritățile de reglementare din domeniul financiar și din domeniul energiei, prin acordarea unui acces sistematic la datele de supraveghere respective, eliminând necesitatea cererilor de acces ad-hoc. Comisia ar putea, totodată, să analizeze posibilitatea adoptării unor formate unice de identificare pentru tranzacțiile raportate atât în cadrul financiar, cât și în cel energetic. </w:t>
      </w:r>
    </w:p>
    <w:p w14:paraId="5CDFB4C8" w14:textId="28010553" w:rsidR="009B1053" w:rsidRDefault="1D43C493" w:rsidP="21CB014D">
      <w:pPr>
        <w:rPr>
          <w:noProof/>
        </w:rPr>
      </w:pPr>
      <w:r>
        <w:rPr>
          <w:noProof/>
        </w:rPr>
        <w:t>În cele din urmă, în ceea ce privește cerințele de transparență pretranzacționare și posttranzacționare, Comisia este de părere că actualul cadru asigură un nivel suficient de informare a publicului și că, prin urmare, nu se justifică nicio modificare în această privință. Aceste concluzii se aplică, de asemenea, certificatelor de emisii și contractelor derivate pe certificate de emisii.</w:t>
      </w:r>
    </w:p>
    <w:p w14:paraId="56E17FF9" w14:textId="77777777" w:rsidR="00BE2881" w:rsidRPr="00BE2881" w:rsidRDefault="00BE2881" w:rsidP="009B1053">
      <w:pPr>
        <w:rPr>
          <w:noProof/>
          <w:szCs w:val="24"/>
        </w:rPr>
      </w:pPr>
    </w:p>
    <w:p w14:paraId="4998F48B" w14:textId="31C22827" w:rsidR="00F32D54" w:rsidRPr="00975254" w:rsidRDefault="601B0B43" w:rsidP="21CB014D">
      <w:pPr>
        <w:keepNext/>
        <w:keepLines/>
        <w:numPr>
          <w:ilvl w:val="0"/>
          <w:numId w:val="2"/>
        </w:numPr>
        <w:outlineLvl w:val="0"/>
        <w:rPr>
          <w:b/>
          <w:bCs/>
          <w:noProof/>
        </w:rPr>
      </w:pPr>
      <w:bookmarkStart w:id="24" w:name="_Toc229069520"/>
      <w:r w:rsidRPr="00975254">
        <w:rPr>
          <w:b/>
          <w:noProof/>
        </w:rPr>
        <w:t>DEROGAREA PRIVIND ACTIVITĂȚILE AUXILIARE</w:t>
      </w:r>
      <w:bookmarkEnd w:id="24"/>
    </w:p>
    <w:p w14:paraId="71A43F65" w14:textId="40B25B14" w:rsidR="00004440" w:rsidRPr="001F5341" w:rsidRDefault="2510A2AB" w:rsidP="21CB014D">
      <w:pPr>
        <w:rPr>
          <w:i/>
          <w:iCs/>
          <w:noProof/>
          <w:shd w:val="clear" w:color="auto" w:fill="FFFFFF"/>
        </w:rPr>
      </w:pPr>
      <w:r w:rsidRPr="001F5341">
        <w:rPr>
          <w:i/>
          <w:noProof/>
          <w:shd w:val="clear" w:color="auto" w:fill="FFFFFF"/>
        </w:rPr>
        <w:t>Rol și funcționare</w:t>
      </w:r>
    </w:p>
    <w:p w14:paraId="546E1C63" w14:textId="5978E74E" w:rsidR="00401BAE" w:rsidRPr="00575C33" w:rsidRDefault="6CC0E60D" w:rsidP="00AC60EB">
      <w:pPr>
        <w:rPr>
          <w:noProof/>
          <w:shd w:val="clear" w:color="auto" w:fill="FFFFFF"/>
        </w:rPr>
      </w:pPr>
      <w:r>
        <w:rPr>
          <w:noProof/>
          <w:shd w:val="clear" w:color="auto" w:fill="FFFFFF"/>
        </w:rPr>
        <w:t>Piețele instrumentelor financiare derivate pe mărfuri se caracterizează prin participarea semnificativă a entităților a căror activitate principală nu implică furnizarea de servicii financiare, dar care se bazează pe piețele instrumentelor financiare derivate pentru a-și acoperi pozițiile pe piețele fizice suport sau, în unele cazuri, pentru a profita de evoluțiile pieței în vederea generării de profit.</w:t>
      </w:r>
    </w:p>
    <w:p w14:paraId="5BFA9C56" w14:textId="735C4D90" w:rsidR="00753F1C" w:rsidRPr="00575C33" w:rsidRDefault="6CC0E60D" w:rsidP="00AC60EB">
      <w:pPr>
        <w:rPr>
          <w:noProof/>
          <w:shd w:val="clear" w:color="auto" w:fill="FFFFFF"/>
        </w:rPr>
      </w:pPr>
      <w:r>
        <w:rPr>
          <w:noProof/>
          <w:shd w:val="clear" w:color="auto" w:fill="FFFFFF"/>
        </w:rPr>
        <w:t xml:space="preserve">Entitățile nefinanciare reprezintă aproximativ </w:t>
      </w:r>
      <w:r>
        <w:rPr>
          <w:noProof/>
          <w:shd w:val="clear" w:color="auto" w:fill="FFFFFF"/>
        </w:rPr>
        <w:noBreakHyphen/>
        <w:t>două treimi din participanții la piața contractelor futures pe gaze naturale (</w:t>
      </w:r>
      <w:r>
        <w:rPr>
          <w:rStyle w:val="FootnoteReference"/>
          <w:noProof/>
          <w:shd w:val="clear" w:color="auto" w:fill="FFFFFF"/>
        </w:rPr>
        <w:footnoteReference w:id="17"/>
      </w:r>
      <w:r>
        <w:rPr>
          <w:noProof/>
          <w:shd w:val="clear" w:color="auto" w:fill="FFFFFF"/>
        </w:rPr>
        <w:t xml:space="preserve">) și aproximativ </w:t>
      </w:r>
      <w:r w:rsidRPr="00975254">
        <w:rPr>
          <w:noProof/>
          <w:shd w:val="clear" w:color="auto" w:fill="FFFFFF"/>
        </w:rPr>
        <w:t>60</w:t>
      </w:r>
      <w:r>
        <w:rPr>
          <w:noProof/>
          <w:shd w:val="clear" w:color="auto" w:fill="FFFFFF"/>
        </w:rPr>
        <w:t> % din participanții la piața contractelor futures pe grâu (</w:t>
      </w:r>
      <w:r>
        <w:rPr>
          <w:rStyle w:val="FootnoteReference"/>
          <w:noProof/>
          <w:shd w:val="clear" w:color="auto" w:fill="FFFFFF"/>
        </w:rPr>
        <w:footnoteReference w:id="18"/>
      </w:r>
      <w:r>
        <w:rPr>
          <w:noProof/>
          <w:shd w:val="clear" w:color="auto" w:fill="FFFFFF"/>
        </w:rPr>
        <w:t xml:space="preserve">), în ceea ce privește pozițiile deținute pe piețele lor respective. Unele entități nefinanciare acționează, totodată, în calitate de formatori de </w:t>
      </w:r>
      <w:r>
        <w:rPr>
          <w:noProof/>
          <w:shd w:val="clear" w:color="auto" w:fill="FFFFFF"/>
        </w:rPr>
        <w:noBreakHyphen/>
        <w:t>piață și pot fi active atât pe piețele fizice/spot, cât și pe piețele instrumentelor financiare derivate. Derogarea privind activitățile auxiliare prevăzută la articolul </w:t>
      </w:r>
      <w:r w:rsidRPr="00975254">
        <w:rPr>
          <w:noProof/>
          <w:shd w:val="clear" w:color="auto" w:fill="FFFFFF"/>
        </w:rPr>
        <w:t>2</w:t>
      </w:r>
      <w:r>
        <w:rPr>
          <w:noProof/>
          <w:shd w:val="clear" w:color="auto" w:fill="FFFFFF"/>
        </w:rPr>
        <w:t xml:space="preserve"> alineatul (</w:t>
      </w:r>
      <w:r w:rsidRPr="00975254">
        <w:rPr>
          <w:noProof/>
          <w:shd w:val="clear" w:color="auto" w:fill="FFFFFF"/>
        </w:rPr>
        <w:t>1</w:t>
      </w:r>
      <w:r>
        <w:rPr>
          <w:noProof/>
          <w:shd w:val="clear" w:color="auto" w:fill="FFFFFF"/>
        </w:rPr>
        <w:t>) litera (j) din MiFID II exceptează în prezent anumiți participanți la piața nefinanciară care efectuează tranzacții cu instrumente financiare derivate pe mărfuri de la obligația de a obține o autorizație în temeiul MiFID II (și de cerințele de conformitate asociate), dacă activitatea de tranzacționare în cauză se desfășoară pe cont propriu și nu este legată de executarea ordinelor clienților sau dacă aceștia furnizează clienților sau furnizorilor activității lor principale servicii de investiții în instrumente financiare derivate pe mărfuri sau certificate de emisii ori instrumente financiare derivate pe certificate de emisii, cu condiția ca activitatea să fie considerată „auxiliară” în raport cu activitatea lor principală, fie individual, fie în mod agregat.</w:t>
      </w:r>
    </w:p>
    <w:p w14:paraId="483A429F" w14:textId="72CC4199" w:rsidR="00753F1C" w:rsidRPr="00575C33" w:rsidRDefault="6CC0E60D" w:rsidP="21CB014D">
      <w:pPr>
        <w:rPr>
          <w:noProof/>
          <w:shd w:val="clear" w:color="auto" w:fill="FFFFFF"/>
        </w:rPr>
      </w:pPr>
      <w:r>
        <w:rPr>
          <w:noProof/>
          <w:shd w:val="clear" w:color="auto" w:fill="FFFFFF"/>
        </w:rPr>
        <w:t xml:space="preserve">Se utilizează trei teste alternative în temeiul MiFID II pentru a stabili dacă activitatea unei firme este auxiliară în raport cu activitatea sa principală. Pentru a beneficia de derogare, este suficient să se treacă oricare dintre aceste teste: </w:t>
      </w:r>
    </w:p>
    <w:p w14:paraId="06D3989F" w14:textId="4914BE34" w:rsidR="00753F1C" w:rsidRPr="00575C33" w:rsidRDefault="6CC0E60D" w:rsidP="00AC60EB">
      <w:pPr>
        <w:pStyle w:val="ListParagraph"/>
        <w:numPr>
          <w:ilvl w:val="0"/>
          <w:numId w:val="26"/>
        </w:numPr>
        <w:spacing w:after="240"/>
        <w:contextualSpacing w:val="0"/>
        <w:jc w:val="both"/>
        <w:rPr>
          <w:rFonts w:ascii="Times New Roman" w:hAnsi="Times New Roman"/>
          <w:noProof/>
          <w:sz w:val="24"/>
          <w:szCs w:val="24"/>
          <w:shd w:val="clear" w:color="auto" w:fill="FFFFFF"/>
        </w:rPr>
      </w:pPr>
      <w:r>
        <w:rPr>
          <w:rFonts w:ascii="Times New Roman" w:hAnsi="Times New Roman"/>
          <w:noProof/>
          <w:sz w:val="24"/>
          <w:shd w:val="clear" w:color="auto" w:fill="FFFFFF"/>
        </w:rPr>
        <w:t xml:space="preserve">testul </w:t>
      </w:r>
      <w:r w:rsidRPr="001F5341">
        <w:rPr>
          <w:rFonts w:ascii="Times New Roman" w:hAnsi="Times New Roman"/>
          <w:i/>
          <w:noProof/>
          <w:sz w:val="24"/>
          <w:shd w:val="clear" w:color="auto" w:fill="FFFFFF"/>
        </w:rPr>
        <w:t>de minimis</w:t>
      </w:r>
      <w:r>
        <w:rPr>
          <w:rFonts w:ascii="Times New Roman" w:hAnsi="Times New Roman"/>
          <w:noProof/>
          <w:sz w:val="24"/>
          <w:shd w:val="clear" w:color="auto" w:fill="FFFFFF"/>
        </w:rPr>
        <w:t xml:space="preserve">, pentru entitățile a căror expunere noțională netă restantă în ceea ce privește instrumentele financiare derivate pe mărfuri sau certificatele de emisii sau instrumentele derivate pe acestea pentru decontare în numerar tranzacționate în UE, cu excepția instrumentelor financiare derivate pe mărfuri sau a certificatelor de emisii sau instrumentelor derivate pe acestea tranzacționate într-un loc de tranzacționare, se situează sub pragul anual de </w:t>
      </w:r>
      <w:r w:rsidRPr="00975254">
        <w:rPr>
          <w:rFonts w:ascii="Times New Roman" w:hAnsi="Times New Roman"/>
          <w:noProof/>
          <w:sz w:val="24"/>
          <w:shd w:val="clear" w:color="auto" w:fill="FFFFFF"/>
        </w:rPr>
        <w:t>3</w:t>
      </w:r>
      <w:r>
        <w:rPr>
          <w:rFonts w:ascii="Times New Roman" w:hAnsi="Times New Roman"/>
          <w:noProof/>
          <w:sz w:val="24"/>
          <w:shd w:val="clear" w:color="auto" w:fill="FFFFFF"/>
        </w:rPr>
        <w:t xml:space="preserve"> miliarde EUR;</w:t>
      </w:r>
    </w:p>
    <w:p w14:paraId="5D4F60DE" w14:textId="77777777" w:rsidR="00753F1C" w:rsidRPr="00575C33" w:rsidRDefault="00CD7657" w:rsidP="00AC60EB">
      <w:pPr>
        <w:pStyle w:val="ListParagraph"/>
        <w:numPr>
          <w:ilvl w:val="0"/>
          <w:numId w:val="26"/>
        </w:numPr>
        <w:spacing w:after="240"/>
        <w:contextualSpacing w:val="0"/>
        <w:jc w:val="both"/>
        <w:rPr>
          <w:rFonts w:ascii="Times New Roman" w:hAnsi="Times New Roman"/>
          <w:noProof/>
          <w:sz w:val="24"/>
          <w:szCs w:val="24"/>
          <w:shd w:val="clear" w:color="auto" w:fill="FFFFFF"/>
        </w:rPr>
      </w:pPr>
      <w:r>
        <w:rPr>
          <w:rFonts w:ascii="Times New Roman" w:hAnsi="Times New Roman"/>
          <w:noProof/>
          <w:sz w:val="24"/>
          <w:shd w:val="clear" w:color="auto" w:fill="FFFFFF"/>
        </w:rPr>
        <w:t>testul privind</w:t>
      </w:r>
      <w:r w:rsidRPr="001F5341">
        <w:rPr>
          <w:rFonts w:ascii="Times New Roman" w:hAnsi="Times New Roman"/>
          <w:i/>
          <w:noProof/>
          <w:sz w:val="24"/>
          <w:shd w:val="clear" w:color="auto" w:fill="FFFFFF"/>
        </w:rPr>
        <w:t xml:space="preserve"> tranzacționarea</w:t>
      </w:r>
      <w:r>
        <w:rPr>
          <w:rFonts w:ascii="Times New Roman" w:hAnsi="Times New Roman"/>
          <w:noProof/>
          <w:sz w:val="24"/>
          <w:shd w:val="clear" w:color="auto" w:fill="FFFFFF"/>
        </w:rPr>
        <w:t xml:space="preserve">, pentru entitățile a căror dimensiune a activităților legate de instrumentele financiare derivate pe mărfuri reprezintă </w:t>
      </w:r>
      <w:r w:rsidRPr="00975254">
        <w:rPr>
          <w:rFonts w:ascii="Times New Roman" w:hAnsi="Times New Roman"/>
          <w:noProof/>
          <w:sz w:val="24"/>
          <w:shd w:val="clear" w:color="auto" w:fill="FFFFFF"/>
        </w:rPr>
        <w:t>50</w:t>
      </w:r>
      <w:r>
        <w:rPr>
          <w:rFonts w:ascii="Times New Roman" w:hAnsi="Times New Roman"/>
          <w:noProof/>
          <w:sz w:val="24"/>
          <w:shd w:val="clear" w:color="auto" w:fill="FFFFFF"/>
        </w:rPr>
        <w:t> % sau mai puțin din dimensiunea totală a celorlalte activități de tranzacționare ale grupului;</w:t>
      </w:r>
    </w:p>
    <w:p w14:paraId="7710213F" w14:textId="77777777" w:rsidR="00753F1C" w:rsidRPr="00575C33" w:rsidRDefault="00CD7657" w:rsidP="00AC60EB">
      <w:pPr>
        <w:pStyle w:val="ListParagraph"/>
        <w:numPr>
          <w:ilvl w:val="0"/>
          <w:numId w:val="26"/>
        </w:numPr>
        <w:spacing w:after="240"/>
        <w:contextualSpacing w:val="0"/>
        <w:jc w:val="both"/>
        <w:rPr>
          <w:rFonts w:ascii="Times New Roman" w:hAnsi="Times New Roman"/>
          <w:noProof/>
          <w:sz w:val="24"/>
          <w:szCs w:val="24"/>
          <w:shd w:val="clear" w:color="auto" w:fill="FFFFFF"/>
        </w:rPr>
      </w:pPr>
      <w:r>
        <w:rPr>
          <w:rFonts w:ascii="Times New Roman" w:hAnsi="Times New Roman"/>
          <w:noProof/>
          <w:sz w:val="24"/>
          <w:shd w:val="clear" w:color="auto" w:fill="FFFFFF"/>
        </w:rPr>
        <w:t xml:space="preserve">testul </w:t>
      </w:r>
      <w:r w:rsidRPr="001F5341">
        <w:rPr>
          <w:rFonts w:ascii="Times New Roman" w:hAnsi="Times New Roman"/>
          <w:i/>
          <w:noProof/>
          <w:sz w:val="24"/>
          <w:shd w:val="clear" w:color="auto" w:fill="FFFFFF"/>
        </w:rPr>
        <w:t>capitalului angajat</w:t>
      </w:r>
      <w:r>
        <w:rPr>
          <w:rFonts w:ascii="Times New Roman" w:hAnsi="Times New Roman"/>
          <w:noProof/>
          <w:sz w:val="24"/>
          <w:shd w:val="clear" w:color="auto" w:fill="FFFFFF"/>
        </w:rPr>
        <w:t xml:space="preserve">, pentru entitățile al căror capital angajat estimat pentru desfășurarea activităților lor legate de instrumentele financiare derivate pe mărfuri nu reprezintă mai mult de </w:t>
      </w:r>
      <w:r w:rsidRPr="00975254">
        <w:rPr>
          <w:rFonts w:ascii="Times New Roman" w:hAnsi="Times New Roman"/>
          <w:noProof/>
          <w:sz w:val="24"/>
          <w:shd w:val="clear" w:color="auto" w:fill="FFFFFF"/>
        </w:rPr>
        <w:t>50</w:t>
      </w:r>
      <w:r>
        <w:rPr>
          <w:rFonts w:ascii="Times New Roman" w:hAnsi="Times New Roman"/>
          <w:noProof/>
          <w:sz w:val="24"/>
          <w:shd w:val="clear" w:color="auto" w:fill="FFFFFF"/>
        </w:rPr>
        <w:t> % din capitalul angajat la nivelul grupului pentru desfășurarea activității principale.</w:t>
      </w:r>
    </w:p>
    <w:p w14:paraId="5BB08A37" w14:textId="6357C558" w:rsidR="00396EB6" w:rsidRDefault="1F450645" w:rsidP="21CB014D">
      <w:pPr>
        <w:rPr>
          <w:noProof/>
          <w:shd w:val="clear" w:color="auto" w:fill="FFFFFF"/>
        </w:rPr>
      </w:pPr>
      <w:r>
        <w:rPr>
          <w:noProof/>
          <w:shd w:val="clear" w:color="auto" w:fill="FFFFFF"/>
        </w:rPr>
        <w:t xml:space="preserve">Trebuie remarcat faptul că toate pragurile de mai sus exclud activitatea de tranzacționare legată de acoperirea împotriva riscurilor. </w:t>
      </w:r>
    </w:p>
    <w:p w14:paraId="78FA2977" w14:textId="0B4AFD7C" w:rsidR="00650496" w:rsidRPr="00575C33" w:rsidRDefault="23B6D84A" w:rsidP="00AC60EB">
      <w:pPr>
        <w:rPr>
          <w:noProof/>
          <w:shd w:val="clear" w:color="auto" w:fill="FFFFFF"/>
        </w:rPr>
      </w:pPr>
      <w:r>
        <w:rPr>
          <w:noProof/>
          <w:shd w:val="clear" w:color="auto" w:fill="FFFFFF"/>
        </w:rPr>
        <w:t>Calificarea drept firmă de investiții în temeiul MiFID II are implicații ample. Aceasta nu presupune numai aplicarea cerințelor organizatorice și operaționale prevăzute de MiFID II (precum și rolul de supraveghere și competențele de sancționare aferente ale ANC), ci atrage, de asemenea, calificarea drept contraparte financiară în temeiul Regulamentului (UE) nr. </w:t>
      </w:r>
      <w:r w:rsidRPr="00975254">
        <w:rPr>
          <w:noProof/>
          <w:shd w:val="clear" w:color="auto" w:fill="FFFFFF"/>
        </w:rPr>
        <w:t>648</w:t>
      </w:r>
      <w:r>
        <w:rPr>
          <w:noProof/>
          <w:shd w:val="clear" w:color="auto" w:fill="FFFFFF"/>
        </w:rPr>
        <w:t>/</w:t>
      </w:r>
      <w:r w:rsidRPr="00975254">
        <w:rPr>
          <w:noProof/>
          <w:shd w:val="clear" w:color="auto" w:fill="FFFFFF"/>
        </w:rPr>
        <w:t>2012</w:t>
      </w:r>
      <w:r>
        <w:rPr>
          <w:noProof/>
          <w:shd w:val="clear" w:color="auto" w:fill="FFFFFF"/>
        </w:rPr>
        <w:t xml:space="preserve"> (EMIR), în special cerințele asociate în materie de schimb de marje bilaterale în cazul tranzacționării instrumentelor financiare derivate, precum și aplicarea regimului prudențial prevăzut în Regulamentul (UE) </w:t>
      </w:r>
      <w:r w:rsidRPr="00975254">
        <w:rPr>
          <w:noProof/>
          <w:shd w:val="clear" w:color="auto" w:fill="FFFFFF"/>
        </w:rPr>
        <w:t>2019</w:t>
      </w:r>
      <w:r>
        <w:rPr>
          <w:noProof/>
          <w:shd w:val="clear" w:color="auto" w:fill="FFFFFF"/>
        </w:rPr>
        <w:t>/</w:t>
      </w:r>
      <w:r w:rsidRPr="00975254">
        <w:rPr>
          <w:noProof/>
          <w:shd w:val="clear" w:color="auto" w:fill="FFFFFF"/>
        </w:rPr>
        <w:t>2033</w:t>
      </w:r>
      <w:r>
        <w:rPr>
          <w:noProof/>
          <w:shd w:val="clear" w:color="auto" w:fill="FFFFFF"/>
        </w:rPr>
        <w:t xml:space="preserve"> (Regulamentul privind cerințele prudențiale ale firmelor de investiții, IFR) și în Directiva (UE) </w:t>
      </w:r>
      <w:r w:rsidRPr="00975254">
        <w:rPr>
          <w:noProof/>
          <w:shd w:val="clear" w:color="auto" w:fill="FFFFFF"/>
        </w:rPr>
        <w:t>2019</w:t>
      </w:r>
      <w:r>
        <w:rPr>
          <w:noProof/>
          <w:shd w:val="clear" w:color="auto" w:fill="FFFFFF"/>
        </w:rPr>
        <w:t>/</w:t>
      </w:r>
      <w:r w:rsidRPr="00975254">
        <w:rPr>
          <w:noProof/>
          <w:shd w:val="clear" w:color="auto" w:fill="FFFFFF"/>
        </w:rPr>
        <w:t>2034</w:t>
      </w:r>
      <w:r>
        <w:rPr>
          <w:noProof/>
          <w:shd w:val="clear" w:color="auto" w:fill="FFFFFF"/>
        </w:rPr>
        <w:t xml:space="preserve"> (Directiva privind cerințele prudențiale ale firmelor de investiții, IFD), inclusiv cerințele aferente de capital și de lichiditate. Trebuie remarcat totuși că o serie de cerințe esențiale prevăzute de cadrul de reglementare financiară se aplică tuturor entităților, indiferent dacă acestea se califică sau nu drept firme de investiții. Acestea includ cerințe referitoare la abuzul de piață, limitele pozițiilor și raportarea în temeiul EMIR. </w:t>
      </w:r>
    </w:p>
    <w:p w14:paraId="4723EC01" w14:textId="7F724E5E" w:rsidR="00CD7657" w:rsidRPr="00575C33" w:rsidRDefault="6CC0E60D" w:rsidP="00AC60EB">
      <w:pPr>
        <w:rPr>
          <w:noProof/>
          <w:shd w:val="clear" w:color="auto" w:fill="FFFFFF"/>
        </w:rPr>
      </w:pPr>
      <w:r>
        <w:rPr>
          <w:noProof/>
          <w:shd w:val="clear" w:color="auto" w:fill="FFFFFF"/>
        </w:rPr>
        <w:t xml:space="preserve">În </w:t>
      </w:r>
      <w:r w:rsidRPr="00975254">
        <w:rPr>
          <w:noProof/>
          <w:shd w:val="clear" w:color="auto" w:fill="FFFFFF"/>
        </w:rPr>
        <w:t>2021</w:t>
      </w:r>
      <w:r>
        <w:rPr>
          <w:noProof/>
          <w:shd w:val="clear" w:color="auto" w:fill="FFFFFF"/>
        </w:rPr>
        <w:t>, pachetul de măsuri privind redresarea piețelor de capital (</w:t>
      </w:r>
      <w:r w:rsidRPr="001F5341">
        <w:rPr>
          <w:i/>
          <w:noProof/>
          <w:shd w:val="clear" w:color="auto" w:fill="FFFFFF"/>
        </w:rPr>
        <w:t>Capital Markets Recovery Package</w:t>
      </w:r>
      <w:r>
        <w:rPr>
          <w:noProof/>
          <w:shd w:val="clear" w:color="auto" w:fill="FFFFFF"/>
        </w:rPr>
        <w:t xml:space="preserve"> - CMRP) a introdus mai multe modificări pentru a reduce o parte din sarcina administrativă cu care se confruntă investitorii cu experiență în relațiile lor între întreprinderi și pentru a oferi piețelor emergente de mărfuri posibilitatea de a se dezvolta în continuare, de a se consolida și de a-și îmbunătăți lichiditatea. </w:t>
      </w:r>
      <w:r>
        <w:rPr>
          <w:noProof/>
        </w:rPr>
        <w:t xml:space="preserve">Directiva (UE) </w:t>
      </w:r>
      <w:r w:rsidRPr="00975254">
        <w:rPr>
          <w:noProof/>
        </w:rPr>
        <w:t>2021</w:t>
      </w:r>
      <w:r>
        <w:rPr>
          <w:noProof/>
        </w:rPr>
        <w:t>/</w:t>
      </w:r>
      <w:r w:rsidRPr="00975254">
        <w:rPr>
          <w:noProof/>
        </w:rPr>
        <w:t>338</w:t>
      </w:r>
      <w:r>
        <w:rPr>
          <w:noProof/>
        </w:rPr>
        <w:t xml:space="preserve"> a simplificat testul pentru derogarea privind activitățile auxiliare, prin introducerea pragului de minimis bazat pe expunere menționat mai sus.</w:t>
      </w:r>
      <w:r>
        <w:rPr>
          <w:noProof/>
          <w:shd w:val="clear" w:color="auto" w:fill="FFFFFF"/>
        </w:rPr>
        <w:t xml:space="preserve"> Obligația participanților la piață de a notifica anual îndeplinirea criteriilor derogării privind activitățile auxiliare a fost eliminată și înlocuită cu posibilitatea ca ANC să solicite informații ad-hoc.</w:t>
      </w:r>
    </w:p>
    <w:p w14:paraId="31EFD43C" w14:textId="334D7D39" w:rsidR="006A17DA" w:rsidRPr="00575C33" w:rsidRDefault="2956A12B" w:rsidP="00AC60EB">
      <w:pPr>
        <w:rPr>
          <w:noProof/>
        </w:rPr>
      </w:pPr>
      <w:r>
        <w:rPr>
          <w:noProof/>
          <w:shd w:val="clear" w:color="auto" w:fill="FFFFFF"/>
        </w:rPr>
        <w:t xml:space="preserve">Alte jurisdicții, cum ar fi Statele Unite și Regatul Unit, au de asemenea norme menite să evite ca entitățile care tranzacționează instrumente financiare derivate pe mărfuri ca activitate auxiliară să intre sub incidența legislației financiare. </w:t>
      </w:r>
      <w:r>
        <w:rPr>
          <w:noProof/>
        </w:rPr>
        <w:t xml:space="preserve">În Statele Unite, excepția </w:t>
      </w:r>
      <w:r w:rsidRPr="001F5341">
        <w:rPr>
          <w:i/>
          <w:noProof/>
        </w:rPr>
        <w:t>de</w:t>
      </w:r>
      <w:r w:rsidR="00975254" w:rsidRPr="001F5341">
        <w:rPr>
          <w:i/>
          <w:noProof/>
        </w:rPr>
        <w:t> </w:t>
      </w:r>
      <w:r w:rsidRPr="001F5341">
        <w:rPr>
          <w:i/>
          <w:noProof/>
        </w:rPr>
        <w:t>minimis</w:t>
      </w:r>
      <w:r>
        <w:rPr>
          <w:noProof/>
        </w:rPr>
        <w:t xml:space="preserve"> pentru dealerii de swapuri (</w:t>
      </w:r>
      <w:r w:rsidRPr="001F5341">
        <w:rPr>
          <w:i/>
          <w:noProof/>
        </w:rPr>
        <w:t>Swap Dealer De Minimis Exception</w:t>
      </w:r>
      <w:r>
        <w:rPr>
          <w:noProof/>
        </w:rPr>
        <w:t xml:space="preserve">) scutește entitățile a căror activitate brută de tranzacționare cu swapuri nu depășește </w:t>
      </w:r>
      <w:r w:rsidRPr="00975254">
        <w:rPr>
          <w:noProof/>
        </w:rPr>
        <w:t>8</w:t>
      </w:r>
      <w:r>
        <w:rPr>
          <w:noProof/>
        </w:rPr>
        <w:t xml:space="preserve"> miliarde USD pe o perioadă de </w:t>
      </w:r>
      <w:r w:rsidRPr="00975254">
        <w:rPr>
          <w:noProof/>
        </w:rPr>
        <w:t>12</w:t>
      </w:r>
      <w:r>
        <w:rPr>
          <w:noProof/>
        </w:rPr>
        <w:t xml:space="preserve"> luni de obligația de a se înregistra la CFTC. Excepția din SUA acoperă numai activitatea de tranzacționare în beneficiul unui client și exclude din calculul pragului orice activitate de tranzacționare în cont propriu. În acest stadiu, nu există dovezi că alte jurisdicții importante intenționează să își înăsprească echivalentul funcțional al derogării privind activitățile auxiliare. </w:t>
      </w:r>
    </w:p>
    <w:p w14:paraId="787D1B27" w14:textId="4520F2EE" w:rsidR="00602508" w:rsidRPr="00575C33" w:rsidRDefault="5657FEBD" w:rsidP="00AC60EB">
      <w:pPr>
        <w:rPr>
          <w:noProof/>
        </w:rPr>
      </w:pPr>
      <w:r>
        <w:rPr>
          <w:noProof/>
        </w:rPr>
        <w:t xml:space="preserve">În cele din urmă, raportul Draghi se referă la beneficiile potențiale ale includerii unor participanți mari la piață, în special din sectorul energiei, în categoria firmelor de investiții, pentru a spori transparența pieței și a reduce riscul de abateri. </w:t>
      </w:r>
    </w:p>
    <w:p w14:paraId="09080616" w14:textId="779C411B" w:rsidR="002068CF" w:rsidRPr="001F5341" w:rsidRDefault="00161F9D" w:rsidP="00AC60EB">
      <w:pPr>
        <w:rPr>
          <w:rStyle w:val="normaltextrun"/>
          <w:i/>
          <w:noProof/>
          <w:szCs w:val="24"/>
          <w:shd w:val="clear" w:color="auto" w:fill="FFFFFF"/>
        </w:rPr>
      </w:pPr>
      <w:r w:rsidRPr="001F5341">
        <w:rPr>
          <w:rStyle w:val="normaltextrun"/>
          <w:i/>
          <w:noProof/>
          <w:shd w:val="clear" w:color="auto" w:fill="FFFFFF"/>
        </w:rPr>
        <w:t xml:space="preserve">Feedback de la părțile interesate și evaluare </w:t>
      </w:r>
    </w:p>
    <w:p w14:paraId="41F12536" w14:textId="1B160BEB" w:rsidR="00602508" w:rsidRPr="00575C33" w:rsidRDefault="00602508" w:rsidP="00AC60EB">
      <w:pPr>
        <w:rPr>
          <w:rStyle w:val="normaltextrun"/>
          <w:noProof/>
          <w:szCs w:val="24"/>
          <w:shd w:val="clear" w:color="auto" w:fill="FFFFFF"/>
        </w:rPr>
      </w:pPr>
      <w:r>
        <w:rPr>
          <w:rStyle w:val="normaltextrun"/>
          <w:noProof/>
          <w:shd w:val="clear" w:color="auto" w:fill="FFFFFF"/>
        </w:rPr>
        <w:t>Consultarea părților interesate a examinat în detaliu toate aspectele relevante ale funcționării derogării privind activitățile auxiliare, precum utilitatea derogării ca atare, caracterul adecvat al celor trei teste și adecvarea metodologiilor (de exemplu, praguri bazate pe valori brute față de praguri bazate pe valori nete).</w:t>
      </w:r>
    </w:p>
    <w:p w14:paraId="24CF0019" w14:textId="6FBCCF1D" w:rsidR="0023640F" w:rsidRPr="00575C33" w:rsidRDefault="1B03A059" w:rsidP="00AC60EB">
      <w:pPr>
        <w:rPr>
          <w:rStyle w:val="normaltextrun"/>
          <w:noProof/>
          <w:shd w:val="clear" w:color="auto" w:fill="FFFFFF"/>
        </w:rPr>
      </w:pPr>
      <w:r>
        <w:rPr>
          <w:rStyle w:val="normaltextrun"/>
          <w:noProof/>
          <w:shd w:val="clear" w:color="auto" w:fill="FFFFFF"/>
        </w:rPr>
        <w:t>Părțile interesate au subliniat în mod constant importanța derogării privind activitățile auxiliare pentru a asigura participarea continuă a actorilor predominant nefinanciari pe piețele de mărfuri. Părțile interesate au susținut că derogarea nu este necesară numai pentru ca aceste entități să își acopere în mod adecvat expunerile comerciale și să își planifice operațiunile în mod eficient, ci și pentru a menține profunzimea piețelor instrumentelor financiare derivate pe mărfuri din Uniune.</w:t>
      </w:r>
      <w:r>
        <w:rPr>
          <w:rStyle w:val="normaltextrun"/>
          <w:noProof/>
        </w:rPr>
        <w:t xml:space="preserve"> Respondenții au subliniat, de asemenea, valoarea adăugată a activităților de tranzacționare care nu vizează acoperirea împotriva riscurilor, inclusiv a celor desfășurate de firme nefinanciare care beneficiază de derogarea privind activitățile auxiliare, prin contribuția acestora la profunzimea și lichiditatea pieței, la reducerea concentrării și la formarea prețurilor prin aportul de expertiză pe piață.</w:t>
      </w:r>
    </w:p>
    <w:p w14:paraId="778C8561" w14:textId="35B63DB1" w:rsidR="00017857" w:rsidRPr="00575C33" w:rsidRDefault="40BDB2D4" w:rsidP="21CB014D">
      <w:pPr>
        <w:rPr>
          <w:rStyle w:val="normaltextrun"/>
          <w:noProof/>
          <w:shd w:val="clear" w:color="auto" w:fill="FFFFFF"/>
        </w:rPr>
      </w:pPr>
      <w:r>
        <w:rPr>
          <w:rStyle w:val="normaltextrun"/>
          <w:noProof/>
          <w:shd w:val="clear" w:color="auto" w:fill="FFFFFF"/>
        </w:rPr>
        <w:t xml:space="preserve">Părțile interesate au susținut aproape în unanimitate necesitatea menținerii stabilității cadrului de reglementare în acest domeniu, în urma modificărilor puse în aplicare în </w:t>
      </w:r>
      <w:r w:rsidRPr="00975254">
        <w:rPr>
          <w:rStyle w:val="normaltextrun"/>
          <w:noProof/>
          <w:shd w:val="clear" w:color="auto" w:fill="FFFFFF"/>
        </w:rPr>
        <w:t>2021</w:t>
      </w:r>
      <w:r>
        <w:rPr>
          <w:rStyle w:val="normaltextrun"/>
          <w:noProof/>
          <w:shd w:val="clear" w:color="auto" w:fill="FFFFFF"/>
        </w:rPr>
        <w:t xml:space="preserve"> prin pachetul de măsuri privind redresarea piețelor de capital (CMRP). Sugestiile de simplificare a testului, de exemplu prin axarea exclusiv pe tranzacționarea în cont propriu, astfel cum se observă în alte jurisdicții, precum și sugestiile de înăsprire a testului au fost respinse din motive similare, în vederea menținerii stabilității cadrului de reglementare.</w:t>
      </w:r>
    </w:p>
    <w:p w14:paraId="7F593A0B" w14:textId="7FBE2474" w:rsidR="00262A96" w:rsidRPr="00575C33" w:rsidRDefault="5BC34002" w:rsidP="00AC60EB">
      <w:pPr>
        <w:rPr>
          <w:rStyle w:val="normaltextrun"/>
          <w:noProof/>
          <w:shd w:val="clear" w:color="auto" w:fill="FFFFFF"/>
        </w:rPr>
      </w:pPr>
      <w:r>
        <w:rPr>
          <w:rStyle w:val="normaltextrun"/>
          <w:noProof/>
          <w:shd w:val="clear" w:color="auto" w:fill="FFFFFF"/>
        </w:rPr>
        <w:t xml:space="preserve">În general, consultarea părților interesate a indicat că o înăsprire a derogării privind activitățile auxiliare ar avea consecințe de mare amploare asupra funcționării firmelor care beneficiază în prezent de derogare. Această opinie a fost împărtășită în mare măsură de reprezentanții sectorului și de autoritățile de reglementare. Principalii factori generatori de costuri </w:t>
      </w:r>
      <w:r>
        <w:rPr>
          <w:rStyle w:val="normaltextrun"/>
          <w:noProof/>
        </w:rPr>
        <w:t>identificați</w:t>
      </w:r>
      <w:r>
        <w:rPr>
          <w:rStyle w:val="normaltextrun"/>
          <w:noProof/>
          <w:shd w:val="clear" w:color="auto" w:fill="FFFFFF"/>
        </w:rPr>
        <w:t xml:space="preserve"> au fost: </w:t>
      </w:r>
    </w:p>
    <w:p w14:paraId="6C8DB5E4" w14:textId="2317890A" w:rsidR="00262A96" w:rsidRPr="00575C33" w:rsidRDefault="000B1156" w:rsidP="09E0FC6E">
      <w:pPr>
        <w:pStyle w:val="ListParagraph"/>
        <w:numPr>
          <w:ilvl w:val="0"/>
          <w:numId w:val="27"/>
        </w:numPr>
        <w:spacing w:after="240"/>
        <w:rPr>
          <w:rStyle w:val="normaltextrun"/>
          <w:rFonts w:ascii="Times New Roman" w:hAnsi="Times New Roman"/>
          <w:noProof/>
          <w:sz w:val="24"/>
          <w:szCs w:val="24"/>
          <w:shd w:val="clear" w:color="auto" w:fill="FFFFFF"/>
        </w:rPr>
      </w:pPr>
      <w:r>
        <w:rPr>
          <w:rStyle w:val="normaltextrun"/>
          <w:rFonts w:ascii="Times New Roman" w:hAnsi="Times New Roman"/>
          <w:noProof/>
          <w:sz w:val="24"/>
          <w:shd w:val="clear" w:color="auto" w:fill="FFFFFF"/>
        </w:rPr>
        <w:t>obligațiile prudențiale care rezultă din aplicarea cerințelor de capital și de lichiditate prevăzute de IFR/IFD;</w:t>
      </w:r>
    </w:p>
    <w:p w14:paraId="22349903" w14:textId="77777777" w:rsidR="00192AA7" w:rsidRDefault="00614951" w:rsidP="00192AA7">
      <w:pPr>
        <w:pStyle w:val="ListParagraph"/>
        <w:numPr>
          <w:ilvl w:val="0"/>
          <w:numId w:val="27"/>
        </w:numPr>
        <w:spacing w:after="0"/>
        <w:contextualSpacing w:val="0"/>
        <w:rPr>
          <w:rStyle w:val="normaltextrun"/>
          <w:rFonts w:ascii="Times New Roman" w:hAnsi="Times New Roman"/>
          <w:noProof/>
          <w:sz w:val="24"/>
          <w:szCs w:val="24"/>
          <w:shd w:val="clear" w:color="auto" w:fill="FFFFFF"/>
        </w:rPr>
      </w:pPr>
      <w:r>
        <w:rPr>
          <w:rStyle w:val="normaltextrun"/>
          <w:rFonts w:ascii="Times New Roman" w:hAnsi="Times New Roman"/>
          <w:noProof/>
          <w:sz w:val="24"/>
          <w:shd w:val="clear" w:color="auto" w:fill="FFFFFF"/>
        </w:rPr>
        <w:t xml:space="preserve">cerințele în materie de marje pentru tranzacțiile extrabursiere, care rezultă din reclasificarea drept contrapărți financiare în temeiul EMIR; și </w:t>
      </w:r>
    </w:p>
    <w:p w14:paraId="5929C756" w14:textId="4E68B6AB" w:rsidR="00F749EF" w:rsidRPr="00192AA7" w:rsidRDefault="000B1156">
      <w:pPr>
        <w:pStyle w:val="ListParagraph"/>
        <w:numPr>
          <w:ilvl w:val="0"/>
          <w:numId w:val="27"/>
        </w:numPr>
        <w:spacing w:after="240"/>
        <w:contextualSpacing w:val="0"/>
        <w:rPr>
          <w:rStyle w:val="normaltextrun"/>
          <w:rFonts w:ascii="Times New Roman" w:hAnsi="Times New Roman"/>
          <w:noProof/>
          <w:sz w:val="24"/>
          <w:szCs w:val="24"/>
          <w:shd w:val="clear" w:color="auto" w:fill="FFFFFF"/>
        </w:rPr>
      </w:pPr>
      <w:r>
        <w:rPr>
          <w:rStyle w:val="normaltextrun"/>
          <w:rFonts w:ascii="Times New Roman" w:hAnsi="Times New Roman"/>
          <w:noProof/>
          <w:sz w:val="24"/>
          <w:shd w:val="clear" w:color="auto" w:fill="FFFFFF"/>
        </w:rPr>
        <w:t>costurile globale de asigurare a conformității cu cerințele MiFID II.</w:t>
      </w:r>
    </w:p>
    <w:p w14:paraId="0B4AB0F8" w14:textId="5E2D0D8C" w:rsidR="00192AA7" w:rsidRDefault="12860011" w:rsidP="00AC60EB">
      <w:pPr>
        <w:rPr>
          <w:noProof/>
          <w:shd w:val="clear" w:color="auto" w:fill="FFFFFF"/>
        </w:rPr>
      </w:pPr>
      <w:r>
        <w:rPr>
          <w:noProof/>
        </w:rPr>
        <w:t>Respondenții la consultare, inclusiv trei autorități publice, și-au exprimat îngrijorarea că o înăsprire a condițiilor derogării privind activitățile auxiliare ar putea genera o creștere bruscă a costurilor operaționale sau dificultăți în gestionarea adecvată a riscurilor (de</w:t>
      </w:r>
      <w:r w:rsidR="00975254">
        <w:rPr>
          <w:noProof/>
        </w:rPr>
        <w:t> </w:t>
      </w:r>
      <w:r>
        <w:rPr>
          <w:noProof/>
        </w:rPr>
        <w:t>exemplu, din cauza deteriorării condițiilor de piață; a se vedea mai jos).</w:t>
      </w:r>
      <w:r>
        <w:rPr>
          <w:noProof/>
          <w:shd w:val="clear" w:color="auto" w:fill="FFFFFF"/>
        </w:rPr>
        <w:t xml:space="preserve"> </w:t>
      </w:r>
      <w:r>
        <w:rPr>
          <w:noProof/>
        </w:rPr>
        <w:t>Comisia recunoaște că astfel de modificări ar putea conduce la costuri suplimentare de asigurare a conformității și, pe baza normelor prudențiale actuale, la constrângeri suplimentare de capital în scopuri prudențiale.</w:t>
      </w:r>
      <w:r>
        <w:rPr>
          <w:noProof/>
          <w:shd w:val="clear" w:color="auto" w:fill="FFFFFF"/>
        </w:rPr>
        <w:t xml:space="preserve"> </w:t>
      </w:r>
      <w:r>
        <w:rPr>
          <w:noProof/>
        </w:rPr>
        <w:t>În timp ce aceste elemente ar trebui evaluate în lumina beneficiilor preconizate, iar o înăsprire a derogării privind activitățile auxiliare ar putea, teoretic, să reducă activitățile de tranzacționare implicând asumarea de riscuri prin restricționarea activităților de tranzacționare care nu vizează acoperirea împotriva riscurilor de către beneficiarii actuali ai derogării, respondenții au remarcat totuși că această situație ar putea determina unele firme, care în prezent nu fac obiectul reglementărilor de conduită financiară și al celor prudențiale, să iasă de pe aceste piețe.</w:t>
      </w:r>
      <w:r>
        <w:rPr>
          <w:noProof/>
          <w:shd w:val="clear" w:color="auto" w:fill="FFFFFF"/>
        </w:rPr>
        <w:t xml:space="preserve"> </w:t>
      </w:r>
      <w:r>
        <w:rPr>
          <w:noProof/>
        </w:rPr>
        <w:t>O ieșire semnificativă a firmelor existente, dacă nu este compensată prin intrarea de noi participanți pe piață, ar putea duce la o reducere a profunzimii, lichidității și eficienței piețelor de mărfuri, având ca rezultat piețe mai concentrate, costuri mai mari și o fiabilitate mai scăzută a acoperirii împotriva riscurilor.</w:t>
      </w:r>
      <w:r>
        <w:rPr>
          <w:noProof/>
          <w:shd w:val="clear" w:color="auto" w:fill="FFFFFF"/>
        </w:rPr>
        <w:t xml:space="preserve"> Mai multe părți interesate au remarcat că aceste costuri sporite, fie directe, fie cauzate de o acoperire imperfectă, ar putea fi în cele din urmă transferate clienților finali sub forma unor prețuri mai mari ale mărfurilor. </w:t>
      </w:r>
    </w:p>
    <w:p w14:paraId="34EA5264" w14:textId="496CACDB" w:rsidR="00A9415A" w:rsidRPr="00575C33" w:rsidRDefault="451955EF" w:rsidP="21CB014D">
      <w:pPr>
        <w:rPr>
          <w:noProof/>
          <w:shd w:val="clear" w:color="auto" w:fill="FFFFFF"/>
        </w:rPr>
      </w:pPr>
      <w:r>
        <w:rPr>
          <w:noProof/>
          <w:shd w:val="clear" w:color="auto" w:fill="FFFFFF"/>
        </w:rPr>
        <w:t xml:space="preserve">Consultarea a urmărit, de asemenea, să evalueze dacă părțile interesate considerau că cerințele prudențiale ar fi putut atenua criza de lichiditate cu care s-au confruntat unii participanți la piață în timpul crizei energetice din </w:t>
      </w:r>
      <w:r w:rsidRPr="00975254">
        <w:rPr>
          <w:noProof/>
          <w:shd w:val="clear" w:color="auto" w:fill="FFFFFF"/>
        </w:rPr>
        <w:t>2022</w:t>
      </w:r>
      <w:r>
        <w:rPr>
          <w:noProof/>
          <w:shd w:val="clear" w:color="auto" w:fill="FFFFFF"/>
        </w:rPr>
        <w:t xml:space="preserve"> și în perioada aferentă de creștere bruscă a apelurilor în marjă. Toate părțile interesate respondente, cu excepția uneia, au considerat că astfel de cerințe nu ar fi atenuat situația și ar fi putut chiar să o agraveze prin restrângerea suplimentară a accesului la lichidități.</w:t>
      </w:r>
    </w:p>
    <w:p w14:paraId="5D41D66E" w14:textId="0C7E1685" w:rsidR="00131047" w:rsidRPr="00575C33" w:rsidRDefault="5C4FAE2F" w:rsidP="00AC60EB">
      <w:pPr>
        <w:rPr>
          <w:noProof/>
          <w:shd w:val="clear" w:color="auto" w:fill="FFFFFF"/>
        </w:rPr>
      </w:pPr>
      <w:r>
        <w:rPr>
          <w:noProof/>
          <w:shd w:val="clear" w:color="auto" w:fill="FFFFFF"/>
        </w:rPr>
        <w:t xml:space="preserve">Unele părți interesate au subliniat că mai multe dispoziții-cheie referitoare la tranzacționarea instrumentelor financiare derivate pe mărfuri, cum ar fi normele privind abuzul de piață, raportarea pozițiilor și limitele pozițiilor, precum și raportarea în temeiul EMIR, se aplică indiferent de statutul de reglementare al traderilor de mărfuri. Aceste părți interesate au pus sub semnul întrebării necesitatea și valoarea adăugată a cerinței ca traderii de mărfuri să dobândească statutul deplin de firmă de investiții. Doar trei respondenți din cei </w:t>
      </w:r>
      <w:r w:rsidRPr="00975254">
        <w:rPr>
          <w:noProof/>
          <w:shd w:val="clear" w:color="auto" w:fill="FFFFFF"/>
        </w:rPr>
        <w:t>73</w:t>
      </w:r>
      <w:r>
        <w:rPr>
          <w:noProof/>
          <w:shd w:val="clear" w:color="auto" w:fill="FFFFFF"/>
        </w:rPr>
        <w:t xml:space="preserve"> care au transmis feedback cu privire la acest aspect s-au arătat deschiși ideii de revizuire a regimului derogării privind activitățile auxiliare, dintre care doar unul a solicitat în mod explicit o reformă. Două autorități publice (din același stat membru) au remarcat că, în cazul revizuirii derogării privind activitățile auxiliare, ar trebui instituit un regim prudențial adaptat pentru traderii de mărfuri, care să țină seama de profilurile lor de risc și de modelele lor de afaceri specifice. Comisia observă că, în ceea ce privește supravegherea conduitei și supravegherea pieței, respondenții nu au prezentat niciun element care să sugereze că înăsprirea derogării privind activitățile auxiliare ar spori integritatea piețelor.</w:t>
      </w:r>
    </w:p>
    <w:p w14:paraId="41CC3538" w14:textId="17F70C23" w:rsidR="00131047" w:rsidRPr="00575C33" w:rsidRDefault="2DD333D8" w:rsidP="21CB014D">
      <w:pPr>
        <w:rPr>
          <w:noProof/>
          <w:shd w:val="clear" w:color="auto" w:fill="FFFFFF"/>
        </w:rPr>
      </w:pPr>
      <w:r>
        <w:rPr>
          <w:noProof/>
          <w:shd w:val="clear" w:color="auto" w:fill="FFFFFF"/>
        </w:rPr>
        <w:t xml:space="preserve">Comisia observă că mulți participanți au fost de părere că înăsprirea regimului derogării privind activitățile auxiliare ar plasa participanții la piața de mărfuri din UE într-un dezavantaj concurențial față de omologii lor de la nivel global, dat fiind, în special, că alte jurisdicții adoptă cadre de reglementare mai flexibile. </w:t>
      </w:r>
    </w:p>
    <w:p w14:paraId="52227777" w14:textId="417E04EA" w:rsidR="00131047" w:rsidRPr="00575C33" w:rsidRDefault="12860011" w:rsidP="21CB014D">
      <w:pPr>
        <w:rPr>
          <w:noProof/>
          <w:shd w:val="clear" w:color="auto" w:fill="FFFFFF"/>
        </w:rPr>
      </w:pPr>
      <w:r>
        <w:rPr>
          <w:noProof/>
          <w:shd w:val="clear" w:color="auto" w:fill="FFFFFF"/>
        </w:rPr>
        <w:t xml:space="preserve">În ceea ce privește structura și funcționarea celor trei teste, consultarea a arătat că toate cele trei teste sunt utile și sunt utilizate de respondenți. Aceasta în pofida faptului că, potrivit înțelegerii Comisiei, nicio entitate care beneficiază în prezent de derogarea privind activitățile auxiliare nu ar pica testul </w:t>
      </w:r>
      <w:r w:rsidRPr="001F5341">
        <w:rPr>
          <w:i/>
          <w:noProof/>
          <w:shd w:val="clear" w:color="auto" w:fill="FFFFFF"/>
        </w:rPr>
        <w:t>de minimis</w:t>
      </w:r>
      <w:r>
        <w:rPr>
          <w:noProof/>
          <w:shd w:val="clear" w:color="auto" w:fill="FFFFFF"/>
        </w:rPr>
        <w:t>. Părțile interesate au considerat că modificarea sau eliminarea oricăruia dintre aceste teste ar genera costuri de adaptare pentru participanții la piață, care au pus deja în aplicare sisteme și proceduri pentru a se conforma testului ales.</w:t>
      </w:r>
    </w:p>
    <w:p w14:paraId="0F4DED12" w14:textId="7A9A08E8" w:rsidR="00131047" w:rsidRPr="00575C33" w:rsidRDefault="12860011" w:rsidP="21CB014D">
      <w:pPr>
        <w:rPr>
          <w:noProof/>
          <w:shd w:val="clear" w:color="auto" w:fill="FFFFFF"/>
        </w:rPr>
      </w:pPr>
      <w:r>
        <w:rPr>
          <w:noProof/>
          <w:shd w:val="clear" w:color="auto" w:fill="FFFFFF"/>
        </w:rPr>
        <w:t>În mod similar, părțile interesate au susținut că orice modificare a metodologiilor de calcul al pragurilor relevante ar necesita adaptări inutile. Mai precis, trecerea la un prag bazat pe activitatea brută de tranzacționare, precum cel utilizat în SUA, bazat pe activitatea de tranzacționare în ansamblu, a fost considerată de respondenți incompatibilă cu abordarea bazată pe riscuri în temeiul MiFID II, care se reflectă cel mai bine într-un prag bazat pe activitatea netă de tranzacționare.</w:t>
      </w:r>
    </w:p>
    <w:p w14:paraId="183F2AA3" w14:textId="78F0F2D2" w:rsidR="00131047" w:rsidRPr="00575C33" w:rsidRDefault="12860011" w:rsidP="21CB014D">
      <w:pPr>
        <w:rPr>
          <w:noProof/>
          <w:shd w:val="clear" w:color="auto" w:fill="FFFFFF"/>
        </w:rPr>
      </w:pPr>
      <w:r>
        <w:rPr>
          <w:noProof/>
          <w:shd w:val="clear" w:color="auto" w:fill="FFFFFF"/>
        </w:rPr>
        <w:t>În cele din urmă, în ceea ce privește eliminarea notificărilor anuale referitoare la respectarea de către traderii de instrumente financiare derivate pe mărfuri a pragurilor derogării privind activitățile auxiliare, mai mult de jumătate dintre respondenți au fost de părere că modificarea introdusă prin pachetul de măsuri privind redresarea piețelor de capital (CMRP) a redus sarcinile administrative și birocrația. Mai mulți respondenți au subliniat că ANC ar putea solicita în continuare informații ad-hoc, în plus față de cele deja furnizate în temeiul raportării prevăzute de MiFID II și EMIR. Cu toate acestea, unii respondenți au sugerat să se aibă în vedere o notificare inițială, efectuată o singură dată, către o singură ANC sau către ESMA, pentru a menține o evidență la nivelul UE a entităților active pe piețele instrumentelor financiare derivate pe mărfuri. Deși nu este excesiv de împovărătoare pentru firme, o astfel de notificare ar putea oferi autorităților de supraveghere o imagine cuprinzătoare asupra participanților la piață (în special dacă este însoțită de o notificare din partea firmelor care își încetează activitatea pe piețele instrumentelor financiare derivate pe mărfuri).</w:t>
      </w:r>
    </w:p>
    <w:p w14:paraId="36956D33" w14:textId="564583CE" w:rsidR="00B86A4A" w:rsidRPr="001F5341" w:rsidRDefault="00D01450" w:rsidP="00AC60EB">
      <w:pPr>
        <w:rPr>
          <w:rStyle w:val="normaltextrun"/>
          <w:i/>
          <w:noProof/>
        </w:rPr>
      </w:pPr>
      <w:r w:rsidRPr="001F5341">
        <w:rPr>
          <w:i/>
          <w:noProof/>
        </w:rPr>
        <w:t>Concluziile evaluării Comisiei</w:t>
      </w:r>
    </w:p>
    <w:p w14:paraId="5D90C76E" w14:textId="621723E3" w:rsidR="004C4949" w:rsidRPr="00575C33" w:rsidRDefault="00A85539" w:rsidP="00AC60EB">
      <w:pPr>
        <w:rPr>
          <w:rStyle w:val="normaltextrun"/>
          <w:noProof/>
          <w:shd w:val="clear" w:color="auto" w:fill="FFFFFF"/>
        </w:rPr>
      </w:pPr>
      <w:r>
        <w:rPr>
          <w:rStyle w:val="normaltextrun"/>
          <w:noProof/>
          <w:shd w:val="clear" w:color="auto" w:fill="FFFFFF"/>
        </w:rPr>
        <w:t xml:space="preserve">Pe baza feedbackului primit de la părțile interesate, </w:t>
      </w:r>
      <w:r>
        <w:rPr>
          <w:rStyle w:val="normaltextrun"/>
          <w:noProof/>
        </w:rPr>
        <w:t>nu a fost semnalat</w:t>
      </w:r>
      <w:r>
        <w:rPr>
          <w:rStyle w:val="normaltextrun"/>
          <w:noProof/>
          <w:shd w:val="clear" w:color="auto" w:fill="FFFFFF"/>
        </w:rPr>
        <w:t xml:space="preserve"> niciun </w:t>
      </w:r>
      <w:r>
        <w:rPr>
          <w:rStyle w:val="normaltextrun"/>
          <w:noProof/>
        </w:rPr>
        <w:t>element semnificativ</w:t>
      </w:r>
      <w:r>
        <w:rPr>
          <w:rStyle w:val="normaltextrun"/>
          <w:noProof/>
          <w:shd w:val="clear" w:color="auto" w:fill="FFFFFF"/>
        </w:rPr>
        <w:t xml:space="preserve"> care să </w:t>
      </w:r>
      <w:r>
        <w:rPr>
          <w:rStyle w:val="normaltextrun"/>
          <w:noProof/>
        </w:rPr>
        <w:t xml:space="preserve">sugereze </w:t>
      </w:r>
      <w:r>
        <w:rPr>
          <w:rStyle w:val="normaltextrun"/>
          <w:noProof/>
          <w:shd w:val="clear" w:color="auto" w:fill="FFFFFF"/>
        </w:rPr>
        <w:t xml:space="preserve">că derogarea privind activitățile auxiliare nu funcționează în mod adecvat. Tot pe baza acestui feedback, </w:t>
      </w:r>
      <w:r>
        <w:rPr>
          <w:rStyle w:val="normaltextrun"/>
          <w:noProof/>
        </w:rPr>
        <w:t xml:space="preserve">se pare că </w:t>
      </w:r>
      <w:r>
        <w:rPr>
          <w:rStyle w:val="normaltextrun"/>
          <w:noProof/>
          <w:shd w:val="clear" w:color="auto" w:fill="FFFFFF"/>
        </w:rPr>
        <w:t xml:space="preserve">modificarea domeniului de aplicare și a funcționării derogării privind activitățile auxiliare </w:t>
      </w:r>
      <w:r>
        <w:rPr>
          <w:rStyle w:val="normaltextrun"/>
          <w:noProof/>
        </w:rPr>
        <w:t xml:space="preserve">poate </w:t>
      </w:r>
      <w:r>
        <w:rPr>
          <w:rStyle w:val="normaltextrun"/>
          <w:noProof/>
          <w:shd w:val="clear" w:color="auto" w:fill="FFFFFF"/>
        </w:rPr>
        <w:t>avea consecințe semnificative și de mare amploare, cu un posibil impact asupra competitivității firmelor din UE pe piețele instrumentelor financiare derivate pe mărfuri. În această etapă,</w:t>
      </w:r>
      <w:r>
        <w:rPr>
          <w:rStyle w:val="normaltextrun"/>
          <w:noProof/>
        </w:rPr>
        <w:t xml:space="preserve"> răspunsurile furnizate de părțile interesate nu</w:t>
      </w:r>
      <w:r>
        <w:rPr>
          <w:rStyle w:val="normaltextrun"/>
          <w:noProof/>
          <w:shd w:val="clear" w:color="auto" w:fill="FFFFFF"/>
        </w:rPr>
        <w:t xml:space="preserve"> sugerează că sunt necesare de urgență modificări </w:t>
      </w:r>
      <w:r>
        <w:rPr>
          <w:rStyle w:val="normaltextrun"/>
          <w:noProof/>
        </w:rPr>
        <w:t xml:space="preserve">ale </w:t>
      </w:r>
      <w:r>
        <w:rPr>
          <w:rStyle w:val="normaltextrun"/>
          <w:noProof/>
          <w:shd w:val="clear" w:color="auto" w:fill="FFFFFF"/>
        </w:rPr>
        <w:t xml:space="preserve">derogării privind activitățile auxiliare. În acest sens, Comisia observă că dispozițiile-cheie privind conduita, în special cele referitoare la abuzul de piață și la limitele pozițiilor, se aplică </w:t>
      </w:r>
      <w:r>
        <w:rPr>
          <w:rStyle w:val="normaltextrun"/>
          <w:noProof/>
        </w:rPr>
        <w:t xml:space="preserve">deja </w:t>
      </w:r>
      <w:r>
        <w:rPr>
          <w:rStyle w:val="normaltextrun"/>
          <w:noProof/>
          <w:shd w:val="clear" w:color="auto" w:fill="FFFFFF"/>
        </w:rPr>
        <w:t xml:space="preserve">indiferent de statutul entităților de tranzacționare ca firme de investiții. </w:t>
      </w:r>
    </w:p>
    <w:p w14:paraId="53211ECC" w14:textId="6536695E" w:rsidR="00DC0172" w:rsidRDefault="56B196D9" w:rsidP="00AC60EB">
      <w:pPr>
        <w:rPr>
          <w:rStyle w:val="normaltextrun"/>
          <w:noProof/>
          <w:shd w:val="clear" w:color="auto" w:fill="FFFFFF"/>
        </w:rPr>
      </w:pPr>
      <w:r>
        <w:rPr>
          <w:rStyle w:val="normaltextrun"/>
          <w:noProof/>
        </w:rPr>
        <w:t>În cazul în care</w:t>
      </w:r>
      <w:r>
        <w:rPr>
          <w:rStyle w:val="normaltextrun"/>
          <w:noProof/>
          <w:shd w:val="clear" w:color="auto" w:fill="FFFFFF"/>
        </w:rPr>
        <w:t xml:space="preserve"> o revizuire a derogării privind activitățile auxiliare ar fi avută în vedere la un moment ulterior, ceea ce ar putea avea ca rezultat faptul că mai multe entități ar face obiectul autorizării și supravegherii ca firme de investiții, un regim prudențial adaptat, proporțional cu profilul de risc al firmelor care operează pe piețele instrumentelor financiare derivate pe mărfuri,</w:t>
      </w:r>
      <w:r>
        <w:rPr>
          <w:rStyle w:val="normaltextrun"/>
          <w:noProof/>
        </w:rPr>
        <w:t xml:space="preserve"> ar părea mai adecvat</w:t>
      </w:r>
      <w:r>
        <w:rPr>
          <w:rStyle w:val="normaltextrun"/>
          <w:noProof/>
          <w:shd w:val="clear" w:color="auto" w:fill="FFFFFF"/>
        </w:rPr>
        <w:t>. Fără a aduce atingere celor de mai sus, Comisia ar putea considera, astfel cum au sugerat unele părți interesate, că toate entitățile active pe piețele instrumentelor financiare derivate pe mărfuri ar trebui să transmită ANC o notificare unică, la începerea și la încetarea activității, pentru a spori vizibilitatea autorităților de supraveghere cu privire la identitatea participanților la piață. Aceasta se aplică și firmelor active pe piețele certificatelor de emisii sau ale instrumentelor financiare derivate pe certificate de emisii.</w:t>
      </w:r>
    </w:p>
    <w:p w14:paraId="15195C0C" w14:textId="77777777" w:rsidR="009B1053" w:rsidRDefault="009B1053" w:rsidP="00AC60EB">
      <w:pPr>
        <w:rPr>
          <w:rStyle w:val="normaltextrun"/>
          <w:noProof/>
          <w:shd w:val="clear" w:color="auto" w:fill="FFFFFF"/>
        </w:rPr>
      </w:pPr>
    </w:p>
    <w:p w14:paraId="48379DE7" w14:textId="77777777" w:rsidR="009B1053" w:rsidRPr="00975254" w:rsidRDefault="009B1053" w:rsidP="009B1053">
      <w:pPr>
        <w:keepNext/>
        <w:keepLines/>
        <w:numPr>
          <w:ilvl w:val="0"/>
          <w:numId w:val="2"/>
        </w:numPr>
        <w:outlineLvl w:val="0"/>
        <w:rPr>
          <w:b/>
          <w:noProof/>
        </w:rPr>
      </w:pPr>
      <w:bookmarkStart w:id="25" w:name="_Toc229069521"/>
      <w:r w:rsidRPr="00975254">
        <w:rPr>
          <w:b/>
          <w:noProof/>
        </w:rPr>
        <w:t>LIMITELE POZIȚIILOR, MECANISMELE DE CONTROL AL ADMINISTRĂRII POZIȚIILOR ȘI RAPORTAREA POZIȚIILOR</w:t>
      </w:r>
      <w:bookmarkEnd w:id="25"/>
    </w:p>
    <w:p w14:paraId="18B18674" w14:textId="77777777" w:rsidR="009B1053" w:rsidRPr="001F5341" w:rsidRDefault="009B1053" w:rsidP="009B1053">
      <w:pPr>
        <w:rPr>
          <w:i/>
          <w:iCs/>
          <w:noProof/>
          <w:szCs w:val="24"/>
        </w:rPr>
      </w:pPr>
      <w:r w:rsidRPr="001F5341">
        <w:rPr>
          <w:i/>
          <w:noProof/>
        </w:rPr>
        <w:t>Rolul și funcționarea limitelor pozițiilor și a mecanismelor de control al administrării pozițiilor</w:t>
      </w:r>
    </w:p>
    <w:p w14:paraId="6D7FDA51" w14:textId="77777777" w:rsidR="009B1053" w:rsidRPr="00575C33" w:rsidRDefault="009B1053" w:rsidP="009B1053">
      <w:pPr>
        <w:pStyle w:val="paragraph"/>
        <w:spacing w:before="0" w:beforeAutospacing="0" w:after="240" w:afterAutospacing="0"/>
        <w:jc w:val="both"/>
        <w:textAlignment w:val="baseline"/>
        <w:rPr>
          <w:noProof/>
        </w:rPr>
      </w:pPr>
      <w:r>
        <w:rPr>
          <w:noProof/>
        </w:rPr>
        <w:t>Limitele pozițiilor reprezintă o caracteristică fundamentală a normelor care reglementează tranzacționarea instrumentelor financiare derivate pe mărfuri în UE. Acestea limitează dimensiunea unei poziții nete pe care o persoană o poate deține în orice moment în anumite contracte derivate pe mărfuri, având un dublu obiectiv: (i) asigurarea desfășurării ordonate a tranzacționării și a decontării și (ii) prevenirea manipulării pieței.</w:t>
      </w:r>
    </w:p>
    <w:p w14:paraId="5CE74EE2" w14:textId="5D7DFDEC" w:rsidR="009B1053" w:rsidRPr="00575C33" w:rsidRDefault="1D43C493" w:rsidP="21CB014D">
      <w:pPr>
        <w:pStyle w:val="paragraph"/>
        <w:spacing w:before="0" w:beforeAutospacing="0" w:after="240" w:afterAutospacing="0"/>
        <w:jc w:val="both"/>
        <w:textAlignment w:val="baseline"/>
        <w:rPr>
          <w:noProof/>
        </w:rPr>
      </w:pPr>
      <w:r>
        <w:rPr>
          <w:noProof/>
        </w:rPr>
        <w:t xml:space="preserve">Limitele pozițiilor sunt stabilite de ANC, în conformitate cu principiile prevăzute în Regulamentul delegat (UE) </w:t>
      </w:r>
      <w:r w:rsidRPr="00975254">
        <w:rPr>
          <w:noProof/>
        </w:rPr>
        <w:t>2022</w:t>
      </w:r>
      <w:r>
        <w:rPr>
          <w:noProof/>
        </w:rPr>
        <w:t>/</w:t>
      </w:r>
      <w:r w:rsidRPr="00975254">
        <w:rPr>
          <w:noProof/>
        </w:rPr>
        <w:t>1302</w:t>
      </w:r>
      <w:r>
        <w:rPr>
          <w:noProof/>
        </w:rPr>
        <w:t xml:space="preserve"> și în urma unui aviz al ESMA. Limitele pozițiilor se aplică instrumentelor financiare derivate tranzacționate la bursă și contractelor extrabursiere echivalente din punct de vedere economic (EEOTC). Acestea nu se aplică certificatelor de emisii și instrumentelor financiare derivate pe certificate de emisii. Totodată, ele nu se aplică nici contractelor care fac obiectul excluderii C</w:t>
      </w:r>
      <w:r w:rsidRPr="00975254">
        <w:rPr>
          <w:noProof/>
        </w:rPr>
        <w:t>6</w:t>
      </w:r>
      <w:r>
        <w:rPr>
          <w:noProof/>
        </w:rPr>
        <w:t xml:space="preserve"> („C</w:t>
      </w:r>
      <w:r w:rsidRPr="00975254">
        <w:rPr>
          <w:noProof/>
        </w:rPr>
        <w:t>6</w:t>
      </w:r>
      <w:r>
        <w:rPr>
          <w:noProof/>
        </w:rPr>
        <w:t xml:space="preserve"> carve-out contracts”), deoarece astfel de instrumente nu intră sub incidența legislației financiare.</w:t>
      </w:r>
    </w:p>
    <w:p w14:paraId="30CA1EE0" w14:textId="1704ECD1" w:rsidR="009B1053" w:rsidRPr="00575C33" w:rsidRDefault="1D43C493" w:rsidP="21CB014D">
      <w:pPr>
        <w:pStyle w:val="paragraph"/>
        <w:spacing w:before="0" w:beforeAutospacing="0" w:after="240" w:afterAutospacing="0"/>
        <w:jc w:val="both"/>
        <w:textAlignment w:val="baseline"/>
        <w:rPr>
          <w:noProof/>
        </w:rPr>
      </w:pPr>
      <w:r>
        <w:rPr>
          <w:noProof/>
        </w:rPr>
        <w:t xml:space="preserve">Regimul inițial al limitelor pozițiilor stabilit în temeiul MiFID II s-a dovedit a fi excesiv de restrictiv. Prin urmare, în </w:t>
      </w:r>
      <w:r w:rsidRPr="00975254">
        <w:rPr>
          <w:noProof/>
        </w:rPr>
        <w:t>2021</w:t>
      </w:r>
      <w:r>
        <w:rPr>
          <w:noProof/>
        </w:rPr>
        <w:t>, pachetul de măsuri privind redresarea piețelor de capital (CMRP) a atenuat în mod semnificativ acest regim pentru a sprijini dezvoltarea și consolidarea piețelor instrumentelor financiare derivate pe mărfuri. În special, CMRP:</w:t>
      </w:r>
    </w:p>
    <w:p w14:paraId="550F4AFE" w14:textId="77777777" w:rsidR="009B1053" w:rsidRPr="00575C33" w:rsidRDefault="009B1053" w:rsidP="009B1053">
      <w:pPr>
        <w:pStyle w:val="paragraph"/>
        <w:numPr>
          <w:ilvl w:val="0"/>
          <w:numId w:val="28"/>
        </w:numPr>
        <w:spacing w:before="0" w:beforeAutospacing="0" w:after="240" w:afterAutospacing="0"/>
        <w:jc w:val="both"/>
        <w:textAlignment w:val="baseline"/>
        <w:rPr>
          <w:noProof/>
        </w:rPr>
      </w:pPr>
      <w:r>
        <w:rPr>
          <w:noProof/>
        </w:rPr>
        <w:t xml:space="preserve">a redus domeniul de aplicare al contractelor care fac obiectul limitelor pozițiilor numai la instrumentele financiare derivate pe mărfuri agricole și la instrumentele financiare derivate pe mărfuri neagricole semnificative sau critice. Contractele sunt considerate semnificative sau critice atunci când totalul pozițiilor deschise aferent acestora este de minimum </w:t>
      </w:r>
      <w:r w:rsidRPr="00975254">
        <w:rPr>
          <w:noProof/>
        </w:rPr>
        <w:t>300</w:t>
      </w:r>
      <w:r>
        <w:rPr>
          <w:noProof/>
        </w:rPr>
        <w:t> </w:t>
      </w:r>
      <w:r w:rsidRPr="00975254">
        <w:rPr>
          <w:noProof/>
        </w:rPr>
        <w:t>000</w:t>
      </w:r>
      <w:r>
        <w:rPr>
          <w:noProof/>
        </w:rPr>
        <w:t xml:space="preserve"> de loturi, în medie, pe parcursul unui an;</w:t>
      </w:r>
    </w:p>
    <w:p w14:paraId="46BCE763" w14:textId="77777777" w:rsidR="009B1053" w:rsidRPr="00575C33" w:rsidRDefault="009B1053" w:rsidP="009B1053">
      <w:pPr>
        <w:pStyle w:val="paragraph"/>
        <w:numPr>
          <w:ilvl w:val="0"/>
          <w:numId w:val="28"/>
        </w:numPr>
        <w:spacing w:before="0" w:beforeAutospacing="0" w:after="240" w:afterAutospacing="0"/>
        <w:jc w:val="both"/>
        <w:textAlignment w:val="baseline"/>
        <w:rPr>
          <w:noProof/>
        </w:rPr>
      </w:pPr>
      <w:r>
        <w:rPr>
          <w:noProof/>
        </w:rPr>
        <w:t>a extins derogarea privind acoperirea împotriva riscurilor la pozițiile deținute de entități financiare care fac parte dintr-un grup predominant comercial (și anume nefinanciar); și</w:t>
      </w:r>
    </w:p>
    <w:p w14:paraId="58059722" w14:textId="77777777" w:rsidR="009B1053" w:rsidRPr="00575C33" w:rsidRDefault="009B1053" w:rsidP="009B1053">
      <w:pPr>
        <w:pStyle w:val="paragraph"/>
        <w:numPr>
          <w:ilvl w:val="0"/>
          <w:numId w:val="28"/>
        </w:numPr>
        <w:spacing w:before="0" w:beforeAutospacing="0" w:after="240" w:afterAutospacing="0"/>
        <w:jc w:val="both"/>
        <w:textAlignment w:val="baseline"/>
        <w:rPr>
          <w:noProof/>
        </w:rPr>
      </w:pPr>
      <w:r>
        <w:rPr>
          <w:noProof/>
        </w:rPr>
        <w:t xml:space="preserve">a extins derogarea la poziții care rezultă din tranzacții efectuate în vederea îndeplinirii obligațiilor privind furnizarea de lichidități într-un loc de tranzacționare. </w:t>
      </w:r>
    </w:p>
    <w:p w14:paraId="6983C8D8" w14:textId="4D172EBB" w:rsidR="009B1053" w:rsidRPr="00575C33" w:rsidRDefault="1D43C493" w:rsidP="21CB014D">
      <w:pPr>
        <w:pStyle w:val="paragraph"/>
        <w:spacing w:before="0" w:beforeAutospacing="0" w:after="240" w:afterAutospacing="0"/>
        <w:jc w:val="both"/>
        <w:textAlignment w:val="baseline"/>
        <w:rPr>
          <w:noProof/>
        </w:rPr>
      </w:pPr>
      <w:r>
        <w:rPr>
          <w:noProof/>
        </w:rPr>
        <w:t>Până în prezent, trei contracte derivate pe mărfuri neagricole fac obiectul unei limite a pozițiilor: contractul derivat TTF tranzacționat pe ICE Endex și pe Bursa Europeană de Energie (</w:t>
      </w:r>
      <w:r w:rsidRPr="001F5341">
        <w:rPr>
          <w:i/>
          <w:noProof/>
        </w:rPr>
        <w:t>European Energy Exchange AG</w:t>
      </w:r>
      <w:r>
        <w:rPr>
          <w:noProof/>
        </w:rPr>
        <w:t xml:space="preserve"> – EEX), contractul derivat THE tranzacționat pe EEX și pe ICE Endex și contractul German Power Base tranzacționat pe EEX.</w:t>
      </w:r>
    </w:p>
    <w:p w14:paraId="7FBCE9F8" w14:textId="22F5415E" w:rsidR="009B1053" w:rsidRPr="00575C33" w:rsidRDefault="1D43C493" w:rsidP="21CB014D">
      <w:pPr>
        <w:pStyle w:val="paragraph"/>
        <w:spacing w:before="0" w:beforeAutospacing="0" w:after="240" w:afterAutospacing="0"/>
        <w:jc w:val="both"/>
        <w:textAlignment w:val="baseline"/>
        <w:rPr>
          <w:rStyle w:val="normaltextrun"/>
          <w:noProof/>
        </w:rPr>
      </w:pPr>
      <w:r>
        <w:rPr>
          <w:noProof/>
        </w:rPr>
        <w:t>Persoanele care dețin poziții eligibile și care doresc să beneficieze de una dintre derogările menționate mai sus trebuie să depună o cerere oficială la ANC care stabilește limita poziției pentru contractul derivat pe mărfuri relevant.</w:t>
      </w:r>
    </w:p>
    <w:p w14:paraId="0D68D7B1" w14:textId="579DE7BE" w:rsidR="009B1053" w:rsidRPr="00575C33" w:rsidRDefault="1D43C493" w:rsidP="21CB014D">
      <w:pPr>
        <w:pStyle w:val="paragraph"/>
        <w:spacing w:before="0" w:beforeAutospacing="0" w:after="240" w:afterAutospacing="0"/>
        <w:jc w:val="both"/>
        <w:textAlignment w:val="baseline"/>
        <w:rPr>
          <w:rStyle w:val="normaltextrun"/>
          <w:noProof/>
        </w:rPr>
      </w:pPr>
      <w:r>
        <w:rPr>
          <w:rStyle w:val="normaltextrun"/>
          <w:noProof/>
        </w:rPr>
        <w:t xml:space="preserve">Caracterul adecvat al funcționării regimului limitelor pozițiilor ar trebui evaluat în contextul în care, în alte jurisdicții, locurile de tranzacționare joacă, în ansamblu, un rol mai important în adaptarea, aplicarea și monitorizarea limitelor pozițiilor. De exemplu, în SUA, pentru contractele care nu fac obiectul limitelor federale ale pozițiilor stabilite de </w:t>
      </w:r>
      <w:hyperlink r:id="rId21">
        <w:r>
          <w:rPr>
            <w:rStyle w:val="normaltextrun"/>
            <w:noProof/>
          </w:rPr>
          <w:t>Comisia pentru tranzacții cu mărfuri și contracte futures (CFTC)</w:t>
        </w:r>
      </w:hyperlink>
      <w:r>
        <w:rPr>
          <w:rStyle w:val="normaltextrun"/>
          <w:noProof/>
        </w:rPr>
        <w:t>, locurile de tranzacționare sunt libere să stabilească limitele pozițiilor după cum consideră adecvat. În mod similar, locurile de tranzacționare joacă un rol mai important în acordarea derogărilor privind acoperirea împotriva riscurilor și a altor derogări participanților la piață, aplicând condițiile prevăzute în ordinul CFTC.</w:t>
      </w:r>
    </w:p>
    <w:p w14:paraId="0A2759E0" w14:textId="146B73FD" w:rsidR="009B1053" w:rsidRPr="00575C33" w:rsidRDefault="1D43C493" w:rsidP="21CB014D">
      <w:pPr>
        <w:pStyle w:val="paragraph"/>
        <w:spacing w:before="0" w:beforeAutospacing="0" w:after="240" w:afterAutospacing="0"/>
        <w:jc w:val="both"/>
        <w:textAlignment w:val="baseline"/>
        <w:rPr>
          <w:rStyle w:val="normaltextrun"/>
          <w:rFonts w:eastAsia="Calibri"/>
          <w:noProof/>
        </w:rPr>
      </w:pPr>
      <w:r>
        <w:rPr>
          <w:rStyle w:val="normaltextrun"/>
          <w:noProof/>
        </w:rPr>
        <w:t>Limitele pozițiilor sunt completate de mecanismele de control al administrării pozițiilor (</w:t>
      </w:r>
      <w:r w:rsidRPr="001F5341">
        <w:rPr>
          <w:rStyle w:val="normaltextrun"/>
          <w:i/>
          <w:noProof/>
        </w:rPr>
        <w:t>position management controls</w:t>
      </w:r>
      <w:r>
        <w:rPr>
          <w:rStyle w:val="normaltextrun"/>
          <w:noProof/>
        </w:rPr>
        <w:t xml:space="preserve"> - PMC), care impun locurilor de tranzacționare să aibă instituite mecanisme pentru a monitoriza pozițiile deschise ale participanților la piață și pentru a asigura tranzacționarea ordonată în locul lor de tranzacționare. Cerința de a institui mecanisme de control al administrării pozițiilor are un domeniu de aplicare mai larg și se aplică tuturor pozițiilor pe instrumente financiare derivate pe mărfuri, indiferent dacă respectivul contract face sau nu obiectul unei limite a pozițiilor. Aceasta vizează toate tipurile de poziții, inclusiv cele asumate în scopul acoperirii împotriva riscurilor. Obiectivul mecanismelor de control al administrării pozițiilor este de a permite locurilor de tranzacționare să </w:t>
      </w:r>
      <w:r>
        <w:rPr>
          <w:noProof/>
        </w:rPr>
        <w:t xml:space="preserve">identifice acumularea unor poziții mari și concentrate care ar putea conduce la denaturarea prețurilor, la manipularea pieței sau la alte practici abuzive de tranzacționare. </w:t>
      </w:r>
      <w:r>
        <w:rPr>
          <w:rStyle w:val="normaltextrun"/>
          <w:noProof/>
        </w:rPr>
        <w:t>În conformitate cu articolul </w:t>
      </w:r>
      <w:r w:rsidRPr="00975254">
        <w:rPr>
          <w:rStyle w:val="normaltextrun"/>
          <w:noProof/>
        </w:rPr>
        <w:t>57</w:t>
      </w:r>
      <w:r>
        <w:rPr>
          <w:rStyle w:val="normaltextrun"/>
          <w:noProof/>
        </w:rPr>
        <w:t xml:space="preserve"> alineatul (</w:t>
      </w:r>
      <w:r w:rsidRPr="00975254">
        <w:rPr>
          <w:rStyle w:val="normaltextrun"/>
          <w:noProof/>
        </w:rPr>
        <w:t>8</w:t>
      </w:r>
      <w:r>
        <w:rPr>
          <w:rStyle w:val="normaltextrun"/>
          <w:noProof/>
        </w:rPr>
        <w:t>) din MiFID II, mecanismele de control ar trebui să includă cel puțin competențele de a:</w:t>
      </w:r>
    </w:p>
    <w:p w14:paraId="22AF9F2C" w14:textId="77777777" w:rsidR="009B1053" w:rsidRPr="00795E8F" w:rsidRDefault="009B1053" w:rsidP="009B1053">
      <w:pPr>
        <w:pStyle w:val="paragraph"/>
        <w:numPr>
          <w:ilvl w:val="0"/>
          <w:numId w:val="28"/>
        </w:numPr>
        <w:spacing w:before="0" w:beforeAutospacing="0" w:after="240" w:afterAutospacing="0"/>
        <w:jc w:val="both"/>
        <w:textAlignment w:val="baseline"/>
        <w:rPr>
          <w:noProof/>
        </w:rPr>
      </w:pPr>
      <w:r>
        <w:rPr>
          <w:noProof/>
        </w:rPr>
        <w:t>monitoriza totalul pozițiilor deschise;</w:t>
      </w:r>
    </w:p>
    <w:p w14:paraId="467A28AF" w14:textId="5F01C6F3" w:rsidR="009B1053" w:rsidRPr="00795E8F" w:rsidRDefault="1D43C493" w:rsidP="21CB014D">
      <w:pPr>
        <w:pStyle w:val="paragraph"/>
        <w:numPr>
          <w:ilvl w:val="0"/>
          <w:numId w:val="28"/>
        </w:numPr>
        <w:spacing w:before="0" w:beforeAutospacing="0" w:after="240" w:afterAutospacing="0"/>
        <w:jc w:val="both"/>
        <w:textAlignment w:val="baseline"/>
        <w:rPr>
          <w:noProof/>
        </w:rPr>
      </w:pPr>
      <w:r>
        <w:rPr>
          <w:noProof/>
        </w:rPr>
        <w:t xml:space="preserve">obține informații complete cu privire la pozițiile asumate, inclusiv, dar fără a se limita la, dimensiunea și scopul constituirii poziției; </w:t>
      </w:r>
    </w:p>
    <w:p w14:paraId="5777A946" w14:textId="77777777" w:rsidR="009B1053" w:rsidRPr="00795E8F" w:rsidRDefault="009B1053" w:rsidP="009B1053">
      <w:pPr>
        <w:pStyle w:val="paragraph"/>
        <w:numPr>
          <w:ilvl w:val="0"/>
          <w:numId w:val="28"/>
        </w:numPr>
        <w:spacing w:before="0" w:beforeAutospacing="0" w:after="240" w:afterAutospacing="0"/>
        <w:jc w:val="both"/>
        <w:textAlignment w:val="baseline"/>
        <w:rPr>
          <w:noProof/>
        </w:rPr>
      </w:pPr>
      <w:r>
        <w:rPr>
          <w:noProof/>
        </w:rPr>
        <w:t>pune capăt poziției sau a o reduce;</w:t>
      </w:r>
    </w:p>
    <w:p w14:paraId="24A5CB42" w14:textId="77777777" w:rsidR="009B1053" w:rsidRPr="00795E8F" w:rsidRDefault="009B1053" w:rsidP="009B1053">
      <w:pPr>
        <w:pStyle w:val="paragraph"/>
        <w:numPr>
          <w:ilvl w:val="0"/>
          <w:numId w:val="28"/>
        </w:numPr>
        <w:spacing w:before="0" w:beforeAutospacing="0" w:after="240" w:afterAutospacing="0"/>
        <w:jc w:val="both"/>
        <w:textAlignment w:val="baseline"/>
        <w:rPr>
          <w:noProof/>
        </w:rPr>
      </w:pPr>
      <w:r>
        <w:rPr>
          <w:noProof/>
        </w:rPr>
        <w:t>solicita deținătorului poziției să injecteze din nou lichiditate pe piață în anumite situații.</w:t>
      </w:r>
    </w:p>
    <w:p w14:paraId="07735AE0" w14:textId="2A7F5511" w:rsidR="009B1053" w:rsidRPr="00575C33" w:rsidRDefault="1D43C493" w:rsidP="21CB014D">
      <w:pPr>
        <w:pStyle w:val="paragraph"/>
        <w:spacing w:before="0" w:beforeAutospacing="0" w:after="240" w:afterAutospacing="0"/>
        <w:jc w:val="both"/>
        <w:textAlignment w:val="baseline"/>
        <w:rPr>
          <w:rFonts w:eastAsia="Calibri"/>
          <w:noProof/>
        </w:rPr>
      </w:pPr>
      <w:r>
        <w:rPr>
          <w:noProof/>
        </w:rPr>
        <w:t xml:space="preserve">Totodată, pentru contractele care pot fi decontate prin livrare fizică, Regulamentul delegat (UE) </w:t>
      </w:r>
      <w:r w:rsidRPr="00975254">
        <w:rPr>
          <w:noProof/>
        </w:rPr>
        <w:t>2022</w:t>
      </w:r>
      <w:r>
        <w:rPr>
          <w:noProof/>
        </w:rPr>
        <w:t>/</w:t>
      </w:r>
      <w:r w:rsidRPr="00975254">
        <w:rPr>
          <w:noProof/>
        </w:rPr>
        <w:t>1299</w:t>
      </w:r>
      <w:r>
        <w:rPr>
          <w:noProof/>
        </w:rPr>
        <w:t xml:space="preserve"> al Comisiei de completare a MiFID II (</w:t>
      </w:r>
      <w:r>
        <w:rPr>
          <w:rStyle w:val="FootnoteReference"/>
          <w:rFonts w:eastAsia="Calibri"/>
          <w:noProof/>
        </w:rPr>
        <w:footnoteReference w:id="19"/>
      </w:r>
      <w:r>
        <w:rPr>
          <w:noProof/>
        </w:rPr>
        <w:t xml:space="preserve">) a introdus obligația de a stabili niveluri de responsabilitate, al căror scop este de a declanșa dialogul cu deținătorul poziției în cazul în care sunt depășite anumite praguri calitative sau cantitative. Locurile de tranzacționare ar trebui să comunice ANC toate detaliile mecanismelor lor de control al administrării pozițiilor, inclusiv numărul de cazuri în care au fost atinse nivelurile de responsabilitate. </w:t>
      </w:r>
    </w:p>
    <w:p w14:paraId="6F720A2E" w14:textId="472F3F22" w:rsidR="009B1053" w:rsidRPr="00575C33" w:rsidRDefault="1D43C493" w:rsidP="21CB014D">
      <w:pPr>
        <w:rPr>
          <w:noProof/>
        </w:rPr>
      </w:pPr>
      <w:r>
        <w:rPr>
          <w:noProof/>
        </w:rPr>
        <w:t>În sfârșit, raportarea pozițiilor include, în temeiul articolului </w:t>
      </w:r>
      <w:r w:rsidRPr="00975254">
        <w:rPr>
          <w:noProof/>
        </w:rPr>
        <w:t>58</w:t>
      </w:r>
      <w:r>
        <w:rPr>
          <w:noProof/>
        </w:rPr>
        <w:t xml:space="preserve"> alineatul (</w:t>
      </w:r>
      <w:r w:rsidRPr="00975254">
        <w:rPr>
          <w:noProof/>
        </w:rPr>
        <w:t>3</w:t>
      </w:r>
      <w:r>
        <w:rPr>
          <w:noProof/>
        </w:rPr>
        <w:t>) din MiFID II, obligația participanților la piață de a transmite informații privind pozițiile către locurile de tranzacționare. Unul dintre obiectivele acestei cerințe este de a furniza locurilor de tranzacționare informațiile necesare pentru a-și exercita atribuțiile de administrare a pozițiilor. Prin urmare, participanții la piață sunt obligați să transmită locurilor de tranzacționare în care tranzacționează detaliile pozițiilor lor deținute în contractele tranzacționate în locul respectiv. Totuși, informațiile transmise locurilor de tranzacționare nu includ pozițiile pe contracte identice tranzacționate în alte locuri și nici pozițiile pe contracte extrabursiere care se raportează la același activ suport. Trebuie remarcat că Autoritatea pentru conduită financiară din Regatul Unit (</w:t>
      </w:r>
      <w:r w:rsidRPr="001F5341">
        <w:rPr>
          <w:i/>
          <w:noProof/>
        </w:rPr>
        <w:t>Financial Conduct Authority</w:t>
      </w:r>
      <w:r>
        <w:rPr>
          <w:noProof/>
        </w:rPr>
        <w:t xml:space="preserve"> – FCA) a analizat recent posibilitatea de a extinde domeniul de aplicare al contractelor care trebuie raportate locurilor de tranzacționare de către participanții la piață, dar a concluzionat că o astfel de măsură ar fi excesiv de împovărătoare pentru participanții la piață. Ca alternativă, FCA a decis că locurilor de tranzacționare li se va acorda competența, în cadrul mandatului lor privind mecanismele de control al administrării pozițiilor, de a solicita informații cu privire la pozițiile dintr-un set mai larg de contracte extrabursiere, în cazul în care astfel de poziții prezintă un risc pentru tranzacționarea echitabilă și ordonată a piețelor lor (</w:t>
      </w:r>
      <w:r>
        <w:rPr>
          <w:rStyle w:val="FootnoteReference"/>
          <w:noProof/>
          <w:lang w:eastAsia="en-IE"/>
        </w:rPr>
        <w:footnoteReference w:id="20"/>
      </w:r>
      <w:r>
        <w:rPr>
          <w:noProof/>
        </w:rPr>
        <w:t>).</w:t>
      </w:r>
    </w:p>
    <w:p w14:paraId="04FD7981" w14:textId="77777777" w:rsidR="009B1053" w:rsidRPr="001F5341" w:rsidRDefault="009B1053" w:rsidP="009B1053">
      <w:pPr>
        <w:rPr>
          <w:i/>
          <w:noProof/>
          <w:szCs w:val="24"/>
        </w:rPr>
      </w:pPr>
      <w:r w:rsidRPr="001F5341">
        <w:rPr>
          <w:i/>
          <w:noProof/>
        </w:rPr>
        <w:t>Feedback de la părțile interesate și evaluare</w:t>
      </w:r>
    </w:p>
    <w:p w14:paraId="0B2B07D5" w14:textId="7BBD3FDC" w:rsidR="009B1053" w:rsidRPr="00575C33" w:rsidRDefault="1D43C493" w:rsidP="009B1053">
      <w:pPr>
        <w:rPr>
          <w:noProof/>
        </w:rPr>
      </w:pPr>
      <w:r>
        <w:rPr>
          <w:noProof/>
        </w:rPr>
        <w:t>Consultarea specifică desfășurată de Comisie a solicitat feedback din partea părților interesate cu privire la un set amplu de întrebări referitoare la limitele pozițiilor, mecanismele de control al administrării pozițiilor și raportare.</w:t>
      </w:r>
    </w:p>
    <w:p w14:paraId="0CD8322D" w14:textId="77777777" w:rsidR="009B1053" w:rsidRPr="001F5341" w:rsidRDefault="009B1053" w:rsidP="009B1053">
      <w:pPr>
        <w:pStyle w:val="ListParagraph"/>
        <w:numPr>
          <w:ilvl w:val="0"/>
          <w:numId w:val="28"/>
        </w:numPr>
        <w:spacing w:after="240"/>
        <w:contextualSpacing w:val="0"/>
        <w:rPr>
          <w:rFonts w:ascii="Times New Roman" w:hAnsi="Times New Roman"/>
          <w:i/>
          <w:iCs/>
          <w:noProof/>
          <w:sz w:val="24"/>
          <w:szCs w:val="24"/>
        </w:rPr>
      </w:pPr>
      <w:r w:rsidRPr="001F5341">
        <w:rPr>
          <w:rFonts w:ascii="Times New Roman" w:hAnsi="Times New Roman"/>
          <w:i/>
          <w:noProof/>
          <w:sz w:val="24"/>
        </w:rPr>
        <w:t>Limitele pozițiilor</w:t>
      </w:r>
    </w:p>
    <w:p w14:paraId="5D0999E0" w14:textId="3EF99D07" w:rsidR="009B1053" w:rsidRPr="00575C33" w:rsidRDefault="1D43C493" w:rsidP="009B1053">
      <w:pPr>
        <w:rPr>
          <w:noProof/>
        </w:rPr>
      </w:pPr>
      <w:r>
        <w:rPr>
          <w:noProof/>
        </w:rPr>
        <w:t>O mare majoritate a respondenților, inclusiv autoritățile de reglementare și autoritățile publice, au considerat că regimul actual de limite ale pozițiilor funcționează în mod adecvat, atingându-și obiectivele de a contribui la prevenirea abuzului de piață și de a asigura o tranzacționare ordonată. Părțile interesate au subliniat că reformele aduse prin pachetul de măsuri privind redresarea piețelor de capital (CMRP) au permis atenuarea efectelor negative observate anterior asupra profunzimii și lichidității pieței și au făcut ca măsura să fie mai bine direcționată, mai proporțională și mai eficientă. În general, în contextul curent, părțile interesate au fost de părere că actualul regim de limite ale pozițiilor nu a avut niciun impact negativ asupra lichidității pieței și nici asupra capacității participanților la piață de a se acoperi împotriva riscurilor, datorită bunei funcționări a derogării privind acoperirea. În special, mai mulți respondenți au subliniat că derogarea privind acoperirea împotriva riscurilor, mai bine calibrată ulterior adoptării CMRP, s-a dovedit deosebit de utilă în timpul crizei energetice, permițând o acoperire eficientă.</w:t>
      </w:r>
    </w:p>
    <w:p w14:paraId="546102B0" w14:textId="47AEFDD2" w:rsidR="009B1053" w:rsidRPr="00575C33" w:rsidRDefault="1D43C493" w:rsidP="009B1053">
      <w:pPr>
        <w:rPr>
          <w:noProof/>
        </w:rPr>
      </w:pPr>
      <w:r>
        <w:rPr>
          <w:noProof/>
        </w:rPr>
        <w:t>Constatările Comisiei, bazate pe datele zilnice ale ANC privind pozițiile în instrumente financiare derivate TTF, arată că, deși pozițiile unor participanți la piață s-au apropiat uneori de limite, acestea au scăzut sistematic înainte de a le putea depăși. În opinia Comisiei, acest lucru demonstrează că limitele pozițiilor funcționează în mod adecvat și sunt stabilite la niveluri adecvate.</w:t>
      </w:r>
    </w:p>
    <w:p w14:paraId="28B0EB63" w14:textId="77777777" w:rsidR="009B1053" w:rsidRPr="00575C33" w:rsidRDefault="009B1053" w:rsidP="009B1053">
      <w:pPr>
        <w:rPr>
          <w:noProof/>
        </w:rPr>
      </w:pPr>
      <w:r>
        <w:rPr>
          <w:noProof/>
        </w:rPr>
        <w:t xml:space="preserve">De asemenea, Comisia observă că limitele pozițiilor pot contribui la evitarea concentrării excesive a pieței. În această privință, Comisia observă o scădere constantă a concentrării pozițiilor pe piața instrumentelor financiare derivate TTF, de la primii </w:t>
      </w:r>
      <w:r w:rsidRPr="00975254">
        <w:rPr>
          <w:noProof/>
        </w:rPr>
        <w:t>10</w:t>
      </w:r>
      <w:r>
        <w:rPr>
          <w:noProof/>
        </w:rPr>
        <w:t xml:space="preserve"> participanți, care reprezentau aproximativ </w:t>
      </w:r>
      <w:r w:rsidRPr="00975254">
        <w:rPr>
          <w:noProof/>
        </w:rPr>
        <w:t>50</w:t>
      </w:r>
      <w:r>
        <w:rPr>
          <w:noProof/>
        </w:rPr>
        <w:t xml:space="preserve"> % din totalul pozițiilor lungi în iulie </w:t>
      </w:r>
      <w:r w:rsidRPr="00975254">
        <w:rPr>
          <w:noProof/>
        </w:rPr>
        <w:t>2022</w:t>
      </w:r>
      <w:r>
        <w:rPr>
          <w:noProof/>
        </w:rPr>
        <w:t xml:space="preserve">, la aproximativ </w:t>
      </w:r>
      <w:r w:rsidRPr="00975254">
        <w:rPr>
          <w:noProof/>
        </w:rPr>
        <w:t>35</w:t>
      </w:r>
      <w:r>
        <w:rPr>
          <w:noProof/>
        </w:rPr>
        <w:t xml:space="preserve"> % la sfârșitul anului </w:t>
      </w:r>
      <w:r w:rsidRPr="00975254">
        <w:rPr>
          <w:noProof/>
        </w:rPr>
        <w:t>2024</w:t>
      </w:r>
      <w:r>
        <w:rPr>
          <w:noProof/>
        </w:rPr>
        <w:t> (</w:t>
      </w:r>
      <w:r>
        <w:rPr>
          <w:rStyle w:val="FootnoteReference"/>
          <w:noProof/>
          <w:lang w:val="en-US" w:eastAsia="en-IE"/>
        </w:rPr>
        <w:footnoteReference w:id="21"/>
      </w:r>
      <w:r>
        <w:rPr>
          <w:noProof/>
        </w:rPr>
        <w:t>). </w:t>
      </w:r>
    </w:p>
    <w:p w14:paraId="2642F974" w14:textId="36885245" w:rsidR="009B1053" w:rsidRPr="00575C33" w:rsidRDefault="1D43C493" w:rsidP="21CB014D">
      <w:pPr>
        <w:rPr>
          <w:noProof/>
        </w:rPr>
      </w:pPr>
      <w:r>
        <w:rPr>
          <w:noProof/>
        </w:rPr>
        <w:t>Majoritatea respondenților, inclusiv majoritatea autorităților publice, au considerat că nu este necesară modificarea domeniului de aplicare al contractelor care fac obiectul limitelor pozițiilor și nici a tipului de poziții vizate. De asemenea, respondenții au respins aproape în unanimitate sugestia raportului Draghi de a diferenția limitele pozițiilor în funcție de tipurile de traderi. Comisia consideră că nu există nicio necesitate evidentă de a diferenția în continuare regimul de limite ale pozițiilor în funcție de tipul de participant la piață, având în vedere derogarea existentă privind acoperirea împotriva riscurilor prevăzută de MiFID II, care permite deja o anumită flexibilitate pentru firmele nefinanciare, precum și riscul deloc neglijabil de a face cadrul inutil de complex.</w:t>
      </w:r>
    </w:p>
    <w:p w14:paraId="72688B5D" w14:textId="14C81286" w:rsidR="009B1053" w:rsidRDefault="72A4380D" w:rsidP="00C80837">
      <w:pPr>
        <w:rPr>
          <w:noProof/>
        </w:rPr>
      </w:pPr>
      <w:r>
        <w:rPr>
          <w:noProof/>
        </w:rPr>
        <w:t xml:space="preserve">Unele părți interesate din sector au remarcat că procedurile de solicitare și acordare a derogărilor privind acoperirea împotriva riscurilor sau furnizarea de lichidități sunt împovărătoare. </w:t>
      </w:r>
      <w:r w:rsidRPr="00975254">
        <w:rPr>
          <w:noProof/>
        </w:rPr>
        <w:t>57</w:t>
      </w:r>
      <w:r>
        <w:rPr>
          <w:noProof/>
        </w:rPr>
        <w:t xml:space="preserve"> % dintre respondenți au sugerat că aceste sarcini ar putea fi transferate locurilor de tranzacționare. Cu toate acestea, cinci locuri de tranzacționare și două asociații ale burselor nu au fost de acord cu această sugestie. În plus, două autorități de reglementare au menționat că rolul locurilor de tranzacționare nu ar trebui extins la stabilirea limitelor pozițiilor înseși, în special din cauza intereselor comerciale divergente dintre locurile de tranzacționare în care este tranzacționat același contract. Totodată, Comisia consideră că există dificultăți în acest din urmă caz și, prin urmare, apreciază că nu ar trebui avută în vedere nicio delegare a sarcinilor legate de stabilirea limitelor pozițiilor. Totuși, se pare că procesul de acordare a derogărilor privind acoperirea împotriva riscurilor sau furnizarea de lichidități ar putea deveni mai agil prin delegarea anumitor sarcini, cum ar fi prelucrarea cererilor și validarea solicitărilor de derogare, către locurile de tranzacționare, în special în cazul în care nu este necesară nicio marjă de apreciere sau aceasta este redusă. </w:t>
      </w:r>
    </w:p>
    <w:p w14:paraId="60C0EAE6" w14:textId="5CACC146" w:rsidR="007A26FA" w:rsidRPr="005B2608" w:rsidRDefault="0ED895D9" w:rsidP="00C80837">
      <w:pPr>
        <w:rPr>
          <w:noProof/>
        </w:rPr>
      </w:pPr>
      <w:r>
        <w:rPr>
          <w:noProof/>
        </w:rPr>
        <w:t>În sfârșit, doi respondenți au ridicat semne de întrebare cu privire la aplicarea regimului UE de limite ale pozițiilor în cazul pozițiilor deschise în locuri de tranzacționare din țări terțe și la riscul potențial de eludare pe care îl implică acest lucru. Actualul regim de limite ale pozițiilor prevăzut de MiFID poate fi afectat de insecuritate juridică în ceea ce privește pozițiile asumate de firmele de investiții din UE și de clienții acestora în locuri de tranzacționare din țări terțe care oferă tranzacționarea unor contracte derivate pe mărfuri echivalente din punct de vedere economic, precum și în ceea ce privește măsura în care astfel de poziții ar trebui raportate și luate în considerare la calcularea limitelor pozițiilor, în cazul în care astfel de contracte fac obiectul unor limite ale pozițiilor în UE. Acest lucru ar putea contribui la crearea unor condiții de concurență inechitabile între locurile de tranzacționare din UE și cele din țări terțe și ar putea crea stimulente pentru tranzacționarea instrumentelor financiare derivate echivalente din punct de vedere economic în locuri de tranzacționare din țări terțe, mai degrabă decât în locuri de tranzacționare din UE.</w:t>
      </w:r>
    </w:p>
    <w:p w14:paraId="2FB75FC7" w14:textId="77777777" w:rsidR="009B1053" w:rsidRPr="00575C33" w:rsidRDefault="009B1053" w:rsidP="009B1053">
      <w:pPr>
        <w:pStyle w:val="ListParagraph"/>
        <w:numPr>
          <w:ilvl w:val="0"/>
          <w:numId w:val="28"/>
        </w:numPr>
        <w:spacing w:after="240"/>
        <w:contextualSpacing w:val="0"/>
        <w:rPr>
          <w:rFonts w:ascii="Times New Roman" w:hAnsi="Times New Roman"/>
          <w:noProof/>
          <w:sz w:val="24"/>
          <w:szCs w:val="24"/>
        </w:rPr>
      </w:pPr>
      <w:r w:rsidRPr="001F5341">
        <w:rPr>
          <w:rFonts w:ascii="Times New Roman" w:hAnsi="Times New Roman"/>
          <w:i/>
          <w:noProof/>
          <w:sz w:val="24"/>
        </w:rPr>
        <w:t>Raportarea pozițiilor și mecanismele de control al administrării pozițiilor</w:t>
      </w:r>
    </w:p>
    <w:p w14:paraId="28E22BD6" w14:textId="49E2AAA6" w:rsidR="009B1053" w:rsidRPr="00141E67" w:rsidRDefault="1D43C493" w:rsidP="21CB014D">
      <w:pPr>
        <w:rPr>
          <w:noProof/>
        </w:rPr>
      </w:pPr>
      <w:r>
        <w:rPr>
          <w:noProof/>
        </w:rPr>
        <w:t xml:space="preserve">În ceea ce privește raportarea pozițiilor, toți respondenții, cu excepția unuia, și-au exprimat îngrijorarea cu privire la eventuale obligații pentru participanții la piață de a raporta în mod sistematic pozițiile extrabursiere locurilor de tranzacționare, pentru a sprijini mandatul acestora privind mecanismele de control al administrării pozițiilor. Respondenții au indicat o posibilă sarcină semnificativă și riscuri ca acest lucru să conducă la schimbul necorespunzător de informații sensibile din punct de vedere comercial. Părțile interesate recomandă mai degrabă o utilizare mai eficientă a datelor deja raportate. Aproximativ </w:t>
      </w:r>
      <w:r w:rsidRPr="00975254">
        <w:rPr>
          <w:noProof/>
        </w:rPr>
        <w:t>10</w:t>
      </w:r>
      <w:r>
        <w:rPr>
          <w:noProof/>
        </w:rPr>
        <w:t xml:space="preserve"> % dintre respondenți (în special trei autorități publice) au sugerat că raportarea pozițiilor pe contracte extrabursiere echivalente din punct de vedere economic (EEOTC) ar trebui extinsă la toți participanții la piață și, prin urmare, ar trebui să se aplice firmelor care nu sunt firme de investiții, în special în scopul asigurării unei aplicări adecvate a limitelor pozițiilor. </w:t>
      </w:r>
    </w:p>
    <w:p w14:paraId="07B882B8" w14:textId="0959D5E6" w:rsidR="009B1053" w:rsidRPr="00575C33" w:rsidRDefault="1D43C493" w:rsidP="009B1053">
      <w:pPr>
        <w:rPr>
          <w:noProof/>
        </w:rPr>
      </w:pPr>
      <w:r>
        <w:rPr>
          <w:noProof/>
        </w:rPr>
        <w:t>Cu toate acestea, mai multe dintre părțile interesate care se opun raportării sistematice a pozițiilor extrabursiere către locurile de tranzacționare au considerat că locurile de tranzacționare ar trebui să aibă posibilitatea de a solicita informații suplimentare privind pozițiile pentru o sferă mai largă de contracte extrabursiere, atunci când pozițiile pe astfel de contracte pot influența prețul contractelor tranzacționate în același loc și numai în circumstanțe specifice, cum ar fi în perioade de criză a pieței sau de risc sporit (spre deosebire de raportarea sistematică). Comisia este de părere că acest lucru ar putea spori capacitatea locurilor de tranzacționare de a-și exercita mecanismele de control al administrării pozițiilor și ar putea contribui la monitorizarea tranzacționării ordonate și, în cele din urmă, la protejarea piețelor împotriva riscurilor la adresa stabilității financiare, limitând totodată costurile de punere în aplicare în comparație cu raportarea sistematică a pozițiilor extrabursiere către locurile de tranzacționare.</w:t>
      </w:r>
    </w:p>
    <w:p w14:paraId="4C7B7561" w14:textId="141E156A" w:rsidR="009B1053" w:rsidRPr="00575C33" w:rsidRDefault="1D43C493" w:rsidP="009B1053">
      <w:pPr>
        <w:rPr>
          <w:noProof/>
        </w:rPr>
      </w:pPr>
      <w:r>
        <w:rPr>
          <w:noProof/>
        </w:rPr>
        <w:t xml:space="preserve">Aproximativ </w:t>
      </w:r>
      <w:r w:rsidRPr="00975254">
        <w:rPr>
          <w:noProof/>
        </w:rPr>
        <w:t>85</w:t>
      </w:r>
      <w:r>
        <w:rPr>
          <w:noProof/>
        </w:rPr>
        <w:t> % dintre respondenți au considerat că autoritățile de supraveghere din domeniul financiar și din cel al energiei ar trebui să aibă un acces cuprinzător la seturile lor de date respective (de exemplu, ANR ar trebui să aibă acces la datele MiFID/R, în timp ce ANC ar trebui să aibă acces la datele privind excluderea C</w:t>
      </w:r>
      <w:r w:rsidRPr="00975254">
        <w:rPr>
          <w:noProof/>
        </w:rPr>
        <w:t>6</w:t>
      </w:r>
      <w:r>
        <w:rPr>
          <w:noProof/>
        </w:rPr>
        <w:t xml:space="preserve"> și la datele privind piețele spot). Comisia consideră că acest lucru ar putea fi realizat prin facilitarea cooperării și a schimbului de date (a se vedea secțiunea privind datele).</w:t>
      </w:r>
    </w:p>
    <w:p w14:paraId="3752EE58" w14:textId="05440938" w:rsidR="009B1053" w:rsidRPr="001A7809" w:rsidRDefault="1D43C493" w:rsidP="009B1053">
      <w:pPr>
        <w:rPr>
          <w:noProof/>
        </w:rPr>
      </w:pPr>
      <w:r>
        <w:rPr>
          <w:noProof/>
        </w:rPr>
        <w:t>În cele din urmă, opiniile părților interesate cu privire la posibila extindere a raportării beneficiarilor finali ai pozițiilor deținute de participanți la piață din afara UE au fost împărțite. Deși respondenții (în special cei cu sediul în UE) au fost, în general, de acord cu privire la valoarea adăugată a acestor informații, trei respondenți au subliniat sarcina suplimentară suportată și potențialele dificultăți în ceea ce privește asigurarea conformității de către participanții la piață din afara UE. Autoritățile de reglementare au pledat ferm pentru eliminarea acestei lacune în materie de raportare, inclusiv în ceea ce privește datele privind tranzacțiile. Două autorități de reglementare financiară și o autoritate de reglementare din domeniul energiei au subliniat că sistemul actual împiedică o supraveghere adecvată și conduce la potențiale vulnerabilități sistemice. Trebuie remarcat faptul că actualele norme de reglementare ale principalelor locuri de tranzacționare pentru instrumentele financiare derivate pe mărfuri (în special instrumentele financiare derivate pe produse energetice) impun deja furnizarea unor astfel de informații, în special pentru a respecta cerințele de raportare în temeiul REMIT.</w:t>
      </w:r>
    </w:p>
    <w:p w14:paraId="038E7339" w14:textId="77777777" w:rsidR="009B1053" w:rsidRPr="001F5341" w:rsidRDefault="009B1053" w:rsidP="00772B47">
      <w:pPr>
        <w:keepNext/>
        <w:rPr>
          <w:i/>
          <w:noProof/>
        </w:rPr>
      </w:pPr>
      <w:r w:rsidRPr="001F5341">
        <w:rPr>
          <w:i/>
          <w:noProof/>
        </w:rPr>
        <w:t>Concluziile evaluării Comisiei</w:t>
      </w:r>
    </w:p>
    <w:p w14:paraId="0AE70F9A" w14:textId="546B8D95" w:rsidR="009B1053" w:rsidRPr="001A7809" w:rsidRDefault="1D43C493" w:rsidP="21CB014D">
      <w:pPr>
        <w:keepNext/>
        <w:rPr>
          <w:noProof/>
        </w:rPr>
      </w:pPr>
      <w:r>
        <w:rPr>
          <w:noProof/>
        </w:rPr>
        <w:t>În general, Comisia consideră că actualul regim de limite ale pozițiilor funcționează în mod adecvat. Nu există dovezi solide care să indice necesitatea de a înăspri regimul și nici de a-l relaxa. Comisia estimează, de asemenea, că modificările aduse prin pachetul de măsuri privind redresarea piețelor de capital (CMRP) au contribuit la aprofundarea în continuare a piețelor instrumentelor financiare derivate pe mărfuri, în special pe segmentul instrumentelor financiare derivate pe produse energetice.</w:t>
      </w:r>
    </w:p>
    <w:p w14:paraId="5D4E3BC5" w14:textId="601FF37B" w:rsidR="009B1053" w:rsidRPr="00E2271D" w:rsidRDefault="1D43C493" w:rsidP="21CB014D">
      <w:pPr>
        <w:rPr>
          <w:noProof/>
        </w:rPr>
      </w:pPr>
      <w:r>
        <w:rPr>
          <w:noProof/>
        </w:rPr>
        <w:t xml:space="preserve">Comisia consideră că merită explorate în continuare condițiile în care locurilor de tranzacționare li s-ar putea încredința responsabilități sporite, dar bine încadrate, în ceea ce privește acordarea derogărilor privind acoperirea împotriva riscurilor și furnizarea de lichidități, precum și, eventual, a derogărilor ad-hoc, cu scopul de a face măsura mai agilă și mai receptivă la tendințele pieței, evitând, în același timp, un transfer semnificativ de competențe de la autoritățile de reglementare. Ar trebui instituite garanții specifice, precum raportarea sistematică (dar țintită) către autoritățile naționale competente și evaluările periodice efectuate de acestea, pentru a evita orice conflict de interese și pentru a permite autorităților de supraveghere să aibă o imagine consolidată a derogărilor existente. Cu toate acestea, Comisia nu consideră oportun să transfere locurilor de tranzacționare competența de a stabili limitele pozițiilor. </w:t>
      </w:r>
    </w:p>
    <w:p w14:paraId="5E7EE42B" w14:textId="327226CF" w:rsidR="00361012" w:rsidRPr="00800D99" w:rsidRDefault="2C7E0CAA" w:rsidP="3E60FE0D">
      <w:pPr>
        <w:rPr>
          <w:noProof/>
        </w:rPr>
      </w:pPr>
      <w:r>
        <w:rPr>
          <w:noProof/>
        </w:rPr>
        <w:t>În ceea ce privește aplicarea limitelor pozițiilor în cazul pozițiilor asumate în locuri de tranzacționare din afara UE, Comisia a propus, ca parte a pachetului privind integrarea și supravegherea pieței, să se clarifice faptul că pozițiile deținute de firmele de investiții din UE și de clienții acestora în contracte echivalente din punct de vedere economic tranzacționate în afara unui loc de tranzacționare din UE ar trebui să contribuie la evaluarea conformității cu regimul de limite ale pozițiilor în temeiul MiFID. Acest lucru ar asigura același tratament pentru pozițiile din contractele tranzacționate în locuri de tranzacționare din UE, în locuri de tranzacționare din afara UE și pe piața extrabursieră. Această clarificare este aliniată la obiectivele de politică privind autonomia strategică și competitivitatea UE evidențiate în raportul Draghi, creând condiții de concurență echitabile în toate locurile de tranzacționare, eliminând stimulentele pentru tranzacționarea în afara UE și evitând posibila eludare a normelor UE. Aceasta asigură, de asemenea, securitatea juridică pentru participanții la piață, reducând costurile asociate insecurității juridice.</w:t>
      </w:r>
    </w:p>
    <w:p w14:paraId="4CE999B4" w14:textId="25227F3A" w:rsidR="009B1053" w:rsidRPr="000F1690" w:rsidRDefault="3D64988D" w:rsidP="60190FC5">
      <w:pPr>
        <w:rPr>
          <w:noProof/>
        </w:rPr>
      </w:pPr>
      <w:r>
        <w:rPr>
          <w:noProof/>
        </w:rPr>
        <w:t>Pentru a sprijini locurile de tranzacționare în îndeplinirea mandatului lor de administrare a pozițiilor și pentru a asigura piețe echitabile și ordonate, Comisia ar putea analiza în continuare condițiile în care locurilor de tranzacționare li s-ar putea încredința competențe extinse de control al administrării pozițiilor pentru a solicita, ad-hoc și în anumite circumstanțe, informații cu privire la pozițiile deținute de participanții lor la piață într-un set mai larg de contracte extrabursiere legate de instrumentele financiare derivate pe mărfuri pe care le oferă spre tranzacționare, precum și cu privire la activele și pasivele aferente mărfii activ suport. Această competență ar trebui extinsă la toate contractele extrabursiere care au capacitatea de a influența condițiile de stabilire a prețurilor sau de decontare ale contractului relevant tranzacționat într-un loc de tranzacționare din UE. Prezenta propunere ar permite, de asemenea, o mai bună aliniere a normelor UE la concluziile formulate de IOSCO într-un raport recent privind reglementarea și supravegherea piețelor instrumentelor financiare derivate pe mărfuri (</w:t>
      </w:r>
      <w:r>
        <w:rPr>
          <w:noProof/>
          <w:vertAlign w:val="superscript"/>
          <w:lang w:eastAsia="en-IE"/>
        </w:rPr>
        <w:footnoteReference w:id="22"/>
      </w:r>
      <w:r>
        <w:rPr>
          <w:noProof/>
        </w:rPr>
        <w:t>), în care a recomandat depunerea unor eforturi suplimentare pentru a îmbunătăți capacitatea burselor de a obține informații cu privire la pozițiile participanților la piață pe instrumente financiare derivate extrabursiere conexe pe mărfuri și pe piețele fizice ale mărfurilor activ suport. Totuși, Comisia consideră că orice cerință prin care participanții la piață ar fi obligați să raporteze în mod sistematic către locurile de tranzacționare pozițiile lor pe piața suport și într-o gamă largă de contracte extrabursiere nu ar fi proporțională, din cauza sarcinii pe care o astfel de măsură ar putea-o implica. Din același motiv, raportarea către autoritățile de supraveghere a tuturor pozițiilor de pe piețele suport sau din contractele extrabursiere, dincolo de raportarea de către firmele de investiții a pozițiilor pe contracte extrabursiere echivalente din punct de vedere economic, nu pare a fi adecvată. Cu toate acestea, pentru a asigura condiții de concurență echitabile între diferitele tipuri de participanți la piață, Comisia poate analiza dacă raportarea pozițiilor pe contracte extrabursiere echivalente din punct de vedere economic ar putea fi extinsă la toți participanții la piață(</w:t>
      </w:r>
      <w:r>
        <w:rPr>
          <w:rStyle w:val="FootnoteReference"/>
          <w:noProof/>
          <w:lang w:val="en-US" w:eastAsia="en-IE"/>
        </w:rPr>
        <w:footnoteReference w:id="23"/>
      </w:r>
      <w:r>
        <w:rPr>
          <w:noProof/>
        </w:rPr>
        <w:t>), pentru a asigura aplicarea adecvată a limitelor pozițiilor.</w:t>
      </w:r>
    </w:p>
    <w:p w14:paraId="62B14C2E" w14:textId="7D8F8385" w:rsidR="009B1053" w:rsidRPr="009B1053" w:rsidRDefault="658B5B5A" w:rsidP="00AC60EB">
      <w:pPr>
        <w:rPr>
          <w:noProof/>
          <w:szCs w:val="24"/>
        </w:rPr>
      </w:pPr>
      <w:r>
        <w:rPr>
          <w:noProof/>
        </w:rPr>
        <w:t>În cele din urmă, Comisia poate analiza în ce măsură ar fi adecvată o posibilă cerință suplimentară impusă participanților la piață din țări terțe de a transmite informații privind beneficiarii finali, pentru a elimina lacunele actuale în materie de raportare a pozițiilor.</w:t>
      </w:r>
    </w:p>
    <w:p w14:paraId="5084ED94" w14:textId="77777777" w:rsidR="00D9582F" w:rsidRPr="00975254" w:rsidRDefault="00D9582F" w:rsidP="00AC60EB">
      <w:pPr>
        <w:rPr>
          <w:b/>
          <w:bCs/>
          <w:noProof/>
          <w:szCs w:val="24"/>
          <w:lang w:eastAsia="en-IE"/>
        </w:rPr>
      </w:pPr>
    </w:p>
    <w:p w14:paraId="33192F97" w14:textId="33C17122" w:rsidR="00D867F5" w:rsidRPr="00975254" w:rsidRDefault="00D867F5" w:rsidP="00D9582F">
      <w:pPr>
        <w:keepNext/>
        <w:keepLines/>
        <w:numPr>
          <w:ilvl w:val="0"/>
          <w:numId w:val="2"/>
        </w:numPr>
        <w:outlineLvl w:val="0"/>
        <w:rPr>
          <w:b/>
          <w:bCs/>
          <w:noProof/>
          <w:szCs w:val="24"/>
        </w:rPr>
      </w:pPr>
      <w:bookmarkStart w:id="26" w:name="_Toc229069522"/>
      <w:r w:rsidRPr="00975254">
        <w:rPr>
          <w:b/>
          <w:noProof/>
        </w:rPr>
        <w:t>CONCLUZII</w:t>
      </w:r>
      <w:bookmarkEnd w:id="26"/>
      <w:r w:rsidRPr="00975254">
        <w:rPr>
          <w:b/>
          <w:noProof/>
        </w:rPr>
        <w:t xml:space="preserve"> </w:t>
      </w:r>
    </w:p>
    <w:p w14:paraId="21DDF802" w14:textId="6E72FDAD" w:rsidR="3D47CD76" w:rsidRPr="00575C33" w:rsidRDefault="77C8CA94" w:rsidP="60190FC5">
      <w:pPr>
        <w:rPr>
          <w:noProof/>
        </w:rPr>
      </w:pPr>
      <w:r>
        <w:rPr>
          <w:noProof/>
        </w:rPr>
        <w:t>Răspunsurile părților interesate, precum și evaluarea ulterioară a Comisiei, bazată pe analiza tendințelor pieței, nu au indicat o necesitate urgentă de a aduce modificări substanțiale elementelor revizuite ale cadrului privind instrumentele financiare derivate pe mărfuri, chiar dacă anumite modificări specifice ar putea fi avute în vedere în viitor.</w:t>
      </w:r>
    </w:p>
    <w:sectPr w:rsidR="3D47CD76" w:rsidRPr="00575C33" w:rsidSect="003173E0">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5851E4" w14:textId="77777777" w:rsidR="00E32428" w:rsidRDefault="00E32428">
      <w:pPr>
        <w:spacing w:after="0"/>
      </w:pPr>
      <w:r>
        <w:separator/>
      </w:r>
    </w:p>
  </w:endnote>
  <w:endnote w:type="continuationSeparator" w:id="0">
    <w:p w14:paraId="6BA4A512" w14:textId="77777777" w:rsidR="00E32428" w:rsidRDefault="00E32428">
      <w:pPr>
        <w:spacing w:after="0"/>
      </w:pPr>
      <w:r>
        <w:continuationSeparator/>
      </w:r>
    </w:p>
  </w:endnote>
  <w:endnote w:type="continuationNotice" w:id="1">
    <w:p w14:paraId="70234FFE" w14:textId="77777777" w:rsidR="00E32428" w:rsidRDefault="00E3242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imes New Roman Bold">
    <w:panose1 w:val="02020803070505020304"/>
    <w:charset w:val="00"/>
    <w:family w:val="roman"/>
    <w:notTrueType/>
    <w:pitch w:val="default"/>
  </w:font>
  <w:font w:name="Aptos">
    <w:altName w:val="Arial"/>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FB53F" w14:textId="7575F5DC" w:rsidR="00A1048B" w:rsidRPr="00A1048B" w:rsidRDefault="00A1048B" w:rsidP="00A1048B">
    <w:pPr>
      <w:pStyle w:val="FooterCoverPage"/>
      <w:rPr>
        <w:rFonts w:ascii="Arial" w:hAnsi="Arial" w:cs="Arial"/>
        <w:b/>
        <w:sz w:val="48"/>
      </w:rPr>
    </w:pPr>
    <w:r w:rsidRPr="00A1048B">
      <w:rPr>
        <w:rFonts w:ascii="Arial" w:hAnsi="Arial" w:cs="Arial"/>
        <w:b/>
        <w:sz w:val="48"/>
      </w:rPr>
      <w:t>RO</w:t>
    </w:r>
    <w:r w:rsidRPr="00A1048B">
      <w:rPr>
        <w:rFonts w:ascii="Arial" w:hAnsi="Arial" w:cs="Arial"/>
        <w:b/>
        <w:sz w:val="48"/>
      </w:rPr>
      <w:tab/>
    </w:r>
    <w:r w:rsidRPr="00A1048B">
      <w:rPr>
        <w:rFonts w:ascii="Arial" w:hAnsi="Arial" w:cs="Arial"/>
        <w:b/>
        <w:sz w:val="48"/>
      </w:rPr>
      <w:tab/>
    </w:r>
    <w:r w:rsidRPr="00A1048B">
      <w:tab/>
    </w:r>
    <w:r w:rsidRPr="00A1048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95B2D" w14:textId="3DEC5915" w:rsidR="00A1048B" w:rsidRPr="00A1048B" w:rsidRDefault="00A1048B" w:rsidP="00A1048B">
    <w:pPr>
      <w:pStyle w:val="FooterCoverPage"/>
      <w:rPr>
        <w:rFonts w:ascii="Arial" w:hAnsi="Arial" w:cs="Arial"/>
        <w:b/>
        <w:sz w:val="48"/>
      </w:rPr>
    </w:pPr>
    <w:r w:rsidRPr="00A1048B">
      <w:rPr>
        <w:rFonts w:ascii="Arial" w:hAnsi="Arial" w:cs="Arial"/>
        <w:b/>
        <w:sz w:val="48"/>
      </w:rPr>
      <w:t>RO</w:t>
    </w:r>
    <w:r w:rsidRPr="00A1048B">
      <w:rPr>
        <w:rFonts w:ascii="Arial" w:hAnsi="Arial" w:cs="Arial"/>
        <w:b/>
        <w:sz w:val="48"/>
      </w:rPr>
      <w:tab/>
    </w:r>
    <w:r w:rsidRPr="00A1048B">
      <w:rPr>
        <w:rFonts w:ascii="Arial" w:hAnsi="Arial" w:cs="Arial"/>
        <w:b/>
        <w:sz w:val="48"/>
      </w:rPr>
      <w:tab/>
    </w:r>
    <w:r w:rsidRPr="00A1048B">
      <w:tab/>
    </w:r>
    <w:r w:rsidRPr="00A1048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5A342" w14:textId="77777777" w:rsidR="00A1048B" w:rsidRPr="00A1048B" w:rsidRDefault="00A1048B" w:rsidP="00A1048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C6062" w14:textId="3D69BCBD" w:rsidR="00AF3CE0" w:rsidRPr="00D9582F" w:rsidRDefault="00AF3CE0" w:rsidP="00D958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9625277"/>
      <w:docPartObj>
        <w:docPartGallery w:val="Page Numbers (Bottom of Page)"/>
        <w:docPartUnique/>
      </w:docPartObj>
    </w:sdtPr>
    <w:sdtEndPr>
      <w:rPr>
        <w:noProof/>
      </w:rPr>
    </w:sdtEndPr>
    <w:sdtContent>
      <w:p w14:paraId="02B919CD" w14:textId="22D6C831" w:rsidR="00D65508" w:rsidRDefault="00D65508">
        <w:pPr>
          <w:pStyle w:val="Footer"/>
          <w:jc w:val="center"/>
        </w:pPr>
        <w:r>
          <w:fldChar w:fldCharType="begin"/>
        </w:r>
        <w:r>
          <w:instrText xml:space="preserve"> PAGE   \* MERGEFORMAT </w:instrText>
        </w:r>
        <w:r>
          <w:fldChar w:fldCharType="separate"/>
        </w:r>
        <w:r w:rsidR="00A1048B">
          <w:rPr>
            <w:noProof/>
          </w:rPr>
          <w:t>1</w:t>
        </w:r>
        <w:r>
          <w:fldChar w:fldCharType="end"/>
        </w:r>
      </w:p>
    </w:sdtContent>
  </w:sdt>
  <w:p w14:paraId="73553986" w14:textId="62978AA2" w:rsidR="00AF3CE0" w:rsidRPr="00D9582F" w:rsidRDefault="00AF3CE0" w:rsidP="00D9582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114F1" w14:textId="6AAE52CC" w:rsidR="00AF3CE0" w:rsidRPr="00D9582F" w:rsidRDefault="00AF3CE0" w:rsidP="00D958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5235D1" w14:textId="77777777" w:rsidR="00E32428" w:rsidRDefault="00E32428">
      <w:pPr>
        <w:spacing w:after="0"/>
      </w:pPr>
      <w:r>
        <w:separator/>
      </w:r>
    </w:p>
  </w:footnote>
  <w:footnote w:type="continuationSeparator" w:id="0">
    <w:p w14:paraId="7913638F" w14:textId="77777777" w:rsidR="00E32428" w:rsidRDefault="00E32428">
      <w:pPr>
        <w:spacing w:after="0"/>
      </w:pPr>
      <w:r>
        <w:continuationSeparator/>
      </w:r>
    </w:p>
  </w:footnote>
  <w:footnote w:type="continuationNotice" w:id="1">
    <w:p w14:paraId="51B3C9D8" w14:textId="77777777" w:rsidR="00E32428" w:rsidRDefault="00E32428">
      <w:pPr>
        <w:spacing w:after="0"/>
      </w:pPr>
    </w:p>
  </w:footnote>
  <w:footnote w:id="2">
    <w:p w14:paraId="4D640400" w14:textId="748D1501" w:rsidR="007A1CB7" w:rsidRPr="006630D0" w:rsidRDefault="21CB014D" w:rsidP="00F11C44">
      <w:pPr>
        <w:pStyle w:val="FootnoteText"/>
        <w:spacing w:after="0"/>
      </w:pPr>
      <w:r>
        <w:t>(</w:t>
      </w:r>
      <w:r>
        <w:rPr>
          <w:rStyle w:val="FootnoteReference"/>
        </w:rPr>
        <w:footnoteRef/>
      </w:r>
      <w:r>
        <w:t>)</w:t>
      </w:r>
      <w:r>
        <w:tab/>
      </w:r>
      <w:hyperlink r:id="rId1" w:history="1">
        <w:r w:rsidRPr="001F5341">
          <w:rPr>
            <w:rStyle w:val="Hyperlink"/>
          </w:rPr>
          <w:t>https://eur-lex.europa.eu/legal-content/RO/TXT/?uri=CELEX%3A52025DC0085</w:t>
        </w:r>
      </w:hyperlink>
      <w:r>
        <w:t>.</w:t>
      </w:r>
    </w:p>
  </w:footnote>
  <w:footnote w:id="3">
    <w:p w14:paraId="2F141EF2" w14:textId="5A01A3A5" w:rsidR="00795E8F" w:rsidRPr="00215DF7" w:rsidRDefault="00795E8F" w:rsidP="00F11C44">
      <w:pPr>
        <w:pStyle w:val="FootnoteText"/>
        <w:spacing w:after="0"/>
      </w:pPr>
      <w:r>
        <w:t>(</w:t>
      </w:r>
      <w:r>
        <w:rPr>
          <w:rStyle w:val="FootnoteReference"/>
        </w:rPr>
        <w:footnoteRef/>
      </w:r>
      <w:r>
        <w:t>)</w:t>
      </w:r>
      <w:r>
        <w:tab/>
      </w:r>
      <w:hyperlink r:id="rId2" w:history="1">
        <w:r w:rsidRPr="001F5341">
          <w:rPr>
            <w:rStyle w:val="Hyperlink"/>
          </w:rPr>
          <w:t>https://eur-lex.europa.eu/legal-content/RO/TXT/?uri=CELEX%3A52025DC0079&amp;qid=1741780110418</w:t>
        </w:r>
      </w:hyperlink>
      <w:r>
        <w:t>.</w:t>
      </w:r>
    </w:p>
  </w:footnote>
  <w:footnote w:id="4">
    <w:p w14:paraId="747314A8" w14:textId="71F7DBBD" w:rsidR="001113B9" w:rsidRPr="0076530B" w:rsidRDefault="21CB014D" w:rsidP="00F11C44">
      <w:pPr>
        <w:pStyle w:val="FootnoteText"/>
        <w:spacing w:after="0"/>
      </w:pPr>
      <w:r>
        <w:t>(</w:t>
      </w:r>
      <w:r>
        <w:rPr>
          <w:rStyle w:val="FootnoteReference"/>
        </w:rPr>
        <w:footnoteRef/>
      </w:r>
      <w:r>
        <w:t>)</w:t>
      </w:r>
      <w:r>
        <w:tab/>
        <w:t>Atât Pactul pentru o industrie curată, cât și Planul de acțiune pentru energie la prețuri accesibile fac referire la Grupul operativ pentru piața gazelor instituit de Comisie, care a examinat, printre altele, funcționarea pieței instrumentelor financiare derivate pe gaze.</w:t>
      </w:r>
    </w:p>
  </w:footnote>
  <w:footnote w:id="5">
    <w:p w14:paraId="0B929738" w14:textId="5E525601" w:rsidR="00795E8F" w:rsidRPr="00795E8F" w:rsidRDefault="00795E8F" w:rsidP="00F11C44">
      <w:pPr>
        <w:pStyle w:val="FootnoteText"/>
        <w:spacing w:after="0"/>
      </w:pPr>
      <w:r>
        <w:t>(</w:t>
      </w:r>
      <w:r>
        <w:rPr>
          <w:rStyle w:val="FootnoteReference"/>
        </w:rPr>
        <w:footnoteRef/>
      </w:r>
      <w:r>
        <w:t>)</w:t>
      </w:r>
      <w:r>
        <w:tab/>
      </w:r>
      <w:hyperlink r:id="rId3" w:history="1">
        <w:r w:rsidRPr="001F5341">
          <w:rPr>
            <w:rStyle w:val="Hyperlink"/>
          </w:rPr>
          <w:t>CfA_IFR and IFD review - final.pdf</w:t>
        </w:r>
      </w:hyperlink>
      <w:r>
        <w:t>.</w:t>
      </w:r>
    </w:p>
  </w:footnote>
  <w:footnote w:id="6">
    <w:p w14:paraId="795921AA" w14:textId="38A8D737" w:rsidR="004247C0" w:rsidRPr="004247C0" w:rsidRDefault="21CB014D" w:rsidP="00F11C44">
      <w:pPr>
        <w:pStyle w:val="FootnoteText"/>
        <w:spacing w:after="0"/>
      </w:pPr>
      <w:r>
        <w:t>(</w:t>
      </w:r>
      <w:r>
        <w:rPr>
          <w:rStyle w:val="FootnoteReference"/>
        </w:rPr>
        <w:footnoteRef/>
      </w:r>
      <w:r>
        <w:t>)</w:t>
      </w:r>
      <w:r>
        <w:tab/>
      </w:r>
      <w:hyperlink r:id="rId4" w:history="1">
        <w:r w:rsidRPr="001F5341">
          <w:rPr>
            <w:rStyle w:val="Hyperlink"/>
          </w:rPr>
          <w:t>Consultare specifică privind revizuirea funcționării piețelor instrumentelor financiare derivate pe mărfuri și a anumitor aspecte legate de piețele spot ale energiei 2025 – Finanțe</w:t>
        </w:r>
      </w:hyperlink>
      <w:r>
        <w:t>.</w:t>
      </w:r>
    </w:p>
  </w:footnote>
  <w:footnote w:id="7">
    <w:p w14:paraId="2D28D88F" w14:textId="77777777" w:rsidR="009B1053" w:rsidRPr="00FB6128" w:rsidRDefault="009B1053" w:rsidP="00F11C44">
      <w:pPr>
        <w:pStyle w:val="FootnoteText"/>
        <w:spacing w:after="0"/>
      </w:pPr>
      <w:r>
        <w:t>(</w:t>
      </w:r>
      <w:r>
        <w:rPr>
          <w:rStyle w:val="FootnoteReference"/>
        </w:rPr>
        <w:footnoteRef/>
      </w:r>
      <w:r>
        <w:t>)</w:t>
      </w:r>
      <w:r>
        <w:tab/>
        <w:t>Articolul </w:t>
      </w:r>
      <w:r w:rsidRPr="00975254">
        <w:t>58</w:t>
      </w:r>
      <w:r>
        <w:t xml:space="preserve"> alineatul (</w:t>
      </w:r>
      <w:r w:rsidRPr="00975254">
        <w:t>1</w:t>
      </w:r>
      <w:r>
        <w:t>) din MiFID II.</w:t>
      </w:r>
    </w:p>
  </w:footnote>
  <w:footnote w:id="8">
    <w:p w14:paraId="1308C03E" w14:textId="77777777" w:rsidR="009B1053" w:rsidRPr="00D565DF" w:rsidRDefault="009B1053" w:rsidP="00F11C44">
      <w:pPr>
        <w:pStyle w:val="FootnoteText"/>
        <w:spacing w:after="0"/>
      </w:pPr>
      <w:r>
        <w:t>(</w:t>
      </w:r>
      <w:r>
        <w:rPr>
          <w:rStyle w:val="FootnoteReference"/>
        </w:rPr>
        <w:footnoteRef/>
      </w:r>
      <w:r>
        <w:t>)</w:t>
      </w:r>
      <w:r>
        <w:tab/>
        <w:t>Articolul </w:t>
      </w:r>
      <w:r w:rsidRPr="00975254">
        <w:t>58</w:t>
      </w:r>
      <w:r>
        <w:t xml:space="preserve"> alineatul (</w:t>
      </w:r>
      <w:r w:rsidRPr="00975254">
        <w:t>3</w:t>
      </w:r>
      <w:r>
        <w:t>) din MiFID II.</w:t>
      </w:r>
    </w:p>
  </w:footnote>
  <w:footnote w:id="9">
    <w:p w14:paraId="635E8D5D" w14:textId="065216F7" w:rsidR="00BA26F7" w:rsidRPr="00BA26F7" w:rsidRDefault="00BA26F7" w:rsidP="00F11C44">
      <w:pPr>
        <w:pStyle w:val="FootnoteText"/>
        <w:spacing w:after="0"/>
      </w:pPr>
      <w:r>
        <w:t>(</w:t>
      </w:r>
      <w:r>
        <w:rPr>
          <w:rStyle w:val="FootnoteReference"/>
        </w:rPr>
        <w:footnoteRef/>
      </w:r>
      <w:r>
        <w:t>)</w:t>
      </w:r>
      <w:r>
        <w:tab/>
        <w:t>Către ANC a pieței celei mai lichide pentru instrumentul financiar derivat pe mărfuri cu care este echivalent contractul extrabursier.</w:t>
      </w:r>
    </w:p>
  </w:footnote>
  <w:footnote w:id="10">
    <w:p w14:paraId="51C3B947" w14:textId="77777777" w:rsidR="009B1053" w:rsidRPr="00B92AFD" w:rsidRDefault="009B1053" w:rsidP="00F11C44">
      <w:pPr>
        <w:spacing w:after="0"/>
      </w:pPr>
      <w:r>
        <w:rPr>
          <w:sz w:val="20"/>
        </w:rPr>
        <w:t>(</w:t>
      </w:r>
      <w:r>
        <w:rPr>
          <w:sz w:val="20"/>
          <w:vertAlign w:val="superscript"/>
        </w:rPr>
        <w:footnoteRef/>
      </w:r>
      <w:r>
        <w:rPr>
          <w:sz w:val="20"/>
        </w:rPr>
        <w:t>) Articolul </w:t>
      </w:r>
      <w:r w:rsidRPr="00975254">
        <w:rPr>
          <w:sz w:val="20"/>
        </w:rPr>
        <w:t>58</w:t>
      </w:r>
      <w:r>
        <w:rPr>
          <w:sz w:val="20"/>
        </w:rPr>
        <w:t xml:space="preserve"> alineatul (</w:t>
      </w:r>
      <w:r w:rsidRPr="00975254">
        <w:rPr>
          <w:sz w:val="20"/>
        </w:rPr>
        <w:t>2</w:t>
      </w:r>
      <w:r>
        <w:rPr>
          <w:sz w:val="20"/>
        </w:rPr>
        <w:t>) din MiFID II.</w:t>
      </w:r>
    </w:p>
  </w:footnote>
  <w:footnote w:id="11">
    <w:p w14:paraId="21521EF6" w14:textId="4F38848D" w:rsidR="00752A9C" w:rsidRPr="00C15443" w:rsidRDefault="00752A9C" w:rsidP="00F11C44">
      <w:pPr>
        <w:pStyle w:val="FootnoteText"/>
        <w:spacing w:after="0"/>
      </w:pPr>
      <w:r>
        <w:t>(</w:t>
      </w:r>
      <w:r>
        <w:rPr>
          <w:rStyle w:val="FootnoteReference"/>
        </w:rPr>
        <w:footnoteRef/>
      </w:r>
      <w:r>
        <w:t>)</w:t>
      </w:r>
      <w:r>
        <w:tab/>
        <w:t>Articolul </w:t>
      </w:r>
      <w:r w:rsidRPr="00975254">
        <w:t>2</w:t>
      </w:r>
      <w:r>
        <w:t xml:space="preserve"> alineatul (</w:t>
      </w:r>
      <w:r w:rsidRPr="00975254">
        <w:t>4</w:t>
      </w:r>
      <w:r>
        <w:t>) din REMIT II.</w:t>
      </w:r>
    </w:p>
  </w:footnote>
  <w:footnote w:id="12">
    <w:p w14:paraId="5B89D8C6" w14:textId="0B25DACC" w:rsidR="00752A9C" w:rsidRPr="00C15443" w:rsidRDefault="00752A9C" w:rsidP="00F11C44">
      <w:pPr>
        <w:pStyle w:val="FootnoteText"/>
        <w:spacing w:after="0"/>
      </w:pPr>
      <w:r>
        <w:t>(</w:t>
      </w:r>
      <w:r>
        <w:rPr>
          <w:rStyle w:val="FootnoteReference"/>
        </w:rPr>
        <w:footnoteRef/>
      </w:r>
      <w:r>
        <w:t>)</w:t>
      </w:r>
      <w:r>
        <w:tab/>
        <w:t>Articolul </w:t>
      </w:r>
      <w:r w:rsidRPr="00975254">
        <w:t>6</w:t>
      </w:r>
      <w:r>
        <w:t xml:space="preserve"> alineatul (</w:t>
      </w:r>
      <w:r w:rsidRPr="00975254">
        <w:t>5</w:t>
      </w:r>
      <w:r>
        <w:t>) din REMIT IR prevede, de asemenea, că „În cazul în care anumite persoane au raportat detalii ale tranzacțiilor în conformitate cu articolul </w:t>
      </w:r>
      <w:r w:rsidRPr="00975254">
        <w:t>26</w:t>
      </w:r>
      <w:r>
        <w:t xml:space="preserve"> din Regulamentul (UE) nr. </w:t>
      </w:r>
      <w:r w:rsidRPr="00975254">
        <w:t>600</w:t>
      </w:r>
      <w:r>
        <w:t>/</w:t>
      </w:r>
      <w:r w:rsidRPr="00975254">
        <w:t>2014</w:t>
      </w:r>
      <w:r>
        <w:t xml:space="preserve"> sau cu articolul </w:t>
      </w:r>
      <w:r w:rsidRPr="00975254">
        <w:t>9</w:t>
      </w:r>
      <w:r>
        <w:t xml:space="preserve"> din Regulamentul (UE) nr. </w:t>
      </w:r>
      <w:r w:rsidRPr="00975254">
        <w:t>648</w:t>
      </w:r>
      <w:r>
        <w:t>/</w:t>
      </w:r>
      <w:r w:rsidRPr="00975254">
        <w:t>2012</w:t>
      </w:r>
      <w:r>
        <w:t>, obligațiile acestora legate de raportarea respectivelor detalii în temeiul articolului </w:t>
      </w:r>
      <w:r w:rsidRPr="00975254">
        <w:t>8</w:t>
      </w:r>
      <w:r>
        <w:t xml:space="preserve"> alineatul (</w:t>
      </w:r>
      <w:r w:rsidRPr="00975254">
        <w:t>1</w:t>
      </w:r>
      <w:r>
        <w:t>) din Regulamentul (UE) nr. </w:t>
      </w:r>
      <w:r w:rsidRPr="00975254">
        <w:t>1227</w:t>
      </w:r>
      <w:r>
        <w:t>/</w:t>
      </w:r>
      <w:r w:rsidRPr="00975254">
        <w:t>2011</w:t>
      </w:r>
      <w:r>
        <w:t xml:space="preserve"> sunt considerate pe deplin îndeplinite”.</w:t>
      </w:r>
    </w:p>
  </w:footnote>
  <w:footnote w:id="13">
    <w:p w14:paraId="19680AE1" w14:textId="0AF27FBD" w:rsidR="00EE1081" w:rsidRPr="00EE1081" w:rsidRDefault="00EE1081" w:rsidP="00F11C44">
      <w:pPr>
        <w:pStyle w:val="FootnoteText"/>
        <w:spacing w:after="0"/>
      </w:pPr>
      <w:r>
        <w:t>(</w:t>
      </w:r>
      <w:r>
        <w:rPr>
          <w:rStyle w:val="FootnoteReference"/>
        </w:rPr>
        <w:footnoteRef/>
      </w:r>
      <w:r>
        <w:t>)</w:t>
      </w:r>
      <w:r>
        <w:tab/>
        <w:t>Cu excepția cazului în care efectuează tranzacții prin intermediul unei firme de investiții din UE, situație în care firma de investiții raportează în numele lor.</w:t>
      </w:r>
    </w:p>
  </w:footnote>
  <w:footnote w:id="14">
    <w:p w14:paraId="5CA7BFD1" w14:textId="77777777" w:rsidR="009B1053" w:rsidRPr="000A26D4" w:rsidRDefault="009B1053" w:rsidP="00F11C44">
      <w:pPr>
        <w:pStyle w:val="FootnoteText"/>
        <w:spacing w:after="0"/>
      </w:pPr>
      <w:r>
        <w:t>(</w:t>
      </w:r>
      <w:r>
        <w:rPr>
          <w:rStyle w:val="FootnoteReference"/>
        </w:rPr>
        <w:footnoteRef/>
      </w:r>
      <w:r>
        <w:t>)</w:t>
      </w:r>
      <w:r>
        <w:tab/>
      </w:r>
      <w:hyperlink r:id="rId5" w:history="1">
        <w:r w:rsidRPr="001F5341">
          <w:rPr>
            <w:rStyle w:val="Hyperlink"/>
          </w:rPr>
          <w:t>Regulamentul (UE) 2024/2809 al Parlamentului European și al Consiliului din 23 octombrie 2024 de modificare a Regulamentelor (UE) 2017/1129, (UE) nr. 596/2014 și (UE) nr. 600/2014 pentru a face piețele publice de capital din Uniune mai atractive pentru întreprinderi și a facilita accesul la capital al întreprinderilor mici și mijlocii</w:t>
        </w:r>
      </w:hyperlink>
      <w:r>
        <w:t>.</w:t>
      </w:r>
    </w:p>
  </w:footnote>
  <w:footnote w:id="15">
    <w:p w14:paraId="2A76ABC4" w14:textId="77777777" w:rsidR="009B1053" w:rsidRPr="00E933F2" w:rsidRDefault="009B1053" w:rsidP="00F11C44">
      <w:pPr>
        <w:pStyle w:val="FootnoteText"/>
        <w:spacing w:after="0"/>
      </w:pPr>
      <w:r>
        <w:t>(</w:t>
      </w:r>
      <w:r>
        <w:rPr>
          <w:rStyle w:val="FootnoteReference"/>
        </w:rPr>
        <w:footnoteRef/>
      </w:r>
      <w:r>
        <w:t>)</w:t>
      </w:r>
      <w:r>
        <w:tab/>
        <w:t>Acest lucru se datorează și faptului că acele contractele decontate prin livrare fizică tranzacționate în SOT sunt excluse din legislația financiară și, prin urmare, nu sunt considerate instrumente financiare („produse care fac obiectul excluderii C</w:t>
      </w:r>
      <w:r w:rsidRPr="00975254">
        <w:t>6</w:t>
      </w:r>
      <w:r>
        <w:t xml:space="preserve">”). </w:t>
      </w:r>
    </w:p>
  </w:footnote>
  <w:footnote w:id="16">
    <w:p w14:paraId="25A834D4" w14:textId="77777777" w:rsidR="009B1053" w:rsidRPr="009B1053" w:rsidRDefault="009B1053" w:rsidP="00F11C44">
      <w:pPr>
        <w:pStyle w:val="FootnoteText"/>
        <w:spacing w:after="0"/>
      </w:pPr>
      <w:r>
        <w:t>(</w:t>
      </w:r>
      <w:r>
        <w:rPr>
          <w:rStyle w:val="FootnoteReference"/>
        </w:rPr>
        <w:footnoteRef/>
      </w:r>
      <w:r>
        <w:t>)</w:t>
      </w:r>
      <w:r>
        <w:tab/>
        <w:t>Sursă: Date ESMA.</w:t>
      </w:r>
    </w:p>
  </w:footnote>
  <w:footnote w:id="17">
    <w:p w14:paraId="0B65594A" w14:textId="7568FE67" w:rsidR="005514EF" w:rsidRPr="005514EF" w:rsidRDefault="005514EF" w:rsidP="00F11C44">
      <w:pPr>
        <w:pStyle w:val="FootnoteText"/>
        <w:spacing w:after="0"/>
      </w:pPr>
      <w:r>
        <w:t>(</w:t>
      </w:r>
      <w:r>
        <w:rPr>
          <w:rStyle w:val="FootnoteReference"/>
        </w:rPr>
        <w:footnoteRef/>
      </w:r>
      <w:r>
        <w:t>)</w:t>
      </w:r>
      <w:r>
        <w:tab/>
      </w:r>
      <w:hyperlink r:id="rId6" w:history="1">
        <w:r w:rsidRPr="001F5341">
          <w:rPr>
            <w:rStyle w:val="Hyperlink"/>
          </w:rPr>
          <w:t>esma70-446-775_preliminary_data_report_on_mcm.pdf</w:t>
        </w:r>
      </w:hyperlink>
      <w:r>
        <w:t>.</w:t>
      </w:r>
    </w:p>
  </w:footnote>
  <w:footnote w:id="18">
    <w:p w14:paraId="15B9BBF8" w14:textId="02046017" w:rsidR="005514EF" w:rsidRPr="005514EF" w:rsidRDefault="005514EF" w:rsidP="00F11C44">
      <w:pPr>
        <w:pStyle w:val="FootnoteText"/>
        <w:spacing w:after="0"/>
      </w:pPr>
      <w:r>
        <w:t>(</w:t>
      </w:r>
      <w:r>
        <w:rPr>
          <w:rStyle w:val="FootnoteReference"/>
        </w:rPr>
        <w:footnoteRef/>
      </w:r>
      <w:r>
        <w:t>)</w:t>
      </w:r>
      <w:r>
        <w:tab/>
      </w:r>
      <w:hyperlink r:id="rId7" w:history="1">
        <w:r w:rsidRPr="001F5341">
          <w:rPr>
            <w:rStyle w:val="Hyperlink"/>
          </w:rPr>
          <w:t>Analysis of MIFID II position data on commodity derivatives:</w:t>
        </w:r>
      </w:hyperlink>
      <w:hyperlink r:id="rId8" w:history="1">
        <w:r w:rsidRPr="001F5341">
          <w:rPr>
            <w:rStyle w:val="Hyperlink"/>
          </w:rPr>
          <w:t xml:space="preserve"> who are the market participants and what is their weight in the matif grain derivatives segment? (Analiza datelor MiFID II privind pozițiile pe piața instrumentelor financiare derivate pe mărfuri: cine sunt participanții la piață și care este ponderea lor în segmentul instrumentelor financiare derivate pe cereale din cadrul MATIF?)</w:t>
        </w:r>
      </w:hyperlink>
    </w:p>
  </w:footnote>
  <w:footnote w:id="19">
    <w:p w14:paraId="61829983" w14:textId="5624047A" w:rsidR="009B1053" w:rsidRPr="00F81863" w:rsidRDefault="009B1053" w:rsidP="00F11C44">
      <w:pPr>
        <w:pStyle w:val="FootnoteText"/>
        <w:spacing w:after="0"/>
      </w:pPr>
      <w:r>
        <w:t>(</w:t>
      </w:r>
      <w:r>
        <w:rPr>
          <w:rStyle w:val="FootnoteReference"/>
        </w:rPr>
        <w:footnoteRef/>
      </w:r>
      <w:r>
        <w:t>)</w:t>
      </w:r>
      <w:r>
        <w:tab/>
      </w:r>
      <w:hyperlink r:id="rId9" w:history="1">
        <w:r w:rsidRPr="001F5341">
          <w:rPr>
            <w:rStyle w:val="Hyperlink"/>
          </w:rPr>
          <w:t>Regulamentul delegat - 2022/1299 - RO - EUR-Lex</w:t>
        </w:r>
      </w:hyperlink>
      <w:r>
        <w:t>.</w:t>
      </w:r>
    </w:p>
  </w:footnote>
  <w:footnote w:id="20">
    <w:p w14:paraId="697FFF92" w14:textId="17AFFF22" w:rsidR="009B1053" w:rsidRPr="00F81863" w:rsidRDefault="009B1053" w:rsidP="009B1053">
      <w:pPr>
        <w:pStyle w:val="FootnoteText"/>
        <w:spacing w:after="0"/>
      </w:pPr>
      <w:r>
        <w:t>(</w:t>
      </w:r>
      <w:r>
        <w:rPr>
          <w:rStyle w:val="FootnoteReference"/>
        </w:rPr>
        <w:footnoteRef/>
      </w:r>
      <w:r>
        <w:t>)</w:t>
      </w:r>
      <w:r>
        <w:tab/>
        <w:t xml:space="preserve">Această consultare a fost determinată în special de evenimentele care s-au petrecut la London Metals Exchange în martie </w:t>
      </w:r>
      <w:r w:rsidRPr="00975254">
        <w:t>2022</w:t>
      </w:r>
      <w:r>
        <w:t>, care au fost legate de acumularea unor poziții mari pe piața extrabursieră, nevizibile pentru operatorii locurilor de tranzacționare, împiedicându-i astfel să își îndeplinească mandatul de administrare a pozițiilor.</w:t>
      </w:r>
    </w:p>
  </w:footnote>
  <w:footnote w:id="21">
    <w:p w14:paraId="6E7C74E1" w14:textId="77777777" w:rsidR="009B1053" w:rsidRPr="00F81863" w:rsidRDefault="009B1053" w:rsidP="009B1053">
      <w:pPr>
        <w:pStyle w:val="FootnoteText"/>
        <w:spacing w:after="0"/>
      </w:pPr>
      <w:r>
        <w:t>(</w:t>
      </w:r>
      <w:r>
        <w:rPr>
          <w:rStyle w:val="FootnoteReference"/>
        </w:rPr>
        <w:footnoteRef/>
      </w:r>
      <w:r>
        <w:t>)</w:t>
      </w:r>
      <w:r>
        <w:tab/>
        <w:t xml:space="preserve">Sursă: Datele EEX și ICE pentru vara anilor </w:t>
      </w:r>
      <w:r w:rsidRPr="00975254">
        <w:t>2022</w:t>
      </w:r>
      <w:r>
        <w:t xml:space="preserve"> și </w:t>
      </w:r>
      <w:r w:rsidRPr="00975254">
        <w:t>2024</w:t>
      </w:r>
      <w:r>
        <w:t>.</w:t>
      </w:r>
    </w:p>
  </w:footnote>
  <w:footnote w:id="22">
    <w:p w14:paraId="6A632A11" w14:textId="55DB859B" w:rsidR="005E7D89" w:rsidRPr="00040C54" w:rsidRDefault="21CB014D" w:rsidP="00F11C44">
      <w:pPr>
        <w:pStyle w:val="FootnoteText"/>
        <w:spacing w:after="0"/>
        <w:ind w:left="567" w:hanging="567"/>
      </w:pPr>
      <w:r>
        <w:t>(</w:t>
      </w:r>
      <w:r>
        <w:rPr>
          <w:rStyle w:val="FootnoteReference"/>
        </w:rPr>
        <w:footnoteRef/>
      </w:r>
      <w:r>
        <w:t>)</w:t>
      </w:r>
      <w:r>
        <w:tab/>
      </w:r>
      <w:hyperlink r:id="rId10" w:history="1">
        <w:r w:rsidRPr="001F5341">
          <w:rPr>
            <w:rStyle w:val="Hyperlink"/>
          </w:rPr>
          <w:t>https://www.iosco.org/library/pubdocs/pdf/IOSCOPD781.pdf</w:t>
        </w:r>
      </w:hyperlink>
      <w:r>
        <w:t xml:space="preserve">. </w:t>
      </w:r>
    </w:p>
  </w:footnote>
  <w:footnote w:id="23">
    <w:p w14:paraId="169A6F81" w14:textId="3E26C7A9" w:rsidR="00FA28B6" w:rsidRPr="00FA28B6" w:rsidRDefault="00FA28B6" w:rsidP="00F11C44">
      <w:pPr>
        <w:pStyle w:val="FootnoteText"/>
        <w:spacing w:after="0"/>
      </w:pPr>
      <w:r>
        <w:t>(</w:t>
      </w:r>
      <w:r>
        <w:rPr>
          <w:rStyle w:val="FootnoteReference"/>
        </w:rPr>
        <w:footnoteRef/>
      </w:r>
      <w:r>
        <w:t>)</w:t>
      </w:r>
      <w:r>
        <w:tab/>
        <w:t>Și anume, nu doar firmele de investiții și firmele care nu sunt firme de investiții, dar care efectuează tranzacții prin intermediul unei firme de investiții.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A78FC" w14:textId="77777777" w:rsidR="00A1048B" w:rsidRPr="00A1048B" w:rsidRDefault="00A1048B" w:rsidP="00A1048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EDA27" w14:textId="77777777" w:rsidR="00A1048B" w:rsidRPr="00A1048B" w:rsidRDefault="00A1048B" w:rsidP="00A1048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9C2EB" w14:textId="77777777" w:rsidR="00A1048B" w:rsidRPr="00A1048B" w:rsidRDefault="00A1048B" w:rsidP="00A1048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DCEED" w14:textId="77777777" w:rsidR="00AF3CE0" w:rsidRDefault="00AF3C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448D3" w14:textId="77777777" w:rsidR="00AF3CE0" w:rsidRDefault="00AF3C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98F7D" w14:textId="77777777" w:rsidR="00AF3CE0" w:rsidRDefault="00AF3C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829E44BC"/>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D8D1E0E"/>
    <w:multiLevelType w:val="multilevel"/>
    <w:tmpl w:val="4112E5BC"/>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FB7115"/>
    <w:multiLevelType w:val="multilevel"/>
    <w:tmpl w:val="4860F4E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CAA6E53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4FF6E5C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B9E05CF2"/>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F4D6467E"/>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8340CC3A"/>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2E36590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47A184D"/>
    <w:multiLevelType w:val="hybridMultilevel"/>
    <w:tmpl w:val="E72C02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C8DFDF8"/>
    <w:multiLevelType w:val="multilevel"/>
    <w:tmpl w:val="B4F82210"/>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E3"/>
    <w:multiLevelType w:val="multilevel"/>
    <w:tmpl w:val="D870033A"/>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D293CF4"/>
    <w:multiLevelType w:val="multilevel"/>
    <w:tmpl w:val="8772AAF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6324F1E"/>
    <w:multiLevelType w:val="multilevel"/>
    <w:tmpl w:val="7BC4A532"/>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7CB1E1C"/>
    <w:multiLevelType w:val="multilevel"/>
    <w:tmpl w:val="92987FBA"/>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A7730C4"/>
    <w:multiLevelType w:val="multilevel"/>
    <w:tmpl w:val="ABA0C53E"/>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29E662A"/>
    <w:multiLevelType w:val="multilevel"/>
    <w:tmpl w:val="A7B67E2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4261A85"/>
    <w:multiLevelType w:val="hybridMultilevel"/>
    <w:tmpl w:val="F0FA3B54"/>
    <w:lvl w:ilvl="0" w:tplc="5B204194">
      <w:start w:val="1"/>
      <w:numFmt w:val="decimal"/>
      <w:pStyle w:val="04aNumeration"/>
      <w:lvlText w:val="%1."/>
      <w:lvlJc w:val="left"/>
      <w:pPr>
        <w:tabs>
          <w:tab w:val="num" w:pos="284"/>
        </w:tabs>
        <w:ind w:left="284" w:hanging="284"/>
      </w:pPr>
      <w:rPr>
        <w:rFonts w:ascii="Arial" w:hAnsi="Arial" w:cs="Arial" w:hint="default"/>
        <w:b w:val="0"/>
        <w:i w:val="0"/>
        <w:sz w:val="22"/>
        <w:szCs w:val="22"/>
      </w:rPr>
    </w:lvl>
    <w:lvl w:ilvl="1" w:tplc="65726592">
      <w:start w:val="1"/>
      <w:numFmt w:val="upperLetter"/>
      <w:lvlText w:val="%2."/>
      <w:lvlJc w:val="left"/>
      <w:pPr>
        <w:tabs>
          <w:tab w:val="num" w:pos="1156"/>
        </w:tabs>
        <w:ind w:left="1156" w:hanging="360"/>
      </w:pPr>
      <w:rPr>
        <w:rFonts w:hint="default"/>
        <w:b w:val="0"/>
        <w:i w:val="0"/>
      </w:rPr>
    </w:lvl>
    <w:lvl w:ilvl="2" w:tplc="0407001B">
      <w:start w:val="1"/>
      <w:numFmt w:val="lowerRoman"/>
      <w:lvlText w:val="%3."/>
      <w:lvlJc w:val="right"/>
      <w:pPr>
        <w:tabs>
          <w:tab w:val="num" w:pos="1876"/>
        </w:tabs>
        <w:ind w:left="1876" w:hanging="180"/>
      </w:pPr>
    </w:lvl>
    <w:lvl w:ilvl="3" w:tplc="0407000F" w:tentative="1">
      <w:start w:val="1"/>
      <w:numFmt w:val="decimal"/>
      <w:lvlText w:val="%4."/>
      <w:lvlJc w:val="left"/>
      <w:pPr>
        <w:tabs>
          <w:tab w:val="num" w:pos="2596"/>
        </w:tabs>
        <w:ind w:left="2596" w:hanging="360"/>
      </w:pPr>
    </w:lvl>
    <w:lvl w:ilvl="4" w:tplc="04070019" w:tentative="1">
      <w:start w:val="1"/>
      <w:numFmt w:val="lowerLetter"/>
      <w:lvlText w:val="%5."/>
      <w:lvlJc w:val="left"/>
      <w:pPr>
        <w:tabs>
          <w:tab w:val="num" w:pos="3316"/>
        </w:tabs>
        <w:ind w:left="3316" w:hanging="360"/>
      </w:pPr>
    </w:lvl>
    <w:lvl w:ilvl="5" w:tplc="0407001B" w:tentative="1">
      <w:start w:val="1"/>
      <w:numFmt w:val="lowerRoman"/>
      <w:lvlText w:val="%6."/>
      <w:lvlJc w:val="right"/>
      <w:pPr>
        <w:tabs>
          <w:tab w:val="num" w:pos="4036"/>
        </w:tabs>
        <w:ind w:left="4036" w:hanging="180"/>
      </w:pPr>
    </w:lvl>
    <w:lvl w:ilvl="6" w:tplc="0407000F" w:tentative="1">
      <w:start w:val="1"/>
      <w:numFmt w:val="decimal"/>
      <w:lvlText w:val="%7."/>
      <w:lvlJc w:val="left"/>
      <w:pPr>
        <w:tabs>
          <w:tab w:val="num" w:pos="4756"/>
        </w:tabs>
        <w:ind w:left="4756" w:hanging="360"/>
      </w:pPr>
    </w:lvl>
    <w:lvl w:ilvl="7" w:tplc="04070019" w:tentative="1">
      <w:start w:val="1"/>
      <w:numFmt w:val="lowerLetter"/>
      <w:lvlText w:val="%8."/>
      <w:lvlJc w:val="left"/>
      <w:pPr>
        <w:tabs>
          <w:tab w:val="num" w:pos="5476"/>
        </w:tabs>
        <w:ind w:left="5476" w:hanging="360"/>
      </w:pPr>
    </w:lvl>
    <w:lvl w:ilvl="8" w:tplc="0407001B" w:tentative="1">
      <w:start w:val="1"/>
      <w:numFmt w:val="lowerRoman"/>
      <w:lvlText w:val="%9."/>
      <w:lvlJc w:val="right"/>
      <w:pPr>
        <w:tabs>
          <w:tab w:val="num" w:pos="6196"/>
        </w:tabs>
        <w:ind w:left="6196" w:hanging="180"/>
      </w:pPr>
    </w:lvl>
  </w:abstractNum>
  <w:abstractNum w:abstractNumId="18" w15:restartNumberingAfterBreak="0">
    <w:nsid w:val="4E1A63DF"/>
    <w:multiLevelType w:val="multilevel"/>
    <w:tmpl w:val="5750F450"/>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E1A982C"/>
    <w:multiLevelType w:val="multilevel"/>
    <w:tmpl w:val="6BA056F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072619B"/>
    <w:multiLevelType w:val="multilevel"/>
    <w:tmpl w:val="AF0037A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0729B52"/>
    <w:multiLevelType w:val="multilevel"/>
    <w:tmpl w:val="025A8184"/>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64724136"/>
    <w:multiLevelType w:val="hybridMultilevel"/>
    <w:tmpl w:val="53346BC4"/>
    <w:lvl w:ilvl="0" w:tplc="835CD9B4">
      <w:start w:val="1"/>
      <w:numFmt w:val="lowerLetter"/>
      <w:lvlText w:val="(%1)"/>
      <w:lvlJc w:val="left"/>
      <w:pPr>
        <w:ind w:left="1080" w:hanging="360"/>
      </w:pPr>
      <w:rPr>
        <w:rFonts w:eastAsia="Times New Roman"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6977472E"/>
    <w:multiLevelType w:val="multilevel"/>
    <w:tmpl w:val="B802D96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6A162CEF"/>
    <w:multiLevelType w:val="multilevel"/>
    <w:tmpl w:val="8F4864D0"/>
    <w:lvl w:ilvl="0">
      <w:start w:val="1"/>
      <w:numFmt w:val="bullet"/>
      <w:pStyle w:val="BulletPSP"/>
      <w:lvlText w:val=""/>
      <w:lvlJc w:val="left"/>
      <w:pPr>
        <w:ind w:left="145" w:hanging="283"/>
      </w:pPr>
      <w:rPr>
        <w:rFonts w:ascii="Symbol" w:hAnsi="Symbol" w:hint="default"/>
        <w:color w:val="5B9BD5"/>
      </w:rPr>
    </w:lvl>
    <w:lvl w:ilvl="1">
      <w:start w:val="1"/>
      <w:numFmt w:val="bullet"/>
      <w:lvlText w:val=""/>
      <w:lvlJc w:val="left"/>
      <w:pPr>
        <w:ind w:left="429" w:hanging="283"/>
      </w:pPr>
      <w:rPr>
        <w:rFonts w:ascii="Symbol" w:hAnsi="Symbol" w:hint="default"/>
        <w:color w:val="44546A"/>
      </w:rPr>
    </w:lvl>
    <w:lvl w:ilvl="2">
      <w:start w:val="1"/>
      <w:numFmt w:val="bullet"/>
      <w:lvlText w:val=""/>
      <w:lvlJc w:val="left"/>
      <w:pPr>
        <w:ind w:left="713" w:hanging="283"/>
      </w:pPr>
      <w:rPr>
        <w:rFonts w:ascii="Symbol" w:hAnsi="Symbol" w:hint="default"/>
        <w:color w:val="E7E6E6"/>
      </w:rPr>
    </w:lvl>
    <w:lvl w:ilvl="3">
      <w:start w:val="1"/>
      <w:numFmt w:val="bullet"/>
      <w:lvlText w:val=""/>
      <w:lvlJc w:val="left"/>
      <w:pPr>
        <w:ind w:left="997" w:hanging="283"/>
      </w:pPr>
      <w:rPr>
        <w:rFonts w:ascii="Symbol" w:hAnsi="Symbol" w:hint="default"/>
        <w:color w:val="ED7D31"/>
      </w:rPr>
    </w:lvl>
    <w:lvl w:ilvl="4">
      <w:start w:val="1"/>
      <w:numFmt w:val="bullet"/>
      <w:lvlText w:val=""/>
      <w:lvlJc w:val="left"/>
      <w:pPr>
        <w:ind w:left="1281" w:hanging="283"/>
      </w:pPr>
      <w:rPr>
        <w:rFonts w:ascii="Symbol" w:hAnsi="Symbol" w:hint="default"/>
        <w:color w:val="000000"/>
      </w:rPr>
    </w:lvl>
    <w:lvl w:ilvl="5">
      <w:start w:val="1"/>
      <w:numFmt w:val="bullet"/>
      <w:lvlText w:val=""/>
      <w:lvlJc w:val="left"/>
      <w:pPr>
        <w:ind w:left="1565" w:hanging="283"/>
      </w:pPr>
      <w:rPr>
        <w:rFonts w:ascii="Symbol" w:hAnsi="Symbol" w:hint="default"/>
        <w:color w:val="FFC000"/>
      </w:rPr>
    </w:lvl>
    <w:lvl w:ilvl="6">
      <w:start w:val="1"/>
      <w:numFmt w:val="bullet"/>
      <w:lvlText w:val=""/>
      <w:lvlJc w:val="left"/>
      <w:pPr>
        <w:ind w:left="1849" w:hanging="283"/>
      </w:pPr>
      <w:rPr>
        <w:rFonts w:ascii="Symbol" w:hAnsi="Symbol" w:hint="default"/>
      </w:rPr>
    </w:lvl>
    <w:lvl w:ilvl="7">
      <w:start w:val="1"/>
      <w:numFmt w:val="bullet"/>
      <w:lvlText w:val="o"/>
      <w:lvlJc w:val="left"/>
      <w:pPr>
        <w:ind w:left="2133" w:hanging="283"/>
      </w:pPr>
      <w:rPr>
        <w:rFonts w:ascii="Courier New" w:hAnsi="Courier New" w:hint="default"/>
      </w:rPr>
    </w:lvl>
    <w:lvl w:ilvl="8">
      <w:start w:val="1"/>
      <w:numFmt w:val="bullet"/>
      <w:lvlText w:val=""/>
      <w:lvlJc w:val="left"/>
      <w:pPr>
        <w:ind w:left="2417" w:hanging="283"/>
      </w:pPr>
      <w:rPr>
        <w:rFonts w:ascii="Wingdings" w:hAnsi="Wingdings" w:hint="default"/>
      </w:rPr>
    </w:lvl>
  </w:abstractNum>
  <w:abstractNum w:abstractNumId="25" w15:restartNumberingAfterBreak="0">
    <w:nsid w:val="766A24F3"/>
    <w:multiLevelType w:val="hybridMultilevel"/>
    <w:tmpl w:val="891EBEA8"/>
    <w:lvl w:ilvl="0" w:tplc="F0E0613A">
      <w:start w:val="1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9F50F3B"/>
    <w:multiLevelType w:val="hybridMultilevel"/>
    <w:tmpl w:val="BB124F74"/>
    <w:lvl w:ilvl="0" w:tplc="A32E8DF6">
      <w:start w:val="1"/>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BDA2288"/>
    <w:multiLevelType w:val="hybridMultilevel"/>
    <w:tmpl w:val="8BF84DFE"/>
    <w:lvl w:ilvl="0" w:tplc="74B81204">
      <w:start w:val="1"/>
      <w:numFmt w:val="lowerRoman"/>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C65145E"/>
    <w:multiLevelType w:val="multilevel"/>
    <w:tmpl w:val="C33ED92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0" w15:restartNumberingAfterBreak="0">
    <w:nsid w:val="7DE645DF"/>
    <w:multiLevelType w:val="hybridMultilevel"/>
    <w:tmpl w:val="A00A26A0"/>
    <w:lvl w:ilvl="0" w:tplc="74B81204">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abstractNumId w:val="17"/>
  </w:num>
  <w:num w:numId="2">
    <w:abstractNumId w:val="1"/>
  </w:num>
  <w:num w:numId="3">
    <w:abstractNumId w:val="24"/>
  </w:num>
  <w:num w:numId="4">
    <w:abstractNumId w:val="0"/>
  </w:num>
  <w:num w:numId="5">
    <w:abstractNumId w:val="13"/>
  </w:num>
  <w:num w:numId="6">
    <w:abstractNumId w:val="8"/>
  </w:num>
  <w:num w:numId="7">
    <w:abstractNumId w:val="14"/>
  </w:num>
  <w:num w:numId="8">
    <w:abstractNumId w:val="20"/>
  </w:num>
  <w:num w:numId="9">
    <w:abstractNumId w:val="23"/>
  </w:num>
  <w:num w:numId="10">
    <w:abstractNumId w:val="2"/>
  </w:num>
  <w:num w:numId="11">
    <w:abstractNumId w:val="7"/>
  </w:num>
  <w:num w:numId="12">
    <w:abstractNumId w:val="16"/>
  </w:num>
  <w:num w:numId="13">
    <w:abstractNumId w:val="3"/>
  </w:num>
  <w:num w:numId="14">
    <w:abstractNumId w:val="5"/>
  </w:num>
  <w:num w:numId="15">
    <w:abstractNumId w:val="6"/>
  </w:num>
  <w:num w:numId="16">
    <w:abstractNumId w:val="10"/>
  </w:num>
  <w:num w:numId="17">
    <w:abstractNumId w:val="15"/>
  </w:num>
  <w:num w:numId="18">
    <w:abstractNumId w:val="19"/>
  </w:num>
  <w:num w:numId="19">
    <w:abstractNumId w:val="28"/>
  </w:num>
  <w:num w:numId="20">
    <w:abstractNumId w:val="11"/>
  </w:num>
  <w:num w:numId="21">
    <w:abstractNumId w:val="12"/>
  </w:num>
  <w:num w:numId="22">
    <w:abstractNumId w:val="29"/>
  </w:num>
  <w:num w:numId="23">
    <w:abstractNumId w:val="18"/>
  </w:num>
  <w:num w:numId="24">
    <w:abstractNumId w:val="21"/>
  </w:num>
  <w:num w:numId="25">
    <w:abstractNumId w:val="4"/>
  </w:num>
  <w:num w:numId="26">
    <w:abstractNumId w:val="25"/>
  </w:num>
  <w:num w:numId="27">
    <w:abstractNumId w:val="30"/>
  </w:num>
  <w:num w:numId="28">
    <w:abstractNumId w:val="26"/>
  </w:num>
  <w:num w:numId="29">
    <w:abstractNumId w:val="9"/>
  </w:num>
  <w:num w:numId="30">
    <w:abstractNumId w:val="27"/>
  </w:num>
  <w:num w:numId="31">
    <w:abstractNumId w:val="22"/>
  </w:num>
  <w:num w:numId="32">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54898AA-AF56-4516-A5C4-29C25AEF84B3"/>
    <w:docVar w:name="LW_COVERPAGE_TYPE" w:val="1"/>
    <w:docVar w:name="LW_CROSSREFERENCE" w:val="&lt;UNUSED&gt;"/>
    <w:docVar w:name="LW_DocType" w:val="EUROLOOK"/>
    <w:docVar w:name="LW_EMISSION" w:val="26.5.2026"/>
    <w:docVar w:name="LW_EMISSION_ISODATE" w:val="2026-05-26"/>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evaluarea de c\u259?tre Comisie a pie\u539?elor instrumentelor financiare derivate pe m\u259?rfuri, ale certificatelor de emisii \u537?i ale instrumentelor financiare derivate pe certificate de emisii în temeiul articolului 90 alineatul (5) din Directiva privind pie\u539?ele instrumentelor financiare (MiFID II) (Directiva 2014/65/UE), astfel cum a fost modificat\u259? în februarie 2024&lt;/FMT&gt;"/>
    <w:docVar w:name="LW_TYPE.DOC.CP" w:val="RAPORT AL COMISIEI C\u258?TRE PARLAMENTUL EUROPEAN \u536?I CONSILIU"/>
    <w:docVar w:name="LwApiVersions" w:val="LW4CoDe 1.24.5.0; LW 9.2, Build 20251112"/>
  </w:docVars>
  <w:rsids>
    <w:rsidRoot w:val="00F351E6"/>
    <w:rsid w:val="000000D3"/>
    <w:rsid w:val="0000024D"/>
    <w:rsid w:val="000003E4"/>
    <w:rsid w:val="00000637"/>
    <w:rsid w:val="00000BF4"/>
    <w:rsid w:val="00000E4C"/>
    <w:rsid w:val="00000EB7"/>
    <w:rsid w:val="00000F77"/>
    <w:rsid w:val="0000119B"/>
    <w:rsid w:val="0000132B"/>
    <w:rsid w:val="0000187D"/>
    <w:rsid w:val="00001BE1"/>
    <w:rsid w:val="00001E3D"/>
    <w:rsid w:val="00001E70"/>
    <w:rsid w:val="00002122"/>
    <w:rsid w:val="000027E4"/>
    <w:rsid w:val="000029B3"/>
    <w:rsid w:val="00002B5B"/>
    <w:rsid w:val="0000301F"/>
    <w:rsid w:val="00003117"/>
    <w:rsid w:val="000031D3"/>
    <w:rsid w:val="000031F9"/>
    <w:rsid w:val="0000328B"/>
    <w:rsid w:val="000037B1"/>
    <w:rsid w:val="00003A20"/>
    <w:rsid w:val="00003BAE"/>
    <w:rsid w:val="00003C4B"/>
    <w:rsid w:val="00004440"/>
    <w:rsid w:val="000047F2"/>
    <w:rsid w:val="00004B55"/>
    <w:rsid w:val="00005120"/>
    <w:rsid w:val="0000522C"/>
    <w:rsid w:val="000053C1"/>
    <w:rsid w:val="00005787"/>
    <w:rsid w:val="00005AAB"/>
    <w:rsid w:val="000061CF"/>
    <w:rsid w:val="000062A5"/>
    <w:rsid w:val="00006362"/>
    <w:rsid w:val="00006768"/>
    <w:rsid w:val="00006783"/>
    <w:rsid w:val="0000684C"/>
    <w:rsid w:val="000069AB"/>
    <w:rsid w:val="00006DA3"/>
    <w:rsid w:val="00007092"/>
    <w:rsid w:val="00007221"/>
    <w:rsid w:val="0000732E"/>
    <w:rsid w:val="0000755F"/>
    <w:rsid w:val="00007977"/>
    <w:rsid w:val="00007B34"/>
    <w:rsid w:val="00007BC5"/>
    <w:rsid w:val="00007CE0"/>
    <w:rsid w:val="00007DA4"/>
    <w:rsid w:val="00007DD2"/>
    <w:rsid w:val="00010376"/>
    <w:rsid w:val="00010817"/>
    <w:rsid w:val="0001088B"/>
    <w:rsid w:val="00010AB8"/>
    <w:rsid w:val="00010B49"/>
    <w:rsid w:val="00010C2F"/>
    <w:rsid w:val="00010D06"/>
    <w:rsid w:val="00010DA5"/>
    <w:rsid w:val="00010DAA"/>
    <w:rsid w:val="00010DF7"/>
    <w:rsid w:val="00010EEF"/>
    <w:rsid w:val="00010F60"/>
    <w:rsid w:val="0001101E"/>
    <w:rsid w:val="000111E3"/>
    <w:rsid w:val="00011286"/>
    <w:rsid w:val="000112DC"/>
    <w:rsid w:val="000112FA"/>
    <w:rsid w:val="0001142D"/>
    <w:rsid w:val="000115A9"/>
    <w:rsid w:val="00011A0F"/>
    <w:rsid w:val="00012102"/>
    <w:rsid w:val="0001215E"/>
    <w:rsid w:val="000121A6"/>
    <w:rsid w:val="000121AA"/>
    <w:rsid w:val="00012650"/>
    <w:rsid w:val="00012AE3"/>
    <w:rsid w:val="00012BF0"/>
    <w:rsid w:val="00012CE5"/>
    <w:rsid w:val="00012D2B"/>
    <w:rsid w:val="000133C1"/>
    <w:rsid w:val="0001344D"/>
    <w:rsid w:val="00013479"/>
    <w:rsid w:val="00013506"/>
    <w:rsid w:val="0001366C"/>
    <w:rsid w:val="000137BD"/>
    <w:rsid w:val="00013DCD"/>
    <w:rsid w:val="000146C4"/>
    <w:rsid w:val="00014719"/>
    <w:rsid w:val="00014999"/>
    <w:rsid w:val="00014B0D"/>
    <w:rsid w:val="00014B21"/>
    <w:rsid w:val="00014C42"/>
    <w:rsid w:val="00014D61"/>
    <w:rsid w:val="00015498"/>
    <w:rsid w:val="000155DD"/>
    <w:rsid w:val="00015788"/>
    <w:rsid w:val="0001585A"/>
    <w:rsid w:val="00015B37"/>
    <w:rsid w:val="00016427"/>
    <w:rsid w:val="00016478"/>
    <w:rsid w:val="000166B9"/>
    <w:rsid w:val="000167FF"/>
    <w:rsid w:val="00016932"/>
    <w:rsid w:val="00016BCC"/>
    <w:rsid w:val="00016C07"/>
    <w:rsid w:val="00016F3D"/>
    <w:rsid w:val="00017175"/>
    <w:rsid w:val="000172A8"/>
    <w:rsid w:val="00017857"/>
    <w:rsid w:val="00017A99"/>
    <w:rsid w:val="00017AC9"/>
    <w:rsid w:val="00017E6E"/>
    <w:rsid w:val="00017EEA"/>
    <w:rsid w:val="00020083"/>
    <w:rsid w:val="00020442"/>
    <w:rsid w:val="0002050F"/>
    <w:rsid w:val="000205CB"/>
    <w:rsid w:val="0002061E"/>
    <w:rsid w:val="00020716"/>
    <w:rsid w:val="00020745"/>
    <w:rsid w:val="00020BB1"/>
    <w:rsid w:val="00021027"/>
    <w:rsid w:val="00021114"/>
    <w:rsid w:val="00021164"/>
    <w:rsid w:val="000211B5"/>
    <w:rsid w:val="00021287"/>
    <w:rsid w:val="000213D3"/>
    <w:rsid w:val="000216E4"/>
    <w:rsid w:val="00021865"/>
    <w:rsid w:val="000218FD"/>
    <w:rsid w:val="000219CE"/>
    <w:rsid w:val="00021EAD"/>
    <w:rsid w:val="00022624"/>
    <w:rsid w:val="0002287D"/>
    <w:rsid w:val="0002299E"/>
    <w:rsid w:val="0002368B"/>
    <w:rsid w:val="000238FC"/>
    <w:rsid w:val="00023BE8"/>
    <w:rsid w:val="00023C69"/>
    <w:rsid w:val="00023CE7"/>
    <w:rsid w:val="00023F55"/>
    <w:rsid w:val="00024540"/>
    <w:rsid w:val="0002466D"/>
    <w:rsid w:val="00024792"/>
    <w:rsid w:val="0002487B"/>
    <w:rsid w:val="00025234"/>
    <w:rsid w:val="00025634"/>
    <w:rsid w:val="00025773"/>
    <w:rsid w:val="000258AE"/>
    <w:rsid w:val="00025A80"/>
    <w:rsid w:val="00026028"/>
    <w:rsid w:val="0002649E"/>
    <w:rsid w:val="000264EE"/>
    <w:rsid w:val="0002667C"/>
    <w:rsid w:val="000266C1"/>
    <w:rsid w:val="000269E6"/>
    <w:rsid w:val="00026A82"/>
    <w:rsid w:val="00026B8C"/>
    <w:rsid w:val="00026C8A"/>
    <w:rsid w:val="00026C9D"/>
    <w:rsid w:val="00026DF2"/>
    <w:rsid w:val="00026FB9"/>
    <w:rsid w:val="00027154"/>
    <w:rsid w:val="000271C1"/>
    <w:rsid w:val="00027203"/>
    <w:rsid w:val="00027846"/>
    <w:rsid w:val="00027BEA"/>
    <w:rsid w:val="00027E90"/>
    <w:rsid w:val="00027FC6"/>
    <w:rsid w:val="00030342"/>
    <w:rsid w:val="000304E0"/>
    <w:rsid w:val="000305AA"/>
    <w:rsid w:val="000305D2"/>
    <w:rsid w:val="00030787"/>
    <w:rsid w:val="00030974"/>
    <w:rsid w:val="00030ADD"/>
    <w:rsid w:val="000310A3"/>
    <w:rsid w:val="000313AB"/>
    <w:rsid w:val="00031569"/>
    <w:rsid w:val="0003192C"/>
    <w:rsid w:val="000319BD"/>
    <w:rsid w:val="00031A2A"/>
    <w:rsid w:val="00031B02"/>
    <w:rsid w:val="00031B32"/>
    <w:rsid w:val="00031B37"/>
    <w:rsid w:val="00031D13"/>
    <w:rsid w:val="0003225B"/>
    <w:rsid w:val="00032585"/>
    <w:rsid w:val="000325CD"/>
    <w:rsid w:val="00032916"/>
    <w:rsid w:val="00032E7C"/>
    <w:rsid w:val="00032E83"/>
    <w:rsid w:val="00033145"/>
    <w:rsid w:val="00033299"/>
    <w:rsid w:val="000334BB"/>
    <w:rsid w:val="0003354B"/>
    <w:rsid w:val="00033792"/>
    <w:rsid w:val="00033A30"/>
    <w:rsid w:val="00033BE4"/>
    <w:rsid w:val="00033EA0"/>
    <w:rsid w:val="00033EFA"/>
    <w:rsid w:val="00034477"/>
    <w:rsid w:val="00034E44"/>
    <w:rsid w:val="00034FF7"/>
    <w:rsid w:val="0003506E"/>
    <w:rsid w:val="00035102"/>
    <w:rsid w:val="000355CE"/>
    <w:rsid w:val="0003560E"/>
    <w:rsid w:val="00035725"/>
    <w:rsid w:val="00035B36"/>
    <w:rsid w:val="00035C4E"/>
    <w:rsid w:val="00035EF6"/>
    <w:rsid w:val="00035FD4"/>
    <w:rsid w:val="00036011"/>
    <w:rsid w:val="00036045"/>
    <w:rsid w:val="00036250"/>
    <w:rsid w:val="00036340"/>
    <w:rsid w:val="000363CA"/>
    <w:rsid w:val="00036576"/>
    <w:rsid w:val="00036A2C"/>
    <w:rsid w:val="00036A8F"/>
    <w:rsid w:val="00036AE9"/>
    <w:rsid w:val="000370AC"/>
    <w:rsid w:val="0003730A"/>
    <w:rsid w:val="000373C3"/>
    <w:rsid w:val="000378D6"/>
    <w:rsid w:val="00037DF7"/>
    <w:rsid w:val="00037FCA"/>
    <w:rsid w:val="00040061"/>
    <w:rsid w:val="00040488"/>
    <w:rsid w:val="00040666"/>
    <w:rsid w:val="00040972"/>
    <w:rsid w:val="00040C8A"/>
    <w:rsid w:val="00040DED"/>
    <w:rsid w:val="00041349"/>
    <w:rsid w:val="0004136A"/>
    <w:rsid w:val="0004144A"/>
    <w:rsid w:val="00041C59"/>
    <w:rsid w:val="00041FC2"/>
    <w:rsid w:val="000425AC"/>
    <w:rsid w:val="000425B3"/>
    <w:rsid w:val="00042667"/>
    <w:rsid w:val="00042780"/>
    <w:rsid w:val="00042C36"/>
    <w:rsid w:val="00042FAC"/>
    <w:rsid w:val="0004310E"/>
    <w:rsid w:val="00043331"/>
    <w:rsid w:val="00043354"/>
    <w:rsid w:val="0004341A"/>
    <w:rsid w:val="00043465"/>
    <w:rsid w:val="0004386A"/>
    <w:rsid w:val="00043F93"/>
    <w:rsid w:val="00044199"/>
    <w:rsid w:val="0004450D"/>
    <w:rsid w:val="00044C0E"/>
    <w:rsid w:val="00044C39"/>
    <w:rsid w:val="00044DAF"/>
    <w:rsid w:val="00044F25"/>
    <w:rsid w:val="00044F9A"/>
    <w:rsid w:val="00045099"/>
    <w:rsid w:val="00045100"/>
    <w:rsid w:val="0004519B"/>
    <w:rsid w:val="000451CC"/>
    <w:rsid w:val="00045496"/>
    <w:rsid w:val="000454F4"/>
    <w:rsid w:val="00045752"/>
    <w:rsid w:val="00045824"/>
    <w:rsid w:val="000458BF"/>
    <w:rsid w:val="00045E49"/>
    <w:rsid w:val="00045ECC"/>
    <w:rsid w:val="00046238"/>
    <w:rsid w:val="000463B6"/>
    <w:rsid w:val="000465FB"/>
    <w:rsid w:val="00046B58"/>
    <w:rsid w:val="00046B85"/>
    <w:rsid w:val="00046DC9"/>
    <w:rsid w:val="00046F0F"/>
    <w:rsid w:val="000472C4"/>
    <w:rsid w:val="0004741B"/>
    <w:rsid w:val="00047780"/>
    <w:rsid w:val="00047ABD"/>
    <w:rsid w:val="00047BA6"/>
    <w:rsid w:val="00047C2A"/>
    <w:rsid w:val="00047EBD"/>
    <w:rsid w:val="00047EDF"/>
    <w:rsid w:val="00050376"/>
    <w:rsid w:val="0005043A"/>
    <w:rsid w:val="00050462"/>
    <w:rsid w:val="00050618"/>
    <w:rsid w:val="00050F5B"/>
    <w:rsid w:val="00050FB2"/>
    <w:rsid w:val="000510E9"/>
    <w:rsid w:val="000512D3"/>
    <w:rsid w:val="00051317"/>
    <w:rsid w:val="00051641"/>
    <w:rsid w:val="000516A1"/>
    <w:rsid w:val="0005191C"/>
    <w:rsid w:val="00051D8D"/>
    <w:rsid w:val="00051EC9"/>
    <w:rsid w:val="00051EE5"/>
    <w:rsid w:val="00052007"/>
    <w:rsid w:val="000521AA"/>
    <w:rsid w:val="00052335"/>
    <w:rsid w:val="000529D2"/>
    <w:rsid w:val="00052A8F"/>
    <w:rsid w:val="00052B0E"/>
    <w:rsid w:val="00052DE8"/>
    <w:rsid w:val="00053135"/>
    <w:rsid w:val="00053385"/>
    <w:rsid w:val="00053547"/>
    <w:rsid w:val="000535B2"/>
    <w:rsid w:val="00053675"/>
    <w:rsid w:val="000536F6"/>
    <w:rsid w:val="00053730"/>
    <w:rsid w:val="0005381B"/>
    <w:rsid w:val="000539AF"/>
    <w:rsid w:val="00053BDF"/>
    <w:rsid w:val="00053F2C"/>
    <w:rsid w:val="00053FA1"/>
    <w:rsid w:val="000541B1"/>
    <w:rsid w:val="00054AC5"/>
    <w:rsid w:val="00054B0C"/>
    <w:rsid w:val="00054E99"/>
    <w:rsid w:val="00054FFA"/>
    <w:rsid w:val="0005504E"/>
    <w:rsid w:val="00055572"/>
    <w:rsid w:val="000557FF"/>
    <w:rsid w:val="00055D79"/>
    <w:rsid w:val="00055D85"/>
    <w:rsid w:val="00055EBC"/>
    <w:rsid w:val="00056377"/>
    <w:rsid w:val="00056784"/>
    <w:rsid w:val="00056A15"/>
    <w:rsid w:val="00056AA0"/>
    <w:rsid w:val="00056CF9"/>
    <w:rsid w:val="00056D6E"/>
    <w:rsid w:val="00056EFD"/>
    <w:rsid w:val="0005705B"/>
    <w:rsid w:val="00057136"/>
    <w:rsid w:val="00057166"/>
    <w:rsid w:val="000574BF"/>
    <w:rsid w:val="000577AD"/>
    <w:rsid w:val="00057872"/>
    <w:rsid w:val="00057ACD"/>
    <w:rsid w:val="00057C37"/>
    <w:rsid w:val="0006008C"/>
    <w:rsid w:val="000600F3"/>
    <w:rsid w:val="00060161"/>
    <w:rsid w:val="000603F8"/>
    <w:rsid w:val="00060456"/>
    <w:rsid w:val="00060458"/>
    <w:rsid w:val="00060507"/>
    <w:rsid w:val="00060535"/>
    <w:rsid w:val="0006068F"/>
    <w:rsid w:val="00060762"/>
    <w:rsid w:val="000608EB"/>
    <w:rsid w:val="00060BB6"/>
    <w:rsid w:val="00061045"/>
    <w:rsid w:val="0006105F"/>
    <w:rsid w:val="00061294"/>
    <w:rsid w:val="00061423"/>
    <w:rsid w:val="00061436"/>
    <w:rsid w:val="000615AD"/>
    <w:rsid w:val="0006171F"/>
    <w:rsid w:val="0006188A"/>
    <w:rsid w:val="000618E1"/>
    <w:rsid w:val="00061B26"/>
    <w:rsid w:val="00061C65"/>
    <w:rsid w:val="00062446"/>
    <w:rsid w:val="000626B4"/>
    <w:rsid w:val="000626FE"/>
    <w:rsid w:val="0006293E"/>
    <w:rsid w:val="00062C45"/>
    <w:rsid w:val="00062D7F"/>
    <w:rsid w:val="00062DE4"/>
    <w:rsid w:val="00062E20"/>
    <w:rsid w:val="00062EDC"/>
    <w:rsid w:val="000630E4"/>
    <w:rsid w:val="000633DD"/>
    <w:rsid w:val="000635B2"/>
    <w:rsid w:val="00063B10"/>
    <w:rsid w:val="00063B20"/>
    <w:rsid w:val="00063CA7"/>
    <w:rsid w:val="00063D7C"/>
    <w:rsid w:val="00063F65"/>
    <w:rsid w:val="0006401F"/>
    <w:rsid w:val="00064176"/>
    <w:rsid w:val="000643CD"/>
    <w:rsid w:val="000644CC"/>
    <w:rsid w:val="0006453A"/>
    <w:rsid w:val="00064598"/>
    <w:rsid w:val="000648BB"/>
    <w:rsid w:val="000649A9"/>
    <w:rsid w:val="00064BCF"/>
    <w:rsid w:val="00064D2B"/>
    <w:rsid w:val="0006536F"/>
    <w:rsid w:val="00065387"/>
    <w:rsid w:val="00065584"/>
    <w:rsid w:val="000655EF"/>
    <w:rsid w:val="00065A35"/>
    <w:rsid w:val="00065ACE"/>
    <w:rsid w:val="00065C4B"/>
    <w:rsid w:val="00065D2D"/>
    <w:rsid w:val="00065ED7"/>
    <w:rsid w:val="00066DB0"/>
    <w:rsid w:val="00067116"/>
    <w:rsid w:val="000671F1"/>
    <w:rsid w:val="0006744C"/>
    <w:rsid w:val="000678C6"/>
    <w:rsid w:val="0006799C"/>
    <w:rsid w:val="00067A8C"/>
    <w:rsid w:val="00067BFE"/>
    <w:rsid w:val="00067CD3"/>
    <w:rsid w:val="00067DC3"/>
    <w:rsid w:val="00067E60"/>
    <w:rsid w:val="00067EE1"/>
    <w:rsid w:val="00067F9D"/>
    <w:rsid w:val="00067FEB"/>
    <w:rsid w:val="00070244"/>
    <w:rsid w:val="00070698"/>
    <w:rsid w:val="000706A2"/>
    <w:rsid w:val="00070A7D"/>
    <w:rsid w:val="00070AB2"/>
    <w:rsid w:val="00070ACF"/>
    <w:rsid w:val="00070E42"/>
    <w:rsid w:val="00070F8C"/>
    <w:rsid w:val="000711D9"/>
    <w:rsid w:val="000715E3"/>
    <w:rsid w:val="00071888"/>
    <w:rsid w:val="00071A2B"/>
    <w:rsid w:val="00071D28"/>
    <w:rsid w:val="00071E23"/>
    <w:rsid w:val="00071E30"/>
    <w:rsid w:val="00071F12"/>
    <w:rsid w:val="00071F64"/>
    <w:rsid w:val="00071F7D"/>
    <w:rsid w:val="00072098"/>
    <w:rsid w:val="0007214F"/>
    <w:rsid w:val="000722A6"/>
    <w:rsid w:val="0007249B"/>
    <w:rsid w:val="000724FC"/>
    <w:rsid w:val="00072709"/>
    <w:rsid w:val="000727B8"/>
    <w:rsid w:val="00072844"/>
    <w:rsid w:val="00072D65"/>
    <w:rsid w:val="00072D80"/>
    <w:rsid w:val="00072D83"/>
    <w:rsid w:val="00072EA0"/>
    <w:rsid w:val="00072FA3"/>
    <w:rsid w:val="00072FFC"/>
    <w:rsid w:val="00073186"/>
    <w:rsid w:val="000738F2"/>
    <w:rsid w:val="00073D18"/>
    <w:rsid w:val="00073ED8"/>
    <w:rsid w:val="00073EF9"/>
    <w:rsid w:val="000743E0"/>
    <w:rsid w:val="00074873"/>
    <w:rsid w:val="00074ABB"/>
    <w:rsid w:val="00074DB1"/>
    <w:rsid w:val="0007556E"/>
    <w:rsid w:val="00075A13"/>
    <w:rsid w:val="0007622C"/>
    <w:rsid w:val="00076374"/>
    <w:rsid w:val="000766B5"/>
    <w:rsid w:val="00076781"/>
    <w:rsid w:val="0007683E"/>
    <w:rsid w:val="00076877"/>
    <w:rsid w:val="000769BB"/>
    <w:rsid w:val="00076ABE"/>
    <w:rsid w:val="00076D0D"/>
    <w:rsid w:val="00077043"/>
    <w:rsid w:val="00077317"/>
    <w:rsid w:val="00077745"/>
    <w:rsid w:val="00077D3A"/>
    <w:rsid w:val="00077EC6"/>
    <w:rsid w:val="0008005E"/>
    <w:rsid w:val="0008047F"/>
    <w:rsid w:val="00080515"/>
    <w:rsid w:val="00080779"/>
    <w:rsid w:val="000809CD"/>
    <w:rsid w:val="00080AB1"/>
    <w:rsid w:val="00080B10"/>
    <w:rsid w:val="00080B32"/>
    <w:rsid w:val="00080BBF"/>
    <w:rsid w:val="00080D72"/>
    <w:rsid w:val="00080E6D"/>
    <w:rsid w:val="00081133"/>
    <w:rsid w:val="0008119D"/>
    <w:rsid w:val="000811BB"/>
    <w:rsid w:val="00081686"/>
    <w:rsid w:val="0008173B"/>
    <w:rsid w:val="0008176C"/>
    <w:rsid w:val="000817BB"/>
    <w:rsid w:val="0008182B"/>
    <w:rsid w:val="000819A0"/>
    <w:rsid w:val="00081A25"/>
    <w:rsid w:val="00081AA5"/>
    <w:rsid w:val="00081B5F"/>
    <w:rsid w:val="000821B2"/>
    <w:rsid w:val="0008253D"/>
    <w:rsid w:val="000826E2"/>
    <w:rsid w:val="0008278E"/>
    <w:rsid w:val="0008285D"/>
    <w:rsid w:val="00082B20"/>
    <w:rsid w:val="00082F91"/>
    <w:rsid w:val="0008315F"/>
    <w:rsid w:val="0008328B"/>
    <w:rsid w:val="0008331A"/>
    <w:rsid w:val="00083943"/>
    <w:rsid w:val="00083E48"/>
    <w:rsid w:val="00084260"/>
    <w:rsid w:val="000847CF"/>
    <w:rsid w:val="00084BD9"/>
    <w:rsid w:val="00084DCE"/>
    <w:rsid w:val="00085566"/>
    <w:rsid w:val="000857DD"/>
    <w:rsid w:val="00085D22"/>
    <w:rsid w:val="00085EB7"/>
    <w:rsid w:val="00086583"/>
    <w:rsid w:val="000866E2"/>
    <w:rsid w:val="00086C88"/>
    <w:rsid w:val="00086D37"/>
    <w:rsid w:val="00086D59"/>
    <w:rsid w:val="00086DD0"/>
    <w:rsid w:val="00086E2A"/>
    <w:rsid w:val="00086E46"/>
    <w:rsid w:val="0008702F"/>
    <w:rsid w:val="0008710E"/>
    <w:rsid w:val="000875D8"/>
    <w:rsid w:val="000878C0"/>
    <w:rsid w:val="000878FC"/>
    <w:rsid w:val="00087918"/>
    <w:rsid w:val="0008791F"/>
    <w:rsid w:val="0009002C"/>
    <w:rsid w:val="00090104"/>
    <w:rsid w:val="0009017F"/>
    <w:rsid w:val="000907D6"/>
    <w:rsid w:val="0009082D"/>
    <w:rsid w:val="000909C2"/>
    <w:rsid w:val="00090BAE"/>
    <w:rsid w:val="00091082"/>
    <w:rsid w:val="000914BC"/>
    <w:rsid w:val="00091630"/>
    <w:rsid w:val="000916E2"/>
    <w:rsid w:val="00091831"/>
    <w:rsid w:val="00091D5A"/>
    <w:rsid w:val="00091D6A"/>
    <w:rsid w:val="00091E31"/>
    <w:rsid w:val="00091E61"/>
    <w:rsid w:val="00091F5E"/>
    <w:rsid w:val="0009246D"/>
    <w:rsid w:val="000926D4"/>
    <w:rsid w:val="00092753"/>
    <w:rsid w:val="000927FD"/>
    <w:rsid w:val="00092EEF"/>
    <w:rsid w:val="000933F9"/>
    <w:rsid w:val="000935E4"/>
    <w:rsid w:val="00093A10"/>
    <w:rsid w:val="00093AF2"/>
    <w:rsid w:val="00093B73"/>
    <w:rsid w:val="00093BF4"/>
    <w:rsid w:val="00093DC7"/>
    <w:rsid w:val="000943FF"/>
    <w:rsid w:val="000944D7"/>
    <w:rsid w:val="0009450D"/>
    <w:rsid w:val="0009455A"/>
    <w:rsid w:val="00094906"/>
    <w:rsid w:val="000949B8"/>
    <w:rsid w:val="00094A59"/>
    <w:rsid w:val="00094C17"/>
    <w:rsid w:val="00094E0C"/>
    <w:rsid w:val="000951C6"/>
    <w:rsid w:val="0009544E"/>
    <w:rsid w:val="0009549D"/>
    <w:rsid w:val="00095763"/>
    <w:rsid w:val="0009578D"/>
    <w:rsid w:val="00095911"/>
    <w:rsid w:val="00095A5E"/>
    <w:rsid w:val="00095ADA"/>
    <w:rsid w:val="00095DF2"/>
    <w:rsid w:val="00095E92"/>
    <w:rsid w:val="00096030"/>
    <w:rsid w:val="000962DC"/>
    <w:rsid w:val="00096333"/>
    <w:rsid w:val="00096507"/>
    <w:rsid w:val="000968E1"/>
    <w:rsid w:val="000969E7"/>
    <w:rsid w:val="00096AC3"/>
    <w:rsid w:val="00096B88"/>
    <w:rsid w:val="00096F10"/>
    <w:rsid w:val="0009722D"/>
    <w:rsid w:val="000972E1"/>
    <w:rsid w:val="000974D2"/>
    <w:rsid w:val="00097676"/>
    <w:rsid w:val="000976AF"/>
    <w:rsid w:val="000976EF"/>
    <w:rsid w:val="00097710"/>
    <w:rsid w:val="0009776F"/>
    <w:rsid w:val="0009780B"/>
    <w:rsid w:val="00097C7E"/>
    <w:rsid w:val="00097D00"/>
    <w:rsid w:val="000A0436"/>
    <w:rsid w:val="000A06E4"/>
    <w:rsid w:val="000A09FD"/>
    <w:rsid w:val="000A0C7B"/>
    <w:rsid w:val="000A0EB2"/>
    <w:rsid w:val="000A10FE"/>
    <w:rsid w:val="000A1537"/>
    <w:rsid w:val="000A1903"/>
    <w:rsid w:val="000A1C35"/>
    <w:rsid w:val="000A1E49"/>
    <w:rsid w:val="000A1F17"/>
    <w:rsid w:val="000A2205"/>
    <w:rsid w:val="000A24AB"/>
    <w:rsid w:val="000A2567"/>
    <w:rsid w:val="000A26D4"/>
    <w:rsid w:val="000A2947"/>
    <w:rsid w:val="000A2B26"/>
    <w:rsid w:val="000A2DE5"/>
    <w:rsid w:val="000A2E75"/>
    <w:rsid w:val="000A2F61"/>
    <w:rsid w:val="000A2F97"/>
    <w:rsid w:val="000A302A"/>
    <w:rsid w:val="000A3044"/>
    <w:rsid w:val="000A334D"/>
    <w:rsid w:val="000A37EF"/>
    <w:rsid w:val="000A38C7"/>
    <w:rsid w:val="000A3D3A"/>
    <w:rsid w:val="000A3DB6"/>
    <w:rsid w:val="000A3E75"/>
    <w:rsid w:val="000A3FB6"/>
    <w:rsid w:val="000A3FDB"/>
    <w:rsid w:val="000A4026"/>
    <w:rsid w:val="000A4484"/>
    <w:rsid w:val="000A4AC0"/>
    <w:rsid w:val="000A4DC6"/>
    <w:rsid w:val="000A4EF0"/>
    <w:rsid w:val="000A5031"/>
    <w:rsid w:val="000A5143"/>
    <w:rsid w:val="000A520F"/>
    <w:rsid w:val="000A5269"/>
    <w:rsid w:val="000A541C"/>
    <w:rsid w:val="000A54A8"/>
    <w:rsid w:val="000A5551"/>
    <w:rsid w:val="000A59F6"/>
    <w:rsid w:val="000A5B31"/>
    <w:rsid w:val="000A5C9D"/>
    <w:rsid w:val="000A5D76"/>
    <w:rsid w:val="000A5DC8"/>
    <w:rsid w:val="000A62D3"/>
    <w:rsid w:val="000A632D"/>
    <w:rsid w:val="000A6592"/>
    <w:rsid w:val="000A6824"/>
    <w:rsid w:val="000A682C"/>
    <w:rsid w:val="000A6832"/>
    <w:rsid w:val="000A6900"/>
    <w:rsid w:val="000A6941"/>
    <w:rsid w:val="000A6D2D"/>
    <w:rsid w:val="000A6E9E"/>
    <w:rsid w:val="000A70CB"/>
    <w:rsid w:val="000A7350"/>
    <w:rsid w:val="000A77BB"/>
    <w:rsid w:val="000A784A"/>
    <w:rsid w:val="000B0180"/>
    <w:rsid w:val="000B03CE"/>
    <w:rsid w:val="000B05D4"/>
    <w:rsid w:val="000B06B5"/>
    <w:rsid w:val="000B07B5"/>
    <w:rsid w:val="000B0821"/>
    <w:rsid w:val="000B08AF"/>
    <w:rsid w:val="000B09E7"/>
    <w:rsid w:val="000B0C16"/>
    <w:rsid w:val="000B0E08"/>
    <w:rsid w:val="000B0E93"/>
    <w:rsid w:val="000B0FAF"/>
    <w:rsid w:val="000B1124"/>
    <w:rsid w:val="000B1156"/>
    <w:rsid w:val="000B1420"/>
    <w:rsid w:val="000B1426"/>
    <w:rsid w:val="000B17D1"/>
    <w:rsid w:val="000B191C"/>
    <w:rsid w:val="000B1B00"/>
    <w:rsid w:val="000B1B43"/>
    <w:rsid w:val="000B1BDA"/>
    <w:rsid w:val="000B1D18"/>
    <w:rsid w:val="000B1D4A"/>
    <w:rsid w:val="000B1E6B"/>
    <w:rsid w:val="000B2020"/>
    <w:rsid w:val="000B215E"/>
    <w:rsid w:val="000B25A3"/>
    <w:rsid w:val="000B2B21"/>
    <w:rsid w:val="000B2BCD"/>
    <w:rsid w:val="000B3129"/>
    <w:rsid w:val="000B3249"/>
    <w:rsid w:val="000B37E5"/>
    <w:rsid w:val="000B37EF"/>
    <w:rsid w:val="000B3816"/>
    <w:rsid w:val="000B3A04"/>
    <w:rsid w:val="000B3AB1"/>
    <w:rsid w:val="000B3B6A"/>
    <w:rsid w:val="000B3EB2"/>
    <w:rsid w:val="000B3F27"/>
    <w:rsid w:val="000B4015"/>
    <w:rsid w:val="000B42A5"/>
    <w:rsid w:val="000B458D"/>
    <w:rsid w:val="000B470E"/>
    <w:rsid w:val="000B4876"/>
    <w:rsid w:val="000B4B8A"/>
    <w:rsid w:val="000B5340"/>
    <w:rsid w:val="000B53A9"/>
    <w:rsid w:val="000B57FD"/>
    <w:rsid w:val="000B583F"/>
    <w:rsid w:val="000B5AB2"/>
    <w:rsid w:val="000B5B4D"/>
    <w:rsid w:val="000B5F61"/>
    <w:rsid w:val="000B62C4"/>
    <w:rsid w:val="000B6753"/>
    <w:rsid w:val="000B6F3D"/>
    <w:rsid w:val="000B708A"/>
    <w:rsid w:val="000B728A"/>
    <w:rsid w:val="000B7330"/>
    <w:rsid w:val="000B75B1"/>
    <w:rsid w:val="000B77CB"/>
    <w:rsid w:val="000B789A"/>
    <w:rsid w:val="000B7A90"/>
    <w:rsid w:val="000B7BD1"/>
    <w:rsid w:val="000B7D0A"/>
    <w:rsid w:val="000B7FB0"/>
    <w:rsid w:val="000C0071"/>
    <w:rsid w:val="000C0653"/>
    <w:rsid w:val="000C0B23"/>
    <w:rsid w:val="000C0C0E"/>
    <w:rsid w:val="000C130B"/>
    <w:rsid w:val="000C1747"/>
    <w:rsid w:val="000C1900"/>
    <w:rsid w:val="000C196D"/>
    <w:rsid w:val="000C1A4A"/>
    <w:rsid w:val="000C22D2"/>
    <w:rsid w:val="000C2467"/>
    <w:rsid w:val="000C25DD"/>
    <w:rsid w:val="000C2ED2"/>
    <w:rsid w:val="000C3275"/>
    <w:rsid w:val="000C3366"/>
    <w:rsid w:val="000C3720"/>
    <w:rsid w:val="000C3B2B"/>
    <w:rsid w:val="000C3B69"/>
    <w:rsid w:val="000C3C4E"/>
    <w:rsid w:val="000C3E23"/>
    <w:rsid w:val="000C3EC7"/>
    <w:rsid w:val="000C418D"/>
    <w:rsid w:val="000C42DB"/>
    <w:rsid w:val="000C430F"/>
    <w:rsid w:val="000C46F6"/>
    <w:rsid w:val="000C4733"/>
    <w:rsid w:val="000C478D"/>
    <w:rsid w:val="000C4BDB"/>
    <w:rsid w:val="000C50B6"/>
    <w:rsid w:val="000C53CF"/>
    <w:rsid w:val="000C5455"/>
    <w:rsid w:val="000C54EF"/>
    <w:rsid w:val="000C55D4"/>
    <w:rsid w:val="000C56AA"/>
    <w:rsid w:val="000C57A1"/>
    <w:rsid w:val="000C5AFB"/>
    <w:rsid w:val="000C5BA0"/>
    <w:rsid w:val="000C5CC1"/>
    <w:rsid w:val="000C5CCE"/>
    <w:rsid w:val="000C5CD1"/>
    <w:rsid w:val="000C5D9A"/>
    <w:rsid w:val="000C6044"/>
    <w:rsid w:val="000C6114"/>
    <w:rsid w:val="000C645E"/>
    <w:rsid w:val="000C650E"/>
    <w:rsid w:val="000C6693"/>
    <w:rsid w:val="000C6896"/>
    <w:rsid w:val="000C6BA9"/>
    <w:rsid w:val="000C6C5C"/>
    <w:rsid w:val="000C6D3F"/>
    <w:rsid w:val="000C6DCD"/>
    <w:rsid w:val="000C6E9B"/>
    <w:rsid w:val="000C7153"/>
    <w:rsid w:val="000C7517"/>
    <w:rsid w:val="000C7908"/>
    <w:rsid w:val="000C7C9D"/>
    <w:rsid w:val="000C7E4C"/>
    <w:rsid w:val="000C7EA0"/>
    <w:rsid w:val="000D00D4"/>
    <w:rsid w:val="000D01D8"/>
    <w:rsid w:val="000D02A4"/>
    <w:rsid w:val="000D05C1"/>
    <w:rsid w:val="000D0722"/>
    <w:rsid w:val="000D0A34"/>
    <w:rsid w:val="000D0F3D"/>
    <w:rsid w:val="000D1377"/>
    <w:rsid w:val="000D164A"/>
    <w:rsid w:val="000D1710"/>
    <w:rsid w:val="000D171C"/>
    <w:rsid w:val="000D17CE"/>
    <w:rsid w:val="000D19CA"/>
    <w:rsid w:val="000D1A66"/>
    <w:rsid w:val="000D1BA4"/>
    <w:rsid w:val="000D1F15"/>
    <w:rsid w:val="000D23EA"/>
    <w:rsid w:val="000D242B"/>
    <w:rsid w:val="000D2AF3"/>
    <w:rsid w:val="000D2C11"/>
    <w:rsid w:val="000D2E79"/>
    <w:rsid w:val="000D2F30"/>
    <w:rsid w:val="000D2F46"/>
    <w:rsid w:val="000D2F5E"/>
    <w:rsid w:val="000D30A8"/>
    <w:rsid w:val="000D3131"/>
    <w:rsid w:val="000D337C"/>
    <w:rsid w:val="000D339A"/>
    <w:rsid w:val="000D37C5"/>
    <w:rsid w:val="000D381A"/>
    <w:rsid w:val="000D3878"/>
    <w:rsid w:val="000D3BB8"/>
    <w:rsid w:val="000D3F7B"/>
    <w:rsid w:val="000D403E"/>
    <w:rsid w:val="000D411E"/>
    <w:rsid w:val="000D4123"/>
    <w:rsid w:val="000D451D"/>
    <w:rsid w:val="000D4977"/>
    <w:rsid w:val="000D4E24"/>
    <w:rsid w:val="000D53A6"/>
    <w:rsid w:val="000D5741"/>
    <w:rsid w:val="000D575F"/>
    <w:rsid w:val="000D5838"/>
    <w:rsid w:val="000D5D9F"/>
    <w:rsid w:val="000D5DE9"/>
    <w:rsid w:val="000D62D1"/>
    <w:rsid w:val="000D6542"/>
    <w:rsid w:val="000D667F"/>
    <w:rsid w:val="000D6ACB"/>
    <w:rsid w:val="000D6BAE"/>
    <w:rsid w:val="000D6C6C"/>
    <w:rsid w:val="000D733A"/>
    <w:rsid w:val="000D739C"/>
    <w:rsid w:val="000D74C2"/>
    <w:rsid w:val="000D7720"/>
    <w:rsid w:val="000D7A02"/>
    <w:rsid w:val="000D7AC7"/>
    <w:rsid w:val="000D7DF7"/>
    <w:rsid w:val="000D7EF6"/>
    <w:rsid w:val="000E038A"/>
    <w:rsid w:val="000E03DB"/>
    <w:rsid w:val="000E03F6"/>
    <w:rsid w:val="000E0501"/>
    <w:rsid w:val="000E0540"/>
    <w:rsid w:val="000E07C3"/>
    <w:rsid w:val="000E0CBA"/>
    <w:rsid w:val="000E0D5E"/>
    <w:rsid w:val="000E10D3"/>
    <w:rsid w:val="000E14CE"/>
    <w:rsid w:val="000E15C4"/>
    <w:rsid w:val="000E18B7"/>
    <w:rsid w:val="000E1A1E"/>
    <w:rsid w:val="000E1D5F"/>
    <w:rsid w:val="000E1E50"/>
    <w:rsid w:val="000E1E8D"/>
    <w:rsid w:val="000E1F4A"/>
    <w:rsid w:val="000E1F67"/>
    <w:rsid w:val="000E2099"/>
    <w:rsid w:val="000E20B4"/>
    <w:rsid w:val="000E20BB"/>
    <w:rsid w:val="000E2167"/>
    <w:rsid w:val="000E217D"/>
    <w:rsid w:val="000E22AA"/>
    <w:rsid w:val="000E2484"/>
    <w:rsid w:val="000E2B2E"/>
    <w:rsid w:val="000E2EC2"/>
    <w:rsid w:val="000E30E2"/>
    <w:rsid w:val="000E329B"/>
    <w:rsid w:val="000E33A0"/>
    <w:rsid w:val="000E3660"/>
    <w:rsid w:val="000E36BB"/>
    <w:rsid w:val="000E42BA"/>
    <w:rsid w:val="000E43F4"/>
    <w:rsid w:val="000E4412"/>
    <w:rsid w:val="000E44A6"/>
    <w:rsid w:val="000E4672"/>
    <w:rsid w:val="000E4B55"/>
    <w:rsid w:val="000E4EC9"/>
    <w:rsid w:val="000E5023"/>
    <w:rsid w:val="000E51C4"/>
    <w:rsid w:val="000E5212"/>
    <w:rsid w:val="000E53EA"/>
    <w:rsid w:val="000E56C1"/>
    <w:rsid w:val="000E56FF"/>
    <w:rsid w:val="000E599C"/>
    <w:rsid w:val="000E59E8"/>
    <w:rsid w:val="000E5D6A"/>
    <w:rsid w:val="000E5E85"/>
    <w:rsid w:val="000E6BFB"/>
    <w:rsid w:val="000E6CD8"/>
    <w:rsid w:val="000E6F18"/>
    <w:rsid w:val="000E7324"/>
    <w:rsid w:val="000E7436"/>
    <w:rsid w:val="000E74BC"/>
    <w:rsid w:val="000E7739"/>
    <w:rsid w:val="000E79DF"/>
    <w:rsid w:val="000E7A5F"/>
    <w:rsid w:val="000E7C06"/>
    <w:rsid w:val="000E7C9B"/>
    <w:rsid w:val="000E7E01"/>
    <w:rsid w:val="000F0265"/>
    <w:rsid w:val="000F0942"/>
    <w:rsid w:val="000F0AE3"/>
    <w:rsid w:val="000F0B48"/>
    <w:rsid w:val="000F104B"/>
    <w:rsid w:val="000F1460"/>
    <w:rsid w:val="000F14E5"/>
    <w:rsid w:val="000F1516"/>
    <w:rsid w:val="000F164C"/>
    <w:rsid w:val="000F1690"/>
    <w:rsid w:val="000F16DE"/>
    <w:rsid w:val="000F1708"/>
    <w:rsid w:val="000F1759"/>
    <w:rsid w:val="000F1A15"/>
    <w:rsid w:val="000F1A80"/>
    <w:rsid w:val="000F1DA4"/>
    <w:rsid w:val="000F1FCF"/>
    <w:rsid w:val="000F223C"/>
    <w:rsid w:val="000F22AE"/>
    <w:rsid w:val="000F2315"/>
    <w:rsid w:val="000F25BA"/>
    <w:rsid w:val="000F2B6F"/>
    <w:rsid w:val="000F2CC5"/>
    <w:rsid w:val="000F3023"/>
    <w:rsid w:val="000F305B"/>
    <w:rsid w:val="000F30B7"/>
    <w:rsid w:val="000F3330"/>
    <w:rsid w:val="000F3482"/>
    <w:rsid w:val="000F348D"/>
    <w:rsid w:val="000F3797"/>
    <w:rsid w:val="000F3BDD"/>
    <w:rsid w:val="000F3CDB"/>
    <w:rsid w:val="000F3D3C"/>
    <w:rsid w:val="000F3F57"/>
    <w:rsid w:val="000F412A"/>
    <w:rsid w:val="000F4445"/>
    <w:rsid w:val="000F44E8"/>
    <w:rsid w:val="000F4519"/>
    <w:rsid w:val="000F4608"/>
    <w:rsid w:val="000F4D90"/>
    <w:rsid w:val="000F4E56"/>
    <w:rsid w:val="000F4E5F"/>
    <w:rsid w:val="000F5096"/>
    <w:rsid w:val="000F54C8"/>
    <w:rsid w:val="000F5650"/>
    <w:rsid w:val="000F5756"/>
    <w:rsid w:val="000F5938"/>
    <w:rsid w:val="000F5981"/>
    <w:rsid w:val="000F5986"/>
    <w:rsid w:val="000F5DE9"/>
    <w:rsid w:val="000F5F17"/>
    <w:rsid w:val="000F5F99"/>
    <w:rsid w:val="000F5FEB"/>
    <w:rsid w:val="000F6367"/>
    <w:rsid w:val="000F652F"/>
    <w:rsid w:val="000F6668"/>
    <w:rsid w:val="000F6A00"/>
    <w:rsid w:val="000F6D32"/>
    <w:rsid w:val="000F6D76"/>
    <w:rsid w:val="000F76FD"/>
    <w:rsid w:val="000F775B"/>
    <w:rsid w:val="000F77F3"/>
    <w:rsid w:val="000F7D3E"/>
    <w:rsid w:val="000F7DAD"/>
    <w:rsid w:val="001000B7"/>
    <w:rsid w:val="001001A0"/>
    <w:rsid w:val="001002A9"/>
    <w:rsid w:val="00100374"/>
    <w:rsid w:val="001005E4"/>
    <w:rsid w:val="00100890"/>
    <w:rsid w:val="00100F53"/>
    <w:rsid w:val="00101934"/>
    <w:rsid w:val="00101C54"/>
    <w:rsid w:val="00101DFD"/>
    <w:rsid w:val="00101EAB"/>
    <w:rsid w:val="00101EC3"/>
    <w:rsid w:val="00101F6E"/>
    <w:rsid w:val="00102069"/>
    <w:rsid w:val="001020A5"/>
    <w:rsid w:val="00102162"/>
    <w:rsid w:val="00102235"/>
    <w:rsid w:val="0010232A"/>
    <w:rsid w:val="00102469"/>
    <w:rsid w:val="00102658"/>
    <w:rsid w:val="00102B0E"/>
    <w:rsid w:val="00102BFF"/>
    <w:rsid w:val="00103040"/>
    <w:rsid w:val="00103424"/>
    <w:rsid w:val="0010360F"/>
    <w:rsid w:val="0010369F"/>
    <w:rsid w:val="001036B1"/>
    <w:rsid w:val="001037B6"/>
    <w:rsid w:val="00103A27"/>
    <w:rsid w:val="00103EF9"/>
    <w:rsid w:val="00104316"/>
    <w:rsid w:val="0010483D"/>
    <w:rsid w:val="001048D7"/>
    <w:rsid w:val="001049B2"/>
    <w:rsid w:val="001049DF"/>
    <w:rsid w:val="00104ADA"/>
    <w:rsid w:val="00104C8F"/>
    <w:rsid w:val="00104CE2"/>
    <w:rsid w:val="00104E83"/>
    <w:rsid w:val="00104F42"/>
    <w:rsid w:val="00105575"/>
    <w:rsid w:val="001055F2"/>
    <w:rsid w:val="001056A9"/>
    <w:rsid w:val="00105B48"/>
    <w:rsid w:val="00105E2B"/>
    <w:rsid w:val="00105F5C"/>
    <w:rsid w:val="00105FE4"/>
    <w:rsid w:val="001063D8"/>
    <w:rsid w:val="001064C5"/>
    <w:rsid w:val="00106996"/>
    <w:rsid w:val="00106A0D"/>
    <w:rsid w:val="00106AE3"/>
    <w:rsid w:val="00106E00"/>
    <w:rsid w:val="00106F52"/>
    <w:rsid w:val="00106F7D"/>
    <w:rsid w:val="00107332"/>
    <w:rsid w:val="0010753D"/>
    <w:rsid w:val="001075FD"/>
    <w:rsid w:val="001079A1"/>
    <w:rsid w:val="001079AE"/>
    <w:rsid w:val="00107A36"/>
    <w:rsid w:val="00107CA9"/>
    <w:rsid w:val="001104E8"/>
    <w:rsid w:val="001105D7"/>
    <w:rsid w:val="001105E0"/>
    <w:rsid w:val="001105F9"/>
    <w:rsid w:val="00110A66"/>
    <w:rsid w:val="00110D9D"/>
    <w:rsid w:val="00110E79"/>
    <w:rsid w:val="00110F34"/>
    <w:rsid w:val="001110BF"/>
    <w:rsid w:val="00111377"/>
    <w:rsid w:val="001113B9"/>
    <w:rsid w:val="0011161E"/>
    <w:rsid w:val="00111864"/>
    <w:rsid w:val="00111C42"/>
    <w:rsid w:val="00111C47"/>
    <w:rsid w:val="00111F74"/>
    <w:rsid w:val="001121D3"/>
    <w:rsid w:val="001124BB"/>
    <w:rsid w:val="001124DA"/>
    <w:rsid w:val="0011265F"/>
    <w:rsid w:val="001126CE"/>
    <w:rsid w:val="00112981"/>
    <w:rsid w:val="00112B3C"/>
    <w:rsid w:val="001131F1"/>
    <w:rsid w:val="001132A2"/>
    <w:rsid w:val="001132EA"/>
    <w:rsid w:val="0011350B"/>
    <w:rsid w:val="00113BAC"/>
    <w:rsid w:val="00113C3F"/>
    <w:rsid w:val="00113CE8"/>
    <w:rsid w:val="00113E65"/>
    <w:rsid w:val="0011428E"/>
    <w:rsid w:val="001143FF"/>
    <w:rsid w:val="0011475E"/>
    <w:rsid w:val="0011487F"/>
    <w:rsid w:val="00114A56"/>
    <w:rsid w:val="00114AA0"/>
    <w:rsid w:val="00114B21"/>
    <w:rsid w:val="00114B7C"/>
    <w:rsid w:val="00114C32"/>
    <w:rsid w:val="00114DDD"/>
    <w:rsid w:val="00114E45"/>
    <w:rsid w:val="00114EDB"/>
    <w:rsid w:val="00114F3A"/>
    <w:rsid w:val="00115022"/>
    <w:rsid w:val="00115329"/>
    <w:rsid w:val="001153A1"/>
    <w:rsid w:val="00115547"/>
    <w:rsid w:val="001155BD"/>
    <w:rsid w:val="00115626"/>
    <w:rsid w:val="00115931"/>
    <w:rsid w:val="00115AB8"/>
    <w:rsid w:val="00115B84"/>
    <w:rsid w:val="00115CB0"/>
    <w:rsid w:val="00116009"/>
    <w:rsid w:val="00116114"/>
    <w:rsid w:val="001166AC"/>
    <w:rsid w:val="001167F8"/>
    <w:rsid w:val="00116812"/>
    <w:rsid w:val="00116A69"/>
    <w:rsid w:val="00116D43"/>
    <w:rsid w:val="00117460"/>
    <w:rsid w:val="00117705"/>
    <w:rsid w:val="00117AEA"/>
    <w:rsid w:val="00117B3B"/>
    <w:rsid w:val="00117CAD"/>
    <w:rsid w:val="00117E12"/>
    <w:rsid w:val="00117F0E"/>
    <w:rsid w:val="0012006B"/>
    <w:rsid w:val="001200D2"/>
    <w:rsid w:val="00120165"/>
    <w:rsid w:val="00120239"/>
    <w:rsid w:val="001209DF"/>
    <w:rsid w:val="00120C44"/>
    <w:rsid w:val="00120CE5"/>
    <w:rsid w:val="0012100E"/>
    <w:rsid w:val="001210DC"/>
    <w:rsid w:val="001211CF"/>
    <w:rsid w:val="001212B4"/>
    <w:rsid w:val="0012154F"/>
    <w:rsid w:val="00121F86"/>
    <w:rsid w:val="00122116"/>
    <w:rsid w:val="00122248"/>
    <w:rsid w:val="0012225A"/>
    <w:rsid w:val="0012230E"/>
    <w:rsid w:val="00122A0A"/>
    <w:rsid w:val="00122C7A"/>
    <w:rsid w:val="00122E90"/>
    <w:rsid w:val="00122F1D"/>
    <w:rsid w:val="0012325F"/>
    <w:rsid w:val="001232D6"/>
    <w:rsid w:val="001235CD"/>
    <w:rsid w:val="00123875"/>
    <w:rsid w:val="00123F61"/>
    <w:rsid w:val="00123FBF"/>
    <w:rsid w:val="00123FE3"/>
    <w:rsid w:val="0012407A"/>
    <w:rsid w:val="0012419C"/>
    <w:rsid w:val="0012464C"/>
    <w:rsid w:val="0012470A"/>
    <w:rsid w:val="00124B56"/>
    <w:rsid w:val="00124B64"/>
    <w:rsid w:val="001253BB"/>
    <w:rsid w:val="0012557A"/>
    <w:rsid w:val="001256DF"/>
    <w:rsid w:val="001257A5"/>
    <w:rsid w:val="00125A75"/>
    <w:rsid w:val="00126434"/>
    <w:rsid w:val="0012643F"/>
    <w:rsid w:val="001264AA"/>
    <w:rsid w:val="001265A0"/>
    <w:rsid w:val="0012664A"/>
    <w:rsid w:val="001267FE"/>
    <w:rsid w:val="001268D8"/>
    <w:rsid w:val="00126A42"/>
    <w:rsid w:val="00126C78"/>
    <w:rsid w:val="00126E5B"/>
    <w:rsid w:val="00127581"/>
    <w:rsid w:val="00127600"/>
    <w:rsid w:val="00127B8F"/>
    <w:rsid w:val="00127E05"/>
    <w:rsid w:val="00127F58"/>
    <w:rsid w:val="00127FB7"/>
    <w:rsid w:val="00127FD6"/>
    <w:rsid w:val="0013005A"/>
    <w:rsid w:val="0013048E"/>
    <w:rsid w:val="00130758"/>
    <w:rsid w:val="00130A76"/>
    <w:rsid w:val="00131047"/>
    <w:rsid w:val="00131085"/>
    <w:rsid w:val="00131196"/>
    <w:rsid w:val="001311A4"/>
    <w:rsid w:val="001311FC"/>
    <w:rsid w:val="0013149F"/>
    <w:rsid w:val="0013178D"/>
    <w:rsid w:val="001318FA"/>
    <w:rsid w:val="00131BB0"/>
    <w:rsid w:val="00131C59"/>
    <w:rsid w:val="001325B5"/>
    <w:rsid w:val="00132704"/>
    <w:rsid w:val="0013297F"/>
    <w:rsid w:val="00132B1D"/>
    <w:rsid w:val="00132BEA"/>
    <w:rsid w:val="00132D6B"/>
    <w:rsid w:val="00132D9D"/>
    <w:rsid w:val="00133164"/>
    <w:rsid w:val="0013319A"/>
    <w:rsid w:val="001333B7"/>
    <w:rsid w:val="001333E0"/>
    <w:rsid w:val="00133653"/>
    <w:rsid w:val="0013369D"/>
    <w:rsid w:val="00133E27"/>
    <w:rsid w:val="00133ED0"/>
    <w:rsid w:val="00134149"/>
    <w:rsid w:val="00134433"/>
    <w:rsid w:val="00134605"/>
    <w:rsid w:val="00134623"/>
    <w:rsid w:val="0013498B"/>
    <w:rsid w:val="00134D77"/>
    <w:rsid w:val="00134DDC"/>
    <w:rsid w:val="001352D8"/>
    <w:rsid w:val="00135315"/>
    <w:rsid w:val="0013532B"/>
    <w:rsid w:val="00135399"/>
    <w:rsid w:val="001353B8"/>
    <w:rsid w:val="00135533"/>
    <w:rsid w:val="001355C4"/>
    <w:rsid w:val="0013564A"/>
    <w:rsid w:val="001356C8"/>
    <w:rsid w:val="001359C3"/>
    <w:rsid w:val="00135A20"/>
    <w:rsid w:val="00135D9F"/>
    <w:rsid w:val="00135DFC"/>
    <w:rsid w:val="00135F12"/>
    <w:rsid w:val="00135F44"/>
    <w:rsid w:val="00136102"/>
    <w:rsid w:val="00136144"/>
    <w:rsid w:val="0013627B"/>
    <w:rsid w:val="001362AF"/>
    <w:rsid w:val="0013644E"/>
    <w:rsid w:val="0013650F"/>
    <w:rsid w:val="0013659A"/>
    <w:rsid w:val="00136731"/>
    <w:rsid w:val="0013685E"/>
    <w:rsid w:val="001368B4"/>
    <w:rsid w:val="0013693C"/>
    <w:rsid w:val="00136966"/>
    <w:rsid w:val="00136C56"/>
    <w:rsid w:val="00136C9E"/>
    <w:rsid w:val="0013719B"/>
    <w:rsid w:val="001373B3"/>
    <w:rsid w:val="0013743F"/>
    <w:rsid w:val="00137473"/>
    <w:rsid w:val="001375A1"/>
    <w:rsid w:val="001378C8"/>
    <w:rsid w:val="001378F5"/>
    <w:rsid w:val="00137F82"/>
    <w:rsid w:val="0014003E"/>
    <w:rsid w:val="001400CE"/>
    <w:rsid w:val="00140281"/>
    <w:rsid w:val="00140290"/>
    <w:rsid w:val="00140295"/>
    <w:rsid w:val="0014030C"/>
    <w:rsid w:val="001403E4"/>
    <w:rsid w:val="0014053E"/>
    <w:rsid w:val="00140555"/>
    <w:rsid w:val="001405DF"/>
    <w:rsid w:val="00140727"/>
    <w:rsid w:val="00140894"/>
    <w:rsid w:val="00140920"/>
    <w:rsid w:val="0014095A"/>
    <w:rsid w:val="00140B37"/>
    <w:rsid w:val="00140BF7"/>
    <w:rsid w:val="00140E2A"/>
    <w:rsid w:val="00140EB5"/>
    <w:rsid w:val="00141460"/>
    <w:rsid w:val="001416CB"/>
    <w:rsid w:val="001418F0"/>
    <w:rsid w:val="001419D0"/>
    <w:rsid w:val="00141B07"/>
    <w:rsid w:val="00141E1A"/>
    <w:rsid w:val="00141E67"/>
    <w:rsid w:val="00142084"/>
    <w:rsid w:val="001421F5"/>
    <w:rsid w:val="00142607"/>
    <w:rsid w:val="0014272F"/>
    <w:rsid w:val="001428A1"/>
    <w:rsid w:val="00142A84"/>
    <w:rsid w:val="00142B0B"/>
    <w:rsid w:val="00142C58"/>
    <w:rsid w:val="00142D4E"/>
    <w:rsid w:val="00142EBC"/>
    <w:rsid w:val="00142EBE"/>
    <w:rsid w:val="00143129"/>
    <w:rsid w:val="00143204"/>
    <w:rsid w:val="00143239"/>
    <w:rsid w:val="0014324F"/>
    <w:rsid w:val="001433EB"/>
    <w:rsid w:val="001434AC"/>
    <w:rsid w:val="0014352C"/>
    <w:rsid w:val="00143680"/>
    <w:rsid w:val="00143C53"/>
    <w:rsid w:val="00143EF3"/>
    <w:rsid w:val="00143F4D"/>
    <w:rsid w:val="001440AF"/>
    <w:rsid w:val="0014436C"/>
    <w:rsid w:val="0014440F"/>
    <w:rsid w:val="00144562"/>
    <w:rsid w:val="00144627"/>
    <w:rsid w:val="00144683"/>
    <w:rsid w:val="00144797"/>
    <w:rsid w:val="001447F5"/>
    <w:rsid w:val="001449EA"/>
    <w:rsid w:val="00144A9B"/>
    <w:rsid w:val="00144BB7"/>
    <w:rsid w:val="001450BC"/>
    <w:rsid w:val="00145315"/>
    <w:rsid w:val="00145545"/>
    <w:rsid w:val="00145A3E"/>
    <w:rsid w:val="00145C14"/>
    <w:rsid w:val="00145C9F"/>
    <w:rsid w:val="00146137"/>
    <w:rsid w:val="0014619A"/>
    <w:rsid w:val="001462A7"/>
    <w:rsid w:val="00146563"/>
    <w:rsid w:val="001469B3"/>
    <w:rsid w:val="00146B7F"/>
    <w:rsid w:val="00146C17"/>
    <w:rsid w:val="00146D95"/>
    <w:rsid w:val="00146EA1"/>
    <w:rsid w:val="00146F95"/>
    <w:rsid w:val="00147059"/>
    <w:rsid w:val="0014707D"/>
    <w:rsid w:val="00147279"/>
    <w:rsid w:val="00147447"/>
    <w:rsid w:val="001477EC"/>
    <w:rsid w:val="00147855"/>
    <w:rsid w:val="001479D8"/>
    <w:rsid w:val="00147B86"/>
    <w:rsid w:val="00147E57"/>
    <w:rsid w:val="00147EE8"/>
    <w:rsid w:val="00150025"/>
    <w:rsid w:val="001503F4"/>
    <w:rsid w:val="00150689"/>
    <w:rsid w:val="0015075C"/>
    <w:rsid w:val="001508B2"/>
    <w:rsid w:val="00150A73"/>
    <w:rsid w:val="00150BB0"/>
    <w:rsid w:val="00150BC8"/>
    <w:rsid w:val="00150D3C"/>
    <w:rsid w:val="00150F32"/>
    <w:rsid w:val="001510E5"/>
    <w:rsid w:val="0015119F"/>
    <w:rsid w:val="001511AA"/>
    <w:rsid w:val="001511F1"/>
    <w:rsid w:val="001512F7"/>
    <w:rsid w:val="001514D8"/>
    <w:rsid w:val="00151553"/>
    <w:rsid w:val="001516C6"/>
    <w:rsid w:val="001516E7"/>
    <w:rsid w:val="0015172A"/>
    <w:rsid w:val="00151CCC"/>
    <w:rsid w:val="00152295"/>
    <w:rsid w:val="00152425"/>
    <w:rsid w:val="001525C2"/>
    <w:rsid w:val="001527E9"/>
    <w:rsid w:val="00152853"/>
    <w:rsid w:val="00152C9B"/>
    <w:rsid w:val="00152D21"/>
    <w:rsid w:val="00152EAE"/>
    <w:rsid w:val="00152F1E"/>
    <w:rsid w:val="001532A0"/>
    <w:rsid w:val="0015358E"/>
    <w:rsid w:val="0015379A"/>
    <w:rsid w:val="0015394F"/>
    <w:rsid w:val="00153BBF"/>
    <w:rsid w:val="00153FC2"/>
    <w:rsid w:val="00154022"/>
    <w:rsid w:val="0015428B"/>
    <w:rsid w:val="00154787"/>
    <w:rsid w:val="00154849"/>
    <w:rsid w:val="00154987"/>
    <w:rsid w:val="00154B0C"/>
    <w:rsid w:val="001550B0"/>
    <w:rsid w:val="0015530E"/>
    <w:rsid w:val="0015542E"/>
    <w:rsid w:val="0015548C"/>
    <w:rsid w:val="00155614"/>
    <w:rsid w:val="00155877"/>
    <w:rsid w:val="001558E7"/>
    <w:rsid w:val="0015596B"/>
    <w:rsid w:val="00155B14"/>
    <w:rsid w:val="00155B18"/>
    <w:rsid w:val="00155BA4"/>
    <w:rsid w:val="00155D6F"/>
    <w:rsid w:val="00155FB3"/>
    <w:rsid w:val="001563EA"/>
    <w:rsid w:val="00156493"/>
    <w:rsid w:val="00156496"/>
    <w:rsid w:val="00156581"/>
    <w:rsid w:val="001565D0"/>
    <w:rsid w:val="00156711"/>
    <w:rsid w:val="001568E4"/>
    <w:rsid w:val="001569B2"/>
    <w:rsid w:val="00156C73"/>
    <w:rsid w:val="00156CFF"/>
    <w:rsid w:val="00156EFA"/>
    <w:rsid w:val="0015717A"/>
    <w:rsid w:val="001572EA"/>
    <w:rsid w:val="0015730F"/>
    <w:rsid w:val="00157332"/>
    <w:rsid w:val="001577A5"/>
    <w:rsid w:val="00157809"/>
    <w:rsid w:val="00157867"/>
    <w:rsid w:val="001579F1"/>
    <w:rsid w:val="00157A0F"/>
    <w:rsid w:val="00157D03"/>
    <w:rsid w:val="00157D9C"/>
    <w:rsid w:val="00157E49"/>
    <w:rsid w:val="00160330"/>
    <w:rsid w:val="001603DD"/>
    <w:rsid w:val="00160475"/>
    <w:rsid w:val="00160811"/>
    <w:rsid w:val="00160CE7"/>
    <w:rsid w:val="00160D75"/>
    <w:rsid w:val="00160F57"/>
    <w:rsid w:val="00161261"/>
    <w:rsid w:val="00161413"/>
    <w:rsid w:val="001617F0"/>
    <w:rsid w:val="00161989"/>
    <w:rsid w:val="00161A83"/>
    <w:rsid w:val="00161A8D"/>
    <w:rsid w:val="00161E2C"/>
    <w:rsid w:val="00161F0E"/>
    <w:rsid w:val="00161F9D"/>
    <w:rsid w:val="00162046"/>
    <w:rsid w:val="00162237"/>
    <w:rsid w:val="001622FD"/>
    <w:rsid w:val="001623EB"/>
    <w:rsid w:val="001628E6"/>
    <w:rsid w:val="00162988"/>
    <w:rsid w:val="00162C4B"/>
    <w:rsid w:val="00162FA4"/>
    <w:rsid w:val="00163097"/>
    <w:rsid w:val="0016327C"/>
    <w:rsid w:val="00163529"/>
    <w:rsid w:val="00163594"/>
    <w:rsid w:val="0016373D"/>
    <w:rsid w:val="001638AF"/>
    <w:rsid w:val="001639FB"/>
    <w:rsid w:val="00163A4A"/>
    <w:rsid w:val="00164004"/>
    <w:rsid w:val="0016424F"/>
    <w:rsid w:val="0016461F"/>
    <w:rsid w:val="00164654"/>
    <w:rsid w:val="001647E4"/>
    <w:rsid w:val="00164B90"/>
    <w:rsid w:val="00164C36"/>
    <w:rsid w:val="00164CB5"/>
    <w:rsid w:val="001650D9"/>
    <w:rsid w:val="001653E8"/>
    <w:rsid w:val="00165412"/>
    <w:rsid w:val="0016549F"/>
    <w:rsid w:val="001654F5"/>
    <w:rsid w:val="001656E9"/>
    <w:rsid w:val="00165964"/>
    <w:rsid w:val="00165A4F"/>
    <w:rsid w:val="00165A8F"/>
    <w:rsid w:val="00165AD3"/>
    <w:rsid w:val="00165B97"/>
    <w:rsid w:val="00165D16"/>
    <w:rsid w:val="00165D6F"/>
    <w:rsid w:val="00165DB5"/>
    <w:rsid w:val="00165E52"/>
    <w:rsid w:val="001662DF"/>
    <w:rsid w:val="0016645E"/>
    <w:rsid w:val="00166619"/>
    <w:rsid w:val="00166831"/>
    <w:rsid w:val="00166BE2"/>
    <w:rsid w:val="00166D71"/>
    <w:rsid w:val="001670F1"/>
    <w:rsid w:val="00167286"/>
    <w:rsid w:val="001674DF"/>
    <w:rsid w:val="00167D02"/>
    <w:rsid w:val="00167D84"/>
    <w:rsid w:val="00170055"/>
    <w:rsid w:val="001704DC"/>
    <w:rsid w:val="00170555"/>
    <w:rsid w:val="001706E1"/>
    <w:rsid w:val="00170748"/>
    <w:rsid w:val="001707B3"/>
    <w:rsid w:val="0017086E"/>
    <w:rsid w:val="001711D4"/>
    <w:rsid w:val="00171701"/>
    <w:rsid w:val="00171968"/>
    <w:rsid w:val="00171B18"/>
    <w:rsid w:val="00171D3F"/>
    <w:rsid w:val="00171F36"/>
    <w:rsid w:val="00171FB3"/>
    <w:rsid w:val="00171FC5"/>
    <w:rsid w:val="0017225F"/>
    <w:rsid w:val="0017235A"/>
    <w:rsid w:val="0017242B"/>
    <w:rsid w:val="00172BF2"/>
    <w:rsid w:val="00172D3C"/>
    <w:rsid w:val="00172D49"/>
    <w:rsid w:val="00172DB6"/>
    <w:rsid w:val="0017301B"/>
    <w:rsid w:val="001730C9"/>
    <w:rsid w:val="00173112"/>
    <w:rsid w:val="00173144"/>
    <w:rsid w:val="00173303"/>
    <w:rsid w:val="00173399"/>
    <w:rsid w:val="00173645"/>
    <w:rsid w:val="00173663"/>
    <w:rsid w:val="001740F1"/>
    <w:rsid w:val="00174358"/>
    <w:rsid w:val="0017470C"/>
    <w:rsid w:val="0017480D"/>
    <w:rsid w:val="0017490B"/>
    <w:rsid w:val="00174BF9"/>
    <w:rsid w:val="0017553B"/>
    <w:rsid w:val="001756F5"/>
    <w:rsid w:val="00175C91"/>
    <w:rsid w:val="00175F18"/>
    <w:rsid w:val="00176198"/>
    <w:rsid w:val="00176245"/>
    <w:rsid w:val="0017633A"/>
    <w:rsid w:val="001765D2"/>
    <w:rsid w:val="0017677A"/>
    <w:rsid w:val="0017686E"/>
    <w:rsid w:val="001769CE"/>
    <w:rsid w:val="00176A59"/>
    <w:rsid w:val="00176D04"/>
    <w:rsid w:val="00176D7A"/>
    <w:rsid w:val="00176DF3"/>
    <w:rsid w:val="00176FDA"/>
    <w:rsid w:val="00177151"/>
    <w:rsid w:val="0017737B"/>
    <w:rsid w:val="001773C3"/>
    <w:rsid w:val="0017757C"/>
    <w:rsid w:val="00177807"/>
    <w:rsid w:val="00177911"/>
    <w:rsid w:val="00177C01"/>
    <w:rsid w:val="001800B5"/>
    <w:rsid w:val="00180152"/>
    <w:rsid w:val="0018025A"/>
    <w:rsid w:val="0018046B"/>
    <w:rsid w:val="0018049B"/>
    <w:rsid w:val="0018052B"/>
    <w:rsid w:val="00180621"/>
    <w:rsid w:val="001806B0"/>
    <w:rsid w:val="00180758"/>
    <w:rsid w:val="00180BD4"/>
    <w:rsid w:val="00180F50"/>
    <w:rsid w:val="00180FB7"/>
    <w:rsid w:val="001810AF"/>
    <w:rsid w:val="001811C5"/>
    <w:rsid w:val="00181615"/>
    <w:rsid w:val="00181BBC"/>
    <w:rsid w:val="00181F02"/>
    <w:rsid w:val="001821A9"/>
    <w:rsid w:val="0018222B"/>
    <w:rsid w:val="00182260"/>
    <w:rsid w:val="001824E5"/>
    <w:rsid w:val="0018276E"/>
    <w:rsid w:val="00182AD4"/>
    <w:rsid w:val="00182D35"/>
    <w:rsid w:val="001831E1"/>
    <w:rsid w:val="0018321A"/>
    <w:rsid w:val="0018338E"/>
    <w:rsid w:val="00183401"/>
    <w:rsid w:val="00183434"/>
    <w:rsid w:val="0018351D"/>
    <w:rsid w:val="00183530"/>
    <w:rsid w:val="00183A52"/>
    <w:rsid w:val="00183AA7"/>
    <w:rsid w:val="00183B5C"/>
    <w:rsid w:val="00184014"/>
    <w:rsid w:val="00184205"/>
    <w:rsid w:val="0018420D"/>
    <w:rsid w:val="00184446"/>
    <w:rsid w:val="00184499"/>
    <w:rsid w:val="00184592"/>
    <w:rsid w:val="00184609"/>
    <w:rsid w:val="00184738"/>
    <w:rsid w:val="0018475F"/>
    <w:rsid w:val="00184842"/>
    <w:rsid w:val="00184B7A"/>
    <w:rsid w:val="00184D49"/>
    <w:rsid w:val="00184F21"/>
    <w:rsid w:val="0018517D"/>
    <w:rsid w:val="0018522F"/>
    <w:rsid w:val="001852B1"/>
    <w:rsid w:val="001852FB"/>
    <w:rsid w:val="001854C0"/>
    <w:rsid w:val="001856F0"/>
    <w:rsid w:val="001857AA"/>
    <w:rsid w:val="001858DD"/>
    <w:rsid w:val="001859B6"/>
    <w:rsid w:val="00185C9A"/>
    <w:rsid w:val="00185DC4"/>
    <w:rsid w:val="00185EB1"/>
    <w:rsid w:val="0018638C"/>
    <w:rsid w:val="001868A2"/>
    <w:rsid w:val="00186976"/>
    <w:rsid w:val="00186B0D"/>
    <w:rsid w:val="00186CD2"/>
    <w:rsid w:val="00186F85"/>
    <w:rsid w:val="00186FD3"/>
    <w:rsid w:val="0018706C"/>
    <w:rsid w:val="00187110"/>
    <w:rsid w:val="001871A5"/>
    <w:rsid w:val="00187306"/>
    <w:rsid w:val="00187407"/>
    <w:rsid w:val="00187C61"/>
    <w:rsid w:val="001902B9"/>
    <w:rsid w:val="001902D0"/>
    <w:rsid w:val="001906B1"/>
    <w:rsid w:val="0019076C"/>
    <w:rsid w:val="0019085A"/>
    <w:rsid w:val="001908CC"/>
    <w:rsid w:val="00190F5B"/>
    <w:rsid w:val="0019101F"/>
    <w:rsid w:val="001910B0"/>
    <w:rsid w:val="0019152B"/>
    <w:rsid w:val="001915B6"/>
    <w:rsid w:val="001915C3"/>
    <w:rsid w:val="001916C7"/>
    <w:rsid w:val="001916F2"/>
    <w:rsid w:val="0019172F"/>
    <w:rsid w:val="001917E1"/>
    <w:rsid w:val="00191932"/>
    <w:rsid w:val="00191D93"/>
    <w:rsid w:val="00191F14"/>
    <w:rsid w:val="00191F23"/>
    <w:rsid w:val="001922A8"/>
    <w:rsid w:val="00192517"/>
    <w:rsid w:val="0019262B"/>
    <w:rsid w:val="0019286A"/>
    <w:rsid w:val="00192A31"/>
    <w:rsid w:val="00192AA7"/>
    <w:rsid w:val="00192CEA"/>
    <w:rsid w:val="00192E5C"/>
    <w:rsid w:val="00192F5D"/>
    <w:rsid w:val="00193577"/>
    <w:rsid w:val="001938AB"/>
    <w:rsid w:val="0019394F"/>
    <w:rsid w:val="001939E1"/>
    <w:rsid w:val="00193AC5"/>
    <w:rsid w:val="00193D34"/>
    <w:rsid w:val="00193F6E"/>
    <w:rsid w:val="00193F91"/>
    <w:rsid w:val="00193FCF"/>
    <w:rsid w:val="00194072"/>
    <w:rsid w:val="00194095"/>
    <w:rsid w:val="00194138"/>
    <w:rsid w:val="001943C2"/>
    <w:rsid w:val="0019478B"/>
    <w:rsid w:val="00194D6E"/>
    <w:rsid w:val="00195019"/>
    <w:rsid w:val="00195131"/>
    <w:rsid w:val="00195475"/>
    <w:rsid w:val="00195792"/>
    <w:rsid w:val="00195805"/>
    <w:rsid w:val="00195AD6"/>
    <w:rsid w:val="00195C36"/>
    <w:rsid w:val="00195C46"/>
    <w:rsid w:val="00195C86"/>
    <w:rsid w:val="00195F3F"/>
    <w:rsid w:val="00196001"/>
    <w:rsid w:val="00196021"/>
    <w:rsid w:val="0019602D"/>
    <w:rsid w:val="001960C2"/>
    <w:rsid w:val="001960F7"/>
    <w:rsid w:val="0019680C"/>
    <w:rsid w:val="00196881"/>
    <w:rsid w:val="00196A1B"/>
    <w:rsid w:val="00196EF0"/>
    <w:rsid w:val="0019709E"/>
    <w:rsid w:val="0019713D"/>
    <w:rsid w:val="0019746A"/>
    <w:rsid w:val="001978D3"/>
    <w:rsid w:val="001979FB"/>
    <w:rsid w:val="00197AD0"/>
    <w:rsid w:val="00197AE3"/>
    <w:rsid w:val="00197BBE"/>
    <w:rsid w:val="00197E9C"/>
    <w:rsid w:val="00197EF4"/>
    <w:rsid w:val="001A00DE"/>
    <w:rsid w:val="001A0296"/>
    <w:rsid w:val="001A048F"/>
    <w:rsid w:val="001A05C6"/>
    <w:rsid w:val="001A0754"/>
    <w:rsid w:val="001A0BFF"/>
    <w:rsid w:val="001A0CB1"/>
    <w:rsid w:val="001A0E12"/>
    <w:rsid w:val="001A0E1D"/>
    <w:rsid w:val="001A0EB0"/>
    <w:rsid w:val="001A1112"/>
    <w:rsid w:val="001A120B"/>
    <w:rsid w:val="001A131B"/>
    <w:rsid w:val="001A18F2"/>
    <w:rsid w:val="001A1BC9"/>
    <w:rsid w:val="001A1C07"/>
    <w:rsid w:val="001A1E0B"/>
    <w:rsid w:val="001A1E51"/>
    <w:rsid w:val="001A2089"/>
    <w:rsid w:val="001A210B"/>
    <w:rsid w:val="001A21F3"/>
    <w:rsid w:val="001A246E"/>
    <w:rsid w:val="001A246F"/>
    <w:rsid w:val="001A28D0"/>
    <w:rsid w:val="001A28EC"/>
    <w:rsid w:val="001A2C5C"/>
    <w:rsid w:val="001A2C62"/>
    <w:rsid w:val="001A2D33"/>
    <w:rsid w:val="001A2E22"/>
    <w:rsid w:val="001A3177"/>
    <w:rsid w:val="001A3441"/>
    <w:rsid w:val="001A377A"/>
    <w:rsid w:val="001A382B"/>
    <w:rsid w:val="001A39D9"/>
    <w:rsid w:val="001A39EF"/>
    <w:rsid w:val="001A3DF8"/>
    <w:rsid w:val="001A4023"/>
    <w:rsid w:val="001A4030"/>
    <w:rsid w:val="001A412F"/>
    <w:rsid w:val="001A41BF"/>
    <w:rsid w:val="001A44E7"/>
    <w:rsid w:val="001A4547"/>
    <w:rsid w:val="001A4744"/>
    <w:rsid w:val="001A499D"/>
    <w:rsid w:val="001A49ED"/>
    <w:rsid w:val="001A4F4F"/>
    <w:rsid w:val="001A4F96"/>
    <w:rsid w:val="001A50FC"/>
    <w:rsid w:val="001A5203"/>
    <w:rsid w:val="001A57A5"/>
    <w:rsid w:val="001A5C18"/>
    <w:rsid w:val="001A5C5A"/>
    <w:rsid w:val="001A5CFF"/>
    <w:rsid w:val="001A5ED2"/>
    <w:rsid w:val="001A68AA"/>
    <w:rsid w:val="001A6A58"/>
    <w:rsid w:val="001A6A9E"/>
    <w:rsid w:val="001A6B20"/>
    <w:rsid w:val="001A6B91"/>
    <w:rsid w:val="001A6C16"/>
    <w:rsid w:val="001A6EF8"/>
    <w:rsid w:val="001A6FC8"/>
    <w:rsid w:val="001A70F3"/>
    <w:rsid w:val="001A7249"/>
    <w:rsid w:val="001A735C"/>
    <w:rsid w:val="001A74AF"/>
    <w:rsid w:val="001A763F"/>
    <w:rsid w:val="001A76D5"/>
    <w:rsid w:val="001A7809"/>
    <w:rsid w:val="001A7C78"/>
    <w:rsid w:val="001B0029"/>
    <w:rsid w:val="001B00A0"/>
    <w:rsid w:val="001B02BF"/>
    <w:rsid w:val="001B042A"/>
    <w:rsid w:val="001B0491"/>
    <w:rsid w:val="001B09E6"/>
    <w:rsid w:val="001B0A80"/>
    <w:rsid w:val="001B0BB6"/>
    <w:rsid w:val="001B0DB1"/>
    <w:rsid w:val="001B0E60"/>
    <w:rsid w:val="001B1053"/>
    <w:rsid w:val="001B10FC"/>
    <w:rsid w:val="001B11C0"/>
    <w:rsid w:val="001B1267"/>
    <w:rsid w:val="001B132A"/>
    <w:rsid w:val="001B1627"/>
    <w:rsid w:val="001B1782"/>
    <w:rsid w:val="001B1E0F"/>
    <w:rsid w:val="001B1E53"/>
    <w:rsid w:val="001B1F4B"/>
    <w:rsid w:val="001B2136"/>
    <w:rsid w:val="001B25B6"/>
    <w:rsid w:val="001B2875"/>
    <w:rsid w:val="001B2CD2"/>
    <w:rsid w:val="001B2F06"/>
    <w:rsid w:val="001B30D4"/>
    <w:rsid w:val="001B3106"/>
    <w:rsid w:val="001B318A"/>
    <w:rsid w:val="001B3501"/>
    <w:rsid w:val="001B3A8F"/>
    <w:rsid w:val="001B3AF8"/>
    <w:rsid w:val="001B3EA4"/>
    <w:rsid w:val="001B4269"/>
    <w:rsid w:val="001B47D4"/>
    <w:rsid w:val="001B49D2"/>
    <w:rsid w:val="001B51E4"/>
    <w:rsid w:val="001B5421"/>
    <w:rsid w:val="001B54BD"/>
    <w:rsid w:val="001B573C"/>
    <w:rsid w:val="001B57EC"/>
    <w:rsid w:val="001B59E4"/>
    <w:rsid w:val="001B5A03"/>
    <w:rsid w:val="001B5A1C"/>
    <w:rsid w:val="001B5AEB"/>
    <w:rsid w:val="001B5B47"/>
    <w:rsid w:val="001B5BB4"/>
    <w:rsid w:val="001B6009"/>
    <w:rsid w:val="001B6251"/>
    <w:rsid w:val="001B67C2"/>
    <w:rsid w:val="001B68FB"/>
    <w:rsid w:val="001B6BA9"/>
    <w:rsid w:val="001B6E66"/>
    <w:rsid w:val="001B71C0"/>
    <w:rsid w:val="001B72DA"/>
    <w:rsid w:val="001B7437"/>
    <w:rsid w:val="001B762D"/>
    <w:rsid w:val="001B7692"/>
    <w:rsid w:val="001B7834"/>
    <w:rsid w:val="001B7C3C"/>
    <w:rsid w:val="001B7D88"/>
    <w:rsid w:val="001C0063"/>
    <w:rsid w:val="001C0201"/>
    <w:rsid w:val="001C02A6"/>
    <w:rsid w:val="001C0448"/>
    <w:rsid w:val="001C0491"/>
    <w:rsid w:val="001C0568"/>
    <w:rsid w:val="001C05F3"/>
    <w:rsid w:val="001C0879"/>
    <w:rsid w:val="001C0B26"/>
    <w:rsid w:val="001C0CF2"/>
    <w:rsid w:val="001C0D22"/>
    <w:rsid w:val="001C0EB3"/>
    <w:rsid w:val="001C0EDB"/>
    <w:rsid w:val="001C125B"/>
    <w:rsid w:val="001C13CE"/>
    <w:rsid w:val="001C1628"/>
    <w:rsid w:val="001C168E"/>
    <w:rsid w:val="001C175B"/>
    <w:rsid w:val="001C19A6"/>
    <w:rsid w:val="001C1B5B"/>
    <w:rsid w:val="001C1D2A"/>
    <w:rsid w:val="001C1D4E"/>
    <w:rsid w:val="001C1ED0"/>
    <w:rsid w:val="001C1EF2"/>
    <w:rsid w:val="001C2088"/>
    <w:rsid w:val="001C20CB"/>
    <w:rsid w:val="001C2114"/>
    <w:rsid w:val="001C21C5"/>
    <w:rsid w:val="001C21C6"/>
    <w:rsid w:val="001C21D5"/>
    <w:rsid w:val="001C23BF"/>
    <w:rsid w:val="001C28D7"/>
    <w:rsid w:val="001C294E"/>
    <w:rsid w:val="001C2A60"/>
    <w:rsid w:val="001C2AD7"/>
    <w:rsid w:val="001C2B8D"/>
    <w:rsid w:val="001C3403"/>
    <w:rsid w:val="001C3426"/>
    <w:rsid w:val="001C34AB"/>
    <w:rsid w:val="001C34FC"/>
    <w:rsid w:val="001C35EC"/>
    <w:rsid w:val="001C3691"/>
    <w:rsid w:val="001C379C"/>
    <w:rsid w:val="001C39D4"/>
    <w:rsid w:val="001C39ED"/>
    <w:rsid w:val="001C3BD7"/>
    <w:rsid w:val="001C3CF9"/>
    <w:rsid w:val="001C3F80"/>
    <w:rsid w:val="001C42B0"/>
    <w:rsid w:val="001C42FA"/>
    <w:rsid w:val="001C4419"/>
    <w:rsid w:val="001C44D9"/>
    <w:rsid w:val="001C465F"/>
    <w:rsid w:val="001C47CB"/>
    <w:rsid w:val="001C488A"/>
    <w:rsid w:val="001C4A49"/>
    <w:rsid w:val="001C4B0D"/>
    <w:rsid w:val="001C4D83"/>
    <w:rsid w:val="001C51DE"/>
    <w:rsid w:val="001C53CB"/>
    <w:rsid w:val="001C5697"/>
    <w:rsid w:val="001C588E"/>
    <w:rsid w:val="001C5AD2"/>
    <w:rsid w:val="001C5F9E"/>
    <w:rsid w:val="001C6922"/>
    <w:rsid w:val="001C6A8E"/>
    <w:rsid w:val="001C6EB8"/>
    <w:rsid w:val="001C6F36"/>
    <w:rsid w:val="001C6FB6"/>
    <w:rsid w:val="001C717C"/>
    <w:rsid w:val="001C774E"/>
    <w:rsid w:val="001C7847"/>
    <w:rsid w:val="001C7986"/>
    <w:rsid w:val="001C7B43"/>
    <w:rsid w:val="001C7B60"/>
    <w:rsid w:val="001C7D53"/>
    <w:rsid w:val="001C7F52"/>
    <w:rsid w:val="001D018D"/>
    <w:rsid w:val="001D0250"/>
    <w:rsid w:val="001D04D1"/>
    <w:rsid w:val="001D07DB"/>
    <w:rsid w:val="001D083E"/>
    <w:rsid w:val="001D086E"/>
    <w:rsid w:val="001D0994"/>
    <w:rsid w:val="001D0BAB"/>
    <w:rsid w:val="001D0BE5"/>
    <w:rsid w:val="001D0E17"/>
    <w:rsid w:val="001D0FAA"/>
    <w:rsid w:val="001D1174"/>
    <w:rsid w:val="001D158E"/>
    <w:rsid w:val="001D1613"/>
    <w:rsid w:val="001D1697"/>
    <w:rsid w:val="001D16DA"/>
    <w:rsid w:val="001D17D7"/>
    <w:rsid w:val="001D1843"/>
    <w:rsid w:val="001D1B25"/>
    <w:rsid w:val="001D1BE8"/>
    <w:rsid w:val="001D1F64"/>
    <w:rsid w:val="001D22D0"/>
    <w:rsid w:val="001D247A"/>
    <w:rsid w:val="001D24B8"/>
    <w:rsid w:val="001D25D5"/>
    <w:rsid w:val="001D261C"/>
    <w:rsid w:val="001D2882"/>
    <w:rsid w:val="001D2892"/>
    <w:rsid w:val="001D2969"/>
    <w:rsid w:val="001D29CA"/>
    <w:rsid w:val="001D2A6F"/>
    <w:rsid w:val="001D2CD5"/>
    <w:rsid w:val="001D3425"/>
    <w:rsid w:val="001D34DF"/>
    <w:rsid w:val="001D3527"/>
    <w:rsid w:val="001D36C3"/>
    <w:rsid w:val="001D3A10"/>
    <w:rsid w:val="001D3B84"/>
    <w:rsid w:val="001D3C60"/>
    <w:rsid w:val="001D3D4A"/>
    <w:rsid w:val="001D3D78"/>
    <w:rsid w:val="001D3F20"/>
    <w:rsid w:val="001D3FD9"/>
    <w:rsid w:val="001D41BF"/>
    <w:rsid w:val="001D4464"/>
    <w:rsid w:val="001D44FA"/>
    <w:rsid w:val="001D465B"/>
    <w:rsid w:val="001D46B4"/>
    <w:rsid w:val="001D4D3C"/>
    <w:rsid w:val="001D5000"/>
    <w:rsid w:val="001D50EB"/>
    <w:rsid w:val="001D531F"/>
    <w:rsid w:val="001D5583"/>
    <w:rsid w:val="001D5668"/>
    <w:rsid w:val="001D571D"/>
    <w:rsid w:val="001D5A71"/>
    <w:rsid w:val="001D5CCE"/>
    <w:rsid w:val="001D5DA2"/>
    <w:rsid w:val="001D5E02"/>
    <w:rsid w:val="001D5E50"/>
    <w:rsid w:val="001D5FA4"/>
    <w:rsid w:val="001D61FC"/>
    <w:rsid w:val="001D63C7"/>
    <w:rsid w:val="001D6582"/>
    <w:rsid w:val="001D662F"/>
    <w:rsid w:val="001D66D4"/>
    <w:rsid w:val="001D6A55"/>
    <w:rsid w:val="001D6A67"/>
    <w:rsid w:val="001D7058"/>
    <w:rsid w:val="001D725B"/>
    <w:rsid w:val="001D742C"/>
    <w:rsid w:val="001D74DC"/>
    <w:rsid w:val="001D7B27"/>
    <w:rsid w:val="001D7BD4"/>
    <w:rsid w:val="001D7CB2"/>
    <w:rsid w:val="001D7DBB"/>
    <w:rsid w:val="001D7E1E"/>
    <w:rsid w:val="001D7E9B"/>
    <w:rsid w:val="001E0550"/>
    <w:rsid w:val="001E05AB"/>
    <w:rsid w:val="001E0A27"/>
    <w:rsid w:val="001E0C42"/>
    <w:rsid w:val="001E0C7F"/>
    <w:rsid w:val="001E112C"/>
    <w:rsid w:val="001E12A5"/>
    <w:rsid w:val="001E13EC"/>
    <w:rsid w:val="001E143F"/>
    <w:rsid w:val="001E152B"/>
    <w:rsid w:val="001E16AB"/>
    <w:rsid w:val="001E177D"/>
    <w:rsid w:val="001E184E"/>
    <w:rsid w:val="001E187C"/>
    <w:rsid w:val="001E1AB6"/>
    <w:rsid w:val="001E1CA9"/>
    <w:rsid w:val="001E1E28"/>
    <w:rsid w:val="001E1EEC"/>
    <w:rsid w:val="001E1FD3"/>
    <w:rsid w:val="001E204E"/>
    <w:rsid w:val="001E2814"/>
    <w:rsid w:val="001E2A12"/>
    <w:rsid w:val="001E2A42"/>
    <w:rsid w:val="001E323E"/>
    <w:rsid w:val="001E3265"/>
    <w:rsid w:val="001E3272"/>
    <w:rsid w:val="001E3A50"/>
    <w:rsid w:val="001E3CA1"/>
    <w:rsid w:val="001E3D0E"/>
    <w:rsid w:val="001E3EB3"/>
    <w:rsid w:val="001E43C6"/>
    <w:rsid w:val="001E45DB"/>
    <w:rsid w:val="001E47DD"/>
    <w:rsid w:val="001E48D7"/>
    <w:rsid w:val="001E49F7"/>
    <w:rsid w:val="001E4CBE"/>
    <w:rsid w:val="001E4E91"/>
    <w:rsid w:val="001E54D2"/>
    <w:rsid w:val="001E5512"/>
    <w:rsid w:val="001E5548"/>
    <w:rsid w:val="001E56EA"/>
    <w:rsid w:val="001E5984"/>
    <w:rsid w:val="001E5A3A"/>
    <w:rsid w:val="001E5A5E"/>
    <w:rsid w:val="001E5AD9"/>
    <w:rsid w:val="001E5AF8"/>
    <w:rsid w:val="001E60FC"/>
    <w:rsid w:val="001E64C2"/>
    <w:rsid w:val="001E650C"/>
    <w:rsid w:val="001E66FF"/>
    <w:rsid w:val="001E6AB6"/>
    <w:rsid w:val="001E6B97"/>
    <w:rsid w:val="001E7227"/>
    <w:rsid w:val="001E738A"/>
    <w:rsid w:val="001E73C6"/>
    <w:rsid w:val="001E73D5"/>
    <w:rsid w:val="001E755E"/>
    <w:rsid w:val="001E765D"/>
    <w:rsid w:val="001E78C4"/>
    <w:rsid w:val="001E7D2B"/>
    <w:rsid w:val="001F000B"/>
    <w:rsid w:val="001F02F2"/>
    <w:rsid w:val="001F0342"/>
    <w:rsid w:val="001F087D"/>
    <w:rsid w:val="001F0A40"/>
    <w:rsid w:val="001F0F57"/>
    <w:rsid w:val="001F0F89"/>
    <w:rsid w:val="001F105B"/>
    <w:rsid w:val="001F115A"/>
    <w:rsid w:val="001F1258"/>
    <w:rsid w:val="001F134A"/>
    <w:rsid w:val="001F15FD"/>
    <w:rsid w:val="001F198C"/>
    <w:rsid w:val="001F1A2A"/>
    <w:rsid w:val="001F1D0D"/>
    <w:rsid w:val="001F1D2E"/>
    <w:rsid w:val="001F20C6"/>
    <w:rsid w:val="001F215F"/>
    <w:rsid w:val="001F2166"/>
    <w:rsid w:val="001F2453"/>
    <w:rsid w:val="001F26A6"/>
    <w:rsid w:val="001F2843"/>
    <w:rsid w:val="001F2D68"/>
    <w:rsid w:val="001F321A"/>
    <w:rsid w:val="001F346B"/>
    <w:rsid w:val="001F37FB"/>
    <w:rsid w:val="001F3A13"/>
    <w:rsid w:val="001F3BFD"/>
    <w:rsid w:val="001F3DED"/>
    <w:rsid w:val="001F40FE"/>
    <w:rsid w:val="001F42E4"/>
    <w:rsid w:val="001F4544"/>
    <w:rsid w:val="001F45FE"/>
    <w:rsid w:val="001F4966"/>
    <w:rsid w:val="001F4990"/>
    <w:rsid w:val="001F4B49"/>
    <w:rsid w:val="001F4BFF"/>
    <w:rsid w:val="001F4EA5"/>
    <w:rsid w:val="001F533B"/>
    <w:rsid w:val="001F5341"/>
    <w:rsid w:val="001F536C"/>
    <w:rsid w:val="001F580D"/>
    <w:rsid w:val="001F5980"/>
    <w:rsid w:val="001F5A09"/>
    <w:rsid w:val="001F5B32"/>
    <w:rsid w:val="001F5B3C"/>
    <w:rsid w:val="001F5DFE"/>
    <w:rsid w:val="001F625C"/>
    <w:rsid w:val="001F64A2"/>
    <w:rsid w:val="001F6A1E"/>
    <w:rsid w:val="001F6A47"/>
    <w:rsid w:val="001F6AF9"/>
    <w:rsid w:val="001F6DFF"/>
    <w:rsid w:val="001F6F3C"/>
    <w:rsid w:val="001F6FDA"/>
    <w:rsid w:val="001F70DE"/>
    <w:rsid w:val="001F77A6"/>
    <w:rsid w:val="001F7D34"/>
    <w:rsid w:val="001F7D8C"/>
    <w:rsid w:val="00200026"/>
    <w:rsid w:val="0020002D"/>
    <w:rsid w:val="002000DC"/>
    <w:rsid w:val="002002DC"/>
    <w:rsid w:val="00200402"/>
    <w:rsid w:val="00200547"/>
    <w:rsid w:val="002006BE"/>
    <w:rsid w:val="0020076F"/>
    <w:rsid w:val="002008CC"/>
    <w:rsid w:val="002008F7"/>
    <w:rsid w:val="00200AC8"/>
    <w:rsid w:val="00200BAD"/>
    <w:rsid w:val="00200CB0"/>
    <w:rsid w:val="00200D4E"/>
    <w:rsid w:val="00201150"/>
    <w:rsid w:val="002012AC"/>
    <w:rsid w:val="0020144E"/>
    <w:rsid w:val="0020162F"/>
    <w:rsid w:val="00201641"/>
    <w:rsid w:val="00201825"/>
    <w:rsid w:val="00201879"/>
    <w:rsid w:val="00201B3F"/>
    <w:rsid w:val="00201B7D"/>
    <w:rsid w:val="00201BA5"/>
    <w:rsid w:val="00201CDC"/>
    <w:rsid w:val="00201E2A"/>
    <w:rsid w:val="00201F42"/>
    <w:rsid w:val="002021AD"/>
    <w:rsid w:val="002021BF"/>
    <w:rsid w:val="0020236A"/>
    <w:rsid w:val="00202492"/>
    <w:rsid w:val="002024DB"/>
    <w:rsid w:val="0020271A"/>
    <w:rsid w:val="0020299E"/>
    <w:rsid w:val="00202E32"/>
    <w:rsid w:val="00202F81"/>
    <w:rsid w:val="00203075"/>
    <w:rsid w:val="002035C2"/>
    <w:rsid w:val="002036CD"/>
    <w:rsid w:val="002036ED"/>
    <w:rsid w:val="0020372C"/>
    <w:rsid w:val="002039AC"/>
    <w:rsid w:val="00203EF0"/>
    <w:rsid w:val="00204056"/>
    <w:rsid w:val="002040A0"/>
    <w:rsid w:val="00204192"/>
    <w:rsid w:val="002041B8"/>
    <w:rsid w:val="00204B1F"/>
    <w:rsid w:val="00204C5F"/>
    <w:rsid w:val="00204EBA"/>
    <w:rsid w:val="00204F8A"/>
    <w:rsid w:val="00204FB7"/>
    <w:rsid w:val="00205299"/>
    <w:rsid w:val="002052C8"/>
    <w:rsid w:val="0020544D"/>
    <w:rsid w:val="002054F5"/>
    <w:rsid w:val="00205669"/>
    <w:rsid w:val="00205C67"/>
    <w:rsid w:val="002060FD"/>
    <w:rsid w:val="0020611E"/>
    <w:rsid w:val="00206154"/>
    <w:rsid w:val="002061D7"/>
    <w:rsid w:val="002061E1"/>
    <w:rsid w:val="002062D4"/>
    <w:rsid w:val="0020637A"/>
    <w:rsid w:val="00206419"/>
    <w:rsid w:val="00206455"/>
    <w:rsid w:val="0020658E"/>
    <w:rsid w:val="0020667C"/>
    <w:rsid w:val="00206698"/>
    <w:rsid w:val="0020679B"/>
    <w:rsid w:val="0020680A"/>
    <w:rsid w:val="00206880"/>
    <w:rsid w:val="002068CF"/>
    <w:rsid w:val="00206D88"/>
    <w:rsid w:val="00206FC0"/>
    <w:rsid w:val="00207116"/>
    <w:rsid w:val="00207344"/>
    <w:rsid w:val="00207557"/>
    <w:rsid w:val="00207880"/>
    <w:rsid w:val="00207A56"/>
    <w:rsid w:val="00207ACB"/>
    <w:rsid w:val="00207BF5"/>
    <w:rsid w:val="00207C95"/>
    <w:rsid w:val="00207FEB"/>
    <w:rsid w:val="0021010D"/>
    <w:rsid w:val="00210298"/>
    <w:rsid w:val="002102A6"/>
    <w:rsid w:val="0021041F"/>
    <w:rsid w:val="00210592"/>
    <w:rsid w:val="00210938"/>
    <w:rsid w:val="00210A08"/>
    <w:rsid w:val="00210B0A"/>
    <w:rsid w:val="00210DF3"/>
    <w:rsid w:val="00211178"/>
    <w:rsid w:val="00211452"/>
    <w:rsid w:val="00211513"/>
    <w:rsid w:val="00211628"/>
    <w:rsid w:val="00211AF8"/>
    <w:rsid w:val="00211C9F"/>
    <w:rsid w:val="00211D69"/>
    <w:rsid w:val="00211FB5"/>
    <w:rsid w:val="00212049"/>
    <w:rsid w:val="0021230B"/>
    <w:rsid w:val="00212800"/>
    <w:rsid w:val="00212A76"/>
    <w:rsid w:val="00212A83"/>
    <w:rsid w:val="00212E39"/>
    <w:rsid w:val="00212F24"/>
    <w:rsid w:val="00213095"/>
    <w:rsid w:val="0021322C"/>
    <w:rsid w:val="002134ED"/>
    <w:rsid w:val="0021360D"/>
    <w:rsid w:val="00213B73"/>
    <w:rsid w:val="00213BBB"/>
    <w:rsid w:val="00213C1B"/>
    <w:rsid w:val="00213E6B"/>
    <w:rsid w:val="00213FC2"/>
    <w:rsid w:val="00213FCE"/>
    <w:rsid w:val="00214188"/>
    <w:rsid w:val="00214734"/>
    <w:rsid w:val="00214837"/>
    <w:rsid w:val="00214AA5"/>
    <w:rsid w:val="00214D64"/>
    <w:rsid w:val="00214F03"/>
    <w:rsid w:val="00215056"/>
    <w:rsid w:val="00215275"/>
    <w:rsid w:val="0021558D"/>
    <w:rsid w:val="002158AA"/>
    <w:rsid w:val="002158BC"/>
    <w:rsid w:val="00215C9A"/>
    <w:rsid w:val="00215DF7"/>
    <w:rsid w:val="00215E17"/>
    <w:rsid w:val="00215E1D"/>
    <w:rsid w:val="00215F70"/>
    <w:rsid w:val="00215FD8"/>
    <w:rsid w:val="00216062"/>
    <w:rsid w:val="002164CB"/>
    <w:rsid w:val="002166ED"/>
    <w:rsid w:val="0021686A"/>
    <w:rsid w:val="0021691C"/>
    <w:rsid w:val="00216A07"/>
    <w:rsid w:val="00216D66"/>
    <w:rsid w:val="00216E8D"/>
    <w:rsid w:val="0021752B"/>
    <w:rsid w:val="0021756F"/>
    <w:rsid w:val="002175C3"/>
    <w:rsid w:val="002176DE"/>
    <w:rsid w:val="00217782"/>
    <w:rsid w:val="00217975"/>
    <w:rsid w:val="00217AEB"/>
    <w:rsid w:val="00217D8A"/>
    <w:rsid w:val="00217DA6"/>
    <w:rsid w:val="00217E47"/>
    <w:rsid w:val="00220108"/>
    <w:rsid w:val="002202C1"/>
    <w:rsid w:val="00220621"/>
    <w:rsid w:val="002206BF"/>
    <w:rsid w:val="0022073D"/>
    <w:rsid w:val="00220744"/>
    <w:rsid w:val="00220963"/>
    <w:rsid w:val="00220C8A"/>
    <w:rsid w:val="00220CBC"/>
    <w:rsid w:val="00220CEF"/>
    <w:rsid w:val="002212A5"/>
    <w:rsid w:val="00221A08"/>
    <w:rsid w:val="00221B50"/>
    <w:rsid w:val="00221CEF"/>
    <w:rsid w:val="00221D60"/>
    <w:rsid w:val="00221EAF"/>
    <w:rsid w:val="00221FCE"/>
    <w:rsid w:val="0022238E"/>
    <w:rsid w:val="002223D8"/>
    <w:rsid w:val="0022243B"/>
    <w:rsid w:val="00222519"/>
    <w:rsid w:val="002226A4"/>
    <w:rsid w:val="002226AF"/>
    <w:rsid w:val="00222858"/>
    <w:rsid w:val="002228CA"/>
    <w:rsid w:val="002229F8"/>
    <w:rsid w:val="00222A67"/>
    <w:rsid w:val="00222CCF"/>
    <w:rsid w:val="00222E4B"/>
    <w:rsid w:val="00222E88"/>
    <w:rsid w:val="00222EB8"/>
    <w:rsid w:val="00222EDB"/>
    <w:rsid w:val="002230A3"/>
    <w:rsid w:val="00223B37"/>
    <w:rsid w:val="00223BE0"/>
    <w:rsid w:val="00223C86"/>
    <w:rsid w:val="00223D0E"/>
    <w:rsid w:val="00223D95"/>
    <w:rsid w:val="00223E7C"/>
    <w:rsid w:val="002240AA"/>
    <w:rsid w:val="0022465A"/>
    <w:rsid w:val="00224802"/>
    <w:rsid w:val="0022499C"/>
    <w:rsid w:val="00224B91"/>
    <w:rsid w:val="00224BFF"/>
    <w:rsid w:val="00224C03"/>
    <w:rsid w:val="00224C17"/>
    <w:rsid w:val="00224CBE"/>
    <w:rsid w:val="00224D06"/>
    <w:rsid w:val="00224D15"/>
    <w:rsid w:val="00224DF0"/>
    <w:rsid w:val="00224DF2"/>
    <w:rsid w:val="00224F85"/>
    <w:rsid w:val="00225116"/>
    <w:rsid w:val="00225E70"/>
    <w:rsid w:val="002260C2"/>
    <w:rsid w:val="002261C9"/>
    <w:rsid w:val="002265DB"/>
    <w:rsid w:val="002266BD"/>
    <w:rsid w:val="002267C0"/>
    <w:rsid w:val="002268F3"/>
    <w:rsid w:val="002268F6"/>
    <w:rsid w:val="002269A5"/>
    <w:rsid w:val="002269C4"/>
    <w:rsid w:val="00226AE6"/>
    <w:rsid w:val="00226B1D"/>
    <w:rsid w:val="00226B78"/>
    <w:rsid w:val="00226D61"/>
    <w:rsid w:val="00227218"/>
    <w:rsid w:val="00227388"/>
    <w:rsid w:val="00227584"/>
    <w:rsid w:val="0022765C"/>
    <w:rsid w:val="0022772B"/>
    <w:rsid w:val="00227B5E"/>
    <w:rsid w:val="00227D1C"/>
    <w:rsid w:val="00227D87"/>
    <w:rsid w:val="00227F64"/>
    <w:rsid w:val="00230372"/>
    <w:rsid w:val="00230441"/>
    <w:rsid w:val="002304FE"/>
    <w:rsid w:val="0023054B"/>
    <w:rsid w:val="002305E4"/>
    <w:rsid w:val="00230696"/>
    <w:rsid w:val="002306CF"/>
    <w:rsid w:val="002306F7"/>
    <w:rsid w:val="0023078B"/>
    <w:rsid w:val="002308FE"/>
    <w:rsid w:val="00230CE0"/>
    <w:rsid w:val="00230DD3"/>
    <w:rsid w:val="00230F8D"/>
    <w:rsid w:val="00231323"/>
    <w:rsid w:val="00231701"/>
    <w:rsid w:val="002319DF"/>
    <w:rsid w:val="002319E0"/>
    <w:rsid w:val="00231B73"/>
    <w:rsid w:val="00231C42"/>
    <w:rsid w:val="00231C63"/>
    <w:rsid w:val="00231E02"/>
    <w:rsid w:val="0023207E"/>
    <w:rsid w:val="002322CC"/>
    <w:rsid w:val="00232725"/>
    <w:rsid w:val="0023284F"/>
    <w:rsid w:val="00232B2D"/>
    <w:rsid w:val="00233259"/>
    <w:rsid w:val="002334AB"/>
    <w:rsid w:val="00233D6D"/>
    <w:rsid w:val="00234004"/>
    <w:rsid w:val="00234077"/>
    <w:rsid w:val="0023422C"/>
    <w:rsid w:val="002342B4"/>
    <w:rsid w:val="0023469F"/>
    <w:rsid w:val="002346D5"/>
    <w:rsid w:val="002348B8"/>
    <w:rsid w:val="00234A76"/>
    <w:rsid w:val="00234D1E"/>
    <w:rsid w:val="00234E53"/>
    <w:rsid w:val="00234E5F"/>
    <w:rsid w:val="00234F11"/>
    <w:rsid w:val="00235009"/>
    <w:rsid w:val="002352C6"/>
    <w:rsid w:val="002352F0"/>
    <w:rsid w:val="002353D6"/>
    <w:rsid w:val="00235568"/>
    <w:rsid w:val="0023591A"/>
    <w:rsid w:val="00235B2D"/>
    <w:rsid w:val="00235D2A"/>
    <w:rsid w:val="00235D3C"/>
    <w:rsid w:val="00235EB1"/>
    <w:rsid w:val="00235FD0"/>
    <w:rsid w:val="0023604D"/>
    <w:rsid w:val="0023608B"/>
    <w:rsid w:val="00236247"/>
    <w:rsid w:val="0023640F"/>
    <w:rsid w:val="002364EF"/>
    <w:rsid w:val="002366EB"/>
    <w:rsid w:val="00236844"/>
    <w:rsid w:val="00236AD6"/>
    <w:rsid w:val="00236B86"/>
    <w:rsid w:val="00236BC3"/>
    <w:rsid w:val="00236EF2"/>
    <w:rsid w:val="00236EFE"/>
    <w:rsid w:val="002372CF"/>
    <w:rsid w:val="00237316"/>
    <w:rsid w:val="002374DC"/>
    <w:rsid w:val="00237502"/>
    <w:rsid w:val="0023764A"/>
    <w:rsid w:val="00237B01"/>
    <w:rsid w:val="00237B61"/>
    <w:rsid w:val="00240069"/>
    <w:rsid w:val="00240172"/>
    <w:rsid w:val="002404DF"/>
    <w:rsid w:val="00240727"/>
    <w:rsid w:val="002408DE"/>
    <w:rsid w:val="002408F5"/>
    <w:rsid w:val="00240960"/>
    <w:rsid w:val="00240B3D"/>
    <w:rsid w:val="00240F0C"/>
    <w:rsid w:val="002412EE"/>
    <w:rsid w:val="00241785"/>
    <w:rsid w:val="00241A3C"/>
    <w:rsid w:val="00241AB3"/>
    <w:rsid w:val="00241BCF"/>
    <w:rsid w:val="00241C2F"/>
    <w:rsid w:val="00241EB8"/>
    <w:rsid w:val="00241EEF"/>
    <w:rsid w:val="0024221D"/>
    <w:rsid w:val="00242226"/>
    <w:rsid w:val="002422E3"/>
    <w:rsid w:val="002423A4"/>
    <w:rsid w:val="00242630"/>
    <w:rsid w:val="00242657"/>
    <w:rsid w:val="002426F8"/>
    <w:rsid w:val="002427DA"/>
    <w:rsid w:val="00242B1A"/>
    <w:rsid w:val="00242B56"/>
    <w:rsid w:val="00242B81"/>
    <w:rsid w:val="00242E9B"/>
    <w:rsid w:val="00243299"/>
    <w:rsid w:val="002436CC"/>
    <w:rsid w:val="00243870"/>
    <w:rsid w:val="00243932"/>
    <w:rsid w:val="00243938"/>
    <w:rsid w:val="00243B1E"/>
    <w:rsid w:val="00243C47"/>
    <w:rsid w:val="00244295"/>
    <w:rsid w:val="002445F6"/>
    <w:rsid w:val="00244CC7"/>
    <w:rsid w:val="00244CE0"/>
    <w:rsid w:val="002450D6"/>
    <w:rsid w:val="0024545F"/>
    <w:rsid w:val="00245624"/>
    <w:rsid w:val="0024576F"/>
    <w:rsid w:val="0024580D"/>
    <w:rsid w:val="00245B50"/>
    <w:rsid w:val="00245D57"/>
    <w:rsid w:val="00245D6F"/>
    <w:rsid w:val="00245E77"/>
    <w:rsid w:val="00245FBE"/>
    <w:rsid w:val="00246015"/>
    <w:rsid w:val="00246072"/>
    <w:rsid w:val="0024658A"/>
    <w:rsid w:val="00246A4D"/>
    <w:rsid w:val="00246A86"/>
    <w:rsid w:val="00246D33"/>
    <w:rsid w:val="00246DA2"/>
    <w:rsid w:val="00246E28"/>
    <w:rsid w:val="00246F3F"/>
    <w:rsid w:val="00246FAC"/>
    <w:rsid w:val="0024719B"/>
    <w:rsid w:val="002471AD"/>
    <w:rsid w:val="002471AF"/>
    <w:rsid w:val="0024721F"/>
    <w:rsid w:val="00247AA4"/>
    <w:rsid w:val="00247B23"/>
    <w:rsid w:val="00250073"/>
    <w:rsid w:val="00250155"/>
    <w:rsid w:val="00250246"/>
    <w:rsid w:val="00250687"/>
    <w:rsid w:val="0025092B"/>
    <w:rsid w:val="00250BE3"/>
    <w:rsid w:val="00250D35"/>
    <w:rsid w:val="00250E05"/>
    <w:rsid w:val="00250EF2"/>
    <w:rsid w:val="002510E3"/>
    <w:rsid w:val="002513BA"/>
    <w:rsid w:val="00251481"/>
    <w:rsid w:val="00251556"/>
    <w:rsid w:val="0025183C"/>
    <w:rsid w:val="00251B65"/>
    <w:rsid w:val="00251C88"/>
    <w:rsid w:val="00251E72"/>
    <w:rsid w:val="00252315"/>
    <w:rsid w:val="002524DC"/>
    <w:rsid w:val="002527C5"/>
    <w:rsid w:val="002527DF"/>
    <w:rsid w:val="0025291E"/>
    <w:rsid w:val="00252B32"/>
    <w:rsid w:val="00252B3D"/>
    <w:rsid w:val="00252DA2"/>
    <w:rsid w:val="00253147"/>
    <w:rsid w:val="002531C1"/>
    <w:rsid w:val="00253523"/>
    <w:rsid w:val="0025371F"/>
    <w:rsid w:val="00253957"/>
    <w:rsid w:val="00253BA4"/>
    <w:rsid w:val="00253CEA"/>
    <w:rsid w:val="00253D24"/>
    <w:rsid w:val="00253E2D"/>
    <w:rsid w:val="00254151"/>
    <w:rsid w:val="00254308"/>
    <w:rsid w:val="00254508"/>
    <w:rsid w:val="002547D4"/>
    <w:rsid w:val="00254B8B"/>
    <w:rsid w:val="00254E22"/>
    <w:rsid w:val="0025570D"/>
    <w:rsid w:val="002559B6"/>
    <w:rsid w:val="00255A5C"/>
    <w:rsid w:val="00256229"/>
    <w:rsid w:val="00256260"/>
    <w:rsid w:val="00256604"/>
    <w:rsid w:val="00256851"/>
    <w:rsid w:val="00256897"/>
    <w:rsid w:val="002569C5"/>
    <w:rsid w:val="002570C5"/>
    <w:rsid w:val="00257301"/>
    <w:rsid w:val="00257392"/>
    <w:rsid w:val="00257500"/>
    <w:rsid w:val="00257637"/>
    <w:rsid w:val="00257912"/>
    <w:rsid w:val="00257AB4"/>
    <w:rsid w:val="00257B59"/>
    <w:rsid w:val="00257E41"/>
    <w:rsid w:val="00260075"/>
    <w:rsid w:val="00260127"/>
    <w:rsid w:val="00260160"/>
    <w:rsid w:val="002602D8"/>
    <w:rsid w:val="002603CF"/>
    <w:rsid w:val="00260663"/>
    <w:rsid w:val="00260834"/>
    <w:rsid w:val="0026095F"/>
    <w:rsid w:val="00260AB3"/>
    <w:rsid w:val="00260FB1"/>
    <w:rsid w:val="002614F3"/>
    <w:rsid w:val="002615E2"/>
    <w:rsid w:val="00261F05"/>
    <w:rsid w:val="00261F59"/>
    <w:rsid w:val="002620B7"/>
    <w:rsid w:val="00262274"/>
    <w:rsid w:val="0026238A"/>
    <w:rsid w:val="00262480"/>
    <w:rsid w:val="002624AA"/>
    <w:rsid w:val="0026257A"/>
    <w:rsid w:val="002625B4"/>
    <w:rsid w:val="00262626"/>
    <w:rsid w:val="002626D7"/>
    <w:rsid w:val="002627C5"/>
    <w:rsid w:val="002629AC"/>
    <w:rsid w:val="00262A96"/>
    <w:rsid w:val="00262B61"/>
    <w:rsid w:val="00262DA8"/>
    <w:rsid w:val="00262DAB"/>
    <w:rsid w:val="0026313E"/>
    <w:rsid w:val="00263223"/>
    <w:rsid w:val="002633FC"/>
    <w:rsid w:val="0026351A"/>
    <w:rsid w:val="002636FF"/>
    <w:rsid w:val="00263DFB"/>
    <w:rsid w:val="00264C90"/>
    <w:rsid w:val="00264E96"/>
    <w:rsid w:val="00264ED6"/>
    <w:rsid w:val="002653A0"/>
    <w:rsid w:val="00265430"/>
    <w:rsid w:val="00265441"/>
    <w:rsid w:val="00265461"/>
    <w:rsid w:val="002656BE"/>
    <w:rsid w:val="002657FC"/>
    <w:rsid w:val="002658F1"/>
    <w:rsid w:val="002659D2"/>
    <w:rsid w:val="00265A95"/>
    <w:rsid w:val="00265B49"/>
    <w:rsid w:val="00265CCA"/>
    <w:rsid w:val="00265D35"/>
    <w:rsid w:val="00265D43"/>
    <w:rsid w:val="00266184"/>
    <w:rsid w:val="00266A6E"/>
    <w:rsid w:val="00266B6D"/>
    <w:rsid w:val="00266E87"/>
    <w:rsid w:val="0026718D"/>
    <w:rsid w:val="0026788F"/>
    <w:rsid w:val="00267EFE"/>
    <w:rsid w:val="00267F0B"/>
    <w:rsid w:val="00270428"/>
    <w:rsid w:val="002706A0"/>
    <w:rsid w:val="002707F1"/>
    <w:rsid w:val="0027094B"/>
    <w:rsid w:val="00270D0D"/>
    <w:rsid w:val="00270E34"/>
    <w:rsid w:val="00270FF3"/>
    <w:rsid w:val="002710C1"/>
    <w:rsid w:val="002712AE"/>
    <w:rsid w:val="0027130E"/>
    <w:rsid w:val="002713DB"/>
    <w:rsid w:val="0027159A"/>
    <w:rsid w:val="0027195A"/>
    <w:rsid w:val="00271BA1"/>
    <w:rsid w:val="00271E8A"/>
    <w:rsid w:val="00271E9E"/>
    <w:rsid w:val="00272341"/>
    <w:rsid w:val="00272426"/>
    <w:rsid w:val="002725FA"/>
    <w:rsid w:val="002727FE"/>
    <w:rsid w:val="002728D8"/>
    <w:rsid w:val="00272A20"/>
    <w:rsid w:val="00272DF4"/>
    <w:rsid w:val="0027315C"/>
    <w:rsid w:val="002731B0"/>
    <w:rsid w:val="002731ED"/>
    <w:rsid w:val="002733E9"/>
    <w:rsid w:val="00273557"/>
    <w:rsid w:val="00273653"/>
    <w:rsid w:val="00273812"/>
    <w:rsid w:val="002739C6"/>
    <w:rsid w:val="00273B2D"/>
    <w:rsid w:val="00273FA2"/>
    <w:rsid w:val="00274311"/>
    <w:rsid w:val="002743F7"/>
    <w:rsid w:val="002744B4"/>
    <w:rsid w:val="0027482E"/>
    <w:rsid w:val="002748F8"/>
    <w:rsid w:val="00274AE9"/>
    <w:rsid w:val="00274C84"/>
    <w:rsid w:val="00274E8D"/>
    <w:rsid w:val="0027517C"/>
    <w:rsid w:val="002751AF"/>
    <w:rsid w:val="0027520E"/>
    <w:rsid w:val="002755E0"/>
    <w:rsid w:val="002755F7"/>
    <w:rsid w:val="002757A0"/>
    <w:rsid w:val="00275903"/>
    <w:rsid w:val="00275C4D"/>
    <w:rsid w:val="00275E3D"/>
    <w:rsid w:val="0027627F"/>
    <w:rsid w:val="00276290"/>
    <w:rsid w:val="00276307"/>
    <w:rsid w:val="002768BE"/>
    <w:rsid w:val="0027690F"/>
    <w:rsid w:val="0027695D"/>
    <w:rsid w:val="00276BDE"/>
    <w:rsid w:val="002774A5"/>
    <w:rsid w:val="002774A8"/>
    <w:rsid w:val="002775A3"/>
    <w:rsid w:val="00277652"/>
    <w:rsid w:val="0027778E"/>
    <w:rsid w:val="002777F1"/>
    <w:rsid w:val="0027790C"/>
    <w:rsid w:val="0027792C"/>
    <w:rsid w:val="00277ADA"/>
    <w:rsid w:val="00277BB6"/>
    <w:rsid w:val="00280467"/>
    <w:rsid w:val="002804B8"/>
    <w:rsid w:val="0028050C"/>
    <w:rsid w:val="00280511"/>
    <w:rsid w:val="0028051C"/>
    <w:rsid w:val="002806DB"/>
    <w:rsid w:val="00280798"/>
    <w:rsid w:val="00280E72"/>
    <w:rsid w:val="00280EAD"/>
    <w:rsid w:val="00281199"/>
    <w:rsid w:val="002813FB"/>
    <w:rsid w:val="002814F3"/>
    <w:rsid w:val="00281A10"/>
    <w:rsid w:val="00281A3B"/>
    <w:rsid w:val="00281EF8"/>
    <w:rsid w:val="0028217F"/>
    <w:rsid w:val="00282242"/>
    <w:rsid w:val="002822B8"/>
    <w:rsid w:val="00282563"/>
    <w:rsid w:val="00282938"/>
    <w:rsid w:val="002829FC"/>
    <w:rsid w:val="00282B62"/>
    <w:rsid w:val="00282BDC"/>
    <w:rsid w:val="00282C05"/>
    <w:rsid w:val="00282E0A"/>
    <w:rsid w:val="00282E3B"/>
    <w:rsid w:val="00282EBC"/>
    <w:rsid w:val="00283528"/>
    <w:rsid w:val="00283577"/>
    <w:rsid w:val="00283596"/>
    <w:rsid w:val="00283653"/>
    <w:rsid w:val="0028366A"/>
    <w:rsid w:val="002837E3"/>
    <w:rsid w:val="0028390A"/>
    <w:rsid w:val="00283B98"/>
    <w:rsid w:val="00283BE0"/>
    <w:rsid w:val="00283F2F"/>
    <w:rsid w:val="00283FF1"/>
    <w:rsid w:val="00283FFE"/>
    <w:rsid w:val="0028426D"/>
    <w:rsid w:val="0028438A"/>
    <w:rsid w:val="002845BE"/>
    <w:rsid w:val="00284C9E"/>
    <w:rsid w:val="00284E29"/>
    <w:rsid w:val="0028539D"/>
    <w:rsid w:val="00285882"/>
    <w:rsid w:val="00285C43"/>
    <w:rsid w:val="00285CFC"/>
    <w:rsid w:val="00285D8E"/>
    <w:rsid w:val="00285DA6"/>
    <w:rsid w:val="0028605F"/>
    <w:rsid w:val="002861B3"/>
    <w:rsid w:val="002861BB"/>
    <w:rsid w:val="0028660D"/>
    <w:rsid w:val="00286C4D"/>
    <w:rsid w:val="00286DBA"/>
    <w:rsid w:val="00286E0D"/>
    <w:rsid w:val="002870D7"/>
    <w:rsid w:val="00287233"/>
    <w:rsid w:val="00287276"/>
    <w:rsid w:val="00287431"/>
    <w:rsid w:val="00287534"/>
    <w:rsid w:val="00287649"/>
    <w:rsid w:val="0028786F"/>
    <w:rsid w:val="00287930"/>
    <w:rsid w:val="00287DD4"/>
    <w:rsid w:val="00287FE9"/>
    <w:rsid w:val="00290002"/>
    <w:rsid w:val="00290016"/>
    <w:rsid w:val="0029006B"/>
    <w:rsid w:val="002900C7"/>
    <w:rsid w:val="00290237"/>
    <w:rsid w:val="00290F09"/>
    <w:rsid w:val="00291197"/>
    <w:rsid w:val="00291255"/>
    <w:rsid w:val="00291529"/>
    <w:rsid w:val="002915C0"/>
    <w:rsid w:val="00291698"/>
    <w:rsid w:val="002919CF"/>
    <w:rsid w:val="00291B1F"/>
    <w:rsid w:val="00291CA2"/>
    <w:rsid w:val="00291E96"/>
    <w:rsid w:val="002920C6"/>
    <w:rsid w:val="00292114"/>
    <w:rsid w:val="00292280"/>
    <w:rsid w:val="002922C7"/>
    <w:rsid w:val="00292A25"/>
    <w:rsid w:val="00292BAA"/>
    <w:rsid w:val="00292DF4"/>
    <w:rsid w:val="00292FDA"/>
    <w:rsid w:val="002930CE"/>
    <w:rsid w:val="0029322D"/>
    <w:rsid w:val="002934EA"/>
    <w:rsid w:val="00293611"/>
    <w:rsid w:val="0029391C"/>
    <w:rsid w:val="00293C3F"/>
    <w:rsid w:val="00293C97"/>
    <w:rsid w:val="00293FF0"/>
    <w:rsid w:val="00294081"/>
    <w:rsid w:val="002940A8"/>
    <w:rsid w:val="0029423E"/>
    <w:rsid w:val="002943AC"/>
    <w:rsid w:val="00294960"/>
    <w:rsid w:val="00294B54"/>
    <w:rsid w:val="00294CAC"/>
    <w:rsid w:val="00294D4D"/>
    <w:rsid w:val="0029508D"/>
    <w:rsid w:val="00295A72"/>
    <w:rsid w:val="00295F55"/>
    <w:rsid w:val="00296039"/>
    <w:rsid w:val="002961FE"/>
    <w:rsid w:val="0029621B"/>
    <w:rsid w:val="0029669D"/>
    <w:rsid w:val="0029677D"/>
    <w:rsid w:val="00296966"/>
    <w:rsid w:val="002969E1"/>
    <w:rsid w:val="00296A25"/>
    <w:rsid w:val="00296ED9"/>
    <w:rsid w:val="00296F74"/>
    <w:rsid w:val="0029707F"/>
    <w:rsid w:val="0029735D"/>
    <w:rsid w:val="0029738E"/>
    <w:rsid w:val="002974AB"/>
    <w:rsid w:val="00297C16"/>
    <w:rsid w:val="00297E4F"/>
    <w:rsid w:val="00297FE2"/>
    <w:rsid w:val="002A0099"/>
    <w:rsid w:val="002A0451"/>
    <w:rsid w:val="002A051B"/>
    <w:rsid w:val="002A07F9"/>
    <w:rsid w:val="002A0864"/>
    <w:rsid w:val="002A0C76"/>
    <w:rsid w:val="002A0CCB"/>
    <w:rsid w:val="002A0D48"/>
    <w:rsid w:val="002A1107"/>
    <w:rsid w:val="002A11D1"/>
    <w:rsid w:val="002A178F"/>
    <w:rsid w:val="002A197D"/>
    <w:rsid w:val="002A1AB9"/>
    <w:rsid w:val="002A1B0D"/>
    <w:rsid w:val="002A1C27"/>
    <w:rsid w:val="002A1D16"/>
    <w:rsid w:val="002A217F"/>
    <w:rsid w:val="002A219F"/>
    <w:rsid w:val="002A21D5"/>
    <w:rsid w:val="002A2405"/>
    <w:rsid w:val="002A24F7"/>
    <w:rsid w:val="002A2895"/>
    <w:rsid w:val="002A289D"/>
    <w:rsid w:val="002A3067"/>
    <w:rsid w:val="002A31D7"/>
    <w:rsid w:val="002A3299"/>
    <w:rsid w:val="002A3487"/>
    <w:rsid w:val="002A34A8"/>
    <w:rsid w:val="002A3573"/>
    <w:rsid w:val="002A358E"/>
    <w:rsid w:val="002A3905"/>
    <w:rsid w:val="002A3959"/>
    <w:rsid w:val="002A3999"/>
    <w:rsid w:val="002A39E4"/>
    <w:rsid w:val="002A3A10"/>
    <w:rsid w:val="002A3FD4"/>
    <w:rsid w:val="002A4282"/>
    <w:rsid w:val="002A43DA"/>
    <w:rsid w:val="002A462B"/>
    <w:rsid w:val="002A48C8"/>
    <w:rsid w:val="002A499D"/>
    <w:rsid w:val="002A4AAF"/>
    <w:rsid w:val="002A4C8D"/>
    <w:rsid w:val="002A4ECB"/>
    <w:rsid w:val="002A4FDA"/>
    <w:rsid w:val="002A507A"/>
    <w:rsid w:val="002A50D5"/>
    <w:rsid w:val="002A5144"/>
    <w:rsid w:val="002A5542"/>
    <w:rsid w:val="002A58D3"/>
    <w:rsid w:val="002A6074"/>
    <w:rsid w:val="002A630C"/>
    <w:rsid w:val="002A63A9"/>
    <w:rsid w:val="002A640D"/>
    <w:rsid w:val="002A65A4"/>
    <w:rsid w:val="002A67B5"/>
    <w:rsid w:val="002A688C"/>
    <w:rsid w:val="002A68F0"/>
    <w:rsid w:val="002A6C42"/>
    <w:rsid w:val="002A6D64"/>
    <w:rsid w:val="002A6EAB"/>
    <w:rsid w:val="002A7045"/>
    <w:rsid w:val="002A705B"/>
    <w:rsid w:val="002A7086"/>
    <w:rsid w:val="002A70BC"/>
    <w:rsid w:val="002A75EE"/>
    <w:rsid w:val="002A77EA"/>
    <w:rsid w:val="002A795B"/>
    <w:rsid w:val="002A7A0F"/>
    <w:rsid w:val="002A7E33"/>
    <w:rsid w:val="002A7F97"/>
    <w:rsid w:val="002B0237"/>
    <w:rsid w:val="002B02E8"/>
    <w:rsid w:val="002B066B"/>
    <w:rsid w:val="002B0838"/>
    <w:rsid w:val="002B09D2"/>
    <w:rsid w:val="002B0D8A"/>
    <w:rsid w:val="002B0F0A"/>
    <w:rsid w:val="002B106E"/>
    <w:rsid w:val="002B1092"/>
    <w:rsid w:val="002B116C"/>
    <w:rsid w:val="002B128F"/>
    <w:rsid w:val="002B1485"/>
    <w:rsid w:val="002B1B52"/>
    <w:rsid w:val="002B1C2E"/>
    <w:rsid w:val="002B1D64"/>
    <w:rsid w:val="002B20E2"/>
    <w:rsid w:val="002B212F"/>
    <w:rsid w:val="002B231E"/>
    <w:rsid w:val="002B24BF"/>
    <w:rsid w:val="002B2685"/>
    <w:rsid w:val="002B269F"/>
    <w:rsid w:val="002B27AA"/>
    <w:rsid w:val="002B287A"/>
    <w:rsid w:val="002B2888"/>
    <w:rsid w:val="002B2BC9"/>
    <w:rsid w:val="002B2CAD"/>
    <w:rsid w:val="002B2DD9"/>
    <w:rsid w:val="002B2EED"/>
    <w:rsid w:val="002B2F0A"/>
    <w:rsid w:val="002B2F28"/>
    <w:rsid w:val="002B3013"/>
    <w:rsid w:val="002B3285"/>
    <w:rsid w:val="002B3376"/>
    <w:rsid w:val="002B3982"/>
    <w:rsid w:val="002B3D01"/>
    <w:rsid w:val="002B3D66"/>
    <w:rsid w:val="002B3D89"/>
    <w:rsid w:val="002B3F1D"/>
    <w:rsid w:val="002B441E"/>
    <w:rsid w:val="002B47DB"/>
    <w:rsid w:val="002B4809"/>
    <w:rsid w:val="002B48FC"/>
    <w:rsid w:val="002B4AC1"/>
    <w:rsid w:val="002B4AD5"/>
    <w:rsid w:val="002B4D84"/>
    <w:rsid w:val="002B534A"/>
    <w:rsid w:val="002B55F7"/>
    <w:rsid w:val="002B5646"/>
    <w:rsid w:val="002B59BA"/>
    <w:rsid w:val="002B5AE1"/>
    <w:rsid w:val="002B5BC9"/>
    <w:rsid w:val="002B5C79"/>
    <w:rsid w:val="002B5F39"/>
    <w:rsid w:val="002B61A7"/>
    <w:rsid w:val="002B6204"/>
    <w:rsid w:val="002B62B2"/>
    <w:rsid w:val="002B633B"/>
    <w:rsid w:val="002B634E"/>
    <w:rsid w:val="002B63BB"/>
    <w:rsid w:val="002B6444"/>
    <w:rsid w:val="002B66B1"/>
    <w:rsid w:val="002B6A9C"/>
    <w:rsid w:val="002B6B2E"/>
    <w:rsid w:val="002B6D24"/>
    <w:rsid w:val="002B700E"/>
    <w:rsid w:val="002B7271"/>
    <w:rsid w:val="002B72BA"/>
    <w:rsid w:val="002B749F"/>
    <w:rsid w:val="002B757B"/>
    <w:rsid w:val="002B75ED"/>
    <w:rsid w:val="002B784F"/>
    <w:rsid w:val="002B7931"/>
    <w:rsid w:val="002B7B1C"/>
    <w:rsid w:val="002B7BFA"/>
    <w:rsid w:val="002B7C4F"/>
    <w:rsid w:val="002B7EA6"/>
    <w:rsid w:val="002B7F86"/>
    <w:rsid w:val="002B7FC5"/>
    <w:rsid w:val="002C015B"/>
    <w:rsid w:val="002C0186"/>
    <w:rsid w:val="002C099B"/>
    <w:rsid w:val="002C09ED"/>
    <w:rsid w:val="002C0B0E"/>
    <w:rsid w:val="002C0BBF"/>
    <w:rsid w:val="002C0C2B"/>
    <w:rsid w:val="002C0E80"/>
    <w:rsid w:val="002C1124"/>
    <w:rsid w:val="002C13E2"/>
    <w:rsid w:val="002C14BA"/>
    <w:rsid w:val="002C15B0"/>
    <w:rsid w:val="002C1BF5"/>
    <w:rsid w:val="002C1D59"/>
    <w:rsid w:val="002C1E1A"/>
    <w:rsid w:val="002C1FAC"/>
    <w:rsid w:val="002C1FEA"/>
    <w:rsid w:val="002C1FFF"/>
    <w:rsid w:val="002C229E"/>
    <w:rsid w:val="002C23FF"/>
    <w:rsid w:val="002C25E2"/>
    <w:rsid w:val="002C262D"/>
    <w:rsid w:val="002C273D"/>
    <w:rsid w:val="002C2995"/>
    <w:rsid w:val="002C29FF"/>
    <w:rsid w:val="002C2A03"/>
    <w:rsid w:val="002C2EFA"/>
    <w:rsid w:val="002C30F7"/>
    <w:rsid w:val="002C3219"/>
    <w:rsid w:val="002C3D3E"/>
    <w:rsid w:val="002C3FC7"/>
    <w:rsid w:val="002C4064"/>
    <w:rsid w:val="002C406F"/>
    <w:rsid w:val="002C4084"/>
    <w:rsid w:val="002C4092"/>
    <w:rsid w:val="002C4099"/>
    <w:rsid w:val="002C4379"/>
    <w:rsid w:val="002C4386"/>
    <w:rsid w:val="002C44BA"/>
    <w:rsid w:val="002C4974"/>
    <w:rsid w:val="002C4A19"/>
    <w:rsid w:val="002C4B7C"/>
    <w:rsid w:val="002C4EF3"/>
    <w:rsid w:val="002C4F08"/>
    <w:rsid w:val="002C4F6F"/>
    <w:rsid w:val="002C4F7F"/>
    <w:rsid w:val="002C516A"/>
    <w:rsid w:val="002C5834"/>
    <w:rsid w:val="002C5869"/>
    <w:rsid w:val="002C5A57"/>
    <w:rsid w:val="002C5AAD"/>
    <w:rsid w:val="002C5B45"/>
    <w:rsid w:val="002C60A8"/>
    <w:rsid w:val="002C656D"/>
    <w:rsid w:val="002C6D3D"/>
    <w:rsid w:val="002C6E4F"/>
    <w:rsid w:val="002C6FA6"/>
    <w:rsid w:val="002C712D"/>
    <w:rsid w:val="002C73BA"/>
    <w:rsid w:val="002C748B"/>
    <w:rsid w:val="002C748E"/>
    <w:rsid w:val="002C749D"/>
    <w:rsid w:val="002C755D"/>
    <w:rsid w:val="002C7736"/>
    <w:rsid w:val="002C7772"/>
    <w:rsid w:val="002C78DD"/>
    <w:rsid w:val="002C7B8F"/>
    <w:rsid w:val="002C7C39"/>
    <w:rsid w:val="002C7C3C"/>
    <w:rsid w:val="002C7C62"/>
    <w:rsid w:val="002C7C8F"/>
    <w:rsid w:val="002C7D27"/>
    <w:rsid w:val="002C7D8F"/>
    <w:rsid w:val="002C7E84"/>
    <w:rsid w:val="002D0025"/>
    <w:rsid w:val="002D007F"/>
    <w:rsid w:val="002D00DC"/>
    <w:rsid w:val="002D05A7"/>
    <w:rsid w:val="002D05BE"/>
    <w:rsid w:val="002D05EC"/>
    <w:rsid w:val="002D065E"/>
    <w:rsid w:val="002D0792"/>
    <w:rsid w:val="002D0A10"/>
    <w:rsid w:val="002D0D61"/>
    <w:rsid w:val="002D0E20"/>
    <w:rsid w:val="002D1461"/>
    <w:rsid w:val="002D16FA"/>
    <w:rsid w:val="002D1712"/>
    <w:rsid w:val="002D1799"/>
    <w:rsid w:val="002D17F5"/>
    <w:rsid w:val="002D1A9A"/>
    <w:rsid w:val="002D1AE8"/>
    <w:rsid w:val="002D1D38"/>
    <w:rsid w:val="002D1E51"/>
    <w:rsid w:val="002D21DF"/>
    <w:rsid w:val="002D225C"/>
    <w:rsid w:val="002D228E"/>
    <w:rsid w:val="002D26E3"/>
    <w:rsid w:val="002D277F"/>
    <w:rsid w:val="002D2873"/>
    <w:rsid w:val="002D2899"/>
    <w:rsid w:val="002D2A82"/>
    <w:rsid w:val="002D2AEF"/>
    <w:rsid w:val="002D2BE9"/>
    <w:rsid w:val="002D2C5F"/>
    <w:rsid w:val="002D2D5F"/>
    <w:rsid w:val="002D2E23"/>
    <w:rsid w:val="002D3211"/>
    <w:rsid w:val="002D329D"/>
    <w:rsid w:val="002D32DE"/>
    <w:rsid w:val="002D34FD"/>
    <w:rsid w:val="002D3592"/>
    <w:rsid w:val="002D3694"/>
    <w:rsid w:val="002D38A6"/>
    <w:rsid w:val="002D3C94"/>
    <w:rsid w:val="002D3D75"/>
    <w:rsid w:val="002D3DA6"/>
    <w:rsid w:val="002D3E6F"/>
    <w:rsid w:val="002D40B0"/>
    <w:rsid w:val="002D44F6"/>
    <w:rsid w:val="002D4869"/>
    <w:rsid w:val="002D488D"/>
    <w:rsid w:val="002D4945"/>
    <w:rsid w:val="002D4B43"/>
    <w:rsid w:val="002D516C"/>
    <w:rsid w:val="002D52DA"/>
    <w:rsid w:val="002D5336"/>
    <w:rsid w:val="002D536E"/>
    <w:rsid w:val="002D537C"/>
    <w:rsid w:val="002D53EB"/>
    <w:rsid w:val="002D5624"/>
    <w:rsid w:val="002D571B"/>
    <w:rsid w:val="002D59F7"/>
    <w:rsid w:val="002D5A6C"/>
    <w:rsid w:val="002D5AC1"/>
    <w:rsid w:val="002D5B0C"/>
    <w:rsid w:val="002D5D6C"/>
    <w:rsid w:val="002D5E03"/>
    <w:rsid w:val="002D658D"/>
    <w:rsid w:val="002D6636"/>
    <w:rsid w:val="002D698A"/>
    <w:rsid w:val="002D6BEB"/>
    <w:rsid w:val="002D6BFA"/>
    <w:rsid w:val="002D6D81"/>
    <w:rsid w:val="002D6F3B"/>
    <w:rsid w:val="002D6FDA"/>
    <w:rsid w:val="002D74C1"/>
    <w:rsid w:val="002D753D"/>
    <w:rsid w:val="002D77AF"/>
    <w:rsid w:val="002D7997"/>
    <w:rsid w:val="002D79EC"/>
    <w:rsid w:val="002D7E4A"/>
    <w:rsid w:val="002E027B"/>
    <w:rsid w:val="002E0298"/>
    <w:rsid w:val="002E071D"/>
    <w:rsid w:val="002E0767"/>
    <w:rsid w:val="002E0C52"/>
    <w:rsid w:val="002E0D93"/>
    <w:rsid w:val="002E0E0C"/>
    <w:rsid w:val="002E10D9"/>
    <w:rsid w:val="002E10E6"/>
    <w:rsid w:val="002E117B"/>
    <w:rsid w:val="002E1351"/>
    <w:rsid w:val="002E17FD"/>
    <w:rsid w:val="002E1852"/>
    <w:rsid w:val="002E1B58"/>
    <w:rsid w:val="002E1CFD"/>
    <w:rsid w:val="002E203C"/>
    <w:rsid w:val="002E2B21"/>
    <w:rsid w:val="002E2F71"/>
    <w:rsid w:val="002E31C1"/>
    <w:rsid w:val="002E32AE"/>
    <w:rsid w:val="002E32CE"/>
    <w:rsid w:val="002E3383"/>
    <w:rsid w:val="002E37EE"/>
    <w:rsid w:val="002E3CE8"/>
    <w:rsid w:val="002E3F43"/>
    <w:rsid w:val="002E4061"/>
    <w:rsid w:val="002E41EF"/>
    <w:rsid w:val="002E4889"/>
    <w:rsid w:val="002E492D"/>
    <w:rsid w:val="002E4A13"/>
    <w:rsid w:val="002E546E"/>
    <w:rsid w:val="002E54FF"/>
    <w:rsid w:val="002E56F9"/>
    <w:rsid w:val="002E5A04"/>
    <w:rsid w:val="002E5B84"/>
    <w:rsid w:val="002E603E"/>
    <w:rsid w:val="002E613F"/>
    <w:rsid w:val="002E6218"/>
    <w:rsid w:val="002E6311"/>
    <w:rsid w:val="002E6569"/>
    <w:rsid w:val="002E66FB"/>
    <w:rsid w:val="002E6932"/>
    <w:rsid w:val="002E69C4"/>
    <w:rsid w:val="002E6BDB"/>
    <w:rsid w:val="002E6BF3"/>
    <w:rsid w:val="002E6D77"/>
    <w:rsid w:val="002E7362"/>
    <w:rsid w:val="002E7A73"/>
    <w:rsid w:val="002E7BBF"/>
    <w:rsid w:val="002E7C76"/>
    <w:rsid w:val="002E7D90"/>
    <w:rsid w:val="002E7E65"/>
    <w:rsid w:val="002E7F1F"/>
    <w:rsid w:val="002E9801"/>
    <w:rsid w:val="002F0290"/>
    <w:rsid w:val="002F06B3"/>
    <w:rsid w:val="002F06C8"/>
    <w:rsid w:val="002F070B"/>
    <w:rsid w:val="002F0A8C"/>
    <w:rsid w:val="002F0BA3"/>
    <w:rsid w:val="002F0EF7"/>
    <w:rsid w:val="002F1173"/>
    <w:rsid w:val="002F12CF"/>
    <w:rsid w:val="002F1529"/>
    <w:rsid w:val="002F1643"/>
    <w:rsid w:val="002F1C9F"/>
    <w:rsid w:val="002F1DC8"/>
    <w:rsid w:val="002F2212"/>
    <w:rsid w:val="002F247C"/>
    <w:rsid w:val="002F26B6"/>
    <w:rsid w:val="002F26EE"/>
    <w:rsid w:val="002F2711"/>
    <w:rsid w:val="002F2986"/>
    <w:rsid w:val="002F2BCF"/>
    <w:rsid w:val="002F2DB7"/>
    <w:rsid w:val="002F3159"/>
    <w:rsid w:val="002F380F"/>
    <w:rsid w:val="002F3814"/>
    <w:rsid w:val="002F3874"/>
    <w:rsid w:val="002F38B2"/>
    <w:rsid w:val="002F3952"/>
    <w:rsid w:val="002F3BF7"/>
    <w:rsid w:val="002F3C5B"/>
    <w:rsid w:val="002F3C60"/>
    <w:rsid w:val="002F3D53"/>
    <w:rsid w:val="002F4036"/>
    <w:rsid w:val="002F4102"/>
    <w:rsid w:val="002F420C"/>
    <w:rsid w:val="002F4238"/>
    <w:rsid w:val="002F46F8"/>
    <w:rsid w:val="002F49A9"/>
    <w:rsid w:val="002F4ADE"/>
    <w:rsid w:val="002F4C82"/>
    <w:rsid w:val="002F4CDD"/>
    <w:rsid w:val="002F4DB6"/>
    <w:rsid w:val="002F5083"/>
    <w:rsid w:val="002F51E8"/>
    <w:rsid w:val="002F559C"/>
    <w:rsid w:val="002F576A"/>
    <w:rsid w:val="002F5C0E"/>
    <w:rsid w:val="002F5CAE"/>
    <w:rsid w:val="002F5E10"/>
    <w:rsid w:val="002F6617"/>
    <w:rsid w:val="002F6676"/>
    <w:rsid w:val="002F67BB"/>
    <w:rsid w:val="002F67C6"/>
    <w:rsid w:val="002F6A3D"/>
    <w:rsid w:val="002F6AA0"/>
    <w:rsid w:val="002F6BBF"/>
    <w:rsid w:val="002F6C4D"/>
    <w:rsid w:val="002F6D4E"/>
    <w:rsid w:val="002F6D7D"/>
    <w:rsid w:val="002F6DDB"/>
    <w:rsid w:val="002F6E2A"/>
    <w:rsid w:val="002F6F8C"/>
    <w:rsid w:val="002F73F4"/>
    <w:rsid w:val="002F74F7"/>
    <w:rsid w:val="002F7570"/>
    <w:rsid w:val="002F75C1"/>
    <w:rsid w:val="002F77CB"/>
    <w:rsid w:val="002F78C1"/>
    <w:rsid w:val="002F78DB"/>
    <w:rsid w:val="002F7B38"/>
    <w:rsid w:val="002F7CA8"/>
    <w:rsid w:val="0030011B"/>
    <w:rsid w:val="00300147"/>
    <w:rsid w:val="0030017D"/>
    <w:rsid w:val="00300542"/>
    <w:rsid w:val="00300550"/>
    <w:rsid w:val="003007B0"/>
    <w:rsid w:val="003007F1"/>
    <w:rsid w:val="00300BBE"/>
    <w:rsid w:val="00300D5A"/>
    <w:rsid w:val="00300DDA"/>
    <w:rsid w:val="00300ED7"/>
    <w:rsid w:val="00300FDC"/>
    <w:rsid w:val="00301129"/>
    <w:rsid w:val="00301173"/>
    <w:rsid w:val="003013FF"/>
    <w:rsid w:val="0030150F"/>
    <w:rsid w:val="00301570"/>
    <w:rsid w:val="00301681"/>
    <w:rsid w:val="003016AB"/>
    <w:rsid w:val="003017AA"/>
    <w:rsid w:val="00301891"/>
    <w:rsid w:val="00301A06"/>
    <w:rsid w:val="00301ADD"/>
    <w:rsid w:val="00301B4B"/>
    <w:rsid w:val="00301C1D"/>
    <w:rsid w:val="00301D25"/>
    <w:rsid w:val="00301F38"/>
    <w:rsid w:val="00302154"/>
    <w:rsid w:val="003021A8"/>
    <w:rsid w:val="003025C0"/>
    <w:rsid w:val="003025D6"/>
    <w:rsid w:val="0030260B"/>
    <w:rsid w:val="00302736"/>
    <w:rsid w:val="0030275C"/>
    <w:rsid w:val="0030275E"/>
    <w:rsid w:val="00302C33"/>
    <w:rsid w:val="00302C39"/>
    <w:rsid w:val="00302CE5"/>
    <w:rsid w:val="00303382"/>
    <w:rsid w:val="003037FF"/>
    <w:rsid w:val="00303820"/>
    <w:rsid w:val="0030393C"/>
    <w:rsid w:val="003039EA"/>
    <w:rsid w:val="00303B8A"/>
    <w:rsid w:val="00304587"/>
    <w:rsid w:val="00304761"/>
    <w:rsid w:val="0030488C"/>
    <w:rsid w:val="003048A8"/>
    <w:rsid w:val="00304950"/>
    <w:rsid w:val="00304BA1"/>
    <w:rsid w:val="00304CA8"/>
    <w:rsid w:val="00304DFA"/>
    <w:rsid w:val="003050F4"/>
    <w:rsid w:val="00305587"/>
    <w:rsid w:val="00305ADC"/>
    <w:rsid w:val="00305C96"/>
    <w:rsid w:val="00305CB2"/>
    <w:rsid w:val="00305E16"/>
    <w:rsid w:val="00305E54"/>
    <w:rsid w:val="00306018"/>
    <w:rsid w:val="0030617A"/>
    <w:rsid w:val="0030657F"/>
    <w:rsid w:val="00306809"/>
    <w:rsid w:val="00306841"/>
    <w:rsid w:val="003068B2"/>
    <w:rsid w:val="003069BD"/>
    <w:rsid w:val="00306A71"/>
    <w:rsid w:val="00306E91"/>
    <w:rsid w:val="00306ED6"/>
    <w:rsid w:val="00306EED"/>
    <w:rsid w:val="003070B0"/>
    <w:rsid w:val="0030710C"/>
    <w:rsid w:val="0030720D"/>
    <w:rsid w:val="0030779B"/>
    <w:rsid w:val="0030798D"/>
    <w:rsid w:val="00307A0D"/>
    <w:rsid w:val="00307B91"/>
    <w:rsid w:val="00307CC8"/>
    <w:rsid w:val="00307F5D"/>
    <w:rsid w:val="003100CB"/>
    <w:rsid w:val="00310331"/>
    <w:rsid w:val="003109D1"/>
    <w:rsid w:val="00310A75"/>
    <w:rsid w:val="00310ADF"/>
    <w:rsid w:val="00310D0E"/>
    <w:rsid w:val="00310E4C"/>
    <w:rsid w:val="00310ECF"/>
    <w:rsid w:val="00310F0E"/>
    <w:rsid w:val="00311040"/>
    <w:rsid w:val="00311072"/>
    <w:rsid w:val="00311887"/>
    <w:rsid w:val="0031197A"/>
    <w:rsid w:val="00311E8F"/>
    <w:rsid w:val="00311F83"/>
    <w:rsid w:val="00312274"/>
    <w:rsid w:val="003123ED"/>
    <w:rsid w:val="003123F9"/>
    <w:rsid w:val="00312424"/>
    <w:rsid w:val="00312475"/>
    <w:rsid w:val="00312584"/>
    <w:rsid w:val="0031261E"/>
    <w:rsid w:val="00312857"/>
    <w:rsid w:val="00312894"/>
    <w:rsid w:val="00312935"/>
    <w:rsid w:val="00313124"/>
    <w:rsid w:val="003131D9"/>
    <w:rsid w:val="0031336C"/>
    <w:rsid w:val="003135F7"/>
    <w:rsid w:val="0031360B"/>
    <w:rsid w:val="00313E5A"/>
    <w:rsid w:val="003140FC"/>
    <w:rsid w:val="00314222"/>
    <w:rsid w:val="00314231"/>
    <w:rsid w:val="00314362"/>
    <w:rsid w:val="003145D4"/>
    <w:rsid w:val="00314601"/>
    <w:rsid w:val="003149B2"/>
    <w:rsid w:val="00314A4F"/>
    <w:rsid w:val="00314B67"/>
    <w:rsid w:val="00314B97"/>
    <w:rsid w:val="00314F3E"/>
    <w:rsid w:val="00315242"/>
    <w:rsid w:val="003153A6"/>
    <w:rsid w:val="0031579B"/>
    <w:rsid w:val="003157CF"/>
    <w:rsid w:val="003158DD"/>
    <w:rsid w:val="00315CB9"/>
    <w:rsid w:val="00315F27"/>
    <w:rsid w:val="00316101"/>
    <w:rsid w:val="00316154"/>
    <w:rsid w:val="00316280"/>
    <w:rsid w:val="0031649F"/>
    <w:rsid w:val="0031659E"/>
    <w:rsid w:val="00316622"/>
    <w:rsid w:val="003166F1"/>
    <w:rsid w:val="00316819"/>
    <w:rsid w:val="00316AF8"/>
    <w:rsid w:val="00316B71"/>
    <w:rsid w:val="00316BF2"/>
    <w:rsid w:val="00316E0D"/>
    <w:rsid w:val="0031705B"/>
    <w:rsid w:val="0031706E"/>
    <w:rsid w:val="003173E0"/>
    <w:rsid w:val="003173E8"/>
    <w:rsid w:val="0031778B"/>
    <w:rsid w:val="003179AC"/>
    <w:rsid w:val="003179CB"/>
    <w:rsid w:val="003201B4"/>
    <w:rsid w:val="0032036A"/>
    <w:rsid w:val="003203FE"/>
    <w:rsid w:val="00320607"/>
    <w:rsid w:val="0032093D"/>
    <w:rsid w:val="00320A2D"/>
    <w:rsid w:val="00320B3B"/>
    <w:rsid w:val="00320C26"/>
    <w:rsid w:val="00321091"/>
    <w:rsid w:val="003212C1"/>
    <w:rsid w:val="00321368"/>
    <w:rsid w:val="00321419"/>
    <w:rsid w:val="00321484"/>
    <w:rsid w:val="0032183A"/>
    <w:rsid w:val="0032186D"/>
    <w:rsid w:val="00321900"/>
    <w:rsid w:val="00321904"/>
    <w:rsid w:val="00321A1A"/>
    <w:rsid w:val="00321A51"/>
    <w:rsid w:val="00321BF1"/>
    <w:rsid w:val="00321C09"/>
    <w:rsid w:val="00321E0F"/>
    <w:rsid w:val="00322336"/>
    <w:rsid w:val="0032241E"/>
    <w:rsid w:val="00322449"/>
    <w:rsid w:val="003224BD"/>
    <w:rsid w:val="0032263C"/>
    <w:rsid w:val="0032269A"/>
    <w:rsid w:val="00322716"/>
    <w:rsid w:val="00322CD9"/>
    <w:rsid w:val="00322D7B"/>
    <w:rsid w:val="00322E0A"/>
    <w:rsid w:val="00322F45"/>
    <w:rsid w:val="003233C2"/>
    <w:rsid w:val="00323452"/>
    <w:rsid w:val="00323566"/>
    <w:rsid w:val="00323993"/>
    <w:rsid w:val="00323B86"/>
    <w:rsid w:val="00323DF3"/>
    <w:rsid w:val="00324079"/>
    <w:rsid w:val="0032476E"/>
    <w:rsid w:val="00324775"/>
    <w:rsid w:val="003248EA"/>
    <w:rsid w:val="0032492A"/>
    <w:rsid w:val="00324AD4"/>
    <w:rsid w:val="00324B94"/>
    <w:rsid w:val="00324BB6"/>
    <w:rsid w:val="00324E7B"/>
    <w:rsid w:val="00324E94"/>
    <w:rsid w:val="00324F05"/>
    <w:rsid w:val="00325089"/>
    <w:rsid w:val="00325154"/>
    <w:rsid w:val="00325388"/>
    <w:rsid w:val="0032555F"/>
    <w:rsid w:val="00325A7A"/>
    <w:rsid w:val="00325B97"/>
    <w:rsid w:val="00325E0C"/>
    <w:rsid w:val="00326137"/>
    <w:rsid w:val="003263C5"/>
    <w:rsid w:val="00326420"/>
    <w:rsid w:val="00326550"/>
    <w:rsid w:val="003265AE"/>
    <w:rsid w:val="0032687C"/>
    <w:rsid w:val="00326A41"/>
    <w:rsid w:val="00326F93"/>
    <w:rsid w:val="00327067"/>
    <w:rsid w:val="003270BC"/>
    <w:rsid w:val="00327153"/>
    <w:rsid w:val="00327213"/>
    <w:rsid w:val="0032732F"/>
    <w:rsid w:val="0032746D"/>
    <w:rsid w:val="00327AA3"/>
    <w:rsid w:val="00327CF1"/>
    <w:rsid w:val="00327D31"/>
    <w:rsid w:val="00327E4B"/>
    <w:rsid w:val="003300FD"/>
    <w:rsid w:val="0033032D"/>
    <w:rsid w:val="00330767"/>
    <w:rsid w:val="00330995"/>
    <w:rsid w:val="00330D59"/>
    <w:rsid w:val="00330ED7"/>
    <w:rsid w:val="003310CD"/>
    <w:rsid w:val="00331443"/>
    <w:rsid w:val="003317B8"/>
    <w:rsid w:val="00331815"/>
    <w:rsid w:val="00331B0A"/>
    <w:rsid w:val="00331B1A"/>
    <w:rsid w:val="00332182"/>
    <w:rsid w:val="003323C4"/>
    <w:rsid w:val="00332448"/>
    <w:rsid w:val="0033267A"/>
    <w:rsid w:val="003327B3"/>
    <w:rsid w:val="00332A4F"/>
    <w:rsid w:val="00332B76"/>
    <w:rsid w:val="00332EE8"/>
    <w:rsid w:val="00333190"/>
    <w:rsid w:val="00333274"/>
    <w:rsid w:val="00333434"/>
    <w:rsid w:val="0033355B"/>
    <w:rsid w:val="003335A0"/>
    <w:rsid w:val="00333C4A"/>
    <w:rsid w:val="00333DC6"/>
    <w:rsid w:val="00333E7E"/>
    <w:rsid w:val="00333EFE"/>
    <w:rsid w:val="00333F4A"/>
    <w:rsid w:val="00334298"/>
    <w:rsid w:val="00334440"/>
    <w:rsid w:val="0033450F"/>
    <w:rsid w:val="00334D6A"/>
    <w:rsid w:val="0033507E"/>
    <w:rsid w:val="00335310"/>
    <w:rsid w:val="0033555E"/>
    <w:rsid w:val="003356DF"/>
    <w:rsid w:val="00335AEE"/>
    <w:rsid w:val="00335C7E"/>
    <w:rsid w:val="00335E40"/>
    <w:rsid w:val="00335E6C"/>
    <w:rsid w:val="003364E4"/>
    <w:rsid w:val="00336505"/>
    <w:rsid w:val="00336983"/>
    <w:rsid w:val="003369D1"/>
    <w:rsid w:val="00336A9C"/>
    <w:rsid w:val="00336B00"/>
    <w:rsid w:val="00336B8C"/>
    <w:rsid w:val="00336FBB"/>
    <w:rsid w:val="00337075"/>
    <w:rsid w:val="00337089"/>
    <w:rsid w:val="00337131"/>
    <w:rsid w:val="003374F4"/>
    <w:rsid w:val="00337514"/>
    <w:rsid w:val="00337750"/>
    <w:rsid w:val="0033781B"/>
    <w:rsid w:val="0033786B"/>
    <w:rsid w:val="00337B3E"/>
    <w:rsid w:val="00337D7D"/>
    <w:rsid w:val="00337FAF"/>
    <w:rsid w:val="0033A97B"/>
    <w:rsid w:val="003408A2"/>
    <w:rsid w:val="003408E7"/>
    <w:rsid w:val="00340A84"/>
    <w:rsid w:val="00340C8E"/>
    <w:rsid w:val="00340F64"/>
    <w:rsid w:val="00341222"/>
    <w:rsid w:val="00341593"/>
    <w:rsid w:val="00341BB5"/>
    <w:rsid w:val="00341E12"/>
    <w:rsid w:val="00341F89"/>
    <w:rsid w:val="0034222B"/>
    <w:rsid w:val="0034229F"/>
    <w:rsid w:val="0034243E"/>
    <w:rsid w:val="00342645"/>
    <w:rsid w:val="00342762"/>
    <w:rsid w:val="00342840"/>
    <w:rsid w:val="003429A4"/>
    <w:rsid w:val="003429A6"/>
    <w:rsid w:val="00342B67"/>
    <w:rsid w:val="00342D96"/>
    <w:rsid w:val="00342ED6"/>
    <w:rsid w:val="00342FF7"/>
    <w:rsid w:val="00343453"/>
    <w:rsid w:val="0034345F"/>
    <w:rsid w:val="003434A9"/>
    <w:rsid w:val="00343627"/>
    <w:rsid w:val="00343801"/>
    <w:rsid w:val="0034389E"/>
    <w:rsid w:val="00343A45"/>
    <w:rsid w:val="00343AB4"/>
    <w:rsid w:val="00343C51"/>
    <w:rsid w:val="00343CCB"/>
    <w:rsid w:val="00343E5E"/>
    <w:rsid w:val="0034419B"/>
    <w:rsid w:val="003442CD"/>
    <w:rsid w:val="0034463B"/>
    <w:rsid w:val="00344671"/>
    <w:rsid w:val="003446DC"/>
    <w:rsid w:val="00344824"/>
    <w:rsid w:val="00344ACE"/>
    <w:rsid w:val="00344D4D"/>
    <w:rsid w:val="00344E20"/>
    <w:rsid w:val="0034500B"/>
    <w:rsid w:val="003450AA"/>
    <w:rsid w:val="0034526A"/>
    <w:rsid w:val="003452F3"/>
    <w:rsid w:val="00345481"/>
    <w:rsid w:val="003454A9"/>
    <w:rsid w:val="003459FE"/>
    <w:rsid w:val="00345CCE"/>
    <w:rsid w:val="00345D10"/>
    <w:rsid w:val="00345D56"/>
    <w:rsid w:val="00346206"/>
    <w:rsid w:val="003462A2"/>
    <w:rsid w:val="003465C9"/>
    <w:rsid w:val="00346D61"/>
    <w:rsid w:val="00346ED4"/>
    <w:rsid w:val="003472AB"/>
    <w:rsid w:val="003473BE"/>
    <w:rsid w:val="003474CB"/>
    <w:rsid w:val="003475CF"/>
    <w:rsid w:val="00350146"/>
    <w:rsid w:val="00350164"/>
    <w:rsid w:val="00350293"/>
    <w:rsid w:val="003502D8"/>
    <w:rsid w:val="0035035C"/>
    <w:rsid w:val="003503CE"/>
    <w:rsid w:val="003503E3"/>
    <w:rsid w:val="003504A3"/>
    <w:rsid w:val="00350BC9"/>
    <w:rsid w:val="00350C25"/>
    <w:rsid w:val="00351241"/>
    <w:rsid w:val="00351278"/>
    <w:rsid w:val="00351286"/>
    <w:rsid w:val="0035136E"/>
    <w:rsid w:val="00351523"/>
    <w:rsid w:val="00351610"/>
    <w:rsid w:val="00351810"/>
    <w:rsid w:val="0035181E"/>
    <w:rsid w:val="003518E3"/>
    <w:rsid w:val="00351B58"/>
    <w:rsid w:val="00351CB4"/>
    <w:rsid w:val="00351D10"/>
    <w:rsid w:val="00351D4C"/>
    <w:rsid w:val="00351DB3"/>
    <w:rsid w:val="003520A4"/>
    <w:rsid w:val="0035217F"/>
    <w:rsid w:val="00352441"/>
    <w:rsid w:val="003525D3"/>
    <w:rsid w:val="00352619"/>
    <w:rsid w:val="00352714"/>
    <w:rsid w:val="003528CA"/>
    <w:rsid w:val="00352B16"/>
    <w:rsid w:val="00352CD6"/>
    <w:rsid w:val="00352D19"/>
    <w:rsid w:val="00352D21"/>
    <w:rsid w:val="00352DEF"/>
    <w:rsid w:val="00352FB2"/>
    <w:rsid w:val="00353763"/>
    <w:rsid w:val="00353C90"/>
    <w:rsid w:val="00353CC2"/>
    <w:rsid w:val="00353EC8"/>
    <w:rsid w:val="00353FD3"/>
    <w:rsid w:val="00354165"/>
    <w:rsid w:val="0035419E"/>
    <w:rsid w:val="0035427D"/>
    <w:rsid w:val="003544EA"/>
    <w:rsid w:val="00354508"/>
    <w:rsid w:val="00354968"/>
    <w:rsid w:val="0035498C"/>
    <w:rsid w:val="00354B62"/>
    <w:rsid w:val="00354DCA"/>
    <w:rsid w:val="00354DD7"/>
    <w:rsid w:val="003550F9"/>
    <w:rsid w:val="003551BB"/>
    <w:rsid w:val="00355218"/>
    <w:rsid w:val="00355370"/>
    <w:rsid w:val="00355437"/>
    <w:rsid w:val="00355606"/>
    <w:rsid w:val="0035583A"/>
    <w:rsid w:val="00355909"/>
    <w:rsid w:val="00355B2F"/>
    <w:rsid w:val="00355BA0"/>
    <w:rsid w:val="003560A9"/>
    <w:rsid w:val="00356178"/>
    <w:rsid w:val="003561D9"/>
    <w:rsid w:val="00356524"/>
    <w:rsid w:val="003567E4"/>
    <w:rsid w:val="003568B2"/>
    <w:rsid w:val="00356993"/>
    <w:rsid w:val="00356AF8"/>
    <w:rsid w:val="00356C75"/>
    <w:rsid w:val="003573D5"/>
    <w:rsid w:val="00357AB0"/>
    <w:rsid w:val="00357C9B"/>
    <w:rsid w:val="00357DA8"/>
    <w:rsid w:val="00357E0F"/>
    <w:rsid w:val="00357E32"/>
    <w:rsid w:val="00357E97"/>
    <w:rsid w:val="00360105"/>
    <w:rsid w:val="00360582"/>
    <w:rsid w:val="00360A7F"/>
    <w:rsid w:val="00360BF7"/>
    <w:rsid w:val="00361012"/>
    <w:rsid w:val="0036126D"/>
    <w:rsid w:val="00361455"/>
    <w:rsid w:val="0036168D"/>
    <w:rsid w:val="003616C2"/>
    <w:rsid w:val="00361A2C"/>
    <w:rsid w:val="00361D02"/>
    <w:rsid w:val="00361D15"/>
    <w:rsid w:val="00361F08"/>
    <w:rsid w:val="00362038"/>
    <w:rsid w:val="00362222"/>
    <w:rsid w:val="003624B1"/>
    <w:rsid w:val="00362ADC"/>
    <w:rsid w:val="00362C37"/>
    <w:rsid w:val="00362D13"/>
    <w:rsid w:val="00362D25"/>
    <w:rsid w:val="00362DA1"/>
    <w:rsid w:val="00363253"/>
    <w:rsid w:val="0036333D"/>
    <w:rsid w:val="00363756"/>
    <w:rsid w:val="00363A55"/>
    <w:rsid w:val="00363B29"/>
    <w:rsid w:val="00363CB8"/>
    <w:rsid w:val="00363EAC"/>
    <w:rsid w:val="00363EC1"/>
    <w:rsid w:val="003645B8"/>
    <w:rsid w:val="0036463B"/>
    <w:rsid w:val="003646A0"/>
    <w:rsid w:val="003646E2"/>
    <w:rsid w:val="00364825"/>
    <w:rsid w:val="0036485B"/>
    <w:rsid w:val="003648B9"/>
    <w:rsid w:val="00364AD7"/>
    <w:rsid w:val="00364B0E"/>
    <w:rsid w:val="00364C18"/>
    <w:rsid w:val="00364C20"/>
    <w:rsid w:val="00364F21"/>
    <w:rsid w:val="00364FED"/>
    <w:rsid w:val="00365337"/>
    <w:rsid w:val="003653CE"/>
    <w:rsid w:val="0036561B"/>
    <w:rsid w:val="0036569B"/>
    <w:rsid w:val="00365853"/>
    <w:rsid w:val="0036595C"/>
    <w:rsid w:val="0036598D"/>
    <w:rsid w:val="00365B05"/>
    <w:rsid w:val="00365ED1"/>
    <w:rsid w:val="003660D3"/>
    <w:rsid w:val="00366386"/>
    <w:rsid w:val="003663E9"/>
    <w:rsid w:val="00366709"/>
    <w:rsid w:val="003668F5"/>
    <w:rsid w:val="00366929"/>
    <w:rsid w:val="00366BEC"/>
    <w:rsid w:val="00366C6C"/>
    <w:rsid w:val="00366CCA"/>
    <w:rsid w:val="00366E0E"/>
    <w:rsid w:val="003672C6"/>
    <w:rsid w:val="003672FC"/>
    <w:rsid w:val="0036730A"/>
    <w:rsid w:val="003675C6"/>
    <w:rsid w:val="00367A5B"/>
    <w:rsid w:val="00367BCB"/>
    <w:rsid w:val="00367C08"/>
    <w:rsid w:val="00367C34"/>
    <w:rsid w:val="00367E8C"/>
    <w:rsid w:val="00370056"/>
    <w:rsid w:val="0037013F"/>
    <w:rsid w:val="003701CA"/>
    <w:rsid w:val="003702C1"/>
    <w:rsid w:val="0037056A"/>
    <w:rsid w:val="0037071F"/>
    <w:rsid w:val="0037084D"/>
    <w:rsid w:val="003708FC"/>
    <w:rsid w:val="00370A5E"/>
    <w:rsid w:val="00370AFC"/>
    <w:rsid w:val="00370C61"/>
    <w:rsid w:val="00370D82"/>
    <w:rsid w:val="00371454"/>
    <w:rsid w:val="00371585"/>
    <w:rsid w:val="003716F4"/>
    <w:rsid w:val="0037198E"/>
    <w:rsid w:val="00371AC0"/>
    <w:rsid w:val="00371B30"/>
    <w:rsid w:val="003720AA"/>
    <w:rsid w:val="003722BF"/>
    <w:rsid w:val="003722C4"/>
    <w:rsid w:val="003724AE"/>
    <w:rsid w:val="00372AD9"/>
    <w:rsid w:val="00372BC3"/>
    <w:rsid w:val="00372DC0"/>
    <w:rsid w:val="00372E29"/>
    <w:rsid w:val="00372E85"/>
    <w:rsid w:val="00372FC4"/>
    <w:rsid w:val="00373051"/>
    <w:rsid w:val="003732C5"/>
    <w:rsid w:val="003734F7"/>
    <w:rsid w:val="003738D6"/>
    <w:rsid w:val="003739D8"/>
    <w:rsid w:val="00373B4E"/>
    <w:rsid w:val="00373CBB"/>
    <w:rsid w:val="003742AA"/>
    <w:rsid w:val="003742B3"/>
    <w:rsid w:val="003742F8"/>
    <w:rsid w:val="00374391"/>
    <w:rsid w:val="00374694"/>
    <w:rsid w:val="0037477C"/>
    <w:rsid w:val="0037480C"/>
    <w:rsid w:val="003748B9"/>
    <w:rsid w:val="00374951"/>
    <w:rsid w:val="00374B45"/>
    <w:rsid w:val="00374C14"/>
    <w:rsid w:val="00374D48"/>
    <w:rsid w:val="00375335"/>
    <w:rsid w:val="0037555A"/>
    <w:rsid w:val="00375725"/>
    <w:rsid w:val="00375909"/>
    <w:rsid w:val="00375910"/>
    <w:rsid w:val="00375A6A"/>
    <w:rsid w:val="00375B35"/>
    <w:rsid w:val="00375BE3"/>
    <w:rsid w:val="00375C11"/>
    <w:rsid w:val="00375CE1"/>
    <w:rsid w:val="00375D20"/>
    <w:rsid w:val="00375F89"/>
    <w:rsid w:val="00375FA0"/>
    <w:rsid w:val="0037621F"/>
    <w:rsid w:val="0037622F"/>
    <w:rsid w:val="003763E7"/>
    <w:rsid w:val="0037644C"/>
    <w:rsid w:val="003769CF"/>
    <w:rsid w:val="00376F30"/>
    <w:rsid w:val="00376F72"/>
    <w:rsid w:val="00376F8D"/>
    <w:rsid w:val="00377030"/>
    <w:rsid w:val="0037704A"/>
    <w:rsid w:val="00377264"/>
    <w:rsid w:val="00377B6D"/>
    <w:rsid w:val="00377C3F"/>
    <w:rsid w:val="00377C40"/>
    <w:rsid w:val="00377C78"/>
    <w:rsid w:val="00377E2D"/>
    <w:rsid w:val="00377FAD"/>
    <w:rsid w:val="003801A4"/>
    <w:rsid w:val="00380231"/>
    <w:rsid w:val="003806D7"/>
    <w:rsid w:val="00380926"/>
    <w:rsid w:val="00380C5D"/>
    <w:rsid w:val="00380D3B"/>
    <w:rsid w:val="003811F5"/>
    <w:rsid w:val="00381463"/>
    <w:rsid w:val="0038164B"/>
    <w:rsid w:val="003816DD"/>
    <w:rsid w:val="00381B62"/>
    <w:rsid w:val="00381C9A"/>
    <w:rsid w:val="00381DF2"/>
    <w:rsid w:val="00381F20"/>
    <w:rsid w:val="0038207B"/>
    <w:rsid w:val="003824E1"/>
    <w:rsid w:val="0038259E"/>
    <w:rsid w:val="0038264A"/>
    <w:rsid w:val="00382C82"/>
    <w:rsid w:val="00383375"/>
    <w:rsid w:val="003833BD"/>
    <w:rsid w:val="00383429"/>
    <w:rsid w:val="00383471"/>
    <w:rsid w:val="0038351C"/>
    <w:rsid w:val="0038352C"/>
    <w:rsid w:val="003836C3"/>
    <w:rsid w:val="00383CD8"/>
    <w:rsid w:val="00383D25"/>
    <w:rsid w:val="00383F91"/>
    <w:rsid w:val="003840BF"/>
    <w:rsid w:val="003840CA"/>
    <w:rsid w:val="003843CE"/>
    <w:rsid w:val="0038467B"/>
    <w:rsid w:val="0038496A"/>
    <w:rsid w:val="00384A46"/>
    <w:rsid w:val="003851F1"/>
    <w:rsid w:val="003852C9"/>
    <w:rsid w:val="00385A0B"/>
    <w:rsid w:val="003864E9"/>
    <w:rsid w:val="00386C83"/>
    <w:rsid w:val="00386D03"/>
    <w:rsid w:val="00386FC1"/>
    <w:rsid w:val="003870B1"/>
    <w:rsid w:val="003871A5"/>
    <w:rsid w:val="0038769B"/>
    <w:rsid w:val="00390215"/>
    <w:rsid w:val="00390278"/>
    <w:rsid w:val="003905C7"/>
    <w:rsid w:val="00390705"/>
    <w:rsid w:val="00390B08"/>
    <w:rsid w:val="00390B85"/>
    <w:rsid w:val="00390E1C"/>
    <w:rsid w:val="003913C2"/>
    <w:rsid w:val="00391480"/>
    <w:rsid w:val="003915E8"/>
    <w:rsid w:val="003915F6"/>
    <w:rsid w:val="00391CB9"/>
    <w:rsid w:val="003920A7"/>
    <w:rsid w:val="003920E4"/>
    <w:rsid w:val="00392272"/>
    <w:rsid w:val="00392400"/>
    <w:rsid w:val="003928CE"/>
    <w:rsid w:val="0039301A"/>
    <w:rsid w:val="00393144"/>
    <w:rsid w:val="003933DC"/>
    <w:rsid w:val="003933EC"/>
    <w:rsid w:val="00393894"/>
    <w:rsid w:val="003939FF"/>
    <w:rsid w:val="00393A0D"/>
    <w:rsid w:val="00393B6A"/>
    <w:rsid w:val="00393C75"/>
    <w:rsid w:val="00393F1B"/>
    <w:rsid w:val="00393F59"/>
    <w:rsid w:val="0039409F"/>
    <w:rsid w:val="00394138"/>
    <w:rsid w:val="00394303"/>
    <w:rsid w:val="0039448B"/>
    <w:rsid w:val="00394711"/>
    <w:rsid w:val="00394B52"/>
    <w:rsid w:val="00394D0D"/>
    <w:rsid w:val="00394D9D"/>
    <w:rsid w:val="003950AD"/>
    <w:rsid w:val="00395900"/>
    <w:rsid w:val="00395B20"/>
    <w:rsid w:val="00395BFB"/>
    <w:rsid w:val="00395E7F"/>
    <w:rsid w:val="0039655F"/>
    <w:rsid w:val="003966F2"/>
    <w:rsid w:val="00396901"/>
    <w:rsid w:val="00396C2C"/>
    <w:rsid w:val="00396DA3"/>
    <w:rsid w:val="00396E2F"/>
    <w:rsid w:val="00396EB6"/>
    <w:rsid w:val="00396EC6"/>
    <w:rsid w:val="00396F32"/>
    <w:rsid w:val="00397055"/>
    <w:rsid w:val="0039710D"/>
    <w:rsid w:val="0039724C"/>
    <w:rsid w:val="003972B6"/>
    <w:rsid w:val="003973D5"/>
    <w:rsid w:val="003973F3"/>
    <w:rsid w:val="0039744C"/>
    <w:rsid w:val="00397689"/>
    <w:rsid w:val="00397714"/>
    <w:rsid w:val="00397994"/>
    <w:rsid w:val="00397AD1"/>
    <w:rsid w:val="003A0022"/>
    <w:rsid w:val="003A03D3"/>
    <w:rsid w:val="003A05B4"/>
    <w:rsid w:val="003A0C9E"/>
    <w:rsid w:val="003A0FA2"/>
    <w:rsid w:val="003A1025"/>
    <w:rsid w:val="003A105B"/>
    <w:rsid w:val="003A113A"/>
    <w:rsid w:val="003A123D"/>
    <w:rsid w:val="003A12B1"/>
    <w:rsid w:val="003A1B53"/>
    <w:rsid w:val="003A1D2F"/>
    <w:rsid w:val="003A1D7D"/>
    <w:rsid w:val="003A1DAC"/>
    <w:rsid w:val="003A1E0C"/>
    <w:rsid w:val="003A1E95"/>
    <w:rsid w:val="003A218C"/>
    <w:rsid w:val="003A21CE"/>
    <w:rsid w:val="003A22AA"/>
    <w:rsid w:val="003A23E2"/>
    <w:rsid w:val="003A23FE"/>
    <w:rsid w:val="003A2530"/>
    <w:rsid w:val="003A2796"/>
    <w:rsid w:val="003A285F"/>
    <w:rsid w:val="003A2ADC"/>
    <w:rsid w:val="003A2AED"/>
    <w:rsid w:val="003A2B55"/>
    <w:rsid w:val="003A2D5B"/>
    <w:rsid w:val="003A2D62"/>
    <w:rsid w:val="003A2E21"/>
    <w:rsid w:val="003A2EB0"/>
    <w:rsid w:val="003A31D8"/>
    <w:rsid w:val="003A3232"/>
    <w:rsid w:val="003A32EC"/>
    <w:rsid w:val="003A3400"/>
    <w:rsid w:val="003A397F"/>
    <w:rsid w:val="003A3A87"/>
    <w:rsid w:val="003A3B69"/>
    <w:rsid w:val="003A4040"/>
    <w:rsid w:val="003A45F9"/>
    <w:rsid w:val="003A478E"/>
    <w:rsid w:val="003A4C74"/>
    <w:rsid w:val="003A4E22"/>
    <w:rsid w:val="003A50B0"/>
    <w:rsid w:val="003A519C"/>
    <w:rsid w:val="003A53F2"/>
    <w:rsid w:val="003A54E5"/>
    <w:rsid w:val="003A565A"/>
    <w:rsid w:val="003A57BF"/>
    <w:rsid w:val="003A5B42"/>
    <w:rsid w:val="003A5B98"/>
    <w:rsid w:val="003A5BEB"/>
    <w:rsid w:val="003A5D4C"/>
    <w:rsid w:val="003A5DDE"/>
    <w:rsid w:val="003A624F"/>
    <w:rsid w:val="003A64CB"/>
    <w:rsid w:val="003A64D5"/>
    <w:rsid w:val="003A6697"/>
    <w:rsid w:val="003A672A"/>
    <w:rsid w:val="003A68AF"/>
    <w:rsid w:val="003A6A1A"/>
    <w:rsid w:val="003A6AEC"/>
    <w:rsid w:val="003A6E4F"/>
    <w:rsid w:val="003A7384"/>
    <w:rsid w:val="003A7689"/>
    <w:rsid w:val="003A7B11"/>
    <w:rsid w:val="003A7D1C"/>
    <w:rsid w:val="003A7D35"/>
    <w:rsid w:val="003B01C6"/>
    <w:rsid w:val="003B01E9"/>
    <w:rsid w:val="003B0444"/>
    <w:rsid w:val="003B0537"/>
    <w:rsid w:val="003B0FAB"/>
    <w:rsid w:val="003B15D0"/>
    <w:rsid w:val="003B1629"/>
    <w:rsid w:val="003B1800"/>
    <w:rsid w:val="003B1906"/>
    <w:rsid w:val="003B1CBE"/>
    <w:rsid w:val="003B1CEB"/>
    <w:rsid w:val="003B1EF9"/>
    <w:rsid w:val="003B1F52"/>
    <w:rsid w:val="003B2317"/>
    <w:rsid w:val="003B2875"/>
    <w:rsid w:val="003B29A8"/>
    <w:rsid w:val="003B2D8F"/>
    <w:rsid w:val="003B2DA8"/>
    <w:rsid w:val="003B2FF0"/>
    <w:rsid w:val="003B31C1"/>
    <w:rsid w:val="003B38C8"/>
    <w:rsid w:val="003B38EE"/>
    <w:rsid w:val="003B3EBF"/>
    <w:rsid w:val="003B427F"/>
    <w:rsid w:val="003B43C0"/>
    <w:rsid w:val="003B45CC"/>
    <w:rsid w:val="003B4BE8"/>
    <w:rsid w:val="003B50BA"/>
    <w:rsid w:val="003B53C5"/>
    <w:rsid w:val="003B54AB"/>
    <w:rsid w:val="003B54B6"/>
    <w:rsid w:val="003B5517"/>
    <w:rsid w:val="003B558C"/>
    <w:rsid w:val="003B560B"/>
    <w:rsid w:val="003B5813"/>
    <w:rsid w:val="003B5B86"/>
    <w:rsid w:val="003B5C3B"/>
    <w:rsid w:val="003B5C8B"/>
    <w:rsid w:val="003B5D60"/>
    <w:rsid w:val="003B5F23"/>
    <w:rsid w:val="003B5F69"/>
    <w:rsid w:val="003B6215"/>
    <w:rsid w:val="003B64E8"/>
    <w:rsid w:val="003B672A"/>
    <w:rsid w:val="003B6AB7"/>
    <w:rsid w:val="003B6B1F"/>
    <w:rsid w:val="003B6C3C"/>
    <w:rsid w:val="003B7023"/>
    <w:rsid w:val="003B7044"/>
    <w:rsid w:val="003B706C"/>
    <w:rsid w:val="003B7263"/>
    <w:rsid w:val="003B73B2"/>
    <w:rsid w:val="003B75CA"/>
    <w:rsid w:val="003B7747"/>
    <w:rsid w:val="003B7757"/>
    <w:rsid w:val="003B79C1"/>
    <w:rsid w:val="003B7FE0"/>
    <w:rsid w:val="003C02B3"/>
    <w:rsid w:val="003C0341"/>
    <w:rsid w:val="003C064D"/>
    <w:rsid w:val="003C0C41"/>
    <w:rsid w:val="003C0DF5"/>
    <w:rsid w:val="003C0F06"/>
    <w:rsid w:val="003C171A"/>
    <w:rsid w:val="003C18C6"/>
    <w:rsid w:val="003C1986"/>
    <w:rsid w:val="003C1B46"/>
    <w:rsid w:val="003C1C94"/>
    <w:rsid w:val="003C1CA3"/>
    <w:rsid w:val="003C1D36"/>
    <w:rsid w:val="003C23FB"/>
    <w:rsid w:val="003C244A"/>
    <w:rsid w:val="003C2577"/>
    <w:rsid w:val="003C2A13"/>
    <w:rsid w:val="003C2AF2"/>
    <w:rsid w:val="003C2C9C"/>
    <w:rsid w:val="003C310C"/>
    <w:rsid w:val="003C31B5"/>
    <w:rsid w:val="003C367F"/>
    <w:rsid w:val="003C3819"/>
    <w:rsid w:val="003C391F"/>
    <w:rsid w:val="003C3A49"/>
    <w:rsid w:val="003C3ECB"/>
    <w:rsid w:val="003C4916"/>
    <w:rsid w:val="003C4A0F"/>
    <w:rsid w:val="003C4A25"/>
    <w:rsid w:val="003C4C36"/>
    <w:rsid w:val="003C4CAB"/>
    <w:rsid w:val="003C4D88"/>
    <w:rsid w:val="003C4E16"/>
    <w:rsid w:val="003C50BF"/>
    <w:rsid w:val="003C514B"/>
    <w:rsid w:val="003C5151"/>
    <w:rsid w:val="003C51B0"/>
    <w:rsid w:val="003C558C"/>
    <w:rsid w:val="003C5B00"/>
    <w:rsid w:val="003C5B7F"/>
    <w:rsid w:val="003C5C84"/>
    <w:rsid w:val="003C5D50"/>
    <w:rsid w:val="003C5FB3"/>
    <w:rsid w:val="003C638F"/>
    <w:rsid w:val="003C6490"/>
    <w:rsid w:val="003C6654"/>
    <w:rsid w:val="003C67D4"/>
    <w:rsid w:val="003C6839"/>
    <w:rsid w:val="003C6913"/>
    <w:rsid w:val="003C69D2"/>
    <w:rsid w:val="003C6AF9"/>
    <w:rsid w:val="003C6CCB"/>
    <w:rsid w:val="003C6ED7"/>
    <w:rsid w:val="003C6F05"/>
    <w:rsid w:val="003C70CE"/>
    <w:rsid w:val="003C70D7"/>
    <w:rsid w:val="003C71A4"/>
    <w:rsid w:val="003C7287"/>
    <w:rsid w:val="003C73D7"/>
    <w:rsid w:val="003C74C4"/>
    <w:rsid w:val="003C7545"/>
    <w:rsid w:val="003C76B7"/>
    <w:rsid w:val="003C777F"/>
    <w:rsid w:val="003C7E49"/>
    <w:rsid w:val="003D00E0"/>
    <w:rsid w:val="003D012E"/>
    <w:rsid w:val="003D0131"/>
    <w:rsid w:val="003D02C3"/>
    <w:rsid w:val="003D0588"/>
    <w:rsid w:val="003D05DE"/>
    <w:rsid w:val="003D068B"/>
    <w:rsid w:val="003D0AD4"/>
    <w:rsid w:val="003D0AD9"/>
    <w:rsid w:val="003D0C46"/>
    <w:rsid w:val="003D0D38"/>
    <w:rsid w:val="003D0D9B"/>
    <w:rsid w:val="003D0F31"/>
    <w:rsid w:val="003D1ACA"/>
    <w:rsid w:val="003D1B67"/>
    <w:rsid w:val="003D1D8F"/>
    <w:rsid w:val="003D2161"/>
    <w:rsid w:val="003D218B"/>
    <w:rsid w:val="003D21A9"/>
    <w:rsid w:val="003D24CB"/>
    <w:rsid w:val="003D25DF"/>
    <w:rsid w:val="003D2940"/>
    <w:rsid w:val="003D2ED4"/>
    <w:rsid w:val="003D314E"/>
    <w:rsid w:val="003D358D"/>
    <w:rsid w:val="003D3723"/>
    <w:rsid w:val="003D37AC"/>
    <w:rsid w:val="003D3DD1"/>
    <w:rsid w:val="003D416B"/>
    <w:rsid w:val="003D41AE"/>
    <w:rsid w:val="003D4366"/>
    <w:rsid w:val="003D44C1"/>
    <w:rsid w:val="003D4931"/>
    <w:rsid w:val="003D4AF2"/>
    <w:rsid w:val="003D4C03"/>
    <w:rsid w:val="003D4E93"/>
    <w:rsid w:val="003D4ED0"/>
    <w:rsid w:val="003D4F29"/>
    <w:rsid w:val="003D4F4C"/>
    <w:rsid w:val="003D503B"/>
    <w:rsid w:val="003D51C4"/>
    <w:rsid w:val="003D5279"/>
    <w:rsid w:val="003D53AE"/>
    <w:rsid w:val="003D55D4"/>
    <w:rsid w:val="003D56D7"/>
    <w:rsid w:val="003D5785"/>
    <w:rsid w:val="003D578D"/>
    <w:rsid w:val="003D5936"/>
    <w:rsid w:val="003D599B"/>
    <w:rsid w:val="003D5C30"/>
    <w:rsid w:val="003D5D75"/>
    <w:rsid w:val="003D5FAC"/>
    <w:rsid w:val="003D610F"/>
    <w:rsid w:val="003D61F4"/>
    <w:rsid w:val="003D62F0"/>
    <w:rsid w:val="003D6AD3"/>
    <w:rsid w:val="003D6B3B"/>
    <w:rsid w:val="003D71AA"/>
    <w:rsid w:val="003D727D"/>
    <w:rsid w:val="003D7285"/>
    <w:rsid w:val="003D7321"/>
    <w:rsid w:val="003D74EA"/>
    <w:rsid w:val="003D758D"/>
    <w:rsid w:val="003D763B"/>
    <w:rsid w:val="003D7755"/>
    <w:rsid w:val="003D79D7"/>
    <w:rsid w:val="003D7A4D"/>
    <w:rsid w:val="003D7D4C"/>
    <w:rsid w:val="003D7FCF"/>
    <w:rsid w:val="003E02E3"/>
    <w:rsid w:val="003E046E"/>
    <w:rsid w:val="003E04FB"/>
    <w:rsid w:val="003E050A"/>
    <w:rsid w:val="003E0529"/>
    <w:rsid w:val="003E066E"/>
    <w:rsid w:val="003E0722"/>
    <w:rsid w:val="003E08D9"/>
    <w:rsid w:val="003E0CB8"/>
    <w:rsid w:val="003E0EA6"/>
    <w:rsid w:val="003E1016"/>
    <w:rsid w:val="003E1122"/>
    <w:rsid w:val="003E1477"/>
    <w:rsid w:val="003E15F7"/>
    <w:rsid w:val="003E16CE"/>
    <w:rsid w:val="003E16FA"/>
    <w:rsid w:val="003E191A"/>
    <w:rsid w:val="003E1B39"/>
    <w:rsid w:val="003E1BA4"/>
    <w:rsid w:val="003E1C2D"/>
    <w:rsid w:val="003E1CD3"/>
    <w:rsid w:val="003E2047"/>
    <w:rsid w:val="003E21C7"/>
    <w:rsid w:val="003E2750"/>
    <w:rsid w:val="003E2AAD"/>
    <w:rsid w:val="003E2BCC"/>
    <w:rsid w:val="003E319D"/>
    <w:rsid w:val="003E32AD"/>
    <w:rsid w:val="003E34C9"/>
    <w:rsid w:val="003E3590"/>
    <w:rsid w:val="003E38E4"/>
    <w:rsid w:val="003E3AB6"/>
    <w:rsid w:val="003E3B0F"/>
    <w:rsid w:val="003E3B87"/>
    <w:rsid w:val="003E3D91"/>
    <w:rsid w:val="003E403E"/>
    <w:rsid w:val="003E4074"/>
    <w:rsid w:val="003E40DA"/>
    <w:rsid w:val="003E4312"/>
    <w:rsid w:val="003E43CD"/>
    <w:rsid w:val="003E461C"/>
    <w:rsid w:val="003E4797"/>
    <w:rsid w:val="003E4DF1"/>
    <w:rsid w:val="003E4F0F"/>
    <w:rsid w:val="003E513C"/>
    <w:rsid w:val="003E524B"/>
    <w:rsid w:val="003E52C9"/>
    <w:rsid w:val="003E540E"/>
    <w:rsid w:val="003E5842"/>
    <w:rsid w:val="003E59FF"/>
    <w:rsid w:val="003E5BA3"/>
    <w:rsid w:val="003E5EB5"/>
    <w:rsid w:val="003E6117"/>
    <w:rsid w:val="003E612C"/>
    <w:rsid w:val="003E61FB"/>
    <w:rsid w:val="003E622D"/>
    <w:rsid w:val="003E6288"/>
    <w:rsid w:val="003E662C"/>
    <w:rsid w:val="003E6846"/>
    <w:rsid w:val="003E6852"/>
    <w:rsid w:val="003E68DB"/>
    <w:rsid w:val="003E6D24"/>
    <w:rsid w:val="003E71A5"/>
    <w:rsid w:val="003E7738"/>
    <w:rsid w:val="003E795A"/>
    <w:rsid w:val="003E7972"/>
    <w:rsid w:val="003E7B50"/>
    <w:rsid w:val="003E7C46"/>
    <w:rsid w:val="003E7FD8"/>
    <w:rsid w:val="003F017F"/>
    <w:rsid w:val="003F0247"/>
    <w:rsid w:val="003F032B"/>
    <w:rsid w:val="003F0580"/>
    <w:rsid w:val="003F083D"/>
    <w:rsid w:val="003F0A99"/>
    <w:rsid w:val="003F0B1E"/>
    <w:rsid w:val="003F0C0C"/>
    <w:rsid w:val="003F0C67"/>
    <w:rsid w:val="003F0F1F"/>
    <w:rsid w:val="003F10CA"/>
    <w:rsid w:val="003F115A"/>
    <w:rsid w:val="003F11F2"/>
    <w:rsid w:val="003F15C3"/>
    <w:rsid w:val="003F179F"/>
    <w:rsid w:val="003F1A53"/>
    <w:rsid w:val="003F1B3C"/>
    <w:rsid w:val="003F1BD4"/>
    <w:rsid w:val="003F1CC5"/>
    <w:rsid w:val="003F1F98"/>
    <w:rsid w:val="003F1FCF"/>
    <w:rsid w:val="003F2014"/>
    <w:rsid w:val="003F20BA"/>
    <w:rsid w:val="003F226F"/>
    <w:rsid w:val="003F2521"/>
    <w:rsid w:val="003F278D"/>
    <w:rsid w:val="003F2828"/>
    <w:rsid w:val="003F2A59"/>
    <w:rsid w:val="003F2C65"/>
    <w:rsid w:val="003F3149"/>
    <w:rsid w:val="003F3438"/>
    <w:rsid w:val="003F34A2"/>
    <w:rsid w:val="003F3812"/>
    <w:rsid w:val="003F394B"/>
    <w:rsid w:val="003F3A4F"/>
    <w:rsid w:val="003F3A9F"/>
    <w:rsid w:val="003F3B2A"/>
    <w:rsid w:val="003F3BC9"/>
    <w:rsid w:val="003F3C2A"/>
    <w:rsid w:val="003F3EF5"/>
    <w:rsid w:val="003F3F09"/>
    <w:rsid w:val="003F4252"/>
    <w:rsid w:val="003F42E5"/>
    <w:rsid w:val="003F4707"/>
    <w:rsid w:val="003F4818"/>
    <w:rsid w:val="003F4AAC"/>
    <w:rsid w:val="003F4C66"/>
    <w:rsid w:val="003F4E20"/>
    <w:rsid w:val="003F4EAC"/>
    <w:rsid w:val="003F56F8"/>
    <w:rsid w:val="003F596F"/>
    <w:rsid w:val="003F59D3"/>
    <w:rsid w:val="003F5A47"/>
    <w:rsid w:val="003F5A53"/>
    <w:rsid w:val="003F5D89"/>
    <w:rsid w:val="003F5DD8"/>
    <w:rsid w:val="003F5F42"/>
    <w:rsid w:val="003F60F2"/>
    <w:rsid w:val="003F6388"/>
    <w:rsid w:val="003F64E0"/>
    <w:rsid w:val="003F6696"/>
    <w:rsid w:val="003F67B6"/>
    <w:rsid w:val="003F67DC"/>
    <w:rsid w:val="003F6808"/>
    <w:rsid w:val="003F6AAF"/>
    <w:rsid w:val="003F6D2B"/>
    <w:rsid w:val="003F6F5B"/>
    <w:rsid w:val="003F7458"/>
    <w:rsid w:val="003F77B4"/>
    <w:rsid w:val="003F77B7"/>
    <w:rsid w:val="003F78E2"/>
    <w:rsid w:val="003F7AF1"/>
    <w:rsid w:val="003F7CF3"/>
    <w:rsid w:val="004001B5"/>
    <w:rsid w:val="00400659"/>
    <w:rsid w:val="00400A65"/>
    <w:rsid w:val="00400B8C"/>
    <w:rsid w:val="00400CFD"/>
    <w:rsid w:val="00400EAD"/>
    <w:rsid w:val="00400F50"/>
    <w:rsid w:val="00400FD8"/>
    <w:rsid w:val="004013C7"/>
    <w:rsid w:val="00401413"/>
    <w:rsid w:val="0040168B"/>
    <w:rsid w:val="00401840"/>
    <w:rsid w:val="004018E2"/>
    <w:rsid w:val="004018F6"/>
    <w:rsid w:val="00401BAE"/>
    <w:rsid w:val="00401D31"/>
    <w:rsid w:val="00401D8A"/>
    <w:rsid w:val="00401E3F"/>
    <w:rsid w:val="00402098"/>
    <w:rsid w:val="00402175"/>
    <w:rsid w:val="004023F3"/>
    <w:rsid w:val="0040254E"/>
    <w:rsid w:val="004026AC"/>
    <w:rsid w:val="004026C6"/>
    <w:rsid w:val="0040272F"/>
    <w:rsid w:val="00402A11"/>
    <w:rsid w:val="00402B26"/>
    <w:rsid w:val="00402CF5"/>
    <w:rsid w:val="00402D32"/>
    <w:rsid w:val="00402F9B"/>
    <w:rsid w:val="004033BF"/>
    <w:rsid w:val="004034B5"/>
    <w:rsid w:val="004039BB"/>
    <w:rsid w:val="00403A5C"/>
    <w:rsid w:val="00403AC4"/>
    <w:rsid w:val="00403D9B"/>
    <w:rsid w:val="00403EA2"/>
    <w:rsid w:val="00404167"/>
    <w:rsid w:val="004041AE"/>
    <w:rsid w:val="00404592"/>
    <w:rsid w:val="0040459C"/>
    <w:rsid w:val="00404628"/>
    <w:rsid w:val="00404698"/>
    <w:rsid w:val="00404D1F"/>
    <w:rsid w:val="00404E96"/>
    <w:rsid w:val="0040560A"/>
    <w:rsid w:val="00405779"/>
    <w:rsid w:val="00405A70"/>
    <w:rsid w:val="00405E46"/>
    <w:rsid w:val="0040618E"/>
    <w:rsid w:val="00406425"/>
    <w:rsid w:val="00406795"/>
    <w:rsid w:val="004067EC"/>
    <w:rsid w:val="00406935"/>
    <w:rsid w:val="00406992"/>
    <w:rsid w:val="00406A43"/>
    <w:rsid w:val="00406D51"/>
    <w:rsid w:val="00406DF1"/>
    <w:rsid w:val="00406E0C"/>
    <w:rsid w:val="00406EBA"/>
    <w:rsid w:val="0040710D"/>
    <w:rsid w:val="00407130"/>
    <w:rsid w:val="0040725D"/>
    <w:rsid w:val="00407476"/>
    <w:rsid w:val="00407527"/>
    <w:rsid w:val="004079D2"/>
    <w:rsid w:val="00407AAA"/>
    <w:rsid w:val="00407B2A"/>
    <w:rsid w:val="00407B7E"/>
    <w:rsid w:val="00407CFD"/>
    <w:rsid w:val="00410088"/>
    <w:rsid w:val="00410150"/>
    <w:rsid w:val="004102BE"/>
    <w:rsid w:val="00410397"/>
    <w:rsid w:val="00410CB7"/>
    <w:rsid w:val="00410EB2"/>
    <w:rsid w:val="0041102A"/>
    <w:rsid w:val="004111C2"/>
    <w:rsid w:val="00411329"/>
    <w:rsid w:val="0041139F"/>
    <w:rsid w:val="004114E7"/>
    <w:rsid w:val="00411515"/>
    <w:rsid w:val="004116B7"/>
    <w:rsid w:val="00411724"/>
    <w:rsid w:val="004117A8"/>
    <w:rsid w:val="0041182C"/>
    <w:rsid w:val="00411AE8"/>
    <w:rsid w:val="00411D79"/>
    <w:rsid w:val="004123CD"/>
    <w:rsid w:val="0041241D"/>
    <w:rsid w:val="00412421"/>
    <w:rsid w:val="0041246B"/>
    <w:rsid w:val="004124AC"/>
    <w:rsid w:val="004127B9"/>
    <w:rsid w:val="004127F2"/>
    <w:rsid w:val="00412955"/>
    <w:rsid w:val="00412B5E"/>
    <w:rsid w:val="00412C28"/>
    <w:rsid w:val="0041301A"/>
    <w:rsid w:val="0041317C"/>
    <w:rsid w:val="004131BC"/>
    <w:rsid w:val="004133C7"/>
    <w:rsid w:val="004136C4"/>
    <w:rsid w:val="00413965"/>
    <w:rsid w:val="00413990"/>
    <w:rsid w:val="00413AC1"/>
    <w:rsid w:val="00413CA7"/>
    <w:rsid w:val="00413CF0"/>
    <w:rsid w:val="00413DF5"/>
    <w:rsid w:val="004140E2"/>
    <w:rsid w:val="004140F2"/>
    <w:rsid w:val="0041463D"/>
    <w:rsid w:val="00414855"/>
    <w:rsid w:val="00414A92"/>
    <w:rsid w:val="00414C5E"/>
    <w:rsid w:val="00414E81"/>
    <w:rsid w:val="00414EA6"/>
    <w:rsid w:val="0041516A"/>
    <w:rsid w:val="0041569D"/>
    <w:rsid w:val="00415A61"/>
    <w:rsid w:val="00415BFD"/>
    <w:rsid w:val="00415F37"/>
    <w:rsid w:val="00415F7E"/>
    <w:rsid w:val="0041603A"/>
    <w:rsid w:val="00416319"/>
    <w:rsid w:val="00416649"/>
    <w:rsid w:val="0041667F"/>
    <w:rsid w:val="00416D92"/>
    <w:rsid w:val="004172D5"/>
    <w:rsid w:val="00417744"/>
    <w:rsid w:val="00417795"/>
    <w:rsid w:val="0041787F"/>
    <w:rsid w:val="00417AC0"/>
    <w:rsid w:val="00417AC7"/>
    <w:rsid w:val="00417B7F"/>
    <w:rsid w:val="00417ECF"/>
    <w:rsid w:val="00417F90"/>
    <w:rsid w:val="00417FE7"/>
    <w:rsid w:val="00417FFE"/>
    <w:rsid w:val="00420123"/>
    <w:rsid w:val="0042087C"/>
    <w:rsid w:val="00420A45"/>
    <w:rsid w:val="00420BE5"/>
    <w:rsid w:val="00420CD4"/>
    <w:rsid w:val="00420CEE"/>
    <w:rsid w:val="00420E91"/>
    <w:rsid w:val="00420EDA"/>
    <w:rsid w:val="0042109F"/>
    <w:rsid w:val="00421311"/>
    <w:rsid w:val="0042148A"/>
    <w:rsid w:val="00421821"/>
    <w:rsid w:val="00421874"/>
    <w:rsid w:val="00421A2E"/>
    <w:rsid w:val="00421E25"/>
    <w:rsid w:val="004220F4"/>
    <w:rsid w:val="0042215C"/>
    <w:rsid w:val="00422385"/>
    <w:rsid w:val="00422527"/>
    <w:rsid w:val="004227F9"/>
    <w:rsid w:val="004228F9"/>
    <w:rsid w:val="00422CA1"/>
    <w:rsid w:val="00422EA0"/>
    <w:rsid w:val="00423318"/>
    <w:rsid w:val="004234C7"/>
    <w:rsid w:val="00423A07"/>
    <w:rsid w:val="00423B64"/>
    <w:rsid w:val="00423BD8"/>
    <w:rsid w:val="00423DAA"/>
    <w:rsid w:val="00423E8E"/>
    <w:rsid w:val="0042402B"/>
    <w:rsid w:val="0042408F"/>
    <w:rsid w:val="004247C0"/>
    <w:rsid w:val="004248FB"/>
    <w:rsid w:val="00424A25"/>
    <w:rsid w:val="00424AD3"/>
    <w:rsid w:val="00424CB6"/>
    <w:rsid w:val="00424CC4"/>
    <w:rsid w:val="00424FCB"/>
    <w:rsid w:val="0042541E"/>
    <w:rsid w:val="00425605"/>
    <w:rsid w:val="004257DC"/>
    <w:rsid w:val="00425CE2"/>
    <w:rsid w:val="00425DF0"/>
    <w:rsid w:val="00425EDC"/>
    <w:rsid w:val="004263DF"/>
    <w:rsid w:val="00426534"/>
    <w:rsid w:val="00426A1B"/>
    <w:rsid w:val="00426ACD"/>
    <w:rsid w:val="00426B9F"/>
    <w:rsid w:val="00426BE6"/>
    <w:rsid w:val="00426D5C"/>
    <w:rsid w:val="00427679"/>
    <w:rsid w:val="00427806"/>
    <w:rsid w:val="00427843"/>
    <w:rsid w:val="00427A2D"/>
    <w:rsid w:val="00430076"/>
    <w:rsid w:val="004300A0"/>
    <w:rsid w:val="004302B8"/>
    <w:rsid w:val="00430316"/>
    <w:rsid w:val="00430328"/>
    <w:rsid w:val="00430786"/>
    <w:rsid w:val="00430A76"/>
    <w:rsid w:val="00430B37"/>
    <w:rsid w:val="00430C6E"/>
    <w:rsid w:val="00430C9D"/>
    <w:rsid w:val="0043121A"/>
    <w:rsid w:val="00431418"/>
    <w:rsid w:val="0043174C"/>
    <w:rsid w:val="00431825"/>
    <w:rsid w:val="00431AA3"/>
    <w:rsid w:val="00431BF3"/>
    <w:rsid w:val="004321D3"/>
    <w:rsid w:val="00432280"/>
    <w:rsid w:val="00432809"/>
    <w:rsid w:val="00432A61"/>
    <w:rsid w:val="0043308C"/>
    <w:rsid w:val="00433109"/>
    <w:rsid w:val="004332D2"/>
    <w:rsid w:val="004334A8"/>
    <w:rsid w:val="00433EB4"/>
    <w:rsid w:val="00433FF1"/>
    <w:rsid w:val="0043411D"/>
    <w:rsid w:val="00434333"/>
    <w:rsid w:val="0043439C"/>
    <w:rsid w:val="00434590"/>
    <w:rsid w:val="00434775"/>
    <w:rsid w:val="00434856"/>
    <w:rsid w:val="004349CA"/>
    <w:rsid w:val="00434A1C"/>
    <w:rsid w:val="00434ADC"/>
    <w:rsid w:val="00434FDF"/>
    <w:rsid w:val="0043504D"/>
    <w:rsid w:val="004350AE"/>
    <w:rsid w:val="00435354"/>
    <w:rsid w:val="00435657"/>
    <w:rsid w:val="004357C8"/>
    <w:rsid w:val="00435ACC"/>
    <w:rsid w:val="00435C58"/>
    <w:rsid w:val="00435F78"/>
    <w:rsid w:val="00436178"/>
    <w:rsid w:val="0043625B"/>
    <w:rsid w:val="0043648F"/>
    <w:rsid w:val="00436797"/>
    <w:rsid w:val="00436875"/>
    <w:rsid w:val="00436A11"/>
    <w:rsid w:val="00436AF5"/>
    <w:rsid w:val="00436C8B"/>
    <w:rsid w:val="00436C97"/>
    <w:rsid w:val="00436E93"/>
    <w:rsid w:val="00437124"/>
    <w:rsid w:val="0043733F"/>
    <w:rsid w:val="0043743E"/>
    <w:rsid w:val="00437711"/>
    <w:rsid w:val="004378D2"/>
    <w:rsid w:val="004379F6"/>
    <w:rsid w:val="00437C99"/>
    <w:rsid w:val="00437E83"/>
    <w:rsid w:val="00440108"/>
    <w:rsid w:val="00440133"/>
    <w:rsid w:val="00440658"/>
    <w:rsid w:val="004406D1"/>
    <w:rsid w:val="0044090A"/>
    <w:rsid w:val="00440A9E"/>
    <w:rsid w:val="00440E18"/>
    <w:rsid w:val="00440F19"/>
    <w:rsid w:val="00440F90"/>
    <w:rsid w:val="004411A4"/>
    <w:rsid w:val="00441392"/>
    <w:rsid w:val="00441514"/>
    <w:rsid w:val="0044166F"/>
    <w:rsid w:val="004417BA"/>
    <w:rsid w:val="00441881"/>
    <w:rsid w:val="00441936"/>
    <w:rsid w:val="00441A26"/>
    <w:rsid w:val="00441BB4"/>
    <w:rsid w:val="00441CEB"/>
    <w:rsid w:val="00441E57"/>
    <w:rsid w:val="00441FD9"/>
    <w:rsid w:val="00442567"/>
    <w:rsid w:val="00442569"/>
    <w:rsid w:val="00442991"/>
    <w:rsid w:val="00442ABB"/>
    <w:rsid w:val="00442B37"/>
    <w:rsid w:val="00442B7F"/>
    <w:rsid w:val="00442BFE"/>
    <w:rsid w:val="00442E07"/>
    <w:rsid w:val="0044305F"/>
    <w:rsid w:val="0044309E"/>
    <w:rsid w:val="00443211"/>
    <w:rsid w:val="00443364"/>
    <w:rsid w:val="004434C4"/>
    <w:rsid w:val="00443A9E"/>
    <w:rsid w:val="00443D5F"/>
    <w:rsid w:val="00443D82"/>
    <w:rsid w:val="00443F08"/>
    <w:rsid w:val="00443F0B"/>
    <w:rsid w:val="00443F0C"/>
    <w:rsid w:val="004441E2"/>
    <w:rsid w:val="00444333"/>
    <w:rsid w:val="004449FD"/>
    <w:rsid w:val="00444A70"/>
    <w:rsid w:val="00444B42"/>
    <w:rsid w:val="00444E40"/>
    <w:rsid w:val="00444F78"/>
    <w:rsid w:val="00445064"/>
    <w:rsid w:val="00445109"/>
    <w:rsid w:val="0044516D"/>
    <w:rsid w:val="004454A8"/>
    <w:rsid w:val="004454B5"/>
    <w:rsid w:val="004454FC"/>
    <w:rsid w:val="00445633"/>
    <w:rsid w:val="004456B6"/>
    <w:rsid w:val="0044572F"/>
    <w:rsid w:val="00445970"/>
    <w:rsid w:val="00445AC8"/>
    <w:rsid w:val="00445C3A"/>
    <w:rsid w:val="00445CC2"/>
    <w:rsid w:val="00445E70"/>
    <w:rsid w:val="00445F93"/>
    <w:rsid w:val="004461EC"/>
    <w:rsid w:val="004467C3"/>
    <w:rsid w:val="0044681B"/>
    <w:rsid w:val="004468F2"/>
    <w:rsid w:val="0044698D"/>
    <w:rsid w:val="00446ACC"/>
    <w:rsid w:val="00446D02"/>
    <w:rsid w:val="00446EDD"/>
    <w:rsid w:val="00446F47"/>
    <w:rsid w:val="004471A8"/>
    <w:rsid w:val="00447792"/>
    <w:rsid w:val="00447B72"/>
    <w:rsid w:val="00447E9A"/>
    <w:rsid w:val="004501AA"/>
    <w:rsid w:val="00450247"/>
    <w:rsid w:val="004508C6"/>
    <w:rsid w:val="004511F4"/>
    <w:rsid w:val="00451237"/>
    <w:rsid w:val="004515B5"/>
    <w:rsid w:val="004519A2"/>
    <w:rsid w:val="00451C67"/>
    <w:rsid w:val="00451E10"/>
    <w:rsid w:val="00452109"/>
    <w:rsid w:val="00452143"/>
    <w:rsid w:val="004521AC"/>
    <w:rsid w:val="004523DF"/>
    <w:rsid w:val="00452708"/>
    <w:rsid w:val="00452789"/>
    <w:rsid w:val="00452930"/>
    <w:rsid w:val="00452EA6"/>
    <w:rsid w:val="00452FEF"/>
    <w:rsid w:val="00453071"/>
    <w:rsid w:val="00453303"/>
    <w:rsid w:val="004535DE"/>
    <w:rsid w:val="00453AE6"/>
    <w:rsid w:val="00453D0B"/>
    <w:rsid w:val="00453DD2"/>
    <w:rsid w:val="00454099"/>
    <w:rsid w:val="004542D3"/>
    <w:rsid w:val="0045435B"/>
    <w:rsid w:val="00454672"/>
    <w:rsid w:val="0045476D"/>
    <w:rsid w:val="00454A6F"/>
    <w:rsid w:val="00454BB3"/>
    <w:rsid w:val="00454D66"/>
    <w:rsid w:val="00454DC3"/>
    <w:rsid w:val="00454E77"/>
    <w:rsid w:val="00454F46"/>
    <w:rsid w:val="00454F8D"/>
    <w:rsid w:val="004550F7"/>
    <w:rsid w:val="00455669"/>
    <w:rsid w:val="004559F4"/>
    <w:rsid w:val="00455BA7"/>
    <w:rsid w:val="00455D67"/>
    <w:rsid w:val="004560E4"/>
    <w:rsid w:val="0045647B"/>
    <w:rsid w:val="00456756"/>
    <w:rsid w:val="00456B0B"/>
    <w:rsid w:val="00456C57"/>
    <w:rsid w:val="00456C92"/>
    <w:rsid w:val="00456D4A"/>
    <w:rsid w:val="00457691"/>
    <w:rsid w:val="004577D5"/>
    <w:rsid w:val="004577ED"/>
    <w:rsid w:val="004578A3"/>
    <w:rsid w:val="00460062"/>
    <w:rsid w:val="0046007C"/>
    <w:rsid w:val="00460167"/>
    <w:rsid w:val="004601D2"/>
    <w:rsid w:val="00460408"/>
    <w:rsid w:val="0046063B"/>
    <w:rsid w:val="00460882"/>
    <w:rsid w:val="00460A21"/>
    <w:rsid w:val="00460BC6"/>
    <w:rsid w:val="00460D3C"/>
    <w:rsid w:val="00460FAD"/>
    <w:rsid w:val="0046101A"/>
    <w:rsid w:val="004616DC"/>
    <w:rsid w:val="004617F0"/>
    <w:rsid w:val="00461886"/>
    <w:rsid w:val="00461B10"/>
    <w:rsid w:val="00461BD1"/>
    <w:rsid w:val="00461C0B"/>
    <w:rsid w:val="00461FF4"/>
    <w:rsid w:val="00462283"/>
    <w:rsid w:val="00462759"/>
    <w:rsid w:val="00462809"/>
    <w:rsid w:val="00462847"/>
    <w:rsid w:val="00462B41"/>
    <w:rsid w:val="00462CA4"/>
    <w:rsid w:val="00462D72"/>
    <w:rsid w:val="00463246"/>
    <w:rsid w:val="0046361A"/>
    <w:rsid w:val="00463A2B"/>
    <w:rsid w:val="00463B50"/>
    <w:rsid w:val="00463DEE"/>
    <w:rsid w:val="00463EA0"/>
    <w:rsid w:val="00464115"/>
    <w:rsid w:val="004648A6"/>
    <w:rsid w:val="004649F4"/>
    <w:rsid w:val="00464C8D"/>
    <w:rsid w:val="00464D59"/>
    <w:rsid w:val="00464E75"/>
    <w:rsid w:val="00465D4D"/>
    <w:rsid w:val="00465EB7"/>
    <w:rsid w:val="00465F44"/>
    <w:rsid w:val="00465FB1"/>
    <w:rsid w:val="00466188"/>
    <w:rsid w:val="00466585"/>
    <w:rsid w:val="004665D7"/>
    <w:rsid w:val="0046698D"/>
    <w:rsid w:val="00466B25"/>
    <w:rsid w:val="00466D92"/>
    <w:rsid w:val="00466E69"/>
    <w:rsid w:val="00466E6F"/>
    <w:rsid w:val="00467076"/>
    <w:rsid w:val="00467083"/>
    <w:rsid w:val="004673CD"/>
    <w:rsid w:val="00467508"/>
    <w:rsid w:val="00467A2A"/>
    <w:rsid w:val="00467C81"/>
    <w:rsid w:val="00467E20"/>
    <w:rsid w:val="00467E77"/>
    <w:rsid w:val="004700C3"/>
    <w:rsid w:val="0047014B"/>
    <w:rsid w:val="0047053D"/>
    <w:rsid w:val="00470835"/>
    <w:rsid w:val="004708C0"/>
    <w:rsid w:val="00470F4C"/>
    <w:rsid w:val="004713CC"/>
    <w:rsid w:val="00471851"/>
    <w:rsid w:val="004718E5"/>
    <w:rsid w:val="004719B2"/>
    <w:rsid w:val="00471C32"/>
    <w:rsid w:val="00471E3C"/>
    <w:rsid w:val="004721B9"/>
    <w:rsid w:val="0047224F"/>
    <w:rsid w:val="00472575"/>
    <w:rsid w:val="00472606"/>
    <w:rsid w:val="00472693"/>
    <w:rsid w:val="004727ED"/>
    <w:rsid w:val="00472A41"/>
    <w:rsid w:val="00472AD4"/>
    <w:rsid w:val="00472B40"/>
    <w:rsid w:val="00472B58"/>
    <w:rsid w:val="00472E40"/>
    <w:rsid w:val="00472E52"/>
    <w:rsid w:val="00472F03"/>
    <w:rsid w:val="0047318C"/>
    <w:rsid w:val="00473614"/>
    <w:rsid w:val="004737BA"/>
    <w:rsid w:val="004738E6"/>
    <w:rsid w:val="004739A4"/>
    <w:rsid w:val="00473A72"/>
    <w:rsid w:val="00473BA9"/>
    <w:rsid w:val="00473DE2"/>
    <w:rsid w:val="00473E05"/>
    <w:rsid w:val="00473EEB"/>
    <w:rsid w:val="00474109"/>
    <w:rsid w:val="004744BF"/>
    <w:rsid w:val="00474808"/>
    <w:rsid w:val="00474DDE"/>
    <w:rsid w:val="00474EF8"/>
    <w:rsid w:val="004750E1"/>
    <w:rsid w:val="004750ED"/>
    <w:rsid w:val="004753C8"/>
    <w:rsid w:val="0047574C"/>
    <w:rsid w:val="0047590D"/>
    <w:rsid w:val="00475C45"/>
    <w:rsid w:val="0047607F"/>
    <w:rsid w:val="004760D4"/>
    <w:rsid w:val="0047642B"/>
    <w:rsid w:val="004764E9"/>
    <w:rsid w:val="004764ED"/>
    <w:rsid w:val="00476D61"/>
    <w:rsid w:val="00476EC6"/>
    <w:rsid w:val="00477030"/>
    <w:rsid w:val="00477209"/>
    <w:rsid w:val="00477934"/>
    <w:rsid w:val="00477A9C"/>
    <w:rsid w:val="00477D38"/>
    <w:rsid w:val="00480000"/>
    <w:rsid w:val="004801C3"/>
    <w:rsid w:val="00480208"/>
    <w:rsid w:val="00480553"/>
    <w:rsid w:val="004806D2"/>
    <w:rsid w:val="00480819"/>
    <w:rsid w:val="0048082E"/>
    <w:rsid w:val="00480BA9"/>
    <w:rsid w:val="00480DAE"/>
    <w:rsid w:val="00481241"/>
    <w:rsid w:val="004812A1"/>
    <w:rsid w:val="004813C2"/>
    <w:rsid w:val="00481411"/>
    <w:rsid w:val="004815A1"/>
    <w:rsid w:val="0048170F"/>
    <w:rsid w:val="004817B5"/>
    <w:rsid w:val="004817F0"/>
    <w:rsid w:val="00481854"/>
    <w:rsid w:val="00481860"/>
    <w:rsid w:val="00481904"/>
    <w:rsid w:val="00481BCC"/>
    <w:rsid w:val="00481C18"/>
    <w:rsid w:val="00482139"/>
    <w:rsid w:val="0048230B"/>
    <w:rsid w:val="00482C7C"/>
    <w:rsid w:val="00483069"/>
    <w:rsid w:val="004830C2"/>
    <w:rsid w:val="004832ED"/>
    <w:rsid w:val="00483367"/>
    <w:rsid w:val="004833D1"/>
    <w:rsid w:val="0048345D"/>
    <w:rsid w:val="00483E8A"/>
    <w:rsid w:val="0048432F"/>
    <w:rsid w:val="00484371"/>
    <w:rsid w:val="0048459C"/>
    <w:rsid w:val="00484613"/>
    <w:rsid w:val="0048461A"/>
    <w:rsid w:val="00484681"/>
    <w:rsid w:val="0048468F"/>
    <w:rsid w:val="004846DE"/>
    <w:rsid w:val="004848C4"/>
    <w:rsid w:val="0048491B"/>
    <w:rsid w:val="00484D67"/>
    <w:rsid w:val="00484E85"/>
    <w:rsid w:val="004850EA"/>
    <w:rsid w:val="004854C5"/>
    <w:rsid w:val="0048568F"/>
    <w:rsid w:val="004857BB"/>
    <w:rsid w:val="00485B04"/>
    <w:rsid w:val="00485B6C"/>
    <w:rsid w:val="00485BE0"/>
    <w:rsid w:val="00485EA0"/>
    <w:rsid w:val="00486088"/>
    <w:rsid w:val="00486550"/>
    <w:rsid w:val="0048675C"/>
    <w:rsid w:val="00486A1B"/>
    <w:rsid w:val="00487A61"/>
    <w:rsid w:val="00487ADE"/>
    <w:rsid w:val="00487AF8"/>
    <w:rsid w:val="00487B04"/>
    <w:rsid w:val="00487B66"/>
    <w:rsid w:val="00487CE2"/>
    <w:rsid w:val="00487F8E"/>
    <w:rsid w:val="00490523"/>
    <w:rsid w:val="00490792"/>
    <w:rsid w:val="00490CB2"/>
    <w:rsid w:val="00490DBE"/>
    <w:rsid w:val="00490DD0"/>
    <w:rsid w:val="00491064"/>
    <w:rsid w:val="00491081"/>
    <w:rsid w:val="00491082"/>
    <w:rsid w:val="00491130"/>
    <w:rsid w:val="004912C4"/>
    <w:rsid w:val="004914D9"/>
    <w:rsid w:val="0049153A"/>
    <w:rsid w:val="00491835"/>
    <w:rsid w:val="00491881"/>
    <w:rsid w:val="0049189C"/>
    <w:rsid w:val="0049194F"/>
    <w:rsid w:val="004919E3"/>
    <w:rsid w:val="004919F2"/>
    <w:rsid w:val="00491C10"/>
    <w:rsid w:val="00491E34"/>
    <w:rsid w:val="00491FF0"/>
    <w:rsid w:val="00492015"/>
    <w:rsid w:val="004923C8"/>
    <w:rsid w:val="0049255F"/>
    <w:rsid w:val="004927AE"/>
    <w:rsid w:val="00492810"/>
    <w:rsid w:val="00492BBD"/>
    <w:rsid w:val="00492CD4"/>
    <w:rsid w:val="00492D69"/>
    <w:rsid w:val="00493052"/>
    <w:rsid w:val="004931C0"/>
    <w:rsid w:val="0049325D"/>
    <w:rsid w:val="00493347"/>
    <w:rsid w:val="0049364A"/>
    <w:rsid w:val="004936E1"/>
    <w:rsid w:val="004938B9"/>
    <w:rsid w:val="00493A2E"/>
    <w:rsid w:val="00493E56"/>
    <w:rsid w:val="0049433B"/>
    <w:rsid w:val="0049469D"/>
    <w:rsid w:val="0049482E"/>
    <w:rsid w:val="00494875"/>
    <w:rsid w:val="0049495F"/>
    <w:rsid w:val="004949A4"/>
    <w:rsid w:val="00494A52"/>
    <w:rsid w:val="00494B2E"/>
    <w:rsid w:val="00494D85"/>
    <w:rsid w:val="00494DEC"/>
    <w:rsid w:val="00494E2B"/>
    <w:rsid w:val="00494E85"/>
    <w:rsid w:val="004951AE"/>
    <w:rsid w:val="004951FB"/>
    <w:rsid w:val="00495431"/>
    <w:rsid w:val="0049543C"/>
    <w:rsid w:val="00495518"/>
    <w:rsid w:val="004955EB"/>
    <w:rsid w:val="00495A8F"/>
    <w:rsid w:val="00495BEE"/>
    <w:rsid w:val="00495D64"/>
    <w:rsid w:val="00495F3E"/>
    <w:rsid w:val="00496089"/>
    <w:rsid w:val="004961AA"/>
    <w:rsid w:val="004962AA"/>
    <w:rsid w:val="00496311"/>
    <w:rsid w:val="004963C8"/>
    <w:rsid w:val="0049664C"/>
    <w:rsid w:val="004966D7"/>
    <w:rsid w:val="0049694B"/>
    <w:rsid w:val="004969CA"/>
    <w:rsid w:val="00496CDA"/>
    <w:rsid w:val="00496EC7"/>
    <w:rsid w:val="00496EF5"/>
    <w:rsid w:val="00497267"/>
    <w:rsid w:val="004972D4"/>
    <w:rsid w:val="004975E8"/>
    <w:rsid w:val="004978B8"/>
    <w:rsid w:val="004979A4"/>
    <w:rsid w:val="004979D2"/>
    <w:rsid w:val="00497FFE"/>
    <w:rsid w:val="004A09B0"/>
    <w:rsid w:val="004A0A6A"/>
    <w:rsid w:val="004A0B98"/>
    <w:rsid w:val="004A103B"/>
    <w:rsid w:val="004A15D0"/>
    <w:rsid w:val="004A161F"/>
    <w:rsid w:val="004A1812"/>
    <w:rsid w:val="004A1CFF"/>
    <w:rsid w:val="004A1D34"/>
    <w:rsid w:val="004A1EB7"/>
    <w:rsid w:val="004A1FA1"/>
    <w:rsid w:val="004A235D"/>
    <w:rsid w:val="004A24DC"/>
    <w:rsid w:val="004A259C"/>
    <w:rsid w:val="004A27EB"/>
    <w:rsid w:val="004A2DC2"/>
    <w:rsid w:val="004A2EB0"/>
    <w:rsid w:val="004A2ED1"/>
    <w:rsid w:val="004A332A"/>
    <w:rsid w:val="004A3331"/>
    <w:rsid w:val="004A3741"/>
    <w:rsid w:val="004A3813"/>
    <w:rsid w:val="004A3D05"/>
    <w:rsid w:val="004A3F30"/>
    <w:rsid w:val="004A4A49"/>
    <w:rsid w:val="004A4B9C"/>
    <w:rsid w:val="004A4DAB"/>
    <w:rsid w:val="004A4EE4"/>
    <w:rsid w:val="004A4FC3"/>
    <w:rsid w:val="004A5008"/>
    <w:rsid w:val="004A50EC"/>
    <w:rsid w:val="004A520D"/>
    <w:rsid w:val="004A5299"/>
    <w:rsid w:val="004A55B5"/>
    <w:rsid w:val="004A56A2"/>
    <w:rsid w:val="004A57F6"/>
    <w:rsid w:val="004A5B11"/>
    <w:rsid w:val="004A5D7C"/>
    <w:rsid w:val="004A60A9"/>
    <w:rsid w:val="004A60B8"/>
    <w:rsid w:val="004A6421"/>
    <w:rsid w:val="004A6480"/>
    <w:rsid w:val="004A64EA"/>
    <w:rsid w:val="004A65E3"/>
    <w:rsid w:val="004A6EC3"/>
    <w:rsid w:val="004A6FFB"/>
    <w:rsid w:val="004A7002"/>
    <w:rsid w:val="004A7086"/>
    <w:rsid w:val="004A7450"/>
    <w:rsid w:val="004A767F"/>
    <w:rsid w:val="004A78F7"/>
    <w:rsid w:val="004A7A11"/>
    <w:rsid w:val="004A7AF1"/>
    <w:rsid w:val="004A7B03"/>
    <w:rsid w:val="004A7B1F"/>
    <w:rsid w:val="004A7C70"/>
    <w:rsid w:val="004A7E2B"/>
    <w:rsid w:val="004B04D8"/>
    <w:rsid w:val="004B0521"/>
    <w:rsid w:val="004B08A5"/>
    <w:rsid w:val="004B08B3"/>
    <w:rsid w:val="004B0BCF"/>
    <w:rsid w:val="004B0F5C"/>
    <w:rsid w:val="004B1031"/>
    <w:rsid w:val="004B105E"/>
    <w:rsid w:val="004B1111"/>
    <w:rsid w:val="004B121E"/>
    <w:rsid w:val="004B122A"/>
    <w:rsid w:val="004B1568"/>
    <w:rsid w:val="004B1589"/>
    <w:rsid w:val="004B15A7"/>
    <w:rsid w:val="004B16C4"/>
    <w:rsid w:val="004B181F"/>
    <w:rsid w:val="004B1AD4"/>
    <w:rsid w:val="004B1C30"/>
    <w:rsid w:val="004B1FA1"/>
    <w:rsid w:val="004B1FBE"/>
    <w:rsid w:val="004B20FD"/>
    <w:rsid w:val="004B2153"/>
    <w:rsid w:val="004B22A9"/>
    <w:rsid w:val="004B25F3"/>
    <w:rsid w:val="004B27FB"/>
    <w:rsid w:val="004B29DF"/>
    <w:rsid w:val="004B2C37"/>
    <w:rsid w:val="004B2C65"/>
    <w:rsid w:val="004B2D42"/>
    <w:rsid w:val="004B2D94"/>
    <w:rsid w:val="004B3832"/>
    <w:rsid w:val="004B3B11"/>
    <w:rsid w:val="004B3B5F"/>
    <w:rsid w:val="004B416A"/>
    <w:rsid w:val="004B445E"/>
    <w:rsid w:val="004B4687"/>
    <w:rsid w:val="004B46EF"/>
    <w:rsid w:val="004B4E19"/>
    <w:rsid w:val="004B503E"/>
    <w:rsid w:val="004B5240"/>
    <w:rsid w:val="004B534C"/>
    <w:rsid w:val="004B5560"/>
    <w:rsid w:val="004B57AE"/>
    <w:rsid w:val="004B57B4"/>
    <w:rsid w:val="004B5A7F"/>
    <w:rsid w:val="004B5C9D"/>
    <w:rsid w:val="004B5FC6"/>
    <w:rsid w:val="004B6086"/>
    <w:rsid w:val="004B6227"/>
    <w:rsid w:val="004B6247"/>
    <w:rsid w:val="004B630C"/>
    <w:rsid w:val="004B67EC"/>
    <w:rsid w:val="004B6928"/>
    <w:rsid w:val="004B6AA3"/>
    <w:rsid w:val="004B6D75"/>
    <w:rsid w:val="004B6E6B"/>
    <w:rsid w:val="004B705D"/>
    <w:rsid w:val="004B70A5"/>
    <w:rsid w:val="004B70A7"/>
    <w:rsid w:val="004B725B"/>
    <w:rsid w:val="004B7901"/>
    <w:rsid w:val="004B7C1F"/>
    <w:rsid w:val="004C0029"/>
    <w:rsid w:val="004C0121"/>
    <w:rsid w:val="004C0707"/>
    <w:rsid w:val="004C07B8"/>
    <w:rsid w:val="004C08D8"/>
    <w:rsid w:val="004C0E13"/>
    <w:rsid w:val="004C0EDC"/>
    <w:rsid w:val="004C13BF"/>
    <w:rsid w:val="004C198C"/>
    <w:rsid w:val="004C1B1A"/>
    <w:rsid w:val="004C1D91"/>
    <w:rsid w:val="004C1E76"/>
    <w:rsid w:val="004C1ED2"/>
    <w:rsid w:val="004C1F81"/>
    <w:rsid w:val="004C205E"/>
    <w:rsid w:val="004C2101"/>
    <w:rsid w:val="004C2455"/>
    <w:rsid w:val="004C255F"/>
    <w:rsid w:val="004C260F"/>
    <w:rsid w:val="004C287F"/>
    <w:rsid w:val="004C2ADD"/>
    <w:rsid w:val="004C32DD"/>
    <w:rsid w:val="004C33B9"/>
    <w:rsid w:val="004C340B"/>
    <w:rsid w:val="004C3426"/>
    <w:rsid w:val="004C361F"/>
    <w:rsid w:val="004C3747"/>
    <w:rsid w:val="004C3748"/>
    <w:rsid w:val="004C3767"/>
    <w:rsid w:val="004C37B2"/>
    <w:rsid w:val="004C38D0"/>
    <w:rsid w:val="004C3978"/>
    <w:rsid w:val="004C3B2D"/>
    <w:rsid w:val="004C3C43"/>
    <w:rsid w:val="004C3CEA"/>
    <w:rsid w:val="004C3F1B"/>
    <w:rsid w:val="004C464B"/>
    <w:rsid w:val="004C4860"/>
    <w:rsid w:val="004C4949"/>
    <w:rsid w:val="004C4B68"/>
    <w:rsid w:val="004C4B9E"/>
    <w:rsid w:val="004C4CD2"/>
    <w:rsid w:val="004C5224"/>
    <w:rsid w:val="004C54F0"/>
    <w:rsid w:val="004C55C7"/>
    <w:rsid w:val="004C577F"/>
    <w:rsid w:val="004C581C"/>
    <w:rsid w:val="004C5E1E"/>
    <w:rsid w:val="004C60AC"/>
    <w:rsid w:val="004C62CE"/>
    <w:rsid w:val="004C67FF"/>
    <w:rsid w:val="004C6855"/>
    <w:rsid w:val="004C686E"/>
    <w:rsid w:val="004C6A52"/>
    <w:rsid w:val="004C6CEE"/>
    <w:rsid w:val="004C6E67"/>
    <w:rsid w:val="004C6F61"/>
    <w:rsid w:val="004C74BB"/>
    <w:rsid w:val="004C7825"/>
    <w:rsid w:val="004C79EE"/>
    <w:rsid w:val="004C7AA0"/>
    <w:rsid w:val="004C7BE1"/>
    <w:rsid w:val="004C7CB9"/>
    <w:rsid w:val="004C7E66"/>
    <w:rsid w:val="004C7E95"/>
    <w:rsid w:val="004C7FA4"/>
    <w:rsid w:val="004D00A4"/>
    <w:rsid w:val="004D03A7"/>
    <w:rsid w:val="004D05A0"/>
    <w:rsid w:val="004D088C"/>
    <w:rsid w:val="004D0935"/>
    <w:rsid w:val="004D0B19"/>
    <w:rsid w:val="004D0BC0"/>
    <w:rsid w:val="004D0C34"/>
    <w:rsid w:val="004D0CFF"/>
    <w:rsid w:val="004D0EB0"/>
    <w:rsid w:val="004D0F5C"/>
    <w:rsid w:val="004D0FAA"/>
    <w:rsid w:val="004D11EF"/>
    <w:rsid w:val="004D12B8"/>
    <w:rsid w:val="004D13AD"/>
    <w:rsid w:val="004D1467"/>
    <w:rsid w:val="004D149B"/>
    <w:rsid w:val="004D15C4"/>
    <w:rsid w:val="004D1740"/>
    <w:rsid w:val="004D1751"/>
    <w:rsid w:val="004D17A6"/>
    <w:rsid w:val="004D18E3"/>
    <w:rsid w:val="004D1D22"/>
    <w:rsid w:val="004D1EA5"/>
    <w:rsid w:val="004D1FB4"/>
    <w:rsid w:val="004D20DB"/>
    <w:rsid w:val="004D215F"/>
    <w:rsid w:val="004D27BD"/>
    <w:rsid w:val="004D28DB"/>
    <w:rsid w:val="004D29AF"/>
    <w:rsid w:val="004D29DF"/>
    <w:rsid w:val="004D2AEB"/>
    <w:rsid w:val="004D2C7B"/>
    <w:rsid w:val="004D2D41"/>
    <w:rsid w:val="004D2EF3"/>
    <w:rsid w:val="004D2FFC"/>
    <w:rsid w:val="004D318F"/>
    <w:rsid w:val="004D31C0"/>
    <w:rsid w:val="004D3686"/>
    <w:rsid w:val="004D37B2"/>
    <w:rsid w:val="004D383B"/>
    <w:rsid w:val="004D3D38"/>
    <w:rsid w:val="004D3DD3"/>
    <w:rsid w:val="004D3E6C"/>
    <w:rsid w:val="004D41A5"/>
    <w:rsid w:val="004D4207"/>
    <w:rsid w:val="004D4267"/>
    <w:rsid w:val="004D485D"/>
    <w:rsid w:val="004D4873"/>
    <w:rsid w:val="004D4ADD"/>
    <w:rsid w:val="004D4C3A"/>
    <w:rsid w:val="004D4C9F"/>
    <w:rsid w:val="004D4CF1"/>
    <w:rsid w:val="004D4F26"/>
    <w:rsid w:val="004D4FCB"/>
    <w:rsid w:val="004D511B"/>
    <w:rsid w:val="004D5445"/>
    <w:rsid w:val="004D557C"/>
    <w:rsid w:val="004D57ED"/>
    <w:rsid w:val="004D5948"/>
    <w:rsid w:val="004D594C"/>
    <w:rsid w:val="004D59D7"/>
    <w:rsid w:val="004D5C6A"/>
    <w:rsid w:val="004D5C97"/>
    <w:rsid w:val="004D5E24"/>
    <w:rsid w:val="004D5EF8"/>
    <w:rsid w:val="004D5FC9"/>
    <w:rsid w:val="004D6037"/>
    <w:rsid w:val="004D613D"/>
    <w:rsid w:val="004D61A4"/>
    <w:rsid w:val="004D61B0"/>
    <w:rsid w:val="004D6764"/>
    <w:rsid w:val="004D6957"/>
    <w:rsid w:val="004D6BA3"/>
    <w:rsid w:val="004D6C6C"/>
    <w:rsid w:val="004D6D27"/>
    <w:rsid w:val="004D6F0C"/>
    <w:rsid w:val="004D7012"/>
    <w:rsid w:val="004D7390"/>
    <w:rsid w:val="004D73DC"/>
    <w:rsid w:val="004D768A"/>
    <w:rsid w:val="004D7BB3"/>
    <w:rsid w:val="004E01F4"/>
    <w:rsid w:val="004E0347"/>
    <w:rsid w:val="004E05C9"/>
    <w:rsid w:val="004E06AC"/>
    <w:rsid w:val="004E0FC9"/>
    <w:rsid w:val="004E134F"/>
    <w:rsid w:val="004E1496"/>
    <w:rsid w:val="004E162C"/>
    <w:rsid w:val="004E1A11"/>
    <w:rsid w:val="004E1D14"/>
    <w:rsid w:val="004E23E7"/>
    <w:rsid w:val="004E2BF2"/>
    <w:rsid w:val="004E2E8B"/>
    <w:rsid w:val="004E31E6"/>
    <w:rsid w:val="004E345F"/>
    <w:rsid w:val="004E357D"/>
    <w:rsid w:val="004E364B"/>
    <w:rsid w:val="004E36D5"/>
    <w:rsid w:val="004E376B"/>
    <w:rsid w:val="004E38BD"/>
    <w:rsid w:val="004E3906"/>
    <w:rsid w:val="004E3C37"/>
    <w:rsid w:val="004E3E16"/>
    <w:rsid w:val="004E44E2"/>
    <w:rsid w:val="004E455A"/>
    <w:rsid w:val="004E45E5"/>
    <w:rsid w:val="004E47C0"/>
    <w:rsid w:val="004E4856"/>
    <w:rsid w:val="004E491C"/>
    <w:rsid w:val="004E4D40"/>
    <w:rsid w:val="004E4F22"/>
    <w:rsid w:val="004E4F68"/>
    <w:rsid w:val="004E4F95"/>
    <w:rsid w:val="004E4FCA"/>
    <w:rsid w:val="004E4FFC"/>
    <w:rsid w:val="004E52C6"/>
    <w:rsid w:val="004E5430"/>
    <w:rsid w:val="004E55E7"/>
    <w:rsid w:val="004E5901"/>
    <w:rsid w:val="004E59D3"/>
    <w:rsid w:val="004E5CB8"/>
    <w:rsid w:val="004E5D47"/>
    <w:rsid w:val="004E6176"/>
    <w:rsid w:val="004E635D"/>
    <w:rsid w:val="004E6399"/>
    <w:rsid w:val="004E6424"/>
    <w:rsid w:val="004E6450"/>
    <w:rsid w:val="004E6569"/>
    <w:rsid w:val="004E658D"/>
    <w:rsid w:val="004E6C1D"/>
    <w:rsid w:val="004E6FB5"/>
    <w:rsid w:val="004E708C"/>
    <w:rsid w:val="004E70FA"/>
    <w:rsid w:val="004E7160"/>
    <w:rsid w:val="004E718B"/>
    <w:rsid w:val="004E71A6"/>
    <w:rsid w:val="004E735C"/>
    <w:rsid w:val="004E770D"/>
    <w:rsid w:val="004E77A8"/>
    <w:rsid w:val="004E77EC"/>
    <w:rsid w:val="004E7A39"/>
    <w:rsid w:val="004E7DA1"/>
    <w:rsid w:val="004E7DBC"/>
    <w:rsid w:val="004F01B9"/>
    <w:rsid w:val="004F01C2"/>
    <w:rsid w:val="004F0201"/>
    <w:rsid w:val="004F02A6"/>
    <w:rsid w:val="004F0DF5"/>
    <w:rsid w:val="004F10AC"/>
    <w:rsid w:val="004F11AC"/>
    <w:rsid w:val="004F11C4"/>
    <w:rsid w:val="004F1268"/>
    <w:rsid w:val="004F12BE"/>
    <w:rsid w:val="004F13BE"/>
    <w:rsid w:val="004F15FA"/>
    <w:rsid w:val="004F183C"/>
    <w:rsid w:val="004F195A"/>
    <w:rsid w:val="004F1CAC"/>
    <w:rsid w:val="004F1E41"/>
    <w:rsid w:val="004F24C8"/>
    <w:rsid w:val="004F262B"/>
    <w:rsid w:val="004F28CC"/>
    <w:rsid w:val="004F2A56"/>
    <w:rsid w:val="004F2D8A"/>
    <w:rsid w:val="004F304D"/>
    <w:rsid w:val="004F3522"/>
    <w:rsid w:val="004F3740"/>
    <w:rsid w:val="004F397D"/>
    <w:rsid w:val="004F3A75"/>
    <w:rsid w:val="004F3D6A"/>
    <w:rsid w:val="004F3D70"/>
    <w:rsid w:val="004F3E3C"/>
    <w:rsid w:val="004F4049"/>
    <w:rsid w:val="004F4116"/>
    <w:rsid w:val="004F42B6"/>
    <w:rsid w:val="004F4528"/>
    <w:rsid w:val="004F4571"/>
    <w:rsid w:val="004F493F"/>
    <w:rsid w:val="004F49DA"/>
    <w:rsid w:val="004F4AC9"/>
    <w:rsid w:val="004F4B3B"/>
    <w:rsid w:val="004F4D6F"/>
    <w:rsid w:val="004F5042"/>
    <w:rsid w:val="004F51BB"/>
    <w:rsid w:val="004F5214"/>
    <w:rsid w:val="004F5488"/>
    <w:rsid w:val="004F56A5"/>
    <w:rsid w:val="004F5800"/>
    <w:rsid w:val="004F59E1"/>
    <w:rsid w:val="004F5A37"/>
    <w:rsid w:val="004F5DC6"/>
    <w:rsid w:val="004F609E"/>
    <w:rsid w:val="004F60C0"/>
    <w:rsid w:val="004F6343"/>
    <w:rsid w:val="004F644A"/>
    <w:rsid w:val="004F6680"/>
    <w:rsid w:val="004F6879"/>
    <w:rsid w:val="004F68DD"/>
    <w:rsid w:val="004F69A7"/>
    <w:rsid w:val="004F6AD3"/>
    <w:rsid w:val="004F6B0B"/>
    <w:rsid w:val="004F6E4F"/>
    <w:rsid w:val="004F7115"/>
    <w:rsid w:val="004F7188"/>
    <w:rsid w:val="004F7411"/>
    <w:rsid w:val="004F7530"/>
    <w:rsid w:val="004F754C"/>
    <w:rsid w:val="004F78FC"/>
    <w:rsid w:val="004F7C6E"/>
    <w:rsid w:val="004F7FC1"/>
    <w:rsid w:val="00500054"/>
    <w:rsid w:val="005000D7"/>
    <w:rsid w:val="0050013C"/>
    <w:rsid w:val="0050019A"/>
    <w:rsid w:val="00500213"/>
    <w:rsid w:val="00500346"/>
    <w:rsid w:val="005003A1"/>
    <w:rsid w:val="005006A5"/>
    <w:rsid w:val="0050071D"/>
    <w:rsid w:val="00500A2D"/>
    <w:rsid w:val="00500A63"/>
    <w:rsid w:val="00500BFF"/>
    <w:rsid w:val="00500DCA"/>
    <w:rsid w:val="00500DF7"/>
    <w:rsid w:val="00500E49"/>
    <w:rsid w:val="00501916"/>
    <w:rsid w:val="00501CEA"/>
    <w:rsid w:val="00501EEB"/>
    <w:rsid w:val="005023E6"/>
    <w:rsid w:val="005024CC"/>
    <w:rsid w:val="00502550"/>
    <w:rsid w:val="00502566"/>
    <w:rsid w:val="00502642"/>
    <w:rsid w:val="00502719"/>
    <w:rsid w:val="005027C3"/>
    <w:rsid w:val="0050284F"/>
    <w:rsid w:val="005028C0"/>
    <w:rsid w:val="005028DD"/>
    <w:rsid w:val="00502AF4"/>
    <w:rsid w:val="00502C25"/>
    <w:rsid w:val="00502F23"/>
    <w:rsid w:val="00503246"/>
    <w:rsid w:val="00503510"/>
    <w:rsid w:val="0050364F"/>
    <w:rsid w:val="0050388D"/>
    <w:rsid w:val="0050389E"/>
    <w:rsid w:val="005038CF"/>
    <w:rsid w:val="00503AE2"/>
    <w:rsid w:val="00503B02"/>
    <w:rsid w:val="00503C2A"/>
    <w:rsid w:val="00503D3E"/>
    <w:rsid w:val="00503E0A"/>
    <w:rsid w:val="00503ED7"/>
    <w:rsid w:val="00503F9C"/>
    <w:rsid w:val="005047AF"/>
    <w:rsid w:val="005047EA"/>
    <w:rsid w:val="00504B07"/>
    <w:rsid w:val="0050500C"/>
    <w:rsid w:val="00505099"/>
    <w:rsid w:val="00505227"/>
    <w:rsid w:val="00505350"/>
    <w:rsid w:val="005056DC"/>
    <w:rsid w:val="005058B2"/>
    <w:rsid w:val="00505A16"/>
    <w:rsid w:val="005065D9"/>
    <w:rsid w:val="0050663D"/>
    <w:rsid w:val="005068E8"/>
    <w:rsid w:val="00506946"/>
    <w:rsid w:val="00506952"/>
    <w:rsid w:val="00506A82"/>
    <w:rsid w:val="00506AC4"/>
    <w:rsid w:val="00506DAB"/>
    <w:rsid w:val="00506E33"/>
    <w:rsid w:val="00506EA2"/>
    <w:rsid w:val="00507225"/>
    <w:rsid w:val="00507751"/>
    <w:rsid w:val="005077AA"/>
    <w:rsid w:val="00507808"/>
    <w:rsid w:val="00507AAC"/>
    <w:rsid w:val="00507B56"/>
    <w:rsid w:val="00507B6D"/>
    <w:rsid w:val="00507CF2"/>
    <w:rsid w:val="005104AD"/>
    <w:rsid w:val="005105E6"/>
    <w:rsid w:val="0051061C"/>
    <w:rsid w:val="005107E0"/>
    <w:rsid w:val="00510938"/>
    <w:rsid w:val="00510BCD"/>
    <w:rsid w:val="00510D91"/>
    <w:rsid w:val="00510EDB"/>
    <w:rsid w:val="00510FE5"/>
    <w:rsid w:val="005113C0"/>
    <w:rsid w:val="00511411"/>
    <w:rsid w:val="0051149F"/>
    <w:rsid w:val="0051154D"/>
    <w:rsid w:val="005117FC"/>
    <w:rsid w:val="0051183C"/>
    <w:rsid w:val="0051195D"/>
    <w:rsid w:val="00511D60"/>
    <w:rsid w:val="00511F44"/>
    <w:rsid w:val="005120F4"/>
    <w:rsid w:val="00512788"/>
    <w:rsid w:val="0051294C"/>
    <w:rsid w:val="00512A8A"/>
    <w:rsid w:val="00512AAD"/>
    <w:rsid w:val="00512EBC"/>
    <w:rsid w:val="00512F11"/>
    <w:rsid w:val="00513660"/>
    <w:rsid w:val="005136C1"/>
    <w:rsid w:val="005137A7"/>
    <w:rsid w:val="0051396C"/>
    <w:rsid w:val="00513D9E"/>
    <w:rsid w:val="0051414A"/>
    <w:rsid w:val="00514249"/>
    <w:rsid w:val="005146CA"/>
    <w:rsid w:val="0051482E"/>
    <w:rsid w:val="00514AE9"/>
    <w:rsid w:val="00514DF7"/>
    <w:rsid w:val="0051512E"/>
    <w:rsid w:val="005153D2"/>
    <w:rsid w:val="005157AA"/>
    <w:rsid w:val="00515821"/>
    <w:rsid w:val="00515861"/>
    <w:rsid w:val="005158F3"/>
    <w:rsid w:val="00515B01"/>
    <w:rsid w:val="00515C22"/>
    <w:rsid w:val="00515D0B"/>
    <w:rsid w:val="00515F25"/>
    <w:rsid w:val="0051600A"/>
    <w:rsid w:val="005162B3"/>
    <w:rsid w:val="005162F5"/>
    <w:rsid w:val="005162F6"/>
    <w:rsid w:val="00516308"/>
    <w:rsid w:val="0051699F"/>
    <w:rsid w:val="00516A8D"/>
    <w:rsid w:val="00516EF1"/>
    <w:rsid w:val="00516FF9"/>
    <w:rsid w:val="005171A9"/>
    <w:rsid w:val="00517399"/>
    <w:rsid w:val="00517720"/>
    <w:rsid w:val="00517728"/>
    <w:rsid w:val="005179B1"/>
    <w:rsid w:val="005179CC"/>
    <w:rsid w:val="00517E03"/>
    <w:rsid w:val="00517EFE"/>
    <w:rsid w:val="0052057A"/>
    <w:rsid w:val="0052086F"/>
    <w:rsid w:val="00520B7F"/>
    <w:rsid w:val="00520FF7"/>
    <w:rsid w:val="00521197"/>
    <w:rsid w:val="00521463"/>
    <w:rsid w:val="0052147E"/>
    <w:rsid w:val="00521506"/>
    <w:rsid w:val="0052151D"/>
    <w:rsid w:val="0052161A"/>
    <w:rsid w:val="005217DA"/>
    <w:rsid w:val="0052188A"/>
    <w:rsid w:val="0052195D"/>
    <w:rsid w:val="00521A4F"/>
    <w:rsid w:val="00521A97"/>
    <w:rsid w:val="00521C20"/>
    <w:rsid w:val="00521FAD"/>
    <w:rsid w:val="00522334"/>
    <w:rsid w:val="00522403"/>
    <w:rsid w:val="0052284E"/>
    <w:rsid w:val="005228E8"/>
    <w:rsid w:val="00522A2A"/>
    <w:rsid w:val="00522AB6"/>
    <w:rsid w:val="00523249"/>
    <w:rsid w:val="00523399"/>
    <w:rsid w:val="00523721"/>
    <w:rsid w:val="005237EA"/>
    <w:rsid w:val="0052381F"/>
    <w:rsid w:val="00523974"/>
    <w:rsid w:val="005239A6"/>
    <w:rsid w:val="00523C07"/>
    <w:rsid w:val="00523D9E"/>
    <w:rsid w:val="005240E8"/>
    <w:rsid w:val="00524324"/>
    <w:rsid w:val="0052447D"/>
    <w:rsid w:val="00524F7E"/>
    <w:rsid w:val="00525307"/>
    <w:rsid w:val="0052535F"/>
    <w:rsid w:val="005254BE"/>
    <w:rsid w:val="005254C7"/>
    <w:rsid w:val="005254D0"/>
    <w:rsid w:val="005255EC"/>
    <w:rsid w:val="00525903"/>
    <w:rsid w:val="00525C2D"/>
    <w:rsid w:val="00525EB8"/>
    <w:rsid w:val="00526111"/>
    <w:rsid w:val="005261E4"/>
    <w:rsid w:val="0052647F"/>
    <w:rsid w:val="00526675"/>
    <w:rsid w:val="0052667C"/>
    <w:rsid w:val="0052680A"/>
    <w:rsid w:val="00526CBD"/>
    <w:rsid w:val="00526ECA"/>
    <w:rsid w:val="0052711F"/>
    <w:rsid w:val="00527805"/>
    <w:rsid w:val="00527899"/>
    <w:rsid w:val="005278FA"/>
    <w:rsid w:val="00527916"/>
    <w:rsid w:val="0052795D"/>
    <w:rsid w:val="00527992"/>
    <w:rsid w:val="005279D7"/>
    <w:rsid w:val="00527D20"/>
    <w:rsid w:val="00527FCF"/>
    <w:rsid w:val="0053020E"/>
    <w:rsid w:val="00530467"/>
    <w:rsid w:val="00530C0F"/>
    <w:rsid w:val="00530CA1"/>
    <w:rsid w:val="00530D32"/>
    <w:rsid w:val="00530D89"/>
    <w:rsid w:val="00530F05"/>
    <w:rsid w:val="00531258"/>
    <w:rsid w:val="005318B1"/>
    <w:rsid w:val="00531BD5"/>
    <w:rsid w:val="00531DB5"/>
    <w:rsid w:val="00531E2B"/>
    <w:rsid w:val="00531EF3"/>
    <w:rsid w:val="00531F5D"/>
    <w:rsid w:val="0053203B"/>
    <w:rsid w:val="00532323"/>
    <w:rsid w:val="005323CD"/>
    <w:rsid w:val="005323DF"/>
    <w:rsid w:val="005324E8"/>
    <w:rsid w:val="0053259C"/>
    <w:rsid w:val="00532E09"/>
    <w:rsid w:val="00532E7C"/>
    <w:rsid w:val="00532FDE"/>
    <w:rsid w:val="00532FFB"/>
    <w:rsid w:val="00533501"/>
    <w:rsid w:val="00533543"/>
    <w:rsid w:val="0053354C"/>
    <w:rsid w:val="00533BE0"/>
    <w:rsid w:val="00533C10"/>
    <w:rsid w:val="00533C39"/>
    <w:rsid w:val="00533C7D"/>
    <w:rsid w:val="00533D54"/>
    <w:rsid w:val="00534062"/>
    <w:rsid w:val="00534103"/>
    <w:rsid w:val="0053427B"/>
    <w:rsid w:val="00534305"/>
    <w:rsid w:val="00534323"/>
    <w:rsid w:val="005347B4"/>
    <w:rsid w:val="00534C05"/>
    <w:rsid w:val="00534D22"/>
    <w:rsid w:val="00534F1E"/>
    <w:rsid w:val="00534F86"/>
    <w:rsid w:val="005350A0"/>
    <w:rsid w:val="005354CB"/>
    <w:rsid w:val="005356E7"/>
    <w:rsid w:val="00535754"/>
    <w:rsid w:val="005357DD"/>
    <w:rsid w:val="005359F0"/>
    <w:rsid w:val="00535A6C"/>
    <w:rsid w:val="00535CAA"/>
    <w:rsid w:val="00535E27"/>
    <w:rsid w:val="00535F5B"/>
    <w:rsid w:val="005361FB"/>
    <w:rsid w:val="00536403"/>
    <w:rsid w:val="00536757"/>
    <w:rsid w:val="005368FB"/>
    <w:rsid w:val="00536ADE"/>
    <w:rsid w:val="00536C9F"/>
    <w:rsid w:val="00536CD0"/>
    <w:rsid w:val="005370AB"/>
    <w:rsid w:val="00537378"/>
    <w:rsid w:val="005373E5"/>
    <w:rsid w:val="00537551"/>
    <w:rsid w:val="00537579"/>
    <w:rsid w:val="005377D1"/>
    <w:rsid w:val="00537996"/>
    <w:rsid w:val="00537F9E"/>
    <w:rsid w:val="00540158"/>
    <w:rsid w:val="00540346"/>
    <w:rsid w:val="00540514"/>
    <w:rsid w:val="00540648"/>
    <w:rsid w:val="00540B2F"/>
    <w:rsid w:val="00540C70"/>
    <w:rsid w:val="00540EF9"/>
    <w:rsid w:val="00540FBF"/>
    <w:rsid w:val="005411AF"/>
    <w:rsid w:val="005411B4"/>
    <w:rsid w:val="0054143B"/>
    <w:rsid w:val="00541674"/>
    <w:rsid w:val="00541780"/>
    <w:rsid w:val="00541AF2"/>
    <w:rsid w:val="00541B18"/>
    <w:rsid w:val="00541C6A"/>
    <w:rsid w:val="00541D15"/>
    <w:rsid w:val="00541EC3"/>
    <w:rsid w:val="00542318"/>
    <w:rsid w:val="00542573"/>
    <w:rsid w:val="00542756"/>
    <w:rsid w:val="00542868"/>
    <w:rsid w:val="005428C2"/>
    <w:rsid w:val="005428FE"/>
    <w:rsid w:val="00542945"/>
    <w:rsid w:val="00542A39"/>
    <w:rsid w:val="00542A78"/>
    <w:rsid w:val="00542B33"/>
    <w:rsid w:val="00542BFB"/>
    <w:rsid w:val="00542C9D"/>
    <w:rsid w:val="00542D65"/>
    <w:rsid w:val="00542DC7"/>
    <w:rsid w:val="00542F9C"/>
    <w:rsid w:val="00543389"/>
    <w:rsid w:val="005434AE"/>
    <w:rsid w:val="0054365C"/>
    <w:rsid w:val="00543F2F"/>
    <w:rsid w:val="005440E7"/>
    <w:rsid w:val="00544395"/>
    <w:rsid w:val="00544A2F"/>
    <w:rsid w:val="005450B6"/>
    <w:rsid w:val="005451A3"/>
    <w:rsid w:val="005451D1"/>
    <w:rsid w:val="005452ED"/>
    <w:rsid w:val="00545331"/>
    <w:rsid w:val="0054568E"/>
    <w:rsid w:val="005456BB"/>
    <w:rsid w:val="00545890"/>
    <w:rsid w:val="00545A7A"/>
    <w:rsid w:val="00545C38"/>
    <w:rsid w:val="00545C5B"/>
    <w:rsid w:val="00545C6E"/>
    <w:rsid w:val="00545C84"/>
    <w:rsid w:val="00545CA7"/>
    <w:rsid w:val="00545E04"/>
    <w:rsid w:val="00545E29"/>
    <w:rsid w:val="00545FC9"/>
    <w:rsid w:val="005460A1"/>
    <w:rsid w:val="005469DB"/>
    <w:rsid w:val="005469F6"/>
    <w:rsid w:val="005471B1"/>
    <w:rsid w:val="005472B4"/>
    <w:rsid w:val="005474BF"/>
    <w:rsid w:val="00547881"/>
    <w:rsid w:val="00547986"/>
    <w:rsid w:val="00547996"/>
    <w:rsid w:val="00547A52"/>
    <w:rsid w:val="00547B38"/>
    <w:rsid w:val="00547C1B"/>
    <w:rsid w:val="00547E1C"/>
    <w:rsid w:val="00547F04"/>
    <w:rsid w:val="00547F1D"/>
    <w:rsid w:val="0054BCE5"/>
    <w:rsid w:val="00550091"/>
    <w:rsid w:val="005501D4"/>
    <w:rsid w:val="005504B3"/>
    <w:rsid w:val="005508DF"/>
    <w:rsid w:val="00550C1F"/>
    <w:rsid w:val="00551011"/>
    <w:rsid w:val="00551306"/>
    <w:rsid w:val="005514EF"/>
    <w:rsid w:val="005514FD"/>
    <w:rsid w:val="005516F5"/>
    <w:rsid w:val="0055185B"/>
    <w:rsid w:val="00551A48"/>
    <w:rsid w:val="00551C60"/>
    <w:rsid w:val="00551EE7"/>
    <w:rsid w:val="0055202E"/>
    <w:rsid w:val="00552145"/>
    <w:rsid w:val="00552187"/>
    <w:rsid w:val="005522BC"/>
    <w:rsid w:val="00552C63"/>
    <w:rsid w:val="00552CC5"/>
    <w:rsid w:val="00553524"/>
    <w:rsid w:val="00553A7B"/>
    <w:rsid w:val="00553C4D"/>
    <w:rsid w:val="00553F04"/>
    <w:rsid w:val="00553F49"/>
    <w:rsid w:val="00553FF0"/>
    <w:rsid w:val="00554062"/>
    <w:rsid w:val="00554316"/>
    <w:rsid w:val="005546F9"/>
    <w:rsid w:val="00554763"/>
    <w:rsid w:val="005547C7"/>
    <w:rsid w:val="00554A1D"/>
    <w:rsid w:val="00554E82"/>
    <w:rsid w:val="00554FFF"/>
    <w:rsid w:val="00555372"/>
    <w:rsid w:val="0055552B"/>
    <w:rsid w:val="005555AB"/>
    <w:rsid w:val="00555656"/>
    <w:rsid w:val="005558A1"/>
    <w:rsid w:val="00555972"/>
    <w:rsid w:val="00555B0A"/>
    <w:rsid w:val="00555C48"/>
    <w:rsid w:val="00555E6C"/>
    <w:rsid w:val="0055658F"/>
    <w:rsid w:val="0055694E"/>
    <w:rsid w:val="00556A29"/>
    <w:rsid w:val="00556F8C"/>
    <w:rsid w:val="00557122"/>
    <w:rsid w:val="00557581"/>
    <w:rsid w:val="005577EF"/>
    <w:rsid w:val="00557BD4"/>
    <w:rsid w:val="00557D1A"/>
    <w:rsid w:val="00557D56"/>
    <w:rsid w:val="00557DAB"/>
    <w:rsid w:val="0056066A"/>
    <w:rsid w:val="00560892"/>
    <w:rsid w:val="005608E8"/>
    <w:rsid w:val="00560AE7"/>
    <w:rsid w:val="00560B93"/>
    <w:rsid w:val="00560C26"/>
    <w:rsid w:val="00560C28"/>
    <w:rsid w:val="00560E66"/>
    <w:rsid w:val="005610E6"/>
    <w:rsid w:val="0056113E"/>
    <w:rsid w:val="00561163"/>
    <w:rsid w:val="00561640"/>
    <w:rsid w:val="00561D55"/>
    <w:rsid w:val="00561F38"/>
    <w:rsid w:val="005621A3"/>
    <w:rsid w:val="005625CC"/>
    <w:rsid w:val="005625D2"/>
    <w:rsid w:val="005625E0"/>
    <w:rsid w:val="00562855"/>
    <w:rsid w:val="00562B37"/>
    <w:rsid w:val="005633C1"/>
    <w:rsid w:val="00563645"/>
    <w:rsid w:val="005636DB"/>
    <w:rsid w:val="0056383C"/>
    <w:rsid w:val="00563984"/>
    <w:rsid w:val="0056398F"/>
    <w:rsid w:val="005639BF"/>
    <w:rsid w:val="00563BC4"/>
    <w:rsid w:val="00563D5B"/>
    <w:rsid w:val="00563DF4"/>
    <w:rsid w:val="00564079"/>
    <w:rsid w:val="00564146"/>
    <w:rsid w:val="005643BE"/>
    <w:rsid w:val="00564750"/>
    <w:rsid w:val="00564989"/>
    <w:rsid w:val="00564D6A"/>
    <w:rsid w:val="00564E78"/>
    <w:rsid w:val="00564EEA"/>
    <w:rsid w:val="00565009"/>
    <w:rsid w:val="0056511E"/>
    <w:rsid w:val="0056553C"/>
    <w:rsid w:val="005656DF"/>
    <w:rsid w:val="00565BCF"/>
    <w:rsid w:val="00565BD5"/>
    <w:rsid w:val="00565D0F"/>
    <w:rsid w:val="0056613F"/>
    <w:rsid w:val="00566146"/>
    <w:rsid w:val="00566297"/>
    <w:rsid w:val="005662E3"/>
    <w:rsid w:val="005662E4"/>
    <w:rsid w:val="00566426"/>
    <w:rsid w:val="00566516"/>
    <w:rsid w:val="00566609"/>
    <w:rsid w:val="00566910"/>
    <w:rsid w:val="00566C2C"/>
    <w:rsid w:val="00566D0A"/>
    <w:rsid w:val="00567007"/>
    <w:rsid w:val="0056717F"/>
    <w:rsid w:val="00567225"/>
    <w:rsid w:val="0056734C"/>
    <w:rsid w:val="005676F9"/>
    <w:rsid w:val="00567D1A"/>
    <w:rsid w:val="00567EDE"/>
    <w:rsid w:val="00567F20"/>
    <w:rsid w:val="00570254"/>
    <w:rsid w:val="00570746"/>
    <w:rsid w:val="00570893"/>
    <w:rsid w:val="00570907"/>
    <w:rsid w:val="00570930"/>
    <w:rsid w:val="00570A10"/>
    <w:rsid w:val="00570A87"/>
    <w:rsid w:val="00570B0C"/>
    <w:rsid w:val="00570B7B"/>
    <w:rsid w:val="00571060"/>
    <w:rsid w:val="0057136F"/>
    <w:rsid w:val="00571461"/>
    <w:rsid w:val="005716DE"/>
    <w:rsid w:val="00571723"/>
    <w:rsid w:val="00571A14"/>
    <w:rsid w:val="00571A53"/>
    <w:rsid w:val="00571D2D"/>
    <w:rsid w:val="00571E9F"/>
    <w:rsid w:val="0057204C"/>
    <w:rsid w:val="00572119"/>
    <w:rsid w:val="005721F0"/>
    <w:rsid w:val="00572219"/>
    <w:rsid w:val="0057275D"/>
    <w:rsid w:val="00572789"/>
    <w:rsid w:val="00572B3C"/>
    <w:rsid w:val="005731A3"/>
    <w:rsid w:val="00573252"/>
    <w:rsid w:val="005732D9"/>
    <w:rsid w:val="00573452"/>
    <w:rsid w:val="005734A1"/>
    <w:rsid w:val="005736A6"/>
    <w:rsid w:val="0057384C"/>
    <w:rsid w:val="00573940"/>
    <w:rsid w:val="00573B51"/>
    <w:rsid w:val="00573B91"/>
    <w:rsid w:val="00573B93"/>
    <w:rsid w:val="00573C78"/>
    <w:rsid w:val="00573D9A"/>
    <w:rsid w:val="00573F2C"/>
    <w:rsid w:val="00574049"/>
    <w:rsid w:val="005743F9"/>
    <w:rsid w:val="0057445E"/>
    <w:rsid w:val="005744D8"/>
    <w:rsid w:val="0057465E"/>
    <w:rsid w:val="00574682"/>
    <w:rsid w:val="00574A1C"/>
    <w:rsid w:val="00574AAE"/>
    <w:rsid w:val="00574B2E"/>
    <w:rsid w:val="00574D53"/>
    <w:rsid w:val="00574E47"/>
    <w:rsid w:val="00574EBC"/>
    <w:rsid w:val="00574FC6"/>
    <w:rsid w:val="00575750"/>
    <w:rsid w:val="00575850"/>
    <w:rsid w:val="00575B34"/>
    <w:rsid w:val="00575B99"/>
    <w:rsid w:val="00575C33"/>
    <w:rsid w:val="00575C6C"/>
    <w:rsid w:val="00575F1C"/>
    <w:rsid w:val="00575F5F"/>
    <w:rsid w:val="005760A2"/>
    <w:rsid w:val="00576296"/>
    <w:rsid w:val="00576605"/>
    <w:rsid w:val="0057685F"/>
    <w:rsid w:val="005769DA"/>
    <w:rsid w:val="00576A7E"/>
    <w:rsid w:val="00576BE3"/>
    <w:rsid w:val="00576C08"/>
    <w:rsid w:val="00576E35"/>
    <w:rsid w:val="00576EB4"/>
    <w:rsid w:val="00576F13"/>
    <w:rsid w:val="00577033"/>
    <w:rsid w:val="0057732C"/>
    <w:rsid w:val="00577363"/>
    <w:rsid w:val="005775C8"/>
    <w:rsid w:val="0057774E"/>
    <w:rsid w:val="00577946"/>
    <w:rsid w:val="00577948"/>
    <w:rsid w:val="00577AA4"/>
    <w:rsid w:val="00577AFF"/>
    <w:rsid w:val="00577B83"/>
    <w:rsid w:val="00577ED1"/>
    <w:rsid w:val="0058014B"/>
    <w:rsid w:val="00580486"/>
    <w:rsid w:val="0058058C"/>
    <w:rsid w:val="005805F0"/>
    <w:rsid w:val="00580724"/>
    <w:rsid w:val="005808C1"/>
    <w:rsid w:val="00580A41"/>
    <w:rsid w:val="00580A7A"/>
    <w:rsid w:val="00580B08"/>
    <w:rsid w:val="00580D86"/>
    <w:rsid w:val="00580E9D"/>
    <w:rsid w:val="0058137C"/>
    <w:rsid w:val="005813CA"/>
    <w:rsid w:val="0058153D"/>
    <w:rsid w:val="005815EF"/>
    <w:rsid w:val="0058182A"/>
    <w:rsid w:val="0058195F"/>
    <w:rsid w:val="00581B97"/>
    <w:rsid w:val="00581C73"/>
    <w:rsid w:val="00581DEB"/>
    <w:rsid w:val="00581F13"/>
    <w:rsid w:val="00581FE7"/>
    <w:rsid w:val="005824F2"/>
    <w:rsid w:val="0058273C"/>
    <w:rsid w:val="0058279D"/>
    <w:rsid w:val="0058299C"/>
    <w:rsid w:val="00582BBE"/>
    <w:rsid w:val="00582D71"/>
    <w:rsid w:val="00583006"/>
    <w:rsid w:val="005831A3"/>
    <w:rsid w:val="00583351"/>
    <w:rsid w:val="00583409"/>
    <w:rsid w:val="00583543"/>
    <w:rsid w:val="00583B24"/>
    <w:rsid w:val="00584128"/>
    <w:rsid w:val="005844D8"/>
    <w:rsid w:val="00584679"/>
    <w:rsid w:val="00584749"/>
    <w:rsid w:val="00584840"/>
    <w:rsid w:val="0058484B"/>
    <w:rsid w:val="00584DE2"/>
    <w:rsid w:val="00584F05"/>
    <w:rsid w:val="00584F5B"/>
    <w:rsid w:val="00584FEE"/>
    <w:rsid w:val="0058503D"/>
    <w:rsid w:val="00585379"/>
    <w:rsid w:val="0058556C"/>
    <w:rsid w:val="005856B7"/>
    <w:rsid w:val="00585707"/>
    <w:rsid w:val="00585A00"/>
    <w:rsid w:val="00585B91"/>
    <w:rsid w:val="005862A6"/>
    <w:rsid w:val="0058633A"/>
    <w:rsid w:val="00586478"/>
    <w:rsid w:val="005864CA"/>
    <w:rsid w:val="0058659E"/>
    <w:rsid w:val="005868DF"/>
    <w:rsid w:val="0058698F"/>
    <w:rsid w:val="00586A29"/>
    <w:rsid w:val="00586A7E"/>
    <w:rsid w:val="00586B18"/>
    <w:rsid w:val="00586B36"/>
    <w:rsid w:val="00586DC5"/>
    <w:rsid w:val="00586DE5"/>
    <w:rsid w:val="00586E66"/>
    <w:rsid w:val="00586EED"/>
    <w:rsid w:val="0058712D"/>
    <w:rsid w:val="005871F0"/>
    <w:rsid w:val="00587281"/>
    <w:rsid w:val="00587484"/>
    <w:rsid w:val="005875EA"/>
    <w:rsid w:val="0058773F"/>
    <w:rsid w:val="0058787F"/>
    <w:rsid w:val="00587B76"/>
    <w:rsid w:val="00587DDF"/>
    <w:rsid w:val="005901F4"/>
    <w:rsid w:val="00590227"/>
    <w:rsid w:val="00590360"/>
    <w:rsid w:val="005904A1"/>
    <w:rsid w:val="0059087B"/>
    <w:rsid w:val="005908AC"/>
    <w:rsid w:val="00590CEB"/>
    <w:rsid w:val="00590D31"/>
    <w:rsid w:val="00590E98"/>
    <w:rsid w:val="00591389"/>
    <w:rsid w:val="005916CC"/>
    <w:rsid w:val="005918A5"/>
    <w:rsid w:val="005918F4"/>
    <w:rsid w:val="00591AEF"/>
    <w:rsid w:val="00592038"/>
    <w:rsid w:val="005921C7"/>
    <w:rsid w:val="005923DB"/>
    <w:rsid w:val="00592486"/>
    <w:rsid w:val="005924FE"/>
    <w:rsid w:val="00592559"/>
    <w:rsid w:val="005926C6"/>
    <w:rsid w:val="00592EC4"/>
    <w:rsid w:val="00593272"/>
    <w:rsid w:val="00593429"/>
    <w:rsid w:val="005936F3"/>
    <w:rsid w:val="00593732"/>
    <w:rsid w:val="00593B34"/>
    <w:rsid w:val="00593D52"/>
    <w:rsid w:val="00593D7D"/>
    <w:rsid w:val="00593EB4"/>
    <w:rsid w:val="00594455"/>
    <w:rsid w:val="00594645"/>
    <w:rsid w:val="0059467D"/>
    <w:rsid w:val="00594861"/>
    <w:rsid w:val="005948D3"/>
    <w:rsid w:val="005948E7"/>
    <w:rsid w:val="0059499B"/>
    <w:rsid w:val="00594EFA"/>
    <w:rsid w:val="00594F47"/>
    <w:rsid w:val="00594F5D"/>
    <w:rsid w:val="00595384"/>
    <w:rsid w:val="0059549E"/>
    <w:rsid w:val="00595571"/>
    <w:rsid w:val="0059590B"/>
    <w:rsid w:val="0059592B"/>
    <w:rsid w:val="005959AB"/>
    <w:rsid w:val="00595CC8"/>
    <w:rsid w:val="00595D14"/>
    <w:rsid w:val="00595D4C"/>
    <w:rsid w:val="00595F8C"/>
    <w:rsid w:val="0059604E"/>
    <w:rsid w:val="00596237"/>
    <w:rsid w:val="00596521"/>
    <w:rsid w:val="00596702"/>
    <w:rsid w:val="00596931"/>
    <w:rsid w:val="00596D55"/>
    <w:rsid w:val="00596D8B"/>
    <w:rsid w:val="0059748A"/>
    <w:rsid w:val="00597772"/>
    <w:rsid w:val="00597826"/>
    <w:rsid w:val="00597C5E"/>
    <w:rsid w:val="00597CB0"/>
    <w:rsid w:val="00597F68"/>
    <w:rsid w:val="005A041F"/>
    <w:rsid w:val="005A0687"/>
    <w:rsid w:val="005A0A93"/>
    <w:rsid w:val="005A0B1B"/>
    <w:rsid w:val="005A0B46"/>
    <w:rsid w:val="005A0D80"/>
    <w:rsid w:val="005A0FF0"/>
    <w:rsid w:val="005A13BC"/>
    <w:rsid w:val="005A1771"/>
    <w:rsid w:val="005A1A11"/>
    <w:rsid w:val="005A1F2E"/>
    <w:rsid w:val="005A1F66"/>
    <w:rsid w:val="005A201C"/>
    <w:rsid w:val="005A2331"/>
    <w:rsid w:val="005A254D"/>
    <w:rsid w:val="005A2654"/>
    <w:rsid w:val="005A268F"/>
    <w:rsid w:val="005A289D"/>
    <w:rsid w:val="005A2D87"/>
    <w:rsid w:val="005A2E8C"/>
    <w:rsid w:val="005A2ECA"/>
    <w:rsid w:val="005A305C"/>
    <w:rsid w:val="005A3371"/>
    <w:rsid w:val="005A344C"/>
    <w:rsid w:val="005A34D4"/>
    <w:rsid w:val="005A388C"/>
    <w:rsid w:val="005A3B55"/>
    <w:rsid w:val="005A3E21"/>
    <w:rsid w:val="005A3F9A"/>
    <w:rsid w:val="005A42A0"/>
    <w:rsid w:val="005A4475"/>
    <w:rsid w:val="005A4602"/>
    <w:rsid w:val="005A4928"/>
    <w:rsid w:val="005A4A30"/>
    <w:rsid w:val="005A4C1C"/>
    <w:rsid w:val="005A50F7"/>
    <w:rsid w:val="005A51A0"/>
    <w:rsid w:val="005A5364"/>
    <w:rsid w:val="005A5A10"/>
    <w:rsid w:val="005A5AE0"/>
    <w:rsid w:val="005A6099"/>
    <w:rsid w:val="005A61B1"/>
    <w:rsid w:val="005A63FB"/>
    <w:rsid w:val="005A6621"/>
    <w:rsid w:val="005A668F"/>
    <w:rsid w:val="005A6769"/>
    <w:rsid w:val="005A6C34"/>
    <w:rsid w:val="005A6D8B"/>
    <w:rsid w:val="005A6EE9"/>
    <w:rsid w:val="005A756F"/>
    <w:rsid w:val="005A7620"/>
    <w:rsid w:val="005A7C1A"/>
    <w:rsid w:val="005A7C86"/>
    <w:rsid w:val="005A7DFB"/>
    <w:rsid w:val="005A7FF5"/>
    <w:rsid w:val="005B03EA"/>
    <w:rsid w:val="005B04C3"/>
    <w:rsid w:val="005B08A8"/>
    <w:rsid w:val="005B0B3A"/>
    <w:rsid w:val="005B0BB1"/>
    <w:rsid w:val="005B106A"/>
    <w:rsid w:val="005B1477"/>
    <w:rsid w:val="005B19DB"/>
    <w:rsid w:val="005B1B7A"/>
    <w:rsid w:val="005B2033"/>
    <w:rsid w:val="005B2047"/>
    <w:rsid w:val="005B20DC"/>
    <w:rsid w:val="005B252C"/>
    <w:rsid w:val="005B2608"/>
    <w:rsid w:val="005B261F"/>
    <w:rsid w:val="005B317B"/>
    <w:rsid w:val="005B319F"/>
    <w:rsid w:val="005B35DC"/>
    <w:rsid w:val="005B3706"/>
    <w:rsid w:val="005B385D"/>
    <w:rsid w:val="005B39E6"/>
    <w:rsid w:val="005B3A83"/>
    <w:rsid w:val="005B3B1F"/>
    <w:rsid w:val="005B3BEC"/>
    <w:rsid w:val="005B3C4D"/>
    <w:rsid w:val="005B3DB5"/>
    <w:rsid w:val="005B4144"/>
    <w:rsid w:val="005B41C0"/>
    <w:rsid w:val="005B4268"/>
    <w:rsid w:val="005B44EF"/>
    <w:rsid w:val="005B452A"/>
    <w:rsid w:val="005B4547"/>
    <w:rsid w:val="005B47DC"/>
    <w:rsid w:val="005B488D"/>
    <w:rsid w:val="005B4A85"/>
    <w:rsid w:val="005B4ACA"/>
    <w:rsid w:val="005B4CFA"/>
    <w:rsid w:val="005B4DB0"/>
    <w:rsid w:val="005B4E92"/>
    <w:rsid w:val="005B4F31"/>
    <w:rsid w:val="005B4F8F"/>
    <w:rsid w:val="005B512D"/>
    <w:rsid w:val="005B5443"/>
    <w:rsid w:val="005B56B6"/>
    <w:rsid w:val="005B581C"/>
    <w:rsid w:val="005B5C87"/>
    <w:rsid w:val="005B5E47"/>
    <w:rsid w:val="005B5EA4"/>
    <w:rsid w:val="005B5F4D"/>
    <w:rsid w:val="005B62F3"/>
    <w:rsid w:val="005B6C92"/>
    <w:rsid w:val="005B6CAC"/>
    <w:rsid w:val="005B6FBA"/>
    <w:rsid w:val="005B70BC"/>
    <w:rsid w:val="005B7A3F"/>
    <w:rsid w:val="005B7B82"/>
    <w:rsid w:val="005B7FB5"/>
    <w:rsid w:val="005C01BB"/>
    <w:rsid w:val="005C01F5"/>
    <w:rsid w:val="005C046F"/>
    <w:rsid w:val="005C0520"/>
    <w:rsid w:val="005C076A"/>
    <w:rsid w:val="005C07A5"/>
    <w:rsid w:val="005C0962"/>
    <w:rsid w:val="005C0C02"/>
    <w:rsid w:val="005C147F"/>
    <w:rsid w:val="005C1669"/>
    <w:rsid w:val="005C1811"/>
    <w:rsid w:val="005C1AF9"/>
    <w:rsid w:val="005C1B74"/>
    <w:rsid w:val="005C1CAC"/>
    <w:rsid w:val="005C2267"/>
    <w:rsid w:val="005C24BC"/>
    <w:rsid w:val="005C2546"/>
    <w:rsid w:val="005C29DD"/>
    <w:rsid w:val="005C2B13"/>
    <w:rsid w:val="005C2F1A"/>
    <w:rsid w:val="005C302E"/>
    <w:rsid w:val="005C324D"/>
    <w:rsid w:val="005C3269"/>
    <w:rsid w:val="005C32FC"/>
    <w:rsid w:val="005C3807"/>
    <w:rsid w:val="005C3C88"/>
    <w:rsid w:val="005C3C9B"/>
    <w:rsid w:val="005C3D08"/>
    <w:rsid w:val="005C3D31"/>
    <w:rsid w:val="005C42E5"/>
    <w:rsid w:val="005C4412"/>
    <w:rsid w:val="005C45D5"/>
    <w:rsid w:val="005C460D"/>
    <w:rsid w:val="005C4675"/>
    <w:rsid w:val="005C469A"/>
    <w:rsid w:val="005C4828"/>
    <w:rsid w:val="005C493E"/>
    <w:rsid w:val="005C5082"/>
    <w:rsid w:val="005C5125"/>
    <w:rsid w:val="005C522B"/>
    <w:rsid w:val="005C5281"/>
    <w:rsid w:val="005C5556"/>
    <w:rsid w:val="005C5727"/>
    <w:rsid w:val="005C57B1"/>
    <w:rsid w:val="005C588C"/>
    <w:rsid w:val="005C5973"/>
    <w:rsid w:val="005C59AA"/>
    <w:rsid w:val="005C5ADC"/>
    <w:rsid w:val="005C5B65"/>
    <w:rsid w:val="005C5BE8"/>
    <w:rsid w:val="005C5CD4"/>
    <w:rsid w:val="005C5D8F"/>
    <w:rsid w:val="005C5E4E"/>
    <w:rsid w:val="005C6116"/>
    <w:rsid w:val="005C613A"/>
    <w:rsid w:val="005C63BE"/>
    <w:rsid w:val="005C64A2"/>
    <w:rsid w:val="005C65E9"/>
    <w:rsid w:val="005C6A3C"/>
    <w:rsid w:val="005C6B11"/>
    <w:rsid w:val="005C6BBE"/>
    <w:rsid w:val="005C747B"/>
    <w:rsid w:val="005C7489"/>
    <w:rsid w:val="005C75DA"/>
    <w:rsid w:val="005C77C7"/>
    <w:rsid w:val="005C7BA2"/>
    <w:rsid w:val="005C7CCB"/>
    <w:rsid w:val="005C7E94"/>
    <w:rsid w:val="005C7F0F"/>
    <w:rsid w:val="005D011E"/>
    <w:rsid w:val="005D0158"/>
    <w:rsid w:val="005D01D0"/>
    <w:rsid w:val="005D0899"/>
    <w:rsid w:val="005D09F0"/>
    <w:rsid w:val="005D0C82"/>
    <w:rsid w:val="005D0D80"/>
    <w:rsid w:val="005D124D"/>
    <w:rsid w:val="005D12E2"/>
    <w:rsid w:val="005D13FE"/>
    <w:rsid w:val="005D173C"/>
    <w:rsid w:val="005D1A46"/>
    <w:rsid w:val="005D1DE4"/>
    <w:rsid w:val="005D21E6"/>
    <w:rsid w:val="005D2264"/>
    <w:rsid w:val="005D2466"/>
    <w:rsid w:val="005D2482"/>
    <w:rsid w:val="005D258B"/>
    <w:rsid w:val="005D27E8"/>
    <w:rsid w:val="005D27ED"/>
    <w:rsid w:val="005D2B21"/>
    <w:rsid w:val="005D2CAC"/>
    <w:rsid w:val="005D2E06"/>
    <w:rsid w:val="005D3044"/>
    <w:rsid w:val="005D30EF"/>
    <w:rsid w:val="005D32FC"/>
    <w:rsid w:val="005D3504"/>
    <w:rsid w:val="005D3826"/>
    <w:rsid w:val="005D3844"/>
    <w:rsid w:val="005D4002"/>
    <w:rsid w:val="005D4004"/>
    <w:rsid w:val="005D4188"/>
    <w:rsid w:val="005D4319"/>
    <w:rsid w:val="005D4359"/>
    <w:rsid w:val="005D44C1"/>
    <w:rsid w:val="005D44DF"/>
    <w:rsid w:val="005D4560"/>
    <w:rsid w:val="005D45F8"/>
    <w:rsid w:val="005D4862"/>
    <w:rsid w:val="005D4904"/>
    <w:rsid w:val="005D4A2B"/>
    <w:rsid w:val="005D4D77"/>
    <w:rsid w:val="005D4FCC"/>
    <w:rsid w:val="005D524E"/>
    <w:rsid w:val="005D5587"/>
    <w:rsid w:val="005D57DA"/>
    <w:rsid w:val="005D5967"/>
    <w:rsid w:val="005D59D0"/>
    <w:rsid w:val="005D59D8"/>
    <w:rsid w:val="005D5B07"/>
    <w:rsid w:val="005D5B4B"/>
    <w:rsid w:val="005D5BD4"/>
    <w:rsid w:val="005D5DB3"/>
    <w:rsid w:val="005D5FDC"/>
    <w:rsid w:val="005D5FE8"/>
    <w:rsid w:val="005D625F"/>
    <w:rsid w:val="005D64DC"/>
    <w:rsid w:val="005D66F7"/>
    <w:rsid w:val="005D672D"/>
    <w:rsid w:val="005D6DCB"/>
    <w:rsid w:val="005D6E01"/>
    <w:rsid w:val="005D6ED7"/>
    <w:rsid w:val="005D6FA9"/>
    <w:rsid w:val="005D7149"/>
    <w:rsid w:val="005D71F6"/>
    <w:rsid w:val="005D730D"/>
    <w:rsid w:val="005D733A"/>
    <w:rsid w:val="005D7959"/>
    <w:rsid w:val="005D7FF9"/>
    <w:rsid w:val="005E0076"/>
    <w:rsid w:val="005E0172"/>
    <w:rsid w:val="005E01AA"/>
    <w:rsid w:val="005E0447"/>
    <w:rsid w:val="005E05E6"/>
    <w:rsid w:val="005E0965"/>
    <w:rsid w:val="005E0AD5"/>
    <w:rsid w:val="005E0C00"/>
    <w:rsid w:val="005E0CA6"/>
    <w:rsid w:val="005E0FC8"/>
    <w:rsid w:val="005E14AD"/>
    <w:rsid w:val="005E16D0"/>
    <w:rsid w:val="005E1838"/>
    <w:rsid w:val="005E198A"/>
    <w:rsid w:val="005E1A2C"/>
    <w:rsid w:val="005E1FAA"/>
    <w:rsid w:val="005E204D"/>
    <w:rsid w:val="005E2062"/>
    <w:rsid w:val="005E23B8"/>
    <w:rsid w:val="005E24A9"/>
    <w:rsid w:val="005E292A"/>
    <w:rsid w:val="005E2D2D"/>
    <w:rsid w:val="005E2EA6"/>
    <w:rsid w:val="005E2F0A"/>
    <w:rsid w:val="005E3307"/>
    <w:rsid w:val="005E35A2"/>
    <w:rsid w:val="005E3695"/>
    <w:rsid w:val="005E372E"/>
    <w:rsid w:val="005E3798"/>
    <w:rsid w:val="005E3A3D"/>
    <w:rsid w:val="005E3AD2"/>
    <w:rsid w:val="005E3B95"/>
    <w:rsid w:val="005E3DEB"/>
    <w:rsid w:val="005E3EF8"/>
    <w:rsid w:val="005E3F71"/>
    <w:rsid w:val="005E413D"/>
    <w:rsid w:val="005E45BA"/>
    <w:rsid w:val="005E4669"/>
    <w:rsid w:val="005E471D"/>
    <w:rsid w:val="005E49E9"/>
    <w:rsid w:val="005E4A28"/>
    <w:rsid w:val="005E4C06"/>
    <w:rsid w:val="005E4E61"/>
    <w:rsid w:val="005E4EB6"/>
    <w:rsid w:val="005E5218"/>
    <w:rsid w:val="005E533B"/>
    <w:rsid w:val="005E56C0"/>
    <w:rsid w:val="005E5745"/>
    <w:rsid w:val="005E5800"/>
    <w:rsid w:val="005E5840"/>
    <w:rsid w:val="005E59FB"/>
    <w:rsid w:val="005E5B87"/>
    <w:rsid w:val="005E5E04"/>
    <w:rsid w:val="005E61FB"/>
    <w:rsid w:val="005E620D"/>
    <w:rsid w:val="005E64A5"/>
    <w:rsid w:val="005E667C"/>
    <w:rsid w:val="005E670D"/>
    <w:rsid w:val="005E6726"/>
    <w:rsid w:val="005E6739"/>
    <w:rsid w:val="005E6E52"/>
    <w:rsid w:val="005E6ED2"/>
    <w:rsid w:val="005E732E"/>
    <w:rsid w:val="005E7377"/>
    <w:rsid w:val="005E743C"/>
    <w:rsid w:val="005E7601"/>
    <w:rsid w:val="005E76A9"/>
    <w:rsid w:val="005E76DE"/>
    <w:rsid w:val="005E7C90"/>
    <w:rsid w:val="005E7CF4"/>
    <w:rsid w:val="005E7D17"/>
    <w:rsid w:val="005E7D43"/>
    <w:rsid w:val="005E7D89"/>
    <w:rsid w:val="005F023D"/>
    <w:rsid w:val="005F0249"/>
    <w:rsid w:val="005F04DE"/>
    <w:rsid w:val="005F0567"/>
    <w:rsid w:val="005F0789"/>
    <w:rsid w:val="005F09B9"/>
    <w:rsid w:val="005F0C8F"/>
    <w:rsid w:val="005F0EA0"/>
    <w:rsid w:val="005F0EF6"/>
    <w:rsid w:val="005F101C"/>
    <w:rsid w:val="005F10C6"/>
    <w:rsid w:val="005F10DF"/>
    <w:rsid w:val="005F1102"/>
    <w:rsid w:val="005F1159"/>
    <w:rsid w:val="005F126C"/>
    <w:rsid w:val="005F12ED"/>
    <w:rsid w:val="005F1645"/>
    <w:rsid w:val="005F1ECC"/>
    <w:rsid w:val="005F1F1D"/>
    <w:rsid w:val="005F2026"/>
    <w:rsid w:val="005F2172"/>
    <w:rsid w:val="005F22EA"/>
    <w:rsid w:val="005F2345"/>
    <w:rsid w:val="005F2889"/>
    <w:rsid w:val="005F2A37"/>
    <w:rsid w:val="005F2A66"/>
    <w:rsid w:val="005F2AC9"/>
    <w:rsid w:val="005F2ACF"/>
    <w:rsid w:val="005F2D33"/>
    <w:rsid w:val="005F2D6D"/>
    <w:rsid w:val="005F2D77"/>
    <w:rsid w:val="005F2D82"/>
    <w:rsid w:val="005F2EF4"/>
    <w:rsid w:val="005F3025"/>
    <w:rsid w:val="005F30BE"/>
    <w:rsid w:val="005F30D6"/>
    <w:rsid w:val="005F32E3"/>
    <w:rsid w:val="005F3A1D"/>
    <w:rsid w:val="005F3A55"/>
    <w:rsid w:val="005F3B27"/>
    <w:rsid w:val="005F3E14"/>
    <w:rsid w:val="005F4084"/>
    <w:rsid w:val="005F439F"/>
    <w:rsid w:val="005F478D"/>
    <w:rsid w:val="005F483C"/>
    <w:rsid w:val="005F4A4C"/>
    <w:rsid w:val="005F4B04"/>
    <w:rsid w:val="005F4D1D"/>
    <w:rsid w:val="005F4D8C"/>
    <w:rsid w:val="005F5053"/>
    <w:rsid w:val="005F51AD"/>
    <w:rsid w:val="005F5268"/>
    <w:rsid w:val="005F533A"/>
    <w:rsid w:val="005F53E8"/>
    <w:rsid w:val="005F5452"/>
    <w:rsid w:val="005F5465"/>
    <w:rsid w:val="005F5928"/>
    <w:rsid w:val="005F5BC0"/>
    <w:rsid w:val="005F5EEA"/>
    <w:rsid w:val="005F68A8"/>
    <w:rsid w:val="005F699B"/>
    <w:rsid w:val="005F6D85"/>
    <w:rsid w:val="005F6F05"/>
    <w:rsid w:val="005F706A"/>
    <w:rsid w:val="005F729F"/>
    <w:rsid w:val="005F72B7"/>
    <w:rsid w:val="005F76B1"/>
    <w:rsid w:val="005F76F5"/>
    <w:rsid w:val="005F7A19"/>
    <w:rsid w:val="005F7EF2"/>
    <w:rsid w:val="005F7F7C"/>
    <w:rsid w:val="006000E2"/>
    <w:rsid w:val="00600116"/>
    <w:rsid w:val="00600119"/>
    <w:rsid w:val="006001F3"/>
    <w:rsid w:val="006002E4"/>
    <w:rsid w:val="00600661"/>
    <w:rsid w:val="006006DE"/>
    <w:rsid w:val="00600717"/>
    <w:rsid w:val="00600E0F"/>
    <w:rsid w:val="00600F16"/>
    <w:rsid w:val="006010F0"/>
    <w:rsid w:val="00601400"/>
    <w:rsid w:val="00601524"/>
    <w:rsid w:val="00601526"/>
    <w:rsid w:val="00601DEE"/>
    <w:rsid w:val="00601EE9"/>
    <w:rsid w:val="00602229"/>
    <w:rsid w:val="00602366"/>
    <w:rsid w:val="00602508"/>
    <w:rsid w:val="006025FA"/>
    <w:rsid w:val="00602752"/>
    <w:rsid w:val="0060287B"/>
    <w:rsid w:val="00602B43"/>
    <w:rsid w:val="00602E28"/>
    <w:rsid w:val="00603075"/>
    <w:rsid w:val="006030BD"/>
    <w:rsid w:val="0060332F"/>
    <w:rsid w:val="006038A2"/>
    <w:rsid w:val="006038C6"/>
    <w:rsid w:val="00604182"/>
    <w:rsid w:val="006043A3"/>
    <w:rsid w:val="00604514"/>
    <w:rsid w:val="00604B29"/>
    <w:rsid w:val="006052ED"/>
    <w:rsid w:val="006053A0"/>
    <w:rsid w:val="006053C1"/>
    <w:rsid w:val="0060548E"/>
    <w:rsid w:val="00605653"/>
    <w:rsid w:val="0060578C"/>
    <w:rsid w:val="006057E7"/>
    <w:rsid w:val="00605957"/>
    <w:rsid w:val="00605B76"/>
    <w:rsid w:val="00605BFA"/>
    <w:rsid w:val="00605DB7"/>
    <w:rsid w:val="0060618A"/>
    <w:rsid w:val="006061A9"/>
    <w:rsid w:val="0060665D"/>
    <w:rsid w:val="0060685E"/>
    <w:rsid w:val="0060695E"/>
    <w:rsid w:val="00606D53"/>
    <w:rsid w:val="00607058"/>
    <w:rsid w:val="006073BB"/>
    <w:rsid w:val="00607776"/>
    <w:rsid w:val="00607B4A"/>
    <w:rsid w:val="00607B77"/>
    <w:rsid w:val="00607E65"/>
    <w:rsid w:val="00607F4E"/>
    <w:rsid w:val="00607FC8"/>
    <w:rsid w:val="006104FC"/>
    <w:rsid w:val="00610695"/>
    <w:rsid w:val="0061092E"/>
    <w:rsid w:val="00610DEF"/>
    <w:rsid w:val="00610E9E"/>
    <w:rsid w:val="006111B9"/>
    <w:rsid w:val="00611359"/>
    <w:rsid w:val="00611379"/>
    <w:rsid w:val="0061160E"/>
    <w:rsid w:val="00611762"/>
    <w:rsid w:val="00611913"/>
    <w:rsid w:val="00611942"/>
    <w:rsid w:val="00611997"/>
    <w:rsid w:val="006119D1"/>
    <w:rsid w:val="00611A42"/>
    <w:rsid w:val="00611ACA"/>
    <w:rsid w:val="00611F62"/>
    <w:rsid w:val="00611FFB"/>
    <w:rsid w:val="00612024"/>
    <w:rsid w:val="00612081"/>
    <w:rsid w:val="006122F3"/>
    <w:rsid w:val="00612458"/>
    <w:rsid w:val="00612498"/>
    <w:rsid w:val="00612CC3"/>
    <w:rsid w:val="00613076"/>
    <w:rsid w:val="00613108"/>
    <w:rsid w:val="006131CC"/>
    <w:rsid w:val="00613436"/>
    <w:rsid w:val="0061373D"/>
    <w:rsid w:val="0061381E"/>
    <w:rsid w:val="0061396B"/>
    <w:rsid w:val="006139A2"/>
    <w:rsid w:val="006139D8"/>
    <w:rsid w:val="00613EEF"/>
    <w:rsid w:val="006142D6"/>
    <w:rsid w:val="00614818"/>
    <w:rsid w:val="0061487C"/>
    <w:rsid w:val="00614881"/>
    <w:rsid w:val="00614951"/>
    <w:rsid w:val="00614CDE"/>
    <w:rsid w:val="00614DD2"/>
    <w:rsid w:val="00614F38"/>
    <w:rsid w:val="0061523B"/>
    <w:rsid w:val="0061564B"/>
    <w:rsid w:val="00615926"/>
    <w:rsid w:val="00615AF4"/>
    <w:rsid w:val="00615DEF"/>
    <w:rsid w:val="00615E5B"/>
    <w:rsid w:val="006161AF"/>
    <w:rsid w:val="006163DE"/>
    <w:rsid w:val="006164F9"/>
    <w:rsid w:val="00616588"/>
    <w:rsid w:val="00616AD0"/>
    <w:rsid w:val="00616BC2"/>
    <w:rsid w:val="00616F3A"/>
    <w:rsid w:val="006170F6"/>
    <w:rsid w:val="00617239"/>
    <w:rsid w:val="006172AC"/>
    <w:rsid w:val="00617343"/>
    <w:rsid w:val="00617384"/>
    <w:rsid w:val="0061743D"/>
    <w:rsid w:val="006174D2"/>
    <w:rsid w:val="00617A94"/>
    <w:rsid w:val="00617CA5"/>
    <w:rsid w:val="00617D1E"/>
    <w:rsid w:val="00617EF6"/>
    <w:rsid w:val="006207CF"/>
    <w:rsid w:val="006208E6"/>
    <w:rsid w:val="00620950"/>
    <w:rsid w:val="00620B34"/>
    <w:rsid w:val="00620B4F"/>
    <w:rsid w:val="00620D15"/>
    <w:rsid w:val="00620F11"/>
    <w:rsid w:val="00621149"/>
    <w:rsid w:val="006215A4"/>
    <w:rsid w:val="00621B24"/>
    <w:rsid w:val="00621BB1"/>
    <w:rsid w:val="00621D1F"/>
    <w:rsid w:val="00621E40"/>
    <w:rsid w:val="00621E93"/>
    <w:rsid w:val="00621FB4"/>
    <w:rsid w:val="0062217B"/>
    <w:rsid w:val="00622209"/>
    <w:rsid w:val="00622561"/>
    <w:rsid w:val="00622698"/>
    <w:rsid w:val="00622799"/>
    <w:rsid w:val="00622994"/>
    <w:rsid w:val="00622C6F"/>
    <w:rsid w:val="00622DBC"/>
    <w:rsid w:val="006230D6"/>
    <w:rsid w:val="006230E6"/>
    <w:rsid w:val="00623250"/>
    <w:rsid w:val="00623337"/>
    <w:rsid w:val="006234CE"/>
    <w:rsid w:val="0062378F"/>
    <w:rsid w:val="00623792"/>
    <w:rsid w:val="0062385B"/>
    <w:rsid w:val="0062396B"/>
    <w:rsid w:val="00623D5B"/>
    <w:rsid w:val="0062405E"/>
    <w:rsid w:val="00624127"/>
    <w:rsid w:val="00624244"/>
    <w:rsid w:val="0062470D"/>
    <w:rsid w:val="00624750"/>
    <w:rsid w:val="00624943"/>
    <w:rsid w:val="00624ACD"/>
    <w:rsid w:val="00624B2A"/>
    <w:rsid w:val="00624C1E"/>
    <w:rsid w:val="00624C3B"/>
    <w:rsid w:val="00624E3B"/>
    <w:rsid w:val="00624F04"/>
    <w:rsid w:val="00624F54"/>
    <w:rsid w:val="0062516D"/>
    <w:rsid w:val="006251EF"/>
    <w:rsid w:val="00625604"/>
    <w:rsid w:val="006256C6"/>
    <w:rsid w:val="006259C0"/>
    <w:rsid w:val="00625A2C"/>
    <w:rsid w:val="00625A64"/>
    <w:rsid w:val="00625C4C"/>
    <w:rsid w:val="00626079"/>
    <w:rsid w:val="006260FC"/>
    <w:rsid w:val="006261CA"/>
    <w:rsid w:val="006261E3"/>
    <w:rsid w:val="00626437"/>
    <w:rsid w:val="00626570"/>
    <w:rsid w:val="006267E9"/>
    <w:rsid w:val="00626981"/>
    <w:rsid w:val="00626C52"/>
    <w:rsid w:val="00626D66"/>
    <w:rsid w:val="00626D99"/>
    <w:rsid w:val="00626EB1"/>
    <w:rsid w:val="0062715E"/>
    <w:rsid w:val="006271E1"/>
    <w:rsid w:val="006273E7"/>
    <w:rsid w:val="00627540"/>
    <w:rsid w:val="006275F5"/>
    <w:rsid w:val="00627B8F"/>
    <w:rsid w:val="00627DE1"/>
    <w:rsid w:val="00627E88"/>
    <w:rsid w:val="00627EF4"/>
    <w:rsid w:val="00627F10"/>
    <w:rsid w:val="00630008"/>
    <w:rsid w:val="00630073"/>
    <w:rsid w:val="0063014B"/>
    <w:rsid w:val="006304B5"/>
    <w:rsid w:val="0063065A"/>
    <w:rsid w:val="006306CA"/>
    <w:rsid w:val="00630874"/>
    <w:rsid w:val="00630F83"/>
    <w:rsid w:val="0063135F"/>
    <w:rsid w:val="00631732"/>
    <w:rsid w:val="006317C3"/>
    <w:rsid w:val="00631B3D"/>
    <w:rsid w:val="00631C12"/>
    <w:rsid w:val="00631D1F"/>
    <w:rsid w:val="00631F32"/>
    <w:rsid w:val="0063200A"/>
    <w:rsid w:val="00632052"/>
    <w:rsid w:val="00632205"/>
    <w:rsid w:val="006324C3"/>
    <w:rsid w:val="00632770"/>
    <w:rsid w:val="006327B6"/>
    <w:rsid w:val="006328A7"/>
    <w:rsid w:val="00632AAD"/>
    <w:rsid w:val="00632AC3"/>
    <w:rsid w:val="00632F6B"/>
    <w:rsid w:val="00632FC5"/>
    <w:rsid w:val="0063323B"/>
    <w:rsid w:val="006333EA"/>
    <w:rsid w:val="006334C1"/>
    <w:rsid w:val="00633872"/>
    <w:rsid w:val="00633875"/>
    <w:rsid w:val="0063398D"/>
    <w:rsid w:val="00633CCF"/>
    <w:rsid w:val="00633D9E"/>
    <w:rsid w:val="00633E32"/>
    <w:rsid w:val="00633FA5"/>
    <w:rsid w:val="006340CF"/>
    <w:rsid w:val="0063420E"/>
    <w:rsid w:val="00634290"/>
    <w:rsid w:val="006344B9"/>
    <w:rsid w:val="006345E4"/>
    <w:rsid w:val="00634891"/>
    <w:rsid w:val="006348A2"/>
    <w:rsid w:val="00634A4B"/>
    <w:rsid w:val="006352ED"/>
    <w:rsid w:val="00635352"/>
    <w:rsid w:val="00635F87"/>
    <w:rsid w:val="00636084"/>
    <w:rsid w:val="00636300"/>
    <w:rsid w:val="00636397"/>
    <w:rsid w:val="006367EA"/>
    <w:rsid w:val="00636967"/>
    <w:rsid w:val="00636B87"/>
    <w:rsid w:val="00636C32"/>
    <w:rsid w:val="00636CC6"/>
    <w:rsid w:val="00636CE3"/>
    <w:rsid w:val="00636CF6"/>
    <w:rsid w:val="00636E85"/>
    <w:rsid w:val="00636FF5"/>
    <w:rsid w:val="00637449"/>
    <w:rsid w:val="00637467"/>
    <w:rsid w:val="0063748F"/>
    <w:rsid w:val="006376AF"/>
    <w:rsid w:val="00637800"/>
    <w:rsid w:val="00637D7E"/>
    <w:rsid w:val="00637E18"/>
    <w:rsid w:val="0063E737"/>
    <w:rsid w:val="00640171"/>
    <w:rsid w:val="006402D8"/>
    <w:rsid w:val="00640389"/>
    <w:rsid w:val="00640409"/>
    <w:rsid w:val="006407FF"/>
    <w:rsid w:val="0064092B"/>
    <w:rsid w:val="00640971"/>
    <w:rsid w:val="00640B3E"/>
    <w:rsid w:val="00640CFF"/>
    <w:rsid w:val="006410D5"/>
    <w:rsid w:val="006419A1"/>
    <w:rsid w:val="00641A2A"/>
    <w:rsid w:val="00641CA5"/>
    <w:rsid w:val="00641E77"/>
    <w:rsid w:val="0064219D"/>
    <w:rsid w:val="006424A2"/>
    <w:rsid w:val="00642710"/>
    <w:rsid w:val="0064271F"/>
    <w:rsid w:val="0064286B"/>
    <w:rsid w:val="00642949"/>
    <w:rsid w:val="006430DF"/>
    <w:rsid w:val="006431B6"/>
    <w:rsid w:val="0064331A"/>
    <w:rsid w:val="006434C6"/>
    <w:rsid w:val="006435C8"/>
    <w:rsid w:val="006435F3"/>
    <w:rsid w:val="006438CC"/>
    <w:rsid w:val="00643AF1"/>
    <w:rsid w:val="00643D37"/>
    <w:rsid w:val="006440C5"/>
    <w:rsid w:val="006442BF"/>
    <w:rsid w:val="00644809"/>
    <w:rsid w:val="0064485A"/>
    <w:rsid w:val="00644CAC"/>
    <w:rsid w:val="00644CDE"/>
    <w:rsid w:val="00644E08"/>
    <w:rsid w:val="006450B2"/>
    <w:rsid w:val="006455BE"/>
    <w:rsid w:val="00645E0A"/>
    <w:rsid w:val="00645EAC"/>
    <w:rsid w:val="00645F13"/>
    <w:rsid w:val="00646070"/>
    <w:rsid w:val="00646281"/>
    <w:rsid w:val="00646310"/>
    <w:rsid w:val="006467A9"/>
    <w:rsid w:val="00646AB7"/>
    <w:rsid w:val="00646AC2"/>
    <w:rsid w:val="00646C90"/>
    <w:rsid w:val="00646CD7"/>
    <w:rsid w:val="00646D8A"/>
    <w:rsid w:val="00646FF1"/>
    <w:rsid w:val="0064727D"/>
    <w:rsid w:val="00647362"/>
    <w:rsid w:val="006474C1"/>
    <w:rsid w:val="0064782C"/>
    <w:rsid w:val="00647956"/>
    <w:rsid w:val="006479AC"/>
    <w:rsid w:val="00647B38"/>
    <w:rsid w:val="006502CC"/>
    <w:rsid w:val="00650496"/>
    <w:rsid w:val="006504BF"/>
    <w:rsid w:val="00650720"/>
    <w:rsid w:val="00650A36"/>
    <w:rsid w:val="00650C7D"/>
    <w:rsid w:val="00650CA4"/>
    <w:rsid w:val="00650F04"/>
    <w:rsid w:val="00650F12"/>
    <w:rsid w:val="006513D9"/>
    <w:rsid w:val="00651443"/>
    <w:rsid w:val="00651A68"/>
    <w:rsid w:val="00651CE0"/>
    <w:rsid w:val="00651DC8"/>
    <w:rsid w:val="00652150"/>
    <w:rsid w:val="00652256"/>
    <w:rsid w:val="006522FD"/>
    <w:rsid w:val="00652498"/>
    <w:rsid w:val="0065265F"/>
    <w:rsid w:val="006526B8"/>
    <w:rsid w:val="00652861"/>
    <w:rsid w:val="0065295B"/>
    <w:rsid w:val="00652A79"/>
    <w:rsid w:val="00652BA6"/>
    <w:rsid w:val="00652BE4"/>
    <w:rsid w:val="006532B1"/>
    <w:rsid w:val="006533B4"/>
    <w:rsid w:val="0065353D"/>
    <w:rsid w:val="00653593"/>
    <w:rsid w:val="006536EC"/>
    <w:rsid w:val="00653721"/>
    <w:rsid w:val="006537B6"/>
    <w:rsid w:val="00653A2D"/>
    <w:rsid w:val="00653AA5"/>
    <w:rsid w:val="00653DD0"/>
    <w:rsid w:val="00653EA3"/>
    <w:rsid w:val="00653FA7"/>
    <w:rsid w:val="00653FD7"/>
    <w:rsid w:val="00653FD8"/>
    <w:rsid w:val="0065445B"/>
    <w:rsid w:val="00654729"/>
    <w:rsid w:val="00654B65"/>
    <w:rsid w:val="00654B82"/>
    <w:rsid w:val="00655374"/>
    <w:rsid w:val="006553AB"/>
    <w:rsid w:val="006554DC"/>
    <w:rsid w:val="00655544"/>
    <w:rsid w:val="0065555E"/>
    <w:rsid w:val="006556D6"/>
    <w:rsid w:val="006558C0"/>
    <w:rsid w:val="00655B22"/>
    <w:rsid w:val="00655BB6"/>
    <w:rsid w:val="00655BDA"/>
    <w:rsid w:val="00655C27"/>
    <w:rsid w:val="00655F2E"/>
    <w:rsid w:val="00655F44"/>
    <w:rsid w:val="00655FAB"/>
    <w:rsid w:val="00655FB7"/>
    <w:rsid w:val="006560E6"/>
    <w:rsid w:val="00656124"/>
    <w:rsid w:val="006561DC"/>
    <w:rsid w:val="006566A7"/>
    <w:rsid w:val="00656AB1"/>
    <w:rsid w:val="00656BC3"/>
    <w:rsid w:val="00656CE7"/>
    <w:rsid w:val="006570FB"/>
    <w:rsid w:val="006572F1"/>
    <w:rsid w:val="006574B3"/>
    <w:rsid w:val="00657549"/>
    <w:rsid w:val="006577FF"/>
    <w:rsid w:val="00657AB0"/>
    <w:rsid w:val="00657BBA"/>
    <w:rsid w:val="00657CDC"/>
    <w:rsid w:val="00657EDA"/>
    <w:rsid w:val="00657F45"/>
    <w:rsid w:val="00660204"/>
    <w:rsid w:val="006608A2"/>
    <w:rsid w:val="00660A61"/>
    <w:rsid w:val="00660BCD"/>
    <w:rsid w:val="00660FA2"/>
    <w:rsid w:val="00661073"/>
    <w:rsid w:val="006612C3"/>
    <w:rsid w:val="00661386"/>
    <w:rsid w:val="00661388"/>
    <w:rsid w:val="00661505"/>
    <w:rsid w:val="006619B9"/>
    <w:rsid w:val="00661EE7"/>
    <w:rsid w:val="00661F68"/>
    <w:rsid w:val="006620CA"/>
    <w:rsid w:val="006621AB"/>
    <w:rsid w:val="0066237C"/>
    <w:rsid w:val="006624BF"/>
    <w:rsid w:val="00662594"/>
    <w:rsid w:val="006625D2"/>
    <w:rsid w:val="006627D7"/>
    <w:rsid w:val="0066281F"/>
    <w:rsid w:val="0066283D"/>
    <w:rsid w:val="00662BD3"/>
    <w:rsid w:val="00662C45"/>
    <w:rsid w:val="00662D5A"/>
    <w:rsid w:val="00662E38"/>
    <w:rsid w:val="006630D0"/>
    <w:rsid w:val="006631A4"/>
    <w:rsid w:val="006632B7"/>
    <w:rsid w:val="006633A1"/>
    <w:rsid w:val="00663568"/>
    <w:rsid w:val="006635ED"/>
    <w:rsid w:val="0066376F"/>
    <w:rsid w:val="006639D0"/>
    <w:rsid w:val="00663A45"/>
    <w:rsid w:val="00663B28"/>
    <w:rsid w:val="00663B32"/>
    <w:rsid w:val="00663EB0"/>
    <w:rsid w:val="0066406D"/>
    <w:rsid w:val="0066433A"/>
    <w:rsid w:val="006644BC"/>
    <w:rsid w:val="006649D9"/>
    <w:rsid w:val="00664A58"/>
    <w:rsid w:val="00664B38"/>
    <w:rsid w:val="00664C10"/>
    <w:rsid w:val="00664C12"/>
    <w:rsid w:val="0066518D"/>
    <w:rsid w:val="006653C6"/>
    <w:rsid w:val="00665426"/>
    <w:rsid w:val="006657A7"/>
    <w:rsid w:val="00665CC7"/>
    <w:rsid w:val="00665E22"/>
    <w:rsid w:val="0066615B"/>
    <w:rsid w:val="00666814"/>
    <w:rsid w:val="00666BF1"/>
    <w:rsid w:val="00666EA5"/>
    <w:rsid w:val="00666EB0"/>
    <w:rsid w:val="00666EF2"/>
    <w:rsid w:val="00667208"/>
    <w:rsid w:val="0066754A"/>
    <w:rsid w:val="006675D4"/>
    <w:rsid w:val="00667994"/>
    <w:rsid w:val="00667A03"/>
    <w:rsid w:val="00667C05"/>
    <w:rsid w:val="0067049A"/>
    <w:rsid w:val="0067049D"/>
    <w:rsid w:val="00670764"/>
    <w:rsid w:val="00670943"/>
    <w:rsid w:val="00670D2A"/>
    <w:rsid w:val="00670EBF"/>
    <w:rsid w:val="00671023"/>
    <w:rsid w:val="006710CD"/>
    <w:rsid w:val="0067171F"/>
    <w:rsid w:val="006717A8"/>
    <w:rsid w:val="006717FC"/>
    <w:rsid w:val="0067192E"/>
    <w:rsid w:val="00671A10"/>
    <w:rsid w:val="00671B6E"/>
    <w:rsid w:val="00671BCD"/>
    <w:rsid w:val="00671DBD"/>
    <w:rsid w:val="00672197"/>
    <w:rsid w:val="00672273"/>
    <w:rsid w:val="006723C1"/>
    <w:rsid w:val="00672459"/>
    <w:rsid w:val="006725D1"/>
    <w:rsid w:val="0067267E"/>
    <w:rsid w:val="006728CD"/>
    <w:rsid w:val="00672AD3"/>
    <w:rsid w:val="00672B8F"/>
    <w:rsid w:val="00672D49"/>
    <w:rsid w:val="00672E45"/>
    <w:rsid w:val="00672EBA"/>
    <w:rsid w:val="006732DC"/>
    <w:rsid w:val="0067337B"/>
    <w:rsid w:val="0067351F"/>
    <w:rsid w:val="00673B4B"/>
    <w:rsid w:val="00673BC4"/>
    <w:rsid w:val="00673FC8"/>
    <w:rsid w:val="0067406E"/>
    <w:rsid w:val="006748AA"/>
    <w:rsid w:val="006749EE"/>
    <w:rsid w:val="006750A3"/>
    <w:rsid w:val="00675220"/>
    <w:rsid w:val="006754A6"/>
    <w:rsid w:val="00675556"/>
    <w:rsid w:val="0067565F"/>
    <w:rsid w:val="0067570F"/>
    <w:rsid w:val="00675AF4"/>
    <w:rsid w:val="00675D0A"/>
    <w:rsid w:val="00675DAC"/>
    <w:rsid w:val="006766CE"/>
    <w:rsid w:val="00676807"/>
    <w:rsid w:val="00676B5A"/>
    <w:rsid w:val="00676BE2"/>
    <w:rsid w:val="00676CB2"/>
    <w:rsid w:val="00676DBE"/>
    <w:rsid w:val="00676DC8"/>
    <w:rsid w:val="00676F5E"/>
    <w:rsid w:val="006770CA"/>
    <w:rsid w:val="00677415"/>
    <w:rsid w:val="0067775C"/>
    <w:rsid w:val="006778B7"/>
    <w:rsid w:val="00677A9D"/>
    <w:rsid w:val="00677CDD"/>
    <w:rsid w:val="00677F37"/>
    <w:rsid w:val="00680158"/>
    <w:rsid w:val="00680221"/>
    <w:rsid w:val="00680284"/>
    <w:rsid w:val="0068052B"/>
    <w:rsid w:val="00680D28"/>
    <w:rsid w:val="00680F28"/>
    <w:rsid w:val="0068100A"/>
    <w:rsid w:val="00681240"/>
    <w:rsid w:val="00681498"/>
    <w:rsid w:val="00681590"/>
    <w:rsid w:val="00681865"/>
    <w:rsid w:val="00681C9F"/>
    <w:rsid w:val="00681F38"/>
    <w:rsid w:val="006820B5"/>
    <w:rsid w:val="006824EF"/>
    <w:rsid w:val="00682724"/>
    <w:rsid w:val="00682765"/>
    <w:rsid w:val="00682F85"/>
    <w:rsid w:val="0068300B"/>
    <w:rsid w:val="00683050"/>
    <w:rsid w:val="0068330E"/>
    <w:rsid w:val="0068389A"/>
    <w:rsid w:val="00683A24"/>
    <w:rsid w:val="00683E26"/>
    <w:rsid w:val="00683E56"/>
    <w:rsid w:val="006840DE"/>
    <w:rsid w:val="0068416C"/>
    <w:rsid w:val="006847D6"/>
    <w:rsid w:val="00684B7E"/>
    <w:rsid w:val="0068528C"/>
    <w:rsid w:val="00685341"/>
    <w:rsid w:val="00685442"/>
    <w:rsid w:val="00685A8C"/>
    <w:rsid w:val="00685B30"/>
    <w:rsid w:val="00685B49"/>
    <w:rsid w:val="00685D62"/>
    <w:rsid w:val="00685F6A"/>
    <w:rsid w:val="00685FB5"/>
    <w:rsid w:val="00686223"/>
    <w:rsid w:val="0068652A"/>
    <w:rsid w:val="006866D1"/>
    <w:rsid w:val="00686ABB"/>
    <w:rsid w:val="00686B12"/>
    <w:rsid w:val="00686BF7"/>
    <w:rsid w:val="00686FD3"/>
    <w:rsid w:val="00687454"/>
    <w:rsid w:val="006876D3"/>
    <w:rsid w:val="0068778B"/>
    <w:rsid w:val="00687846"/>
    <w:rsid w:val="006878EF"/>
    <w:rsid w:val="00687998"/>
    <w:rsid w:val="00687A3D"/>
    <w:rsid w:val="00687A8F"/>
    <w:rsid w:val="00687BDB"/>
    <w:rsid w:val="00687CBB"/>
    <w:rsid w:val="00687D03"/>
    <w:rsid w:val="00687DFE"/>
    <w:rsid w:val="00687E5E"/>
    <w:rsid w:val="0069009D"/>
    <w:rsid w:val="00690572"/>
    <w:rsid w:val="0069069C"/>
    <w:rsid w:val="0069075F"/>
    <w:rsid w:val="00690CDD"/>
    <w:rsid w:val="00690E0B"/>
    <w:rsid w:val="00691032"/>
    <w:rsid w:val="0069153E"/>
    <w:rsid w:val="00691661"/>
    <w:rsid w:val="0069194B"/>
    <w:rsid w:val="00691AB4"/>
    <w:rsid w:val="00691D10"/>
    <w:rsid w:val="006921AB"/>
    <w:rsid w:val="00692565"/>
    <w:rsid w:val="00692848"/>
    <w:rsid w:val="00692881"/>
    <w:rsid w:val="006928A1"/>
    <w:rsid w:val="00692947"/>
    <w:rsid w:val="00692AB7"/>
    <w:rsid w:val="00692B66"/>
    <w:rsid w:val="00692C59"/>
    <w:rsid w:val="00692D9E"/>
    <w:rsid w:val="00693442"/>
    <w:rsid w:val="006934CD"/>
    <w:rsid w:val="00693659"/>
    <w:rsid w:val="0069367B"/>
    <w:rsid w:val="006938C4"/>
    <w:rsid w:val="00693B0B"/>
    <w:rsid w:val="00693B5C"/>
    <w:rsid w:val="00693CDB"/>
    <w:rsid w:val="00693DD2"/>
    <w:rsid w:val="00694150"/>
    <w:rsid w:val="006942E9"/>
    <w:rsid w:val="0069448C"/>
    <w:rsid w:val="00694612"/>
    <w:rsid w:val="00694638"/>
    <w:rsid w:val="006948C2"/>
    <w:rsid w:val="00694EB6"/>
    <w:rsid w:val="00695083"/>
    <w:rsid w:val="0069510F"/>
    <w:rsid w:val="006951C2"/>
    <w:rsid w:val="006952ED"/>
    <w:rsid w:val="0069532D"/>
    <w:rsid w:val="00695396"/>
    <w:rsid w:val="0069541A"/>
    <w:rsid w:val="00695836"/>
    <w:rsid w:val="00695D03"/>
    <w:rsid w:val="0069621D"/>
    <w:rsid w:val="00696345"/>
    <w:rsid w:val="006963BF"/>
    <w:rsid w:val="006963F1"/>
    <w:rsid w:val="0069640A"/>
    <w:rsid w:val="00696722"/>
    <w:rsid w:val="0069688A"/>
    <w:rsid w:val="00696A5E"/>
    <w:rsid w:val="00697181"/>
    <w:rsid w:val="0069744B"/>
    <w:rsid w:val="006974C3"/>
    <w:rsid w:val="0069797B"/>
    <w:rsid w:val="00697989"/>
    <w:rsid w:val="00697A1F"/>
    <w:rsid w:val="00697B4D"/>
    <w:rsid w:val="00697D10"/>
    <w:rsid w:val="00697E6A"/>
    <w:rsid w:val="00697FD4"/>
    <w:rsid w:val="006A02DE"/>
    <w:rsid w:val="006A0518"/>
    <w:rsid w:val="006A0578"/>
    <w:rsid w:val="006A07E8"/>
    <w:rsid w:val="006A09E4"/>
    <w:rsid w:val="006A0A0D"/>
    <w:rsid w:val="006A0C4D"/>
    <w:rsid w:val="006A0E74"/>
    <w:rsid w:val="006A0EB8"/>
    <w:rsid w:val="006A100D"/>
    <w:rsid w:val="006A1246"/>
    <w:rsid w:val="006A162B"/>
    <w:rsid w:val="006A17DA"/>
    <w:rsid w:val="006A18BA"/>
    <w:rsid w:val="006A1976"/>
    <w:rsid w:val="006A1AC4"/>
    <w:rsid w:val="006A1D99"/>
    <w:rsid w:val="006A1DAE"/>
    <w:rsid w:val="006A200A"/>
    <w:rsid w:val="006A20B1"/>
    <w:rsid w:val="006A2276"/>
    <w:rsid w:val="006A22AD"/>
    <w:rsid w:val="006A241B"/>
    <w:rsid w:val="006A2A56"/>
    <w:rsid w:val="006A2D14"/>
    <w:rsid w:val="006A307F"/>
    <w:rsid w:val="006A3269"/>
    <w:rsid w:val="006A326E"/>
    <w:rsid w:val="006A3275"/>
    <w:rsid w:val="006A3840"/>
    <w:rsid w:val="006A3E80"/>
    <w:rsid w:val="006A41B7"/>
    <w:rsid w:val="006A442D"/>
    <w:rsid w:val="006A4538"/>
    <w:rsid w:val="006A4702"/>
    <w:rsid w:val="006A49F5"/>
    <w:rsid w:val="006A4AA6"/>
    <w:rsid w:val="006A4B8A"/>
    <w:rsid w:val="006A4C73"/>
    <w:rsid w:val="006A4D86"/>
    <w:rsid w:val="006A4D99"/>
    <w:rsid w:val="006A4EFA"/>
    <w:rsid w:val="006A4F05"/>
    <w:rsid w:val="006A5116"/>
    <w:rsid w:val="006A51EF"/>
    <w:rsid w:val="006A520A"/>
    <w:rsid w:val="006A54D9"/>
    <w:rsid w:val="006A56EF"/>
    <w:rsid w:val="006A5744"/>
    <w:rsid w:val="006A58E1"/>
    <w:rsid w:val="006A59DF"/>
    <w:rsid w:val="006A5ADE"/>
    <w:rsid w:val="006A5D09"/>
    <w:rsid w:val="006A6215"/>
    <w:rsid w:val="006A6436"/>
    <w:rsid w:val="006A644C"/>
    <w:rsid w:val="006A6576"/>
    <w:rsid w:val="006A663F"/>
    <w:rsid w:val="006A67BA"/>
    <w:rsid w:val="006A68FC"/>
    <w:rsid w:val="006A6902"/>
    <w:rsid w:val="006A69D8"/>
    <w:rsid w:val="006A6AB5"/>
    <w:rsid w:val="006A6BB1"/>
    <w:rsid w:val="006A6C18"/>
    <w:rsid w:val="006A6CA0"/>
    <w:rsid w:val="006A737C"/>
    <w:rsid w:val="006A7745"/>
    <w:rsid w:val="006A7896"/>
    <w:rsid w:val="006A7976"/>
    <w:rsid w:val="006A7BEC"/>
    <w:rsid w:val="006A7D49"/>
    <w:rsid w:val="006A7F95"/>
    <w:rsid w:val="006B0183"/>
    <w:rsid w:val="006B01B7"/>
    <w:rsid w:val="006B0201"/>
    <w:rsid w:val="006B0374"/>
    <w:rsid w:val="006B046D"/>
    <w:rsid w:val="006B0530"/>
    <w:rsid w:val="006B0614"/>
    <w:rsid w:val="006B085C"/>
    <w:rsid w:val="006B0AD7"/>
    <w:rsid w:val="006B0D75"/>
    <w:rsid w:val="006B0E5B"/>
    <w:rsid w:val="006B0EEA"/>
    <w:rsid w:val="006B19B2"/>
    <w:rsid w:val="006B19BB"/>
    <w:rsid w:val="006B1BF3"/>
    <w:rsid w:val="006B1C3A"/>
    <w:rsid w:val="006B21B9"/>
    <w:rsid w:val="006B245C"/>
    <w:rsid w:val="006B2696"/>
    <w:rsid w:val="006B298D"/>
    <w:rsid w:val="006B2DE2"/>
    <w:rsid w:val="006B2F72"/>
    <w:rsid w:val="006B3077"/>
    <w:rsid w:val="006B3476"/>
    <w:rsid w:val="006B3B4E"/>
    <w:rsid w:val="006B3B65"/>
    <w:rsid w:val="006B3F18"/>
    <w:rsid w:val="006B3F8C"/>
    <w:rsid w:val="006B3FE2"/>
    <w:rsid w:val="006B420E"/>
    <w:rsid w:val="006B427D"/>
    <w:rsid w:val="006B45A8"/>
    <w:rsid w:val="006B4C00"/>
    <w:rsid w:val="006B4E35"/>
    <w:rsid w:val="006B4E3B"/>
    <w:rsid w:val="006B4ED6"/>
    <w:rsid w:val="006B4F3E"/>
    <w:rsid w:val="006B4F41"/>
    <w:rsid w:val="006B4F4C"/>
    <w:rsid w:val="006B5488"/>
    <w:rsid w:val="006B55D5"/>
    <w:rsid w:val="006B5E29"/>
    <w:rsid w:val="006B5F63"/>
    <w:rsid w:val="006B5FA1"/>
    <w:rsid w:val="006B6081"/>
    <w:rsid w:val="006B6181"/>
    <w:rsid w:val="006B636E"/>
    <w:rsid w:val="006B65D9"/>
    <w:rsid w:val="006B6786"/>
    <w:rsid w:val="006B6C06"/>
    <w:rsid w:val="006B6D61"/>
    <w:rsid w:val="006B6F1A"/>
    <w:rsid w:val="006B6F50"/>
    <w:rsid w:val="006B705B"/>
    <w:rsid w:val="006B7094"/>
    <w:rsid w:val="006B7129"/>
    <w:rsid w:val="006B71C0"/>
    <w:rsid w:val="006B7254"/>
    <w:rsid w:val="006B755F"/>
    <w:rsid w:val="006B76ED"/>
    <w:rsid w:val="006B7DED"/>
    <w:rsid w:val="006B7FB8"/>
    <w:rsid w:val="006C0213"/>
    <w:rsid w:val="006C0566"/>
    <w:rsid w:val="006C05BB"/>
    <w:rsid w:val="006C0E1C"/>
    <w:rsid w:val="006C1347"/>
    <w:rsid w:val="006C143D"/>
    <w:rsid w:val="006C1502"/>
    <w:rsid w:val="006C15A0"/>
    <w:rsid w:val="006C1B11"/>
    <w:rsid w:val="006C1CDA"/>
    <w:rsid w:val="006C1DF7"/>
    <w:rsid w:val="006C2305"/>
    <w:rsid w:val="006C23BF"/>
    <w:rsid w:val="006C23E5"/>
    <w:rsid w:val="006C2849"/>
    <w:rsid w:val="006C28E6"/>
    <w:rsid w:val="006C2A9E"/>
    <w:rsid w:val="006C2C9D"/>
    <w:rsid w:val="006C2FCD"/>
    <w:rsid w:val="006C32C5"/>
    <w:rsid w:val="006C335F"/>
    <w:rsid w:val="006C3534"/>
    <w:rsid w:val="006C384E"/>
    <w:rsid w:val="006C3857"/>
    <w:rsid w:val="006C3E49"/>
    <w:rsid w:val="006C3F24"/>
    <w:rsid w:val="006C410F"/>
    <w:rsid w:val="006C4112"/>
    <w:rsid w:val="006C4278"/>
    <w:rsid w:val="006C4588"/>
    <w:rsid w:val="006C4589"/>
    <w:rsid w:val="006C46E1"/>
    <w:rsid w:val="006C4956"/>
    <w:rsid w:val="006C539A"/>
    <w:rsid w:val="006C5405"/>
    <w:rsid w:val="006C5419"/>
    <w:rsid w:val="006C5749"/>
    <w:rsid w:val="006C594B"/>
    <w:rsid w:val="006C5B8E"/>
    <w:rsid w:val="006C5E0E"/>
    <w:rsid w:val="006C5F3E"/>
    <w:rsid w:val="006C5FE1"/>
    <w:rsid w:val="006C6236"/>
    <w:rsid w:val="006C63A7"/>
    <w:rsid w:val="006C650D"/>
    <w:rsid w:val="006C67C1"/>
    <w:rsid w:val="006C6995"/>
    <w:rsid w:val="006C6A29"/>
    <w:rsid w:val="006C6A8B"/>
    <w:rsid w:val="006C6FE5"/>
    <w:rsid w:val="006C745A"/>
    <w:rsid w:val="006C7656"/>
    <w:rsid w:val="006C775D"/>
    <w:rsid w:val="006C7921"/>
    <w:rsid w:val="006C7A87"/>
    <w:rsid w:val="006C7D4D"/>
    <w:rsid w:val="006D0115"/>
    <w:rsid w:val="006D0153"/>
    <w:rsid w:val="006D0498"/>
    <w:rsid w:val="006D05A3"/>
    <w:rsid w:val="006D0DDB"/>
    <w:rsid w:val="006D0E7C"/>
    <w:rsid w:val="006D1191"/>
    <w:rsid w:val="006D1279"/>
    <w:rsid w:val="006D1559"/>
    <w:rsid w:val="006D1655"/>
    <w:rsid w:val="006D17B7"/>
    <w:rsid w:val="006D17FB"/>
    <w:rsid w:val="006D181C"/>
    <w:rsid w:val="006D1A1F"/>
    <w:rsid w:val="006D1C2E"/>
    <w:rsid w:val="006D1F9E"/>
    <w:rsid w:val="006D229A"/>
    <w:rsid w:val="006D2519"/>
    <w:rsid w:val="006D284E"/>
    <w:rsid w:val="006D2B89"/>
    <w:rsid w:val="006D2DAB"/>
    <w:rsid w:val="006D304C"/>
    <w:rsid w:val="006D3051"/>
    <w:rsid w:val="006D33C4"/>
    <w:rsid w:val="006D33F6"/>
    <w:rsid w:val="006D387A"/>
    <w:rsid w:val="006D4351"/>
    <w:rsid w:val="006D467A"/>
    <w:rsid w:val="006D4741"/>
    <w:rsid w:val="006D4826"/>
    <w:rsid w:val="006D4890"/>
    <w:rsid w:val="006D4A07"/>
    <w:rsid w:val="006D4BC8"/>
    <w:rsid w:val="006D5095"/>
    <w:rsid w:val="006D5200"/>
    <w:rsid w:val="006D5444"/>
    <w:rsid w:val="006D551D"/>
    <w:rsid w:val="006D55A2"/>
    <w:rsid w:val="006D5709"/>
    <w:rsid w:val="006D574F"/>
    <w:rsid w:val="006D584F"/>
    <w:rsid w:val="006D5CCB"/>
    <w:rsid w:val="006D5CD6"/>
    <w:rsid w:val="006D5D09"/>
    <w:rsid w:val="006D5DE5"/>
    <w:rsid w:val="006D5FE7"/>
    <w:rsid w:val="006D6B6B"/>
    <w:rsid w:val="006D6D7D"/>
    <w:rsid w:val="006D7099"/>
    <w:rsid w:val="006D713F"/>
    <w:rsid w:val="006D7266"/>
    <w:rsid w:val="006D750D"/>
    <w:rsid w:val="006D751F"/>
    <w:rsid w:val="006D762E"/>
    <w:rsid w:val="006D7702"/>
    <w:rsid w:val="006D785C"/>
    <w:rsid w:val="006D7997"/>
    <w:rsid w:val="006D79D5"/>
    <w:rsid w:val="006D7C07"/>
    <w:rsid w:val="006D7DAE"/>
    <w:rsid w:val="006D7EE0"/>
    <w:rsid w:val="006E0070"/>
    <w:rsid w:val="006E0082"/>
    <w:rsid w:val="006E0266"/>
    <w:rsid w:val="006E0272"/>
    <w:rsid w:val="006E092D"/>
    <w:rsid w:val="006E0AD5"/>
    <w:rsid w:val="006E0BC3"/>
    <w:rsid w:val="006E0BEA"/>
    <w:rsid w:val="006E0EEF"/>
    <w:rsid w:val="006E102F"/>
    <w:rsid w:val="006E125A"/>
    <w:rsid w:val="006E1614"/>
    <w:rsid w:val="006E1793"/>
    <w:rsid w:val="006E1972"/>
    <w:rsid w:val="006E19CE"/>
    <w:rsid w:val="006E1A7F"/>
    <w:rsid w:val="006E1BC6"/>
    <w:rsid w:val="006E1EEF"/>
    <w:rsid w:val="006E1FCB"/>
    <w:rsid w:val="006E204F"/>
    <w:rsid w:val="006E24EC"/>
    <w:rsid w:val="006E263A"/>
    <w:rsid w:val="006E2754"/>
    <w:rsid w:val="006E2807"/>
    <w:rsid w:val="006E2A89"/>
    <w:rsid w:val="006E2B3E"/>
    <w:rsid w:val="006E2BD3"/>
    <w:rsid w:val="006E3038"/>
    <w:rsid w:val="006E3108"/>
    <w:rsid w:val="006E3176"/>
    <w:rsid w:val="006E31E2"/>
    <w:rsid w:val="006E358D"/>
    <w:rsid w:val="006E3B8F"/>
    <w:rsid w:val="006E3CCD"/>
    <w:rsid w:val="006E3DB6"/>
    <w:rsid w:val="006E42F6"/>
    <w:rsid w:val="006E462B"/>
    <w:rsid w:val="006E49AF"/>
    <w:rsid w:val="006E49D5"/>
    <w:rsid w:val="006E4B80"/>
    <w:rsid w:val="006E51E3"/>
    <w:rsid w:val="006E5307"/>
    <w:rsid w:val="006E5366"/>
    <w:rsid w:val="006E558A"/>
    <w:rsid w:val="006E573E"/>
    <w:rsid w:val="006E57C9"/>
    <w:rsid w:val="006E5930"/>
    <w:rsid w:val="006E5A63"/>
    <w:rsid w:val="006E5BD1"/>
    <w:rsid w:val="006E5D70"/>
    <w:rsid w:val="006E5EC2"/>
    <w:rsid w:val="006E5F2A"/>
    <w:rsid w:val="006E606C"/>
    <w:rsid w:val="006E60CC"/>
    <w:rsid w:val="006E62B8"/>
    <w:rsid w:val="006E6381"/>
    <w:rsid w:val="006E65AD"/>
    <w:rsid w:val="006E6633"/>
    <w:rsid w:val="006E6718"/>
    <w:rsid w:val="006E6972"/>
    <w:rsid w:val="006E6C80"/>
    <w:rsid w:val="006E6CAE"/>
    <w:rsid w:val="006E6FF3"/>
    <w:rsid w:val="006E71E7"/>
    <w:rsid w:val="006E7808"/>
    <w:rsid w:val="006E7950"/>
    <w:rsid w:val="006E7BDB"/>
    <w:rsid w:val="006E7C04"/>
    <w:rsid w:val="006E7CBC"/>
    <w:rsid w:val="006E7F3B"/>
    <w:rsid w:val="006E7FEA"/>
    <w:rsid w:val="006F01E7"/>
    <w:rsid w:val="006F040F"/>
    <w:rsid w:val="006F048F"/>
    <w:rsid w:val="006F0612"/>
    <w:rsid w:val="006F06F3"/>
    <w:rsid w:val="006F0845"/>
    <w:rsid w:val="006F0920"/>
    <w:rsid w:val="006F0949"/>
    <w:rsid w:val="006F0CE8"/>
    <w:rsid w:val="006F0FD8"/>
    <w:rsid w:val="006F10F9"/>
    <w:rsid w:val="006F12DC"/>
    <w:rsid w:val="006F15C3"/>
    <w:rsid w:val="006F15FD"/>
    <w:rsid w:val="006F1606"/>
    <w:rsid w:val="006F1789"/>
    <w:rsid w:val="006F1827"/>
    <w:rsid w:val="006F198E"/>
    <w:rsid w:val="006F202B"/>
    <w:rsid w:val="006F205C"/>
    <w:rsid w:val="006F2072"/>
    <w:rsid w:val="006F22EB"/>
    <w:rsid w:val="006F2379"/>
    <w:rsid w:val="006F2515"/>
    <w:rsid w:val="006F2A3A"/>
    <w:rsid w:val="006F2BA9"/>
    <w:rsid w:val="006F2C88"/>
    <w:rsid w:val="006F2D45"/>
    <w:rsid w:val="006F2EA3"/>
    <w:rsid w:val="006F3013"/>
    <w:rsid w:val="006F3035"/>
    <w:rsid w:val="006F3115"/>
    <w:rsid w:val="006F3347"/>
    <w:rsid w:val="006F33AB"/>
    <w:rsid w:val="006F348B"/>
    <w:rsid w:val="006F3BD7"/>
    <w:rsid w:val="006F3D1C"/>
    <w:rsid w:val="006F3DA8"/>
    <w:rsid w:val="006F417C"/>
    <w:rsid w:val="006F46D5"/>
    <w:rsid w:val="006F46FB"/>
    <w:rsid w:val="006F48F5"/>
    <w:rsid w:val="006F4A26"/>
    <w:rsid w:val="006F4B83"/>
    <w:rsid w:val="006F4FAC"/>
    <w:rsid w:val="006F4FFA"/>
    <w:rsid w:val="006F5226"/>
    <w:rsid w:val="006F532E"/>
    <w:rsid w:val="006F541A"/>
    <w:rsid w:val="006F5572"/>
    <w:rsid w:val="006F56C2"/>
    <w:rsid w:val="006F5801"/>
    <w:rsid w:val="006F5A00"/>
    <w:rsid w:val="006F5ADC"/>
    <w:rsid w:val="006F5F0F"/>
    <w:rsid w:val="006F60AD"/>
    <w:rsid w:val="006F61CE"/>
    <w:rsid w:val="006F63F3"/>
    <w:rsid w:val="006F66B0"/>
    <w:rsid w:val="006F686C"/>
    <w:rsid w:val="006F6B41"/>
    <w:rsid w:val="006F6B56"/>
    <w:rsid w:val="006F6FC9"/>
    <w:rsid w:val="006F7039"/>
    <w:rsid w:val="006F72C8"/>
    <w:rsid w:val="006F765D"/>
    <w:rsid w:val="006F77D5"/>
    <w:rsid w:val="006F7B26"/>
    <w:rsid w:val="006F7B68"/>
    <w:rsid w:val="006F7DDC"/>
    <w:rsid w:val="006F7ED1"/>
    <w:rsid w:val="006F7F51"/>
    <w:rsid w:val="00700035"/>
    <w:rsid w:val="007000C1"/>
    <w:rsid w:val="0070016B"/>
    <w:rsid w:val="00700380"/>
    <w:rsid w:val="007003CC"/>
    <w:rsid w:val="0070043F"/>
    <w:rsid w:val="007005B5"/>
    <w:rsid w:val="00700C96"/>
    <w:rsid w:val="00700D67"/>
    <w:rsid w:val="00700D93"/>
    <w:rsid w:val="00700FC0"/>
    <w:rsid w:val="007012E3"/>
    <w:rsid w:val="007013FE"/>
    <w:rsid w:val="007017BF"/>
    <w:rsid w:val="00701A03"/>
    <w:rsid w:val="00701A8C"/>
    <w:rsid w:val="00701BF6"/>
    <w:rsid w:val="00701C78"/>
    <w:rsid w:val="00701D90"/>
    <w:rsid w:val="007020B0"/>
    <w:rsid w:val="00702377"/>
    <w:rsid w:val="007027C0"/>
    <w:rsid w:val="00702986"/>
    <w:rsid w:val="00702A5A"/>
    <w:rsid w:val="00702BA1"/>
    <w:rsid w:val="00702C83"/>
    <w:rsid w:val="00702E23"/>
    <w:rsid w:val="00702FB9"/>
    <w:rsid w:val="007031E2"/>
    <w:rsid w:val="0070320D"/>
    <w:rsid w:val="00703211"/>
    <w:rsid w:val="0070324E"/>
    <w:rsid w:val="00703675"/>
    <w:rsid w:val="00703692"/>
    <w:rsid w:val="0070369C"/>
    <w:rsid w:val="00703726"/>
    <w:rsid w:val="0070393A"/>
    <w:rsid w:val="00703ACE"/>
    <w:rsid w:val="00703B83"/>
    <w:rsid w:val="00703B98"/>
    <w:rsid w:val="00703DBD"/>
    <w:rsid w:val="007040A9"/>
    <w:rsid w:val="00704177"/>
    <w:rsid w:val="0070461E"/>
    <w:rsid w:val="00704ED0"/>
    <w:rsid w:val="0070510A"/>
    <w:rsid w:val="007053DA"/>
    <w:rsid w:val="0070576E"/>
    <w:rsid w:val="00705859"/>
    <w:rsid w:val="00705B6D"/>
    <w:rsid w:val="0070612B"/>
    <w:rsid w:val="007064D1"/>
    <w:rsid w:val="007065F7"/>
    <w:rsid w:val="007067FA"/>
    <w:rsid w:val="00706986"/>
    <w:rsid w:val="007069BB"/>
    <w:rsid w:val="00706A78"/>
    <w:rsid w:val="00706F23"/>
    <w:rsid w:val="00706F5A"/>
    <w:rsid w:val="007074B4"/>
    <w:rsid w:val="007074EC"/>
    <w:rsid w:val="0070758B"/>
    <w:rsid w:val="00707728"/>
    <w:rsid w:val="007078B8"/>
    <w:rsid w:val="00707999"/>
    <w:rsid w:val="007079AA"/>
    <w:rsid w:val="00707C2D"/>
    <w:rsid w:val="00707C9C"/>
    <w:rsid w:val="00707C9D"/>
    <w:rsid w:val="00707CA4"/>
    <w:rsid w:val="00707DCA"/>
    <w:rsid w:val="00707E69"/>
    <w:rsid w:val="00707F06"/>
    <w:rsid w:val="0071020F"/>
    <w:rsid w:val="007102E6"/>
    <w:rsid w:val="00710BD6"/>
    <w:rsid w:val="00710BE0"/>
    <w:rsid w:val="00710D5C"/>
    <w:rsid w:val="00710DDC"/>
    <w:rsid w:val="00710E55"/>
    <w:rsid w:val="00711030"/>
    <w:rsid w:val="00711601"/>
    <w:rsid w:val="0071167B"/>
    <w:rsid w:val="00711C6D"/>
    <w:rsid w:val="00711CB3"/>
    <w:rsid w:val="0071212C"/>
    <w:rsid w:val="007125DD"/>
    <w:rsid w:val="007125FE"/>
    <w:rsid w:val="00712D80"/>
    <w:rsid w:val="00712FDE"/>
    <w:rsid w:val="00712FE0"/>
    <w:rsid w:val="00713305"/>
    <w:rsid w:val="00713356"/>
    <w:rsid w:val="00713751"/>
    <w:rsid w:val="0071376B"/>
    <w:rsid w:val="00713B80"/>
    <w:rsid w:val="00713F17"/>
    <w:rsid w:val="007140F4"/>
    <w:rsid w:val="007143C7"/>
    <w:rsid w:val="0071443E"/>
    <w:rsid w:val="007146D8"/>
    <w:rsid w:val="0071491E"/>
    <w:rsid w:val="00714AEB"/>
    <w:rsid w:val="00714DDD"/>
    <w:rsid w:val="007151C2"/>
    <w:rsid w:val="00715756"/>
    <w:rsid w:val="007157CE"/>
    <w:rsid w:val="007157FB"/>
    <w:rsid w:val="00715873"/>
    <w:rsid w:val="0071593E"/>
    <w:rsid w:val="00715A5F"/>
    <w:rsid w:val="00715B52"/>
    <w:rsid w:val="0071611E"/>
    <w:rsid w:val="007161F4"/>
    <w:rsid w:val="007162BD"/>
    <w:rsid w:val="00716350"/>
    <w:rsid w:val="007163E1"/>
    <w:rsid w:val="00716498"/>
    <w:rsid w:val="00716DBD"/>
    <w:rsid w:val="00716EBB"/>
    <w:rsid w:val="00716EFC"/>
    <w:rsid w:val="00716F39"/>
    <w:rsid w:val="007176BB"/>
    <w:rsid w:val="00717991"/>
    <w:rsid w:val="00717B04"/>
    <w:rsid w:val="00720A5D"/>
    <w:rsid w:val="00720B2C"/>
    <w:rsid w:val="00720C7D"/>
    <w:rsid w:val="00720D41"/>
    <w:rsid w:val="00720FB2"/>
    <w:rsid w:val="00721044"/>
    <w:rsid w:val="007210F6"/>
    <w:rsid w:val="0072130E"/>
    <w:rsid w:val="007214BF"/>
    <w:rsid w:val="00721690"/>
    <w:rsid w:val="007216EB"/>
    <w:rsid w:val="00721759"/>
    <w:rsid w:val="00721765"/>
    <w:rsid w:val="00721870"/>
    <w:rsid w:val="007219BB"/>
    <w:rsid w:val="007219CB"/>
    <w:rsid w:val="00721F61"/>
    <w:rsid w:val="00722385"/>
    <w:rsid w:val="0072269F"/>
    <w:rsid w:val="0072273D"/>
    <w:rsid w:val="00722746"/>
    <w:rsid w:val="0072277C"/>
    <w:rsid w:val="00722840"/>
    <w:rsid w:val="007228D2"/>
    <w:rsid w:val="0072291E"/>
    <w:rsid w:val="00722AA6"/>
    <w:rsid w:val="00722D04"/>
    <w:rsid w:val="00722E7E"/>
    <w:rsid w:val="0072325E"/>
    <w:rsid w:val="007237D0"/>
    <w:rsid w:val="007237D7"/>
    <w:rsid w:val="007239DD"/>
    <w:rsid w:val="00723D04"/>
    <w:rsid w:val="00723D1E"/>
    <w:rsid w:val="00723E52"/>
    <w:rsid w:val="00723F55"/>
    <w:rsid w:val="0072426C"/>
    <w:rsid w:val="0072430A"/>
    <w:rsid w:val="00724524"/>
    <w:rsid w:val="0072452D"/>
    <w:rsid w:val="0072491A"/>
    <w:rsid w:val="00724992"/>
    <w:rsid w:val="00724BFC"/>
    <w:rsid w:val="00724BFD"/>
    <w:rsid w:val="00724C15"/>
    <w:rsid w:val="00724C63"/>
    <w:rsid w:val="00724CB7"/>
    <w:rsid w:val="00724D58"/>
    <w:rsid w:val="0072516C"/>
    <w:rsid w:val="007251D6"/>
    <w:rsid w:val="0072526B"/>
    <w:rsid w:val="0072528E"/>
    <w:rsid w:val="00725333"/>
    <w:rsid w:val="007253DF"/>
    <w:rsid w:val="0072563C"/>
    <w:rsid w:val="00725AD9"/>
    <w:rsid w:val="00725DC9"/>
    <w:rsid w:val="00725EF7"/>
    <w:rsid w:val="00725F5E"/>
    <w:rsid w:val="00726000"/>
    <w:rsid w:val="0072660D"/>
    <w:rsid w:val="0072677A"/>
    <w:rsid w:val="007267FC"/>
    <w:rsid w:val="0072686E"/>
    <w:rsid w:val="00726974"/>
    <w:rsid w:val="00726D41"/>
    <w:rsid w:val="00726E9D"/>
    <w:rsid w:val="00726EA4"/>
    <w:rsid w:val="00726F48"/>
    <w:rsid w:val="00726FE7"/>
    <w:rsid w:val="00727093"/>
    <w:rsid w:val="007271F4"/>
    <w:rsid w:val="00727213"/>
    <w:rsid w:val="00727722"/>
    <w:rsid w:val="0072794A"/>
    <w:rsid w:val="00727988"/>
    <w:rsid w:val="00727C44"/>
    <w:rsid w:val="00727D70"/>
    <w:rsid w:val="00727E59"/>
    <w:rsid w:val="00727F76"/>
    <w:rsid w:val="00727F9C"/>
    <w:rsid w:val="00730005"/>
    <w:rsid w:val="007305E2"/>
    <w:rsid w:val="00730995"/>
    <w:rsid w:val="00730B7C"/>
    <w:rsid w:val="00730D72"/>
    <w:rsid w:val="00730E46"/>
    <w:rsid w:val="00730F22"/>
    <w:rsid w:val="0073138B"/>
    <w:rsid w:val="007313F0"/>
    <w:rsid w:val="007315B6"/>
    <w:rsid w:val="007316A9"/>
    <w:rsid w:val="00731AC9"/>
    <w:rsid w:val="00731BD2"/>
    <w:rsid w:val="007322DD"/>
    <w:rsid w:val="00732373"/>
    <w:rsid w:val="007325E6"/>
    <w:rsid w:val="00732B64"/>
    <w:rsid w:val="00732BC8"/>
    <w:rsid w:val="00732C3E"/>
    <w:rsid w:val="00732E1B"/>
    <w:rsid w:val="007334E0"/>
    <w:rsid w:val="00733767"/>
    <w:rsid w:val="007337BC"/>
    <w:rsid w:val="00733901"/>
    <w:rsid w:val="00733B61"/>
    <w:rsid w:val="007340E1"/>
    <w:rsid w:val="007341D3"/>
    <w:rsid w:val="007342FC"/>
    <w:rsid w:val="007343B1"/>
    <w:rsid w:val="0073450F"/>
    <w:rsid w:val="00734514"/>
    <w:rsid w:val="00734A13"/>
    <w:rsid w:val="00734C7C"/>
    <w:rsid w:val="00734D20"/>
    <w:rsid w:val="00734E2B"/>
    <w:rsid w:val="007350D6"/>
    <w:rsid w:val="0073514B"/>
    <w:rsid w:val="00735549"/>
    <w:rsid w:val="007357AE"/>
    <w:rsid w:val="0073598D"/>
    <w:rsid w:val="00735A4B"/>
    <w:rsid w:val="00735CFE"/>
    <w:rsid w:val="007360B3"/>
    <w:rsid w:val="007362BA"/>
    <w:rsid w:val="00736388"/>
    <w:rsid w:val="00736552"/>
    <w:rsid w:val="00736A8E"/>
    <w:rsid w:val="00736CB2"/>
    <w:rsid w:val="00736D40"/>
    <w:rsid w:val="00736D80"/>
    <w:rsid w:val="00736F94"/>
    <w:rsid w:val="00737636"/>
    <w:rsid w:val="00737CD4"/>
    <w:rsid w:val="00737F6F"/>
    <w:rsid w:val="00740072"/>
    <w:rsid w:val="007404BE"/>
    <w:rsid w:val="007406B6"/>
    <w:rsid w:val="00740878"/>
    <w:rsid w:val="00740A77"/>
    <w:rsid w:val="00740C72"/>
    <w:rsid w:val="00740D9B"/>
    <w:rsid w:val="00740F9F"/>
    <w:rsid w:val="00740FBE"/>
    <w:rsid w:val="00741011"/>
    <w:rsid w:val="00741546"/>
    <w:rsid w:val="00741775"/>
    <w:rsid w:val="0074177A"/>
    <w:rsid w:val="007417B3"/>
    <w:rsid w:val="00741933"/>
    <w:rsid w:val="00741D00"/>
    <w:rsid w:val="00741E57"/>
    <w:rsid w:val="00741EB8"/>
    <w:rsid w:val="00741EDB"/>
    <w:rsid w:val="00742014"/>
    <w:rsid w:val="00742463"/>
    <w:rsid w:val="00742514"/>
    <w:rsid w:val="00742542"/>
    <w:rsid w:val="007425F3"/>
    <w:rsid w:val="00742760"/>
    <w:rsid w:val="00742A01"/>
    <w:rsid w:val="00742D0E"/>
    <w:rsid w:val="007430EE"/>
    <w:rsid w:val="00743128"/>
    <w:rsid w:val="0074334B"/>
    <w:rsid w:val="007433C7"/>
    <w:rsid w:val="007433EC"/>
    <w:rsid w:val="007437EA"/>
    <w:rsid w:val="00743924"/>
    <w:rsid w:val="00743D4A"/>
    <w:rsid w:val="00743EF1"/>
    <w:rsid w:val="00743F13"/>
    <w:rsid w:val="00744246"/>
    <w:rsid w:val="00744741"/>
    <w:rsid w:val="0074493E"/>
    <w:rsid w:val="00744A11"/>
    <w:rsid w:val="00744B20"/>
    <w:rsid w:val="00744B24"/>
    <w:rsid w:val="00744C82"/>
    <w:rsid w:val="00744D22"/>
    <w:rsid w:val="00744E43"/>
    <w:rsid w:val="00744F94"/>
    <w:rsid w:val="00745749"/>
    <w:rsid w:val="00745B25"/>
    <w:rsid w:val="00745C9B"/>
    <w:rsid w:val="00745D81"/>
    <w:rsid w:val="00745DF1"/>
    <w:rsid w:val="00745FD0"/>
    <w:rsid w:val="007462DC"/>
    <w:rsid w:val="0074650B"/>
    <w:rsid w:val="00746589"/>
    <w:rsid w:val="0074662D"/>
    <w:rsid w:val="007469EA"/>
    <w:rsid w:val="00746C8B"/>
    <w:rsid w:val="00746C9D"/>
    <w:rsid w:val="00746D48"/>
    <w:rsid w:val="00746D8B"/>
    <w:rsid w:val="00746E6E"/>
    <w:rsid w:val="00746ED5"/>
    <w:rsid w:val="00746F92"/>
    <w:rsid w:val="00747040"/>
    <w:rsid w:val="0074711F"/>
    <w:rsid w:val="0074751B"/>
    <w:rsid w:val="00747A76"/>
    <w:rsid w:val="00747EFC"/>
    <w:rsid w:val="00747F97"/>
    <w:rsid w:val="00750030"/>
    <w:rsid w:val="0075004E"/>
    <w:rsid w:val="0075014F"/>
    <w:rsid w:val="00750335"/>
    <w:rsid w:val="00750845"/>
    <w:rsid w:val="00750A51"/>
    <w:rsid w:val="007511DF"/>
    <w:rsid w:val="00751276"/>
    <w:rsid w:val="0075184A"/>
    <w:rsid w:val="0075190A"/>
    <w:rsid w:val="00751961"/>
    <w:rsid w:val="007519D5"/>
    <w:rsid w:val="00751D0F"/>
    <w:rsid w:val="0075209F"/>
    <w:rsid w:val="007520D3"/>
    <w:rsid w:val="00752319"/>
    <w:rsid w:val="007525BC"/>
    <w:rsid w:val="00752A9C"/>
    <w:rsid w:val="00752C09"/>
    <w:rsid w:val="007530CD"/>
    <w:rsid w:val="007534A2"/>
    <w:rsid w:val="00753E0A"/>
    <w:rsid w:val="00753F1C"/>
    <w:rsid w:val="007544AC"/>
    <w:rsid w:val="007545C5"/>
    <w:rsid w:val="00754711"/>
    <w:rsid w:val="007550F5"/>
    <w:rsid w:val="0075511B"/>
    <w:rsid w:val="00755326"/>
    <w:rsid w:val="007554AB"/>
    <w:rsid w:val="00755AD1"/>
    <w:rsid w:val="00756169"/>
    <w:rsid w:val="00756185"/>
    <w:rsid w:val="00756248"/>
    <w:rsid w:val="00756261"/>
    <w:rsid w:val="007566B4"/>
    <w:rsid w:val="00756DA0"/>
    <w:rsid w:val="00756E80"/>
    <w:rsid w:val="00756F78"/>
    <w:rsid w:val="00756FEE"/>
    <w:rsid w:val="0075703A"/>
    <w:rsid w:val="007571FA"/>
    <w:rsid w:val="00757346"/>
    <w:rsid w:val="0075755F"/>
    <w:rsid w:val="007575AE"/>
    <w:rsid w:val="007575F0"/>
    <w:rsid w:val="00757C36"/>
    <w:rsid w:val="00757CA5"/>
    <w:rsid w:val="00757CCC"/>
    <w:rsid w:val="00757DBF"/>
    <w:rsid w:val="00757DC8"/>
    <w:rsid w:val="00757E91"/>
    <w:rsid w:val="00760059"/>
    <w:rsid w:val="0076007C"/>
    <w:rsid w:val="007600BA"/>
    <w:rsid w:val="00760411"/>
    <w:rsid w:val="00760512"/>
    <w:rsid w:val="00760614"/>
    <w:rsid w:val="00760741"/>
    <w:rsid w:val="007608F5"/>
    <w:rsid w:val="00760908"/>
    <w:rsid w:val="00760A78"/>
    <w:rsid w:val="00760AE4"/>
    <w:rsid w:val="00760C80"/>
    <w:rsid w:val="00760C97"/>
    <w:rsid w:val="00761133"/>
    <w:rsid w:val="007616B7"/>
    <w:rsid w:val="0076183D"/>
    <w:rsid w:val="00761A7E"/>
    <w:rsid w:val="00761F31"/>
    <w:rsid w:val="00761F87"/>
    <w:rsid w:val="007624EF"/>
    <w:rsid w:val="007626D3"/>
    <w:rsid w:val="00763081"/>
    <w:rsid w:val="0076342E"/>
    <w:rsid w:val="00763838"/>
    <w:rsid w:val="00763B37"/>
    <w:rsid w:val="00763CF2"/>
    <w:rsid w:val="00763ECB"/>
    <w:rsid w:val="0076418C"/>
    <w:rsid w:val="007641CC"/>
    <w:rsid w:val="00764218"/>
    <w:rsid w:val="00764273"/>
    <w:rsid w:val="00764333"/>
    <w:rsid w:val="007645CE"/>
    <w:rsid w:val="00764617"/>
    <w:rsid w:val="00764794"/>
    <w:rsid w:val="007649F0"/>
    <w:rsid w:val="00764B65"/>
    <w:rsid w:val="00764B8A"/>
    <w:rsid w:val="00764C81"/>
    <w:rsid w:val="00764CE8"/>
    <w:rsid w:val="00764E19"/>
    <w:rsid w:val="00764FFD"/>
    <w:rsid w:val="007650E2"/>
    <w:rsid w:val="00765227"/>
    <w:rsid w:val="0076530B"/>
    <w:rsid w:val="00765525"/>
    <w:rsid w:val="00765555"/>
    <w:rsid w:val="007655DE"/>
    <w:rsid w:val="00765855"/>
    <w:rsid w:val="007658D7"/>
    <w:rsid w:val="0076590E"/>
    <w:rsid w:val="00765B00"/>
    <w:rsid w:val="00765EFD"/>
    <w:rsid w:val="0076631E"/>
    <w:rsid w:val="007663FE"/>
    <w:rsid w:val="007665C1"/>
    <w:rsid w:val="007666E6"/>
    <w:rsid w:val="007668B7"/>
    <w:rsid w:val="007669EF"/>
    <w:rsid w:val="00766B2D"/>
    <w:rsid w:val="00767439"/>
    <w:rsid w:val="0076760D"/>
    <w:rsid w:val="00767697"/>
    <w:rsid w:val="007676A2"/>
    <w:rsid w:val="00767B78"/>
    <w:rsid w:val="007701D3"/>
    <w:rsid w:val="00770504"/>
    <w:rsid w:val="0077064E"/>
    <w:rsid w:val="007706E5"/>
    <w:rsid w:val="00770B7B"/>
    <w:rsid w:val="00770BFF"/>
    <w:rsid w:val="0077132D"/>
    <w:rsid w:val="007713DE"/>
    <w:rsid w:val="00771536"/>
    <w:rsid w:val="0077153A"/>
    <w:rsid w:val="0077179F"/>
    <w:rsid w:val="007718F0"/>
    <w:rsid w:val="00771A7C"/>
    <w:rsid w:val="00771B4D"/>
    <w:rsid w:val="00771BD5"/>
    <w:rsid w:val="00771D5B"/>
    <w:rsid w:val="00771E74"/>
    <w:rsid w:val="00771FBE"/>
    <w:rsid w:val="00771FD6"/>
    <w:rsid w:val="00772067"/>
    <w:rsid w:val="007720A6"/>
    <w:rsid w:val="0077218E"/>
    <w:rsid w:val="0077224E"/>
    <w:rsid w:val="00772336"/>
    <w:rsid w:val="0077258C"/>
    <w:rsid w:val="00772787"/>
    <w:rsid w:val="00772B47"/>
    <w:rsid w:val="00772C93"/>
    <w:rsid w:val="00772DAB"/>
    <w:rsid w:val="00772F62"/>
    <w:rsid w:val="0077385F"/>
    <w:rsid w:val="00773992"/>
    <w:rsid w:val="007739C9"/>
    <w:rsid w:val="007739F5"/>
    <w:rsid w:val="00773CE5"/>
    <w:rsid w:val="00773FB5"/>
    <w:rsid w:val="00774532"/>
    <w:rsid w:val="0077453E"/>
    <w:rsid w:val="00774695"/>
    <w:rsid w:val="007746F9"/>
    <w:rsid w:val="0077479F"/>
    <w:rsid w:val="007748BD"/>
    <w:rsid w:val="007749BE"/>
    <w:rsid w:val="00774AE1"/>
    <w:rsid w:val="00774DE0"/>
    <w:rsid w:val="00774F70"/>
    <w:rsid w:val="007750A5"/>
    <w:rsid w:val="007750BD"/>
    <w:rsid w:val="0077535A"/>
    <w:rsid w:val="0077543C"/>
    <w:rsid w:val="007755BC"/>
    <w:rsid w:val="00775CA9"/>
    <w:rsid w:val="00775D0C"/>
    <w:rsid w:val="00775F05"/>
    <w:rsid w:val="007760FA"/>
    <w:rsid w:val="00776550"/>
    <w:rsid w:val="0077666B"/>
    <w:rsid w:val="00776734"/>
    <w:rsid w:val="00776800"/>
    <w:rsid w:val="00776BDD"/>
    <w:rsid w:val="00776BE5"/>
    <w:rsid w:val="00776C24"/>
    <w:rsid w:val="00776D75"/>
    <w:rsid w:val="00776E16"/>
    <w:rsid w:val="00777016"/>
    <w:rsid w:val="0077710B"/>
    <w:rsid w:val="0077719F"/>
    <w:rsid w:val="00777822"/>
    <w:rsid w:val="00777882"/>
    <w:rsid w:val="007778FE"/>
    <w:rsid w:val="0077797D"/>
    <w:rsid w:val="00777CA7"/>
    <w:rsid w:val="00777CB2"/>
    <w:rsid w:val="00777F57"/>
    <w:rsid w:val="00780100"/>
    <w:rsid w:val="007801BF"/>
    <w:rsid w:val="0078036E"/>
    <w:rsid w:val="007807B0"/>
    <w:rsid w:val="00780A47"/>
    <w:rsid w:val="00780B22"/>
    <w:rsid w:val="00780DC1"/>
    <w:rsid w:val="00780F90"/>
    <w:rsid w:val="0078101C"/>
    <w:rsid w:val="0078109D"/>
    <w:rsid w:val="00781102"/>
    <w:rsid w:val="007812AB"/>
    <w:rsid w:val="00781755"/>
    <w:rsid w:val="0078184B"/>
    <w:rsid w:val="0078198E"/>
    <w:rsid w:val="00781B86"/>
    <w:rsid w:val="007823AB"/>
    <w:rsid w:val="00782BD3"/>
    <w:rsid w:val="00782CCC"/>
    <w:rsid w:val="00782D0E"/>
    <w:rsid w:val="00782DEE"/>
    <w:rsid w:val="00782F3B"/>
    <w:rsid w:val="007830B6"/>
    <w:rsid w:val="007830F4"/>
    <w:rsid w:val="00783145"/>
    <w:rsid w:val="007831F8"/>
    <w:rsid w:val="007833E0"/>
    <w:rsid w:val="0078380B"/>
    <w:rsid w:val="00783A0C"/>
    <w:rsid w:val="00783CB1"/>
    <w:rsid w:val="00783CD2"/>
    <w:rsid w:val="007846D3"/>
    <w:rsid w:val="00784938"/>
    <w:rsid w:val="00784961"/>
    <w:rsid w:val="00784AEC"/>
    <w:rsid w:val="00784F85"/>
    <w:rsid w:val="00784FF7"/>
    <w:rsid w:val="007852CB"/>
    <w:rsid w:val="007853CD"/>
    <w:rsid w:val="00786084"/>
    <w:rsid w:val="007860C4"/>
    <w:rsid w:val="007861FF"/>
    <w:rsid w:val="0078622A"/>
    <w:rsid w:val="00786586"/>
    <w:rsid w:val="0078673D"/>
    <w:rsid w:val="00786853"/>
    <w:rsid w:val="0078686F"/>
    <w:rsid w:val="007869EC"/>
    <w:rsid w:val="00786A9B"/>
    <w:rsid w:val="00786B48"/>
    <w:rsid w:val="007870F3"/>
    <w:rsid w:val="0078718D"/>
    <w:rsid w:val="00787382"/>
    <w:rsid w:val="00787580"/>
    <w:rsid w:val="0078769D"/>
    <w:rsid w:val="007876C5"/>
    <w:rsid w:val="0078782D"/>
    <w:rsid w:val="00787888"/>
    <w:rsid w:val="00787CF7"/>
    <w:rsid w:val="00790368"/>
    <w:rsid w:val="007903F7"/>
    <w:rsid w:val="007904F6"/>
    <w:rsid w:val="00790B66"/>
    <w:rsid w:val="00790BE1"/>
    <w:rsid w:val="00790DF1"/>
    <w:rsid w:val="00790EDF"/>
    <w:rsid w:val="00790F9D"/>
    <w:rsid w:val="0079110D"/>
    <w:rsid w:val="007913A6"/>
    <w:rsid w:val="007913B3"/>
    <w:rsid w:val="007913DD"/>
    <w:rsid w:val="00791968"/>
    <w:rsid w:val="00791A48"/>
    <w:rsid w:val="00791CC9"/>
    <w:rsid w:val="00791DDF"/>
    <w:rsid w:val="00791E56"/>
    <w:rsid w:val="00791F30"/>
    <w:rsid w:val="00792061"/>
    <w:rsid w:val="007921CA"/>
    <w:rsid w:val="007928D8"/>
    <w:rsid w:val="00792942"/>
    <w:rsid w:val="007929EC"/>
    <w:rsid w:val="00792AB2"/>
    <w:rsid w:val="00792DF3"/>
    <w:rsid w:val="00792E8C"/>
    <w:rsid w:val="00792EE5"/>
    <w:rsid w:val="00792F32"/>
    <w:rsid w:val="00792FF4"/>
    <w:rsid w:val="007930D5"/>
    <w:rsid w:val="00793143"/>
    <w:rsid w:val="007931C3"/>
    <w:rsid w:val="007932BB"/>
    <w:rsid w:val="0079331B"/>
    <w:rsid w:val="0079370A"/>
    <w:rsid w:val="007937B5"/>
    <w:rsid w:val="007938B0"/>
    <w:rsid w:val="00793B3F"/>
    <w:rsid w:val="00793B8B"/>
    <w:rsid w:val="00793BFA"/>
    <w:rsid w:val="00793F05"/>
    <w:rsid w:val="0079411C"/>
    <w:rsid w:val="00794143"/>
    <w:rsid w:val="007947A5"/>
    <w:rsid w:val="00794A78"/>
    <w:rsid w:val="00794ABF"/>
    <w:rsid w:val="00794BEF"/>
    <w:rsid w:val="00794C69"/>
    <w:rsid w:val="00794CA9"/>
    <w:rsid w:val="00794D64"/>
    <w:rsid w:val="00794F34"/>
    <w:rsid w:val="00794FF4"/>
    <w:rsid w:val="007951E3"/>
    <w:rsid w:val="0079567A"/>
    <w:rsid w:val="00795758"/>
    <w:rsid w:val="007959D4"/>
    <w:rsid w:val="00795E8F"/>
    <w:rsid w:val="00796112"/>
    <w:rsid w:val="00796224"/>
    <w:rsid w:val="00796295"/>
    <w:rsid w:val="0079629F"/>
    <w:rsid w:val="0079672B"/>
    <w:rsid w:val="00796946"/>
    <w:rsid w:val="00796A1D"/>
    <w:rsid w:val="00796A9E"/>
    <w:rsid w:val="00796B6F"/>
    <w:rsid w:val="00796C4F"/>
    <w:rsid w:val="00796E2B"/>
    <w:rsid w:val="00796F3C"/>
    <w:rsid w:val="00797133"/>
    <w:rsid w:val="007971BE"/>
    <w:rsid w:val="0079737C"/>
    <w:rsid w:val="007978C9"/>
    <w:rsid w:val="007978D1"/>
    <w:rsid w:val="00797CD2"/>
    <w:rsid w:val="00797EFA"/>
    <w:rsid w:val="007A0064"/>
    <w:rsid w:val="007A02F2"/>
    <w:rsid w:val="007A02F9"/>
    <w:rsid w:val="007A0BB5"/>
    <w:rsid w:val="007A0DBA"/>
    <w:rsid w:val="007A10C7"/>
    <w:rsid w:val="007A10FF"/>
    <w:rsid w:val="007A11FD"/>
    <w:rsid w:val="007A1463"/>
    <w:rsid w:val="007A1A00"/>
    <w:rsid w:val="007A1CB7"/>
    <w:rsid w:val="007A218B"/>
    <w:rsid w:val="007A22B9"/>
    <w:rsid w:val="007A26FA"/>
    <w:rsid w:val="007A289C"/>
    <w:rsid w:val="007A2B49"/>
    <w:rsid w:val="007A2C56"/>
    <w:rsid w:val="007A2C60"/>
    <w:rsid w:val="007A2D16"/>
    <w:rsid w:val="007A2D3E"/>
    <w:rsid w:val="007A2E4E"/>
    <w:rsid w:val="007A323E"/>
    <w:rsid w:val="007A39D2"/>
    <w:rsid w:val="007A3C48"/>
    <w:rsid w:val="007A3EE9"/>
    <w:rsid w:val="007A3EF7"/>
    <w:rsid w:val="007A47B4"/>
    <w:rsid w:val="007A4849"/>
    <w:rsid w:val="007A4A02"/>
    <w:rsid w:val="007A4BDA"/>
    <w:rsid w:val="007A4E89"/>
    <w:rsid w:val="007A5247"/>
    <w:rsid w:val="007A532C"/>
    <w:rsid w:val="007A53D5"/>
    <w:rsid w:val="007A6480"/>
    <w:rsid w:val="007A6529"/>
    <w:rsid w:val="007A662A"/>
    <w:rsid w:val="007A6637"/>
    <w:rsid w:val="007A67BC"/>
    <w:rsid w:val="007A688D"/>
    <w:rsid w:val="007A6B99"/>
    <w:rsid w:val="007A6D22"/>
    <w:rsid w:val="007A6E13"/>
    <w:rsid w:val="007A6EDC"/>
    <w:rsid w:val="007A6FD5"/>
    <w:rsid w:val="007A7603"/>
    <w:rsid w:val="007A7CFE"/>
    <w:rsid w:val="007A7F04"/>
    <w:rsid w:val="007A7FE0"/>
    <w:rsid w:val="007B020B"/>
    <w:rsid w:val="007B023E"/>
    <w:rsid w:val="007B0383"/>
    <w:rsid w:val="007B04C1"/>
    <w:rsid w:val="007B0611"/>
    <w:rsid w:val="007B099D"/>
    <w:rsid w:val="007B135C"/>
    <w:rsid w:val="007B135F"/>
    <w:rsid w:val="007B13A6"/>
    <w:rsid w:val="007B1721"/>
    <w:rsid w:val="007B191F"/>
    <w:rsid w:val="007B1B30"/>
    <w:rsid w:val="007B1C0E"/>
    <w:rsid w:val="007B2032"/>
    <w:rsid w:val="007B208C"/>
    <w:rsid w:val="007B27BA"/>
    <w:rsid w:val="007B2C23"/>
    <w:rsid w:val="007B2E36"/>
    <w:rsid w:val="007B2FFD"/>
    <w:rsid w:val="007B30D0"/>
    <w:rsid w:val="007B3280"/>
    <w:rsid w:val="007B32AD"/>
    <w:rsid w:val="007B3685"/>
    <w:rsid w:val="007B3878"/>
    <w:rsid w:val="007B3912"/>
    <w:rsid w:val="007B3924"/>
    <w:rsid w:val="007B395E"/>
    <w:rsid w:val="007B3AE2"/>
    <w:rsid w:val="007B3B92"/>
    <w:rsid w:val="007B3E3D"/>
    <w:rsid w:val="007B421B"/>
    <w:rsid w:val="007B4429"/>
    <w:rsid w:val="007B46A8"/>
    <w:rsid w:val="007B4AAA"/>
    <w:rsid w:val="007B4C09"/>
    <w:rsid w:val="007B4C54"/>
    <w:rsid w:val="007B54C2"/>
    <w:rsid w:val="007B57DF"/>
    <w:rsid w:val="007B5835"/>
    <w:rsid w:val="007B597D"/>
    <w:rsid w:val="007B5A25"/>
    <w:rsid w:val="007B5BAB"/>
    <w:rsid w:val="007B5F44"/>
    <w:rsid w:val="007B683C"/>
    <w:rsid w:val="007B689C"/>
    <w:rsid w:val="007B6B2B"/>
    <w:rsid w:val="007B6E56"/>
    <w:rsid w:val="007B6F69"/>
    <w:rsid w:val="007B7143"/>
    <w:rsid w:val="007B7352"/>
    <w:rsid w:val="007B794C"/>
    <w:rsid w:val="007B7967"/>
    <w:rsid w:val="007B79B3"/>
    <w:rsid w:val="007B7AD5"/>
    <w:rsid w:val="007B7B10"/>
    <w:rsid w:val="007C08F4"/>
    <w:rsid w:val="007C0AB1"/>
    <w:rsid w:val="007C0DD0"/>
    <w:rsid w:val="007C0DF0"/>
    <w:rsid w:val="007C1076"/>
    <w:rsid w:val="007C1A0B"/>
    <w:rsid w:val="007C1C95"/>
    <w:rsid w:val="007C1D7B"/>
    <w:rsid w:val="007C1E2A"/>
    <w:rsid w:val="007C1F0E"/>
    <w:rsid w:val="007C204F"/>
    <w:rsid w:val="007C21F1"/>
    <w:rsid w:val="007C28CB"/>
    <w:rsid w:val="007C2A33"/>
    <w:rsid w:val="007C2B94"/>
    <w:rsid w:val="007C2D3E"/>
    <w:rsid w:val="007C3074"/>
    <w:rsid w:val="007C30F9"/>
    <w:rsid w:val="007C312F"/>
    <w:rsid w:val="007C34AC"/>
    <w:rsid w:val="007C34FA"/>
    <w:rsid w:val="007C35CC"/>
    <w:rsid w:val="007C3741"/>
    <w:rsid w:val="007C381F"/>
    <w:rsid w:val="007C3B0D"/>
    <w:rsid w:val="007C3BA8"/>
    <w:rsid w:val="007C413B"/>
    <w:rsid w:val="007C4B1C"/>
    <w:rsid w:val="007C4CF8"/>
    <w:rsid w:val="007C502F"/>
    <w:rsid w:val="007C50B3"/>
    <w:rsid w:val="007C54B2"/>
    <w:rsid w:val="007C5D0B"/>
    <w:rsid w:val="007C5D24"/>
    <w:rsid w:val="007C5E05"/>
    <w:rsid w:val="007C61A5"/>
    <w:rsid w:val="007C6289"/>
    <w:rsid w:val="007C6976"/>
    <w:rsid w:val="007C6D32"/>
    <w:rsid w:val="007C6D6E"/>
    <w:rsid w:val="007C6DE4"/>
    <w:rsid w:val="007C6EC2"/>
    <w:rsid w:val="007C70BE"/>
    <w:rsid w:val="007C7147"/>
    <w:rsid w:val="007C72EA"/>
    <w:rsid w:val="007C76BD"/>
    <w:rsid w:val="007C7724"/>
    <w:rsid w:val="007C7835"/>
    <w:rsid w:val="007C7949"/>
    <w:rsid w:val="007C7B66"/>
    <w:rsid w:val="007C7C9D"/>
    <w:rsid w:val="007C7FAB"/>
    <w:rsid w:val="007D02D1"/>
    <w:rsid w:val="007D0350"/>
    <w:rsid w:val="007D0550"/>
    <w:rsid w:val="007D086E"/>
    <w:rsid w:val="007D0A4B"/>
    <w:rsid w:val="007D0BF9"/>
    <w:rsid w:val="007D0EF8"/>
    <w:rsid w:val="007D1396"/>
    <w:rsid w:val="007D13FB"/>
    <w:rsid w:val="007D14E3"/>
    <w:rsid w:val="007D1596"/>
    <w:rsid w:val="007D16C5"/>
    <w:rsid w:val="007D1803"/>
    <w:rsid w:val="007D184F"/>
    <w:rsid w:val="007D1C00"/>
    <w:rsid w:val="007D1C2E"/>
    <w:rsid w:val="007D1CC9"/>
    <w:rsid w:val="007D1D13"/>
    <w:rsid w:val="007D1EBF"/>
    <w:rsid w:val="007D28EB"/>
    <w:rsid w:val="007D29E3"/>
    <w:rsid w:val="007D29F8"/>
    <w:rsid w:val="007D2A33"/>
    <w:rsid w:val="007D2B8E"/>
    <w:rsid w:val="007D2F67"/>
    <w:rsid w:val="007D325C"/>
    <w:rsid w:val="007D34E0"/>
    <w:rsid w:val="007D35F2"/>
    <w:rsid w:val="007D3A29"/>
    <w:rsid w:val="007D3A2B"/>
    <w:rsid w:val="007D3BD4"/>
    <w:rsid w:val="007D3EDE"/>
    <w:rsid w:val="007D41DF"/>
    <w:rsid w:val="007D41EF"/>
    <w:rsid w:val="007D45B4"/>
    <w:rsid w:val="007D4685"/>
    <w:rsid w:val="007D4846"/>
    <w:rsid w:val="007D4863"/>
    <w:rsid w:val="007D4911"/>
    <w:rsid w:val="007D4988"/>
    <w:rsid w:val="007D4994"/>
    <w:rsid w:val="007D4BC9"/>
    <w:rsid w:val="007D4F98"/>
    <w:rsid w:val="007D55B1"/>
    <w:rsid w:val="007D584A"/>
    <w:rsid w:val="007D5D3C"/>
    <w:rsid w:val="007D608C"/>
    <w:rsid w:val="007D6188"/>
    <w:rsid w:val="007D63D6"/>
    <w:rsid w:val="007D640A"/>
    <w:rsid w:val="007D676D"/>
    <w:rsid w:val="007D6878"/>
    <w:rsid w:val="007D69CB"/>
    <w:rsid w:val="007D79A6"/>
    <w:rsid w:val="007D7AAD"/>
    <w:rsid w:val="007D7AFB"/>
    <w:rsid w:val="007D7DF5"/>
    <w:rsid w:val="007D7E12"/>
    <w:rsid w:val="007D7E73"/>
    <w:rsid w:val="007E003D"/>
    <w:rsid w:val="007E00A9"/>
    <w:rsid w:val="007E03C0"/>
    <w:rsid w:val="007E044E"/>
    <w:rsid w:val="007E08B5"/>
    <w:rsid w:val="007E0A8A"/>
    <w:rsid w:val="007E0A90"/>
    <w:rsid w:val="007E0B6A"/>
    <w:rsid w:val="007E0BA7"/>
    <w:rsid w:val="007E0D45"/>
    <w:rsid w:val="007E0F2A"/>
    <w:rsid w:val="007E137C"/>
    <w:rsid w:val="007E14CC"/>
    <w:rsid w:val="007E1680"/>
    <w:rsid w:val="007E172C"/>
    <w:rsid w:val="007E187E"/>
    <w:rsid w:val="007E1988"/>
    <w:rsid w:val="007E20CB"/>
    <w:rsid w:val="007E216A"/>
    <w:rsid w:val="007E2347"/>
    <w:rsid w:val="007E2583"/>
    <w:rsid w:val="007E262C"/>
    <w:rsid w:val="007E29CD"/>
    <w:rsid w:val="007E2C02"/>
    <w:rsid w:val="007E2D12"/>
    <w:rsid w:val="007E2F28"/>
    <w:rsid w:val="007E305F"/>
    <w:rsid w:val="007E3157"/>
    <w:rsid w:val="007E330E"/>
    <w:rsid w:val="007E34BA"/>
    <w:rsid w:val="007E358D"/>
    <w:rsid w:val="007E3592"/>
    <w:rsid w:val="007E35EF"/>
    <w:rsid w:val="007E3806"/>
    <w:rsid w:val="007E3888"/>
    <w:rsid w:val="007E3D5C"/>
    <w:rsid w:val="007E3E2F"/>
    <w:rsid w:val="007E3E54"/>
    <w:rsid w:val="007E3F1A"/>
    <w:rsid w:val="007E3FB0"/>
    <w:rsid w:val="007E3FB7"/>
    <w:rsid w:val="007E4370"/>
    <w:rsid w:val="007E44DF"/>
    <w:rsid w:val="007E49CE"/>
    <w:rsid w:val="007E4AC4"/>
    <w:rsid w:val="007E4B2A"/>
    <w:rsid w:val="007E4B30"/>
    <w:rsid w:val="007E4D0E"/>
    <w:rsid w:val="007E5094"/>
    <w:rsid w:val="007E5280"/>
    <w:rsid w:val="007E52E0"/>
    <w:rsid w:val="007E5428"/>
    <w:rsid w:val="007E5803"/>
    <w:rsid w:val="007E5A00"/>
    <w:rsid w:val="007E5A82"/>
    <w:rsid w:val="007E5DB9"/>
    <w:rsid w:val="007E5F78"/>
    <w:rsid w:val="007E60A2"/>
    <w:rsid w:val="007E6192"/>
    <w:rsid w:val="007E62C7"/>
    <w:rsid w:val="007E6343"/>
    <w:rsid w:val="007E65AF"/>
    <w:rsid w:val="007E65F1"/>
    <w:rsid w:val="007E6982"/>
    <w:rsid w:val="007E6AC0"/>
    <w:rsid w:val="007E6DDC"/>
    <w:rsid w:val="007E6E15"/>
    <w:rsid w:val="007E6F2B"/>
    <w:rsid w:val="007E7626"/>
    <w:rsid w:val="007E787D"/>
    <w:rsid w:val="007E788C"/>
    <w:rsid w:val="007E79F8"/>
    <w:rsid w:val="007E7B43"/>
    <w:rsid w:val="007E7D6E"/>
    <w:rsid w:val="007E7E5C"/>
    <w:rsid w:val="007E7FCE"/>
    <w:rsid w:val="007F002C"/>
    <w:rsid w:val="007F00B7"/>
    <w:rsid w:val="007F0353"/>
    <w:rsid w:val="007F0377"/>
    <w:rsid w:val="007F050C"/>
    <w:rsid w:val="007F0552"/>
    <w:rsid w:val="007F0587"/>
    <w:rsid w:val="007F06F8"/>
    <w:rsid w:val="007F07FA"/>
    <w:rsid w:val="007F0A6B"/>
    <w:rsid w:val="007F0AC6"/>
    <w:rsid w:val="007F1319"/>
    <w:rsid w:val="007F168B"/>
    <w:rsid w:val="007F17C7"/>
    <w:rsid w:val="007F1910"/>
    <w:rsid w:val="007F1B87"/>
    <w:rsid w:val="007F1BFD"/>
    <w:rsid w:val="007F20B3"/>
    <w:rsid w:val="007F23FD"/>
    <w:rsid w:val="007F2404"/>
    <w:rsid w:val="007F2598"/>
    <w:rsid w:val="007F2B2D"/>
    <w:rsid w:val="007F2DA9"/>
    <w:rsid w:val="007F2E90"/>
    <w:rsid w:val="007F2EE2"/>
    <w:rsid w:val="007F2F28"/>
    <w:rsid w:val="007F2F95"/>
    <w:rsid w:val="007F3070"/>
    <w:rsid w:val="007F3179"/>
    <w:rsid w:val="007F3393"/>
    <w:rsid w:val="007F3572"/>
    <w:rsid w:val="007F35A9"/>
    <w:rsid w:val="007F3767"/>
    <w:rsid w:val="007F37D5"/>
    <w:rsid w:val="007F38FE"/>
    <w:rsid w:val="007F39BE"/>
    <w:rsid w:val="007F3A35"/>
    <w:rsid w:val="007F3B31"/>
    <w:rsid w:val="007F3B9F"/>
    <w:rsid w:val="007F3C89"/>
    <w:rsid w:val="007F3DA4"/>
    <w:rsid w:val="007F3E75"/>
    <w:rsid w:val="007F41F5"/>
    <w:rsid w:val="007F4379"/>
    <w:rsid w:val="007F4445"/>
    <w:rsid w:val="007F45C0"/>
    <w:rsid w:val="007F45FD"/>
    <w:rsid w:val="007F4686"/>
    <w:rsid w:val="007F46B9"/>
    <w:rsid w:val="007F4DF4"/>
    <w:rsid w:val="007F53C7"/>
    <w:rsid w:val="007F54BE"/>
    <w:rsid w:val="007F54D4"/>
    <w:rsid w:val="007F56C6"/>
    <w:rsid w:val="007F58F4"/>
    <w:rsid w:val="007F58F5"/>
    <w:rsid w:val="007F5B56"/>
    <w:rsid w:val="007F5D18"/>
    <w:rsid w:val="007F61A3"/>
    <w:rsid w:val="007F68FC"/>
    <w:rsid w:val="007F69FA"/>
    <w:rsid w:val="007F6A02"/>
    <w:rsid w:val="007F6D0C"/>
    <w:rsid w:val="007F6DCA"/>
    <w:rsid w:val="007F6E39"/>
    <w:rsid w:val="007F6F80"/>
    <w:rsid w:val="007F70F8"/>
    <w:rsid w:val="007F748B"/>
    <w:rsid w:val="007F75F6"/>
    <w:rsid w:val="007F7622"/>
    <w:rsid w:val="007F7A33"/>
    <w:rsid w:val="007F7AEC"/>
    <w:rsid w:val="007F7E22"/>
    <w:rsid w:val="007F7FD0"/>
    <w:rsid w:val="0080013C"/>
    <w:rsid w:val="00800274"/>
    <w:rsid w:val="00800342"/>
    <w:rsid w:val="008005C2"/>
    <w:rsid w:val="00800999"/>
    <w:rsid w:val="00800A2F"/>
    <w:rsid w:val="00800D99"/>
    <w:rsid w:val="00800F8C"/>
    <w:rsid w:val="0080100B"/>
    <w:rsid w:val="008010D6"/>
    <w:rsid w:val="00801335"/>
    <w:rsid w:val="00801645"/>
    <w:rsid w:val="00801975"/>
    <w:rsid w:val="0080199D"/>
    <w:rsid w:val="00801CB2"/>
    <w:rsid w:val="00802220"/>
    <w:rsid w:val="00802313"/>
    <w:rsid w:val="00802445"/>
    <w:rsid w:val="00802481"/>
    <w:rsid w:val="0080254F"/>
    <w:rsid w:val="008025CD"/>
    <w:rsid w:val="008026F4"/>
    <w:rsid w:val="00802705"/>
    <w:rsid w:val="00802973"/>
    <w:rsid w:val="00802D53"/>
    <w:rsid w:val="008030D6"/>
    <w:rsid w:val="008030F7"/>
    <w:rsid w:val="008035A7"/>
    <w:rsid w:val="008035E3"/>
    <w:rsid w:val="008039D0"/>
    <w:rsid w:val="00803CB1"/>
    <w:rsid w:val="00803CCC"/>
    <w:rsid w:val="00803CDE"/>
    <w:rsid w:val="00803DFB"/>
    <w:rsid w:val="00804126"/>
    <w:rsid w:val="00804232"/>
    <w:rsid w:val="0080451F"/>
    <w:rsid w:val="008046A8"/>
    <w:rsid w:val="0080477F"/>
    <w:rsid w:val="0080479D"/>
    <w:rsid w:val="00804A66"/>
    <w:rsid w:val="00804B65"/>
    <w:rsid w:val="00804F70"/>
    <w:rsid w:val="00804F94"/>
    <w:rsid w:val="00804FAF"/>
    <w:rsid w:val="00804FFE"/>
    <w:rsid w:val="008050B4"/>
    <w:rsid w:val="008053A3"/>
    <w:rsid w:val="0080574C"/>
    <w:rsid w:val="0080575A"/>
    <w:rsid w:val="00805D5F"/>
    <w:rsid w:val="00805E86"/>
    <w:rsid w:val="00805FDD"/>
    <w:rsid w:val="00806355"/>
    <w:rsid w:val="008064F0"/>
    <w:rsid w:val="00806937"/>
    <w:rsid w:val="00806993"/>
    <w:rsid w:val="008069BE"/>
    <w:rsid w:val="00806FF8"/>
    <w:rsid w:val="008071B4"/>
    <w:rsid w:val="00807376"/>
    <w:rsid w:val="00807616"/>
    <w:rsid w:val="00807940"/>
    <w:rsid w:val="00807A32"/>
    <w:rsid w:val="00807EA4"/>
    <w:rsid w:val="00807EDB"/>
    <w:rsid w:val="00810168"/>
    <w:rsid w:val="008101C9"/>
    <w:rsid w:val="0081067D"/>
    <w:rsid w:val="00810680"/>
    <w:rsid w:val="0081084C"/>
    <w:rsid w:val="008109CB"/>
    <w:rsid w:val="00810A3D"/>
    <w:rsid w:val="00810C95"/>
    <w:rsid w:val="00810D38"/>
    <w:rsid w:val="00810F4B"/>
    <w:rsid w:val="00810F96"/>
    <w:rsid w:val="00810FC7"/>
    <w:rsid w:val="00810FE9"/>
    <w:rsid w:val="008111E5"/>
    <w:rsid w:val="00811436"/>
    <w:rsid w:val="00811831"/>
    <w:rsid w:val="008118CC"/>
    <w:rsid w:val="0081192D"/>
    <w:rsid w:val="00811C60"/>
    <w:rsid w:val="00811E8D"/>
    <w:rsid w:val="00811F2C"/>
    <w:rsid w:val="00812161"/>
    <w:rsid w:val="00812212"/>
    <w:rsid w:val="008124E2"/>
    <w:rsid w:val="008125DC"/>
    <w:rsid w:val="00812647"/>
    <w:rsid w:val="00812860"/>
    <w:rsid w:val="00812AE9"/>
    <w:rsid w:val="00812E4B"/>
    <w:rsid w:val="008130FC"/>
    <w:rsid w:val="0081344E"/>
    <w:rsid w:val="008134AD"/>
    <w:rsid w:val="00813680"/>
    <w:rsid w:val="008136B7"/>
    <w:rsid w:val="00813944"/>
    <w:rsid w:val="00813B12"/>
    <w:rsid w:val="00813F43"/>
    <w:rsid w:val="00813FCA"/>
    <w:rsid w:val="00814046"/>
    <w:rsid w:val="008140FA"/>
    <w:rsid w:val="00814187"/>
    <w:rsid w:val="008141AB"/>
    <w:rsid w:val="0081440F"/>
    <w:rsid w:val="00814480"/>
    <w:rsid w:val="0081463C"/>
    <w:rsid w:val="008147D8"/>
    <w:rsid w:val="00814B0B"/>
    <w:rsid w:val="00814C0E"/>
    <w:rsid w:val="00814C54"/>
    <w:rsid w:val="00815160"/>
    <w:rsid w:val="00815357"/>
    <w:rsid w:val="008154AD"/>
    <w:rsid w:val="008154EC"/>
    <w:rsid w:val="00815872"/>
    <w:rsid w:val="00815947"/>
    <w:rsid w:val="00815B42"/>
    <w:rsid w:val="00815F76"/>
    <w:rsid w:val="0081609D"/>
    <w:rsid w:val="008163C4"/>
    <w:rsid w:val="008163F6"/>
    <w:rsid w:val="008164A2"/>
    <w:rsid w:val="008167F3"/>
    <w:rsid w:val="00816B87"/>
    <w:rsid w:val="00816C7A"/>
    <w:rsid w:val="00816D46"/>
    <w:rsid w:val="008172B8"/>
    <w:rsid w:val="0081733A"/>
    <w:rsid w:val="0081733B"/>
    <w:rsid w:val="00817572"/>
    <w:rsid w:val="008175FD"/>
    <w:rsid w:val="00817647"/>
    <w:rsid w:val="00817814"/>
    <w:rsid w:val="008178C2"/>
    <w:rsid w:val="008178F1"/>
    <w:rsid w:val="00817B04"/>
    <w:rsid w:val="00817E79"/>
    <w:rsid w:val="00817F9F"/>
    <w:rsid w:val="008201D5"/>
    <w:rsid w:val="008205B4"/>
    <w:rsid w:val="00820AB8"/>
    <w:rsid w:val="00820CC6"/>
    <w:rsid w:val="00820FE1"/>
    <w:rsid w:val="008211BB"/>
    <w:rsid w:val="0082144F"/>
    <w:rsid w:val="0082156C"/>
    <w:rsid w:val="008215D6"/>
    <w:rsid w:val="008219A4"/>
    <w:rsid w:val="00821A71"/>
    <w:rsid w:val="00821AAB"/>
    <w:rsid w:val="00821B29"/>
    <w:rsid w:val="00821B6D"/>
    <w:rsid w:val="00821D70"/>
    <w:rsid w:val="00821EF2"/>
    <w:rsid w:val="008220B0"/>
    <w:rsid w:val="00822375"/>
    <w:rsid w:val="008224F5"/>
    <w:rsid w:val="0082257F"/>
    <w:rsid w:val="008226B6"/>
    <w:rsid w:val="0082282B"/>
    <w:rsid w:val="0082286F"/>
    <w:rsid w:val="00822892"/>
    <w:rsid w:val="00822962"/>
    <w:rsid w:val="008229C0"/>
    <w:rsid w:val="00822B66"/>
    <w:rsid w:val="008231D0"/>
    <w:rsid w:val="008232C2"/>
    <w:rsid w:val="008233ED"/>
    <w:rsid w:val="008238E1"/>
    <w:rsid w:val="00823A89"/>
    <w:rsid w:val="00824029"/>
    <w:rsid w:val="00824064"/>
    <w:rsid w:val="008240B5"/>
    <w:rsid w:val="00824121"/>
    <w:rsid w:val="0082413E"/>
    <w:rsid w:val="0082432F"/>
    <w:rsid w:val="00824477"/>
    <w:rsid w:val="00824596"/>
    <w:rsid w:val="008247C4"/>
    <w:rsid w:val="008249F8"/>
    <w:rsid w:val="00824A82"/>
    <w:rsid w:val="00824BEB"/>
    <w:rsid w:val="00824BFE"/>
    <w:rsid w:val="00824C97"/>
    <w:rsid w:val="00824E37"/>
    <w:rsid w:val="00825052"/>
    <w:rsid w:val="00825109"/>
    <w:rsid w:val="00825247"/>
    <w:rsid w:val="008252C1"/>
    <w:rsid w:val="008254A5"/>
    <w:rsid w:val="00825530"/>
    <w:rsid w:val="008255FC"/>
    <w:rsid w:val="00825C2F"/>
    <w:rsid w:val="00825F68"/>
    <w:rsid w:val="0082644B"/>
    <w:rsid w:val="00826718"/>
    <w:rsid w:val="008269F9"/>
    <w:rsid w:val="00826DC8"/>
    <w:rsid w:val="00826EE0"/>
    <w:rsid w:val="00826F5F"/>
    <w:rsid w:val="0082734E"/>
    <w:rsid w:val="008273AA"/>
    <w:rsid w:val="00827595"/>
    <w:rsid w:val="0082777B"/>
    <w:rsid w:val="0082789B"/>
    <w:rsid w:val="008278DB"/>
    <w:rsid w:val="00827ACA"/>
    <w:rsid w:val="00830061"/>
    <w:rsid w:val="0083014D"/>
    <w:rsid w:val="008302C5"/>
    <w:rsid w:val="008305BB"/>
    <w:rsid w:val="00830739"/>
    <w:rsid w:val="00831195"/>
    <w:rsid w:val="00831262"/>
    <w:rsid w:val="00831302"/>
    <w:rsid w:val="008316A0"/>
    <w:rsid w:val="0083187F"/>
    <w:rsid w:val="00831C52"/>
    <w:rsid w:val="00831F17"/>
    <w:rsid w:val="0083227B"/>
    <w:rsid w:val="008324CE"/>
    <w:rsid w:val="008325D2"/>
    <w:rsid w:val="0083292D"/>
    <w:rsid w:val="0083296A"/>
    <w:rsid w:val="008329B2"/>
    <w:rsid w:val="00832C13"/>
    <w:rsid w:val="00832CD3"/>
    <w:rsid w:val="00832D74"/>
    <w:rsid w:val="00832D9D"/>
    <w:rsid w:val="0083357F"/>
    <w:rsid w:val="008340A5"/>
    <w:rsid w:val="0083445E"/>
    <w:rsid w:val="00834519"/>
    <w:rsid w:val="008345A1"/>
    <w:rsid w:val="00834653"/>
    <w:rsid w:val="008348D7"/>
    <w:rsid w:val="00834AB2"/>
    <w:rsid w:val="00834CDB"/>
    <w:rsid w:val="00834D59"/>
    <w:rsid w:val="00834F6C"/>
    <w:rsid w:val="00835252"/>
    <w:rsid w:val="0083541F"/>
    <w:rsid w:val="008354C5"/>
    <w:rsid w:val="0083553F"/>
    <w:rsid w:val="00835994"/>
    <w:rsid w:val="00835BA0"/>
    <w:rsid w:val="00835CAE"/>
    <w:rsid w:val="00835DFE"/>
    <w:rsid w:val="00835E4D"/>
    <w:rsid w:val="00835F8A"/>
    <w:rsid w:val="00835F9A"/>
    <w:rsid w:val="0083653E"/>
    <w:rsid w:val="0083692F"/>
    <w:rsid w:val="00836948"/>
    <w:rsid w:val="00836983"/>
    <w:rsid w:val="00836C5C"/>
    <w:rsid w:val="00836E45"/>
    <w:rsid w:val="00837031"/>
    <w:rsid w:val="008370F7"/>
    <w:rsid w:val="00837215"/>
    <w:rsid w:val="008372F5"/>
    <w:rsid w:val="008374F5"/>
    <w:rsid w:val="00837986"/>
    <w:rsid w:val="00837B5C"/>
    <w:rsid w:val="00837DC5"/>
    <w:rsid w:val="008403B6"/>
    <w:rsid w:val="00840515"/>
    <w:rsid w:val="00840836"/>
    <w:rsid w:val="00840AFD"/>
    <w:rsid w:val="00840CDF"/>
    <w:rsid w:val="00840E23"/>
    <w:rsid w:val="00841031"/>
    <w:rsid w:val="00841075"/>
    <w:rsid w:val="00841429"/>
    <w:rsid w:val="00841949"/>
    <w:rsid w:val="00841956"/>
    <w:rsid w:val="00841ACB"/>
    <w:rsid w:val="00841AD5"/>
    <w:rsid w:val="00841CF6"/>
    <w:rsid w:val="00841DE1"/>
    <w:rsid w:val="00841E64"/>
    <w:rsid w:val="00841F19"/>
    <w:rsid w:val="00841F3F"/>
    <w:rsid w:val="0084213A"/>
    <w:rsid w:val="00842313"/>
    <w:rsid w:val="00842357"/>
    <w:rsid w:val="008426DF"/>
    <w:rsid w:val="008429DD"/>
    <w:rsid w:val="008429EE"/>
    <w:rsid w:val="00842B89"/>
    <w:rsid w:val="00842C92"/>
    <w:rsid w:val="00842FCA"/>
    <w:rsid w:val="00843052"/>
    <w:rsid w:val="0084334F"/>
    <w:rsid w:val="008434CF"/>
    <w:rsid w:val="00843A36"/>
    <w:rsid w:val="00843B4A"/>
    <w:rsid w:val="00843D58"/>
    <w:rsid w:val="00844042"/>
    <w:rsid w:val="008444CA"/>
    <w:rsid w:val="00844537"/>
    <w:rsid w:val="008445A9"/>
    <w:rsid w:val="0084467B"/>
    <w:rsid w:val="00844A33"/>
    <w:rsid w:val="00844F30"/>
    <w:rsid w:val="00845374"/>
    <w:rsid w:val="008457E4"/>
    <w:rsid w:val="00845A90"/>
    <w:rsid w:val="00845B25"/>
    <w:rsid w:val="00845D9C"/>
    <w:rsid w:val="00845F8D"/>
    <w:rsid w:val="00846076"/>
    <w:rsid w:val="008460AC"/>
    <w:rsid w:val="008461E9"/>
    <w:rsid w:val="0084641D"/>
    <w:rsid w:val="00846519"/>
    <w:rsid w:val="0084657A"/>
    <w:rsid w:val="00846CD7"/>
    <w:rsid w:val="00846D70"/>
    <w:rsid w:val="008471D0"/>
    <w:rsid w:val="008473B1"/>
    <w:rsid w:val="0084743E"/>
    <w:rsid w:val="00847958"/>
    <w:rsid w:val="0084798B"/>
    <w:rsid w:val="00847AC8"/>
    <w:rsid w:val="00847AFE"/>
    <w:rsid w:val="00847ED0"/>
    <w:rsid w:val="00847FAD"/>
    <w:rsid w:val="00850169"/>
    <w:rsid w:val="008502FD"/>
    <w:rsid w:val="00850A5B"/>
    <w:rsid w:val="00850AB4"/>
    <w:rsid w:val="00850C17"/>
    <w:rsid w:val="00850C96"/>
    <w:rsid w:val="00850D5A"/>
    <w:rsid w:val="00850E71"/>
    <w:rsid w:val="0085100E"/>
    <w:rsid w:val="00851236"/>
    <w:rsid w:val="00851518"/>
    <w:rsid w:val="00851570"/>
    <w:rsid w:val="00851666"/>
    <w:rsid w:val="00851669"/>
    <w:rsid w:val="00851A2B"/>
    <w:rsid w:val="00851A92"/>
    <w:rsid w:val="00851B35"/>
    <w:rsid w:val="00851B56"/>
    <w:rsid w:val="0085201E"/>
    <w:rsid w:val="0085208B"/>
    <w:rsid w:val="008520E6"/>
    <w:rsid w:val="0085210F"/>
    <w:rsid w:val="008521E2"/>
    <w:rsid w:val="00852354"/>
    <w:rsid w:val="008524A8"/>
    <w:rsid w:val="008524EB"/>
    <w:rsid w:val="00852565"/>
    <w:rsid w:val="008525BE"/>
    <w:rsid w:val="00852B43"/>
    <w:rsid w:val="00852FB1"/>
    <w:rsid w:val="008531BB"/>
    <w:rsid w:val="0085326A"/>
    <w:rsid w:val="0085338F"/>
    <w:rsid w:val="00853479"/>
    <w:rsid w:val="00853684"/>
    <w:rsid w:val="008536EA"/>
    <w:rsid w:val="00853756"/>
    <w:rsid w:val="00853EC5"/>
    <w:rsid w:val="00854486"/>
    <w:rsid w:val="00854521"/>
    <w:rsid w:val="0085463A"/>
    <w:rsid w:val="008547A9"/>
    <w:rsid w:val="0085488C"/>
    <w:rsid w:val="0085494D"/>
    <w:rsid w:val="0085496B"/>
    <w:rsid w:val="00854B96"/>
    <w:rsid w:val="00854C1B"/>
    <w:rsid w:val="00854D6B"/>
    <w:rsid w:val="00854E23"/>
    <w:rsid w:val="008550C3"/>
    <w:rsid w:val="00855172"/>
    <w:rsid w:val="0085520F"/>
    <w:rsid w:val="008552D4"/>
    <w:rsid w:val="008553F1"/>
    <w:rsid w:val="0085540A"/>
    <w:rsid w:val="008556CD"/>
    <w:rsid w:val="00855A40"/>
    <w:rsid w:val="00855A9E"/>
    <w:rsid w:val="00855B3C"/>
    <w:rsid w:val="00855FA5"/>
    <w:rsid w:val="00856054"/>
    <w:rsid w:val="00856181"/>
    <w:rsid w:val="008562B6"/>
    <w:rsid w:val="0085632E"/>
    <w:rsid w:val="0085634A"/>
    <w:rsid w:val="00856584"/>
    <w:rsid w:val="008566AF"/>
    <w:rsid w:val="008567A6"/>
    <w:rsid w:val="00856811"/>
    <w:rsid w:val="00856A8D"/>
    <w:rsid w:val="00856BCD"/>
    <w:rsid w:val="00857143"/>
    <w:rsid w:val="0085723C"/>
    <w:rsid w:val="008575C7"/>
    <w:rsid w:val="008578FA"/>
    <w:rsid w:val="00857929"/>
    <w:rsid w:val="00857CFB"/>
    <w:rsid w:val="00857EDE"/>
    <w:rsid w:val="0086045F"/>
    <w:rsid w:val="00860F17"/>
    <w:rsid w:val="00861022"/>
    <w:rsid w:val="008610C5"/>
    <w:rsid w:val="008611AE"/>
    <w:rsid w:val="00861235"/>
    <w:rsid w:val="00861242"/>
    <w:rsid w:val="0086129A"/>
    <w:rsid w:val="008612B5"/>
    <w:rsid w:val="0086176B"/>
    <w:rsid w:val="00861C93"/>
    <w:rsid w:val="00861DF8"/>
    <w:rsid w:val="00861F21"/>
    <w:rsid w:val="00861F62"/>
    <w:rsid w:val="008620AA"/>
    <w:rsid w:val="008620AB"/>
    <w:rsid w:val="00862440"/>
    <w:rsid w:val="008624BA"/>
    <w:rsid w:val="00862525"/>
    <w:rsid w:val="0086263D"/>
    <w:rsid w:val="00862676"/>
    <w:rsid w:val="00862796"/>
    <w:rsid w:val="008627B9"/>
    <w:rsid w:val="00863152"/>
    <w:rsid w:val="0086349A"/>
    <w:rsid w:val="008638B5"/>
    <w:rsid w:val="00863CDB"/>
    <w:rsid w:val="008640AF"/>
    <w:rsid w:val="00864130"/>
    <w:rsid w:val="00864233"/>
    <w:rsid w:val="00864390"/>
    <w:rsid w:val="00864B3C"/>
    <w:rsid w:val="00864B8E"/>
    <w:rsid w:val="00864CF2"/>
    <w:rsid w:val="00864D21"/>
    <w:rsid w:val="00864DC0"/>
    <w:rsid w:val="00864EF0"/>
    <w:rsid w:val="00865235"/>
    <w:rsid w:val="00865293"/>
    <w:rsid w:val="00865697"/>
    <w:rsid w:val="00865833"/>
    <w:rsid w:val="00865855"/>
    <w:rsid w:val="0086597D"/>
    <w:rsid w:val="00865A87"/>
    <w:rsid w:val="008662E5"/>
    <w:rsid w:val="008663D2"/>
    <w:rsid w:val="00866508"/>
    <w:rsid w:val="00866770"/>
    <w:rsid w:val="00866885"/>
    <w:rsid w:val="008669F4"/>
    <w:rsid w:val="00866CDE"/>
    <w:rsid w:val="00866DBB"/>
    <w:rsid w:val="00867058"/>
    <w:rsid w:val="00867142"/>
    <w:rsid w:val="00867340"/>
    <w:rsid w:val="0086740D"/>
    <w:rsid w:val="008675BF"/>
    <w:rsid w:val="008675F2"/>
    <w:rsid w:val="008677CD"/>
    <w:rsid w:val="00867822"/>
    <w:rsid w:val="00867863"/>
    <w:rsid w:val="00867D89"/>
    <w:rsid w:val="00867DF1"/>
    <w:rsid w:val="008703B3"/>
    <w:rsid w:val="00870508"/>
    <w:rsid w:val="008705E1"/>
    <w:rsid w:val="008705F3"/>
    <w:rsid w:val="008706A3"/>
    <w:rsid w:val="0087083E"/>
    <w:rsid w:val="00870DF2"/>
    <w:rsid w:val="00870E1F"/>
    <w:rsid w:val="00870F54"/>
    <w:rsid w:val="00871168"/>
    <w:rsid w:val="008714A6"/>
    <w:rsid w:val="008714B0"/>
    <w:rsid w:val="00871606"/>
    <w:rsid w:val="00871707"/>
    <w:rsid w:val="008717DE"/>
    <w:rsid w:val="00871806"/>
    <w:rsid w:val="0087181C"/>
    <w:rsid w:val="00871A32"/>
    <w:rsid w:val="00871D8C"/>
    <w:rsid w:val="00871F39"/>
    <w:rsid w:val="0087218D"/>
    <w:rsid w:val="00872239"/>
    <w:rsid w:val="008722B2"/>
    <w:rsid w:val="008722DA"/>
    <w:rsid w:val="00872393"/>
    <w:rsid w:val="00872635"/>
    <w:rsid w:val="00872706"/>
    <w:rsid w:val="0087283E"/>
    <w:rsid w:val="00872901"/>
    <w:rsid w:val="0087291B"/>
    <w:rsid w:val="008729D4"/>
    <w:rsid w:val="008729F5"/>
    <w:rsid w:val="00872B77"/>
    <w:rsid w:val="00872C08"/>
    <w:rsid w:val="00872EED"/>
    <w:rsid w:val="00872F28"/>
    <w:rsid w:val="00873022"/>
    <w:rsid w:val="00873090"/>
    <w:rsid w:val="0087318C"/>
    <w:rsid w:val="008731D1"/>
    <w:rsid w:val="0087397F"/>
    <w:rsid w:val="00873A9A"/>
    <w:rsid w:val="00873D52"/>
    <w:rsid w:val="00873F2E"/>
    <w:rsid w:val="008740E1"/>
    <w:rsid w:val="00874403"/>
    <w:rsid w:val="00874656"/>
    <w:rsid w:val="008746A9"/>
    <w:rsid w:val="00874AF8"/>
    <w:rsid w:val="00874BEA"/>
    <w:rsid w:val="00874FB5"/>
    <w:rsid w:val="0087519E"/>
    <w:rsid w:val="008751E8"/>
    <w:rsid w:val="00875258"/>
    <w:rsid w:val="0087571F"/>
    <w:rsid w:val="008757B4"/>
    <w:rsid w:val="0087591A"/>
    <w:rsid w:val="00875B85"/>
    <w:rsid w:val="00875CEB"/>
    <w:rsid w:val="00876A59"/>
    <w:rsid w:val="00876A81"/>
    <w:rsid w:val="00876A8C"/>
    <w:rsid w:val="00876C42"/>
    <w:rsid w:val="00876F22"/>
    <w:rsid w:val="00877157"/>
    <w:rsid w:val="0087753E"/>
    <w:rsid w:val="0087777A"/>
    <w:rsid w:val="00877A1F"/>
    <w:rsid w:val="008803FC"/>
    <w:rsid w:val="00880498"/>
    <w:rsid w:val="00880806"/>
    <w:rsid w:val="0088085F"/>
    <w:rsid w:val="0088089E"/>
    <w:rsid w:val="00880A02"/>
    <w:rsid w:val="00880B35"/>
    <w:rsid w:val="00880DF3"/>
    <w:rsid w:val="00881010"/>
    <w:rsid w:val="00881205"/>
    <w:rsid w:val="008813EE"/>
    <w:rsid w:val="008815CB"/>
    <w:rsid w:val="00881670"/>
    <w:rsid w:val="008817A6"/>
    <w:rsid w:val="008818E3"/>
    <w:rsid w:val="008819AD"/>
    <w:rsid w:val="00881E02"/>
    <w:rsid w:val="00882012"/>
    <w:rsid w:val="008821E4"/>
    <w:rsid w:val="0088257D"/>
    <w:rsid w:val="008825FE"/>
    <w:rsid w:val="00882924"/>
    <w:rsid w:val="00882A5E"/>
    <w:rsid w:val="00882DBC"/>
    <w:rsid w:val="00883161"/>
    <w:rsid w:val="008835EB"/>
    <w:rsid w:val="0088360C"/>
    <w:rsid w:val="00883A56"/>
    <w:rsid w:val="00884269"/>
    <w:rsid w:val="0088450D"/>
    <w:rsid w:val="00884927"/>
    <w:rsid w:val="00884B6D"/>
    <w:rsid w:val="00884CE0"/>
    <w:rsid w:val="00884D01"/>
    <w:rsid w:val="00884D88"/>
    <w:rsid w:val="00884E0C"/>
    <w:rsid w:val="00884E2F"/>
    <w:rsid w:val="00884E45"/>
    <w:rsid w:val="008852DD"/>
    <w:rsid w:val="008853C0"/>
    <w:rsid w:val="00885557"/>
    <w:rsid w:val="00885959"/>
    <w:rsid w:val="008860A7"/>
    <w:rsid w:val="0088633B"/>
    <w:rsid w:val="0088636F"/>
    <w:rsid w:val="008866A8"/>
    <w:rsid w:val="00886825"/>
    <w:rsid w:val="00886839"/>
    <w:rsid w:val="0088706F"/>
    <w:rsid w:val="008876DF"/>
    <w:rsid w:val="008876E4"/>
    <w:rsid w:val="00887771"/>
    <w:rsid w:val="0088777D"/>
    <w:rsid w:val="0088785C"/>
    <w:rsid w:val="00887BE6"/>
    <w:rsid w:val="00887CE4"/>
    <w:rsid w:val="00887DB7"/>
    <w:rsid w:val="00887E74"/>
    <w:rsid w:val="00887EAC"/>
    <w:rsid w:val="00887EB0"/>
    <w:rsid w:val="00887EFB"/>
    <w:rsid w:val="0089029B"/>
    <w:rsid w:val="008902D8"/>
    <w:rsid w:val="0089049C"/>
    <w:rsid w:val="0089055B"/>
    <w:rsid w:val="00890590"/>
    <w:rsid w:val="00890598"/>
    <w:rsid w:val="00890BC0"/>
    <w:rsid w:val="00890CA7"/>
    <w:rsid w:val="00890F11"/>
    <w:rsid w:val="00891100"/>
    <w:rsid w:val="00891C20"/>
    <w:rsid w:val="00891F10"/>
    <w:rsid w:val="0089207A"/>
    <w:rsid w:val="00892557"/>
    <w:rsid w:val="00892656"/>
    <w:rsid w:val="008927A1"/>
    <w:rsid w:val="008929FB"/>
    <w:rsid w:val="00892C08"/>
    <w:rsid w:val="00892CBD"/>
    <w:rsid w:val="00892ED2"/>
    <w:rsid w:val="00892F7F"/>
    <w:rsid w:val="008931AC"/>
    <w:rsid w:val="008933BD"/>
    <w:rsid w:val="008939B1"/>
    <w:rsid w:val="00893BA6"/>
    <w:rsid w:val="00893CBE"/>
    <w:rsid w:val="00893D6A"/>
    <w:rsid w:val="00893D96"/>
    <w:rsid w:val="00893E40"/>
    <w:rsid w:val="008941AC"/>
    <w:rsid w:val="00894253"/>
    <w:rsid w:val="0089451D"/>
    <w:rsid w:val="008945F6"/>
    <w:rsid w:val="0089485B"/>
    <w:rsid w:val="008949A7"/>
    <w:rsid w:val="00895009"/>
    <w:rsid w:val="008957B4"/>
    <w:rsid w:val="008959BB"/>
    <w:rsid w:val="00895A7D"/>
    <w:rsid w:val="00895AB8"/>
    <w:rsid w:val="00895AF2"/>
    <w:rsid w:val="00895E65"/>
    <w:rsid w:val="00895EE1"/>
    <w:rsid w:val="00895FD4"/>
    <w:rsid w:val="00896454"/>
    <w:rsid w:val="00896574"/>
    <w:rsid w:val="008965C7"/>
    <w:rsid w:val="008965F4"/>
    <w:rsid w:val="00896679"/>
    <w:rsid w:val="00896724"/>
    <w:rsid w:val="00896886"/>
    <w:rsid w:val="00896CA9"/>
    <w:rsid w:val="00896E4D"/>
    <w:rsid w:val="0089700A"/>
    <w:rsid w:val="00897178"/>
    <w:rsid w:val="00897196"/>
    <w:rsid w:val="00897219"/>
    <w:rsid w:val="00897283"/>
    <w:rsid w:val="008977FD"/>
    <w:rsid w:val="00897E13"/>
    <w:rsid w:val="00897E44"/>
    <w:rsid w:val="008A0084"/>
    <w:rsid w:val="008A0804"/>
    <w:rsid w:val="008A0959"/>
    <w:rsid w:val="008A0989"/>
    <w:rsid w:val="008A0A13"/>
    <w:rsid w:val="008A0A82"/>
    <w:rsid w:val="008A0ACE"/>
    <w:rsid w:val="008A0DF4"/>
    <w:rsid w:val="008A0F92"/>
    <w:rsid w:val="008A1126"/>
    <w:rsid w:val="008A11CE"/>
    <w:rsid w:val="008A1965"/>
    <w:rsid w:val="008A1C64"/>
    <w:rsid w:val="008A20FD"/>
    <w:rsid w:val="008A233D"/>
    <w:rsid w:val="008A27BC"/>
    <w:rsid w:val="008A290A"/>
    <w:rsid w:val="008A2D0E"/>
    <w:rsid w:val="008A2DA2"/>
    <w:rsid w:val="008A2E43"/>
    <w:rsid w:val="008A2F1D"/>
    <w:rsid w:val="008A3055"/>
    <w:rsid w:val="008A3100"/>
    <w:rsid w:val="008A31A1"/>
    <w:rsid w:val="008A3753"/>
    <w:rsid w:val="008A37EE"/>
    <w:rsid w:val="008A3805"/>
    <w:rsid w:val="008A3A5D"/>
    <w:rsid w:val="008A3C4E"/>
    <w:rsid w:val="008A4114"/>
    <w:rsid w:val="008A443E"/>
    <w:rsid w:val="008A4462"/>
    <w:rsid w:val="008A44C8"/>
    <w:rsid w:val="008A48FF"/>
    <w:rsid w:val="008A490A"/>
    <w:rsid w:val="008A4CE7"/>
    <w:rsid w:val="008A5134"/>
    <w:rsid w:val="008A5286"/>
    <w:rsid w:val="008A52F2"/>
    <w:rsid w:val="008A5B07"/>
    <w:rsid w:val="008A5C54"/>
    <w:rsid w:val="008A60F0"/>
    <w:rsid w:val="008A63CE"/>
    <w:rsid w:val="008A6493"/>
    <w:rsid w:val="008A64AA"/>
    <w:rsid w:val="008A64D8"/>
    <w:rsid w:val="008A651F"/>
    <w:rsid w:val="008A65C0"/>
    <w:rsid w:val="008A683C"/>
    <w:rsid w:val="008A6DEE"/>
    <w:rsid w:val="008A6DF9"/>
    <w:rsid w:val="008A703A"/>
    <w:rsid w:val="008A71C0"/>
    <w:rsid w:val="008A75AC"/>
    <w:rsid w:val="008A775F"/>
    <w:rsid w:val="008A78A4"/>
    <w:rsid w:val="008A7A01"/>
    <w:rsid w:val="008A7AAD"/>
    <w:rsid w:val="008A7F44"/>
    <w:rsid w:val="008A7FE7"/>
    <w:rsid w:val="008B0434"/>
    <w:rsid w:val="008B0699"/>
    <w:rsid w:val="008B0720"/>
    <w:rsid w:val="008B0749"/>
    <w:rsid w:val="008B08CD"/>
    <w:rsid w:val="008B09DC"/>
    <w:rsid w:val="008B0A18"/>
    <w:rsid w:val="008B0AC5"/>
    <w:rsid w:val="008B0F24"/>
    <w:rsid w:val="008B0F85"/>
    <w:rsid w:val="008B1020"/>
    <w:rsid w:val="008B106F"/>
    <w:rsid w:val="008B121B"/>
    <w:rsid w:val="008B14B3"/>
    <w:rsid w:val="008B1669"/>
    <w:rsid w:val="008B176C"/>
    <w:rsid w:val="008B1AA5"/>
    <w:rsid w:val="008B1C29"/>
    <w:rsid w:val="008B1C68"/>
    <w:rsid w:val="008B1C84"/>
    <w:rsid w:val="008B1CD4"/>
    <w:rsid w:val="008B1D4B"/>
    <w:rsid w:val="008B2065"/>
    <w:rsid w:val="008B2187"/>
    <w:rsid w:val="008B2328"/>
    <w:rsid w:val="008B251A"/>
    <w:rsid w:val="008B289A"/>
    <w:rsid w:val="008B2BE2"/>
    <w:rsid w:val="008B2BEC"/>
    <w:rsid w:val="008B2C2A"/>
    <w:rsid w:val="008B32CB"/>
    <w:rsid w:val="008B385F"/>
    <w:rsid w:val="008B3B80"/>
    <w:rsid w:val="008B3DA0"/>
    <w:rsid w:val="008B3E43"/>
    <w:rsid w:val="008B4049"/>
    <w:rsid w:val="008B4547"/>
    <w:rsid w:val="008B45DD"/>
    <w:rsid w:val="008B45E6"/>
    <w:rsid w:val="008B4A03"/>
    <w:rsid w:val="008B4A6E"/>
    <w:rsid w:val="008B4ADB"/>
    <w:rsid w:val="008B4B2F"/>
    <w:rsid w:val="008B4EF3"/>
    <w:rsid w:val="008B5513"/>
    <w:rsid w:val="008B5567"/>
    <w:rsid w:val="008B58DC"/>
    <w:rsid w:val="008B59CE"/>
    <w:rsid w:val="008B5AC4"/>
    <w:rsid w:val="008B5CDC"/>
    <w:rsid w:val="008B5FE0"/>
    <w:rsid w:val="008B6040"/>
    <w:rsid w:val="008B6053"/>
    <w:rsid w:val="008B667A"/>
    <w:rsid w:val="008B67A8"/>
    <w:rsid w:val="008B6867"/>
    <w:rsid w:val="008B6B87"/>
    <w:rsid w:val="008B6FEB"/>
    <w:rsid w:val="008B7930"/>
    <w:rsid w:val="008B7B57"/>
    <w:rsid w:val="008B7B71"/>
    <w:rsid w:val="008B7F88"/>
    <w:rsid w:val="008C0177"/>
    <w:rsid w:val="008C026A"/>
    <w:rsid w:val="008C078E"/>
    <w:rsid w:val="008C09FF"/>
    <w:rsid w:val="008C0DF6"/>
    <w:rsid w:val="008C0E9E"/>
    <w:rsid w:val="008C0FAF"/>
    <w:rsid w:val="008C11A4"/>
    <w:rsid w:val="008C1207"/>
    <w:rsid w:val="008C15AD"/>
    <w:rsid w:val="008C1977"/>
    <w:rsid w:val="008C1A2E"/>
    <w:rsid w:val="008C1B61"/>
    <w:rsid w:val="008C1C3E"/>
    <w:rsid w:val="008C1D86"/>
    <w:rsid w:val="008C1E87"/>
    <w:rsid w:val="008C1F73"/>
    <w:rsid w:val="008C20CE"/>
    <w:rsid w:val="008C26E6"/>
    <w:rsid w:val="008C2AF2"/>
    <w:rsid w:val="008C2B04"/>
    <w:rsid w:val="008C2BFD"/>
    <w:rsid w:val="008C2DC3"/>
    <w:rsid w:val="008C2DEF"/>
    <w:rsid w:val="008C2F47"/>
    <w:rsid w:val="008C317F"/>
    <w:rsid w:val="008C3560"/>
    <w:rsid w:val="008C365F"/>
    <w:rsid w:val="008C3668"/>
    <w:rsid w:val="008C368C"/>
    <w:rsid w:val="008C3A17"/>
    <w:rsid w:val="008C3A4D"/>
    <w:rsid w:val="008C3EF2"/>
    <w:rsid w:val="008C3FBA"/>
    <w:rsid w:val="008C3FE0"/>
    <w:rsid w:val="008C4387"/>
    <w:rsid w:val="008C4463"/>
    <w:rsid w:val="008C46DA"/>
    <w:rsid w:val="008C484E"/>
    <w:rsid w:val="008C4944"/>
    <w:rsid w:val="008C4DCB"/>
    <w:rsid w:val="008C4E48"/>
    <w:rsid w:val="008C4EA8"/>
    <w:rsid w:val="008C504C"/>
    <w:rsid w:val="008C50E1"/>
    <w:rsid w:val="008C50FA"/>
    <w:rsid w:val="008C5169"/>
    <w:rsid w:val="008C51D2"/>
    <w:rsid w:val="008C5410"/>
    <w:rsid w:val="008C54B4"/>
    <w:rsid w:val="008C5A8C"/>
    <w:rsid w:val="008C5D65"/>
    <w:rsid w:val="008C5F71"/>
    <w:rsid w:val="008C617D"/>
    <w:rsid w:val="008C61BA"/>
    <w:rsid w:val="008C621B"/>
    <w:rsid w:val="008C635D"/>
    <w:rsid w:val="008C65AD"/>
    <w:rsid w:val="008C67C7"/>
    <w:rsid w:val="008C682F"/>
    <w:rsid w:val="008C694E"/>
    <w:rsid w:val="008C6965"/>
    <w:rsid w:val="008C6AEA"/>
    <w:rsid w:val="008C6B3D"/>
    <w:rsid w:val="008C6C16"/>
    <w:rsid w:val="008C6C2C"/>
    <w:rsid w:val="008C6D24"/>
    <w:rsid w:val="008C6D58"/>
    <w:rsid w:val="008C759E"/>
    <w:rsid w:val="008C7676"/>
    <w:rsid w:val="008C769A"/>
    <w:rsid w:val="008C79F1"/>
    <w:rsid w:val="008C7BE9"/>
    <w:rsid w:val="008C7CD4"/>
    <w:rsid w:val="008C7D40"/>
    <w:rsid w:val="008C7FAD"/>
    <w:rsid w:val="008D011D"/>
    <w:rsid w:val="008D0237"/>
    <w:rsid w:val="008D02A2"/>
    <w:rsid w:val="008D02D6"/>
    <w:rsid w:val="008D048C"/>
    <w:rsid w:val="008D052B"/>
    <w:rsid w:val="008D0705"/>
    <w:rsid w:val="008D0E1E"/>
    <w:rsid w:val="008D0E49"/>
    <w:rsid w:val="008D123A"/>
    <w:rsid w:val="008D1380"/>
    <w:rsid w:val="008D168E"/>
    <w:rsid w:val="008D174F"/>
    <w:rsid w:val="008D1B48"/>
    <w:rsid w:val="008D1D0A"/>
    <w:rsid w:val="008D1D17"/>
    <w:rsid w:val="008D2045"/>
    <w:rsid w:val="008D277C"/>
    <w:rsid w:val="008D28FC"/>
    <w:rsid w:val="008D2A01"/>
    <w:rsid w:val="008D2A9C"/>
    <w:rsid w:val="008D2C18"/>
    <w:rsid w:val="008D2DC3"/>
    <w:rsid w:val="008D2F8C"/>
    <w:rsid w:val="008D3281"/>
    <w:rsid w:val="008D3398"/>
    <w:rsid w:val="008D3597"/>
    <w:rsid w:val="008D35CE"/>
    <w:rsid w:val="008D36EA"/>
    <w:rsid w:val="008D3751"/>
    <w:rsid w:val="008D395C"/>
    <w:rsid w:val="008D3CE7"/>
    <w:rsid w:val="008D3E83"/>
    <w:rsid w:val="008D3F3D"/>
    <w:rsid w:val="008D4794"/>
    <w:rsid w:val="008D4A67"/>
    <w:rsid w:val="008D4CC9"/>
    <w:rsid w:val="008D55FE"/>
    <w:rsid w:val="008D590C"/>
    <w:rsid w:val="008D5A5E"/>
    <w:rsid w:val="008D5BA4"/>
    <w:rsid w:val="008D5CB7"/>
    <w:rsid w:val="008D5D08"/>
    <w:rsid w:val="008D5DDA"/>
    <w:rsid w:val="008D5F2F"/>
    <w:rsid w:val="008D5F5B"/>
    <w:rsid w:val="008D61CB"/>
    <w:rsid w:val="008D64B0"/>
    <w:rsid w:val="008D6CBC"/>
    <w:rsid w:val="008D6E4B"/>
    <w:rsid w:val="008D7004"/>
    <w:rsid w:val="008D7381"/>
    <w:rsid w:val="008D7557"/>
    <w:rsid w:val="008D7568"/>
    <w:rsid w:val="008D7595"/>
    <w:rsid w:val="008D7ABC"/>
    <w:rsid w:val="008D7AFD"/>
    <w:rsid w:val="008D7B1C"/>
    <w:rsid w:val="008D7CE5"/>
    <w:rsid w:val="008D7FEC"/>
    <w:rsid w:val="008E01DB"/>
    <w:rsid w:val="008E0739"/>
    <w:rsid w:val="008E0814"/>
    <w:rsid w:val="008E0830"/>
    <w:rsid w:val="008E0846"/>
    <w:rsid w:val="008E0CA1"/>
    <w:rsid w:val="008E13E9"/>
    <w:rsid w:val="008E13FD"/>
    <w:rsid w:val="008E147C"/>
    <w:rsid w:val="008E14A8"/>
    <w:rsid w:val="008E162A"/>
    <w:rsid w:val="008E162B"/>
    <w:rsid w:val="008E1655"/>
    <w:rsid w:val="008E1721"/>
    <w:rsid w:val="008E175C"/>
    <w:rsid w:val="008E192A"/>
    <w:rsid w:val="008E1E2D"/>
    <w:rsid w:val="008E24A4"/>
    <w:rsid w:val="008E2590"/>
    <w:rsid w:val="008E25EF"/>
    <w:rsid w:val="008E27A9"/>
    <w:rsid w:val="008E2956"/>
    <w:rsid w:val="008E2F30"/>
    <w:rsid w:val="008E32C4"/>
    <w:rsid w:val="008E36C2"/>
    <w:rsid w:val="008E3736"/>
    <w:rsid w:val="008E3DFA"/>
    <w:rsid w:val="008E41D0"/>
    <w:rsid w:val="008E42BD"/>
    <w:rsid w:val="008E42EF"/>
    <w:rsid w:val="008E44DE"/>
    <w:rsid w:val="008E46A3"/>
    <w:rsid w:val="008E46F4"/>
    <w:rsid w:val="008E47FB"/>
    <w:rsid w:val="008E4853"/>
    <w:rsid w:val="008E4E04"/>
    <w:rsid w:val="008E5063"/>
    <w:rsid w:val="008E5143"/>
    <w:rsid w:val="008E5245"/>
    <w:rsid w:val="008E5370"/>
    <w:rsid w:val="008E53B8"/>
    <w:rsid w:val="008E55A9"/>
    <w:rsid w:val="008E58F8"/>
    <w:rsid w:val="008E5D6C"/>
    <w:rsid w:val="008E5EAE"/>
    <w:rsid w:val="008E5FD4"/>
    <w:rsid w:val="008E6224"/>
    <w:rsid w:val="008E6C1E"/>
    <w:rsid w:val="008E6D2F"/>
    <w:rsid w:val="008E704F"/>
    <w:rsid w:val="008E7465"/>
    <w:rsid w:val="008E7468"/>
    <w:rsid w:val="008E74D9"/>
    <w:rsid w:val="008E76ED"/>
    <w:rsid w:val="008E772A"/>
    <w:rsid w:val="008E7865"/>
    <w:rsid w:val="008E78C4"/>
    <w:rsid w:val="008E7AE7"/>
    <w:rsid w:val="008E7B3C"/>
    <w:rsid w:val="008E7C15"/>
    <w:rsid w:val="008E7D99"/>
    <w:rsid w:val="008F0415"/>
    <w:rsid w:val="008F0540"/>
    <w:rsid w:val="008F0576"/>
    <w:rsid w:val="008F0BB1"/>
    <w:rsid w:val="008F0ECA"/>
    <w:rsid w:val="008F0F76"/>
    <w:rsid w:val="008F0FE1"/>
    <w:rsid w:val="008F1149"/>
    <w:rsid w:val="008F114A"/>
    <w:rsid w:val="008F11C7"/>
    <w:rsid w:val="008F1401"/>
    <w:rsid w:val="008F14B4"/>
    <w:rsid w:val="008F16D0"/>
    <w:rsid w:val="008F1A93"/>
    <w:rsid w:val="008F1C61"/>
    <w:rsid w:val="008F1D05"/>
    <w:rsid w:val="008F218E"/>
    <w:rsid w:val="008F2287"/>
    <w:rsid w:val="008F2466"/>
    <w:rsid w:val="008F255A"/>
    <w:rsid w:val="008F2625"/>
    <w:rsid w:val="008F2AED"/>
    <w:rsid w:val="008F2FBD"/>
    <w:rsid w:val="008F309A"/>
    <w:rsid w:val="008F325C"/>
    <w:rsid w:val="008F3483"/>
    <w:rsid w:val="008F358F"/>
    <w:rsid w:val="008F35F1"/>
    <w:rsid w:val="008F3D1B"/>
    <w:rsid w:val="008F3D7D"/>
    <w:rsid w:val="008F417C"/>
    <w:rsid w:val="008F4252"/>
    <w:rsid w:val="008F43A4"/>
    <w:rsid w:val="008F4461"/>
    <w:rsid w:val="008F45A0"/>
    <w:rsid w:val="008F481F"/>
    <w:rsid w:val="008F4D4A"/>
    <w:rsid w:val="008F4DAE"/>
    <w:rsid w:val="008F54F0"/>
    <w:rsid w:val="008F5524"/>
    <w:rsid w:val="008F5529"/>
    <w:rsid w:val="008F56E8"/>
    <w:rsid w:val="008F5733"/>
    <w:rsid w:val="008F57E2"/>
    <w:rsid w:val="008F5C9D"/>
    <w:rsid w:val="008F6037"/>
    <w:rsid w:val="008F6110"/>
    <w:rsid w:val="008F684D"/>
    <w:rsid w:val="008F6858"/>
    <w:rsid w:val="008F68ED"/>
    <w:rsid w:val="008F6E1E"/>
    <w:rsid w:val="008F73C7"/>
    <w:rsid w:val="008F757A"/>
    <w:rsid w:val="008F79D1"/>
    <w:rsid w:val="008F7A26"/>
    <w:rsid w:val="008F7B4D"/>
    <w:rsid w:val="008F7F7F"/>
    <w:rsid w:val="009000F0"/>
    <w:rsid w:val="00900528"/>
    <w:rsid w:val="00900547"/>
    <w:rsid w:val="009006F8"/>
    <w:rsid w:val="00900747"/>
    <w:rsid w:val="00900C60"/>
    <w:rsid w:val="00900E72"/>
    <w:rsid w:val="00900FF5"/>
    <w:rsid w:val="0090108B"/>
    <w:rsid w:val="009011CA"/>
    <w:rsid w:val="009011D3"/>
    <w:rsid w:val="009016CC"/>
    <w:rsid w:val="009016D1"/>
    <w:rsid w:val="00901ABE"/>
    <w:rsid w:val="00901BA6"/>
    <w:rsid w:val="00901F20"/>
    <w:rsid w:val="00901F2B"/>
    <w:rsid w:val="009023BF"/>
    <w:rsid w:val="009023E9"/>
    <w:rsid w:val="009026D0"/>
    <w:rsid w:val="0090271C"/>
    <w:rsid w:val="0090275F"/>
    <w:rsid w:val="009027EA"/>
    <w:rsid w:val="00902805"/>
    <w:rsid w:val="00902B43"/>
    <w:rsid w:val="00902B9D"/>
    <w:rsid w:val="009030E8"/>
    <w:rsid w:val="00903220"/>
    <w:rsid w:val="009033A4"/>
    <w:rsid w:val="00903457"/>
    <w:rsid w:val="00903AF5"/>
    <w:rsid w:val="00903C21"/>
    <w:rsid w:val="00903D2E"/>
    <w:rsid w:val="00904092"/>
    <w:rsid w:val="009041E3"/>
    <w:rsid w:val="0090434E"/>
    <w:rsid w:val="00904360"/>
    <w:rsid w:val="00904499"/>
    <w:rsid w:val="0090458D"/>
    <w:rsid w:val="009046AC"/>
    <w:rsid w:val="0090475B"/>
    <w:rsid w:val="0090494C"/>
    <w:rsid w:val="009049CF"/>
    <w:rsid w:val="00904A48"/>
    <w:rsid w:val="00904B0E"/>
    <w:rsid w:val="00904B2D"/>
    <w:rsid w:val="00904D0D"/>
    <w:rsid w:val="009051F9"/>
    <w:rsid w:val="00905677"/>
    <w:rsid w:val="00905723"/>
    <w:rsid w:val="00905EE6"/>
    <w:rsid w:val="009060BB"/>
    <w:rsid w:val="00906267"/>
    <w:rsid w:val="009063C4"/>
    <w:rsid w:val="0090641E"/>
    <w:rsid w:val="00906875"/>
    <w:rsid w:val="009069D3"/>
    <w:rsid w:val="00906C26"/>
    <w:rsid w:val="00906D0F"/>
    <w:rsid w:val="00906DE1"/>
    <w:rsid w:val="00906E95"/>
    <w:rsid w:val="00906F7B"/>
    <w:rsid w:val="009071A4"/>
    <w:rsid w:val="009071CE"/>
    <w:rsid w:val="00907226"/>
    <w:rsid w:val="00907342"/>
    <w:rsid w:val="0090753E"/>
    <w:rsid w:val="00907A73"/>
    <w:rsid w:val="00907AF6"/>
    <w:rsid w:val="00907B2A"/>
    <w:rsid w:val="00907BD5"/>
    <w:rsid w:val="00907D8D"/>
    <w:rsid w:val="00910259"/>
    <w:rsid w:val="00910334"/>
    <w:rsid w:val="009105B9"/>
    <w:rsid w:val="00910682"/>
    <w:rsid w:val="009106D1"/>
    <w:rsid w:val="00910713"/>
    <w:rsid w:val="00910765"/>
    <w:rsid w:val="00910BAD"/>
    <w:rsid w:val="00910C27"/>
    <w:rsid w:val="00910C2B"/>
    <w:rsid w:val="00910D36"/>
    <w:rsid w:val="00910DFE"/>
    <w:rsid w:val="00910E2F"/>
    <w:rsid w:val="009110BA"/>
    <w:rsid w:val="009110D3"/>
    <w:rsid w:val="009111BB"/>
    <w:rsid w:val="00911455"/>
    <w:rsid w:val="0091145F"/>
    <w:rsid w:val="009115ED"/>
    <w:rsid w:val="009116ED"/>
    <w:rsid w:val="00911D10"/>
    <w:rsid w:val="00911DDE"/>
    <w:rsid w:val="00911FE9"/>
    <w:rsid w:val="0091230C"/>
    <w:rsid w:val="00912448"/>
    <w:rsid w:val="009127D5"/>
    <w:rsid w:val="00912890"/>
    <w:rsid w:val="00912916"/>
    <w:rsid w:val="0091292A"/>
    <w:rsid w:val="00912F73"/>
    <w:rsid w:val="00912F86"/>
    <w:rsid w:val="0091321B"/>
    <w:rsid w:val="00913578"/>
    <w:rsid w:val="00913801"/>
    <w:rsid w:val="00913963"/>
    <w:rsid w:val="00913CAD"/>
    <w:rsid w:val="0091458A"/>
    <w:rsid w:val="0091461A"/>
    <w:rsid w:val="009147FE"/>
    <w:rsid w:val="00914A17"/>
    <w:rsid w:val="00914A8A"/>
    <w:rsid w:val="00914ACC"/>
    <w:rsid w:val="00914B14"/>
    <w:rsid w:val="00914BA2"/>
    <w:rsid w:val="00914E02"/>
    <w:rsid w:val="0091500B"/>
    <w:rsid w:val="00915213"/>
    <w:rsid w:val="009152EE"/>
    <w:rsid w:val="009158AF"/>
    <w:rsid w:val="00915A06"/>
    <w:rsid w:val="00915A4B"/>
    <w:rsid w:val="00915AC1"/>
    <w:rsid w:val="00915B48"/>
    <w:rsid w:val="00915D47"/>
    <w:rsid w:val="00915ECC"/>
    <w:rsid w:val="009161CF"/>
    <w:rsid w:val="009164DB"/>
    <w:rsid w:val="0091670F"/>
    <w:rsid w:val="00917021"/>
    <w:rsid w:val="009175D6"/>
    <w:rsid w:val="009177D7"/>
    <w:rsid w:val="00917AFE"/>
    <w:rsid w:val="00917B29"/>
    <w:rsid w:val="00917C82"/>
    <w:rsid w:val="00917D30"/>
    <w:rsid w:val="00917D7B"/>
    <w:rsid w:val="00917F9F"/>
    <w:rsid w:val="009200A6"/>
    <w:rsid w:val="0092020C"/>
    <w:rsid w:val="00920A79"/>
    <w:rsid w:val="00920C31"/>
    <w:rsid w:val="00920C9C"/>
    <w:rsid w:val="00920D37"/>
    <w:rsid w:val="00920FCE"/>
    <w:rsid w:val="0092109F"/>
    <w:rsid w:val="00921112"/>
    <w:rsid w:val="0092131B"/>
    <w:rsid w:val="00921BBF"/>
    <w:rsid w:val="00921C47"/>
    <w:rsid w:val="00921E60"/>
    <w:rsid w:val="00921E77"/>
    <w:rsid w:val="0092252E"/>
    <w:rsid w:val="00922C31"/>
    <w:rsid w:val="00922EA6"/>
    <w:rsid w:val="00922EF0"/>
    <w:rsid w:val="00922F4B"/>
    <w:rsid w:val="00923085"/>
    <w:rsid w:val="0092313A"/>
    <w:rsid w:val="009233F1"/>
    <w:rsid w:val="00923690"/>
    <w:rsid w:val="00923741"/>
    <w:rsid w:val="00923770"/>
    <w:rsid w:val="00923AE1"/>
    <w:rsid w:val="00923BBA"/>
    <w:rsid w:val="00923C85"/>
    <w:rsid w:val="00924480"/>
    <w:rsid w:val="0092450C"/>
    <w:rsid w:val="00924849"/>
    <w:rsid w:val="00924A74"/>
    <w:rsid w:val="00924E59"/>
    <w:rsid w:val="00925042"/>
    <w:rsid w:val="00925202"/>
    <w:rsid w:val="0092532D"/>
    <w:rsid w:val="009256D2"/>
    <w:rsid w:val="00925794"/>
    <w:rsid w:val="009257DD"/>
    <w:rsid w:val="00925BC8"/>
    <w:rsid w:val="00925D28"/>
    <w:rsid w:val="00925D7E"/>
    <w:rsid w:val="00925F0C"/>
    <w:rsid w:val="009260D0"/>
    <w:rsid w:val="00926277"/>
    <w:rsid w:val="00926329"/>
    <w:rsid w:val="009264EE"/>
    <w:rsid w:val="0092652A"/>
    <w:rsid w:val="009265AE"/>
    <w:rsid w:val="00926AB2"/>
    <w:rsid w:val="00926B58"/>
    <w:rsid w:val="00926D51"/>
    <w:rsid w:val="00926D7D"/>
    <w:rsid w:val="00926FAD"/>
    <w:rsid w:val="009270B6"/>
    <w:rsid w:val="009270DA"/>
    <w:rsid w:val="00927167"/>
    <w:rsid w:val="009272AE"/>
    <w:rsid w:val="0092768C"/>
    <w:rsid w:val="00927708"/>
    <w:rsid w:val="00927719"/>
    <w:rsid w:val="00927A54"/>
    <w:rsid w:val="00927B6C"/>
    <w:rsid w:val="0093023A"/>
    <w:rsid w:val="009302EE"/>
    <w:rsid w:val="00930300"/>
    <w:rsid w:val="0093057D"/>
    <w:rsid w:val="00930802"/>
    <w:rsid w:val="00930848"/>
    <w:rsid w:val="0093088E"/>
    <w:rsid w:val="00930C0B"/>
    <w:rsid w:val="00930E52"/>
    <w:rsid w:val="009312F9"/>
    <w:rsid w:val="00931392"/>
    <w:rsid w:val="009314DD"/>
    <w:rsid w:val="0093160C"/>
    <w:rsid w:val="00931661"/>
    <w:rsid w:val="009316D5"/>
    <w:rsid w:val="0093180E"/>
    <w:rsid w:val="0093187A"/>
    <w:rsid w:val="00931977"/>
    <w:rsid w:val="009319D9"/>
    <w:rsid w:val="00931A84"/>
    <w:rsid w:val="00931C0A"/>
    <w:rsid w:val="00931FD6"/>
    <w:rsid w:val="00932115"/>
    <w:rsid w:val="009322AE"/>
    <w:rsid w:val="009326CD"/>
    <w:rsid w:val="00932D71"/>
    <w:rsid w:val="00932F62"/>
    <w:rsid w:val="0093314D"/>
    <w:rsid w:val="00933244"/>
    <w:rsid w:val="00933420"/>
    <w:rsid w:val="00933A51"/>
    <w:rsid w:val="00933CCC"/>
    <w:rsid w:val="00933CDB"/>
    <w:rsid w:val="00933D2C"/>
    <w:rsid w:val="0093426F"/>
    <w:rsid w:val="009345C2"/>
    <w:rsid w:val="009346F0"/>
    <w:rsid w:val="00934A02"/>
    <w:rsid w:val="00934BE8"/>
    <w:rsid w:val="00934C68"/>
    <w:rsid w:val="00934D99"/>
    <w:rsid w:val="00935927"/>
    <w:rsid w:val="00935A5E"/>
    <w:rsid w:val="00935C1E"/>
    <w:rsid w:val="00936136"/>
    <w:rsid w:val="00936279"/>
    <w:rsid w:val="00936785"/>
    <w:rsid w:val="0093681B"/>
    <w:rsid w:val="009369B0"/>
    <w:rsid w:val="00936B1F"/>
    <w:rsid w:val="00936F28"/>
    <w:rsid w:val="009370BD"/>
    <w:rsid w:val="0093711E"/>
    <w:rsid w:val="009372FA"/>
    <w:rsid w:val="009373BB"/>
    <w:rsid w:val="00937471"/>
    <w:rsid w:val="0093758B"/>
    <w:rsid w:val="0093763C"/>
    <w:rsid w:val="00937774"/>
    <w:rsid w:val="00937863"/>
    <w:rsid w:val="0093786A"/>
    <w:rsid w:val="00937AD8"/>
    <w:rsid w:val="00937B08"/>
    <w:rsid w:val="00937E66"/>
    <w:rsid w:val="00940019"/>
    <w:rsid w:val="0094011A"/>
    <w:rsid w:val="00940938"/>
    <w:rsid w:val="00940B90"/>
    <w:rsid w:val="00940FB2"/>
    <w:rsid w:val="009414E3"/>
    <w:rsid w:val="00941692"/>
    <w:rsid w:val="0094188E"/>
    <w:rsid w:val="00941B78"/>
    <w:rsid w:val="00941B7B"/>
    <w:rsid w:val="00941C38"/>
    <w:rsid w:val="00941CFC"/>
    <w:rsid w:val="00941E4F"/>
    <w:rsid w:val="00941E68"/>
    <w:rsid w:val="00941F39"/>
    <w:rsid w:val="0094202A"/>
    <w:rsid w:val="009420D0"/>
    <w:rsid w:val="00942739"/>
    <w:rsid w:val="009429F1"/>
    <w:rsid w:val="00942D28"/>
    <w:rsid w:val="00942D41"/>
    <w:rsid w:val="009431D6"/>
    <w:rsid w:val="00943252"/>
    <w:rsid w:val="0094345F"/>
    <w:rsid w:val="00943653"/>
    <w:rsid w:val="00943AAA"/>
    <w:rsid w:val="00944673"/>
    <w:rsid w:val="00944971"/>
    <w:rsid w:val="009449A9"/>
    <w:rsid w:val="009449D1"/>
    <w:rsid w:val="00944F40"/>
    <w:rsid w:val="00945106"/>
    <w:rsid w:val="0094525F"/>
    <w:rsid w:val="009452FA"/>
    <w:rsid w:val="00945317"/>
    <w:rsid w:val="009456F1"/>
    <w:rsid w:val="009459CB"/>
    <w:rsid w:val="00945C50"/>
    <w:rsid w:val="00945CC0"/>
    <w:rsid w:val="00945F6D"/>
    <w:rsid w:val="00946322"/>
    <w:rsid w:val="00946618"/>
    <w:rsid w:val="00946CDA"/>
    <w:rsid w:val="009470DE"/>
    <w:rsid w:val="009474E0"/>
    <w:rsid w:val="0094752F"/>
    <w:rsid w:val="0094762A"/>
    <w:rsid w:val="00947672"/>
    <w:rsid w:val="00947704"/>
    <w:rsid w:val="009478BC"/>
    <w:rsid w:val="00947976"/>
    <w:rsid w:val="00947A74"/>
    <w:rsid w:val="00947F2A"/>
    <w:rsid w:val="00947F32"/>
    <w:rsid w:val="009500C2"/>
    <w:rsid w:val="009500DC"/>
    <w:rsid w:val="00950300"/>
    <w:rsid w:val="00950357"/>
    <w:rsid w:val="0095037F"/>
    <w:rsid w:val="00950797"/>
    <w:rsid w:val="00950809"/>
    <w:rsid w:val="0095094A"/>
    <w:rsid w:val="00950A4F"/>
    <w:rsid w:val="00950C60"/>
    <w:rsid w:val="0095109F"/>
    <w:rsid w:val="00951434"/>
    <w:rsid w:val="00951458"/>
    <w:rsid w:val="009515A0"/>
    <w:rsid w:val="0095165C"/>
    <w:rsid w:val="00951783"/>
    <w:rsid w:val="009517F8"/>
    <w:rsid w:val="00951AD1"/>
    <w:rsid w:val="00951AE6"/>
    <w:rsid w:val="00951B84"/>
    <w:rsid w:val="00951F74"/>
    <w:rsid w:val="00952258"/>
    <w:rsid w:val="009527C4"/>
    <w:rsid w:val="00952B76"/>
    <w:rsid w:val="009532EA"/>
    <w:rsid w:val="00953879"/>
    <w:rsid w:val="009540C9"/>
    <w:rsid w:val="0095474C"/>
    <w:rsid w:val="00954B05"/>
    <w:rsid w:val="00954BAB"/>
    <w:rsid w:val="00954DEB"/>
    <w:rsid w:val="00954FC5"/>
    <w:rsid w:val="00955268"/>
    <w:rsid w:val="00955832"/>
    <w:rsid w:val="00955B45"/>
    <w:rsid w:val="00955B91"/>
    <w:rsid w:val="00955C48"/>
    <w:rsid w:val="00955D7C"/>
    <w:rsid w:val="00955DA0"/>
    <w:rsid w:val="00955E6B"/>
    <w:rsid w:val="00955EF7"/>
    <w:rsid w:val="009564D5"/>
    <w:rsid w:val="00956706"/>
    <w:rsid w:val="00956A5F"/>
    <w:rsid w:val="00956D39"/>
    <w:rsid w:val="00956DE3"/>
    <w:rsid w:val="00957071"/>
    <w:rsid w:val="00957160"/>
    <w:rsid w:val="0095724F"/>
    <w:rsid w:val="0095735B"/>
    <w:rsid w:val="0095775A"/>
    <w:rsid w:val="00957AD3"/>
    <w:rsid w:val="00957ADD"/>
    <w:rsid w:val="00957B5B"/>
    <w:rsid w:val="00957D1F"/>
    <w:rsid w:val="00957E8D"/>
    <w:rsid w:val="00960111"/>
    <w:rsid w:val="00960148"/>
    <w:rsid w:val="00960281"/>
    <w:rsid w:val="0096072D"/>
    <w:rsid w:val="00960986"/>
    <w:rsid w:val="00960B23"/>
    <w:rsid w:val="00960DBF"/>
    <w:rsid w:val="00960F01"/>
    <w:rsid w:val="009610A5"/>
    <w:rsid w:val="0096139F"/>
    <w:rsid w:val="009614AE"/>
    <w:rsid w:val="00961889"/>
    <w:rsid w:val="009619B0"/>
    <w:rsid w:val="00961BE8"/>
    <w:rsid w:val="00961F83"/>
    <w:rsid w:val="00961FDE"/>
    <w:rsid w:val="00961FF2"/>
    <w:rsid w:val="00962138"/>
    <w:rsid w:val="00962261"/>
    <w:rsid w:val="00962605"/>
    <w:rsid w:val="0096264E"/>
    <w:rsid w:val="0096295F"/>
    <w:rsid w:val="009629F1"/>
    <w:rsid w:val="00962E68"/>
    <w:rsid w:val="00962FB8"/>
    <w:rsid w:val="0096301E"/>
    <w:rsid w:val="009630A9"/>
    <w:rsid w:val="009630C5"/>
    <w:rsid w:val="009631B9"/>
    <w:rsid w:val="0096336E"/>
    <w:rsid w:val="00963769"/>
    <w:rsid w:val="00963799"/>
    <w:rsid w:val="009637BB"/>
    <w:rsid w:val="0096396D"/>
    <w:rsid w:val="00963D9B"/>
    <w:rsid w:val="00963F67"/>
    <w:rsid w:val="00964187"/>
    <w:rsid w:val="009645E5"/>
    <w:rsid w:val="00964DEC"/>
    <w:rsid w:val="00964F25"/>
    <w:rsid w:val="00965421"/>
    <w:rsid w:val="0096563B"/>
    <w:rsid w:val="00965650"/>
    <w:rsid w:val="00965946"/>
    <w:rsid w:val="00965CC3"/>
    <w:rsid w:val="00965F39"/>
    <w:rsid w:val="00965FA6"/>
    <w:rsid w:val="0096603E"/>
    <w:rsid w:val="00966067"/>
    <w:rsid w:val="00966174"/>
    <w:rsid w:val="00966263"/>
    <w:rsid w:val="00966746"/>
    <w:rsid w:val="009669B8"/>
    <w:rsid w:val="00966BC0"/>
    <w:rsid w:val="00966D52"/>
    <w:rsid w:val="00966EF3"/>
    <w:rsid w:val="00967114"/>
    <w:rsid w:val="009671C8"/>
    <w:rsid w:val="00967255"/>
    <w:rsid w:val="0096741A"/>
    <w:rsid w:val="0096744B"/>
    <w:rsid w:val="009674A6"/>
    <w:rsid w:val="009676FF"/>
    <w:rsid w:val="00967ADD"/>
    <w:rsid w:val="00967ADF"/>
    <w:rsid w:val="00967B00"/>
    <w:rsid w:val="00967CC7"/>
    <w:rsid w:val="00970006"/>
    <w:rsid w:val="0097002F"/>
    <w:rsid w:val="0097008B"/>
    <w:rsid w:val="0097016F"/>
    <w:rsid w:val="009701B4"/>
    <w:rsid w:val="009704B5"/>
    <w:rsid w:val="009704F8"/>
    <w:rsid w:val="009706E8"/>
    <w:rsid w:val="0097076F"/>
    <w:rsid w:val="009707A3"/>
    <w:rsid w:val="009707B3"/>
    <w:rsid w:val="009708D1"/>
    <w:rsid w:val="009708F0"/>
    <w:rsid w:val="00970E85"/>
    <w:rsid w:val="00970F83"/>
    <w:rsid w:val="00970FF3"/>
    <w:rsid w:val="009710FE"/>
    <w:rsid w:val="00971191"/>
    <w:rsid w:val="0097126A"/>
    <w:rsid w:val="009714FB"/>
    <w:rsid w:val="009715A6"/>
    <w:rsid w:val="009716BD"/>
    <w:rsid w:val="0097175C"/>
    <w:rsid w:val="009717CC"/>
    <w:rsid w:val="009719B3"/>
    <w:rsid w:val="00971C2F"/>
    <w:rsid w:val="00971C47"/>
    <w:rsid w:val="00971E09"/>
    <w:rsid w:val="00971F6E"/>
    <w:rsid w:val="00972587"/>
    <w:rsid w:val="0097265B"/>
    <w:rsid w:val="00972AD7"/>
    <w:rsid w:val="00972F0A"/>
    <w:rsid w:val="00973223"/>
    <w:rsid w:val="0097379D"/>
    <w:rsid w:val="009737C2"/>
    <w:rsid w:val="00973A8A"/>
    <w:rsid w:val="00973B01"/>
    <w:rsid w:val="00973C1D"/>
    <w:rsid w:val="00973DBC"/>
    <w:rsid w:val="00973DE0"/>
    <w:rsid w:val="009742E5"/>
    <w:rsid w:val="00974501"/>
    <w:rsid w:val="00974559"/>
    <w:rsid w:val="009747E7"/>
    <w:rsid w:val="00974824"/>
    <w:rsid w:val="00974949"/>
    <w:rsid w:val="00974A1D"/>
    <w:rsid w:val="00974AE3"/>
    <w:rsid w:val="00974CDE"/>
    <w:rsid w:val="00974DCD"/>
    <w:rsid w:val="00975254"/>
    <w:rsid w:val="00975325"/>
    <w:rsid w:val="00975572"/>
    <w:rsid w:val="00975C33"/>
    <w:rsid w:val="00975D83"/>
    <w:rsid w:val="00975E48"/>
    <w:rsid w:val="00975FD3"/>
    <w:rsid w:val="009761A7"/>
    <w:rsid w:val="00976319"/>
    <w:rsid w:val="00976397"/>
    <w:rsid w:val="009764D4"/>
    <w:rsid w:val="009764EA"/>
    <w:rsid w:val="0097655E"/>
    <w:rsid w:val="009767EB"/>
    <w:rsid w:val="009768E0"/>
    <w:rsid w:val="00976EC8"/>
    <w:rsid w:val="009770E4"/>
    <w:rsid w:val="0097718A"/>
    <w:rsid w:val="00977293"/>
    <w:rsid w:val="00977320"/>
    <w:rsid w:val="009773C8"/>
    <w:rsid w:val="00977C74"/>
    <w:rsid w:val="00977DC9"/>
    <w:rsid w:val="009801F1"/>
    <w:rsid w:val="0098041B"/>
    <w:rsid w:val="009804A7"/>
    <w:rsid w:val="00980535"/>
    <w:rsid w:val="0098075C"/>
    <w:rsid w:val="00980B12"/>
    <w:rsid w:val="00980E06"/>
    <w:rsid w:val="00980F4F"/>
    <w:rsid w:val="00980FD2"/>
    <w:rsid w:val="00981159"/>
    <w:rsid w:val="0098134E"/>
    <w:rsid w:val="009813C1"/>
    <w:rsid w:val="00981646"/>
    <w:rsid w:val="00981785"/>
    <w:rsid w:val="0098183F"/>
    <w:rsid w:val="00981C30"/>
    <w:rsid w:val="00981CC8"/>
    <w:rsid w:val="00981DE7"/>
    <w:rsid w:val="0098237E"/>
    <w:rsid w:val="00982401"/>
    <w:rsid w:val="00982423"/>
    <w:rsid w:val="009828D3"/>
    <w:rsid w:val="00982935"/>
    <w:rsid w:val="00982938"/>
    <w:rsid w:val="00982A89"/>
    <w:rsid w:val="00982CF9"/>
    <w:rsid w:val="00983023"/>
    <w:rsid w:val="0098314E"/>
    <w:rsid w:val="0098318A"/>
    <w:rsid w:val="00983488"/>
    <w:rsid w:val="009834D2"/>
    <w:rsid w:val="009836CF"/>
    <w:rsid w:val="009841EE"/>
    <w:rsid w:val="00984553"/>
    <w:rsid w:val="00984675"/>
    <w:rsid w:val="009848A4"/>
    <w:rsid w:val="00984972"/>
    <w:rsid w:val="00984CFB"/>
    <w:rsid w:val="00984FCC"/>
    <w:rsid w:val="0098526F"/>
    <w:rsid w:val="009852C3"/>
    <w:rsid w:val="0098531D"/>
    <w:rsid w:val="00985671"/>
    <w:rsid w:val="0098588D"/>
    <w:rsid w:val="00985949"/>
    <w:rsid w:val="00985B5E"/>
    <w:rsid w:val="00985D2C"/>
    <w:rsid w:val="00985DB5"/>
    <w:rsid w:val="00985F8D"/>
    <w:rsid w:val="00985F8F"/>
    <w:rsid w:val="00986270"/>
    <w:rsid w:val="009867BF"/>
    <w:rsid w:val="009867C4"/>
    <w:rsid w:val="00986BB7"/>
    <w:rsid w:val="00986C18"/>
    <w:rsid w:val="00986C4D"/>
    <w:rsid w:val="00986E2B"/>
    <w:rsid w:val="00986F3A"/>
    <w:rsid w:val="00986F7A"/>
    <w:rsid w:val="00987114"/>
    <w:rsid w:val="0098730A"/>
    <w:rsid w:val="00987329"/>
    <w:rsid w:val="0098758E"/>
    <w:rsid w:val="00987647"/>
    <w:rsid w:val="00987726"/>
    <w:rsid w:val="00987D61"/>
    <w:rsid w:val="00987F1B"/>
    <w:rsid w:val="00987F6F"/>
    <w:rsid w:val="009902FF"/>
    <w:rsid w:val="0099066B"/>
    <w:rsid w:val="00990838"/>
    <w:rsid w:val="0099096C"/>
    <w:rsid w:val="00990EB6"/>
    <w:rsid w:val="00990EC0"/>
    <w:rsid w:val="00990EE8"/>
    <w:rsid w:val="009911FF"/>
    <w:rsid w:val="009914FD"/>
    <w:rsid w:val="00991DF8"/>
    <w:rsid w:val="00992122"/>
    <w:rsid w:val="009921E1"/>
    <w:rsid w:val="00992433"/>
    <w:rsid w:val="0099248A"/>
    <w:rsid w:val="0099251E"/>
    <w:rsid w:val="00992A3B"/>
    <w:rsid w:val="00993047"/>
    <w:rsid w:val="00993182"/>
    <w:rsid w:val="00993541"/>
    <w:rsid w:val="009935A4"/>
    <w:rsid w:val="00993BC2"/>
    <w:rsid w:val="00993CE4"/>
    <w:rsid w:val="00993E2E"/>
    <w:rsid w:val="00993E3C"/>
    <w:rsid w:val="0099456F"/>
    <w:rsid w:val="009945A7"/>
    <w:rsid w:val="009945E7"/>
    <w:rsid w:val="009946D2"/>
    <w:rsid w:val="00994B33"/>
    <w:rsid w:val="00994BC5"/>
    <w:rsid w:val="00994DBD"/>
    <w:rsid w:val="00994EAC"/>
    <w:rsid w:val="009955EC"/>
    <w:rsid w:val="00995669"/>
    <w:rsid w:val="009957BF"/>
    <w:rsid w:val="009958E1"/>
    <w:rsid w:val="009959AD"/>
    <w:rsid w:val="00995C02"/>
    <w:rsid w:val="00995F79"/>
    <w:rsid w:val="00996063"/>
    <w:rsid w:val="00996238"/>
    <w:rsid w:val="00996897"/>
    <w:rsid w:val="00996AE7"/>
    <w:rsid w:val="00996DF4"/>
    <w:rsid w:val="00996E10"/>
    <w:rsid w:val="00996E70"/>
    <w:rsid w:val="0099707E"/>
    <w:rsid w:val="0099713B"/>
    <w:rsid w:val="0099737D"/>
    <w:rsid w:val="009973A6"/>
    <w:rsid w:val="009974EC"/>
    <w:rsid w:val="009978AD"/>
    <w:rsid w:val="009978CB"/>
    <w:rsid w:val="00997DFA"/>
    <w:rsid w:val="00997E55"/>
    <w:rsid w:val="00997ED5"/>
    <w:rsid w:val="009A00C7"/>
    <w:rsid w:val="009A013E"/>
    <w:rsid w:val="009A01FB"/>
    <w:rsid w:val="009A0381"/>
    <w:rsid w:val="009A03F8"/>
    <w:rsid w:val="009A0656"/>
    <w:rsid w:val="009A0798"/>
    <w:rsid w:val="009A0911"/>
    <w:rsid w:val="009A1217"/>
    <w:rsid w:val="009A136B"/>
    <w:rsid w:val="009A13DF"/>
    <w:rsid w:val="009A146C"/>
    <w:rsid w:val="009A14A8"/>
    <w:rsid w:val="009A15AB"/>
    <w:rsid w:val="009A15D8"/>
    <w:rsid w:val="009A162B"/>
    <w:rsid w:val="009A1775"/>
    <w:rsid w:val="009A1807"/>
    <w:rsid w:val="009A1953"/>
    <w:rsid w:val="009A1A18"/>
    <w:rsid w:val="009A1A78"/>
    <w:rsid w:val="009A1C26"/>
    <w:rsid w:val="009A1F35"/>
    <w:rsid w:val="009A20EC"/>
    <w:rsid w:val="009A2216"/>
    <w:rsid w:val="009A228C"/>
    <w:rsid w:val="009A23CD"/>
    <w:rsid w:val="009A25D4"/>
    <w:rsid w:val="009A2841"/>
    <w:rsid w:val="009A28EA"/>
    <w:rsid w:val="009A2EB9"/>
    <w:rsid w:val="009A3021"/>
    <w:rsid w:val="009A338B"/>
    <w:rsid w:val="009A361C"/>
    <w:rsid w:val="009A3CCA"/>
    <w:rsid w:val="009A4270"/>
    <w:rsid w:val="009A4522"/>
    <w:rsid w:val="009A4938"/>
    <w:rsid w:val="009A498E"/>
    <w:rsid w:val="009A523D"/>
    <w:rsid w:val="009A5440"/>
    <w:rsid w:val="009A54F1"/>
    <w:rsid w:val="009A56A0"/>
    <w:rsid w:val="009A56E1"/>
    <w:rsid w:val="009A5AC7"/>
    <w:rsid w:val="009A5B29"/>
    <w:rsid w:val="009A5D80"/>
    <w:rsid w:val="009A6207"/>
    <w:rsid w:val="009A6283"/>
    <w:rsid w:val="009A66BC"/>
    <w:rsid w:val="009A6E0B"/>
    <w:rsid w:val="009A6E47"/>
    <w:rsid w:val="009A6EE4"/>
    <w:rsid w:val="009A6EFB"/>
    <w:rsid w:val="009A6F13"/>
    <w:rsid w:val="009A707B"/>
    <w:rsid w:val="009A71D6"/>
    <w:rsid w:val="009A7570"/>
    <w:rsid w:val="009A78E8"/>
    <w:rsid w:val="009A796A"/>
    <w:rsid w:val="009A7A1F"/>
    <w:rsid w:val="009A7AA0"/>
    <w:rsid w:val="009A7C70"/>
    <w:rsid w:val="009B0079"/>
    <w:rsid w:val="009B060E"/>
    <w:rsid w:val="009B06A9"/>
    <w:rsid w:val="009B094B"/>
    <w:rsid w:val="009B099A"/>
    <w:rsid w:val="009B0A00"/>
    <w:rsid w:val="009B0DE9"/>
    <w:rsid w:val="009B1053"/>
    <w:rsid w:val="009B1176"/>
    <w:rsid w:val="009B119B"/>
    <w:rsid w:val="009B1768"/>
    <w:rsid w:val="009B1957"/>
    <w:rsid w:val="009B1D85"/>
    <w:rsid w:val="009B1EE9"/>
    <w:rsid w:val="009B21C5"/>
    <w:rsid w:val="009B25F1"/>
    <w:rsid w:val="009B278E"/>
    <w:rsid w:val="009B2D58"/>
    <w:rsid w:val="009B2F93"/>
    <w:rsid w:val="009B309B"/>
    <w:rsid w:val="009B315C"/>
    <w:rsid w:val="009B32F1"/>
    <w:rsid w:val="009B3594"/>
    <w:rsid w:val="009B35D1"/>
    <w:rsid w:val="009B365B"/>
    <w:rsid w:val="009B3700"/>
    <w:rsid w:val="009B37E6"/>
    <w:rsid w:val="009B391F"/>
    <w:rsid w:val="009B39E2"/>
    <w:rsid w:val="009B3ADD"/>
    <w:rsid w:val="009B3B19"/>
    <w:rsid w:val="009B3F77"/>
    <w:rsid w:val="009B4090"/>
    <w:rsid w:val="009B40D0"/>
    <w:rsid w:val="009B4288"/>
    <w:rsid w:val="009B455C"/>
    <w:rsid w:val="009B45EA"/>
    <w:rsid w:val="009B46F6"/>
    <w:rsid w:val="009B4983"/>
    <w:rsid w:val="009B4BC7"/>
    <w:rsid w:val="009B50B9"/>
    <w:rsid w:val="009B54CF"/>
    <w:rsid w:val="009B55B5"/>
    <w:rsid w:val="009B55C5"/>
    <w:rsid w:val="009B589F"/>
    <w:rsid w:val="009B5BE6"/>
    <w:rsid w:val="009B6493"/>
    <w:rsid w:val="009B6739"/>
    <w:rsid w:val="009B6807"/>
    <w:rsid w:val="009B697C"/>
    <w:rsid w:val="009B69D8"/>
    <w:rsid w:val="009B6C6C"/>
    <w:rsid w:val="009B6CF7"/>
    <w:rsid w:val="009B6D64"/>
    <w:rsid w:val="009B6F0F"/>
    <w:rsid w:val="009B6FE4"/>
    <w:rsid w:val="009B7039"/>
    <w:rsid w:val="009B7115"/>
    <w:rsid w:val="009B7521"/>
    <w:rsid w:val="009B7706"/>
    <w:rsid w:val="009B772A"/>
    <w:rsid w:val="009B7F00"/>
    <w:rsid w:val="009C0245"/>
    <w:rsid w:val="009C0334"/>
    <w:rsid w:val="009C058B"/>
    <w:rsid w:val="009C0658"/>
    <w:rsid w:val="009C0AEB"/>
    <w:rsid w:val="009C0B1D"/>
    <w:rsid w:val="009C0F2B"/>
    <w:rsid w:val="009C11EB"/>
    <w:rsid w:val="009C126D"/>
    <w:rsid w:val="009C14D1"/>
    <w:rsid w:val="009C163F"/>
    <w:rsid w:val="009C16CD"/>
    <w:rsid w:val="009C192B"/>
    <w:rsid w:val="009C1B68"/>
    <w:rsid w:val="009C1DF2"/>
    <w:rsid w:val="009C1F24"/>
    <w:rsid w:val="009C24AC"/>
    <w:rsid w:val="009C2904"/>
    <w:rsid w:val="009C2B25"/>
    <w:rsid w:val="009C2CDF"/>
    <w:rsid w:val="009C2D72"/>
    <w:rsid w:val="009C2DBA"/>
    <w:rsid w:val="009C2F9E"/>
    <w:rsid w:val="009C2FEF"/>
    <w:rsid w:val="009C30E5"/>
    <w:rsid w:val="009C315F"/>
    <w:rsid w:val="009C31D3"/>
    <w:rsid w:val="009C34DC"/>
    <w:rsid w:val="009C34F5"/>
    <w:rsid w:val="009C37FF"/>
    <w:rsid w:val="009C3B50"/>
    <w:rsid w:val="009C3BCB"/>
    <w:rsid w:val="009C3D31"/>
    <w:rsid w:val="009C3F35"/>
    <w:rsid w:val="009C407D"/>
    <w:rsid w:val="009C408C"/>
    <w:rsid w:val="009C426C"/>
    <w:rsid w:val="009C4362"/>
    <w:rsid w:val="009C4523"/>
    <w:rsid w:val="009C4B4B"/>
    <w:rsid w:val="009C4E77"/>
    <w:rsid w:val="009C5047"/>
    <w:rsid w:val="009C529F"/>
    <w:rsid w:val="009C54C5"/>
    <w:rsid w:val="009C5600"/>
    <w:rsid w:val="009C56FC"/>
    <w:rsid w:val="009C57FB"/>
    <w:rsid w:val="009C5914"/>
    <w:rsid w:val="009C59CF"/>
    <w:rsid w:val="009C5C36"/>
    <w:rsid w:val="009C5E1A"/>
    <w:rsid w:val="009C6018"/>
    <w:rsid w:val="009C637A"/>
    <w:rsid w:val="009C64BB"/>
    <w:rsid w:val="009C66A9"/>
    <w:rsid w:val="009C69CE"/>
    <w:rsid w:val="009C6A2E"/>
    <w:rsid w:val="009C7230"/>
    <w:rsid w:val="009C73F4"/>
    <w:rsid w:val="009C74DE"/>
    <w:rsid w:val="009C75FE"/>
    <w:rsid w:val="009C77A5"/>
    <w:rsid w:val="009C78B1"/>
    <w:rsid w:val="009C7A8B"/>
    <w:rsid w:val="009C7F22"/>
    <w:rsid w:val="009C7F6B"/>
    <w:rsid w:val="009D027A"/>
    <w:rsid w:val="009D036E"/>
    <w:rsid w:val="009D0726"/>
    <w:rsid w:val="009D0BA5"/>
    <w:rsid w:val="009D0CA8"/>
    <w:rsid w:val="009D10A6"/>
    <w:rsid w:val="009D1141"/>
    <w:rsid w:val="009D149E"/>
    <w:rsid w:val="009D16D5"/>
    <w:rsid w:val="009D1B7E"/>
    <w:rsid w:val="009D1CBA"/>
    <w:rsid w:val="009D1D95"/>
    <w:rsid w:val="009D21AC"/>
    <w:rsid w:val="009D2287"/>
    <w:rsid w:val="009D244D"/>
    <w:rsid w:val="009D2642"/>
    <w:rsid w:val="009D2668"/>
    <w:rsid w:val="009D293E"/>
    <w:rsid w:val="009D2A95"/>
    <w:rsid w:val="009D2CEE"/>
    <w:rsid w:val="009D2D1D"/>
    <w:rsid w:val="009D2FAB"/>
    <w:rsid w:val="009D3091"/>
    <w:rsid w:val="009D3202"/>
    <w:rsid w:val="009D3708"/>
    <w:rsid w:val="009D3930"/>
    <w:rsid w:val="009D3953"/>
    <w:rsid w:val="009D396D"/>
    <w:rsid w:val="009D3B2D"/>
    <w:rsid w:val="009D3F95"/>
    <w:rsid w:val="009D3FA4"/>
    <w:rsid w:val="009D3FD4"/>
    <w:rsid w:val="009D4045"/>
    <w:rsid w:val="009D4458"/>
    <w:rsid w:val="009D456F"/>
    <w:rsid w:val="009D4B92"/>
    <w:rsid w:val="009D5105"/>
    <w:rsid w:val="009D51DB"/>
    <w:rsid w:val="009D52CF"/>
    <w:rsid w:val="009D54EC"/>
    <w:rsid w:val="009D56C1"/>
    <w:rsid w:val="009D5C4A"/>
    <w:rsid w:val="009D5D29"/>
    <w:rsid w:val="009D62B8"/>
    <w:rsid w:val="009D6A9B"/>
    <w:rsid w:val="009D6D5D"/>
    <w:rsid w:val="009D6E55"/>
    <w:rsid w:val="009D70E3"/>
    <w:rsid w:val="009D7261"/>
    <w:rsid w:val="009D7371"/>
    <w:rsid w:val="009D7961"/>
    <w:rsid w:val="009D7A49"/>
    <w:rsid w:val="009D7A91"/>
    <w:rsid w:val="009D7FAC"/>
    <w:rsid w:val="009D7FF1"/>
    <w:rsid w:val="009E00AF"/>
    <w:rsid w:val="009E00F1"/>
    <w:rsid w:val="009E013A"/>
    <w:rsid w:val="009E0790"/>
    <w:rsid w:val="009E08CC"/>
    <w:rsid w:val="009E0ACB"/>
    <w:rsid w:val="009E0D5E"/>
    <w:rsid w:val="009E1106"/>
    <w:rsid w:val="009E1342"/>
    <w:rsid w:val="009E151C"/>
    <w:rsid w:val="009E1527"/>
    <w:rsid w:val="009E16B3"/>
    <w:rsid w:val="009E173A"/>
    <w:rsid w:val="009E17A9"/>
    <w:rsid w:val="009E1977"/>
    <w:rsid w:val="009E1986"/>
    <w:rsid w:val="009E1AB4"/>
    <w:rsid w:val="009E1AE8"/>
    <w:rsid w:val="009E1BC5"/>
    <w:rsid w:val="009E1EA5"/>
    <w:rsid w:val="009E225B"/>
    <w:rsid w:val="009E2386"/>
    <w:rsid w:val="009E24D1"/>
    <w:rsid w:val="009E24EF"/>
    <w:rsid w:val="009E2563"/>
    <w:rsid w:val="009E260E"/>
    <w:rsid w:val="009E27D2"/>
    <w:rsid w:val="009E28A9"/>
    <w:rsid w:val="009E2B60"/>
    <w:rsid w:val="009E2D3C"/>
    <w:rsid w:val="009E2E9E"/>
    <w:rsid w:val="009E2FF2"/>
    <w:rsid w:val="009E354D"/>
    <w:rsid w:val="009E3570"/>
    <w:rsid w:val="009E3673"/>
    <w:rsid w:val="009E36AB"/>
    <w:rsid w:val="009E37CD"/>
    <w:rsid w:val="009E3C7D"/>
    <w:rsid w:val="009E4377"/>
    <w:rsid w:val="009E4452"/>
    <w:rsid w:val="009E45BA"/>
    <w:rsid w:val="009E464A"/>
    <w:rsid w:val="009E48C8"/>
    <w:rsid w:val="009E4900"/>
    <w:rsid w:val="009E4A13"/>
    <w:rsid w:val="009E4D68"/>
    <w:rsid w:val="009E4FA5"/>
    <w:rsid w:val="009E4FDB"/>
    <w:rsid w:val="009E5247"/>
    <w:rsid w:val="009E52BB"/>
    <w:rsid w:val="009E572E"/>
    <w:rsid w:val="009E5BEA"/>
    <w:rsid w:val="009E5D05"/>
    <w:rsid w:val="009E61FF"/>
    <w:rsid w:val="009E6242"/>
    <w:rsid w:val="009E663E"/>
    <w:rsid w:val="009E6872"/>
    <w:rsid w:val="009E69B8"/>
    <w:rsid w:val="009E6C40"/>
    <w:rsid w:val="009E6CA1"/>
    <w:rsid w:val="009E6D6C"/>
    <w:rsid w:val="009E6EA9"/>
    <w:rsid w:val="009E6EF5"/>
    <w:rsid w:val="009E7099"/>
    <w:rsid w:val="009E7162"/>
    <w:rsid w:val="009E7376"/>
    <w:rsid w:val="009E7393"/>
    <w:rsid w:val="009E7456"/>
    <w:rsid w:val="009E757F"/>
    <w:rsid w:val="009E770D"/>
    <w:rsid w:val="009E77DF"/>
    <w:rsid w:val="009E77F3"/>
    <w:rsid w:val="009E793B"/>
    <w:rsid w:val="009E79EC"/>
    <w:rsid w:val="009E7ADF"/>
    <w:rsid w:val="009E7D40"/>
    <w:rsid w:val="009E7EDD"/>
    <w:rsid w:val="009F01BF"/>
    <w:rsid w:val="009F040A"/>
    <w:rsid w:val="009F0506"/>
    <w:rsid w:val="009F07B1"/>
    <w:rsid w:val="009F07D0"/>
    <w:rsid w:val="009F0C30"/>
    <w:rsid w:val="009F0F76"/>
    <w:rsid w:val="009F0FB8"/>
    <w:rsid w:val="009F15FE"/>
    <w:rsid w:val="009F165D"/>
    <w:rsid w:val="009F1714"/>
    <w:rsid w:val="009F1854"/>
    <w:rsid w:val="009F19BF"/>
    <w:rsid w:val="009F1B4C"/>
    <w:rsid w:val="009F1D61"/>
    <w:rsid w:val="009F22BF"/>
    <w:rsid w:val="009F2602"/>
    <w:rsid w:val="009F2642"/>
    <w:rsid w:val="009F2657"/>
    <w:rsid w:val="009F26AB"/>
    <w:rsid w:val="009F27AD"/>
    <w:rsid w:val="009F27FC"/>
    <w:rsid w:val="009F280A"/>
    <w:rsid w:val="009F2D68"/>
    <w:rsid w:val="009F2D97"/>
    <w:rsid w:val="009F2DFE"/>
    <w:rsid w:val="009F326F"/>
    <w:rsid w:val="009F32D2"/>
    <w:rsid w:val="009F35E9"/>
    <w:rsid w:val="009F3704"/>
    <w:rsid w:val="009F3763"/>
    <w:rsid w:val="009F39EF"/>
    <w:rsid w:val="009F4296"/>
    <w:rsid w:val="009F42B4"/>
    <w:rsid w:val="009F4719"/>
    <w:rsid w:val="009F4721"/>
    <w:rsid w:val="009F4992"/>
    <w:rsid w:val="009F49F4"/>
    <w:rsid w:val="009F4ACC"/>
    <w:rsid w:val="009F4D39"/>
    <w:rsid w:val="009F4E3F"/>
    <w:rsid w:val="009F5201"/>
    <w:rsid w:val="009F52B1"/>
    <w:rsid w:val="009F52FA"/>
    <w:rsid w:val="009F53B8"/>
    <w:rsid w:val="009F53EA"/>
    <w:rsid w:val="009F54CA"/>
    <w:rsid w:val="009F56E1"/>
    <w:rsid w:val="009F5A1E"/>
    <w:rsid w:val="009F5A24"/>
    <w:rsid w:val="009F5B92"/>
    <w:rsid w:val="009F5BD5"/>
    <w:rsid w:val="009F5C15"/>
    <w:rsid w:val="009F5DDF"/>
    <w:rsid w:val="009F639C"/>
    <w:rsid w:val="009F6563"/>
    <w:rsid w:val="009F68C9"/>
    <w:rsid w:val="009F6A0B"/>
    <w:rsid w:val="009F6B22"/>
    <w:rsid w:val="009F6D6E"/>
    <w:rsid w:val="009F6DE8"/>
    <w:rsid w:val="009F6FC1"/>
    <w:rsid w:val="009F771F"/>
    <w:rsid w:val="009F7A2B"/>
    <w:rsid w:val="009F7E90"/>
    <w:rsid w:val="00A00260"/>
    <w:rsid w:val="00A002D0"/>
    <w:rsid w:val="00A00502"/>
    <w:rsid w:val="00A0076D"/>
    <w:rsid w:val="00A00A0C"/>
    <w:rsid w:val="00A00DB4"/>
    <w:rsid w:val="00A00F8A"/>
    <w:rsid w:val="00A01074"/>
    <w:rsid w:val="00A01188"/>
    <w:rsid w:val="00A015D0"/>
    <w:rsid w:val="00A0167B"/>
    <w:rsid w:val="00A017DD"/>
    <w:rsid w:val="00A01822"/>
    <w:rsid w:val="00A018E6"/>
    <w:rsid w:val="00A01D77"/>
    <w:rsid w:val="00A01DF5"/>
    <w:rsid w:val="00A01E17"/>
    <w:rsid w:val="00A0209A"/>
    <w:rsid w:val="00A022F7"/>
    <w:rsid w:val="00A0242A"/>
    <w:rsid w:val="00A02803"/>
    <w:rsid w:val="00A02A95"/>
    <w:rsid w:val="00A02F86"/>
    <w:rsid w:val="00A02FB3"/>
    <w:rsid w:val="00A0311A"/>
    <w:rsid w:val="00A032B6"/>
    <w:rsid w:val="00A032D5"/>
    <w:rsid w:val="00A032E9"/>
    <w:rsid w:val="00A039D5"/>
    <w:rsid w:val="00A03C80"/>
    <w:rsid w:val="00A040DD"/>
    <w:rsid w:val="00A0420F"/>
    <w:rsid w:val="00A0468E"/>
    <w:rsid w:val="00A047BC"/>
    <w:rsid w:val="00A04915"/>
    <w:rsid w:val="00A04CFC"/>
    <w:rsid w:val="00A05353"/>
    <w:rsid w:val="00A05952"/>
    <w:rsid w:val="00A05971"/>
    <w:rsid w:val="00A05CB9"/>
    <w:rsid w:val="00A05EB2"/>
    <w:rsid w:val="00A05F9D"/>
    <w:rsid w:val="00A0642E"/>
    <w:rsid w:val="00A066FC"/>
    <w:rsid w:val="00A0679D"/>
    <w:rsid w:val="00A06A00"/>
    <w:rsid w:val="00A06B2B"/>
    <w:rsid w:val="00A06C6F"/>
    <w:rsid w:val="00A074DF"/>
    <w:rsid w:val="00A0762D"/>
    <w:rsid w:val="00A07796"/>
    <w:rsid w:val="00A07D7A"/>
    <w:rsid w:val="00A07D9E"/>
    <w:rsid w:val="00A1013D"/>
    <w:rsid w:val="00A101FB"/>
    <w:rsid w:val="00A103FC"/>
    <w:rsid w:val="00A1048B"/>
    <w:rsid w:val="00A108B2"/>
    <w:rsid w:val="00A108EE"/>
    <w:rsid w:val="00A10E6E"/>
    <w:rsid w:val="00A10F98"/>
    <w:rsid w:val="00A111D4"/>
    <w:rsid w:val="00A114F5"/>
    <w:rsid w:val="00A115F4"/>
    <w:rsid w:val="00A1162E"/>
    <w:rsid w:val="00A11775"/>
    <w:rsid w:val="00A119FE"/>
    <w:rsid w:val="00A11A87"/>
    <w:rsid w:val="00A11ACF"/>
    <w:rsid w:val="00A11BF7"/>
    <w:rsid w:val="00A11C5A"/>
    <w:rsid w:val="00A11C7B"/>
    <w:rsid w:val="00A11E33"/>
    <w:rsid w:val="00A123E2"/>
    <w:rsid w:val="00A1261F"/>
    <w:rsid w:val="00A12845"/>
    <w:rsid w:val="00A1292C"/>
    <w:rsid w:val="00A12B9A"/>
    <w:rsid w:val="00A12D04"/>
    <w:rsid w:val="00A12F1D"/>
    <w:rsid w:val="00A13017"/>
    <w:rsid w:val="00A1301C"/>
    <w:rsid w:val="00A13076"/>
    <w:rsid w:val="00A130B4"/>
    <w:rsid w:val="00A13116"/>
    <w:rsid w:val="00A1336A"/>
    <w:rsid w:val="00A13698"/>
    <w:rsid w:val="00A139BF"/>
    <w:rsid w:val="00A13CB0"/>
    <w:rsid w:val="00A14046"/>
    <w:rsid w:val="00A140F3"/>
    <w:rsid w:val="00A14A6A"/>
    <w:rsid w:val="00A14DF9"/>
    <w:rsid w:val="00A14F42"/>
    <w:rsid w:val="00A159BE"/>
    <w:rsid w:val="00A159F6"/>
    <w:rsid w:val="00A15E3F"/>
    <w:rsid w:val="00A160B7"/>
    <w:rsid w:val="00A160FF"/>
    <w:rsid w:val="00A16127"/>
    <w:rsid w:val="00A161B3"/>
    <w:rsid w:val="00A163CF"/>
    <w:rsid w:val="00A16579"/>
    <w:rsid w:val="00A166FA"/>
    <w:rsid w:val="00A166FE"/>
    <w:rsid w:val="00A167AA"/>
    <w:rsid w:val="00A1688E"/>
    <w:rsid w:val="00A16B51"/>
    <w:rsid w:val="00A16C16"/>
    <w:rsid w:val="00A16C4B"/>
    <w:rsid w:val="00A16D41"/>
    <w:rsid w:val="00A170A1"/>
    <w:rsid w:val="00A174A4"/>
    <w:rsid w:val="00A1761A"/>
    <w:rsid w:val="00A17842"/>
    <w:rsid w:val="00A17B87"/>
    <w:rsid w:val="00A17C18"/>
    <w:rsid w:val="00A2010E"/>
    <w:rsid w:val="00A202B3"/>
    <w:rsid w:val="00A206D2"/>
    <w:rsid w:val="00A209C9"/>
    <w:rsid w:val="00A209FB"/>
    <w:rsid w:val="00A20B8B"/>
    <w:rsid w:val="00A20C8E"/>
    <w:rsid w:val="00A20E02"/>
    <w:rsid w:val="00A20E63"/>
    <w:rsid w:val="00A20F87"/>
    <w:rsid w:val="00A210D0"/>
    <w:rsid w:val="00A21160"/>
    <w:rsid w:val="00A2125B"/>
    <w:rsid w:val="00A213D5"/>
    <w:rsid w:val="00A2161A"/>
    <w:rsid w:val="00A21968"/>
    <w:rsid w:val="00A21977"/>
    <w:rsid w:val="00A21D41"/>
    <w:rsid w:val="00A22252"/>
    <w:rsid w:val="00A224B3"/>
    <w:rsid w:val="00A224D1"/>
    <w:rsid w:val="00A2259F"/>
    <w:rsid w:val="00A22698"/>
    <w:rsid w:val="00A22711"/>
    <w:rsid w:val="00A228F9"/>
    <w:rsid w:val="00A22C84"/>
    <w:rsid w:val="00A23052"/>
    <w:rsid w:val="00A2305C"/>
    <w:rsid w:val="00A2321D"/>
    <w:rsid w:val="00A232E6"/>
    <w:rsid w:val="00A23708"/>
    <w:rsid w:val="00A23BB8"/>
    <w:rsid w:val="00A240EF"/>
    <w:rsid w:val="00A24180"/>
    <w:rsid w:val="00A2426B"/>
    <w:rsid w:val="00A2458E"/>
    <w:rsid w:val="00A2487E"/>
    <w:rsid w:val="00A24880"/>
    <w:rsid w:val="00A24A3D"/>
    <w:rsid w:val="00A24CE5"/>
    <w:rsid w:val="00A24F20"/>
    <w:rsid w:val="00A25080"/>
    <w:rsid w:val="00A2529B"/>
    <w:rsid w:val="00A252C7"/>
    <w:rsid w:val="00A2534F"/>
    <w:rsid w:val="00A2536E"/>
    <w:rsid w:val="00A255FE"/>
    <w:rsid w:val="00A256B0"/>
    <w:rsid w:val="00A2575F"/>
    <w:rsid w:val="00A25C83"/>
    <w:rsid w:val="00A25CFF"/>
    <w:rsid w:val="00A25D63"/>
    <w:rsid w:val="00A25DDD"/>
    <w:rsid w:val="00A25E11"/>
    <w:rsid w:val="00A26203"/>
    <w:rsid w:val="00A263C5"/>
    <w:rsid w:val="00A2646B"/>
    <w:rsid w:val="00A2678C"/>
    <w:rsid w:val="00A267C4"/>
    <w:rsid w:val="00A26A11"/>
    <w:rsid w:val="00A26ADF"/>
    <w:rsid w:val="00A26E92"/>
    <w:rsid w:val="00A26EC5"/>
    <w:rsid w:val="00A26F86"/>
    <w:rsid w:val="00A271D0"/>
    <w:rsid w:val="00A271D5"/>
    <w:rsid w:val="00A27856"/>
    <w:rsid w:val="00A278A2"/>
    <w:rsid w:val="00A278F7"/>
    <w:rsid w:val="00A27E8C"/>
    <w:rsid w:val="00A27FB1"/>
    <w:rsid w:val="00A3023D"/>
    <w:rsid w:val="00A302B4"/>
    <w:rsid w:val="00A30581"/>
    <w:rsid w:val="00A3066B"/>
    <w:rsid w:val="00A30671"/>
    <w:rsid w:val="00A306B6"/>
    <w:rsid w:val="00A307BA"/>
    <w:rsid w:val="00A3096C"/>
    <w:rsid w:val="00A309A6"/>
    <w:rsid w:val="00A30B18"/>
    <w:rsid w:val="00A30C31"/>
    <w:rsid w:val="00A30FB7"/>
    <w:rsid w:val="00A3109E"/>
    <w:rsid w:val="00A310F0"/>
    <w:rsid w:val="00A313F0"/>
    <w:rsid w:val="00A314C7"/>
    <w:rsid w:val="00A314DA"/>
    <w:rsid w:val="00A31E5F"/>
    <w:rsid w:val="00A31ED9"/>
    <w:rsid w:val="00A31EEB"/>
    <w:rsid w:val="00A31F9B"/>
    <w:rsid w:val="00A31FB8"/>
    <w:rsid w:val="00A321C5"/>
    <w:rsid w:val="00A32308"/>
    <w:rsid w:val="00A3250B"/>
    <w:rsid w:val="00A327AD"/>
    <w:rsid w:val="00A32835"/>
    <w:rsid w:val="00A3287F"/>
    <w:rsid w:val="00A32A1E"/>
    <w:rsid w:val="00A32AB0"/>
    <w:rsid w:val="00A32AB4"/>
    <w:rsid w:val="00A32B0C"/>
    <w:rsid w:val="00A32D9A"/>
    <w:rsid w:val="00A32DAA"/>
    <w:rsid w:val="00A333DD"/>
    <w:rsid w:val="00A333EE"/>
    <w:rsid w:val="00A335AA"/>
    <w:rsid w:val="00A336DD"/>
    <w:rsid w:val="00A337FC"/>
    <w:rsid w:val="00A338F7"/>
    <w:rsid w:val="00A33B3D"/>
    <w:rsid w:val="00A33ECA"/>
    <w:rsid w:val="00A33F7B"/>
    <w:rsid w:val="00A33FC9"/>
    <w:rsid w:val="00A344D2"/>
    <w:rsid w:val="00A3462E"/>
    <w:rsid w:val="00A349C7"/>
    <w:rsid w:val="00A34C15"/>
    <w:rsid w:val="00A34E4F"/>
    <w:rsid w:val="00A34EF7"/>
    <w:rsid w:val="00A35262"/>
    <w:rsid w:val="00A353BB"/>
    <w:rsid w:val="00A353D1"/>
    <w:rsid w:val="00A35483"/>
    <w:rsid w:val="00A3559F"/>
    <w:rsid w:val="00A35A4C"/>
    <w:rsid w:val="00A35F99"/>
    <w:rsid w:val="00A35FD0"/>
    <w:rsid w:val="00A36554"/>
    <w:rsid w:val="00A365F7"/>
    <w:rsid w:val="00A3667B"/>
    <w:rsid w:val="00A366D2"/>
    <w:rsid w:val="00A3675E"/>
    <w:rsid w:val="00A36922"/>
    <w:rsid w:val="00A378B7"/>
    <w:rsid w:val="00A37AD0"/>
    <w:rsid w:val="00A37D18"/>
    <w:rsid w:val="00A37D6F"/>
    <w:rsid w:val="00A37EBE"/>
    <w:rsid w:val="00A4001E"/>
    <w:rsid w:val="00A40045"/>
    <w:rsid w:val="00A403A5"/>
    <w:rsid w:val="00A40F7A"/>
    <w:rsid w:val="00A4106F"/>
    <w:rsid w:val="00A411B4"/>
    <w:rsid w:val="00A41232"/>
    <w:rsid w:val="00A41AE5"/>
    <w:rsid w:val="00A4219A"/>
    <w:rsid w:val="00A42223"/>
    <w:rsid w:val="00A422FC"/>
    <w:rsid w:val="00A4232E"/>
    <w:rsid w:val="00A4242C"/>
    <w:rsid w:val="00A42467"/>
    <w:rsid w:val="00A42543"/>
    <w:rsid w:val="00A425D0"/>
    <w:rsid w:val="00A4266A"/>
    <w:rsid w:val="00A42864"/>
    <w:rsid w:val="00A42BFB"/>
    <w:rsid w:val="00A42CE6"/>
    <w:rsid w:val="00A430BA"/>
    <w:rsid w:val="00A430E1"/>
    <w:rsid w:val="00A43190"/>
    <w:rsid w:val="00A431C2"/>
    <w:rsid w:val="00A4355B"/>
    <w:rsid w:val="00A442DE"/>
    <w:rsid w:val="00A443A9"/>
    <w:rsid w:val="00A44438"/>
    <w:rsid w:val="00A44465"/>
    <w:rsid w:val="00A445C7"/>
    <w:rsid w:val="00A44735"/>
    <w:rsid w:val="00A44837"/>
    <w:rsid w:val="00A44B21"/>
    <w:rsid w:val="00A44C0E"/>
    <w:rsid w:val="00A45189"/>
    <w:rsid w:val="00A451F1"/>
    <w:rsid w:val="00A45286"/>
    <w:rsid w:val="00A453AA"/>
    <w:rsid w:val="00A45452"/>
    <w:rsid w:val="00A457BD"/>
    <w:rsid w:val="00A45821"/>
    <w:rsid w:val="00A4589F"/>
    <w:rsid w:val="00A45AEF"/>
    <w:rsid w:val="00A45C24"/>
    <w:rsid w:val="00A45C6E"/>
    <w:rsid w:val="00A45DDA"/>
    <w:rsid w:val="00A460CB"/>
    <w:rsid w:val="00A463B1"/>
    <w:rsid w:val="00A4649D"/>
    <w:rsid w:val="00A465C0"/>
    <w:rsid w:val="00A46756"/>
    <w:rsid w:val="00A46911"/>
    <w:rsid w:val="00A46947"/>
    <w:rsid w:val="00A46A9E"/>
    <w:rsid w:val="00A46EB1"/>
    <w:rsid w:val="00A46F55"/>
    <w:rsid w:val="00A4751B"/>
    <w:rsid w:val="00A47CC4"/>
    <w:rsid w:val="00A47FEE"/>
    <w:rsid w:val="00A50092"/>
    <w:rsid w:val="00A500B6"/>
    <w:rsid w:val="00A5039A"/>
    <w:rsid w:val="00A503EC"/>
    <w:rsid w:val="00A50654"/>
    <w:rsid w:val="00A506C1"/>
    <w:rsid w:val="00A50A0A"/>
    <w:rsid w:val="00A50AC6"/>
    <w:rsid w:val="00A50B63"/>
    <w:rsid w:val="00A50C09"/>
    <w:rsid w:val="00A50CA7"/>
    <w:rsid w:val="00A50F1A"/>
    <w:rsid w:val="00A50F9A"/>
    <w:rsid w:val="00A51148"/>
    <w:rsid w:val="00A51644"/>
    <w:rsid w:val="00A51658"/>
    <w:rsid w:val="00A51818"/>
    <w:rsid w:val="00A5187C"/>
    <w:rsid w:val="00A51A68"/>
    <w:rsid w:val="00A51B1B"/>
    <w:rsid w:val="00A51DFE"/>
    <w:rsid w:val="00A51EC9"/>
    <w:rsid w:val="00A52086"/>
    <w:rsid w:val="00A521B7"/>
    <w:rsid w:val="00A52216"/>
    <w:rsid w:val="00A522D3"/>
    <w:rsid w:val="00A526F9"/>
    <w:rsid w:val="00A528BF"/>
    <w:rsid w:val="00A52FB1"/>
    <w:rsid w:val="00A531FA"/>
    <w:rsid w:val="00A5375B"/>
    <w:rsid w:val="00A53791"/>
    <w:rsid w:val="00A5382E"/>
    <w:rsid w:val="00A53A29"/>
    <w:rsid w:val="00A53ACD"/>
    <w:rsid w:val="00A53C5C"/>
    <w:rsid w:val="00A53CA4"/>
    <w:rsid w:val="00A5490B"/>
    <w:rsid w:val="00A54A3D"/>
    <w:rsid w:val="00A54A5E"/>
    <w:rsid w:val="00A54B27"/>
    <w:rsid w:val="00A54D6D"/>
    <w:rsid w:val="00A55637"/>
    <w:rsid w:val="00A55A64"/>
    <w:rsid w:val="00A55C29"/>
    <w:rsid w:val="00A55E56"/>
    <w:rsid w:val="00A55F49"/>
    <w:rsid w:val="00A56355"/>
    <w:rsid w:val="00A56572"/>
    <w:rsid w:val="00A565E2"/>
    <w:rsid w:val="00A56D00"/>
    <w:rsid w:val="00A570AC"/>
    <w:rsid w:val="00A570C7"/>
    <w:rsid w:val="00A57132"/>
    <w:rsid w:val="00A573D3"/>
    <w:rsid w:val="00A57823"/>
    <w:rsid w:val="00A57845"/>
    <w:rsid w:val="00A5788E"/>
    <w:rsid w:val="00A57C46"/>
    <w:rsid w:val="00A57DF5"/>
    <w:rsid w:val="00A60304"/>
    <w:rsid w:val="00A60527"/>
    <w:rsid w:val="00A60A58"/>
    <w:rsid w:val="00A60C02"/>
    <w:rsid w:val="00A60C42"/>
    <w:rsid w:val="00A60C62"/>
    <w:rsid w:val="00A60FEA"/>
    <w:rsid w:val="00A613C4"/>
    <w:rsid w:val="00A618D6"/>
    <w:rsid w:val="00A61B83"/>
    <w:rsid w:val="00A620F9"/>
    <w:rsid w:val="00A626EB"/>
    <w:rsid w:val="00A6274F"/>
    <w:rsid w:val="00A62AFC"/>
    <w:rsid w:val="00A63024"/>
    <w:rsid w:val="00A6317A"/>
    <w:rsid w:val="00A6359E"/>
    <w:rsid w:val="00A63642"/>
    <w:rsid w:val="00A63D40"/>
    <w:rsid w:val="00A6404A"/>
    <w:rsid w:val="00A641DA"/>
    <w:rsid w:val="00A64377"/>
    <w:rsid w:val="00A643EB"/>
    <w:rsid w:val="00A64439"/>
    <w:rsid w:val="00A645C7"/>
    <w:rsid w:val="00A647EA"/>
    <w:rsid w:val="00A6492F"/>
    <w:rsid w:val="00A64DCC"/>
    <w:rsid w:val="00A64F58"/>
    <w:rsid w:val="00A6502E"/>
    <w:rsid w:val="00A650A3"/>
    <w:rsid w:val="00A6558F"/>
    <w:rsid w:val="00A655D1"/>
    <w:rsid w:val="00A65A77"/>
    <w:rsid w:val="00A65E86"/>
    <w:rsid w:val="00A65F75"/>
    <w:rsid w:val="00A663B5"/>
    <w:rsid w:val="00A66402"/>
    <w:rsid w:val="00A66471"/>
    <w:rsid w:val="00A6678D"/>
    <w:rsid w:val="00A66AC2"/>
    <w:rsid w:val="00A66EA7"/>
    <w:rsid w:val="00A6711C"/>
    <w:rsid w:val="00A6742B"/>
    <w:rsid w:val="00A67612"/>
    <w:rsid w:val="00A67683"/>
    <w:rsid w:val="00A67C5F"/>
    <w:rsid w:val="00A67E31"/>
    <w:rsid w:val="00A7016A"/>
    <w:rsid w:val="00A7045D"/>
    <w:rsid w:val="00A70474"/>
    <w:rsid w:val="00A70536"/>
    <w:rsid w:val="00A70A1B"/>
    <w:rsid w:val="00A70B3A"/>
    <w:rsid w:val="00A70B8C"/>
    <w:rsid w:val="00A70BC5"/>
    <w:rsid w:val="00A70C15"/>
    <w:rsid w:val="00A70D4B"/>
    <w:rsid w:val="00A70DCA"/>
    <w:rsid w:val="00A70EB5"/>
    <w:rsid w:val="00A7102F"/>
    <w:rsid w:val="00A711FB"/>
    <w:rsid w:val="00A71313"/>
    <w:rsid w:val="00A717C7"/>
    <w:rsid w:val="00A71AF1"/>
    <w:rsid w:val="00A71B3E"/>
    <w:rsid w:val="00A71BB3"/>
    <w:rsid w:val="00A71DDC"/>
    <w:rsid w:val="00A71E90"/>
    <w:rsid w:val="00A72084"/>
    <w:rsid w:val="00A720DF"/>
    <w:rsid w:val="00A72165"/>
    <w:rsid w:val="00A725AF"/>
    <w:rsid w:val="00A726B6"/>
    <w:rsid w:val="00A72EDF"/>
    <w:rsid w:val="00A73249"/>
    <w:rsid w:val="00A732EE"/>
    <w:rsid w:val="00A7336B"/>
    <w:rsid w:val="00A73522"/>
    <w:rsid w:val="00A73564"/>
    <w:rsid w:val="00A739AF"/>
    <w:rsid w:val="00A73E6C"/>
    <w:rsid w:val="00A740AA"/>
    <w:rsid w:val="00A7445F"/>
    <w:rsid w:val="00A74D39"/>
    <w:rsid w:val="00A750E3"/>
    <w:rsid w:val="00A7513F"/>
    <w:rsid w:val="00A75281"/>
    <w:rsid w:val="00A75515"/>
    <w:rsid w:val="00A755B2"/>
    <w:rsid w:val="00A75B9F"/>
    <w:rsid w:val="00A75BBA"/>
    <w:rsid w:val="00A75CD2"/>
    <w:rsid w:val="00A76066"/>
    <w:rsid w:val="00A760A0"/>
    <w:rsid w:val="00A761F6"/>
    <w:rsid w:val="00A76229"/>
    <w:rsid w:val="00A76508"/>
    <w:rsid w:val="00A76847"/>
    <w:rsid w:val="00A76A07"/>
    <w:rsid w:val="00A76E58"/>
    <w:rsid w:val="00A76F23"/>
    <w:rsid w:val="00A7710C"/>
    <w:rsid w:val="00A771E7"/>
    <w:rsid w:val="00A774E9"/>
    <w:rsid w:val="00A77547"/>
    <w:rsid w:val="00A77748"/>
    <w:rsid w:val="00A777C5"/>
    <w:rsid w:val="00A7790F"/>
    <w:rsid w:val="00A77A1E"/>
    <w:rsid w:val="00A77EA9"/>
    <w:rsid w:val="00A80180"/>
    <w:rsid w:val="00A803F8"/>
    <w:rsid w:val="00A80562"/>
    <w:rsid w:val="00A805E3"/>
    <w:rsid w:val="00A80C40"/>
    <w:rsid w:val="00A80C85"/>
    <w:rsid w:val="00A80D63"/>
    <w:rsid w:val="00A80DEB"/>
    <w:rsid w:val="00A80E1C"/>
    <w:rsid w:val="00A810A0"/>
    <w:rsid w:val="00A815EE"/>
    <w:rsid w:val="00A818ED"/>
    <w:rsid w:val="00A819F0"/>
    <w:rsid w:val="00A81BC0"/>
    <w:rsid w:val="00A81BCA"/>
    <w:rsid w:val="00A81ED0"/>
    <w:rsid w:val="00A8226F"/>
    <w:rsid w:val="00A82291"/>
    <w:rsid w:val="00A82408"/>
    <w:rsid w:val="00A82A71"/>
    <w:rsid w:val="00A83071"/>
    <w:rsid w:val="00A8314C"/>
    <w:rsid w:val="00A8349C"/>
    <w:rsid w:val="00A8356C"/>
    <w:rsid w:val="00A8358D"/>
    <w:rsid w:val="00A8374D"/>
    <w:rsid w:val="00A837B2"/>
    <w:rsid w:val="00A837FF"/>
    <w:rsid w:val="00A839A6"/>
    <w:rsid w:val="00A83B30"/>
    <w:rsid w:val="00A83C6A"/>
    <w:rsid w:val="00A83CB2"/>
    <w:rsid w:val="00A83E99"/>
    <w:rsid w:val="00A83F5C"/>
    <w:rsid w:val="00A83F79"/>
    <w:rsid w:val="00A840AA"/>
    <w:rsid w:val="00A841AF"/>
    <w:rsid w:val="00A844FD"/>
    <w:rsid w:val="00A846EF"/>
    <w:rsid w:val="00A84941"/>
    <w:rsid w:val="00A84E08"/>
    <w:rsid w:val="00A853E7"/>
    <w:rsid w:val="00A854D9"/>
    <w:rsid w:val="00A85539"/>
    <w:rsid w:val="00A85673"/>
    <w:rsid w:val="00A85A65"/>
    <w:rsid w:val="00A85B15"/>
    <w:rsid w:val="00A861B9"/>
    <w:rsid w:val="00A86464"/>
    <w:rsid w:val="00A86734"/>
    <w:rsid w:val="00A86853"/>
    <w:rsid w:val="00A86B7E"/>
    <w:rsid w:val="00A86C3F"/>
    <w:rsid w:val="00A87562"/>
    <w:rsid w:val="00A87787"/>
    <w:rsid w:val="00A87986"/>
    <w:rsid w:val="00A87A1B"/>
    <w:rsid w:val="00A87D1A"/>
    <w:rsid w:val="00A87FA2"/>
    <w:rsid w:val="00A902E2"/>
    <w:rsid w:val="00A90991"/>
    <w:rsid w:val="00A90B84"/>
    <w:rsid w:val="00A90BF9"/>
    <w:rsid w:val="00A90CA6"/>
    <w:rsid w:val="00A90CE3"/>
    <w:rsid w:val="00A912C2"/>
    <w:rsid w:val="00A91354"/>
    <w:rsid w:val="00A91437"/>
    <w:rsid w:val="00A91915"/>
    <w:rsid w:val="00A91D67"/>
    <w:rsid w:val="00A91F1A"/>
    <w:rsid w:val="00A91FF2"/>
    <w:rsid w:val="00A9201D"/>
    <w:rsid w:val="00A920A0"/>
    <w:rsid w:val="00A92243"/>
    <w:rsid w:val="00A924DF"/>
    <w:rsid w:val="00A92B24"/>
    <w:rsid w:val="00A9331C"/>
    <w:rsid w:val="00A93335"/>
    <w:rsid w:val="00A93561"/>
    <w:rsid w:val="00A936D1"/>
    <w:rsid w:val="00A9375B"/>
    <w:rsid w:val="00A938AD"/>
    <w:rsid w:val="00A93A89"/>
    <w:rsid w:val="00A93CFF"/>
    <w:rsid w:val="00A93D1D"/>
    <w:rsid w:val="00A9415A"/>
    <w:rsid w:val="00A94191"/>
    <w:rsid w:val="00A943C5"/>
    <w:rsid w:val="00A9445B"/>
    <w:rsid w:val="00A94473"/>
    <w:rsid w:val="00A9448A"/>
    <w:rsid w:val="00A94569"/>
    <w:rsid w:val="00A94582"/>
    <w:rsid w:val="00A94D81"/>
    <w:rsid w:val="00A94EF5"/>
    <w:rsid w:val="00A94F56"/>
    <w:rsid w:val="00A9505E"/>
    <w:rsid w:val="00A950A2"/>
    <w:rsid w:val="00A950B0"/>
    <w:rsid w:val="00A95864"/>
    <w:rsid w:val="00A959BF"/>
    <w:rsid w:val="00A95B38"/>
    <w:rsid w:val="00A95F89"/>
    <w:rsid w:val="00A9606B"/>
    <w:rsid w:val="00A96114"/>
    <w:rsid w:val="00A9611A"/>
    <w:rsid w:val="00A96132"/>
    <w:rsid w:val="00A961CD"/>
    <w:rsid w:val="00A96228"/>
    <w:rsid w:val="00A9625B"/>
    <w:rsid w:val="00A964CB"/>
    <w:rsid w:val="00A964D4"/>
    <w:rsid w:val="00A965D1"/>
    <w:rsid w:val="00A9661B"/>
    <w:rsid w:val="00A96626"/>
    <w:rsid w:val="00A966D9"/>
    <w:rsid w:val="00A966DE"/>
    <w:rsid w:val="00A96795"/>
    <w:rsid w:val="00A96916"/>
    <w:rsid w:val="00A9695D"/>
    <w:rsid w:val="00A96BE4"/>
    <w:rsid w:val="00A96C42"/>
    <w:rsid w:val="00A96CC6"/>
    <w:rsid w:val="00A96E37"/>
    <w:rsid w:val="00A970F8"/>
    <w:rsid w:val="00A97147"/>
    <w:rsid w:val="00A97853"/>
    <w:rsid w:val="00A97872"/>
    <w:rsid w:val="00A97B7D"/>
    <w:rsid w:val="00A97C18"/>
    <w:rsid w:val="00A97D13"/>
    <w:rsid w:val="00A97DAD"/>
    <w:rsid w:val="00A97F55"/>
    <w:rsid w:val="00AA024B"/>
    <w:rsid w:val="00AA02CD"/>
    <w:rsid w:val="00AA0394"/>
    <w:rsid w:val="00AA0677"/>
    <w:rsid w:val="00AA06A3"/>
    <w:rsid w:val="00AA07DA"/>
    <w:rsid w:val="00AA0859"/>
    <w:rsid w:val="00AA09A8"/>
    <w:rsid w:val="00AA0F20"/>
    <w:rsid w:val="00AA0FEC"/>
    <w:rsid w:val="00AA10FE"/>
    <w:rsid w:val="00AA1301"/>
    <w:rsid w:val="00AA1CE6"/>
    <w:rsid w:val="00AA2047"/>
    <w:rsid w:val="00AA207F"/>
    <w:rsid w:val="00AA2172"/>
    <w:rsid w:val="00AA219B"/>
    <w:rsid w:val="00AA21F1"/>
    <w:rsid w:val="00AA22C2"/>
    <w:rsid w:val="00AA22DB"/>
    <w:rsid w:val="00AA2C0A"/>
    <w:rsid w:val="00AA2CDC"/>
    <w:rsid w:val="00AA2CDE"/>
    <w:rsid w:val="00AA2E89"/>
    <w:rsid w:val="00AA2ED4"/>
    <w:rsid w:val="00AA302A"/>
    <w:rsid w:val="00AA3188"/>
    <w:rsid w:val="00AA36EF"/>
    <w:rsid w:val="00AA3768"/>
    <w:rsid w:val="00AA3B0A"/>
    <w:rsid w:val="00AA3B5E"/>
    <w:rsid w:val="00AA3CD0"/>
    <w:rsid w:val="00AA3E6F"/>
    <w:rsid w:val="00AA3E80"/>
    <w:rsid w:val="00AA3F22"/>
    <w:rsid w:val="00AA40A8"/>
    <w:rsid w:val="00AA421C"/>
    <w:rsid w:val="00AA426D"/>
    <w:rsid w:val="00AA444C"/>
    <w:rsid w:val="00AA4566"/>
    <w:rsid w:val="00AA47D3"/>
    <w:rsid w:val="00AA4A41"/>
    <w:rsid w:val="00AA4AAB"/>
    <w:rsid w:val="00AA4B5A"/>
    <w:rsid w:val="00AA4D6C"/>
    <w:rsid w:val="00AA4E73"/>
    <w:rsid w:val="00AA4FF1"/>
    <w:rsid w:val="00AA5003"/>
    <w:rsid w:val="00AA5121"/>
    <w:rsid w:val="00AA51D9"/>
    <w:rsid w:val="00AA520E"/>
    <w:rsid w:val="00AA52B4"/>
    <w:rsid w:val="00AA539D"/>
    <w:rsid w:val="00AA53B5"/>
    <w:rsid w:val="00AA542A"/>
    <w:rsid w:val="00AA54A3"/>
    <w:rsid w:val="00AA55A0"/>
    <w:rsid w:val="00AA570E"/>
    <w:rsid w:val="00AA5831"/>
    <w:rsid w:val="00AA593B"/>
    <w:rsid w:val="00AA5B36"/>
    <w:rsid w:val="00AA5BBF"/>
    <w:rsid w:val="00AA5E11"/>
    <w:rsid w:val="00AA5EC3"/>
    <w:rsid w:val="00AA60F0"/>
    <w:rsid w:val="00AA6138"/>
    <w:rsid w:val="00AA623F"/>
    <w:rsid w:val="00AA62AB"/>
    <w:rsid w:val="00AA643C"/>
    <w:rsid w:val="00AA65EB"/>
    <w:rsid w:val="00AA66C0"/>
    <w:rsid w:val="00AA6840"/>
    <w:rsid w:val="00AA6B5B"/>
    <w:rsid w:val="00AA6D5E"/>
    <w:rsid w:val="00AA6F26"/>
    <w:rsid w:val="00AA7151"/>
    <w:rsid w:val="00AA73B0"/>
    <w:rsid w:val="00AA763B"/>
    <w:rsid w:val="00AA7726"/>
    <w:rsid w:val="00AA7AB1"/>
    <w:rsid w:val="00AA7AF7"/>
    <w:rsid w:val="00AA7B7D"/>
    <w:rsid w:val="00AA7D54"/>
    <w:rsid w:val="00AB0156"/>
    <w:rsid w:val="00AB01CB"/>
    <w:rsid w:val="00AB020C"/>
    <w:rsid w:val="00AB02DC"/>
    <w:rsid w:val="00AB03B8"/>
    <w:rsid w:val="00AB08D0"/>
    <w:rsid w:val="00AB098D"/>
    <w:rsid w:val="00AB0B6A"/>
    <w:rsid w:val="00AB0EDA"/>
    <w:rsid w:val="00AB0EF4"/>
    <w:rsid w:val="00AB1020"/>
    <w:rsid w:val="00AB1036"/>
    <w:rsid w:val="00AB12CB"/>
    <w:rsid w:val="00AB150E"/>
    <w:rsid w:val="00AB16B9"/>
    <w:rsid w:val="00AB1AA7"/>
    <w:rsid w:val="00AB1D36"/>
    <w:rsid w:val="00AB1DFB"/>
    <w:rsid w:val="00AB1E03"/>
    <w:rsid w:val="00AB1E37"/>
    <w:rsid w:val="00AB20D6"/>
    <w:rsid w:val="00AB220A"/>
    <w:rsid w:val="00AB2463"/>
    <w:rsid w:val="00AB2626"/>
    <w:rsid w:val="00AB2761"/>
    <w:rsid w:val="00AB2D7A"/>
    <w:rsid w:val="00AB2E75"/>
    <w:rsid w:val="00AB2E9D"/>
    <w:rsid w:val="00AB2FAD"/>
    <w:rsid w:val="00AB31D5"/>
    <w:rsid w:val="00AB352A"/>
    <w:rsid w:val="00AB35C2"/>
    <w:rsid w:val="00AB35D3"/>
    <w:rsid w:val="00AB37CD"/>
    <w:rsid w:val="00AB3966"/>
    <w:rsid w:val="00AB3971"/>
    <w:rsid w:val="00AB3A21"/>
    <w:rsid w:val="00AB3AC7"/>
    <w:rsid w:val="00AB3F29"/>
    <w:rsid w:val="00AB43A0"/>
    <w:rsid w:val="00AB46EB"/>
    <w:rsid w:val="00AB4BA9"/>
    <w:rsid w:val="00AB4C4A"/>
    <w:rsid w:val="00AB4CB5"/>
    <w:rsid w:val="00AB51B9"/>
    <w:rsid w:val="00AB5498"/>
    <w:rsid w:val="00AB5652"/>
    <w:rsid w:val="00AB57F0"/>
    <w:rsid w:val="00AB59F1"/>
    <w:rsid w:val="00AB5A20"/>
    <w:rsid w:val="00AB5AA7"/>
    <w:rsid w:val="00AB5ECA"/>
    <w:rsid w:val="00AB6174"/>
    <w:rsid w:val="00AB6278"/>
    <w:rsid w:val="00AB6431"/>
    <w:rsid w:val="00AB66D7"/>
    <w:rsid w:val="00AB6A23"/>
    <w:rsid w:val="00AB6AAF"/>
    <w:rsid w:val="00AB6C3E"/>
    <w:rsid w:val="00AB6E51"/>
    <w:rsid w:val="00AB6F95"/>
    <w:rsid w:val="00AB7021"/>
    <w:rsid w:val="00AB7024"/>
    <w:rsid w:val="00AB74DC"/>
    <w:rsid w:val="00AB77D7"/>
    <w:rsid w:val="00AB77EF"/>
    <w:rsid w:val="00AB79AD"/>
    <w:rsid w:val="00AB7A93"/>
    <w:rsid w:val="00AB7BB5"/>
    <w:rsid w:val="00AB7DF5"/>
    <w:rsid w:val="00AB7EC1"/>
    <w:rsid w:val="00AB7FB9"/>
    <w:rsid w:val="00AC02A3"/>
    <w:rsid w:val="00AC042A"/>
    <w:rsid w:val="00AC04E6"/>
    <w:rsid w:val="00AC051F"/>
    <w:rsid w:val="00AC0A0A"/>
    <w:rsid w:val="00AC0ED8"/>
    <w:rsid w:val="00AC0F4F"/>
    <w:rsid w:val="00AC10EA"/>
    <w:rsid w:val="00AC11EF"/>
    <w:rsid w:val="00AC1554"/>
    <w:rsid w:val="00AC161B"/>
    <w:rsid w:val="00AC17B9"/>
    <w:rsid w:val="00AC1899"/>
    <w:rsid w:val="00AC19A6"/>
    <w:rsid w:val="00AC1C55"/>
    <w:rsid w:val="00AC1CCA"/>
    <w:rsid w:val="00AC1D4E"/>
    <w:rsid w:val="00AC217A"/>
    <w:rsid w:val="00AC25AA"/>
    <w:rsid w:val="00AC2CEB"/>
    <w:rsid w:val="00AC328F"/>
    <w:rsid w:val="00AC32C1"/>
    <w:rsid w:val="00AC37E0"/>
    <w:rsid w:val="00AC3C07"/>
    <w:rsid w:val="00AC3D77"/>
    <w:rsid w:val="00AC4288"/>
    <w:rsid w:val="00AC430B"/>
    <w:rsid w:val="00AC482D"/>
    <w:rsid w:val="00AC4AA3"/>
    <w:rsid w:val="00AC4C4E"/>
    <w:rsid w:val="00AC4F77"/>
    <w:rsid w:val="00AC4FE5"/>
    <w:rsid w:val="00AC5170"/>
    <w:rsid w:val="00AC51CF"/>
    <w:rsid w:val="00AC53CD"/>
    <w:rsid w:val="00AC5762"/>
    <w:rsid w:val="00AC59FF"/>
    <w:rsid w:val="00AC5E29"/>
    <w:rsid w:val="00AC5EB7"/>
    <w:rsid w:val="00AC60CF"/>
    <w:rsid w:val="00AC60EB"/>
    <w:rsid w:val="00AC6438"/>
    <w:rsid w:val="00AC65C1"/>
    <w:rsid w:val="00AC672E"/>
    <w:rsid w:val="00AC6A5C"/>
    <w:rsid w:val="00AC6D81"/>
    <w:rsid w:val="00AC6F6B"/>
    <w:rsid w:val="00AC7067"/>
    <w:rsid w:val="00AC72F0"/>
    <w:rsid w:val="00AC7988"/>
    <w:rsid w:val="00AC7AF1"/>
    <w:rsid w:val="00AC7D58"/>
    <w:rsid w:val="00AC7DD5"/>
    <w:rsid w:val="00AC7EB8"/>
    <w:rsid w:val="00AD03EF"/>
    <w:rsid w:val="00AD04D5"/>
    <w:rsid w:val="00AD067A"/>
    <w:rsid w:val="00AD08A2"/>
    <w:rsid w:val="00AD0AC0"/>
    <w:rsid w:val="00AD0F36"/>
    <w:rsid w:val="00AD1154"/>
    <w:rsid w:val="00AD128A"/>
    <w:rsid w:val="00AD1504"/>
    <w:rsid w:val="00AD16F1"/>
    <w:rsid w:val="00AD18AA"/>
    <w:rsid w:val="00AD1D31"/>
    <w:rsid w:val="00AD1F93"/>
    <w:rsid w:val="00AD1F9C"/>
    <w:rsid w:val="00AD202F"/>
    <w:rsid w:val="00AD23D8"/>
    <w:rsid w:val="00AD2458"/>
    <w:rsid w:val="00AD2A75"/>
    <w:rsid w:val="00AD2A93"/>
    <w:rsid w:val="00AD2B03"/>
    <w:rsid w:val="00AD2B2E"/>
    <w:rsid w:val="00AD2B79"/>
    <w:rsid w:val="00AD2D7F"/>
    <w:rsid w:val="00AD2F73"/>
    <w:rsid w:val="00AD3262"/>
    <w:rsid w:val="00AD3318"/>
    <w:rsid w:val="00AD41E8"/>
    <w:rsid w:val="00AD4584"/>
    <w:rsid w:val="00AD4611"/>
    <w:rsid w:val="00AD465C"/>
    <w:rsid w:val="00AD46F8"/>
    <w:rsid w:val="00AD4858"/>
    <w:rsid w:val="00AD4995"/>
    <w:rsid w:val="00AD49D5"/>
    <w:rsid w:val="00AD4B16"/>
    <w:rsid w:val="00AD4C4B"/>
    <w:rsid w:val="00AD4E45"/>
    <w:rsid w:val="00AD4EA6"/>
    <w:rsid w:val="00AD4F5E"/>
    <w:rsid w:val="00AD4FFE"/>
    <w:rsid w:val="00AD58E8"/>
    <w:rsid w:val="00AD5AD0"/>
    <w:rsid w:val="00AD5BCE"/>
    <w:rsid w:val="00AD5C8D"/>
    <w:rsid w:val="00AD5EC7"/>
    <w:rsid w:val="00AD5FA1"/>
    <w:rsid w:val="00AD5FC0"/>
    <w:rsid w:val="00AD6438"/>
    <w:rsid w:val="00AD643E"/>
    <w:rsid w:val="00AD666F"/>
    <w:rsid w:val="00AD68CA"/>
    <w:rsid w:val="00AD69F6"/>
    <w:rsid w:val="00AD710F"/>
    <w:rsid w:val="00AD718F"/>
    <w:rsid w:val="00AD7228"/>
    <w:rsid w:val="00AD7260"/>
    <w:rsid w:val="00AD7472"/>
    <w:rsid w:val="00AD78A0"/>
    <w:rsid w:val="00AD79EA"/>
    <w:rsid w:val="00AD79ED"/>
    <w:rsid w:val="00AE0168"/>
    <w:rsid w:val="00AE0175"/>
    <w:rsid w:val="00AE040F"/>
    <w:rsid w:val="00AE0429"/>
    <w:rsid w:val="00AE04A7"/>
    <w:rsid w:val="00AE0608"/>
    <w:rsid w:val="00AE0836"/>
    <w:rsid w:val="00AE0AB7"/>
    <w:rsid w:val="00AE0C3B"/>
    <w:rsid w:val="00AE0DAA"/>
    <w:rsid w:val="00AE0E01"/>
    <w:rsid w:val="00AE11C6"/>
    <w:rsid w:val="00AE161B"/>
    <w:rsid w:val="00AE1704"/>
    <w:rsid w:val="00AE1AD2"/>
    <w:rsid w:val="00AE1BB5"/>
    <w:rsid w:val="00AE1C8E"/>
    <w:rsid w:val="00AE1D55"/>
    <w:rsid w:val="00AE1ED6"/>
    <w:rsid w:val="00AE1FDE"/>
    <w:rsid w:val="00AE2044"/>
    <w:rsid w:val="00AE221F"/>
    <w:rsid w:val="00AE27EE"/>
    <w:rsid w:val="00AE2983"/>
    <w:rsid w:val="00AE2C89"/>
    <w:rsid w:val="00AE2CCB"/>
    <w:rsid w:val="00AE2EC2"/>
    <w:rsid w:val="00AE2FB6"/>
    <w:rsid w:val="00AE311B"/>
    <w:rsid w:val="00AE321B"/>
    <w:rsid w:val="00AE343B"/>
    <w:rsid w:val="00AE3B6B"/>
    <w:rsid w:val="00AE3C29"/>
    <w:rsid w:val="00AE3DC1"/>
    <w:rsid w:val="00AE3DC9"/>
    <w:rsid w:val="00AE3F04"/>
    <w:rsid w:val="00AE3F2A"/>
    <w:rsid w:val="00AE4262"/>
    <w:rsid w:val="00AE43FC"/>
    <w:rsid w:val="00AE46C4"/>
    <w:rsid w:val="00AE4823"/>
    <w:rsid w:val="00AE485F"/>
    <w:rsid w:val="00AE492F"/>
    <w:rsid w:val="00AE512A"/>
    <w:rsid w:val="00AE5527"/>
    <w:rsid w:val="00AE55C9"/>
    <w:rsid w:val="00AE56A2"/>
    <w:rsid w:val="00AE5986"/>
    <w:rsid w:val="00AE598C"/>
    <w:rsid w:val="00AE5ADB"/>
    <w:rsid w:val="00AE5F10"/>
    <w:rsid w:val="00AE60A7"/>
    <w:rsid w:val="00AE6A58"/>
    <w:rsid w:val="00AE7048"/>
    <w:rsid w:val="00AE7099"/>
    <w:rsid w:val="00AE712F"/>
    <w:rsid w:val="00AE7A02"/>
    <w:rsid w:val="00AE7AA8"/>
    <w:rsid w:val="00AE7BE5"/>
    <w:rsid w:val="00AE7F47"/>
    <w:rsid w:val="00AF0152"/>
    <w:rsid w:val="00AF01DB"/>
    <w:rsid w:val="00AF0301"/>
    <w:rsid w:val="00AF042A"/>
    <w:rsid w:val="00AF048C"/>
    <w:rsid w:val="00AF04C0"/>
    <w:rsid w:val="00AF0657"/>
    <w:rsid w:val="00AF0709"/>
    <w:rsid w:val="00AF08E1"/>
    <w:rsid w:val="00AF08E3"/>
    <w:rsid w:val="00AF0CD9"/>
    <w:rsid w:val="00AF1026"/>
    <w:rsid w:val="00AF1082"/>
    <w:rsid w:val="00AF1305"/>
    <w:rsid w:val="00AF1316"/>
    <w:rsid w:val="00AF17BF"/>
    <w:rsid w:val="00AF1800"/>
    <w:rsid w:val="00AF198C"/>
    <w:rsid w:val="00AF19CD"/>
    <w:rsid w:val="00AF1A6F"/>
    <w:rsid w:val="00AF1B33"/>
    <w:rsid w:val="00AF1B6C"/>
    <w:rsid w:val="00AF1BA2"/>
    <w:rsid w:val="00AF24C3"/>
    <w:rsid w:val="00AF2991"/>
    <w:rsid w:val="00AF2C45"/>
    <w:rsid w:val="00AF2DC1"/>
    <w:rsid w:val="00AF30EB"/>
    <w:rsid w:val="00AF3240"/>
    <w:rsid w:val="00AF3580"/>
    <w:rsid w:val="00AF35FE"/>
    <w:rsid w:val="00AF3807"/>
    <w:rsid w:val="00AF3C76"/>
    <w:rsid w:val="00AF3CE0"/>
    <w:rsid w:val="00AF4036"/>
    <w:rsid w:val="00AF41CE"/>
    <w:rsid w:val="00AF41FD"/>
    <w:rsid w:val="00AF425B"/>
    <w:rsid w:val="00AF4267"/>
    <w:rsid w:val="00AF437E"/>
    <w:rsid w:val="00AF44F6"/>
    <w:rsid w:val="00AF4598"/>
    <w:rsid w:val="00AF46FD"/>
    <w:rsid w:val="00AF47EB"/>
    <w:rsid w:val="00AF4A19"/>
    <w:rsid w:val="00AF4A85"/>
    <w:rsid w:val="00AF4D96"/>
    <w:rsid w:val="00AF4FC8"/>
    <w:rsid w:val="00AF53CA"/>
    <w:rsid w:val="00AF56B4"/>
    <w:rsid w:val="00AF5788"/>
    <w:rsid w:val="00AF5C3A"/>
    <w:rsid w:val="00AF5EB0"/>
    <w:rsid w:val="00AF5F19"/>
    <w:rsid w:val="00AF5F2A"/>
    <w:rsid w:val="00AF60FF"/>
    <w:rsid w:val="00AF6371"/>
    <w:rsid w:val="00AF6448"/>
    <w:rsid w:val="00AF645C"/>
    <w:rsid w:val="00AF6482"/>
    <w:rsid w:val="00AF6857"/>
    <w:rsid w:val="00AF6E97"/>
    <w:rsid w:val="00AF6F99"/>
    <w:rsid w:val="00AF7049"/>
    <w:rsid w:val="00AF70CF"/>
    <w:rsid w:val="00AF71EA"/>
    <w:rsid w:val="00AF728D"/>
    <w:rsid w:val="00AF75F7"/>
    <w:rsid w:val="00AF78D8"/>
    <w:rsid w:val="00AF78F6"/>
    <w:rsid w:val="00AF7931"/>
    <w:rsid w:val="00AF7D2D"/>
    <w:rsid w:val="00B00135"/>
    <w:rsid w:val="00B00187"/>
    <w:rsid w:val="00B0026B"/>
    <w:rsid w:val="00B007E7"/>
    <w:rsid w:val="00B00A44"/>
    <w:rsid w:val="00B00C5D"/>
    <w:rsid w:val="00B00CC1"/>
    <w:rsid w:val="00B00FB0"/>
    <w:rsid w:val="00B01124"/>
    <w:rsid w:val="00B01599"/>
    <w:rsid w:val="00B017A0"/>
    <w:rsid w:val="00B01E8C"/>
    <w:rsid w:val="00B023FB"/>
    <w:rsid w:val="00B025AF"/>
    <w:rsid w:val="00B02607"/>
    <w:rsid w:val="00B0261B"/>
    <w:rsid w:val="00B026C9"/>
    <w:rsid w:val="00B02820"/>
    <w:rsid w:val="00B02A68"/>
    <w:rsid w:val="00B02D25"/>
    <w:rsid w:val="00B02DAD"/>
    <w:rsid w:val="00B02DEC"/>
    <w:rsid w:val="00B0309F"/>
    <w:rsid w:val="00B03103"/>
    <w:rsid w:val="00B034B3"/>
    <w:rsid w:val="00B03527"/>
    <w:rsid w:val="00B035F9"/>
    <w:rsid w:val="00B0373E"/>
    <w:rsid w:val="00B0379C"/>
    <w:rsid w:val="00B0394F"/>
    <w:rsid w:val="00B03C99"/>
    <w:rsid w:val="00B03CB2"/>
    <w:rsid w:val="00B04100"/>
    <w:rsid w:val="00B0422F"/>
    <w:rsid w:val="00B0424C"/>
    <w:rsid w:val="00B0447A"/>
    <w:rsid w:val="00B0462E"/>
    <w:rsid w:val="00B04C92"/>
    <w:rsid w:val="00B04D90"/>
    <w:rsid w:val="00B04E68"/>
    <w:rsid w:val="00B04FAD"/>
    <w:rsid w:val="00B05294"/>
    <w:rsid w:val="00B05344"/>
    <w:rsid w:val="00B05496"/>
    <w:rsid w:val="00B05589"/>
    <w:rsid w:val="00B05E42"/>
    <w:rsid w:val="00B05FBD"/>
    <w:rsid w:val="00B05FF5"/>
    <w:rsid w:val="00B0630F"/>
    <w:rsid w:val="00B066DD"/>
    <w:rsid w:val="00B068CC"/>
    <w:rsid w:val="00B068D8"/>
    <w:rsid w:val="00B06A33"/>
    <w:rsid w:val="00B06CEA"/>
    <w:rsid w:val="00B0703A"/>
    <w:rsid w:val="00B0708C"/>
    <w:rsid w:val="00B072A5"/>
    <w:rsid w:val="00B0753D"/>
    <w:rsid w:val="00B07729"/>
    <w:rsid w:val="00B07B1A"/>
    <w:rsid w:val="00B07DE3"/>
    <w:rsid w:val="00B07DEF"/>
    <w:rsid w:val="00B07FC9"/>
    <w:rsid w:val="00B103A5"/>
    <w:rsid w:val="00B103CF"/>
    <w:rsid w:val="00B103ED"/>
    <w:rsid w:val="00B10714"/>
    <w:rsid w:val="00B10729"/>
    <w:rsid w:val="00B1096B"/>
    <w:rsid w:val="00B10A62"/>
    <w:rsid w:val="00B10A8D"/>
    <w:rsid w:val="00B10C8C"/>
    <w:rsid w:val="00B10E5E"/>
    <w:rsid w:val="00B10E74"/>
    <w:rsid w:val="00B10EAC"/>
    <w:rsid w:val="00B10F7F"/>
    <w:rsid w:val="00B1118E"/>
    <w:rsid w:val="00B114E0"/>
    <w:rsid w:val="00B115E3"/>
    <w:rsid w:val="00B11601"/>
    <w:rsid w:val="00B1170D"/>
    <w:rsid w:val="00B11804"/>
    <w:rsid w:val="00B11A40"/>
    <w:rsid w:val="00B11D74"/>
    <w:rsid w:val="00B11DD5"/>
    <w:rsid w:val="00B11F22"/>
    <w:rsid w:val="00B120E0"/>
    <w:rsid w:val="00B122D5"/>
    <w:rsid w:val="00B123AE"/>
    <w:rsid w:val="00B12813"/>
    <w:rsid w:val="00B129B2"/>
    <w:rsid w:val="00B12DAC"/>
    <w:rsid w:val="00B132C9"/>
    <w:rsid w:val="00B1396A"/>
    <w:rsid w:val="00B13B84"/>
    <w:rsid w:val="00B13C96"/>
    <w:rsid w:val="00B13F13"/>
    <w:rsid w:val="00B13F4A"/>
    <w:rsid w:val="00B141BC"/>
    <w:rsid w:val="00B142D2"/>
    <w:rsid w:val="00B144D3"/>
    <w:rsid w:val="00B14541"/>
    <w:rsid w:val="00B14679"/>
    <w:rsid w:val="00B1495F"/>
    <w:rsid w:val="00B14A2C"/>
    <w:rsid w:val="00B14B26"/>
    <w:rsid w:val="00B14BB0"/>
    <w:rsid w:val="00B14DBA"/>
    <w:rsid w:val="00B14F48"/>
    <w:rsid w:val="00B150B9"/>
    <w:rsid w:val="00B15324"/>
    <w:rsid w:val="00B1557B"/>
    <w:rsid w:val="00B15591"/>
    <w:rsid w:val="00B1586B"/>
    <w:rsid w:val="00B1587E"/>
    <w:rsid w:val="00B15963"/>
    <w:rsid w:val="00B16095"/>
    <w:rsid w:val="00B160AF"/>
    <w:rsid w:val="00B162C6"/>
    <w:rsid w:val="00B162E3"/>
    <w:rsid w:val="00B16348"/>
    <w:rsid w:val="00B1648C"/>
    <w:rsid w:val="00B16644"/>
    <w:rsid w:val="00B16749"/>
    <w:rsid w:val="00B16877"/>
    <w:rsid w:val="00B16B29"/>
    <w:rsid w:val="00B16BB8"/>
    <w:rsid w:val="00B16EC2"/>
    <w:rsid w:val="00B16F97"/>
    <w:rsid w:val="00B172F1"/>
    <w:rsid w:val="00B173BC"/>
    <w:rsid w:val="00B17566"/>
    <w:rsid w:val="00B17657"/>
    <w:rsid w:val="00B17A5A"/>
    <w:rsid w:val="00B2000F"/>
    <w:rsid w:val="00B20013"/>
    <w:rsid w:val="00B201AE"/>
    <w:rsid w:val="00B20361"/>
    <w:rsid w:val="00B2076B"/>
    <w:rsid w:val="00B2096A"/>
    <w:rsid w:val="00B20FA6"/>
    <w:rsid w:val="00B2104D"/>
    <w:rsid w:val="00B2106E"/>
    <w:rsid w:val="00B21103"/>
    <w:rsid w:val="00B211A9"/>
    <w:rsid w:val="00B21410"/>
    <w:rsid w:val="00B21464"/>
    <w:rsid w:val="00B216FA"/>
    <w:rsid w:val="00B21A72"/>
    <w:rsid w:val="00B21B75"/>
    <w:rsid w:val="00B21C7F"/>
    <w:rsid w:val="00B21CFC"/>
    <w:rsid w:val="00B21DBE"/>
    <w:rsid w:val="00B2242A"/>
    <w:rsid w:val="00B22841"/>
    <w:rsid w:val="00B22B96"/>
    <w:rsid w:val="00B22D7B"/>
    <w:rsid w:val="00B22F5C"/>
    <w:rsid w:val="00B2320A"/>
    <w:rsid w:val="00B2325C"/>
    <w:rsid w:val="00B23286"/>
    <w:rsid w:val="00B2333B"/>
    <w:rsid w:val="00B233E1"/>
    <w:rsid w:val="00B235C0"/>
    <w:rsid w:val="00B23643"/>
    <w:rsid w:val="00B23DD0"/>
    <w:rsid w:val="00B24136"/>
    <w:rsid w:val="00B24147"/>
    <w:rsid w:val="00B249C7"/>
    <w:rsid w:val="00B24B8E"/>
    <w:rsid w:val="00B24B93"/>
    <w:rsid w:val="00B24CB0"/>
    <w:rsid w:val="00B25124"/>
    <w:rsid w:val="00B25528"/>
    <w:rsid w:val="00B2554A"/>
    <w:rsid w:val="00B256D0"/>
    <w:rsid w:val="00B257AF"/>
    <w:rsid w:val="00B25BE9"/>
    <w:rsid w:val="00B25D89"/>
    <w:rsid w:val="00B25F98"/>
    <w:rsid w:val="00B25FD2"/>
    <w:rsid w:val="00B261B7"/>
    <w:rsid w:val="00B261E0"/>
    <w:rsid w:val="00B261E3"/>
    <w:rsid w:val="00B26590"/>
    <w:rsid w:val="00B26696"/>
    <w:rsid w:val="00B26864"/>
    <w:rsid w:val="00B26A05"/>
    <w:rsid w:val="00B26A89"/>
    <w:rsid w:val="00B26AAC"/>
    <w:rsid w:val="00B26D9D"/>
    <w:rsid w:val="00B26FBE"/>
    <w:rsid w:val="00B27796"/>
    <w:rsid w:val="00B27BEA"/>
    <w:rsid w:val="00B27C67"/>
    <w:rsid w:val="00B27D59"/>
    <w:rsid w:val="00B27F6D"/>
    <w:rsid w:val="00B30040"/>
    <w:rsid w:val="00B30082"/>
    <w:rsid w:val="00B304E6"/>
    <w:rsid w:val="00B3060E"/>
    <w:rsid w:val="00B30681"/>
    <w:rsid w:val="00B30830"/>
    <w:rsid w:val="00B30BE4"/>
    <w:rsid w:val="00B30D0A"/>
    <w:rsid w:val="00B31C3F"/>
    <w:rsid w:val="00B31E3F"/>
    <w:rsid w:val="00B320D6"/>
    <w:rsid w:val="00B324EC"/>
    <w:rsid w:val="00B3294E"/>
    <w:rsid w:val="00B3295D"/>
    <w:rsid w:val="00B33429"/>
    <w:rsid w:val="00B33650"/>
    <w:rsid w:val="00B33A4E"/>
    <w:rsid w:val="00B33C7E"/>
    <w:rsid w:val="00B33CE3"/>
    <w:rsid w:val="00B33D04"/>
    <w:rsid w:val="00B33DA8"/>
    <w:rsid w:val="00B33E15"/>
    <w:rsid w:val="00B33FB3"/>
    <w:rsid w:val="00B34111"/>
    <w:rsid w:val="00B3429C"/>
    <w:rsid w:val="00B3438E"/>
    <w:rsid w:val="00B3451A"/>
    <w:rsid w:val="00B34662"/>
    <w:rsid w:val="00B34770"/>
    <w:rsid w:val="00B347DA"/>
    <w:rsid w:val="00B348B6"/>
    <w:rsid w:val="00B34ACF"/>
    <w:rsid w:val="00B34E41"/>
    <w:rsid w:val="00B350B0"/>
    <w:rsid w:val="00B35200"/>
    <w:rsid w:val="00B352B7"/>
    <w:rsid w:val="00B35332"/>
    <w:rsid w:val="00B353A5"/>
    <w:rsid w:val="00B358BD"/>
    <w:rsid w:val="00B358DF"/>
    <w:rsid w:val="00B35992"/>
    <w:rsid w:val="00B35A64"/>
    <w:rsid w:val="00B35B17"/>
    <w:rsid w:val="00B35BBE"/>
    <w:rsid w:val="00B35CCB"/>
    <w:rsid w:val="00B35EF5"/>
    <w:rsid w:val="00B360AA"/>
    <w:rsid w:val="00B362E0"/>
    <w:rsid w:val="00B363C4"/>
    <w:rsid w:val="00B36589"/>
    <w:rsid w:val="00B36924"/>
    <w:rsid w:val="00B3695C"/>
    <w:rsid w:val="00B36B5D"/>
    <w:rsid w:val="00B36D85"/>
    <w:rsid w:val="00B36DE6"/>
    <w:rsid w:val="00B37088"/>
    <w:rsid w:val="00B371A9"/>
    <w:rsid w:val="00B373C5"/>
    <w:rsid w:val="00B37697"/>
    <w:rsid w:val="00B37748"/>
    <w:rsid w:val="00B3789F"/>
    <w:rsid w:val="00B37929"/>
    <w:rsid w:val="00B37B3D"/>
    <w:rsid w:val="00B37D2E"/>
    <w:rsid w:val="00B37EA8"/>
    <w:rsid w:val="00B37F59"/>
    <w:rsid w:val="00B400D6"/>
    <w:rsid w:val="00B4016B"/>
    <w:rsid w:val="00B40537"/>
    <w:rsid w:val="00B40792"/>
    <w:rsid w:val="00B407A0"/>
    <w:rsid w:val="00B40A83"/>
    <w:rsid w:val="00B40BA2"/>
    <w:rsid w:val="00B40EAC"/>
    <w:rsid w:val="00B40F4C"/>
    <w:rsid w:val="00B41050"/>
    <w:rsid w:val="00B413E4"/>
    <w:rsid w:val="00B417B5"/>
    <w:rsid w:val="00B4199B"/>
    <w:rsid w:val="00B41AB0"/>
    <w:rsid w:val="00B41E6E"/>
    <w:rsid w:val="00B4206D"/>
    <w:rsid w:val="00B4215B"/>
    <w:rsid w:val="00B426FD"/>
    <w:rsid w:val="00B427F2"/>
    <w:rsid w:val="00B42813"/>
    <w:rsid w:val="00B42BB3"/>
    <w:rsid w:val="00B42CD5"/>
    <w:rsid w:val="00B42DFA"/>
    <w:rsid w:val="00B43074"/>
    <w:rsid w:val="00B43145"/>
    <w:rsid w:val="00B43165"/>
    <w:rsid w:val="00B431AF"/>
    <w:rsid w:val="00B43227"/>
    <w:rsid w:val="00B433CA"/>
    <w:rsid w:val="00B43599"/>
    <w:rsid w:val="00B438B8"/>
    <w:rsid w:val="00B439B4"/>
    <w:rsid w:val="00B43B8C"/>
    <w:rsid w:val="00B43CB6"/>
    <w:rsid w:val="00B43EC7"/>
    <w:rsid w:val="00B43EDC"/>
    <w:rsid w:val="00B44134"/>
    <w:rsid w:val="00B44150"/>
    <w:rsid w:val="00B4428D"/>
    <w:rsid w:val="00B44425"/>
    <w:rsid w:val="00B44441"/>
    <w:rsid w:val="00B4454A"/>
    <w:rsid w:val="00B449C7"/>
    <w:rsid w:val="00B44DF4"/>
    <w:rsid w:val="00B44F02"/>
    <w:rsid w:val="00B44F8B"/>
    <w:rsid w:val="00B44FF5"/>
    <w:rsid w:val="00B450BB"/>
    <w:rsid w:val="00B45145"/>
    <w:rsid w:val="00B45352"/>
    <w:rsid w:val="00B45633"/>
    <w:rsid w:val="00B45D39"/>
    <w:rsid w:val="00B45D86"/>
    <w:rsid w:val="00B45E66"/>
    <w:rsid w:val="00B45E91"/>
    <w:rsid w:val="00B45FC4"/>
    <w:rsid w:val="00B46028"/>
    <w:rsid w:val="00B46137"/>
    <w:rsid w:val="00B4641B"/>
    <w:rsid w:val="00B469EE"/>
    <w:rsid w:val="00B46C4B"/>
    <w:rsid w:val="00B46DA1"/>
    <w:rsid w:val="00B46E8F"/>
    <w:rsid w:val="00B46ED5"/>
    <w:rsid w:val="00B471AD"/>
    <w:rsid w:val="00B47220"/>
    <w:rsid w:val="00B475B1"/>
    <w:rsid w:val="00B475E2"/>
    <w:rsid w:val="00B476FC"/>
    <w:rsid w:val="00B4784A"/>
    <w:rsid w:val="00B4790E"/>
    <w:rsid w:val="00B47BBF"/>
    <w:rsid w:val="00B47CCF"/>
    <w:rsid w:val="00B47E12"/>
    <w:rsid w:val="00B47E39"/>
    <w:rsid w:val="00B50148"/>
    <w:rsid w:val="00B50A44"/>
    <w:rsid w:val="00B50A48"/>
    <w:rsid w:val="00B50A5E"/>
    <w:rsid w:val="00B50B8B"/>
    <w:rsid w:val="00B50C0B"/>
    <w:rsid w:val="00B50CC8"/>
    <w:rsid w:val="00B50DF1"/>
    <w:rsid w:val="00B50EDB"/>
    <w:rsid w:val="00B50F54"/>
    <w:rsid w:val="00B511A3"/>
    <w:rsid w:val="00B5178E"/>
    <w:rsid w:val="00B51870"/>
    <w:rsid w:val="00B518AA"/>
    <w:rsid w:val="00B518DA"/>
    <w:rsid w:val="00B5190E"/>
    <w:rsid w:val="00B51924"/>
    <w:rsid w:val="00B5194D"/>
    <w:rsid w:val="00B51974"/>
    <w:rsid w:val="00B51982"/>
    <w:rsid w:val="00B519DC"/>
    <w:rsid w:val="00B52304"/>
    <w:rsid w:val="00B523C8"/>
    <w:rsid w:val="00B5241C"/>
    <w:rsid w:val="00B5244F"/>
    <w:rsid w:val="00B52648"/>
    <w:rsid w:val="00B528E8"/>
    <w:rsid w:val="00B5298C"/>
    <w:rsid w:val="00B52996"/>
    <w:rsid w:val="00B52C5E"/>
    <w:rsid w:val="00B52DD6"/>
    <w:rsid w:val="00B52E1F"/>
    <w:rsid w:val="00B52EE3"/>
    <w:rsid w:val="00B530E3"/>
    <w:rsid w:val="00B532CE"/>
    <w:rsid w:val="00B53303"/>
    <w:rsid w:val="00B534BD"/>
    <w:rsid w:val="00B53782"/>
    <w:rsid w:val="00B53A33"/>
    <w:rsid w:val="00B53A37"/>
    <w:rsid w:val="00B53B28"/>
    <w:rsid w:val="00B53EF8"/>
    <w:rsid w:val="00B54172"/>
    <w:rsid w:val="00B541E3"/>
    <w:rsid w:val="00B54284"/>
    <w:rsid w:val="00B542FD"/>
    <w:rsid w:val="00B54546"/>
    <w:rsid w:val="00B5474C"/>
    <w:rsid w:val="00B54753"/>
    <w:rsid w:val="00B54853"/>
    <w:rsid w:val="00B54971"/>
    <w:rsid w:val="00B54BE5"/>
    <w:rsid w:val="00B54F53"/>
    <w:rsid w:val="00B55481"/>
    <w:rsid w:val="00B55488"/>
    <w:rsid w:val="00B559B6"/>
    <w:rsid w:val="00B55C33"/>
    <w:rsid w:val="00B55C7C"/>
    <w:rsid w:val="00B55D52"/>
    <w:rsid w:val="00B55DC8"/>
    <w:rsid w:val="00B55E39"/>
    <w:rsid w:val="00B55EF2"/>
    <w:rsid w:val="00B562EA"/>
    <w:rsid w:val="00B563AE"/>
    <w:rsid w:val="00B5643F"/>
    <w:rsid w:val="00B5674C"/>
    <w:rsid w:val="00B56992"/>
    <w:rsid w:val="00B56D66"/>
    <w:rsid w:val="00B56ECC"/>
    <w:rsid w:val="00B5739F"/>
    <w:rsid w:val="00B57436"/>
    <w:rsid w:val="00B57AEB"/>
    <w:rsid w:val="00B57CCE"/>
    <w:rsid w:val="00B57E2C"/>
    <w:rsid w:val="00B57EA9"/>
    <w:rsid w:val="00B605AC"/>
    <w:rsid w:val="00B6066A"/>
    <w:rsid w:val="00B60696"/>
    <w:rsid w:val="00B60718"/>
    <w:rsid w:val="00B60747"/>
    <w:rsid w:val="00B607EE"/>
    <w:rsid w:val="00B608E8"/>
    <w:rsid w:val="00B6092B"/>
    <w:rsid w:val="00B60C61"/>
    <w:rsid w:val="00B60DEF"/>
    <w:rsid w:val="00B60E12"/>
    <w:rsid w:val="00B6103E"/>
    <w:rsid w:val="00B612B2"/>
    <w:rsid w:val="00B6130B"/>
    <w:rsid w:val="00B61816"/>
    <w:rsid w:val="00B61923"/>
    <w:rsid w:val="00B61A45"/>
    <w:rsid w:val="00B61B3D"/>
    <w:rsid w:val="00B61DEF"/>
    <w:rsid w:val="00B61EA9"/>
    <w:rsid w:val="00B61EC8"/>
    <w:rsid w:val="00B62026"/>
    <w:rsid w:val="00B62213"/>
    <w:rsid w:val="00B6266C"/>
    <w:rsid w:val="00B627CE"/>
    <w:rsid w:val="00B6280B"/>
    <w:rsid w:val="00B62B22"/>
    <w:rsid w:val="00B62B7D"/>
    <w:rsid w:val="00B63238"/>
    <w:rsid w:val="00B6396C"/>
    <w:rsid w:val="00B63B3F"/>
    <w:rsid w:val="00B64016"/>
    <w:rsid w:val="00B640E7"/>
    <w:rsid w:val="00B64179"/>
    <w:rsid w:val="00B642ED"/>
    <w:rsid w:val="00B6433E"/>
    <w:rsid w:val="00B64370"/>
    <w:rsid w:val="00B643C5"/>
    <w:rsid w:val="00B6457B"/>
    <w:rsid w:val="00B645C6"/>
    <w:rsid w:val="00B6480F"/>
    <w:rsid w:val="00B648BE"/>
    <w:rsid w:val="00B64DDF"/>
    <w:rsid w:val="00B64FFF"/>
    <w:rsid w:val="00B6506A"/>
    <w:rsid w:val="00B653E7"/>
    <w:rsid w:val="00B653EB"/>
    <w:rsid w:val="00B65B4C"/>
    <w:rsid w:val="00B662B0"/>
    <w:rsid w:val="00B66399"/>
    <w:rsid w:val="00B663FB"/>
    <w:rsid w:val="00B66402"/>
    <w:rsid w:val="00B6644A"/>
    <w:rsid w:val="00B669FB"/>
    <w:rsid w:val="00B66A1C"/>
    <w:rsid w:val="00B66A6A"/>
    <w:rsid w:val="00B66C9A"/>
    <w:rsid w:val="00B66FE0"/>
    <w:rsid w:val="00B6731C"/>
    <w:rsid w:val="00B67323"/>
    <w:rsid w:val="00B67434"/>
    <w:rsid w:val="00B6798D"/>
    <w:rsid w:val="00B679CA"/>
    <w:rsid w:val="00B67A25"/>
    <w:rsid w:val="00B67E66"/>
    <w:rsid w:val="00B7006E"/>
    <w:rsid w:val="00B7071E"/>
    <w:rsid w:val="00B707A6"/>
    <w:rsid w:val="00B708BB"/>
    <w:rsid w:val="00B7091A"/>
    <w:rsid w:val="00B70B12"/>
    <w:rsid w:val="00B70C0D"/>
    <w:rsid w:val="00B70DE7"/>
    <w:rsid w:val="00B71047"/>
    <w:rsid w:val="00B71369"/>
    <w:rsid w:val="00B713FB"/>
    <w:rsid w:val="00B71853"/>
    <w:rsid w:val="00B71925"/>
    <w:rsid w:val="00B71F69"/>
    <w:rsid w:val="00B72251"/>
    <w:rsid w:val="00B72800"/>
    <w:rsid w:val="00B72F1F"/>
    <w:rsid w:val="00B73194"/>
    <w:rsid w:val="00B738A7"/>
    <w:rsid w:val="00B73919"/>
    <w:rsid w:val="00B73BA4"/>
    <w:rsid w:val="00B73D89"/>
    <w:rsid w:val="00B73FC3"/>
    <w:rsid w:val="00B742F0"/>
    <w:rsid w:val="00B7434D"/>
    <w:rsid w:val="00B744DE"/>
    <w:rsid w:val="00B746FF"/>
    <w:rsid w:val="00B74CFA"/>
    <w:rsid w:val="00B74EEC"/>
    <w:rsid w:val="00B75194"/>
    <w:rsid w:val="00B75376"/>
    <w:rsid w:val="00B753A5"/>
    <w:rsid w:val="00B75446"/>
    <w:rsid w:val="00B754DE"/>
    <w:rsid w:val="00B75872"/>
    <w:rsid w:val="00B75C1A"/>
    <w:rsid w:val="00B75D85"/>
    <w:rsid w:val="00B75FC9"/>
    <w:rsid w:val="00B763A0"/>
    <w:rsid w:val="00B763AB"/>
    <w:rsid w:val="00B76496"/>
    <w:rsid w:val="00B7716B"/>
    <w:rsid w:val="00B7718E"/>
    <w:rsid w:val="00B771F1"/>
    <w:rsid w:val="00B773B2"/>
    <w:rsid w:val="00B77419"/>
    <w:rsid w:val="00B775CD"/>
    <w:rsid w:val="00B77640"/>
    <w:rsid w:val="00B777B1"/>
    <w:rsid w:val="00B77844"/>
    <w:rsid w:val="00B779A3"/>
    <w:rsid w:val="00B77BAE"/>
    <w:rsid w:val="00B77C24"/>
    <w:rsid w:val="00B77F5D"/>
    <w:rsid w:val="00B77F6D"/>
    <w:rsid w:val="00B80025"/>
    <w:rsid w:val="00B800B9"/>
    <w:rsid w:val="00B80167"/>
    <w:rsid w:val="00B80186"/>
    <w:rsid w:val="00B802E0"/>
    <w:rsid w:val="00B80D2D"/>
    <w:rsid w:val="00B80EC8"/>
    <w:rsid w:val="00B810B6"/>
    <w:rsid w:val="00B811BF"/>
    <w:rsid w:val="00B8158F"/>
    <w:rsid w:val="00B81A62"/>
    <w:rsid w:val="00B81AAB"/>
    <w:rsid w:val="00B81B10"/>
    <w:rsid w:val="00B81B3B"/>
    <w:rsid w:val="00B81C15"/>
    <w:rsid w:val="00B81CBD"/>
    <w:rsid w:val="00B82048"/>
    <w:rsid w:val="00B82967"/>
    <w:rsid w:val="00B829CE"/>
    <w:rsid w:val="00B829E1"/>
    <w:rsid w:val="00B82B8B"/>
    <w:rsid w:val="00B82BE1"/>
    <w:rsid w:val="00B82CDB"/>
    <w:rsid w:val="00B82CFD"/>
    <w:rsid w:val="00B82F1E"/>
    <w:rsid w:val="00B82FB5"/>
    <w:rsid w:val="00B83010"/>
    <w:rsid w:val="00B833B6"/>
    <w:rsid w:val="00B834F4"/>
    <w:rsid w:val="00B83846"/>
    <w:rsid w:val="00B8399E"/>
    <w:rsid w:val="00B839A4"/>
    <w:rsid w:val="00B83A5D"/>
    <w:rsid w:val="00B83DBC"/>
    <w:rsid w:val="00B83F94"/>
    <w:rsid w:val="00B83FD0"/>
    <w:rsid w:val="00B841BA"/>
    <w:rsid w:val="00B842DA"/>
    <w:rsid w:val="00B84865"/>
    <w:rsid w:val="00B84C61"/>
    <w:rsid w:val="00B84D5F"/>
    <w:rsid w:val="00B84DA0"/>
    <w:rsid w:val="00B84F09"/>
    <w:rsid w:val="00B8507B"/>
    <w:rsid w:val="00B850BB"/>
    <w:rsid w:val="00B850D4"/>
    <w:rsid w:val="00B85102"/>
    <w:rsid w:val="00B85199"/>
    <w:rsid w:val="00B851C8"/>
    <w:rsid w:val="00B85719"/>
    <w:rsid w:val="00B85927"/>
    <w:rsid w:val="00B85AFF"/>
    <w:rsid w:val="00B85EE6"/>
    <w:rsid w:val="00B86082"/>
    <w:rsid w:val="00B8629F"/>
    <w:rsid w:val="00B866B2"/>
    <w:rsid w:val="00B867FD"/>
    <w:rsid w:val="00B86828"/>
    <w:rsid w:val="00B86A4A"/>
    <w:rsid w:val="00B86AFB"/>
    <w:rsid w:val="00B86B27"/>
    <w:rsid w:val="00B86C1B"/>
    <w:rsid w:val="00B86D8D"/>
    <w:rsid w:val="00B86DE3"/>
    <w:rsid w:val="00B87628"/>
    <w:rsid w:val="00B87B62"/>
    <w:rsid w:val="00B87DF5"/>
    <w:rsid w:val="00B90522"/>
    <w:rsid w:val="00B90AAD"/>
    <w:rsid w:val="00B90C1D"/>
    <w:rsid w:val="00B90C7C"/>
    <w:rsid w:val="00B91062"/>
    <w:rsid w:val="00B91118"/>
    <w:rsid w:val="00B9111D"/>
    <w:rsid w:val="00B913A5"/>
    <w:rsid w:val="00B913F4"/>
    <w:rsid w:val="00B91477"/>
    <w:rsid w:val="00B9163B"/>
    <w:rsid w:val="00B91677"/>
    <w:rsid w:val="00B916BA"/>
    <w:rsid w:val="00B91801"/>
    <w:rsid w:val="00B9188A"/>
    <w:rsid w:val="00B9188C"/>
    <w:rsid w:val="00B920B8"/>
    <w:rsid w:val="00B9230B"/>
    <w:rsid w:val="00B92424"/>
    <w:rsid w:val="00B9266C"/>
    <w:rsid w:val="00B926D3"/>
    <w:rsid w:val="00B92A03"/>
    <w:rsid w:val="00B92A9B"/>
    <w:rsid w:val="00B92ADE"/>
    <w:rsid w:val="00B92AFD"/>
    <w:rsid w:val="00B92B1D"/>
    <w:rsid w:val="00B92CA3"/>
    <w:rsid w:val="00B92E9A"/>
    <w:rsid w:val="00B930D7"/>
    <w:rsid w:val="00B931BD"/>
    <w:rsid w:val="00B93252"/>
    <w:rsid w:val="00B935A5"/>
    <w:rsid w:val="00B93849"/>
    <w:rsid w:val="00B93930"/>
    <w:rsid w:val="00B9395B"/>
    <w:rsid w:val="00B94188"/>
    <w:rsid w:val="00B944AE"/>
    <w:rsid w:val="00B94608"/>
    <w:rsid w:val="00B94A4F"/>
    <w:rsid w:val="00B94B37"/>
    <w:rsid w:val="00B94FD2"/>
    <w:rsid w:val="00B953E8"/>
    <w:rsid w:val="00B954DF"/>
    <w:rsid w:val="00B956AB"/>
    <w:rsid w:val="00B957F6"/>
    <w:rsid w:val="00B958E1"/>
    <w:rsid w:val="00B959EB"/>
    <w:rsid w:val="00B95BC4"/>
    <w:rsid w:val="00B96265"/>
    <w:rsid w:val="00B9633E"/>
    <w:rsid w:val="00B96567"/>
    <w:rsid w:val="00B9659D"/>
    <w:rsid w:val="00B96619"/>
    <w:rsid w:val="00B967F5"/>
    <w:rsid w:val="00B9696C"/>
    <w:rsid w:val="00B96D38"/>
    <w:rsid w:val="00B96D39"/>
    <w:rsid w:val="00B96DF6"/>
    <w:rsid w:val="00B96ED6"/>
    <w:rsid w:val="00B96F4F"/>
    <w:rsid w:val="00B97462"/>
    <w:rsid w:val="00B97562"/>
    <w:rsid w:val="00B97739"/>
    <w:rsid w:val="00B979AD"/>
    <w:rsid w:val="00B97CBB"/>
    <w:rsid w:val="00B97CD6"/>
    <w:rsid w:val="00B97EE2"/>
    <w:rsid w:val="00BA01A0"/>
    <w:rsid w:val="00BA07F5"/>
    <w:rsid w:val="00BA0875"/>
    <w:rsid w:val="00BA09B3"/>
    <w:rsid w:val="00BA0C1C"/>
    <w:rsid w:val="00BA0D39"/>
    <w:rsid w:val="00BA0F50"/>
    <w:rsid w:val="00BA0F54"/>
    <w:rsid w:val="00BA1020"/>
    <w:rsid w:val="00BA115C"/>
    <w:rsid w:val="00BA1239"/>
    <w:rsid w:val="00BA12D2"/>
    <w:rsid w:val="00BA135B"/>
    <w:rsid w:val="00BA15D7"/>
    <w:rsid w:val="00BA171C"/>
    <w:rsid w:val="00BA1723"/>
    <w:rsid w:val="00BA188C"/>
    <w:rsid w:val="00BA1A0D"/>
    <w:rsid w:val="00BA1C90"/>
    <w:rsid w:val="00BA1CD3"/>
    <w:rsid w:val="00BA1D71"/>
    <w:rsid w:val="00BA1DDF"/>
    <w:rsid w:val="00BA1E4B"/>
    <w:rsid w:val="00BA1F5A"/>
    <w:rsid w:val="00BA257B"/>
    <w:rsid w:val="00BA26F7"/>
    <w:rsid w:val="00BA2763"/>
    <w:rsid w:val="00BA27C3"/>
    <w:rsid w:val="00BA27DF"/>
    <w:rsid w:val="00BA2B49"/>
    <w:rsid w:val="00BA2DDB"/>
    <w:rsid w:val="00BA3194"/>
    <w:rsid w:val="00BA32BA"/>
    <w:rsid w:val="00BA34F7"/>
    <w:rsid w:val="00BA37AE"/>
    <w:rsid w:val="00BA3854"/>
    <w:rsid w:val="00BA387C"/>
    <w:rsid w:val="00BA3897"/>
    <w:rsid w:val="00BA3A32"/>
    <w:rsid w:val="00BA3CD6"/>
    <w:rsid w:val="00BA3E04"/>
    <w:rsid w:val="00BA3E62"/>
    <w:rsid w:val="00BA4051"/>
    <w:rsid w:val="00BA4052"/>
    <w:rsid w:val="00BA4119"/>
    <w:rsid w:val="00BA41B7"/>
    <w:rsid w:val="00BA42A8"/>
    <w:rsid w:val="00BA44CB"/>
    <w:rsid w:val="00BA476D"/>
    <w:rsid w:val="00BA4DBA"/>
    <w:rsid w:val="00BA528D"/>
    <w:rsid w:val="00BA5399"/>
    <w:rsid w:val="00BA5426"/>
    <w:rsid w:val="00BA5590"/>
    <w:rsid w:val="00BA55AD"/>
    <w:rsid w:val="00BA5910"/>
    <w:rsid w:val="00BA5DAD"/>
    <w:rsid w:val="00BA5ED0"/>
    <w:rsid w:val="00BA602C"/>
    <w:rsid w:val="00BA62B6"/>
    <w:rsid w:val="00BA65F3"/>
    <w:rsid w:val="00BA672B"/>
    <w:rsid w:val="00BA684B"/>
    <w:rsid w:val="00BA6EA8"/>
    <w:rsid w:val="00BA708F"/>
    <w:rsid w:val="00BA70F9"/>
    <w:rsid w:val="00BA7368"/>
    <w:rsid w:val="00BA7474"/>
    <w:rsid w:val="00BA747D"/>
    <w:rsid w:val="00BA7723"/>
    <w:rsid w:val="00BA7750"/>
    <w:rsid w:val="00BA7917"/>
    <w:rsid w:val="00BA7AF3"/>
    <w:rsid w:val="00BA7B4D"/>
    <w:rsid w:val="00BA7F2B"/>
    <w:rsid w:val="00BA7F5B"/>
    <w:rsid w:val="00BB0069"/>
    <w:rsid w:val="00BB0129"/>
    <w:rsid w:val="00BB01B9"/>
    <w:rsid w:val="00BB0287"/>
    <w:rsid w:val="00BB0510"/>
    <w:rsid w:val="00BB05A3"/>
    <w:rsid w:val="00BB05F3"/>
    <w:rsid w:val="00BB0620"/>
    <w:rsid w:val="00BB0637"/>
    <w:rsid w:val="00BB0753"/>
    <w:rsid w:val="00BB07A4"/>
    <w:rsid w:val="00BB07E7"/>
    <w:rsid w:val="00BB0BEB"/>
    <w:rsid w:val="00BB0C6E"/>
    <w:rsid w:val="00BB0E23"/>
    <w:rsid w:val="00BB0E57"/>
    <w:rsid w:val="00BB10DE"/>
    <w:rsid w:val="00BB13C2"/>
    <w:rsid w:val="00BB14CA"/>
    <w:rsid w:val="00BB17AD"/>
    <w:rsid w:val="00BB184B"/>
    <w:rsid w:val="00BB1A69"/>
    <w:rsid w:val="00BB1CEA"/>
    <w:rsid w:val="00BB21C5"/>
    <w:rsid w:val="00BB2401"/>
    <w:rsid w:val="00BB2481"/>
    <w:rsid w:val="00BB2516"/>
    <w:rsid w:val="00BB2696"/>
    <w:rsid w:val="00BB26BB"/>
    <w:rsid w:val="00BB282D"/>
    <w:rsid w:val="00BB2BC4"/>
    <w:rsid w:val="00BB2CEF"/>
    <w:rsid w:val="00BB3172"/>
    <w:rsid w:val="00BB346C"/>
    <w:rsid w:val="00BB3549"/>
    <w:rsid w:val="00BB3681"/>
    <w:rsid w:val="00BB394B"/>
    <w:rsid w:val="00BB3C11"/>
    <w:rsid w:val="00BB41A4"/>
    <w:rsid w:val="00BB426B"/>
    <w:rsid w:val="00BB4477"/>
    <w:rsid w:val="00BB477C"/>
    <w:rsid w:val="00BB49E5"/>
    <w:rsid w:val="00BB4B95"/>
    <w:rsid w:val="00BB4CC1"/>
    <w:rsid w:val="00BB527E"/>
    <w:rsid w:val="00BB53EA"/>
    <w:rsid w:val="00BB556E"/>
    <w:rsid w:val="00BB5629"/>
    <w:rsid w:val="00BB5757"/>
    <w:rsid w:val="00BB5CB1"/>
    <w:rsid w:val="00BB5E5F"/>
    <w:rsid w:val="00BB60BF"/>
    <w:rsid w:val="00BB6654"/>
    <w:rsid w:val="00BB680A"/>
    <w:rsid w:val="00BB69E3"/>
    <w:rsid w:val="00BB6D2A"/>
    <w:rsid w:val="00BB6D6E"/>
    <w:rsid w:val="00BB6D78"/>
    <w:rsid w:val="00BB6E14"/>
    <w:rsid w:val="00BB6EA2"/>
    <w:rsid w:val="00BB6F26"/>
    <w:rsid w:val="00BB728F"/>
    <w:rsid w:val="00BB7392"/>
    <w:rsid w:val="00BB75F4"/>
    <w:rsid w:val="00BB777D"/>
    <w:rsid w:val="00BB784B"/>
    <w:rsid w:val="00BB7902"/>
    <w:rsid w:val="00BB7996"/>
    <w:rsid w:val="00BB79BE"/>
    <w:rsid w:val="00BB7C51"/>
    <w:rsid w:val="00BB7CE9"/>
    <w:rsid w:val="00BB7D10"/>
    <w:rsid w:val="00BB7E9E"/>
    <w:rsid w:val="00BC0244"/>
    <w:rsid w:val="00BC0271"/>
    <w:rsid w:val="00BC08FA"/>
    <w:rsid w:val="00BC0B9E"/>
    <w:rsid w:val="00BC1060"/>
    <w:rsid w:val="00BC10B5"/>
    <w:rsid w:val="00BC1294"/>
    <w:rsid w:val="00BC138B"/>
    <w:rsid w:val="00BC1450"/>
    <w:rsid w:val="00BC153D"/>
    <w:rsid w:val="00BC16C6"/>
    <w:rsid w:val="00BC1715"/>
    <w:rsid w:val="00BC19FF"/>
    <w:rsid w:val="00BC1B5B"/>
    <w:rsid w:val="00BC1C03"/>
    <w:rsid w:val="00BC240B"/>
    <w:rsid w:val="00BC257B"/>
    <w:rsid w:val="00BC2737"/>
    <w:rsid w:val="00BC2D09"/>
    <w:rsid w:val="00BC2E13"/>
    <w:rsid w:val="00BC35C3"/>
    <w:rsid w:val="00BC384A"/>
    <w:rsid w:val="00BC3D6E"/>
    <w:rsid w:val="00BC3E46"/>
    <w:rsid w:val="00BC401D"/>
    <w:rsid w:val="00BC4087"/>
    <w:rsid w:val="00BC40AE"/>
    <w:rsid w:val="00BC44B2"/>
    <w:rsid w:val="00BC455C"/>
    <w:rsid w:val="00BC4CD7"/>
    <w:rsid w:val="00BC4FD1"/>
    <w:rsid w:val="00BC4FE5"/>
    <w:rsid w:val="00BC518F"/>
    <w:rsid w:val="00BC51C3"/>
    <w:rsid w:val="00BC60DF"/>
    <w:rsid w:val="00BC6273"/>
    <w:rsid w:val="00BC6446"/>
    <w:rsid w:val="00BC64F2"/>
    <w:rsid w:val="00BC658E"/>
    <w:rsid w:val="00BC673E"/>
    <w:rsid w:val="00BC693E"/>
    <w:rsid w:val="00BC694A"/>
    <w:rsid w:val="00BC697C"/>
    <w:rsid w:val="00BC6A7B"/>
    <w:rsid w:val="00BC6BB6"/>
    <w:rsid w:val="00BC6DEB"/>
    <w:rsid w:val="00BC702C"/>
    <w:rsid w:val="00BC7588"/>
    <w:rsid w:val="00BC758C"/>
    <w:rsid w:val="00BC7805"/>
    <w:rsid w:val="00BC7A87"/>
    <w:rsid w:val="00BC7CF0"/>
    <w:rsid w:val="00BC7DFA"/>
    <w:rsid w:val="00BD036C"/>
    <w:rsid w:val="00BD0417"/>
    <w:rsid w:val="00BD0A4B"/>
    <w:rsid w:val="00BD0D30"/>
    <w:rsid w:val="00BD10D9"/>
    <w:rsid w:val="00BD14D5"/>
    <w:rsid w:val="00BD1554"/>
    <w:rsid w:val="00BD1699"/>
    <w:rsid w:val="00BD1C24"/>
    <w:rsid w:val="00BD1CC1"/>
    <w:rsid w:val="00BD1E35"/>
    <w:rsid w:val="00BD2537"/>
    <w:rsid w:val="00BD26D8"/>
    <w:rsid w:val="00BD2984"/>
    <w:rsid w:val="00BD316E"/>
    <w:rsid w:val="00BD32C4"/>
    <w:rsid w:val="00BD3442"/>
    <w:rsid w:val="00BD3725"/>
    <w:rsid w:val="00BD399D"/>
    <w:rsid w:val="00BD3B6F"/>
    <w:rsid w:val="00BD3B7A"/>
    <w:rsid w:val="00BD3D68"/>
    <w:rsid w:val="00BD3E11"/>
    <w:rsid w:val="00BD43F0"/>
    <w:rsid w:val="00BD47C6"/>
    <w:rsid w:val="00BD4A1F"/>
    <w:rsid w:val="00BD4A65"/>
    <w:rsid w:val="00BD4C62"/>
    <w:rsid w:val="00BD4D47"/>
    <w:rsid w:val="00BD51D0"/>
    <w:rsid w:val="00BD526A"/>
    <w:rsid w:val="00BD53AD"/>
    <w:rsid w:val="00BD53D1"/>
    <w:rsid w:val="00BD5688"/>
    <w:rsid w:val="00BD5970"/>
    <w:rsid w:val="00BD59C4"/>
    <w:rsid w:val="00BD5A2A"/>
    <w:rsid w:val="00BD5B75"/>
    <w:rsid w:val="00BD5CCA"/>
    <w:rsid w:val="00BD605E"/>
    <w:rsid w:val="00BD607A"/>
    <w:rsid w:val="00BD6267"/>
    <w:rsid w:val="00BD6BCD"/>
    <w:rsid w:val="00BD6BFE"/>
    <w:rsid w:val="00BD6DA4"/>
    <w:rsid w:val="00BD6DAE"/>
    <w:rsid w:val="00BD7AE5"/>
    <w:rsid w:val="00BE0484"/>
    <w:rsid w:val="00BE06DA"/>
    <w:rsid w:val="00BE08C7"/>
    <w:rsid w:val="00BE0D05"/>
    <w:rsid w:val="00BE106B"/>
    <w:rsid w:val="00BE10DC"/>
    <w:rsid w:val="00BE1365"/>
    <w:rsid w:val="00BE13E2"/>
    <w:rsid w:val="00BE1A23"/>
    <w:rsid w:val="00BE1C63"/>
    <w:rsid w:val="00BE1DA5"/>
    <w:rsid w:val="00BE1FBE"/>
    <w:rsid w:val="00BE264A"/>
    <w:rsid w:val="00BE2881"/>
    <w:rsid w:val="00BE2C38"/>
    <w:rsid w:val="00BE32D4"/>
    <w:rsid w:val="00BE35A7"/>
    <w:rsid w:val="00BE3970"/>
    <w:rsid w:val="00BE3ABE"/>
    <w:rsid w:val="00BE3B3E"/>
    <w:rsid w:val="00BE3BB7"/>
    <w:rsid w:val="00BE410E"/>
    <w:rsid w:val="00BE41A0"/>
    <w:rsid w:val="00BE42AD"/>
    <w:rsid w:val="00BE4338"/>
    <w:rsid w:val="00BE4359"/>
    <w:rsid w:val="00BE456B"/>
    <w:rsid w:val="00BE4784"/>
    <w:rsid w:val="00BE4AEF"/>
    <w:rsid w:val="00BE4B44"/>
    <w:rsid w:val="00BE4C97"/>
    <w:rsid w:val="00BE506D"/>
    <w:rsid w:val="00BE52DE"/>
    <w:rsid w:val="00BE53DE"/>
    <w:rsid w:val="00BE556E"/>
    <w:rsid w:val="00BE6103"/>
    <w:rsid w:val="00BE61A9"/>
    <w:rsid w:val="00BE61FA"/>
    <w:rsid w:val="00BE66B5"/>
    <w:rsid w:val="00BE6AF8"/>
    <w:rsid w:val="00BE6C56"/>
    <w:rsid w:val="00BE6DB0"/>
    <w:rsid w:val="00BE6E55"/>
    <w:rsid w:val="00BE6E61"/>
    <w:rsid w:val="00BE6E7E"/>
    <w:rsid w:val="00BE7074"/>
    <w:rsid w:val="00BE725C"/>
    <w:rsid w:val="00BE77C3"/>
    <w:rsid w:val="00BE79BD"/>
    <w:rsid w:val="00BE7ADC"/>
    <w:rsid w:val="00BE7B8B"/>
    <w:rsid w:val="00BE7EF8"/>
    <w:rsid w:val="00BF00AB"/>
    <w:rsid w:val="00BF0623"/>
    <w:rsid w:val="00BF0C46"/>
    <w:rsid w:val="00BF0CF1"/>
    <w:rsid w:val="00BF0EAA"/>
    <w:rsid w:val="00BF11D9"/>
    <w:rsid w:val="00BF191D"/>
    <w:rsid w:val="00BF1C2C"/>
    <w:rsid w:val="00BF1F7B"/>
    <w:rsid w:val="00BF1FA7"/>
    <w:rsid w:val="00BF23BA"/>
    <w:rsid w:val="00BF2510"/>
    <w:rsid w:val="00BF25CD"/>
    <w:rsid w:val="00BF265A"/>
    <w:rsid w:val="00BF2B26"/>
    <w:rsid w:val="00BF2DF1"/>
    <w:rsid w:val="00BF2E1A"/>
    <w:rsid w:val="00BF2FF2"/>
    <w:rsid w:val="00BF304D"/>
    <w:rsid w:val="00BF3127"/>
    <w:rsid w:val="00BF3352"/>
    <w:rsid w:val="00BF35D7"/>
    <w:rsid w:val="00BF369E"/>
    <w:rsid w:val="00BF370D"/>
    <w:rsid w:val="00BF39A3"/>
    <w:rsid w:val="00BF3ADA"/>
    <w:rsid w:val="00BF3B1D"/>
    <w:rsid w:val="00BF3B2F"/>
    <w:rsid w:val="00BF3B3F"/>
    <w:rsid w:val="00BF3B44"/>
    <w:rsid w:val="00BF4728"/>
    <w:rsid w:val="00BF4A28"/>
    <w:rsid w:val="00BF5628"/>
    <w:rsid w:val="00BF56CE"/>
    <w:rsid w:val="00BF5713"/>
    <w:rsid w:val="00BF5938"/>
    <w:rsid w:val="00BF5ABA"/>
    <w:rsid w:val="00BF5B5A"/>
    <w:rsid w:val="00BF602E"/>
    <w:rsid w:val="00BF6402"/>
    <w:rsid w:val="00BF6459"/>
    <w:rsid w:val="00BF65B5"/>
    <w:rsid w:val="00BF66E8"/>
    <w:rsid w:val="00BF6835"/>
    <w:rsid w:val="00BF68DD"/>
    <w:rsid w:val="00BF6BAC"/>
    <w:rsid w:val="00BF6C5E"/>
    <w:rsid w:val="00BF6C8F"/>
    <w:rsid w:val="00BF6D29"/>
    <w:rsid w:val="00BF6F9E"/>
    <w:rsid w:val="00BF70C7"/>
    <w:rsid w:val="00BF7125"/>
    <w:rsid w:val="00BF72A1"/>
    <w:rsid w:val="00BF7569"/>
    <w:rsid w:val="00BF78DC"/>
    <w:rsid w:val="00BF7A64"/>
    <w:rsid w:val="00BF7A79"/>
    <w:rsid w:val="00BF7CE7"/>
    <w:rsid w:val="00BF7FC4"/>
    <w:rsid w:val="00C0004D"/>
    <w:rsid w:val="00C002D6"/>
    <w:rsid w:val="00C00357"/>
    <w:rsid w:val="00C0099B"/>
    <w:rsid w:val="00C00CF1"/>
    <w:rsid w:val="00C00E1F"/>
    <w:rsid w:val="00C01194"/>
    <w:rsid w:val="00C0119C"/>
    <w:rsid w:val="00C01627"/>
    <w:rsid w:val="00C0193C"/>
    <w:rsid w:val="00C019DF"/>
    <w:rsid w:val="00C01A23"/>
    <w:rsid w:val="00C01BE1"/>
    <w:rsid w:val="00C01DF7"/>
    <w:rsid w:val="00C01E04"/>
    <w:rsid w:val="00C01E79"/>
    <w:rsid w:val="00C02218"/>
    <w:rsid w:val="00C023F8"/>
    <w:rsid w:val="00C025F1"/>
    <w:rsid w:val="00C02690"/>
    <w:rsid w:val="00C02997"/>
    <w:rsid w:val="00C02C32"/>
    <w:rsid w:val="00C02C9D"/>
    <w:rsid w:val="00C03348"/>
    <w:rsid w:val="00C034A8"/>
    <w:rsid w:val="00C035D0"/>
    <w:rsid w:val="00C0362B"/>
    <w:rsid w:val="00C03732"/>
    <w:rsid w:val="00C03777"/>
    <w:rsid w:val="00C03A17"/>
    <w:rsid w:val="00C03AE4"/>
    <w:rsid w:val="00C03BA4"/>
    <w:rsid w:val="00C03CF8"/>
    <w:rsid w:val="00C03F3B"/>
    <w:rsid w:val="00C03FE5"/>
    <w:rsid w:val="00C0442B"/>
    <w:rsid w:val="00C044B5"/>
    <w:rsid w:val="00C046B2"/>
    <w:rsid w:val="00C0475D"/>
    <w:rsid w:val="00C04B47"/>
    <w:rsid w:val="00C04B83"/>
    <w:rsid w:val="00C04CD3"/>
    <w:rsid w:val="00C04D51"/>
    <w:rsid w:val="00C04DE2"/>
    <w:rsid w:val="00C04E87"/>
    <w:rsid w:val="00C05413"/>
    <w:rsid w:val="00C054C3"/>
    <w:rsid w:val="00C05743"/>
    <w:rsid w:val="00C05C36"/>
    <w:rsid w:val="00C0604E"/>
    <w:rsid w:val="00C06091"/>
    <w:rsid w:val="00C060C6"/>
    <w:rsid w:val="00C0616E"/>
    <w:rsid w:val="00C063B5"/>
    <w:rsid w:val="00C06627"/>
    <w:rsid w:val="00C066BA"/>
    <w:rsid w:val="00C06939"/>
    <w:rsid w:val="00C06B1C"/>
    <w:rsid w:val="00C07456"/>
    <w:rsid w:val="00C074E3"/>
    <w:rsid w:val="00C077E2"/>
    <w:rsid w:val="00C07950"/>
    <w:rsid w:val="00C07A4A"/>
    <w:rsid w:val="00C07B02"/>
    <w:rsid w:val="00C07D6C"/>
    <w:rsid w:val="00C07DD8"/>
    <w:rsid w:val="00C07EFF"/>
    <w:rsid w:val="00C10009"/>
    <w:rsid w:val="00C100A1"/>
    <w:rsid w:val="00C103B1"/>
    <w:rsid w:val="00C1096D"/>
    <w:rsid w:val="00C10ACB"/>
    <w:rsid w:val="00C11205"/>
    <w:rsid w:val="00C1127D"/>
    <w:rsid w:val="00C1145D"/>
    <w:rsid w:val="00C11534"/>
    <w:rsid w:val="00C115DD"/>
    <w:rsid w:val="00C118D4"/>
    <w:rsid w:val="00C11A48"/>
    <w:rsid w:val="00C11BED"/>
    <w:rsid w:val="00C121C9"/>
    <w:rsid w:val="00C1272A"/>
    <w:rsid w:val="00C12A19"/>
    <w:rsid w:val="00C12A78"/>
    <w:rsid w:val="00C12ABF"/>
    <w:rsid w:val="00C12DFE"/>
    <w:rsid w:val="00C12E03"/>
    <w:rsid w:val="00C12EC4"/>
    <w:rsid w:val="00C1314C"/>
    <w:rsid w:val="00C13250"/>
    <w:rsid w:val="00C13267"/>
    <w:rsid w:val="00C13442"/>
    <w:rsid w:val="00C1348C"/>
    <w:rsid w:val="00C1360F"/>
    <w:rsid w:val="00C1395E"/>
    <w:rsid w:val="00C13A69"/>
    <w:rsid w:val="00C13B53"/>
    <w:rsid w:val="00C13B7B"/>
    <w:rsid w:val="00C13E7D"/>
    <w:rsid w:val="00C13FA3"/>
    <w:rsid w:val="00C14837"/>
    <w:rsid w:val="00C14A57"/>
    <w:rsid w:val="00C14A9A"/>
    <w:rsid w:val="00C14AF7"/>
    <w:rsid w:val="00C14B3D"/>
    <w:rsid w:val="00C14B54"/>
    <w:rsid w:val="00C14FBE"/>
    <w:rsid w:val="00C151A5"/>
    <w:rsid w:val="00C151E3"/>
    <w:rsid w:val="00C15217"/>
    <w:rsid w:val="00C15443"/>
    <w:rsid w:val="00C1562C"/>
    <w:rsid w:val="00C15BEA"/>
    <w:rsid w:val="00C15D60"/>
    <w:rsid w:val="00C15E70"/>
    <w:rsid w:val="00C15EF9"/>
    <w:rsid w:val="00C160C0"/>
    <w:rsid w:val="00C1615F"/>
    <w:rsid w:val="00C16297"/>
    <w:rsid w:val="00C169E7"/>
    <w:rsid w:val="00C16BCE"/>
    <w:rsid w:val="00C16CB9"/>
    <w:rsid w:val="00C16D74"/>
    <w:rsid w:val="00C16F14"/>
    <w:rsid w:val="00C17271"/>
    <w:rsid w:val="00C1757F"/>
    <w:rsid w:val="00C176E7"/>
    <w:rsid w:val="00C178FF"/>
    <w:rsid w:val="00C1799E"/>
    <w:rsid w:val="00C17D29"/>
    <w:rsid w:val="00C20017"/>
    <w:rsid w:val="00C2030C"/>
    <w:rsid w:val="00C20A47"/>
    <w:rsid w:val="00C20CC7"/>
    <w:rsid w:val="00C20CD1"/>
    <w:rsid w:val="00C20E9D"/>
    <w:rsid w:val="00C20F2D"/>
    <w:rsid w:val="00C210DE"/>
    <w:rsid w:val="00C21109"/>
    <w:rsid w:val="00C2110C"/>
    <w:rsid w:val="00C217A0"/>
    <w:rsid w:val="00C21DBC"/>
    <w:rsid w:val="00C21EE3"/>
    <w:rsid w:val="00C21F31"/>
    <w:rsid w:val="00C2200E"/>
    <w:rsid w:val="00C2237D"/>
    <w:rsid w:val="00C2269A"/>
    <w:rsid w:val="00C2289A"/>
    <w:rsid w:val="00C22A39"/>
    <w:rsid w:val="00C22B6D"/>
    <w:rsid w:val="00C22CEB"/>
    <w:rsid w:val="00C22FCC"/>
    <w:rsid w:val="00C23023"/>
    <w:rsid w:val="00C2343E"/>
    <w:rsid w:val="00C23920"/>
    <w:rsid w:val="00C239C7"/>
    <w:rsid w:val="00C23AC2"/>
    <w:rsid w:val="00C23B79"/>
    <w:rsid w:val="00C23DD3"/>
    <w:rsid w:val="00C23E67"/>
    <w:rsid w:val="00C23F99"/>
    <w:rsid w:val="00C24118"/>
    <w:rsid w:val="00C241BF"/>
    <w:rsid w:val="00C24258"/>
    <w:rsid w:val="00C2472F"/>
    <w:rsid w:val="00C2484B"/>
    <w:rsid w:val="00C24853"/>
    <w:rsid w:val="00C24B31"/>
    <w:rsid w:val="00C2538F"/>
    <w:rsid w:val="00C2554C"/>
    <w:rsid w:val="00C257B5"/>
    <w:rsid w:val="00C25911"/>
    <w:rsid w:val="00C25A83"/>
    <w:rsid w:val="00C25B1F"/>
    <w:rsid w:val="00C25E00"/>
    <w:rsid w:val="00C25E1C"/>
    <w:rsid w:val="00C25E4E"/>
    <w:rsid w:val="00C25EAC"/>
    <w:rsid w:val="00C261E3"/>
    <w:rsid w:val="00C262CF"/>
    <w:rsid w:val="00C26410"/>
    <w:rsid w:val="00C2653E"/>
    <w:rsid w:val="00C26870"/>
    <w:rsid w:val="00C26B28"/>
    <w:rsid w:val="00C26E47"/>
    <w:rsid w:val="00C26F13"/>
    <w:rsid w:val="00C273C4"/>
    <w:rsid w:val="00C274D2"/>
    <w:rsid w:val="00C27BF8"/>
    <w:rsid w:val="00C27E79"/>
    <w:rsid w:val="00C3018C"/>
    <w:rsid w:val="00C302BF"/>
    <w:rsid w:val="00C30565"/>
    <w:rsid w:val="00C309D4"/>
    <w:rsid w:val="00C30CD6"/>
    <w:rsid w:val="00C30F0D"/>
    <w:rsid w:val="00C3106A"/>
    <w:rsid w:val="00C3126C"/>
    <w:rsid w:val="00C312F5"/>
    <w:rsid w:val="00C3148B"/>
    <w:rsid w:val="00C31680"/>
    <w:rsid w:val="00C31713"/>
    <w:rsid w:val="00C31778"/>
    <w:rsid w:val="00C31C33"/>
    <w:rsid w:val="00C31D79"/>
    <w:rsid w:val="00C31FA7"/>
    <w:rsid w:val="00C320D9"/>
    <w:rsid w:val="00C32129"/>
    <w:rsid w:val="00C32497"/>
    <w:rsid w:val="00C32617"/>
    <w:rsid w:val="00C3311F"/>
    <w:rsid w:val="00C33168"/>
    <w:rsid w:val="00C33219"/>
    <w:rsid w:val="00C33276"/>
    <w:rsid w:val="00C33446"/>
    <w:rsid w:val="00C3357E"/>
    <w:rsid w:val="00C335F4"/>
    <w:rsid w:val="00C33609"/>
    <w:rsid w:val="00C337C8"/>
    <w:rsid w:val="00C337FE"/>
    <w:rsid w:val="00C33805"/>
    <w:rsid w:val="00C338C2"/>
    <w:rsid w:val="00C33C02"/>
    <w:rsid w:val="00C33C9F"/>
    <w:rsid w:val="00C33FAD"/>
    <w:rsid w:val="00C3436B"/>
    <w:rsid w:val="00C34378"/>
    <w:rsid w:val="00C34464"/>
    <w:rsid w:val="00C34468"/>
    <w:rsid w:val="00C34500"/>
    <w:rsid w:val="00C34509"/>
    <w:rsid w:val="00C347A5"/>
    <w:rsid w:val="00C34B19"/>
    <w:rsid w:val="00C34C25"/>
    <w:rsid w:val="00C34CA2"/>
    <w:rsid w:val="00C34CBE"/>
    <w:rsid w:val="00C34EF6"/>
    <w:rsid w:val="00C34F29"/>
    <w:rsid w:val="00C35287"/>
    <w:rsid w:val="00C3548F"/>
    <w:rsid w:val="00C358F5"/>
    <w:rsid w:val="00C35E87"/>
    <w:rsid w:val="00C35EF4"/>
    <w:rsid w:val="00C35F97"/>
    <w:rsid w:val="00C360A6"/>
    <w:rsid w:val="00C360F1"/>
    <w:rsid w:val="00C36156"/>
    <w:rsid w:val="00C36161"/>
    <w:rsid w:val="00C363DE"/>
    <w:rsid w:val="00C364DC"/>
    <w:rsid w:val="00C36A21"/>
    <w:rsid w:val="00C36A6C"/>
    <w:rsid w:val="00C36C0C"/>
    <w:rsid w:val="00C36F43"/>
    <w:rsid w:val="00C3735B"/>
    <w:rsid w:val="00C37443"/>
    <w:rsid w:val="00C375D4"/>
    <w:rsid w:val="00C37609"/>
    <w:rsid w:val="00C378DA"/>
    <w:rsid w:val="00C3793B"/>
    <w:rsid w:val="00C37D9F"/>
    <w:rsid w:val="00C37F15"/>
    <w:rsid w:val="00C400FE"/>
    <w:rsid w:val="00C40600"/>
    <w:rsid w:val="00C407DC"/>
    <w:rsid w:val="00C409DF"/>
    <w:rsid w:val="00C409E1"/>
    <w:rsid w:val="00C40A36"/>
    <w:rsid w:val="00C40D00"/>
    <w:rsid w:val="00C40D6F"/>
    <w:rsid w:val="00C40F2B"/>
    <w:rsid w:val="00C40F42"/>
    <w:rsid w:val="00C4136D"/>
    <w:rsid w:val="00C4138F"/>
    <w:rsid w:val="00C4157C"/>
    <w:rsid w:val="00C4199E"/>
    <w:rsid w:val="00C41B5A"/>
    <w:rsid w:val="00C41E38"/>
    <w:rsid w:val="00C41F7B"/>
    <w:rsid w:val="00C4209F"/>
    <w:rsid w:val="00C4223A"/>
    <w:rsid w:val="00C422DB"/>
    <w:rsid w:val="00C4265C"/>
    <w:rsid w:val="00C42755"/>
    <w:rsid w:val="00C427F9"/>
    <w:rsid w:val="00C428B4"/>
    <w:rsid w:val="00C42BBD"/>
    <w:rsid w:val="00C42C67"/>
    <w:rsid w:val="00C42D2E"/>
    <w:rsid w:val="00C42E2C"/>
    <w:rsid w:val="00C433AE"/>
    <w:rsid w:val="00C433CA"/>
    <w:rsid w:val="00C43672"/>
    <w:rsid w:val="00C43706"/>
    <w:rsid w:val="00C437E1"/>
    <w:rsid w:val="00C438B2"/>
    <w:rsid w:val="00C43BCE"/>
    <w:rsid w:val="00C43C76"/>
    <w:rsid w:val="00C43C83"/>
    <w:rsid w:val="00C43DB7"/>
    <w:rsid w:val="00C4411D"/>
    <w:rsid w:val="00C44534"/>
    <w:rsid w:val="00C44694"/>
    <w:rsid w:val="00C448B9"/>
    <w:rsid w:val="00C44B1C"/>
    <w:rsid w:val="00C457B0"/>
    <w:rsid w:val="00C45A1E"/>
    <w:rsid w:val="00C45A34"/>
    <w:rsid w:val="00C45AC4"/>
    <w:rsid w:val="00C461CA"/>
    <w:rsid w:val="00C46507"/>
    <w:rsid w:val="00C465C9"/>
    <w:rsid w:val="00C465D3"/>
    <w:rsid w:val="00C4683D"/>
    <w:rsid w:val="00C46936"/>
    <w:rsid w:val="00C46A42"/>
    <w:rsid w:val="00C46B2B"/>
    <w:rsid w:val="00C46EB8"/>
    <w:rsid w:val="00C470D2"/>
    <w:rsid w:val="00C47493"/>
    <w:rsid w:val="00C47BEE"/>
    <w:rsid w:val="00C47C4E"/>
    <w:rsid w:val="00C47E1B"/>
    <w:rsid w:val="00C47E9B"/>
    <w:rsid w:val="00C5006B"/>
    <w:rsid w:val="00C503FF"/>
    <w:rsid w:val="00C50708"/>
    <w:rsid w:val="00C50A50"/>
    <w:rsid w:val="00C5112F"/>
    <w:rsid w:val="00C5143A"/>
    <w:rsid w:val="00C51520"/>
    <w:rsid w:val="00C5160C"/>
    <w:rsid w:val="00C51709"/>
    <w:rsid w:val="00C519E8"/>
    <w:rsid w:val="00C51D3C"/>
    <w:rsid w:val="00C51DA0"/>
    <w:rsid w:val="00C51F19"/>
    <w:rsid w:val="00C522CF"/>
    <w:rsid w:val="00C52384"/>
    <w:rsid w:val="00C52457"/>
    <w:rsid w:val="00C52469"/>
    <w:rsid w:val="00C52655"/>
    <w:rsid w:val="00C529E5"/>
    <w:rsid w:val="00C52AE1"/>
    <w:rsid w:val="00C52B2B"/>
    <w:rsid w:val="00C52C7D"/>
    <w:rsid w:val="00C52CB6"/>
    <w:rsid w:val="00C52F50"/>
    <w:rsid w:val="00C5313E"/>
    <w:rsid w:val="00C53582"/>
    <w:rsid w:val="00C535AA"/>
    <w:rsid w:val="00C53674"/>
    <w:rsid w:val="00C5397A"/>
    <w:rsid w:val="00C53A0B"/>
    <w:rsid w:val="00C53B14"/>
    <w:rsid w:val="00C53B9B"/>
    <w:rsid w:val="00C53D24"/>
    <w:rsid w:val="00C541D6"/>
    <w:rsid w:val="00C542C4"/>
    <w:rsid w:val="00C5451A"/>
    <w:rsid w:val="00C5471B"/>
    <w:rsid w:val="00C54CA0"/>
    <w:rsid w:val="00C54D7D"/>
    <w:rsid w:val="00C54DE1"/>
    <w:rsid w:val="00C551AB"/>
    <w:rsid w:val="00C5528F"/>
    <w:rsid w:val="00C558B1"/>
    <w:rsid w:val="00C55A9F"/>
    <w:rsid w:val="00C55AB9"/>
    <w:rsid w:val="00C55B66"/>
    <w:rsid w:val="00C55F2D"/>
    <w:rsid w:val="00C56008"/>
    <w:rsid w:val="00C56015"/>
    <w:rsid w:val="00C5603E"/>
    <w:rsid w:val="00C56265"/>
    <w:rsid w:val="00C562FC"/>
    <w:rsid w:val="00C56772"/>
    <w:rsid w:val="00C56974"/>
    <w:rsid w:val="00C56C68"/>
    <w:rsid w:val="00C56D3C"/>
    <w:rsid w:val="00C57030"/>
    <w:rsid w:val="00C572FF"/>
    <w:rsid w:val="00C573D8"/>
    <w:rsid w:val="00C57415"/>
    <w:rsid w:val="00C57602"/>
    <w:rsid w:val="00C57B37"/>
    <w:rsid w:val="00C57DA8"/>
    <w:rsid w:val="00C57EBB"/>
    <w:rsid w:val="00C57EC7"/>
    <w:rsid w:val="00C601DD"/>
    <w:rsid w:val="00C60392"/>
    <w:rsid w:val="00C60536"/>
    <w:rsid w:val="00C606A7"/>
    <w:rsid w:val="00C606B6"/>
    <w:rsid w:val="00C6088D"/>
    <w:rsid w:val="00C608A1"/>
    <w:rsid w:val="00C609FA"/>
    <w:rsid w:val="00C60AD9"/>
    <w:rsid w:val="00C60CD7"/>
    <w:rsid w:val="00C60F70"/>
    <w:rsid w:val="00C61032"/>
    <w:rsid w:val="00C61054"/>
    <w:rsid w:val="00C612ED"/>
    <w:rsid w:val="00C6136E"/>
    <w:rsid w:val="00C61675"/>
    <w:rsid w:val="00C617C7"/>
    <w:rsid w:val="00C61B19"/>
    <w:rsid w:val="00C61C1E"/>
    <w:rsid w:val="00C61CBE"/>
    <w:rsid w:val="00C61D9E"/>
    <w:rsid w:val="00C61DD3"/>
    <w:rsid w:val="00C6237A"/>
    <w:rsid w:val="00C6253A"/>
    <w:rsid w:val="00C62775"/>
    <w:rsid w:val="00C627B5"/>
    <w:rsid w:val="00C6289B"/>
    <w:rsid w:val="00C62988"/>
    <w:rsid w:val="00C62BF4"/>
    <w:rsid w:val="00C62CB2"/>
    <w:rsid w:val="00C62DDC"/>
    <w:rsid w:val="00C62FCC"/>
    <w:rsid w:val="00C63027"/>
    <w:rsid w:val="00C631CE"/>
    <w:rsid w:val="00C63467"/>
    <w:rsid w:val="00C634F3"/>
    <w:rsid w:val="00C635A0"/>
    <w:rsid w:val="00C635EF"/>
    <w:rsid w:val="00C640D6"/>
    <w:rsid w:val="00C64176"/>
    <w:rsid w:val="00C64209"/>
    <w:rsid w:val="00C64456"/>
    <w:rsid w:val="00C64602"/>
    <w:rsid w:val="00C646EA"/>
    <w:rsid w:val="00C647D0"/>
    <w:rsid w:val="00C64CF8"/>
    <w:rsid w:val="00C64D01"/>
    <w:rsid w:val="00C64F17"/>
    <w:rsid w:val="00C64F53"/>
    <w:rsid w:val="00C65040"/>
    <w:rsid w:val="00C65046"/>
    <w:rsid w:val="00C651C5"/>
    <w:rsid w:val="00C6533F"/>
    <w:rsid w:val="00C655AC"/>
    <w:rsid w:val="00C655CD"/>
    <w:rsid w:val="00C655E0"/>
    <w:rsid w:val="00C65633"/>
    <w:rsid w:val="00C65724"/>
    <w:rsid w:val="00C6572F"/>
    <w:rsid w:val="00C65777"/>
    <w:rsid w:val="00C6585D"/>
    <w:rsid w:val="00C65E28"/>
    <w:rsid w:val="00C65E3C"/>
    <w:rsid w:val="00C660BA"/>
    <w:rsid w:val="00C66145"/>
    <w:rsid w:val="00C66218"/>
    <w:rsid w:val="00C662A7"/>
    <w:rsid w:val="00C66468"/>
    <w:rsid w:val="00C66E58"/>
    <w:rsid w:val="00C66E92"/>
    <w:rsid w:val="00C6716A"/>
    <w:rsid w:val="00C671E4"/>
    <w:rsid w:val="00C67396"/>
    <w:rsid w:val="00C674B0"/>
    <w:rsid w:val="00C67560"/>
    <w:rsid w:val="00C676B8"/>
    <w:rsid w:val="00C67857"/>
    <w:rsid w:val="00C67C57"/>
    <w:rsid w:val="00C67D0E"/>
    <w:rsid w:val="00C70890"/>
    <w:rsid w:val="00C709E5"/>
    <w:rsid w:val="00C70B53"/>
    <w:rsid w:val="00C70BDB"/>
    <w:rsid w:val="00C70DCE"/>
    <w:rsid w:val="00C70F72"/>
    <w:rsid w:val="00C71219"/>
    <w:rsid w:val="00C71226"/>
    <w:rsid w:val="00C71480"/>
    <w:rsid w:val="00C7163F"/>
    <w:rsid w:val="00C71671"/>
    <w:rsid w:val="00C717EB"/>
    <w:rsid w:val="00C71A08"/>
    <w:rsid w:val="00C71B62"/>
    <w:rsid w:val="00C723CE"/>
    <w:rsid w:val="00C728DD"/>
    <w:rsid w:val="00C72940"/>
    <w:rsid w:val="00C729FD"/>
    <w:rsid w:val="00C72A56"/>
    <w:rsid w:val="00C72AB4"/>
    <w:rsid w:val="00C72BF5"/>
    <w:rsid w:val="00C72C0E"/>
    <w:rsid w:val="00C72DBD"/>
    <w:rsid w:val="00C72DF8"/>
    <w:rsid w:val="00C72EB2"/>
    <w:rsid w:val="00C73151"/>
    <w:rsid w:val="00C735D4"/>
    <w:rsid w:val="00C736D3"/>
    <w:rsid w:val="00C73A64"/>
    <w:rsid w:val="00C73C2E"/>
    <w:rsid w:val="00C73D0E"/>
    <w:rsid w:val="00C73E69"/>
    <w:rsid w:val="00C745B3"/>
    <w:rsid w:val="00C74A19"/>
    <w:rsid w:val="00C74B63"/>
    <w:rsid w:val="00C74CA6"/>
    <w:rsid w:val="00C75165"/>
    <w:rsid w:val="00C7522D"/>
    <w:rsid w:val="00C754F3"/>
    <w:rsid w:val="00C757D6"/>
    <w:rsid w:val="00C75C6F"/>
    <w:rsid w:val="00C75D23"/>
    <w:rsid w:val="00C75DA3"/>
    <w:rsid w:val="00C76024"/>
    <w:rsid w:val="00C76108"/>
    <w:rsid w:val="00C7630A"/>
    <w:rsid w:val="00C7643F"/>
    <w:rsid w:val="00C76470"/>
    <w:rsid w:val="00C764D6"/>
    <w:rsid w:val="00C76590"/>
    <w:rsid w:val="00C76710"/>
    <w:rsid w:val="00C767AE"/>
    <w:rsid w:val="00C767CF"/>
    <w:rsid w:val="00C767FC"/>
    <w:rsid w:val="00C768D6"/>
    <w:rsid w:val="00C76E23"/>
    <w:rsid w:val="00C7700F"/>
    <w:rsid w:val="00C77126"/>
    <w:rsid w:val="00C77182"/>
    <w:rsid w:val="00C77197"/>
    <w:rsid w:val="00C77354"/>
    <w:rsid w:val="00C7748F"/>
    <w:rsid w:val="00C77B73"/>
    <w:rsid w:val="00C77E7E"/>
    <w:rsid w:val="00C77EBE"/>
    <w:rsid w:val="00C77F85"/>
    <w:rsid w:val="00C804C4"/>
    <w:rsid w:val="00C8051C"/>
    <w:rsid w:val="00C80817"/>
    <w:rsid w:val="00C80837"/>
    <w:rsid w:val="00C80D98"/>
    <w:rsid w:val="00C80DEE"/>
    <w:rsid w:val="00C81030"/>
    <w:rsid w:val="00C8122D"/>
    <w:rsid w:val="00C8143A"/>
    <w:rsid w:val="00C8145F"/>
    <w:rsid w:val="00C81924"/>
    <w:rsid w:val="00C819F1"/>
    <w:rsid w:val="00C81AF3"/>
    <w:rsid w:val="00C81EDF"/>
    <w:rsid w:val="00C81F02"/>
    <w:rsid w:val="00C82176"/>
    <w:rsid w:val="00C82270"/>
    <w:rsid w:val="00C823F5"/>
    <w:rsid w:val="00C82891"/>
    <w:rsid w:val="00C82A62"/>
    <w:rsid w:val="00C8303B"/>
    <w:rsid w:val="00C83764"/>
    <w:rsid w:val="00C838EE"/>
    <w:rsid w:val="00C83AFA"/>
    <w:rsid w:val="00C83B59"/>
    <w:rsid w:val="00C83DBD"/>
    <w:rsid w:val="00C83F3D"/>
    <w:rsid w:val="00C84288"/>
    <w:rsid w:val="00C845FC"/>
    <w:rsid w:val="00C84B39"/>
    <w:rsid w:val="00C84C17"/>
    <w:rsid w:val="00C84CF0"/>
    <w:rsid w:val="00C85123"/>
    <w:rsid w:val="00C851B5"/>
    <w:rsid w:val="00C85511"/>
    <w:rsid w:val="00C8552D"/>
    <w:rsid w:val="00C8561E"/>
    <w:rsid w:val="00C85A52"/>
    <w:rsid w:val="00C85BFF"/>
    <w:rsid w:val="00C85DCE"/>
    <w:rsid w:val="00C85EAD"/>
    <w:rsid w:val="00C85F2A"/>
    <w:rsid w:val="00C85FFC"/>
    <w:rsid w:val="00C861EE"/>
    <w:rsid w:val="00C8620E"/>
    <w:rsid w:val="00C8635E"/>
    <w:rsid w:val="00C86702"/>
    <w:rsid w:val="00C86964"/>
    <w:rsid w:val="00C86D44"/>
    <w:rsid w:val="00C86EB7"/>
    <w:rsid w:val="00C87019"/>
    <w:rsid w:val="00C87322"/>
    <w:rsid w:val="00C8777F"/>
    <w:rsid w:val="00C87957"/>
    <w:rsid w:val="00C87C6D"/>
    <w:rsid w:val="00C87D1A"/>
    <w:rsid w:val="00C87DE2"/>
    <w:rsid w:val="00C90023"/>
    <w:rsid w:val="00C902BB"/>
    <w:rsid w:val="00C9031D"/>
    <w:rsid w:val="00C905E6"/>
    <w:rsid w:val="00C907EF"/>
    <w:rsid w:val="00C90832"/>
    <w:rsid w:val="00C909EE"/>
    <w:rsid w:val="00C90AF5"/>
    <w:rsid w:val="00C90F55"/>
    <w:rsid w:val="00C90F62"/>
    <w:rsid w:val="00C911E0"/>
    <w:rsid w:val="00C9146C"/>
    <w:rsid w:val="00C916C5"/>
    <w:rsid w:val="00C917A8"/>
    <w:rsid w:val="00C91B49"/>
    <w:rsid w:val="00C91BF7"/>
    <w:rsid w:val="00C91D42"/>
    <w:rsid w:val="00C91D4A"/>
    <w:rsid w:val="00C92074"/>
    <w:rsid w:val="00C920CE"/>
    <w:rsid w:val="00C9233A"/>
    <w:rsid w:val="00C924CF"/>
    <w:rsid w:val="00C92CE2"/>
    <w:rsid w:val="00C92E67"/>
    <w:rsid w:val="00C92F6F"/>
    <w:rsid w:val="00C932B6"/>
    <w:rsid w:val="00C933A1"/>
    <w:rsid w:val="00C93540"/>
    <w:rsid w:val="00C93697"/>
    <w:rsid w:val="00C93E5D"/>
    <w:rsid w:val="00C93F2A"/>
    <w:rsid w:val="00C942AA"/>
    <w:rsid w:val="00C943DF"/>
    <w:rsid w:val="00C94670"/>
    <w:rsid w:val="00C94730"/>
    <w:rsid w:val="00C94822"/>
    <w:rsid w:val="00C948D3"/>
    <w:rsid w:val="00C94F30"/>
    <w:rsid w:val="00C9514E"/>
    <w:rsid w:val="00C953CA"/>
    <w:rsid w:val="00C95611"/>
    <w:rsid w:val="00C95722"/>
    <w:rsid w:val="00C957D6"/>
    <w:rsid w:val="00C957F7"/>
    <w:rsid w:val="00C95B77"/>
    <w:rsid w:val="00C95C9D"/>
    <w:rsid w:val="00C95DCA"/>
    <w:rsid w:val="00C95EAD"/>
    <w:rsid w:val="00C96117"/>
    <w:rsid w:val="00C9614F"/>
    <w:rsid w:val="00C961DF"/>
    <w:rsid w:val="00C9624E"/>
    <w:rsid w:val="00C967CD"/>
    <w:rsid w:val="00C9690F"/>
    <w:rsid w:val="00C96B17"/>
    <w:rsid w:val="00C96C37"/>
    <w:rsid w:val="00C96E47"/>
    <w:rsid w:val="00C974E0"/>
    <w:rsid w:val="00C975A2"/>
    <w:rsid w:val="00C9769F"/>
    <w:rsid w:val="00C976D2"/>
    <w:rsid w:val="00C9779A"/>
    <w:rsid w:val="00C977E2"/>
    <w:rsid w:val="00C97B6B"/>
    <w:rsid w:val="00C97BC3"/>
    <w:rsid w:val="00C97EFA"/>
    <w:rsid w:val="00C97F6E"/>
    <w:rsid w:val="00CA031C"/>
    <w:rsid w:val="00CA0472"/>
    <w:rsid w:val="00CA06AF"/>
    <w:rsid w:val="00CA0872"/>
    <w:rsid w:val="00CA089B"/>
    <w:rsid w:val="00CA0A3D"/>
    <w:rsid w:val="00CA0DA6"/>
    <w:rsid w:val="00CA10DD"/>
    <w:rsid w:val="00CA119B"/>
    <w:rsid w:val="00CA1220"/>
    <w:rsid w:val="00CA1521"/>
    <w:rsid w:val="00CA1622"/>
    <w:rsid w:val="00CA1748"/>
    <w:rsid w:val="00CA1797"/>
    <w:rsid w:val="00CA1B07"/>
    <w:rsid w:val="00CA1B5B"/>
    <w:rsid w:val="00CA1BE0"/>
    <w:rsid w:val="00CA1CBC"/>
    <w:rsid w:val="00CA1D6D"/>
    <w:rsid w:val="00CA1E1F"/>
    <w:rsid w:val="00CA238F"/>
    <w:rsid w:val="00CA2756"/>
    <w:rsid w:val="00CA27A3"/>
    <w:rsid w:val="00CA2A09"/>
    <w:rsid w:val="00CA2CE8"/>
    <w:rsid w:val="00CA2D7C"/>
    <w:rsid w:val="00CA3092"/>
    <w:rsid w:val="00CA30AC"/>
    <w:rsid w:val="00CA3390"/>
    <w:rsid w:val="00CA35A3"/>
    <w:rsid w:val="00CA35B7"/>
    <w:rsid w:val="00CA3676"/>
    <w:rsid w:val="00CA3714"/>
    <w:rsid w:val="00CA3B48"/>
    <w:rsid w:val="00CA3B66"/>
    <w:rsid w:val="00CA3BC4"/>
    <w:rsid w:val="00CA3C90"/>
    <w:rsid w:val="00CA3D9D"/>
    <w:rsid w:val="00CA406B"/>
    <w:rsid w:val="00CA413D"/>
    <w:rsid w:val="00CA41AE"/>
    <w:rsid w:val="00CA44A9"/>
    <w:rsid w:val="00CA46CF"/>
    <w:rsid w:val="00CA4821"/>
    <w:rsid w:val="00CA4A6A"/>
    <w:rsid w:val="00CA4BA4"/>
    <w:rsid w:val="00CA4F77"/>
    <w:rsid w:val="00CA51B2"/>
    <w:rsid w:val="00CA522A"/>
    <w:rsid w:val="00CA5771"/>
    <w:rsid w:val="00CA5C98"/>
    <w:rsid w:val="00CA5D51"/>
    <w:rsid w:val="00CA6365"/>
    <w:rsid w:val="00CA6538"/>
    <w:rsid w:val="00CA65DD"/>
    <w:rsid w:val="00CA6719"/>
    <w:rsid w:val="00CA693E"/>
    <w:rsid w:val="00CA6942"/>
    <w:rsid w:val="00CA6C53"/>
    <w:rsid w:val="00CA6CBB"/>
    <w:rsid w:val="00CA7270"/>
    <w:rsid w:val="00CA7347"/>
    <w:rsid w:val="00CA741E"/>
    <w:rsid w:val="00CA741F"/>
    <w:rsid w:val="00CA75CE"/>
    <w:rsid w:val="00CA770E"/>
    <w:rsid w:val="00CA7B45"/>
    <w:rsid w:val="00CA7DAA"/>
    <w:rsid w:val="00CAD932"/>
    <w:rsid w:val="00CB001D"/>
    <w:rsid w:val="00CB0138"/>
    <w:rsid w:val="00CB01B4"/>
    <w:rsid w:val="00CB02D8"/>
    <w:rsid w:val="00CB0588"/>
    <w:rsid w:val="00CB069F"/>
    <w:rsid w:val="00CB084E"/>
    <w:rsid w:val="00CB09CD"/>
    <w:rsid w:val="00CB1241"/>
    <w:rsid w:val="00CB148B"/>
    <w:rsid w:val="00CB1571"/>
    <w:rsid w:val="00CB188C"/>
    <w:rsid w:val="00CB1B6A"/>
    <w:rsid w:val="00CB20E0"/>
    <w:rsid w:val="00CB2342"/>
    <w:rsid w:val="00CB23A7"/>
    <w:rsid w:val="00CB2DA6"/>
    <w:rsid w:val="00CB30CC"/>
    <w:rsid w:val="00CB3184"/>
    <w:rsid w:val="00CB320B"/>
    <w:rsid w:val="00CB3326"/>
    <w:rsid w:val="00CB35D2"/>
    <w:rsid w:val="00CB39CC"/>
    <w:rsid w:val="00CB3C33"/>
    <w:rsid w:val="00CB3C9B"/>
    <w:rsid w:val="00CB3CB5"/>
    <w:rsid w:val="00CB3CDB"/>
    <w:rsid w:val="00CB3DA9"/>
    <w:rsid w:val="00CB4634"/>
    <w:rsid w:val="00CB463B"/>
    <w:rsid w:val="00CB4C9C"/>
    <w:rsid w:val="00CB4D0E"/>
    <w:rsid w:val="00CB5041"/>
    <w:rsid w:val="00CB51C0"/>
    <w:rsid w:val="00CB56E8"/>
    <w:rsid w:val="00CB58A8"/>
    <w:rsid w:val="00CB59C2"/>
    <w:rsid w:val="00CB5A62"/>
    <w:rsid w:val="00CB5D04"/>
    <w:rsid w:val="00CB5F05"/>
    <w:rsid w:val="00CB5F16"/>
    <w:rsid w:val="00CB5FCD"/>
    <w:rsid w:val="00CB5FF8"/>
    <w:rsid w:val="00CB6462"/>
    <w:rsid w:val="00CB655C"/>
    <w:rsid w:val="00CB6633"/>
    <w:rsid w:val="00CB6930"/>
    <w:rsid w:val="00CB6970"/>
    <w:rsid w:val="00CB6C17"/>
    <w:rsid w:val="00CB6DB4"/>
    <w:rsid w:val="00CB7393"/>
    <w:rsid w:val="00CB79E9"/>
    <w:rsid w:val="00CB7C2B"/>
    <w:rsid w:val="00CB7C9B"/>
    <w:rsid w:val="00CB7D74"/>
    <w:rsid w:val="00CB7D85"/>
    <w:rsid w:val="00CB7F17"/>
    <w:rsid w:val="00CC0000"/>
    <w:rsid w:val="00CC0077"/>
    <w:rsid w:val="00CC013B"/>
    <w:rsid w:val="00CC0758"/>
    <w:rsid w:val="00CC087E"/>
    <w:rsid w:val="00CC09A1"/>
    <w:rsid w:val="00CC0ACB"/>
    <w:rsid w:val="00CC0AF3"/>
    <w:rsid w:val="00CC0B40"/>
    <w:rsid w:val="00CC1011"/>
    <w:rsid w:val="00CC150D"/>
    <w:rsid w:val="00CC161F"/>
    <w:rsid w:val="00CC199F"/>
    <w:rsid w:val="00CC1A68"/>
    <w:rsid w:val="00CC1C0A"/>
    <w:rsid w:val="00CC22EB"/>
    <w:rsid w:val="00CC2351"/>
    <w:rsid w:val="00CC29CD"/>
    <w:rsid w:val="00CC2A3B"/>
    <w:rsid w:val="00CC2B36"/>
    <w:rsid w:val="00CC2C05"/>
    <w:rsid w:val="00CC2E9E"/>
    <w:rsid w:val="00CC315F"/>
    <w:rsid w:val="00CC3173"/>
    <w:rsid w:val="00CC35B5"/>
    <w:rsid w:val="00CC360F"/>
    <w:rsid w:val="00CC363F"/>
    <w:rsid w:val="00CC36D4"/>
    <w:rsid w:val="00CC390C"/>
    <w:rsid w:val="00CC3A79"/>
    <w:rsid w:val="00CC3AED"/>
    <w:rsid w:val="00CC3F50"/>
    <w:rsid w:val="00CC4125"/>
    <w:rsid w:val="00CC4237"/>
    <w:rsid w:val="00CC431A"/>
    <w:rsid w:val="00CC459D"/>
    <w:rsid w:val="00CC496B"/>
    <w:rsid w:val="00CC4A1B"/>
    <w:rsid w:val="00CC4B54"/>
    <w:rsid w:val="00CC4D26"/>
    <w:rsid w:val="00CC4DCE"/>
    <w:rsid w:val="00CC4E85"/>
    <w:rsid w:val="00CC50A4"/>
    <w:rsid w:val="00CC529E"/>
    <w:rsid w:val="00CC52B9"/>
    <w:rsid w:val="00CC53FF"/>
    <w:rsid w:val="00CC5702"/>
    <w:rsid w:val="00CC59BD"/>
    <w:rsid w:val="00CC5C46"/>
    <w:rsid w:val="00CC5E63"/>
    <w:rsid w:val="00CC6011"/>
    <w:rsid w:val="00CC632F"/>
    <w:rsid w:val="00CC635C"/>
    <w:rsid w:val="00CC63C8"/>
    <w:rsid w:val="00CC63EF"/>
    <w:rsid w:val="00CC65D9"/>
    <w:rsid w:val="00CC675F"/>
    <w:rsid w:val="00CC67DD"/>
    <w:rsid w:val="00CC6842"/>
    <w:rsid w:val="00CC69A0"/>
    <w:rsid w:val="00CC6A58"/>
    <w:rsid w:val="00CC6B8D"/>
    <w:rsid w:val="00CC6D2D"/>
    <w:rsid w:val="00CC6EB6"/>
    <w:rsid w:val="00CC750F"/>
    <w:rsid w:val="00CC7654"/>
    <w:rsid w:val="00CC79D4"/>
    <w:rsid w:val="00CC7E47"/>
    <w:rsid w:val="00CC7ED0"/>
    <w:rsid w:val="00CC7F66"/>
    <w:rsid w:val="00CD01D1"/>
    <w:rsid w:val="00CD0280"/>
    <w:rsid w:val="00CD0380"/>
    <w:rsid w:val="00CD03A3"/>
    <w:rsid w:val="00CD03EC"/>
    <w:rsid w:val="00CD051C"/>
    <w:rsid w:val="00CD062F"/>
    <w:rsid w:val="00CD0630"/>
    <w:rsid w:val="00CD07D2"/>
    <w:rsid w:val="00CD080B"/>
    <w:rsid w:val="00CD0849"/>
    <w:rsid w:val="00CD08BD"/>
    <w:rsid w:val="00CD0CE3"/>
    <w:rsid w:val="00CD0E99"/>
    <w:rsid w:val="00CD0F8A"/>
    <w:rsid w:val="00CD10BA"/>
    <w:rsid w:val="00CD10E5"/>
    <w:rsid w:val="00CD116E"/>
    <w:rsid w:val="00CD118F"/>
    <w:rsid w:val="00CD126B"/>
    <w:rsid w:val="00CD1477"/>
    <w:rsid w:val="00CD17BB"/>
    <w:rsid w:val="00CD1822"/>
    <w:rsid w:val="00CD1867"/>
    <w:rsid w:val="00CD19A7"/>
    <w:rsid w:val="00CD1A3B"/>
    <w:rsid w:val="00CD1CFB"/>
    <w:rsid w:val="00CD1D2D"/>
    <w:rsid w:val="00CD1D9E"/>
    <w:rsid w:val="00CD267A"/>
    <w:rsid w:val="00CD27F9"/>
    <w:rsid w:val="00CD298E"/>
    <w:rsid w:val="00CD2B87"/>
    <w:rsid w:val="00CD2BA7"/>
    <w:rsid w:val="00CD2BD6"/>
    <w:rsid w:val="00CD2D7A"/>
    <w:rsid w:val="00CD2DFF"/>
    <w:rsid w:val="00CD3514"/>
    <w:rsid w:val="00CD380F"/>
    <w:rsid w:val="00CD3D40"/>
    <w:rsid w:val="00CD3EC9"/>
    <w:rsid w:val="00CD3F97"/>
    <w:rsid w:val="00CD4086"/>
    <w:rsid w:val="00CD4126"/>
    <w:rsid w:val="00CD41AF"/>
    <w:rsid w:val="00CD41CF"/>
    <w:rsid w:val="00CD43E1"/>
    <w:rsid w:val="00CD44A4"/>
    <w:rsid w:val="00CD4507"/>
    <w:rsid w:val="00CD4569"/>
    <w:rsid w:val="00CD4689"/>
    <w:rsid w:val="00CD48CD"/>
    <w:rsid w:val="00CD4DCA"/>
    <w:rsid w:val="00CD4EF3"/>
    <w:rsid w:val="00CD5348"/>
    <w:rsid w:val="00CD535C"/>
    <w:rsid w:val="00CD53EF"/>
    <w:rsid w:val="00CD545A"/>
    <w:rsid w:val="00CD549B"/>
    <w:rsid w:val="00CD54C6"/>
    <w:rsid w:val="00CD5857"/>
    <w:rsid w:val="00CD587C"/>
    <w:rsid w:val="00CD5A95"/>
    <w:rsid w:val="00CD5B8C"/>
    <w:rsid w:val="00CD5BAB"/>
    <w:rsid w:val="00CD5DCC"/>
    <w:rsid w:val="00CD607A"/>
    <w:rsid w:val="00CD61B2"/>
    <w:rsid w:val="00CD6280"/>
    <w:rsid w:val="00CD634F"/>
    <w:rsid w:val="00CD639B"/>
    <w:rsid w:val="00CD6630"/>
    <w:rsid w:val="00CD663F"/>
    <w:rsid w:val="00CD6703"/>
    <w:rsid w:val="00CD6846"/>
    <w:rsid w:val="00CD6AFA"/>
    <w:rsid w:val="00CD6D8B"/>
    <w:rsid w:val="00CD6E35"/>
    <w:rsid w:val="00CD6E9F"/>
    <w:rsid w:val="00CD6F77"/>
    <w:rsid w:val="00CD717E"/>
    <w:rsid w:val="00CD7236"/>
    <w:rsid w:val="00CD7352"/>
    <w:rsid w:val="00CD7657"/>
    <w:rsid w:val="00CD7661"/>
    <w:rsid w:val="00CD7B82"/>
    <w:rsid w:val="00CD7C21"/>
    <w:rsid w:val="00CE0147"/>
    <w:rsid w:val="00CE01E8"/>
    <w:rsid w:val="00CE0270"/>
    <w:rsid w:val="00CE03A1"/>
    <w:rsid w:val="00CE0821"/>
    <w:rsid w:val="00CE0842"/>
    <w:rsid w:val="00CE08F6"/>
    <w:rsid w:val="00CE0994"/>
    <w:rsid w:val="00CE0A16"/>
    <w:rsid w:val="00CE0A60"/>
    <w:rsid w:val="00CE0D7F"/>
    <w:rsid w:val="00CE0FF7"/>
    <w:rsid w:val="00CE1026"/>
    <w:rsid w:val="00CE11DF"/>
    <w:rsid w:val="00CE14D3"/>
    <w:rsid w:val="00CE1800"/>
    <w:rsid w:val="00CE1820"/>
    <w:rsid w:val="00CE1A96"/>
    <w:rsid w:val="00CE1D04"/>
    <w:rsid w:val="00CE1F63"/>
    <w:rsid w:val="00CE1F76"/>
    <w:rsid w:val="00CE202F"/>
    <w:rsid w:val="00CE207E"/>
    <w:rsid w:val="00CE2296"/>
    <w:rsid w:val="00CE253A"/>
    <w:rsid w:val="00CE2910"/>
    <w:rsid w:val="00CE2BCA"/>
    <w:rsid w:val="00CE2BD3"/>
    <w:rsid w:val="00CE2C78"/>
    <w:rsid w:val="00CE2CC8"/>
    <w:rsid w:val="00CE2CF0"/>
    <w:rsid w:val="00CE2D5D"/>
    <w:rsid w:val="00CE2DD1"/>
    <w:rsid w:val="00CE3414"/>
    <w:rsid w:val="00CE3441"/>
    <w:rsid w:val="00CE34DA"/>
    <w:rsid w:val="00CE3515"/>
    <w:rsid w:val="00CE3810"/>
    <w:rsid w:val="00CE3A32"/>
    <w:rsid w:val="00CE3A7D"/>
    <w:rsid w:val="00CE41CC"/>
    <w:rsid w:val="00CE431A"/>
    <w:rsid w:val="00CE4369"/>
    <w:rsid w:val="00CE43A2"/>
    <w:rsid w:val="00CE4408"/>
    <w:rsid w:val="00CE450B"/>
    <w:rsid w:val="00CE4673"/>
    <w:rsid w:val="00CE47A1"/>
    <w:rsid w:val="00CE491D"/>
    <w:rsid w:val="00CE532B"/>
    <w:rsid w:val="00CE53FA"/>
    <w:rsid w:val="00CE5664"/>
    <w:rsid w:val="00CE568F"/>
    <w:rsid w:val="00CE5694"/>
    <w:rsid w:val="00CE56D0"/>
    <w:rsid w:val="00CE5755"/>
    <w:rsid w:val="00CE5AF1"/>
    <w:rsid w:val="00CE5EC2"/>
    <w:rsid w:val="00CE5FB7"/>
    <w:rsid w:val="00CE61D3"/>
    <w:rsid w:val="00CE6235"/>
    <w:rsid w:val="00CE64B0"/>
    <w:rsid w:val="00CE66E5"/>
    <w:rsid w:val="00CE6803"/>
    <w:rsid w:val="00CE68D3"/>
    <w:rsid w:val="00CE699B"/>
    <w:rsid w:val="00CE6A1B"/>
    <w:rsid w:val="00CE6B89"/>
    <w:rsid w:val="00CE6FB6"/>
    <w:rsid w:val="00CE700B"/>
    <w:rsid w:val="00CE70B9"/>
    <w:rsid w:val="00CE729B"/>
    <w:rsid w:val="00CE7679"/>
    <w:rsid w:val="00CE783E"/>
    <w:rsid w:val="00CE7AE9"/>
    <w:rsid w:val="00CE7C4D"/>
    <w:rsid w:val="00CE7DB1"/>
    <w:rsid w:val="00CF0055"/>
    <w:rsid w:val="00CF0177"/>
    <w:rsid w:val="00CF01DA"/>
    <w:rsid w:val="00CF030D"/>
    <w:rsid w:val="00CF034E"/>
    <w:rsid w:val="00CF0438"/>
    <w:rsid w:val="00CF04F1"/>
    <w:rsid w:val="00CF0A87"/>
    <w:rsid w:val="00CF0B68"/>
    <w:rsid w:val="00CF15E7"/>
    <w:rsid w:val="00CF199A"/>
    <w:rsid w:val="00CF1AB8"/>
    <w:rsid w:val="00CF2205"/>
    <w:rsid w:val="00CF2333"/>
    <w:rsid w:val="00CF2457"/>
    <w:rsid w:val="00CF24DD"/>
    <w:rsid w:val="00CF254E"/>
    <w:rsid w:val="00CF29EE"/>
    <w:rsid w:val="00CF2ECE"/>
    <w:rsid w:val="00CF2F86"/>
    <w:rsid w:val="00CF2FB3"/>
    <w:rsid w:val="00CF30D6"/>
    <w:rsid w:val="00CF3170"/>
    <w:rsid w:val="00CF318C"/>
    <w:rsid w:val="00CF3CB9"/>
    <w:rsid w:val="00CF3F0B"/>
    <w:rsid w:val="00CF3F1E"/>
    <w:rsid w:val="00CF3F8E"/>
    <w:rsid w:val="00CF40A9"/>
    <w:rsid w:val="00CF454B"/>
    <w:rsid w:val="00CF45FA"/>
    <w:rsid w:val="00CF4768"/>
    <w:rsid w:val="00CF4C0C"/>
    <w:rsid w:val="00CF532C"/>
    <w:rsid w:val="00CF53AC"/>
    <w:rsid w:val="00CF5401"/>
    <w:rsid w:val="00CF5532"/>
    <w:rsid w:val="00CF559B"/>
    <w:rsid w:val="00CF57C7"/>
    <w:rsid w:val="00CF586E"/>
    <w:rsid w:val="00CF58A7"/>
    <w:rsid w:val="00CF59C8"/>
    <w:rsid w:val="00CF5B70"/>
    <w:rsid w:val="00CF5FE4"/>
    <w:rsid w:val="00CF6412"/>
    <w:rsid w:val="00CF649B"/>
    <w:rsid w:val="00CF6986"/>
    <w:rsid w:val="00CF6B94"/>
    <w:rsid w:val="00CF6C39"/>
    <w:rsid w:val="00CF713C"/>
    <w:rsid w:val="00CF7145"/>
    <w:rsid w:val="00CF720D"/>
    <w:rsid w:val="00CF75C5"/>
    <w:rsid w:val="00CF7BFD"/>
    <w:rsid w:val="00CF7CBA"/>
    <w:rsid w:val="00CF7D32"/>
    <w:rsid w:val="00D00147"/>
    <w:rsid w:val="00D004C1"/>
    <w:rsid w:val="00D00540"/>
    <w:rsid w:val="00D007D2"/>
    <w:rsid w:val="00D00A04"/>
    <w:rsid w:val="00D00AEF"/>
    <w:rsid w:val="00D00C7A"/>
    <w:rsid w:val="00D00CDF"/>
    <w:rsid w:val="00D00F4C"/>
    <w:rsid w:val="00D00FB5"/>
    <w:rsid w:val="00D01450"/>
    <w:rsid w:val="00D01743"/>
    <w:rsid w:val="00D01782"/>
    <w:rsid w:val="00D01B0E"/>
    <w:rsid w:val="00D01B6D"/>
    <w:rsid w:val="00D01B82"/>
    <w:rsid w:val="00D01B90"/>
    <w:rsid w:val="00D01F46"/>
    <w:rsid w:val="00D02522"/>
    <w:rsid w:val="00D0270A"/>
    <w:rsid w:val="00D028C9"/>
    <w:rsid w:val="00D02A6D"/>
    <w:rsid w:val="00D02A75"/>
    <w:rsid w:val="00D02AAE"/>
    <w:rsid w:val="00D02C2F"/>
    <w:rsid w:val="00D02D72"/>
    <w:rsid w:val="00D02E6D"/>
    <w:rsid w:val="00D02F93"/>
    <w:rsid w:val="00D02FBC"/>
    <w:rsid w:val="00D0319E"/>
    <w:rsid w:val="00D03466"/>
    <w:rsid w:val="00D036A5"/>
    <w:rsid w:val="00D03D12"/>
    <w:rsid w:val="00D03E1A"/>
    <w:rsid w:val="00D0409F"/>
    <w:rsid w:val="00D040A7"/>
    <w:rsid w:val="00D040BB"/>
    <w:rsid w:val="00D04159"/>
    <w:rsid w:val="00D041D7"/>
    <w:rsid w:val="00D04578"/>
    <w:rsid w:val="00D046E1"/>
    <w:rsid w:val="00D04C50"/>
    <w:rsid w:val="00D050BD"/>
    <w:rsid w:val="00D05236"/>
    <w:rsid w:val="00D05369"/>
    <w:rsid w:val="00D053B7"/>
    <w:rsid w:val="00D0555D"/>
    <w:rsid w:val="00D056D8"/>
    <w:rsid w:val="00D05776"/>
    <w:rsid w:val="00D057D7"/>
    <w:rsid w:val="00D0582F"/>
    <w:rsid w:val="00D05BD2"/>
    <w:rsid w:val="00D05D14"/>
    <w:rsid w:val="00D0663C"/>
    <w:rsid w:val="00D067FE"/>
    <w:rsid w:val="00D06936"/>
    <w:rsid w:val="00D06E13"/>
    <w:rsid w:val="00D07016"/>
    <w:rsid w:val="00D07063"/>
    <w:rsid w:val="00D07156"/>
    <w:rsid w:val="00D071FE"/>
    <w:rsid w:val="00D07264"/>
    <w:rsid w:val="00D0726A"/>
    <w:rsid w:val="00D0738D"/>
    <w:rsid w:val="00D077D9"/>
    <w:rsid w:val="00D07921"/>
    <w:rsid w:val="00D07ACA"/>
    <w:rsid w:val="00D07C81"/>
    <w:rsid w:val="00D07D51"/>
    <w:rsid w:val="00D07FD1"/>
    <w:rsid w:val="00D10501"/>
    <w:rsid w:val="00D1091E"/>
    <w:rsid w:val="00D10A70"/>
    <w:rsid w:val="00D10ECB"/>
    <w:rsid w:val="00D110D6"/>
    <w:rsid w:val="00D111D3"/>
    <w:rsid w:val="00D11275"/>
    <w:rsid w:val="00D112B1"/>
    <w:rsid w:val="00D1138E"/>
    <w:rsid w:val="00D113CD"/>
    <w:rsid w:val="00D11510"/>
    <w:rsid w:val="00D11593"/>
    <w:rsid w:val="00D116AF"/>
    <w:rsid w:val="00D116F7"/>
    <w:rsid w:val="00D11967"/>
    <w:rsid w:val="00D11B6B"/>
    <w:rsid w:val="00D11DE7"/>
    <w:rsid w:val="00D11F32"/>
    <w:rsid w:val="00D1208E"/>
    <w:rsid w:val="00D1209E"/>
    <w:rsid w:val="00D121E2"/>
    <w:rsid w:val="00D12227"/>
    <w:rsid w:val="00D1224D"/>
    <w:rsid w:val="00D12269"/>
    <w:rsid w:val="00D1226C"/>
    <w:rsid w:val="00D12722"/>
    <w:rsid w:val="00D128F5"/>
    <w:rsid w:val="00D128F7"/>
    <w:rsid w:val="00D1295D"/>
    <w:rsid w:val="00D129F5"/>
    <w:rsid w:val="00D12B6A"/>
    <w:rsid w:val="00D12C36"/>
    <w:rsid w:val="00D12FA8"/>
    <w:rsid w:val="00D12FCC"/>
    <w:rsid w:val="00D130FE"/>
    <w:rsid w:val="00D134BF"/>
    <w:rsid w:val="00D139D5"/>
    <w:rsid w:val="00D13C30"/>
    <w:rsid w:val="00D13CC8"/>
    <w:rsid w:val="00D13F40"/>
    <w:rsid w:val="00D143F1"/>
    <w:rsid w:val="00D1497E"/>
    <w:rsid w:val="00D149C3"/>
    <w:rsid w:val="00D14AB2"/>
    <w:rsid w:val="00D14B28"/>
    <w:rsid w:val="00D14CC3"/>
    <w:rsid w:val="00D14EC2"/>
    <w:rsid w:val="00D15089"/>
    <w:rsid w:val="00D151E0"/>
    <w:rsid w:val="00D15418"/>
    <w:rsid w:val="00D1564C"/>
    <w:rsid w:val="00D1565B"/>
    <w:rsid w:val="00D15820"/>
    <w:rsid w:val="00D15840"/>
    <w:rsid w:val="00D158EC"/>
    <w:rsid w:val="00D15A62"/>
    <w:rsid w:val="00D15C4F"/>
    <w:rsid w:val="00D15E64"/>
    <w:rsid w:val="00D15EC0"/>
    <w:rsid w:val="00D15F11"/>
    <w:rsid w:val="00D16053"/>
    <w:rsid w:val="00D16121"/>
    <w:rsid w:val="00D16242"/>
    <w:rsid w:val="00D163CD"/>
    <w:rsid w:val="00D16604"/>
    <w:rsid w:val="00D1684D"/>
    <w:rsid w:val="00D16A73"/>
    <w:rsid w:val="00D16AD9"/>
    <w:rsid w:val="00D16B91"/>
    <w:rsid w:val="00D16FDA"/>
    <w:rsid w:val="00D17047"/>
    <w:rsid w:val="00D173C1"/>
    <w:rsid w:val="00D17918"/>
    <w:rsid w:val="00D179AF"/>
    <w:rsid w:val="00D17A61"/>
    <w:rsid w:val="00D17D65"/>
    <w:rsid w:val="00D17E76"/>
    <w:rsid w:val="00D200A9"/>
    <w:rsid w:val="00D202DA"/>
    <w:rsid w:val="00D20302"/>
    <w:rsid w:val="00D20960"/>
    <w:rsid w:val="00D20C3C"/>
    <w:rsid w:val="00D21032"/>
    <w:rsid w:val="00D210FD"/>
    <w:rsid w:val="00D213A0"/>
    <w:rsid w:val="00D21441"/>
    <w:rsid w:val="00D21544"/>
    <w:rsid w:val="00D21699"/>
    <w:rsid w:val="00D2177A"/>
    <w:rsid w:val="00D218E8"/>
    <w:rsid w:val="00D21A06"/>
    <w:rsid w:val="00D21A1D"/>
    <w:rsid w:val="00D21E27"/>
    <w:rsid w:val="00D21EF5"/>
    <w:rsid w:val="00D21F5A"/>
    <w:rsid w:val="00D21FA4"/>
    <w:rsid w:val="00D2203C"/>
    <w:rsid w:val="00D227FC"/>
    <w:rsid w:val="00D22A0E"/>
    <w:rsid w:val="00D22A24"/>
    <w:rsid w:val="00D22C9E"/>
    <w:rsid w:val="00D22D18"/>
    <w:rsid w:val="00D22EBD"/>
    <w:rsid w:val="00D23006"/>
    <w:rsid w:val="00D237CB"/>
    <w:rsid w:val="00D23CB0"/>
    <w:rsid w:val="00D23D90"/>
    <w:rsid w:val="00D23E58"/>
    <w:rsid w:val="00D23EFA"/>
    <w:rsid w:val="00D2403B"/>
    <w:rsid w:val="00D24110"/>
    <w:rsid w:val="00D2446F"/>
    <w:rsid w:val="00D2480A"/>
    <w:rsid w:val="00D24C2A"/>
    <w:rsid w:val="00D24C53"/>
    <w:rsid w:val="00D24D3A"/>
    <w:rsid w:val="00D24EF3"/>
    <w:rsid w:val="00D24F83"/>
    <w:rsid w:val="00D250DF"/>
    <w:rsid w:val="00D25120"/>
    <w:rsid w:val="00D2525D"/>
    <w:rsid w:val="00D25378"/>
    <w:rsid w:val="00D254C7"/>
    <w:rsid w:val="00D25552"/>
    <w:rsid w:val="00D25559"/>
    <w:rsid w:val="00D258D6"/>
    <w:rsid w:val="00D25A1A"/>
    <w:rsid w:val="00D25B32"/>
    <w:rsid w:val="00D26136"/>
    <w:rsid w:val="00D262FF"/>
    <w:rsid w:val="00D26321"/>
    <w:rsid w:val="00D26332"/>
    <w:rsid w:val="00D265C6"/>
    <w:rsid w:val="00D26608"/>
    <w:rsid w:val="00D2664D"/>
    <w:rsid w:val="00D26A6D"/>
    <w:rsid w:val="00D26ACC"/>
    <w:rsid w:val="00D26BF9"/>
    <w:rsid w:val="00D26D5D"/>
    <w:rsid w:val="00D26E37"/>
    <w:rsid w:val="00D270BC"/>
    <w:rsid w:val="00D3014B"/>
    <w:rsid w:val="00D3024C"/>
    <w:rsid w:val="00D3037B"/>
    <w:rsid w:val="00D305CB"/>
    <w:rsid w:val="00D307E4"/>
    <w:rsid w:val="00D308A1"/>
    <w:rsid w:val="00D30A89"/>
    <w:rsid w:val="00D30CE2"/>
    <w:rsid w:val="00D30E0C"/>
    <w:rsid w:val="00D30F37"/>
    <w:rsid w:val="00D30F74"/>
    <w:rsid w:val="00D3120E"/>
    <w:rsid w:val="00D31649"/>
    <w:rsid w:val="00D316FE"/>
    <w:rsid w:val="00D31917"/>
    <w:rsid w:val="00D31ED7"/>
    <w:rsid w:val="00D31F8D"/>
    <w:rsid w:val="00D31F97"/>
    <w:rsid w:val="00D32033"/>
    <w:rsid w:val="00D320AF"/>
    <w:rsid w:val="00D3212E"/>
    <w:rsid w:val="00D32134"/>
    <w:rsid w:val="00D329E3"/>
    <w:rsid w:val="00D329FC"/>
    <w:rsid w:val="00D32D31"/>
    <w:rsid w:val="00D32DE5"/>
    <w:rsid w:val="00D32EDC"/>
    <w:rsid w:val="00D32F92"/>
    <w:rsid w:val="00D331AC"/>
    <w:rsid w:val="00D332F7"/>
    <w:rsid w:val="00D33665"/>
    <w:rsid w:val="00D3394A"/>
    <w:rsid w:val="00D33C5B"/>
    <w:rsid w:val="00D33CD9"/>
    <w:rsid w:val="00D33E59"/>
    <w:rsid w:val="00D33E62"/>
    <w:rsid w:val="00D33F1B"/>
    <w:rsid w:val="00D33F9C"/>
    <w:rsid w:val="00D342B0"/>
    <w:rsid w:val="00D3463C"/>
    <w:rsid w:val="00D348A1"/>
    <w:rsid w:val="00D348C3"/>
    <w:rsid w:val="00D34974"/>
    <w:rsid w:val="00D34A60"/>
    <w:rsid w:val="00D34D92"/>
    <w:rsid w:val="00D34F12"/>
    <w:rsid w:val="00D35177"/>
    <w:rsid w:val="00D351E0"/>
    <w:rsid w:val="00D354E0"/>
    <w:rsid w:val="00D35573"/>
    <w:rsid w:val="00D35781"/>
    <w:rsid w:val="00D361BD"/>
    <w:rsid w:val="00D3678F"/>
    <w:rsid w:val="00D36794"/>
    <w:rsid w:val="00D367A5"/>
    <w:rsid w:val="00D3708C"/>
    <w:rsid w:val="00D3713C"/>
    <w:rsid w:val="00D374A2"/>
    <w:rsid w:val="00D3784D"/>
    <w:rsid w:val="00D37A62"/>
    <w:rsid w:val="00D37BBE"/>
    <w:rsid w:val="00D40017"/>
    <w:rsid w:val="00D40107"/>
    <w:rsid w:val="00D40215"/>
    <w:rsid w:val="00D40452"/>
    <w:rsid w:val="00D404E6"/>
    <w:rsid w:val="00D40500"/>
    <w:rsid w:val="00D40944"/>
    <w:rsid w:val="00D40D54"/>
    <w:rsid w:val="00D41A6C"/>
    <w:rsid w:val="00D41B39"/>
    <w:rsid w:val="00D41DE3"/>
    <w:rsid w:val="00D41DFA"/>
    <w:rsid w:val="00D41EAC"/>
    <w:rsid w:val="00D42015"/>
    <w:rsid w:val="00D421E7"/>
    <w:rsid w:val="00D42208"/>
    <w:rsid w:val="00D422BD"/>
    <w:rsid w:val="00D42317"/>
    <w:rsid w:val="00D42379"/>
    <w:rsid w:val="00D42563"/>
    <w:rsid w:val="00D427B3"/>
    <w:rsid w:val="00D427C8"/>
    <w:rsid w:val="00D427F0"/>
    <w:rsid w:val="00D42832"/>
    <w:rsid w:val="00D42D8A"/>
    <w:rsid w:val="00D43411"/>
    <w:rsid w:val="00D4352A"/>
    <w:rsid w:val="00D435AC"/>
    <w:rsid w:val="00D43826"/>
    <w:rsid w:val="00D43872"/>
    <w:rsid w:val="00D43A4A"/>
    <w:rsid w:val="00D4419F"/>
    <w:rsid w:val="00D442FD"/>
    <w:rsid w:val="00D44444"/>
    <w:rsid w:val="00D44484"/>
    <w:rsid w:val="00D444DA"/>
    <w:rsid w:val="00D4457C"/>
    <w:rsid w:val="00D44832"/>
    <w:rsid w:val="00D448C8"/>
    <w:rsid w:val="00D44A39"/>
    <w:rsid w:val="00D44C4B"/>
    <w:rsid w:val="00D453E0"/>
    <w:rsid w:val="00D45421"/>
    <w:rsid w:val="00D45768"/>
    <w:rsid w:val="00D45A6E"/>
    <w:rsid w:val="00D45B62"/>
    <w:rsid w:val="00D45C8A"/>
    <w:rsid w:val="00D45E01"/>
    <w:rsid w:val="00D467CF"/>
    <w:rsid w:val="00D468EF"/>
    <w:rsid w:val="00D46A32"/>
    <w:rsid w:val="00D46B43"/>
    <w:rsid w:val="00D46F00"/>
    <w:rsid w:val="00D47026"/>
    <w:rsid w:val="00D4718D"/>
    <w:rsid w:val="00D4741D"/>
    <w:rsid w:val="00D4744C"/>
    <w:rsid w:val="00D4759E"/>
    <w:rsid w:val="00D476D1"/>
    <w:rsid w:val="00D47871"/>
    <w:rsid w:val="00D47A3E"/>
    <w:rsid w:val="00D47A86"/>
    <w:rsid w:val="00D47A93"/>
    <w:rsid w:val="00D47AE3"/>
    <w:rsid w:val="00D47C5F"/>
    <w:rsid w:val="00D47D28"/>
    <w:rsid w:val="00D47DB3"/>
    <w:rsid w:val="00D47E04"/>
    <w:rsid w:val="00D50181"/>
    <w:rsid w:val="00D503E9"/>
    <w:rsid w:val="00D50711"/>
    <w:rsid w:val="00D5075A"/>
    <w:rsid w:val="00D50A38"/>
    <w:rsid w:val="00D50E22"/>
    <w:rsid w:val="00D50EFF"/>
    <w:rsid w:val="00D50F7D"/>
    <w:rsid w:val="00D5125C"/>
    <w:rsid w:val="00D512B3"/>
    <w:rsid w:val="00D51629"/>
    <w:rsid w:val="00D51730"/>
    <w:rsid w:val="00D5175A"/>
    <w:rsid w:val="00D5184A"/>
    <w:rsid w:val="00D51BCF"/>
    <w:rsid w:val="00D51C24"/>
    <w:rsid w:val="00D51E90"/>
    <w:rsid w:val="00D51F0C"/>
    <w:rsid w:val="00D51F8E"/>
    <w:rsid w:val="00D522FB"/>
    <w:rsid w:val="00D52383"/>
    <w:rsid w:val="00D52463"/>
    <w:rsid w:val="00D5265A"/>
    <w:rsid w:val="00D52826"/>
    <w:rsid w:val="00D5290A"/>
    <w:rsid w:val="00D52A63"/>
    <w:rsid w:val="00D52FDA"/>
    <w:rsid w:val="00D52FF2"/>
    <w:rsid w:val="00D53721"/>
    <w:rsid w:val="00D53AD4"/>
    <w:rsid w:val="00D53BAE"/>
    <w:rsid w:val="00D53BB8"/>
    <w:rsid w:val="00D53C43"/>
    <w:rsid w:val="00D53C80"/>
    <w:rsid w:val="00D53E18"/>
    <w:rsid w:val="00D54024"/>
    <w:rsid w:val="00D54238"/>
    <w:rsid w:val="00D543BD"/>
    <w:rsid w:val="00D545AC"/>
    <w:rsid w:val="00D546CD"/>
    <w:rsid w:val="00D547E7"/>
    <w:rsid w:val="00D548BA"/>
    <w:rsid w:val="00D5496E"/>
    <w:rsid w:val="00D54A6A"/>
    <w:rsid w:val="00D54E57"/>
    <w:rsid w:val="00D54F09"/>
    <w:rsid w:val="00D552DD"/>
    <w:rsid w:val="00D55329"/>
    <w:rsid w:val="00D555C2"/>
    <w:rsid w:val="00D555F2"/>
    <w:rsid w:val="00D55601"/>
    <w:rsid w:val="00D55C56"/>
    <w:rsid w:val="00D55EC8"/>
    <w:rsid w:val="00D55F43"/>
    <w:rsid w:val="00D55F92"/>
    <w:rsid w:val="00D560AA"/>
    <w:rsid w:val="00D56186"/>
    <w:rsid w:val="00D56371"/>
    <w:rsid w:val="00D56435"/>
    <w:rsid w:val="00D565DF"/>
    <w:rsid w:val="00D565FD"/>
    <w:rsid w:val="00D56663"/>
    <w:rsid w:val="00D567EF"/>
    <w:rsid w:val="00D56870"/>
    <w:rsid w:val="00D56A26"/>
    <w:rsid w:val="00D56AA2"/>
    <w:rsid w:val="00D56B1A"/>
    <w:rsid w:val="00D56D73"/>
    <w:rsid w:val="00D56DDE"/>
    <w:rsid w:val="00D56E53"/>
    <w:rsid w:val="00D57423"/>
    <w:rsid w:val="00D575BD"/>
    <w:rsid w:val="00D575F6"/>
    <w:rsid w:val="00D57601"/>
    <w:rsid w:val="00D576C6"/>
    <w:rsid w:val="00D57872"/>
    <w:rsid w:val="00D57D7F"/>
    <w:rsid w:val="00D57E63"/>
    <w:rsid w:val="00D6008F"/>
    <w:rsid w:val="00D602F4"/>
    <w:rsid w:val="00D60652"/>
    <w:rsid w:val="00D6073B"/>
    <w:rsid w:val="00D60834"/>
    <w:rsid w:val="00D6096B"/>
    <w:rsid w:val="00D6114E"/>
    <w:rsid w:val="00D617E9"/>
    <w:rsid w:val="00D6184B"/>
    <w:rsid w:val="00D618DF"/>
    <w:rsid w:val="00D61A09"/>
    <w:rsid w:val="00D61A45"/>
    <w:rsid w:val="00D6207D"/>
    <w:rsid w:val="00D620BF"/>
    <w:rsid w:val="00D62571"/>
    <w:rsid w:val="00D6277C"/>
    <w:rsid w:val="00D62AC7"/>
    <w:rsid w:val="00D63453"/>
    <w:rsid w:val="00D6365B"/>
    <w:rsid w:val="00D63756"/>
    <w:rsid w:val="00D63AF0"/>
    <w:rsid w:val="00D63BC6"/>
    <w:rsid w:val="00D63E3E"/>
    <w:rsid w:val="00D64047"/>
    <w:rsid w:val="00D641AE"/>
    <w:rsid w:val="00D642AC"/>
    <w:rsid w:val="00D64332"/>
    <w:rsid w:val="00D64399"/>
    <w:rsid w:val="00D644CF"/>
    <w:rsid w:val="00D64567"/>
    <w:rsid w:val="00D64784"/>
    <w:rsid w:val="00D64892"/>
    <w:rsid w:val="00D64A78"/>
    <w:rsid w:val="00D64ADA"/>
    <w:rsid w:val="00D64AF0"/>
    <w:rsid w:val="00D64B0E"/>
    <w:rsid w:val="00D64D14"/>
    <w:rsid w:val="00D64DA8"/>
    <w:rsid w:val="00D65288"/>
    <w:rsid w:val="00D65445"/>
    <w:rsid w:val="00D65508"/>
    <w:rsid w:val="00D65550"/>
    <w:rsid w:val="00D655F7"/>
    <w:rsid w:val="00D6576D"/>
    <w:rsid w:val="00D65942"/>
    <w:rsid w:val="00D65F97"/>
    <w:rsid w:val="00D66179"/>
    <w:rsid w:val="00D66773"/>
    <w:rsid w:val="00D668D2"/>
    <w:rsid w:val="00D66A8C"/>
    <w:rsid w:val="00D66A8E"/>
    <w:rsid w:val="00D66BC7"/>
    <w:rsid w:val="00D66BEA"/>
    <w:rsid w:val="00D66EB6"/>
    <w:rsid w:val="00D67172"/>
    <w:rsid w:val="00D672CF"/>
    <w:rsid w:val="00D6746F"/>
    <w:rsid w:val="00D675AB"/>
    <w:rsid w:val="00D67691"/>
    <w:rsid w:val="00D67776"/>
    <w:rsid w:val="00D67A51"/>
    <w:rsid w:val="00D67AF9"/>
    <w:rsid w:val="00D67CA8"/>
    <w:rsid w:val="00D67CCF"/>
    <w:rsid w:val="00D67D0D"/>
    <w:rsid w:val="00D67FEE"/>
    <w:rsid w:val="00D7015A"/>
    <w:rsid w:val="00D70379"/>
    <w:rsid w:val="00D70382"/>
    <w:rsid w:val="00D703F8"/>
    <w:rsid w:val="00D70599"/>
    <w:rsid w:val="00D7065C"/>
    <w:rsid w:val="00D708AD"/>
    <w:rsid w:val="00D708CA"/>
    <w:rsid w:val="00D70A1D"/>
    <w:rsid w:val="00D70AB8"/>
    <w:rsid w:val="00D70B1D"/>
    <w:rsid w:val="00D7118B"/>
    <w:rsid w:val="00D71196"/>
    <w:rsid w:val="00D711E5"/>
    <w:rsid w:val="00D7159D"/>
    <w:rsid w:val="00D715FC"/>
    <w:rsid w:val="00D71A0B"/>
    <w:rsid w:val="00D71D29"/>
    <w:rsid w:val="00D7201F"/>
    <w:rsid w:val="00D72090"/>
    <w:rsid w:val="00D720BD"/>
    <w:rsid w:val="00D72100"/>
    <w:rsid w:val="00D722E4"/>
    <w:rsid w:val="00D723BE"/>
    <w:rsid w:val="00D725B4"/>
    <w:rsid w:val="00D72769"/>
    <w:rsid w:val="00D728F1"/>
    <w:rsid w:val="00D72A18"/>
    <w:rsid w:val="00D72D4D"/>
    <w:rsid w:val="00D730FA"/>
    <w:rsid w:val="00D73321"/>
    <w:rsid w:val="00D733CC"/>
    <w:rsid w:val="00D733D8"/>
    <w:rsid w:val="00D734E9"/>
    <w:rsid w:val="00D736C0"/>
    <w:rsid w:val="00D73881"/>
    <w:rsid w:val="00D73B93"/>
    <w:rsid w:val="00D73F8D"/>
    <w:rsid w:val="00D743E9"/>
    <w:rsid w:val="00D744DD"/>
    <w:rsid w:val="00D745EE"/>
    <w:rsid w:val="00D74649"/>
    <w:rsid w:val="00D74A0A"/>
    <w:rsid w:val="00D74ADA"/>
    <w:rsid w:val="00D74AF6"/>
    <w:rsid w:val="00D74D73"/>
    <w:rsid w:val="00D74FEC"/>
    <w:rsid w:val="00D75463"/>
    <w:rsid w:val="00D756BD"/>
    <w:rsid w:val="00D756EE"/>
    <w:rsid w:val="00D75998"/>
    <w:rsid w:val="00D75A27"/>
    <w:rsid w:val="00D75BC4"/>
    <w:rsid w:val="00D75BCB"/>
    <w:rsid w:val="00D76690"/>
    <w:rsid w:val="00D76976"/>
    <w:rsid w:val="00D76A55"/>
    <w:rsid w:val="00D76E4E"/>
    <w:rsid w:val="00D776FC"/>
    <w:rsid w:val="00D77B7C"/>
    <w:rsid w:val="00D77E5A"/>
    <w:rsid w:val="00D77E82"/>
    <w:rsid w:val="00D8015A"/>
    <w:rsid w:val="00D80285"/>
    <w:rsid w:val="00D8034B"/>
    <w:rsid w:val="00D80468"/>
    <w:rsid w:val="00D8060D"/>
    <w:rsid w:val="00D80944"/>
    <w:rsid w:val="00D80AB3"/>
    <w:rsid w:val="00D80B53"/>
    <w:rsid w:val="00D80D09"/>
    <w:rsid w:val="00D811A3"/>
    <w:rsid w:val="00D812FE"/>
    <w:rsid w:val="00D814E4"/>
    <w:rsid w:val="00D81687"/>
    <w:rsid w:val="00D81A51"/>
    <w:rsid w:val="00D81C89"/>
    <w:rsid w:val="00D81E41"/>
    <w:rsid w:val="00D81F3A"/>
    <w:rsid w:val="00D81F55"/>
    <w:rsid w:val="00D82018"/>
    <w:rsid w:val="00D82414"/>
    <w:rsid w:val="00D82679"/>
    <w:rsid w:val="00D827E2"/>
    <w:rsid w:val="00D82A61"/>
    <w:rsid w:val="00D83151"/>
    <w:rsid w:val="00D83267"/>
    <w:rsid w:val="00D833EE"/>
    <w:rsid w:val="00D83444"/>
    <w:rsid w:val="00D836E1"/>
    <w:rsid w:val="00D83891"/>
    <w:rsid w:val="00D83916"/>
    <w:rsid w:val="00D83930"/>
    <w:rsid w:val="00D83C31"/>
    <w:rsid w:val="00D83CDC"/>
    <w:rsid w:val="00D83F99"/>
    <w:rsid w:val="00D84007"/>
    <w:rsid w:val="00D84EC6"/>
    <w:rsid w:val="00D84F35"/>
    <w:rsid w:val="00D85069"/>
    <w:rsid w:val="00D853B2"/>
    <w:rsid w:val="00D85444"/>
    <w:rsid w:val="00D85919"/>
    <w:rsid w:val="00D85BA9"/>
    <w:rsid w:val="00D85D07"/>
    <w:rsid w:val="00D862B2"/>
    <w:rsid w:val="00D8630D"/>
    <w:rsid w:val="00D8633D"/>
    <w:rsid w:val="00D864A6"/>
    <w:rsid w:val="00D866E5"/>
    <w:rsid w:val="00D867F5"/>
    <w:rsid w:val="00D868A6"/>
    <w:rsid w:val="00D86A4D"/>
    <w:rsid w:val="00D86AA6"/>
    <w:rsid w:val="00D86C18"/>
    <w:rsid w:val="00D86FFF"/>
    <w:rsid w:val="00D8722C"/>
    <w:rsid w:val="00D87234"/>
    <w:rsid w:val="00D87552"/>
    <w:rsid w:val="00D8778C"/>
    <w:rsid w:val="00D87961"/>
    <w:rsid w:val="00D8796E"/>
    <w:rsid w:val="00D87D9E"/>
    <w:rsid w:val="00D87DF4"/>
    <w:rsid w:val="00D87FDB"/>
    <w:rsid w:val="00D9025E"/>
    <w:rsid w:val="00D904CB"/>
    <w:rsid w:val="00D90670"/>
    <w:rsid w:val="00D906A9"/>
    <w:rsid w:val="00D90875"/>
    <w:rsid w:val="00D90BD2"/>
    <w:rsid w:val="00D90C87"/>
    <w:rsid w:val="00D90E4A"/>
    <w:rsid w:val="00D90EDC"/>
    <w:rsid w:val="00D90F2A"/>
    <w:rsid w:val="00D91529"/>
    <w:rsid w:val="00D915FE"/>
    <w:rsid w:val="00D91658"/>
    <w:rsid w:val="00D91ADF"/>
    <w:rsid w:val="00D91B3C"/>
    <w:rsid w:val="00D91B75"/>
    <w:rsid w:val="00D91BDC"/>
    <w:rsid w:val="00D91BF6"/>
    <w:rsid w:val="00D91C4D"/>
    <w:rsid w:val="00D91D23"/>
    <w:rsid w:val="00D91D9B"/>
    <w:rsid w:val="00D91F5D"/>
    <w:rsid w:val="00D91F78"/>
    <w:rsid w:val="00D920D5"/>
    <w:rsid w:val="00D92489"/>
    <w:rsid w:val="00D924E4"/>
    <w:rsid w:val="00D925D7"/>
    <w:rsid w:val="00D925E2"/>
    <w:rsid w:val="00D92661"/>
    <w:rsid w:val="00D926C3"/>
    <w:rsid w:val="00D92727"/>
    <w:rsid w:val="00D9285D"/>
    <w:rsid w:val="00D92C6B"/>
    <w:rsid w:val="00D92C86"/>
    <w:rsid w:val="00D92F1F"/>
    <w:rsid w:val="00D93229"/>
    <w:rsid w:val="00D93567"/>
    <w:rsid w:val="00D93608"/>
    <w:rsid w:val="00D93A31"/>
    <w:rsid w:val="00D93A3E"/>
    <w:rsid w:val="00D93BCE"/>
    <w:rsid w:val="00D93D13"/>
    <w:rsid w:val="00D94036"/>
    <w:rsid w:val="00D943B4"/>
    <w:rsid w:val="00D945F9"/>
    <w:rsid w:val="00D947B0"/>
    <w:rsid w:val="00D94AE3"/>
    <w:rsid w:val="00D94D1A"/>
    <w:rsid w:val="00D94D9F"/>
    <w:rsid w:val="00D94EE9"/>
    <w:rsid w:val="00D94FE5"/>
    <w:rsid w:val="00D95524"/>
    <w:rsid w:val="00D95681"/>
    <w:rsid w:val="00D95705"/>
    <w:rsid w:val="00D95789"/>
    <w:rsid w:val="00D9579B"/>
    <w:rsid w:val="00D957A3"/>
    <w:rsid w:val="00D9582F"/>
    <w:rsid w:val="00D9598D"/>
    <w:rsid w:val="00D95A85"/>
    <w:rsid w:val="00D95D84"/>
    <w:rsid w:val="00D95D98"/>
    <w:rsid w:val="00D95DC0"/>
    <w:rsid w:val="00D95E08"/>
    <w:rsid w:val="00D95E80"/>
    <w:rsid w:val="00D95F1D"/>
    <w:rsid w:val="00D961CE"/>
    <w:rsid w:val="00D96308"/>
    <w:rsid w:val="00D9647A"/>
    <w:rsid w:val="00D96481"/>
    <w:rsid w:val="00D9652F"/>
    <w:rsid w:val="00D966DF"/>
    <w:rsid w:val="00D96896"/>
    <w:rsid w:val="00D96A2B"/>
    <w:rsid w:val="00D96A58"/>
    <w:rsid w:val="00D96B14"/>
    <w:rsid w:val="00D96C13"/>
    <w:rsid w:val="00D96D59"/>
    <w:rsid w:val="00D97507"/>
    <w:rsid w:val="00D975CC"/>
    <w:rsid w:val="00D978D2"/>
    <w:rsid w:val="00D97CD0"/>
    <w:rsid w:val="00D97F98"/>
    <w:rsid w:val="00DA01E4"/>
    <w:rsid w:val="00DA0382"/>
    <w:rsid w:val="00DA03F0"/>
    <w:rsid w:val="00DA050F"/>
    <w:rsid w:val="00DA07FD"/>
    <w:rsid w:val="00DA08FA"/>
    <w:rsid w:val="00DA0F68"/>
    <w:rsid w:val="00DA0FEF"/>
    <w:rsid w:val="00DA112E"/>
    <w:rsid w:val="00DA135F"/>
    <w:rsid w:val="00DA15F0"/>
    <w:rsid w:val="00DA17ED"/>
    <w:rsid w:val="00DA184A"/>
    <w:rsid w:val="00DA19BB"/>
    <w:rsid w:val="00DA1B63"/>
    <w:rsid w:val="00DA1BBE"/>
    <w:rsid w:val="00DA1C7A"/>
    <w:rsid w:val="00DA1CE0"/>
    <w:rsid w:val="00DA1D2D"/>
    <w:rsid w:val="00DA1D35"/>
    <w:rsid w:val="00DA2058"/>
    <w:rsid w:val="00DA24FD"/>
    <w:rsid w:val="00DA2711"/>
    <w:rsid w:val="00DA2A59"/>
    <w:rsid w:val="00DA2ADF"/>
    <w:rsid w:val="00DA3435"/>
    <w:rsid w:val="00DA343E"/>
    <w:rsid w:val="00DA347B"/>
    <w:rsid w:val="00DA352E"/>
    <w:rsid w:val="00DA3C84"/>
    <w:rsid w:val="00DA3EDF"/>
    <w:rsid w:val="00DA3FD6"/>
    <w:rsid w:val="00DA3FDA"/>
    <w:rsid w:val="00DA40EB"/>
    <w:rsid w:val="00DA40F6"/>
    <w:rsid w:val="00DA40FA"/>
    <w:rsid w:val="00DA42BB"/>
    <w:rsid w:val="00DA4466"/>
    <w:rsid w:val="00DA44B9"/>
    <w:rsid w:val="00DA46EF"/>
    <w:rsid w:val="00DA4D2D"/>
    <w:rsid w:val="00DA4D34"/>
    <w:rsid w:val="00DA4DA6"/>
    <w:rsid w:val="00DA4FE8"/>
    <w:rsid w:val="00DA50F5"/>
    <w:rsid w:val="00DA56B1"/>
    <w:rsid w:val="00DA588E"/>
    <w:rsid w:val="00DA5965"/>
    <w:rsid w:val="00DA5D8E"/>
    <w:rsid w:val="00DA6031"/>
    <w:rsid w:val="00DA6049"/>
    <w:rsid w:val="00DA6188"/>
    <w:rsid w:val="00DA6193"/>
    <w:rsid w:val="00DA628C"/>
    <w:rsid w:val="00DA63AD"/>
    <w:rsid w:val="00DA64AF"/>
    <w:rsid w:val="00DA66D7"/>
    <w:rsid w:val="00DA67D2"/>
    <w:rsid w:val="00DA6819"/>
    <w:rsid w:val="00DA686E"/>
    <w:rsid w:val="00DA6B7D"/>
    <w:rsid w:val="00DA6C34"/>
    <w:rsid w:val="00DA777D"/>
    <w:rsid w:val="00DA77BB"/>
    <w:rsid w:val="00DA77DE"/>
    <w:rsid w:val="00DA7AD4"/>
    <w:rsid w:val="00DA7C81"/>
    <w:rsid w:val="00DB0005"/>
    <w:rsid w:val="00DB01A4"/>
    <w:rsid w:val="00DB038D"/>
    <w:rsid w:val="00DB05A7"/>
    <w:rsid w:val="00DB075F"/>
    <w:rsid w:val="00DB0890"/>
    <w:rsid w:val="00DB098D"/>
    <w:rsid w:val="00DB0D1B"/>
    <w:rsid w:val="00DB1035"/>
    <w:rsid w:val="00DB10BE"/>
    <w:rsid w:val="00DB10CC"/>
    <w:rsid w:val="00DB112B"/>
    <w:rsid w:val="00DB12E0"/>
    <w:rsid w:val="00DB144C"/>
    <w:rsid w:val="00DB1547"/>
    <w:rsid w:val="00DB1759"/>
    <w:rsid w:val="00DB1A90"/>
    <w:rsid w:val="00DB1CE1"/>
    <w:rsid w:val="00DB1CE7"/>
    <w:rsid w:val="00DB1D6A"/>
    <w:rsid w:val="00DB1FFE"/>
    <w:rsid w:val="00DB2125"/>
    <w:rsid w:val="00DB2446"/>
    <w:rsid w:val="00DB25A5"/>
    <w:rsid w:val="00DB26A1"/>
    <w:rsid w:val="00DB26B4"/>
    <w:rsid w:val="00DB28DB"/>
    <w:rsid w:val="00DB2AFF"/>
    <w:rsid w:val="00DB2C02"/>
    <w:rsid w:val="00DB2C12"/>
    <w:rsid w:val="00DB2C81"/>
    <w:rsid w:val="00DB2E5C"/>
    <w:rsid w:val="00DB2F7B"/>
    <w:rsid w:val="00DB311C"/>
    <w:rsid w:val="00DB34C3"/>
    <w:rsid w:val="00DB3A57"/>
    <w:rsid w:val="00DB3AD9"/>
    <w:rsid w:val="00DB3B3A"/>
    <w:rsid w:val="00DB3F9F"/>
    <w:rsid w:val="00DB428C"/>
    <w:rsid w:val="00DB449D"/>
    <w:rsid w:val="00DB449E"/>
    <w:rsid w:val="00DB4898"/>
    <w:rsid w:val="00DB490B"/>
    <w:rsid w:val="00DB4936"/>
    <w:rsid w:val="00DB4CEE"/>
    <w:rsid w:val="00DB4F43"/>
    <w:rsid w:val="00DB5033"/>
    <w:rsid w:val="00DB5326"/>
    <w:rsid w:val="00DB541B"/>
    <w:rsid w:val="00DB58AF"/>
    <w:rsid w:val="00DB6123"/>
    <w:rsid w:val="00DB6158"/>
    <w:rsid w:val="00DB62DB"/>
    <w:rsid w:val="00DB682D"/>
    <w:rsid w:val="00DB6B0F"/>
    <w:rsid w:val="00DB6D98"/>
    <w:rsid w:val="00DB7014"/>
    <w:rsid w:val="00DB7022"/>
    <w:rsid w:val="00DB745F"/>
    <w:rsid w:val="00DB751A"/>
    <w:rsid w:val="00DB7637"/>
    <w:rsid w:val="00DB769F"/>
    <w:rsid w:val="00DB77F0"/>
    <w:rsid w:val="00DB7C75"/>
    <w:rsid w:val="00DC0172"/>
    <w:rsid w:val="00DC021E"/>
    <w:rsid w:val="00DC02AA"/>
    <w:rsid w:val="00DC038D"/>
    <w:rsid w:val="00DC0599"/>
    <w:rsid w:val="00DC05E8"/>
    <w:rsid w:val="00DC0669"/>
    <w:rsid w:val="00DC0835"/>
    <w:rsid w:val="00DC095F"/>
    <w:rsid w:val="00DC0E7F"/>
    <w:rsid w:val="00DC0EB2"/>
    <w:rsid w:val="00DC13D7"/>
    <w:rsid w:val="00DC1536"/>
    <w:rsid w:val="00DC15ED"/>
    <w:rsid w:val="00DC1779"/>
    <w:rsid w:val="00DC198A"/>
    <w:rsid w:val="00DC19FF"/>
    <w:rsid w:val="00DC1AB2"/>
    <w:rsid w:val="00DC1D78"/>
    <w:rsid w:val="00DC1FC7"/>
    <w:rsid w:val="00DC20D6"/>
    <w:rsid w:val="00DC2168"/>
    <w:rsid w:val="00DC21AF"/>
    <w:rsid w:val="00DC290E"/>
    <w:rsid w:val="00DC3366"/>
    <w:rsid w:val="00DC3649"/>
    <w:rsid w:val="00DC3880"/>
    <w:rsid w:val="00DC391A"/>
    <w:rsid w:val="00DC3993"/>
    <w:rsid w:val="00DC3C61"/>
    <w:rsid w:val="00DC40A1"/>
    <w:rsid w:val="00DC40F9"/>
    <w:rsid w:val="00DC468D"/>
    <w:rsid w:val="00DC4694"/>
    <w:rsid w:val="00DC485A"/>
    <w:rsid w:val="00DC4A52"/>
    <w:rsid w:val="00DC4AB1"/>
    <w:rsid w:val="00DC4E55"/>
    <w:rsid w:val="00DC4EFA"/>
    <w:rsid w:val="00DC50F5"/>
    <w:rsid w:val="00DC522C"/>
    <w:rsid w:val="00DC52E4"/>
    <w:rsid w:val="00DC5709"/>
    <w:rsid w:val="00DC5B0B"/>
    <w:rsid w:val="00DC5C45"/>
    <w:rsid w:val="00DC65A1"/>
    <w:rsid w:val="00DC6805"/>
    <w:rsid w:val="00DC69A2"/>
    <w:rsid w:val="00DC6BF5"/>
    <w:rsid w:val="00DC6C12"/>
    <w:rsid w:val="00DC6E59"/>
    <w:rsid w:val="00DC723A"/>
    <w:rsid w:val="00DC7A8C"/>
    <w:rsid w:val="00DC7C27"/>
    <w:rsid w:val="00DC7E39"/>
    <w:rsid w:val="00DC7F10"/>
    <w:rsid w:val="00DC7F12"/>
    <w:rsid w:val="00DD0277"/>
    <w:rsid w:val="00DD0619"/>
    <w:rsid w:val="00DD0668"/>
    <w:rsid w:val="00DD072A"/>
    <w:rsid w:val="00DD0D87"/>
    <w:rsid w:val="00DD0F0A"/>
    <w:rsid w:val="00DD1048"/>
    <w:rsid w:val="00DD1148"/>
    <w:rsid w:val="00DD130E"/>
    <w:rsid w:val="00DD145C"/>
    <w:rsid w:val="00DD1480"/>
    <w:rsid w:val="00DD149A"/>
    <w:rsid w:val="00DD1616"/>
    <w:rsid w:val="00DD1ABC"/>
    <w:rsid w:val="00DD21AB"/>
    <w:rsid w:val="00DD2277"/>
    <w:rsid w:val="00DD244E"/>
    <w:rsid w:val="00DD2636"/>
    <w:rsid w:val="00DD2720"/>
    <w:rsid w:val="00DD2995"/>
    <w:rsid w:val="00DD2CBC"/>
    <w:rsid w:val="00DD30DB"/>
    <w:rsid w:val="00DD331A"/>
    <w:rsid w:val="00DD3401"/>
    <w:rsid w:val="00DD3491"/>
    <w:rsid w:val="00DD3523"/>
    <w:rsid w:val="00DD36D4"/>
    <w:rsid w:val="00DD3CDE"/>
    <w:rsid w:val="00DD3D08"/>
    <w:rsid w:val="00DD3D35"/>
    <w:rsid w:val="00DD4052"/>
    <w:rsid w:val="00DD4181"/>
    <w:rsid w:val="00DD422A"/>
    <w:rsid w:val="00DD42B6"/>
    <w:rsid w:val="00DD4534"/>
    <w:rsid w:val="00DD4698"/>
    <w:rsid w:val="00DD472F"/>
    <w:rsid w:val="00DD473B"/>
    <w:rsid w:val="00DD47E4"/>
    <w:rsid w:val="00DD4897"/>
    <w:rsid w:val="00DD4A23"/>
    <w:rsid w:val="00DD4E14"/>
    <w:rsid w:val="00DD4E61"/>
    <w:rsid w:val="00DD4EC8"/>
    <w:rsid w:val="00DD4ED8"/>
    <w:rsid w:val="00DD4F7E"/>
    <w:rsid w:val="00DD500C"/>
    <w:rsid w:val="00DD537F"/>
    <w:rsid w:val="00DD562D"/>
    <w:rsid w:val="00DD5935"/>
    <w:rsid w:val="00DD5A2C"/>
    <w:rsid w:val="00DD5B01"/>
    <w:rsid w:val="00DD5C5D"/>
    <w:rsid w:val="00DD5D5F"/>
    <w:rsid w:val="00DD5DE6"/>
    <w:rsid w:val="00DD6562"/>
    <w:rsid w:val="00DD6779"/>
    <w:rsid w:val="00DD6818"/>
    <w:rsid w:val="00DD6AD6"/>
    <w:rsid w:val="00DD6AFB"/>
    <w:rsid w:val="00DD6EB4"/>
    <w:rsid w:val="00DD7081"/>
    <w:rsid w:val="00DD76EF"/>
    <w:rsid w:val="00DD786F"/>
    <w:rsid w:val="00DD7ADB"/>
    <w:rsid w:val="00DD7E06"/>
    <w:rsid w:val="00DD7F18"/>
    <w:rsid w:val="00DE0114"/>
    <w:rsid w:val="00DE02B0"/>
    <w:rsid w:val="00DE0375"/>
    <w:rsid w:val="00DE03E4"/>
    <w:rsid w:val="00DE0498"/>
    <w:rsid w:val="00DE04D8"/>
    <w:rsid w:val="00DE0A6C"/>
    <w:rsid w:val="00DE0A99"/>
    <w:rsid w:val="00DE0B52"/>
    <w:rsid w:val="00DE117F"/>
    <w:rsid w:val="00DE1232"/>
    <w:rsid w:val="00DE1A8E"/>
    <w:rsid w:val="00DE1ACE"/>
    <w:rsid w:val="00DE1B92"/>
    <w:rsid w:val="00DE1BDB"/>
    <w:rsid w:val="00DE1E66"/>
    <w:rsid w:val="00DE1F70"/>
    <w:rsid w:val="00DE20F6"/>
    <w:rsid w:val="00DE2443"/>
    <w:rsid w:val="00DE25B2"/>
    <w:rsid w:val="00DE2C90"/>
    <w:rsid w:val="00DE2DBD"/>
    <w:rsid w:val="00DE2EDE"/>
    <w:rsid w:val="00DE2FC2"/>
    <w:rsid w:val="00DE30AD"/>
    <w:rsid w:val="00DE3252"/>
    <w:rsid w:val="00DE33AE"/>
    <w:rsid w:val="00DE34BA"/>
    <w:rsid w:val="00DE34F2"/>
    <w:rsid w:val="00DE3829"/>
    <w:rsid w:val="00DE3B59"/>
    <w:rsid w:val="00DE3E99"/>
    <w:rsid w:val="00DE3EAD"/>
    <w:rsid w:val="00DE4006"/>
    <w:rsid w:val="00DE4115"/>
    <w:rsid w:val="00DE4690"/>
    <w:rsid w:val="00DE4AB2"/>
    <w:rsid w:val="00DE4B06"/>
    <w:rsid w:val="00DE4CB1"/>
    <w:rsid w:val="00DE4DDD"/>
    <w:rsid w:val="00DE4F81"/>
    <w:rsid w:val="00DE51F5"/>
    <w:rsid w:val="00DE54CA"/>
    <w:rsid w:val="00DE54EA"/>
    <w:rsid w:val="00DE54F9"/>
    <w:rsid w:val="00DE5966"/>
    <w:rsid w:val="00DE5AF8"/>
    <w:rsid w:val="00DE5B75"/>
    <w:rsid w:val="00DE5D16"/>
    <w:rsid w:val="00DE6176"/>
    <w:rsid w:val="00DE6324"/>
    <w:rsid w:val="00DE678E"/>
    <w:rsid w:val="00DE69CD"/>
    <w:rsid w:val="00DE6D63"/>
    <w:rsid w:val="00DE6D9A"/>
    <w:rsid w:val="00DE6FF4"/>
    <w:rsid w:val="00DE709B"/>
    <w:rsid w:val="00DE710E"/>
    <w:rsid w:val="00DE72BB"/>
    <w:rsid w:val="00DE7354"/>
    <w:rsid w:val="00DE75BF"/>
    <w:rsid w:val="00DE75D0"/>
    <w:rsid w:val="00DE7774"/>
    <w:rsid w:val="00DE7953"/>
    <w:rsid w:val="00DE798A"/>
    <w:rsid w:val="00DE7A20"/>
    <w:rsid w:val="00DE7DD4"/>
    <w:rsid w:val="00DF0176"/>
    <w:rsid w:val="00DF0177"/>
    <w:rsid w:val="00DF01EB"/>
    <w:rsid w:val="00DF026C"/>
    <w:rsid w:val="00DF0370"/>
    <w:rsid w:val="00DF0389"/>
    <w:rsid w:val="00DF0395"/>
    <w:rsid w:val="00DF0742"/>
    <w:rsid w:val="00DF099C"/>
    <w:rsid w:val="00DF0A28"/>
    <w:rsid w:val="00DF0EFA"/>
    <w:rsid w:val="00DF11B4"/>
    <w:rsid w:val="00DF16CD"/>
    <w:rsid w:val="00DF16ED"/>
    <w:rsid w:val="00DF181A"/>
    <w:rsid w:val="00DF1ABA"/>
    <w:rsid w:val="00DF1AD9"/>
    <w:rsid w:val="00DF1CDA"/>
    <w:rsid w:val="00DF1D37"/>
    <w:rsid w:val="00DF206A"/>
    <w:rsid w:val="00DF2417"/>
    <w:rsid w:val="00DF24E0"/>
    <w:rsid w:val="00DF25AE"/>
    <w:rsid w:val="00DF274A"/>
    <w:rsid w:val="00DF2924"/>
    <w:rsid w:val="00DF29F2"/>
    <w:rsid w:val="00DF2B28"/>
    <w:rsid w:val="00DF2C55"/>
    <w:rsid w:val="00DF2C92"/>
    <w:rsid w:val="00DF2CEC"/>
    <w:rsid w:val="00DF2D22"/>
    <w:rsid w:val="00DF2FBB"/>
    <w:rsid w:val="00DF3081"/>
    <w:rsid w:val="00DF3276"/>
    <w:rsid w:val="00DF34FF"/>
    <w:rsid w:val="00DF3528"/>
    <w:rsid w:val="00DF3651"/>
    <w:rsid w:val="00DF369F"/>
    <w:rsid w:val="00DF36F9"/>
    <w:rsid w:val="00DF39DA"/>
    <w:rsid w:val="00DF3A5F"/>
    <w:rsid w:val="00DF3DD7"/>
    <w:rsid w:val="00DF4027"/>
    <w:rsid w:val="00DF4087"/>
    <w:rsid w:val="00DF4400"/>
    <w:rsid w:val="00DF499A"/>
    <w:rsid w:val="00DF4AE8"/>
    <w:rsid w:val="00DF4D0F"/>
    <w:rsid w:val="00DF5292"/>
    <w:rsid w:val="00DF54E9"/>
    <w:rsid w:val="00DF59DE"/>
    <w:rsid w:val="00DF5C01"/>
    <w:rsid w:val="00DF5C23"/>
    <w:rsid w:val="00DF6110"/>
    <w:rsid w:val="00DF61AA"/>
    <w:rsid w:val="00DF63BD"/>
    <w:rsid w:val="00DF64C8"/>
    <w:rsid w:val="00DF64F5"/>
    <w:rsid w:val="00DF6699"/>
    <w:rsid w:val="00DF6A17"/>
    <w:rsid w:val="00DF6C37"/>
    <w:rsid w:val="00DF6CDF"/>
    <w:rsid w:val="00DF6DFC"/>
    <w:rsid w:val="00DF6ED0"/>
    <w:rsid w:val="00DF7106"/>
    <w:rsid w:val="00DF7193"/>
    <w:rsid w:val="00DF785A"/>
    <w:rsid w:val="00DF790E"/>
    <w:rsid w:val="00DF7DF4"/>
    <w:rsid w:val="00DF7F85"/>
    <w:rsid w:val="00E00182"/>
    <w:rsid w:val="00E001BF"/>
    <w:rsid w:val="00E0028D"/>
    <w:rsid w:val="00E00537"/>
    <w:rsid w:val="00E0057A"/>
    <w:rsid w:val="00E00632"/>
    <w:rsid w:val="00E00704"/>
    <w:rsid w:val="00E009BA"/>
    <w:rsid w:val="00E009F5"/>
    <w:rsid w:val="00E00AE2"/>
    <w:rsid w:val="00E00D61"/>
    <w:rsid w:val="00E00E99"/>
    <w:rsid w:val="00E0105D"/>
    <w:rsid w:val="00E01378"/>
    <w:rsid w:val="00E01512"/>
    <w:rsid w:val="00E01B2C"/>
    <w:rsid w:val="00E01BFB"/>
    <w:rsid w:val="00E01D5A"/>
    <w:rsid w:val="00E01F00"/>
    <w:rsid w:val="00E01F84"/>
    <w:rsid w:val="00E021CD"/>
    <w:rsid w:val="00E023DE"/>
    <w:rsid w:val="00E02634"/>
    <w:rsid w:val="00E02704"/>
    <w:rsid w:val="00E02DBE"/>
    <w:rsid w:val="00E03275"/>
    <w:rsid w:val="00E032D4"/>
    <w:rsid w:val="00E0341E"/>
    <w:rsid w:val="00E0373C"/>
    <w:rsid w:val="00E037E9"/>
    <w:rsid w:val="00E037F8"/>
    <w:rsid w:val="00E03957"/>
    <w:rsid w:val="00E03C1F"/>
    <w:rsid w:val="00E04012"/>
    <w:rsid w:val="00E040B0"/>
    <w:rsid w:val="00E04130"/>
    <w:rsid w:val="00E04143"/>
    <w:rsid w:val="00E04148"/>
    <w:rsid w:val="00E04261"/>
    <w:rsid w:val="00E043EE"/>
    <w:rsid w:val="00E04639"/>
    <w:rsid w:val="00E05204"/>
    <w:rsid w:val="00E054BE"/>
    <w:rsid w:val="00E0552A"/>
    <w:rsid w:val="00E05657"/>
    <w:rsid w:val="00E0578C"/>
    <w:rsid w:val="00E057D7"/>
    <w:rsid w:val="00E057DC"/>
    <w:rsid w:val="00E058CD"/>
    <w:rsid w:val="00E05921"/>
    <w:rsid w:val="00E05CCD"/>
    <w:rsid w:val="00E05DAF"/>
    <w:rsid w:val="00E064AF"/>
    <w:rsid w:val="00E06710"/>
    <w:rsid w:val="00E067AA"/>
    <w:rsid w:val="00E0700A"/>
    <w:rsid w:val="00E07432"/>
    <w:rsid w:val="00E07537"/>
    <w:rsid w:val="00E07772"/>
    <w:rsid w:val="00E07DFA"/>
    <w:rsid w:val="00E10175"/>
    <w:rsid w:val="00E10640"/>
    <w:rsid w:val="00E10886"/>
    <w:rsid w:val="00E10B49"/>
    <w:rsid w:val="00E10C29"/>
    <w:rsid w:val="00E10F9C"/>
    <w:rsid w:val="00E11047"/>
    <w:rsid w:val="00E115A2"/>
    <w:rsid w:val="00E115EC"/>
    <w:rsid w:val="00E1160A"/>
    <w:rsid w:val="00E11662"/>
    <w:rsid w:val="00E119BB"/>
    <w:rsid w:val="00E11AC2"/>
    <w:rsid w:val="00E11C35"/>
    <w:rsid w:val="00E11EAE"/>
    <w:rsid w:val="00E11F73"/>
    <w:rsid w:val="00E121FF"/>
    <w:rsid w:val="00E122E8"/>
    <w:rsid w:val="00E1233A"/>
    <w:rsid w:val="00E12605"/>
    <w:rsid w:val="00E12669"/>
    <w:rsid w:val="00E127F8"/>
    <w:rsid w:val="00E1283D"/>
    <w:rsid w:val="00E128E8"/>
    <w:rsid w:val="00E12950"/>
    <w:rsid w:val="00E129C5"/>
    <w:rsid w:val="00E12A79"/>
    <w:rsid w:val="00E12ADD"/>
    <w:rsid w:val="00E12F25"/>
    <w:rsid w:val="00E12FD9"/>
    <w:rsid w:val="00E13002"/>
    <w:rsid w:val="00E13527"/>
    <w:rsid w:val="00E13AB5"/>
    <w:rsid w:val="00E13BA4"/>
    <w:rsid w:val="00E13DEB"/>
    <w:rsid w:val="00E13F6F"/>
    <w:rsid w:val="00E14045"/>
    <w:rsid w:val="00E1411B"/>
    <w:rsid w:val="00E14389"/>
    <w:rsid w:val="00E14631"/>
    <w:rsid w:val="00E146AE"/>
    <w:rsid w:val="00E14AAA"/>
    <w:rsid w:val="00E14C04"/>
    <w:rsid w:val="00E15270"/>
    <w:rsid w:val="00E1528A"/>
    <w:rsid w:val="00E152AC"/>
    <w:rsid w:val="00E1562A"/>
    <w:rsid w:val="00E157CD"/>
    <w:rsid w:val="00E15801"/>
    <w:rsid w:val="00E15A07"/>
    <w:rsid w:val="00E15BD3"/>
    <w:rsid w:val="00E16038"/>
    <w:rsid w:val="00E161CF"/>
    <w:rsid w:val="00E167FA"/>
    <w:rsid w:val="00E16824"/>
    <w:rsid w:val="00E168CB"/>
    <w:rsid w:val="00E168D5"/>
    <w:rsid w:val="00E177E6"/>
    <w:rsid w:val="00E17A72"/>
    <w:rsid w:val="00E17F12"/>
    <w:rsid w:val="00E20560"/>
    <w:rsid w:val="00E20617"/>
    <w:rsid w:val="00E206E5"/>
    <w:rsid w:val="00E20A09"/>
    <w:rsid w:val="00E20F46"/>
    <w:rsid w:val="00E21226"/>
    <w:rsid w:val="00E2183D"/>
    <w:rsid w:val="00E219EC"/>
    <w:rsid w:val="00E21ABC"/>
    <w:rsid w:val="00E21B6B"/>
    <w:rsid w:val="00E21BE0"/>
    <w:rsid w:val="00E21C32"/>
    <w:rsid w:val="00E21DAD"/>
    <w:rsid w:val="00E21F8A"/>
    <w:rsid w:val="00E21FD0"/>
    <w:rsid w:val="00E220D0"/>
    <w:rsid w:val="00E222C0"/>
    <w:rsid w:val="00E2237F"/>
    <w:rsid w:val="00E224A4"/>
    <w:rsid w:val="00E2254A"/>
    <w:rsid w:val="00E2271D"/>
    <w:rsid w:val="00E22DEB"/>
    <w:rsid w:val="00E23544"/>
    <w:rsid w:val="00E23653"/>
    <w:rsid w:val="00E23D23"/>
    <w:rsid w:val="00E23D3D"/>
    <w:rsid w:val="00E23F85"/>
    <w:rsid w:val="00E24046"/>
    <w:rsid w:val="00E240A4"/>
    <w:rsid w:val="00E242EE"/>
    <w:rsid w:val="00E246BA"/>
    <w:rsid w:val="00E24B4A"/>
    <w:rsid w:val="00E24BCB"/>
    <w:rsid w:val="00E24CFE"/>
    <w:rsid w:val="00E2520A"/>
    <w:rsid w:val="00E25780"/>
    <w:rsid w:val="00E257C4"/>
    <w:rsid w:val="00E25829"/>
    <w:rsid w:val="00E25A58"/>
    <w:rsid w:val="00E25AFB"/>
    <w:rsid w:val="00E25C46"/>
    <w:rsid w:val="00E263EA"/>
    <w:rsid w:val="00E26523"/>
    <w:rsid w:val="00E26547"/>
    <w:rsid w:val="00E268BC"/>
    <w:rsid w:val="00E26B06"/>
    <w:rsid w:val="00E26CB0"/>
    <w:rsid w:val="00E26D1D"/>
    <w:rsid w:val="00E26FC5"/>
    <w:rsid w:val="00E27081"/>
    <w:rsid w:val="00E2790B"/>
    <w:rsid w:val="00E27A47"/>
    <w:rsid w:val="00E27B44"/>
    <w:rsid w:val="00E27B47"/>
    <w:rsid w:val="00E27DE2"/>
    <w:rsid w:val="00E27E6A"/>
    <w:rsid w:val="00E30574"/>
    <w:rsid w:val="00E30B9F"/>
    <w:rsid w:val="00E30BD2"/>
    <w:rsid w:val="00E30E05"/>
    <w:rsid w:val="00E31039"/>
    <w:rsid w:val="00E3110A"/>
    <w:rsid w:val="00E31140"/>
    <w:rsid w:val="00E3125A"/>
    <w:rsid w:val="00E3127C"/>
    <w:rsid w:val="00E313FA"/>
    <w:rsid w:val="00E31474"/>
    <w:rsid w:val="00E3149A"/>
    <w:rsid w:val="00E314F8"/>
    <w:rsid w:val="00E3151D"/>
    <w:rsid w:val="00E31586"/>
    <w:rsid w:val="00E318E8"/>
    <w:rsid w:val="00E31A70"/>
    <w:rsid w:val="00E31A7D"/>
    <w:rsid w:val="00E31F62"/>
    <w:rsid w:val="00E31FCE"/>
    <w:rsid w:val="00E32428"/>
    <w:rsid w:val="00E32D87"/>
    <w:rsid w:val="00E32DD6"/>
    <w:rsid w:val="00E32F4D"/>
    <w:rsid w:val="00E330BA"/>
    <w:rsid w:val="00E33123"/>
    <w:rsid w:val="00E331F0"/>
    <w:rsid w:val="00E33377"/>
    <w:rsid w:val="00E335D2"/>
    <w:rsid w:val="00E337C2"/>
    <w:rsid w:val="00E337FC"/>
    <w:rsid w:val="00E33810"/>
    <w:rsid w:val="00E33846"/>
    <w:rsid w:val="00E33AFE"/>
    <w:rsid w:val="00E33D87"/>
    <w:rsid w:val="00E33FCD"/>
    <w:rsid w:val="00E34311"/>
    <w:rsid w:val="00E34338"/>
    <w:rsid w:val="00E34662"/>
    <w:rsid w:val="00E34734"/>
    <w:rsid w:val="00E34A74"/>
    <w:rsid w:val="00E34BBD"/>
    <w:rsid w:val="00E34E46"/>
    <w:rsid w:val="00E34EDE"/>
    <w:rsid w:val="00E35118"/>
    <w:rsid w:val="00E35223"/>
    <w:rsid w:val="00E35293"/>
    <w:rsid w:val="00E355FF"/>
    <w:rsid w:val="00E35609"/>
    <w:rsid w:val="00E3594B"/>
    <w:rsid w:val="00E359B5"/>
    <w:rsid w:val="00E35B33"/>
    <w:rsid w:val="00E35BFD"/>
    <w:rsid w:val="00E35C3E"/>
    <w:rsid w:val="00E35D88"/>
    <w:rsid w:val="00E36085"/>
    <w:rsid w:val="00E36434"/>
    <w:rsid w:val="00E36B62"/>
    <w:rsid w:val="00E36C16"/>
    <w:rsid w:val="00E36D88"/>
    <w:rsid w:val="00E36EE9"/>
    <w:rsid w:val="00E37179"/>
    <w:rsid w:val="00E37208"/>
    <w:rsid w:val="00E3774F"/>
    <w:rsid w:val="00E379BC"/>
    <w:rsid w:val="00E37BFA"/>
    <w:rsid w:val="00E37CA9"/>
    <w:rsid w:val="00E37FD7"/>
    <w:rsid w:val="00E4008E"/>
    <w:rsid w:val="00E406C9"/>
    <w:rsid w:val="00E40716"/>
    <w:rsid w:val="00E407FF"/>
    <w:rsid w:val="00E4085B"/>
    <w:rsid w:val="00E4092A"/>
    <w:rsid w:val="00E40956"/>
    <w:rsid w:val="00E40B3F"/>
    <w:rsid w:val="00E40B4C"/>
    <w:rsid w:val="00E40BBB"/>
    <w:rsid w:val="00E40E7C"/>
    <w:rsid w:val="00E40F64"/>
    <w:rsid w:val="00E410A6"/>
    <w:rsid w:val="00E41127"/>
    <w:rsid w:val="00E4118E"/>
    <w:rsid w:val="00E4148B"/>
    <w:rsid w:val="00E41B07"/>
    <w:rsid w:val="00E41C8E"/>
    <w:rsid w:val="00E41C91"/>
    <w:rsid w:val="00E41FA3"/>
    <w:rsid w:val="00E4228F"/>
    <w:rsid w:val="00E42326"/>
    <w:rsid w:val="00E42370"/>
    <w:rsid w:val="00E4245C"/>
    <w:rsid w:val="00E426E9"/>
    <w:rsid w:val="00E4283F"/>
    <w:rsid w:val="00E42CDF"/>
    <w:rsid w:val="00E42CE6"/>
    <w:rsid w:val="00E42EFA"/>
    <w:rsid w:val="00E43382"/>
    <w:rsid w:val="00E4358B"/>
    <w:rsid w:val="00E43708"/>
    <w:rsid w:val="00E4376A"/>
    <w:rsid w:val="00E437DC"/>
    <w:rsid w:val="00E43CD0"/>
    <w:rsid w:val="00E43DF9"/>
    <w:rsid w:val="00E44197"/>
    <w:rsid w:val="00E44251"/>
    <w:rsid w:val="00E443AB"/>
    <w:rsid w:val="00E443D7"/>
    <w:rsid w:val="00E445DD"/>
    <w:rsid w:val="00E44876"/>
    <w:rsid w:val="00E44927"/>
    <w:rsid w:val="00E44BC6"/>
    <w:rsid w:val="00E44D0B"/>
    <w:rsid w:val="00E44E83"/>
    <w:rsid w:val="00E44FA7"/>
    <w:rsid w:val="00E45505"/>
    <w:rsid w:val="00E4562F"/>
    <w:rsid w:val="00E4567E"/>
    <w:rsid w:val="00E457EC"/>
    <w:rsid w:val="00E45812"/>
    <w:rsid w:val="00E45B3E"/>
    <w:rsid w:val="00E45E7E"/>
    <w:rsid w:val="00E45F79"/>
    <w:rsid w:val="00E45FC3"/>
    <w:rsid w:val="00E46092"/>
    <w:rsid w:val="00E461DA"/>
    <w:rsid w:val="00E46274"/>
    <w:rsid w:val="00E46393"/>
    <w:rsid w:val="00E46693"/>
    <w:rsid w:val="00E468CD"/>
    <w:rsid w:val="00E46902"/>
    <w:rsid w:val="00E46EA9"/>
    <w:rsid w:val="00E46F90"/>
    <w:rsid w:val="00E47060"/>
    <w:rsid w:val="00E47921"/>
    <w:rsid w:val="00E47B19"/>
    <w:rsid w:val="00E5008E"/>
    <w:rsid w:val="00E5022A"/>
    <w:rsid w:val="00E502F2"/>
    <w:rsid w:val="00E50429"/>
    <w:rsid w:val="00E505B3"/>
    <w:rsid w:val="00E505C3"/>
    <w:rsid w:val="00E50797"/>
    <w:rsid w:val="00E50A2B"/>
    <w:rsid w:val="00E50C9D"/>
    <w:rsid w:val="00E50CB1"/>
    <w:rsid w:val="00E50CE0"/>
    <w:rsid w:val="00E50D6D"/>
    <w:rsid w:val="00E50DB3"/>
    <w:rsid w:val="00E50E40"/>
    <w:rsid w:val="00E51048"/>
    <w:rsid w:val="00E51239"/>
    <w:rsid w:val="00E514B2"/>
    <w:rsid w:val="00E51715"/>
    <w:rsid w:val="00E517A6"/>
    <w:rsid w:val="00E519E7"/>
    <w:rsid w:val="00E51CE3"/>
    <w:rsid w:val="00E52001"/>
    <w:rsid w:val="00E5200E"/>
    <w:rsid w:val="00E5202F"/>
    <w:rsid w:val="00E52148"/>
    <w:rsid w:val="00E5236A"/>
    <w:rsid w:val="00E52483"/>
    <w:rsid w:val="00E524DE"/>
    <w:rsid w:val="00E5278E"/>
    <w:rsid w:val="00E527D2"/>
    <w:rsid w:val="00E5295E"/>
    <w:rsid w:val="00E52A11"/>
    <w:rsid w:val="00E52A46"/>
    <w:rsid w:val="00E52B1A"/>
    <w:rsid w:val="00E52EBC"/>
    <w:rsid w:val="00E52FCE"/>
    <w:rsid w:val="00E52FDE"/>
    <w:rsid w:val="00E53046"/>
    <w:rsid w:val="00E530F2"/>
    <w:rsid w:val="00E5316A"/>
    <w:rsid w:val="00E53396"/>
    <w:rsid w:val="00E53422"/>
    <w:rsid w:val="00E53463"/>
    <w:rsid w:val="00E53543"/>
    <w:rsid w:val="00E5354B"/>
    <w:rsid w:val="00E536B1"/>
    <w:rsid w:val="00E5386E"/>
    <w:rsid w:val="00E539CE"/>
    <w:rsid w:val="00E53AC3"/>
    <w:rsid w:val="00E53BD5"/>
    <w:rsid w:val="00E53F30"/>
    <w:rsid w:val="00E54045"/>
    <w:rsid w:val="00E541A5"/>
    <w:rsid w:val="00E54477"/>
    <w:rsid w:val="00E54579"/>
    <w:rsid w:val="00E546F1"/>
    <w:rsid w:val="00E547FD"/>
    <w:rsid w:val="00E548FF"/>
    <w:rsid w:val="00E54A2D"/>
    <w:rsid w:val="00E54ADD"/>
    <w:rsid w:val="00E54B0B"/>
    <w:rsid w:val="00E54D75"/>
    <w:rsid w:val="00E55354"/>
    <w:rsid w:val="00E553EF"/>
    <w:rsid w:val="00E555BF"/>
    <w:rsid w:val="00E55778"/>
    <w:rsid w:val="00E5598D"/>
    <w:rsid w:val="00E559C0"/>
    <w:rsid w:val="00E55CC9"/>
    <w:rsid w:val="00E55D66"/>
    <w:rsid w:val="00E55E7F"/>
    <w:rsid w:val="00E56084"/>
    <w:rsid w:val="00E5639B"/>
    <w:rsid w:val="00E563C9"/>
    <w:rsid w:val="00E564A8"/>
    <w:rsid w:val="00E566DD"/>
    <w:rsid w:val="00E56A73"/>
    <w:rsid w:val="00E56B5A"/>
    <w:rsid w:val="00E56C9B"/>
    <w:rsid w:val="00E56D92"/>
    <w:rsid w:val="00E56DC8"/>
    <w:rsid w:val="00E571C5"/>
    <w:rsid w:val="00E5726A"/>
    <w:rsid w:val="00E573F6"/>
    <w:rsid w:val="00E57486"/>
    <w:rsid w:val="00E5750A"/>
    <w:rsid w:val="00E57573"/>
    <w:rsid w:val="00E57723"/>
    <w:rsid w:val="00E57CB9"/>
    <w:rsid w:val="00E57D03"/>
    <w:rsid w:val="00E57EB2"/>
    <w:rsid w:val="00E57F64"/>
    <w:rsid w:val="00E6006C"/>
    <w:rsid w:val="00E600B9"/>
    <w:rsid w:val="00E601CF"/>
    <w:rsid w:val="00E6029A"/>
    <w:rsid w:val="00E605C2"/>
    <w:rsid w:val="00E60682"/>
    <w:rsid w:val="00E608B1"/>
    <w:rsid w:val="00E608F7"/>
    <w:rsid w:val="00E60900"/>
    <w:rsid w:val="00E60CBB"/>
    <w:rsid w:val="00E60E06"/>
    <w:rsid w:val="00E60E33"/>
    <w:rsid w:val="00E61595"/>
    <w:rsid w:val="00E615BC"/>
    <w:rsid w:val="00E615FE"/>
    <w:rsid w:val="00E61641"/>
    <w:rsid w:val="00E617EC"/>
    <w:rsid w:val="00E6192F"/>
    <w:rsid w:val="00E6205F"/>
    <w:rsid w:val="00E6206B"/>
    <w:rsid w:val="00E620E0"/>
    <w:rsid w:val="00E6218F"/>
    <w:rsid w:val="00E62291"/>
    <w:rsid w:val="00E622CD"/>
    <w:rsid w:val="00E62607"/>
    <w:rsid w:val="00E62D63"/>
    <w:rsid w:val="00E62DE1"/>
    <w:rsid w:val="00E63181"/>
    <w:rsid w:val="00E63464"/>
    <w:rsid w:val="00E637BB"/>
    <w:rsid w:val="00E63944"/>
    <w:rsid w:val="00E63C48"/>
    <w:rsid w:val="00E63ECD"/>
    <w:rsid w:val="00E63FD1"/>
    <w:rsid w:val="00E6403F"/>
    <w:rsid w:val="00E640A8"/>
    <w:rsid w:val="00E64398"/>
    <w:rsid w:val="00E64455"/>
    <w:rsid w:val="00E64984"/>
    <w:rsid w:val="00E649D8"/>
    <w:rsid w:val="00E6522E"/>
    <w:rsid w:val="00E653C8"/>
    <w:rsid w:val="00E65442"/>
    <w:rsid w:val="00E6547A"/>
    <w:rsid w:val="00E660A5"/>
    <w:rsid w:val="00E66240"/>
    <w:rsid w:val="00E665E8"/>
    <w:rsid w:val="00E66868"/>
    <w:rsid w:val="00E66BD6"/>
    <w:rsid w:val="00E66D44"/>
    <w:rsid w:val="00E66F51"/>
    <w:rsid w:val="00E66F9E"/>
    <w:rsid w:val="00E66FE1"/>
    <w:rsid w:val="00E673E3"/>
    <w:rsid w:val="00E67555"/>
    <w:rsid w:val="00E67688"/>
    <w:rsid w:val="00E678C2"/>
    <w:rsid w:val="00E67A4B"/>
    <w:rsid w:val="00E67A5F"/>
    <w:rsid w:val="00E67F1C"/>
    <w:rsid w:val="00E700F3"/>
    <w:rsid w:val="00E70170"/>
    <w:rsid w:val="00E704CA"/>
    <w:rsid w:val="00E70740"/>
    <w:rsid w:val="00E70875"/>
    <w:rsid w:val="00E70947"/>
    <w:rsid w:val="00E70D7F"/>
    <w:rsid w:val="00E70DA0"/>
    <w:rsid w:val="00E712B6"/>
    <w:rsid w:val="00E71313"/>
    <w:rsid w:val="00E713F3"/>
    <w:rsid w:val="00E713F9"/>
    <w:rsid w:val="00E71688"/>
    <w:rsid w:val="00E716DB"/>
    <w:rsid w:val="00E71769"/>
    <w:rsid w:val="00E71A0C"/>
    <w:rsid w:val="00E71A65"/>
    <w:rsid w:val="00E71AED"/>
    <w:rsid w:val="00E71E28"/>
    <w:rsid w:val="00E71EFA"/>
    <w:rsid w:val="00E7219B"/>
    <w:rsid w:val="00E7245F"/>
    <w:rsid w:val="00E7290F"/>
    <w:rsid w:val="00E72C8E"/>
    <w:rsid w:val="00E730F0"/>
    <w:rsid w:val="00E73325"/>
    <w:rsid w:val="00E73412"/>
    <w:rsid w:val="00E73798"/>
    <w:rsid w:val="00E7395A"/>
    <w:rsid w:val="00E73A02"/>
    <w:rsid w:val="00E73F6A"/>
    <w:rsid w:val="00E740B4"/>
    <w:rsid w:val="00E74496"/>
    <w:rsid w:val="00E7484C"/>
    <w:rsid w:val="00E74C30"/>
    <w:rsid w:val="00E74E12"/>
    <w:rsid w:val="00E74EEC"/>
    <w:rsid w:val="00E75130"/>
    <w:rsid w:val="00E758E9"/>
    <w:rsid w:val="00E75961"/>
    <w:rsid w:val="00E75AE9"/>
    <w:rsid w:val="00E75CAF"/>
    <w:rsid w:val="00E75F63"/>
    <w:rsid w:val="00E76338"/>
    <w:rsid w:val="00E765DE"/>
    <w:rsid w:val="00E768D3"/>
    <w:rsid w:val="00E7697F"/>
    <w:rsid w:val="00E76B94"/>
    <w:rsid w:val="00E76E75"/>
    <w:rsid w:val="00E77298"/>
    <w:rsid w:val="00E773C8"/>
    <w:rsid w:val="00E77425"/>
    <w:rsid w:val="00E775F9"/>
    <w:rsid w:val="00E77622"/>
    <w:rsid w:val="00E77767"/>
    <w:rsid w:val="00E777EE"/>
    <w:rsid w:val="00E779DD"/>
    <w:rsid w:val="00E77A2D"/>
    <w:rsid w:val="00E77B25"/>
    <w:rsid w:val="00E77D03"/>
    <w:rsid w:val="00E77E35"/>
    <w:rsid w:val="00E77F1F"/>
    <w:rsid w:val="00E8023F"/>
    <w:rsid w:val="00E803B4"/>
    <w:rsid w:val="00E804DE"/>
    <w:rsid w:val="00E806D0"/>
    <w:rsid w:val="00E8078D"/>
    <w:rsid w:val="00E80955"/>
    <w:rsid w:val="00E80AC8"/>
    <w:rsid w:val="00E80BBD"/>
    <w:rsid w:val="00E80C91"/>
    <w:rsid w:val="00E80E52"/>
    <w:rsid w:val="00E81151"/>
    <w:rsid w:val="00E81175"/>
    <w:rsid w:val="00E8128F"/>
    <w:rsid w:val="00E8142F"/>
    <w:rsid w:val="00E8152C"/>
    <w:rsid w:val="00E81988"/>
    <w:rsid w:val="00E81AB3"/>
    <w:rsid w:val="00E82229"/>
    <w:rsid w:val="00E8223B"/>
    <w:rsid w:val="00E822E8"/>
    <w:rsid w:val="00E82461"/>
    <w:rsid w:val="00E825D8"/>
    <w:rsid w:val="00E8264C"/>
    <w:rsid w:val="00E82A5E"/>
    <w:rsid w:val="00E82A75"/>
    <w:rsid w:val="00E82BB8"/>
    <w:rsid w:val="00E82E0C"/>
    <w:rsid w:val="00E82FE2"/>
    <w:rsid w:val="00E83370"/>
    <w:rsid w:val="00E8340E"/>
    <w:rsid w:val="00E8364D"/>
    <w:rsid w:val="00E83AE7"/>
    <w:rsid w:val="00E83B7A"/>
    <w:rsid w:val="00E83C3D"/>
    <w:rsid w:val="00E83D22"/>
    <w:rsid w:val="00E845CF"/>
    <w:rsid w:val="00E84B8E"/>
    <w:rsid w:val="00E84D1E"/>
    <w:rsid w:val="00E85274"/>
    <w:rsid w:val="00E856AD"/>
    <w:rsid w:val="00E85AF8"/>
    <w:rsid w:val="00E86124"/>
    <w:rsid w:val="00E8627C"/>
    <w:rsid w:val="00E8645A"/>
    <w:rsid w:val="00E86BA8"/>
    <w:rsid w:val="00E86DB1"/>
    <w:rsid w:val="00E86DDC"/>
    <w:rsid w:val="00E86EAF"/>
    <w:rsid w:val="00E86F33"/>
    <w:rsid w:val="00E870C7"/>
    <w:rsid w:val="00E8725B"/>
    <w:rsid w:val="00E873C9"/>
    <w:rsid w:val="00E874C8"/>
    <w:rsid w:val="00E87892"/>
    <w:rsid w:val="00E878AC"/>
    <w:rsid w:val="00E87AE4"/>
    <w:rsid w:val="00E87B52"/>
    <w:rsid w:val="00E87D56"/>
    <w:rsid w:val="00E87E0F"/>
    <w:rsid w:val="00E90016"/>
    <w:rsid w:val="00E900B6"/>
    <w:rsid w:val="00E90187"/>
    <w:rsid w:val="00E90313"/>
    <w:rsid w:val="00E9056B"/>
    <w:rsid w:val="00E9059F"/>
    <w:rsid w:val="00E9073E"/>
    <w:rsid w:val="00E90749"/>
    <w:rsid w:val="00E907CA"/>
    <w:rsid w:val="00E90840"/>
    <w:rsid w:val="00E90997"/>
    <w:rsid w:val="00E909D2"/>
    <w:rsid w:val="00E90B6F"/>
    <w:rsid w:val="00E90EBF"/>
    <w:rsid w:val="00E91303"/>
    <w:rsid w:val="00E918CB"/>
    <w:rsid w:val="00E9190E"/>
    <w:rsid w:val="00E91931"/>
    <w:rsid w:val="00E9232A"/>
    <w:rsid w:val="00E92337"/>
    <w:rsid w:val="00E923AB"/>
    <w:rsid w:val="00E925D0"/>
    <w:rsid w:val="00E92640"/>
    <w:rsid w:val="00E92653"/>
    <w:rsid w:val="00E928DB"/>
    <w:rsid w:val="00E92956"/>
    <w:rsid w:val="00E92C60"/>
    <w:rsid w:val="00E92CFB"/>
    <w:rsid w:val="00E9309B"/>
    <w:rsid w:val="00E93119"/>
    <w:rsid w:val="00E9318D"/>
    <w:rsid w:val="00E933F2"/>
    <w:rsid w:val="00E93421"/>
    <w:rsid w:val="00E935A6"/>
    <w:rsid w:val="00E93870"/>
    <w:rsid w:val="00E93C4F"/>
    <w:rsid w:val="00E93EBE"/>
    <w:rsid w:val="00E93EDD"/>
    <w:rsid w:val="00E94150"/>
    <w:rsid w:val="00E9427F"/>
    <w:rsid w:val="00E943F5"/>
    <w:rsid w:val="00E944A3"/>
    <w:rsid w:val="00E94523"/>
    <w:rsid w:val="00E9466F"/>
    <w:rsid w:val="00E94862"/>
    <w:rsid w:val="00E94921"/>
    <w:rsid w:val="00E94970"/>
    <w:rsid w:val="00E94B76"/>
    <w:rsid w:val="00E94C41"/>
    <w:rsid w:val="00E94EF5"/>
    <w:rsid w:val="00E9507E"/>
    <w:rsid w:val="00E9513B"/>
    <w:rsid w:val="00E95286"/>
    <w:rsid w:val="00E953FA"/>
    <w:rsid w:val="00E95466"/>
    <w:rsid w:val="00E95468"/>
    <w:rsid w:val="00E9549F"/>
    <w:rsid w:val="00E9577C"/>
    <w:rsid w:val="00E9589E"/>
    <w:rsid w:val="00E95B67"/>
    <w:rsid w:val="00E95C85"/>
    <w:rsid w:val="00E95C96"/>
    <w:rsid w:val="00E95D16"/>
    <w:rsid w:val="00E95E11"/>
    <w:rsid w:val="00E964AF"/>
    <w:rsid w:val="00E96576"/>
    <w:rsid w:val="00E965F5"/>
    <w:rsid w:val="00E96975"/>
    <w:rsid w:val="00E9697A"/>
    <w:rsid w:val="00E96B8C"/>
    <w:rsid w:val="00E96C28"/>
    <w:rsid w:val="00E96CEA"/>
    <w:rsid w:val="00E96CF5"/>
    <w:rsid w:val="00E978C3"/>
    <w:rsid w:val="00E97A1F"/>
    <w:rsid w:val="00E97D20"/>
    <w:rsid w:val="00E97EED"/>
    <w:rsid w:val="00EA0028"/>
    <w:rsid w:val="00EA01B2"/>
    <w:rsid w:val="00EA02E3"/>
    <w:rsid w:val="00EA0320"/>
    <w:rsid w:val="00EA0545"/>
    <w:rsid w:val="00EA0810"/>
    <w:rsid w:val="00EA08A9"/>
    <w:rsid w:val="00EA0C80"/>
    <w:rsid w:val="00EA1537"/>
    <w:rsid w:val="00EA16F4"/>
    <w:rsid w:val="00EA19EF"/>
    <w:rsid w:val="00EA1B28"/>
    <w:rsid w:val="00EA1CE4"/>
    <w:rsid w:val="00EA1DAE"/>
    <w:rsid w:val="00EA1E5F"/>
    <w:rsid w:val="00EA1ECF"/>
    <w:rsid w:val="00EA211A"/>
    <w:rsid w:val="00EA2196"/>
    <w:rsid w:val="00EA2388"/>
    <w:rsid w:val="00EA24CA"/>
    <w:rsid w:val="00EA2722"/>
    <w:rsid w:val="00EA2B61"/>
    <w:rsid w:val="00EA2C58"/>
    <w:rsid w:val="00EA2FA6"/>
    <w:rsid w:val="00EA3238"/>
    <w:rsid w:val="00EA3B90"/>
    <w:rsid w:val="00EA3C21"/>
    <w:rsid w:val="00EA413D"/>
    <w:rsid w:val="00EA42B1"/>
    <w:rsid w:val="00EA4488"/>
    <w:rsid w:val="00EA46AC"/>
    <w:rsid w:val="00EA46CC"/>
    <w:rsid w:val="00EA46D5"/>
    <w:rsid w:val="00EA4801"/>
    <w:rsid w:val="00EA48DB"/>
    <w:rsid w:val="00EA499F"/>
    <w:rsid w:val="00EA4A22"/>
    <w:rsid w:val="00EA55B5"/>
    <w:rsid w:val="00EA57E5"/>
    <w:rsid w:val="00EA5846"/>
    <w:rsid w:val="00EA5931"/>
    <w:rsid w:val="00EA5A30"/>
    <w:rsid w:val="00EA5D0B"/>
    <w:rsid w:val="00EA6445"/>
    <w:rsid w:val="00EA6496"/>
    <w:rsid w:val="00EA6944"/>
    <w:rsid w:val="00EA6A6A"/>
    <w:rsid w:val="00EA6BF0"/>
    <w:rsid w:val="00EA6D3B"/>
    <w:rsid w:val="00EA6EE5"/>
    <w:rsid w:val="00EA74D1"/>
    <w:rsid w:val="00EA756D"/>
    <w:rsid w:val="00EA76AC"/>
    <w:rsid w:val="00EA784B"/>
    <w:rsid w:val="00EA7A8A"/>
    <w:rsid w:val="00EA7AFA"/>
    <w:rsid w:val="00EA7B7C"/>
    <w:rsid w:val="00EA7B9D"/>
    <w:rsid w:val="00EA7D77"/>
    <w:rsid w:val="00EB02DF"/>
    <w:rsid w:val="00EB0599"/>
    <w:rsid w:val="00EB0643"/>
    <w:rsid w:val="00EB0B94"/>
    <w:rsid w:val="00EB0DD1"/>
    <w:rsid w:val="00EB123B"/>
    <w:rsid w:val="00EB1244"/>
    <w:rsid w:val="00EB196F"/>
    <w:rsid w:val="00EB1A45"/>
    <w:rsid w:val="00EB1BD3"/>
    <w:rsid w:val="00EB1C61"/>
    <w:rsid w:val="00EB1DA7"/>
    <w:rsid w:val="00EB1FEE"/>
    <w:rsid w:val="00EB2054"/>
    <w:rsid w:val="00EB2300"/>
    <w:rsid w:val="00EB2C50"/>
    <w:rsid w:val="00EB2D5D"/>
    <w:rsid w:val="00EB2EE2"/>
    <w:rsid w:val="00EB2F05"/>
    <w:rsid w:val="00EB300D"/>
    <w:rsid w:val="00EB34FC"/>
    <w:rsid w:val="00EB35C6"/>
    <w:rsid w:val="00EB3764"/>
    <w:rsid w:val="00EB3942"/>
    <w:rsid w:val="00EB39C3"/>
    <w:rsid w:val="00EB3D26"/>
    <w:rsid w:val="00EB3E05"/>
    <w:rsid w:val="00EB42D6"/>
    <w:rsid w:val="00EB434F"/>
    <w:rsid w:val="00EB44E8"/>
    <w:rsid w:val="00EB4714"/>
    <w:rsid w:val="00EB4800"/>
    <w:rsid w:val="00EB4A1A"/>
    <w:rsid w:val="00EB4A2A"/>
    <w:rsid w:val="00EB4AAF"/>
    <w:rsid w:val="00EB4BA2"/>
    <w:rsid w:val="00EB4BD9"/>
    <w:rsid w:val="00EB4CF7"/>
    <w:rsid w:val="00EB4EFE"/>
    <w:rsid w:val="00EB4FBA"/>
    <w:rsid w:val="00EB5087"/>
    <w:rsid w:val="00EB50E8"/>
    <w:rsid w:val="00EB5A3C"/>
    <w:rsid w:val="00EB5CDE"/>
    <w:rsid w:val="00EB6012"/>
    <w:rsid w:val="00EB604D"/>
    <w:rsid w:val="00EB6341"/>
    <w:rsid w:val="00EB64C4"/>
    <w:rsid w:val="00EB6684"/>
    <w:rsid w:val="00EB6BA0"/>
    <w:rsid w:val="00EB6FA2"/>
    <w:rsid w:val="00EB741F"/>
    <w:rsid w:val="00EB76E2"/>
    <w:rsid w:val="00EB795C"/>
    <w:rsid w:val="00EB7C28"/>
    <w:rsid w:val="00EC010E"/>
    <w:rsid w:val="00EC02D3"/>
    <w:rsid w:val="00EC0773"/>
    <w:rsid w:val="00EC0B01"/>
    <w:rsid w:val="00EC0BEB"/>
    <w:rsid w:val="00EC110E"/>
    <w:rsid w:val="00EC1115"/>
    <w:rsid w:val="00EC150D"/>
    <w:rsid w:val="00EC1A30"/>
    <w:rsid w:val="00EC1B4B"/>
    <w:rsid w:val="00EC1E8D"/>
    <w:rsid w:val="00EC2006"/>
    <w:rsid w:val="00EC2379"/>
    <w:rsid w:val="00EC241C"/>
    <w:rsid w:val="00EC27D7"/>
    <w:rsid w:val="00EC2A38"/>
    <w:rsid w:val="00EC2A99"/>
    <w:rsid w:val="00EC2B43"/>
    <w:rsid w:val="00EC2E45"/>
    <w:rsid w:val="00EC2E63"/>
    <w:rsid w:val="00EC2F81"/>
    <w:rsid w:val="00EC30F8"/>
    <w:rsid w:val="00EC31C1"/>
    <w:rsid w:val="00EC3290"/>
    <w:rsid w:val="00EC34B5"/>
    <w:rsid w:val="00EC3511"/>
    <w:rsid w:val="00EC3A40"/>
    <w:rsid w:val="00EC3B98"/>
    <w:rsid w:val="00EC3BF7"/>
    <w:rsid w:val="00EC4055"/>
    <w:rsid w:val="00EC405F"/>
    <w:rsid w:val="00EC416F"/>
    <w:rsid w:val="00EC41A7"/>
    <w:rsid w:val="00EC426E"/>
    <w:rsid w:val="00EC4513"/>
    <w:rsid w:val="00EC46CF"/>
    <w:rsid w:val="00EC475F"/>
    <w:rsid w:val="00EC477C"/>
    <w:rsid w:val="00EC47DD"/>
    <w:rsid w:val="00EC49DE"/>
    <w:rsid w:val="00EC4D56"/>
    <w:rsid w:val="00EC4D7A"/>
    <w:rsid w:val="00EC4ED0"/>
    <w:rsid w:val="00EC5263"/>
    <w:rsid w:val="00EC54DA"/>
    <w:rsid w:val="00EC551E"/>
    <w:rsid w:val="00EC588A"/>
    <w:rsid w:val="00EC5AAA"/>
    <w:rsid w:val="00EC5AE6"/>
    <w:rsid w:val="00EC5CC2"/>
    <w:rsid w:val="00EC5D98"/>
    <w:rsid w:val="00EC5E22"/>
    <w:rsid w:val="00EC62D5"/>
    <w:rsid w:val="00EC6628"/>
    <w:rsid w:val="00EC6648"/>
    <w:rsid w:val="00EC678F"/>
    <w:rsid w:val="00EC6837"/>
    <w:rsid w:val="00EC6A46"/>
    <w:rsid w:val="00EC6AA7"/>
    <w:rsid w:val="00EC6C17"/>
    <w:rsid w:val="00EC6DD3"/>
    <w:rsid w:val="00EC71BB"/>
    <w:rsid w:val="00EC738E"/>
    <w:rsid w:val="00EC79E0"/>
    <w:rsid w:val="00EC7B8C"/>
    <w:rsid w:val="00EC7C7E"/>
    <w:rsid w:val="00EC7EAC"/>
    <w:rsid w:val="00EC7EC0"/>
    <w:rsid w:val="00EC7F4D"/>
    <w:rsid w:val="00ED0273"/>
    <w:rsid w:val="00ED034D"/>
    <w:rsid w:val="00ED063D"/>
    <w:rsid w:val="00ED0661"/>
    <w:rsid w:val="00ED086A"/>
    <w:rsid w:val="00ED0A86"/>
    <w:rsid w:val="00ED0B8A"/>
    <w:rsid w:val="00ED0C57"/>
    <w:rsid w:val="00ED0D9F"/>
    <w:rsid w:val="00ED128C"/>
    <w:rsid w:val="00ED12FD"/>
    <w:rsid w:val="00ED1461"/>
    <w:rsid w:val="00ED15E3"/>
    <w:rsid w:val="00ED1680"/>
    <w:rsid w:val="00ED180D"/>
    <w:rsid w:val="00ED19A3"/>
    <w:rsid w:val="00ED1B22"/>
    <w:rsid w:val="00ED21AB"/>
    <w:rsid w:val="00ED2985"/>
    <w:rsid w:val="00ED2C82"/>
    <w:rsid w:val="00ED2D41"/>
    <w:rsid w:val="00ED2E63"/>
    <w:rsid w:val="00ED36A7"/>
    <w:rsid w:val="00ED3CEC"/>
    <w:rsid w:val="00ED3EB7"/>
    <w:rsid w:val="00ED4089"/>
    <w:rsid w:val="00ED4185"/>
    <w:rsid w:val="00ED42AD"/>
    <w:rsid w:val="00ED42DA"/>
    <w:rsid w:val="00ED44EA"/>
    <w:rsid w:val="00ED44F0"/>
    <w:rsid w:val="00ED454C"/>
    <w:rsid w:val="00ED4B54"/>
    <w:rsid w:val="00ED4F89"/>
    <w:rsid w:val="00ED4F9A"/>
    <w:rsid w:val="00ED4F9F"/>
    <w:rsid w:val="00ED541B"/>
    <w:rsid w:val="00ED548C"/>
    <w:rsid w:val="00ED5556"/>
    <w:rsid w:val="00ED55D2"/>
    <w:rsid w:val="00ED5898"/>
    <w:rsid w:val="00ED5966"/>
    <w:rsid w:val="00ED5A6E"/>
    <w:rsid w:val="00ED5B13"/>
    <w:rsid w:val="00ED5B99"/>
    <w:rsid w:val="00ED5C7B"/>
    <w:rsid w:val="00ED5FF8"/>
    <w:rsid w:val="00ED6086"/>
    <w:rsid w:val="00ED61FF"/>
    <w:rsid w:val="00ED63BC"/>
    <w:rsid w:val="00ED6A48"/>
    <w:rsid w:val="00ED6BE8"/>
    <w:rsid w:val="00ED6C16"/>
    <w:rsid w:val="00ED6C74"/>
    <w:rsid w:val="00ED6DA7"/>
    <w:rsid w:val="00ED7081"/>
    <w:rsid w:val="00ED72F8"/>
    <w:rsid w:val="00ED7684"/>
    <w:rsid w:val="00ED7861"/>
    <w:rsid w:val="00ED7C43"/>
    <w:rsid w:val="00ED7C80"/>
    <w:rsid w:val="00ED7E83"/>
    <w:rsid w:val="00ED7EA7"/>
    <w:rsid w:val="00EE0003"/>
    <w:rsid w:val="00EE01E5"/>
    <w:rsid w:val="00EE021C"/>
    <w:rsid w:val="00EE032E"/>
    <w:rsid w:val="00EE0404"/>
    <w:rsid w:val="00EE0411"/>
    <w:rsid w:val="00EE043D"/>
    <w:rsid w:val="00EE0716"/>
    <w:rsid w:val="00EE0894"/>
    <w:rsid w:val="00EE0C32"/>
    <w:rsid w:val="00EE0C35"/>
    <w:rsid w:val="00EE0D84"/>
    <w:rsid w:val="00EE0F22"/>
    <w:rsid w:val="00EE1071"/>
    <w:rsid w:val="00EE1081"/>
    <w:rsid w:val="00EE114B"/>
    <w:rsid w:val="00EE12DF"/>
    <w:rsid w:val="00EE1893"/>
    <w:rsid w:val="00EE18FD"/>
    <w:rsid w:val="00EE1E1B"/>
    <w:rsid w:val="00EE1EEC"/>
    <w:rsid w:val="00EE21C6"/>
    <w:rsid w:val="00EE2530"/>
    <w:rsid w:val="00EE25B8"/>
    <w:rsid w:val="00EE264B"/>
    <w:rsid w:val="00EE267A"/>
    <w:rsid w:val="00EE2797"/>
    <w:rsid w:val="00EE2969"/>
    <w:rsid w:val="00EE297E"/>
    <w:rsid w:val="00EE2BD5"/>
    <w:rsid w:val="00EE2BF1"/>
    <w:rsid w:val="00EE2F9B"/>
    <w:rsid w:val="00EE3027"/>
    <w:rsid w:val="00EE3246"/>
    <w:rsid w:val="00EE3311"/>
    <w:rsid w:val="00EE34A8"/>
    <w:rsid w:val="00EE361A"/>
    <w:rsid w:val="00EE365E"/>
    <w:rsid w:val="00EE3823"/>
    <w:rsid w:val="00EE39BE"/>
    <w:rsid w:val="00EE3A07"/>
    <w:rsid w:val="00EE3AB0"/>
    <w:rsid w:val="00EE3C69"/>
    <w:rsid w:val="00EE3E2B"/>
    <w:rsid w:val="00EE3EF3"/>
    <w:rsid w:val="00EE3FE4"/>
    <w:rsid w:val="00EE44BC"/>
    <w:rsid w:val="00EE44F5"/>
    <w:rsid w:val="00EE486E"/>
    <w:rsid w:val="00EE4E2B"/>
    <w:rsid w:val="00EE501E"/>
    <w:rsid w:val="00EE5045"/>
    <w:rsid w:val="00EE5310"/>
    <w:rsid w:val="00EE533B"/>
    <w:rsid w:val="00EE5418"/>
    <w:rsid w:val="00EE5508"/>
    <w:rsid w:val="00EE561B"/>
    <w:rsid w:val="00EE5703"/>
    <w:rsid w:val="00EE58D7"/>
    <w:rsid w:val="00EE5B19"/>
    <w:rsid w:val="00EE5C13"/>
    <w:rsid w:val="00EE5DF7"/>
    <w:rsid w:val="00EE5EED"/>
    <w:rsid w:val="00EE60D3"/>
    <w:rsid w:val="00EE6207"/>
    <w:rsid w:val="00EE6223"/>
    <w:rsid w:val="00EE63AF"/>
    <w:rsid w:val="00EE6592"/>
    <w:rsid w:val="00EE659C"/>
    <w:rsid w:val="00EE65E5"/>
    <w:rsid w:val="00EE665A"/>
    <w:rsid w:val="00EE6CFE"/>
    <w:rsid w:val="00EE6E17"/>
    <w:rsid w:val="00EE6E85"/>
    <w:rsid w:val="00EE6F33"/>
    <w:rsid w:val="00EE703F"/>
    <w:rsid w:val="00EE70F5"/>
    <w:rsid w:val="00EE7664"/>
    <w:rsid w:val="00EE76F4"/>
    <w:rsid w:val="00EE7957"/>
    <w:rsid w:val="00EE79F6"/>
    <w:rsid w:val="00EE7D01"/>
    <w:rsid w:val="00EE7DED"/>
    <w:rsid w:val="00EE7EB9"/>
    <w:rsid w:val="00EE7F69"/>
    <w:rsid w:val="00EF0073"/>
    <w:rsid w:val="00EF00A6"/>
    <w:rsid w:val="00EF01D7"/>
    <w:rsid w:val="00EF0219"/>
    <w:rsid w:val="00EF0744"/>
    <w:rsid w:val="00EF0759"/>
    <w:rsid w:val="00EF128E"/>
    <w:rsid w:val="00EF143F"/>
    <w:rsid w:val="00EF14ED"/>
    <w:rsid w:val="00EF168E"/>
    <w:rsid w:val="00EF1C8C"/>
    <w:rsid w:val="00EF1CE7"/>
    <w:rsid w:val="00EF1D45"/>
    <w:rsid w:val="00EF1D53"/>
    <w:rsid w:val="00EF1FD2"/>
    <w:rsid w:val="00EF2167"/>
    <w:rsid w:val="00EF2297"/>
    <w:rsid w:val="00EF23C8"/>
    <w:rsid w:val="00EF2427"/>
    <w:rsid w:val="00EF28EB"/>
    <w:rsid w:val="00EF2A41"/>
    <w:rsid w:val="00EF2CA5"/>
    <w:rsid w:val="00EF2E22"/>
    <w:rsid w:val="00EF2E4F"/>
    <w:rsid w:val="00EF2E80"/>
    <w:rsid w:val="00EF2F91"/>
    <w:rsid w:val="00EF3365"/>
    <w:rsid w:val="00EF375B"/>
    <w:rsid w:val="00EF37F1"/>
    <w:rsid w:val="00EF38C1"/>
    <w:rsid w:val="00EF3AB5"/>
    <w:rsid w:val="00EF3AD8"/>
    <w:rsid w:val="00EF3B7C"/>
    <w:rsid w:val="00EF3E87"/>
    <w:rsid w:val="00EF41CB"/>
    <w:rsid w:val="00EF449F"/>
    <w:rsid w:val="00EF4563"/>
    <w:rsid w:val="00EF4809"/>
    <w:rsid w:val="00EF481D"/>
    <w:rsid w:val="00EF4BB5"/>
    <w:rsid w:val="00EF4CEA"/>
    <w:rsid w:val="00EF5040"/>
    <w:rsid w:val="00EF5252"/>
    <w:rsid w:val="00EF55E8"/>
    <w:rsid w:val="00EF564A"/>
    <w:rsid w:val="00EF5A8C"/>
    <w:rsid w:val="00EF5BBB"/>
    <w:rsid w:val="00EF5C7F"/>
    <w:rsid w:val="00EF61DD"/>
    <w:rsid w:val="00EF6BE4"/>
    <w:rsid w:val="00EF6C5E"/>
    <w:rsid w:val="00EF6CB1"/>
    <w:rsid w:val="00EF7511"/>
    <w:rsid w:val="00EF751D"/>
    <w:rsid w:val="00EF75E4"/>
    <w:rsid w:val="00EF7A07"/>
    <w:rsid w:val="00EF7BC6"/>
    <w:rsid w:val="00EF7ED5"/>
    <w:rsid w:val="00EF7F1C"/>
    <w:rsid w:val="00F00084"/>
    <w:rsid w:val="00F0019E"/>
    <w:rsid w:val="00F002CD"/>
    <w:rsid w:val="00F004F9"/>
    <w:rsid w:val="00F006EC"/>
    <w:rsid w:val="00F00BD4"/>
    <w:rsid w:val="00F00C47"/>
    <w:rsid w:val="00F00EE7"/>
    <w:rsid w:val="00F00F5F"/>
    <w:rsid w:val="00F01038"/>
    <w:rsid w:val="00F010BD"/>
    <w:rsid w:val="00F01245"/>
    <w:rsid w:val="00F016C4"/>
    <w:rsid w:val="00F01761"/>
    <w:rsid w:val="00F01970"/>
    <w:rsid w:val="00F01C17"/>
    <w:rsid w:val="00F01FCB"/>
    <w:rsid w:val="00F022A4"/>
    <w:rsid w:val="00F02739"/>
    <w:rsid w:val="00F02B60"/>
    <w:rsid w:val="00F02E01"/>
    <w:rsid w:val="00F03119"/>
    <w:rsid w:val="00F03467"/>
    <w:rsid w:val="00F034A4"/>
    <w:rsid w:val="00F03CC9"/>
    <w:rsid w:val="00F0460F"/>
    <w:rsid w:val="00F0469E"/>
    <w:rsid w:val="00F0474A"/>
    <w:rsid w:val="00F04A8B"/>
    <w:rsid w:val="00F04B4F"/>
    <w:rsid w:val="00F04F6A"/>
    <w:rsid w:val="00F04FE4"/>
    <w:rsid w:val="00F05057"/>
    <w:rsid w:val="00F050AB"/>
    <w:rsid w:val="00F05716"/>
    <w:rsid w:val="00F057C3"/>
    <w:rsid w:val="00F058C4"/>
    <w:rsid w:val="00F05B40"/>
    <w:rsid w:val="00F05B6A"/>
    <w:rsid w:val="00F05F0B"/>
    <w:rsid w:val="00F05FA1"/>
    <w:rsid w:val="00F06075"/>
    <w:rsid w:val="00F067F9"/>
    <w:rsid w:val="00F06803"/>
    <w:rsid w:val="00F06976"/>
    <w:rsid w:val="00F06BC9"/>
    <w:rsid w:val="00F06C11"/>
    <w:rsid w:val="00F06CB1"/>
    <w:rsid w:val="00F06DA9"/>
    <w:rsid w:val="00F0701A"/>
    <w:rsid w:val="00F07317"/>
    <w:rsid w:val="00F07548"/>
    <w:rsid w:val="00F076F6"/>
    <w:rsid w:val="00F076FF"/>
    <w:rsid w:val="00F0788D"/>
    <w:rsid w:val="00F07998"/>
    <w:rsid w:val="00F07A3F"/>
    <w:rsid w:val="00F07A70"/>
    <w:rsid w:val="00F07C0D"/>
    <w:rsid w:val="00F07D46"/>
    <w:rsid w:val="00F07EF4"/>
    <w:rsid w:val="00F07FF4"/>
    <w:rsid w:val="00F10075"/>
    <w:rsid w:val="00F1007F"/>
    <w:rsid w:val="00F1033B"/>
    <w:rsid w:val="00F1037D"/>
    <w:rsid w:val="00F10662"/>
    <w:rsid w:val="00F107C6"/>
    <w:rsid w:val="00F109BD"/>
    <w:rsid w:val="00F10B0F"/>
    <w:rsid w:val="00F10CD4"/>
    <w:rsid w:val="00F10CDB"/>
    <w:rsid w:val="00F10DF5"/>
    <w:rsid w:val="00F110B5"/>
    <w:rsid w:val="00F110EE"/>
    <w:rsid w:val="00F11129"/>
    <w:rsid w:val="00F111DF"/>
    <w:rsid w:val="00F112FD"/>
    <w:rsid w:val="00F11584"/>
    <w:rsid w:val="00F115D5"/>
    <w:rsid w:val="00F1161D"/>
    <w:rsid w:val="00F11747"/>
    <w:rsid w:val="00F117AF"/>
    <w:rsid w:val="00F11AF7"/>
    <w:rsid w:val="00F11BFE"/>
    <w:rsid w:val="00F11C44"/>
    <w:rsid w:val="00F11D51"/>
    <w:rsid w:val="00F11F6B"/>
    <w:rsid w:val="00F1212C"/>
    <w:rsid w:val="00F12171"/>
    <w:rsid w:val="00F1218A"/>
    <w:rsid w:val="00F12375"/>
    <w:rsid w:val="00F12696"/>
    <w:rsid w:val="00F129A2"/>
    <w:rsid w:val="00F12AED"/>
    <w:rsid w:val="00F12FB5"/>
    <w:rsid w:val="00F135C7"/>
    <w:rsid w:val="00F136FB"/>
    <w:rsid w:val="00F13739"/>
    <w:rsid w:val="00F1376C"/>
    <w:rsid w:val="00F13AF2"/>
    <w:rsid w:val="00F13BCA"/>
    <w:rsid w:val="00F13F5C"/>
    <w:rsid w:val="00F13FFE"/>
    <w:rsid w:val="00F140C9"/>
    <w:rsid w:val="00F14198"/>
    <w:rsid w:val="00F143D7"/>
    <w:rsid w:val="00F1445E"/>
    <w:rsid w:val="00F14803"/>
    <w:rsid w:val="00F148F1"/>
    <w:rsid w:val="00F14C35"/>
    <w:rsid w:val="00F14CCE"/>
    <w:rsid w:val="00F14D37"/>
    <w:rsid w:val="00F150E9"/>
    <w:rsid w:val="00F15302"/>
    <w:rsid w:val="00F153F9"/>
    <w:rsid w:val="00F156AD"/>
    <w:rsid w:val="00F158A0"/>
    <w:rsid w:val="00F15CF5"/>
    <w:rsid w:val="00F15E35"/>
    <w:rsid w:val="00F15EEE"/>
    <w:rsid w:val="00F15FBB"/>
    <w:rsid w:val="00F1644F"/>
    <w:rsid w:val="00F167E9"/>
    <w:rsid w:val="00F16A01"/>
    <w:rsid w:val="00F16D0C"/>
    <w:rsid w:val="00F16DE3"/>
    <w:rsid w:val="00F16E3F"/>
    <w:rsid w:val="00F1700D"/>
    <w:rsid w:val="00F17011"/>
    <w:rsid w:val="00F170A8"/>
    <w:rsid w:val="00F171FC"/>
    <w:rsid w:val="00F172A4"/>
    <w:rsid w:val="00F176A6"/>
    <w:rsid w:val="00F177D9"/>
    <w:rsid w:val="00F17AF9"/>
    <w:rsid w:val="00F17DFA"/>
    <w:rsid w:val="00F17F83"/>
    <w:rsid w:val="00F2008E"/>
    <w:rsid w:val="00F20176"/>
    <w:rsid w:val="00F2038B"/>
    <w:rsid w:val="00F204FE"/>
    <w:rsid w:val="00F20533"/>
    <w:rsid w:val="00F20704"/>
    <w:rsid w:val="00F20736"/>
    <w:rsid w:val="00F20912"/>
    <w:rsid w:val="00F20B48"/>
    <w:rsid w:val="00F20B58"/>
    <w:rsid w:val="00F20FD3"/>
    <w:rsid w:val="00F210BA"/>
    <w:rsid w:val="00F210C5"/>
    <w:rsid w:val="00F213FA"/>
    <w:rsid w:val="00F21521"/>
    <w:rsid w:val="00F2156A"/>
    <w:rsid w:val="00F215D8"/>
    <w:rsid w:val="00F217B2"/>
    <w:rsid w:val="00F21912"/>
    <w:rsid w:val="00F21D9C"/>
    <w:rsid w:val="00F22129"/>
    <w:rsid w:val="00F2241D"/>
    <w:rsid w:val="00F226A0"/>
    <w:rsid w:val="00F2290C"/>
    <w:rsid w:val="00F22A4F"/>
    <w:rsid w:val="00F22D29"/>
    <w:rsid w:val="00F22EF7"/>
    <w:rsid w:val="00F22F8A"/>
    <w:rsid w:val="00F22FBF"/>
    <w:rsid w:val="00F22FDC"/>
    <w:rsid w:val="00F230A7"/>
    <w:rsid w:val="00F23341"/>
    <w:rsid w:val="00F23443"/>
    <w:rsid w:val="00F234CB"/>
    <w:rsid w:val="00F2367F"/>
    <w:rsid w:val="00F23799"/>
    <w:rsid w:val="00F2385E"/>
    <w:rsid w:val="00F23CD8"/>
    <w:rsid w:val="00F23D13"/>
    <w:rsid w:val="00F23DE6"/>
    <w:rsid w:val="00F23E7A"/>
    <w:rsid w:val="00F23EB8"/>
    <w:rsid w:val="00F23F3C"/>
    <w:rsid w:val="00F24016"/>
    <w:rsid w:val="00F24072"/>
    <w:rsid w:val="00F2412C"/>
    <w:rsid w:val="00F24AB7"/>
    <w:rsid w:val="00F24AEA"/>
    <w:rsid w:val="00F24CDB"/>
    <w:rsid w:val="00F24EA7"/>
    <w:rsid w:val="00F24EAD"/>
    <w:rsid w:val="00F24F10"/>
    <w:rsid w:val="00F2562B"/>
    <w:rsid w:val="00F25632"/>
    <w:rsid w:val="00F25E2F"/>
    <w:rsid w:val="00F25E32"/>
    <w:rsid w:val="00F2601F"/>
    <w:rsid w:val="00F2609C"/>
    <w:rsid w:val="00F261DD"/>
    <w:rsid w:val="00F2639B"/>
    <w:rsid w:val="00F26406"/>
    <w:rsid w:val="00F26654"/>
    <w:rsid w:val="00F26683"/>
    <w:rsid w:val="00F26688"/>
    <w:rsid w:val="00F2670C"/>
    <w:rsid w:val="00F26C78"/>
    <w:rsid w:val="00F26FDC"/>
    <w:rsid w:val="00F2725D"/>
    <w:rsid w:val="00F27309"/>
    <w:rsid w:val="00F27844"/>
    <w:rsid w:val="00F27D91"/>
    <w:rsid w:val="00F301E8"/>
    <w:rsid w:val="00F30289"/>
    <w:rsid w:val="00F30413"/>
    <w:rsid w:val="00F3095E"/>
    <w:rsid w:val="00F309FF"/>
    <w:rsid w:val="00F30DE1"/>
    <w:rsid w:val="00F310B3"/>
    <w:rsid w:val="00F31204"/>
    <w:rsid w:val="00F31B9B"/>
    <w:rsid w:val="00F31D89"/>
    <w:rsid w:val="00F32199"/>
    <w:rsid w:val="00F3224D"/>
    <w:rsid w:val="00F32314"/>
    <w:rsid w:val="00F3247E"/>
    <w:rsid w:val="00F324C1"/>
    <w:rsid w:val="00F324E2"/>
    <w:rsid w:val="00F329D2"/>
    <w:rsid w:val="00F32C62"/>
    <w:rsid w:val="00F32CC6"/>
    <w:rsid w:val="00F32D54"/>
    <w:rsid w:val="00F32D5B"/>
    <w:rsid w:val="00F32FC0"/>
    <w:rsid w:val="00F331AF"/>
    <w:rsid w:val="00F332AE"/>
    <w:rsid w:val="00F33406"/>
    <w:rsid w:val="00F335D8"/>
    <w:rsid w:val="00F33757"/>
    <w:rsid w:val="00F337B2"/>
    <w:rsid w:val="00F337E8"/>
    <w:rsid w:val="00F33DDF"/>
    <w:rsid w:val="00F33FCF"/>
    <w:rsid w:val="00F34128"/>
    <w:rsid w:val="00F3433C"/>
    <w:rsid w:val="00F345D9"/>
    <w:rsid w:val="00F3482A"/>
    <w:rsid w:val="00F34867"/>
    <w:rsid w:val="00F34E03"/>
    <w:rsid w:val="00F350F2"/>
    <w:rsid w:val="00F351E6"/>
    <w:rsid w:val="00F3521E"/>
    <w:rsid w:val="00F35260"/>
    <w:rsid w:val="00F35561"/>
    <w:rsid w:val="00F35572"/>
    <w:rsid w:val="00F357BB"/>
    <w:rsid w:val="00F3581F"/>
    <w:rsid w:val="00F35AB4"/>
    <w:rsid w:val="00F3637A"/>
    <w:rsid w:val="00F363D7"/>
    <w:rsid w:val="00F363DB"/>
    <w:rsid w:val="00F364C1"/>
    <w:rsid w:val="00F365F9"/>
    <w:rsid w:val="00F367EA"/>
    <w:rsid w:val="00F369C2"/>
    <w:rsid w:val="00F3701C"/>
    <w:rsid w:val="00F3704D"/>
    <w:rsid w:val="00F371DF"/>
    <w:rsid w:val="00F37472"/>
    <w:rsid w:val="00F374E3"/>
    <w:rsid w:val="00F37735"/>
    <w:rsid w:val="00F377ED"/>
    <w:rsid w:val="00F378D0"/>
    <w:rsid w:val="00F37931"/>
    <w:rsid w:val="00F37B0C"/>
    <w:rsid w:val="00F37DF2"/>
    <w:rsid w:val="00F37E16"/>
    <w:rsid w:val="00F4010B"/>
    <w:rsid w:val="00F402D8"/>
    <w:rsid w:val="00F40350"/>
    <w:rsid w:val="00F40491"/>
    <w:rsid w:val="00F4054D"/>
    <w:rsid w:val="00F406CC"/>
    <w:rsid w:val="00F40A51"/>
    <w:rsid w:val="00F40C3A"/>
    <w:rsid w:val="00F40DF0"/>
    <w:rsid w:val="00F40EFD"/>
    <w:rsid w:val="00F40F02"/>
    <w:rsid w:val="00F40FC2"/>
    <w:rsid w:val="00F4100E"/>
    <w:rsid w:val="00F41102"/>
    <w:rsid w:val="00F411E2"/>
    <w:rsid w:val="00F411F1"/>
    <w:rsid w:val="00F41326"/>
    <w:rsid w:val="00F413D6"/>
    <w:rsid w:val="00F41563"/>
    <w:rsid w:val="00F416DD"/>
    <w:rsid w:val="00F418B9"/>
    <w:rsid w:val="00F419A4"/>
    <w:rsid w:val="00F41E60"/>
    <w:rsid w:val="00F42091"/>
    <w:rsid w:val="00F42726"/>
    <w:rsid w:val="00F43047"/>
    <w:rsid w:val="00F437D9"/>
    <w:rsid w:val="00F43938"/>
    <w:rsid w:val="00F43A62"/>
    <w:rsid w:val="00F43ABE"/>
    <w:rsid w:val="00F43B4D"/>
    <w:rsid w:val="00F43C55"/>
    <w:rsid w:val="00F43F7E"/>
    <w:rsid w:val="00F440C9"/>
    <w:rsid w:val="00F44199"/>
    <w:rsid w:val="00F44427"/>
    <w:rsid w:val="00F446D7"/>
    <w:rsid w:val="00F44AFE"/>
    <w:rsid w:val="00F44B9D"/>
    <w:rsid w:val="00F44CBA"/>
    <w:rsid w:val="00F44F62"/>
    <w:rsid w:val="00F45475"/>
    <w:rsid w:val="00F454BA"/>
    <w:rsid w:val="00F455BA"/>
    <w:rsid w:val="00F45A71"/>
    <w:rsid w:val="00F45BF0"/>
    <w:rsid w:val="00F45BFD"/>
    <w:rsid w:val="00F4608E"/>
    <w:rsid w:val="00F4641E"/>
    <w:rsid w:val="00F46BDF"/>
    <w:rsid w:val="00F46E48"/>
    <w:rsid w:val="00F46E7F"/>
    <w:rsid w:val="00F46EFE"/>
    <w:rsid w:val="00F470E3"/>
    <w:rsid w:val="00F4743B"/>
    <w:rsid w:val="00F4743D"/>
    <w:rsid w:val="00F4748F"/>
    <w:rsid w:val="00F47620"/>
    <w:rsid w:val="00F4779F"/>
    <w:rsid w:val="00F47995"/>
    <w:rsid w:val="00F47D47"/>
    <w:rsid w:val="00F47FDA"/>
    <w:rsid w:val="00F50021"/>
    <w:rsid w:val="00F50587"/>
    <w:rsid w:val="00F50777"/>
    <w:rsid w:val="00F507CE"/>
    <w:rsid w:val="00F507D2"/>
    <w:rsid w:val="00F50D83"/>
    <w:rsid w:val="00F50E7E"/>
    <w:rsid w:val="00F50F22"/>
    <w:rsid w:val="00F5120F"/>
    <w:rsid w:val="00F51347"/>
    <w:rsid w:val="00F5158C"/>
    <w:rsid w:val="00F519DD"/>
    <w:rsid w:val="00F51B67"/>
    <w:rsid w:val="00F51F40"/>
    <w:rsid w:val="00F520E3"/>
    <w:rsid w:val="00F5276A"/>
    <w:rsid w:val="00F528A3"/>
    <w:rsid w:val="00F52A76"/>
    <w:rsid w:val="00F52BB2"/>
    <w:rsid w:val="00F52C20"/>
    <w:rsid w:val="00F52C53"/>
    <w:rsid w:val="00F52CB0"/>
    <w:rsid w:val="00F52F58"/>
    <w:rsid w:val="00F53125"/>
    <w:rsid w:val="00F53449"/>
    <w:rsid w:val="00F5351D"/>
    <w:rsid w:val="00F535A5"/>
    <w:rsid w:val="00F536F1"/>
    <w:rsid w:val="00F53951"/>
    <w:rsid w:val="00F53EE7"/>
    <w:rsid w:val="00F54157"/>
    <w:rsid w:val="00F549E0"/>
    <w:rsid w:val="00F54AED"/>
    <w:rsid w:val="00F54C05"/>
    <w:rsid w:val="00F54D11"/>
    <w:rsid w:val="00F55306"/>
    <w:rsid w:val="00F5573A"/>
    <w:rsid w:val="00F55A9A"/>
    <w:rsid w:val="00F55CDF"/>
    <w:rsid w:val="00F55E08"/>
    <w:rsid w:val="00F55E09"/>
    <w:rsid w:val="00F55E2D"/>
    <w:rsid w:val="00F55E33"/>
    <w:rsid w:val="00F55F4C"/>
    <w:rsid w:val="00F560BA"/>
    <w:rsid w:val="00F5660B"/>
    <w:rsid w:val="00F566B0"/>
    <w:rsid w:val="00F5689A"/>
    <w:rsid w:val="00F56957"/>
    <w:rsid w:val="00F56AF2"/>
    <w:rsid w:val="00F56CE1"/>
    <w:rsid w:val="00F56D0C"/>
    <w:rsid w:val="00F56D81"/>
    <w:rsid w:val="00F57143"/>
    <w:rsid w:val="00F57299"/>
    <w:rsid w:val="00F57486"/>
    <w:rsid w:val="00F5772A"/>
    <w:rsid w:val="00F57753"/>
    <w:rsid w:val="00F57829"/>
    <w:rsid w:val="00F5793A"/>
    <w:rsid w:val="00F5793B"/>
    <w:rsid w:val="00F57990"/>
    <w:rsid w:val="00F57D0E"/>
    <w:rsid w:val="00F57D47"/>
    <w:rsid w:val="00F57E0B"/>
    <w:rsid w:val="00F57E28"/>
    <w:rsid w:val="00F57F21"/>
    <w:rsid w:val="00F60066"/>
    <w:rsid w:val="00F6011A"/>
    <w:rsid w:val="00F606F4"/>
    <w:rsid w:val="00F6086B"/>
    <w:rsid w:val="00F6096E"/>
    <w:rsid w:val="00F60A5F"/>
    <w:rsid w:val="00F60D5B"/>
    <w:rsid w:val="00F60FAB"/>
    <w:rsid w:val="00F61072"/>
    <w:rsid w:val="00F6148B"/>
    <w:rsid w:val="00F6156C"/>
    <w:rsid w:val="00F6169D"/>
    <w:rsid w:val="00F61B18"/>
    <w:rsid w:val="00F61BE6"/>
    <w:rsid w:val="00F6204D"/>
    <w:rsid w:val="00F622D5"/>
    <w:rsid w:val="00F624AC"/>
    <w:rsid w:val="00F6252E"/>
    <w:rsid w:val="00F62582"/>
    <w:rsid w:val="00F62CC7"/>
    <w:rsid w:val="00F62F1C"/>
    <w:rsid w:val="00F62FB9"/>
    <w:rsid w:val="00F6333B"/>
    <w:rsid w:val="00F634EA"/>
    <w:rsid w:val="00F636AB"/>
    <w:rsid w:val="00F63A89"/>
    <w:rsid w:val="00F63CA0"/>
    <w:rsid w:val="00F63CAD"/>
    <w:rsid w:val="00F63D5F"/>
    <w:rsid w:val="00F63DB5"/>
    <w:rsid w:val="00F63F3F"/>
    <w:rsid w:val="00F63F47"/>
    <w:rsid w:val="00F64062"/>
    <w:rsid w:val="00F64122"/>
    <w:rsid w:val="00F6446D"/>
    <w:rsid w:val="00F646BF"/>
    <w:rsid w:val="00F647A6"/>
    <w:rsid w:val="00F647CE"/>
    <w:rsid w:val="00F647E6"/>
    <w:rsid w:val="00F649AF"/>
    <w:rsid w:val="00F64BD4"/>
    <w:rsid w:val="00F64F14"/>
    <w:rsid w:val="00F64F69"/>
    <w:rsid w:val="00F651CA"/>
    <w:rsid w:val="00F657D9"/>
    <w:rsid w:val="00F65CA3"/>
    <w:rsid w:val="00F65E49"/>
    <w:rsid w:val="00F65E5E"/>
    <w:rsid w:val="00F66111"/>
    <w:rsid w:val="00F66291"/>
    <w:rsid w:val="00F6629F"/>
    <w:rsid w:val="00F664C5"/>
    <w:rsid w:val="00F666A1"/>
    <w:rsid w:val="00F6695B"/>
    <w:rsid w:val="00F670CA"/>
    <w:rsid w:val="00F67290"/>
    <w:rsid w:val="00F6734B"/>
    <w:rsid w:val="00F67588"/>
    <w:rsid w:val="00F67AB2"/>
    <w:rsid w:val="00F67CB0"/>
    <w:rsid w:val="00F7002A"/>
    <w:rsid w:val="00F705EB"/>
    <w:rsid w:val="00F70886"/>
    <w:rsid w:val="00F708F0"/>
    <w:rsid w:val="00F70BB6"/>
    <w:rsid w:val="00F70BE0"/>
    <w:rsid w:val="00F70CAB"/>
    <w:rsid w:val="00F70E72"/>
    <w:rsid w:val="00F71387"/>
    <w:rsid w:val="00F713C5"/>
    <w:rsid w:val="00F71400"/>
    <w:rsid w:val="00F716D0"/>
    <w:rsid w:val="00F71E2A"/>
    <w:rsid w:val="00F71E70"/>
    <w:rsid w:val="00F71E93"/>
    <w:rsid w:val="00F71F6B"/>
    <w:rsid w:val="00F72009"/>
    <w:rsid w:val="00F720E2"/>
    <w:rsid w:val="00F723FA"/>
    <w:rsid w:val="00F724A6"/>
    <w:rsid w:val="00F72E59"/>
    <w:rsid w:val="00F72EC4"/>
    <w:rsid w:val="00F72F83"/>
    <w:rsid w:val="00F7305C"/>
    <w:rsid w:val="00F73B4E"/>
    <w:rsid w:val="00F73D36"/>
    <w:rsid w:val="00F73E5D"/>
    <w:rsid w:val="00F73F09"/>
    <w:rsid w:val="00F74164"/>
    <w:rsid w:val="00F7453C"/>
    <w:rsid w:val="00F74550"/>
    <w:rsid w:val="00F7467D"/>
    <w:rsid w:val="00F74696"/>
    <w:rsid w:val="00F746A6"/>
    <w:rsid w:val="00F74946"/>
    <w:rsid w:val="00F749EF"/>
    <w:rsid w:val="00F74A5F"/>
    <w:rsid w:val="00F74AAE"/>
    <w:rsid w:val="00F74ED8"/>
    <w:rsid w:val="00F750DF"/>
    <w:rsid w:val="00F756C3"/>
    <w:rsid w:val="00F757A9"/>
    <w:rsid w:val="00F75810"/>
    <w:rsid w:val="00F75833"/>
    <w:rsid w:val="00F75A4C"/>
    <w:rsid w:val="00F75BD3"/>
    <w:rsid w:val="00F7607B"/>
    <w:rsid w:val="00F760B6"/>
    <w:rsid w:val="00F76186"/>
    <w:rsid w:val="00F76284"/>
    <w:rsid w:val="00F7650E"/>
    <w:rsid w:val="00F76547"/>
    <w:rsid w:val="00F7656D"/>
    <w:rsid w:val="00F768CD"/>
    <w:rsid w:val="00F76AAD"/>
    <w:rsid w:val="00F76B99"/>
    <w:rsid w:val="00F76D54"/>
    <w:rsid w:val="00F777E2"/>
    <w:rsid w:val="00F77928"/>
    <w:rsid w:val="00F77FFB"/>
    <w:rsid w:val="00F80957"/>
    <w:rsid w:val="00F80A11"/>
    <w:rsid w:val="00F80F67"/>
    <w:rsid w:val="00F81211"/>
    <w:rsid w:val="00F81531"/>
    <w:rsid w:val="00F8162C"/>
    <w:rsid w:val="00F8163D"/>
    <w:rsid w:val="00F81863"/>
    <w:rsid w:val="00F818A4"/>
    <w:rsid w:val="00F81CCD"/>
    <w:rsid w:val="00F81E94"/>
    <w:rsid w:val="00F820EB"/>
    <w:rsid w:val="00F824F3"/>
    <w:rsid w:val="00F827E4"/>
    <w:rsid w:val="00F82A7E"/>
    <w:rsid w:val="00F830AC"/>
    <w:rsid w:val="00F831CF"/>
    <w:rsid w:val="00F83244"/>
    <w:rsid w:val="00F8329F"/>
    <w:rsid w:val="00F834E3"/>
    <w:rsid w:val="00F83A24"/>
    <w:rsid w:val="00F83B02"/>
    <w:rsid w:val="00F84850"/>
    <w:rsid w:val="00F84A8C"/>
    <w:rsid w:val="00F84BD1"/>
    <w:rsid w:val="00F84D89"/>
    <w:rsid w:val="00F84F29"/>
    <w:rsid w:val="00F85111"/>
    <w:rsid w:val="00F85127"/>
    <w:rsid w:val="00F851B9"/>
    <w:rsid w:val="00F85276"/>
    <w:rsid w:val="00F855A8"/>
    <w:rsid w:val="00F85752"/>
    <w:rsid w:val="00F85A42"/>
    <w:rsid w:val="00F85DBD"/>
    <w:rsid w:val="00F85E2F"/>
    <w:rsid w:val="00F86057"/>
    <w:rsid w:val="00F8617B"/>
    <w:rsid w:val="00F86395"/>
    <w:rsid w:val="00F86449"/>
    <w:rsid w:val="00F8677A"/>
    <w:rsid w:val="00F8688A"/>
    <w:rsid w:val="00F868B9"/>
    <w:rsid w:val="00F86976"/>
    <w:rsid w:val="00F86E49"/>
    <w:rsid w:val="00F86EB5"/>
    <w:rsid w:val="00F87226"/>
    <w:rsid w:val="00F8729A"/>
    <w:rsid w:val="00F87399"/>
    <w:rsid w:val="00F87694"/>
    <w:rsid w:val="00F87768"/>
    <w:rsid w:val="00F8791D"/>
    <w:rsid w:val="00F87E90"/>
    <w:rsid w:val="00F902BF"/>
    <w:rsid w:val="00F90671"/>
    <w:rsid w:val="00F906D2"/>
    <w:rsid w:val="00F90B73"/>
    <w:rsid w:val="00F90BFD"/>
    <w:rsid w:val="00F90CE3"/>
    <w:rsid w:val="00F90DEC"/>
    <w:rsid w:val="00F90E72"/>
    <w:rsid w:val="00F90E75"/>
    <w:rsid w:val="00F90F62"/>
    <w:rsid w:val="00F910A3"/>
    <w:rsid w:val="00F9111A"/>
    <w:rsid w:val="00F916AC"/>
    <w:rsid w:val="00F91720"/>
    <w:rsid w:val="00F9192F"/>
    <w:rsid w:val="00F91D08"/>
    <w:rsid w:val="00F91EBC"/>
    <w:rsid w:val="00F91EFD"/>
    <w:rsid w:val="00F91F07"/>
    <w:rsid w:val="00F92057"/>
    <w:rsid w:val="00F92113"/>
    <w:rsid w:val="00F92550"/>
    <w:rsid w:val="00F9260F"/>
    <w:rsid w:val="00F92695"/>
    <w:rsid w:val="00F9299C"/>
    <w:rsid w:val="00F92CFE"/>
    <w:rsid w:val="00F92D46"/>
    <w:rsid w:val="00F92D5E"/>
    <w:rsid w:val="00F92E23"/>
    <w:rsid w:val="00F92EA3"/>
    <w:rsid w:val="00F9304C"/>
    <w:rsid w:val="00F93076"/>
    <w:rsid w:val="00F934F4"/>
    <w:rsid w:val="00F93528"/>
    <w:rsid w:val="00F940CC"/>
    <w:rsid w:val="00F9413A"/>
    <w:rsid w:val="00F94238"/>
    <w:rsid w:val="00F94279"/>
    <w:rsid w:val="00F9440E"/>
    <w:rsid w:val="00F9457F"/>
    <w:rsid w:val="00F947B1"/>
    <w:rsid w:val="00F94887"/>
    <w:rsid w:val="00F94DCF"/>
    <w:rsid w:val="00F94E67"/>
    <w:rsid w:val="00F94E6F"/>
    <w:rsid w:val="00F94F15"/>
    <w:rsid w:val="00F9519B"/>
    <w:rsid w:val="00F952E8"/>
    <w:rsid w:val="00F95468"/>
    <w:rsid w:val="00F9562B"/>
    <w:rsid w:val="00F95652"/>
    <w:rsid w:val="00F957D8"/>
    <w:rsid w:val="00F95AAC"/>
    <w:rsid w:val="00F95AC7"/>
    <w:rsid w:val="00F95B6C"/>
    <w:rsid w:val="00F95C37"/>
    <w:rsid w:val="00F95E56"/>
    <w:rsid w:val="00F95F51"/>
    <w:rsid w:val="00F96033"/>
    <w:rsid w:val="00F96158"/>
    <w:rsid w:val="00F9621F"/>
    <w:rsid w:val="00F9636C"/>
    <w:rsid w:val="00F96422"/>
    <w:rsid w:val="00F96456"/>
    <w:rsid w:val="00F969CC"/>
    <w:rsid w:val="00F96BF7"/>
    <w:rsid w:val="00F96DCE"/>
    <w:rsid w:val="00F96F10"/>
    <w:rsid w:val="00F971DF"/>
    <w:rsid w:val="00F97221"/>
    <w:rsid w:val="00F973C0"/>
    <w:rsid w:val="00F976BC"/>
    <w:rsid w:val="00F97A92"/>
    <w:rsid w:val="00F97D92"/>
    <w:rsid w:val="00FA0278"/>
    <w:rsid w:val="00FA03C6"/>
    <w:rsid w:val="00FA078F"/>
    <w:rsid w:val="00FA08D2"/>
    <w:rsid w:val="00FA099C"/>
    <w:rsid w:val="00FA0B15"/>
    <w:rsid w:val="00FA0C89"/>
    <w:rsid w:val="00FA0FBD"/>
    <w:rsid w:val="00FA1119"/>
    <w:rsid w:val="00FA11AF"/>
    <w:rsid w:val="00FA12A8"/>
    <w:rsid w:val="00FA1396"/>
    <w:rsid w:val="00FA13DA"/>
    <w:rsid w:val="00FA160D"/>
    <w:rsid w:val="00FA180F"/>
    <w:rsid w:val="00FA1AD2"/>
    <w:rsid w:val="00FA1C21"/>
    <w:rsid w:val="00FA219D"/>
    <w:rsid w:val="00FA2338"/>
    <w:rsid w:val="00FA23E3"/>
    <w:rsid w:val="00FA27FA"/>
    <w:rsid w:val="00FA28B6"/>
    <w:rsid w:val="00FA2988"/>
    <w:rsid w:val="00FA2CD7"/>
    <w:rsid w:val="00FA2DF5"/>
    <w:rsid w:val="00FA2EF1"/>
    <w:rsid w:val="00FA2FC5"/>
    <w:rsid w:val="00FA30C2"/>
    <w:rsid w:val="00FA3162"/>
    <w:rsid w:val="00FA32B2"/>
    <w:rsid w:val="00FA32C1"/>
    <w:rsid w:val="00FA330E"/>
    <w:rsid w:val="00FA33D8"/>
    <w:rsid w:val="00FA34C9"/>
    <w:rsid w:val="00FA37F2"/>
    <w:rsid w:val="00FA3A1B"/>
    <w:rsid w:val="00FA3BE8"/>
    <w:rsid w:val="00FA40D9"/>
    <w:rsid w:val="00FA4143"/>
    <w:rsid w:val="00FA416F"/>
    <w:rsid w:val="00FA423B"/>
    <w:rsid w:val="00FA4331"/>
    <w:rsid w:val="00FA43AC"/>
    <w:rsid w:val="00FA46A4"/>
    <w:rsid w:val="00FA46CF"/>
    <w:rsid w:val="00FA48B1"/>
    <w:rsid w:val="00FA48D3"/>
    <w:rsid w:val="00FA4B14"/>
    <w:rsid w:val="00FA4B38"/>
    <w:rsid w:val="00FA4C16"/>
    <w:rsid w:val="00FA4F12"/>
    <w:rsid w:val="00FA515A"/>
    <w:rsid w:val="00FA5326"/>
    <w:rsid w:val="00FA5414"/>
    <w:rsid w:val="00FA5B26"/>
    <w:rsid w:val="00FA5CDB"/>
    <w:rsid w:val="00FA5D2B"/>
    <w:rsid w:val="00FA5F2F"/>
    <w:rsid w:val="00FA6004"/>
    <w:rsid w:val="00FA6053"/>
    <w:rsid w:val="00FA6732"/>
    <w:rsid w:val="00FA680D"/>
    <w:rsid w:val="00FA6B8B"/>
    <w:rsid w:val="00FA6D87"/>
    <w:rsid w:val="00FA6F4F"/>
    <w:rsid w:val="00FA70D4"/>
    <w:rsid w:val="00FA7115"/>
    <w:rsid w:val="00FA7153"/>
    <w:rsid w:val="00FA71C5"/>
    <w:rsid w:val="00FA7210"/>
    <w:rsid w:val="00FA73C1"/>
    <w:rsid w:val="00FA74A5"/>
    <w:rsid w:val="00FA7658"/>
    <w:rsid w:val="00FA778F"/>
    <w:rsid w:val="00FA7918"/>
    <w:rsid w:val="00FA793A"/>
    <w:rsid w:val="00FA7B7A"/>
    <w:rsid w:val="00FB01C5"/>
    <w:rsid w:val="00FB01EF"/>
    <w:rsid w:val="00FB027A"/>
    <w:rsid w:val="00FB03B5"/>
    <w:rsid w:val="00FB0430"/>
    <w:rsid w:val="00FB0433"/>
    <w:rsid w:val="00FB0662"/>
    <w:rsid w:val="00FB073F"/>
    <w:rsid w:val="00FB0C7E"/>
    <w:rsid w:val="00FB14D0"/>
    <w:rsid w:val="00FB1905"/>
    <w:rsid w:val="00FB1968"/>
    <w:rsid w:val="00FB1AC6"/>
    <w:rsid w:val="00FB1C8C"/>
    <w:rsid w:val="00FB1D0A"/>
    <w:rsid w:val="00FB1E11"/>
    <w:rsid w:val="00FB1F2C"/>
    <w:rsid w:val="00FB20A2"/>
    <w:rsid w:val="00FB20B7"/>
    <w:rsid w:val="00FB2422"/>
    <w:rsid w:val="00FB282E"/>
    <w:rsid w:val="00FB2BCA"/>
    <w:rsid w:val="00FB2EEE"/>
    <w:rsid w:val="00FB302B"/>
    <w:rsid w:val="00FB30B9"/>
    <w:rsid w:val="00FB3157"/>
    <w:rsid w:val="00FB3A43"/>
    <w:rsid w:val="00FB3B07"/>
    <w:rsid w:val="00FB3C97"/>
    <w:rsid w:val="00FB3DBF"/>
    <w:rsid w:val="00FB429A"/>
    <w:rsid w:val="00FB43D9"/>
    <w:rsid w:val="00FB4417"/>
    <w:rsid w:val="00FB45C2"/>
    <w:rsid w:val="00FB4811"/>
    <w:rsid w:val="00FB4902"/>
    <w:rsid w:val="00FB496A"/>
    <w:rsid w:val="00FB49A4"/>
    <w:rsid w:val="00FB4C5E"/>
    <w:rsid w:val="00FB4F78"/>
    <w:rsid w:val="00FB51E1"/>
    <w:rsid w:val="00FB5449"/>
    <w:rsid w:val="00FB57C0"/>
    <w:rsid w:val="00FB58ED"/>
    <w:rsid w:val="00FB5A5B"/>
    <w:rsid w:val="00FB5BFC"/>
    <w:rsid w:val="00FB5EA6"/>
    <w:rsid w:val="00FB5FCA"/>
    <w:rsid w:val="00FB6128"/>
    <w:rsid w:val="00FB618F"/>
    <w:rsid w:val="00FB63F6"/>
    <w:rsid w:val="00FB641F"/>
    <w:rsid w:val="00FB647D"/>
    <w:rsid w:val="00FB64A2"/>
    <w:rsid w:val="00FB65A9"/>
    <w:rsid w:val="00FB66B8"/>
    <w:rsid w:val="00FB692A"/>
    <w:rsid w:val="00FB6BF1"/>
    <w:rsid w:val="00FB6F42"/>
    <w:rsid w:val="00FB70B3"/>
    <w:rsid w:val="00FB70D7"/>
    <w:rsid w:val="00FB7100"/>
    <w:rsid w:val="00FB715D"/>
    <w:rsid w:val="00FB739D"/>
    <w:rsid w:val="00FB73A2"/>
    <w:rsid w:val="00FB748E"/>
    <w:rsid w:val="00FB7504"/>
    <w:rsid w:val="00FB7895"/>
    <w:rsid w:val="00FB790C"/>
    <w:rsid w:val="00FB7B17"/>
    <w:rsid w:val="00FB7B2B"/>
    <w:rsid w:val="00FB7C8D"/>
    <w:rsid w:val="00FB7EDA"/>
    <w:rsid w:val="00FC02BB"/>
    <w:rsid w:val="00FC041A"/>
    <w:rsid w:val="00FC0835"/>
    <w:rsid w:val="00FC0858"/>
    <w:rsid w:val="00FC099A"/>
    <w:rsid w:val="00FC0BFF"/>
    <w:rsid w:val="00FC13E7"/>
    <w:rsid w:val="00FC1A96"/>
    <w:rsid w:val="00FC1B9C"/>
    <w:rsid w:val="00FC1D2A"/>
    <w:rsid w:val="00FC1DE4"/>
    <w:rsid w:val="00FC207B"/>
    <w:rsid w:val="00FC249D"/>
    <w:rsid w:val="00FC260A"/>
    <w:rsid w:val="00FC285A"/>
    <w:rsid w:val="00FC2E77"/>
    <w:rsid w:val="00FC2E84"/>
    <w:rsid w:val="00FC3085"/>
    <w:rsid w:val="00FC308B"/>
    <w:rsid w:val="00FC3669"/>
    <w:rsid w:val="00FC3793"/>
    <w:rsid w:val="00FC3B89"/>
    <w:rsid w:val="00FC3BF3"/>
    <w:rsid w:val="00FC3D99"/>
    <w:rsid w:val="00FC407D"/>
    <w:rsid w:val="00FC43D5"/>
    <w:rsid w:val="00FC4674"/>
    <w:rsid w:val="00FC4998"/>
    <w:rsid w:val="00FC4A0D"/>
    <w:rsid w:val="00FC4A8A"/>
    <w:rsid w:val="00FC4C96"/>
    <w:rsid w:val="00FC4DCF"/>
    <w:rsid w:val="00FC4DE2"/>
    <w:rsid w:val="00FC4F17"/>
    <w:rsid w:val="00FC50AC"/>
    <w:rsid w:val="00FC5101"/>
    <w:rsid w:val="00FC5133"/>
    <w:rsid w:val="00FC53D6"/>
    <w:rsid w:val="00FC55B2"/>
    <w:rsid w:val="00FC56B3"/>
    <w:rsid w:val="00FC572D"/>
    <w:rsid w:val="00FC57F4"/>
    <w:rsid w:val="00FC5D20"/>
    <w:rsid w:val="00FC5DC4"/>
    <w:rsid w:val="00FC6008"/>
    <w:rsid w:val="00FC62D8"/>
    <w:rsid w:val="00FC643F"/>
    <w:rsid w:val="00FC654A"/>
    <w:rsid w:val="00FC6657"/>
    <w:rsid w:val="00FC67C2"/>
    <w:rsid w:val="00FC69E7"/>
    <w:rsid w:val="00FC6DDA"/>
    <w:rsid w:val="00FC71EB"/>
    <w:rsid w:val="00FC720A"/>
    <w:rsid w:val="00FC74DA"/>
    <w:rsid w:val="00FC7608"/>
    <w:rsid w:val="00FC7784"/>
    <w:rsid w:val="00FC78BB"/>
    <w:rsid w:val="00FC79F3"/>
    <w:rsid w:val="00FD00DC"/>
    <w:rsid w:val="00FD00F7"/>
    <w:rsid w:val="00FD03C8"/>
    <w:rsid w:val="00FD0532"/>
    <w:rsid w:val="00FD0897"/>
    <w:rsid w:val="00FD089C"/>
    <w:rsid w:val="00FD09CD"/>
    <w:rsid w:val="00FD0C4D"/>
    <w:rsid w:val="00FD0F4F"/>
    <w:rsid w:val="00FD148D"/>
    <w:rsid w:val="00FD14D1"/>
    <w:rsid w:val="00FD166C"/>
    <w:rsid w:val="00FD1681"/>
    <w:rsid w:val="00FD16DD"/>
    <w:rsid w:val="00FD1789"/>
    <w:rsid w:val="00FD18F7"/>
    <w:rsid w:val="00FD1BA8"/>
    <w:rsid w:val="00FD1CE1"/>
    <w:rsid w:val="00FD1D31"/>
    <w:rsid w:val="00FD1F25"/>
    <w:rsid w:val="00FD20AD"/>
    <w:rsid w:val="00FD21B5"/>
    <w:rsid w:val="00FD2233"/>
    <w:rsid w:val="00FD22B3"/>
    <w:rsid w:val="00FD22C3"/>
    <w:rsid w:val="00FD233D"/>
    <w:rsid w:val="00FD2635"/>
    <w:rsid w:val="00FD2D33"/>
    <w:rsid w:val="00FD2E4A"/>
    <w:rsid w:val="00FD2F28"/>
    <w:rsid w:val="00FD2F32"/>
    <w:rsid w:val="00FD2F72"/>
    <w:rsid w:val="00FD2FF2"/>
    <w:rsid w:val="00FD3018"/>
    <w:rsid w:val="00FD331B"/>
    <w:rsid w:val="00FD35D9"/>
    <w:rsid w:val="00FD3736"/>
    <w:rsid w:val="00FD38E9"/>
    <w:rsid w:val="00FD39CA"/>
    <w:rsid w:val="00FD3BBE"/>
    <w:rsid w:val="00FD3C72"/>
    <w:rsid w:val="00FD3DD5"/>
    <w:rsid w:val="00FD3EB2"/>
    <w:rsid w:val="00FD3EB4"/>
    <w:rsid w:val="00FD3F46"/>
    <w:rsid w:val="00FD3FEF"/>
    <w:rsid w:val="00FD4002"/>
    <w:rsid w:val="00FD4025"/>
    <w:rsid w:val="00FD40E0"/>
    <w:rsid w:val="00FD42D6"/>
    <w:rsid w:val="00FD4367"/>
    <w:rsid w:val="00FD47CB"/>
    <w:rsid w:val="00FD4826"/>
    <w:rsid w:val="00FD4CFD"/>
    <w:rsid w:val="00FD4D66"/>
    <w:rsid w:val="00FD4DB2"/>
    <w:rsid w:val="00FD543A"/>
    <w:rsid w:val="00FD54EB"/>
    <w:rsid w:val="00FD54F0"/>
    <w:rsid w:val="00FD5865"/>
    <w:rsid w:val="00FD58B6"/>
    <w:rsid w:val="00FD5F08"/>
    <w:rsid w:val="00FD5FF9"/>
    <w:rsid w:val="00FD6301"/>
    <w:rsid w:val="00FD640F"/>
    <w:rsid w:val="00FD64FA"/>
    <w:rsid w:val="00FD6544"/>
    <w:rsid w:val="00FD6711"/>
    <w:rsid w:val="00FD68B3"/>
    <w:rsid w:val="00FD68D5"/>
    <w:rsid w:val="00FD69CD"/>
    <w:rsid w:val="00FD69F3"/>
    <w:rsid w:val="00FD6A52"/>
    <w:rsid w:val="00FD6E0B"/>
    <w:rsid w:val="00FD6E0C"/>
    <w:rsid w:val="00FD7186"/>
    <w:rsid w:val="00FD71A7"/>
    <w:rsid w:val="00FD7308"/>
    <w:rsid w:val="00FD7575"/>
    <w:rsid w:val="00FD771A"/>
    <w:rsid w:val="00FD7958"/>
    <w:rsid w:val="00FD79BA"/>
    <w:rsid w:val="00FD7A2E"/>
    <w:rsid w:val="00FD7B2D"/>
    <w:rsid w:val="00FD7D87"/>
    <w:rsid w:val="00FE000E"/>
    <w:rsid w:val="00FE01D8"/>
    <w:rsid w:val="00FE041A"/>
    <w:rsid w:val="00FE06DB"/>
    <w:rsid w:val="00FE078E"/>
    <w:rsid w:val="00FE07CC"/>
    <w:rsid w:val="00FE09BE"/>
    <w:rsid w:val="00FE0B06"/>
    <w:rsid w:val="00FE0E2E"/>
    <w:rsid w:val="00FE11FD"/>
    <w:rsid w:val="00FE1477"/>
    <w:rsid w:val="00FE15E5"/>
    <w:rsid w:val="00FE1861"/>
    <w:rsid w:val="00FE1AAF"/>
    <w:rsid w:val="00FE1B69"/>
    <w:rsid w:val="00FE2256"/>
    <w:rsid w:val="00FE2303"/>
    <w:rsid w:val="00FE2391"/>
    <w:rsid w:val="00FE23B0"/>
    <w:rsid w:val="00FE26A7"/>
    <w:rsid w:val="00FE287E"/>
    <w:rsid w:val="00FE2B0F"/>
    <w:rsid w:val="00FE2DD5"/>
    <w:rsid w:val="00FE2E0D"/>
    <w:rsid w:val="00FE2FF0"/>
    <w:rsid w:val="00FE3144"/>
    <w:rsid w:val="00FE35E4"/>
    <w:rsid w:val="00FE38DB"/>
    <w:rsid w:val="00FE3A38"/>
    <w:rsid w:val="00FE3C12"/>
    <w:rsid w:val="00FE3CBE"/>
    <w:rsid w:val="00FE3CD4"/>
    <w:rsid w:val="00FE40E4"/>
    <w:rsid w:val="00FE4164"/>
    <w:rsid w:val="00FE4165"/>
    <w:rsid w:val="00FE423A"/>
    <w:rsid w:val="00FE474C"/>
    <w:rsid w:val="00FE47F7"/>
    <w:rsid w:val="00FE481C"/>
    <w:rsid w:val="00FE4863"/>
    <w:rsid w:val="00FE4923"/>
    <w:rsid w:val="00FE4BB7"/>
    <w:rsid w:val="00FE4C7C"/>
    <w:rsid w:val="00FE4CDD"/>
    <w:rsid w:val="00FE4CDF"/>
    <w:rsid w:val="00FE4D55"/>
    <w:rsid w:val="00FE4E78"/>
    <w:rsid w:val="00FE5190"/>
    <w:rsid w:val="00FE5208"/>
    <w:rsid w:val="00FE57A7"/>
    <w:rsid w:val="00FE57AB"/>
    <w:rsid w:val="00FE5B38"/>
    <w:rsid w:val="00FE5B84"/>
    <w:rsid w:val="00FE5C3C"/>
    <w:rsid w:val="00FE5E9D"/>
    <w:rsid w:val="00FE64F0"/>
    <w:rsid w:val="00FE655E"/>
    <w:rsid w:val="00FE65CD"/>
    <w:rsid w:val="00FE69BB"/>
    <w:rsid w:val="00FE6C28"/>
    <w:rsid w:val="00FE6E50"/>
    <w:rsid w:val="00FE72C3"/>
    <w:rsid w:val="00FE7516"/>
    <w:rsid w:val="00FE7640"/>
    <w:rsid w:val="00FE77C4"/>
    <w:rsid w:val="00FE7C6A"/>
    <w:rsid w:val="00FF0092"/>
    <w:rsid w:val="00FF0258"/>
    <w:rsid w:val="00FF0558"/>
    <w:rsid w:val="00FF0646"/>
    <w:rsid w:val="00FF07A1"/>
    <w:rsid w:val="00FF0865"/>
    <w:rsid w:val="00FF0B0C"/>
    <w:rsid w:val="00FF0E96"/>
    <w:rsid w:val="00FF0F01"/>
    <w:rsid w:val="00FF142B"/>
    <w:rsid w:val="00FF1951"/>
    <w:rsid w:val="00FF1D52"/>
    <w:rsid w:val="00FF1FE2"/>
    <w:rsid w:val="00FF209F"/>
    <w:rsid w:val="00FF2164"/>
    <w:rsid w:val="00FF21BB"/>
    <w:rsid w:val="00FF22C0"/>
    <w:rsid w:val="00FF23A0"/>
    <w:rsid w:val="00FF243C"/>
    <w:rsid w:val="00FF2624"/>
    <w:rsid w:val="00FF2696"/>
    <w:rsid w:val="00FF26E7"/>
    <w:rsid w:val="00FF26F9"/>
    <w:rsid w:val="00FF28C7"/>
    <w:rsid w:val="00FF2A63"/>
    <w:rsid w:val="00FF2F57"/>
    <w:rsid w:val="00FF2F96"/>
    <w:rsid w:val="00FF316A"/>
    <w:rsid w:val="00FF333C"/>
    <w:rsid w:val="00FF34B7"/>
    <w:rsid w:val="00FF384B"/>
    <w:rsid w:val="00FF389C"/>
    <w:rsid w:val="00FF3A13"/>
    <w:rsid w:val="00FF3C01"/>
    <w:rsid w:val="00FF3FC4"/>
    <w:rsid w:val="00FF42D1"/>
    <w:rsid w:val="00FF4348"/>
    <w:rsid w:val="00FF444F"/>
    <w:rsid w:val="00FF4460"/>
    <w:rsid w:val="00FF488B"/>
    <w:rsid w:val="00FF4947"/>
    <w:rsid w:val="00FF4C17"/>
    <w:rsid w:val="00FF510D"/>
    <w:rsid w:val="00FF522B"/>
    <w:rsid w:val="00FF5347"/>
    <w:rsid w:val="00FF54B9"/>
    <w:rsid w:val="00FF57FD"/>
    <w:rsid w:val="00FF581C"/>
    <w:rsid w:val="00FF58EC"/>
    <w:rsid w:val="00FF5A4D"/>
    <w:rsid w:val="00FF5F2A"/>
    <w:rsid w:val="00FF61A7"/>
    <w:rsid w:val="00FF624C"/>
    <w:rsid w:val="00FF666A"/>
    <w:rsid w:val="00FF669E"/>
    <w:rsid w:val="00FF689B"/>
    <w:rsid w:val="00FF69BF"/>
    <w:rsid w:val="00FF6AAA"/>
    <w:rsid w:val="00FF6C05"/>
    <w:rsid w:val="00FF6D2D"/>
    <w:rsid w:val="00FF6D45"/>
    <w:rsid w:val="00FF7177"/>
    <w:rsid w:val="00FF71AB"/>
    <w:rsid w:val="00FF74D0"/>
    <w:rsid w:val="00FF764A"/>
    <w:rsid w:val="00FF7670"/>
    <w:rsid w:val="00FF77DB"/>
    <w:rsid w:val="00FF78E6"/>
    <w:rsid w:val="00FF7999"/>
    <w:rsid w:val="00FF79C9"/>
    <w:rsid w:val="00FF7BB7"/>
    <w:rsid w:val="010BE5A0"/>
    <w:rsid w:val="014A1099"/>
    <w:rsid w:val="0187202E"/>
    <w:rsid w:val="019F82D7"/>
    <w:rsid w:val="01A9E61A"/>
    <w:rsid w:val="01B12270"/>
    <w:rsid w:val="01C251B7"/>
    <w:rsid w:val="01EA0848"/>
    <w:rsid w:val="021764E5"/>
    <w:rsid w:val="02414821"/>
    <w:rsid w:val="02547EBF"/>
    <w:rsid w:val="025CFF98"/>
    <w:rsid w:val="02628A6B"/>
    <w:rsid w:val="02A50D0B"/>
    <w:rsid w:val="02C2BD90"/>
    <w:rsid w:val="02C2C9E4"/>
    <w:rsid w:val="02C78476"/>
    <w:rsid w:val="02FFD092"/>
    <w:rsid w:val="030C51EE"/>
    <w:rsid w:val="03260E3A"/>
    <w:rsid w:val="032AEDE2"/>
    <w:rsid w:val="036139B0"/>
    <w:rsid w:val="03801ED8"/>
    <w:rsid w:val="03B3D6FC"/>
    <w:rsid w:val="03B55A87"/>
    <w:rsid w:val="03F4FFF1"/>
    <w:rsid w:val="0412FBFE"/>
    <w:rsid w:val="04161FFB"/>
    <w:rsid w:val="04308CDA"/>
    <w:rsid w:val="044177E4"/>
    <w:rsid w:val="0457FE90"/>
    <w:rsid w:val="045F12A4"/>
    <w:rsid w:val="0489F8E1"/>
    <w:rsid w:val="04A16730"/>
    <w:rsid w:val="04C2E333"/>
    <w:rsid w:val="04FAB32D"/>
    <w:rsid w:val="050F5DD3"/>
    <w:rsid w:val="0542287B"/>
    <w:rsid w:val="055846E7"/>
    <w:rsid w:val="0598BD39"/>
    <w:rsid w:val="05A37437"/>
    <w:rsid w:val="05BCF6F4"/>
    <w:rsid w:val="05E002A7"/>
    <w:rsid w:val="05EC5568"/>
    <w:rsid w:val="05F19C9F"/>
    <w:rsid w:val="05F25C58"/>
    <w:rsid w:val="05FBC2E1"/>
    <w:rsid w:val="05FE09A8"/>
    <w:rsid w:val="060CBF17"/>
    <w:rsid w:val="063E05C7"/>
    <w:rsid w:val="064E4AC2"/>
    <w:rsid w:val="066B2127"/>
    <w:rsid w:val="069CD956"/>
    <w:rsid w:val="06A64C72"/>
    <w:rsid w:val="06E87260"/>
    <w:rsid w:val="072A73E5"/>
    <w:rsid w:val="073A12A5"/>
    <w:rsid w:val="0750554F"/>
    <w:rsid w:val="075C03BD"/>
    <w:rsid w:val="07655F2E"/>
    <w:rsid w:val="07893607"/>
    <w:rsid w:val="07B1E0C4"/>
    <w:rsid w:val="07BDF76A"/>
    <w:rsid w:val="07DB8FC9"/>
    <w:rsid w:val="07DFB5D3"/>
    <w:rsid w:val="07EFF18B"/>
    <w:rsid w:val="07FE1130"/>
    <w:rsid w:val="0828AF85"/>
    <w:rsid w:val="0833CD6D"/>
    <w:rsid w:val="084C5219"/>
    <w:rsid w:val="0853ED95"/>
    <w:rsid w:val="08A513FB"/>
    <w:rsid w:val="08ABC140"/>
    <w:rsid w:val="08CFB2AE"/>
    <w:rsid w:val="08D00852"/>
    <w:rsid w:val="08DA37E6"/>
    <w:rsid w:val="08DFB022"/>
    <w:rsid w:val="08E29AD2"/>
    <w:rsid w:val="0905D89E"/>
    <w:rsid w:val="0919E14D"/>
    <w:rsid w:val="09261F50"/>
    <w:rsid w:val="0926AFD5"/>
    <w:rsid w:val="093320A1"/>
    <w:rsid w:val="093645F5"/>
    <w:rsid w:val="0938BF32"/>
    <w:rsid w:val="0948C4BF"/>
    <w:rsid w:val="099223BD"/>
    <w:rsid w:val="09995BFA"/>
    <w:rsid w:val="09B6C992"/>
    <w:rsid w:val="09B9041F"/>
    <w:rsid w:val="09E0FC6E"/>
    <w:rsid w:val="09EFB976"/>
    <w:rsid w:val="09FC3D26"/>
    <w:rsid w:val="0A06BD80"/>
    <w:rsid w:val="0A18E6EA"/>
    <w:rsid w:val="0A25B449"/>
    <w:rsid w:val="0A2E0170"/>
    <w:rsid w:val="0A31653B"/>
    <w:rsid w:val="0A420495"/>
    <w:rsid w:val="0A459338"/>
    <w:rsid w:val="0A7A16EB"/>
    <w:rsid w:val="0A80FA22"/>
    <w:rsid w:val="0AB2F4D2"/>
    <w:rsid w:val="0AB36DB2"/>
    <w:rsid w:val="0AB3E8F8"/>
    <w:rsid w:val="0AECBA8E"/>
    <w:rsid w:val="0AEDE1FF"/>
    <w:rsid w:val="0B345BFE"/>
    <w:rsid w:val="0B8E1150"/>
    <w:rsid w:val="0B989C2A"/>
    <w:rsid w:val="0B9A7DAE"/>
    <w:rsid w:val="0BD6A748"/>
    <w:rsid w:val="0C004676"/>
    <w:rsid w:val="0C080A31"/>
    <w:rsid w:val="0C1631B1"/>
    <w:rsid w:val="0C2D5356"/>
    <w:rsid w:val="0C4A4989"/>
    <w:rsid w:val="0C4BA35D"/>
    <w:rsid w:val="0C5F4E88"/>
    <w:rsid w:val="0C8A4264"/>
    <w:rsid w:val="0C918983"/>
    <w:rsid w:val="0C959121"/>
    <w:rsid w:val="0CB2CF07"/>
    <w:rsid w:val="0CD510EE"/>
    <w:rsid w:val="0CF96DF8"/>
    <w:rsid w:val="0D0C9E0C"/>
    <w:rsid w:val="0D1B1ADE"/>
    <w:rsid w:val="0D2D1FAA"/>
    <w:rsid w:val="0D3B529D"/>
    <w:rsid w:val="0D3C4EDD"/>
    <w:rsid w:val="0D5E40EA"/>
    <w:rsid w:val="0D6ADFB8"/>
    <w:rsid w:val="0D70CD7F"/>
    <w:rsid w:val="0D75B18C"/>
    <w:rsid w:val="0D8D1108"/>
    <w:rsid w:val="0D9090D6"/>
    <w:rsid w:val="0D9D6E6B"/>
    <w:rsid w:val="0DA030CD"/>
    <w:rsid w:val="0DB0404D"/>
    <w:rsid w:val="0DC27025"/>
    <w:rsid w:val="0DC55CD2"/>
    <w:rsid w:val="0DCCE4C0"/>
    <w:rsid w:val="0DDD75A1"/>
    <w:rsid w:val="0E1A28B4"/>
    <w:rsid w:val="0E36D99C"/>
    <w:rsid w:val="0E3B3347"/>
    <w:rsid w:val="0E624692"/>
    <w:rsid w:val="0E62C075"/>
    <w:rsid w:val="0E9A84BE"/>
    <w:rsid w:val="0ECDBF54"/>
    <w:rsid w:val="0ED895D9"/>
    <w:rsid w:val="0EEA1ED8"/>
    <w:rsid w:val="0F3E0610"/>
    <w:rsid w:val="0F5C4A25"/>
    <w:rsid w:val="0F7BCEA6"/>
    <w:rsid w:val="0FB781B7"/>
    <w:rsid w:val="0FBC59CC"/>
    <w:rsid w:val="0FBF1B18"/>
    <w:rsid w:val="0FC33D67"/>
    <w:rsid w:val="0FC5F6DF"/>
    <w:rsid w:val="0FCDE994"/>
    <w:rsid w:val="0FCFCFB9"/>
    <w:rsid w:val="0FD07A3E"/>
    <w:rsid w:val="0FFF037E"/>
    <w:rsid w:val="0FFF8587"/>
    <w:rsid w:val="10149964"/>
    <w:rsid w:val="1049E88D"/>
    <w:rsid w:val="10659B6F"/>
    <w:rsid w:val="1067292B"/>
    <w:rsid w:val="107779D3"/>
    <w:rsid w:val="1079FB9F"/>
    <w:rsid w:val="10BD33D5"/>
    <w:rsid w:val="10EF7FE3"/>
    <w:rsid w:val="10F39B19"/>
    <w:rsid w:val="1101E812"/>
    <w:rsid w:val="1111C705"/>
    <w:rsid w:val="1114F00F"/>
    <w:rsid w:val="114BD73D"/>
    <w:rsid w:val="115A38B2"/>
    <w:rsid w:val="115E6653"/>
    <w:rsid w:val="115EC163"/>
    <w:rsid w:val="11987794"/>
    <w:rsid w:val="11A67C6F"/>
    <w:rsid w:val="11D78CAE"/>
    <w:rsid w:val="12091A4A"/>
    <w:rsid w:val="12393ABD"/>
    <w:rsid w:val="1257ED86"/>
    <w:rsid w:val="1267FBE3"/>
    <w:rsid w:val="12860011"/>
    <w:rsid w:val="12A692D0"/>
    <w:rsid w:val="12A80B44"/>
    <w:rsid w:val="12B2B919"/>
    <w:rsid w:val="12BCC6CC"/>
    <w:rsid w:val="12D35537"/>
    <w:rsid w:val="12D70C94"/>
    <w:rsid w:val="12EE7979"/>
    <w:rsid w:val="12F80415"/>
    <w:rsid w:val="13127230"/>
    <w:rsid w:val="1328C87A"/>
    <w:rsid w:val="1345E0D1"/>
    <w:rsid w:val="136F1749"/>
    <w:rsid w:val="13769A86"/>
    <w:rsid w:val="1376A084"/>
    <w:rsid w:val="137E2F3E"/>
    <w:rsid w:val="13824283"/>
    <w:rsid w:val="13933151"/>
    <w:rsid w:val="13A69A89"/>
    <w:rsid w:val="13E78F17"/>
    <w:rsid w:val="13FFDA55"/>
    <w:rsid w:val="143F4FFC"/>
    <w:rsid w:val="1446A1BB"/>
    <w:rsid w:val="14535985"/>
    <w:rsid w:val="149DAA39"/>
    <w:rsid w:val="14BDFBC2"/>
    <w:rsid w:val="14DBE8E3"/>
    <w:rsid w:val="14DCD6F2"/>
    <w:rsid w:val="14E4A808"/>
    <w:rsid w:val="14E9D6E6"/>
    <w:rsid w:val="14EFD746"/>
    <w:rsid w:val="153DF19E"/>
    <w:rsid w:val="15624022"/>
    <w:rsid w:val="1585258F"/>
    <w:rsid w:val="15C9FD45"/>
    <w:rsid w:val="15CE3BAA"/>
    <w:rsid w:val="15D4D04E"/>
    <w:rsid w:val="15D9AB49"/>
    <w:rsid w:val="15EE5295"/>
    <w:rsid w:val="15FF7E36"/>
    <w:rsid w:val="160DDD51"/>
    <w:rsid w:val="162698A0"/>
    <w:rsid w:val="164581B9"/>
    <w:rsid w:val="1646D649"/>
    <w:rsid w:val="16480A79"/>
    <w:rsid w:val="165106B4"/>
    <w:rsid w:val="165AC783"/>
    <w:rsid w:val="1675927A"/>
    <w:rsid w:val="167BDA6A"/>
    <w:rsid w:val="16954014"/>
    <w:rsid w:val="169B3C03"/>
    <w:rsid w:val="16AE8F31"/>
    <w:rsid w:val="16B20765"/>
    <w:rsid w:val="16CA071A"/>
    <w:rsid w:val="16D8C362"/>
    <w:rsid w:val="16F6BB70"/>
    <w:rsid w:val="16F90A9C"/>
    <w:rsid w:val="1701E2BC"/>
    <w:rsid w:val="1739AFB3"/>
    <w:rsid w:val="173FB248"/>
    <w:rsid w:val="174C2A1E"/>
    <w:rsid w:val="17517363"/>
    <w:rsid w:val="176CF7D7"/>
    <w:rsid w:val="1771AA27"/>
    <w:rsid w:val="17742BAB"/>
    <w:rsid w:val="178CD66E"/>
    <w:rsid w:val="17B25AA6"/>
    <w:rsid w:val="17B26031"/>
    <w:rsid w:val="17BA9125"/>
    <w:rsid w:val="17DA358B"/>
    <w:rsid w:val="17E7B252"/>
    <w:rsid w:val="17F98429"/>
    <w:rsid w:val="18005927"/>
    <w:rsid w:val="180142E9"/>
    <w:rsid w:val="181978FF"/>
    <w:rsid w:val="18473F25"/>
    <w:rsid w:val="1852FB09"/>
    <w:rsid w:val="185DD9D0"/>
    <w:rsid w:val="18659019"/>
    <w:rsid w:val="18743001"/>
    <w:rsid w:val="188563B5"/>
    <w:rsid w:val="189AA51B"/>
    <w:rsid w:val="18AB7340"/>
    <w:rsid w:val="18BA6022"/>
    <w:rsid w:val="18EA4FF7"/>
    <w:rsid w:val="18F5A9AE"/>
    <w:rsid w:val="18FC9513"/>
    <w:rsid w:val="1903A605"/>
    <w:rsid w:val="1904ED0F"/>
    <w:rsid w:val="1921EC14"/>
    <w:rsid w:val="195A335E"/>
    <w:rsid w:val="195C9CCA"/>
    <w:rsid w:val="197BC92D"/>
    <w:rsid w:val="199A385E"/>
    <w:rsid w:val="19A097BF"/>
    <w:rsid w:val="19A47056"/>
    <w:rsid w:val="19A8597F"/>
    <w:rsid w:val="19B065E7"/>
    <w:rsid w:val="19D796EA"/>
    <w:rsid w:val="19F6C9C7"/>
    <w:rsid w:val="19FAF8B6"/>
    <w:rsid w:val="1A07001D"/>
    <w:rsid w:val="1A0E8E8C"/>
    <w:rsid w:val="1A1ADD90"/>
    <w:rsid w:val="1A40CC1D"/>
    <w:rsid w:val="1A473646"/>
    <w:rsid w:val="1A562595"/>
    <w:rsid w:val="1A6C75EF"/>
    <w:rsid w:val="1A8A5007"/>
    <w:rsid w:val="1AB9C476"/>
    <w:rsid w:val="1AFEC154"/>
    <w:rsid w:val="1B03A059"/>
    <w:rsid w:val="1B085B25"/>
    <w:rsid w:val="1B0DB5FB"/>
    <w:rsid w:val="1B30628C"/>
    <w:rsid w:val="1B93C760"/>
    <w:rsid w:val="1BAB116D"/>
    <w:rsid w:val="1BBE0806"/>
    <w:rsid w:val="1BCCE97B"/>
    <w:rsid w:val="1BD0DEC1"/>
    <w:rsid w:val="1BD53906"/>
    <w:rsid w:val="1BD887B6"/>
    <w:rsid w:val="1BEFA2BE"/>
    <w:rsid w:val="1C087DA5"/>
    <w:rsid w:val="1C21A402"/>
    <w:rsid w:val="1C376F29"/>
    <w:rsid w:val="1C7CB81A"/>
    <w:rsid w:val="1C85E289"/>
    <w:rsid w:val="1C89315F"/>
    <w:rsid w:val="1C9687B7"/>
    <w:rsid w:val="1CB5B4B7"/>
    <w:rsid w:val="1CBBD952"/>
    <w:rsid w:val="1CBFBFBE"/>
    <w:rsid w:val="1CCFCC69"/>
    <w:rsid w:val="1D06F102"/>
    <w:rsid w:val="1D217993"/>
    <w:rsid w:val="1D3D191D"/>
    <w:rsid w:val="1D4302CE"/>
    <w:rsid w:val="1D43C493"/>
    <w:rsid w:val="1D46D6AE"/>
    <w:rsid w:val="1D4A8098"/>
    <w:rsid w:val="1D57479E"/>
    <w:rsid w:val="1D80BAC3"/>
    <w:rsid w:val="1D8A50C7"/>
    <w:rsid w:val="1D8F2731"/>
    <w:rsid w:val="1DA058C8"/>
    <w:rsid w:val="1DA5E488"/>
    <w:rsid w:val="1DA9FAFC"/>
    <w:rsid w:val="1DBAD745"/>
    <w:rsid w:val="1DCA2AF8"/>
    <w:rsid w:val="1DCC80B4"/>
    <w:rsid w:val="1DF2CBA7"/>
    <w:rsid w:val="1DF9C98A"/>
    <w:rsid w:val="1E127274"/>
    <w:rsid w:val="1E2C9761"/>
    <w:rsid w:val="1E3218CB"/>
    <w:rsid w:val="1E513470"/>
    <w:rsid w:val="1E587BF5"/>
    <w:rsid w:val="1E82A187"/>
    <w:rsid w:val="1E84A1C6"/>
    <w:rsid w:val="1E87F800"/>
    <w:rsid w:val="1ECB2155"/>
    <w:rsid w:val="1ED76536"/>
    <w:rsid w:val="1EE12C4B"/>
    <w:rsid w:val="1F01BB0A"/>
    <w:rsid w:val="1F0E0F22"/>
    <w:rsid w:val="1F2859D7"/>
    <w:rsid w:val="1F36E4C6"/>
    <w:rsid w:val="1F450645"/>
    <w:rsid w:val="1F47A8FA"/>
    <w:rsid w:val="1F5D6281"/>
    <w:rsid w:val="1F82E676"/>
    <w:rsid w:val="1FABEF84"/>
    <w:rsid w:val="1FAE1B6F"/>
    <w:rsid w:val="1FB073B0"/>
    <w:rsid w:val="1FB2620A"/>
    <w:rsid w:val="1FCBAB37"/>
    <w:rsid w:val="1FCC4A3E"/>
    <w:rsid w:val="1FFAFFE3"/>
    <w:rsid w:val="20344A02"/>
    <w:rsid w:val="20361470"/>
    <w:rsid w:val="204A9DFC"/>
    <w:rsid w:val="204DBD67"/>
    <w:rsid w:val="2082170D"/>
    <w:rsid w:val="208D8BC4"/>
    <w:rsid w:val="209C53E4"/>
    <w:rsid w:val="20A0C69C"/>
    <w:rsid w:val="20D661BC"/>
    <w:rsid w:val="20EF4877"/>
    <w:rsid w:val="2116107A"/>
    <w:rsid w:val="2119C5D5"/>
    <w:rsid w:val="212FBD43"/>
    <w:rsid w:val="214BEDCC"/>
    <w:rsid w:val="214E1A94"/>
    <w:rsid w:val="2171AE36"/>
    <w:rsid w:val="21AA7999"/>
    <w:rsid w:val="21CB014D"/>
    <w:rsid w:val="2219368A"/>
    <w:rsid w:val="222BA2C9"/>
    <w:rsid w:val="22386CFE"/>
    <w:rsid w:val="2267A88C"/>
    <w:rsid w:val="2283B936"/>
    <w:rsid w:val="229FCB26"/>
    <w:rsid w:val="22A449FE"/>
    <w:rsid w:val="22A59D8F"/>
    <w:rsid w:val="22AB0DD7"/>
    <w:rsid w:val="22B35A1D"/>
    <w:rsid w:val="235AD0C7"/>
    <w:rsid w:val="23641680"/>
    <w:rsid w:val="239454BC"/>
    <w:rsid w:val="239CCC85"/>
    <w:rsid w:val="23A2FCBE"/>
    <w:rsid w:val="23B6D84A"/>
    <w:rsid w:val="23B809EB"/>
    <w:rsid w:val="23C926EE"/>
    <w:rsid w:val="23CCF5EC"/>
    <w:rsid w:val="24150694"/>
    <w:rsid w:val="242D5E1B"/>
    <w:rsid w:val="243BDE21"/>
    <w:rsid w:val="2454FCF3"/>
    <w:rsid w:val="2456F650"/>
    <w:rsid w:val="24639D27"/>
    <w:rsid w:val="24790451"/>
    <w:rsid w:val="248F06A9"/>
    <w:rsid w:val="24BC7620"/>
    <w:rsid w:val="24DFD4B2"/>
    <w:rsid w:val="2510A2AB"/>
    <w:rsid w:val="25221261"/>
    <w:rsid w:val="252BD0F7"/>
    <w:rsid w:val="254167D0"/>
    <w:rsid w:val="2556B14E"/>
    <w:rsid w:val="25585AA8"/>
    <w:rsid w:val="255B3B56"/>
    <w:rsid w:val="2577FFC0"/>
    <w:rsid w:val="25B7E36C"/>
    <w:rsid w:val="25DBB76E"/>
    <w:rsid w:val="25E28091"/>
    <w:rsid w:val="25F43E38"/>
    <w:rsid w:val="260FD78F"/>
    <w:rsid w:val="26580974"/>
    <w:rsid w:val="267ABC66"/>
    <w:rsid w:val="268ECCA6"/>
    <w:rsid w:val="26A9D8D8"/>
    <w:rsid w:val="26B2A715"/>
    <w:rsid w:val="2714A454"/>
    <w:rsid w:val="273E7AAE"/>
    <w:rsid w:val="274D621D"/>
    <w:rsid w:val="279963B6"/>
    <w:rsid w:val="27BEF49A"/>
    <w:rsid w:val="27C73962"/>
    <w:rsid w:val="27E50F98"/>
    <w:rsid w:val="27FAB2AE"/>
    <w:rsid w:val="282C9C4B"/>
    <w:rsid w:val="2878B6AE"/>
    <w:rsid w:val="28924BE2"/>
    <w:rsid w:val="28A9E700"/>
    <w:rsid w:val="28C7B1A4"/>
    <w:rsid w:val="28D684A6"/>
    <w:rsid w:val="28D95487"/>
    <w:rsid w:val="28EE4EC2"/>
    <w:rsid w:val="29178809"/>
    <w:rsid w:val="29243BAB"/>
    <w:rsid w:val="2954987B"/>
    <w:rsid w:val="2956A12B"/>
    <w:rsid w:val="295D9B79"/>
    <w:rsid w:val="296F0B23"/>
    <w:rsid w:val="29B5E3D9"/>
    <w:rsid w:val="29DBB88C"/>
    <w:rsid w:val="29DC9D65"/>
    <w:rsid w:val="2A046298"/>
    <w:rsid w:val="2A0C0F0F"/>
    <w:rsid w:val="2A1BC1E3"/>
    <w:rsid w:val="2A5668FA"/>
    <w:rsid w:val="2A87E19A"/>
    <w:rsid w:val="2A95C2CE"/>
    <w:rsid w:val="2AA26310"/>
    <w:rsid w:val="2B282BD6"/>
    <w:rsid w:val="2B29A404"/>
    <w:rsid w:val="2B2EBA25"/>
    <w:rsid w:val="2B31389B"/>
    <w:rsid w:val="2B4DE8A9"/>
    <w:rsid w:val="2B573359"/>
    <w:rsid w:val="2B6D8959"/>
    <w:rsid w:val="2B89A98F"/>
    <w:rsid w:val="2BBC36D6"/>
    <w:rsid w:val="2BDD151B"/>
    <w:rsid w:val="2BDEB851"/>
    <w:rsid w:val="2BE8FA91"/>
    <w:rsid w:val="2BEF4F2A"/>
    <w:rsid w:val="2BF644A7"/>
    <w:rsid w:val="2C0DB2E3"/>
    <w:rsid w:val="2C7E0CAA"/>
    <w:rsid w:val="2CC69E30"/>
    <w:rsid w:val="2CE01846"/>
    <w:rsid w:val="2D113273"/>
    <w:rsid w:val="2D14F9BB"/>
    <w:rsid w:val="2D18A7F3"/>
    <w:rsid w:val="2D3E8158"/>
    <w:rsid w:val="2D6A4534"/>
    <w:rsid w:val="2D7AB843"/>
    <w:rsid w:val="2DA31742"/>
    <w:rsid w:val="2DA419C8"/>
    <w:rsid w:val="2DABC710"/>
    <w:rsid w:val="2DAD454E"/>
    <w:rsid w:val="2DB1BBFE"/>
    <w:rsid w:val="2DCB6B2E"/>
    <w:rsid w:val="2DD333D8"/>
    <w:rsid w:val="2DE9E525"/>
    <w:rsid w:val="2E29D99B"/>
    <w:rsid w:val="2E39685A"/>
    <w:rsid w:val="2E44FF39"/>
    <w:rsid w:val="2E459368"/>
    <w:rsid w:val="2E4677DC"/>
    <w:rsid w:val="2E485463"/>
    <w:rsid w:val="2E7611B7"/>
    <w:rsid w:val="2E8D35C5"/>
    <w:rsid w:val="2EA8B6CB"/>
    <w:rsid w:val="2EB1DF7A"/>
    <w:rsid w:val="2EC4C4AD"/>
    <w:rsid w:val="2EF57EF8"/>
    <w:rsid w:val="2F11328A"/>
    <w:rsid w:val="2F321979"/>
    <w:rsid w:val="2F333C42"/>
    <w:rsid w:val="2F3EC9B5"/>
    <w:rsid w:val="2F508195"/>
    <w:rsid w:val="2F7FFC1C"/>
    <w:rsid w:val="2FC9F3C7"/>
    <w:rsid w:val="2FEB94C1"/>
    <w:rsid w:val="30055A4E"/>
    <w:rsid w:val="3006BEA9"/>
    <w:rsid w:val="301B8637"/>
    <w:rsid w:val="3036F7BF"/>
    <w:rsid w:val="30471E12"/>
    <w:rsid w:val="30563E83"/>
    <w:rsid w:val="3063B9DE"/>
    <w:rsid w:val="3073D7FC"/>
    <w:rsid w:val="309BFB50"/>
    <w:rsid w:val="30A185D9"/>
    <w:rsid w:val="30A8DADB"/>
    <w:rsid w:val="31156C29"/>
    <w:rsid w:val="31163C84"/>
    <w:rsid w:val="3142D3B3"/>
    <w:rsid w:val="314DFC99"/>
    <w:rsid w:val="3152E715"/>
    <w:rsid w:val="3161A9FB"/>
    <w:rsid w:val="3168E466"/>
    <w:rsid w:val="3169916B"/>
    <w:rsid w:val="31770067"/>
    <w:rsid w:val="31A2B2B5"/>
    <w:rsid w:val="31B51D7A"/>
    <w:rsid w:val="31C0671C"/>
    <w:rsid w:val="31DB8780"/>
    <w:rsid w:val="31E4AFCE"/>
    <w:rsid w:val="31EFF327"/>
    <w:rsid w:val="32075DEA"/>
    <w:rsid w:val="32136439"/>
    <w:rsid w:val="321B36B2"/>
    <w:rsid w:val="321CB6F7"/>
    <w:rsid w:val="3223C8A5"/>
    <w:rsid w:val="322CB128"/>
    <w:rsid w:val="32341B88"/>
    <w:rsid w:val="325BDBD9"/>
    <w:rsid w:val="3284D158"/>
    <w:rsid w:val="3297CBBF"/>
    <w:rsid w:val="32A52F67"/>
    <w:rsid w:val="32C3FC6C"/>
    <w:rsid w:val="32C71A9B"/>
    <w:rsid w:val="32D74319"/>
    <w:rsid w:val="33019B45"/>
    <w:rsid w:val="3301C38C"/>
    <w:rsid w:val="330AC621"/>
    <w:rsid w:val="3317D4A8"/>
    <w:rsid w:val="331A4038"/>
    <w:rsid w:val="337F5FF3"/>
    <w:rsid w:val="33910B72"/>
    <w:rsid w:val="33C36540"/>
    <w:rsid w:val="33D3DDDC"/>
    <w:rsid w:val="33DC88B8"/>
    <w:rsid w:val="33E94CCA"/>
    <w:rsid w:val="3402822E"/>
    <w:rsid w:val="34070F80"/>
    <w:rsid w:val="3410CE4C"/>
    <w:rsid w:val="341A3F76"/>
    <w:rsid w:val="3421406E"/>
    <w:rsid w:val="342CB890"/>
    <w:rsid w:val="3435E753"/>
    <w:rsid w:val="34363F57"/>
    <w:rsid w:val="344B41F8"/>
    <w:rsid w:val="347ACD48"/>
    <w:rsid w:val="3488C2F5"/>
    <w:rsid w:val="34D0B8F3"/>
    <w:rsid w:val="34D1E643"/>
    <w:rsid w:val="3504D243"/>
    <w:rsid w:val="3505C5A4"/>
    <w:rsid w:val="350F30F0"/>
    <w:rsid w:val="3518E565"/>
    <w:rsid w:val="352356A3"/>
    <w:rsid w:val="3527EE5B"/>
    <w:rsid w:val="3528B077"/>
    <w:rsid w:val="352FD724"/>
    <w:rsid w:val="35423300"/>
    <w:rsid w:val="357B7042"/>
    <w:rsid w:val="35A7D06A"/>
    <w:rsid w:val="35AE4CE0"/>
    <w:rsid w:val="35B3ADD9"/>
    <w:rsid w:val="35C4B1B0"/>
    <w:rsid w:val="35C584A7"/>
    <w:rsid w:val="35DCC3DE"/>
    <w:rsid w:val="35F30A93"/>
    <w:rsid w:val="3603DCDD"/>
    <w:rsid w:val="36050460"/>
    <w:rsid w:val="360CE066"/>
    <w:rsid w:val="3614CA12"/>
    <w:rsid w:val="361F681A"/>
    <w:rsid w:val="363266EE"/>
    <w:rsid w:val="364281A4"/>
    <w:rsid w:val="36469904"/>
    <w:rsid w:val="364A9C17"/>
    <w:rsid w:val="365A2D7C"/>
    <w:rsid w:val="3693F9C9"/>
    <w:rsid w:val="36990A30"/>
    <w:rsid w:val="36A03EF0"/>
    <w:rsid w:val="36C9196D"/>
    <w:rsid w:val="36CA45D1"/>
    <w:rsid w:val="36DF5BE9"/>
    <w:rsid w:val="372FEF32"/>
    <w:rsid w:val="3744748B"/>
    <w:rsid w:val="374CC78A"/>
    <w:rsid w:val="375EC60D"/>
    <w:rsid w:val="3765019D"/>
    <w:rsid w:val="376D9FA5"/>
    <w:rsid w:val="376EC3CE"/>
    <w:rsid w:val="3776BFD2"/>
    <w:rsid w:val="3776E466"/>
    <w:rsid w:val="37A8DE12"/>
    <w:rsid w:val="37DE491F"/>
    <w:rsid w:val="37FC89F1"/>
    <w:rsid w:val="383D8EF1"/>
    <w:rsid w:val="385C9946"/>
    <w:rsid w:val="3861345B"/>
    <w:rsid w:val="386A0880"/>
    <w:rsid w:val="388202A8"/>
    <w:rsid w:val="389E2F1F"/>
    <w:rsid w:val="38AB0CA8"/>
    <w:rsid w:val="38AD56DF"/>
    <w:rsid w:val="38B36102"/>
    <w:rsid w:val="38B78D58"/>
    <w:rsid w:val="38F33727"/>
    <w:rsid w:val="3901E08D"/>
    <w:rsid w:val="390F8406"/>
    <w:rsid w:val="39182F7A"/>
    <w:rsid w:val="393203C0"/>
    <w:rsid w:val="3995144F"/>
    <w:rsid w:val="39999FCA"/>
    <w:rsid w:val="39EC441B"/>
    <w:rsid w:val="39EE9904"/>
    <w:rsid w:val="3A08799D"/>
    <w:rsid w:val="3A196C59"/>
    <w:rsid w:val="3A578836"/>
    <w:rsid w:val="3A5DC4A1"/>
    <w:rsid w:val="3A8478A4"/>
    <w:rsid w:val="3A8A3FD4"/>
    <w:rsid w:val="3A8AB76C"/>
    <w:rsid w:val="3A8D9F32"/>
    <w:rsid w:val="3ACE1C96"/>
    <w:rsid w:val="3ADDF32A"/>
    <w:rsid w:val="3AEEF923"/>
    <w:rsid w:val="3B005E13"/>
    <w:rsid w:val="3B059282"/>
    <w:rsid w:val="3B1A56DD"/>
    <w:rsid w:val="3B3B2358"/>
    <w:rsid w:val="3B6EA027"/>
    <w:rsid w:val="3B8FE23B"/>
    <w:rsid w:val="3B98462F"/>
    <w:rsid w:val="3B995B9F"/>
    <w:rsid w:val="3B9AFA61"/>
    <w:rsid w:val="3BE7A741"/>
    <w:rsid w:val="3BEC1E35"/>
    <w:rsid w:val="3C20711B"/>
    <w:rsid w:val="3C60BDF1"/>
    <w:rsid w:val="3C87D82C"/>
    <w:rsid w:val="3CC00074"/>
    <w:rsid w:val="3CD70132"/>
    <w:rsid w:val="3CE6F488"/>
    <w:rsid w:val="3CEB31C0"/>
    <w:rsid w:val="3CF5BE35"/>
    <w:rsid w:val="3D2601C1"/>
    <w:rsid w:val="3D47CD76"/>
    <w:rsid w:val="3D64988D"/>
    <w:rsid w:val="3D784578"/>
    <w:rsid w:val="3D89A0A8"/>
    <w:rsid w:val="3DB4BDC0"/>
    <w:rsid w:val="3DE8252D"/>
    <w:rsid w:val="3DF598D5"/>
    <w:rsid w:val="3E3B4313"/>
    <w:rsid w:val="3E43F699"/>
    <w:rsid w:val="3E45F66D"/>
    <w:rsid w:val="3E60FE0D"/>
    <w:rsid w:val="3E78F4A3"/>
    <w:rsid w:val="3E797C09"/>
    <w:rsid w:val="3E84F977"/>
    <w:rsid w:val="3EA64D63"/>
    <w:rsid w:val="3EA9F2D5"/>
    <w:rsid w:val="3ECFBBA9"/>
    <w:rsid w:val="3F111372"/>
    <w:rsid w:val="3F395439"/>
    <w:rsid w:val="3F6F6B18"/>
    <w:rsid w:val="3F9F2D4B"/>
    <w:rsid w:val="3FA54498"/>
    <w:rsid w:val="3FB6DC93"/>
    <w:rsid w:val="3FBA1F37"/>
    <w:rsid w:val="3FF6B7A5"/>
    <w:rsid w:val="400ABBA0"/>
    <w:rsid w:val="4012C4B6"/>
    <w:rsid w:val="401FD753"/>
    <w:rsid w:val="4025D18C"/>
    <w:rsid w:val="4031A315"/>
    <w:rsid w:val="406DF79C"/>
    <w:rsid w:val="40798E0A"/>
    <w:rsid w:val="407F5EFA"/>
    <w:rsid w:val="40897DFA"/>
    <w:rsid w:val="40968BE4"/>
    <w:rsid w:val="40AA9D44"/>
    <w:rsid w:val="40B834F2"/>
    <w:rsid w:val="40BCE0E6"/>
    <w:rsid w:val="40BDB2D4"/>
    <w:rsid w:val="40C82036"/>
    <w:rsid w:val="41059549"/>
    <w:rsid w:val="41220066"/>
    <w:rsid w:val="413C6121"/>
    <w:rsid w:val="416C66EC"/>
    <w:rsid w:val="417718DF"/>
    <w:rsid w:val="41792865"/>
    <w:rsid w:val="4188E3A8"/>
    <w:rsid w:val="41BEB049"/>
    <w:rsid w:val="41C3F06C"/>
    <w:rsid w:val="41E1E049"/>
    <w:rsid w:val="41FED214"/>
    <w:rsid w:val="422E2A02"/>
    <w:rsid w:val="424558AF"/>
    <w:rsid w:val="4249A2E0"/>
    <w:rsid w:val="424A0A2E"/>
    <w:rsid w:val="4256510A"/>
    <w:rsid w:val="427227EF"/>
    <w:rsid w:val="428CD47A"/>
    <w:rsid w:val="42942C2C"/>
    <w:rsid w:val="4299CD38"/>
    <w:rsid w:val="42A08150"/>
    <w:rsid w:val="42A5D336"/>
    <w:rsid w:val="42B8FDF1"/>
    <w:rsid w:val="42CE44C4"/>
    <w:rsid w:val="42D3748B"/>
    <w:rsid w:val="42DB61A6"/>
    <w:rsid w:val="43032626"/>
    <w:rsid w:val="430B9E63"/>
    <w:rsid w:val="430F8452"/>
    <w:rsid w:val="431CE4A1"/>
    <w:rsid w:val="431E40EE"/>
    <w:rsid w:val="433F8320"/>
    <w:rsid w:val="43441BB9"/>
    <w:rsid w:val="434BC2FC"/>
    <w:rsid w:val="435AD6AF"/>
    <w:rsid w:val="435FAE14"/>
    <w:rsid w:val="437318F5"/>
    <w:rsid w:val="4375A3AB"/>
    <w:rsid w:val="43826153"/>
    <w:rsid w:val="43881A62"/>
    <w:rsid w:val="43898915"/>
    <w:rsid w:val="439DBDB8"/>
    <w:rsid w:val="43B5A72E"/>
    <w:rsid w:val="43CF064A"/>
    <w:rsid w:val="43FDDFF7"/>
    <w:rsid w:val="44196A64"/>
    <w:rsid w:val="442EB7EE"/>
    <w:rsid w:val="4461A167"/>
    <w:rsid w:val="44622050"/>
    <w:rsid w:val="4462BD71"/>
    <w:rsid w:val="446FA3C5"/>
    <w:rsid w:val="448E8A8A"/>
    <w:rsid w:val="44A4E047"/>
    <w:rsid w:val="44B2B4B2"/>
    <w:rsid w:val="44B93D06"/>
    <w:rsid w:val="44CBFBB8"/>
    <w:rsid w:val="44F7612B"/>
    <w:rsid w:val="451955EF"/>
    <w:rsid w:val="455A8DB6"/>
    <w:rsid w:val="457A7A66"/>
    <w:rsid w:val="45850F8C"/>
    <w:rsid w:val="45A1F61E"/>
    <w:rsid w:val="45BE3D77"/>
    <w:rsid w:val="45CAD3F4"/>
    <w:rsid w:val="45FCBE8E"/>
    <w:rsid w:val="4602D88D"/>
    <w:rsid w:val="4606CDCF"/>
    <w:rsid w:val="460A9959"/>
    <w:rsid w:val="46286D17"/>
    <w:rsid w:val="46347F09"/>
    <w:rsid w:val="466C652B"/>
    <w:rsid w:val="466F2365"/>
    <w:rsid w:val="467CB2D8"/>
    <w:rsid w:val="46A179D8"/>
    <w:rsid w:val="46A6159B"/>
    <w:rsid w:val="46AC4051"/>
    <w:rsid w:val="46CCCBCC"/>
    <w:rsid w:val="46FC618C"/>
    <w:rsid w:val="4704F279"/>
    <w:rsid w:val="4706E2D4"/>
    <w:rsid w:val="47175C44"/>
    <w:rsid w:val="47262530"/>
    <w:rsid w:val="47521F28"/>
    <w:rsid w:val="475F028E"/>
    <w:rsid w:val="4769CF29"/>
    <w:rsid w:val="476A5BAD"/>
    <w:rsid w:val="477E8BCA"/>
    <w:rsid w:val="4797C09A"/>
    <w:rsid w:val="47BCBCE9"/>
    <w:rsid w:val="47C256A9"/>
    <w:rsid w:val="47CA5A0D"/>
    <w:rsid w:val="47E926A8"/>
    <w:rsid w:val="47FB75A1"/>
    <w:rsid w:val="48061F70"/>
    <w:rsid w:val="480F9669"/>
    <w:rsid w:val="48109B85"/>
    <w:rsid w:val="48453602"/>
    <w:rsid w:val="4873FEA0"/>
    <w:rsid w:val="4881D749"/>
    <w:rsid w:val="48839FBE"/>
    <w:rsid w:val="489DE010"/>
    <w:rsid w:val="489FD963"/>
    <w:rsid w:val="48AD9B93"/>
    <w:rsid w:val="48B2C42E"/>
    <w:rsid w:val="48D80F06"/>
    <w:rsid w:val="48DDA938"/>
    <w:rsid w:val="48EAB621"/>
    <w:rsid w:val="48F158F3"/>
    <w:rsid w:val="48F46861"/>
    <w:rsid w:val="491A6C23"/>
    <w:rsid w:val="491B901F"/>
    <w:rsid w:val="492B89BD"/>
    <w:rsid w:val="4935510D"/>
    <w:rsid w:val="4958FB34"/>
    <w:rsid w:val="496BF272"/>
    <w:rsid w:val="497B1B3D"/>
    <w:rsid w:val="497D4D2B"/>
    <w:rsid w:val="497DD43A"/>
    <w:rsid w:val="498172AC"/>
    <w:rsid w:val="4990F67C"/>
    <w:rsid w:val="499C1196"/>
    <w:rsid w:val="49BAA1CE"/>
    <w:rsid w:val="49E16EF0"/>
    <w:rsid w:val="49F0363D"/>
    <w:rsid w:val="4A534F85"/>
    <w:rsid w:val="4A53CA2D"/>
    <w:rsid w:val="4A5C2A95"/>
    <w:rsid w:val="4A7D0218"/>
    <w:rsid w:val="4AA6DEF3"/>
    <w:rsid w:val="4AA9A205"/>
    <w:rsid w:val="4ABCDE8E"/>
    <w:rsid w:val="4ACA957F"/>
    <w:rsid w:val="4AF2BCBC"/>
    <w:rsid w:val="4B2D88D4"/>
    <w:rsid w:val="4B3AA2AB"/>
    <w:rsid w:val="4B5C5A3D"/>
    <w:rsid w:val="4B84658C"/>
    <w:rsid w:val="4BB0855D"/>
    <w:rsid w:val="4BB90B4D"/>
    <w:rsid w:val="4BCBEEA9"/>
    <w:rsid w:val="4C131A55"/>
    <w:rsid w:val="4C26F26E"/>
    <w:rsid w:val="4C27740D"/>
    <w:rsid w:val="4C300F2D"/>
    <w:rsid w:val="4C35CB5B"/>
    <w:rsid w:val="4C39D4A1"/>
    <w:rsid w:val="4C46D01E"/>
    <w:rsid w:val="4C6B502E"/>
    <w:rsid w:val="4C7C6D82"/>
    <w:rsid w:val="4CAF10C6"/>
    <w:rsid w:val="4CB67C5F"/>
    <w:rsid w:val="4CBA06E5"/>
    <w:rsid w:val="4CC32F80"/>
    <w:rsid w:val="4CC4D373"/>
    <w:rsid w:val="4CC5654F"/>
    <w:rsid w:val="4CDE486B"/>
    <w:rsid w:val="4CFC5727"/>
    <w:rsid w:val="4D0228C8"/>
    <w:rsid w:val="4D04D683"/>
    <w:rsid w:val="4D060703"/>
    <w:rsid w:val="4D1792A3"/>
    <w:rsid w:val="4D7969CB"/>
    <w:rsid w:val="4D8AF66B"/>
    <w:rsid w:val="4DC913E0"/>
    <w:rsid w:val="4DD90A2E"/>
    <w:rsid w:val="4DE131AC"/>
    <w:rsid w:val="4ECD2386"/>
    <w:rsid w:val="4EDA4BD7"/>
    <w:rsid w:val="4EDA4FEB"/>
    <w:rsid w:val="4EECE38E"/>
    <w:rsid w:val="4F1C3A4F"/>
    <w:rsid w:val="4F2DF070"/>
    <w:rsid w:val="4F40AFBD"/>
    <w:rsid w:val="4F497C56"/>
    <w:rsid w:val="4F59C32A"/>
    <w:rsid w:val="4F646825"/>
    <w:rsid w:val="4FA05439"/>
    <w:rsid w:val="4FA59758"/>
    <w:rsid w:val="4FB1155C"/>
    <w:rsid w:val="4FB91E0F"/>
    <w:rsid w:val="4FE3A84F"/>
    <w:rsid w:val="4FF522E9"/>
    <w:rsid w:val="50027C82"/>
    <w:rsid w:val="50086DD3"/>
    <w:rsid w:val="5016F435"/>
    <w:rsid w:val="506C8321"/>
    <w:rsid w:val="5071A46C"/>
    <w:rsid w:val="50768C1B"/>
    <w:rsid w:val="507F31D6"/>
    <w:rsid w:val="508A7918"/>
    <w:rsid w:val="509109F8"/>
    <w:rsid w:val="50A129C7"/>
    <w:rsid w:val="50B0B105"/>
    <w:rsid w:val="50B97BEA"/>
    <w:rsid w:val="50BD8261"/>
    <w:rsid w:val="50CC0BA1"/>
    <w:rsid w:val="50E50298"/>
    <w:rsid w:val="50EB8935"/>
    <w:rsid w:val="5125F1F1"/>
    <w:rsid w:val="5126A065"/>
    <w:rsid w:val="512768E3"/>
    <w:rsid w:val="512E62B7"/>
    <w:rsid w:val="513BD101"/>
    <w:rsid w:val="5158C19B"/>
    <w:rsid w:val="515CC1D3"/>
    <w:rsid w:val="517D6DA9"/>
    <w:rsid w:val="517DDA35"/>
    <w:rsid w:val="518B5410"/>
    <w:rsid w:val="51A86A03"/>
    <w:rsid w:val="51AC8785"/>
    <w:rsid w:val="5210BEA0"/>
    <w:rsid w:val="5213277B"/>
    <w:rsid w:val="522429FD"/>
    <w:rsid w:val="52329242"/>
    <w:rsid w:val="523E922A"/>
    <w:rsid w:val="526F8AD4"/>
    <w:rsid w:val="527304F0"/>
    <w:rsid w:val="527C7DD1"/>
    <w:rsid w:val="52AD806D"/>
    <w:rsid w:val="52B5F91E"/>
    <w:rsid w:val="52BF3FF2"/>
    <w:rsid w:val="52DDF466"/>
    <w:rsid w:val="52EDB769"/>
    <w:rsid w:val="5301C7DB"/>
    <w:rsid w:val="5309D96E"/>
    <w:rsid w:val="534D6172"/>
    <w:rsid w:val="534E97D8"/>
    <w:rsid w:val="535EE355"/>
    <w:rsid w:val="536466A4"/>
    <w:rsid w:val="53652A1A"/>
    <w:rsid w:val="53692B17"/>
    <w:rsid w:val="53850006"/>
    <w:rsid w:val="53AEF9A1"/>
    <w:rsid w:val="53B5744B"/>
    <w:rsid w:val="53B6EDD1"/>
    <w:rsid w:val="53ED87DC"/>
    <w:rsid w:val="5409C4EB"/>
    <w:rsid w:val="5423346C"/>
    <w:rsid w:val="54313A5C"/>
    <w:rsid w:val="54AC3E61"/>
    <w:rsid w:val="54B0B9FB"/>
    <w:rsid w:val="54D3D7CC"/>
    <w:rsid w:val="54DB1A97"/>
    <w:rsid w:val="54DBAFDC"/>
    <w:rsid w:val="54E416A0"/>
    <w:rsid w:val="54E75222"/>
    <w:rsid w:val="5529BD95"/>
    <w:rsid w:val="553E5B17"/>
    <w:rsid w:val="5568B130"/>
    <w:rsid w:val="557A3765"/>
    <w:rsid w:val="5584779D"/>
    <w:rsid w:val="558B1AD2"/>
    <w:rsid w:val="55A192F4"/>
    <w:rsid w:val="55C21834"/>
    <w:rsid w:val="55C95ED1"/>
    <w:rsid w:val="55E9A3D2"/>
    <w:rsid w:val="5614BE9A"/>
    <w:rsid w:val="56197CA5"/>
    <w:rsid w:val="5624EE89"/>
    <w:rsid w:val="5645D09E"/>
    <w:rsid w:val="5657FEBD"/>
    <w:rsid w:val="568AF8EF"/>
    <w:rsid w:val="56B196D9"/>
    <w:rsid w:val="56C4C002"/>
    <w:rsid w:val="56D44EDD"/>
    <w:rsid w:val="56FC955B"/>
    <w:rsid w:val="57044A1E"/>
    <w:rsid w:val="570D195A"/>
    <w:rsid w:val="570DCF31"/>
    <w:rsid w:val="57217CBF"/>
    <w:rsid w:val="573C719A"/>
    <w:rsid w:val="573FE6D6"/>
    <w:rsid w:val="575DDB2A"/>
    <w:rsid w:val="5797853F"/>
    <w:rsid w:val="57A84AE9"/>
    <w:rsid w:val="57BC4D34"/>
    <w:rsid w:val="57CD4404"/>
    <w:rsid w:val="57EE7B7A"/>
    <w:rsid w:val="57F57314"/>
    <w:rsid w:val="5804CB6B"/>
    <w:rsid w:val="58415265"/>
    <w:rsid w:val="5861C915"/>
    <w:rsid w:val="588556E7"/>
    <w:rsid w:val="58A90D7F"/>
    <w:rsid w:val="5902DF6B"/>
    <w:rsid w:val="590D18BA"/>
    <w:rsid w:val="590FCDD5"/>
    <w:rsid w:val="593777FF"/>
    <w:rsid w:val="593B1431"/>
    <w:rsid w:val="5975BFD1"/>
    <w:rsid w:val="59955F13"/>
    <w:rsid w:val="59BCA37D"/>
    <w:rsid w:val="59CE648B"/>
    <w:rsid w:val="59E8ECB0"/>
    <w:rsid w:val="5A0D7666"/>
    <w:rsid w:val="5A20B8D8"/>
    <w:rsid w:val="5A27CB44"/>
    <w:rsid w:val="5A33B30E"/>
    <w:rsid w:val="5A3B2469"/>
    <w:rsid w:val="5A3C3C01"/>
    <w:rsid w:val="5A3CF97F"/>
    <w:rsid w:val="5A473F2D"/>
    <w:rsid w:val="5A6A34F2"/>
    <w:rsid w:val="5A73EBA0"/>
    <w:rsid w:val="5A856717"/>
    <w:rsid w:val="5A9AC85C"/>
    <w:rsid w:val="5AB5281A"/>
    <w:rsid w:val="5ABC247D"/>
    <w:rsid w:val="5AC14F99"/>
    <w:rsid w:val="5AD81108"/>
    <w:rsid w:val="5AEBE3CE"/>
    <w:rsid w:val="5AEE02D3"/>
    <w:rsid w:val="5B4B6B3B"/>
    <w:rsid w:val="5B9D57B9"/>
    <w:rsid w:val="5BC34002"/>
    <w:rsid w:val="5BD68FD5"/>
    <w:rsid w:val="5BEAF700"/>
    <w:rsid w:val="5C2C9309"/>
    <w:rsid w:val="5C2CFCAA"/>
    <w:rsid w:val="5C4FAE2F"/>
    <w:rsid w:val="5C70BF55"/>
    <w:rsid w:val="5C9CDA42"/>
    <w:rsid w:val="5CA106BB"/>
    <w:rsid w:val="5CA440B0"/>
    <w:rsid w:val="5CD12B53"/>
    <w:rsid w:val="5CEDF716"/>
    <w:rsid w:val="5CF8C235"/>
    <w:rsid w:val="5CFE6C1A"/>
    <w:rsid w:val="5D0D9926"/>
    <w:rsid w:val="5D25295B"/>
    <w:rsid w:val="5D289A36"/>
    <w:rsid w:val="5D2D6F1D"/>
    <w:rsid w:val="5D5F429D"/>
    <w:rsid w:val="5D7BC911"/>
    <w:rsid w:val="5D809824"/>
    <w:rsid w:val="5D8AF9C7"/>
    <w:rsid w:val="5D91100D"/>
    <w:rsid w:val="5DB64F12"/>
    <w:rsid w:val="5DBD09BA"/>
    <w:rsid w:val="5DBE50A6"/>
    <w:rsid w:val="5DC649DC"/>
    <w:rsid w:val="5DF21B5E"/>
    <w:rsid w:val="5DFD0D69"/>
    <w:rsid w:val="5E22A638"/>
    <w:rsid w:val="5E2AE2F8"/>
    <w:rsid w:val="5E320A7D"/>
    <w:rsid w:val="5E347229"/>
    <w:rsid w:val="5E53B848"/>
    <w:rsid w:val="5E6F071B"/>
    <w:rsid w:val="5E7747AC"/>
    <w:rsid w:val="5E998A9F"/>
    <w:rsid w:val="5E9A44F4"/>
    <w:rsid w:val="5EC9C78F"/>
    <w:rsid w:val="5EEFA1AB"/>
    <w:rsid w:val="5F35346F"/>
    <w:rsid w:val="5F61C908"/>
    <w:rsid w:val="5F61D67A"/>
    <w:rsid w:val="5F8890AD"/>
    <w:rsid w:val="5FB7D578"/>
    <w:rsid w:val="5FD2C258"/>
    <w:rsid w:val="5FE205D0"/>
    <w:rsid w:val="5FE4FF8C"/>
    <w:rsid w:val="60177D79"/>
    <w:rsid w:val="60190FC5"/>
    <w:rsid w:val="601B0B43"/>
    <w:rsid w:val="602EDC57"/>
    <w:rsid w:val="60368D87"/>
    <w:rsid w:val="60436DCE"/>
    <w:rsid w:val="6058CDAA"/>
    <w:rsid w:val="6060B5D7"/>
    <w:rsid w:val="6060E0CC"/>
    <w:rsid w:val="60620418"/>
    <w:rsid w:val="60941B8E"/>
    <w:rsid w:val="6098A2E4"/>
    <w:rsid w:val="60A9EDCA"/>
    <w:rsid w:val="60B81476"/>
    <w:rsid w:val="60C25467"/>
    <w:rsid w:val="60F91B4D"/>
    <w:rsid w:val="611BA7DA"/>
    <w:rsid w:val="6130FD50"/>
    <w:rsid w:val="613BCE4D"/>
    <w:rsid w:val="61632709"/>
    <w:rsid w:val="61896AF6"/>
    <w:rsid w:val="61ADAD35"/>
    <w:rsid w:val="61BB3076"/>
    <w:rsid w:val="61C16041"/>
    <w:rsid w:val="61DDD03C"/>
    <w:rsid w:val="61F7F14D"/>
    <w:rsid w:val="61FCBDE4"/>
    <w:rsid w:val="62061B4F"/>
    <w:rsid w:val="6217E150"/>
    <w:rsid w:val="6221F557"/>
    <w:rsid w:val="623C3959"/>
    <w:rsid w:val="623CB10A"/>
    <w:rsid w:val="624BC8DF"/>
    <w:rsid w:val="6268B952"/>
    <w:rsid w:val="6298D4FC"/>
    <w:rsid w:val="62A3AEF3"/>
    <w:rsid w:val="62A66DE0"/>
    <w:rsid w:val="62BDC3EF"/>
    <w:rsid w:val="62D3715D"/>
    <w:rsid w:val="63119436"/>
    <w:rsid w:val="6322C858"/>
    <w:rsid w:val="63342B2F"/>
    <w:rsid w:val="633DFB3D"/>
    <w:rsid w:val="6356C74A"/>
    <w:rsid w:val="63854216"/>
    <w:rsid w:val="63D6E200"/>
    <w:rsid w:val="63DB3269"/>
    <w:rsid w:val="63DE567D"/>
    <w:rsid w:val="63FC6055"/>
    <w:rsid w:val="640F03A0"/>
    <w:rsid w:val="641432F0"/>
    <w:rsid w:val="64268DC7"/>
    <w:rsid w:val="6426A7FB"/>
    <w:rsid w:val="644E55F1"/>
    <w:rsid w:val="64607FD5"/>
    <w:rsid w:val="64726E70"/>
    <w:rsid w:val="64821372"/>
    <w:rsid w:val="6499093D"/>
    <w:rsid w:val="64BF057C"/>
    <w:rsid w:val="64C05FD3"/>
    <w:rsid w:val="64C0B90C"/>
    <w:rsid w:val="64C9DBCA"/>
    <w:rsid w:val="64D9E9C3"/>
    <w:rsid w:val="64E1C978"/>
    <w:rsid w:val="64F37838"/>
    <w:rsid w:val="6502FC3A"/>
    <w:rsid w:val="652F9730"/>
    <w:rsid w:val="65332F95"/>
    <w:rsid w:val="653A926A"/>
    <w:rsid w:val="6543CE67"/>
    <w:rsid w:val="65501041"/>
    <w:rsid w:val="656432F0"/>
    <w:rsid w:val="657D909B"/>
    <w:rsid w:val="658B5B5A"/>
    <w:rsid w:val="65B7A3D7"/>
    <w:rsid w:val="65DC4553"/>
    <w:rsid w:val="660B9D78"/>
    <w:rsid w:val="6617F675"/>
    <w:rsid w:val="667A61DE"/>
    <w:rsid w:val="6687FE8D"/>
    <w:rsid w:val="668D6164"/>
    <w:rsid w:val="669B255F"/>
    <w:rsid w:val="66A24F48"/>
    <w:rsid w:val="66A741FD"/>
    <w:rsid w:val="66AB05D5"/>
    <w:rsid w:val="67339B32"/>
    <w:rsid w:val="6753E28A"/>
    <w:rsid w:val="6755967D"/>
    <w:rsid w:val="675E570B"/>
    <w:rsid w:val="676C074E"/>
    <w:rsid w:val="6770227A"/>
    <w:rsid w:val="6770C2DD"/>
    <w:rsid w:val="677B6E0D"/>
    <w:rsid w:val="6787FF1F"/>
    <w:rsid w:val="679E66EC"/>
    <w:rsid w:val="67F9950F"/>
    <w:rsid w:val="6838DC65"/>
    <w:rsid w:val="68597FCF"/>
    <w:rsid w:val="685A3D0C"/>
    <w:rsid w:val="686C459B"/>
    <w:rsid w:val="688F0285"/>
    <w:rsid w:val="68901186"/>
    <w:rsid w:val="68CA03BF"/>
    <w:rsid w:val="68DF8152"/>
    <w:rsid w:val="68F1AD58"/>
    <w:rsid w:val="690463B9"/>
    <w:rsid w:val="69063611"/>
    <w:rsid w:val="6909F3E0"/>
    <w:rsid w:val="690BFE22"/>
    <w:rsid w:val="692210BC"/>
    <w:rsid w:val="696822B9"/>
    <w:rsid w:val="69A52304"/>
    <w:rsid w:val="69A8A539"/>
    <w:rsid w:val="69AEBB67"/>
    <w:rsid w:val="69AF1CFF"/>
    <w:rsid w:val="69B3BB77"/>
    <w:rsid w:val="69B97775"/>
    <w:rsid w:val="69BA64B8"/>
    <w:rsid w:val="69E3A925"/>
    <w:rsid w:val="69FE4AB2"/>
    <w:rsid w:val="6A0BC3AB"/>
    <w:rsid w:val="6A269E63"/>
    <w:rsid w:val="6A2CA77B"/>
    <w:rsid w:val="6A40F4D7"/>
    <w:rsid w:val="6A5400CA"/>
    <w:rsid w:val="6A62D8AE"/>
    <w:rsid w:val="6A77E1C8"/>
    <w:rsid w:val="6AB49850"/>
    <w:rsid w:val="6AF1F40D"/>
    <w:rsid w:val="6AF4B16C"/>
    <w:rsid w:val="6B06A6B7"/>
    <w:rsid w:val="6B12C5F3"/>
    <w:rsid w:val="6B364E03"/>
    <w:rsid w:val="6B3B3F3C"/>
    <w:rsid w:val="6B45C00D"/>
    <w:rsid w:val="6B799231"/>
    <w:rsid w:val="6BA28DE5"/>
    <w:rsid w:val="6BB43D92"/>
    <w:rsid w:val="6BDA3665"/>
    <w:rsid w:val="6BDF1FA3"/>
    <w:rsid w:val="6BF2BCF3"/>
    <w:rsid w:val="6C10B40F"/>
    <w:rsid w:val="6C561EA3"/>
    <w:rsid w:val="6C574255"/>
    <w:rsid w:val="6C5CBAFA"/>
    <w:rsid w:val="6C74144E"/>
    <w:rsid w:val="6C7C412A"/>
    <w:rsid w:val="6C9C2E23"/>
    <w:rsid w:val="6C9D05C5"/>
    <w:rsid w:val="6C9ECDFA"/>
    <w:rsid w:val="6CA6087E"/>
    <w:rsid w:val="6CAF6237"/>
    <w:rsid w:val="6CC0E60D"/>
    <w:rsid w:val="6CCF44C3"/>
    <w:rsid w:val="6CE1A5AF"/>
    <w:rsid w:val="6CE7E46E"/>
    <w:rsid w:val="6CF6EA52"/>
    <w:rsid w:val="6D529429"/>
    <w:rsid w:val="6D62AA96"/>
    <w:rsid w:val="6D7096AA"/>
    <w:rsid w:val="6DA11D84"/>
    <w:rsid w:val="6DA74371"/>
    <w:rsid w:val="6DB3A92C"/>
    <w:rsid w:val="6DB73A34"/>
    <w:rsid w:val="6DBF4B48"/>
    <w:rsid w:val="6DCE64C6"/>
    <w:rsid w:val="6E071E83"/>
    <w:rsid w:val="6E0A1AB3"/>
    <w:rsid w:val="6E0ABB69"/>
    <w:rsid w:val="6E190115"/>
    <w:rsid w:val="6E2306C6"/>
    <w:rsid w:val="6E36718D"/>
    <w:rsid w:val="6E4510F3"/>
    <w:rsid w:val="6E4AFB48"/>
    <w:rsid w:val="6E541A48"/>
    <w:rsid w:val="6E66CEB2"/>
    <w:rsid w:val="6E6DCF15"/>
    <w:rsid w:val="6E9CCDFA"/>
    <w:rsid w:val="6EABFD32"/>
    <w:rsid w:val="6EBD72E2"/>
    <w:rsid w:val="6EC68A93"/>
    <w:rsid w:val="6EDED75B"/>
    <w:rsid w:val="6EFE9BB8"/>
    <w:rsid w:val="6F18581E"/>
    <w:rsid w:val="6F6655BD"/>
    <w:rsid w:val="6F75F37F"/>
    <w:rsid w:val="6F98B1B6"/>
    <w:rsid w:val="6FAF498E"/>
    <w:rsid w:val="6FB6E44D"/>
    <w:rsid w:val="6FC03F23"/>
    <w:rsid w:val="6FD7E996"/>
    <w:rsid w:val="701E2637"/>
    <w:rsid w:val="702B0506"/>
    <w:rsid w:val="70439CD6"/>
    <w:rsid w:val="704EE879"/>
    <w:rsid w:val="706DA47A"/>
    <w:rsid w:val="709D2518"/>
    <w:rsid w:val="70A2259E"/>
    <w:rsid w:val="70AB53A1"/>
    <w:rsid w:val="70AFAA62"/>
    <w:rsid w:val="70D76087"/>
    <w:rsid w:val="7113C165"/>
    <w:rsid w:val="7120D87C"/>
    <w:rsid w:val="7139890F"/>
    <w:rsid w:val="713C0B08"/>
    <w:rsid w:val="7161EF44"/>
    <w:rsid w:val="7168D135"/>
    <w:rsid w:val="716A851B"/>
    <w:rsid w:val="717264C4"/>
    <w:rsid w:val="71778518"/>
    <w:rsid w:val="7187F242"/>
    <w:rsid w:val="718D714E"/>
    <w:rsid w:val="718E79E6"/>
    <w:rsid w:val="7191FDD7"/>
    <w:rsid w:val="7192691D"/>
    <w:rsid w:val="71C76F8D"/>
    <w:rsid w:val="71D13D0A"/>
    <w:rsid w:val="71DC9336"/>
    <w:rsid w:val="71E774B8"/>
    <w:rsid w:val="71F21074"/>
    <w:rsid w:val="722960ED"/>
    <w:rsid w:val="722A466E"/>
    <w:rsid w:val="726F4B77"/>
    <w:rsid w:val="727469AC"/>
    <w:rsid w:val="72959BFC"/>
    <w:rsid w:val="72A4380D"/>
    <w:rsid w:val="72A6299D"/>
    <w:rsid w:val="72B30C95"/>
    <w:rsid w:val="72BA4327"/>
    <w:rsid w:val="72E9D5D4"/>
    <w:rsid w:val="72FE1600"/>
    <w:rsid w:val="73105E91"/>
    <w:rsid w:val="731246CE"/>
    <w:rsid w:val="7320C326"/>
    <w:rsid w:val="7323EAE8"/>
    <w:rsid w:val="732A2FF0"/>
    <w:rsid w:val="73314613"/>
    <w:rsid w:val="7334A8C6"/>
    <w:rsid w:val="73370544"/>
    <w:rsid w:val="733A5DB8"/>
    <w:rsid w:val="736BF726"/>
    <w:rsid w:val="737A9E5D"/>
    <w:rsid w:val="737C02A7"/>
    <w:rsid w:val="737D3F15"/>
    <w:rsid w:val="73830D6F"/>
    <w:rsid w:val="738ECAB7"/>
    <w:rsid w:val="73C5B556"/>
    <w:rsid w:val="73D411DE"/>
    <w:rsid w:val="73EFDA5F"/>
    <w:rsid w:val="73F89FFB"/>
    <w:rsid w:val="73F9B27D"/>
    <w:rsid w:val="740DB49A"/>
    <w:rsid w:val="745EF6BF"/>
    <w:rsid w:val="7470A2A2"/>
    <w:rsid w:val="74821BD5"/>
    <w:rsid w:val="748D0A50"/>
    <w:rsid w:val="749F63A0"/>
    <w:rsid w:val="74CC79F6"/>
    <w:rsid w:val="74CF4B1B"/>
    <w:rsid w:val="74DEE623"/>
    <w:rsid w:val="74F5D202"/>
    <w:rsid w:val="750C1CC4"/>
    <w:rsid w:val="7512D5E8"/>
    <w:rsid w:val="753016F1"/>
    <w:rsid w:val="7538FFB4"/>
    <w:rsid w:val="753AEB5B"/>
    <w:rsid w:val="7558DEB3"/>
    <w:rsid w:val="756B199E"/>
    <w:rsid w:val="757DAEC3"/>
    <w:rsid w:val="75AE26E5"/>
    <w:rsid w:val="75B17000"/>
    <w:rsid w:val="75D7A94B"/>
    <w:rsid w:val="75E4C4E8"/>
    <w:rsid w:val="75EDCC7E"/>
    <w:rsid w:val="75F363D6"/>
    <w:rsid w:val="75F37DF2"/>
    <w:rsid w:val="75FE3D21"/>
    <w:rsid w:val="760B1A6C"/>
    <w:rsid w:val="761E8943"/>
    <w:rsid w:val="763E2942"/>
    <w:rsid w:val="7674FD96"/>
    <w:rsid w:val="7679D93A"/>
    <w:rsid w:val="7680508E"/>
    <w:rsid w:val="768988E4"/>
    <w:rsid w:val="769E4805"/>
    <w:rsid w:val="76A1E844"/>
    <w:rsid w:val="76AB171D"/>
    <w:rsid w:val="76BECCB5"/>
    <w:rsid w:val="76BFD3B8"/>
    <w:rsid w:val="76CCE09E"/>
    <w:rsid w:val="76F7D6CF"/>
    <w:rsid w:val="7717906A"/>
    <w:rsid w:val="774B8917"/>
    <w:rsid w:val="774D2744"/>
    <w:rsid w:val="776030A0"/>
    <w:rsid w:val="77B441CB"/>
    <w:rsid w:val="77B91794"/>
    <w:rsid w:val="77C4363B"/>
    <w:rsid w:val="77C8CA94"/>
    <w:rsid w:val="77DE715C"/>
    <w:rsid w:val="77FAB6FE"/>
    <w:rsid w:val="78074F96"/>
    <w:rsid w:val="781AAE85"/>
    <w:rsid w:val="7842016C"/>
    <w:rsid w:val="7849FB70"/>
    <w:rsid w:val="784D15A0"/>
    <w:rsid w:val="788854FF"/>
    <w:rsid w:val="788B73A1"/>
    <w:rsid w:val="78996F87"/>
    <w:rsid w:val="78CDE5C9"/>
    <w:rsid w:val="78D146F5"/>
    <w:rsid w:val="790C7D05"/>
    <w:rsid w:val="7948A5A1"/>
    <w:rsid w:val="798BB418"/>
    <w:rsid w:val="7998C460"/>
    <w:rsid w:val="79A7F9F3"/>
    <w:rsid w:val="79AAB836"/>
    <w:rsid w:val="79C61290"/>
    <w:rsid w:val="7A429420"/>
    <w:rsid w:val="7A51D87C"/>
    <w:rsid w:val="7A582187"/>
    <w:rsid w:val="7A887721"/>
    <w:rsid w:val="7A906BE6"/>
    <w:rsid w:val="7AB0CFF5"/>
    <w:rsid w:val="7AB0EFE5"/>
    <w:rsid w:val="7AEE8A26"/>
    <w:rsid w:val="7B10C4F4"/>
    <w:rsid w:val="7B641681"/>
    <w:rsid w:val="7B79EF1B"/>
    <w:rsid w:val="7B949EA6"/>
    <w:rsid w:val="7BAF4167"/>
    <w:rsid w:val="7BC6D948"/>
    <w:rsid w:val="7BE09946"/>
    <w:rsid w:val="7C11F4E4"/>
    <w:rsid w:val="7C181926"/>
    <w:rsid w:val="7C1F9E5F"/>
    <w:rsid w:val="7C453430"/>
    <w:rsid w:val="7C4EA1A9"/>
    <w:rsid w:val="7C51A223"/>
    <w:rsid w:val="7C5C9D3A"/>
    <w:rsid w:val="7C6EA498"/>
    <w:rsid w:val="7C71F747"/>
    <w:rsid w:val="7C763FF8"/>
    <w:rsid w:val="7C803CC7"/>
    <w:rsid w:val="7C9464C5"/>
    <w:rsid w:val="7C960933"/>
    <w:rsid w:val="7C9E4138"/>
    <w:rsid w:val="7CB4FC4C"/>
    <w:rsid w:val="7CC17878"/>
    <w:rsid w:val="7CD9415E"/>
    <w:rsid w:val="7CDA97D2"/>
    <w:rsid w:val="7CEDD766"/>
    <w:rsid w:val="7CF828DD"/>
    <w:rsid w:val="7D38E405"/>
    <w:rsid w:val="7D3AB66D"/>
    <w:rsid w:val="7D531128"/>
    <w:rsid w:val="7D593A51"/>
    <w:rsid w:val="7D59402D"/>
    <w:rsid w:val="7D6CC852"/>
    <w:rsid w:val="7D6D075A"/>
    <w:rsid w:val="7D9406C8"/>
    <w:rsid w:val="7D9EC12F"/>
    <w:rsid w:val="7DA3248A"/>
    <w:rsid w:val="7DA7F75C"/>
    <w:rsid w:val="7DAE1A41"/>
    <w:rsid w:val="7DAE27B2"/>
    <w:rsid w:val="7DCCAFEE"/>
    <w:rsid w:val="7DF69402"/>
    <w:rsid w:val="7E0B46C2"/>
    <w:rsid w:val="7E2B7EA5"/>
    <w:rsid w:val="7E2BB904"/>
    <w:rsid w:val="7E59F2E9"/>
    <w:rsid w:val="7E93DBDB"/>
    <w:rsid w:val="7EA5115C"/>
    <w:rsid w:val="7EB93B98"/>
    <w:rsid w:val="7EE1D3AE"/>
    <w:rsid w:val="7F22CBD4"/>
    <w:rsid w:val="7F377D71"/>
    <w:rsid w:val="7F4A1C59"/>
    <w:rsid w:val="7F541BCF"/>
    <w:rsid w:val="7F68EFA9"/>
    <w:rsid w:val="7F8EDD22"/>
    <w:rsid w:val="7F9D1BF4"/>
    <w:rsid w:val="7FA8A94A"/>
    <w:rsid w:val="7FB03883"/>
    <w:rsid w:val="7FB55B4A"/>
    <w:rsid w:val="7FBAF096"/>
    <w:rsid w:val="7FCA41BC"/>
    <w:rsid w:val="7FE9113B"/>
    <w:rsid w:val="7FF148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4815227"/>
  <w15:docId w15:val="{5EA9AFCD-BEA7-44D8-BCE9-28F80BF5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qFormat="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uiPriority="0"/>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qFormat="1"/>
    <w:lsdException w:name="annotation reference" w:semiHidden="1" w:uiPriority="0"/>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uiPriority="0"/>
    <w:lsdException w:name="Strong" w:semiHidden="1"/>
    <w:lsdException w:name="Emphasis" w:semiHidden="1" w:uiPriority="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iPriority="0"/>
    <w:lsdException w:name="HTML Sample" w:semiHidden="1"/>
    <w:lsdException w:name="HTML Typewriter" w:semiHidden="1"/>
    <w:lsdException w:name="HTML Variable" w:semiHidden="1"/>
    <w:lsdException w:name="Normal Table" w:semiHidden="1" w:unhideWhenUsed="1"/>
    <w:lsdException w:name="annotation subject" w:semiHidden="1" w:uiPriority="0"/>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Theme" w:semiHidden="1" w:unhideWhenUsed="1"/>
    <w:lsdException w:name="Placeholder Text" w:semiHidden="1"/>
    <w:lsdException w:name="No Spacing" w:semiHidden="1"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0"/>
    <w:lsdException w:name="List Paragraph" w:semiHidden="1" w:uiPriority="0"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9"/>
      </w:numPr>
      <w:spacing w:before="240"/>
      <w:outlineLvl w:val="0"/>
    </w:pPr>
    <w:rPr>
      <w:b/>
      <w:smallCaps/>
    </w:rPr>
  </w:style>
  <w:style w:type="paragraph" w:styleId="Heading2">
    <w:name w:val="heading 2"/>
    <w:basedOn w:val="Normal"/>
    <w:next w:val="Text2"/>
    <w:uiPriority w:val="10"/>
    <w:qFormat/>
    <w:pPr>
      <w:keepNext/>
      <w:numPr>
        <w:ilvl w:val="1"/>
        <w:numId w:val="19"/>
      </w:numPr>
      <w:outlineLvl w:val="1"/>
    </w:pPr>
    <w:rPr>
      <w:b/>
    </w:rPr>
  </w:style>
  <w:style w:type="paragraph" w:styleId="Heading3">
    <w:name w:val="heading 3"/>
    <w:basedOn w:val="Normal"/>
    <w:next w:val="Text3"/>
    <w:uiPriority w:val="10"/>
    <w:qFormat/>
    <w:pPr>
      <w:keepNext/>
      <w:numPr>
        <w:ilvl w:val="2"/>
        <w:numId w:val="19"/>
      </w:numPr>
      <w:outlineLvl w:val="2"/>
    </w:pPr>
    <w:rPr>
      <w:i/>
    </w:rPr>
  </w:style>
  <w:style w:type="paragraph" w:styleId="Heading4">
    <w:name w:val="heading 4"/>
    <w:basedOn w:val="Normal"/>
    <w:next w:val="Text4"/>
    <w:uiPriority w:val="10"/>
    <w:qFormat/>
    <w:pPr>
      <w:keepNext/>
      <w:numPr>
        <w:ilvl w:val="3"/>
        <w:numId w:val="19"/>
      </w:numPr>
      <w:outlineLvl w:val="3"/>
    </w:pPr>
  </w:style>
  <w:style w:type="paragraph" w:styleId="Heading5">
    <w:name w:val="heading 5"/>
    <w:basedOn w:val="Normal"/>
    <w:next w:val="Normal"/>
    <w:semiHidden/>
    <w:pPr>
      <w:keepNext/>
      <w:numPr>
        <w:ilvl w:val="4"/>
        <w:numId w:val="19"/>
      </w:numPr>
      <w:outlineLvl w:val="4"/>
    </w:pPr>
  </w:style>
  <w:style w:type="paragraph" w:styleId="Heading6">
    <w:name w:val="heading 6"/>
    <w:basedOn w:val="Normal"/>
    <w:next w:val="Normal"/>
    <w:semiHidden/>
    <w:pPr>
      <w:keepNext/>
      <w:numPr>
        <w:ilvl w:val="5"/>
        <w:numId w:val="19"/>
      </w:numPr>
      <w:outlineLvl w:val="5"/>
    </w:pPr>
  </w:style>
  <w:style w:type="paragraph" w:styleId="Heading7">
    <w:name w:val="heading 7"/>
    <w:basedOn w:val="Normal"/>
    <w:next w:val="Normal"/>
    <w:semiHidden/>
    <w:pPr>
      <w:keepNext/>
      <w:numPr>
        <w:ilvl w:val="6"/>
        <w:numId w:val="19"/>
      </w:numPr>
      <w:outlineLvl w:val="6"/>
    </w:pPr>
  </w:style>
  <w:style w:type="paragraph" w:styleId="Heading8">
    <w:name w:val="heading 8"/>
    <w:basedOn w:val="Normal"/>
    <w:next w:val="Normal"/>
    <w:semiHidden/>
    <w:pPr>
      <w:keepNext/>
      <w:numPr>
        <w:ilvl w:val="7"/>
        <w:numId w:val="19"/>
      </w:numPr>
      <w:outlineLvl w:val="7"/>
    </w:pPr>
  </w:style>
  <w:style w:type="paragraph" w:styleId="Heading9">
    <w:name w:val="heading 9"/>
    <w:basedOn w:val="Normal"/>
    <w:next w:val="Normal"/>
    <w:semiHidden/>
    <w:pPr>
      <w:keepNext/>
      <w:numPr>
        <w:ilvl w:val="8"/>
        <w:numId w:val="19"/>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rsid w:val="00F351E6"/>
    <w:rPr>
      <w:color w:val="0000FF"/>
      <w:shd w:val="clear" w:color="auto" w:fill="auto"/>
    </w:rPr>
  </w:style>
  <w:style w:type="character" w:customStyle="1" w:styleId="FooterChar">
    <w:name w:val="Footer Char"/>
    <w:basedOn w:val="DefaultParagraphFont"/>
    <w:uiPriority w:val="99"/>
    <w:rsid w:val="00F351E6"/>
    <w:rPr>
      <w:sz w:val="16"/>
    </w:rPr>
  </w:style>
  <w:style w:type="paragraph" w:customStyle="1" w:styleId="Pagedecouverture">
    <w:name w:val="Page de couverture"/>
    <w:basedOn w:val="Normal"/>
    <w:next w:val="Normal"/>
    <w:rsid w:val="00F351E6"/>
    <w:pPr>
      <w:spacing w:after="0"/>
    </w:pPr>
    <w:rPr>
      <w:rFonts w:eastAsia="Calibri"/>
      <w:szCs w:val="22"/>
    </w:rPr>
  </w:style>
  <w:style w:type="paragraph" w:customStyle="1" w:styleId="FooterCoverPage">
    <w:name w:val="Footer Cover Page"/>
    <w:basedOn w:val="Normal"/>
    <w:link w:val="FooterCoverPageChar"/>
    <w:rsid w:val="00F351E6"/>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sid w:val="00F351E6"/>
  </w:style>
  <w:style w:type="paragraph" w:customStyle="1" w:styleId="FooterSensitivity">
    <w:name w:val="Footer Sensitivity"/>
    <w:basedOn w:val="Normal"/>
    <w:link w:val="FooterSensitivityChar"/>
    <w:rsid w:val="00F351E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link w:val="FooterSensitivity"/>
    <w:rsid w:val="00F351E6"/>
    <w:rPr>
      <w:b/>
      <w:sz w:val="32"/>
    </w:rPr>
  </w:style>
  <w:style w:type="paragraph" w:customStyle="1" w:styleId="HeaderCoverPage">
    <w:name w:val="Header Cover Page"/>
    <w:basedOn w:val="Normal"/>
    <w:link w:val="HeaderCoverPageChar"/>
    <w:rsid w:val="00F351E6"/>
    <w:pPr>
      <w:tabs>
        <w:tab w:val="center" w:pos="4535"/>
        <w:tab w:val="right" w:pos="9071"/>
      </w:tabs>
      <w:spacing w:after="120"/>
    </w:pPr>
  </w:style>
  <w:style w:type="character" w:customStyle="1" w:styleId="HeaderCoverPageChar">
    <w:name w:val="Header Cover Page Char"/>
    <w:link w:val="HeaderCoverPage"/>
    <w:rsid w:val="00F351E6"/>
  </w:style>
  <w:style w:type="paragraph" w:customStyle="1" w:styleId="HeaderSensitivity">
    <w:name w:val="Header Sensitivity"/>
    <w:basedOn w:val="Normal"/>
    <w:link w:val="HeaderSensitivityChar"/>
    <w:rsid w:val="00F351E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link w:val="HeaderSensitivity"/>
    <w:rsid w:val="00F351E6"/>
    <w:rPr>
      <w:b/>
      <w:sz w:val="32"/>
    </w:rPr>
  </w:style>
  <w:style w:type="paragraph" w:customStyle="1" w:styleId="HeaderSensitivityRight">
    <w:name w:val="Header Sensitivity Right"/>
    <w:basedOn w:val="Normal"/>
    <w:link w:val="HeaderSensitivityRightChar"/>
    <w:rsid w:val="00F351E6"/>
    <w:pPr>
      <w:spacing w:after="120"/>
      <w:jc w:val="right"/>
    </w:pPr>
    <w:rPr>
      <w:sz w:val="28"/>
    </w:rPr>
  </w:style>
  <w:style w:type="character" w:customStyle="1" w:styleId="HeaderSensitivityRightChar">
    <w:name w:val="Header Sensitivity Right Char"/>
    <w:link w:val="HeaderSensitivityRight"/>
    <w:rsid w:val="00F351E6"/>
    <w:rPr>
      <w:sz w:val="28"/>
    </w:rPr>
  </w:style>
  <w:style w:type="paragraph" w:customStyle="1" w:styleId="Heading11">
    <w:name w:val="Heading 11"/>
    <w:basedOn w:val="Normal"/>
    <w:next w:val="Normal"/>
    <w:rsid w:val="00F351E6"/>
    <w:pPr>
      <w:keepNext/>
      <w:keepLines/>
      <w:spacing w:before="240" w:after="0" w:line="276" w:lineRule="auto"/>
      <w:jc w:val="left"/>
      <w:outlineLvl w:val="0"/>
    </w:pPr>
    <w:rPr>
      <w:rFonts w:ascii="Cambria" w:hAnsi="Cambria"/>
      <w:color w:val="365F91"/>
      <w:sz w:val="32"/>
      <w:szCs w:val="32"/>
    </w:rPr>
  </w:style>
  <w:style w:type="paragraph" w:customStyle="1" w:styleId="Heading21">
    <w:name w:val="Heading 21"/>
    <w:basedOn w:val="Normal"/>
    <w:next w:val="Normal"/>
    <w:rsid w:val="00F351E6"/>
    <w:pPr>
      <w:keepNext/>
      <w:keepLines/>
      <w:spacing w:before="40" w:after="0" w:line="276" w:lineRule="auto"/>
      <w:jc w:val="left"/>
      <w:outlineLvl w:val="1"/>
    </w:pPr>
    <w:rPr>
      <w:rFonts w:ascii="Cambria" w:hAnsi="Cambria"/>
      <w:color w:val="365F91"/>
      <w:sz w:val="26"/>
      <w:szCs w:val="26"/>
    </w:rPr>
  </w:style>
  <w:style w:type="paragraph" w:customStyle="1" w:styleId="Heading31">
    <w:name w:val="Heading 31"/>
    <w:basedOn w:val="Normal"/>
    <w:next w:val="Normal"/>
    <w:rsid w:val="00F351E6"/>
    <w:pPr>
      <w:keepNext/>
      <w:keepLines/>
      <w:spacing w:before="40" w:after="0" w:line="276" w:lineRule="auto"/>
      <w:jc w:val="left"/>
      <w:outlineLvl w:val="2"/>
    </w:pPr>
    <w:rPr>
      <w:rFonts w:ascii="Cambria" w:hAnsi="Cambria"/>
      <w:color w:val="243F60"/>
      <w:szCs w:val="24"/>
    </w:rPr>
  </w:style>
  <w:style w:type="paragraph" w:customStyle="1" w:styleId="Heading41">
    <w:name w:val="Heading 41"/>
    <w:basedOn w:val="Normal"/>
    <w:next w:val="Normal"/>
    <w:rsid w:val="00F351E6"/>
    <w:pPr>
      <w:keepNext/>
      <w:keepLines/>
      <w:spacing w:before="40" w:after="0" w:line="276" w:lineRule="auto"/>
      <w:jc w:val="left"/>
      <w:outlineLvl w:val="3"/>
    </w:pPr>
    <w:rPr>
      <w:rFonts w:ascii="Cambria" w:hAnsi="Cambria"/>
      <w:i/>
      <w:iCs/>
      <w:color w:val="365F91"/>
      <w:sz w:val="22"/>
      <w:szCs w:val="22"/>
    </w:rPr>
  </w:style>
  <w:style w:type="paragraph" w:customStyle="1" w:styleId="Heading51">
    <w:name w:val="Heading 51"/>
    <w:basedOn w:val="Normal"/>
    <w:next w:val="Normal"/>
    <w:rsid w:val="00F351E6"/>
    <w:pPr>
      <w:keepNext/>
      <w:keepLines/>
      <w:spacing w:before="40" w:after="0" w:line="276" w:lineRule="auto"/>
      <w:jc w:val="left"/>
      <w:outlineLvl w:val="4"/>
    </w:pPr>
    <w:rPr>
      <w:rFonts w:ascii="Cambria" w:hAnsi="Cambria"/>
      <w:color w:val="365F91"/>
      <w:sz w:val="22"/>
      <w:szCs w:val="22"/>
    </w:rPr>
  </w:style>
  <w:style w:type="character" w:customStyle="1" w:styleId="UnresolvedMention1">
    <w:name w:val="Unresolved Mention1"/>
    <w:rsid w:val="00F351E6"/>
    <w:rPr>
      <w:color w:val="605E5C"/>
      <w:shd w:val="clear" w:color="auto" w:fill="E1DFDD"/>
    </w:rPr>
  </w:style>
  <w:style w:type="character" w:customStyle="1" w:styleId="Heading1Char">
    <w:name w:val="Heading 1 Char"/>
    <w:rsid w:val="00F351E6"/>
    <w:rPr>
      <w:b/>
      <w:smallCaps/>
    </w:rPr>
  </w:style>
  <w:style w:type="character" w:customStyle="1" w:styleId="Heading2Char">
    <w:name w:val="Heading 2 Char"/>
    <w:rsid w:val="00F351E6"/>
    <w:rPr>
      <w:b/>
    </w:rPr>
  </w:style>
  <w:style w:type="character" w:customStyle="1" w:styleId="Heading3Char">
    <w:name w:val="Heading 3 Char"/>
    <w:rsid w:val="00F351E6"/>
    <w:rPr>
      <w:i/>
    </w:rPr>
  </w:style>
  <w:style w:type="character" w:customStyle="1" w:styleId="Heading4Char">
    <w:name w:val="Heading 4 Char"/>
    <w:rsid w:val="00F351E6"/>
  </w:style>
  <w:style w:type="character" w:customStyle="1" w:styleId="Heading5Char">
    <w:name w:val="Heading 5 Char"/>
    <w:rsid w:val="00F351E6"/>
  </w:style>
  <w:style w:type="paragraph" w:customStyle="1" w:styleId="TOCHeading1">
    <w:name w:val="TOC Heading1"/>
    <w:basedOn w:val="Heading1"/>
    <w:next w:val="Normal"/>
    <w:rsid w:val="00F351E6"/>
    <w:pPr>
      <w:keepLines/>
      <w:numPr>
        <w:numId w:val="0"/>
      </w:numPr>
      <w:spacing w:after="0" w:line="259" w:lineRule="auto"/>
      <w:jc w:val="left"/>
    </w:pPr>
    <w:rPr>
      <w:rFonts w:ascii="Cambria" w:hAnsi="Cambria"/>
      <w:b w:val="0"/>
      <w:smallCaps w:val="0"/>
      <w:color w:val="365F91"/>
      <w:sz w:val="32"/>
      <w:szCs w:val="32"/>
    </w:rPr>
  </w:style>
  <w:style w:type="paragraph" w:customStyle="1" w:styleId="TOC21">
    <w:name w:val="TOC 21"/>
    <w:basedOn w:val="Normal"/>
    <w:next w:val="Normal"/>
    <w:autoRedefine/>
    <w:rsid w:val="00F351E6"/>
    <w:pPr>
      <w:tabs>
        <w:tab w:val="left" w:pos="1100"/>
        <w:tab w:val="right" w:leader="dot" w:pos="9062"/>
      </w:tabs>
      <w:spacing w:after="100" w:line="259" w:lineRule="auto"/>
      <w:ind w:left="220"/>
      <w:jc w:val="left"/>
    </w:pPr>
    <w:rPr>
      <w:noProof/>
      <w:sz w:val="22"/>
      <w:szCs w:val="22"/>
      <w:lang w:eastAsia="en-GB"/>
    </w:rPr>
  </w:style>
  <w:style w:type="paragraph" w:customStyle="1" w:styleId="TOC11">
    <w:name w:val="TOC 11"/>
    <w:basedOn w:val="Normal"/>
    <w:next w:val="Normal"/>
    <w:autoRedefine/>
    <w:rsid w:val="00F351E6"/>
    <w:pPr>
      <w:tabs>
        <w:tab w:val="left" w:pos="660"/>
        <w:tab w:val="right" w:leader="dot" w:pos="9062"/>
      </w:tabs>
      <w:spacing w:after="100" w:line="259" w:lineRule="auto"/>
      <w:jc w:val="left"/>
    </w:pPr>
    <w:rPr>
      <w:rFonts w:ascii="Calibri" w:hAnsi="Calibri"/>
      <w:sz w:val="22"/>
      <w:szCs w:val="22"/>
      <w:lang w:eastAsia="en-GB"/>
    </w:rPr>
  </w:style>
  <w:style w:type="paragraph" w:customStyle="1" w:styleId="TOC31">
    <w:name w:val="TOC 31"/>
    <w:basedOn w:val="Normal"/>
    <w:next w:val="Normal"/>
    <w:autoRedefine/>
    <w:rsid w:val="00F351E6"/>
    <w:pPr>
      <w:tabs>
        <w:tab w:val="left" w:pos="1320"/>
        <w:tab w:val="right" w:leader="dot" w:pos="9062"/>
      </w:tabs>
      <w:spacing w:after="100" w:line="259" w:lineRule="auto"/>
      <w:ind w:left="440"/>
      <w:jc w:val="left"/>
    </w:pPr>
    <w:rPr>
      <w:b/>
      <w:noProof/>
      <w:szCs w:val="24"/>
      <w:lang w:eastAsia="en-GB"/>
    </w:rPr>
  </w:style>
  <w:style w:type="paragraph" w:customStyle="1" w:styleId="lp11">
    <w:name w:val="lp11"/>
    <w:basedOn w:val="Normal"/>
    <w:next w:val="ListParagraph"/>
    <w:link w:val="ListParagraphChar"/>
    <w:rsid w:val="00F351E6"/>
    <w:pPr>
      <w:spacing w:after="200" w:line="276" w:lineRule="auto"/>
      <w:ind w:left="720"/>
      <w:contextualSpacing/>
      <w:jc w:val="left"/>
    </w:pPr>
    <w:rPr>
      <w:rFonts w:ascii="Calibri" w:eastAsia="Calibri" w:hAnsi="Calibri"/>
      <w:sz w:val="22"/>
      <w:szCs w:val="22"/>
    </w:rPr>
  </w:style>
  <w:style w:type="paragraph" w:customStyle="1" w:styleId="Footno1">
    <w:name w:val="Footno1"/>
    <w:basedOn w:val="Normal"/>
    <w:next w:val="FootnoteText"/>
    <w:link w:val="FootnoteTextChar"/>
    <w:rsid w:val="00F351E6"/>
    <w:pPr>
      <w:spacing w:after="0"/>
      <w:jc w:val="left"/>
    </w:pPr>
    <w:rPr>
      <w:rFonts w:ascii="Calibri" w:eastAsia="Calibri" w:hAnsi="Calibri"/>
      <w:sz w:val="20"/>
    </w:rPr>
  </w:style>
  <w:style w:type="character" w:customStyle="1" w:styleId="FootnoteTextChar">
    <w:name w:val="Footnote Text Char"/>
    <w:aliases w:val="Footnote Text Char1 Char,Footnote Text Char Char Char,DTE-Voetnoottekst Char1 Char Char,DTE-Voetnoottekst Char Char Char Char,fn Char Char Char,footnote text Char Char Char,Footnotes Char Char Char,Footnote ak Char Char Char"/>
    <w:link w:val="Footno1"/>
    <w:rsid w:val="00F351E6"/>
    <w:rPr>
      <w:rFonts w:ascii="Calibri" w:eastAsia="Calibri" w:hAnsi="Calibri"/>
      <w:sz w:val="20"/>
    </w:rPr>
  </w:style>
  <w:style w:type="character" w:customStyle="1" w:styleId="Hyperlink1">
    <w:name w:val="Hyperlink1"/>
    <w:rsid w:val="00F351E6"/>
    <w:rPr>
      <w:color w:val="0000FF"/>
      <w:u w:val="single"/>
    </w:rPr>
  </w:style>
  <w:style w:type="paragraph" w:customStyle="1" w:styleId="BalloonText1">
    <w:name w:val="Balloon Text1"/>
    <w:basedOn w:val="Normal"/>
    <w:next w:val="BalloonText"/>
    <w:link w:val="BalloonTextChar"/>
    <w:rsid w:val="00F351E6"/>
    <w:pPr>
      <w:spacing w:after="0"/>
      <w:jc w:val="left"/>
    </w:pPr>
    <w:rPr>
      <w:rFonts w:ascii="Segoe UI" w:eastAsia="Calibri" w:hAnsi="Segoe UI" w:cs="Segoe UI"/>
      <w:sz w:val="18"/>
      <w:szCs w:val="18"/>
    </w:rPr>
  </w:style>
  <w:style w:type="character" w:customStyle="1" w:styleId="BalloonTextChar">
    <w:name w:val="Balloon Text Char"/>
    <w:link w:val="BalloonText1"/>
    <w:rsid w:val="00F351E6"/>
    <w:rPr>
      <w:rFonts w:ascii="Segoe UI" w:eastAsia="Calibri" w:hAnsi="Segoe UI" w:cs="Segoe UI"/>
      <w:sz w:val="18"/>
      <w:szCs w:val="18"/>
    </w:rPr>
  </w:style>
  <w:style w:type="paragraph" w:customStyle="1" w:styleId="NoSpacing1">
    <w:name w:val="No Spacing1"/>
    <w:next w:val="NoSpacing"/>
    <w:rsid w:val="00F351E6"/>
    <w:rPr>
      <w:rFonts w:ascii="Calibri" w:eastAsia="Calibri" w:hAnsi="Calibri"/>
      <w:sz w:val="22"/>
      <w:szCs w:val="22"/>
      <w:lang w:eastAsia="en-GB"/>
    </w:rPr>
  </w:style>
  <w:style w:type="paragraph" w:customStyle="1" w:styleId="04aNumeration">
    <w:name w:val="04a_Numeration"/>
    <w:basedOn w:val="Normal"/>
    <w:link w:val="04aNumerationChar"/>
    <w:rsid w:val="00F351E6"/>
    <w:pPr>
      <w:numPr>
        <w:numId w:val="1"/>
      </w:numPr>
      <w:spacing w:after="250" w:line="276" w:lineRule="auto"/>
    </w:pPr>
    <w:rPr>
      <w:rFonts w:ascii="Georgia" w:hAnsi="Georgia"/>
      <w:sz w:val="20"/>
      <w:szCs w:val="24"/>
      <w:lang w:eastAsia="en-GB"/>
    </w:rPr>
  </w:style>
  <w:style w:type="character" w:customStyle="1" w:styleId="04aNumerationChar">
    <w:name w:val="04a_Numeration Char"/>
    <w:link w:val="04aNumeration"/>
    <w:locked/>
    <w:rsid w:val="00F351E6"/>
    <w:rPr>
      <w:rFonts w:ascii="Georgia" w:hAnsi="Georgia"/>
      <w:sz w:val="20"/>
      <w:szCs w:val="24"/>
      <w:lang w:eastAsia="en-GB"/>
    </w:rPr>
  </w:style>
  <w:style w:type="character" w:styleId="CommentReference">
    <w:name w:val="annotation reference"/>
    <w:rsid w:val="00F351E6"/>
    <w:rPr>
      <w:sz w:val="16"/>
      <w:szCs w:val="16"/>
    </w:rPr>
  </w:style>
  <w:style w:type="paragraph" w:customStyle="1" w:styleId="CommentText1">
    <w:name w:val="Comment Text1"/>
    <w:basedOn w:val="Normal"/>
    <w:next w:val="CommentText"/>
    <w:link w:val="CommentTextChar"/>
    <w:rsid w:val="00F351E6"/>
    <w:pPr>
      <w:spacing w:after="200"/>
      <w:jc w:val="left"/>
    </w:pPr>
    <w:rPr>
      <w:rFonts w:ascii="Calibri" w:eastAsia="Calibri" w:hAnsi="Calibri"/>
      <w:sz w:val="20"/>
    </w:rPr>
  </w:style>
  <w:style w:type="character" w:customStyle="1" w:styleId="CommentTextChar">
    <w:name w:val="Comment Text Char"/>
    <w:link w:val="CommentText1"/>
    <w:rsid w:val="00F351E6"/>
    <w:rPr>
      <w:rFonts w:ascii="Calibri" w:eastAsia="Calibri" w:hAnsi="Calibri"/>
      <w:sz w:val="20"/>
    </w:rPr>
  </w:style>
  <w:style w:type="paragraph" w:customStyle="1" w:styleId="CommentSubject1">
    <w:name w:val="Comment Subject1"/>
    <w:basedOn w:val="CommentText"/>
    <w:next w:val="CommentText"/>
    <w:rsid w:val="00F351E6"/>
    <w:pPr>
      <w:spacing w:after="200"/>
    </w:pPr>
    <w:rPr>
      <w:b/>
      <w:bCs/>
    </w:rPr>
  </w:style>
  <w:style w:type="character" w:customStyle="1" w:styleId="CommentSubjectChar">
    <w:name w:val="Comment Subject Char"/>
    <w:link w:val="CommentSubject"/>
    <w:rsid w:val="00F351E6"/>
    <w:rPr>
      <w:b/>
      <w:bCs/>
      <w:sz w:val="20"/>
    </w:rPr>
  </w:style>
  <w:style w:type="paragraph" w:customStyle="1" w:styleId="NormalWeb1">
    <w:name w:val="Normal (Web)1"/>
    <w:basedOn w:val="Normal"/>
    <w:next w:val="NormalWeb"/>
    <w:rsid w:val="00F351E6"/>
    <w:pPr>
      <w:spacing w:after="0"/>
      <w:jc w:val="left"/>
    </w:pPr>
    <w:rPr>
      <w:rFonts w:eastAsia="Calibri"/>
      <w:szCs w:val="24"/>
      <w:lang w:eastAsia="en-GB"/>
    </w:rPr>
  </w:style>
  <w:style w:type="paragraph" w:customStyle="1" w:styleId="0Bodytext">
    <w:name w:val="(0)Body text"/>
    <w:basedOn w:val="Normal"/>
    <w:link w:val="0BodytextZchn"/>
    <w:rsid w:val="00F351E6"/>
    <w:pPr>
      <w:spacing w:before="60" w:after="120"/>
    </w:pPr>
    <w:rPr>
      <w:rFonts w:ascii="Verdana" w:eastAsia="Calibri" w:hAnsi="Verdana" w:cs="Arial"/>
      <w:color w:val="333333"/>
      <w:sz w:val="20"/>
      <w:lang w:eastAsia="en-GB"/>
    </w:rPr>
  </w:style>
  <w:style w:type="character" w:customStyle="1" w:styleId="0BodytextZchn">
    <w:name w:val="(0)Body text Zchn"/>
    <w:link w:val="0Bodytext"/>
    <w:rsid w:val="00F351E6"/>
    <w:rPr>
      <w:rFonts w:ascii="Verdana" w:eastAsia="Calibri" w:hAnsi="Verdana" w:cs="Arial"/>
      <w:color w:val="333333"/>
      <w:sz w:val="20"/>
      <w:lang w:val="ro-RO" w:eastAsia="en-GB"/>
    </w:rPr>
  </w:style>
  <w:style w:type="table" w:customStyle="1" w:styleId="Deloitte1">
    <w:name w:val="Deloitte1"/>
    <w:basedOn w:val="TableNormal"/>
    <w:next w:val="TableGrid"/>
    <w:rsid w:val="00F351E6"/>
    <w:rPr>
      <w:rFonts w:ascii="Calibri" w:eastAsia="Calibri" w:hAnsi="Calibri"/>
      <w:sz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Point">
    <w:name w:val="16 Point"/>
    <w:aliases w:val="Superscript 6 Point,Exposant 3 Point,Footnote reference number,Odwołanie przypisu,number,2001+ Fußnotenzeichen"/>
    <w:basedOn w:val="Normal"/>
    <w:link w:val="FootnoteReference"/>
    <w:rsid w:val="00F351E6"/>
    <w:pPr>
      <w:spacing w:after="160" w:line="240" w:lineRule="exact"/>
      <w:jc w:val="left"/>
    </w:pPr>
    <w:rPr>
      <w:vertAlign w:val="superscript"/>
    </w:rPr>
  </w:style>
  <w:style w:type="character" w:customStyle="1" w:styleId="ListParagraphChar">
    <w:name w:val="List Paragraph Char"/>
    <w:aliases w:val="Fiche List Paragraph Char,Dot pt Char,F5 List Paragraph Char,List Paragraph1 Char,No Spacing1 Char,List Paragraph Char Char Char Char,Indicator Text Char,Numbered Para 1 Char,Bullet Points Char,MAIN CONTENT Char,List Paragraph12 Char"/>
    <w:basedOn w:val="DefaultParagraphFont"/>
    <w:link w:val="lp11"/>
    <w:locked/>
    <w:rsid w:val="00F351E6"/>
    <w:rPr>
      <w:rFonts w:ascii="Calibri" w:eastAsia="Calibri" w:hAnsi="Calibri"/>
      <w:sz w:val="22"/>
      <w:szCs w:val="22"/>
    </w:rPr>
  </w:style>
  <w:style w:type="paragraph" w:customStyle="1" w:styleId="Default">
    <w:name w:val="Default"/>
    <w:rsid w:val="00F351E6"/>
    <w:pPr>
      <w:autoSpaceDE w:val="0"/>
      <w:autoSpaceDN w:val="0"/>
      <w:adjustRightInd w:val="0"/>
    </w:pPr>
    <w:rPr>
      <w:rFonts w:ascii="Arial" w:hAnsi="Arial" w:cs="Arial"/>
      <w:color w:val="000000"/>
      <w:szCs w:val="24"/>
      <w:lang w:eastAsia="en-GB"/>
    </w:rPr>
  </w:style>
  <w:style w:type="paragraph" w:customStyle="1" w:styleId="SecurityMarking">
    <w:name w:val="SecurityMarking"/>
    <w:basedOn w:val="Normal"/>
    <w:rsid w:val="00F351E6"/>
    <w:pPr>
      <w:spacing w:after="0" w:line="276" w:lineRule="auto"/>
      <w:ind w:left="5103"/>
      <w:jc w:val="left"/>
    </w:pPr>
    <w:rPr>
      <w:rFonts w:eastAsia="Calibri"/>
      <w:sz w:val="28"/>
      <w:szCs w:val="22"/>
    </w:rPr>
  </w:style>
  <w:style w:type="paragraph" w:customStyle="1" w:styleId="DateMarking">
    <w:name w:val="DateMarking"/>
    <w:basedOn w:val="Normal"/>
    <w:rsid w:val="00F351E6"/>
    <w:pPr>
      <w:spacing w:after="0" w:line="276" w:lineRule="auto"/>
      <w:ind w:left="5103"/>
      <w:jc w:val="left"/>
    </w:pPr>
    <w:rPr>
      <w:rFonts w:eastAsia="Calibri"/>
      <w:i/>
      <w:sz w:val="28"/>
      <w:szCs w:val="22"/>
    </w:rPr>
  </w:style>
  <w:style w:type="paragraph" w:customStyle="1" w:styleId="ReleasableTo">
    <w:name w:val="ReleasableTo"/>
    <w:basedOn w:val="Normal"/>
    <w:rsid w:val="00F351E6"/>
    <w:pPr>
      <w:spacing w:after="0" w:line="276" w:lineRule="auto"/>
      <w:ind w:left="5103"/>
      <w:jc w:val="left"/>
    </w:pPr>
    <w:rPr>
      <w:rFonts w:eastAsia="Calibri"/>
      <w:i/>
      <w:sz w:val="28"/>
      <w:szCs w:val="22"/>
    </w:rPr>
  </w:style>
  <w:style w:type="paragraph" w:customStyle="1" w:styleId="TOC91">
    <w:name w:val="TOC 91"/>
    <w:basedOn w:val="Normal"/>
    <w:next w:val="Normal"/>
    <w:autoRedefine/>
    <w:rsid w:val="00F351E6"/>
    <w:pPr>
      <w:spacing w:after="100" w:line="276" w:lineRule="auto"/>
      <w:ind w:left="1760"/>
      <w:jc w:val="left"/>
    </w:pPr>
    <w:rPr>
      <w:rFonts w:ascii="Calibri" w:eastAsia="Calibri" w:hAnsi="Calibri"/>
      <w:sz w:val="22"/>
      <w:szCs w:val="22"/>
    </w:rPr>
  </w:style>
  <w:style w:type="paragraph" w:customStyle="1" w:styleId="Revision1">
    <w:name w:val="Revision1"/>
    <w:next w:val="Revision"/>
    <w:hidden/>
    <w:rsid w:val="00F351E6"/>
    <w:rPr>
      <w:rFonts w:ascii="Calibri" w:eastAsia="Calibri" w:hAnsi="Calibri"/>
      <w:sz w:val="22"/>
      <w:szCs w:val="22"/>
      <w:lang w:eastAsia="en-GB"/>
    </w:rPr>
  </w:style>
  <w:style w:type="character" w:customStyle="1" w:styleId="FollowedHyperlink1">
    <w:name w:val="FollowedHyperlink1"/>
    <w:rsid w:val="00F351E6"/>
    <w:rPr>
      <w:color w:val="800080"/>
      <w:u w:val="single"/>
    </w:rPr>
  </w:style>
  <w:style w:type="paragraph" w:customStyle="1" w:styleId="Briefingtext">
    <w:name w:val="Briefing text"/>
    <w:basedOn w:val="Normal"/>
    <w:link w:val="BriefingtextChar"/>
    <w:rsid w:val="00F351E6"/>
    <w:rPr>
      <w:rFonts w:ascii="Arial" w:hAnsi="Arial" w:cs="Arial"/>
      <w:sz w:val="22"/>
      <w:szCs w:val="24"/>
    </w:rPr>
  </w:style>
  <w:style w:type="character" w:customStyle="1" w:styleId="BriefingtextChar">
    <w:name w:val="Briefing text Char"/>
    <w:link w:val="Briefingtext"/>
    <w:rsid w:val="00F351E6"/>
    <w:rPr>
      <w:rFonts w:ascii="Arial" w:hAnsi="Arial" w:cs="Arial"/>
      <w:sz w:val="22"/>
      <w:szCs w:val="24"/>
    </w:rPr>
  </w:style>
  <w:style w:type="character" w:customStyle="1" w:styleId="e24kjd">
    <w:name w:val="e24kjd"/>
    <w:basedOn w:val="DefaultParagraphFont"/>
    <w:rsid w:val="00F351E6"/>
  </w:style>
  <w:style w:type="character" w:styleId="Emphasis">
    <w:name w:val="Emphasis"/>
    <w:qFormat/>
    <w:rsid w:val="00F351E6"/>
    <w:rPr>
      <w:i/>
      <w:iCs/>
    </w:rPr>
  </w:style>
  <w:style w:type="paragraph" w:customStyle="1" w:styleId="Disclaimer">
    <w:name w:val="Disclaimer"/>
    <w:basedOn w:val="Normal"/>
    <w:rsid w:val="00F351E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Calibri"/>
      <w:szCs w:val="22"/>
    </w:rPr>
  </w:style>
  <w:style w:type="table" w:customStyle="1" w:styleId="TableGrid1">
    <w:name w:val="Table Grid1"/>
    <w:basedOn w:val="TableNormal"/>
    <w:next w:val="TableGrid"/>
    <w:rsid w:val="00F351E6"/>
    <w:rPr>
      <w:rFonts w:ascii="Calibri" w:eastAsia="Calibri" w:hAnsi="Calibri"/>
      <w:sz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link w:val="TableChar"/>
    <w:rsid w:val="00F351E6"/>
    <w:pPr>
      <w:spacing w:after="0"/>
    </w:pPr>
    <w:rPr>
      <w:rFonts w:ascii="Calibri" w:eastAsia="Calibri" w:hAnsi="Calibri"/>
      <w:color w:val="000000"/>
      <w:sz w:val="20"/>
      <w:szCs w:val="24"/>
    </w:rPr>
  </w:style>
  <w:style w:type="character" w:customStyle="1" w:styleId="TableChar">
    <w:name w:val="Table Char"/>
    <w:link w:val="Table"/>
    <w:rsid w:val="00F351E6"/>
    <w:rPr>
      <w:rFonts w:ascii="Calibri" w:eastAsia="Calibri" w:hAnsi="Calibri"/>
      <w:color w:val="000000"/>
      <w:sz w:val="20"/>
      <w:szCs w:val="24"/>
    </w:rPr>
  </w:style>
  <w:style w:type="paragraph" w:customStyle="1" w:styleId="FigTabCaption">
    <w:name w:val="FigTab Caption"/>
    <w:basedOn w:val="Caption"/>
    <w:link w:val="FigTabCaptionChar"/>
    <w:rsid w:val="00F351E6"/>
    <w:pPr>
      <w:keepNext/>
      <w:spacing w:before="0" w:after="0"/>
      <w:jc w:val="left"/>
    </w:pPr>
    <w:rPr>
      <w:rFonts w:ascii="Calibri" w:eastAsia="Calibri" w:hAnsi="Calibri"/>
      <w:b/>
      <w:i w:val="0"/>
      <w:color w:val="FFFFFF"/>
      <w:sz w:val="20"/>
      <w:szCs w:val="24"/>
    </w:rPr>
  </w:style>
  <w:style w:type="character" w:customStyle="1" w:styleId="FigTabCaptionChar">
    <w:name w:val="FigTab Caption Char"/>
    <w:link w:val="FigTabCaption"/>
    <w:rsid w:val="00F351E6"/>
    <w:rPr>
      <w:rFonts w:ascii="Calibri" w:eastAsia="Calibri" w:hAnsi="Calibri"/>
      <w:b/>
      <w:color w:val="FFFFFF"/>
      <w:sz w:val="20"/>
      <w:szCs w:val="24"/>
    </w:rPr>
  </w:style>
  <w:style w:type="paragraph" w:customStyle="1" w:styleId="C1">
    <w:name w:val="C1"/>
    <w:basedOn w:val="Normal"/>
    <w:next w:val="Normal"/>
    <w:link w:val="CaptionChar"/>
    <w:rsid w:val="00F351E6"/>
    <w:pPr>
      <w:spacing w:after="200"/>
      <w:jc w:val="left"/>
    </w:pPr>
    <w:rPr>
      <w:rFonts w:ascii="Calibri" w:eastAsia="Calibri" w:hAnsi="Calibri"/>
      <w:i/>
      <w:iCs/>
      <w:color w:val="1F497D"/>
      <w:sz w:val="18"/>
      <w:szCs w:val="18"/>
    </w:rPr>
  </w:style>
  <w:style w:type="table" w:customStyle="1" w:styleId="TableGrid2">
    <w:name w:val="Table Grid2"/>
    <w:basedOn w:val="TableNormal"/>
    <w:next w:val="TableGrid"/>
    <w:rsid w:val="00F351E6"/>
    <w:rPr>
      <w:rFonts w:ascii="Calibri" w:eastAsia="Calibri" w:hAnsi="Calibri"/>
      <w:sz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harCharChar">
    <w:name w:val="Footnote symbol Char Char Char"/>
    <w:aliases w:val="Voetnootverwijzing Char Char Char,Times 10 Point Char Char Char,Exposant 3 Point Char Char Char,Footnote Reference Superscript Char Char Char,Footnote symbol Char,FR Char, Exposant 3 Point Char Char Char"/>
    <w:basedOn w:val="Normal"/>
    <w:rsid w:val="00F351E6"/>
    <w:pPr>
      <w:spacing w:after="160" w:line="240" w:lineRule="exact"/>
    </w:pPr>
    <w:rPr>
      <w:rFonts w:eastAsia="Calibri"/>
      <w:sz w:val="20"/>
      <w:vertAlign w:val="superscript"/>
    </w:rPr>
  </w:style>
  <w:style w:type="paragraph" w:customStyle="1" w:styleId="Bullet2">
    <w:name w:val="Bullet 2"/>
    <w:aliases w:val="Bullet2,BTBullet2"/>
    <w:basedOn w:val="Normal"/>
    <w:rsid w:val="00F351E6"/>
    <w:pPr>
      <w:tabs>
        <w:tab w:val="num" w:pos="1021"/>
      </w:tabs>
      <w:spacing w:before="120" w:after="120"/>
      <w:ind w:left="1021" w:hanging="341"/>
      <w:contextualSpacing/>
      <w:jc w:val="left"/>
    </w:pPr>
    <w:rPr>
      <w:rFonts w:ascii="Verdana" w:eastAsia="Calibri" w:hAnsi="Verdana"/>
      <w:color w:val="000000"/>
      <w:sz w:val="20"/>
      <w:szCs w:val="22"/>
      <w:lang w:eastAsia="en-GB"/>
    </w:rPr>
  </w:style>
  <w:style w:type="character" w:customStyle="1" w:styleId="CaptionChar">
    <w:name w:val="Caption Char"/>
    <w:aliases w:val="Caption PSP Char,Caption - Centre Graphic Char,Char Char Char Char,Caption1 Char Char Char Char Char Char Char Char Char,Caption1 Char Char Char Char Char Char Char Char Tegn Tegn Tegn Tegn Tegn Char,Char Char,C Char"/>
    <w:link w:val="C1"/>
    <w:rsid w:val="00F351E6"/>
    <w:rPr>
      <w:rFonts w:ascii="Calibri" w:eastAsia="Calibri" w:hAnsi="Calibri"/>
      <w:i/>
      <w:iCs/>
      <w:color w:val="1F497D"/>
      <w:sz w:val="18"/>
      <w:szCs w:val="18"/>
    </w:rPr>
  </w:style>
  <w:style w:type="paragraph" w:customStyle="1" w:styleId="Body">
    <w:name w:val="Body"/>
    <w:basedOn w:val="Normal"/>
    <w:link w:val="BodyChar"/>
    <w:rsid w:val="00F351E6"/>
    <w:pPr>
      <w:spacing w:before="120" w:after="120"/>
    </w:pPr>
    <w:rPr>
      <w:rFonts w:ascii="Verdana" w:eastAsia="Calibri" w:hAnsi="Verdana"/>
      <w:color w:val="000000"/>
      <w:sz w:val="20"/>
      <w:szCs w:val="22"/>
      <w:lang w:eastAsia="en-GB"/>
    </w:rPr>
  </w:style>
  <w:style w:type="character" w:customStyle="1" w:styleId="BodyChar">
    <w:name w:val="Body Char"/>
    <w:link w:val="Body"/>
    <w:rsid w:val="00F351E6"/>
    <w:rPr>
      <w:rFonts w:ascii="Verdana" w:eastAsia="Calibri" w:hAnsi="Verdana"/>
      <w:color w:val="000000"/>
      <w:sz w:val="20"/>
      <w:szCs w:val="22"/>
      <w:lang w:val="ro-RO" w:eastAsia="en-GB"/>
    </w:rPr>
  </w:style>
  <w:style w:type="paragraph" w:customStyle="1" w:styleId="TableHeading">
    <w:name w:val="TableHeading"/>
    <w:aliases w:val="TableHeadingWhite"/>
    <w:basedOn w:val="Normal"/>
    <w:rsid w:val="00F351E6"/>
    <w:pPr>
      <w:spacing w:before="120" w:after="0"/>
      <w:ind w:left="113"/>
      <w:jc w:val="left"/>
    </w:pPr>
    <w:rPr>
      <w:rFonts w:ascii="Verdana" w:eastAsia="Calibri" w:hAnsi="Verdana"/>
      <w:b/>
      <w:color w:val="FFFFFF"/>
      <w:sz w:val="20"/>
      <w:szCs w:val="22"/>
      <w:lang w:eastAsia="en-GB"/>
    </w:rPr>
  </w:style>
  <w:style w:type="table" w:customStyle="1" w:styleId="TableGrid3">
    <w:name w:val="Table Grid3"/>
    <w:basedOn w:val="TableNormal"/>
    <w:next w:val="TableGrid"/>
    <w:locked/>
    <w:rsid w:val="00F351E6"/>
    <w:rPr>
      <w:sz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SP">
    <w:name w:val="Bullet PSP"/>
    <w:basedOn w:val="Normal"/>
    <w:link w:val="BulletPSPChar"/>
    <w:rsid w:val="00F351E6"/>
    <w:pPr>
      <w:numPr>
        <w:numId w:val="3"/>
      </w:numPr>
      <w:spacing w:before="120" w:after="160" w:line="259" w:lineRule="auto"/>
      <w:contextualSpacing/>
    </w:pPr>
    <w:rPr>
      <w:rFonts w:ascii="Calibri" w:hAnsi="Calibri"/>
      <w:color w:val="000000"/>
      <w:szCs w:val="22"/>
    </w:rPr>
  </w:style>
  <w:style w:type="character" w:customStyle="1" w:styleId="BulletPSPChar">
    <w:name w:val="Bullet PSP Char"/>
    <w:link w:val="BulletPSP"/>
    <w:rsid w:val="00F351E6"/>
    <w:rPr>
      <w:rFonts w:ascii="Calibri" w:hAnsi="Calibri"/>
      <w:color w:val="000000"/>
      <w:szCs w:val="22"/>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rsid w:val="00F351E6"/>
    <w:pPr>
      <w:spacing w:after="160" w:line="240" w:lineRule="exact"/>
      <w:jc w:val="left"/>
    </w:pPr>
    <w:rPr>
      <w:rFonts w:ascii="Calibri" w:eastAsia="Calibri" w:hAnsi="Calibri"/>
      <w:sz w:val="22"/>
      <w:szCs w:val="22"/>
      <w:vertAlign w:val="superscript"/>
    </w:rPr>
  </w:style>
  <w:style w:type="table" w:customStyle="1" w:styleId="Table1-PSPbrand">
    <w:name w:val="Table 1 - PSP brand"/>
    <w:basedOn w:val="TableNormal"/>
    <w:rsid w:val="00F351E6"/>
    <w:rPr>
      <w:rFonts w:ascii="Calibri" w:eastAsia="Calibri" w:hAnsi="Calibri"/>
      <w:sz w:val="20"/>
      <w:lang w:eastAsia="en-GB"/>
    </w:rPr>
    <w:tblPr>
      <w:tblStyleRowBandSize w:val="1"/>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Pr>
    <w:tcPr>
      <w:shd w:val="clear" w:color="auto" w:fill="FFFFFF"/>
    </w:tcPr>
    <w:tblStylePr w:type="firstRow">
      <w:rPr>
        <w:b/>
        <w:color w:val="4F81BD"/>
      </w:rPr>
      <w:tblPr/>
      <w:tcPr>
        <w:shd w:val="clear" w:color="auto" w:fill="000000"/>
      </w:tcPr>
    </w:tblStylePr>
    <w:tblStylePr w:type="band2Horz">
      <w:tblPr/>
      <w:tcPr>
        <w:shd w:val="clear" w:color="auto" w:fill="DDD9C3"/>
      </w:tcPr>
    </w:tblStylePr>
  </w:style>
  <w:style w:type="paragraph" w:customStyle="1" w:styleId="CM1">
    <w:name w:val="CM1"/>
    <w:basedOn w:val="Default"/>
    <w:next w:val="Default"/>
    <w:rsid w:val="00F351E6"/>
    <w:rPr>
      <w:rFonts w:ascii="EUAlbertina" w:hAnsi="EUAlbertina" w:cs="Times New Roman"/>
      <w:color w:val="auto"/>
    </w:rPr>
  </w:style>
  <w:style w:type="paragraph" w:styleId="HTMLPreformatted">
    <w:name w:val="HTML Preformatted"/>
    <w:basedOn w:val="Normal"/>
    <w:link w:val="HTMLPreformattedChar"/>
    <w:rsid w:val="00F35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lang w:eastAsia="en-GB"/>
    </w:rPr>
  </w:style>
  <w:style w:type="character" w:customStyle="1" w:styleId="HTMLPreformattedChar">
    <w:name w:val="HTML Preformatted Char"/>
    <w:basedOn w:val="DefaultParagraphFont"/>
    <w:link w:val="HTMLPreformatted"/>
    <w:rsid w:val="00F351E6"/>
    <w:rPr>
      <w:rFonts w:ascii="Courier New" w:hAnsi="Courier New" w:cs="Courier New"/>
      <w:sz w:val="20"/>
      <w:lang w:val="ro-RO" w:eastAsia="en-GB"/>
    </w:rPr>
  </w:style>
  <w:style w:type="paragraph" w:customStyle="1" w:styleId="Normal1">
    <w:name w:val="Normal1"/>
    <w:basedOn w:val="Normal"/>
    <w:rsid w:val="00F351E6"/>
    <w:pPr>
      <w:spacing w:before="100" w:beforeAutospacing="1" w:after="100" w:afterAutospacing="1"/>
      <w:jc w:val="left"/>
    </w:pPr>
    <w:rPr>
      <w:szCs w:val="24"/>
      <w:lang w:eastAsia="en-GB"/>
    </w:rPr>
  </w:style>
  <w:style w:type="character" w:customStyle="1" w:styleId="super">
    <w:name w:val="super"/>
    <w:basedOn w:val="DefaultParagraphFont"/>
    <w:rsid w:val="00F351E6"/>
  </w:style>
  <w:style w:type="character" w:customStyle="1" w:styleId="Heading1Char1">
    <w:name w:val="Heading 1 Char1"/>
    <w:rsid w:val="00F351E6"/>
    <w:rPr>
      <w:rFonts w:ascii="Calibri Light" w:eastAsia="Times New Roman" w:hAnsi="Calibri Light" w:cs="Times New Roman"/>
      <w:color w:val="2E74B5"/>
      <w:sz w:val="32"/>
      <w:szCs w:val="32"/>
    </w:rPr>
  </w:style>
  <w:style w:type="character" w:customStyle="1" w:styleId="Heading2Char1">
    <w:name w:val="Heading 2 Char1"/>
    <w:rsid w:val="00F351E6"/>
    <w:rPr>
      <w:rFonts w:ascii="Calibri Light" w:eastAsia="Times New Roman" w:hAnsi="Calibri Light" w:cs="Times New Roman"/>
      <w:color w:val="2E74B5"/>
      <w:sz w:val="26"/>
      <w:szCs w:val="26"/>
    </w:rPr>
  </w:style>
  <w:style w:type="character" w:customStyle="1" w:styleId="Heading3Char1">
    <w:name w:val="Heading 3 Char1"/>
    <w:rsid w:val="00F351E6"/>
    <w:rPr>
      <w:rFonts w:ascii="Calibri Light" w:eastAsia="Times New Roman" w:hAnsi="Calibri Light" w:cs="Times New Roman"/>
      <w:color w:val="1F4D78"/>
      <w:sz w:val="24"/>
      <w:szCs w:val="24"/>
    </w:rPr>
  </w:style>
  <w:style w:type="character" w:customStyle="1" w:styleId="Heading4Char1">
    <w:name w:val="Heading 4 Char1"/>
    <w:rsid w:val="00F351E6"/>
    <w:rPr>
      <w:rFonts w:ascii="Calibri Light" w:eastAsia="Times New Roman" w:hAnsi="Calibri Light" w:cs="Times New Roman"/>
      <w:i/>
      <w:iCs/>
      <w:color w:val="2E74B5"/>
    </w:rPr>
  </w:style>
  <w:style w:type="character" w:customStyle="1" w:styleId="Heading5Char1">
    <w:name w:val="Heading 5 Char1"/>
    <w:rsid w:val="00F351E6"/>
    <w:rPr>
      <w:rFonts w:ascii="Calibri Light" w:eastAsia="Times New Roman" w:hAnsi="Calibri Light" w:cs="Times New Roman"/>
      <w:color w:val="2E74B5"/>
    </w:rPr>
  </w:style>
  <w:style w:type="paragraph" w:styleId="ListParagraph">
    <w:name w:val="List Paragraph"/>
    <w:basedOn w:val="Normal"/>
    <w:qFormat/>
    <w:rsid w:val="00F351E6"/>
    <w:pPr>
      <w:spacing w:after="160" w:line="259" w:lineRule="auto"/>
      <w:ind w:left="720"/>
      <w:contextualSpacing/>
      <w:jc w:val="left"/>
    </w:pPr>
    <w:rPr>
      <w:rFonts w:ascii="Calibri" w:eastAsia="Calibri" w:hAnsi="Calibri"/>
      <w:sz w:val="22"/>
      <w:szCs w:val="22"/>
    </w:rPr>
  </w:style>
  <w:style w:type="character" w:customStyle="1" w:styleId="FootnoteTextChar1">
    <w:name w:val="Footnote Text Char1"/>
    <w:rsid w:val="00F351E6"/>
    <w:rPr>
      <w:sz w:val="20"/>
    </w:rPr>
  </w:style>
  <w:style w:type="character" w:styleId="Hyperlink">
    <w:name w:val="Hyperlink"/>
    <w:uiPriority w:val="99"/>
    <w:rsid w:val="00F351E6"/>
    <w:rPr>
      <w:color w:val="0563C1"/>
      <w:u w:val="single"/>
    </w:rPr>
  </w:style>
  <w:style w:type="paragraph" w:styleId="BalloonText">
    <w:name w:val="Balloon Text"/>
    <w:basedOn w:val="Normal"/>
    <w:link w:val="BalloonTextChar1"/>
    <w:rsid w:val="00F351E6"/>
    <w:pPr>
      <w:spacing w:after="0"/>
      <w:jc w:val="left"/>
    </w:pPr>
    <w:rPr>
      <w:rFonts w:ascii="Segoe UI" w:eastAsia="Calibri" w:hAnsi="Segoe UI" w:cs="Segoe UI"/>
      <w:sz w:val="18"/>
      <w:szCs w:val="18"/>
    </w:rPr>
  </w:style>
  <w:style w:type="character" w:customStyle="1" w:styleId="BalloonTextChar1">
    <w:name w:val="Balloon Text Char1"/>
    <w:basedOn w:val="DefaultParagraphFont"/>
    <w:link w:val="BalloonText"/>
    <w:rsid w:val="00F351E6"/>
    <w:rPr>
      <w:rFonts w:ascii="Segoe UI" w:eastAsia="Calibri" w:hAnsi="Segoe UI" w:cs="Segoe UI"/>
      <w:sz w:val="18"/>
      <w:szCs w:val="18"/>
    </w:rPr>
  </w:style>
  <w:style w:type="paragraph" w:styleId="NoSpacing">
    <w:name w:val="No Spacing"/>
    <w:qFormat/>
    <w:rsid w:val="00F351E6"/>
    <w:rPr>
      <w:rFonts w:ascii="Calibri" w:eastAsia="Calibri" w:hAnsi="Calibri"/>
      <w:sz w:val="22"/>
      <w:szCs w:val="22"/>
      <w:lang w:eastAsia="en-GB"/>
    </w:rPr>
  </w:style>
  <w:style w:type="paragraph" w:styleId="CommentText">
    <w:name w:val="annotation text"/>
    <w:basedOn w:val="Normal"/>
    <w:link w:val="CommentTextChar1"/>
    <w:rsid w:val="00F351E6"/>
    <w:pPr>
      <w:spacing w:after="160"/>
      <w:jc w:val="left"/>
    </w:pPr>
    <w:rPr>
      <w:rFonts w:ascii="Calibri" w:eastAsia="Calibri" w:hAnsi="Calibri"/>
      <w:sz w:val="20"/>
    </w:rPr>
  </w:style>
  <w:style w:type="character" w:customStyle="1" w:styleId="CommentTextChar1">
    <w:name w:val="Comment Text Char1"/>
    <w:basedOn w:val="DefaultParagraphFont"/>
    <w:link w:val="CommentText"/>
    <w:rsid w:val="00F351E6"/>
    <w:rPr>
      <w:rFonts w:ascii="Calibri" w:eastAsia="Calibri" w:hAnsi="Calibri"/>
      <w:sz w:val="20"/>
    </w:rPr>
  </w:style>
  <w:style w:type="paragraph" w:styleId="CommentSubject">
    <w:name w:val="annotation subject"/>
    <w:basedOn w:val="CommentText"/>
    <w:next w:val="CommentText"/>
    <w:link w:val="CommentSubjectChar"/>
    <w:rsid w:val="00F351E6"/>
    <w:rPr>
      <w:rFonts w:ascii="Times New Roman" w:eastAsia="Times New Roman" w:hAnsi="Times New Roman"/>
      <w:b/>
      <w:bCs/>
    </w:rPr>
  </w:style>
  <w:style w:type="character" w:customStyle="1" w:styleId="CommentSubjectChar1">
    <w:name w:val="Comment Subject Char1"/>
    <w:basedOn w:val="CommentTextChar1"/>
    <w:rsid w:val="00F351E6"/>
    <w:rPr>
      <w:rFonts w:ascii="Calibri" w:eastAsia="Calibri" w:hAnsi="Calibri"/>
      <w:b/>
      <w:bCs/>
      <w:sz w:val="20"/>
    </w:rPr>
  </w:style>
  <w:style w:type="paragraph" w:styleId="NormalWeb">
    <w:name w:val="Normal (Web)"/>
    <w:basedOn w:val="Normal"/>
    <w:rsid w:val="00F351E6"/>
    <w:pPr>
      <w:spacing w:after="160" w:line="259" w:lineRule="auto"/>
      <w:jc w:val="left"/>
    </w:pPr>
    <w:rPr>
      <w:rFonts w:eastAsia="Calibri"/>
      <w:szCs w:val="24"/>
    </w:rPr>
  </w:style>
  <w:style w:type="paragraph" w:styleId="Revision">
    <w:name w:val="Revision"/>
    <w:hidden/>
    <w:rsid w:val="00F351E6"/>
    <w:rPr>
      <w:rFonts w:ascii="Calibri" w:eastAsia="Calibri" w:hAnsi="Calibri"/>
      <w:sz w:val="22"/>
      <w:szCs w:val="22"/>
      <w:lang w:eastAsia="en-GB"/>
    </w:rPr>
  </w:style>
  <w:style w:type="character" w:styleId="FollowedHyperlink">
    <w:name w:val="FollowedHyperlink"/>
    <w:rsid w:val="00F351E6"/>
    <w:rPr>
      <w:color w:val="954F72"/>
      <w:u w:val="single"/>
    </w:rPr>
  </w:style>
  <w:style w:type="character" w:customStyle="1" w:styleId="UnresolvedMention2">
    <w:name w:val="Unresolved Mention2"/>
    <w:rsid w:val="00F351E6"/>
    <w:rPr>
      <w:color w:val="605E5C"/>
      <w:shd w:val="clear" w:color="auto" w:fill="E1DFDD"/>
    </w:rPr>
  </w:style>
  <w:style w:type="paragraph" w:customStyle="1" w:styleId="oj-doc-ti">
    <w:name w:val="oj-doc-ti"/>
    <w:basedOn w:val="Normal"/>
    <w:rsid w:val="00F351E6"/>
    <w:pPr>
      <w:spacing w:before="100" w:beforeAutospacing="1" w:after="100" w:afterAutospacing="1"/>
      <w:jc w:val="left"/>
    </w:pPr>
    <w:rPr>
      <w:szCs w:val="24"/>
      <w:lang w:eastAsia="en-G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SUPERS,BVI fnr,Footnote symbol,note TESI,-E Fußnotenzeichen,Ref,de nota al pie,(NECG) Footnote Reference,Footnote number,Bodyfootnotes,Nota,Char1,FR,Appel note de bas de p,fr,o,fn Char1, BVI fnr,Style "/>
    <w:link w:val="16Point"/>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22"/>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1"/>
      </w:numPr>
    </w:pPr>
  </w:style>
  <w:style w:type="paragraph" w:customStyle="1" w:styleId="ContNumLevel2">
    <w:name w:val="ContNum (Level 2)"/>
    <w:basedOn w:val="Normal"/>
    <w:uiPriority w:val="20"/>
    <w:pPr>
      <w:numPr>
        <w:ilvl w:val="1"/>
        <w:numId w:val="21"/>
      </w:numPr>
    </w:pPr>
  </w:style>
  <w:style w:type="paragraph" w:customStyle="1" w:styleId="ContNumLevel3">
    <w:name w:val="ContNum (Level 3)"/>
    <w:basedOn w:val="Normal"/>
    <w:uiPriority w:val="20"/>
    <w:pPr>
      <w:numPr>
        <w:ilvl w:val="2"/>
        <w:numId w:val="21"/>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TBG Style,Footnote Text Char3 Char,Footnote Text Char2 Char Char,Footnote Text Char1 Char1 Char Char,Footnote Text Char2 Char Char Char1 Char,Footnote Text Char1 Char1 Char Char Char Char,Footnot,DTE-Voetnoottekst"/>
    <w:basedOn w:val="Normal"/>
    <w:uiPriority w:val="99"/>
    <w:qFormat/>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20"/>
      </w:numPr>
      <w:spacing w:line="360" w:lineRule="auto"/>
    </w:pPr>
  </w:style>
  <w:style w:type="paragraph" w:customStyle="1" w:styleId="LegalNumPar2">
    <w:name w:val="LegalNumPar2"/>
    <w:basedOn w:val="Normal"/>
    <w:uiPriority w:val="20"/>
    <w:pPr>
      <w:numPr>
        <w:ilvl w:val="1"/>
        <w:numId w:val="20"/>
      </w:numPr>
      <w:spacing w:line="360" w:lineRule="auto"/>
    </w:pPr>
  </w:style>
  <w:style w:type="paragraph" w:customStyle="1" w:styleId="LegalNumPar3">
    <w:name w:val="LegalNumPar3"/>
    <w:basedOn w:val="Normal"/>
    <w:uiPriority w:val="20"/>
    <w:pPr>
      <w:numPr>
        <w:ilvl w:val="2"/>
        <w:numId w:val="20"/>
      </w:numPr>
      <w:spacing w:line="360" w:lineRule="auto"/>
    </w:pPr>
  </w:style>
  <w:style w:type="paragraph" w:styleId="ListBullet">
    <w:name w:val="List Bullet"/>
    <w:basedOn w:val="Normal"/>
    <w:uiPriority w:val="35"/>
    <w:pPr>
      <w:numPr>
        <w:numId w:val="18"/>
      </w:numPr>
    </w:pPr>
  </w:style>
  <w:style w:type="paragraph" w:customStyle="1" w:styleId="ListBulletLevel2">
    <w:name w:val="List Bullet (Level 2)"/>
    <w:basedOn w:val="Normal"/>
    <w:uiPriority w:val="35"/>
    <w:semiHidden/>
    <w:unhideWhenUsed/>
    <w:pPr>
      <w:numPr>
        <w:ilvl w:val="1"/>
        <w:numId w:val="18"/>
      </w:numPr>
    </w:pPr>
  </w:style>
  <w:style w:type="paragraph" w:customStyle="1" w:styleId="ListBulletLevel3">
    <w:name w:val="List Bullet (Level 3)"/>
    <w:basedOn w:val="Normal"/>
    <w:uiPriority w:val="35"/>
    <w:semiHidden/>
    <w:unhideWhenUsed/>
    <w:pPr>
      <w:numPr>
        <w:ilvl w:val="2"/>
        <w:numId w:val="18"/>
      </w:numPr>
    </w:pPr>
  </w:style>
  <w:style w:type="paragraph" w:customStyle="1" w:styleId="ListBulletLevel4">
    <w:name w:val="List Bullet (Level 4)"/>
    <w:basedOn w:val="Normal"/>
    <w:uiPriority w:val="35"/>
    <w:semiHidden/>
    <w:unhideWhenUsed/>
    <w:pPr>
      <w:numPr>
        <w:ilvl w:val="3"/>
        <w:numId w:val="18"/>
      </w:numPr>
    </w:pPr>
  </w:style>
  <w:style w:type="paragraph" w:customStyle="1" w:styleId="ListBullet1">
    <w:name w:val="List Bullet 1"/>
    <w:basedOn w:val="Text1"/>
    <w:uiPriority w:val="35"/>
    <w:pPr>
      <w:numPr>
        <w:numId w:val="17"/>
      </w:numPr>
    </w:pPr>
  </w:style>
  <w:style w:type="paragraph" w:customStyle="1" w:styleId="ListBullet1Level2">
    <w:name w:val="List Bullet 1 (Level 2)"/>
    <w:basedOn w:val="Text1"/>
    <w:uiPriority w:val="35"/>
    <w:semiHidden/>
    <w:unhideWhenUsed/>
    <w:pPr>
      <w:numPr>
        <w:ilvl w:val="1"/>
        <w:numId w:val="17"/>
      </w:numPr>
    </w:pPr>
  </w:style>
  <w:style w:type="paragraph" w:customStyle="1" w:styleId="ListBullet1Level3">
    <w:name w:val="List Bullet 1 (Level 3)"/>
    <w:basedOn w:val="Text1"/>
    <w:uiPriority w:val="35"/>
    <w:semiHidden/>
    <w:unhideWhenUsed/>
    <w:pPr>
      <w:numPr>
        <w:ilvl w:val="2"/>
        <w:numId w:val="17"/>
      </w:numPr>
    </w:pPr>
  </w:style>
  <w:style w:type="paragraph" w:customStyle="1" w:styleId="ListBullet1Level4">
    <w:name w:val="List Bullet 1 (Level 4)"/>
    <w:basedOn w:val="Text1"/>
    <w:uiPriority w:val="35"/>
    <w:semiHidden/>
    <w:unhideWhenUsed/>
    <w:pPr>
      <w:numPr>
        <w:ilvl w:val="3"/>
        <w:numId w:val="17"/>
      </w:numPr>
    </w:pPr>
  </w:style>
  <w:style w:type="paragraph" w:styleId="ListBullet2">
    <w:name w:val="List Bullet 2"/>
    <w:basedOn w:val="Text2"/>
    <w:uiPriority w:val="35"/>
    <w:pPr>
      <w:numPr>
        <w:numId w:val="16"/>
      </w:numPr>
    </w:pPr>
  </w:style>
  <w:style w:type="paragraph" w:customStyle="1" w:styleId="ListBullet2Level2">
    <w:name w:val="List Bullet 2 (Level 2)"/>
    <w:basedOn w:val="Text2"/>
    <w:uiPriority w:val="35"/>
    <w:semiHidden/>
    <w:unhideWhenUsed/>
    <w:pPr>
      <w:numPr>
        <w:ilvl w:val="1"/>
        <w:numId w:val="16"/>
      </w:numPr>
    </w:pPr>
  </w:style>
  <w:style w:type="paragraph" w:customStyle="1" w:styleId="ListBullet2Level3">
    <w:name w:val="List Bullet 2 (Level 3)"/>
    <w:basedOn w:val="Text2"/>
    <w:uiPriority w:val="35"/>
    <w:semiHidden/>
    <w:unhideWhenUsed/>
    <w:pPr>
      <w:numPr>
        <w:ilvl w:val="2"/>
        <w:numId w:val="16"/>
      </w:numPr>
    </w:pPr>
  </w:style>
  <w:style w:type="paragraph" w:customStyle="1" w:styleId="ListBullet2Level4">
    <w:name w:val="List Bullet 2 (Level 4)"/>
    <w:basedOn w:val="Text2"/>
    <w:uiPriority w:val="35"/>
    <w:semiHidden/>
    <w:unhideWhenUsed/>
    <w:pPr>
      <w:numPr>
        <w:ilvl w:val="3"/>
        <w:numId w:val="16"/>
      </w:numPr>
    </w:pPr>
  </w:style>
  <w:style w:type="paragraph" w:styleId="ListBullet3">
    <w:name w:val="List Bullet 3"/>
    <w:basedOn w:val="Text3"/>
    <w:uiPriority w:val="35"/>
    <w:pPr>
      <w:numPr>
        <w:numId w:val="15"/>
      </w:numPr>
    </w:pPr>
  </w:style>
  <w:style w:type="paragraph" w:customStyle="1" w:styleId="ListBullet3Level2">
    <w:name w:val="List Bullet 3 (Level 2)"/>
    <w:basedOn w:val="Text3"/>
    <w:uiPriority w:val="35"/>
    <w:semiHidden/>
    <w:unhideWhenUsed/>
    <w:pPr>
      <w:numPr>
        <w:ilvl w:val="1"/>
        <w:numId w:val="15"/>
      </w:numPr>
    </w:pPr>
  </w:style>
  <w:style w:type="paragraph" w:customStyle="1" w:styleId="ListBullet3Level3">
    <w:name w:val="List Bullet 3 (Level 3)"/>
    <w:basedOn w:val="Text3"/>
    <w:uiPriority w:val="35"/>
    <w:semiHidden/>
    <w:unhideWhenUsed/>
    <w:pPr>
      <w:numPr>
        <w:ilvl w:val="2"/>
        <w:numId w:val="15"/>
      </w:numPr>
    </w:pPr>
  </w:style>
  <w:style w:type="paragraph" w:customStyle="1" w:styleId="ListBullet3Level4">
    <w:name w:val="List Bullet 3 (Level 4)"/>
    <w:basedOn w:val="Text3"/>
    <w:uiPriority w:val="35"/>
    <w:semiHidden/>
    <w:unhideWhenUsed/>
    <w:pPr>
      <w:numPr>
        <w:ilvl w:val="3"/>
        <w:numId w:val="15"/>
      </w:numPr>
    </w:pPr>
  </w:style>
  <w:style w:type="paragraph" w:styleId="ListBullet4">
    <w:name w:val="List Bullet 4"/>
    <w:basedOn w:val="Text4"/>
    <w:uiPriority w:val="35"/>
    <w:pPr>
      <w:numPr>
        <w:numId w:val="14"/>
      </w:numPr>
    </w:pPr>
  </w:style>
  <w:style w:type="paragraph" w:customStyle="1" w:styleId="ListBullet4Level2">
    <w:name w:val="List Bullet 4 (Level 2)"/>
    <w:basedOn w:val="Text4"/>
    <w:uiPriority w:val="35"/>
    <w:semiHidden/>
    <w:unhideWhenUsed/>
    <w:pPr>
      <w:numPr>
        <w:ilvl w:val="1"/>
        <w:numId w:val="14"/>
      </w:numPr>
    </w:pPr>
  </w:style>
  <w:style w:type="paragraph" w:customStyle="1" w:styleId="ListBullet4Level3">
    <w:name w:val="List Bullet 4 (Level 3)"/>
    <w:basedOn w:val="Text4"/>
    <w:uiPriority w:val="35"/>
    <w:semiHidden/>
    <w:unhideWhenUsed/>
    <w:pPr>
      <w:numPr>
        <w:ilvl w:val="2"/>
        <w:numId w:val="14"/>
      </w:numPr>
    </w:pPr>
  </w:style>
  <w:style w:type="paragraph" w:customStyle="1" w:styleId="ListBullet4Level4">
    <w:name w:val="List Bullet 4 (Level 4)"/>
    <w:basedOn w:val="Text4"/>
    <w:uiPriority w:val="35"/>
    <w:semiHidden/>
    <w:unhideWhenUsed/>
    <w:pPr>
      <w:numPr>
        <w:ilvl w:val="3"/>
        <w:numId w:val="14"/>
      </w:numPr>
    </w:pPr>
  </w:style>
  <w:style w:type="paragraph" w:customStyle="1" w:styleId="ListDash">
    <w:name w:val="List Dash"/>
    <w:basedOn w:val="Normal"/>
    <w:uiPriority w:val="35"/>
    <w:pPr>
      <w:numPr>
        <w:numId w:val="8"/>
      </w:numPr>
    </w:pPr>
  </w:style>
  <w:style w:type="paragraph" w:customStyle="1" w:styleId="ListDashLevel2">
    <w:name w:val="List Dash (Level 2)"/>
    <w:basedOn w:val="Normal"/>
    <w:semiHidden/>
    <w:unhideWhenUsed/>
    <w:pPr>
      <w:numPr>
        <w:ilvl w:val="1"/>
        <w:numId w:val="8"/>
      </w:numPr>
    </w:pPr>
  </w:style>
  <w:style w:type="paragraph" w:customStyle="1" w:styleId="ListDashLevel3">
    <w:name w:val="List Dash (Level 3)"/>
    <w:basedOn w:val="Normal"/>
    <w:semiHidden/>
    <w:unhideWhenUsed/>
    <w:pPr>
      <w:numPr>
        <w:ilvl w:val="2"/>
        <w:numId w:val="8"/>
      </w:numPr>
    </w:pPr>
  </w:style>
  <w:style w:type="paragraph" w:customStyle="1" w:styleId="ListDashLevel4">
    <w:name w:val="List Dash (Level 4)"/>
    <w:basedOn w:val="Normal"/>
    <w:semiHidden/>
    <w:unhideWhenUsed/>
    <w:pPr>
      <w:numPr>
        <w:ilvl w:val="3"/>
        <w:numId w:val="8"/>
      </w:numPr>
    </w:pPr>
  </w:style>
  <w:style w:type="paragraph" w:customStyle="1" w:styleId="ListDash1">
    <w:name w:val="List Dash 1"/>
    <w:basedOn w:val="Text1"/>
    <w:uiPriority w:val="35"/>
    <w:pPr>
      <w:numPr>
        <w:numId w:val="7"/>
      </w:numPr>
    </w:pPr>
  </w:style>
  <w:style w:type="paragraph" w:customStyle="1" w:styleId="ListDash1Level2">
    <w:name w:val="List Dash 1 (Level 2)"/>
    <w:basedOn w:val="Text1"/>
    <w:uiPriority w:val="35"/>
    <w:semiHidden/>
    <w:unhideWhenUsed/>
    <w:pPr>
      <w:numPr>
        <w:ilvl w:val="1"/>
        <w:numId w:val="7"/>
      </w:numPr>
    </w:pPr>
  </w:style>
  <w:style w:type="paragraph" w:customStyle="1" w:styleId="ListDash1Level3">
    <w:name w:val="List Dash 1 (Level 3)"/>
    <w:basedOn w:val="Text1"/>
    <w:uiPriority w:val="35"/>
    <w:semiHidden/>
    <w:unhideWhenUsed/>
    <w:pPr>
      <w:numPr>
        <w:ilvl w:val="2"/>
        <w:numId w:val="7"/>
      </w:numPr>
    </w:pPr>
  </w:style>
  <w:style w:type="paragraph" w:customStyle="1" w:styleId="ListDash1Level4">
    <w:name w:val="List Dash 1 (Level 4)"/>
    <w:basedOn w:val="Text1"/>
    <w:uiPriority w:val="35"/>
    <w:semiHidden/>
    <w:unhideWhenUsed/>
    <w:pPr>
      <w:numPr>
        <w:ilvl w:val="3"/>
        <w:numId w:val="7"/>
      </w:numPr>
    </w:pPr>
  </w:style>
  <w:style w:type="paragraph" w:customStyle="1" w:styleId="ListDash2">
    <w:name w:val="List Dash 2"/>
    <w:basedOn w:val="Text2"/>
    <w:uiPriority w:val="35"/>
    <w:pPr>
      <w:numPr>
        <w:numId w:val="6"/>
      </w:numPr>
    </w:pPr>
  </w:style>
  <w:style w:type="paragraph" w:customStyle="1" w:styleId="ListDash2Level2">
    <w:name w:val="List Dash 2 (Level 2)"/>
    <w:basedOn w:val="Text2"/>
    <w:uiPriority w:val="35"/>
    <w:semiHidden/>
    <w:unhideWhenUsed/>
    <w:pPr>
      <w:numPr>
        <w:ilvl w:val="1"/>
        <w:numId w:val="6"/>
      </w:numPr>
    </w:pPr>
  </w:style>
  <w:style w:type="paragraph" w:customStyle="1" w:styleId="ListDash2Level3">
    <w:name w:val="List Dash 2 (Level 3)"/>
    <w:basedOn w:val="Text2"/>
    <w:uiPriority w:val="35"/>
    <w:semiHidden/>
    <w:unhideWhenUsed/>
    <w:pPr>
      <w:numPr>
        <w:ilvl w:val="2"/>
        <w:numId w:val="6"/>
      </w:numPr>
    </w:pPr>
  </w:style>
  <w:style w:type="paragraph" w:customStyle="1" w:styleId="ListDash2Level4">
    <w:name w:val="List Dash 2 (Level 4)"/>
    <w:basedOn w:val="Text2"/>
    <w:uiPriority w:val="35"/>
    <w:semiHidden/>
    <w:unhideWhenUsed/>
    <w:pPr>
      <w:numPr>
        <w:ilvl w:val="3"/>
        <w:numId w:val="6"/>
      </w:numPr>
    </w:pPr>
  </w:style>
  <w:style w:type="paragraph" w:customStyle="1" w:styleId="ListDash3">
    <w:name w:val="List Dash 3"/>
    <w:basedOn w:val="Text3"/>
    <w:uiPriority w:val="35"/>
    <w:pPr>
      <w:numPr>
        <w:numId w:val="5"/>
      </w:numPr>
    </w:pPr>
  </w:style>
  <w:style w:type="paragraph" w:customStyle="1" w:styleId="ListDash3Level2">
    <w:name w:val="List Dash 3 (Level 2)"/>
    <w:basedOn w:val="Text3"/>
    <w:uiPriority w:val="35"/>
    <w:semiHidden/>
    <w:unhideWhenUsed/>
    <w:pPr>
      <w:numPr>
        <w:ilvl w:val="1"/>
        <w:numId w:val="5"/>
      </w:numPr>
    </w:pPr>
  </w:style>
  <w:style w:type="paragraph" w:customStyle="1" w:styleId="ListDash3Level3">
    <w:name w:val="List Dash 3 (Level 3)"/>
    <w:basedOn w:val="Text3"/>
    <w:uiPriority w:val="35"/>
    <w:semiHidden/>
    <w:unhideWhenUsed/>
    <w:pPr>
      <w:numPr>
        <w:ilvl w:val="2"/>
        <w:numId w:val="5"/>
      </w:numPr>
    </w:pPr>
  </w:style>
  <w:style w:type="paragraph" w:customStyle="1" w:styleId="ListDash3Level4">
    <w:name w:val="List Dash 3 (Level 4)"/>
    <w:basedOn w:val="Text3"/>
    <w:uiPriority w:val="35"/>
    <w:semiHidden/>
    <w:unhideWhenUsed/>
    <w:pPr>
      <w:numPr>
        <w:ilvl w:val="3"/>
        <w:numId w:val="5"/>
      </w:numPr>
    </w:pPr>
  </w:style>
  <w:style w:type="paragraph" w:customStyle="1" w:styleId="ListDash4">
    <w:name w:val="List Dash 4"/>
    <w:basedOn w:val="Text4"/>
    <w:uiPriority w:val="35"/>
    <w:pPr>
      <w:numPr>
        <w:numId w:val="4"/>
      </w:numPr>
    </w:pPr>
  </w:style>
  <w:style w:type="paragraph" w:customStyle="1" w:styleId="ListDash4Level2">
    <w:name w:val="List Dash 4 (Level 2)"/>
    <w:basedOn w:val="Text4"/>
    <w:uiPriority w:val="35"/>
    <w:semiHidden/>
    <w:unhideWhenUsed/>
    <w:pPr>
      <w:numPr>
        <w:ilvl w:val="1"/>
        <w:numId w:val="4"/>
      </w:numPr>
    </w:pPr>
  </w:style>
  <w:style w:type="paragraph" w:customStyle="1" w:styleId="ListDash4Level3">
    <w:name w:val="List Dash 4 (Level 3)"/>
    <w:basedOn w:val="Text4"/>
    <w:uiPriority w:val="35"/>
    <w:semiHidden/>
    <w:unhideWhenUsed/>
    <w:pPr>
      <w:numPr>
        <w:ilvl w:val="2"/>
        <w:numId w:val="4"/>
      </w:numPr>
    </w:pPr>
  </w:style>
  <w:style w:type="paragraph" w:customStyle="1" w:styleId="ListDash4Level4">
    <w:name w:val="List Dash 4 (Level 4)"/>
    <w:basedOn w:val="Text4"/>
    <w:uiPriority w:val="35"/>
    <w:semiHidden/>
    <w:unhideWhenUsed/>
    <w:pPr>
      <w:numPr>
        <w:ilvl w:val="3"/>
        <w:numId w:val="4"/>
      </w:numPr>
    </w:pPr>
  </w:style>
  <w:style w:type="paragraph" w:styleId="ListNumber">
    <w:name w:val="List Number"/>
    <w:basedOn w:val="Normal"/>
    <w:uiPriority w:val="30"/>
    <w:pPr>
      <w:numPr>
        <w:numId w:val="13"/>
      </w:numPr>
    </w:pPr>
  </w:style>
  <w:style w:type="paragraph" w:customStyle="1" w:styleId="ListNumberLevel2">
    <w:name w:val="List Number (Level 2)"/>
    <w:basedOn w:val="Normal"/>
    <w:uiPriority w:val="30"/>
    <w:pPr>
      <w:numPr>
        <w:ilvl w:val="1"/>
        <w:numId w:val="13"/>
      </w:numPr>
    </w:pPr>
  </w:style>
  <w:style w:type="paragraph" w:customStyle="1" w:styleId="ListNumberLevel3">
    <w:name w:val="List Number (Level 3)"/>
    <w:basedOn w:val="Normal"/>
    <w:uiPriority w:val="30"/>
    <w:pPr>
      <w:numPr>
        <w:ilvl w:val="2"/>
        <w:numId w:val="13"/>
      </w:numPr>
    </w:pPr>
  </w:style>
  <w:style w:type="paragraph" w:customStyle="1" w:styleId="ListNumberLevel4">
    <w:name w:val="List Number (Level 4)"/>
    <w:basedOn w:val="Normal"/>
    <w:uiPriority w:val="30"/>
    <w:pPr>
      <w:numPr>
        <w:ilvl w:val="3"/>
        <w:numId w:val="13"/>
      </w:numPr>
    </w:pPr>
  </w:style>
  <w:style w:type="paragraph" w:customStyle="1" w:styleId="ListNumber1">
    <w:name w:val="List Number 1"/>
    <w:basedOn w:val="Text1"/>
    <w:uiPriority w:val="30"/>
    <w:pPr>
      <w:numPr>
        <w:numId w:val="12"/>
      </w:numPr>
      <w:tabs>
        <w:tab w:val="clear" w:pos="1191"/>
        <w:tab w:val="num" w:pos="360"/>
      </w:tabs>
      <w:ind w:left="482" w:firstLine="0"/>
    </w:pPr>
  </w:style>
  <w:style w:type="paragraph" w:customStyle="1" w:styleId="ListNumber1Level2">
    <w:name w:val="List Number 1 (Level 2)"/>
    <w:basedOn w:val="Text1"/>
    <w:uiPriority w:val="30"/>
    <w:unhideWhenUsed/>
    <w:pPr>
      <w:numPr>
        <w:ilvl w:val="1"/>
        <w:numId w:val="12"/>
      </w:numPr>
      <w:tabs>
        <w:tab w:val="clear" w:pos="1899"/>
        <w:tab w:val="num" w:pos="360"/>
      </w:tabs>
      <w:ind w:left="482" w:firstLine="0"/>
    </w:pPr>
  </w:style>
  <w:style w:type="paragraph" w:customStyle="1" w:styleId="ListNumber1Level3">
    <w:name w:val="List Number 1 (Level 3)"/>
    <w:basedOn w:val="Text1"/>
    <w:uiPriority w:val="30"/>
    <w:semiHidden/>
    <w:unhideWhenUsed/>
    <w:pPr>
      <w:numPr>
        <w:ilvl w:val="2"/>
        <w:numId w:val="12"/>
      </w:numPr>
      <w:tabs>
        <w:tab w:val="clear" w:pos="2608"/>
        <w:tab w:val="num" w:pos="360"/>
      </w:tabs>
      <w:ind w:left="482" w:firstLine="0"/>
    </w:pPr>
  </w:style>
  <w:style w:type="paragraph" w:customStyle="1" w:styleId="ListNumber1Level4">
    <w:name w:val="List Number 1 (Level 4)"/>
    <w:basedOn w:val="Text1"/>
    <w:uiPriority w:val="30"/>
    <w:semiHidden/>
    <w:unhideWhenUsed/>
    <w:pPr>
      <w:numPr>
        <w:ilvl w:val="3"/>
        <w:numId w:val="12"/>
      </w:numPr>
      <w:tabs>
        <w:tab w:val="clear" w:pos="3317"/>
        <w:tab w:val="num" w:pos="360"/>
      </w:tabs>
      <w:ind w:left="482" w:firstLine="0"/>
    </w:pPr>
  </w:style>
  <w:style w:type="paragraph" w:styleId="ListNumber2">
    <w:name w:val="List Number 2"/>
    <w:basedOn w:val="Text2"/>
    <w:uiPriority w:val="30"/>
    <w:pPr>
      <w:numPr>
        <w:numId w:val="11"/>
      </w:numPr>
    </w:pPr>
  </w:style>
  <w:style w:type="paragraph" w:customStyle="1" w:styleId="ListNumber2Level2">
    <w:name w:val="List Number 2 (Level 2)"/>
    <w:basedOn w:val="Text2"/>
    <w:uiPriority w:val="30"/>
    <w:semiHidden/>
    <w:unhideWhenUsed/>
    <w:pPr>
      <w:numPr>
        <w:ilvl w:val="1"/>
        <w:numId w:val="11"/>
      </w:numPr>
    </w:pPr>
  </w:style>
  <w:style w:type="paragraph" w:customStyle="1" w:styleId="ListNumber2Level3">
    <w:name w:val="List Number 2 (Level 3)"/>
    <w:basedOn w:val="Text2"/>
    <w:uiPriority w:val="30"/>
    <w:semiHidden/>
    <w:unhideWhenUsed/>
    <w:pPr>
      <w:numPr>
        <w:ilvl w:val="2"/>
        <w:numId w:val="11"/>
      </w:numPr>
    </w:pPr>
  </w:style>
  <w:style w:type="paragraph" w:customStyle="1" w:styleId="ListNumber2Level4">
    <w:name w:val="List Number 2 (Level 4)"/>
    <w:basedOn w:val="Text2"/>
    <w:uiPriority w:val="30"/>
    <w:semiHidden/>
    <w:unhideWhenUsed/>
    <w:pPr>
      <w:numPr>
        <w:ilvl w:val="3"/>
        <w:numId w:val="11"/>
      </w:numPr>
    </w:pPr>
  </w:style>
  <w:style w:type="paragraph" w:styleId="ListNumber3">
    <w:name w:val="List Number 3"/>
    <w:basedOn w:val="Text3"/>
    <w:uiPriority w:val="30"/>
    <w:pPr>
      <w:numPr>
        <w:numId w:val="10"/>
      </w:numPr>
    </w:pPr>
  </w:style>
  <w:style w:type="paragraph" w:customStyle="1" w:styleId="ListNumber3Level2">
    <w:name w:val="List Number 3 (Level 2)"/>
    <w:basedOn w:val="Text3"/>
    <w:uiPriority w:val="30"/>
    <w:semiHidden/>
    <w:unhideWhenUsed/>
    <w:pPr>
      <w:numPr>
        <w:ilvl w:val="1"/>
        <w:numId w:val="10"/>
      </w:numPr>
    </w:pPr>
  </w:style>
  <w:style w:type="paragraph" w:customStyle="1" w:styleId="ListNumber3Level3">
    <w:name w:val="List Number 3 (Level 3)"/>
    <w:basedOn w:val="Text3"/>
    <w:uiPriority w:val="30"/>
    <w:semiHidden/>
    <w:unhideWhenUsed/>
    <w:pPr>
      <w:numPr>
        <w:ilvl w:val="2"/>
        <w:numId w:val="10"/>
      </w:numPr>
    </w:pPr>
  </w:style>
  <w:style w:type="paragraph" w:customStyle="1" w:styleId="ListNumber3Level4">
    <w:name w:val="List Number 3 (Level 4)"/>
    <w:basedOn w:val="Text3"/>
    <w:uiPriority w:val="30"/>
    <w:semiHidden/>
    <w:unhideWhenUsed/>
    <w:pPr>
      <w:numPr>
        <w:ilvl w:val="3"/>
        <w:numId w:val="10"/>
      </w:numPr>
    </w:pPr>
  </w:style>
  <w:style w:type="paragraph" w:styleId="ListNumber4">
    <w:name w:val="List Number 4"/>
    <w:basedOn w:val="Text4"/>
    <w:uiPriority w:val="30"/>
    <w:pPr>
      <w:numPr>
        <w:numId w:val="9"/>
      </w:numPr>
    </w:pPr>
  </w:style>
  <w:style w:type="paragraph" w:customStyle="1" w:styleId="ListNumber4Level2">
    <w:name w:val="List Number 4 (Level 2)"/>
    <w:basedOn w:val="Text4"/>
    <w:uiPriority w:val="30"/>
    <w:semiHidden/>
    <w:unhideWhenUsed/>
    <w:pPr>
      <w:numPr>
        <w:ilvl w:val="1"/>
        <w:numId w:val="9"/>
      </w:numPr>
    </w:pPr>
  </w:style>
  <w:style w:type="paragraph" w:customStyle="1" w:styleId="ListNumber4Level3">
    <w:name w:val="List Number 4 (Level 3)"/>
    <w:basedOn w:val="Text4"/>
    <w:uiPriority w:val="30"/>
    <w:semiHidden/>
    <w:unhideWhenUsed/>
    <w:pPr>
      <w:numPr>
        <w:ilvl w:val="2"/>
        <w:numId w:val="9"/>
      </w:numPr>
    </w:pPr>
  </w:style>
  <w:style w:type="paragraph" w:customStyle="1" w:styleId="ListNumber4Level4">
    <w:name w:val="List Number 4 (Level 4)"/>
    <w:basedOn w:val="Text4"/>
    <w:uiPriority w:val="30"/>
    <w:semiHidden/>
    <w:unhideWhenUsed/>
    <w:pPr>
      <w:numPr>
        <w:ilvl w:val="3"/>
        <w:numId w:val="9"/>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3"/>
      </w:numPr>
    </w:pPr>
  </w:style>
  <w:style w:type="paragraph" w:customStyle="1" w:styleId="TableListBulletLevel2">
    <w:name w:val="Table List Bullet (Level 2)"/>
    <w:basedOn w:val="TableText"/>
    <w:uiPriority w:val="55"/>
    <w:semiHidden/>
    <w:unhideWhenUsed/>
    <w:pPr>
      <w:numPr>
        <w:ilvl w:val="1"/>
        <w:numId w:val="23"/>
      </w:numPr>
    </w:pPr>
  </w:style>
  <w:style w:type="paragraph" w:customStyle="1" w:styleId="TableListBulletLevel3">
    <w:name w:val="Table List Bullet (Level 3)"/>
    <w:basedOn w:val="TableText"/>
    <w:uiPriority w:val="55"/>
    <w:semiHidden/>
    <w:unhideWhenUsed/>
    <w:pPr>
      <w:numPr>
        <w:ilvl w:val="2"/>
        <w:numId w:val="23"/>
      </w:numPr>
    </w:pPr>
  </w:style>
  <w:style w:type="paragraph" w:customStyle="1" w:styleId="TableListBulletLevel4">
    <w:name w:val="Table List Bullet (Level 4)"/>
    <w:basedOn w:val="TableText"/>
    <w:uiPriority w:val="55"/>
    <w:semiHidden/>
    <w:unhideWhenUsed/>
    <w:pPr>
      <w:numPr>
        <w:ilvl w:val="3"/>
        <w:numId w:val="23"/>
      </w:numPr>
    </w:pPr>
  </w:style>
  <w:style w:type="paragraph" w:customStyle="1" w:styleId="TableListDash">
    <w:name w:val="Table List Dash"/>
    <w:basedOn w:val="TableText"/>
    <w:uiPriority w:val="55"/>
    <w:pPr>
      <w:numPr>
        <w:numId w:val="24"/>
      </w:numPr>
    </w:pPr>
  </w:style>
  <w:style w:type="paragraph" w:customStyle="1" w:styleId="TableListDashLevel2">
    <w:name w:val="Table List Dash (Level 2)"/>
    <w:basedOn w:val="TableText"/>
    <w:uiPriority w:val="55"/>
    <w:semiHidden/>
    <w:unhideWhenUsed/>
    <w:pPr>
      <w:numPr>
        <w:ilvl w:val="1"/>
        <w:numId w:val="24"/>
      </w:numPr>
    </w:pPr>
  </w:style>
  <w:style w:type="paragraph" w:customStyle="1" w:styleId="TableListDashLevel3">
    <w:name w:val="Table List Dash (Level 3)"/>
    <w:basedOn w:val="TableText"/>
    <w:uiPriority w:val="55"/>
    <w:semiHidden/>
    <w:unhideWhenUsed/>
    <w:pPr>
      <w:numPr>
        <w:ilvl w:val="2"/>
        <w:numId w:val="24"/>
      </w:numPr>
    </w:pPr>
  </w:style>
  <w:style w:type="paragraph" w:customStyle="1" w:styleId="TableListDashLevel4">
    <w:name w:val="Table List Dash (Level 4)"/>
    <w:basedOn w:val="TableText"/>
    <w:uiPriority w:val="55"/>
    <w:semiHidden/>
    <w:unhideWhenUsed/>
    <w:pPr>
      <w:numPr>
        <w:ilvl w:val="3"/>
        <w:numId w:val="24"/>
      </w:numPr>
    </w:pPr>
  </w:style>
  <w:style w:type="paragraph" w:customStyle="1" w:styleId="TableListNumber">
    <w:name w:val="Table List Number"/>
    <w:basedOn w:val="TableText"/>
    <w:uiPriority w:val="55"/>
    <w:pPr>
      <w:numPr>
        <w:numId w:val="25"/>
      </w:numPr>
    </w:pPr>
  </w:style>
  <w:style w:type="paragraph" w:customStyle="1" w:styleId="TableListNumberLevel2">
    <w:name w:val="Table List Number (Level 2)"/>
    <w:basedOn w:val="TableText"/>
    <w:uiPriority w:val="55"/>
    <w:semiHidden/>
    <w:unhideWhenUsed/>
    <w:pPr>
      <w:numPr>
        <w:ilvl w:val="1"/>
        <w:numId w:val="25"/>
      </w:numPr>
    </w:pPr>
  </w:style>
  <w:style w:type="paragraph" w:customStyle="1" w:styleId="TableListNumberLevel3">
    <w:name w:val="Table List Number (Level 3)"/>
    <w:basedOn w:val="TableText"/>
    <w:uiPriority w:val="55"/>
    <w:semiHidden/>
    <w:unhideWhenUsed/>
    <w:pPr>
      <w:numPr>
        <w:ilvl w:val="2"/>
        <w:numId w:val="25"/>
      </w:numPr>
    </w:pPr>
  </w:style>
  <w:style w:type="paragraph" w:customStyle="1" w:styleId="TableListNumberLevel4">
    <w:name w:val="Table List Number (Level 4)"/>
    <w:basedOn w:val="TableText"/>
    <w:uiPriority w:val="55"/>
    <w:semiHidden/>
    <w:unhideWhenUsed/>
    <w:pPr>
      <w:numPr>
        <w:ilvl w:val="3"/>
        <w:numId w:val="25"/>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UnresolvedMention">
    <w:name w:val="Unresolved Mention"/>
    <w:basedOn w:val="DefaultParagraphFont"/>
    <w:uiPriority w:val="99"/>
    <w:semiHidden/>
    <w:unhideWhenUsed/>
    <w:rsid w:val="004123CD"/>
    <w:rPr>
      <w:color w:val="605E5C"/>
      <w:shd w:val="clear" w:color="auto" w:fill="E1DFDD"/>
    </w:rPr>
  </w:style>
  <w:style w:type="paragraph" w:customStyle="1" w:styleId="paragraph">
    <w:name w:val="paragraph"/>
    <w:basedOn w:val="Normal"/>
    <w:rsid w:val="004123CD"/>
    <w:pPr>
      <w:spacing w:before="100" w:beforeAutospacing="1" w:after="100" w:afterAutospacing="1"/>
      <w:jc w:val="left"/>
    </w:pPr>
    <w:rPr>
      <w:szCs w:val="24"/>
      <w:lang w:eastAsia="en-IE"/>
    </w:rPr>
  </w:style>
  <w:style w:type="character" w:customStyle="1" w:styleId="normaltextrun">
    <w:name w:val="normaltextrun"/>
    <w:basedOn w:val="DefaultParagraphFont"/>
    <w:rsid w:val="004123CD"/>
  </w:style>
  <w:style w:type="character" w:customStyle="1" w:styleId="eop">
    <w:name w:val="eop"/>
    <w:basedOn w:val="DefaultParagraphFont"/>
    <w:rsid w:val="004123CD"/>
  </w:style>
  <w:style w:type="character" w:customStyle="1" w:styleId="superscript">
    <w:name w:val="superscript"/>
    <w:basedOn w:val="DefaultParagraphFont"/>
    <w:rsid w:val="004123CD"/>
  </w:style>
  <w:style w:type="character" w:customStyle="1" w:styleId="Mention">
    <w:name w:val="Mention"/>
    <w:basedOn w:val="DefaultParagraphFont"/>
    <w:uiPriority w:val="99"/>
    <w:unhideWhenUsed/>
    <w:rsid w:val="00CC2351"/>
    <w:rPr>
      <w:color w:val="2B579A"/>
      <w:shd w:val="clear" w:color="auto" w:fill="E1DFDD"/>
    </w:rPr>
  </w:style>
  <w:style w:type="paragraph" w:customStyle="1" w:styleId="Languesfaisantfoi">
    <w:name w:val="Langues faisant foi"/>
    <w:basedOn w:val="Normal"/>
    <w:next w:val="Normal"/>
    <w:rsid w:val="0076530B"/>
    <w:pPr>
      <w:spacing w:before="360"/>
      <w:jc w:val="center"/>
    </w:pPr>
    <w:rPr>
      <w:rFonts w:eastAsiaTheme="minorHAnsi"/>
      <w:szCs w:val="22"/>
    </w:rPr>
  </w:style>
  <w:style w:type="paragraph" w:customStyle="1" w:styleId="LanguesfaisantfoiPagedecouverture">
    <w:name w:val="Langues faisant foi (Page de couverture)"/>
    <w:basedOn w:val="Normal"/>
    <w:next w:val="Normal"/>
    <w:rsid w:val="0076530B"/>
    <w:pPr>
      <w:spacing w:before="360"/>
      <w:jc w:val="center"/>
    </w:pPr>
    <w:rPr>
      <w:rFonts w:eastAsiaTheme="minorHAnsi"/>
      <w:szCs w:val="22"/>
    </w:rPr>
  </w:style>
  <w:style w:type="paragraph" w:customStyle="1" w:styleId="IntrtEEE">
    <w:name w:val="Intérêt EEE"/>
    <w:basedOn w:val="Languesfaisantfoi"/>
    <w:next w:val="Normal"/>
    <w:rsid w:val="0076530B"/>
    <w:pPr>
      <w:spacing w:after="0"/>
    </w:pPr>
  </w:style>
  <w:style w:type="paragraph" w:customStyle="1" w:styleId="IntrtEEEPagedecouverture">
    <w:name w:val="Intérêt EEE (Page de couverture)"/>
    <w:basedOn w:val="IntrtEEE"/>
    <w:next w:val="Normal"/>
    <w:rsid w:val="007653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432395">
      <w:bodyDiv w:val="1"/>
      <w:marLeft w:val="0"/>
      <w:marRight w:val="0"/>
      <w:marTop w:val="0"/>
      <w:marBottom w:val="0"/>
      <w:divBdr>
        <w:top w:val="none" w:sz="0" w:space="0" w:color="auto"/>
        <w:left w:val="none" w:sz="0" w:space="0" w:color="auto"/>
        <w:bottom w:val="none" w:sz="0" w:space="0" w:color="auto"/>
        <w:right w:val="none" w:sz="0" w:space="0" w:color="auto"/>
      </w:divBdr>
      <w:divsChild>
        <w:div w:id="778178327">
          <w:marLeft w:val="0"/>
          <w:marRight w:val="0"/>
          <w:marTop w:val="0"/>
          <w:marBottom w:val="0"/>
          <w:divBdr>
            <w:top w:val="none" w:sz="0" w:space="0" w:color="auto"/>
            <w:left w:val="none" w:sz="0" w:space="0" w:color="auto"/>
            <w:bottom w:val="none" w:sz="0" w:space="0" w:color="auto"/>
            <w:right w:val="none" w:sz="0" w:space="0" w:color="auto"/>
          </w:divBdr>
        </w:div>
        <w:div w:id="835921094">
          <w:marLeft w:val="0"/>
          <w:marRight w:val="0"/>
          <w:marTop w:val="0"/>
          <w:marBottom w:val="0"/>
          <w:divBdr>
            <w:top w:val="none" w:sz="0" w:space="0" w:color="auto"/>
            <w:left w:val="none" w:sz="0" w:space="0" w:color="auto"/>
            <w:bottom w:val="none" w:sz="0" w:space="0" w:color="auto"/>
            <w:right w:val="none" w:sz="0" w:space="0" w:color="auto"/>
          </w:divBdr>
        </w:div>
        <w:div w:id="1279987364">
          <w:marLeft w:val="0"/>
          <w:marRight w:val="0"/>
          <w:marTop w:val="0"/>
          <w:marBottom w:val="0"/>
          <w:divBdr>
            <w:top w:val="none" w:sz="0" w:space="0" w:color="auto"/>
            <w:left w:val="none" w:sz="0" w:space="0" w:color="auto"/>
            <w:bottom w:val="none" w:sz="0" w:space="0" w:color="auto"/>
            <w:right w:val="none" w:sz="0" w:space="0" w:color="auto"/>
          </w:divBdr>
        </w:div>
        <w:div w:id="1836728788">
          <w:marLeft w:val="0"/>
          <w:marRight w:val="0"/>
          <w:marTop w:val="0"/>
          <w:marBottom w:val="0"/>
          <w:divBdr>
            <w:top w:val="none" w:sz="0" w:space="0" w:color="auto"/>
            <w:left w:val="none" w:sz="0" w:space="0" w:color="auto"/>
            <w:bottom w:val="none" w:sz="0" w:space="0" w:color="auto"/>
            <w:right w:val="none" w:sz="0" w:space="0" w:color="auto"/>
          </w:divBdr>
        </w:div>
      </w:divsChild>
    </w:div>
    <w:div w:id="265424624">
      <w:bodyDiv w:val="1"/>
      <w:marLeft w:val="0"/>
      <w:marRight w:val="0"/>
      <w:marTop w:val="0"/>
      <w:marBottom w:val="0"/>
      <w:divBdr>
        <w:top w:val="none" w:sz="0" w:space="0" w:color="auto"/>
        <w:left w:val="none" w:sz="0" w:space="0" w:color="auto"/>
        <w:bottom w:val="none" w:sz="0" w:space="0" w:color="auto"/>
        <w:right w:val="none" w:sz="0" w:space="0" w:color="auto"/>
      </w:divBdr>
    </w:div>
    <w:div w:id="345329421">
      <w:bodyDiv w:val="1"/>
      <w:marLeft w:val="0"/>
      <w:marRight w:val="0"/>
      <w:marTop w:val="0"/>
      <w:marBottom w:val="0"/>
      <w:divBdr>
        <w:top w:val="none" w:sz="0" w:space="0" w:color="auto"/>
        <w:left w:val="none" w:sz="0" w:space="0" w:color="auto"/>
        <w:bottom w:val="none" w:sz="0" w:space="0" w:color="auto"/>
        <w:right w:val="none" w:sz="0" w:space="0" w:color="auto"/>
      </w:divBdr>
    </w:div>
    <w:div w:id="353728441">
      <w:bodyDiv w:val="1"/>
      <w:marLeft w:val="0"/>
      <w:marRight w:val="0"/>
      <w:marTop w:val="0"/>
      <w:marBottom w:val="0"/>
      <w:divBdr>
        <w:top w:val="none" w:sz="0" w:space="0" w:color="auto"/>
        <w:left w:val="none" w:sz="0" w:space="0" w:color="auto"/>
        <w:bottom w:val="none" w:sz="0" w:space="0" w:color="auto"/>
        <w:right w:val="none" w:sz="0" w:space="0" w:color="auto"/>
      </w:divBdr>
    </w:div>
    <w:div w:id="372535880">
      <w:bodyDiv w:val="1"/>
      <w:marLeft w:val="0"/>
      <w:marRight w:val="0"/>
      <w:marTop w:val="0"/>
      <w:marBottom w:val="0"/>
      <w:divBdr>
        <w:top w:val="none" w:sz="0" w:space="0" w:color="auto"/>
        <w:left w:val="none" w:sz="0" w:space="0" w:color="auto"/>
        <w:bottom w:val="none" w:sz="0" w:space="0" w:color="auto"/>
        <w:right w:val="none" w:sz="0" w:space="0" w:color="auto"/>
      </w:divBdr>
    </w:div>
    <w:div w:id="438572915">
      <w:bodyDiv w:val="1"/>
      <w:marLeft w:val="0"/>
      <w:marRight w:val="0"/>
      <w:marTop w:val="0"/>
      <w:marBottom w:val="0"/>
      <w:divBdr>
        <w:top w:val="none" w:sz="0" w:space="0" w:color="auto"/>
        <w:left w:val="none" w:sz="0" w:space="0" w:color="auto"/>
        <w:bottom w:val="none" w:sz="0" w:space="0" w:color="auto"/>
        <w:right w:val="none" w:sz="0" w:space="0" w:color="auto"/>
      </w:divBdr>
    </w:div>
    <w:div w:id="444926923">
      <w:bodyDiv w:val="1"/>
      <w:marLeft w:val="0"/>
      <w:marRight w:val="0"/>
      <w:marTop w:val="0"/>
      <w:marBottom w:val="0"/>
      <w:divBdr>
        <w:top w:val="none" w:sz="0" w:space="0" w:color="auto"/>
        <w:left w:val="none" w:sz="0" w:space="0" w:color="auto"/>
        <w:bottom w:val="none" w:sz="0" w:space="0" w:color="auto"/>
        <w:right w:val="none" w:sz="0" w:space="0" w:color="auto"/>
      </w:divBdr>
      <w:divsChild>
        <w:div w:id="1163930936">
          <w:marLeft w:val="0"/>
          <w:marRight w:val="0"/>
          <w:marTop w:val="0"/>
          <w:marBottom w:val="0"/>
          <w:divBdr>
            <w:top w:val="none" w:sz="0" w:space="0" w:color="auto"/>
            <w:left w:val="none" w:sz="0" w:space="0" w:color="auto"/>
            <w:bottom w:val="none" w:sz="0" w:space="0" w:color="auto"/>
            <w:right w:val="none" w:sz="0" w:space="0" w:color="auto"/>
          </w:divBdr>
        </w:div>
        <w:div w:id="1189417255">
          <w:marLeft w:val="0"/>
          <w:marRight w:val="0"/>
          <w:marTop w:val="0"/>
          <w:marBottom w:val="0"/>
          <w:divBdr>
            <w:top w:val="none" w:sz="0" w:space="0" w:color="auto"/>
            <w:left w:val="none" w:sz="0" w:space="0" w:color="auto"/>
            <w:bottom w:val="none" w:sz="0" w:space="0" w:color="auto"/>
            <w:right w:val="none" w:sz="0" w:space="0" w:color="auto"/>
          </w:divBdr>
        </w:div>
        <w:div w:id="1385064951">
          <w:marLeft w:val="0"/>
          <w:marRight w:val="0"/>
          <w:marTop w:val="0"/>
          <w:marBottom w:val="0"/>
          <w:divBdr>
            <w:top w:val="none" w:sz="0" w:space="0" w:color="auto"/>
            <w:left w:val="none" w:sz="0" w:space="0" w:color="auto"/>
            <w:bottom w:val="none" w:sz="0" w:space="0" w:color="auto"/>
            <w:right w:val="none" w:sz="0" w:space="0" w:color="auto"/>
          </w:divBdr>
        </w:div>
        <w:div w:id="1502617474">
          <w:marLeft w:val="0"/>
          <w:marRight w:val="0"/>
          <w:marTop w:val="0"/>
          <w:marBottom w:val="0"/>
          <w:divBdr>
            <w:top w:val="none" w:sz="0" w:space="0" w:color="auto"/>
            <w:left w:val="none" w:sz="0" w:space="0" w:color="auto"/>
            <w:bottom w:val="none" w:sz="0" w:space="0" w:color="auto"/>
            <w:right w:val="none" w:sz="0" w:space="0" w:color="auto"/>
          </w:divBdr>
        </w:div>
      </w:divsChild>
    </w:div>
    <w:div w:id="589781629">
      <w:bodyDiv w:val="1"/>
      <w:marLeft w:val="0"/>
      <w:marRight w:val="0"/>
      <w:marTop w:val="0"/>
      <w:marBottom w:val="0"/>
      <w:divBdr>
        <w:top w:val="none" w:sz="0" w:space="0" w:color="auto"/>
        <w:left w:val="none" w:sz="0" w:space="0" w:color="auto"/>
        <w:bottom w:val="none" w:sz="0" w:space="0" w:color="auto"/>
        <w:right w:val="none" w:sz="0" w:space="0" w:color="auto"/>
      </w:divBdr>
    </w:div>
    <w:div w:id="687485747">
      <w:bodyDiv w:val="1"/>
      <w:marLeft w:val="0"/>
      <w:marRight w:val="0"/>
      <w:marTop w:val="0"/>
      <w:marBottom w:val="0"/>
      <w:divBdr>
        <w:top w:val="none" w:sz="0" w:space="0" w:color="auto"/>
        <w:left w:val="none" w:sz="0" w:space="0" w:color="auto"/>
        <w:bottom w:val="none" w:sz="0" w:space="0" w:color="auto"/>
        <w:right w:val="none" w:sz="0" w:space="0" w:color="auto"/>
      </w:divBdr>
    </w:div>
    <w:div w:id="911043446">
      <w:bodyDiv w:val="1"/>
      <w:marLeft w:val="0"/>
      <w:marRight w:val="0"/>
      <w:marTop w:val="0"/>
      <w:marBottom w:val="0"/>
      <w:divBdr>
        <w:top w:val="none" w:sz="0" w:space="0" w:color="auto"/>
        <w:left w:val="none" w:sz="0" w:space="0" w:color="auto"/>
        <w:bottom w:val="none" w:sz="0" w:space="0" w:color="auto"/>
        <w:right w:val="none" w:sz="0" w:space="0" w:color="auto"/>
      </w:divBdr>
    </w:div>
    <w:div w:id="953832599">
      <w:bodyDiv w:val="1"/>
      <w:marLeft w:val="0"/>
      <w:marRight w:val="0"/>
      <w:marTop w:val="0"/>
      <w:marBottom w:val="0"/>
      <w:divBdr>
        <w:top w:val="none" w:sz="0" w:space="0" w:color="auto"/>
        <w:left w:val="none" w:sz="0" w:space="0" w:color="auto"/>
        <w:bottom w:val="none" w:sz="0" w:space="0" w:color="auto"/>
        <w:right w:val="none" w:sz="0" w:space="0" w:color="auto"/>
      </w:divBdr>
    </w:div>
    <w:div w:id="1230651363">
      <w:bodyDiv w:val="1"/>
      <w:marLeft w:val="0"/>
      <w:marRight w:val="0"/>
      <w:marTop w:val="0"/>
      <w:marBottom w:val="0"/>
      <w:divBdr>
        <w:top w:val="none" w:sz="0" w:space="0" w:color="auto"/>
        <w:left w:val="none" w:sz="0" w:space="0" w:color="auto"/>
        <w:bottom w:val="none" w:sz="0" w:space="0" w:color="auto"/>
        <w:right w:val="none" w:sz="0" w:space="0" w:color="auto"/>
      </w:divBdr>
    </w:div>
    <w:div w:id="1245214788">
      <w:bodyDiv w:val="1"/>
      <w:marLeft w:val="0"/>
      <w:marRight w:val="0"/>
      <w:marTop w:val="0"/>
      <w:marBottom w:val="0"/>
      <w:divBdr>
        <w:top w:val="none" w:sz="0" w:space="0" w:color="auto"/>
        <w:left w:val="none" w:sz="0" w:space="0" w:color="auto"/>
        <w:bottom w:val="none" w:sz="0" w:space="0" w:color="auto"/>
        <w:right w:val="none" w:sz="0" w:space="0" w:color="auto"/>
      </w:divBdr>
    </w:div>
    <w:div w:id="1308631377">
      <w:bodyDiv w:val="1"/>
      <w:marLeft w:val="0"/>
      <w:marRight w:val="0"/>
      <w:marTop w:val="0"/>
      <w:marBottom w:val="0"/>
      <w:divBdr>
        <w:top w:val="none" w:sz="0" w:space="0" w:color="auto"/>
        <w:left w:val="none" w:sz="0" w:space="0" w:color="auto"/>
        <w:bottom w:val="none" w:sz="0" w:space="0" w:color="auto"/>
        <w:right w:val="none" w:sz="0" w:space="0" w:color="auto"/>
      </w:divBdr>
    </w:div>
    <w:div w:id="1522207479">
      <w:bodyDiv w:val="1"/>
      <w:marLeft w:val="0"/>
      <w:marRight w:val="0"/>
      <w:marTop w:val="0"/>
      <w:marBottom w:val="0"/>
      <w:divBdr>
        <w:top w:val="none" w:sz="0" w:space="0" w:color="auto"/>
        <w:left w:val="none" w:sz="0" w:space="0" w:color="auto"/>
        <w:bottom w:val="none" w:sz="0" w:space="0" w:color="auto"/>
        <w:right w:val="none" w:sz="0" w:space="0" w:color="auto"/>
      </w:divBdr>
    </w:div>
    <w:div w:id="1556355578">
      <w:bodyDiv w:val="1"/>
      <w:marLeft w:val="0"/>
      <w:marRight w:val="0"/>
      <w:marTop w:val="0"/>
      <w:marBottom w:val="0"/>
      <w:divBdr>
        <w:top w:val="none" w:sz="0" w:space="0" w:color="auto"/>
        <w:left w:val="none" w:sz="0" w:space="0" w:color="auto"/>
        <w:bottom w:val="none" w:sz="0" w:space="0" w:color="auto"/>
        <w:right w:val="none" w:sz="0" w:space="0" w:color="auto"/>
      </w:divBdr>
    </w:div>
    <w:div w:id="1609509279">
      <w:bodyDiv w:val="1"/>
      <w:marLeft w:val="0"/>
      <w:marRight w:val="0"/>
      <w:marTop w:val="0"/>
      <w:marBottom w:val="0"/>
      <w:divBdr>
        <w:top w:val="none" w:sz="0" w:space="0" w:color="auto"/>
        <w:left w:val="none" w:sz="0" w:space="0" w:color="auto"/>
        <w:bottom w:val="none" w:sz="0" w:space="0" w:color="auto"/>
        <w:right w:val="none" w:sz="0" w:space="0" w:color="auto"/>
      </w:divBdr>
    </w:div>
    <w:div w:id="1625697395">
      <w:bodyDiv w:val="1"/>
      <w:marLeft w:val="0"/>
      <w:marRight w:val="0"/>
      <w:marTop w:val="0"/>
      <w:marBottom w:val="0"/>
      <w:divBdr>
        <w:top w:val="none" w:sz="0" w:space="0" w:color="auto"/>
        <w:left w:val="none" w:sz="0" w:space="0" w:color="auto"/>
        <w:bottom w:val="none" w:sz="0" w:space="0" w:color="auto"/>
        <w:right w:val="none" w:sz="0" w:space="0" w:color="auto"/>
      </w:divBdr>
    </w:div>
    <w:div w:id="1920753160">
      <w:bodyDiv w:val="1"/>
      <w:marLeft w:val="0"/>
      <w:marRight w:val="0"/>
      <w:marTop w:val="0"/>
      <w:marBottom w:val="0"/>
      <w:divBdr>
        <w:top w:val="none" w:sz="0" w:space="0" w:color="auto"/>
        <w:left w:val="none" w:sz="0" w:space="0" w:color="auto"/>
        <w:bottom w:val="none" w:sz="0" w:space="0" w:color="auto"/>
        <w:right w:val="none" w:sz="0" w:space="0" w:color="auto"/>
      </w:divBdr>
    </w:div>
    <w:div w:id="1962611573">
      <w:bodyDiv w:val="1"/>
      <w:marLeft w:val="0"/>
      <w:marRight w:val="0"/>
      <w:marTop w:val="0"/>
      <w:marBottom w:val="0"/>
      <w:divBdr>
        <w:top w:val="none" w:sz="0" w:space="0" w:color="auto"/>
        <w:left w:val="none" w:sz="0" w:space="0" w:color="auto"/>
        <w:bottom w:val="none" w:sz="0" w:space="0" w:color="auto"/>
        <w:right w:val="none" w:sz="0" w:space="0" w:color="auto"/>
      </w:divBdr>
    </w:div>
    <w:div w:id="2035689646">
      <w:bodyDiv w:val="1"/>
      <w:marLeft w:val="0"/>
      <w:marRight w:val="0"/>
      <w:marTop w:val="0"/>
      <w:marBottom w:val="0"/>
      <w:divBdr>
        <w:top w:val="none" w:sz="0" w:space="0" w:color="auto"/>
        <w:left w:val="none" w:sz="0" w:space="0" w:color="auto"/>
        <w:bottom w:val="none" w:sz="0" w:space="0" w:color="auto"/>
        <w:right w:val="none" w:sz="0" w:space="0" w:color="auto"/>
      </w:divBdr>
    </w:div>
    <w:div w:id="2074888228">
      <w:bodyDiv w:val="1"/>
      <w:marLeft w:val="0"/>
      <w:marRight w:val="0"/>
      <w:marTop w:val="0"/>
      <w:marBottom w:val="0"/>
      <w:divBdr>
        <w:top w:val="none" w:sz="0" w:space="0" w:color="auto"/>
        <w:left w:val="none" w:sz="0" w:space="0" w:color="auto"/>
        <w:bottom w:val="none" w:sz="0" w:space="0" w:color="auto"/>
        <w:right w:val="none" w:sz="0" w:space="0" w:color="auto"/>
      </w:divBdr>
    </w:div>
    <w:div w:id="2091123924">
      <w:bodyDiv w:val="1"/>
      <w:marLeft w:val="0"/>
      <w:marRight w:val="0"/>
      <w:marTop w:val="0"/>
      <w:marBottom w:val="0"/>
      <w:divBdr>
        <w:top w:val="none" w:sz="0" w:space="0" w:color="auto"/>
        <w:left w:val="none" w:sz="0" w:space="0" w:color="auto"/>
        <w:bottom w:val="none" w:sz="0" w:space="0" w:color="auto"/>
        <w:right w:val="none" w:sz="0" w:space="0" w:color="auto"/>
      </w:divBdr>
    </w:div>
    <w:div w:id="21170200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ur-lex.europa.eu/legal-content/RO/TXT/?uri=CELEX:32021R1833" TargetMode="Externa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www.cftc.gov/"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finance.ec.europa.eu/capital-markets-union-and-financial-markets/financial-markets/post-trade-services/derivatives-emir_e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inance.ec.europa.eu/capital-markets-union-and-financial-markets/financial-markets/prudential-rules-investment-firm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amf-france.org/sites/institutionnel/files/private/2022-07/Analyse%20des%20donn%C3%A9es%20MIF2_Commodities.pdf" TargetMode="External"/><Relationship Id="rId3" Type="http://schemas.openxmlformats.org/officeDocument/2006/relationships/hyperlink" Target="https://www.eba.europa.eu/sites/default/files/document_library/About%20Us/Missions%20and%20tasks/Call%20for%20Advice/2023/1052019/CfA_IFR%20and%20IFD%20review%20-%20final.pdf" TargetMode="External"/><Relationship Id="rId7" Type="http://schemas.openxmlformats.org/officeDocument/2006/relationships/hyperlink" Target="https://www.amf-france.org/sites/institutionnel/files/private/2022-07/Analyse%20des%20donn%C3%A9es%20MIF2_Commodities.pdf" TargetMode="External"/><Relationship Id="rId2" Type="http://schemas.openxmlformats.org/officeDocument/2006/relationships/hyperlink" Target="https://eur-lex.europa.eu/legal-content/RO/TXT/?uri=CELEX%3A52025DC0079&amp;qid=1741780110418" TargetMode="External"/><Relationship Id="rId1" Type="http://schemas.openxmlformats.org/officeDocument/2006/relationships/hyperlink" Target="https://eur-lex.europa.eu/legal-content/RO/TXT/?uri=CELEX%3A52025DC0085" TargetMode="External"/><Relationship Id="rId6" Type="http://schemas.openxmlformats.org/officeDocument/2006/relationships/hyperlink" Target="https://www.esma.europa.eu/sites/default/files/library/esma70-446-775_preliminary_data_report_on_mcm.pdf" TargetMode="External"/><Relationship Id="rId5" Type="http://schemas.openxmlformats.org/officeDocument/2006/relationships/hyperlink" Target="https://eur-lex.europa.eu/legal-content/RO/TXT/?uri=celex%3A32024R2809" TargetMode="External"/><Relationship Id="rId10" Type="http://schemas.openxmlformats.org/officeDocument/2006/relationships/hyperlink" Target="https://www.iosco.org/library/pubdocs/pdf/IOSCOPD781.pdf" TargetMode="External"/><Relationship Id="rId4" Type="http://schemas.openxmlformats.org/officeDocument/2006/relationships/hyperlink" Target="https://finance.ec.europa.eu/regulation-and-supervision/consultations-0/targeted-consultation-review-functioning-commodity-derivatives-markets-and-certain-aspects-relating_en" TargetMode="External"/><Relationship Id="rId9" Type="http://schemas.openxmlformats.org/officeDocument/2006/relationships/hyperlink" Target="https://eur-lex.europa.eu/legal-content/RO/TXT/?uri=CELEX:32022R12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99A588E0F14746BFAC081FD6A566B8" ma:contentTypeVersion="17" ma:contentTypeDescription="Crée un document." ma:contentTypeScope="" ma:versionID="7e74dca996eba65e69498b575ed49139">
  <xsd:schema xmlns:xsd="http://www.w3.org/2001/XMLSchema" xmlns:xs="http://www.w3.org/2001/XMLSchema" xmlns:p="http://schemas.microsoft.com/office/2006/metadata/properties" xmlns:ns2="a280f3ed-f921-4226-9525-27fa6d577539" xmlns:ns3="278287c8-5be4-4613-8138-480f9be48247" targetNamespace="http://schemas.microsoft.com/office/2006/metadata/properties" ma:root="true" ma:fieldsID="56ed4965f6485b2e7561887e994c8593" ns2:_="" ns3:_="">
    <xsd:import namespace="a280f3ed-f921-4226-9525-27fa6d577539"/>
    <xsd:import namespace="278287c8-5be4-4613-8138-480f9be48247"/>
    <xsd:element name="properties">
      <xsd:complexType>
        <xsd:sequence>
          <xsd:element name="documentManagement">
            <xsd:complexType>
              <xsd:all>
                <xsd:element ref="ns2:MediaServiceMetadata" minOccurs="0"/>
                <xsd:element ref="ns2:MediaServiceFastMetadata" minOccurs="0"/>
                <xsd:element ref="ns2:DocStatus"/>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Flow_SignoffStatus" minOccurs="0"/>
                <xsd:element ref="ns2:ComplainTitle" minOccurs="0"/>
                <xsd:element ref="ns2:NameofComplai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0f3ed-f921-4226-9525-27fa6d577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cStatus" ma:index="10" ma:displayName="Doc Status" ma:format="Dropdown" ma:indexed="true" ma:internalName="DocStatus">
      <xsd:simpleType>
        <xsd:restriction base="dms:Choice">
          <xsd:enumeration value="Draft"/>
          <xsd:enumeration value="Final"/>
        </xsd:restriction>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ComplainTitle" ma:index="23" nillable="true" ma:displayName="General Info" ma:format="Dropdown" ma:internalName="ComplainTitle">
      <xsd:simpleType>
        <xsd:restriction base="dms:Text">
          <xsd:maxLength value="255"/>
        </xsd:restriction>
      </xsd:simpleType>
    </xsd:element>
    <xsd:element name="NameofComplainer" ma:index="24" nillable="true" ma:displayName="Name of Complainer" ma:format="Dropdown" ma:internalName="NameofComplain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8287c8-5be4-4613-8138-480f9be48247"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7a201d3d-60fb-479e-b5be-4da6b1dc61cd}" ma:internalName="TaxCatchAll" ma:showField="CatchAllData" ma:web="278287c8-5be4-4613-8138-480f9be482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Status xmlns="a280f3ed-f921-4226-9525-27fa6d577539">Green</DocStatus>
    <NameofComplainer xmlns="a280f3ed-f921-4226-9525-27fa6d577539" xsi:nil="true"/>
    <ComplainTitle xmlns="a280f3ed-f921-4226-9525-27fa6d577539" xsi:nil="true"/>
    <TaxCatchAll xmlns="278287c8-5be4-4613-8138-480f9be48247" xsi:nil="true"/>
    <lcf76f155ced4ddcb4097134ff3c332f xmlns="a280f3ed-f921-4226-9525-27fa6d577539">
      <Terms xmlns="http://schemas.microsoft.com/office/infopath/2007/PartnerControls"/>
    </lcf76f155ced4ddcb4097134ff3c332f>
    <_Flow_SignoffStatus xmlns="a280f3ed-f921-4226-9525-27fa6d57753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D0B5E-9D4E-48F2-BE59-B605E15AE703}">
  <ds:schemaRefs>
    <ds:schemaRef ds:uri="http://schemas.microsoft.com/sharepoint/v3/contenttype/forms"/>
  </ds:schemaRefs>
</ds:datastoreItem>
</file>

<file path=customXml/itemProps2.xml><?xml version="1.0" encoding="utf-8"?>
<ds:datastoreItem xmlns:ds="http://schemas.openxmlformats.org/officeDocument/2006/customXml" ds:itemID="{90E6E3F3-D033-46F5-8C59-8FEEBD06C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80f3ed-f921-4226-9525-27fa6d577539"/>
    <ds:schemaRef ds:uri="278287c8-5be4-4613-8138-480f9be48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71BA6C-53A9-424A-9066-18033944AC70}">
  <ds:schemaRefs>
    <ds:schemaRef ds:uri="http://purl.org/dc/terms/"/>
    <ds:schemaRef ds:uri="a280f3ed-f921-4226-9525-27fa6d577539"/>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278287c8-5be4-4613-8138-480f9be48247"/>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EA9B8CC2-EE83-495B-AFDA-351BD7369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20</Pages>
  <Words>9407</Words>
  <Characters>53621</Characters>
  <Application>Microsoft Office Word</Application>
  <DocSecurity>0</DocSecurity>
  <PresentationFormat>Microsoft Word 14.0</PresentationFormat>
  <Lines>446</Lines>
  <Paragraphs>125</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2026-04-30T07:49:00Z</dcterms:created>
  <dcterms:modified xsi:type="dcterms:W3CDTF">2026-05-18T11:49:00Z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MSIP_Label_6bd9ddd1-4d20-43f6-abfa-fc3c07406f94_Enabled">
    <vt:lpwstr>true</vt:lpwstr>
  </property>
  <property fmtid="{D5CDD505-2E9C-101B-9397-08002B2CF9AE}" pid="9" name="MSIP_Label_6bd9ddd1-4d20-43f6-abfa-fc3c07406f94_SetDate">
    <vt:lpwstr>2026-04-16T13:09:30Z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d781d51b-0948-4c23-9a8d-afd7b70c9c39</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ContentTypeId">
    <vt:lpwstr>0x010100F099A588E0F14746BFAC081FD6A566B8</vt:lpwstr>
  </property>
</Properties>
</file>