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0E8AE" w14:textId="1E6CC6AD" w:rsidR="00844248" w:rsidRDefault="00C27F1D" w:rsidP="00C27F1D">
      <w:pPr>
        <w:pStyle w:val="Pagedecouverture"/>
        <w:rPr>
          <w:noProof/>
        </w:rPr>
      </w:pPr>
      <w:bookmarkStart w:id="0" w:name="LW_BM_COVERPAGE"/>
      <w:r>
        <w:rPr>
          <w:noProof/>
        </w:rPr>
        <w:pict w14:anchorId="32FBD7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025829A-DEDA-4CF3-B863-F7556680146F" style="width:455.25pt;height:286.5pt">
            <v:imagedata r:id="rId11" o:title=""/>
          </v:shape>
        </w:pict>
      </w:r>
    </w:p>
    <w:bookmarkEnd w:id="0"/>
    <w:p w14:paraId="233599DA" w14:textId="77777777" w:rsidR="00C832F8" w:rsidRDefault="00C832F8" w:rsidP="00C832F8">
      <w:pPr>
        <w:rPr>
          <w:noProof/>
        </w:rPr>
        <w:sectPr w:rsidR="00C832F8" w:rsidSect="00C27F1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9E48869" w14:textId="4200FCC6" w:rsidR="00E56769" w:rsidRDefault="00E56769" w:rsidP="00E56769">
      <w:pPr>
        <w:rPr>
          <w:noProof/>
        </w:rPr>
      </w:pPr>
      <w:bookmarkStart w:id="1" w:name="_GoBack"/>
      <w:bookmarkEnd w:id="1"/>
    </w:p>
    <w:sdt>
      <w:sdtPr>
        <w:rPr>
          <w:rFonts w:ascii="Times New Roman" w:eastAsiaTheme="minorEastAsia" w:hAnsi="Times New Roman" w:cs="Times New Roman"/>
          <w:noProof/>
          <w:color w:val="auto"/>
          <w:kern w:val="2"/>
          <w:sz w:val="22"/>
          <w:szCs w:val="22"/>
          <w14:ligatures w14:val="standardContextual"/>
        </w:rPr>
        <w:id w:val="1577054077"/>
        <w:docPartObj>
          <w:docPartGallery w:val="Table of Contents"/>
          <w:docPartUnique/>
        </w:docPartObj>
      </w:sdtPr>
      <w:sdtEndPr/>
      <w:sdtContent>
        <w:p w14:paraId="5F51F13F" w14:textId="77777777" w:rsidR="00E56769" w:rsidRPr="005D3BEB" w:rsidRDefault="00E56769" w:rsidP="00E56769">
          <w:pPr>
            <w:pStyle w:val="TOCHeading"/>
            <w:numPr>
              <w:ilvl w:val="0"/>
              <w:numId w:val="0"/>
            </w:numPr>
            <w:ind w:left="432"/>
            <w:rPr>
              <w:rFonts w:ascii="Times New Roman" w:eastAsiaTheme="minorEastAsia" w:hAnsi="Times New Roman" w:cs="Times New Roman"/>
              <w:noProof/>
              <w:color w:val="auto"/>
              <w:kern w:val="2"/>
              <w:sz w:val="22"/>
              <w:szCs w:val="22"/>
              <w14:ligatures w14:val="standardContextual"/>
            </w:rPr>
          </w:pPr>
          <w:r>
            <w:rPr>
              <w:rFonts w:ascii="Times New Roman" w:hAnsi="Times New Roman"/>
              <w:b/>
              <w:noProof/>
              <w:color w:val="000000" w:themeColor="text1"/>
              <w:sz w:val="28"/>
            </w:rPr>
            <w:t>Table des matières</w:t>
          </w:r>
        </w:p>
        <w:p w14:paraId="65A0D434" w14:textId="77777777" w:rsidR="00E56769" w:rsidRPr="00F014AE" w:rsidRDefault="00E56769" w:rsidP="00E56769">
          <w:pPr>
            <w:rPr>
              <w:noProof/>
              <w:lang w:val="en-US"/>
            </w:rPr>
          </w:pPr>
        </w:p>
        <w:p w14:paraId="460801F0" w14:textId="73E4ABD7" w:rsidR="009709EC" w:rsidRPr="009709EC" w:rsidRDefault="00E56769">
          <w:pPr>
            <w:pStyle w:val="TOC2"/>
            <w:rPr>
              <w:rFonts w:eastAsiaTheme="minorEastAsia"/>
              <w:sz w:val="24"/>
              <w:szCs w:val="24"/>
              <w:lang w:val="fr-BE" w:eastAsia="fr-BE"/>
            </w:rPr>
          </w:pPr>
          <w:r w:rsidRPr="009709EC">
            <w:fldChar w:fldCharType="begin"/>
          </w:r>
          <w:r w:rsidRPr="009709EC">
            <w:instrText>TOC \o "1-3" \z \u \h</w:instrText>
          </w:r>
          <w:r w:rsidRPr="009709EC">
            <w:fldChar w:fldCharType="separate"/>
          </w:r>
          <w:hyperlink w:anchor="_Toc229054817" w:history="1">
            <w:r w:rsidR="009709EC" w:rsidRPr="009709EC">
              <w:rPr>
                <w:rStyle w:val="Hyperlink"/>
              </w:rPr>
              <w:t>1</w:t>
            </w:r>
            <w:r w:rsidR="009709EC" w:rsidRPr="009709EC">
              <w:rPr>
                <w:rFonts w:eastAsiaTheme="minorEastAsia"/>
                <w:sz w:val="24"/>
                <w:szCs w:val="24"/>
                <w:lang w:val="fr-BE" w:eastAsia="fr-BE"/>
              </w:rPr>
              <w:tab/>
            </w:r>
            <w:r w:rsidR="009709EC" w:rsidRPr="009709EC">
              <w:rPr>
                <w:rStyle w:val="Hyperlink"/>
              </w:rPr>
              <w:t>Objectif du présent rapport</w:t>
            </w:r>
            <w:r w:rsidR="009709EC" w:rsidRPr="009709EC">
              <w:rPr>
                <w:webHidden/>
              </w:rPr>
              <w:tab/>
            </w:r>
            <w:r w:rsidR="009709EC" w:rsidRPr="009709EC">
              <w:rPr>
                <w:webHidden/>
              </w:rPr>
              <w:fldChar w:fldCharType="begin"/>
            </w:r>
            <w:r w:rsidR="009709EC" w:rsidRPr="009709EC">
              <w:rPr>
                <w:webHidden/>
              </w:rPr>
              <w:instrText xml:space="preserve"> PAGEREF _Toc229054817 \h </w:instrText>
            </w:r>
            <w:r w:rsidR="009709EC" w:rsidRPr="009709EC">
              <w:rPr>
                <w:webHidden/>
              </w:rPr>
            </w:r>
            <w:r w:rsidR="009709EC" w:rsidRPr="009709EC">
              <w:rPr>
                <w:webHidden/>
              </w:rPr>
              <w:fldChar w:fldCharType="separate"/>
            </w:r>
            <w:r w:rsidR="009709EC" w:rsidRPr="009709EC">
              <w:rPr>
                <w:webHidden/>
              </w:rPr>
              <w:t>2</w:t>
            </w:r>
            <w:r w:rsidR="009709EC" w:rsidRPr="009709EC">
              <w:rPr>
                <w:webHidden/>
              </w:rPr>
              <w:fldChar w:fldCharType="end"/>
            </w:r>
          </w:hyperlink>
        </w:p>
        <w:p w14:paraId="3C3F1C32" w14:textId="16FB3F4F" w:rsidR="009709EC" w:rsidRPr="009709EC" w:rsidRDefault="00C27F1D">
          <w:pPr>
            <w:pStyle w:val="TOC2"/>
            <w:rPr>
              <w:rFonts w:eastAsiaTheme="minorEastAsia"/>
              <w:sz w:val="24"/>
              <w:szCs w:val="24"/>
              <w:lang w:val="fr-BE" w:eastAsia="fr-BE"/>
            </w:rPr>
          </w:pPr>
          <w:hyperlink w:anchor="_Toc229054818" w:history="1">
            <w:r w:rsidR="009709EC" w:rsidRPr="009709EC">
              <w:rPr>
                <w:rStyle w:val="Hyperlink"/>
              </w:rPr>
              <w:t>2</w:t>
            </w:r>
            <w:r w:rsidR="009709EC" w:rsidRPr="009709EC">
              <w:rPr>
                <w:rFonts w:eastAsiaTheme="minorEastAsia"/>
                <w:sz w:val="24"/>
                <w:szCs w:val="24"/>
                <w:lang w:val="fr-BE" w:eastAsia="fr-BE"/>
              </w:rPr>
              <w:tab/>
            </w:r>
            <w:r w:rsidR="009709EC" w:rsidRPr="009709EC">
              <w:rPr>
                <w:rStyle w:val="Hyperlink"/>
              </w:rPr>
              <w:t>Contexte</w:t>
            </w:r>
            <w:r w:rsidR="009709EC" w:rsidRPr="009709EC">
              <w:rPr>
                <w:webHidden/>
              </w:rPr>
              <w:tab/>
            </w:r>
            <w:r w:rsidR="009709EC" w:rsidRPr="009709EC">
              <w:rPr>
                <w:webHidden/>
              </w:rPr>
              <w:fldChar w:fldCharType="begin"/>
            </w:r>
            <w:r w:rsidR="009709EC" w:rsidRPr="009709EC">
              <w:rPr>
                <w:webHidden/>
              </w:rPr>
              <w:instrText xml:space="preserve"> PAGEREF _Toc229054818 \h </w:instrText>
            </w:r>
            <w:r w:rsidR="009709EC" w:rsidRPr="009709EC">
              <w:rPr>
                <w:webHidden/>
              </w:rPr>
            </w:r>
            <w:r w:rsidR="009709EC" w:rsidRPr="009709EC">
              <w:rPr>
                <w:webHidden/>
              </w:rPr>
              <w:fldChar w:fldCharType="separate"/>
            </w:r>
            <w:r w:rsidR="009709EC" w:rsidRPr="009709EC">
              <w:rPr>
                <w:webHidden/>
              </w:rPr>
              <w:t>4</w:t>
            </w:r>
            <w:r w:rsidR="009709EC" w:rsidRPr="009709EC">
              <w:rPr>
                <w:webHidden/>
              </w:rPr>
              <w:fldChar w:fldCharType="end"/>
            </w:r>
          </w:hyperlink>
        </w:p>
        <w:p w14:paraId="5C2972FE" w14:textId="25771886" w:rsidR="009709EC" w:rsidRPr="009709EC" w:rsidRDefault="00C27F1D">
          <w:pPr>
            <w:pStyle w:val="TOC2"/>
            <w:rPr>
              <w:rFonts w:eastAsiaTheme="minorEastAsia"/>
              <w:sz w:val="24"/>
              <w:szCs w:val="24"/>
              <w:lang w:val="fr-BE" w:eastAsia="fr-BE"/>
            </w:rPr>
          </w:pPr>
          <w:hyperlink w:anchor="_Toc229054819" w:history="1">
            <w:r w:rsidR="009709EC" w:rsidRPr="009709EC">
              <w:rPr>
                <w:rStyle w:val="Hyperlink"/>
              </w:rPr>
              <w:t>3</w:t>
            </w:r>
            <w:r w:rsidR="009709EC" w:rsidRPr="009709EC">
              <w:rPr>
                <w:rFonts w:eastAsiaTheme="minorEastAsia"/>
                <w:sz w:val="24"/>
                <w:szCs w:val="24"/>
                <w:lang w:val="fr-BE" w:eastAsia="fr-BE"/>
              </w:rPr>
              <w:tab/>
            </w:r>
            <w:r w:rsidR="009709EC" w:rsidRPr="009709EC">
              <w:rPr>
                <w:rStyle w:val="Hyperlink"/>
              </w:rPr>
              <w:t>Aperçu de l’offre et de la demande sur la base des estimations des États membres</w:t>
            </w:r>
            <w:r w:rsidR="009709EC" w:rsidRPr="009709EC">
              <w:rPr>
                <w:webHidden/>
              </w:rPr>
              <w:tab/>
            </w:r>
            <w:r w:rsidR="009709EC" w:rsidRPr="009709EC">
              <w:rPr>
                <w:webHidden/>
              </w:rPr>
              <w:fldChar w:fldCharType="begin"/>
            </w:r>
            <w:r w:rsidR="009709EC" w:rsidRPr="009709EC">
              <w:rPr>
                <w:webHidden/>
              </w:rPr>
              <w:instrText xml:space="preserve"> PAGEREF _Toc229054819 \h </w:instrText>
            </w:r>
            <w:r w:rsidR="009709EC" w:rsidRPr="009709EC">
              <w:rPr>
                <w:webHidden/>
              </w:rPr>
            </w:r>
            <w:r w:rsidR="009709EC" w:rsidRPr="009709EC">
              <w:rPr>
                <w:webHidden/>
              </w:rPr>
              <w:fldChar w:fldCharType="separate"/>
            </w:r>
            <w:r w:rsidR="009709EC" w:rsidRPr="009709EC">
              <w:rPr>
                <w:webHidden/>
              </w:rPr>
              <w:t>7</w:t>
            </w:r>
            <w:r w:rsidR="009709EC" w:rsidRPr="009709EC">
              <w:rPr>
                <w:webHidden/>
              </w:rPr>
              <w:fldChar w:fldCharType="end"/>
            </w:r>
          </w:hyperlink>
        </w:p>
        <w:p w14:paraId="3D2D6965" w14:textId="16F30185"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20" w:history="1">
            <w:r w:rsidR="009709EC" w:rsidRPr="009709EC">
              <w:rPr>
                <w:rStyle w:val="Hyperlink"/>
                <w:rFonts w:ascii="Times New Roman" w:hAnsi="Times New Roman" w:cs="Times New Roman"/>
                <w:noProof/>
              </w:rPr>
              <w:t>3.1</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Plans nationaux en matière d’énergie et de climat (PNEC)</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_Toc229054820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7</w:t>
            </w:r>
            <w:r w:rsidR="009709EC" w:rsidRPr="009709EC">
              <w:rPr>
                <w:rFonts w:ascii="Times New Roman" w:hAnsi="Times New Roman" w:cs="Times New Roman"/>
                <w:noProof/>
                <w:webHidden/>
              </w:rPr>
              <w:fldChar w:fldCharType="end"/>
            </w:r>
          </w:hyperlink>
        </w:p>
        <w:p w14:paraId="1231097B" w14:textId="7AA81594"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21" w:history="1">
            <w:r w:rsidR="009709EC" w:rsidRPr="009709EC">
              <w:rPr>
                <w:rStyle w:val="Hyperlink"/>
                <w:rFonts w:ascii="Times New Roman" w:hAnsi="Times New Roman" w:cs="Times New Roman"/>
                <w:noProof/>
              </w:rPr>
              <w:t>3.2</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Rapports 2024 des États membres au titre de l’article 21, paragraphe 2, du règlement (UE) 2024/1735</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_Toc229054821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8</w:t>
            </w:r>
            <w:r w:rsidR="009709EC" w:rsidRPr="009709EC">
              <w:rPr>
                <w:rFonts w:ascii="Times New Roman" w:hAnsi="Times New Roman" w:cs="Times New Roman"/>
                <w:noProof/>
                <w:webHidden/>
              </w:rPr>
              <w:fldChar w:fldCharType="end"/>
            </w:r>
          </w:hyperlink>
        </w:p>
        <w:p w14:paraId="7E457997" w14:textId="3D385343"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22" w:history="1">
            <w:r w:rsidR="009709EC" w:rsidRPr="009709EC">
              <w:rPr>
                <w:rStyle w:val="Hyperlink"/>
                <w:rFonts w:ascii="Times New Roman" w:hAnsi="Times New Roman" w:cs="Times New Roman"/>
                <w:noProof/>
              </w:rPr>
              <w:t>3.3</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Transparence des données relatives à la capacité de stockage au titre de l’article 21, paragraphe 1</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_Toc229054822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12</w:t>
            </w:r>
            <w:r w:rsidR="009709EC" w:rsidRPr="009709EC">
              <w:rPr>
                <w:rFonts w:ascii="Times New Roman" w:hAnsi="Times New Roman" w:cs="Times New Roman"/>
                <w:noProof/>
                <w:webHidden/>
              </w:rPr>
              <w:fldChar w:fldCharType="end"/>
            </w:r>
          </w:hyperlink>
        </w:p>
        <w:p w14:paraId="4A5681C0" w14:textId="6AA5E1ED" w:rsidR="009709EC" w:rsidRPr="009709EC" w:rsidRDefault="00C27F1D">
          <w:pPr>
            <w:pStyle w:val="TOC2"/>
            <w:rPr>
              <w:rFonts w:eastAsiaTheme="minorEastAsia"/>
              <w:sz w:val="24"/>
              <w:szCs w:val="24"/>
              <w:lang w:val="fr-BE" w:eastAsia="fr-BE"/>
            </w:rPr>
          </w:pPr>
          <w:hyperlink w:anchor="_Toc229054823" w:history="1">
            <w:r w:rsidR="009709EC" w:rsidRPr="009709EC">
              <w:rPr>
                <w:rStyle w:val="Hyperlink"/>
              </w:rPr>
              <w:t>4</w:t>
            </w:r>
            <w:r w:rsidR="009709EC" w:rsidRPr="009709EC">
              <w:rPr>
                <w:rFonts w:eastAsiaTheme="minorEastAsia"/>
                <w:sz w:val="24"/>
                <w:szCs w:val="24"/>
                <w:lang w:val="fr-BE" w:eastAsia="fr-BE"/>
              </w:rPr>
              <w:tab/>
            </w:r>
            <w:r w:rsidR="009709EC" w:rsidRPr="009709EC">
              <w:rPr>
                <w:rStyle w:val="Hyperlink"/>
              </w:rPr>
              <w:t>Vue d’ensemble des projets de stockage de CO</w:t>
            </w:r>
            <w:r w:rsidR="009709EC" w:rsidRPr="009709EC">
              <w:rPr>
                <w:rStyle w:val="Hyperlink"/>
                <w:vertAlign w:val="subscript"/>
              </w:rPr>
              <w:t>2</w:t>
            </w:r>
            <w:r w:rsidR="009709EC" w:rsidRPr="009709EC">
              <w:rPr>
                <w:rStyle w:val="Hyperlink"/>
              </w:rPr>
              <w:t xml:space="preserve"> prévus</w:t>
            </w:r>
            <w:r w:rsidR="009709EC" w:rsidRPr="009709EC">
              <w:rPr>
                <w:webHidden/>
              </w:rPr>
              <w:tab/>
            </w:r>
            <w:r w:rsidR="009709EC" w:rsidRPr="009709EC">
              <w:rPr>
                <w:webHidden/>
              </w:rPr>
              <w:fldChar w:fldCharType="begin"/>
            </w:r>
            <w:r w:rsidR="009709EC" w:rsidRPr="009709EC">
              <w:rPr>
                <w:webHidden/>
              </w:rPr>
              <w:instrText xml:space="preserve"> PAGEREF _Toc229054823 \h </w:instrText>
            </w:r>
            <w:r w:rsidR="009709EC" w:rsidRPr="009709EC">
              <w:rPr>
                <w:webHidden/>
              </w:rPr>
            </w:r>
            <w:r w:rsidR="009709EC" w:rsidRPr="009709EC">
              <w:rPr>
                <w:webHidden/>
              </w:rPr>
              <w:fldChar w:fldCharType="separate"/>
            </w:r>
            <w:r w:rsidR="009709EC" w:rsidRPr="009709EC">
              <w:rPr>
                <w:webHidden/>
              </w:rPr>
              <w:t>14</w:t>
            </w:r>
            <w:r w:rsidR="009709EC" w:rsidRPr="009709EC">
              <w:rPr>
                <w:webHidden/>
              </w:rPr>
              <w:fldChar w:fldCharType="end"/>
            </w:r>
          </w:hyperlink>
        </w:p>
        <w:p w14:paraId="73BC922A" w14:textId="3E43FFD5"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24" w:history="1">
            <w:r w:rsidR="009709EC" w:rsidRPr="009709EC">
              <w:rPr>
                <w:rStyle w:val="Hyperlink"/>
                <w:rFonts w:ascii="Times New Roman" w:hAnsi="Times New Roman" w:cs="Times New Roman"/>
                <w:noProof/>
              </w:rPr>
              <w:t>4.1</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Contribution au titre des plans des 44 entités assujetties</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_Toc229054824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14</w:t>
            </w:r>
            <w:r w:rsidR="009709EC" w:rsidRPr="009709EC">
              <w:rPr>
                <w:rFonts w:ascii="Times New Roman" w:hAnsi="Times New Roman" w:cs="Times New Roman"/>
                <w:noProof/>
                <w:webHidden/>
              </w:rPr>
              <w:fldChar w:fldCharType="end"/>
            </w:r>
          </w:hyperlink>
        </w:p>
        <w:p w14:paraId="24405949" w14:textId="74969C89"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25" w:history="1">
            <w:r w:rsidR="009709EC" w:rsidRPr="009709EC">
              <w:rPr>
                <w:rStyle w:val="Hyperlink"/>
                <w:rFonts w:ascii="Times New Roman" w:eastAsia="Times New Roman" w:hAnsi="Times New Roman" w:cs="Times New Roman"/>
                <w:noProof/>
              </w:rPr>
              <w:t>4.2</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Vue d’ensemble des permis existants et des projets de permis de stockage</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_Toc229054825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18</w:t>
            </w:r>
            <w:r w:rsidR="009709EC" w:rsidRPr="009709EC">
              <w:rPr>
                <w:rFonts w:ascii="Times New Roman" w:hAnsi="Times New Roman" w:cs="Times New Roman"/>
                <w:noProof/>
                <w:webHidden/>
              </w:rPr>
              <w:fldChar w:fldCharType="end"/>
            </w:r>
          </w:hyperlink>
        </w:p>
        <w:p w14:paraId="53ADFB18" w14:textId="0C0B14EB"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26" w:history="1">
            <w:r w:rsidR="009709EC" w:rsidRPr="009709EC">
              <w:rPr>
                <w:rStyle w:val="Hyperlink"/>
                <w:rFonts w:ascii="Times New Roman" w:eastAsia="Times New Roman" w:hAnsi="Times New Roman" w:cs="Times New Roman"/>
                <w:noProof/>
              </w:rPr>
              <w:t>4.3</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Projets de stockage de l’UE reconnus en tant que projets stratégiques «zéro net»</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_Toc229054826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22</w:t>
            </w:r>
            <w:r w:rsidR="009709EC" w:rsidRPr="009709EC">
              <w:rPr>
                <w:rFonts w:ascii="Times New Roman" w:hAnsi="Times New Roman" w:cs="Times New Roman"/>
                <w:noProof/>
                <w:webHidden/>
              </w:rPr>
              <w:fldChar w:fldCharType="end"/>
            </w:r>
          </w:hyperlink>
        </w:p>
        <w:p w14:paraId="54869CB0" w14:textId="29884CD2" w:rsidR="009709EC" w:rsidRPr="009709EC" w:rsidRDefault="00C27F1D">
          <w:pPr>
            <w:pStyle w:val="TOC2"/>
            <w:rPr>
              <w:rFonts w:eastAsiaTheme="minorEastAsia"/>
              <w:sz w:val="24"/>
              <w:szCs w:val="24"/>
              <w:lang w:val="fr-BE" w:eastAsia="fr-BE"/>
            </w:rPr>
          </w:pPr>
          <w:hyperlink w:anchor="_Toc229054827" w:history="1">
            <w:r w:rsidR="009709EC" w:rsidRPr="009709EC">
              <w:rPr>
                <w:rStyle w:val="Hyperlink"/>
              </w:rPr>
              <w:t>5</w:t>
            </w:r>
            <w:r w:rsidR="009709EC" w:rsidRPr="009709EC">
              <w:rPr>
                <w:rFonts w:eastAsiaTheme="minorEastAsia"/>
                <w:sz w:val="24"/>
                <w:szCs w:val="24"/>
                <w:lang w:val="fr-BE" w:eastAsia="fr-BE"/>
              </w:rPr>
              <w:tab/>
            </w:r>
            <w:r w:rsidR="009709EC" w:rsidRPr="009709EC">
              <w:rPr>
                <w:rStyle w:val="Hyperlink"/>
              </w:rPr>
              <w:t>Soutien au titre des programmes de financement nationaux et de l’UE</w:t>
            </w:r>
            <w:r w:rsidR="009709EC" w:rsidRPr="009709EC">
              <w:rPr>
                <w:webHidden/>
              </w:rPr>
              <w:tab/>
            </w:r>
            <w:r w:rsidR="009709EC" w:rsidRPr="009709EC">
              <w:rPr>
                <w:webHidden/>
              </w:rPr>
              <w:fldChar w:fldCharType="begin"/>
            </w:r>
            <w:r w:rsidR="009709EC" w:rsidRPr="009709EC">
              <w:rPr>
                <w:webHidden/>
              </w:rPr>
              <w:instrText xml:space="preserve"> PAGEREF _Toc229054827 \h </w:instrText>
            </w:r>
            <w:r w:rsidR="009709EC" w:rsidRPr="009709EC">
              <w:rPr>
                <w:webHidden/>
              </w:rPr>
            </w:r>
            <w:r w:rsidR="009709EC" w:rsidRPr="009709EC">
              <w:rPr>
                <w:webHidden/>
              </w:rPr>
              <w:fldChar w:fldCharType="separate"/>
            </w:r>
            <w:r w:rsidR="009709EC" w:rsidRPr="009709EC">
              <w:rPr>
                <w:webHidden/>
              </w:rPr>
              <w:t>24</w:t>
            </w:r>
            <w:r w:rsidR="009709EC" w:rsidRPr="009709EC">
              <w:rPr>
                <w:webHidden/>
              </w:rPr>
              <w:fldChar w:fldCharType="end"/>
            </w:r>
          </w:hyperlink>
        </w:p>
        <w:p w14:paraId="4B35E507" w14:textId="7C916F83"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28" w:history="1">
            <w:r w:rsidR="009709EC" w:rsidRPr="009709EC">
              <w:rPr>
                <w:rStyle w:val="Hyperlink"/>
                <w:rFonts w:ascii="Times New Roman" w:eastAsia="Times New Roman" w:hAnsi="Times New Roman" w:cs="Times New Roman"/>
                <w:noProof/>
              </w:rPr>
              <w:t>5.1</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Contribution du Fonds pour l’innovation</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_Toc229054828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24</w:t>
            </w:r>
            <w:r w:rsidR="009709EC" w:rsidRPr="009709EC">
              <w:rPr>
                <w:rFonts w:ascii="Times New Roman" w:hAnsi="Times New Roman" w:cs="Times New Roman"/>
                <w:noProof/>
                <w:webHidden/>
              </w:rPr>
              <w:fldChar w:fldCharType="end"/>
            </w:r>
          </w:hyperlink>
        </w:p>
        <w:p w14:paraId="6DA01641" w14:textId="4CE397EC"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29" w:history="1">
            <w:r w:rsidR="009709EC" w:rsidRPr="009709EC">
              <w:rPr>
                <w:rStyle w:val="Hyperlink"/>
                <w:rFonts w:ascii="Times New Roman" w:hAnsi="Times New Roman" w:cs="Times New Roman"/>
                <w:noProof/>
              </w:rPr>
              <w:t>5.2</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Contribution du mécanisme pour l’interconnexion en Europe</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_Toc229054829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26</w:t>
            </w:r>
            <w:r w:rsidR="009709EC" w:rsidRPr="009709EC">
              <w:rPr>
                <w:rFonts w:ascii="Times New Roman" w:hAnsi="Times New Roman" w:cs="Times New Roman"/>
                <w:noProof/>
                <w:webHidden/>
              </w:rPr>
              <w:fldChar w:fldCharType="end"/>
            </w:r>
          </w:hyperlink>
        </w:p>
        <w:p w14:paraId="3182BE37" w14:textId="33451455"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30" w:history="1">
            <w:r w:rsidR="009709EC" w:rsidRPr="009709EC">
              <w:rPr>
                <w:rStyle w:val="Hyperlink"/>
                <w:rFonts w:ascii="Times New Roman" w:eastAsia="Times New Roman" w:hAnsi="Times New Roman" w:cs="Times New Roman"/>
                <w:noProof/>
              </w:rPr>
              <w:t>5.3</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Contribution de la facilité pour la reprise et la résilience</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_Toc229054830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26</w:t>
            </w:r>
            <w:r w:rsidR="009709EC" w:rsidRPr="009709EC">
              <w:rPr>
                <w:rFonts w:ascii="Times New Roman" w:hAnsi="Times New Roman" w:cs="Times New Roman"/>
                <w:noProof/>
                <w:webHidden/>
              </w:rPr>
              <w:fldChar w:fldCharType="end"/>
            </w:r>
          </w:hyperlink>
        </w:p>
        <w:p w14:paraId="7FC80E88" w14:textId="6B3D2796"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31" w:history="1">
            <w:r w:rsidR="009709EC" w:rsidRPr="009709EC">
              <w:rPr>
                <w:rStyle w:val="Hyperlink"/>
                <w:rFonts w:ascii="Times New Roman" w:eastAsia="Times New Roman" w:hAnsi="Times New Roman" w:cs="Times New Roman"/>
                <w:noProof/>
              </w:rPr>
              <w:t>5.4</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Contribution d’Horizon Europe</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_Toc229054831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26</w:t>
            </w:r>
            <w:r w:rsidR="009709EC" w:rsidRPr="009709EC">
              <w:rPr>
                <w:rFonts w:ascii="Times New Roman" w:hAnsi="Times New Roman" w:cs="Times New Roman"/>
                <w:noProof/>
                <w:webHidden/>
              </w:rPr>
              <w:fldChar w:fldCharType="end"/>
            </w:r>
          </w:hyperlink>
        </w:p>
        <w:p w14:paraId="38E26D58" w14:textId="2832A63F" w:rsidR="009709EC" w:rsidRPr="009709EC" w:rsidRDefault="00C27F1D">
          <w:pPr>
            <w:pStyle w:val="TOC3"/>
            <w:tabs>
              <w:tab w:val="left" w:pos="1200"/>
              <w:tab w:val="right" w:leader="dot" w:pos="9350"/>
            </w:tabs>
            <w:rPr>
              <w:rFonts w:ascii="Times New Roman" w:eastAsiaTheme="minorEastAsia" w:hAnsi="Times New Roman" w:cs="Times New Roman"/>
              <w:noProof/>
              <w:sz w:val="24"/>
              <w:szCs w:val="24"/>
              <w:lang w:val="fr-BE" w:eastAsia="fr-BE"/>
            </w:rPr>
          </w:pPr>
          <w:hyperlink w:anchor="_Toc229054832" w:history="1">
            <w:r w:rsidR="009709EC" w:rsidRPr="009709EC">
              <w:rPr>
                <w:rStyle w:val="Hyperlink"/>
                <w:rFonts w:ascii="Times New Roman" w:eastAsia="Times New Roman" w:hAnsi="Times New Roman" w:cs="Times New Roman"/>
                <w:noProof/>
              </w:rPr>
              <w:t>5.5</w:t>
            </w:r>
            <w:r w:rsidR="009709EC" w:rsidRPr="009709EC">
              <w:rPr>
                <w:rFonts w:ascii="Times New Roman" w:eastAsiaTheme="minorEastAsia" w:hAnsi="Times New Roman" w:cs="Times New Roman"/>
                <w:noProof/>
                <w:sz w:val="24"/>
                <w:szCs w:val="24"/>
                <w:lang w:val="fr-BE" w:eastAsia="fr-BE"/>
              </w:rPr>
              <w:tab/>
            </w:r>
            <w:r w:rsidR="009709EC" w:rsidRPr="009709EC">
              <w:rPr>
                <w:rStyle w:val="Hyperlink"/>
                <w:rFonts w:ascii="Times New Roman" w:hAnsi="Times New Roman" w:cs="Times New Roman"/>
                <w:noProof/>
              </w:rPr>
              <w:t>Contribution des États membres</w:t>
            </w:r>
            <w:r w:rsidR="009709EC" w:rsidRPr="009709EC">
              <w:rPr>
                <w:rFonts w:ascii="Times New Roman" w:hAnsi="Times New Roman" w:cs="Times New Roman"/>
                <w:noProof/>
                <w:webHidden/>
              </w:rPr>
              <w:tab/>
            </w:r>
            <w:r w:rsidR="009709EC" w:rsidRPr="009709EC">
              <w:rPr>
                <w:rFonts w:ascii="Times New Roman" w:hAnsi="Times New Roman" w:cs="Times New Roman"/>
                <w:noProof/>
                <w:webHidden/>
              </w:rPr>
              <w:fldChar w:fldCharType="begin"/>
            </w:r>
            <w:r w:rsidR="009709EC" w:rsidRPr="009709EC">
              <w:rPr>
                <w:rFonts w:ascii="Times New Roman" w:hAnsi="Times New Roman" w:cs="Times New Roman"/>
                <w:noProof/>
                <w:webHidden/>
              </w:rPr>
              <w:instrText xml:space="preserve"> PAGEREF _Toc229054832 \h </w:instrText>
            </w:r>
            <w:r w:rsidR="009709EC" w:rsidRPr="009709EC">
              <w:rPr>
                <w:rFonts w:ascii="Times New Roman" w:hAnsi="Times New Roman" w:cs="Times New Roman"/>
                <w:noProof/>
                <w:webHidden/>
              </w:rPr>
            </w:r>
            <w:r w:rsidR="009709EC" w:rsidRPr="009709EC">
              <w:rPr>
                <w:rFonts w:ascii="Times New Roman" w:hAnsi="Times New Roman" w:cs="Times New Roman"/>
                <w:noProof/>
                <w:webHidden/>
              </w:rPr>
              <w:fldChar w:fldCharType="separate"/>
            </w:r>
            <w:r w:rsidR="009709EC" w:rsidRPr="009709EC">
              <w:rPr>
                <w:rFonts w:ascii="Times New Roman" w:hAnsi="Times New Roman" w:cs="Times New Roman"/>
                <w:noProof/>
                <w:webHidden/>
              </w:rPr>
              <w:t>26</w:t>
            </w:r>
            <w:r w:rsidR="009709EC" w:rsidRPr="009709EC">
              <w:rPr>
                <w:rFonts w:ascii="Times New Roman" w:hAnsi="Times New Roman" w:cs="Times New Roman"/>
                <w:noProof/>
                <w:webHidden/>
              </w:rPr>
              <w:fldChar w:fldCharType="end"/>
            </w:r>
          </w:hyperlink>
        </w:p>
        <w:p w14:paraId="61899F36" w14:textId="0DEF1BFF" w:rsidR="009709EC" w:rsidRPr="009709EC" w:rsidRDefault="00C27F1D">
          <w:pPr>
            <w:pStyle w:val="TOC2"/>
            <w:rPr>
              <w:rFonts w:eastAsiaTheme="minorEastAsia"/>
              <w:sz w:val="24"/>
              <w:szCs w:val="24"/>
              <w:lang w:val="fr-BE" w:eastAsia="fr-BE"/>
            </w:rPr>
          </w:pPr>
          <w:hyperlink w:anchor="_Toc229054833" w:history="1">
            <w:r w:rsidR="009709EC" w:rsidRPr="009709EC">
              <w:rPr>
                <w:rStyle w:val="Hyperlink"/>
              </w:rPr>
              <w:t>6</w:t>
            </w:r>
            <w:r w:rsidR="009709EC" w:rsidRPr="009709EC">
              <w:rPr>
                <w:rFonts w:eastAsiaTheme="minorEastAsia"/>
                <w:sz w:val="24"/>
                <w:szCs w:val="24"/>
                <w:lang w:val="fr-BE" w:eastAsia="fr-BE"/>
              </w:rPr>
              <w:tab/>
            </w:r>
            <w:r w:rsidR="009709EC" w:rsidRPr="009709EC">
              <w:rPr>
                <w:rStyle w:val="Hyperlink"/>
              </w:rPr>
              <w:t>État des lieux en 2025 et prochaines étapes</w:t>
            </w:r>
            <w:r w:rsidR="009709EC" w:rsidRPr="009709EC">
              <w:rPr>
                <w:webHidden/>
              </w:rPr>
              <w:tab/>
            </w:r>
            <w:r w:rsidR="009709EC" w:rsidRPr="009709EC">
              <w:rPr>
                <w:webHidden/>
              </w:rPr>
              <w:fldChar w:fldCharType="begin"/>
            </w:r>
            <w:r w:rsidR="009709EC" w:rsidRPr="009709EC">
              <w:rPr>
                <w:webHidden/>
              </w:rPr>
              <w:instrText xml:space="preserve"> PAGEREF _Toc229054833 \h </w:instrText>
            </w:r>
            <w:r w:rsidR="009709EC" w:rsidRPr="009709EC">
              <w:rPr>
                <w:webHidden/>
              </w:rPr>
            </w:r>
            <w:r w:rsidR="009709EC" w:rsidRPr="009709EC">
              <w:rPr>
                <w:webHidden/>
              </w:rPr>
              <w:fldChar w:fldCharType="separate"/>
            </w:r>
            <w:r w:rsidR="009709EC" w:rsidRPr="009709EC">
              <w:rPr>
                <w:webHidden/>
              </w:rPr>
              <w:t>28</w:t>
            </w:r>
            <w:r w:rsidR="009709EC" w:rsidRPr="009709EC">
              <w:rPr>
                <w:webHidden/>
              </w:rPr>
              <w:fldChar w:fldCharType="end"/>
            </w:r>
          </w:hyperlink>
        </w:p>
        <w:p w14:paraId="77ADB713" w14:textId="2B3619D5" w:rsidR="009709EC" w:rsidRPr="009709EC" w:rsidRDefault="00C27F1D">
          <w:pPr>
            <w:pStyle w:val="TOC2"/>
            <w:rPr>
              <w:rFonts w:eastAsiaTheme="minorEastAsia"/>
              <w:sz w:val="24"/>
              <w:szCs w:val="24"/>
              <w:lang w:val="fr-BE" w:eastAsia="fr-BE"/>
            </w:rPr>
          </w:pPr>
          <w:hyperlink w:anchor="_Toc229054834" w:history="1">
            <w:r w:rsidR="009709EC" w:rsidRPr="009709EC">
              <w:rPr>
                <w:rStyle w:val="Hyperlink"/>
              </w:rPr>
              <w:t>7</w:t>
            </w:r>
            <w:r w:rsidR="009709EC" w:rsidRPr="009709EC">
              <w:rPr>
                <w:rFonts w:eastAsiaTheme="minorEastAsia"/>
                <w:sz w:val="24"/>
                <w:szCs w:val="24"/>
                <w:lang w:val="fr-BE" w:eastAsia="fr-BE"/>
              </w:rPr>
              <w:tab/>
            </w:r>
            <w:r w:rsidR="009709EC" w:rsidRPr="009709EC">
              <w:rPr>
                <w:rStyle w:val="Hyperlink"/>
              </w:rPr>
              <w:t>Conclusion</w:t>
            </w:r>
            <w:r w:rsidR="009709EC" w:rsidRPr="009709EC">
              <w:rPr>
                <w:webHidden/>
              </w:rPr>
              <w:tab/>
            </w:r>
            <w:r w:rsidR="009709EC" w:rsidRPr="009709EC">
              <w:rPr>
                <w:webHidden/>
              </w:rPr>
              <w:fldChar w:fldCharType="begin"/>
            </w:r>
            <w:r w:rsidR="009709EC" w:rsidRPr="009709EC">
              <w:rPr>
                <w:webHidden/>
              </w:rPr>
              <w:instrText xml:space="preserve"> PAGEREF _Toc229054834 \h </w:instrText>
            </w:r>
            <w:r w:rsidR="009709EC" w:rsidRPr="009709EC">
              <w:rPr>
                <w:webHidden/>
              </w:rPr>
            </w:r>
            <w:r w:rsidR="009709EC" w:rsidRPr="009709EC">
              <w:rPr>
                <w:webHidden/>
              </w:rPr>
              <w:fldChar w:fldCharType="separate"/>
            </w:r>
            <w:r w:rsidR="009709EC" w:rsidRPr="009709EC">
              <w:rPr>
                <w:webHidden/>
              </w:rPr>
              <w:t>30</w:t>
            </w:r>
            <w:r w:rsidR="009709EC" w:rsidRPr="009709EC">
              <w:rPr>
                <w:webHidden/>
              </w:rPr>
              <w:fldChar w:fldCharType="end"/>
            </w:r>
          </w:hyperlink>
        </w:p>
        <w:p w14:paraId="3E1F24B3" w14:textId="5E5559A6" w:rsidR="00E56769" w:rsidRPr="008A3DBE" w:rsidRDefault="00E56769" w:rsidP="00E56769">
          <w:pPr>
            <w:pStyle w:val="TOC2"/>
            <w:tabs>
              <w:tab w:val="clear" w:pos="9350"/>
              <w:tab w:val="left" w:pos="660"/>
              <w:tab w:val="right" w:leader="dot" w:pos="9345"/>
            </w:tabs>
            <w:rPr>
              <w:rStyle w:val="Hyperlink"/>
            </w:rPr>
          </w:pPr>
          <w:r w:rsidRPr="009709EC">
            <w:fldChar w:fldCharType="end"/>
          </w:r>
        </w:p>
      </w:sdtContent>
    </w:sdt>
    <w:p w14:paraId="4BCFB1CE" w14:textId="77777777" w:rsidR="00E56769" w:rsidRDefault="00E56769" w:rsidP="00E56769">
      <w:pPr>
        <w:rPr>
          <w:noProof/>
        </w:rPr>
      </w:pPr>
    </w:p>
    <w:p w14:paraId="79E51050" w14:textId="77777777" w:rsidR="00E56769" w:rsidRPr="00B05B32" w:rsidRDefault="00E56769" w:rsidP="00E56769">
      <w:pPr>
        <w:pStyle w:val="Heading2"/>
        <w:numPr>
          <w:ilvl w:val="0"/>
          <w:numId w:val="0"/>
        </w:numPr>
        <w:rPr>
          <w:noProof/>
          <w:u w:val="single"/>
          <w:lang w:val="en-GB"/>
        </w:rPr>
      </w:pPr>
    </w:p>
    <w:p w14:paraId="63AFBD27" w14:textId="77777777" w:rsidR="00E56769" w:rsidRDefault="00E56769" w:rsidP="00E56769">
      <w:pPr>
        <w:rPr>
          <w:noProof/>
        </w:rPr>
        <w:sectPr w:rsidR="00E56769" w:rsidSect="006977AC">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pgNumType w:start="1"/>
          <w:cols w:space="720"/>
          <w:docGrid w:linePitch="360"/>
        </w:sectPr>
      </w:pPr>
      <w:r>
        <w:rPr>
          <w:noProof/>
        </w:rPr>
        <w:br w:type="page"/>
      </w:r>
    </w:p>
    <w:p w14:paraId="3BB2835F" w14:textId="2842FE63" w:rsidR="00F014AE" w:rsidRDefault="00F014AE">
      <w:pPr>
        <w:rPr>
          <w:rFonts w:ascii="Times New Roman" w:eastAsiaTheme="majorEastAsia" w:hAnsi="Times New Roman" w:cstheme="majorBidi"/>
          <w:b/>
          <w:caps/>
          <w:noProof/>
          <w:color w:val="000000" w:themeColor="text1"/>
          <w:sz w:val="24"/>
          <w:szCs w:val="32"/>
          <w:lang w:val="en-GB"/>
        </w:rPr>
      </w:pPr>
    </w:p>
    <w:p w14:paraId="04192B74" w14:textId="1C6A790C" w:rsidR="00254FDB" w:rsidRPr="00926C62" w:rsidRDefault="00254FDB" w:rsidP="00926C62">
      <w:pPr>
        <w:pStyle w:val="Heading2"/>
        <w:rPr>
          <w:noProof/>
        </w:rPr>
      </w:pPr>
      <w:bookmarkStart w:id="2" w:name="_Toc229054817"/>
      <w:r>
        <w:rPr>
          <w:noProof/>
        </w:rPr>
        <w:t>Objectif du présent rapport</w:t>
      </w:r>
      <w:bookmarkEnd w:id="2"/>
    </w:p>
    <w:p w14:paraId="54A4B06B" w14:textId="77777777" w:rsidR="00254FDB" w:rsidRDefault="00254FDB" w:rsidP="00254FDB">
      <w:pPr>
        <w:shd w:val="clear" w:color="auto" w:fill="FFFFFF" w:themeFill="background1"/>
        <w:spacing w:after="120" w:line="276" w:lineRule="auto"/>
        <w:jc w:val="both"/>
        <w:rPr>
          <w:noProof/>
          <w:lang w:val="en-GB" w:eastAsia="fr-BE"/>
        </w:rPr>
      </w:pPr>
    </w:p>
    <w:p w14:paraId="377E3E07" w14:textId="3BFDD6CE" w:rsidR="009E7B14" w:rsidRDefault="7FFB74F5" w:rsidP="00254FDB">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L’objectif du présent rapport est de suivre les progrès accomplis en vue d’atteindre la capacité d’injection annuelle de CO</w:t>
      </w:r>
      <w:r>
        <w:rPr>
          <w:rFonts w:ascii="Times New Roman" w:hAnsi="Times New Roman"/>
          <w:noProof/>
          <w:sz w:val="24"/>
          <w:vertAlign w:val="subscript"/>
        </w:rPr>
        <w:t>2</w:t>
      </w:r>
      <w:r>
        <w:rPr>
          <w:rFonts w:ascii="Times New Roman" w:hAnsi="Times New Roman"/>
          <w:noProof/>
          <w:sz w:val="24"/>
        </w:rPr>
        <w:t xml:space="preserve"> à l’échelle de l’Union visée à l’article 20 du règlement (UE) 2024/1735 du Parlement européen et du Conseil du 13 juin 2024 relatif à l’établissement d’un cadre de mesures en vue de renforcer l’écosystème européen de la fabrication de produits de technologie «zéro net». </w:t>
      </w:r>
    </w:p>
    <w:p w14:paraId="452A7015" w14:textId="24EE6358" w:rsidR="00B94541" w:rsidRDefault="00477DD1" w:rsidP="00254FDB">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présent rapport est fondé sur: </w:t>
      </w:r>
    </w:p>
    <w:p w14:paraId="02C1C0A8" w14:textId="708D5B5E" w:rsidR="00B94541" w:rsidRPr="00B94541" w:rsidRDefault="001404A7" w:rsidP="4102A999">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les rapports annuels 2024 des États membres présentés conformément à l’article 21, paragraphe 2, du règlement (UE) 2024/1735</w:t>
      </w:r>
      <w:r>
        <w:rPr>
          <w:rStyle w:val="FootnoteReference"/>
          <w:rFonts w:ascii="Times New Roman" w:eastAsia="Times New Roman" w:hAnsi="Times New Roman" w:cs="Times New Roman"/>
          <w:noProof/>
          <w:sz w:val="24"/>
          <w:szCs w:val="24"/>
          <w:lang w:eastAsia="fr-BE"/>
        </w:rPr>
        <w:footnoteReference w:id="2"/>
      </w:r>
      <w:r>
        <w:rPr>
          <w:rStyle w:val="FootnoteReference"/>
          <w:rFonts w:ascii="Times New Roman" w:eastAsia="Times New Roman" w:hAnsi="Times New Roman" w:cs="Times New Roman"/>
          <w:noProof/>
          <w:sz w:val="24"/>
          <w:szCs w:val="24"/>
          <w:lang w:eastAsia="fr-BE"/>
        </w:rPr>
        <w:footnoteReference w:id="3"/>
      </w:r>
      <w:r>
        <w:rPr>
          <w:rFonts w:ascii="Times New Roman" w:hAnsi="Times New Roman"/>
          <w:noProof/>
          <w:sz w:val="24"/>
        </w:rPr>
        <w:t xml:space="preserve">; et </w:t>
      </w:r>
    </w:p>
    <w:p w14:paraId="0DCB7857" w14:textId="06348973" w:rsidR="00B94541" w:rsidRPr="00B94541" w:rsidRDefault="001404A7" w:rsidP="00B94541">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plans 2025 présentés par les 44 entités assujetties conformément à l’article 23, paragraphe 4, du règlement (UE) 2024/1735. </w:t>
      </w:r>
    </w:p>
    <w:p w14:paraId="4D991D7C" w14:textId="61272228" w:rsidR="009E7B14" w:rsidRPr="009E7B14" w:rsidRDefault="009E7B14" w:rsidP="009E7B14">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présent rapport tient également compte d’informations supplémentaires qui permettent de mieux comprendre le marché émergent des services de stockage géologique du CO</w:t>
      </w:r>
      <w:r>
        <w:rPr>
          <w:rFonts w:ascii="Times New Roman" w:hAnsi="Times New Roman"/>
          <w:noProof/>
          <w:sz w:val="24"/>
          <w:vertAlign w:val="subscript"/>
        </w:rPr>
        <w:t>2</w:t>
      </w:r>
      <w:r>
        <w:rPr>
          <w:rFonts w:ascii="Times New Roman" w:hAnsi="Times New Roman"/>
          <w:noProof/>
          <w:sz w:val="24"/>
        </w:rPr>
        <w:t xml:space="preserve"> dans l’UE, à savoir:</w:t>
      </w:r>
    </w:p>
    <w:p w14:paraId="5C45AC49" w14:textId="77777777" w:rsidR="001F37F9" w:rsidRDefault="001F37F9" w:rsidP="001F37F9">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les plans nationaux en matière d’énergie et de climat récemment mis à jour</w:t>
      </w:r>
      <w:r>
        <w:rPr>
          <w:rStyle w:val="FootnoteReference"/>
          <w:rFonts w:ascii="Times New Roman" w:eastAsia="Times New Roman" w:hAnsi="Times New Roman" w:cs="Times New Roman"/>
          <w:noProof/>
          <w:sz w:val="24"/>
          <w:szCs w:val="24"/>
          <w:lang w:val="en-GB" w:eastAsia="fr-BE"/>
        </w:rPr>
        <w:footnoteReference w:id="4"/>
      </w:r>
      <w:r>
        <w:rPr>
          <w:rFonts w:ascii="Times New Roman" w:hAnsi="Times New Roman"/>
          <w:noProof/>
          <w:sz w:val="24"/>
        </w:rPr>
        <w:t xml:space="preserve">; </w:t>
      </w:r>
    </w:p>
    <w:p w14:paraId="3D434D36" w14:textId="2AE59C11" w:rsidR="001D01AB" w:rsidRDefault="00090FAD" w:rsidP="00B94541">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la demande de financement de l’UE émanant de l’industrie</w:t>
      </w:r>
      <w:r>
        <w:rPr>
          <w:rStyle w:val="FootnoteReference"/>
          <w:rFonts w:ascii="Times New Roman" w:eastAsia="Times New Roman" w:hAnsi="Times New Roman" w:cs="Times New Roman"/>
          <w:noProof/>
          <w:sz w:val="24"/>
          <w:szCs w:val="24"/>
          <w:lang w:val="en-GB" w:eastAsia="fr-BE"/>
        </w:rPr>
        <w:footnoteReference w:id="5"/>
      </w:r>
      <w:r>
        <w:rPr>
          <w:rFonts w:ascii="Times New Roman" w:hAnsi="Times New Roman"/>
          <w:noProof/>
          <w:sz w:val="24"/>
        </w:rPr>
        <w:t xml:space="preserve">; </w:t>
      </w:r>
    </w:p>
    <w:p w14:paraId="0CA8707E" w14:textId="51029BFA" w:rsidR="001C57A1" w:rsidRPr="00B94541" w:rsidRDefault="001C57A1" w:rsidP="001C57A1">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les projets de permis de stockage soumis par les États membres en vertu de l’article 10 de la directive 2009/31/CE</w:t>
      </w:r>
      <w:r>
        <w:rPr>
          <w:rFonts w:ascii="Times New Roman" w:eastAsia="Times New Roman" w:hAnsi="Times New Roman" w:cs="Times New Roman"/>
          <w:noProof/>
          <w:sz w:val="24"/>
          <w:szCs w:val="24"/>
          <w:vertAlign w:val="superscript"/>
          <w:lang w:val="en-GB" w:eastAsia="fr-BE"/>
        </w:rPr>
        <w:footnoteReference w:id="6"/>
      </w:r>
      <w:r>
        <w:rPr>
          <w:rFonts w:ascii="Times New Roman" w:hAnsi="Times New Roman"/>
          <w:noProof/>
          <w:sz w:val="24"/>
        </w:rPr>
        <w:t>; et</w:t>
      </w:r>
    </w:p>
    <w:p w14:paraId="1B17E862" w14:textId="3249F187" w:rsidR="001F37F9" w:rsidRDefault="001F37F9" w:rsidP="00B94541">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la mise en œuvre par les États membres, conformément à l’article 21, paragraphe 1, du règlement (UE) 2024/1735, de leurs obligations: i) de rendre publiques des données sur toutes les zones où des sites de stockage de CO</w:t>
      </w:r>
      <w:r>
        <w:rPr>
          <w:rFonts w:ascii="Times New Roman" w:hAnsi="Times New Roman"/>
          <w:noProof/>
          <w:sz w:val="24"/>
          <w:vertAlign w:val="subscript"/>
        </w:rPr>
        <w:t>2</w:t>
      </w:r>
      <w:r>
        <w:rPr>
          <w:rFonts w:ascii="Times New Roman" w:hAnsi="Times New Roman"/>
          <w:noProof/>
          <w:sz w:val="24"/>
        </w:rPr>
        <w:t xml:space="preserve"> pourraient être autorisés sur leur territoire; et ii) de rendre publiques, uniquement à titre indicatif, les données géologiques relatives aux sites de production d’hydrocarbures qui ont été déclassés ou dont le déclassement a été notifié à l’autorité compétente.</w:t>
      </w:r>
    </w:p>
    <w:p w14:paraId="7C243973" w14:textId="3C80A0CC" w:rsidR="00C3658F" w:rsidRPr="000A00EB" w:rsidRDefault="00767D7E" w:rsidP="0000779D">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Il importe toutefois de noter que l’évaluation figurant dans le présent rapport ne constitue qu’un aperçu fondé sur les informations communiquées par les États membres et les entités assujetties, lesquelles sont incomplètes. Un tableau plus complet se dessinera au fil du temps, à mesure que de nouvelles données seront communiquées d’ici à 2030.</w:t>
      </w:r>
      <w:r>
        <w:rPr>
          <w:noProof/>
        </w:rPr>
        <w:br w:type="page"/>
      </w:r>
    </w:p>
    <w:p w14:paraId="56A0E977" w14:textId="5A6F5532" w:rsidR="005F1D8B" w:rsidRPr="00935FD8" w:rsidRDefault="001E55E6" w:rsidP="00935FD8">
      <w:pPr>
        <w:pStyle w:val="Heading2"/>
        <w:rPr>
          <w:noProof/>
          <w:u w:val="single"/>
        </w:rPr>
      </w:pPr>
      <w:bookmarkStart w:id="3" w:name="_Toc229054818"/>
      <w:r>
        <w:rPr>
          <w:noProof/>
        </w:rPr>
        <w:t>Contexte</w:t>
      </w:r>
      <w:bookmarkEnd w:id="3"/>
      <w:r>
        <w:rPr>
          <w:noProof/>
        </w:rPr>
        <w:t xml:space="preserve"> </w:t>
      </w:r>
    </w:p>
    <w:p w14:paraId="0A03EC44" w14:textId="2FFCDF5E" w:rsidR="003330E1" w:rsidRDefault="00EC2424" w:rsidP="7511CDD3">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captage et stockage du carbone (CSC) est l’une des principales technologies de décarbonation disponibles pour les industries dont les émissions sont difficiles à réduire dans l’UE. La communication intitulée «Vers une gestion industrielle du carbone ambitieuse pour l’UE» a réaffirmé l’importance de la gestion industrielle du carbone pour suppléer les efforts d’atténuation des émissions difficiles à réduire et pour parvenir à des émissions négatives. La communication décrit également la nécessité d’élaborer un cadre d’action et d’investissement détaillé couvrant tous les aspects de la gestion industrielle du carbone et envisage la création d’un marché unique des services de transport et de stockage du CO</w:t>
      </w:r>
      <w:r>
        <w:rPr>
          <w:rFonts w:ascii="Times New Roman" w:hAnsi="Times New Roman"/>
          <w:noProof/>
          <w:sz w:val="24"/>
          <w:vertAlign w:val="subscript"/>
        </w:rPr>
        <w:t>2</w:t>
      </w:r>
      <w:r>
        <w:rPr>
          <w:rFonts w:ascii="Times New Roman" w:hAnsi="Times New Roman"/>
          <w:noProof/>
          <w:sz w:val="24"/>
        </w:rPr>
        <w:t xml:space="preserve"> dans toute l’Europe d’ici à 2030</w:t>
      </w:r>
      <w:r>
        <w:rPr>
          <w:rStyle w:val="FootnoteReference"/>
          <w:rFonts w:ascii="Times New Roman" w:eastAsia="Times New Roman" w:hAnsi="Times New Roman" w:cs="Times New Roman"/>
          <w:noProof/>
          <w:sz w:val="24"/>
          <w:szCs w:val="24"/>
          <w:lang w:val="en-GB" w:eastAsia="fr-BE"/>
        </w:rPr>
        <w:footnoteReference w:id="7"/>
      </w:r>
      <w:r>
        <w:rPr>
          <w:rFonts w:ascii="Times New Roman" w:hAnsi="Times New Roman"/>
          <w:noProof/>
          <w:sz w:val="24"/>
        </w:rPr>
        <w:t>.</w:t>
      </w:r>
    </w:p>
    <w:p w14:paraId="35622A4D" w14:textId="3B032E40" w:rsidR="005A46F0" w:rsidRDefault="00D81FDD" w:rsidP="00EC2424">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rapport Draghi sur la compétitivité de l’UE soulignait l’importance d’une approche technologiquement neutre de la décarbonation, mettait l’accent sur la nécessité de réaliser d’importants investissements publics et privés et recommandait d’étendre les mesures d’accélération et les règlements d’urgence pour les infrastructures de CSC</w:t>
      </w:r>
      <w:r>
        <w:rPr>
          <w:rStyle w:val="FootnoteReference"/>
          <w:rFonts w:ascii="Times New Roman" w:eastAsia="Times New Roman" w:hAnsi="Times New Roman" w:cs="Times New Roman"/>
          <w:noProof/>
          <w:sz w:val="24"/>
          <w:szCs w:val="24"/>
          <w:lang w:val="en-GB" w:eastAsia="fr-BE"/>
        </w:rPr>
        <w:footnoteReference w:id="8"/>
      </w:r>
      <w:r>
        <w:rPr>
          <w:rFonts w:ascii="Times New Roman" w:hAnsi="Times New Roman"/>
          <w:noProof/>
          <w:sz w:val="24"/>
        </w:rPr>
        <w:t xml:space="preserve">. </w:t>
      </w:r>
    </w:p>
    <w:p w14:paraId="7270BA82" w14:textId="49C44D4E" w:rsidR="00A00FDC" w:rsidRPr="00EC2424" w:rsidRDefault="00EC2424" w:rsidP="00EC2424">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pacte pour une industrie propre propose des actions concrètes pour faire de la décarbonation un moteur de croissance pour les industries européennes et définit de nouvelles mesures visant à soutenir la création d’un marché du CO</w:t>
      </w:r>
      <w:r>
        <w:rPr>
          <w:rFonts w:ascii="Times New Roman" w:hAnsi="Times New Roman"/>
          <w:noProof/>
          <w:sz w:val="24"/>
          <w:vertAlign w:val="subscript"/>
        </w:rPr>
        <w:t>2</w:t>
      </w:r>
      <w:r>
        <w:rPr>
          <w:rFonts w:ascii="Times New Roman" w:hAnsi="Times New Roman"/>
          <w:noProof/>
          <w:sz w:val="24"/>
        </w:rPr>
        <w:t xml:space="preserve"> capté, notamment un étiquetage facultatif indiquant l’intensité de carbone des produits industriels.</w:t>
      </w:r>
      <w:r>
        <w:rPr>
          <w:rFonts w:ascii="Times New Roman" w:hAnsi="Times New Roman"/>
          <w:noProof/>
          <w:sz w:val="24"/>
          <w:vertAlign w:val="subscript"/>
        </w:rPr>
        <w:t xml:space="preserve"> </w:t>
      </w:r>
    </w:p>
    <w:p w14:paraId="518E42FF" w14:textId="12ACC3CF" w:rsidR="00EC2424" w:rsidRPr="00EC2424" w:rsidRDefault="00EC2424" w:rsidP="01060631">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L’UE joue un rôle de premier plan tant dans les technologies de captage du CO</w:t>
      </w:r>
      <w:r>
        <w:rPr>
          <w:rFonts w:ascii="Times New Roman" w:hAnsi="Times New Roman"/>
          <w:noProof/>
          <w:sz w:val="24"/>
          <w:vertAlign w:val="subscript"/>
        </w:rPr>
        <w:t>2</w:t>
      </w:r>
      <w:r>
        <w:rPr>
          <w:rFonts w:ascii="Times New Roman" w:hAnsi="Times New Roman"/>
          <w:noProof/>
          <w:sz w:val="24"/>
        </w:rPr>
        <w:t xml:space="preserve"> que dans le financement des activités de recherche, de développement et d’innovation dans le domaine du CSC. En outre, l’UE accueille la première entreprise mondiale dans le domaine des inventions en matière de gestion industrielle du carbone à haute valeur ajoutée</w:t>
      </w:r>
      <w:r>
        <w:rPr>
          <w:rStyle w:val="FootnoteReference"/>
          <w:rFonts w:ascii="Times New Roman" w:eastAsia="Times New Roman" w:hAnsi="Times New Roman" w:cs="Times New Roman"/>
          <w:noProof/>
          <w:sz w:val="24"/>
          <w:szCs w:val="24"/>
          <w:lang w:eastAsia="fr-BE"/>
        </w:rPr>
        <w:footnoteReference w:id="9"/>
      </w:r>
      <w:r>
        <w:rPr>
          <w:rFonts w:ascii="Times New Roman" w:hAnsi="Times New Roman"/>
          <w:noProof/>
          <w:sz w:val="24"/>
        </w:rPr>
        <w:t xml:space="preserve"> </w:t>
      </w:r>
      <w:r>
        <w:rPr>
          <w:rStyle w:val="FootnoteReference"/>
          <w:rFonts w:ascii="Times New Roman" w:eastAsia="Times New Roman" w:hAnsi="Times New Roman" w:cs="Times New Roman"/>
          <w:noProof/>
          <w:sz w:val="24"/>
          <w:szCs w:val="24"/>
          <w:lang w:eastAsia="fr-BE"/>
        </w:rPr>
        <w:footnoteReference w:id="10"/>
      </w:r>
      <w:r>
        <w:rPr>
          <w:rFonts w:ascii="Times New Roman" w:hAnsi="Times New Roman"/>
          <w:noProof/>
          <w:sz w:val="24"/>
        </w:rPr>
        <w:t>. La reconnaissance des technologies de captage, de transport, de stockage et d’utilisation du CO</w:t>
      </w:r>
      <w:r>
        <w:rPr>
          <w:rFonts w:ascii="Times New Roman" w:hAnsi="Times New Roman"/>
          <w:noProof/>
          <w:sz w:val="24"/>
          <w:vertAlign w:val="subscript"/>
        </w:rPr>
        <w:t>2</w:t>
      </w:r>
      <w:r>
        <w:rPr>
          <w:rFonts w:ascii="Times New Roman" w:hAnsi="Times New Roman"/>
          <w:noProof/>
          <w:sz w:val="24"/>
        </w:rPr>
        <w:t xml:space="preserve"> dans l’UE en tant que technologies «zéro net»</w:t>
      </w:r>
      <w:r>
        <w:rPr>
          <w:rStyle w:val="FootnoteReference"/>
          <w:rFonts w:ascii="Times New Roman" w:eastAsia="Times New Roman" w:hAnsi="Times New Roman" w:cs="Times New Roman"/>
          <w:noProof/>
          <w:sz w:val="24"/>
          <w:szCs w:val="24"/>
          <w:lang w:eastAsia="fr-BE"/>
        </w:rPr>
        <w:footnoteReference w:id="11"/>
      </w:r>
      <w:r>
        <w:rPr>
          <w:rFonts w:ascii="Times New Roman" w:hAnsi="Times New Roman"/>
          <w:noProof/>
          <w:sz w:val="24"/>
        </w:rPr>
        <w:t xml:space="preserve"> soutiendra le déploiement de chaînes de valeur intégrées du CSC et contribuera à renforcer cette primauté industrielle.</w:t>
      </w:r>
    </w:p>
    <w:p w14:paraId="59AD1A6F" w14:textId="08DDFB39" w:rsidR="00EC2424" w:rsidRPr="00EC2424" w:rsidRDefault="00A038E6" w:rsidP="01060631">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Un cadre réglementaire solide est en cours d’élaboration pour soutenir le déploiement du CSC dans l’UE. La directive 2009/31/CE établit un cadre juridique pour le stockage géologique du CO</w:t>
      </w:r>
      <w:r>
        <w:rPr>
          <w:rFonts w:ascii="Times New Roman" w:hAnsi="Times New Roman"/>
          <w:noProof/>
          <w:sz w:val="24"/>
          <w:vertAlign w:val="subscript"/>
        </w:rPr>
        <w:t>2</w:t>
      </w:r>
      <w:r>
        <w:rPr>
          <w:rFonts w:ascii="Times New Roman" w:hAnsi="Times New Roman"/>
          <w:noProof/>
          <w:sz w:val="24"/>
        </w:rPr>
        <w:t xml:space="preserve"> en toute sécurité. Le règlement (UE) 2024/1735 établit un objectif de capacité d’injection annuelle de l’UE d’au moins 50 millions de tonnes de CO</w:t>
      </w:r>
      <w:r>
        <w:rPr>
          <w:rFonts w:ascii="Times New Roman" w:hAnsi="Times New Roman"/>
          <w:noProof/>
          <w:sz w:val="24"/>
          <w:vertAlign w:val="subscript"/>
        </w:rPr>
        <w:t>2</w:t>
      </w:r>
      <w:r>
        <w:rPr>
          <w:rFonts w:ascii="Times New Roman" w:hAnsi="Times New Roman"/>
          <w:noProof/>
          <w:sz w:val="24"/>
        </w:rPr>
        <w:t xml:space="preserve"> d’ici à 2030 dans les sites de stockage, fixe des contributions individuelles à la capacité d’injection annuelle visée par l’UE, calculées sur la base de la part de chaque entité dans la production de pétrole brut et de gaz naturel de l’Union entre le 1</w:t>
      </w:r>
      <w:r>
        <w:rPr>
          <w:rFonts w:ascii="Times New Roman" w:hAnsi="Times New Roman"/>
          <w:noProof/>
          <w:sz w:val="24"/>
          <w:vertAlign w:val="superscript"/>
        </w:rPr>
        <w:t>er</w:t>
      </w:r>
      <w:r>
        <w:rPr>
          <w:rFonts w:ascii="Times New Roman" w:hAnsi="Times New Roman"/>
          <w:noProof/>
          <w:sz w:val="24"/>
        </w:rPr>
        <w:t> janvier 2020 et le 31 décembre 2023, et accélère et facilite les procédures administratives, d’octroi d’autorisations et juridiques pour les projets de CSC contribuant à l’objectif annuel de l’UE</w:t>
      </w:r>
      <w:r>
        <w:rPr>
          <w:rFonts w:ascii="Times New Roman" w:eastAsia="Times New Roman" w:hAnsi="Times New Roman" w:cs="Times New Roman"/>
          <w:noProof/>
          <w:sz w:val="24"/>
          <w:szCs w:val="24"/>
          <w:vertAlign w:val="superscript"/>
          <w:lang w:val="en-GB" w:eastAsia="fr-BE"/>
        </w:rPr>
        <w:footnoteReference w:id="12"/>
      </w:r>
      <w:r>
        <w:rPr>
          <w:rFonts w:ascii="Times New Roman" w:hAnsi="Times New Roman"/>
          <w:noProof/>
          <w:sz w:val="24"/>
        </w:rPr>
        <w:t xml:space="preserve">. </w:t>
      </w:r>
    </w:p>
    <w:p w14:paraId="2B776F57" w14:textId="6D3F7B32" w:rsidR="0095068C" w:rsidRDefault="0095068C" w:rsidP="4102A999">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La modélisation de l’analyse d’impact de l’objectif climatique de l’UE à l’horizon 2040 intègre la capacité d’injection annuelle visée par l’Union et estime qu’environ 200 millions de tonnes de CO</w:t>
      </w:r>
      <w:r>
        <w:rPr>
          <w:rFonts w:ascii="Times New Roman" w:hAnsi="Times New Roman"/>
          <w:noProof/>
          <w:sz w:val="24"/>
          <w:vertAlign w:val="subscript"/>
        </w:rPr>
        <w:t>2</w:t>
      </w:r>
      <w:r>
        <w:rPr>
          <w:rFonts w:ascii="Times New Roman" w:hAnsi="Times New Roman"/>
          <w:noProof/>
          <w:sz w:val="24"/>
        </w:rPr>
        <w:t xml:space="preserve"> capté par an doivent être stockées dans le sous-sol d’ici à 2040</w:t>
      </w:r>
      <w:r>
        <w:rPr>
          <w:rStyle w:val="FootnoteReference"/>
          <w:rFonts w:ascii="Times New Roman" w:eastAsia="Times New Roman" w:hAnsi="Times New Roman" w:cs="Times New Roman"/>
          <w:noProof/>
          <w:sz w:val="24"/>
          <w:szCs w:val="24"/>
          <w:lang w:eastAsia="fr-BE"/>
        </w:rPr>
        <w:footnoteReference w:id="13"/>
      </w:r>
      <w:r>
        <w:rPr>
          <w:rFonts w:ascii="Times New Roman" w:hAnsi="Times New Roman"/>
          <w:noProof/>
          <w:sz w:val="24"/>
        </w:rPr>
        <w:t>. La capacité d’injection annuelle visée par l’Union devrait contribuer à l’objectif contraignant de neutralité climatique de l’UE d’ici à 2050</w:t>
      </w:r>
      <w:r>
        <w:rPr>
          <w:rStyle w:val="FootnoteReference"/>
          <w:rFonts w:ascii="Times New Roman" w:eastAsia="Times New Roman" w:hAnsi="Times New Roman" w:cs="Times New Roman"/>
          <w:noProof/>
          <w:sz w:val="24"/>
          <w:szCs w:val="24"/>
          <w:lang w:eastAsia="fr-BE"/>
        </w:rPr>
        <w:footnoteReference w:id="14"/>
      </w:r>
      <w:r>
        <w:rPr>
          <w:rFonts w:ascii="Times New Roman" w:hAnsi="Times New Roman"/>
          <w:noProof/>
          <w:sz w:val="24"/>
        </w:rPr>
        <w:t xml:space="preserve"> </w:t>
      </w:r>
      <w:r>
        <w:rPr>
          <w:rStyle w:val="FootnoteReference"/>
          <w:rFonts w:ascii="Times New Roman" w:eastAsia="Times New Roman" w:hAnsi="Times New Roman" w:cs="Times New Roman"/>
          <w:noProof/>
          <w:sz w:val="24"/>
          <w:szCs w:val="24"/>
          <w:lang w:eastAsia="fr-BE"/>
        </w:rPr>
        <w:footnoteReference w:id="15"/>
      </w:r>
      <w:r>
        <w:rPr>
          <w:rFonts w:ascii="Times New Roman" w:hAnsi="Times New Roman"/>
          <w:noProof/>
          <w:sz w:val="24"/>
        </w:rPr>
        <w:t>.</w:t>
      </w:r>
    </w:p>
    <w:p w14:paraId="09B831D9" w14:textId="4735A487" w:rsidR="00B51E65" w:rsidRDefault="009467D7" w:rsidP="7511CDD3">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règlement délégué (UE) 2025/1477 de la Commission précise les règles régissant le recensement des producteurs de pétrole et de gaz autorisés tenus de contribuer à l’objectif de l’UE en matière de capacité d’injection annuelle de CO</w:t>
      </w:r>
      <w:r>
        <w:rPr>
          <w:rFonts w:ascii="Times New Roman" w:hAnsi="Times New Roman"/>
          <w:noProof/>
          <w:sz w:val="24"/>
          <w:vertAlign w:val="subscript"/>
        </w:rPr>
        <w:t>2</w:t>
      </w:r>
      <w:r>
        <w:rPr>
          <w:rStyle w:val="FootnoteReference"/>
          <w:rFonts w:ascii="Times New Roman" w:eastAsia="Times New Roman" w:hAnsi="Times New Roman" w:cs="Times New Roman"/>
          <w:noProof/>
          <w:sz w:val="24"/>
          <w:szCs w:val="24"/>
          <w:lang w:val="en-GB" w:eastAsia="fr-BE"/>
        </w:rPr>
        <w:footnoteReference w:id="16"/>
      </w:r>
      <w:r>
        <w:rPr>
          <w:rFonts w:ascii="Times New Roman" w:hAnsi="Times New Roman"/>
          <w:noProof/>
          <w:sz w:val="24"/>
        </w:rPr>
        <w:t>. La décision (UE) 2025/1479 de la Commission énumère les contributions individuelles des 44 producteurs de pétrole et de gaz autorisés qui doivent contribuer à l’objectif</w:t>
      </w:r>
      <w:r>
        <w:rPr>
          <w:rStyle w:val="FootnoteReference"/>
          <w:rFonts w:ascii="Times New Roman" w:eastAsia="Times New Roman" w:hAnsi="Times New Roman" w:cs="Times New Roman"/>
          <w:noProof/>
          <w:sz w:val="24"/>
          <w:szCs w:val="24"/>
          <w:lang w:val="en-GB" w:eastAsia="fr-BE"/>
        </w:rPr>
        <w:footnoteReference w:id="17"/>
      </w:r>
      <w:r>
        <w:rPr>
          <w:rFonts w:ascii="Times New Roman" w:hAnsi="Times New Roman"/>
          <w:noProof/>
          <w:sz w:val="24"/>
        </w:rPr>
        <w:t xml:space="preserve">. </w:t>
      </w:r>
    </w:p>
    <w:p w14:paraId="19B062D8" w14:textId="32EE754C" w:rsidR="00E838AC" w:rsidRDefault="003F6A31" w:rsidP="36B32137">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marché européen des services de stockage du CO</w:t>
      </w:r>
      <w:r>
        <w:rPr>
          <w:rFonts w:ascii="Times New Roman" w:hAnsi="Times New Roman"/>
          <w:noProof/>
          <w:sz w:val="24"/>
          <w:vertAlign w:val="subscript"/>
        </w:rPr>
        <w:t>2</w:t>
      </w:r>
      <w:r>
        <w:rPr>
          <w:rFonts w:ascii="Times New Roman" w:hAnsi="Times New Roman"/>
          <w:noProof/>
          <w:sz w:val="24"/>
        </w:rPr>
        <w:t xml:space="preserve"> en est à ses balbutiements, mais il connaît une croissance rapide. L’installation Porthos devrait entrer en service en 2026 aux Pays-Bas, avec une capacité d’injection de CO</w:t>
      </w:r>
      <w:r>
        <w:rPr>
          <w:rFonts w:ascii="Times New Roman" w:hAnsi="Times New Roman"/>
          <w:noProof/>
          <w:sz w:val="24"/>
          <w:vertAlign w:val="subscript"/>
        </w:rPr>
        <w:t>2</w:t>
      </w:r>
      <w:r>
        <w:rPr>
          <w:rFonts w:ascii="Times New Roman" w:hAnsi="Times New Roman"/>
          <w:noProof/>
          <w:sz w:val="24"/>
        </w:rPr>
        <w:t xml:space="preserve"> de 2</w:t>
      </w:r>
      <w:r w:rsidR="00E920C2">
        <w:rPr>
          <w:rFonts w:ascii="Times New Roman" w:hAnsi="Times New Roman"/>
          <w:noProof/>
          <w:sz w:val="24"/>
        </w:rPr>
        <w:t>,5</w:t>
      </w:r>
      <w:r>
        <w:rPr>
          <w:rFonts w:ascii="Times New Roman" w:hAnsi="Times New Roman"/>
          <w:noProof/>
          <w:sz w:val="24"/>
        </w:rPr>
        <w:t> millions de tonnes par an. L’installation Greensand devrait également entrer en service en 2026, avec une capacité d’injection initiale de 0,3 million de tonnes de CO</w:t>
      </w:r>
      <w:r>
        <w:rPr>
          <w:rFonts w:ascii="Times New Roman" w:hAnsi="Times New Roman"/>
          <w:noProof/>
          <w:sz w:val="24"/>
          <w:vertAlign w:val="subscript"/>
        </w:rPr>
        <w:t>2</w:t>
      </w:r>
      <w:r>
        <w:rPr>
          <w:rFonts w:ascii="Times New Roman" w:hAnsi="Times New Roman"/>
          <w:noProof/>
          <w:sz w:val="24"/>
        </w:rPr>
        <w:t xml:space="preserve"> par an. Le projet Ravenna CCS, situé en Italie, injecte déjà environ 25 000 tonnes de CO</w:t>
      </w:r>
      <w:r>
        <w:rPr>
          <w:rFonts w:ascii="Times New Roman" w:hAnsi="Times New Roman"/>
          <w:noProof/>
          <w:sz w:val="24"/>
          <w:vertAlign w:val="subscript"/>
        </w:rPr>
        <w:t>2</w:t>
      </w:r>
      <w:r>
        <w:rPr>
          <w:rFonts w:ascii="Times New Roman" w:hAnsi="Times New Roman"/>
          <w:noProof/>
          <w:sz w:val="24"/>
        </w:rPr>
        <w:t xml:space="preserve"> par an depuis 2024 à l’échelle pilote et prévoit d’entrer en exploitation commerciale d’ici à 2030. Dans l’Espace économique européen, deux sites de stockage situés en Islande et en Norvège ont commencé à injecter du CO</w:t>
      </w:r>
      <w:r>
        <w:rPr>
          <w:rFonts w:ascii="Times New Roman" w:hAnsi="Times New Roman"/>
          <w:noProof/>
          <w:sz w:val="24"/>
          <w:vertAlign w:val="subscript"/>
        </w:rPr>
        <w:t>2</w:t>
      </w:r>
      <w:r>
        <w:rPr>
          <w:rFonts w:ascii="Times New Roman" w:hAnsi="Times New Roman"/>
          <w:noProof/>
          <w:sz w:val="24"/>
        </w:rPr>
        <w:t xml:space="preserve"> provenant de sources industrielles à une échelle commerciale en 2025</w:t>
      </w:r>
      <w:r>
        <w:rPr>
          <w:rStyle w:val="FootnoteReference"/>
          <w:rFonts w:ascii="Times New Roman" w:eastAsia="Times New Roman" w:hAnsi="Times New Roman" w:cs="Times New Roman"/>
          <w:noProof/>
          <w:sz w:val="24"/>
          <w:szCs w:val="24"/>
          <w:lang w:val="en-GB" w:eastAsia="fr-BE"/>
        </w:rPr>
        <w:footnoteReference w:id="18"/>
      </w:r>
      <w:r>
        <w:rPr>
          <w:rFonts w:ascii="Times New Roman" w:hAnsi="Times New Roman"/>
          <w:noProof/>
          <w:sz w:val="24"/>
        </w:rPr>
        <w:t xml:space="preserve">. </w:t>
      </w:r>
    </w:p>
    <w:p w14:paraId="1ECCAFEB" w14:textId="1871D51A" w:rsidR="00E838AC" w:rsidRPr="00CF63B7" w:rsidRDefault="00E838AC" w:rsidP="009062C7">
      <w:pPr>
        <w:shd w:val="clear" w:color="auto" w:fill="FFFFFF" w:themeFill="background1"/>
        <w:spacing w:after="120" w:line="276" w:lineRule="auto"/>
        <w:jc w:val="both"/>
        <w:rPr>
          <w:rFonts w:ascii="Times New Roman" w:eastAsia="Times New Roman" w:hAnsi="Times New Roman" w:cs="Times New Roman"/>
          <w:noProof/>
          <w:sz w:val="24"/>
          <w:szCs w:val="24"/>
          <w:highlight w:val="yellow"/>
        </w:rPr>
      </w:pPr>
      <w:r>
        <w:rPr>
          <w:rFonts w:ascii="Times New Roman" w:hAnsi="Times New Roman"/>
          <w:noProof/>
          <w:sz w:val="24"/>
        </w:rPr>
        <w:t xml:space="preserve">L’UE soutient également le développement de sites de stockage au moyen de plusieurs instruments de financement de l’UE, dont le mécanisme pour l’interconnexion en Europe, Horizon Europe, le Fonds pour l’innovation et la facilité pour la reprise et la résilience. </w:t>
      </w:r>
    </w:p>
    <w:p w14:paraId="32E73D1C" w14:textId="51C44191" w:rsidR="00E838AC" w:rsidRDefault="00B54F80" w:rsidP="00B54F80">
      <w:pPr>
        <w:rPr>
          <w:rFonts w:ascii="Times New Roman" w:eastAsia="Times New Roman" w:hAnsi="Times New Roman" w:cs="Times New Roman"/>
          <w:noProof/>
          <w:sz w:val="24"/>
          <w:szCs w:val="24"/>
        </w:rPr>
      </w:pPr>
      <w:r>
        <w:rPr>
          <w:noProof/>
        </w:rPr>
        <w:br w:type="page"/>
      </w:r>
    </w:p>
    <w:p w14:paraId="08AFC117" w14:textId="464C98E4" w:rsidR="009249C0" w:rsidRPr="007F793F" w:rsidRDefault="00183BB1" w:rsidP="00971E98">
      <w:pPr>
        <w:pStyle w:val="Heading2"/>
        <w:jc w:val="both"/>
        <w:rPr>
          <w:noProof/>
        </w:rPr>
      </w:pPr>
      <w:bookmarkStart w:id="4" w:name="_Toc229054819"/>
      <w:r>
        <w:rPr>
          <w:noProof/>
        </w:rPr>
        <w:t>Aperçu de l’offre et de la demande sur la base des estimations des États membres</w:t>
      </w:r>
      <w:bookmarkEnd w:id="4"/>
      <w:r>
        <w:rPr>
          <w:noProof/>
        </w:rPr>
        <w:t xml:space="preserve"> </w:t>
      </w:r>
    </w:p>
    <w:p w14:paraId="1B43D989" w14:textId="77777777" w:rsidR="00C511A5" w:rsidRPr="00E45753" w:rsidRDefault="00C511A5" w:rsidP="00C511A5">
      <w:pPr>
        <w:rPr>
          <w:noProof/>
          <w:highlight w:val="yellow"/>
          <w:lang w:val="fr-BE" w:eastAsia="fr-BE"/>
        </w:rPr>
      </w:pPr>
    </w:p>
    <w:p w14:paraId="742DFD13" w14:textId="31AD9AF6" w:rsidR="00C511A5" w:rsidRPr="00AB1791" w:rsidRDefault="00BF78BA" w:rsidP="00C511A5">
      <w:pPr>
        <w:pStyle w:val="Heading3"/>
        <w:rPr>
          <w:noProof/>
        </w:rPr>
      </w:pPr>
      <w:bookmarkStart w:id="5" w:name="_Toc229054820"/>
      <w:r>
        <w:rPr>
          <w:noProof/>
        </w:rPr>
        <w:t>Plans nationaux en matière d’énergie et de climat (PNEC)</w:t>
      </w:r>
      <w:bookmarkEnd w:id="5"/>
    </w:p>
    <w:p w14:paraId="4B684F66" w14:textId="57076EC9" w:rsidR="00951A44" w:rsidRDefault="00E4753D" w:rsidP="005E6B4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Les PNEC imposent aux États membres de rendre publiques les politiques qui seront mises en œuvre pour atteindre les objectifs en matière de climat et d’énergie à l’horizon 2030. En 2022, la Commission a encouragé les États membres à inclure dans leurs PNEC mis à jour le stockage géologique à long terme du CO</w:t>
      </w:r>
      <w:r>
        <w:rPr>
          <w:rFonts w:ascii="Times New Roman" w:hAnsi="Times New Roman"/>
          <w:noProof/>
          <w:sz w:val="24"/>
          <w:vertAlign w:val="subscript"/>
        </w:rPr>
        <w:t>2</w:t>
      </w:r>
      <w:r>
        <w:rPr>
          <w:rFonts w:ascii="Times New Roman" w:hAnsi="Times New Roman"/>
          <w:noProof/>
          <w:sz w:val="24"/>
        </w:rPr>
        <w:t xml:space="preserve"> et les efforts prévus pour permettre à leurs industries de capter et de stocker en permanence leurs émissions de procédé intrinsèques dans des sites de stockage géologique, conformément à la directive 2009/31/CE</w:t>
      </w:r>
      <w:r>
        <w:rPr>
          <w:rStyle w:val="FootnoteReference"/>
          <w:rFonts w:ascii="Times New Roman" w:eastAsia="Times New Roman" w:hAnsi="Times New Roman" w:cs="Times New Roman"/>
          <w:noProof/>
          <w:sz w:val="24"/>
          <w:szCs w:val="24"/>
          <w:lang w:val="en-GB" w:eastAsia="fr-BE"/>
        </w:rPr>
        <w:footnoteReference w:id="19"/>
      </w:r>
      <w:r>
        <w:rPr>
          <w:rFonts w:ascii="Times New Roman" w:hAnsi="Times New Roman"/>
          <w:noProof/>
          <w:sz w:val="24"/>
        </w:rPr>
        <w:t>. Les États membres étaient encouragés à fournir les informations suivantes:</w:t>
      </w:r>
    </w:p>
    <w:p w14:paraId="0375E0B5" w14:textId="57CF6BD3" w:rsidR="00E4753D" w:rsidRPr="00951A44" w:rsidRDefault="00E4753D" w:rsidP="00951A44">
      <w:pPr>
        <w:pStyle w:val="ListParagraph"/>
        <w:numPr>
          <w:ilvl w:val="0"/>
          <w:numId w:val="43"/>
        </w:numPr>
        <w:jc w:val="both"/>
        <w:rPr>
          <w:rFonts w:ascii="Times New Roman" w:eastAsia="Times New Roman" w:hAnsi="Times New Roman" w:cs="Times New Roman"/>
          <w:noProof/>
          <w:sz w:val="24"/>
          <w:szCs w:val="24"/>
        </w:rPr>
      </w:pPr>
      <w:r>
        <w:rPr>
          <w:rFonts w:ascii="Times New Roman" w:hAnsi="Times New Roman"/>
          <w:noProof/>
          <w:sz w:val="24"/>
        </w:rPr>
        <w:t>la projection annuelle agrégée des émissions de procédé intrinsèques qui devront être atténuées par le captage du CO</w:t>
      </w:r>
      <w:r>
        <w:rPr>
          <w:rFonts w:ascii="Times New Roman" w:hAnsi="Times New Roman"/>
          <w:noProof/>
          <w:sz w:val="24"/>
          <w:vertAlign w:val="subscript"/>
        </w:rPr>
        <w:t>2</w:t>
      </w:r>
      <w:r>
        <w:rPr>
          <w:rFonts w:ascii="Times New Roman" w:hAnsi="Times New Roman"/>
          <w:noProof/>
          <w:sz w:val="24"/>
        </w:rPr>
        <w:t>;</w:t>
      </w:r>
    </w:p>
    <w:p w14:paraId="5C3A2597" w14:textId="7F3E657E" w:rsidR="00E4753D" w:rsidRPr="00336F76" w:rsidRDefault="00E4753D" w:rsidP="00336F76">
      <w:pPr>
        <w:pStyle w:val="ListParagraph"/>
        <w:numPr>
          <w:ilvl w:val="0"/>
          <w:numId w:val="35"/>
        </w:numPr>
        <w:jc w:val="both"/>
        <w:rPr>
          <w:rFonts w:ascii="Times New Roman" w:eastAsia="Times New Roman" w:hAnsi="Times New Roman" w:cs="Times New Roman"/>
          <w:noProof/>
          <w:sz w:val="24"/>
          <w:szCs w:val="24"/>
        </w:rPr>
      </w:pPr>
      <w:r>
        <w:rPr>
          <w:rFonts w:ascii="Times New Roman" w:hAnsi="Times New Roman"/>
          <w:noProof/>
          <w:sz w:val="24"/>
        </w:rPr>
        <w:t>les émissions annuelles de CO</w:t>
      </w:r>
      <w:r>
        <w:rPr>
          <w:rFonts w:ascii="Times New Roman" w:hAnsi="Times New Roman"/>
          <w:noProof/>
          <w:sz w:val="24"/>
          <w:vertAlign w:val="subscript"/>
        </w:rPr>
        <w:t>2</w:t>
      </w:r>
      <w:r>
        <w:rPr>
          <w:rFonts w:ascii="Times New Roman" w:hAnsi="Times New Roman"/>
          <w:noProof/>
          <w:sz w:val="24"/>
        </w:rPr>
        <w:t xml:space="preserve"> dans l’air biogénique et direct qui seront disponibles pour le stockage géologique du CO</w:t>
      </w:r>
      <w:r>
        <w:rPr>
          <w:rFonts w:ascii="Times New Roman" w:hAnsi="Times New Roman"/>
          <w:noProof/>
          <w:sz w:val="24"/>
          <w:vertAlign w:val="subscript"/>
        </w:rPr>
        <w:t>2</w:t>
      </w:r>
      <w:r>
        <w:rPr>
          <w:rFonts w:ascii="Times New Roman" w:hAnsi="Times New Roman"/>
          <w:noProof/>
          <w:sz w:val="24"/>
        </w:rPr>
        <w:t>;</w:t>
      </w:r>
    </w:p>
    <w:p w14:paraId="3DC107A5" w14:textId="0331845D" w:rsidR="00E4753D" w:rsidRPr="00336F76" w:rsidRDefault="00E4753D" w:rsidP="00336F76">
      <w:pPr>
        <w:pStyle w:val="ListParagraph"/>
        <w:numPr>
          <w:ilvl w:val="0"/>
          <w:numId w:val="35"/>
        </w:numPr>
        <w:jc w:val="both"/>
        <w:rPr>
          <w:rFonts w:ascii="Times New Roman" w:eastAsia="Times New Roman" w:hAnsi="Times New Roman" w:cs="Times New Roman"/>
          <w:noProof/>
          <w:sz w:val="24"/>
          <w:szCs w:val="24"/>
        </w:rPr>
      </w:pPr>
      <w:r>
        <w:rPr>
          <w:rFonts w:ascii="Times New Roman" w:hAnsi="Times New Roman"/>
          <w:noProof/>
          <w:sz w:val="24"/>
        </w:rPr>
        <w:t>la capacité de stockage géologique du CO</w:t>
      </w:r>
      <w:r>
        <w:rPr>
          <w:rFonts w:ascii="Times New Roman" w:hAnsi="Times New Roman"/>
          <w:noProof/>
          <w:sz w:val="24"/>
          <w:vertAlign w:val="subscript"/>
        </w:rPr>
        <w:t>2</w:t>
      </w:r>
      <w:r>
        <w:rPr>
          <w:rFonts w:ascii="Times New Roman" w:hAnsi="Times New Roman"/>
          <w:noProof/>
          <w:sz w:val="24"/>
        </w:rPr>
        <w:t xml:space="preserve"> qui peut être rendue opérationnelle chaque année;</w:t>
      </w:r>
    </w:p>
    <w:p w14:paraId="314F0D19" w14:textId="77777777" w:rsidR="00E4753D" w:rsidRPr="00336F76" w:rsidRDefault="00E4753D" w:rsidP="00336F76">
      <w:pPr>
        <w:pStyle w:val="ListParagraph"/>
        <w:numPr>
          <w:ilvl w:val="0"/>
          <w:numId w:val="35"/>
        </w:numPr>
        <w:jc w:val="both"/>
        <w:rPr>
          <w:rFonts w:ascii="Times New Roman" w:eastAsia="Times New Roman" w:hAnsi="Times New Roman" w:cs="Times New Roman"/>
          <w:noProof/>
          <w:sz w:val="24"/>
          <w:szCs w:val="24"/>
        </w:rPr>
      </w:pPr>
      <w:r>
        <w:rPr>
          <w:rFonts w:ascii="Times New Roman" w:hAnsi="Times New Roman"/>
          <w:noProof/>
          <w:sz w:val="24"/>
        </w:rPr>
        <w:t>la capacité annuelle de stockage de CO</w:t>
      </w:r>
      <w:r>
        <w:rPr>
          <w:rFonts w:ascii="Times New Roman" w:hAnsi="Times New Roman"/>
          <w:noProof/>
          <w:sz w:val="24"/>
          <w:vertAlign w:val="subscript"/>
        </w:rPr>
        <w:t>2</w:t>
      </w:r>
      <w:r>
        <w:rPr>
          <w:rFonts w:ascii="Times New Roman" w:hAnsi="Times New Roman"/>
          <w:noProof/>
          <w:sz w:val="24"/>
        </w:rPr>
        <w:t xml:space="preserve"> qui pourrait devenir disponible à la fin de l’exploitation des réservoirs d’hydrocarbures;</w:t>
      </w:r>
    </w:p>
    <w:p w14:paraId="40B64ED9" w14:textId="77777777" w:rsidR="00E4753D" w:rsidRPr="00336F76" w:rsidRDefault="00E4753D" w:rsidP="00336F76">
      <w:pPr>
        <w:pStyle w:val="ListParagraph"/>
        <w:numPr>
          <w:ilvl w:val="0"/>
          <w:numId w:val="35"/>
        </w:numPr>
        <w:jc w:val="both"/>
        <w:rPr>
          <w:rFonts w:ascii="Times New Roman" w:eastAsia="Times New Roman" w:hAnsi="Times New Roman" w:cs="Times New Roman"/>
          <w:noProof/>
          <w:sz w:val="24"/>
          <w:szCs w:val="24"/>
        </w:rPr>
      </w:pPr>
      <w:r>
        <w:rPr>
          <w:rFonts w:ascii="Times New Roman" w:hAnsi="Times New Roman"/>
          <w:noProof/>
          <w:sz w:val="24"/>
        </w:rPr>
        <w:t>les infrastructures de transport de CO</w:t>
      </w:r>
      <w:r>
        <w:rPr>
          <w:rFonts w:ascii="Times New Roman" w:hAnsi="Times New Roman"/>
          <w:noProof/>
          <w:sz w:val="24"/>
          <w:vertAlign w:val="subscript"/>
        </w:rPr>
        <w:t>2</w:t>
      </w:r>
      <w:r>
        <w:rPr>
          <w:rFonts w:ascii="Times New Roman" w:hAnsi="Times New Roman"/>
          <w:noProof/>
          <w:sz w:val="24"/>
        </w:rPr>
        <w:t xml:space="preserve"> prévues;</w:t>
      </w:r>
    </w:p>
    <w:p w14:paraId="2CFBC1B6" w14:textId="008BDA6A" w:rsidR="00E4753D" w:rsidRPr="00336F76" w:rsidRDefault="00E4753D" w:rsidP="00336F76">
      <w:pPr>
        <w:pStyle w:val="ListParagraph"/>
        <w:numPr>
          <w:ilvl w:val="0"/>
          <w:numId w:val="35"/>
        </w:numPr>
        <w:jc w:val="both"/>
        <w:rPr>
          <w:rFonts w:ascii="Times New Roman" w:eastAsia="Times New Roman" w:hAnsi="Times New Roman" w:cs="Times New Roman"/>
          <w:noProof/>
          <w:sz w:val="24"/>
          <w:szCs w:val="24"/>
        </w:rPr>
      </w:pPr>
      <w:r>
        <w:rPr>
          <w:rFonts w:ascii="Times New Roman" w:hAnsi="Times New Roman"/>
          <w:noProof/>
          <w:sz w:val="24"/>
        </w:rPr>
        <w:t>le soutien financier public disponible pour les investissements dans le captage, le transport et le stockage du CO</w:t>
      </w:r>
      <w:r>
        <w:rPr>
          <w:rFonts w:ascii="Times New Roman" w:hAnsi="Times New Roman"/>
          <w:noProof/>
          <w:sz w:val="24"/>
          <w:vertAlign w:val="subscript"/>
        </w:rPr>
        <w:t>2</w:t>
      </w:r>
      <w:r>
        <w:rPr>
          <w:rFonts w:ascii="Times New Roman" w:hAnsi="Times New Roman"/>
          <w:noProof/>
          <w:sz w:val="24"/>
        </w:rPr>
        <w:t>; et</w:t>
      </w:r>
    </w:p>
    <w:p w14:paraId="514325A7" w14:textId="77777777" w:rsidR="00E4753D" w:rsidRPr="00336F76" w:rsidRDefault="00E4753D" w:rsidP="00336F76">
      <w:pPr>
        <w:pStyle w:val="ListParagraph"/>
        <w:numPr>
          <w:ilvl w:val="0"/>
          <w:numId w:val="35"/>
        </w:numPr>
        <w:jc w:val="both"/>
        <w:rPr>
          <w:rFonts w:ascii="Times New Roman" w:eastAsia="Times New Roman" w:hAnsi="Times New Roman" w:cs="Times New Roman"/>
          <w:noProof/>
          <w:sz w:val="24"/>
          <w:szCs w:val="24"/>
        </w:rPr>
      </w:pPr>
      <w:r>
        <w:rPr>
          <w:rFonts w:ascii="Times New Roman" w:hAnsi="Times New Roman"/>
          <w:noProof/>
          <w:sz w:val="24"/>
        </w:rPr>
        <w:t>toute autre mesure visant à soutenir le déploiement de possibilités de stockage géologique du CO</w:t>
      </w:r>
      <w:r>
        <w:rPr>
          <w:rFonts w:ascii="Times New Roman" w:hAnsi="Times New Roman"/>
          <w:noProof/>
          <w:sz w:val="24"/>
          <w:vertAlign w:val="subscript"/>
        </w:rPr>
        <w:t>2</w:t>
      </w:r>
      <w:r>
        <w:rPr>
          <w:rFonts w:ascii="Times New Roman" w:hAnsi="Times New Roman"/>
          <w:noProof/>
          <w:sz w:val="24"/>
        </w:rPr>
        <w:t xml:space="preserve"> à long terme.</w:t>
      </w:r>
    </w:p>
    <w:p w14:paraId="76ABE8F7" w14:textId="70CE37A6" w:rsidR="00D073E1" w:rsidRPr="00BE3216" w:rsidRDefault="004D188F" w:rsidP="5CAF3F32">
      <w:pPr>
        <w:spacing w:line="276" w:lineRule="auto"/>
        <w:jc w:val="both"/>
        <w:rPr>
          <w:rFonts w:ascii="Times New Roman" w:hAnsi="Times New Roman" w:cs="Times New Roman"/>
          <w:noProof/>
          <w:sz w:val="24"/>
          <w:szCs w:val="24"/>
        </w:rPr>
      </w:pPr>
      <w:r>
        <w:rPr>
          <w:rFonts w:ascii="Times New Roman" w:hAnsi="Times New Roman"/>
          <w:noProof/>
          <w:sz w:val="24"/>
        </w:rPr>
        <w:t>Les PNEC révisés pour la période 2021-2030 comprennent des informations sur le déploiement prévu du CSC dans chaque État membre</w:t>
      </w:r>
      <w:r>
        <w:rPr>
          <w:rStyle w:val="FootnoteReference"/>
          <w:rFonts w:ascii="Times New Roman" w:eastAsia="Times New Roman" w:hAnsi="Times New Roman" w:cs="Times New Roman"/>
          <w:noProof/>
          <w:sz w:val="24"/>
          <w:szCs w:val="24"/>
          <w:lang w:val="en-GB" w:eastAsia="fr-BE"/>
        </w:rPr>
        <w:footnoteReference w:id="20"/>
      </w:r>
      <w:r>
        <w:rPr>
          <w:rFonts w:ascii="Times New Roman" w:hAnsi="Times New Roman"/>
          <w:noProof/>
          <w:sz w:val="24"/>
        </w:rPr>
        <w:t>. L’analyse par la Commission des PNEC révisés indique qu’au total, 35 millions de tonnes de CO</w:t>
      </w:r>
      <w:r>
        <w:rPr>
          <w:rFonts w:ascii="Times New Roman" w:hAnsi="Times New Roman"/>
          <w:noProof/>
          <w:sz w:val="24"/>
          <w:vertAlign w:val="subscript"/>
        </w:rPr>
        <w:t>2</w:t>
      </w:r>
      <w:r>
        <w:rPr>
          <w:rFonts w:ascii="Times New Roman" w:hAnsi="Times New Roman"/>
          <w:noProof/>
          <w:sz w:val="24"/>
        </w:rPr>
        <w:t xml:space="preserve"> pourraient être captées chaque année dans l’UE d’ici à 2030 en vue d’un stockage permanent. Les chiffres fournis dans le cadre des PNEC indiquent également que 27,1 millions de tonnes de CO</w:t>
      </w:r>
      <w:r>
        <w:rPr>
          <w:rFonts w:ascii="Times New Roman" w:hAnsi="Times New Roman"/>
          <w:noProof/>
          <w:sz w:val="24"/>
          <w:vertAlign w:val="subscript"/>
        </w:rPr>
        <w:t>2</w:t>
      </w:r>
      <w:r>
        <w:rPr>
          <w:rFonts w:ascii="Times New Roman" w:hAnsi="Times New Roman"/>
          <w:noProof/>
          <w:sz w:val="24"/>
        </w:rPr>
        <w:t xml:space="preserve"> pourraient être injectées chaque année dans des sites de stockage situés dans l’UE d’ici à 2030. Cela laisse présager une forte demande de la part de l’industrie en matière de sites de stockage au cours des prochaines années. La Commission s’attend également à ce que les États membres présentent un nombre croissant de projets de permis de stockage au titre de l’article 10 de la directive 2009/31/CE dans les années à venir.</w:t>
      </w:r>
    </w:p>
    <w:p w14:paraId="74DABB26" w14:textId="77777777" w:rsidR="00A5421C" w:rsidRDefault="00A5421C">
      <w:pPr>
        <w:rPr>
          <w:rFonts w:ascii="Times New Roman" w:eastAsia="Times New Roman" w:hAnsi="Times New Roman" w:cs="Times New Roman"/>
          <w:i/>
          <w:iCs/>
          <w:noProof/>
          <w:sz w:val="24"/>
          <w:szCs w:val="24"/>
        </w:rPr>
      </w:pPr>
      <w:r>
        <w:rPr>
          <w:noProof/>
        </w:rPr>
        <w:br w:type="page"/>
      </w:r>
    </w:p>
    <w:p w14:paraId="2579A0BD" w14:textId="495FA21B" w:rsidR="00C40E7E" w:rsidRPr="00915DF5" w:rsidRDefault="00D322B8" w:rsidP="5CAF3F32">
      <w:pPr>
        <w:spacing w:before="240" w:after="240" w:line="276" w:lineRule="auto"/>
        <w:rPr>
          <w:rFonts w:ascii="Times New Roman" w:eastAsia="Times New Roman" w:hAnsi="Times New Roman" w:cs="Times New Roman"/>
          <w:i/>
          <w:iCs/>
          <w:noProof/>
          <w:sz w:val="24"/>
          <w:szCs w:val="24"/>
        </w:rPr>
      </w:pPr>
      <w:r>
        <w:rPr>
          <w:rFonts w:ascii="Times New Roman" w:hAnsi="Times New Roman"/>
          <w:i/>
          <w:noProof/>
          <w:sz w:val="24"/>
        </w:rPr>
        <w:t>Graphique 1 – Estimation des volumes de captage et d’injection de CO</w:t>
      </w:r>
      <w:r>
        <w:rPr>
          <w:rFonts w:ascii="Times New Roman" w:hAnsi="Times New Roman"/>
          <w:i/>
          <w:noProof/>
          <w:sz w:val="24"/>
          <w:vertAlign w:val="subscript"/>
        </w:rPr>
        <w:t>2</w:t>
      </w:r>
      <w:r>
        <w:rPr>
          <w:rFonts w:ascii="Times New Roman" w:hAnsi="Times New Roman"/>
          <w:i/>
          <w:noProof/>
          <w:sz w:val="24"/>
        </w:rPr>
        <w:t xml:space="preserve"> dans l’UE dans le cadre des plans nationaux en matière d’énergie et de climat (en millions de tonnes par an)</w:t>
      </w:r>
    </w:p>
    <w:p w14:paraId="55431A95" w14:textId="560FDA19" w:rsidR="009F22BF" w:rsidRDefault="00E45753" w:rsidP="00E45753">
      <w:pPr>
        <w:jc w:val="center"/>
        <w:rPr>
          <w:noProof/>
          <w:lang w:val="en-GB" w:eastAsia="fr-BE"/>
        </w:rPr>
      </w:pPr>
      <w:r w:rsidRPr="00E45753">
        <w:rPr>
          <w:noProof/>
          <w:lang w:val="en-GB" w:eastAsia="en-GB"/>
        </w:rPr>
        <w:drawing>
          <wp:inline distT="0" distB="0" distL="0" distR="0" wp14:anchorId="562B96B3" wp14:editId="579311AA">
            <wp:extent cx="4625880" cy="3200400"/>
            <wp:effectExtent l="0" t="0" r="3810" b="0"/>
            <wp:docPr id="1970639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64214" cy="3226922"/>
                    </a:xfrm>
                    <a:prstGeom prst="rect">
                      <a:avLst/>
                    </a:prstGeom>
                    <a:noFill/>
                    <a:ln>
                      <a:noFill/>
                    </a:ln>
                  </pic:spPr>
                </pic:pic>
              </a:graphicData>
            </a:graphic>
          </wp:inline>
        </w:drawing>
      </w:r>
    </w:p>
    <w:p w14:paraId="2B49616A" w14:textId="2E16142B" w:rsidR="00CB7D93" w:rsidRDefault="001174A9" w:rsidP="00926C62">
      <w:pPr>
        <w:pStyle w:val="Heading3"/>
        <w:rPr>
          <w:noProof/>
        </w:rPr>
      </w:pPr>
      <w:bookmarkStart w:id="6" w:name="_Toc229054821"/>
      <w:r>
        <w:rPr>
          <w:noProof/>
        </w:rPr>
        <w:t>Rapports 2024 des États membres au titre de l’article 21, paragraphe 2, du règlement (UE) 2024/1735</w:t>
      </w:r>
      <w:bookmarkEnd w:id="6"/>
    </w:p>
    <w:p w14:paraId="516A139F" w14:textId="2B42C378" w:rsidR="0049730A" w:rsidRDefault="00725FFE" w:rsidP="00A26FED">
      <w:pPr>
        <w:spacing w:line="276" w:lineRule="auto"/>
        <w:jc w:val="both"/>
        <w:rPr>
          <w:rFonts w:ascii="Times New Roman" w:hAnsi="Times New Roman" w:cs="Times New Roman"/>
          <w:noProof/>
          <w:sz w:val="24"/>
          <w:szCs w:val="24"/>
        </w:rPr>
      </w:pPr>
      <w:r>
        <w:rPr>
          <w:rFonts w:ascii="Times New Roman" w:hAnsi="Times New Roman"/>
          <w:noProof/>
          <w:sz w:val="24"/>
        </w:rPr>
        <w:t>Outre les PNEC, l’article 21, paragraphe 2, du règlement (UE) 2024/1735 impose aux États membres de soumettre chaque année à la Commission un rapport décrivant:</w:t>
      </w:r>
    </w:p>
    <w:p w14:paraId="62DD17C1" w14:textId="415003AF" w:rsidR="001243D5" w:rsidRPr="00971E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une cartographie des projets de captage du CO</w:t>
      </w:r>
      <w:r>
        <w:rPr>
          <w:rFonts w:ascii="Times New Roman" w:hAnsi="Times New Roman"/>
          <w:noProof/>
          <w:sz w:val="24"/>
          <w:vertAlign w:val="subscript"/>
        </w:rPr>
        <w:t>2</w:t>
      </w:r>
      <w:r>
        <w:rPr>
          <w:rFonts w:ascii="Times New Roman" w:hAnsi="Times New Roman"/>
          <w:noProof/>
          <w:sz w:val="24"/>
        </w:rPr>
        <w:t xml:space="preserve"> en cours sur son territoire ou en coopération avec d’autres États membres et une estimation des besoins correspondants en matière de capacités d’injection et de stockage, ainsi que de transport de CO</w:t>
      </w:r>
      <w:r>
        <w:rPr>
          <w:rFonts w:ascii="Times New Roman" w:hAnsi="Times New Roman"/>
          <w:noProof/>
          <w:sz w:val="24"/>
          <w:vertAlign w:val="subscript"/>
        </w:rPr>
        <w:t>2</w:t>
      </w:r>
      <w:r>
        <w:rPr>
          <w:rFonts w:ascii="Times New Roman" w:hAnsi="Times New Roman"/>
          <w:noProof/>
          <w:sz w:val="24"/>
        </w:rPr>
        <w:t>;</w:t>
      </w:r>
    </w:p>
    <w:p w14:paraId="0F219B6D" w14:textId="3D57DD2B" w:rsidR="001243D5" w:rsidRPr="00971E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une cartographie des projets de stockage et de transport de CO</w:t>
      </w:r>
      <w:r>
        <w:rPr>
          <w:rFonts w:ascii="Times New Roman" w:hAnsi="Times New Roman"/>
          <w:noProof/>
          <w:sz w:val="24"/>
          <w:vertAlign w:val="subscript"/>
        </w:rPr>
        <w:t>2</w:t>
      </w:r>
      <w:r>
        <w:rPr>
          <w:rFonts w:ascii="Times New Roman" w:hAnsi="Times New Roman"/>
          <w:noProof/>
          <w:sz w:val="24"/>
        </w:rPr>
        <w:t xml:space="preserve"> en cours sur son territoire, y compris l’état d’avancement de l’octroi des permis relevant de la directive 2009/31/CE, les dates prévues pour la décision finale d’investissement et la mise en service;</w:t>
      </w:r>
    </w:p>
    <w:p w14:paraId="3C9E894C" w14:textId="3B51919C" w:rsidR="001243D5" w:rsidRPr="00971E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mesures nationales de soutien qui ont été ou seront adoptées pour stimuler les projets, ainsi que les mesures relatives au transport transfrontière de CO</w:t>
      </w:r>
      <w:r>
        <w:rPr>
          <w:rFonts w:ascii="Times New Roman" w:hAnsi="Times New Roman"/>
          <w:noProof/>
          <w:sz w:val="24"/>
          <w:vertAlign w:val="subscript"/>
        </w:rPr>
        <w:t>2</w:t>
      </w:r>
      <w:r>
        <w:rPr>
          <w:rFonts w:ascii="Times New Roman" w:hAnsi="Times New Roman"/>
          <w:noProof/>
          <w:sz w:val="24"/>
        </w:rPr>
        <w:t xml:space="preserve">; </w:t>
      </w:r>
    </w:p>
    <w:p w14:paraId="71052907" w14:textId="77777777" w:rsidR="001243D5" w:rsidRPr="00971E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stratégie nationale et les objectifs qui seront et ont été fixés pour le captage du CO</w:t>
      </w:r>
      <w:r>
        <w:rPr>
          <w:rFonts w:ascii="Times New Roman" w:hAnsi="Times New Roman"/>
          <w:noProof/>
          <w:sz w:val="24"/>
          <w:vertAlign w:val="subscript"/>
        </w:rPr>
        <w:t>2</w:t>
      </w:r>
      <w:r>
        <w:rPr>
          <w:rFonts w:ascii="Times New Roman" w:hAnsi="Times New Roman"/>
          <w:noProof/>
          <w:sz w:val="24"/>
        </w:rPr>
        <w:t xml:space="preserve"> d’ici à 2030, le cas échéant;</w:t>
      </w:r>
    </w:p>
    <w:p w14:paraId="08942FCA" w14:textId="099E93A0" w:rsidR="001243D5" w:rsidRPr="00971E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coopérations bilatérales et régionales qui facilitent le transport transfrontière de CO</w:t>
      </w:r>
      <w:r>
        <w:rPr>
          <w:rFonts w:ascii="Times New Roman" w:hAnsi="Times New Roman"/>
          <w:noProof/>
          <w:sz w:val="24"/>
          <w:vertAlign w:val="subscript"/>
        </w:rPr>
        <w:t>2</w:t>
      </w:r>
      <w:r>
        <w:rPr>
          <w:rFonts w:ascii="Times New Roman" w:hAnsi="Times New Roman"/>
          <w:noProof/>
          <w:sz w:val="24"/>
        </w:rPr>
        <w:t>, y compris leurs implications pour l’accès aux entités captant le CO</w:t>
      </w:r>
      <w:r>
        <w:rPr>
          <w:rFonts w:ascii="Times New Roman" w:hAnsi="Times New Roman"/>
          <w:noProof/>
          <w:sz w:val="24"/>
          <w:vertAlign w:val="subscript"/>
        </w:rPr>
        <w:t>2</w:t>
      </w:r>
      <w:r>
        <w:rPr>
          <w:rFonts w:ascii="Times New Roman" w:hAnsi="Times New Roman"/>
          <w:noProof/>
          <w:sz w:val="24"/>
        </w:rPr>
        <w:t xml:space="preserve"> à des moyens sûrs et non discriminatoires de transport de CO</w:t>
      </w:r>
      <w:r>
        <w:rPr>
          <w:rFonts w:ascii="Times New Roman" w:hAnsi="Times New Roman"/>
          <w:noProof/>
          <w:sz w:val="24"/>
          <w:vertAlign w:val="subscript"/>
        </w:rPr>
        <w:t>2</w:t>
      </w:r>
      <w:r>
        <w:rPr>
          <w:rFonts w:ascii="Times New Roman" w:hAnsi="Times New Roman"/>
          <w:noProof/>
          <w:sz w:val="24"/>
        </w:rPr>
        <w:t>; et</w:t>
      </w:r>
    </w:p>
    <w:p w14:paraId="2E2DC401" w14:textId="44E10BF3" w:rsidR="00F20769" w:rsidRPr="00971E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projets de transport de CO</w:t>
      </w:r>
      <w:r>
        <w:rPr>
          <w:rFonts w:ascii="Times New Roman" w:hAnsi="Times New Roman"/>
          <w:noProof/>
          <w:sz w:val="24"/>
          <w:vertAlign w:val="subscript"/>
        </w:rPr>
        <w:t>2</w:t>
      </w:r>
      <w:r>
        <w:rPr>
          <w:rFonts w:ascii="Times New Roman" w:hAnsi="Times New Roman"/>
          <w:noProof/>
          <w:sz w:val="24"/>
        </w:rPr>
        <w:t xml:space="preserve"> en cours et une estimation de la capacité nécessaire aux futurs projets de transport de CO</w:t>
      </w:r>
      <w:r>
        <w:rPr>
          <w:rFonts w:ascii="Times New Roman" w:hAnsi="Times New Roman"/>
          <w:noProof/>
          <w:sz w:val="24"/>
          <w:vertAlign w:val="subscript"/>
        </w:rPr>
        <w:t>2</w:t>
      </w:r>
      <w:r>
        <w:rPr>
          <w:rFonts w:ascii="Times New Roman" w:hAnsi="Times New Roman"/>
          <w:noProof/>
          <w:sz w:val="24"/>
        </w:rPr>
        <w:t xml:space="preserve"> pour atteindre la capacité de captage et de stockage correspondante.</w:t>
      </w:r>
    </w:p>
    <w:p w14:paraId="4159C410" w14:textId="321A03B0" w:rsidR="00BD7BBF" w:rsidRDefault="00F512D8" w:rsidP="00E3494A">
      <w:pPr>
        <w:spacing w:line="276" w:lineRule="auto"/>
        <w:jc w:val="both"/>
        <w:rPr>
          <w:rFonts w:ascii="Times New Roman" w:hAnsi="Times New Roman" w:cs="Times New Roman"/>
          <w:noProof/>
          <w:sz w:val="24"/>
          <w:szCs w:val="24"/>
        </w:rPr>
      </w:pPr>
      <w:r>
        <w:rPr>
          <w:rFonts w:ascii="Times New Roman" w:hAnsi="Times New Roman"/>
          <w:noProof/>
          <w:sz w:val="24"/>
        </w:rPr>
        <w:t>L’article 21, paragraphe 3, du règlement (UE) 2024/1735 prévoit en outre que, si le rapport d’un État membre indique qu’aucun projet de stockage de CO</w:t>
      </w:r>
      <w:r>
        <w:rPr>
          <w:rFonts w:ascii="Times New Roman" w:hAnsi="Times New Roman"/>
          <w:noProof/>
          <w:sz w:val="24"/>
          <w:vertAlign w:val="subscript"/>
        </w:rPr>
        <w:t>2</w:t>
      </w:r>
      <w:r>
        <w:rPr>
          <w:rFonts w:ascii="Times New Roman" w:hAnsi="Times New Roman"/>
          <w:noProof/>
          <w:sz w:val="24"/>
        </w:rPr>
        <w:t xml:space="preserve"> n’est en cours sur son territoire, l’État membre concerné présente un rapport sur les plans visant à encourager le processus de décarbonation des secteurs industriels. Cela comprend, le cas échéant, le transport transfrontière de CO</w:t>
      </w:r>
      <w:r>
        <w:rPr>
          <w:rFonts w:ascii="Times New Roman" w:hAnsi="Times New Roman"/>
          <w:noProof/>
          <w:sz w:val="24"/>
          <w:vertAlign w:val="subscript"/>
        </w:rPr>
        <w:t>2</w:t>
      </w:r>
      <w:r>
        <w:rPr>
          <w:rFonts w:ascii="Times New Roman" w:hAnsi="Times New Roman"/>
          <w:noProof/>
          <w:sz w:val="24"/>
        </w:rPr>
        <w:t xml:space="preserve"> vers des sites de stockage situés dans d’autres États membres, ainsi que des projets d’utilisation du CO</w:t>
      </w:r>
      <w:r>
        <w:rPr>
          <w:rFonts w:ascii="Times New Roman" w:hAnsi="Times New Roman"/>
          <w:noProof/>
          <w:sz w:val="24"/>
          <w:vertAlign w:val="subscript"/>
        </w:rPr>
        <w:t>2</w:t>
      </w:r>
      <w:r>
        <w:rPr>
          <w:rFonts w:ascii="Times New Roman" w:hAnsi="Times New Roman"/>
          <w:noProof/>
          <w:sz w:val="24"/>
        </w:rPr>
        <w:t>. Les rapports 2024 sont disponibles sur le site web de la Commission</w:t>
      </w:r>
      <w:r>
        <w:rPr>
          <w:rStyle w:val="FootnoteReference"/>
          <w:rFonts w:ascii="Times New Roman" w:hAnsi="Times New Roman" w:cs="Times New Roman"/>
          <w:noProof/>
          <w:sz w:val="24"/>
          <w:szCs w:val="24"/>
          <w:lang w:val="en-GB" w:eastAsia="fr-BE"/>
        </w:rPr>
        <w:footnoteReference w:id="21"/>
      </w:r>
      <w:r>
        <w:rPr>
          <w:rFonts w:ascii="Times New Roman" w:hAnsi="Times New Roman"/>
          <w:noProof/>
          <w:sz w:val="24"/>
        </w:rPr>
        <w:t xml:space="preserve">. </w:t>
      </w:r>
    </w:p>
    <w:p w14:paraId="0A4F9851" w14:textId="6A6B7AC0" w:rsidR="00183BB1" w:rsidRDefault="00183BB1" w:rsidP="4102A999">
      <w:pPr>
        <w:spacing w:line="276" w:lineRule="auto"/>
        <w:jc w:val="both"/>
        <w:rPr>
          <w:rFonts w:ascii="Times New Roman" w:hAnsi="Times New Roman" w:cs="Times New Roman"/>
          <w:noProof/>
          <w:sz w:val="24"/>
          <w:szCs w:val="24"/>
        </w:rPr>
      </w:pPr>
      <w:r>
        <w:rPr>
          <w:rFonts w:ascii="Times New Roman" w:hAnsi="Times New Roman"/>
          <w:noProof/>
          <w:sz w:val="24"/>
        </w:rPr>
        <w:t>Alors qu’à la fin de 2024, certains États membres n’avaient pas déclaré de taille de stockage ou de capacité d’injection, le tableau 1 donne une indication du nombre de projets de stockage en cours de développement dans l’UE et de leur contribution potentielle à la capacité d’injection de l’UE. Le tableau 1 établit une distinction entre la «taille de stockage», qui correspond à la capacité totale estimée de stockage de CO</w:t>
      </w:r>
      <w:r>
        <w:rPr>
          <w:rFonts w:ascii="Times New Roman" w:hAnsi="Times New Roman"/>
          <w:noProof/>
          <w:sz w:val="24"/>
          <w:vertAlign w:val="subscript"/>
        </w:rPr>
        <w:t>2</w:t>
      </w:r>
      <w:r>
        <w:rPr>
          <w:rFonts w:ascii="Times New Roman" w:hAnsi="Times New Roman"/>
          <w:noProof/>
          <w:sz w:val="24"/>
        </w:rPr>
        <w:t xml:space="preserve"> d’un site de stockage donné, et la «capacité d’injection», qui est la quantité annuelle de CO</w:t>
      </w:r>
      <w:r>
        <w:rPr>
          <w:rFonts w:ascii="Times New Roman" w:hAnsi="Times New Roman"/>
          <w:noProof/>
          <w:sz w:val="24"/>
          <w:vertAlign w:val="subscript"/>
        </w:rPr>
        <w:t>2</w:t>
      </w:r>
      <w:r>
        <w:rPr>
          <w:rFonts w:ascii="Times New Roman" w:hAnsi="Times New Roman"/>
          <w:noProof/>
          <w:sz w:val="24"/>
        </w:rPr>
        <w:t xml:space="preserve"> qui peut être injectée dans un site de stockage géologique opérationnel, autorisé en vertu de la directive 2009/31/CE. Lorsque les États membres n’ont communiqué que les noms des projets de stockage, la Commission a ajouté les chiffres correspondants relatifs au stockage et à l’injection. Le tableau 1 ne couvre pas le potentiel de stockage géologique des États membres et se concentre sur les projets reconnus et déclarés par les États membres. </w:t>
      </w:r>
    </w:p>
    <w:p w14:paraId="46A030D0" w14:textId="77777777" w:rsidR="007C672F" w:rsidRDefault="007C672F">
      <w:pPr>
        <w:rPr>
          <w:rFonts w:ascii="Times New Roman" w:eastAsia="Times New Roman" w:hAnsi="Times New Roman" w:cs="Times New Roman"/>
          <w:i/>
          <w:iCs/>
          <w:noProof/>
          <w:sz w:val="24"/>
          <w:szCs w:val="24"/>
        </w:rPr>
      </w:pPr>
      <w:r>
        <w:rPr>
          <w:noProof/>
        </w:rPr>
        <w:br w:type="page"/>
      </w:r>
    </w:p>
    <w:p w14:paraId="45C289EF" w14:textId="2992F5EB" w:rsidR="00FE0FB4" w:rsidRPr="00A30B3E" w:rsidRDefault="00183BB1" w:rsidP="45A3C3F8">
      <w:pPr>
        <w:spacing w:before="240" w:after="240" w:line="276" w:lineRule="auto"/>
        <w:jc w:val="both"/>
        <w:rPr>
          <w:rFonts w:ascii="Times New Roman" w:eastAsia="Times New Roman" w:hAnsi="Times New Roman" w:cs="Times New Roman"/>
          <w:i/>
          <w:iCs/>
          <w:noProof/>
          <w:sz w:val="24"/>
          <w:szCs w:val="24"/>
        </w:rPr>
      </w:pPr>
      <w:r>
        <w:rPr>
          <w:rFonts w:ascii="Times New Roman" w:hAnsi="Times New Roman"/>
          <w:i/>
          <w:noProof/>
          <w:sz w:val="24"/>
        </w:rPr>
        <w:t>Tableau 1 – Synthèse des projets de stockage de CO</w:t>
      </w:r>
      <w:r>
        <w:rPr>
          <w:rFonts w:ascii="Times New Roman" w:hAnsi="Times New Roman"/>
          <w:i/>
          <w:noProof/>
          <w:sz w:val="24"/>
          <w:vertAlign w:val="subscript"/>
        </w:rPr>
        <w:t>2</w:t>
      </w:r>
      <w:r>
        <w:rPr>
          <w:rFonts w:ascii="Times New Roman" w:hAnsi="Times New Roman"/>
          <w:i/>
          <w:noProof/>
          <w:sz w:val="24"/>
        </w:rPr>
        <w:t xml:space="preserve"> dont la mise en œuvre est prévue d’ici à 2030, situation en 2024</w:t>
      </w:r>
    </w:p>
    <w:tbl>
      <w:tblPr>
        <w:tblStyle w:val="RicardoTable"/>
        <w:tblpPr w:leftFromText="180" w:rightFromText="180" w:vertAnchor="text" w:tblpY="1"/>
        <w:tblOverlap w:val="neve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9"/>
        <w:gridCol w:w="1509"/>
        <w:gridCol w:w="2391"/>
        <w:gridCol w:w="2083"/>
      </w:tblGrid>
      <w:tr w:rsidR="0000327E" w:rsidRPr="001B4224" w14:paraId="0A4F9857" w14:textId="77777777" w:rsidTr="4B55C28A">
        <w:trPr>
          <w:cnfStyle w:val="100000000000" w:firstRow="1" w:lastRow="0" w:firstColumn="0" w:lastColumn="0" w:oddVBand="0" w:evenVBand="0" w:oddHBand="0" w:evenHBand="0" w:firstRowFirstColumn="0" w:firstRowLastColumn="0" w:lastRowFirstColumn="0" w:lastRowLastColumn="0"/>
          <w:trHeight w:val="1024"/>
        </w:trPr>
        <w:tc>
          <w:tcPr>
            <w:tcW w:w="3519" w:type="dxa"/>
          </w:tcPr>
          <w:p w14:paraId="0A4F9853" w14:textId="77777777" w:rsidR="00183BB1" w:rsidRPr="00834432" w:rsidRDefault="00183BB1"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États membres</w:t>
            </w:r>
          </w:p>
        </w:tc>
        <w:tc>
          <w:tcPr>
            <w:tcW w:w="1509" w:type="dxa"/>
          </w:tcPr>
          <w:p w14:paraId="0A4F9854" w14:textId="77777777" w:rsidR="00183BB1" w:rsidRPr="00834432" w:rsidRDefault="00183BB1"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Nombre de projets</w:t>
            </w:r>
          </w:p>
        </w:tc>
        <w:tc>
          <w:tcPr>
            <w:tcW w:w="2391" w:type="dxa"/>
          </w:tcPr>
          <w:p w14:paraId="0A4F9855" w14:textId="524ED949" w:rsidR="00183BB1" w:rsidRPr="00834432" w:rsidRDefault="00183BB1"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Taille totale estimée du stockage (en millions de tonnes de CO</w:t>
            </w:r>
            <w:r>
              <w:rPr>
                <w:rFonts w:ascii="Times New Roman" w:hAnsi="Times New Roman"/>
                <w:noProof/>
                <w:sz w:val="22"/>
                <w:vertAlign w:val="subscript"/>
              </w:rPr>
              <w:t>2</w:t>
            </w:r>
            <w:r>
              <w:rPr>
                <w:rFonts w:ascii="Times New Roman" w:hAnsi="Times New Roman"/>
                <w:noProof/>
                <w:sz w:val="22"/>
              </w:rPr>
              <w:t>)</w:t>
            </w:r>
          </w:p>
        </w:tc>
        <w:tc>
          <w:tcPr>
            <w:tcW w:w="2083" w:type="dxa"/>
          </w:tcPr>
          <w:p w14:paraId="0A4F9856" w14:textId="6994043D" w:rsidR="00183BB1" w:rsidRPr="00834432" w:rsidRDefault="00183BB1"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Capacité d’injection estimée (en millions de tonnes de CO</w:t>
            </w:r>
            <w:r>
              <w:rPr>
                <w:rFonts w:ascii="Times New Roman" w:hAnsi="Times New Roman"/>
                <w:noProof/>
                <w:sz w:val="22"/>
                <w:vertAlign w:val="subscript"/>
              </w:rPr>
              <w:t>2</w:t>
            </w:r>
            <w:r>
              <w:rPr>
                <w:rFonts w:ascii="Times New Roman" w:hAnsi="Times New Roman"/>
                <w:noProof/>
                <w:sz w:val="22"/>
              </w:rPr>
              <w:t xml:space="preserve"> par an)</w:t>
            </w:r>
          </w:p>
        </w:tc>
      </w:tr>
      <w:tr w:rsidR="00247E74" w:rsidRPr="001B4224" w14:paraId="0A4F985D" w14:textId="77777777" w:rsidTr="4B55C28A">
        <w:trPr>
          <w:trHeight w:val="645"/>
        </w:trPr>
        <w:tc>
          <w:tcPr>
            <w:tcW w:w="3519" w:type="dxa"/>
          </w:tcPr>
          <w:p w14:paraId="0A4F9858" w14:textId="1CE121FA" w:rsidR="00247E74" w:rsidRPr="00834432" w:rsidRDefault="00247E74" w:rsidP="00A2116B">
            <w:pPr>
              <w:tabs>
                <w:tab w:val="left" w:pos="3930"/>
              </w:tabs>
              <w:spacing w:line="276" w:lineRule="auto"/>
              <w:jc w:val="center"/>
              <w:rPr>
                <w:rFonts w:ascii="Times New Roman" w:hAnsi="Times New Roman" w:cs="Times New Roman"/>
                <w:b/>
                <w:bCs/>
                <w:noProof/>
                <w:sz w:val="22"/>
                <w:szCs w:val="22"/>
              </w:rPr>
            </w:pPr>
            <w:r>
              <w:rPr>
                <w:rFonts w:ascii="Times New Roman" w:hAnsi="Times New Roman"/>
                <w:b/>
                <w:noProof/>
                <w:sz w:val="22"/>
              </w:rPr>
              <w:t xml:space="preserve">5 États membres ont communiqué des chiffres relatifs au stockage </w:t>
            </w:r>
          </w:p>
        </w:tc>
        <w:tc>
          <w:tcPr>
            <w:tcW w:w="1509" w:type="dxa"/>
          </w:tcPr>
          <w:p w14:paraId="0A4F9859" w14:textId="77777777" w:rsidR="00247E74" w:rsidRPr="00834432" w:rsidRDefault="00247E74" w:rsidP="00A2116B">
            <w:pPr>
              <w:tabs>
                <w:tab w:val="left" w:pos="3930"/>
              </w:tabs>
              <w:spacing w:line="276" w:lineRule="auto"/>
              <w:jc w:val="center"/>
              <w:rPr>
                <w:rFonts w:ascii="Times New Roman" w:hAnsi="Times New Roman" w:cs="Times New Roman"/>
                <w:b/>
                <w:noProof/>
                <w:sz w:val="22"/>
                <w:szCs w:val="22"/>
              </w:rPr>
            </w:pPr>
            <w:r>
              <w:rPr>
                <w:rFonts w:ascii="Times New Roman" w:hAnsi="Times New Roman"/>
                <w:b/>
                <w:noProof/>
                <w:sz w:val="22"/>
              </w:rPr>
              <w:t>6</w:t>
            </w:r>
          </w:p>
        </w:tc>
        <w:tc>
          <w:tcPr>
            <w:tcW w:w="2391" w:type="dxa"/>
          </w:tcPr>
          <w:p w14:paraId="0A4F985A" w14:textId="00AC2276" w:rsidR="00247E74" w:rsidRPr="00834432" w:rsidRDefault="3AB2CA95" w:rsidP="01060631">
            <w:pPr>
              <w:tabs>
                <w:tab w:val="left" w:pos="3930"/>
              </w:tabs>
              <w:spacing w:line="276" w:lineRule="auto"/>
              <w:jc w:val="center"/>
              <w:rPr>
                <w:rFonts w:ascii="Times New Roman" w:hAnsi="Times New Roman" w:cs="Times New Roman"/>
                <w:b/>
                <w:bCs/>
                <w:noProof/>
                <w:sz w:val="22"/>
                <w:szCs w:val="22"/>
              </w:rPr>
            </w:pPr>
            <w:r>
              <w:rPr>
                <w:rFonts w:ascii="Times New Roman" w:hAnsi="Times New Roman"/>
                <w:b/>
                <w:noProof/>
                <w:sz w:val="22"/>
              </w:rPr>
              <w:t>&gt; 980</w:t>
            </w:r>
          </w:p>
        </w:tc>
        <w:tc>
          <w:tcPr>
            <w:tcW w:w="2083" w:type="dxa"/>
            <w:vMerge w:val="restart"/>
          </w:tcPr>
          <w:p w14:paraId="0A4F985B" w14:textId="7C2A3F4D" w:rsidR="00247E74" w:rsidRPr="00834432" w:rsidRDefault="00247E74" w:rsidP="00A2116B">
            <w:pPr>
              <w:tabs>
                <w:tab w:val="left" w:pos="3930"/>
              </w:tabs>
              <w:spacing w:line="276" w:lineRule="auto"/>
              <w:jc w:val="center"/>
              <w:rPr>
                <w:rFonts w:ascii="Times New Roman" w:hAnsi="Times New Roman" w:cs="Times New Roman"/>
                <w:noProof/>
                <w:sz w:val="22"/>
                <w:szCs w:val="22"/>
              </w:rPr>
            </w:pPr>
          </w:p>
          <w:p w14:paraId="0A4F985C" w14:textId="346ED002" w:rsidR="00247E74" w:rsidRPr="00834432" w:rsidRDefault="00247E74" w:rsidP="00A2116B">
            <w:pPr>
              <w:tabs>
                <w:tab w:val="left" w:pos="3930"/>
              </w:tabs>
              <w:spacing w:line="276" w:lineRule="auto"/>
              <w:jc w:val="center"/>
              <w:rPr>
                <w:rFonts w:ascii="Times New Roman" w:hAnsi="Times New Roman" w:cs="Times New Roman"/>
                <w:noProof/>
                <w:sz w:val="22"/>
                <w:szCs w:val="22"/>
              </w:rPr>
            </w:pPr>
          </w:p>
        </w:tc>
      </w:tr>
      <w:tr w:rsidR="00247E74" w:rsidRPr="001B4224" w14:paraId="1334251D" w14:textId="77777777" w:rsidTr="4B55C28A">
        <w:trPr>
          <w:trHeight w:val="388"/>
        </w:trPr>
        <w:tc>
          <w:tcPr>
            <w:tcW w:w="3519" w:type="dxa"/>
          </w:tcPr>
          <w:p w14:paraId="7B74A09D" w14:textId="48EFF348"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Danemark</w:t>
            </w:r>
          </w:p>
        </w:tc>
        <w:tc>
          <w:tcPr>
            <w:tcW w:w="1509" w:type="dxa"/>
          </w:tcPr>
          <w:p w14:paraId="4442A298" w14:textId="3854EFCB"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tcPr>
          <w:p w14:paraId="4B6468ED" w14:textId="2D800208"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250 &gt;</w:t>
            </w:r>
          </w:p>
        </w:tc>
        <w:tc>
          <w:tcPr>
            <w:tcW w:w="2083" w:type="dxa"/>
            <w:vMerge/>
          </w:tcPr>
          <w:p w14:paraId="661A1F6A" w14:textId="77777777" w:rsidR="00247E74" w:rsidRPr="00834432" w:rsidRDefault="00247E74" w:rsidP="00D53954">
            <w:pPr>
              <w:tabs>
                <w:tab w:val="left" w:pos="3930"/>
              </w:tabs>
              <w:spacing w:line="276" w:lineRule="auto"/>
              <w:jc w:val="center"/>
              <w:rPr>
                <w:rFonts w:ascii="Times New Roman" w:hAnsi="Times New Roman" w:cs="Times New Roman"/>
                <w:noProof/>
                <w:sz w:val="22"/>
                <w:szCs w:val="22"/>
              </w:rPr>
            </w:pPr>
          </w:p>
        </w:tc>
      </w:tr>
      <w:tr w:rsidR="00247E74" w:rsidRPr="001B4224" w14:paraId="0A4F9862" w14:textId="77777777" w:rsidTr="4B55C28A">
        <w:trPr>
          <w:trHeight w:val="388"/>
        </w:trPr>
        <w:tc>
          <w:tcPr>
            <w:tcW w:w="3519" w:type="dxa"/>
          </w:tcPr>
          <w:p w14:paraId="0A4F985E" w14:textId="5111FC93"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Hongrie</w:t>
            </w:r>
          </w:p>
        </w:tc>
        <w:tc>
          <w:tcPr>
            <w:tcW w:w="1509" w:type="dxa"/>
          </w:tcPr>
          <w:p w14:paraId="0A4F985F" w14:textId="18411EF4"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tcPr>
          <w:p w14:paraId="0A4F9860" w14:textId="519B2FDE" w:rsidR="00247E74" w:rsidRPr="00DF2179"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7,5</w:t>
            </w:r>
          </w:p>
        </w:tc>
        <w:tc>
          <w:tcPr>
            <w:tcW w:w="2083" w:type="dxa"/>
            <w:vMerge/>
          </w:tcPr>
          <w:p w14:paraId="0A4F9861" w14:textId="77777777" w:rsidR="00247E74" w:rsidRPr="00834432" w:rsidRDefault="00247E74" w:rsidP="00D53954">
            <w:pPr>
              <w:tabs>
                <w:tab w:val="left" w:pos="3930"/>
              </w:tabs>
              <w:spacing w:line="276" w:lineRule="auto"/>
              <w:jc w:val="center"/>
              <w:rPr>
                <w:rFonts w:ascii="Times New Roman" w:hAnsi="Times New Roman" w:cs="Times New Roman"/>
                <w:noProof/>
                <w:sz w:val="22"/>
                <w:szCs w:val="22"/>
              </w:rPr>
            </w:pPr>
          </w:p>
        </w:tc>
      </w:tr>
      <w:tr w:rsidR="00247E74" w:rsidRPr="001B4224" w14:paraId="0A4F9867" w14:textId="77777777" w:rsidTr="4B55C28A">
        <w:trPr>
          <w:trHeight w:val="147"/>
        </w:trPr>
        <w:tc>
          <w:tcPr>
            <w:tcW w:w="3519" w:type="dxa"/>
          </w:tcPr>
          <w:p w14:paraId="0A4F9863" w14:textId="1C8AE7B0"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Italie</w:t>
            </w:r>
          </w:p>
        </w:tc>
        <w:tc>
          <w:tcPr>
            <w:tcW w:w="1509" w:type="dxa"/>
          </w:tcPr>
          <w:p w14:paraId="0A4F9864" w14:textId="17E70349"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tcPr>
          <w:p w14:paraId="0A4F9865" w14:textId="1475D1C7"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500</w:t>
            </w:r>
          </w:p>
        </w:tc>
        <w:tc>
          <w:tcPr>
            <w:tcW w:w="2083" w:type="dxa"/>
            <w:vMerge/>
          </w:tcPr>
          <w:p w14:paraId="0A4F9866" w14:textId="77777777" w:rsidR="00247E74" w:rsidRPr="00834432" w:rsidRDefault="00247E74" w:rsidP="00D53954">
            <w:pPr>
              <w:tabs>
                <w:tab w:val="left" w:pos="3930"/>
              </w:tabs>
              <w:spacing w:line="276" w:lineRule="auto"/>
              <w:jc w:val="center"/>
              <w:rPr>
                <w:rFonts w:ascii="Times New Roman" w:hAnsi="Times New Roman" w:cs="Times New Roman"/>
                <w:noProof/>
                <w:sz w:val="22"/>
                <w:szCs w:val="22"/>
              </w:rPr>
            </w:pPr>
          </w:p>
        </w:tc>
      </w:tr>
      <w:tr w:rsidR="00247E74" w:rsidRPr="001B4224" w14:paraId="0A4F986C" w14:textId="77777777" w:rsidTr="4B55C28A">
        <w:trPr>
          <w:trHeight w:val="147"/>
        </w:trPr>
        <w:tc>
          <w:tcPr>
            <w:tcW w:w="3519" w:type="dxa"/>
          </w:tcPr>
          <w:p w14:paraId="0A4F9868" w14:textId="77777777" w:rsidR="00247E74" w:rsidRPr="00834432" w:rsidRDefault="00247E74" w:rsidP="004E1AD5">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Roumanie</w:t>
            </w:r>
          </w:p>
        </w:tc>
        <w:tc>
          <w:tcPr>
            <w:tcW w:w="1509" w:type="dxa"/>
          </w:tcPr>
          <w:p w14:paraId="0A4F9869" w14:textId="77777777" w:rsidR="00247E74" w:rsidRPr="00834432" w:rsidRDefault="00247E74"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tcPr>
          <w:p w14:paraId="0A4F986A" w14:textId="10397B2A" w:rsidR="00247E74" w:rsidRPr="00834432" w:rsidRDefault="00247E74"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10</w:t>
            </w:r>
          </w:p>
        </w:tc>
        <w:tc>
          <w:tcPr>
            <w:tcW w:w="2083" w:type="dxa"/>
            <w:vMerge/>
          </w:tcPr>
          <w:p w14:paraId="0A4F986B" w14:textId="77777777" w:rsidR="00247E74" w:rsidRPr="00834432" w:rsidRDefault="00247E74" w:rsidP="00A2116B">
            <w:pPr>
              <w:tabs>
                <w:tab w:val="left" w:pos="3930"/>
              </w:tabs>
              <w:spacing w:line="276" w:lineRule="auto"/>
              <w:jc w:val="center"/>
              <w:rPr>
                <w:rFonts w:ascii="Times New Roman" w:hAnsi="Times New Roman" w:cs="Times New Roman"/>
                <w:noProof/>
                <w:sz w:val="22"/>
                <w:szCs w:val="22"/>
              </w:rPr>
            </w:pPr>
          </w:p>
        </w:tc>
      </w:tr>
      <w:tr w:rsidR="00247E74" w:rsidRPr="001B4224" w14:paraId="6DBA5471" w14:textId="77777777" w:rsidTr="4B55C28A">
        <w:trPr>
          <w:trHeight w:val="147"/>
        </w:trPr>
        <w:tc>
          <w:tcPr>
            <w:tcW w:w="3519" w:type="dxa"/>
          </w:tcPr>
          <w:p w14:paraId="50F192CC" w14:textId="7B4B54FD"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Pays-Bas</w:t>
            </w:r>
          </w:p>
        </w:tc>
        <w:tc>
          <w:tcPr>
            <w:tcW w:w="1509" w:type="dxa"/>
          </w:tcPr>
          <w:p w14:paraId="5E9988D4" w14:textId="14085EFB"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2</w:t>
            </w:r>
          </w:p>
        </w:tc>
        <w:tc>
          <w:tcPr>
            <w:tcW w:w="2391" w:type="dxa"/>
          </w:tcPr>
          <w:p w14:paraId="43231C5C" w14:textId="20307A68" w:rsidR="00247E74" w:rsidRPr="00834432" w:rsidRDefault="00247E74" w:rsidP="00D53954">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212,5</w:t>
            </w:r>
          </w:p>
        </w:tc>
        <w:tc>
          <w:tcPr>
            <w:tcW w:w="2083" w:type="dxa"/>
            <w:vMerge/>
          </w:tcPr>
          <w:p w14:paraId="3503CC1D" w14:textId="77777777" w:rsidR="00247E74" w:rsidRPr="00834432" w:rsidRDefault="00247E74" w:rsidP="00D53954">
            <w:pPr>
              <w:tabs>
                <w:tab w:val="left" w:pos="3930"/>
              </w:tabs>
              <w:spacing w:line="276" w:lineRule="auto"/>
              <w:jc w:val="center"/>
              <w:rPr>
                <w:rFonts w:ascii="Times New Roman" w:hAnsi="Times New Roman" w:cs="Times New Roman"/>
                <w:noProof/>
                <w:sz w:val="22"/>
                <w:szCs w:val="22"/>
              </w:rPr>
            </w:pPr>
          </w:p>
        </w:tc>
      </w:tr>
      <w:tr w:rsidR="00BB6F84" w:rsidRPr="001B4224" w14:paraId="0A4F987C" w14:textId="77777777" w:rsidTr="4B55C28A">
        <w:trPr>
          <w:trHeight w:val="716"/>
        </w:trPr>
        <w:tc>
          <w:tcPr>
            <w:tcW w:w="3519" w:type="dxa"/>
          </w:tcPr>
          <w:p w14:paraId="0A4F9877" w14:textId="3AD3A507" w:rsidR="00BB6F84" w:rsidRPr="00834432" w:rsidRDefault="70A7E5E9" w:rsidP="00A2116B">
            <w:pPr>
              <w:tabs>
                <w:tab w:val="left" w:pos="3930"/>
              </w:tabs>
              <w:spacing w:line="276" w:lineRule="auto"/>
              <w:jc w:val="center"/>
              <w:rPr>
                <w:rFonts w:ascii="Times New Roman" w:hAnsi="Times New Roman" w:cs="Times New Roman"/>
                <w:b/>
                <w:bCs/>
                <w:noProof/>
                <w:sz w:val="22"/>
                <w:szCs w:val="22"/>
              </w:rPr>
            </w:pPr>
            <w:r>
              <w:rPr>
                <w:rFonts w:ascii="Times New Roman" w:hAnsi="Times New Roman"/>
                <w:b/>
                <w:noProof/>
                <w:sz w:val="22"/>
              </w:rPr>
              <w:t>6 États membres ont communiqué des chiffres relatifs à l’injection</w:t>
            </w:r>
            <w:r>
              <w:rPr>
                <w:rStyle w:val="FootnoteReference"/>
                <w:rFonts w:ascii="Times New Roman" w:hAnsi="Times New Roman" w:cs="Times New Roman"/>
                <w:b/>
                <w:bCs/>
                <w:noProof/>
                <w:sz w:val="22"/>
                <w:szCs w:val="22"/>
              </w:rPr>
              <w:footnoteReference w:id="22"/>
            </w:r>
            <w:r>
              <w:rPr>
                <w:rFonts w:ascii="Times New Roman" w:hAnsi="Times New Roman"/>
                <w:b/>
                <w:noProof/>
                <w:sz w:val="22"/>
              </w:rPr>
              <w:t xml:space="preserve"> </w:t>
            </w:r>
          </w:p>
        </w:tc>
        <w:tc>
          <w:tcPr>
            <w:tcW w:w="1509" w:type="dxa"/>
          </w:tcPr>
          <w:p w14:paraId="0A4F9878" w14:textId="4D8FB1F9" w:rsidR="00BB6F84" w:rsidRPr="00834432" w:rsidRDefault="00BB6F84" w:rsidP="00A2116B">
            <w:pPr>
              <w:tabs>
                <w:tab w:val="left" w:pos="3930"/>
              </w:tabs>
              <w:spacing w:line="276" w:lineRule="auto"/>
              <w:jc w:val="center"/>
              <w:rPr>
                <w:rFonts w:ascii="Times New Roman" w:hAnsi="Times New Roman" w:cs="Times New Roman"/>
                <w:b/>
                <w:noProof/>
                <w:sz w:val="22"/>
                <w:szCs w:val="22"/>
                <w:highlight w:val="yellow"/>
              </w:rPr>
            </w:pPr>
            <w:r>
              <w:rPr>
                <w:rFonts w:ascii="Times New Roman" w:hAnsi="Times New Roman"/>
                <w:b/>
                <w:noProof/>
                <w:sz w:val="22"/>
              </w:rPr>
              <w:t>15</w:t>
            </w:r>
          </w:p>
        </w:tc>
        <w:tc>
          <w:tcPr>
            <w:tcW w:w="2391" w:type="dxa"/>
            <w:vMerge w:val="restart"/>
          </w:tcPr>
          <w:p w14:paraId="0A4F9879" w14:textId="3B95A84F" w:rsidR="00BB6F84" w:rsidRPr="00834432" w:rsidRDefault="00BB6F84" w:rsidP="00A2116B">
            <w:pPr>
              <w:tabs>
                <w:tab w:val="left" w:pos="3930"/>
              </w:tabs>
              <w:spacing w:line="276" w:lineRule="auto"/>
              <w:jc w:val="center"/>
              <w:rPr>
                <w:rFonts w:ascii="Times New Roman" w:hAnsi="Times New Roman" w:cs="Times New Roman"/>
                <w:noProof/>
                <w:sz w:val="22"/>
                <w:szCs w:val="22"/>
              </w:rPr>
            </w:pPr>
          </w:p>
          <w:p w14:paraId="0A4F987A" w14:textId="77777777" w:rsidR="00BB6F84" w:rsidRPr="00834432" w:rsidRDefault="00BB6F84" w:rsidP="00A2116B">
            <w:pPr>
              <w:tabs>
                <w:tab w:val="left" w:pos="3930"/>
              </w:tabs>
              <w:spacing w:line="276" w:lineRule="auto"/>
              <w:rPr>
                <w:rFonts w:ascii="Times New Roman" w:hAnsi="Times New Roman" w:cs="Times New Roman"/>
                <w:bCs/>
                <w:noProof/>
                <w:sz w:val="22"/>
                <w:szCs w:val="22"/>
              </w:rPr>
            </w:pPr>
          </w:p>
        </w:tc>
        <w:tc>
          <w:tcPr>
            <w:tcW w:w="2083" w:type="dxa"/>
          </w:tcPr>
          <w:p w14:paraId="0A4F987B" w14:textId="1EBAD953" w:rsidR="00BB6F84" w:rsidRPr="00834432" w:rsidRDefault="00AF5961" w:rsidP="00A2116B">
            <w:pPr>
              <w:tabs>
                <w:tab w:val="left" w:pos="3930"/>
              </w:tabs>
              <w:spacing w:line="276" w:lineRule="auto"/>
              <w:jc w:val="center"/>
              <w:rPr>
                <w:rFonts w:ascii="Times New Roman" w:hAnsi="Times New Roman" w:cs="Times New Roman"/>
                <w:b/>
                <w:noProof/>
                <w:sz w:val="22"/>
                <w:szCs w:val="22"/>
              </w:rPr>
            </w:pPr>
            <w:r>
              <w:rPr>
                <w:rFonts w:ascii="Times New Roman" w:hAnsi="Times New Roman"/>
                <w:b/>
                <w:noProof/>
                <w:sz w:val="22"/>
              </w:rPr>
              <w:t>33,12</w:t>
            </w:r>
          </w:p>
        </w:tc>
      </w:tr>
      <w:tr w:rsidR="0075780C" w:rsidRPr="001B4224" w14:paraId="5B2BB4F5" w14:textId="77777777" w:rsidTr="4B55C28A">
        <w:trPr>
          <w:trHeight w:val="388"/>
        </w:trPr>
        <w:tc>
          <w:tcPr>
            <w:tcW w:w="3519" w:type="dxa"/>
          </w:tcPr>
          <w:p w14:paraId="457F0C5A" w14:textId="2C26D9C1" w:rsidR="0075780C" w:rsidRPr="0075780C" w:rsidRDefault="0075780C"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Bulgarie</w:t>
            </w:r>
          </w:p>
        </w:tc>
        <w:tc>
          <w:tcPr>
            <w:tcW w:w="1509" w:type="dxa"/>
          </w:tcPr>
          <w:p w14:paraId="3609BA2E" w14:textId="697C8D2A" w:rsidR="0075780C" w:rsidRPr="0075780C" w:rsidRDefault="0075780C"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vMerge/>
          </w:tcPr>
          <w:p w14:paraId="2E383640" w14:textId="77777777" w:rsidR="0075780C" w:rsidRPr="0075780C" w:rsidRDefault="0075780C" w:rsidP="00963B82">
            <w:pPr>
              <w:tabs>
                <w:tab w:val="left" w:pos="3930"/>
              </w:tabs>
              <w:spacing w:line="276" w:lineRule="auto"/>
              <w:rPr>
                <w:rFonts w:ascii="Times New Roman" w:hAnsi="Times New Roman" w:cs="Times New Roman"/>
                <w:noProof/>
                <w:sz w:val="22"/>
                <w:szCs w:val="22"/>
              </w:rPr>
            </w:pPr>
          </w:p>
        </w:tc>
        <w:tc>
          <w:tcPr>
            <w:tcW w:w="2083" w:type="dxa"/>
          </w:tcPr>
          <w:p w14:paraId="3D86104A" w14:textId="564C3001" w:rsidR="0075780C" w:rsidRPr="0075780C" w:rsidRDefault="0075780C"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0,78</w:t>
            </w:r>
          </w:p>
        </w:tc>
      </w:tr>
      <w:tr w:rsidR="00A802A6" w:rsidRPr="001B4224" w14:paraId="394968C4" w14:textId="77777777" w:rsidTr="4B55C28A">
        <w:trPr>
          <w:trHeight w:val="388"/>
        </w:trPr>
        <w:tc>
          <w:tcPr>
            <w:tcW w:w="3519" w:type="dxa"/>
          </w:tcPr>
          <w:p w14:paraId="3AF01EF0" w14:textId="654A5D50" w:rsidR="00A802A6" w:rsidRPr="00F6397F" w:rsidRDefault="00A802A6"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Croatie</w:t>
            </w:r>
          </w:p>
        </w:tc>
        <w:tc>
          <w:tcPr>
            <w:tcW w:w="1509" w:type="dxa"/>
          </w:tcPr>
          <w:p w14:paraId="28DFB7C7" w14:textId="70EABE52" w:rsidR="00A802A6" w:rsidRPr="00F6397F" w:rsidRDefault="00A802A6"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vMerge/>
          </w:tcPr>
          <w:p w14:paraId="299A17EC" w14:textId="77777777" w:rsidR="00A802A6" w:rsidRPr="00F6397F" w:rsidRDefault="00A802A6" w:rsidP="00963B82">
            <w:pPr>
              <w:tabs>
                <w:tab w:val="left" w:pos="3930"/>
              </w:tabs>
              <w:spacing w:line="276" w:lineRule="auto"/>
              <w:rPr>
                <w:rFonts w:ascii="Times New Roman" w:hAnsi="Times New Roman" w:cs="Times New Roman"/>
                <w:noProof/>
                <w:sz w:val="22"/>
                <w:szCs w:val="22"/>
              </w:rPr>
            </w:pPr>
          </w:p>
        </w:tc>
        <w:tc>
          <w:tcPr>
            <w:tcW w:w="2083" w:type="dxa"/>
          </w:tcPr>
          <w:p w14:paraId="17948F48" w14:textId="27A42962" w:rsidR="00A802A6" w:rsidRPr="00F6397F" w:rsidRDefault="00F6397F"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0,74</w:t>
            </w:r>
          </w:p>
        </w:tc>
      </w:tr>
      <w:tr w:rsidR="00BB6F84" w:rsidRPr="001B4224" w14:paraId="43CD1872" w14:textId="77777777" w:rsidTr="4B55C28A">
        <w:trPr>
          <w:trHeight w:val="388"/>
        </w:trPr>
        <w:tc>
          <w:tcPr>
            <w:tcW w:w="3519" w:type="dxa"/>
          </w:tcPr>
          <w:p w14:paraId="4A3D345D" w14:textId="1FD226BF"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Danemark</w:t>
            </w:r>
          </w:p>
        </w:tc>
        <w:tc>
          <w:tcPr>
            <w:tcW w:w="1509" w:type="dxa"/>
          </w:tcPr>
          <w:p w14:paraId="290EB0D9" w14:textId="5C253458"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4</w:t>
            </w:r>
          </w:p>
        </w:tc>
        <w:tc>
          <w:tcPr>
            <w:tcW w:w="2391" w:type="dxa"/>
            <w:vMerge/>
          </w:tcPr>
          <w:p w14:paraId="33A33F3D" w14:textId="77777777" w:rsidR="00BB6F84" w:rsidRPr="00834432" w:rsidRDefault="00BB6F84" w:rsidP="00963B82">
            <w:pPr>
              <w:tabs>
                <w:tab w:val="left" w:pos="3930"/>
              </w:tabs>
              <w:spacing w:line="276" w:lineRule="auto"/>
              <w:rPr>
                <w:rFonts w:ascii="Times New Roman" w:hAnsi="Times New Roman" w:cs="Times New Roman"/>
                <w:noProof/>
                <w:sz w:val="22"/>
                <w:szCs w:val="22"/>
              </w:rPr>
            </w:pPr>
          </w:p>
        </w:tc>
        <w:tc>
          <w:tcPr>
            <w:tcW w:w="2083" w:type="dxa"/>
          </w:tcPr>
          <w:p w14:paraId="18BDC8CD" w14:textId="3486AD24"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11,5</w:t>
            </w:r>
            <w:r>
              <w:rPr>
                <w:rStyle w:val="FootnoteReference"/>
                <w:rFonts w:ascii="Times New Roman" w:hAnsi="Times New Roman" w:cs="Times New Roman"/>
                <w:noProof/>
                <w:sz w:val="22"/>
                <w:szCs w:val="22"/>
              </w:rPr>
              <w:footnoteReference w:id="23"/>
            </w:r>
          </w:p>
        </w:tc>
      </w:tr>
      <w:tr w:rsidR="00BB6F84" w:rsidRPr="001B4224" w14:paraId="0A4F9881" w14:textId="77777777" w:rsidTr="4B55C28A">
        <w:trPr>
          <w:trHeight w:val="388"/>
        </w:trPr>
        <w:tc>
          <w:tcPr>
            <w:tcW w:w="3519" w:type="dxa"/>
          </w:tcPr>
          <w:p w14:paraId="0A4F987D" w14:textId="0D1BC531"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France</w:t>
            </w:r>
          </w:p>
        </w:tc>
        <w:tc>
          <w:tcPr>
            <w:tcW w:w="1509" w:type="dxa"/>
          </w:tcPr>
          <w:p w14:paraId="0A4F987E" w14:textId="0926BD54" w:rsidR="00BB6F84" w:rsidRPr="00834432" w:rsidRDefault="00C14C03"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2</w:t>
            </w:r>
          </w:p>
        </w:tc>
        <w:tc>
          <w:tcPr>
            <w:tcW w:w="2391" w:type="dxa"/>
            <w:vMerge/>
          </w:tcPr>
          <w:p w14:paraId="0A4F987F" w14:textId="77777777" w:rsidR="00BB6F84" w:rsidRPr="00834432" w:rsidRDefault="00BB6F84" w:rsidP="00963B82">
            <w:pPr>
              <w:tabs>
                <w:tab w:val="left" w:pos="3930"/>
              </w:tabs>
              <w:spacing w:line="276" w:lineRule="auto"/>
              <w:rPr>
                <w:rFonts w:ascii="Times New Roman" w:hAnsi="Times New Roman" w:cs="Times New Roman"/>
                <w:noProof/>
                <w:sz w:val="22"/>
                <w:szCs w:val="22"/>
              </w:rPr>
            </w:pPr>
          </w:p>
        </w:tc>
        <w:tc>
          <w:tcPr>
            <w:tcW w:w="2083" w:type="dxa"/>
          </w:tcPr>
          <w:p w14:paraId="0A4F9880" w14:textId="099CB465" w:rsidR="00BB6F84" w:rsidRPr="00834432" w:rsidRDefault="00F64E4C"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w:t>
            </w:r>
          </w:p>
        </w:tc>
      </w:tr>
      <w:tr w:rsidR="00BB6F84" w:rsidRPr="001B4224" w14:paraId="0A4F9886" w14:textId="77777777" w:rsidTr="4B55C28A">
        <w:trPr>
          <w:trHeight w:val="147"/>
        </w:trPr>
        <w:tc>
          <w:tcPr>
            <w:tcW w:w="3519" w:type="dxa"/>
          </w:tcPr>
          <w:p w14:paraId="0A4F9882" w14:textId="2EFA5133"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Grèce</w:t>
            </w:r>
          </w:p>
        </w:tc>
        <w:tc>
          <w:tcPr>
            <w:tcW w:w="1509" w:type="dxa"/>
          </w:tcPr>
          <w:p w14:paraId="0A4F9883" w14:textId="1AB9F0C8"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vMerge/>
          </w:tcPr>
          <w:p w14:paraId="0A4F9884" w14:textId="77777777" w:rsidR="00BB6F84" w:rsidRPr="00834432" w:rsidRDefault="00BB6F84" w:rsidP="00963B82">
            <w:pPr>
              <w:tabs>
                <w:tab w:val="left" w:pos="3930"/>
              </w:tabs>
              <w:spacing w:line="276" w:lineRule="auto"/>
              <w:rPr>
                <w:rFonts w:ascii="Times New Roman" w:hAnsi="Times New Roman" w:cs="Times New Roman"/>
                <w:noProof/>
                <w:sz w:val="22"/>
                <w:szCs w:val="22"/>
              </w:rPr>
            </w:pPr>
          </w:p>
        </w:tc>
        <w:tc>
          <w:tcPr>
            <w:tcW w:w="2083" w:type="dxa"/>
          </w:tcPr>
          <w:p w14:paraId="0A4F9885" w14:textId="22C624D3"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3</w:t>
            </w:r>
          </w:p>
        </w:tc>
      </w:tr>
      <w:tr w:rsidR="00D97BC5" w:rsidRPr="001B4224" w14:paraId="76A42891" w14:textId="77777777" w:rsidTr="4B55C28A">
        <w:trPr>
          <w:trHeight w:val="147"/>
        </w:trPr>
        <w:tc>
          <w:tcPr>
            <w:tcW w:w="3519" w:type="dxa"/>
          </w:tcPr>
          <w:p w14:paraId="6433C14F" w14:textId="34F71B73" w:rsidR="00D97BC5" w:rsidRPr="00BC01C2" w:rsidRDefault="00D97BC5" w:rsidP="004E1AD5">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Hongrie</w:t>
            </w:r>
          </w:p>
        </w:tc>
        <w:tc>
          <w:tcPr>
            <w:tcW w:w="1509" w:type="dxa"/>
          </w:tcPr>
          <w:p w14:paraId="308BD0E9" w14:textId="06E4DD6D" w:rsidR="00D97BC5" w:rsidRPr="00BC01C2" w:rsidRDefault="00D97BC5"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vMerge/>
          </w:tcPr>
          <w:p w14:paraId="7EDA52FB" w14:textId="77777777" w:rsidR="00D97BC5" w:rsidRPr="00BC01C2" w:rsidRDefault="00D97BC5" w:rsidP="00A2116B">
            <w:pPr>
              <w:tabs>
                <w:tab w:val="left" w:pos="3930"/>
              </w:tabs>
              <w:spacing w:line="276" w:lineRule="auto"/>
              <w:rPr>
                <w:rFonts w:ascii="Times New Roman" w:hAnsi="Times New Roman" w:cs="Times New Roman"/>
                <w:noProof/>
                <w:sz w:val="22"/>
                <w:szCs w:val="22"/>
              </w:rPr>
            </w:pPr>
          </w:p>
        </w:tc>
        <w:tc>
          <w:tcPr>
            <w:tcW w:w="2083" w:type="dxa"/>
          </w:tcPr>
          <w:p w14:paraId="18AE6D4F" w14:textId="64DD0F38" w:rsidR="00D97BC5" w:rsidRPr="00BC01C2" w:rsidRDefault="00D97BC5"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0,5</w:t>
            </w:r>
          </w:p>
        </w:tc>
      </w:tr>
      <w:tr w:rsidR="00BB6F84" w:rsidRPr="001B4224" w14:paraId="0A4F9895" w14:textId="77777777" w:rsidTr="4B55C28A">
        <w:trPr>
          <w:trHeight w:val="147"/>
        </w:trPr>
        <w:tc>
          <w:tcPr>
            <w:tcW w:w="3519" w:type="dxa"/>
          </w:tcPr>
          <w:p w14:paraId="0A4F9891" w14:textId="77777777" w:rsidR="00BB6F84" w:rsidRPr="00834432" w:rsidRDefault="00BB6F84" w:rsidP="004E1AD5">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Italie</w:t>
            </w:r>
          </w:p>
        </w:tc>
        <w:tc>
          <w:tcPr>
            <w:tcW w:w="1509" w:type="dxa"/>
          </w:tcPr>
          <w:p w14:paraId="0A4F9892" w14:textId="77777777" w:rsidR="00BB6F84" w:rsidRPr="00834432" w:rsidRDefault="00BB6F84"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vMerge/>
          </w:tcPr>
          <w:p w14:paraId="0A4F9893" w14:textId="77777777" w:rsidR="00BB6F84" w:rsidRPr="00834432" w:rsidRDefault="00BB6F84" w:rsidP="00A2116B">
            <w:pPr>
              <w:tabs>
                <w:tab w:val="left" w:pos="3930"/>
              </w:tabs>
              <w:spacing w:line="276" w:lineRule="auto"/>
              <w:rPr>
                <w:rFonts w:ascii="Times New Roman" w:hAnsi="Times New Roman" w:cs="Times New Roman"/>
                <w:noProof/>
                <w:sz w:val="22"/>
                <w:szCs w:val="22"/>
              </w:rPr>
            </w:pPr>
          </w:p>
        </w:tc>
        <w:tc>
          <w:tcPr>
            <w:tcW w:w="2083" w:type="dxa"/>
          </w:tcPr>
          <w:p w14:paraId="0A4F9894" w14:textId="77777777" w:rsidR="00BB6F84" w:rsidRPr="00834432" w:rsidRDefault="00BB6F84"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4</w:t>
            </w:r>
          </w:p>
        </w:tc>
      </w:tr>
      <w:tr w:rsidR="00BB6F84" w:rsidRPr="001B4224" w14:paraId="0A4F989A" w14:textId="77777777" w:rsidTr="4B55C28A">
        <w:trPr>
          <w:trHeight w:val="147"/>
        </w:trPr>
        <w:tc>
          <w:tcPr>
            <w:tcW w:w="3519" w:type="dxa"/>
          </w:tcPr>
          <w:p w14:paraId="0A4F9896" w14:textId="77777777" w:rsidR="00BB6F84" w:rsidRPr="00834432" w:rsidRDefault="00BB6F84" w:rsidP="004E1AD5">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Roumanie</w:t>
            </w:r>
          </w:p>
        </w:tc>
        <w:tc>
          <w:tcPr>
            <w:tcW w:w="1509" w:type="dxa"/>
          </w:tcPr>
          <w:p w14:paraId="0A4F9897" w14:textId="77777777" w:rsidR="00BB6F84" w:rsidRPr="00834432" w:rsidRDefault="00BB6F84"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vMerge/>
          </w:tcPr>
          <w:p w14:paraId="0A4F9898" w14:textId="77777777" w:rsidR="00BB6F84" w:rsidRPr="00834432" w:rsidRDefault="00BB6F84" w:rsidP="00A2116B">
            <w:pPr>
              <w:tabs>
                <w:tab w:val="left" w:pos="3930"/>
              </w:tabs>
              <w:spacing w:line="276" w:lineRule="auto"/>
              <w:rPr>
                <w:rFonts w:ascii="Times New Roman" w:hAnsi="Times New Roman" w:cs="Times New Roman"/>
                <w:noProof/>
                <w:sz w:val="22"/>
                <w:szCs w:val="22"/>
              </w:rPr>
            </w:pPr>
          </w:p>
        </w:tc>
        <w:tc>
          <w:tcPr>
            <w:tcW w:w="2083" w:type="dxa"/>
          </w:tcPr>
          <w:p w14:paraId="0A4F9899" w14:textId="77777777" w:rsidR="00BB6F84" w:rsidRPr="00834432" w:rsidRDefault="00BB6F84"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0,6</w:t>
            </w:r>
          </w:p>
        </w:tc>
      </w:tr>
      <w:tr w:rsidR="004D1684" w:rsidRPr="001B4224" w14:paraId="3542A4C7" w14:textId="77777777" w:rsidTr="4B55C28A">
        <w:trPr>
          <w:trHeight w:val="147"/>
        </w:trPr>
        <w:tc>
          <w:tcPr>
            <w:tcW w:w="3519" w:type="dxa"/>
          </w:tcPr>
          <w:p w14:paraId="103E4F33" w14:textId="37352B58" w:rsidR="004D1684" w:rsidRPr="004D1684" w:rsidRDefault="004D16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Espagne</w:t>
            </w:r>
          </w:p>
        </w:tc>
        <w:tc>
          <w:tcPr>
            <w:tcW w:w="1509" w:type="dxa"/>
          </w:tcPr>
          <w:p w14:paraId="417114AB" w14:textId="0DCC9867" w:rsidR="004D1684" w:rsidRPr="00AF5961" w:rsidRDefault="004D16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w:t>
            </w:r>
          </w:p>
        </w:tc>
        <w:tc>
          <w:tcPr>
            <w:tcW w:w="2391" w:type="dxa"/>
            <w:vMerge/>
          </w:tcPr>
          <w:p w14:paraId="2A32C65B" w14:textId="77777777" w:rsidR="004D1684" w:rsidRPr="00AF5961" w:rsidRDefault="004D1684" w:rsidP="00963B82">
            <w:pPr>
              <w:tabs>
                <w:tab w:val="left" w:pos="3930"/>
              </w:tabs>
              <w:spacing w:line="276" w:lineRule="auto"/>
              <w:rPr>
                <w:rFonts w:ascii="Times New Roman" w:hAnsi="Times New Roman" w:cs="Times New Roman"/>
                <w:noProof/>
                <w:sz w:val="22"/>
                <w:szCs w:val="22"/>
              </w:rPr>
            </w:pPr>
          </w:p>
        </w:tc>
        <w:tc>
          <w:tcPr>
            <w:tcW w:w="2083" w:type="dxa"/>
          </w:tcPr>
          <w:p w14:paraId="78F0498D" w14:textId="7CFF5B31" w:rsidR="004D1684" w:rsidRPr="00AF5961" w:rsidRDefault="004D16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2</w:t>
            </w:r>
          </w:p>
        </w:tc>
      </w:tr>
      <w:tr w:rsidR="00BB6F84" w:rsidRPr="001B4224" w14:paraId="447BF201" w14:textId="77777777" w:rsidTr="4B55C28A">
        <w:trPr>
          <w:trHeight w:val="147"/>
        </w:trPr>
        <w:tc>
          <w:tcPr>
            <w:tcW w:w="3519" w:type="dxa"/>
          </w:tcPr>
          <w:p w14:paraId="76FF8F6E" w14:textId="68C28BEB"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Pays-Bas</w:t>
            </w:r>
          </w:p>
        </w:tc>
        <w:tc>
          <w:tcPr>
            <w:tcW w:w="1509" w:type="dxa"/>
          </w:tcPr>
          <w:p w14:paraId="452E541D" w14:textId="0A7E9648"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2</w:t>
            </w:r>
          </w:p>
        </w:tc>
        <w:tc>
          <w:tcPr>
            <w:tcW w:w="2391" w:type="dxa"/>
            <w:vMerge/>
          </w:tcPr>
          <w:p w14:paraId="1D5DBEC5" w14:textId="77777777" w:rsidR="00BB6F84" w:rsidRPr="00834432" w:rsidRDefault="00BB6F84" w:rsidP="00963B82">
            <w:pPr>
              <w:tabs>
                <w:tab w:val="left" w:pos="3930"/>
              </w:tabs>
              <w:spacing w:line="276" w:lineRule="auto"/>
              <w:rPr>
                <w:rFonts w:ascii="Times New Roman" w:hAnsi="Times New Roman" w:cs="Times New Roman"/>
                <w:noProof/>
                <w:sz w:val="22"/>
                <w:szCs w:val="22"/>
              </w:rPr>
            </w:pPr>
          </w:p>
        </w:tc>
        <w:tc>
          <w:tcPr>
            <w:tcW w:w="2083" w:type="dxa"/>
          </w:tcPr>
          <w:p w14:paraId="306C4410" w14:textId="35580ED1" w:rsidR="00BB6F84" w:rsidRPr="00834432" w:rsidRDefault="00BB6F84" w:rsidP="00963B82">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10</w:t>
            </w:r>
          </w:p>
        </w:tc>
      </w:tr>
    </w:tbl>
    <w:p w14:paraId="39091ED4" w14:textId="26019A57" w:rsidR="00F67AFC" w:rsidRDefault="008B3DD7" w:rsidP="00710A45">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Le tableau 1 indique qu’à la fin de 2024, un potentiel de stockage total d’environ 1 gigatonne devrait être disponible d’ici à 2030 grâce aux différents projets situés dans l’UE. La capacité d’injection annuelle pourrait atteindre 33,12 millions de tonnes de CO</w:t>
      </w:r>
      <w:r>
        <w:rPr>
          <w:rFonts w:ascii="Times New Roman" w:hAnsi="Times New Roman"/>
          <w:noProof/>
          <w:sz w:val="24"/>
          <w:vertAlign w:val="subscript"/>
        </w:rPr>
        <w:t>2</w:t>
      </w:r>
      <w:r>
        <w:rPr>
          <w:rFonts w:ascii="Times New Roman" w:hAnsi="Times New Roman"/>
          <w:noProof/>
          <w:sz w:val="24"/>
        </w:rPr>
        <w:t xml:space="preserve"> par an. Selon les prévisions actuelles, le Danemark et les Pays-Bas devraient être les deux États membres disposant de la plus grande capacité d’injection d’ici à 2030, suivis de l’Italie et de la Grèce. </w:t>
      </w:r>
    </w:p>
    <w:p w14:paraId="5897FCEB" w14:textId="34915CDA" w:rsidR="000B1E57" w:rsidRDefault="008864E8" w:rsidP="00A2116B">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Le tableau 2 résume les chiffres totaux relatifs au captage communiqués par les États membres et fournit une indication utile de la future demande de capacité d’injection.</w:t>
      </w:r>
    </w:p>
    <w:p w14:paraId="6279E44C" w14:textId="04958368" w:rsidR="00F512D8" w:rsidRPr="00A30B3E" w:rsidRDefault="00183BB1" w:rsidP="45A3C3F8">
      <w:pPr>
        <w:spacing w:before="240" w:after="240" w:line="276" w:lineRule="auto"/>
        <w:jc w:val="both"/>
        <w:rPr>
          <w:rFonts w:ascii="Times New Roman" w:eastAsia="Times New Roman" w:hAnsi="Times New Roman" w:cs="Times New Roman"/>
          <w:i/>
          <w:iCs/>
          <w:noProof/>
          <w:sz w:val="24"/>
          <w:szCs w:val="24"/>
        </w:rPr>
      </w:pPr>
      <w:r>
        <w:rPr>
          <w:rFonts w:ascii="Times New Roman" w:hAnsi="Times New Roman"/>
          <w:i/>
          <w:noProof/>
          <w:sz w:val="24"/>
        </w:rPr>
        <w:t>Tableau 2 – Synthèse des projets de captage du CO</w:t>
      </w:r>
      <w:r>
        <w:rPr>
          <w:rFonts w:ascii="Times New Roman" w:hAnsi="Times New Roman"/>
          <w:i/>
          <w:noProof/>
          <w:sz w:val="24"/>
          <w:vertAlign w:val="subscript"/>
        </w:rPr>
        <w:t>2</w:t>
      </w:r>
      <w:r>
        <w:rPr>
          <w:rFonts w:ascii="Times New Roman" w:hAnsi="Times New Roman"/>
          <w:i/>
          <w:noProof/>
          <w:sz w:val="24"/>
        </w:rPr>
        <w:t xml:space="preserve"> dont la mise en œuvre est prévue d’ici à 2030, situation en 2024</w:t>
      </w:r>
    </w:p>
    <w:tbl>
      <w:tblPr>
        <w:tblStyle w:val="RicardoTable"/>
        <w:tblpPr w:leftFromText="180" w:rightFromText="180" w:vertAnchor="text" w:tblpY="1"/>
        <w:tblOverlap w:val="never"/>
        <w:tblW w:w="9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978"/>
      </w:tblGrid>
      <w:tr w:rsidR="007475BB" w:rsidRPr="007475BB" w14:paraId="0A4F98A2" w14:textId="77777777" w:rsidTr="32D2CB36">
        <w:trPr>
          <w:cnfStyle w:val="100000000000" w:firstRow="1" w:lastRow="0" w:firstColumn="0" w:lastColumn="0" w:oddVBand="0" w:evenVBand="0" w:oddHBand="0" w:evenHBand="0" w:firstRowFirstColumn="0" w:firstRowLastColumn="0" w:lastRowFirstColumn="0" w:lastRowLastColumn="0"/>
          <w:trHeight w:val="1124"/>
        </w:trPr>
        <w:tc>
          <w:tcPr>
            <w:tcW w:w="4673" w:type="dxa"/>
          </w:tcPr>
          <w:p w14:paraId="0A4F989F" w14:textId="77777777" w:rsidR="007475BB" w:rsidRPr="00834432" w:rsidRDefault="007475BB" w:rsidP="00504CA7">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États membres</w:t>
            </w:r>
          </w:p>
        </w:tc>
        <w:tc>
          <w:tcPr>
            <w:tcW w:w="4978" w:type="dxa"/>
          </w:tcPr>
          <w:p w14:paraId="0A4F98A1" w14:textId="77777777" w:rsidR="007475BB" w:rsidRPr="00834432" w:rsidRDefault="007475BB" w:rsidP="00504CA7">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Capacité de captage estimée (en millions de tonnes de CO</w:t>
            </w:r>
            <w:r>
              <w:rPr>
                <w:rFonts w:ascii="Times New Roman" w:hAnsi="Times New Roman"/>
                <w:noProof/>
                <w:sz w:val="22"/>
                <w:vertAlign w:val="subscript"/>
              </w:rPr>
              <w:t>2</w:t>
            </w:r>
            <w:r>
              <w:rPr>
                <w:rFonts w:ascii="Times New Roman" w:hAnsi="Times New Roman"/>
                <w:noProof/>
                <w:sz w:val="22"/>
              </w:rPr>
              <w:t xml:space="preserve"> par an)</w:t>
            </w:r>
          </w:p>
        </w:tc>
      </w:tr>
      <w:tr w:rsidR="007475BB" w:rsidRPr="001B4224" w14:paraId="0A4F98A6" w14:textId="77777777" w:rsidTr="32D2CB36">
        <w:trPr>
          <w:trHeight w:val="1073"/>
        </w:trPr>
        <w:tc>
          <w:tcPr>
            <w:tcW w:w="4673" w:type="dxa"/>
          </w:tcPr>
          <w:p w14:paraId="0A4F98A3" w14:textId="55F29984" w:rsidR="007475BB" w:rsidRPr="00834432" w:rsidRDefault="00C0627D" w:rsidP="00A2116B">
            <w:pPr>
              <w:tabs>
                <w:tab w:val="left" w:pos="3930"/>
              </w:tabs>
              <w:spacing w:line="276" w:lineRule="auto"/>
              <w:jc w:val="center"/>
              <w:rPr>
                <w:rFonts w:ascii="Times New Roman" w:hAnsi="Times New Roman" w:cs="Times New Roman"/>
                <w:b/>
                <w:noProof/>
                <w:sz w:val="22"/>
                <w:szCs w:val="22"/>
              </w:rPr>
            </w:pPr>
            <w:r>
              <w:rPr>
                <w:rFonts w:ascii="Times New Roman" w:hAnsi="Times New Roman"/>
                <w:b/>
                <w:noProof/>
                <w:sz w:val="22"/>
              </w:rPr>
              <w:t>7 États membres ont communiqué des chiffres relatifs au captage</w:t>
            </w:r>
          </w:p>
        </w:tc>
        <w:tc>
          <w:tcPr>
            <w:tcW w:w="4978" w:type="dxa"/>
          </w:tcPr>
          <w:p w14:paraId="0A4F98A5" w14:textId="147A607B" w:rsidR="007475BB" w:rsidRPr="00834432" w:rsidRDefault="00123D49" w:rsidP="00A2116B">
            <w:pPr>
              <w:tabs>
                <w:tab w:val="left" w:pos="3930"/>
              </w:tabs>
              <w:spacing w:line="276" w:lineRule="auto"/>
              <w:jc w:val="center"/>
              <w:rPr>
                <w:rFonts w:ascii="Times New Roman" w:hAnsi="Times New Roman" w:cs="Times New Roman"/>
                <w:b/>
                <w:bCs/>
                <w:noProof/>
                <w:sz w:val="22"/>
                <w:szCs w:val="22"/>
              </w:rPr>
            </w:pPr>
            <w:r>
              <w:rPr>
                <w:rFonts w:ascii="Times New Roman" w:hAnsi="Times New Roman"/>
                <w:b/>
                <w:noProof/>
                <w:sz w:val="22"/>
              </w:rPr>
              <w:t>20,4 - 20,7</w:t>
            </w:r>
          </w:p>
        </w:tc>
      </w:tr>
      <w:tr w:rsidR="007475BB" w:rsidRPr="001B4224" w14:paraId="0A4F98AA" w14:textId="77777777" w:rsidTr="32D2CB36">
        <w:trPr>
          <w:trHeight w:val="412"/>
        </w:trPr>
        <w:tc>
          <w:tcPr>
            <w:tcW w:w="4673" w:type="dxa"/>
          </w:tcPr>
          <w:p w14:paraId="0A4F98A7" w14:textId="77777777" w:rsidR="007475BB" w:rsidRPr="00834432" w:rsidRDefault="007475BB" w:rsidP="00CE17FA">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Bulgarie</w:t>
            </w:r>
          </w:p>
        </w:tc>
        <w:tc>
          <w:tcPr>
            <w:tcW w:w="4978" w:type="dxa"/>
          </w:tcPr>
          <w:p w14:paraId="0A4F98A9" w14:textId="6DBA0633" w:rsidR="007475BB" w:rsidRPr="00834432" w:rsidRDefault="007475BB"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0,78</w:t>
            </w:r>
          </w:p>
        </w:tc>
      </w:tr>
      <w:tr w:rsidR="007475BB" w:rsidRPr="001B4224" w14:paraId="0A4F98AE" w14:textId="77777777" w:rsidTr="32D2CB36">
        <w:trPr>
          <w:trHeight w:val="426"/>
        </w:trPr>
        <w:tc>
          <w:tcPr>
            <w:tcW w:w="4673" w:type="dxa"/>
          </w:tcPr>
          <w:p w14:paraId="0A4F98AB" w14:textId="77777777" w:rsidR="007475BB" w:rsidRPr="00834432" w:rsidRDefault="007475BB" w:rsidP="00CE17FA">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France</w:t>
            </w:r>
          </w:p>
        </w:tc>
        <w:tc>
          <w:tcPr>
            <w:tcW w:w="4978" w:type="dxa"/>
          </w:tcPr>
          <w:p w14:paraId="0A4F98AD" w14:textId="4FED625C" w:rsidR="007475BB" w:rsidRPr="00834432" w:rsidRDefault="6DCF435D"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1,4</w:t>
            </w:r>
          </w:p>
        </w:tc>
      </w:tr>
      <w:tr w:rsidR="007475BB" w:rsidRPr="001B4224" w14:paraId="0A4F98B2" w14:textId="77777777" w:rsidTr="32D2CB36">
        <w:trPr>
          <w:trHeight w:val="412"/>
        </w:trPr>
        <w:tc>
          <w:tcPr>
            <w:tcW w:w="4673" w:type="dxa"/>
          </w:tcPr>
          <w:p w14:paraId="0A4F98AF" w14:textId="77777777" w:rsidR="007475BB" w:rsidRPr="00834432" w:rsidRDefault="007475BB" w:rsidP="00CE17FA">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Allemagne</w:t>
            </w:r>
          </w:p>
        </w:tc>
        <w:tc>
          <w:tcPr>
            <w:tcW w:w="4978" w:type="dxa"/>
          </w:tcPr>
          <w:p w14:paraId="0A4F98B1" w14:textId="77777777" w:rsidR="007475BB" w:rsidRPr="00834432" w:rsidRDefault="007475BB"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5,72</w:t>
            </w:r>
          </w:p>
        </w:tc>
      </w:tr>
      <w:tr w:rsidR="007475BB" w:rsidRPr="001B4224" w14:paraId="0A4F98B6" w14:textId="77777777" w:rsidTr="32D2CB36">
        <w:trPr>
          <w:trHeight w:val="412"/>
        </w:trPr>
        <w:tc>
          <w:tcPr>
            <w:tcW w:w="4673" w:type="dxa"/>
          </w:tcPr>
          <w:p w14:paraId="0A4F98B3" w14:textId="77777777" w:rsidR="007475BB" w:rsidRPr="00834432" w:rsidRDefault="007475BB" w:rsidP="00CE17FA">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Grèce</w:t>
            </w:r>
          </w:p>
        </w:tc>
        <w:tc>
          <w:tcPr>
            <w:tcW w:w="4978" w:type="dxa"/>
          </w:tcPr>
          <w:p w14:paraId="0A4F98B5" w14:textId="77777777" w:rsidR="007475BB" w:rsidRPr="00834432" w:rsidRDefault="007475BB"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3,25</w:t>
            </w:r>
          </w:p>
        </w:tc>
      </w:tr>
      <w:tr w:rsidR="007475BB" w:rsidRPr="001B4224" w14:paraId="0A4F98BE" w14:textId="77777777" w:rsidTr="32D2CB36">
        <w:trPr>
          <w:trHeight w:val="412"/>
        </w:trPr>
        <w:tc>
          <w:tcPr>
            <w:tcW w:w="4673" w:type="dxa"/>
          </w:tcPr>
          <w:p w14:paraId="0A4F98BB" w14:textId="77777777" w:rsidR="007475BB" w:rsidRPr="00834432" w:rsidRDefault="007475BB" w:rsidP="00CE17FA">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Roumanie</w:t>
            </w:r>
          </w:p>
        </w:tc>
        <w:tc>
          <w:tcPr>
            <w:tcW w:w="4978" w:type="dxa"/>
          </w:tcPr>
          <w:p w14:paraId="0A4F98BD" w14:textId="576169D6" w:rsidR="007475BB" w:rsidRPr="00834432" w:rsidRDefault="007475BB"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1,8</w:t>
            </w:r>
          </w:p>
        </w:tc>
      </w:tr>
      <w:tr w:rsidR="007475BB" w:rsidRPr="001B4224" w14:paraId="0A4F98C6" w14:textId="77777777" w:rsidTr="32D2CB36">
        <w:trPr>
          <w:trHeight w:val="412"/>
        </w:trPr>
        <w:tc>
          <w:tcPr>
            <w:tcW w:w="4673" w:type="dxa"/>
          </w:tcPr>
          <w:p w14:paraId="0A4F98C3" w14:textId="77777777" w:rsidR="007475BB" w:rsidRPr="00834432" w:rsidRDefault="007475BB" w:rsidP="00CE17FA">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Suède</w:t>
            </w:r>
          </w:p>
        </w:tc>
        <w:tc>
          <w:tcPr>
            <w:tcW w:w="4978" w:type="dxa"/>
          </w:tcPr>
          <w:p w14:paraId="0A4F98C5" w14:textId="3FE93748" w:rsidR="007475BB" w:rsidRPr="00834432" w:rsidRDefault="006D65D1" w:rsidP="00A2116B">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3,965</w:t>
            </w:r>
          </w:p>
        </w:tc>
      </w:tr>
      <w:tr w:rsidR="007475BB" w:rsidRPr="001B4224" w14:paraId="0A4F98CA" w14:textId="77777777" w:rsidTr="32D2CB36">
        <w:trPr>
          <w:trHeight w:val="531"/>
        </w:trPr>
        <w:tc>
          <w:tcPr>
            <w:tcW w:w="4673" w:type="dxa"/>
          </w:tcPr>
          <w:p w14:paraId="0A4F98C7" w14:textId="77777777" w:rsidR="007475BB" w:rsidRPr="00834432" w:rsidRDefault="007475BB" w:rsidP="00CE17FA">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Pays-Bas</w:t>
            </w:r>
          </w:p>
        </w:tc>
        <w:tc>
          <w:tcPr>
            <w:tcW w:w="4978" w:type="dxa"/>
          </w:tcPr>
          <w:p w14:paraId="0A4F98C9" w14:textId="2AEDE570" w:rsidR="007475BB" w:rsidRPr="00834432" w:rsidRDefault="007475BB" w:rsidP="00F22C0C">
            <w:pPr>
              <w:tabs>
                <w:tab w:val="left" w:pos="3930"/>
              </w:tabs>
              <w:spacing w:line="276" w:lineRule="auto"/>
              <w:jc w:val="center"/>
              <w:rPr>
                <w:rFonts w:ascii="Times New Roman" w:hAnsi="Times New Roman" w:cs="Times New Roman"/>
                <w:noProof/>
                <w:sz w:val="22"/>
                <w:szCs w:val="22"/>
              </w:rPr>
            </w:pPr>
            <w:r>
              <w:rPr>
                <w:rFonts w:ascii="Times New Roman" w:hAnsi="Times New Roman"/>
                <w:noProof/>
                <w:sz w:val="22"/>
              </w:rPr>
              <w:t>3,5 – 3,8</w:t>
            </w:r>
          </w:p>
        </w:tc>
      </w:tr>
    </w:tbl>
    <w:p w14:paraId="6D14F93E" w14:textId="77777777" w:rsidR="007475BB" w:rsidRDefault="007475BB" w:rsidP="00926C62">
      <w:pPr>
        <w:rPr>
          <w:noProof/>
        </w:rPr>
      </w:pPr>
    </w:p>
    <w:p w14:paraId="5ADA2D25" w14:textId="50325BD3" w:rsidR="00FA7318" w:rsidRDefault="00560940" w:rsidP="01060631">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À la fin de 2024, les États membres estimaient que, d’ici à 2030, la capacité de captage du CO</w:t>
      </w:r>
      <w:r>
        <w:rPr>
          <w:rFonts w:ascii="Times New Roman" w:hAnsi="Times New Roman"/>
          <w:noProof/>
          <w:sz w:val="24"/>
          <w:vertAlign w:val="subscript"/>
        </w:rPr>
        <w:t>2</w:t>
      </w:r>
      <w:r>
        <w:rPr>
          <w:rFonts w:ascii="Times New Roman" w:hAnsi="Times New Roman"/>
          <w:noProof/>
          <w:sz w:val="24"/>
        </w:rPr>
        <w:t xml:space="preserve"> pourrait s’élever à environ 21 millions de tonnes par an. Ce chiffre global est inférieur à celui issu des PNEC révisés, ce qui s’explique peut-être par l’absence de chiffres relatifs au captage dans plusieurs rapports au titre de l’article 21. Si l’on se base sur les estimations pertinentes des PNEC pour ces chiffres manquants, le total des estimations de captage de CO₂ dans l’UE, fournies par les États membres, pourrait dépasser les 32 millions de tonnes par an. </w:t>
      </w:r>
    </w:p>
    <w:p w14:paraId="0BB6A72B" w14:textId="10B2B595" w:rsidR="003321D1" w:rsidRPr="002C0412" w:rsidRDefault="0026707C" w:rsidP="01060631">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Cette estimation révisée indique que, sur l’objectif de 50 millions de tonnes par an fixé par l’UE en ce qui concerne la capacité d’injection, 64 % pourraient être utilisés par des projets connus des États membres si des infrastructures de transport sont mises à disposition. À la fin de 2025, les États membres ont dû mettre à jour leurs estimations, qui seront incluses dans le prochain rapport d’avancement de la Commission. </w:t>
      </w:r>
    </w:p>
    <w:p w14:paraId="2227B302" w14:textId="525A0EE4" w:rsidR="00CC73D2" w:rsidRDefault="00CC73D2" w:rsidP="00CC73D2">
      <w:pPr>
        <w:rPr>
          <w:noProof/>
        </w:rPr>
      </w:pPr>
    </w:p>
    <w:p w14:paraId="1F90BDAD" w14:textId="77777777" w:rsidR="00632A19" w:rsidRDefault="00632A19">
      <w:pPr>
        <w:rPr>
          <w:rFonts w:ascii="Times New Roman" w:eastAsiaTheme="majorEastAsia" w:hAnsi="Times New Roman" w:cstheme="majorBidi"/>
          <w:b/>
          <w:noProof/>
          <w:color w:val="000000" w:themeColor="text1"/>
          <w:sz w:val="24"/>
          <w:szCs w:val="28"/>
        </w:rPr>
      </w:pPr>
      <w:r>
        <w:rPr>
          <w:noProof/>
        </w:rPr>
        <w:br w:type="page"/>
      </w:r>
    </w:p>
    <w:p w14:paraId="389FD7C0" w14:textId="6B623A2D" w:rsidR="00C94980" w:rsidRPr="00926C62" w:rsidRDefault="00494D5B" w:rsidP="00926C62">
      <w:pPr>
        <w:pStyle w:val="Heading3"/>
        <w:rPr>
          <w:noProof/>
        </w:rPr>
      </w:pPr>
      <w:bookmarkStart w:id="7" w:name="_Toc229054822"/>
      <w:r>
        <w:rPr>
          <w:noProof/>
        </w:rPr>
        <w:t>Transparence des données relatives à la capacité de stockage au titre de l’article 21, paragraphe 1</w:t>
      </w:r>
      <w:bookmarkEnd w:id="7"/>
    </w:p>
    <w:p w14:paraId="19F40FA9" w14:textId="05F4F619" w:rsidR="00347DDF" w:rsidRPr="00926C62" w:rsidRDefault="007A59AC" w:rsidP="00740612">
      <w:pPr>
        <w:spacing w:line="276" w:lineRule="auto"/>
        <w:jc w:val="both"/>
        <w:rPr>
          <w:rFonts w:ascii="Times New Roman" w:hAnsi="Times New Roman" w:cs="Times New Roman"/>
          <w:noProof/>
          <w:sz w:val="24"/>
          <w:szCs w:val="24"/>
        </w:rPr>
      </w:pPr>
      <w:r>
        <w:rPr>
          <w:rFonts w:ascii="Times New Roman" w:hAnsi="Times New Roman"/>
          <w:noProof/>
          <w:sz w:val="24"/>
        </w:rPr>
        <w:t>L’article 21, paragraphe 1, point a), du règlement (UE) 2024/1735 exige que, au plus tard le 30 décembre 2024, les États membres rendent publiques des données sur toutes les zones où des sites de stockage de CO</w:t>
      </w:r>
      <w:r>
        <w:rPr>
          <w:rFonts w:ascii="Times New Roman" w:hAnsi="Times New Roman"/>
          <w:noProof/>
          <w:sz w:val="24"/>
          <w:vertAlign w:val="subscript"/>
        </w:rPr>
        <w:t>2</w:t>
      </w:r>
      <w:r>
        <w:rPr>
          <w:rFonts w:ascii="Times New Roman" w:hAnsi="Times New Roman"/>
          <w:noProof/>
          <w:sz w:val="24"/>
        </w:rPr>
        <w:t xml:space="preserve"> pourraient être autorisés sur leur territoire, sans préjudice des exigences relatives à la protection des informations confidentielles. Ces données permettent aux investisseurs de déterminer où rechercher des sites potentiels de stockage du CO</w:t>
      </w:r>
      <w:r>
        <w:rPr>
          <w:rFonts w:ascii="Times New Roman" w:hAnsi="Times New Roman"/>
          <w:noProof/>
          <w:sz w:val="24"/>
          <w:vertAlign w:val="subscript"/>
        </w:rPr>
        <w:t>2</w:t>
      </w:r>
      <w:r>
        <w:rPr>
          <w:rFonts w:ascii="Times New Roman" w:hAnsi="Times New Roman"/>
          <w:noProof/>
          <w:sz w:val="24"/>
        </w:rPr>
        <w:t xml:space="preserve"> dans l’UE. </w:t>
      </w:r>
    </w:p>
    <w:p w14:paraId="63800664" w14:textId="4149045F" w:rsidR="0086203A" w:rsidRDefault="003D3723" w:rsidP="008864E8">
      <w:pPr>
        <w:spacing w:line="276" w:lineRule="auto"/>
        <w:jc w:val="both"/>
        <w:rPr>
          <w:rFonts w:ascii="Times New Roman" w:hAnsi="Times New Roman" w:cs="Times New Roman"/>
          <w:noProof/>
          <w:sz w:val="24"/>
          <w:szCs w:val="24"/>
        </w:rPr>
      </w:pPr>
      <w:r>
        <w:rPr>
          <w:rFonts w:ascii="Times New Roman" w:hAnsi="Times New Roman"/>
          <w:noProof/>
          <w:sz w:val="24"/>
        </w:rPr>
        <w:t>L’article 21, paragraphe 1, point b), du règlement (UE) 2024/1735 exige en outre que, au plus tard le 30 décembre 2024, les États membres obligent les entités qui sont ou ont été titulaires d’une autorisation d’explorer, de prospecter ou d’extraire du pétrole ou du gaz sur leur territoire à rendre publiques, uniquement à titre indicatif: i) les données géologiques relatives aux sites de production qui ont été déclassés ou dont le déclassement a été notifié à l’autorité compétente; et ii) si elles existent, à moins que l’entité n’ait fait une demande de permis d’exploration, des évaluations économiques des coûts correspondants à la mise en place de l’injection de CO</w:t>
      </w:r>
      <w:r>
        <w:rPr>
          <w:rFonts w:ascii="Times New Roman" w:hAnsi="Times New Roman"/>
          <w:noProof/>
          <w:sz w:val="24"/>
          <w:vertAlign w:val="subscript"/>
        </w:rPr>
        <w:t>2</w:t>
      </w:r>
      <w:r>
        <w:rPr>
          <w:rFonts w:ascii="Times New Roman" w:hAnsi="Times New Roman"/>
          <w:noProof/>
          <w:sz w:val="24"/>
        </w:rPr>
        <w:t>. Ces évaluations économiques devaient inclure des données sur le caractère adapté du site à l’injection et au stockage de CO</w:t>
      </w:r>
      <w:r>
        <w:rPr>
          <w:rFonts w:ascii="Times New Roman" w:hAnsi="Times New Roman"/>
          <w:noProof/>
          <w:sz w:val="24"/>
          <w:vertAlign w:val="subscript"/>
        </w:rPr>
        <w:t>2</w:t>
      </w:r>
      <w:r>
        <w:rPr>
          <w:rFonts w:ascii="Times New Roman" w:hAnsi="Times New Roman"/>
          <w:noProof/>
          <w:sz w:val="24"/>
        </w:rPr>
        <w:t xml:space="preserve"> de manière durable, sûre et permanente; ainsi que sur l’existence ou le besoin d’infrastructures et de modes de transport adaptés à l’acheminement en toute sécurité du CO</w:t>
      </w:r>
      <w:r>
        <w:rPr>
          <w:rFonts w:ascii="Times New Roman" w:hAnsi="Times New Roman"/>
          <w:noProof/>
          <w:sz w:val="24"/>
          <w:vertAlign w:val="subscript"/>
        </w:rPr>
        <w:t>2</w:t>
      </w:r>
      <w:r>
        <w:rPr>
          <w:rFonts w:ascii="Times New Roman" w:hAnsi="Times New Roman"/>
          <w:noProof/>
          <w:sz w:val="24"/>
        </w:rPr>
        <w:t xml:space="preserve"> vers le site.</w:t>
      </w:r>
    </w:p>
    <w:p w14:paraId="0CA7D6B2" w14:textId="77777777" w:rsidR="00A67453" w:rsidRDefault="007A6AF3" w:rsidP="007A6AF3">
      <w:pPr>
        <w:spacing w:line="276" w:lineRule="auto"/>
        <w:jc w:val="both"/>
        <w:rPr>
          <w:rFonts w:ascii="Times New Roman" w:hAnsi="Times New Roman" w:cs="Times New Roman"/>
          <w:noProof/>
          <w:sz w:val="24"/>
          <w:szCs w:val="24"/>
        </w:rPr>
      </w:pPr>
      <w:r>
        <w:rPr>
          <w:rFonts w:ascii="Times New Roman" w:hAnsi="Times New Roman"/>
          <w:noProof/>
          <w:sz w:val="24"/>
        </w:rPr>
        <w:t xml:space="preserve">La mise en œuvre de l’article 21, paragraphe 1, points a) et b) du règlement (UE) 2024/1735 a donné lieu à des résultats mitigés. </w:t>
      </w:r>
    </w:p>
    <w:p w14:paraId="46E6F3E0" w14:textId="3F78F71D" w:rsidR="00A67453" w:rsidRDefault="00A67453" w:rsidP="008A3DBE">
      <w:pPr>
        <w:spacing w:line="276" w:lineRule="auto"/>
        <w:jc w:val="both"/>
        <w:rPr>
          <w:rFonts w:ascii="Times New Roman" w:hAnsi="Times New Roman" w:cs="Times New Roman"/>
          <w:noProof/>
          <w:sz w:val="24"/>
          <w:szCs w:val="24"/>
        </w:rPr>
      </w:pPr>
      <w:r>
        <w:rPr>
          <w:rFonts w:ascii="Times New Roman" w:hAnsi="Times New Roman"/>
          <w:noProof/>
          <w:sz w:val="24"/>
        </w:rPr>
        <w:t>Premièrement, au 30 décembre 2024, conformément à l’article 21, paragraphe 1, point a), neuf États membres ont indiqué comment ils rendent publiques les données sur les zones où des sites de stockage de CO</w:t>
      </w:r>
      <w:r>
        <w:rPr>
          <w:rFonts w:ascii="Times New Roman" w:hAnsi="Times New Roman"/>
          <w:noProof/>
          <w:sz w:val="24"/>
          <w:vertAlign w:val="subscript"/>
        </w:rPr>
        <w:t>2</w:t>
      </w:r>
      <w:r>
        <w:rPr>
          <w:rFonts w:ascii="Times New Roman" w:hAnsi="Times New Roman"/>
          <w:noProof/>
          <w:sz w:val="24"/>
        </w:rPr>
        <w:t xml:space="preserve"> pourraient être autorisés</w:t>
      </w:r>
      <w:r>
        <w:rPr>
          <w:rStyle w:val="FootnoteReference"/>
          <w:rFonts w:ascii="Times New Roman" w:hAnsi="Times New Roman" w:cs="Times New Roman"/>
          <w:noProof/>
          <w:sz w:val="24"/>
          <w:szCs w:val="24"/>
        </w:rPr>
        <w:footnoteReference w:id="24"/>
      </w:r>
      <w:r>
        <w:rPr>
          <w:rFonts w:ascii="Times New Roman" w:hAnsi="Times New Roman"/>
          <w:noProof/>
          <w:sz w:val="24"/>
        </w:rPr>
        <w:t>. Deuxièmement, les données géologiques ne sont publiquement disponibles et accessibles que dans cinq États membres</w:t>
      </w:r>
      <w:r>
        <w:rPr>
          <w:rStyle w:val="FootnoteReference"/>
          <w:rFonts w:ascii="Times New Roman" w:hAnsi="Times New Roman" w:cs="Times New Roman"/>
          <w:noProof/>
          <w:sz w:val="24"/>
          <w:szCs w:val="24"/>
        </w:rPr>
        <w:footnoteReference w:id="25"/>
      </w:r>
      <w:r>
        <w:rPr>
          <w:rFonts w:ascii="Times New Roman" w:hAnsi="Times New Roman"/>
          <w:noProof/>
          <w:sz w:val="24"/>
        </w:rPr>
        <w:t>. Troisièmement, seuls trois États membres</w:t>
      </w:r>
      <w:r>
        <w:rPr>
          <w:rStyle w:val="FootnoteReference"/>
          <w:rFonts w:ascii="Times New Roman" w:hAnsi="Times New Roman" w:cs="Times New Roman"/>
          <w:noProof/>
          <w:sz w:val="24"/>
          <w:szCs w:val="24"/>
        </w:rPr>
        <w:footnoteReference w:id="26"/>
      </w:r>
      <w:r>
        <w:rPr>
          <w:rFonts w:ascii="Times New Roman" w:hAnsi="Times New Roman"/>
          <w:noProof/>
          <w:sz w:val="24"/>
        </w:rPr>
        <w:t xml:space="preserve"> ont démontré qu’ils disposaient d’un cadre juridique obligeant les compagnies pétrolières et gazières autorisées à publier des données géologiques pertinentes, comme l’exige l’article 21, paragraphe 1, point b). La Commission n’a pas été en mesure de vérifier la conformité de 13 États membres en raison de notifications manquantes au regard de l’article 21, paragraphe 1</w:t>
      </w:r>
      <w:r>
        <w:rPr>
          <w:rStyle w:val="FootnoteReference"/>
          <w:rFonts w:ascii="Times New Roman" w:hAnsi="Times New Roman" w:cs="Times New Roman"/>
          <w:noProof/>
          <w:sz w:val="24"/>
          <w:szCs w:val="24"/>
        </w:rPr>
        <w:footnoteReference w:id="27"/>
      </w:r>
      <w:r>
        <w:rPr>
          <w:rFonts w:ascii="Times New Roman" w:hAnsi="Times New Roman"/>
          <w:noProof/>
          <w:sz w:val="24"/>
        </w:rPr>
        <w:t>.</w:t>
      </w:r>
    </w:p>
    <w:p w14:paraId="1BFC6E95" w14:textId="5A97176D" w:rsidR="00F44E7F" w:rsidRPr="00BB278F" w:rsidRDefault="007707A8" w:rsidP="127D16E9">
      <w:pPr>
        <w:pBdr>
          <w:bottom w:val="single" w:sz="4" w:space="14" w:color="FFFFFF" w:themeColor="background1"/>
        </w:pBdr>
        <w:spacing w:line="276" w:lineRule="auto"/>
        <w:jc w:val="both"/>
        <w:rPr>
          <w:rFonts w:ascii="Times New Roman" w:hAnsi="Times New Roman" w:cs="Times New Roman"/>
          <w:noProof/>
          <w:sz w:val="24"/>
          <w:szCs w:val="24"/>
        </w:rPr>
      </w:pPr>
      <w:r>
        <w:rPr>
          <w:rFonts w:ascii="Times New Roman" w:hAnsi="Times New Roman"/>
          <w:noProof/>
          <w:sz w:val="24"/>
        </w:rPr>
        <w:t>Six États membres</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ont indiqué que l’élaboration d’un tel cadre juridique était en cours et ont fait valoir qu’à ce jour, leurs dispositions nationales relatives à la publication obligatoire des informations pertinentes étaient encore incomplètes ou que certaines lacunes subsistaient dans les dispositions existantes visant à mettre en œuvre l’article 21, paragraphe 1, point b). Cinq États membres ont fourni des éléments d’information limités concernant l’existence d’un cadre juridique mettant en œuvre l’article 21, paragraphe 1, point b), et des données font défaut quant aux exigences obligatoires en matière de publication</w:t>
      </w:r>
      <w:r>
        <w:rPr>
          <w:rStyle w:val="FootnoteReference"/>
          <w:rFonts w:ascii="Times New Roman" w:hAnsi="Times New Roman" w:cs="Times New Roman"/>
          <w:noProof/>
          <w:sz w:val="24"/>
          <w:szCs w:val="24"/>
        </w:rPr>
        <w:footnoteReference w:id="29"/>
      </w:r>
      <w:r>
        <w:rPr>
          <w:rFonts w:ascii="Times New Roman" w:hAnsi="Times New Roman"/>
          <w:noProof/>
          <w:sz w:val="24"/>
        </w:rPr>
        <w:t>. Pour 12 États membres</w:t>
      </w:r>
      <w:r>
        <w:rPr>
          <w:rStyle w:val="FootnoteReference"/>
          <w:rFonts w:ascii="Times New Roman" w:hAnsi="Times New Roman" w:cs="Times New Roman"/>
          <w:noProof/>
          <w:sz w:val="24"/>
          <w:szCs w:val="24"/>
        </w:rPr>
        <w:footnoteReference w:id="30"/>
      </w:r>
      <w:r>
        <w:rPr>
          <w:rFonts w:ascii="Times New Roman" w:hAnsi="Times New Roman"/>
          <w:noProof/>
          <w:sz w:val="24"/>
        </w:rPr>
        <w:t>, il n’existe pas de cadre juridique imposant la publication de données géologiques.</w:t>
      </w:r>
    </w:p>
    <w:p w14:paraId="32D70988" w14:textId="2DF82C73" w:rsidR="00741295" w:rsidRDefault="0035154E" w:rsidP="5CAF3F32">
      <w:pPr>
        <w:pBdr>
          <w:bottom w:val="single" w:sz="4" w:space="14" w:color="FFFFFF" w:themeColor="background1"/>
        </w:pBdr>
        <w:spacing w:line="276" w:lineRule="auto"/>
        <w:jc w:val="both"/>
        <w:rPr>
          <w:rFonts w:ascii="Times New Roman" w:hAnsi="Times New Roman" w:cs="Times New Roman"/>
          <w:noProof/>
          <w:sz w:val="24"/>
          <w:szCs w:val="24"/>
        </w:rPr>
      </w:pPr>
      <w:r>
        <w:rPr>
          <w:rFonts w:ascii="Times New Roman" w:hAnsi="Times New Roman"/>
          <w:noProof/>
          <w:sz w:val="24"/>
        </w:rPr>
        <w:t>La Commission invite donc les États membres concernés à remplir les obligations qui leur incombent en vertu de l’article 21, paragraphe 1, et à lui communiquer les informations pertinentes dans les meilleurs délais. La Commission lance un atlas des investissements européens dans les sites potentiels de stockage de CO</w:t>
      </w:r>
      <w:r>
        <w:rPr>
          <w:rFonts w:ascii="Times New Roman" w:hAnsi="Times New Roman"/>
          <w:noProof/>
          <w:sz w:val="24"/>
          <w:vertAlign w:val="subscript"/>
        </w:rPr>
        <w:t>2</w:t>
      </w:r>
      <w:r>
        <w:rPr>
          <w:rFonts w:ascii="Times New Roman" w:hAnsi="Times New Roman"/>
          <w:noProof/>
          <w:sz w:val="24"/>
        </w:rPr>
        <w:t xml:space="preserve"> en 2026. Cet atlas s’appuiera, entre autres, sur les données fournies par les États membres et les entités assujetties en vertu de l’article 21.</w:t>
      </w:r>
    </w:p>
    <w:p w14:paraId="39C3F76F" w14:textId="3C92F039" w:rsidR="00C94980" w:rsidRDefault="00741295" w:rsidP="00741295">
      <w:pPr>
        <w:rPr>
          <w:rFonts w:ascii="Times New Roman" w:hAnsi="Times New Roman" w:cs="Times New Roman"/>
          <w:noProof/>
          <w:sz w:val="24"/>
          <w:szCs w:val="24"/>
        </w:rPr>
      </w:pPr>
      <w:r>
        <w:rPr>
          <w:noProof/>
        </w:rPr>
        <w:br w:type="page"/>
      </w:r>
    </w:p>
    <w:p w14:paraId="1D42265B" w14:textId="62ED2CD7" w:rsidR="00FA6D08" w:rsidRPr="007F793F" w:rsidRDefault="00FA6D08" w:rsidP="00FA6D08">
      <w:pPr>
        <w:pStyle w:val="Heading2"/>
        <w:rPr>
          <w:noProof/>
        </w:rPr>
      </w:pPr>
      <w:bookmarkStart w:id="8" w:name="_Toc229054823"/>
      <w:r>
        <w:rPr>
          <w:noProof/>
        </w:rPr>
        <w:t>Vue d’ensemble des projets de stockage de CO</w:t>
      </w:r>
      <w:r>
        <w:rPr>
          <w:noProof/>
          <w:vertAlign w:val="subscript"/>
        </w:rPr>
        <w:t>2</w:t>
      </w:r>
      <w:r>
        <w:rPr>
          <w:noProof/>
        </w:rPr>
        <w:t xml:space="preserve"> prévus</w:t>
      </w:r>
      <w:bookmarkEnd w:id="8"/>
      <w:r>
        <w:rPr>
          <w:noProof/>
        </w:rPr>
        <w:t xml:space="preserve"> </w:t>
      </w:r>
    </w:p>
    <w:p w14:paraId="68C37C6B" w14:textId="77777777" w:rsidR="00FA6D08" w:rsidRPr="00CC73D2" w:rsidRDefault="00FA6D08" w:rsidP="00CC73D2">
      <w:pPr>
        <w:rPr>
          <w:noProof/>
        </w:rPr>
      </w:pPr>
    </w:p>
    <w:p w14:paraId="0A4F98D3" w14:textId="4048F070" w:rsidR="00183BB1" w:rsidRPr="005405ED" w:rsidRDefault="002D62B3" w:rsidP="00FE77A0">
      <w:pPr>
        <w:pStyle w:val="Heading3"/>
        <w:rPr>
          <w:noProof/>
        </w:rPr>
      </w:pPr>
      <w:bookmarkStart w:id="9" w:name="_Toc229054824"/>
      <w:r>
        <w:rPr>
          <w:noProof/>
        </w:rPr>
        <w:t>Contribution au titre des plans des 44 entités assujetties</w:t>
      </w:r>
      <w:bookmarkEnd w:id="9"/>
    </w:p>
    <w:p w14:paraId="250EF047" w14:textId="007D3910" w:rsidR="00664EC0" w:rsidRDefault="007840D8" w:rsidP="01060631">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Le règlement (UE) 2024/1735 impose aux 44 entités assujetties de contribuer à la capacité d’injection annuelle visée par l’Union de 50 millions de tonnes afin de veiller à ce que «</w:t>
      </w:r>
      <w:r>
        <w:rPr>
          <w:rFonts w:ascii="Times New Roman" w:hAnsi="Times New Roman"/>
          <w:i/>
          <w:noProof/>
          <w:sz w:val="24"/>
        </w:rPr>
        <w:t>les solutions climatiques de CSC soient disponibles en amont de la demande</w:t>
      </w:r>
      <w:r>
        <w:rPr>
          <w:rFonts w:ascii="Times New Roman" w:hAnsi="Times New Roman"/>
          <w:noProof/>
          <w:sz w:val="24"/>
        </w:rPr>
        <w:t>»</w:t>
      </w:r>
      <w:r>
        <w:rPr>
          <w:rStyle w:val="FootnoteReference"/>
          <w:rFonts w:ascii="Times New Roman" w:eastAsia="Times New Roman" w:hAnsi="Times New Roman" w:cs="Times New Roman"/>
          <w:noProof/>
          <w:sz w:val="24"/>
          <w:szCs w:val="24"/>
          <w:lang w:eastAsia="fr-BE"/>
        </w:rPr>
        <w:footnoteReference w:id="31"/>
      </w:r>
      <w:r>
        <w:rPr>
          <w:rFonts w:ascii="Times New Roman" w:hAnsi="Times New Roman"/>
          <w:noProof/>
          <w:sz w:val="24"/>
        </w:rPr>
        <w:t>. L’article 3, paragraphe 28, du règlement (UE) 2024/1735 définit la «capacité d’injection de CO</w:t>
      </w:r>
      <w:r>
        <w:rPr>
          <w:rFonts w:ascii="Times New Roman" w:hAnsi="Times New Roman"/>
          <w:noProof/>
          <w:sz w:val="24"/>
          <w:vertAlign w:val="subscript"/>
        </w:rPr>
        <w:t>2</w:t>
      </w:r>
      <w:r>
        <w:rPr>
          <w:rFonts w:ascii="Times New Roman" w:hAnsi="Times New Roman"/>
          <w:noProof/>
          <w:sz w:val="24"/>
        </w:rPr>
        <w:t>» comme la quantité annuelle de CO</w:t>
      </w:r>
      <w:r>
        <w:rPr>
          <w:rFonts w:ascii="Times New Roman" w:hAnsi="Times New Roman"/>
          <w:noProof/>
          <w:sz w:val="24"/>
          <w:vertAlign w:val="subscript"/>
        </w:rPr>
        <w:t>2</w:t>
      </w:r>
      <w:r>
        <w:rPr>
          <w:rFonts w:ascii="Times New Roman" w:hAnsi="Times New Roman"/>
          <w:noProof/>
          <w:sz w:val="24"/>
        </w:rPr>
        <w:t xml:space="preserve"> qui peut être injectée dans un site de stockage géologique opérationnel. L’article 23, paragraphe 1, prévoit que la contribution à la capacité d’injection consiste en une capacité d’injection de CO</w:t>
      </w:r>
      <w:r>
        <w:rPr>
          <w:rFonts w:ascii="Times New Roman" w:hAnsi="Times New Roman"/>
          <w:noProof/>
          <w:sz w:val="24"/>
          <w:vertAlign w:val="subscript"/>
        </w:rPr>
        <w:t>2</w:t>
      </w:r>
      <w:r>
        <w:rPr>
          <w:rFonts w:ascii="Times New Roman" w:hAnsi="Times New Roman"/>
          <w:noProof/>
          <w:sz w:val="24"/>
        </w:rPr>
        <w:t xml:space="preserve"> dans un site de stockage autorisé conformément à la directive 2009/31/CE, et disponible sur le marché d’ici à 2030. </w:t>
      </w:r>
    </w:p>
    <w:p w14:paraId="550C09E5" w14:textId="1490DD2E" w:rsidR="00E6519F" w:rsidRDefault="0077208E" w:rsidP="01060631">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Au plus tard à la fin de 2030, les entités assujetties doivent démontrer leur contribution à l’objectif de capacité d’injection de CO</w:t>
      </w:r>
      <w:r>
        <w:rPr>
          <w:rFonts w:ascii="Times New Roman" w:hAnsi="Times New Roman"/>
          <w:noProof/>
          <w:sz w:val="24"/>
          <w:vertAlign w:val="subscript"/>
        </w:rPr>
        <w:t>2</w:t>
      </w:r>
      <w:r>
        <w:rPr>
          <w:rFonts w:ascii="Times New Roman" w:hAnsi="Times New Roman"/>
          <w:noProof/>
          <w:sz w:val="24"/>
        </w:rPr>
        <w:t xml:space="preserve"> à l’échelle de l’Union en communiquant à la Commission et en publiant leur obtention, dans l’Union, d’un permis de stockage de CO</w:t>
      </w:r>
      <w:r>
        <w:rPr>
          <w:rFonts w:ascii="Times New Roman" w:hAnsi="Times New Roman"/>
          <w:noProof/>
          <w:sz w:val="24"/>
          <w:vertAlign w:val="subscript"/>
        </w:rPr>
        <w:t>2</w:t>
      </w:r>
      <w:r>
        <w:rPr>
          <w:rFonts w:ascii="Times New Roman" w:hAnsi="Times New Roman"/>
          <w:noProof/>
          <w:sz w:val="24"/>
        </w:rPr>
        <w:t xml:space="preserve"> conformément à la directive 2009/31/CE qui autorise l’injection des quantités pertinentes de CO</w:t>
      </w:r>
      <w:r>
        <w:rPr>
          <w:rFonts w:ascii="Times New Roman" w:hAnsi="Times New Roman"/>
          <w:noProof/>
          <w:sz w:val="24"/>
          <w:vertAlign w:val="subscript"/>
        </w:rPr>
        <w:t>2</w:t>
      </w:r>
      <w:r>
        <w:rPr>
          <w:rFonts w:ascii="Times New Roman" w:hAnsi="Times New Roman"/>
          <w:noProof/>
          <w:sz w:val="24"/>
        </w:rPr>
        <w:t xml:space="preserve"> capté pendant au moins cinq ans, comme le prévoit l’article 20, paragraphe 2, du règlement (UE) 2024/1735. Les entités doivent également démontrer que cette capacité d’injection de CO</w:t>
      </w:r>
      <w:r>
        <w:rPr>
          <w:rFonts w:ascii="Times New Roman" w:hAnsi="Times New Roman"/>
          <w:noProof/>
          <w:sz w:val="24"/>
          <w:vertAlign w:val="subscript"/>
        </w:rPr>
        <w:t>2</w:t>
      </w:r>
      <w:r>
        <w:rPr>
          <w:rFonts w:ascii="Times New Roman" w:hAnsi="Times New Roman"/>
          <w:noProof/>
          <w:sz w:val="24"/>
        </w:rPr>
        <w:t xml:space="preserve"> est disponible sur le marché, ce qu’elles peuvent faire en déclarant au moins un accord de service de stockage conclu avec un émetteur souhaitant utiliser cette capacité. Ces contributions peuvent être élaborées seules, en coopération ou dans le cadre d’accords avec des promoteurs de stockage non assujettis, conformément à l’article 23, paragraphe 5, du règlement (UE) 2024/1735.</w:t>
      </w:r>
    </w:p>
    <w:p w14:paraId="020076B7" w14:textId="5F02CDD6" w:rsidR="0091793D" w:rsidRDefault="00E6519F" w:rsidP="00530ECF">
      <w:pPr>
        <w:tabs>
          <w:tab w:val="left" w:pos="3322"/>
        </w:tabs>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L’article 23, paragraphe 4, du règlement (UE) 2024/1735 impose aux 44 entités assujetties de soumettre, au plus tard le 30 juin 2025, un plan détaillant la manière dont elles entendent s’acquitter de leur contribution à la capacité d’injection annuelle visée par l’Union. Ces plans devaient confirmer la contribution des entités assujetties et préciser les moyens et les étapes pour atteindre ces contributions. </w:t>
      </w:r>
    </w:p>
    <w:p w14:paraId="2F62DCB8" w14:textId="6843BA5B" w:rsidR="00F66A44" w:rsidRDefault="004A7B77" w:rsidP="46141556">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44 entités assujetties ont toutes présenté leurs plans et les considèrent comme confidentiels. Sur la base de ces plans présentés en 2025, à ce jour: </w:t>
      </w:r>
    </w:p>
    <w:p w14:paraId="1A780371" w14:textId="14E45588" w:rsidR="00E43C62" w:rsidRDefault="00F66A44" w:rsidP="00741295">
      <w:pPr>
        <w:spacing w:before="240" w:after="240" w:line="276" w:lineRule="auto"/>
        <w:ind w:left="720"/>
        <w:jc w:val="both"/>
        <w:rPr>
          <w:rFonts w:ascii="Times New Roman" w:eastAsia="Times New Roman" w:hAnsi="Times New Roman" w:cs="Times New Roman"/>
          <w:noProof/>
          <w:sz w:val="24"/>
          <w:szCs w:val="24"/>
        </w:rPr>
      </w:pPr>
      <w:r>
        <w:rPr>
          <w:rFonts w:ascii="Times New Roman" w:hAnsi="Times New Roman"/>
          <w:noProof/>
          <w:sz w:val="24"/>
        </w:rPr>
        <w:t>1) seules 16 des 44 entités assujetties ont confirmé leur contribution à l’objectif de l’UE en ce qui concerne le volume assigné de capacité d’injection annuelle de CO</w:t>
      </w:r>
      <w:r>
        <w:rPr>
          <w:rFonts w:ascii="Times New Roman" w:hAnsi="Times New Roman"/>
          <w:noProof/>
          <w:sz w:val="24"/>
          <w:vertAlign w:val="subscript"/>
        </w:rPr>
        <w:t>2</w:t>
      </w:r>
      <w:r>
        <w:rPr>
          <w:rFonts w:ascii="Times New Roman" w:hAnsi="Times New Roman"/>
          <w:noProof/>
          <w:sz w:val="24"/>
        </w:rPr>
        <w:t xml:space="preserve"> à rendre disponible sur le marché d’ici à 2030;</w:t>
      </w:r>
    </w:p>
    <w:p w14:paraId="11B80AC3" w14:textId="16B211C2" w:rsidR="00183BB1" w:rsidRDefault="00F66A44" w:rsidP="00741295">
      <w:pPr>
        <w:spacing w:before="240" w:after="240" w:line="276" w:lineRule="auto"/>
        <w:ind w:left="720"/>
        <w:jc w:val="both"/>
        <w:rPr>
          <w:rFonts w:ascii="Times New Roman" w:eastAsia="Times New Roman" w:hAnsi="Times New Roman" w:cs="Times New Roman"/>
          <w:noProof/>
          <w:sz w:val="24"/>
          <w:szCs w:val="24"/>
        </w:rPr>
      </w:pPr>
      <w:r>
        <w:rPr>
          <w:rFonts w:ascii="Times New Roman" w:hAnsi="Times New Roman"/>
          <w:noProof/>
          <w:sz w:val="24"/>
        </w:rPr>
        <w:t>2) aucune des 44 entités assujetties n’a confirmé sa contribution à l’objectif de l’UE en ce qui concerne la capacité totale de stockage de CO</w:t>
      </w:r>
      <w:r>
        <w:rPr>
          <w:rFonts w:ascii="Times New Roman" w:hAnsi="Times New Roman"/>
          <w:noProof/>
          <w:sz w:val="24"/>
          <w:vertAlign w:val="subscript"/>
        </w:rPr>
        <w:t>2</w:t>
      </w:r>
      <w:r>
        <w:rPr>
          <w:rStyle w:val="FootnoteReference"/>
          <w:rFonts w:ascii="Times New Roman" w:eastAsia="Times New Roman" w:hAnsi="Times New Roman" w:cs="Times New Roman"/>
          <w:noProof/>
          <w:sz w:val="24"/>
          <w:szCs w:val="24"/>
          <w:lang w:val="en-GB" w:eastAsia="fr-BE"/>
        </w:rPr>
        <w:footnoteReference w:id="32"/>
      </w:r>
      <w:r>
        <w:rPr>
          <w:rFonts w:ascii="Times New Roman" w:hAnsi="Times New Roman"/>
          <w:noProof/>
          <w:sz w:val="24"/>
        </w:rPr>
        <w:t xml:space="preserve"> à rendre disponible sur le marché d’ici à 2030;</w:t>
      </w:r>
    </w:p>
    <w:p w14:paraId="48B3698A" w14:textId="486000AA" w:rsidR="00F66A44" w:rsidRDefault="00F66A44" w:rsidP="00741295">
      <w:pPr>
        <w:spacing w:before="240" w:after="240" w:line="276" w:lineRule="auto"/>
        <w:ind w:left="720"/>
        <w:jc w:val="both"/>
        <w:rPr>
          <w:rFonts w:ascii="Times New Roman" w:eastAsia="Times New Roman" w:hAnsi="Times New Roman" w:cs="Times New Roman"/>
          <w:noProof/>
          <w:sz w:val="24"/>
          <w:szCs w:val="24"/>
        </w:rPr>
      </w:pPr>
      <w:r>
        <w:rPr>
          <w:rFonts w:ascii="Times New Roman" w:hAnsi="Times New Roman"/>
          <w:noProof/>
          <w:sz w:val="24"/>
        </w:rPr>
        <w:t xml:space="preserve">3) seules 25 des 44 entités assujetties ont précisé dans leurs plans les moyens et les étapes permettant d’atteindre le volume visé. </w:t>
      </w:r>
    </w:p>
    <w:p w14:paraId="49C18342" w14:textId="34ABF815" w:rsidR="00F66A44" w:rsidRDefault="00537724" w:rsidP="00A2116B">
      <w:pPr>
        <w:spacing w:before="240" w:after="240" w:line="276" w:lineRule="auto"/>
        <w:jc w:val="both"/>
        <w:rPr>
          <w:rFonts w:ascii="Times New Roman" w:hAnsi="Times New Roman" w:cs="Times New Roman"/>
          <w:b/>
          <w:bCs/>
          <w:noProof/>
          <w:sz w:val="24"/>
          <w:szCs w:val="24"/>
        </w:rPr>
      </w:pPr>
      <w:r>
        <w:rPr>
          <w:rFonts w:ascii="Times New Roman" w:hAnsi="Times New Roman"/>
          <w:noProof/>
          <w:sz w:val="24"/>
        </w:rPr>
        <w:t>Les moyens et les étapes des plans diffèrent au niveau de leur contenu et de leurs détails, mais peuvent être classés comme suit:</w:t>
      </w:r>
    </w:p>
    <w:p w14:paraId="0A4F98DA" w14:textId="0100E3B6" w:rsidR="00183BB1" w:rsidRPr="00EC3B40" w:rsidRDefault="00115211" w:rsidP="00A2116B">
      <w:pPr>
        <w:spacing w:before="240" w:after="240" w:line="276" w:lineRule="auto"/>
        <w:jc w:val="both"/>
        <w:rPr>
          <w:rFonts w:ascii="Times New Roman" w:eastAsia="Times New Roman" w:hAnsi="Times New Roman" w:cs="Times New Roman"/>
          <w:i/>
          <w:iCs/>
          <w:noProof/>
          <w:sz w:val="24"/>
          <w:szCs w:val="24"/>
        </w:rPr>
      </w:pPr>
      <w:r>
        <w:rPr>
          <w:rFonts w:ascii="Times New Roman" w:hAnsi="Times New Roman"/>
          <w:i/>
          <w:noProof/>
          <w:sz w:val="24"/>
        </w:rPr>
        <w:t>Graphique 2 – Type d’informations figurant dans les moyens et les étapes</w:t>
      </w:r>
    </w:p>
    <w:p w14:paraId="183F70B2" w14:textId="7FC10AE9" w:rsidR="00E45753" w:rsidRDefault="00E45753" w:rsidP="00A2116B">
      <w:pPr>
        <w:spacing w:before="240" w:after="240" w:line="276" w:lineRule="auto"/>
        <w:jc w:val="both"/>
        <w:rPr>
          <w:rFonts w:ascii="Times New Roman" w:eastAsia="Times New Roman" w:hAnsi="Times New Roman" w:cs="Times New Roman"/>
          <w:noProof/>
          <w:sz w:val="24"/>
          <w:szCs w:val="24"/>
        </w:rPr>
      </w:pPr>
      <w:r w:rsidRPr="00E45753">
        <w:rPr>
          <w:noProof/>
          <w:lang w:val="en-GB" w:eastAsia="en-GB"/>
        </w:rPr>
        <w:drawing>
          <wp:inline distT="0" distB="0" distL="0" distR="0" wp14:anchorId="79C3D396" wp14:editId="4546A01C">
            <wp:extent cx="5943600" cy="3155950"/>
            <wp:effectExtent l="0" t="0" r="0" b="6350"/>
            <wp:docPr id="177079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155950"/>
                    </a:xfrm>
                    <a:prstGeom prst="rect">
                      <a:avLst/>
                    </a:prstGeom>
                    <a:noFill/>
                    <a:ln>
                      <a:noFill/>
                    </a:ln>
                  </pic:spPr>
                </pic:pic>
              </a:graphicData>
            </a:graphic>
          </wp:inline>
        </w:drawing>
      </w:r>
    </w:p>
    <w:p w14:paraId="0A4F98DE" w14:textId="533125CC" w:rsidR="00183BB1" w:rsidRPr="007D3B72" w:rsidRDefault="1819731A" w:rsidP="00A2116B">
      <w:pPr>
        <w:spacing w:before="240" w:after="240" w:line="276" w:lineRule="auto"/>
        <w:jc w:val="both"/>
        <w:rPr>
          <w:rFonts w:ascii="Times New Roman" w:hAnsi="Times New Roman" w:cs="Times New Roman"/>
          <w:noProof/>
          <w:sz w:val="24"/>
          <w:szCs w:val="24"/>
        </w:rPr>
      </w:pPr>
      <w:r>
        <w:rPr>
          <w:rFonts w:ascii="Times New Roman" w:hAnsi="Times New Roman"/>
          <w:noProof/>
          <w:sz w:val="24"/>
        </w:rPr>
        <w:t xml:space="preserve">Parmi les sites de stockage mentionnés dans les plans des 44 entités assujetties, 14 apparaissent dans plusieurs plans, la majorité d’entre eux étant situés aux Pays-Bas (cinq sites) et au Danemark (quatre sites). Cinq entités assujetties font référence à des sites de stockage situés en dehors de l’UE qui ne peuvent pas être utilisés pour démontrer la conformité avec le règlement (UE) 2024/1735. </w:t>
      </w:r>
    </w:p>
    <w:p w14:paraId="5ED56D50" w14:textId="28A03FC3" w:rsidR="00D375A6" w:rsidRPr="004B57F0" w:rsidRDefault="00271B99" w:rsidP="4EC802CB">
      <w:pPr>
        <w:spacing w:before="240" w:after="240" w:line="276" w:lineRule="auto"/>
        <w:jc w:val="both"/>
        <w:rPr>
          <w:rFonts w:ascii="Times New Roman" w:hAnsi="Times New Roman" w:cs="Times New Roman"/>
          <w:noProof/>
          <w:sz w:val="24"/>
          <w:szCs w:val="24"/>
        </w:rPr>
      </w:pPr>
      <w:r>
        <w:rPr>
          <w:rFonts w:ascii="Times New Roman" w:hAnsi="Times New Roman"/>
          <w:noProof/>
          <w:sz w:val="24"/>
        </w:rPr>
        <w:t>Les plans de 19 des 44 entités assujetties indiquent que celles-ci ont l’intention de s’acquitter de leur contribution individuelle à la capacité d’injection annuelle de l’UE en concluant des accords avec d’autres entités, parmi lesquelles huit ont également précisé l’entité concernée.</w:t>
      </w:r>
    </w:p>
    <w:p w14:paraId="3BD9C7C9" w14:textId="2DAF9846" w:rsidR="00E26423" w:rsidRPr="00E45753" w:rsidRDefault="00E26423">
      <w:pPr>
        <w:rPr>
          <w:rFonts w:ascii="Times New Roman" w:eastAsia="Times New Roman" w:hAnsi="Times New Roman" w:cs="Times New Roman"/>
          <w:iCs/>
          <w:noProof/>
          <w:sz w:val="24"/>
          <w:szCs w:val="24"/>
          <w:lang w:val="fr-BE" w:eastAsia="fr-BE"/>
        </w:rPr>
      </w:pPr>
    </w:p>
    <w:p w14:paraId="42B8D2BD" w14:textId="4D2919F0" w:rsidR="00F6691A" w:rsidRPr="001674CB" w:rsidRDefault="00812F5B" w:rsidP="00507B86">
      <w:pPr>
        <w:rPr>
          <w:rFonts w:ascii="Times New Roman" w:eastAsia="Times New Roman" w:hAnsi="Times New Roman" w:cs="Times New Roman"/>
          <w:i/>
          <w:iCs/>
          <w:noProof/>
          <w:sz w:val="24"/>
          <w:szCs w:val="24"/>
        </w:rPr>
      </w:pPr>
      <w:r>
        <w:rPr>
          <w:noProof/>
        </w:rPr>
        <w:br w:type="page"/>
      </w:r>
      <w:r>
        <w:rPr>
          <w:rFonts w:ascii="Times New Roman" w:hAnsi="Times New Roman"/>
          <w:i/>
          <w:noProof/>
          <w:sz w:val="24"/>
        </w:rPr>
        <w:t>Tableau 3 – Capacité d’injection maximale estimée disponible d’ici à 2030, telle qu’indiquée dans les plans des entités assujetties</w:t>
      </w:r>
    </w:p>
    <w:tbl>
      <w:tblPr>
        <w:tblStyle w:val="TableGrid"/>
        <w:tblW w:w="5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830"/>
      </w:tblGrid>
      <w:tr w:rsidR="00304381" w:rsidRPr="00304381" w14:paraId="05BEEEAB" w14:textId="77777777" w:rsidTr="00971E98">
        <w:trPr>
          <w:trHeight w:val="841"/>
          <w:jc w:val="center"/>
        </w:trPr>
        <w:tc>
          <w:tcPr>
            <w:tcW w:w="2410" w:type="dxa"/>
            <w:vAlign w:val="center"/>
          </w:tcPr>
          <w:p w14:paraId="1998C01D" w14:textId="01B3D729" w:rsidR="00304381" w:rsidRPr="00EA7262" w:rsidRDefault="00B01C57">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 xml:space="preserve">Emplacement du site de stockage </w:t>
            </w:r>
          </w:p>
        </w:tc>
        <w:tc>
          <w:tcPr>
            <w:tcW w:w="2830" w:type="dxa"/>
            <w:vAlign w:val="center"/>
          </w:tcPr>
          <w:p w14:paraId="1A27D910" w14:textId="27ECC114" w:rsidR="00304381" w:rsidRPr="00731E95" w:rsidRDefault="00C26BEA">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Capacité d’injection maximale (en millions de tonnes de CO</w:t>
            </w:r>
            <w:r>
              <w:rPr>
                <w:rFonts w:ascii="Times New Roman" w:hAnsi="Times New Roman"/>
                <w:b/>
                <w:noProof/>
                <w:sz w:val="24"/>
                <w:vertAlign w:val="subscript"/>
              </w:rPr>
              <w:t>2</w:t>
            </w:r>
            <w:r>
              <w:rPr>
                <w:rFonts w:ascii="Times New Roman" w:hAnsi="Times New Roman"/>
                <w:b/>
                <w:noProof/>
                <w:sz w:val="24"/>
              </w:rPr>
              <w:t xml:space="preserve"> par an)</w:t>
            </w:r>
          </w:p>
        </w:tc>
      </w:tr>
      <w:tr w:rsidR="00A01174" w14:paraId="5EA8479E" w14:textId="77777777" w:rsidTr="00971E98">
        <w:trPr>
          <w:trHeight w:val="777"/>
          <w:jc w:val="center"/>
        </w:trPr>
        <w:tc>
          <w:tcPr>
            <w:tcW w:w="2410" w:type="dxa"/>
          </w:tcPr>
          <w:p w14:paraId="2B0612D8" w14:textId="55E4F508" w:rsidR="00A01174" w:rsidRDefault="00A01174" w:rsidP="00A0117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Danemark</w:t>
            </w:r>
          </w:p>
        </w:tc>
        <w:tc>
          <w:tcPr>
            <w:tcW w:w="2830" w:type="dxa"/>
          </w:tcPr>
          <w:p w14:paraId="230DACBB" w14:textId="4B991A55" w:rsidR="00A01174" w:rsidRDefault="00A01174" w:rsidP="00A0117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11</w:t>
            </w:r>
          </w:p>
        </w:tc>
      </w:tr>
      <w:tr w:rsidR="003D0AC6" w14:paraId="18379165" w14:textId="77777777" w:rsidTr="00971E98">
        <w:trPr>
          <w:trHeight w:val="777"/>
          <w:jc w:val="center"/>
        </w:trPr>
        <w:tc>
          <w:tcPr>
            <w:tcW w:w="2410" w:type="dxa"/>
          </w:tcPr>
          <w:p w14:paraId="2ADDC781" w14:textId="7932B473" w:rsidR="003D0AC6" w:rsidRDefault="003D0AC6" w:rsidP="003D0AC6">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Grèce</w:t>
            </w:r>
          </w:p>
        </w:tc>
        <w:tc>
          <w:tcPr>
            <w:tcW w:w="2830" w:type="dxa"/>
          </w:tcPr>
          <w:p w14:paraId="193B6FAA" w14:textId="6AABAF86" w:rsidR="003D0AC6" w:rsidRDefault="00C26BEA" w:rsidP="003D0AC6">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3</w:t>
            </w:r>
          </w:p>
        </w:tc>
      </w:tr>
      <w:tr w:rsidR="009D71A8" w14:paraId="5A557E2F" w14:textId="77777777" w:rsidTr="00971E98">
        <w:trPr>
          <w:trHeight w:val="777"/>
          <w:jc w:val="center"/>
        </w:trPr>
        <w:tc>
          <w:tcPr>
            <w:tcW w:w="2410" w:type="dxa"/>
          </w:tcPr>
          <w:p w14:paraId="36966B4F" w14:textId="2BC5EA4C" w:rsidR="009D71A8" w:rsidRDefault="00AA786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Hongrie</w:t>
            </w:r>
          </w:p>
        </w:tc>
        <w:tc>
          <w:tcPr>
            <w:tcW w:w="2830" w:type="dxa"/>
          </w:tcPr>
          <w:p w14:paraId="439F88F2" w14:textId="5F665CBB" w:rsidR="009D71A8" w:rsidRDefault="00AA786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1</w:t>
            </w:r>
          </w:p>
        </w:tc>
      </w:tr>
      <w:tr w:rsidR="00CD63A5" w14:paraId="56215801" w14:textId="77777777" w:rsidTr="00971E98">
        <w:trPr>
          <w:trHeight w:val="777"/>
          <w:jc w:val="center"/>
        </w:trPr>
        <w:tc>
          <w:tcPr>
            <w:tcW w:w="2410" w:type="dxa"/>
          </w:tcPr>
          <w:p w14:paraId="6B5934B4" w14:textId="37FED1C1" w:rsidR="00CD63A5" w:rsidRDefault="00CD63A5">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Italie</w:t>
            </w:r>
          </w:p>
        </w:tc>
        <w:tc>
          <w:tcPr>
            <w:tcW w:w="2830" w:type="dxa"/>
          </w:tcPr>
          <w:p w14:paraId="5847D0C7" w14:textId="2BD61D81" w:rsidR="00CD63A5" w:rsidRPr="00BB5292" w:rsidRDefault="003529D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4</w:t>
            </w:r>
          </w:p>
        </w:tc>
      </w:tr>
      <w:tr w:rsidR="00304381" w14:paraId="1068360C" w14:textId="77777777" w:rsidTr="00971E98">
        <w:trPr>
          <w:trHeight w:val="777"/>
          <w:jc w:val="center"/>
        </w:trPr>
        <w:tc>
          <w:tcPr>
            <w:tcW w:w="2410" w:type="dxa"/>
          </w:tcPr>
          <w:p w14:paraId="3140586E" w14:textId="77777777" w:rsidR="00304381" w:rsidRDefault="00304381">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Pays-Bas</w:t>
            </w:r>
          </w:p>
        </w:tc>
        <w:tc>
          <w:tcPr>
            <w:tcW w:w="2830" w:type="dxa"/>
          </w:tcPr>
          <w:p w14:paraId="2278D3F6" w14:textId="5036A8F1" w:rsidR="00304381" w:rsidRPr="00BB5292" w:rsidRDefault="003529D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10</w:t>
            </w:r>
          </w:p>
        </w:tc>
      </w:tr>
      <w:tr w:rsidR="00304381" w14:paraId="1DA1467C" w14:textId="77777777" w:rsidTr="00971E98">
        <w:trPr>
          <w:trHeight w:val="777"/>
          <w:jc w:val="center"/>
        </w:trPr>
        <w:tc>
          <w:tcPr>
            <w:tcW w:w="2410" w:type="dxa"/>
          </w:tcPr>
          <w:p w14:paraId="52AA2907" w14:textId="5736C831" w:rsidR="00304381" w:rsidRPr="00E3656E" w:rsidRDefault="00CD63A5">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TOTAL</w:t>
            </w:r>
          </w:p>
        </w:tc>
        <w:tc>
          <w:tcPr>
            <w:tcW w:w="2830" w:type="dxa"/>
          </w:tcPr>
          <w:p w14:paraId="64F4C7C9" w14:textId="05327C07" w:rsidR="00304381" w:rsidRPr="00B01C57" w:rsidRDefault="001E1346">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29</w:t>
            </w:r>
          </w:p>
        </w:tc>
      </w:tr>
    </w:tbl>
    <w:p w14:paraId="54C2291B" w14:textId="77777777" w:rsidR="00280861" w:rsidRDefault="00280861" w:rsidP="00540622">
      <w:pPr>
        <w:spacing w:line="276" w:lineRule="auto"/>
        <w:jc w:val="both"/>
        <w:rPr>
          <w:rFonts w:ascii="Times New Roman" w:eastAsia="Times New Roman" w:hAnsi="Times New Roman" w:cs="Times New Roman"/>
          <w:noProof/>
          <w:sz w:val="24"/>
          <w:szCs w:val="24"/>
          <w:lang w:eastAsia="fr-BE"/>
        </w:rPr>
      </w:pPr>
    </w:p>
    <w:p w14:paraId="65012422" w14:textId="4FF4D1E6" w:rsidR="00C56AC4" w:rsidRDefault="09F98D57" w:rsidP="00540622">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26 entités assujetties ont fait référence à des sites de stockage de l’UE potentiels ou existants qu’elles utiliseraient pour s’acquitter de leur contribution à la capacité d’injection. L’ensemble de ces projets de stockage représenterait une capacité d’injection maximale de 29 millions de tonnes de CO</w:t>
      </w:r>
      <w:r>
        <w:rPr>
          <w:rFonts w:ascii="Times New Roman" w:hAnsi="Times New Roman"/>
          <w:noProof/>
          <w:sz w:val="24"/>
          <w:vertAlign w:val="subscript"/>
        </w:rPr>
        <w:t>2</w:t>
      </w:r>
      <w:r>
        <w:rPr>
          <w:rFonts w:ascii="Times New Roman" w:hAnsi="Times New Roman"/>
          <w:noProof/>
          <w:sz w:val="24"/>
        </w:rPr>
        <w:t xml:space="preserve"> par an d’ici à 2030. </w:t>
      </w:r>
    </w:p>
    <w:p w14:paraId="512526F9" w14:textId="4A313719" w:rsidR="00C56AC4" w:rsidRDefault="3A6AB444" w:rsidP="36B32137">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Au regard de l’ensemble des projets de stockage, 58 % de la capacité d’injection annuelle de l’UE pourrait être mise à la disposition des émetteurs industriels. Les projets de stockage qui sont situés dans l’UE, qui contribuent à la capacité d’injection annuelle visée par l’Union et pour lesquels une demande de permis de stockage a été introduite constituent, avec les projets de captage et de stockage qui y sont associés, des projets stratégiques «zéro net» et devraient bénéficier du soutien des États membres conformément aux articles 13, 15 et 16 du règlement (UE) 2024/1735.</w:t>
      </w:r>
    </w:p>
    <w:p w14:paraId="0A4F98E5" w14:textId="1378B617" w:rsidR="00183BB1" w:rsidRDefault="6AD744D4" w:rsidP="01060631">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leurs plans, sept entités assujetties recensent les zones dans lesquelles de nouveaux sites de stockage pourraient être mis en place. Toutefois, les chiffres relatifs à la capacité d’injection n’ont pas été fournis pour tous ces nouveaux sites. Par conséquent, sur la base des plans fournis à ce jour, il est encore trop tôt pour déterminer s’il y aura suffisamment de sites de stockage pour atteindre la capacité d’injection annuelle visée par l’Union en 2030. </w:t>
      </w:r>
    </w:p>
    <w:p w14:paraId="091CE4DF" w14:textId="0FF28AF4" w:rsidR="00E67F7D" w:rsidRDefault="00EE5664" w:rsidP="00EE5664">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L’article 23, paragraphe 6, du règlement (UE) 2024/1735 exige qu’au plus tard le 30 juin 2026 et chaque année par la suite, les 44 entités assujetties présentent à la Commission un rapport d’avancement annuel détaillant les progrès qu’elles ont accomplis dans la réalisation de leur contribution. La Commission rend ces rapports publics. </w:t>
      </w:r>
    </w:p>
    <w:p w14:paraId="0B27967C" w14:textId="3DF8B3F7" w:rsidR="00EE5664" w:rsidRPr="00976A60" w:rsidRDefault="00EE5664" w:rsidP="00EE5664">
      <w:pPr>
        <w:spacing w:before="240" w:after="240" w:line="276" w:lineRule="auto"/>
        <w:jc w:val="both"/>
        <w:rPr>
          <w:rFonts w:ascii="Times New Roman" w:hAnsi="Times New Roman" w:cs="Times New Roman"/>
          <w:noProof/>
          <w:sz w:val="24"/>
          <w:szCs w:val="24"/>
        </w:rPr>
      </w:pPr>
      <w:r>
        <w:rPr>
          <w:rFonts w:ascii="Times New Roman" w:hAnsi="Times New Roman"/>
          <w:noProof/>
          <w:sz w:val="24"/>
        </w:rPr>
        <w:t>L’article 5 du règlement délégué (UE) 2025/1477 de la Commission précise en outre que les rapports doivent contenir au moins un ensemble minimal standard d’informations sur les projets de stockage de CO</w:t>
      </w:r>
      <w:r>
        <w:rPr>
          <w:rStyle w:val="oj-sub"/>
          <w:rFonts w:ascii="Times New Roman" w:hAnsi="Times New Roman"/>
          <w:noProof/>
          <w:sz w:val="24"/>
          <w:vertAlign w:val="subscript"/>
        </w:rPr>
        <w:t>2</w:t>
      </w:r>
      <w:r>
        <w:rPr>
          <w:rFonts w:ascii="Times New Roman" w:hAnsi="Times New Roman"/>
          <w:noProof/>
          <w:sz w:val="24"/>
        </w:rPr>
        <w:t xml:space="preserve"> en cours d’élaboration par les entités assujetties, de la manière la plus détaillée possible au stade du développement. Il s’agit notamment de l’emplacement des sites de stockage de CO</w:t>
      </w:r>
      <w:r>
        <w:rPr>
          <w:rStyle w:val="oj-sub"/>
          <w:rFonts w:ascii="Times New Roman" w:hAnsi="Times New Roman"/>
          <w:noProof/>
          <w:sz w:val="24"/>
          <w:vertAlign w:val="subscript"/>
        </w:rPr>
        <w:t>2</w:t>
      </w:r>
      <w:r>
        <w:rPr>
          <w:rFonts w:ascii="Times New Roman" w:hAnsi="Times New Roman"/>
          <w:noProof/>
          <w:sz w:val="24"/>
        </w:rPr>
        <w:t xml:space="preserve"> concernés, de la capacité de stockage totale prévue, de la capacité d’injection annuelle attendue et des modes de transport de CO</w:t>
      </w:r>
      <w:r>
        <w:rPr>
          <w:rStyle w:val="oj-sub"/>
          <w:rFonts w:ascii="Times New Roman" w:hAnsi="Times New Roman"/>
          <w:noProof/>
          <w:sz w:val="24"/>
          <w:vertAlign w:val="subscript"/>
        </w:rPr>
        <w:t>2</w:t>
      </w:r>
      <w:r>
        <w:rPr>
          <w:rFonts w:ascii="Times New Roman" w:hAnsi="Times New Roman"/>
          <w:noProof/>
          <w:sz w:val="24"/>
        </w:rPr>
        <w:t xml:space="preserve"> prévus ainsi que des infrastructures de transport connexes qui seront nécessaires à l’exploitation du site. Les rapports doivent également fournir des coordonnées pour les clients potentiels du stockage et inclure une feuille de route détaillée des principales étapes de préparation technique et commerciale et des points de décision, ainsi que les risques, les incertitudes et les stratégies d’atténuation, que les clients commerciaux potentiels devraient connaître pour progresser dans leurs propres décisions d’investissement.</w:t>
      </w:r>
    </w:p>
    <w:p w14:paraId="3A5B7081" w14:textId="77777777" w:rsidR="00EE5664" w:rsidRPr="00DB38C2" w:rsidRDefault="00EE5664" w:rsidP="01060631">
      <w:pPr>
        <w:spacing w:line="276" w:lineRule="auto"/>
        <w:jc w:val="both"/>
        <w:rPr>
          <w:rFonts w:ascii="Times New Roman" w:eastAsia="Times New Roman" w:hAnsi="Times New Roman" w:cs="Times New Roman"/>
          <w:noProof/>
          <w:sz w:val="24"/>
          <w:szCs w:val="24"/>
          <w:lang w:eastAsia="fr-BE"/>
        </w:rPr>
      </w:pPr>
    </w:p>
    <w:p w14:paraId="0A4F98E6" w14:textId="0E843F63" w:rsidR="00183BB1" w:rsidRDefault="00183BB1" w:rsidP="00FE77A0">
      <w:pPr>
        <w:pStyle w:val="Heading3"/>
        <w:rPr>
          <w:rFonts w:eastAsia="Times New Roman"/>
          <w:noProof/>
        </w:rPr>
      </w:pPr>
      <w:bookmarkStart w:id="10" w:name="_Toc229054825"/>
      <w:r>
        <w:rPr>
          <w:noProof/>
        </w:rPr>
        <w:t>Vue d’ensemble des permis existants et des projets de permis de stockage</w:t>
      </w:r>
      <w:bookmarkEnd w:id="10"/>
      <w:r>
        <w:rPr>
          <w:noProof/>
        </w:rPr>
        <w:t xml:space="preserve"> </w:t>
      </w:r>
    </w:p>
    <w:p w14:paraId="625AC82D" w14:textId="2E9E2908" w:rsidR="00224F96" w:rsidRDefault="43A3F8BD" w:rsidP="00A2116B">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Conformément à l’article 6, paragraphe 1, de la directive 2009/31/CE, les États membres doivent veiller à ce qu’aucun site de stockage ne soit exploité sans permis de stockage. Conformément à l’article 10, paragraphe 1, de la directive 2009/31/CE, les États membres doivent également mettre à la disposition de la Commission les demandes de permis dans un délai d’un mois après leur réception et transmettre à la Commission tous les projets de permis de stockage. Ces dispositions permettent à la Commission d’estimer la capacité d’injection attendue des sites de stockage pour lesquels une demande de permis de stockage a été introduite. Cette vue d’ensemble se fonde sur les permis de stockage délivrés et les demandes de permis communiquées à la Commission avant la fin du mois de février 2026.</w:t>
      </w:r>
    </w:p>
    <w:p w14:paraId="145CA114" w14:textId="49E39E91" w:rsidR="002232DA" w:rsidRDefault="34A7D5C6" w:rsidP="21947570">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En mars 2026, trois sites de stockage de CO</w:t>
      </w:r>
      <w:r>
        <w:rPr>
          <w:rFonts w:ascii="Times New Roman" w:hAnsi="Times New Roman"/>
          <w:noProof/>
          <w:sz w:val="24"/>
          <w:vertAlign w:val="subscript"/>
        </w:rPr>
        <w:t>2</w:t>
      </w:r>
      <w:r>
        <w:rPr>
          <w:rFonts w:ascii="Times New Roman" w:hAnsi="Times New Roman"/>
          <w:noProof/>
          <w:sz w:val="24"/>
        </w:rPr>
        <w:t xml:space="preserve"> étaient autorisés dans l’UE: le site de Porthos aux Pays-Bas, le site de Greensand au Danemark et le site de Prinos en Grèce. Ces installations ont une capacité d’injection combinée estimée à 3,54 millions de tonnes de CO</w:t>
      </w:r>
      <w:r>
        <w:rPr>
          <w:rFonts w:ascii="Times New Roman" w:hAnsi="Times New Roman"/>
          <w:noProof/>
          <w:sz w:val="24"/>
          <w:vertAlign w:val="subscript"/>
        </w:rPr>
        <w:t>2</w:t>
      </w:r>
      <w:r>
        <w:rPr>
          <w:rFonts w:ascii="Times New Roman" w:hAnsi="Times New Roman"/>
          <w:noProof/>
          <w:sz w:val="24"/>
        </w:rPr>
        <w:t xml:space="preserve"> par an, comme le résume le tableau 4 ci-dessous.</w:t>
      </w:r>
    </w:p>
    <w:p w14:paraId="234A512C" w14:textId="77777777" w:rsidR="00F16289" w:rsidRDefault="00F16289">
      <w:pPr>
        <w:rPr>
          <w:rFonts w:ascii="Times New Roman" w:eastAsia="Times New Roman" w:hAnsi="Times New Roman" w:cs="Times New Roman"/>
          <w:i/>
          <w:iCs/>
          <w:noProof/>
          <w:sz w:val="24"/>
          <w:szCs w:val="24"/>
        </w:rPr>
      </w:pPr>
      <w:r>
        <w:rPr>
          <w:noProof/>
        </w:rPr>
        <w:br w:type="page"/>
      </w:r>
    </w:p>
    <w:p w14:paraId="0A4F98E9" w14:textId="5F8E4597" w:rsidR="00183BB1" w:rsidRPr="00BD3E6E" w:rsidRDefault="0054530F" w:rsidP="21947570">
      <w:pPr>
        <w:spacing w:before="240" w:after="240" w:line="276" w:lineRule="auto"/>
        <w:jc w:val="both"/>
        <w:rPr>
          <w:rFonts w:ascii="Times New Roman" w:eastAsia="Times New Roman" w:hAnsi="Times New Roman" w:cs="Times New Roman"/>
          <w:i/>
          <w:iCs/>
          <w:noProof/>
          <w:sz w:val="24"/>
          <w:szCs w:val="24"/>
        </w:rPr>
      </w:pPr>
      <w:r>
        <w:rPr>
          <w:rFonts w:ascii="Times New Roman" w:hAnsi="Times New Roman"/>
          <w:i/>
          <w:noProof/>
          <w:sz w:val="24"/>
        </w:rPr>
        <w:t>Tableau 4 – Sites de stockage de CO</w:t>
      </w:r>
      <w:r>
        <w:rPr>
          <w:rFonts w:ascii="Times New Roman" w:hAnsi="Times New Roman"/>
          <w:i/>
          <w:noProof/>
          <w:sz w:val="24"/>
          <w:vertAlign w:val="subscript"/>
        </w:rPr>
        <w:t>2</w:t>
      </w:r>
      <w:r>
        <w:rPr>
          <w:rFonts w:ascii="Times New Roman" w:hAnsi="Times New Roman"/>
          <w:i/>
          <w:noProof/>
          <w:sz w:val="24"/>
        </w:rPr>
        <w:t xml:space="preserve"> autorisés dans l’UE, situation en mars 2026</w:t>
      </w:r>
    </w:p>
    <w:tbl>
      <w:tblPr>
        <w:tblStyle w:val="TableGrid"/>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3"/>
        <w:gridCol w:w="2373"/>
        <w:gridCol w:w="2373"/>
        <w:gridCol w:w="2374"/>
      </w:tblGrid>
      <w:tr w:rsidR="00183BB1" w14:paraId="0A4F98EE" w14:textId="77777777" w:rsidTr="004D7C40">
        <w:trPr>
          <w:trHeight w:val="1443"/>
        </w:trPr>
        <w:tc>
          <w:tcPr>
            <w:tcW w:w="2373" w:type="dxa"/>
            <w:vAlign w:val="center"/>
          </w:tcPr>
          <w:p w14:paraId="0A4F98EA" w14:textId="77777777" w:rsidR="00183BB1" w:rsidRPr="00EA7262" w:rsidRDefault="00183BB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Site de stockage</w:t>
            </w:r>
          </w:p>
        </w:tc>
        <w:tc>
          <w:tcPr>
            <w:tcW w:w="2373" w:type="dxa"/>
            <w:vAlign w:val="center"/>
          </w:tcPr>
          <w:p w14:paraId="0A4F98EB" w14:textId="77777777" w:rsidR="00183BB1" w:rsidRPr="00EA7262" w:rsidRDefault="00183BB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État membre</w:t>
            </w:r>
          </w:p>
        </w:tc>
        <w:tc>
          <w:tcPr>
            <w:tcW w:w="2373" w:type="dxa"/>
            <w:vAlign w:val="center"/>
          </w:tcPr>
          <w:p w14:paraId="0A4F98EC" w14:textId="77777777" w:rsidR="00183BB1" w:rsidRDefault="00183BB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Date d’entrée en service prévue</w:t>
            </w:r>
          </w:p>
        </w:tc>
        <w:tc>
          <w:tcPr>
            <w:tcW w:w="2374" w:type="dxa"/>
            <w:vAlign w:val="center"/>
          </w:tcPr>
          <w:p w14:paraId="0A4F98ED" w14:textId="5B550F35" w:rsidR="00183BB1" w:rsidRPr="00EA7262" w:rsidRDefault="003F769A"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Capacité d’injection estimée (en millions de tonnes de CO</w:t>
            </w:r>
            <w:r>
              <w:rPr>
                <w:rFonts w:ascii="Times New Roman" w:hAnsi="Times New Roman"/>
                <w:b/>
                <w:noProof/>
                <w:sz w:val="24"/>
                <w:vertAlign w:val="subscript"/>
              </w:rPr>
              <w:t>2</w:t>
            </w:r>
            <w:r>
              <w:rPr>
                <w:rFonts w:ascii="Times New Roman" w:hAnsi="Times New Roman"/>
                <w:b/>
                <w:noProof/>
                <w:sz w:val="24"/>
              </w:rPr>
              <w:t xml:space="preserve"> par an)</w:t>
            </w:r>
          </w:p>
        </w:tc>
      </w:tr>
      <w:tr w:rsidR="00747911" w14:paraId="240F1973" w14:textId="77777777" w:rsidTr="004D7C40">
        <w:trPr>
          <w:trHeight w:val="777"/>
        </w:trPr>
        <w:tc>
          <w:tcPr>
            <w:tcW w:w="2373" w:type="dxa"/>
          </w:tcPr>
          <w:p w14:paraId="7E3CBB8D" w14:textId="29F82023" w:rsidR="00747911" w:rsidRDefault="0074791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 xml:space="preserve">Nini West </w:t>
            </w:r>
          </w:p>
        </w:tc>
        <w:tc>
          <w:tcPr>
            <w:tcW w:w="2373" w:type="dxa"/>
          </w:tcPr>
          <w:p w14:paraId="7AF41A03" w14:textId="117BB055" w:rsidR="00747911" w:rsidRDefault="0074791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Danemark</w:t>
            </w:r>
          </w:p>
        </w:tc>
        <w:tc>
          <w:tcPr>
            <w:tcW w:w="2373" w:type="dxa"/>
          </w:tcPr>
          <w:p w14:paraId="0196E6CB" w14:textId="5A6400B6" w:rsidR="00747911" w:rsidRDefault="0074791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2026</w:t>
            </w:r>
          </w:p>
        </w:tc>
        <w:tc>
          <w:tcPr>
            <w:tcW w:w="2374" w:type="dxa"/>
          </w:tcPr>
          <w:p w14:paraId="1520BD69" w14:textId="790F6E2D" w:rsidR="00747911" w:rsidRDefault="0074791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0,3</w:t>
            </w:r>
            <w:r>
              <w:rPr>
                <w:rStyle w:val="FootnoteReference"/>
                <w:rFonts w:ascii="Times New Roman" w:eastAsia="Times New Roman" w:hAnsi="Times New Roman" w:cs="Times New Roman"/>
                <w:noProof/>
                <w:sz w:val="24"/>
                <w:szCs w:val="24"/>
                <w:lang w:val="en-GB" w:eastAsia="fr-BE"/>
              </w:rPr>
              <w:footnoteReference w:id="33"/>
            </w:r>
          </w:p>
        </w:tc>
      </w:tr>
      <w:tr w:rsidR="00A2759C" w14:paraId="3ABB1499" w14:textId="77777777" w:rsidTr="00817E55">
        <w:trPr>
          <w:trHeight w:val="777"/>
        </w:trPr>
        <w:tc>
          <w:tcPr>
            <w:tcW w:w="2373" w:type="dxa"/>
            <w:tcBorders>
              <w:bottom w:val="single" w:sz="4" w:space="0" w:color="auto"/>
            </w:tcBorders>
          </w:tcPr>
          <w:p w14:paraId="089E9978" w14:textId="0903BAB2" w:rsidR="00A2759C" w:rsidRDefault="00C9010C"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Prinos</w:t>
            </w:r>
          </w:p>
        </w:tc>
        <w:tc>
          <w:tcPr>
            <w:tcW w:w="2373" w:type="dxa"/>
            <w:tcBorders>
              <w:bottom w:val="single" w:sz="4" w:space="0" w:color="auto"/>
            </w:tcBorders>
          </w:tcPr>
          <w:p w14:paraId="47723FE0" w14:textId="0579A088" w:rsidR="00A2759C" w:rsidRDefault="00C9010C"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Grèce</w:t>
            </w:r>
          </w:p>
        </w:tc>
        <w:tc>
          <w:tcPr>
            <w:tcW w:w="2373" w:type="dxa"/>
            <w:tcBorders>
              <w:bottom w:val="single" w:sz="4" w:space="0" w:color="auto"/>
            </w:tcBorders>
          </w:tcPr>
          <w:p w14:paraId="05093F75" w14:textId="38CEE6A3" w:rsidR="00A2759C" w:rsidRDefault="002B48BC"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2026-2027</w:t>
            </w:r>
            <w:r>
              <w:rPr>
                <w:rStyle w:val="FootnoteReference"/>
                <w:rFonts w:ascii="Times New Roman" w:eastAsia="Times New Roman" w:hAnsi="Times New Roman" w:cs="Times New Roman"/>
                <w:noProof/>
                <w:sz w:val="24"/>
                <w:szCs w:val="24"/>
                <w:lang w:val="en-GB" w:eastAsia="fr-BE"/>
              </w:rPr>
              <w:footnoteReference w:id="34"/>
            </w:r>
          </w:p>
        </w:tc>
        <w:tc>
          <w:tcPr>
            <w:tcW w:w="2374" w:type="dxa"/>
            <w:tcBorders>
              <w:bottom w:val="single" w:sz="4" w:space="0" w:color="auto"/>
            </w:tcBorders>
          </w:tcPr>
          <w:p w14:paraId="4ED41F21" w14:textId="3D26D256" w:rsidR="00A2759C" w:rsidRDefault="00661834"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0,74</w:t>
            </w:r>
            <w:r>
              <w:rPr>
                <w:rStyle w:val="FootnoteReference"/>
                <w:rFonts w:ascii="Times New Roman" w:eastAsia="Times New Roman" w:hAnsi="Times New Roman" w:cs="Times New Roman"/>
                <w:noProof/>
                <w:sz w:val="24"/>
                <w:szCs w:val="24"/>
                <w:lang w:val="en-GB" w:eastAsia="fr-BE"/>
              </w:rPr>
              <w:footnoteReference w:id="35"/>
            </w:r>
          </w:p>
        </w:tc>
      </w:tr>
      <w:tr w:rsidR="002F200D" w14:paraId="0B9F0B0C" w14:textId="77777777" w:rsidTr="00817E55">
        <w:trPr>
          <w:trHeight w:val="777"/>
        </w:trPr>
        <w:tc>
          <w:tcPr>
            <w:tcW w:w="2373" w:type="dxa"/>
            <w:tcBorders>
              <w:bottom w:val="single" w:sz="4" w:space="0" w:color="auto"/>
            </w:tcBorders>
          </w:tcPr>
          <w:p w14:paraId="4D0FE9A0" w14:textId="2EF5AEAA" w:rsidR="002F200D" w:rsidRDefault="002F200D" w:rsidP="002F200D">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 xml:space="preserve">P18-2 et P18-4 </w:t>
            </w:r>
          </w:p>
        </w:tc>
        <w:tc>
          <w:tcPr>
            <w:tcW w:w="2373" w:type="dxa"/>
            <w:tcBorders>
              <w:bottom w:val="single" w:sz="4" w:space="0" w:color="auto"/>
            </w:tcBorders>
          </w:tcPr>
          <w:p w14:paraId="76827CEF" w14:textId="3EFAA678" w:rsidR="002F200D" w:rsidRDefault="002F200D" w:rsidP="002F200D">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Pays-Bas</w:t>
            </w:r>
          </w:p>
        </w:tc>
        <w:tc>
          <w:tcPr>
            <w:tcW w:w="2373" w:type="dxa"/>
            <w:tcBorders>
              <w:bottom w:val="single" w:sz="4" w:space="0" w:color="auto"/>
            </w:tcBorders>
          </w:tcPr>
          <w:p w14:paraId="06FFC68D" w14:textId="0DA86E8F" w:rsidR="002F200D" w:rsidRDefault="002F200D" w:rsidP="002F200D">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2026</w:t>
            </w:r>
            <w:r>
              <w:rPr>
                <w:rStyle w:val="FootnoteReference"/>
                <w:rFonts w:ascii="Times New Roman" w:eastAsia="Times New Roman" w:hAnsi="Times New Roman" w:cs="Times New Roman"/>
                <w:noProof/>
                <w:sz w:val="24"/>
                <w:szCs w:val="24"/>
                <w:lang w:val="en-GB" w:eastAsia="fr-BE"/>
              </w:rPr>
              <w:footnoteReference w:id="36"/>
            </w:r>
          </w:p>
        </w:tc>
        <w:tc>
          <w:tcPr>
            <w:tcW w:w="2374" w:type="dxa"/>
          </w:tcPr>
          <w:p w14:paraId="1D70CE17" w14:textId="0D0A5B4B" w:rsidR="002F200D" w:rsidRPr="0062419D" w:rsidRDefault="002F200D" w:rsidP="002F200D">
            <w:pPr>
              <w:spacing w:before="240" w:after="240" w:line="276" w:lineRule="auto"/>
              <w:jc w:val="center"/>
              <w:rPr>
                <w:rFonts w:ascii="Times New Roman" w:eastAsia="Times New Roman" w:hAnsi="Times New Roman" w:cs="Times New Roman"/>
                <w:noProof/>
                <w:sz w:val="24"/>
                <w:szCs w:val="24"/>
                <w:highlight w:val="yellow"/>
              </w:rPr>
            </w:pPr>
            <w:r>
              <w:rPr>
                <w:rFonts w:ascii="Times New Roman" w:hAnsi="Times New Roman"/>
                <w:noProof/>
                <w:sz w:val="24"/>
              </w:rPr>
              <w:t>2,5</w:t>
            </w:r>
            <w:r>
              <w:rPr>
                <w:rStyle w:val="FootnoteReference"/>
                <w:rFonts w:ascii="Times New Roman" w:eastAsia="Times New Roman" w:hAnsi="Times New Roman" w:cs="Times New Roman"/>
                <w:noProof/>
                <w:sz w:val="24"/>
                <w:szCs w:val="24"/>
                <w:lang w:val="en-GB" w:eastAsia="fr-BE"/>
              </w:rPr>
              <w:footnoteReference w:id="37"/>
            </w:r>
          </w:p>
        </w:tc>
      </w:tr>
      <w:tr w:rsidR="00DC53B8" w14:paraId="6C052C7F" w14:textId="77777777" w:rsidTr="00817E55">
        <w:trPr>
          <w:trHeight w:val="777"/>
        </w:trPr>
        <w:tc>
          <w:tcPr>
            <w:tcW w:w="2373" w:type="dxa"/>
            <w:tcBorders>
              <w:top w:val="single" w:sz="4" w:space="0" w:color="auto"/>
              <w:left w:val="nil"/>
              <w:bottom w:val="nil"/>
              <w:right w:val="nil"/>
            </w:tcBorders>
          </w:tcPr>
          <w:p w14:paraId="7FB7D724" w14:textId="77777777" w:rsidR="00DC53B8" w:rsidRDefault="00DC53B8" w:rsidP="002F200D">
            <w:pPr>
              <w:spacing w:before="240" w:after="240" w:line="276" w:lineRule="auto"/>
              <w:jc w:val="center"/>
              <w:rPr>
                <w:rFonts w:ascii="Times New Roman" w:eastAsia="Times New Roman" w:hAnsi="Times New Roman" w:cs="Times New Roman"/>
                <w:noProof/>
                <w:sz w:val="24"/>
                <w:szCs w:val="24"/>
                <w:lang w:val="en-GB" w:eastAsia="fr-BE"/>
              </w:rPr>
            </w:pPr>
          </w:p>
        </w:tc>
        <w:tc>
          <w:tcPr>
            <w:tcW w:w="2373" w:type="dxa"/>
            <w:tcBorders>
              <w:top w:val="single" w:sz="4" w:space="0" w:color="auto"/>
              <w:left w:val="nil"/>
              <w:bottom w:val="nil"/>
              <w:right w:val="nil"/>
            </w:tcBorders>
          </w:tcPr>
          <w:p w14:paraId="4AC56AB3" w14:textId="77777777" w:rsidR="00DC53B8" w:rsidRDefault="00DC53B8" w:rsidP="002F200D">
            <w:pPr>
              <w:spacing w:before="240" w:after="240" w:line="276" w:lineRule="auto"/>
              <w:jc w:val="center"/>
              <w:rPr>
                <w:rFonts w:ascii="Times New Roman" w:eastAsia="Times New Roman" w:hAnsi="Times New Roman" w:cs="Times New Roman"/>
                <w:noProof/>
                <w:sz w:val="24"/>
                <w:szCs w:val="24"/>
                <w:lang w:val="en-GB" w:eastAsia="fr-BE"/>
              </w:rPr>
            </w:pPr>
          </w:p>
        </w:tc>
        <w:tc>
          <w:tcPr>
            <w:tcW w:w="2373" w:type="dxa"/>
            <w:tcBorders>
              <w:top w:val="single" w:sz="4" w:space="0" w:color="auto"/>
              <w:left w:val="nil"/>
              <w:bottom w:val="nil"/>
              <w:right w:val="single" w:sz="4" w:space="0" w:color="auto"/>
            </w:tcBorders>
          </w:tcPr>
          <w:p w14:paraId="129B4127" w14:textId="77777777" w:rsidR="00DC53B8" w:rsidRDefault="00DC53B8" w:rsidP="002F200D">
            <w:pPr>
              <w:spacing w:before="240" w:after="240" w:line="276" w:lineRule="auto"/>
              <w:jc w:val="center"/>
              <w:rPr>
                <w:rFonts w:ascii="Times New Roman" w:eastAsia="Times New Roman" w:hAnsi="Times New Roman" w:cs="Times New Roman"/>
                <w:noProof/>
                <w:sz w:val="24"/>
                <w:szCs w:val="24"/>
                <w:lang w:val="en-GB" w:eastAsia="fr-BE"/>
              </w:rPr>
            </w:pPr>
          </w:p>
        </w:tc>
        <w:tc>
          <w:tcPr>
            <w:tcW w:w="2374" w:type="dxa"/>
            <w:tcBorders>
              <w:left w:val="single" w:sz="4" w:space="0" w:color="auto"/>
            </w:tcBorders>
          </w:tcPr>
          <w:p w14:paraId="691F2CC3" w14:textId="153E6980" w:rsidR="00DC53B8" w:rsidRPr="00817E55" w:rsidRDefault="00DC53B8" w:rsidP="002F200D">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3,54</w:t>
            </w:r>
          </w:p>
        </w:tc>
      </w:tr>
    </w:tbl>
    <w:p w14:paraId="0A4F98F7" w14:textId="2B44F20B" w:rsidR="00183BB1" w:rsidRPr="009C32F0" w:rsidRDefault="00D42913" w:rsidP="00961387">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Le tableau 5 énumère les projets de stockage de CO</w:t>
      </w:r>
      <w:r>
        <w:rPr>
          <w:rFonts w:ascii="Times New Roman" w:hAnsi="Times New Roman"/>
          <w:noProof/>
          <w:sz w:val="24"/>
          <w:vertAlign w:val="subscript"/>
        </w:rPr>
        <w:t>2</w:t>
      </w:r>
      <w:r>
        <w:rPr>
          <w:rFonts w:ascii="Times New Roman" w:hAnsi="Times New Roman"/>
          <w:noProof/>
          <w:sz w:val="24"/>
        </w:rPr>
        <w:t xml:space="preserve"> pour lesquels une demande de permis de stockage a été introduite auprès d’une autorité nationale compétente dans l’UE. Les chiffres relatifs à la capacité d’injection attendue ont été calculés par la Commission et ne reflètent pas le potentiel de capacité d’injection pour chaque site de stockage. En particulier, certains chiffres incluent une capacité d’injection moyenne maximale, fondée sur le volume de stockage maximal divisé par la période d’injection mentionnée dans le projet de permis. La capacité d’injection maximale pour un site donné doit être précisée dans le permis de stockage</w:t>
      </w:r>
      <w:r>
        <w:rPr>
          <w:rStyle w:val="FootnoteReference"/>
          <w:rFonts w:ascii="Times New Roman" w:eastAsia="Times New Roman" w:hAnsi="Times New Roman" w:cs="Times New Roman"/>
          <w:noProof/>
          <w:sz w:val="24"/>
          <w:szCs w:val="24"/>
          <w:lang w:val="en-GB" w:eastAsia="fr-BE"/>
        </w:rPr>
        <w:footnoteReference w:id="38"/>
      </w:r>
      <w:r>
        <w:rPr>
          <w:rFonts w:ascii="Times New Roman" w:hAnsi="Times New Roman"/>
          <w:noProof/>
          <w:sz w:val="24"/>
        </w:rPr>
        <w:t xml:space="preserve"> et pourrait augmenter pour plusieurs sites de stockage en cas d’augmentation de la capacité et de modification des permis. </w:t>
      </w:r>
    </w:p>
    <w:p w14:paraId="5E574029" w14:textId="7899953A" w:rsidR="0029324B" w:rsidRDefault="00205359" w:rsidP="000B700B">
      <w:pPr>
        <w:spacing w:line="276" w:lineRule="auto"/>
        <w:jc w:val="both"/>
        <w:rPr>
          <w:rFonts w:ascii="Times New Roman" w:eastAsia="Times New Roman" w:hAnsi="Times New Roman" w:cs="Times New Roman"/>
          <w:i/>
          <w:iCs/>
          <w:noProof/>
          <w:sz w:val="24"/>
          <w:szCs w:val="24"/>
        </w:rPr>
      </w:pPr>
      <w:r>
        <w:rPr>
          <w:rFonts w:ascii="Times New Roman" w:hAnsi="Times New Roman"/>
          <w:noProof/>
          <w:sz w:val="24"/>
        </w:rPr>
        <w:t>Les projets de stockage dans l’UE pour lesquels une demande de permis a été introduite pourraient fournir une capacité d’injection de 15,6 millions de tonnes de CO</w:t>
      </w:r>
      <w:r>
        <w:rPr>
          <w:rFonts w:ascii="Times New Roman" w:hAnsi="Times New Roman"/>
          <w:noProof/>
          <w:sz w:val="24"/>
          <w:vertAlign w:val="subscript"/>
        </w:rPr>
        <w:t>2</w:t>
      </w:r>
      <w:r>
        <w:rPr>
          <w:rFonts w:ascii="Times New Roman" w:hAnsi="Times New Roman"/>
          <w:noProof/>
          <w:sz w:val="24"/>
        </w:rPr>
        <w:t>, comme le résume le tableau 5 ci-dessous.</w:t>
      </w:r>
    </w:p>
    <w:p w14:paraId="39A6B0CD" w14:textId="77777777" w:rsidR="00514B51" w:rsidRDefault="00514B51">
      <w:pPr>
        <w:rPr>
          <w:rFonts w:ascii="Times New Roman" w:eastAsia="Times New Roman" w:hAnsi="Times New Roman" w:cs="Times New Roman"/>
          <w:i/>
          <w:noProof/>
          <w:sz w:val="24"/>
          <w:szCs w:val="24"/>
        </w:rPr>
      </w:pPr>
      <w:r>
        <w:rPr>
          <w:noProof/>
        </w:rPr>
        <w:br w:type="page"/>
      </w:r>
    </w:p>
    <w:p w14:paraId="5AB3ACE2" w14:textId="5A7F4C2D" w:rsidR="0050052B" w:rsidRPr="001674CB" w:rsidRDefault="0050052B" w:rsidP="00A2116B">
      <w:pPr>
        <w:spacing w:before="240" w:after="240" w:line="276" w:lineRule="auto"/>
        <w:jc w:val="both"/>
        <w:rPr>
          <w:rFonts w:ascii="Times New Roman" w:eastAsia="Times New Roman" w:hAnsi="Times New Roman" w:cs="Times New Roman"/>
          <w:i/>
          <w:noProof/>
          <w:sz w:val="24"/>
          <w:szCs w:val="24"/>
        </w:rPr>
      </w:pPr>
      <w:r>
        <w:rPr>
          <w:rFonts w:ascii="Times New Roman" w:hAnsi="Times New Roman"/>
          <w:i/>
          <w:noProof/>
          <w:sz w:val="24"/>
        </w:rPr>
        <w:t>Tableau 5 – Sites de stockage pour lesquels une demande de permis de stockage a été introduite.</w:t>
      </w:r>
    </w:p>
    <w:tbl>
      <w:tblPr>
        <w:tblStyle w:val="TableGrid"/>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410"/>
        <w:gridCol w:w="2835"/>
        <w:gridCol w:w="3006"/>
      </w:tblGrid>
      <w:tr w:rsidR="00183BB1" w14:paraId="0A4F98FC" w14:textId="77777777" w:rsidTr="008A3DBE">
        <w:trPr>
          <w:trHeight w:val="841"/>
        </w:trPr>
        <w:tc>
          <w:tcPr>
            <w:tcW w:w="1809" w:type="dxa"/>
            <w:vAlign w:val="center"/>
          </w:tcPr>
          <w:p w14:paraId="0A4F98F8" w14:textId="1814A102" w:rsidR="00183BB1" w:rsidRPr="00EA7262" w:rsidRDefault="00183BB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 xml:space="preserve">Site de stockage pour lequel une demande de permis a été introduite </w:t>
            </w:r>
          </w:p>
        </w:tc>
        <w:tc>
          <w:tcPr>
            <w:tcW w:w="2410" w:type="dxa"/>
            <w:vAlign w:val="center"/>
          </w:tcPr>
          <w:p w14:paraId="0A4F98F9" w14:textId="77777777" w:rsidR="00183BB1" w:rsidRPr="00EA7262" w:rsidRDefault="00183BB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État membre</w:t>
            </w:r>
          </w:p>
        </w:tc>
        <w:tc>
          <w:tcPr>
            <w:tcW w:w="2835" w:type="dxa"/>
            <w:vAlign w:val="center"/>
          </w:tcPr>
          <w:p w14:paraId="0A4F98FA" w14:textId="77777777" w:rsidR="00183BB1" w:rsidRPr="00731E95" w:rsidRDefault="00183BB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Année d’entrée en service prévue</w:t>
            </w:r>
          </w:p>
        </w:tc>
        <w:tc>
          <w:tcPr>
            <w:tcW w:w="3006" w:type="dxa"/>
            <w:vAlign w:val="center"/>
          </w:tcPr>
          <w:p w14:paraId="0A4F98FB" w14:textId="2F7C6DD4" w:rsidR="00183BB1" w:rsidRPr="00731E95" w:rsidRDefault="003F769A"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Capacité d’injection estimée (en millions de tonnes de CO</w:t>
            </w:r>
            <w:r>
              <w:rPr>
                <w:rFonts w:ascii="Times New Roman" w:hAnsi="Times New Roman"/>
                <w:b/>
                <w:noProof/>
                <w:sz w:val="24"/>
                <w:vertAlign w:val="subscript"/>
              </w:rPr>
              <w:t>2</w:t>
            </w:r>
            <w:r>
              <w:rPr>
                <w:rFonts w:ascii="Times New Roman" w:hAnsi="Times New Roman"/>
                <w:b/>
                <w:noProof/>
                <w:sz w:val="24"/>
              </w:rPr>
              <w:t xml:space="preserve"> par an)</w:t>
            </w:r>
          </w:p>
        </w:tc>
      </w:tr>
      <w:tr w:rsidR="00764183" w14:paraId="71398D02" w14:textId="77777777" w:rsidTr="007F4AAE">
        <w:trPr>
          <w:trHeight w:val="930"/>
        </w:trPr>
        <w:tc>
          <w:tcPr>
            <w:tcW w:w="1809" w:type="dxa"/>
          </w:tcPr>
          <w:p w14:paraId="1891655E" w14:textId="26E13D44" w:rsidR="00764183" w:rsidRPr="00742DC3" w:rsidRDefault="00764183" w:rsidP="00764183">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 xml:space="preserve">Nini Main and East </w:t>
            </w:r>
          </w:p>
        </w:tc>
        <w:tc>
          <w:tcPr>
            <w:tcW w:w="2410" w:type="dxa"/>
          </w:tcPr>
          <w:p w14:paraId="1CEA8C50" w14:textId="70FD7EFE" w:rsidR="00764183" w:rsidRPr="00742DC3" w:rsidRDefault="00764183" w:rsidP="00764183">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Danemark</w:t>
            </w:r>
          </w:p>
        </w:tc>
        <w:tc>
          <w:tcPr>
            <w:tcW w:w="2835" w:type="dxa"/>
          </w:tcPr>
          <w:p w14:paraId="6D159647" w14:textId="76E1B690" w:rsidR="00764183" w:rsidRPr="00742DC3" w:rsidRDefault="00DC6858" w:rsidP="00764183">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2029</w:t>
            </w:r>
            <w:r>
              <w:rPr>
                <w:rStyle w:val="FootnoteReference"/>
                <w:rFonts w:ascii="Times New Roman" w:eastAsia="Times New Roman" w:hAnsi="Times New Roman" w:cs="Times New Roman"/>
                <w:noProof/>
                <w:sz w:val="24"/>
                <w:szCs w:val="24"/>
                <w:lang w:val="en-GB" w:eastAsia="fr-BE"/>
              </w:rPr>
              <w:footnoteReference w:id="39"/>
            </w:r>
          </w:p>
        </w:tc>
        <w:tc>
          <w:tcPr>
            <w:tcW w:w="3006" w:type="dxa"/>
          </w:tcPr>
          <w:p w14:paraId="70330AFD" w14:textId="7568AB29" w:rsidR="00764183" w:rsidRDefault="002F09A9" w:rsidP="00764183">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0,86</w:t>
            </w:r>
            <w:r>
              <w:rPr>
                <w:rStyle w:val="FootnoteReference"/>
                <w:rFonts w:ascii="Times New Roman" w:eastAsia="Times New Roman" w:hAnsi="Times New Roman" w:cs="Times New Roman"/>
                <w:noProof/>
                <w:sz w:val="24"/>
                <w:szCs w:val="24"/>
                <w:lang w:val="en-GB" w:eastAsia="fr-BE"/>
              </w:rPr>
              <w:footnoteReference w:id="40"/>
            </w:r>
          </w:p>
        </w:tc>
      </w:tr>
      <w:tr w:rsidR="00764183" w14:paraId="3FA79B75" w14:textId="77777777" w:rsidTr="007F4AAE">
        <w:trPr>
          <w:trHeight w:val="662"/>
        </w:trPr>
        <w:tc>
          <w:tcPr>
            <w:tcW w:w="1809" w:type="dxa"/>
          </w:tcPr>
          <w:p w14:paraId="0623E1F5" w14:textId="268EF383" w:rsidR="00764183" w:rsidRDefault="00764183" w:rsidP="00764183">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 xml:space="preserve">Ravenna </w:t>
            </w:r>
          </w:p>
        </w:tc>
        <w:tc>
          <w:tcPr>
            <w:tcW w:w="2410" w:type="dxa"/>
          </w:tcPr>
          <w:p w14:paraId="29A02E4D" w14:textId="5520A5E1" w:rsidR="00764183" w:rsidRDefault="00764183" w:rsidP="00764183">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Italie</w:t>
            </w:r>
          </w:p>
        </w:tc>
        <w:tc>
          <w:tcPr>
            <w:tcW w:w="2835" w:type="dxa"/>
          </w:tcPr>
          <w:p w14:paraId="011CFF97" w14:textId="5333E7B2" w:rsidR="00764183" w:rsidRDefault="00764183" w:rsidP="00764183">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2030</w:t>
            </w:r>
            <w:r>
              <w:rPr>
                <w:rStyle w:val="FootnoteReference"/>
                <w:rFonts w:ascii="Times New Roman" w:eastAsia="Times New Roman" w:hAnsi="Times New Roman" w:cs="Times New Roman"/>
                <w:noProof/>
                <w:sz w:val="24"/>
                <w:szCs w:val="24"/>
                <w:lang w:val="en-GB" w:eastAsia="fr-BE"/>
              </w:rPr>
              <w:footnoteReference w:id="41"/>
            </w:r>
          </w:p>
        </w:tc>
        <w:tc>
          <w:tcPr>
            <w:tcW w:w="3006" w:type="dxa"/>
          </w:tcPr>
          <w:p w14:paraId="5085FF7F" w14:textId="5885272D" w:rsidR="00764183" w:rsidRPr="00BB5292" w:rsidRDefault="00764183" w:rsidP="00764183">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3,85</w:t>
            </w:r>
            <w:r>
              <w:rPr>
                <w:rStyle w:val="FootnoteReference"/>
                <w:rFonts w:ascii="Times New Roman" w:eastAsia="Times New Roman" w:hAnsi="Times New Roman" w:cs="Times New Roman"/>
                <w:noProof/>
                <w:sz w:val="24"/>
                <w:szCs w:val="24"/>
                <w:lang w:val="en-GB" w:eastAsia="fr-BE"/>
              </w:rPr>
              <w:footnoteReference w:id="42"/>
            </w:r>
          </w:p>
        </w:tc>
      </w:tr>
      <w:tr w:rsidR="00183BB1" w14:paraId="0A4F9901" w14:textId="77777777" w:rsidTr="008A3DBE">
        <w:trPr>
          <w:trHeight w:val="777"/>
        </w:trPr>
        <w:tc>
          <w:tcPr>
            <w:tcW w:w="1809" w:type="dxa"/>
          </w:tcPr>
          <w:p w14:paraId="0A4F98FD"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L04-A</w:t>
            </w:r>
          </w:p>
        </w:tc>
        <w:tc>
          <w:tcPr>
            <w:tcW w:w="2410" w:type="dxa"/>
          </w:tcPr>
          <w:p w14:paraId="0A4F98FE"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Pays-Bas</w:t>
            </w:r>
          </w:p>
        </w:tc>
        <w:tc>
          <w:tcPr>
            <w:tcW w:w="2835" w:type="dxa"/>
          </w:tcPr>
          <w:p w14:paraId="0A4F98FF"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2029</w:t>
            </w:r>
            <w:r>
              <w:rPr>
                <w:rStyle w:val="FootnoteReference"/>
                <w:rFonts w:ascii="Times New Roman" w:eastAsia="Times New Roman" w:hAnsi="Times New Roman" w:cs="Times New Roman"/>
                <w:noProof/>
                <w:sz w:val="24"/>
                <w:szCs w:val="24"/>
                <w:lang w:val="en-GB" w:eastAsia="fr-BE"/>
              </w:rPr>
              <w:footnoteReference w:id="43"/>
            </w:r>
          </w:p>
        </w:tc>
        <w:tc>
          <w:tcPr>
            <w:tcW w:w="3006" w:type="dxa"/>
          </w:tcPr>
          <w:p w14:paraId="0A4F9900" w14:textId="655B61B6" w:rsidR="00183BB1" w:rsidRPr="00BB5292" w:rsidRDefault="47106BFC"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1,6</w:t>
            </w:r>
            <w:r>
              <w:rPr>
                <w:rStyle w:val="FootnoteReference"/>
                <w:rFonts w:ascii="Times New Roman" w:eastAsia="Times New Roman" w:hAnsi="Times New Roman" w:cs="Times New Roman"/>
                <w:noProof/>
                <w:sz w:val="24"/>
                <w:szCs w:val="24"/>
                <w:lang w:val="en-GB" w:eastAsia="fr-BE"/>
              </w:rPr>
              <w:footnoteReference w:id="44"/>
            </w:r>
          </w:p>
        </w:tc>
      </w:tr>
      <w:tr w:rsidR="00311F74" w14:paraId="391DB47E" w14:textId="77777777" w:rsidTr="008A3DBE">
        <w:trPr>
          <w:trHeight w:val="777"/>
        </w:trPr>
        <w:tc>
          <w:tcPr>
            <w:tcW w:w="1809" w:type="dxa"/>
          </w:tcPr>
          <w:p w14:paraId="1A38FFD6" w14:textId="5FE81527" w:rsidR="00311F74" w:rsidRPr="00222D1E" w:rsidRDefault="00AE04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L09-FF</w:t>
            </w:r>
          </w:p>
        </w:tc>
        <w:tc>
          <w:tcPr>
            <w:tcW w:w="2410" w:type="dxa"/>
          </w:tcPr>
          <w:p w14:paraId="17BB6825" w14:textId="11A6A3B5" w:rsidR="00311F74" w:rsidRPr="00222D1E" w:rsidRDefault="00AE04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Pays-Bas</w:t>
            </w:r>
          </w:p>
        </w:tc>
        <w:tc>
          <w:tcPr>
            <w:tcW w:w="2835" w:type="dxa"/>
          </w:tcPr>
          <w:p w14:paraId="0B971E26" w14:textId="1E3CECAD" w:rsidR="00311F74" w:rsidRPr="00222D1E" w:rsidRDefault="00E12CD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vers 2031</w:t>
            </w:r>
            <w:r>
              <w:rPr>
                <w:rStyle w:val="FootnoteReference"/>
                <w:rFonts w:ascii="Times New Roman" w:eastAsia="Times New Roman" w:hAnsi="Times New Roman" w:cs="Times New Roman"/>
                <w:noProof/>
                <w:sz w:val="24"/>
                <w:szCs w:val="24"/>
                <w:lang w:val="en-GB" w:eastAsia="fr-BE"/>
              </w:rPr>
              <w:footnoteReference w:id="45"/>
            </w:r>
          </w:p>
        </w:tc>
        <w:tc>
          <w:tcPr>
            <w:tcW w:w="3006" w:type="dxa"/>
          </w:tcPr>
          <w:p w14:paraId="3F6C4EF4" w14:textId="501882A7" w:rsidR="00311F74" w:rsidRPr="00222D1E" w:rsidRDefault="0083506C"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2,7</w:t>
            </w:r>
            <w:r>
              <w:rPr>
                <w:rStyle w:val="FootnoteReference"/>
                <w:rFonts w:ascii="Times New Roman" w:eastAsia="Times New Roman" w:hAnsi="Times New Roman" w:cs="Times New Roman"/>
                <w:noProof/>
                <w:sz w:val="24"/>
                <w:szCs w:val="24"/>
                <w:lang w:val="en-GB" w:eastAsia="fr-BE"/>
              </w:rPr>
              <w:footnoteReference w:id="46"/>
            </w:r>
          </w:p>
        </w:tc>
      </w:tr>
      <w:tr w:rsidR="00744B15" w14:paraId="6D326FA6" w14:textId="77777777" w:rsidTr="008A3DBE">
        <w:trPr>
          <w:trHeight w:val="777"/>
        </w:trPr>
        <w:tc>
          <w:tcPr>
            <w:tcW w:w="1809" w:type="dxa"/>
          </w:tcPr>
          <w:p w14:paraId="3188A123" w14:textId="7D65D879" w:rsidR="00744B15" w:rsidRPr="00222D1E" w:rsidRDefault="00744B15" w:rsidP="00744B15">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L10-ALBE</w:t>
            </w:r>
          </w:p>
        </w:tc>
        <w:tc>
          <w:tcPr>
            <w:tcW w:w="2410" w:type="dxa"/>
          </w:tcPr>
          <w:p w14:paraId="619A8CC9" w14:textId="472E936A" w:rsidR="00744B15" w:rsidRPr="00222D1E" w:rsidRDefault="00744B15" w:rsidP="00744B15">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Pays-Bas</w:t>
            </w:r>
          </w:p>
        </w:tc>
        <w:tc>
          <w:tcPr>
            <w:tcW w:w="2835" w:type="dxa"/>
          </w:tcPr>
          <w:p w14:paraId="0117E965" w14:textId="518BFE51" w:rsidR="00744B15" w:rsidRPr="00222D1E" w:rsidRDefault="00744B15" w:rsidP="00744B15">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2030</w:t>
            </w:r>
            <w:r>
              <w:rPr>
                <w:rStyle w:val="FootnoteReference"/>
                <w:rFonts w:ascii="Times New Roman" w:eastAsia="Times New Roman" w:hAnsi="Times New Roman" w:cs="Times New Roman"/>
                <w:noProof/>
                <w:sz w:val="24"/>
                <w:szCs w:val="24"/>
                <w:lang w:val="en-GB" w:eastAsia="fr-BE"/>
              </w:rPr>
              <w:footnoteReference w:id="47"/>
            </w:r>
          </w:p>
        </w:tc>
        <w:tc>
          <w:tcPr>
            <w:tcW w:w="3006" w:type="dxa"/>
          </w:tcPr>
          <w:p w14:paraId="0D616A29" w14:textId="0E1AA301" w:rsidR="00744B15" w:rsidRPr="00222D1E" w:rsidRDefault="00744B15" w:rsidP="00744B15">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3,84</w:t>
            </w:r>
            <w:r>
              <w:rPr>
                <w:rStyle w:val="FootnoteReference"/>
                <w:rFonts w:ascii="Times New Roman" w:eastAsia="Times New Roman" w:hAnsi="Times New Roman" w:cs="Times New Roman"/>
                <w:noProof/>
                <w:sz w:val="24"/>
                <w:szCs w:val="24"/>
                <w:lang w:val="en-GB" w:eastAsia="fr-BE"/>
              </w:rPr>
              <w:footnoteReference w:id="48"/>
            </w:r>
          </w:p>
        </w:tc>
      </w:tr>
      <w:tr w:rsidR="00C17FF4" w14:paraId="38A39A7D" w14:textId="77777777" w:rsidTr="008A3DBE">
        <w:trPr>
          <w:trHeight w:val="777"/>
        </w:trPr>
        <w:tc>
          <w:tcPr>
            <w:tcW w:w="1809" w:type="dxa"/>
          </w:tcPr>
          <w:p w14:paraId="5D479E00" w14:textId="49D691C9" w:rsidR="00C17FF4" w:rsidRPr="00222D1E" w:rsidRDefault="00C17FF4" w:rsidP="00C17FF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K14-FAFC</w:t>
            </w:r>
          </w:p>
        </w:tc>
        <w:tc>
          <w:tcPr>
            <w:tcW w:w="2410" w:type="dxa"/>
          </w:tcPr>
          <w:p w14:paraId="1F853CC5" w14:textId="47A3B91D" w:rsidR="00C17FF4" w:rsidRPr="00222D1E" w:rsidRDefault="00C17FF4" w:rsidP="00C17FF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Pays-Bas</w:t>
            </w:r>
          </w:p>
        </w:tc>
        <w:tc>
          <w:tcPr>
            <w:tcW w:w="2835" w:type="dxa"/>
          </w:tcPr>
          <w:p w14:paraId="55791214" w14:textId="09053BBF" w:rsidR="00C17FF4" w:rsidRPr="00222D1E" w:rsidRDefault="00C17FF4" w:rsidP="00C17FF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2027</w:t>
            </w:r>
            <w:r>
              <w:rPr>
                <w:rStyle w:val="FootnoteReference"/>
                <w:rFonts w:ascii="Times New Roman" w:eastAsia="Times New Roman" w:hAnsi="Times New Roman" w:cs="Times New Roman"/>
                <w:noProof/>
                <w:sz w:val="24"/>
                <w:szCs w:val="24"/>
                <w:lang w:val="en-GB" w:eastAsia="fr-BE"/>
              </w:rPr>
              <w:footnoteReference w:id="49"/>
            </w:r>
          </w:p>
        </w:tc>
        <w:tc>
          <w:tcPr>
            <w:tcW w:w="3006" w:type="dxa"/>
          </w:tcPr>
          <w:p w14:paraId="20B7722B" w14:textId="29A920C1" w:rsidR="00C17FF4" w:rsidRPr="00222D1E" w:rsidRDefault="00C17FF4" w:rsidP="00C17FF4">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1,7</w:t>
            </w:r>
            <w:r>
              <w:rPr>
                <w:rStyle w:val="FootnoteReference"/>
                <w:rFonts w:ascii="Times New Roman" w:eastAsia="Times New Roman" w:hAnsi="Times New Roman" w:cs="Times New Roman"/>
                <w:noProof/>
                <w:sz w:val="24"/>
                <w:szCs w:val="24"/>
                <w:lang w:val="en-GB" w:eastAsia="fr-BE"/>
              </w:rPr>
              <w:footnoteReference w:id="50"/>
            </w:r>
          </w:p>
        </w:tc>
      </w:tr>
      <w:tr w:rsidR="00B62342" w14:paraId="0A4F991A" w14:textId="77777777" w:rsidTr="008A3DBE">
        <w:trPr>
          <w:trHeight w:val="777"/>
        </w:trPr>
        <w:tc>
          <w:tcPr>
            <w:tcW w:w="1809" w:type="dxa"/>
            <w:tcBorders>
              <w:bottom w:val="single" w:sz="4" w:space="0" w:color="auto"/>
            </w:tcBorders>
          </w:tcPr>
          <w:p w14:paraId="0A4F9916" w14:textId="6150D2F5" w:rsidR="00B62342" w:rsidRPr="00742DC3" w:rsidRDefault="00B62342" w:rsidP="00B62342">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 xml:space="preserve">Q16-FA </w:t>
            </w:r>
          </w:p>
        </w:tc>
        <w:tc>
          <w:tcPr>
            <w:tcW w:w="2410" w:type="dxa"/>
            <w:tcBorders>
              <w:bottom w:val="single" w:sz="4" w:space="0" w:color="auto"/>
            </w:tcBorders>
          </w:tcPr>
          <w:p w14:paraId="0A4F9917" w14:textId="1DEFA979" w:rsidR="00B62342" w:rsidRPr="00742DC3" w:rsidRDefault="00B62342" w:rsidP="00B62342">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Pays-Bas</w:t>
            </w:r>
          </w:p>
        </w:tc>
        <w:tc>
          <w:tcPr>
            <w:tcW w:w="2835" w:type="dxa"/>
            <w:tcBorders>
              <w:bottom w:val="single" w:sz="4" w:space="0" w:color="auto"/>
            </w:tcBorders>
          </w:tcPr>
          <w:p w14:paraId="0A4F9918" w14:textId="0375501B" w:rsidR="00B62342" w:rsidRPr="00E010B8" w:rsidRDefault="00B62342" w:rsidP="00B62342">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2030</w:t>
            </w:r>
            <w:r>
              <w:rPr>
                <w:rStyle w:val="FootnoteReference"/>
                <w:rFonts w:ascii="Times New Roman" w:eastAsia="Times New Roman" w:hAnsi="Times New Roman" w:cs="Times New Roman"/>
                <w:noProof/>
                <w:sz w:val="24"/>
                <w:szCs w:val="24"/>
                <w:lang w:val="en-GB" w:eastAsia="fr-BE"/>
              </w:rPr>
              <w:footnoteReference w:id="51"/>
            </w:r>
          </w:p>
        </w:tc>
        <w:tc>
          <w:tcPr>
            <w:tcW w:w="3006" w:type="dxa"/>
            <w:tcBorders>
              <w:bottom w:val="single" w:sz="4" w:space="0" w:color="auto"/>
            </w:tcBorders>
          </w:tcPr>
          <w:p w14:paraId="0A4F9919" w14:textId="089367B8" w:rsidR="00B62342" w:rsidRPr="00742DC3" w:rsidRDefault="0022217C" w:rsidP="00B62342">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1,03</w:t>
            </w:r>
            <w:r>
              <w:rPr>
                <w:rStyle w:val="FootnoteReference"/>
                <w:rFonts w:ascii="Times New Roman" w:eastAsia="Times New Roman" w:hAnsi="Times New Roman" w:cs="Times New Roman"/>
                <w:noProof/>
                <w:sz w:val="24"/>
                <w:szCs w:val="24"/>
                <w:lang w:val="en-GB" w:eastAsia="fr-BE"/>
              </w:rPr>
              <w:footnoteReference w:id="52"/>
            </w:r>
          </w:p>
        </w:tc>
      </w:tr>
      <w:tr w:rsidR="00B62342" w14:paraId="0A4F991D" w14:textId="77777777" w:rsidTr="008A3DBE">
        <w:trPr>
          <w:trHeight w:val="777"/>
        </w:trPr>
        <w:tc>
          <w:tcPr>
            <w:tcW w:w="7054" w:type="dxa"/>
            <w:gridSpan w:val="3"/>
            <w:tcBorders>
              <w:top w:val="single" w:sz="4" w:space="0" w:color="auto"/>
              <w:left w:val="nil"/>
              <w:bottom w:val="nil"/>
              <w:right w:val="single" w:sz="4" w:space="0" w:color="auto"/>
            </w:tcBorders>
          </w:tcPr>
          <w:p w14:paraId="0A4F991B" w14:textId="77777777" w:rsidR="00B62342" w:rsidRDefault="00B62342" w:rsidP="00B62342">
            <w:pPr>
              <w:spacing w:before="240" w:after="240" w:line="276" w:lineRule="auto"/>
              <w:jc w:val="center"/>
              <w:rPr>
                <w:rFonts w:ascii="Times New Roman" w:eastAsia="Times New Roman" w:hAnsi="Times New Roman" w:cs="Times New Roman"/>
                <w:noProof/>
                <w:sz w:val="24"/>
                <w:szCs w:val="24"/>
                <w:lang w:val="en-GB" w:eastAsia="fr-BE"/>
              </w:rPr>
            </w:pPr>
          </w:p>
        </w:tc>
        <w:tc>
          <w:tcPr>
            <w:tcW w:w="3006" w:type="dxa"/>
            <w:tcBorders>
              <w:left w:val="single" w:sz="4" w:space="0" w:color="auto"/>
            </w:tcBorders>
          </w:tcPr>
          <w:p w14:paraId="0A4F991C" w14:textId="019A06DD" w:rsidR="00B62342" w:rsidRPr="00166C82" w:rsidRDefault="00B62342" w:rsidP="00B62342">
            <w:pPr>
              <w:spacing w:before="240" w:after="240" w:line="276" w:lineRule="auto"/>
              <w:jc w:val="center"/>
              <w:rPr>
                <w:rFonts w:ascii="Times New Roman" w:eastAsia="Times New Roman" w:hAnsi="Times New Roman" w:cs="Times New Roman"/>
                <w:b/>
                <w:noProof/>
                <w:sz w:val="24"/>
                <w:szCs w:val="24"/>
              </w:rPr>
            </w:pPr>
            <w:r>
              <w:rPr>
                <w:rFonts w:ascii="Times New Roman" w:hAnsi="Times New Roman"/>
                <w:b/>
                <w:noProof/>
                <w:sz w:val="24"/>
              </w:rPr>
              <w:t>15,6</w:t>
            </w:r>
          </w:p>
        </w:tc>
      </w:tr>
    </w:tbl>
    <w:p w14:paraId="1A9D5332" w14:textId="77777777" w:rsidR="009C32F0" w:rsidRDefault="009C32F0" w:rsidP="4EC802CB">
      <w:pPr>
        <w:rPr>
          <w:noProof/>
          <w:lang w:val="en-GB" w:eastAsia="fr-BE"/>
        </w:rPr>
      </w:pPr>
    </w:p>
    <w:p w14:paraId="7ABAB6D4" w14:textId="0429F3E9" w:rsidR="4A8BB7DB" w:rsidRDefault="4A8BB7DB" w:rsidP="4A8BB7DB">
      <w:pPr>
        <w:jc w:val="both"/>
        <w:rPr>
          <w:rFonts w:ascii="Times New Roman" w:eastAsia="Times New Roman" w:hAnsi="Times New Roman" w:cs="Times New Roman"/>
          <w:noProof/>
          <w:sz w:val="24"/>
          <w:szCs w:val="24"/>
          <w:lang w:val="en-GB" w:eastAsia="fr-BE"/>
        </w:rPr>
      </w:pPr>
    </w:p>
    <w:p w14:paraId="2F1C5BC2" w14:textId="168FEE01" w:rsidR="4A8BB7DB" w:rsidRPr="008D06AE" w:rsidRDefault="7371B75D" w:rsidP="008D06AE">
      <w:pPr>
        <w:pStyle w:val="Heading3"/>
        <w:rPr>
          <w:rFonts w:eastAsia="Times New Roman"/>
          <w:noProof/>
        </w:rPr>
      </w:pPr>
      <w:bookmarkStart w:id="11" w:name="_Toc229054826"/>
      <w:r>
        <w:rPr>
          <w:noProof/>
        </w:rPr>
        <w:t>Projets de stockage de l’UE reconnus en tant que projets stratégiques «zéro net»</w:t>
      </w:r>
      <w:bookmarkEnd w:id="11"/>
      <w:r>
        <w:rPr>
          <w:noProof/>
        </w:rPr>
        <w:t xml:space="preserve"> </w:t>
      </w:r>
    </w:p>
    <w:p w14:paraId="1B426D87" w14:textId="419AFE94" w:rsidR="7371B75D" w:rsidRDefault="001F14D0" w:rsidP="4EC802CB">
      <w:pPr>
        <w:jc w:val="both"/>
        <w:rPr>
          <w:rFonts w:ascii="Times New Roman" w:eastAsia="Times New Roman" w:hAnsi="Times New Roman" w:cs="Times New Roman"/>
          <w:i/>
          <w:iCs/>
          <w:noProof/>
          <w:sz w:val="24"/>
          <w:szCs w:val="24"/>
        </w:rPr>
      </w:pPr>
      <w:r>
        <w:rPr>
          <w:rFonts w:ascii="Times New Roman" w:hAnsi="Times New Roman"/>
          <w:noProof/>
          <w:sz w:val="24"/>
        </w:rPr>
        <w:t>Aux termes de l’article 13, paragraphe 3, du règlement (UE) nº 2024/1735: «</w:t>
      </w:r>
      <w:r>
        <w:rPr>
          <w:rFonts w:ascii="Times New Roman" w:hAnsi="Times New Roman"/>
          <w:i/>
          <w:noProof/>
          <w:sz w:val="24"/>
        </w:rPr>
        <w:t>Les États membres reconnaissent en tant que projets stratégiques “zéro net” les projets de stockage de CO</w:t>
      </w:r>
      <w:r>
        <w:rPr>
          <w:rFonts w:ascii="Times New Roman" w:hAnsi="Times New Roman"/>
          <w:i/>
          <w:noProof/>
          <w:sz w:val="24"/>
          <w:vertAlign w:val="subscript"/>
        </w:rPr>
        <w:t>2</w:t>
      </w:r>
      <w:r>
        <w:rPr>
          <w:rFonts w:ascii="Times New Roman" w:hAnsi="Times New Roman"/>
          <w:i/>
          <w:noProof/>
          <w:sz w:val="24"/>
        </w:rPr>
        <w:t xml:space="preserve"> qui remplissent tous les critères suivants: </w:t>
      </w:r>
    </w:p>
    <w:p w14:paraId="05DAEC6F" w14:textId="6F21511D" w:rsidR="7371B75D" w:rsidRDefault="3B00BFF3" w:rsidP="4EC802CB">
      <w:pPr>
        <w:jc w:val="both"/>
        <w:rPr>
          <w:rFonts w:ascii="Times New Roman" w:eastAsia="Times New Roman" w:hAnsi="Times New Roman" w:cs="Times New Roman"/>
          <w:i/>
          <w:iCs/>
          <w:noProof/>
          <w:sz w:val="24"/>
          <w:szCs w:val="24"/>
        </w:rPr>
      </w:pPr>
      <w:r>
        <w:rPr>
          <w:rFonts w:ascii="Times New Roman" w:hAnsi="Times New Roman"/>
          <w:i/>
          <w:noProof/>
          <w:sz w:val="24"/>
        </w:rPr>
        <w:t>a) le site de stockage géologique du CO</w:t>
      </w:r>
      <w:r>
        <w:rPr>
          <w:rFonts w:ascii="Times New Roman" w:hAnsi="Times New Roman"/>
          <w:i/>
          <w:noProof/>
          <w:sz w:val="24"/>
          <w:vertAlign w:val="subscript"/>
        </w:rPr>
        <w:t>2</w:t>
      </w:r>
      <w:r>
        <w:rPr>
          <w:rFonts w:ascii="Times New Roman" w:hAnsi="Times New Roman"/>
          <w:i/>
          <w:noProof/>
          <w:sz w:val="24"/>
        </w:rPr>
        <w:t xml:space="preserve"> est localisé sur le territoire de l’Union, dans sa zone économique exclusive ou sur son plateau continental au sens de la convention des Nations unies sur le droit de la mer (CNUDM); </w:t>
      </w:r>
    </w:p>
    <w:p w14:paraId="23FDF88B" w14:textId="389B6B24" w:rsidR="7371B75D" w:rsidRDefault="3B00BFF3" w:rsidP="4EC802CB">
      <w:pPr>
        <w:jc w:val="both"/>
        <w:rPr>
          <w:rFonts w:ascii="Times New Roman" w:eastAsia="Times New Roman" w:hAnsi="Times New Roman" w:cs="Times New Roman"/>
          <w:i/>
          <w:iCs/>
          <w:noProof/>
          <w:sz w:val="24"/>
          <w:szCs w:val="24"/>
        </w:rPr>
      </w:pPr>
      <w:r>
        <w:rPr>
          <w:rFonts w:ascii="Times New Roman" w:hAnsi="Times New Roman"/>
          <w:i/>
          <w:noProof/>
          <w:sz w:val="24"/>
        </w:rPr>
        <w:t>b) le projet de stockage de CO</w:t>
      </w:r>
      <w:r>
        <w:rPr>
          <w:rFonts w:ascii="Times New Roman" w:hAnsi="Times New Roman"/>
          <w:i/>
          <w:noProof/>
          <w:sz w:val="24"/>
          <w:vertAlign w:val="subscript"/>
        </w:rPr>
        <w:t>2</w:t>
      </w:r>
      <w:r>
        <w:rPr>
          <w:rFonts w:ascii="Times New Roman" w:hAnsi="Times New Roman"/>
          <w:i/>
          <w:noProof/>
          <w:sz w:val="24"/>
        </w:rPr>
        <w:t xml:space="preserve"> contribue à la réalisation de l’objectif énoncé à l’article 20; </w:t>
      </w:r>
    </w:p>
    <w:p w14:paraId="5D02DE48" w14:textId="77777777" w:rsidR="005C43E4" w:rsidRDefault="3B00BFF3" w:rsidP="4EC802CB">
      <w:pPr>
        <w:jc w:val="both"/>
        <w:rPr>
          <w:rFonts w:ascii="Times New Roman" w:eastAsia="Times New Roman" w:hAnsi="Times New Roman" w:cs="Times New Roman"/>
          <w:i/>
          <w:iCs/>
          <w:noProof/>
          <w:sz w:val="24"/>
          <w:szCs w:val="24"/>
        </w:rPr>
      </w:pPr>
      <w:r>
        <w:rPr>
          <w:rFonts w:ascii="Times New Roman" w:hAnsi="Times New Roman"/>
          <w:i/>
          <w:noProof/>
          <w:sz w:val="24"/>
        </w:rPr>
        <w:t>c) le projet de stockage de CO</w:t>
      </w:r>
      <w:r>
        <w:rPr>
          <w:rFonts w:ascii="Times New Roman" w:hAnsi="Times New Roman"/>
          <w:i/>
          <w:noProof/>
          <w:sz w:val="24"/>
          <w:vertAlign w:val="subscript"/>
        </w:rPr>
        <w:t>2</w:t>
      </w:r>
      <w:r>
        <w:rPr>
          <w:rFonts w:ascii="Times New Roman" w:hAnsi="Times New Roman"/>
          <w:i/>
          <w:noProof/>
          <w:sz w:val="24"/>
        </w:rPr>
        <w:t xml:space="preserve"> a fait l’objet d’une demande de permis pour le stockage géologique sûr et permanent du CO</w:t>
      </w:r>
      <w:r>
        <w:rPr>
          <w:rFonts w:ascii="Times New Roman" w:hAnsi="Times New Roman"/>
          <w:i/>
          <w:noProof/>
          <w:sz w:val="24"/>
          <w:vertAlign w:val="subscript"/>
        </w:rPr>
        <w:t>2</w:t>
      </w:r>
      <w:r>
        <w:rPr>
          <w:rFonts w:ascii="Times New Roman" w:hAnsi="Times New Roman"/>
          <w:i/>
          <w:noProof/>
          <w:sz w:val="24"/>
        </w:rPr>
        <w:t xml:space="preserve"> conformément à la directive 2009/31/CE.</w:t>
      </w:r>
    </w:p>
    <w:p w14:paraId="486D5A08" w14:textId="77777777" w:rsidR="00E74393" w:rsidRDefault="005C43E4" w:rsidP="5ADA90D7">
      <w:pPr>
        <w:jc w:val="both"/>
        <w:rPr>
          <w:rFonts w:ascii="Times New Roman" w:eastAsia="Times New Roman" w:hAnsi="Times New Roman" w:cs="Times New Roman"/>
          <w:i/>
          <w:iCs/>
          <w:noProof/>
          <w:sz w:val="24"/>
          <w:szCs w:val="24"/>
        </w:rPr>
      </w:pPr>
      <w:r>
        <w:rPr>
          <w:rFonts w:ascii="Times New Roman" w:hAnsi="Times New Roman"/>
          <w:i/>
          <w:noProof/>
          <w:sz w:val="24"/>
        </w:rPr>
        <w:t>Tout projet de captage de CO</w:t>
      </w:r>
      <w:r>
        <w:rPr>
          <w:rFonts w:ascii="Times New Roman" w:hAnsi="Times New Roman"/>
          <w:i/>
          <w:noProof/>
          <w:sz w:val="24"/>
          <w:vertAlign w:val="subscript"/>
        </w:rPr>
        <w:t>2</w:t>
      </w:r>
      <w:r>
        <w:rPr>
          <w:rFonts w:ascii="Times New Roman" w:hAnsi="Times New Roman"/>
          <w:i/>
          <w:noProof/>
          <w:sz w:val="24"/>
        </w:rPr>
        <w:t xml:space="preserve"> lié à un projet de stockage de CO</w:t>
      </w:r>
      <w:r>
        <w:rPr>
          <w:rFonts w:ascii="Times New Roman" w:hAnsi="Times New Roman"/>
          <w:i/>
          <w:noProof/>
          <w:sz w:val="24"/>
          <w:vertAlign w:val="subscript"/>
        </w:rPr>
        <w:t>2</w:t>
      </w:r>
      <w:r>
        <w:rPr>
          <w:rFonts w:ascii="Times New Roman" w:hAnsi="Times New Roman"/>
          <w:i/>
          <w:noProof/>
          <w:sz w:val="24"/>
        </w:rPr>
        <w:t xml:space="preserve"> qui remplit les critères visés au premier alinéa, et tout projet connexe d’infrastructure de CO</w:t>
      </w:r>
      <w:r>
        <w:rPr>
          <w:rFonts w:ascii="Times New Roman" w:hAnsi="Times New Roman"/>
          <w:i/>
          <w:noProof/>
          <w:sz w:val="24"/>
          <w:vertAlign w:val="subscript"/>
        </w:rPr>
        <w:t>2</w:t>
      </w:r>
      <w:r>
        <w:rPr>
          <w:rFonts w:ascii="Times New Roman" w:hAnsi="Times New Roman"/>
          <w:i/>
          <w:noProof/>
          <w:sz w:val="24"/>
        </w:rPr>
        <w:t xml:space="preserve"> nécessaire pour le transport de CO</w:t>
      </w:r>
      <w:r>
        <w:rPr>
          <w:rFonts w:ascii="Times New Roman" w:hAnsi="Times New Roman"/>
          <w:i/>
          <w:noProof/>
          <w:sz w:val="24"/>
          <w:vertAlign w:val="subscript"/>
        </w:rPr>
        <w:t>2</w:t>
      </w:r>
      <w:r>
        <w:rPr>
          <w:rFonts w:ascii="Times New Roman" w:hAnsi="Times New Roman"/>
          <w:i/>
          <w:noProof/>
          <w:sz w:val="24"/>
        </w:rPr>
        <w:t xml:space="preserve"> capté est également reconnu en tant que projet stratégique “zéro net”.</w:t>
      </w:r>
      <w:r>
        <w:rPr>
          <w:rFonts w:ascii="Times New Roman" w:hAnsi="Times New Roman"/>
          <w:noProof/>
          <w:sz w:val="24"/>
        </w:rPr>
        <w:t>»</w:t>
      </w:r>
      <w:r>
        <w:rPr>
          <w:rFonts w:ascii="Times New Roman" w:hAnsi="Times New Roman"/>
          <w:i/>
          <w:noProof/>
          <w:sz w:val="24"/>
        </w:rPr>
        <w:t xml:space="preserve"> </w:t>
      </w:r>
    </w:p>
    <w:p w14:paraId="5DD5B1EA" w14:textId="298AAF21" w:rsidR="2F22E25A" w:rsidRDefault="00B31888" w:rsidP="00E74393">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En février 2026, les États membres avaient reconnu les projets de stockage de CO</w:t>
      </w:r>
      <w:r>
        <w:rPr>
          <w:rFonts w:ascii="Times New Roman" w:hAnsi="Times New Roman"/>
          <w:noProof/>
          <w:sz w:val="24"/>
          <w:vertAlign w:val="subscript"/>
        </w:rPr>
        <w:t>2</w:t>
      </w:r>
      <w:r>
        <w:rPr>
          <w:rFonts w:ascii="Times New Roman" w:hAnsi="Times New Roman"/>
          <w:noProof/>
          <w:sz w:val="24"/>
        </w:rPr>
        <w:t xml:space="preserve"> suivants en tant que projets stratégiques «zéro net»:</w:t>
      </w:r>
    </w:p>
    <w:p w14:paraId="64225BB8" w14:textId="3606C3C9" w:rsidR="018B69B9" w:rsidRDefault="0700200A"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Site de stockage du projet ACCSION (Danemark)</w:t>
      </w:r>
    </w:p>
    <w:p w14:paraId="6BEFE3D6" w14:textId="3C91CF09" w:rsidR="42327E1B" w:rsidRDefault="75ABA846"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Site de stockage ANRAV-CCUS (Bulgarie)</w:t>
      </w:r>
    </w:p>
    <w:p w14:paraId="33B48510" w14:textId="40C05E04" w:rsidR="6CDC33FB" w:rsidRDefault="00885F32"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Site de stockage potentiel dans le cadre du projet CO</w:t>
      </w:r>
      <w:r>
        <w:rPr>
          <w:rFonts w:ascii="Times New Roman" w:hAnsi="Times New Roman"/>
          <w:noProof/>
          <w:sz w:val="24"/>
          <w:vertAlign w:val="subscript"/>
        </w:rPr>
        <w:t>2</w:t>
      </w:r>
      <w:r>
        <w:rPr>
          <w:rFonts w:ascii="Times New Roman" w:hAnsi="Times New Roman"/>
          <w:noProof/>
          <w:sz w:val="24"/>
        </w:rPr>
        <w:t xml:space="preserve"> Hub Northern Denmark (Danemark)</w:t>
      </w:r>
    </w:p>
    <w:p w14:paraId="4592B2FB" w14:textId="6D76B8AA" w:rsidR="1F5D2717" w:rsidRPr="00E45753" w:rsidRDefault="26151B59" w:rsidP="00E74393">
      <w:pPr>
        <w:pStyle w:val="ListParagraph"/>
        <w:numPr>
          <w:ilvl w:val="0"/>
          <w:numId w:val="42"/>
        </w:numPr>
        <w:spacing w:line="276" w:lineRule="auto"/>
        <w:jc w:val="both"/>
        <w:rPr>
          <w:rFonts w:ascii="Times New Roman" w:eastAsia="Times New Roman" w:hAnsi="Times New Roman" w:cs="Times New Roman"/>
          <w:noProof/>
          <w:sz w:val="24"/>
          <w:szCs w:val="24"/>
          <w:lang w:val="en-US"/>
        </w:rPr>
      </w:pPr>
      <w:r w:rsidRPr="00E45753">
        <w:rPr>
          <w:rFonts w:ascii="Times New Roman" w:hAnsi="Times New Roman"/>
          <w:noProof/>
          <w:sz w:val="24"/>
          <w:lang w:val="en-US"/>
        </w:rPr>
        <w:t>Projet CO</w:t>
      </w:r>
      <w:r w:rsidRPr="00E45753">
        <w:rPr>
          <w:rFonts w:ascii="Times New Roman" w:hAnsi="Times New Roman"/>
          <w:noProof/>
          <w:sz w:val="24"/>
          <w:vertAlign w:val="subscript"/>
          <w:lang w:val="en-US"/>
        </w:rPr>
        <w:t>2</w:t>
      </w:r>
      <w:r w:rsidRPr="00E45753">
        <w:rPr>
          <w:rFonts w:ascii="Times New Roman" w:hAnsi="Times New Roman"/>
          <w:noProof/>
          <w:sz w:val="24"/>
          <w:lang w:val="en-US"/>
        </w:rPr>
        <w:t xml:space="preserve"> Storage Kalundborg (Danemark)</w:t>
      </w:r>
    </w:p>
    <w:p w14:paraId="0D74C97D" w14:textId="7E97443F" w:rsidR="4097C077" w:rsidRDefault="5B20782A"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Site de stockage de Greenstore (Danemark)</w:t>
      </w:r>
    </w:p>
    <w:p w14:paraId="21F3F0CD" w14:textId="0C2213B6" w:rsidR="4097C077" w:rsidRDefault="4FC2D6E1"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Sites de stockage P18-2 et P8-4 (Pays-Bas)</w:t>
      </w:r>
    </w:p>
    <w:p w14:paraId="63E403E8" w14:textId="1C38F586" w:rsidR="4097C077" w:rsidRDefault="248299E2"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Sites de stockage K14, L04-A et L10 (Pays-Bas).</w:t>
      </w:r>
    </w:p>
    <w:p w14:paraId="381FDFDF" w14:textId="6E913183" w:rsidR="50F0E240" w:rsidRDefault="339B50D8" w:rsidP="00E74393">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Cette liste ne comprend pas tous les projets de stockage dans l’UE qui devraient contribuer à la capacité d’injection annuelle visée par l’UE. Les États membres devraient reconnaître d’urgence les projets stratégiques «zéro net» afin d’accélérer le rythme de déploiement des projets et d’atteindre la capacité d’injection annuelle visée par l’UE.</w:t>
      </w:r>
    </w:p>
    <w:p w14:paraId="5312676A" w14:textId="083ECA6E" w:rsidR="50F0E240" w:rsidRPr="00E45753" w:rsidRDefault="50F0E240" w:rsidP="50F0E240">
      <w:pPr>
        <w:jc w:val="both"/>
        <w:rPr>
          <w:rFonts w:ascii="Times New Roman" w:eastAsia="Times New Roman" w:hAnsi="Times New Roman" w:cs="Times New Roman"/>
          <w:noProof/>
          <w:sz w:val="24"/>
          <w:szCs w:val="24"/>
          <w:lang w:val="fr-BE" w:eastAsia="fr-BE"/>
        </w:rPr>
      </w:pPr>
    </w:p>
    <w:p w14:paraId="46D7A66D" w14:textId="77777777" w:rsidR="008D148B" w:rsidRDefault="008D148B" w:rsidP="127D16E9">
      <w:pPr>
        <w:rPr>
          <w:rFonts w:ascii="Times New Roman" w:eastAsiaTheme="majorEastAsia" w:hAnsi="Times New Roman" w:cstheme="majorBidi"/>
          <w:b/>
          <w:bCs/>
          <w:caps/>
          <w:noProof/>
          <w:color w:val="000000" w:themeColor="text1"/>
          <w:sz w:val="24"/>
          <w:szCs w:val="24"/>
        </w:rPr>
      </w:pPr>
      <w:r>
        <w:rPr>
          <w:noProof/>
        </w:rPr>
        <w:br w:type="page"/>
      </w:r>
    </w:p>
    <w:p w14:paraId="54449EAE" w14:textId="4A30A285" w:rsidR="003D5B86" w:rsidRPr="007F793F" w:rsidRDefault="006736B1" w:rsidP="003D5B86">
      <w:pPr>
        <w:pStyle w:val="Heading2"/>
        <w:rPr>
          <w:noProof/>
        </w:rPr>
      </w:pPr>
      <w:bookmarkStart w:id="12" w:name="_Toc229054827"/>
      <w:r>
        <w:rPr>
          <w:noProof/>
        </w:rPr>
        <w:t>Soutien au titre des programmes de financement nationaux et de l’UE</w:t>
      </w:r>
      <w:bookmarkEnd w:id="12"/>
    </w:p>
    <w:p w14:paraId="0A4F9920" w14:textId="77777777" w:rsidR="00183BB1" w:rsidRPr="00E45753" w:rsidRDefault="00183BB1" w:rsidP="00A2116B">
      <w:pPr>
        <w:spacing w:line="276" w:lineRule="auto"/>
        <w:rPr>
          <w:rFonts w:ascii="Times New Roman" w:eastAsia="Times New Roman" w:hAnsi="Times New Roman" w:cs="Times New Roman"/>
          <w:b/>
          <w:bCs/>
          <w:noProof/>
          <w:sz w:val="24"/>
          <w:szCs w:val="24"/>
          <w:lang w:val="fr-BE" w:eastAsia="fr-BE"/>
        </w:rPr>
      </w:pPr>
    </w:p>
    <w:p w14:paraId="62AF79FC" w14:textId="542ADD65" w:rsidR="009062C7" w:rsidRPr="008D06AE" w:rsidRDefault="00B1618A" w:rsidP="008D06AE">
      <w:pPr>
        <w:pStyle w:val="Heading3"/>
        <w:rPr>
          <w:rFonts w:eastAsia="Times New Roman"/>
          <w:noProof/>
        </w:rPr>
      </w:pPr>
      <w:bookmarkStart w:id="13" w:name="_Toc229054828"/>
      <w:r>
        <w:rPr>
          <w:noProof/>
        </w:rPr>
        <w:t>Contribution du Fonds pour l’innovation</w:t>
      </w:r>
      <w:bookmarkEnd w:id="13"/>
      <w:r>
        <w:rPr>
          <w:noProof/>
        </w:rPr>
        <w:t xml:space="preserve"> </w:t>
      </w:r>
    </w:p>
    <w:p w14:paraId="0C084357" w14:textId="30F23BE1" w:rsidR="00501BB8" w:rsidRDefault="68A2B791" w:rsidP="00352473">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En mars 2026, le Fonds pour l’innovation soutenait 60 projets de captage, de transport et de stockage ou d’utilisation du CO</w:t>
      </w:r>
      <w:r>
        <w:rPr>
          <w:rFonts w:ascii="Times New Roman" w:hAnsi="Times New Roman"/>
          <w:noProof/>
          <w:sz w:val="24"/>
          <w:vertAlign w:val="subscript"/>
        </w:rPr>
        <w:t>2</w:t>
      </w:r>
      <w:r>
        <w:rPr>
          <w:rFonts w:ascii="Times New Roman" w:hAnsi="Times New Roman"/>
          <w:noProof/>
          <w:sz w:val="24"/>
        </w:rPr>
        <w:t>, avec environ 6,65 milliards d’EUR de subventions engagées. La capacité d’injection de CO</w:t>
      </w:r>
      <w:r>
        <w:rPr>
          <w:rFonts w:ascii="Times New Roman" w:hAnsi="Times New Roman"/>
          <w:noProof/>
          <w:sz w:val="24"/>
          <w:vertAlign w:val="subscript"/>
        </w:rPr>
        <w:t>2</w:t>
      </w:r>
      <w:r>
        <w:rPr>
          <w:rFonts w:ascii="Times New Roman" w:hAnsi="Times New Roman"/>
          <w:noProof/>
          <w:sz w:val="24"/>
        </w:rPr>
        <w:t xml:space="preserve"> est directement financée par des subventions à hauteur de 630 millions d’EUR en faveur de six projets de stockage de CO</w:t>
      </w:r>
      <w:r>
        <w:rPr>
          <w:rFonts w:ascii="Times New Roman" w:hAnsi="Times New Roman"/>
          <w:noProof/>
          <w:sz w:val="24"/>
          <w:vertAlign w:val="subscript"/>
        </w:rPr>
        <w:t>2</w:t>
      </w:r>
      <w:r>
        <w:rPr>
          <w:rFonts w:ascii="Times New Roman" w:hAnsi="Times New Roman"/>
          <w:noProof/>
          <w:sz w:val="24"/>
        </w:rPr>
        <w:t xml:space="preserve"> et couvrant la chaîne complète de CSC, dont la mise en service est prévue d’ici à 2030</w:t>
      </w:r>
      <w:r>
        <w:rPr>
          <w:rStyle w:val="FootnoteReference"/>
          <w:rFonts w:ascii="Times New Roman" w:eastAsia="Times New Roman" w:hAnsi="Times New Roman" w:cs="Times New Roman"/>
          <w:noProof/>
          <w:sz w:val="24"/>
          <w:szCs w:val="24"/>
          <w:lang w:val="en-GB" w:eastAsia="fr-BE"/>
        </w:rPr>
        <w:footnoteReference w:id="53"/>
      </w:r>
      <w:r>
        <w:rPr>
          <w:rFonts w:ascii="Times New Roman" w:hAnsi="Times New Roman"/>
          <w:noProof/>
          <w:sz w:val="24"/>
        </w:rPr>
        <w:t>. Ces projets, énumérés dans le tableau 6, devraient fournir environ 7 millions de tonnes de capacité d’injection de CO</w:t>
      </w:r>
      <w:r>
        <w:rPr>
          <w:rFonts w:ascii="Times New Roman" w:hAnsi="Times New Roman"/>
          <w:noProof/>
          <w:sz w:val="24"/>
          <w:vertAlign w:val="subscript"/>
        </w:rPr>
        <w:t>2</w:t>
      </w:r>
      <w:r>
        <w:rPr>
          <w:rFonts w:ascii="Times New Roman" w:hAnsi="Times New Roman"/>
          <w:noProof/>
          <w:sz w:val="24"/>
        </w:rPr>
        <w:t>, soit 20 % de la capacité d’injection annuelle visée par l’UE.</w:t>
      </w:r>
    </w:p>
    <w:p w14:paraId="7791B441" w14:textId="255F8D5D" w:rsidR="008B7F9A" w:rsidRPr="00385CB0" w:rsidRDefault="00933D70" w:rsidP="4EC802CB">
      <w:pPr>
        <w:shd w:val="clear" w:color="auto" w:fill="FFFFFF" w:themeFill="background1"/>
        <w:spacing w:after="120" w:line="276" w:lineRule="auto"/>
        <w:jc w:val="both"/>
        <w:rPr>
          <w:rFonts w:ascii="Times New Roman" w:eastAsia="Times New Roman" w:hAnsi="Times New Roman" w:cs="Times New Roman"/>
          <w:noProof/>
          <w:sz w:val="24"/>
          <w:szCs w:val="24"/>
        </w:rPr>
      </w:pPr>
      <w:bookmarkStart w:id="14" w:name="_Hlk224200300"/>
      <w:r>
        <w:rPr>
          <w:rFonts w:ascii="Times New Roman" w:hAnsi="Times New Roman"/>
          <w:noProof/>
          <w:sz w:val="24"/>
        </w:rPr>
        <w:t>Les 33 projets de captage du CO</w:t>
      </w:r>
      <w:r>
        <w:rPr>
          <w:rFonts w:ascii="Times New Roman" w:hAnsi="Times New Roman"/>
          <w:noProof/>
          <w:sz w:val="24"/>
          <w:vertAlign w:val="subscript"/>
        </w:rPr>
        <w:t>2</w:t>
      </w:r>
      <w:r>
        <w:rPr>
          <w:rFonts w:ascii="Times New Roman" w:hAnsi="Times New Roman"/>
          <w:noProof/>
          <w:sz w:val="24"/>
        </w:rPr>
        <w:t xml:space="preserve"> financés au titre du portefeuille du Fonds pour l’innovation devraient nécessiter une capacité d’injection de 25,3 millions de tonnes de CO</w:t>
      </w:r>
      <w:r>
        <w:rPr>
          <w:rFonts w:ascii="Times New Roman" w:hAnsi="Times New Roman"/>
          <w:noProof/>
          <w:sz w:val="24"/>
          <w:vertAlign w:val="subscript"/>
        </w:rPr>
        <w:t>2</w:t>
      </w:r>
      <w:r>
        <w:rPr>
          <w:rFonts w:ascii="Times New Roman" w:hAnsi="Times New Roman"/>
          <w:noProof/>
          <w:sz w:val="24"/>
        </w:rPr>
        <w:t xml:space="preserve"> par an dans les sites de stockage, soit 50 % de la demande pour atteindre la capacité d’injection annuelle visée par l’UE</w:t>
      </w:r>
      <w:bookmarkEnd w:id="14"/>
      <w:r>
        <w:rPr>
          <w:rFonts w:ascii="Times New Roman" w:hAnsi="Times New Roman"/>
          <w:noProof/>
          <w:sz w:val="24"/>
        </w:rPr>
        <w:t>. Depuis 2020, au total, plus de 100 projets de captage de CO</w:t>
      </w:r>
      <w:r>
        <w:rPr>
          <w:rFonts w:ascii="Times New Roman" w:hAnsi="Times New Roman"/>
          <w:noProof/>
          <w:sz w:val="24"/>
          <w:vertAlign w:val="subscript"/>
        </w:rPr>
        <w:t>2</w:t>
      </w:r>
      <w:r>
        <w:rPr>
          <w:rFonts w:ascii="Times New Roman" w:hAnsi="Times New Roman"/>
          <w:noProof/>
          <w:sz w:val="24"/>
        </w:rPr>
        <w:t xml:space="preserve"> ont demandé à bénéficier d’un soutien du Fonds pour l’innovation. Dans le cadre de ces projets, plus de 80 millions de tonnes par an seraient captées en vue d’un stockage permanent dans l’UE. </w:t>
      </w:r>
    </w:p>
    <w:p w14:paraId="221B7BC0" w14:textId="189788B5" w:rsidR="006E0BFE" w:rsidRPr="00E45753" w:rsidRDefault="006E0BFE" w:rsidP="00EB387C">
      <w:pPr>
        <w:rPr>
          <w:noProof/>
          <w:lang w:val="fr-BE"/>
        </w:rPr>
      </w:pPr>
    </w:p>
    <w:p w14:paraId="64246BF4" w14:textId="77777777" w:rsidR="001402AC" w:rsidRDefault="001402AC">
      <w:pPr>
        <w:rPr>
          <w:rFonts w:ascii="Times New Roman" w:eastAsia="Times New Roman" w:hAnsi="Times New Roman" w:cs="Times New Roman"/>
          <w:i/>
          <w:iCs/>
          <w:noProof/>
          <w:sz w:val="24"/>
          <w:szCs w:val="24"/>
        </w:rPr>
      </w:pPr>
      <w:r>
        <w:rPr>
          <w:noProof/>
        </w:rPr>
        <w:br w:type="page"/>
      </w:r>
    </w:p>
    <w:p w14:paraId="4F3B9EAC" w14:textId="0CA65556" w:rsidR="00A32E39" w:rsidRPr="00A32E39" w:rsidRDefault="00A32E39" w:rsidP="000A00EB">
      <w:pPr>
        <w:jc w:val="both"/>
        <w:rPr>
          <w:rFonts w:ascii="Times New Roman" w:eastAsia="Times New Roman" w:hAnsi="Times New Roman" w:cs="Times New Roman"/>
          <w:i/>
          <w:iCs/>
          <w:noProof/>
          <w:sz w:val="24"/>
          <w:szCs w:val="24"/>
        </w:rPr>
      </w:pPr>
      <w:r>
        <w:rPr>
          <w:rFonts w:ascii="Times New Roman" w:hAnsi="Times New Roman"/>
          <w:i/>
          <w:noProof/>
          <w:sz w:val="24"/>
        </w:rPr>
        <w:t>Tableau 6 – Projets sélectionnés au titre du Fonds pour l’innovation (y compris les projets pilotes et les projets invités à préparer les conventions de subvention) et contribuant à la capacité d’injection annuelle visée par l’UE grâce au financement direct d’installations de stockage.</w:t>
      </w:r>
    </w:p>
    <w:tbl>
      <w:tblPr>
        <w:tblStyle w:val="TableGrid"/>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984"/>
        <w:gridCol w:w="2835"/>
        <w:gridCol w:w="2693"/>
      </w:tblGrid>
      <w:tr w:rsidR="00183BB1" w14:paraId="0A4F9928" w14:textId="77777777" w:rsidTr="01060631">
        <w:trPr>
          <w:trHeight w:val="841"/>
        </w:trPr>
        <w:tc>
          <w:tcPr>
            <w:tcW w:w="2235" w:type="dxa"/>
          </w:tcPr>
          <w:p w14:paraId="0A4F9924" w14:textId="77777777" w:rsidR="00183BB1" w:rsidRPr="00EA7262" w:rsidRDefault="00183BB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Projet</w:t>
            </w:r>
          </w:p>
        </w:tc>
        <w:tc>
          <w:tcPr>
            <w:tcW w:w="1984" w:type="dxa"/>
          </w:tcPr>
          <w:p w14:paraId="0A4F9925" w14:textId="77777777" w:rsidR="00183BB1" w:rsidRPr="00EA7262" w:rsidRDefault="00183BB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État membre</w:t>
            </w:r>
          </w:p>
        </w:tc>
        <w:tc>
          <w:tcPr>
            <w:tcW w:w="2835" w:type="dxa"/>
          </w:tcPr>
          <w:p w14:paraId="0A4F9926" w14:textId="77777777" w:rsidR="00183BB1" w:rsidRPr="00731E95" w:rsidRDefault="00183BB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Année d’entrée en service prévue</w:t>
            </w:r>
          </w:p>
        </w:tc>
        <w:tc>
          <w:tcPr>
            <w:tcW w:w="2693" w:type="dxa"/>
          </w:tcPr>
          <w:p w14:paraId="0A4F9927" w14:textId="29BC8053" w:rsidR="00183BB1" w:rsidRPr="00731E95" w:rsidRDefault="0008232C"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Capacité d’injection estimée (en millions de tonnes de CO</w:t>
            </w:r>
            <w:r>
              <w:rPr>
                <w:rFonts w:ascii="Times New Roman" w:hAnsi="Times New Roman"/>
                <w:b/>
                <w:noProof/>
                <w:sz w:val="24"/>
                <w:vertAlign w:val="subscript"/>
              </w:rPr>
              <w:t>2</w:t>
            </w:r>
            <w:r>
              <w:rPr>
                <w:rFonts w:ascii="Times New Roman" w:hAnsi="Times New Roman"/>
                <w:b/>
                <w:noProof/>
                <w:sz w:val="24"/>
              </w:rPr>
              <w:t xml:space="preserve"> par an)</w:t>
            </w:r>
          </w:p>
        </w:tc>
      </w:tr>
      <w:tr w:rsidR="00183BB1" w14:paraId="0A4F9932" w14:textId="77777777" w:rsidTr="01060631">
        <w:trPr>
          <w:trHeight w:val="777"/>
        </w:trPr>
        <w:tc>
          <w:tcPr>
            <w:tcW w:w="2235" w:type="dxa"/>
          </w:tcPr>
          <w:p w14:paraId="0A4F992E"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ANRAV-CCUS</w:t>
            </w:r>
          </w:p>
        </w:tc>
        <w:tc>
          <w:tcPr>
            <w:tcW w:w="1984" w:type="dxa"/>
          </w:tcPr>
          <w:p w14:paraId="0A4F992F"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Bulgarie</w:t>
            </w:r>
          </w:p>
        </w:tc>
        <w:tc>
          <w:tcPr>
            <w:tcW w:w="2835" w:type="dxa"/>
          </w:tcPr>
          <w:p w14:paraId="0A4F9930"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2028</w:t>
            </w:r>
          </w:p>
        </w:tc>
        <w:tc>
          <w:tcPr>
            <w:tcW w:w="2693" w:type="dxa"/>
          </w:tcPr>
          <w:p w14:paraId="0A4F9931" w14:textId="65DFCBC2"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0,78</w:t>
            </w:r>
          </w:p>
        </w:tc>
      </w:tr>
      <w:tr w:rsidR="00183BB1" w14:paraId="0A4F9937" w14:textId="77777777" w:rsidTr="01060631">
        <w:trPr>
          <w:trHeight w:val="777"/>
        </w:trPr>
        <w:tc>
          <w:tcPr>
            <w:tcW w:w="2235" w:type="dxa"/>
          </w:tcPr>
          <w:p w14:paraId="0A4F9933"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Danube Removals</w:t>
            </w:r>
          </w:p>
        </w:tc>
        <w:tc>
          <w:tcPr>
            <w:tcW w:w="1984" w:type="dxa"/>
          </w:tcPr>
          <w:p w14:paraId="0A4F9934"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Hongrie</w:t>
            </w:r>
          </w:p>
        </w:tc>
        <w:tc>
          <w:tcPr>
            <w:tcW w:w="2835" w:type="dxa"/>
          </w:tcPr>
          <w:p w14:paraId="0A4F9935"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2027</w:t>
            </w:r>
          </w:p>
        </w:tc>
        <w:tc>
          <w:tcPr>
            <w:tcW w:w="2693" w:type="dxa"/>
          </w:tcPr>
          <w:p w14:paraId="0A4F9936" w14:textId="6B407148"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 xml:space="preserve">0,57 </w:t>
            </w:r>
          </w:p>
        </w:tc>
      </w:tr>
      <w:tr w:rsidR="00183BB1" w14:paraId="0A4F993C" w14:textId="77777777" w:rsidTr="01060631">
        <w:trPr>
          <w:trHeight w:val="777"/>
        </w:trPr>
        <w:tc>
          <w:tcPr>
            <w:tcW w:w="2235" w:type="dxa"/>
          </w:tcPr>
          <w:p w14:paraId="0A4F9938"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Greensand Future</w:t>
            </w:r>
          </w:p>
        </w:tc>
        <w:tc>
          <w:tcPr>
            <w:tcW w:w="1984" w:type="dxa"/>
          </w:tcPr>
          <w:p w14:paraId="0A4F9939"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Danemark</w:t>
            </w:r>
          </w:p>
        </w:tc>
        <w:tc>
          <w:tcPr>
            <w:tcW w:w="2835" w:type="dxa"/>
          </w:tcPr>
          <w:p w14:paraId="0A4F993A"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2025</w:t>
            </w:r>
          </w:p>
        </w:tc>
        <w:tc>
          <w:tcPr>
            <w:tcW w:w="2693" w:type="dxa"/>
          </w:tcPr>
          <w:p w14:paraId="0A4F993B" w14:textId="58678AE7" w:rsidR="00183BB1" w:rsidRPr="00074680"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 xml:space="preserve">0,3 </w:t>
            </w:r>
          </w:p>
        </w:tc>
      </w:tr>
      <w:tr w:rsidR="4EC802CB" w14:paraId="79DE2CC5" w14:textId="77777777" w:rsidTr="01060631">
        <w:trPr>
          <w:trHeight w:val="777"/>
        </w:trPr>
        <w:tc>
          <w:tcPr>
            <w:tcW w:w="2235" w:type="dxa"/>
          </w:tcPr>
          <w:p w14:paraId="0FEDAB9A" w14:textId="2CF1080D" w:rsidR="5F55C63D" w:rsidRDefault="5F55C63D" w:rsidP="4EC802CB">
            <w:pPr>
              <w:spacing w:before="240" w:after="240" w:line="276" w:lineRule="auto"/>
              <w:jc w:val="center"/>
              <w:rPr>
                <w:noProof/>
              </w:rPr>
            </w:pPr>
            <w:r>
              <w:rPr>
                <w:rFonts w:ascii="Times New Roman" w:hAnsi="Times New Roman"/>
                <w:noProof/>
                <w:sz w:val="24"/>
              </w:rPr>
              <w:t>HuCCSar</w:t>
            </w:r>
          </w:p>
        </w:tc>
        <w:tc>
          <w:tcPr>
            <w:tcW w:w="1984" w:type="dxa"/>
          </w:tcPr>
          <w:p w14:paraId="6DDC75A5" w14:textId="39C25C3E" w:rsidR="5EB19A24" w:rsidRDefault="5EB19A24" w:rsidP="4EC802CB">
            <w:pPr>
              <w:spacing w:before="240" w:after="240" w:line="276" w:lineRule="auto"/>
              <w:jc w:val="center"/>
              <w:rPr>
                <w:noProof/>
              </w:rPr>
            </w:pPr>
            <w:r>
              <w:rPr>
                <w:rFonts w:ascii="Times New Roman" w:hAnsi="Times New Roman"/>
                <w:noProof/>
                <w:sz w:val="24"/>
              </w:rPr>
              <w:t>Pologne</w:t>
            </w:r>
          </w:p>
        </w:tc>
        <w:tc>
          <w:tcPr>
            <w:tcW w:w="2835" w:type="dxa"/>
          </w:tcPr>
          <w:p w14:paraId="570FA55B" w14:textId="59560BC4" w:rsidR="4EC802CB" w:rsidRDefault="4EC802CB" w:rsidP="4EC802C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2028</w:t>
            </w:r>
          </w:p>
        </w:tc>
        <w:tc>
          <w:tcPr>
            <w:tcW w:w="2693" w:type="dxa"/>
          </w:tcPr>
          <w:p w14:paraId="7B378BCF" w14:textId="580A126D" w:rsidR="4EC802CB" w:rsidRDefault="004136D5" w:rsidP="4EC802C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0,005</w:t>
            </w:r>
          </w:p>
        </w:tc>
      </w:tr>
      <w:tr w:rsidR="00183BB1" w14:paraId="0A4F9941" w14:textId="77777777" w:rsidTr="01060631">
        <w:trPr>
          <w:trHeight w:val="777"/>
        </w:trPr>
        <w:tc>
          <w:tcPr>
            <w:tcW w:w="2235" w:type="dxa"/>
          </w:tcPr>
          <w:p w14:paraId="0A4F993D"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LaunchStores</w:t>
            </w:r>
          </w:p>
        </w:tc>
        <w:tc>
          <w:tcPr>
            <w:tcW w:w="1984" w:type="dxa"/>
          </w:tcPr>
          <w:p w14:paraId="0A4F993E"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Pays-Bas</w:t>
            </w:r>
          </w:p>
        </w:tc>
        <w:tc>
          <w:tcPr>
            <w:tcW w:w="2835" w:type="dxa"/>
          </w:tcPr>
          <w:p w14:paraId="0A4F993F"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2029</w:t>
            </w:r>
          </w:p>
        </w:tc>
        <w:tc>
          <w:tcPr>
            <w:tcW w:w="2693" w:type="dxa"/>
          </w:tcPr>
          <w:p w14:paraId="0A4F9940" w14:textId="04A0067F" w:rsidR="00183BB1" w:rsidRDefault="40AD2802"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3,3</w:t>
            </w:r>
            <w:r>
              <w:rPr>
                <w:rStyle w:val="FootnoteReference"/>
                <w:rFonts w:ascii="Times New Roman" w:eastAsia="Times New Roman" w:hAnsi="Times New Roman" w:cs="Times New Roman"/>
                <w:noProof/>
                <w:sz w:val="24"/>
                <w:szCs w:val="24"/>
                <w:lang w:val="en-GB" w:eastAsia="fr-BE"/>
              </w:rPr>
              <w:footnoteReference w:id="54"/>
            </w:r>
            <w:r>
              <w:rPr>
                <w:rFonts w:ascii="Times New Roman" w:hAnsi="Times New Roman"/>
                <w:noProof/>
                <w:sz w:val="24"/>
              </w:rPr>
              <w:t xml:space="preserve"> </w:t>
            </w:r>
          </w:p>
        </w:tc>
      </w:tr>
      <w:tr w:rsidR="00183BB1" w14:paraId="0A4F9946" w14:textId="77777777" w:rsidTr="01060631">
        <w:trPr>
          <w:trHeight w:val="777"/>
        </w:trPr>
        <w:tc>
          <w:tcPr>
            <w:tcW w:w="2235" w:type="dxa"/>
            <w:tcBorders>
              <w:bottom w:val="single" w:sz="4" w:space="0" w:color="auto"/>
            </w:tcBorders>
          </w:tcPr>
          <w:p w14:paraId="0A4F9942"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TarraCO</w:t>
            </w:r>
            <w:r>
              <w:rPr>
                <w:rFonts w:ascii="Times New Roman" w:hAnsi="Times New Roman"/>
                <w:noProof/>
                <w:sz w:val="24"/>
                <w:vertAlign w:val="subscript"/>
              </w:rPr>
              <w:t>2</w:t>
            </w:r>
            <w:r>
              <w:rPr>
                <w:rFonts w:ascii="Times New Roman" w:hAnsi="Times New Roman"/>
                <w:noProof/>
                <w:sz w:val="24"/>
              </w:rPr>
              <w:t>-Storage</w:t>
            </w:r>
          </w:p>
        </w:tc>
        <w:tc>
          <w:tcPr>
            <w:tcW w:w="1984" w:type="dxa"/>
            <w:tcBorders>
              <w:bottom w:val="single" w:sz="4" w:space="0" w:color="auto"/>
            </w:tcBorders>
          </w:tcPr>
          <w:p w14:paraId="0A4F9943"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Espagne</w:t>
            </w:r>
          </w:p>
        </w:tc>
        <w:tc>
          <w:tcPr>
            <w:tcW w:w="2835" w:type="dxa"/>
            <w:tcBorders>
              <w:bottom w:val="single" w:sz="4" w:space="0" w:color="auto"/>
            </w:tcBorders>
          </w:tcPr>
          <w:p w14:paraId="0A4F9944"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2030</w:t>
            </w:r>
          </w:p>
        </w:tc>
        <w:tc>
          <w:tcPr>
            <w:tcW w:w="2693" w:type="dxa"/>
          </w:tcPr>
          <w:p w14:paraId="0A4F9945" w14:textId="77777777" w:rsidR="00183BB1" w:rsidRDefault="00183BB1" w:rsidP="00A2116B">
            <w:pPr>
              <w:spacing w:before="240" w:after="240" w:line="276" w:lineRule="auto"/>
              <w:jc w:val="center"/>
              <w:rPr>
                <w:rFonts w:ascii="Times New Roman" w:eastAsia="Times New Roman" w:hAnsi="Times New Roman" w:cs="Times New Roman"/>
                <w:noProof/>
                <w:sz w:val="24"/>
                <w:szCs w:val="24"/>
              </w:rPr>
            </w:pPr>
            <w:r>
              <w:rPr>
                <w:rFonts w:ascii="Times New Roman" w:hAnsi="Times New Roman"/>
                <w:noProof/>
                <w:sz w:val="24"/>
              </w:rPr>
              <w:t>2</w:t>
            </w:r>
          </w:p>
        </w:tc>
      </w:tr>
      <w:tr w:rsidR="00183BB1" w14:paraId="0A4F9949" w14:textId="77777777" w:rsidTr="01060631">
        <w:trPr>
          <w:trHeight w:val="777"/>
        </w:trPr>
        <w:tc>
          <w:tcPr>
            <w:tcW w:w="7054" w:type="dxa"/>
            <w:gridSpan w:val="3"/>
            <w:tcBorders>
              <w:top w:val="single" w:sz="4" w:space="0" w:color="auto"/>
              <w:left w:val="nil"/>
              <w:bottom w:val="nil"/>
              <w:right w:val="single" w:sz="4" w:space="0" w:color="auto"/>
            </w:tcBorders>
          </w:tcPr>
          <w:p w14:paraId="0A4F9947" w14:textId="4A8C3E10" w:rsidR="00183BB1" w:rsidRDefault="00183BB1" w:rsidP="00A2116B">
            <w:pPr>
              <w:spacing w:before="240" w:after="240" w:line="276" w:lineRule="auto"/>
              <w:jc w:val="center"/>
              <w:rPr>
                <w:rFonts w:ascii="Times New Roman" w:eastAsia="Times New Roman" w:hAnsi="Times New Roman" w:cs="Times New Roman"/>
                <w:noProof/>
                <w:sz w:val="24"/>
                <w:szCs w:val="24"/>
                <w:lang w:val="en-GB" w:eastAsia="fr-BE"/>
              </w:rPr>
            </w:pPr>
          </w:p>
        </w:tc>
        <w:tc>
          <w:tcPr>
            <w:tcW w:w="2693" w:type="dxa"/>
            <w:tcBorders>
              <w:left w:val="single" w:sz="4" w:space="0" w:color="auto"/>
            </w:tcBorders>
          </w:tcPr>
          <w:p w14:paraId="0A4F9948" w14:textId="3691A779" w:rsidR="00183BB1" w:rsidRPr="00FC1B2F" w:rsidRDefault="00A85E91" w:rsidP="00A2116B">
            <w:pPr>
              <w:spacing w:before="240" w:after="240" w:line="276" w:lineRule="auto"/>
              <w:jc w:val="center"/>
              <w:rPr>
                <w:rFonts w:ascii="Times New Roman" w:eastAsia="Times New Roman" w:hAnsi="Times New Roman" w:cs="Times New Roman"/>
                <w:b/>
                <w:bCs/>
                <w:noProof/>
                <w:sz w:val="24"/>
                <w:szCs w:val="24"/>
              </w:rPr>
            </w:pPr>
            <w:r>
              <w:rPr>
                <w:rFonts w:ascii="Times New Roman" w:hAnsi="Times New Roman"/>
                <w:b/>
                <w:noProof/>
                <w:sz w:val="24"/>
              </w:rPr>
              <w:t>7</w:t>
            </w:r>
          </w:p>
        </w:tc>
      </w:tr>
    </w:tbl>
    <w:p w14:paraId="0A4F994B" w14:textId="77777777" w:rsidR="00183BB1" w:rsidRDefault="00183BB1" w:rsidP="00A2116B">
      <w:pPr>
        <w:spacing w:line="276" w:lineRule="auto"/>
        <w:jc w:val="both"/>
        <w:rPr>
          <w:rFonts w:ascii="Times New Roman" w:eastAsia="Times New Roman" w:hAnsi="Times New Roman" w:cs="Times New Roman"/>
          <w:noProof/>
          <w:sz w:val="24"/>
          <w:szCs w:val="24"/>
          <w:lang w:val="en-GB" w:eastAsia="fr-BE"/>
        </w:rPr>
      </w:pPr>
    </w:p>
    <w:p w14:paraId="3336A114" w14:textId="77777777" w:rsidR="00632A19" w:rsidRDefault="00632A19">
      <w:pPr>
        <w:rPr>
          <w:rFonts w:ascii="Times New Roman" w:eastAsia="Times New Roman" w:hAnsi="Times New Roman" w:cstheme="majorBidi"/>
          <w:b/>
          <w:noProof/>
          <w:color w:val="000000" w:themeColor="text1"/>
          <w:sz w:val="24"/>
          <w:szCs w:val="28"/>
        </w:rPr>
      </w:pPr>
      <w:r>
        <w:rPr>
          <w:noProof/>
        </w:rPr>
        <w:br w:type="page"/>
      </w:r>
    </w:p>
    <w:p w14:paraId="7DDB970D" w14:textId="77777777" w:rsidR="00325B1B" w:rsidRDefault="00B1618A" w:rsidP="00305238">
      <w:pPr>
        <w:pStyle w:val="Heading3"/>
        <w:rPr>
          <w:noProof/>
        </w:rPr>
      </w:pPr>
      <w:bookmarkStart w:id="15" w:name="_Toc229054829"/>
      <w:r>
        <w:rPr>
          <w:noProof/>
        </w:rPr>
        <w:t>Contribution du mécanisme pour l’interconnexion en Europe</w:t>
      </w:r>
      <w:bookmarkEnd w:id="15"/>
      <w:r>
        <w:rPr>
          <w:noProof/>
        </w:rPr>
        <w:t xml:space="preserve"> </w:t>
      </w:r>
    </w:p>
    <w:p w14:paraId="24D841ED" w14:textId="0B455507" w:rsidR="00E87F85" w:rsidRPr="00DF112D" w:rsidRDefault="00507159" w:rsidP="00DF112D">
      <w:pPr>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rPr>
        <w:t>Entre 2014 et 2024, des demandes pour un montant total d’environ 2,7 milliards d’euros ont été introduites pour des projets concernant le réseau de CO</w:t>
      </w:r>
      <w:r>
        <w:rPr>
          <w:rFonts w:ascii="Times New Roman" w:hAnsi="Times New Roman"/>
          <w:noProof/>
          <w:color w:val="000000" w:themeColor="text1"/>
          <w:sz w:val="24"/>
          <w:vertAlign w:val="subscript"/>
        </w:rPr>
        <w:t>2</w:t>
      </w:r>
      <w:r>
        <w:rPr>
          <w:rFonts w:ascii="Times New Roman" w:hAnsi="Times New Roman"/>
          <w:noProof/>
          <w:color w:val="000000" w:themeColor="text1"/>
          <w:sz w:val="24"/>
        </w:rPr>
        <w:t xml:space="preserve"> dans le cadre des appels à propositions du mécanisme pour l’interconnexion en Europe dans le secteur de l’énergie. Le montant total du financement consacré à des projets, à des études ou à des travaux de déploiement, pour lesquels une convention de subvention a été signée au cours de cette période, s’élevait à plus de 974 millions d’EUR pour 20 projets d’infrastructures de transport et de stockage du CO</w:t>
      </w:r>
      <w:r>
        <w:rPr>
          <w:rFonts w:ascii="Times New Roman" w:hAnsi="Times New Roman"/>
          <w:noProof/>
          <w:color w:val="000000" w:themeColor="text1"/>
          <w:sz w:val="24"/>
          <w:vertAlign w:val="subscript"/>
        </w:rPr>
        <w:t>2</w:t>
      </w:r>
      <w:r>
        <w:rPr>
          <w:rFonts w:ascii="Times New Roman" w:hAnsi="Times New Roman"/>
          <w:noProof/>
          <w:color w:val="000000" w:themeColor="text1"/>
          <w:sz w:val="24"/>
        </w:rPr>
        <w:t xml:space="preserve">. </w:t>
      </w:r>
    </w:p>
    <w:p w14:paraId="75CBE8E0" w14:textId="77777777" w:rsidR="00BD4049" w:rsidRPr="00F72EAB" w:rsidRDefault="00BD4049" w:rsidP="00BD4049">
      <w:pPr>
        <w:pStyle w:val="ListParagraph"/>
        <w:numPr>
          <w:ilvl w:val="0"/>
          <w:numId w:val="44"/>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cadre de l’appel à propositions de 2021, des demandes pour un montant total de 10,6 millions d’EUR ont été introduites et environ 4,2 millions d’EUR ont été accordés. </w:t>
      </w:r>
    </w:p>
    <w:p w14:paraId="08EEF008" w14:textId="77777777" w:rsidR="00BD4049" w:rsidRDefault="00BD4049" w:rsidP="00BD4049">
      <w:pPr>
        <w:pStyle w:val="ListParagraph"/>
        <w:numPr>
          <w:ilvl w:val="0"/>
          <w:numId w:val="44"/>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cadre de l’appel à propositions de 2022, des demandes pour un montant total de 355 millions d’EUR ont été introduites et 159 millions d’EUR ont été accordés. </w:t>
      </w:r>
    </w:p>
    <w:p w14:paraId="2B762F0D" w14:textId="77777777" w:rsidR="00BD4049" w:rsidRDefault="00BD4049" w:rsidP="00BD4049">
      <w:pPr>
        <w:pStyle w:val="ListParagraph"/>
        <w:numPr>
          <w:ilvl w:val="0"/>
          <w:numId w:val="44"/>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cadre de l’appel à propositions de 2023, des demandes pour un montant total de 941 millions d’EUR ont été introduites et 480 millions d’EUR ont été accordés. </w:t>
      </w:r>
    </w:p>
    <w:p w14:paraId="232CE3DF" w14:textId="0AD50EC8" w:rsidR="00856E08" w:rsidRDefault="005723FD" w:rsidP="00856E08">
      <w:pPr>
        <w:pStyle w:val="ListParagraph"/>
        <w:numPr>
          <w:ilvl w:val="0"/>
          <w:numId w:val="44"/>
        </w:num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cadre de l’appel à propositions de 2024, des demandes pour un montant total de 1,1 milliard d’EUR ont été introduites et environ 250 millions d’EUR ont été accordés. </w:t>
      </w:r>
    </w:p>
    <w:p w14:paraId="256A9533" w14:textId="6000F397" w:rsidR="00326BF5" w:rsidRPr="00E45753" w:rsidRDefault="00326BF5" w:rsidP="4EC802CB">
      <w:pPr>
        <w:spacing w:line="276" w:lineRule="auto"/>
        <w:jc w:val="both"/>
        <w:rPr>
          <w:rFonts w:ascii="Times New Roman" w:eastAsia="Times New Roman" w:hAnsi="Times New Roman" w:cs="Times New Roman"/>
          <w:noProof/>
          <w:sz w:val="24"/>
          <w:szCs w:val="24"/>
          <w:lang w:val="fr-BE" w:eastAsia="fr-BE"/>
        </w:rPr>
      </w:pPr>
    </w:p>
    <w:p w14:paraId="45062C42" w14:textId="77777777" w:rsidR="00BD358B" w:rsidRDefault="00EC5998" w:rsidP="00BD358B">
      <w:pPr>
        <w:pStyle w:val="Heading3"/>
        <w:rPr>
          <w:rFonts w:eastAsia="Times New Roman"/>
          <w:noProof/>
        </w:rPr>
      </w:pPr>
      <w:bookmarkStart w:id="16" w:name="_Toc229054830"/>
      <w:r>
        <w:rPr>
          <w:noProof/>
        </w:rPr>
        <w:t>Contribution de la facilité pour la reprise et la résilience</w:t>
      </w:r>
      <w:bookmarkEnd w:id="16"/>
      <w:r>
        <w:rPr>
          <w:noProof/>
        </w:rPr>
        <w:t xml:space="preserve"> </w:t>
      </w:r>
    </w:p>
    <w:p w14:paraId="56F764A3" w14:textId="28FB1FF8" w:rsidR="00EC5998" w:rsidRPr="00CF4DBE" w:rsidRDefault="008D1742" w:rsidP="00CF4DBE">
      <w:pPr>
        <w:spacing w:line="276" w:lineRule="auto"/>
        <w:jc w:val="both"/>
        <w:rPr>
          <w:rFonts w:ascii="Times New Roman" w:hAnsi="Times New Roman" w:cs="Times New Roman"/>
          <w:b/>
          <w:noProof/>
          <w:sz w:val="24"/>
          <w:szCs w:val="24"/>
          <w:highlight w:val="yellow"/>
        </w:rPr>
      </w:pPr>
      <w:r>
        <w:rPr>
          <w:rFonts w:ascii="Times New Roman" w:hAnsi="Times New Roman"/>
          <w:noProof/>
          <w:sz w:val="24"/>
        </w:rPr>
        <w:t>La facilité pour la reprise et la résilience soutiendra la première phase du projet de stockage Prinos, situé dans le nord de la Grèce. Ce programme contribuera ainsi à atteindre la capacité d’injection annuelle visée par l’UE.</w:t>
      </w:r>
    </w:p>
    <w:p w14:paraId="74CCCFD7" w14:textId="77777777" w:rsidR="00632A19" w:rsidRPr="00E45753" w:rsidRDefault="00632A19" w:rsidP="00A2116B">
      <w:pPr>
        <w:spacing w:line="276" w:lineRule="auto"/>
        <w:jc w:val="both"/>
        <w:rPr>
          <w:rFonts w:ascii="Times New Roman" w:eastAsia="Times New Roman" w:hAnsi="Times New Roman" w:cs="Times New Roman"/>
          <w:noProof/>
          <w:sz w:val="24"/>
          <w:szCs w:val="24"/>
          <w:lang w:val="fr-BE" w:eastAsia="fr-BE"/>
        </w:rPr>
      </w:pPr>
    </w:p>
    <w:p w14:paraId="6A449C78" w14:textId="1936A688" w:rsidR="00326BF5" w:rsidRPr="008D06AE" w:rsidRDefault="00884BB7" w:rsidP="008D06AE">
      <w:pPr>
        <w:pStyle w:val="Heading3"/>
        <w:rPr>
          <w:rFonts w:eastAsia="Times New Roman"/>
          <w:noProof/>
        </w:rPr>
      </w:pPr>
      <w:bookmarkStart w:id="17" w:name="_Toc229054831"/>
      <w:r>
        <w:rPr>
          <w:noProof/>
        </w:rPr>
        <w:t>Contribution d’Horizon Europe</w:t>
      </w:r>
      <w:bookmarkEnd w:id="17"/>
      <w:r>
        <w:rPr>
          <w:noProof/>
        </w:rPr>
        <w:t xml:space="preserve"> </w:t>
      </w:r>
    </w:p>
    <w:p w14:paraId="05121512" w14:textId="7E2DF765" w:rsidR="526BDB2F" w:rsidRDefault="4B017C69" w:rsidP="400059C1">
      <w:pPr>
        <w:shd w:val="clear" w:color="auto" w:fill="FFFFFF" w:themeFill="background1"/>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pôle 5 «Climat, énergie et mobilité» du programme Horizon Europe a financé 11 projets de gestion industrielle du carbone entre 2021 et 2024 pour un montant total de 141,5 millions d’EUR. Le pôle 5 a pour objectif, dans le cadre de ses programmes de travail pour 2025 et 2026-2027, de financer 20 projets de gestion industrielle du carbone à hauteur de 126 millions d’EUR.</w:t>
      </w:r>
    </w:p>
    <w:p w14:paraId="5731CF55" w14:textId="77777777" w:rsidR="003D5B86" w:rsidRPr="00E45753" w:rsidRDefault="003D5B86" w:rsidP="00A2116B">
      <w:pPr>
        <w:spacing w:line="276" w:lineRule="auto"/>
        <w:jc w:val="both"/>
        <w:rPr>
          <w:rFonts w:ascii="Times New Roman" w:eastAsia="Times New Roman" w:hAnsi="Times New Roman" w:cs="Times New Roman"/>
          <w:noProof/>
          <w:sz w:val="24"/>
          <w:szCs w:val="24"/>
          <w:lang w:val="fr-BE" w:eastAsia="fr-BE"/>
        </w:rPr>
      </w:pPr>
    </w:p>
    <w:p w14:paraId="3254A5F0" w14:textId="5A7638A1" w:rsidR="00D01784" w:rsidRPr="008D06AE" w:rsidRDefault="0026223F" w:rsidP="008D06AE">
      <w:pPr>
        <w:pStyle w:val="Heading3"/>
        <w:rPr>
          <w:rFonts w:eastAsia="Times New Roman"/>
          <w:noProof/>
        </w:rPr>
      </w:pPr>
      <w:bookmarkStart w:id="18" w:name="_Toc229054832"/>
      <w:r>
        <w:rPr>
          <w:noProof/>
        </w:rPr>
        <w:t>Contribution des États membres</w:t>
      </w:r>
      <w:bookmarkEnd w:id="18"/>
      <w:r>
        <w:rPr>
          <w:noProof/>
        </w:rPr>
        <w:t xml:space="preserve"> </w:t>
      </w:r>
    </w:p>
    <w:p w14:paraId="1A87DB62" w14:textId="221A1803" w:rsidR="00BD2554" w:rsidRDefault="001B6A42" w:rsidP="00345E5E">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Le financement par les États membres joue un rôle essentiel pour garantir la viabilité financière des projets de CSC. Le financement des États membres représentait 14 % de la part des investissements publics en RD&amp;I dans les technologies CCUS au sein de l’OCDE pour la période 2014-2024</w:t>
      </w:r>
      <w:r>
        <w:rPr>
          <w:rStyle w:val="FootnoteReference"/>
          <w:rFonts w:ascii="Times New Roman" w:eastAsia="Times New Roman" w:hAnsi="Times New Roman" w:cs="Times New Roman"/>
          <w:noProof/>
          <w:sz w:val="24"/>
          <w:szCs w:val="24"/>
          <w:lang w:val="en-GB" w:eastAsia="fr-BE"/>
        </w:rPr>
        <w:footnoteReference w:id="55"/>
      </w:r>
      <w:r>
        <w:rPr>
          <w:rFonts w:ascii="Times New Roman" w:hAnsi="Times New Roman"/>
          <w:noProof/>
          <w:sz w:val="24"/>
        </w:rPr>
        <w:t>. Trois exemples illustrent l’importance du soutien des États membres au déploiement du CSC.</w:t>
      </w:r>
    </w:p>
    <w:p w14:paraId="676AD6C7" w14:textId="64B2869D" w:rsidR="003C2F23" w:rsidRPr="00345E5E" w:rsidRDefault="003C2F23" w:rsidP="00345E5E">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Le Danemark soutient le déploiement du CSC dans le cadre de trois programmes de financement: le Fonds CCUS [8,6 milliards de couronnes danoises (DKK), soit 1,15 milliard d’EUR</w:t>
      </w:r>
      <w:r>
        <w:rPr>
          <w:rStyle w:val="FootnoteReference"/>
          <w:rFonts w:ascii="Times New Roman" w:eastAsia="Times New Roman" w:hAnsi="Times New Roman" w:cs="Times New Roman"/>
          <w:noProof/>
          <w:sz w:val="24"/>
          <w:szCs w:val="24"/>
          <w:lang w:val="en-GB" w:eastAsia="fr-BE"/>
        </w:rPr>
        <w:footnoteReference w:id="56"/>
      </w:r>
      <w:r>
        <w:rPr>
          <w:rFonts w:ascii="Times New Roman" w:hAnsi="Times New Roman"/>
          <w:noProof/>
          <w:sz w:val="24"/>
        </w:rPr>
        <w:t>], le Fonds NECCS (2,6 milliards de DKK, soit 348 millions d’EUR) et le Fonds CSC (26,8 milliards de DKK, soit 3,7 milliards d’EUR), pour une enveloppe totale d’environ 38 milliards de DKK, soit 5,1 milliards d’EUR.</w:t>
      </w:r>
    </w:p>
    <w:p w14:paraId="6B25BD66" w14:textId="48D7B040" w:rsidR="0019704A" w:rsidRDefault="00105E21" w:rsidP="00926C62">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En France, le principal programme de financement destiné à soutenir les projets de CSC est l’«Appel d’offres – Grands Projets industriels de décarbonation» ouvert aux très grands projets industriels de décarbonation pour les installations opérant dans le cadre du SEQE de l’UE</w:t>
      </w:r>
      <w:r>
        <w:rPr>
          <w:rStyle w:val="FootnoteReference"/>
          <w:rFonts w:ascii="Times New Roman" w:eastAsia="Times New Roman" w:hAnsi="Times New Roman" w:cs="Times New Roman"/>
          <w:noProof/>
          <w:sz w:val="24"/>
          <w:szCs w:val="24"/>
          <w:lang w:val="en-GB" w:eastAsia="fr-BE"/>
        </w:rPr>
        <w:footnoteReference w:id="57"/>
      </w:r>
      <w:r>
        <w:rPr>
          <w:rFonts w:ascii="Times New Roman" w:hAnsi="Times New Roman"/>
          <w:noProof/>
          <w:sz w:val="24"/>
        </w:rPr>
        <w:t>. Le programme est ouvert à d’autres technologies que le CSC et dispose d’un budget total de 1 milliard d’EUR.</w:t>
      </w:r>
    </w:p>
    <w:p w14:paraId="30C2F4D0" w14:textId="7A1A82D9" w:rsidR="00AD45C1" w:rsidRDefault="00DD66EB" w:rsidP="00926C62">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Aux Pays-Bas, le programme de subventions SDE++ soutient des projets de CSC. Le financement maximal disponible pour les projets de CSC entre 2020 et 2023 était de 2,1 milliards d’EUR en 2020, de 6,7 milliards d’EUR en 2021 et de 2 milliards d’EUR en 2023. Ces chiffres représentent le montant maximal de la subvention que les projets de CSC peuvent recevoir sur une période de 15 ans. Le financement réel dépend de la différence entre le coût des projets et le prix du SEQE de l’UE et devrait être inférieur.</w:t>
      </w:r>
    </w:p>
    <w:p w14:paraId="37E737D6" w14:textId="035FC8C8" w:rsidR="00DD66EB" w:rsidRDefault="001402AC" w:rsidP="001402AC">
      <w:pPr>
        <w:rPr>
          <w:rFonts w:ascii="Times New Roman" w:eastAsia="Times New Roman" w:hAnsi="Times New Roman" w:cs="Times New Roman"/>
          <w:noProof/>
          <w:sz w:val="24"/>
          <w:szCs w:val="24"/>
        </w:rPr>
      </w:pPr>
      <w:r>
        <w:rPr>
          <w:noProof/>
        </w:rPr>
        <w:br w:type="page"/>
      </w:r>
    </w:p>
    <w:p w14:paraId="6204481D" w14:textId="6A95865D" w:rsidR="00AD45C1" w:rsidRPr="00404E4E" w:rsidRDefault="006A725A" w:rsidP="4EC802CB">
      <w:pPr>
        <w:pStyle w:val="Heading2"/>
        <w:rPr>
          <w:noProof/>
        </w:rPr>
      </w:pPr>
      <w:bookmarkStart w:id="19" w:name="_Toc229054833"/>
      <w:r>
        <w:rPr>
          <w:noProof/>
        </w:rPr>
        <w:t>État des lieux en 2025 et prochaines étapes</w:t>
      </w:r>
      <w:bookmarkEnd w:id="19"/>
    </w:p>
    <w:p w14:paraId="324182C3" w14:textId="50C94BE2" w:rsidR="006A725A" w:rsidRDefault="006A725A" w:rsidP="006A725A">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En résumé, plus de 20 projets de stockage de CO</w:t>
      </w:r>
      <w:r>
        <w:rPr>
          <w:rFonts w:ascii="Times New Roman" w:hAnsi="Times New Roman"/>
          <w:noProof/>
          <w:sz w:val="24"/>
          <w:vertAlign w:val="subscript"/>
        </w:rPr>
        <w:t>2</w:t>
      </w:r>
      <w:r>
        <w:rPr>
          <w:rFonts w:ascii="Times New Roman" w:hAnsi="Times New Roman"/>
          <w:noProof/>
          <w:sz w:val="24"/>
        </w:rPr>
        <w:t xml:space="preserve"> sont actuellement en cours de développement dans l’UE. Des permis de stockage ont déjà été délivrés pour le site de Greensand au Danemark, le site de Porthos aux Pays-Bas et le site de Prinos en Grèce. Une demande de permis de stockage dans l’UE a été introduite pour sept autres projets de stockage de CO</w:t>
      </w:r>
      <w:r>
        <w:rPr>
          <w:rFonts w:ascii="Times New Roman" w:hAnsi="Times New Roman"/>
          <w:noProof/>
          <w:sz w:val="24"/>
          <w:vertAlign w:val="subscript"/>
        </w:rPr>
        <w:t>2</w:t>
      </w:r>
      <w:r>
        <w:rPr>
          <w:rFonts w:ascii="Times New Roman" w:hAnsi="Times New Roman"/>
          <w:noProof/>
          <w:sz w:val="24"/>
        </w:rPr>
        <w:t xml:space="preserve">. Au total, ces sites pourraient contribuer à hauteur de plus de </w:t>
      </w:r>
      <w:r>
        <w:rPr>
          <w:rFonts w:ascii="Times New Roman" w:hAnsi="Times New Roman"/>
          <w:b/>
          <w:noProof/>
          <w:sz w:val="24"/>
        </w:rPr>
        <w:t>19 millions de tonnes par an</w:t>
      </w:r>
      <w:r>
        <w:rPr>
          <w:rFonts w:ascii="Times New Roman" w:hAnsi="Times New Roman"/>
          <w:noProof/>
          <w:sz w:val="24"/>
        </w:rPr>
        <w:t xml:space="preserve"> à la capacité d’injection de CO</w:t>
      </w:r>
      <w:r>
        <w:rPr>
          <w:rFonts w:ascii="Times New Roman" w:hAnsi="Times New Roman"/>
          <w:noProof/>
          <w:sz w:val="24"/>
          <w:vertAlign w:val="subscript"/>
        </w:rPr>
        <w:t>2</w:t>
      </w:r>
      <w:r>
        <w:rPr>
          <w:rFonts w:ascii="Times New Roman" w:hAnsi="Times New Roman"/>
          <w:noProof/>
          <w:sz w:val="24"/>
        </w:rPr>
        <w:t>. Des demandes de permis de stockage pour d’autres projets devraient être introduites au cours des prochaines années.</w:t>
      </w:r>
    </w:p>
    <w:p w14:paraId="566DD7A2" w14:textId="63FD97B3" w:rsidR="0052354B" w:rsidRDefault="006668BD" w:rsidP="006A725A">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Les PNEC révisés ont indiqué que les projets de captage du CO</w:t>
      </w:r>
      <w:r>
        <w:rPr>
          <w:rFonts w:ascii="Times New Roman" w:hAnsi="Times New Roman"/>
          <w:noProof/>
          <w:sz w:val="24"/>
          <w:vertAlign w:val="subscript"/>
        </w:rPr>
        <w:t>2</w:t>
      </w:r>
      <w:r>
        <w:rPr>
          <w:rFonts w:ascii="Times New Roman" w:hAnsi="Times New Roman"/>
          <w:noProof/>
          <w:sz w:val="24"/>
        </w:rPr>
        <w:t xml:space="preserve"> connus dans les États membres pourraient représenter au moins </w:t>
      </w:r>
      <w:r>
        <w:rPr>
          <w:rFonts w:ascii="Times New Roman" w:hAnsi="Times New Roman"/>
          <w:b/>
          <w:noProof/>
          <w:sz w:val="24"/>
        </w:rPr>
        <w:t>35 millions de tonnes</w:t>
      </w:r>
      <w:r>
        <w:rPr>
          <w:rFonts w:ascii="Times New Roman" w:hAnsi="Times New Roman"/>
          <w:noProof/>
          <w:sz w:val="24"/>
        </w:rPr>
        <w:t xml:space="preserve"> de CO</w:t>
      </w:r>
      <w:r>
        <w:rPr>
          <w:rFonts w:ascii="Times New Roman" w:hAnsi="Times New Roman"/>
          <w:noProof/>
          <w:sz w:val="24"/>
          <w:vertAlign w:val="subscript"/>
        </w:rPr>
        <w:t>2</w:t>
      </w:r>
      <w:r>
        <w:rPr>
          <w:rFonts w:ascii="Times New Roman" w:hAnsi="Times New Roman"/>
          <w:noProof/>
          <w:sz w:val="24"/>
        </w:rPr>
        <w:t xml:space="preserve"> par an d’ici à 2030, avec une capacité d’injection totale de </w:t>
      </w:r>
      <w:r>
        <w:rPr>
          <w:rFonts w:ascii="Times New Roman" w:hAnsi="Times New Roman"/>
          <w:b/>
          <w:noProof/>
          <w:sz w:val="24"/>
        </w:rPr>
        <w:t>27,1 millions de tonnes</w:t>
      </w:r>
      <w:r>
        <w:rPr>
          <w:rFonts w:ascii="Times New Roman" w:hAnsi="Times New Roman"/>
          <w:noProof/>
          <w:sz w:val="24"/>
        </w:rPr>
        <w:t xml:space="preserve"> de CO</w:t>
      </w:r>
      <w:r>
        <w:rPr>
          <w:rFonts w:ascii="Times New Roman" w:hAnsi="Times New Roman"/>
          <w:noProof/>
          <w:sz w:val="24"/>
          <w:vertAlign w:val="subscript"/>
        </w:rPr>
        <w:t>2</w:t>
      </w:r>
      <w:r>
        <w:rPr>
          <w:rFonts w:ascii="Times New Roman" w:hAnsi="Times New Roman"/>
          <w:noProof/>
          <w:sz w:val="24"/>
        </w:rPr>
        <w:t xml:space="preserve"> par an d’ici à 2030. En 2024, les États membres ont communiqué des chiffres plus élevés dans leurs rapports au titre de l’article 21. Ces rapports ont montré qu’une capacité d’injection allant jusqu’à </w:t>
      </w:r>
      <w:r>
        <w:rPr>
          <w:rFonts w:ascii="Times New Roman" w:hAnsi="Times New Roman"/>
          <w:b/>
          <w:noProof/>
          <w:sz w:val="24"/>
        </w:rPr>
        <w:t>33,1 millions de tonnes</w:t>
      </w:r>
      <w:r>
        <w:rPr>
          <w:rFonts w:ascii="Times New Roman" w:hAnsi="Times New Roman"/>
          <w:noProof/>
          <w:sz w:val="24"/>
        </w:rPr>
        <w:t xml:space="preserve"> de CO</w:t>
      </w:r>
      <w:r>
        <w:rPr>
          <w:rFonts w:ascii="Times New Roman" w:hAnsi="Times New Roman"/>
          <w:noProof/>
          <w:sz w:val="24"/>
          <w:vertAlign w:val="subscript"/>
        </w:rPr>
        <w:t>2</w:t>
      </w:r>
      <w:r>
        <w:rPr>
          <w:rFonts w:ascii="Times New Roman" w:hAnsi="Times New Roman"/>
          <w:noProof/>
          <w:sz w:val="24"/>
        </w:rPr>
        <w:t xml:space="preserve"> par an pourrait être développée par des projets de stockage dans l’UE d’ici à 2030. </w:t>
      </w:r>
    </w:p>
    <w:p w14:paraId="1129430F" w14:textId="2F1EBC92" w:rsidR="006D2434" w:rsidRPr="00813E90" w:rsidRDefault="006A725A" w:rsidP="006A725A">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Selon les chiffres globaux relatifs à la capacité d’injection des projets de stockage décrits dans les plans des 44 entités assujetties en juin 2025, la capacité d’injection de CO</w:t>
      </w:r>
      <w:r>
        <w:rPr>
          <w:rFonts w:ascii="Times New Roman" w:hAnsi="Times New Roman"/>
          <w:noProof/>
          <w:sz w:val="24"/>
          <w:vertAlign w:val="subscript"/>
        </w:rPr>
        <w:t>2</w:t>
      </w:r>
      <w:r>
        <w:rPr>
          <w:rFonts w:ascii="Times New Roman" w:hAnsi="Times New Roman"/>
          <w:noProof/>
          <w:sz w:val="24"/>
        </w:rPr>
        <w:t xml:space="preserve"> </w:t>
      </w:r>
      <w:r>
        <w:rPr>
          <w:rFonts w:ascii="Times New Roman" w:hAnsi="Times New Roman"/>
          <w:b/>
          <w:noProof/>
          <w:sz w:val="24"/>
        </w:rPr>
        <w:t>maximale s’élève à 29 millions de tonnes</w:t>
      </w:r>
      <w:r>
        <w:rPr>
          <w:rFonts w:ascii="Times New Roman" w:hAnsi="Times New Roman"/>
          <w:noProof/>
          <w:sz w:val="24"/>
        </w:rPr>
        <w:t xml:space="preserve">. </w:t>
      </w:r>
    </w:p>
    <w:p w14:paraId="48EE28DA" w14:textId="7FA3C383" w:rsidR="00576DCC" w:rsidRDefault="00DC6AD7">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Cette demande potentielle est soutenue par le Fonds pour l’innovation, à hauteur de </w:t>
      </w:r>
      <w:r>
        <w:rPr>
          <w:rFonts w:ascii="Times New Roman" w:hAnsi="Times New Roman"/>
          <w:b/>
          <w:noProof/>
          <w:sz w:val="24"/>
        </w:rPr>
        <w:t>25,3 millions de tonnes</w:t>
      </w:r>
      <w:r>
        <w:rPr>
          <w:rFonts w:ascii="Times New Roman" w:hAnsi="Times New Roman"/>
          <w:noProof/>
          <w:sz w:val="24"/>
        </w:rPr>
        <w:t xml:space="preserve"> de CO</w:t>
      </w:r>
      <w:r>
        <w:rPr>
          <w:rFonts w:ascii="Times New Roman" w:hAnsi="Times New Roman"/>
          <w:noProof/>
          <w:sz w:val="24"/>
          <w:vertAlign w:val="subscript"/>
        </w:rPr>
        <w:t>2</w:t>
      </w:r>
      <w:r>
        <w:rPr>
          <w:rFonts w:ascii="Times New Roman" w:hAnsi="Times New Roman"/>
          <w:noProof/>
          <w:sz w:val="24"/>
        </w:rPr>
        <w:t xml:space="preserve"> capté par an. Toutefois, depuis 2020, plus de 100 projets individuels de captage du CO</w:t>
      </w:r>
      <w:r>
        <w:rPr>
          <w:rFonts w:ascii="Times New Roman" w:hAnsi="Times New Roman"/>
          <w:noProof/>
          <w:sz w:val="24"/>
          <w:vertAlign w:val="subscript"/>
        </w:rPr>
        <w:t>2</w:t>
      </w:r>
      <w:r>
        <w:rPr>
          <w:rFonts w:ascii="Times New Roman" w:hAnsi="Times New Roman"/>
          <w:noProof/>
          <w:sz w:val="24"/>
        </w:rPr>
        <w:t xml:space="preserve"> situés dans l’EEE ont demandé à bénéficier d’un soutien du Fonds pour l’innovation sans être retenus. Ensemble, ces projets supplémentaires représenteraient des volumes de captage de </w:t>
      </w:r>
      <w:r>
        <w:rPr>
          <w:rFonts w:ascii="Times New Roman" w:hAnsi="Times New Roman"/>
          <w:b/>
          <w:noProof/>
          <w:sz w:val="24"/>
        </w:rPr>
        <w:t>plus de 80 millions de tonnes</w:t>
      </w:r>
      <w:r>
        <w:rPr>
          <w:rFonts w:ascii="Times New Roman" w:hAnsi="Times New Roman"/>
          <w:noProof/>
          <w:sz w:val="24"/>
        </w:rPr>
        <w:t xml:space="preserve"> de CO</w:t>
      </w:r>
      <w:r>
        <w:rPr>
          <w:rFonts w:ascii="Times New Roman" w:hAnsi="Times New Roman"/>
          <w:noProof/>
          <w:sz w:val="24"/>
          <w:vertAlign w:val="subscript"/>
        </w:rPr>
        <w:t>2</w:t>
      </w:r>
      <w:r>
        <w:rPr>
          <w:rFonts w:ascii="Times New Roman" w:hAnsi="Times New Roman"/>
          <w:noProof/>
          <w:sz w:val="24"/>
        </w:rPr>
        <w:t xml:space="preserve"> par an et nécessiteraient une capacité d’injection correspondante. Le développement de projets de stockage de CO</w:t>
      </w:r>
      <w:r>
        <w:rPr>
          <w:rFonts w:ascii="Times New Roman" w:hAnsi="Times New Roman"/>
          <w:noProof/>
          <w:sz w:val="24"/>
          <w:vertAlign w:val="subscript"/>
        </w:rPr>
        <w:t>2</w:t>
      </w:r>
      <w:r>
        <w:rPr>
          <w:rFonts w:ascii="Times New Roman" w:hAnsi="Times New Roman"/>
          <w:noProof/>
          <w:sz w:val="24"/>
        </w:rPr>
        <w:t xml:space="preserve"> dans l’UE doit s’accélérer pour répondre à la demande des émetteurs industriels et atteindre la capacité d’injection annuelle visée par l’UE. </w:t>
      </w:r>
    </w:p>
    <w:p w14:paraId="6DF1576C" w14:textId="57C1D2C8" w:rsidR="00DC6AD7" w:rsidRDefault="00576DCC" w:rsidP="005C6151">
      <w:pPr>
        <w:spacing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Tout projet de stockage de CO</w:t>
      </w:r>
      <w:r>
        <w:rPr>
          <w:rFonts w:ascii="Times New Roman" w:hAnsi="Times New Roman"/>
          <w:noProof/>
          <w:sz w:val="24"/>
          <w:vertAlign w:val="subscript"/>
        </w:rPr>
        <w:t>2</w:t>
      </w:r>
      <w:r>
        <w:rPr>
          <w:rFonts w:ascii="Times New Roman" w:hAnsi="Times New Roman"/>
          <w:noProof/>
          <w:sz w:val="24"/>
        </w:rPr>
        <w:t xml:space="preserve"> situé dans l’Union et contribuant à la capacité d’injection annuelle visée par l’UE – ainsi que les infrastructures de captage et de transport du CO</w:t>
      </w:r>
      <w:r>
        <w:rPr>
          <w:rFonts w:ascii="Times New Roman" w:hAnsi="Times New Roman"/>
          <w:noProof/>
          <w:sz w:val="24"/>
          <w:vertAlign w:val="subscript"/>
        </w:rPr>
        <w:t>2</w:t>
      </w:r>
      <w:r>
        <w:rPr>
          <w:rFonts w:ascii="Times New Roman" w:hAnsi="Times New Roman"/>
          <w:noProof/>
          <w:sz w:val="24"/>
        </w:rPr>
        <w:t xml:space="preserve"> correspondantes – doit être reconnu par les États membres en tant que projet stratégique «zéro net» au titre de l’article 13, paragraphe 3, du règlement (UE) 2024/1735.</w:t>
      </w:r>
      <w:r>
        <w:rPr>
          <w:rFonts w:ascii="Times New Roman" w:hAnsi="Times New Roman"/>
          <w:noProof/>
          <w:color w:val="000000" w:themeColor="text1"/>
          <w:sz w:val="24"/>
        </w:rPr>
        <w:t xml:space="preserve"> Les émetteurs industriels qui envisagent d’utiliser le CSC comme voie de décarbonation devraient en informer leurs autorités nationales, afin que leur demande de capacité d’injection puisse être incluse dans les rapports annuels des États membres. Une fois reconnus en tant que projets stratégiques «zéro net», ces projets doivent obtenir le plus haut statut national possible et bénéficier du traitement qui en résulte dans les procédures d’octroi de permis. La procédure d’octroi de permis n’excède pas un délai de dix-huit mois pour toutes les autorisations nécessaires à l’exploitation d’un site de stockage conformément à la directive 2009/31/CE, en vertu de l’article 16 du règlement (UE) 2024/1735. </w:t>
      </w:r>
    </w:p>
    <w:p w14:paraId="7EC10AA8" w14:textId="04675E78" w:rsidR="001402AC" w:rsidRDefault="003B000B" w:rsidP="005C6151">
      <w:pPr>
        <w:spacing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L’article 6, paragraphe 7, du règlement (UE) 2024/1735 exige que les États membres fournissent à toutes les autorités compétentes et aux points uniques de contact un personnel qualifié en nombre suffisant et des ressources financières et techniques suffisantes pour garantir la rationalisation des procédures d’octroi des permis pour les projets de captage et de stockage du carbone. </w:t>
      </w:r>
    </w:p>
    <w:p w14:paraId="1C69A8E3" w14:textId="4BBF026B" w:rsidR="00AA0BC2" w:rsidRPr="001402AC" w:rsidRDefault="001402AC" w:rsidP="001402AC">
      <w:pPr>
        <w:rPr>
          <w:rFonts w:ascii="Times New Roman" w:eastAsia="Times New Roman" w:hAnsi="Times New Roman" w:cs="Times New Roman"/>
          <w:noProof/>
          <w:color w:val="000000" w:themeColor="text1"/>
          <w:sz w:val="24"/>
          <w:szCs w:val="24"/>
        </w:rPr>
      </w:pPr>
      <w:r>
        <w:rPr>
          <w:noProof/>
        </w:rPr>
        <w:br w:type="page"/>
      </w:r>
    </w:p>
    <w:p w14:paraId="6658D57C" w14:textId="4874CE30" w:rsidR="0078476C" w:rsidRPr="00863741" w:rsidRDefault="0078476C" w:rsidP="0078476C">
      <w:pPr>
        <w:pStyle w:val="Heading2"/>
        <w:rPr>
          <w:noProof/>
        </w:rPr>
      </w:pPr>
      <w:bookmarkStart w:id="20" w:name="_Toc229054834"/>
      <w:r>
        <w:rPr>
          <w:noProof/>
        </w:rPr>
        <w:t>Conclusion</w:t>
      </w:r>
      <w:bookmarkEnd w:id="20"/>
    </w:p>
    <w:p w14:paraId="7E22A7B9" w14:textId="402660BE" w:rsidR="00965144" w:rsidRPr="00BF7413" w:rsidRDefault="06B44D4A" w:rsidP="00BC0310">
      <w:pPr>
        <w:spacing w:line="276" w:lineRule="auto"/>
        <w:jc w:val="both"/>
        <w:rPr>
          <w:rFonts w:ascii="Times New Roman" w:hAnsi="Times New Roman" w:cs="Times New Roman"/>
          <w:b/>
          <w:bCs/>
          <w:caps/>
          <w:noProof/>
          <w:sz w:val="24"/>
          <w:szCs w:val="24"/>
        </w:rPr>
      </w:pPr>
      <w:r>
        <w:rPr>
          <w:rFonts w:ascii="Times New Roman" w:hAnsi="Times New Roman"/>
          <w:noProof/>
          <w:sz w:val="24"/>
        </w:rPr>
        <w:t>De nombreux projets de stockage de CO</w:t>
      </w:r>
      <w:r>
        <w:rPr>
          <w:rFonts w:ascii="Times New Roman" w:hAnsi="Times New Roman"/>
          <w:noProof/>
          <w:sz w:val="24"/>
          <w:vertAlign w:val="subscript"/>
        </w:rPr>
        <w:t>2</w:t>
      </w:r>
      <w:r>
        <w:rPr>
          <w:rFonts w:ascii="Times New Roman" w:hAnsi="Times New Roman"/>
          <w:noProof/>
          <w:sz w:val="24"/>
        </w:rPr>
        <w:t xml:space="preserve"> progressent rapidement dans l’ensemble de l’UE et devraient contribuer à la capacité d’injection annuelle visée par l’UE. La capacité de stockage devrait augmenter rapidement au cours des prochains mois et des prochaines années. Des efforts importants restent nécessaires de la part de tous les acteurs, en particulier des 44 entités assujetties, pour atteindre la capacité d’injection annuelle visée par l’UE. Il s’agit d’un objectif à la fois réaliste et ambitieux. Cet objectif peut être atteint si les projets de stockage sont développés à un rythme efficace.</w:t>
      </w:r>
    </w:p>
    <w:p w14:paraId="4B5DA87C" w14:textId="68A49B5C" w:rsidR="0078476C" w:rsidRPr="006133F8" w:rsidRDefault="00BE6182" w:rsidP="00BC0310">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La plupart des sites de stockage prévus sont toujours concentrés autour de la région de la mer du Nord, tandis qu’un certain nombre d’États membres d’Europe méridionale et orientale cherchent à développer à la fois des sites de captage et de stockage du CO</w:t>
      </w:r>
      <w:r>
        <w:rPr>
          <w:rFonts w:ascii="Times New Roman" w:hAnsi="Times New Roman"/>
          <w:noProof/>
          <w:sz w:val="24"/>
          <w:vertAlign w:val="subscript"/>
        </w:rPr>
        <w:t>2</w:t>
      </w:r>
      <w:r>
        <w:rPr>
          <w:rFonts w:ascii="Times New Roman" w:hAnsi="Times New Roman"/>
          <w:noProof/>
          <w:sz w:val="24"/>
        </w:rPr>
        <w:t>. Les plans transmis par les 44 entités assujetties ne détaillent pas encore les nouveaux chiffres relatifs à la capacité d’injection associée aux nouveaux sites de stockage. Pour les industries et les investisseurs, il est essentiel d’améliorer la communication d’informations par les États membres et les entités assujetties afin d’obtenir une meilleure vue d’ensemble et de soutenir les investissements dans la capacité de captage du CO</w:t>
      </w:r>
      <w:r>
        <w:rPr>
          <w:rFonts w:ascii="Times New Roman" w:hAnsi="Times New Roman"/>
          <w:noProof/>
          <w:sz w:val="24"/>
          <w:vertAlign w:val="subscript"/>
        </w:rPr>
        <w:t>2</w:t>
      </w:r>
      <w:r>
        <w:rPr>
          <w:rFonts w:ascii="Times New Roman" w:hAnsi="Times New Roman"/>
          <w:noProof/>
          <w:sz w:val="24"/>
        </w:rPr>
        <w:t xml:space="preserve"> et les infrastructures de transport du CO</w:t>
      </w:r>
      <w:r>
        <w:rPr>
          <w:rFonts w:ascii="Times New Roman" w:hAnsi="Times New Roman"/>
          <w:noProof/>
          <w:sz w:val="24"/>
          <w:vertAlign w:val="subscript"/>
        </w:rPr>
        <w:t>2</w:t>
      </w:r>
      <w:r>
        <w:rPr>
          <w:rFonts w:ascii="Times New Roman" w:hAnsi="Times New Roman"/>
          <w:noProof/>
          <w:sz w:val="24"/>
        </w:rPr>
        <w:t xml:space="preserve">. </w:t>
      </w:r>
      <w:r>
        <w:rPr>
          <w:rFonts w:ascii="Times New Roman" w:hAnsi="Times New Roman"/>
          <w:noProof/>
          <w:color w:val="000000" w:themeColor="text1"/>
          <w:sz w:val="24"/>
        </w:rPr>
        <w:t>À partir de juin 2026, l’article 23, paragraphe 6, du règlement (UE) 2024/1735 exigera des 44 entités assujetties qu’elles présentent chaque année à la Commission un rapport détaillant les progrès qu’elles ont accomplis dans la réalisation de leur contribution. Ces rapports devront décrire, de la manière la plus détaillée possible, l’état d’avancement des sites de stockage et seront rendus publics par la Commission.</w:t>
      </w:r>
    </w:p>
    <w:p w14:paraId="1D887566" w14:textId="0729263F" w:rsidR="006A5B66" w:rsidRPr="001653A6" w:rsidRDefault="00EB0404" w:rsidP="00BC0310">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Au plus tard en juin 2026, les États membres doivent déterminer des sanctions effectives, proportionnées et dissuasives qui s’appliquent aux violations par les 44 entités assujetties en ce qui concerne leurs obligations de contribuer à la capacité d’injection annuelle visée par l’UE, en vertu de l’article 23, paragraphe 13, du règlement (UE) 2024/1735. Ces sanctions inciteront les 44 entités assujetties à développer de nouveaux projets de stockage de CO</w:t>
      </w:r>
      <w:r>
        <w:rPr>
          <w:rFonts w:ascii="Times New Roman" w:hAnsi="Times New Roman"/>
          <w:noProof/>
          <w:sz w:val="24"/>
          <w:vertAlign w:val="subscript"/>
        </w:rPr>
        <w:t>2</w:t>
      </w:r>
      <w:r>
        <w:rPr>
          <w:rFonts w:ascii="Times New Roman" w:hAnsi="Times New Roman"/>
          <w:noProof/>
          <w:sz w:val="24"/>
        </w:rPr>
        <w:t xml:space="preserve"> dans l’UE et à compléter la réserve de projets existante. Les obligations en matière de contribution et de communication d’informations prévues pour ces 44 entités assujetties permettront aux industries de disposer d’une vision claire de l’évolution prévue de l’offre de capacités de stockage et d’injection de CO</w:t>
      </w:r>
      <w:r>
        <w:rPr>
          <w:rFonts w:ascii="Times New Roman" w:hAnsi="Times New Roman"/>
          <w:noProof/>
          <w:sz w:val="24"/>
          <w:vertAlign w:val="subscript"/>
        </w:rPr>
        <w:t>2</w:t>
      </w:r>
      <w:r>
        <w:rPr>
          <w:rFonts w:ascii="Times New Roman" w:hAnsi="Times New Roman"/>
          <w:noProof/>
          <w:sz w:val="24"/>
        </w:rPr>
        <w:t xml:space="preserve"> et éclaireront les décisions relatives à l’utilisation du captage et du stockage du carbone. Des mesures supplémentaires au niveau national, telles que des régimes de financement de la décarbonation industrielle, seront nécessaires pour soutenir davantage le développement de projets de sites de stockage et contribuer à atteindre la capacité d’injection annuelle visée par l’UE. </w:t>
      </w:r>
    </w:p>
    <w:p w14:paraId="76651896" w14:textId="261C40A5" w:rsidR="00A011F9" w:rsidRPr="009709EC" w:rsidRDefault="00B221FB" w:rsidP="009709EC">
      <w:pPr>
        <w:spacing w:line="276" w:lineRule="auto"/>
        <w:jc w:val="both"/>
        <w:rPr>
          <w:rFonts w:ascii="Times New Roman" w:eastAsia="Times New Roman" w:hAnsi="Times New Roman" w:cs="Times New Roman"/>
          <w:noProof/>
          <w:sz w:val="24"/>
          <w:szCs w:val="24"/>
          <w:lang w:val="fr-BE" w:eastAsia="fr-BE"/>
        </w:rPr>
      </w:pPr>
      <w:r>
        <w:rPr>
          <w:rFonts w:ascii="Times New Roman" w:hAnsi="Times New Roman"/>
          <w:noProof/>
          <w:sz w:val="24"/>
        </w:rPr>
        <w:t>Au plus tard le 30 juin 2027, la Commission rendra compte des progrès accomplis dans les États membres (article 21) et par les entités assujetties (article 23, paragraphe 6). Sur cette base, la Commission déterminera également, entre autres, l’état du marché lié à la capacité d’injection, fournira une vue d’ensemble de la répartition géographique des sites de stockage prévus et évaluera s’il est jugé nécessaire d’introduire un objectif à l’horizon 2040 ou plus tôt, au besoin, conformément à l’article 20, paragraphe 3, du règlement (UE) 2024/1735.</w:t>
      </w:r>
    </w:p>
    <w:sectPr w:rsidR="00A011F9" w:rsidRPr="009709EC" w:rsidSect="00FB16DC">
      <w:headerReference w:type="default" r:id="rId26"/>
      <w:footerReference w:type="default" r:id="rId27"/>
      <w:footerReference w:type="first" r:id="rId28"/>
      <w:pgSz w:w="12240" w:h="15840"/>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D6CC7" w14:textId="77777777" w:rsidR="005D757F" w:rsidRDefault="005D757F" w:rsidP="00B23D1C">
      <w:pPr>
        <w:spacing w:after="0" w:line="240" w:lineRule="auto"/>
      </w:pPr>
      <w:r>
        <w:separator/>
      </w:r>
    </w:p>
  </w:endnote>
  <w:endnote w:type="continuationSeparator" w:id="0">
    <w:p w14:paraId="5EA37F9E" w14:textId="77777777" w:rsidR="005D757F" w:rsidRDefault="005D757F" w:rsidP="00B23D1C">
      <w:pPr>
        <w:spacing w:after="0" w:line="240" w:lineRule="auto"/>
      </w:pPr>
      <w:r>
        <w:continuationSeparator/>
      </w:r>
    </w:p>
  </w:endnote>
  <w:endnote w:type="continuationNotice" w:id="1">
    <w:p w14:paraId="2A161A59" w14:textId="77777777" w:rsidR="005D757F" w:rsidRDefault="005D75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C65A0" w14:textId="5DACD6E7" w:rsidR="00C27F1D" w:rsidRPr="00C27F1D" w:rsidRDefault="00C27F1D" w:rsidP="00C27F1D">
    <w:pPr>
      <w:pStyle w:val="FooterCoverPage"/>
      <w:rPr>
        <w:rFonts w:ascii="Arial" w:hAnsi="Arial" w:cs="Arial"/>
        <w:b/>
        <w:sz w:val="48"/>
      </w:rPr>
    </w:pPr>
    <w:r w:rsidRPr="00C27F1D">
      <w:rPr>
        <w:rFonts w:ascii="Arial" w:hAnsi="Arial" w:cs="Arial"/>
        <w:b/>
        <w:sz w:val="48"/>
      </w:rPr>
      <w:t>FR</w:t>
    </w:r>
    <w:r w:rsidRPr="00C27F1D">
      <w:rPr>
        <w:rFonts w:ascii="Arial" w:hAnsi="Arial" w:cs="Arial"/>
        <w:b/>
        <w:sz w:val="48"/>
      </w:rPr>
      <w:tab/>
    </w:r>
    <w:r w:rsidRPr="00C27F1D">
      <w:rPr>
        <w:rFonts w:ascii="Arial" w:hAnsi="Arial" w:cs="Arial"/>
        <w:b/>
        <w:sz w:val="48"/>
      </w:rPr>
      <w:tab/>
    </w:r>
    <w:r w:rsidRPr="00C27F1D">
      <w:tab/>
    </w:r>
    <w:r w:rsidRPr="00C27F1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2387" w14:textId="3659CF8D" w:rsidR="00C27F1D" w:rsidRPr="00C27F1D" w:rsidRDefault="00C27F1D" w:rsidP="00C27F1D">
    <w:pPr>
      <w:pStyle w:val="FooterCoverPage"/>
      <w:rPr>
        <w:rFonts w:ascii="Arial" w:hAnsi="Arial" w:cs="Arial"/>
        <w:b/>
        <w:sz w:val="48"/>
      </w:rPr>
    </w:pPr>
    <w:r w:rsidRPr="00C27F1D">
      <w:rPr>
        <w:rFonts w:ascii="Arial" w:hAnsi="Arial" w:cs="Arial"/>
        <w:b/>
        <w:sz w:val="48"/>
      </w:rPr>
      <w:t>FR</w:t>
    </w:r>
    <w:r w:rsidRPr="00C27F1D">
      <w:rPr>
        <w:rFonts w:ascii="Arial" w:hAnsi="Arial" w:cs="Arial"/>
        <w:b/>
        <w:sz w:val="48"/>
      </w:rPr>
      <w:tab/>
    </w:r>
    <w:r w:rsidRPr="00C27F1D">
      <w:rPr>
        <w:rFonts w:ascii="Arial" w:hAnsi="Arial" w:cs="Arial"/>
        <w:b/>
        <w:sz w:val="48"/>
      </w:rPr>
      <w:tab/>
    </w:r>
    <w:r w:rsidRPr="00C27F1D">
      <w:tab/>
    </w:r>
    <w:r w:rsidRPr="00C27F1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4A693" w14:textId="77777777" w:rsidR="00C27F1D" w:rsidRPr="00C27F1D" w:rsidRDefault="00C27F1D" w:rsidP="00C27F1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91E68" w14:textId="77777777" w:rsidR="00E45753" w:rsidRPr="00C81F9F" w:rsidRDefault="00E45753" w:rsidP="00C81F9F">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709939"/>
      <w:docPartObj>
        <w:docPartGallery w:val="Page Numbers (Bottom of Page)"/>
        <w:docPartUnique/>
      </w:docPartObj>
    </w:sdtPr>
    <w:sdtEndPr>
      <w:rPr>
        <w:noProof/>
      </w:rPr>
    </w:sdtEndPr>
    <w:sdtContent>
      <w:p w14:paraId="0E8CFE7B" w14:textId="5EF3DC33" w:rsidR="002B7DA9" w:rsidRDefault="002B7DA9">
        <w:pPr>
          <w:pStyle w:val="Footer"/>
          <w:jc w:val="center"/>
        </w:pPr>
        <w:r>
          <w:fldChar w:fldCharType="begin"/>
        </w:r>
        <w:r>
          <w:instrText xml:space="preserve"> PAGE   \* MERGEFORMAT </w:instrText>
        </w:r>
        <w:r>
          <w:fldChar w:fldCharType="separate"/>
        </w:r>
        <w:r w:rsidR="00C27F1D">
          <w:rPr>
            <w:noProof/>
          </w:rPr>
          <w:t>1</w:t>
        </w:r>
        <w:r>
          <w:fldChar w:fldCharType="end"/>
        </w:r>
      </w:p>
    </w:sdtContent>
  </w:sdt>
  <w:p w14:paraId="3C30BC13" w14:textId="25AF62A8" w:rsidR="00E56769" w:rsidRDefault="00E567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71F0A" w14:textId="77777777" w:rsidR="00E45753" w:rsidRDefault="00E4575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6143521"/>
      <w:docPartObj>
        <w:docPartGallery w:val="Page Numbers (Bottom of Page)"/>
        <w:docPartUnique/>
      </w:docPartObj>
    </w:sdtPr>
    <w:sdtEndPr>
      <w:rPr>
        <w:noProof/>
      </w:rPr>
    </w:sdtEndPr>
    <w:sdtContent>
      <w:p w14:paraId="25F23957" w14:textId="60BECAA9" w:rsidR="00C81F9F" w:rsidRDefault="00C81F9F">
        <w:pPr>
          <w:pStyle w:val="Footer"/>
          <w:jc w:val="center"/>
        </w:pPr>
        <w:r>
          <w:fldChar w:fldCharType="begin"/>
        </w:r>
        <w:r>
          <w:instrText xml:space="preserve"> PAGE   \* MERGEFORMAT </w:instrText>
        </w:r>
        <w:r>
          <w:fldChar w:fldCharType="separate"/>
        </w:r>
        <w:r w:rsidR="00C27F1D">
          <w:rPr>
            <w:noProof/>
          </w:rPr>
          <w:t>3</w:t>
        </w:r>
        <w:r>
          <w:fldChar w:fldCharType="end"/>
        </w:r>
      </w:p>
    </w:sdtContent>
  </w:sdt>
  <w:p w14:paraId="588E7693" w14:textId="77777777" w:rsidR="00C81F9F" w:rsidRDefault="00C81F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2337F" w14:textId="77777777" w:rsidR="00BB6FE1" w:rsidRPr="00BB6FE1" w:rsidRDefault="00BB6FE1">
    <w:pPr>
      <w:pStyle w:val="Foo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516F7" w14:textId="77777777" w:rsidR="005D757F" w:rsidRDefault="005D757F" w:rsidP="00B23D1C">
      <w:pPr>
        <w:spacing w:after="0" w:line="240" w:lineRule="auto"/>
      </w:pPr>
      <w:r>
        <w:separator/>
      </w:r>
    </w:p>
  </w:footnote>
  <w:footnote w:type="continuationSeparator" w:id="0">
    <w:p w14:paraId="55DCE584" w14:textId="77777777" w:rsidR="005D757F" w:rsidRDefault="005D757F" w:rsidP="00B23D1C">
      <w:pPr>
        <w:spacing w:after="0" w:line="240" w:lineRule="auto"/>
      </w:pPr>
      <w:r>
        <w:continuationSeparator/>
      </w:r>
    </w:p>
  </w:footnote>
  <w:footnote w:type="continuationNotice" w:id="1">
    <w:p w14:paraId="2BB3E1A8" w14:textId="77777777" w:rsidR="005D757F" w:rsidRDefault="005D757F">
      <w:pPr>
        <w:spacing w:after="0" w:line="240" w:lineRule="auto"/>
      </w:pPr>
    </w:p>
  </w:footnote>
  <w:footnote w:id="2">
    <w:p w14:paraId="1421C04E" w14:textId="74B4E3EC" w:rsidR="00456C8F" w:rsidRPr="00636CF3" w:rsidRDefault="00456C8F" w:rsidP="00E45753">
      <w:pPr>
        <w:pStyle w:val="FootnoteText"/>
        <w:jc w:val="both"/>
      </w:pPr>
      <w:r>
        <w:rPr>
          <w:rStyle w:val="FootnoteReference"/>
          <w:rFonts w:ascii="Times New Roman" w:hAnsi="Times New Roman" w:cs="Times New Roman"/>
        </w:rPr>
        <w:footnoteRef/>
      </w:r>
      <w:r>
        <w:rPr>
          <w:rFonts w:ascii="Times New Roman" w:hAnsi="Times New Roman"/>
        </w:rPr>
        <w:t xml:space="preserve"> Les rapports annuels 2025 des États membres, qui devaient être présentés au plus tard le 31 décembre 2025, ne sont pas inclus dans le présent rapport. </w:t>
      </w:r>
    </w:p>
  </w:footnote>
  <w:footnote w:id="3">
    <w:p w14:paraId="3FBDFC51" w14:textId="77777777" w:rsidR="006A2DCF" w:rsidRPr="0098383F" w:rsidRDefault="006A2DCF"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Site web de la Commission européenne</w:t>
      </w:r>
      <w:r>
        <w:t>;</w:t>
      </w:r>
      <w:r>
        <w:rPr>
          <w:rFonts w:ascii="Times New Roman" w:hAnsi="Times New Roman"/>
        </w:rPr>
        <w:t xml:space="preserve"> </w:t>
      </w:r>
      <w:hyperlink r:id="rId1" w:anchor="member-states-reports-under-article-21-of-the-nzia-regulation" w:history="1">
        <w:r>
          <w:rPr>
            <w:rStyle w:val="Hyperlink"/>
            <w:rFonts w:ascii="Times New Roman" w:hAnsi="Times New Roman"/>
          </w:rPr>
          <w:t>Rapports des États membres au titre de l’article 21 du règlement pour une industrie «zéro net»</w:t>
        </w:r>
      </w:hyperlink>
      <w:r>
        <w:t>.</w:t>
      </w:r>
      <w:r>
        <w:rPr>
          <w:rFonts w:ascii="Times New Roman" w:hAnsi="Times New Roman"/>
        </w:rPr>
        <w:t xml:space="preserve"> </w:t>
      </w:r>
    </w:p>
  </w:footnote>
  <w:footnote w:id="4">
    <w:p w14:paraId="77EF55DE" w14:textId="77777777" w:rsidR="001F37F9" w:rsidRPr="0098383F" w:rsidRDefault="001F37F9"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Site web de la Commission européenne</w:t>
      </w:r>
      <w:r>
        <w:t>;</w:t>
      </w:r>
      <w:r>
        <w:rPr>
          <w:rFonts w:ascii="Times New Roman" w:hAnsi="Times New Roman"/>
        </w:rPr>
        <w:t xml:space="preserve"> </w:t>
      </w:r>
      <w:hyperlink r:id="rId2" w:history="1">
        <w:r>
          <w:rPr>
            <w:rStyle w:val="Hyperlink"/>
            <w:rFonts w:ascii="Times New Roman" w:hAnsi="Times New Roman"/>
          </w:rPr>
          <w:t>Plans nationaux en matière d’énergie et de climat</w:t>
        </w:r>
      </w:hyperlink>
      <w:r>
        <w:t>.</w:t>
      </w:r>
    </w:p>
  </w:footnote>
  <w:footnote w:id="5">
    <w:p w14:paraId="75222F3D" w14:textId="6BFCA9B7" w:rsidR="00D47133" w:rsidRPr="00F054BA" w:rsidRDefault="00D47133" w:rsidP="00E45753">
      <w:pPr>
        <w:pStyle w:val="FootnoteText"/>
        <w:jc w:val="both"/>
      </w:pPr>
      <w:r>
        <w:rPr>
          <w:rStyle w:val="FootnoteReference"/>
          <w:rFonts w:ascii="Times New Roman" w:hAnsi="Times New Roman" w:cs="Times New Roman"/>
        </w:rPr>
        <w:footnoteRef/>
      </w:r>
      <w:r>
        <w:rPr>
          <w:rFonts w:ascii="Times New Roman" w:hAnsi="Times New Roman"/>
        </w:rPr>
        <w:t xml:space="preserve"> Les projets de captage et de stockage du carbone peuvent bénéficier d’un soutien au titre du mécanisme pour l’interconnexion en Europe, du programme Horizon Europe, du Fonds pour l’innovation, du programme LIFE, du Fonds pour la modernisation et de la plateforme «Technologies stratégiques pour l’Europe». </w:t>
      </w:r>
    </w:p>
  </w:footnote>
  <w:footnote w:id="6">
    <w:p w14:paraId="34F05031" w14:textId="77777777" w:rsidR="001C57A1" w:rsidRPr="001706A2" w:rsidRDefault="001C57A1" w:rsidP="00E45753">
      <w:pPr>
        <w:pStyle w:val="FootnoteText"/>
        <w:jc w:val="both"/>
        <w:rPr>
          <w:rFonts w:ascii="Times New Roman" w:hAnsi="Times New Roman" w:cs="Times New Roman"/>
        </w:rPr>
      </w:pPr>
      <w:r>
        <w:rPr>
          <w:rFonts w:ascii="Times New Roman" w:hAnsi="Times New Roman" w:cs="Times New Roman"/>
          <w:vertAlign w:val="superscript"/>
        </w:rPr>
        <w:footnoteRef/>
      </w:r>
      <w:r>
        <w:t xml:space="preserve"> </w:t>
      </w:r>
      <w:r>
        <w:rPr>
          <w:rFonts w:ascii="Times New Roman" w:hAnsi="Times New Roman"/>
        </w:rPr>
        <w:t>Directive 2009/31/CE du Parlement européen et du Conseil du 23 avril 2009 relative au stockage géologique du dioxyde de carbone et modifiant la directive 85/337/CEE du Conseil, les directives 2000/60/CE, 2001/80/CE, 2004/35/CE, 2006/12/CE et 2008/1/CE et le règlement (CE) nº 1013/2006 du Parlement européen et du Conseil (JO L 140 du 5.6.2009, p. 114, ELI: http://data.europa.eu/eli/dir/2009/31/oj).</w:t>
      </w:r>
    </w:p>
  </w:footnote>
  <w:footnote w:id="7">
    <w:p w14:paraId="675C8CE6" w14:textId="292D1882" w:rsidR="00F90D80" w:rsidRPr="00F76554" w:rsidRDefault="002F5BA1"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Communication intitulée «Vers une gestion industrielle du carbone ambitieuse pour l’UE»</w:t>
        </w:r>
      </w:hyperlink>
      <w:r>
        <w:rPr>
          <w:rFonts w:ascii="Times New Roman" w:hAnsi="Times New Roman"/>
        </w:rPr>
        <w:t>– COM (2024) 62 final.</w:t>
      </w:r>
    </w:p>
  </w:footnote>
  <w:footnote w:id="8">
    <w:p w14:paraId="3AFF0C78" w14:textId="4597296B" w:rsidR="002D64D0" w:rsidRPr="002D64D0" w:rsidRDefault="002D64D0" w:rsidP="00E45753">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«The future of European competitiveness»</w:t>
        </w:r>
      </w:hyperlink>
      <w:r>
        <w:rPr>
          <w:rFonts w:ascii="Times New Roman" w:hAnsi="Times New Roman"/>
        </w:rPr>
        <w:t xml:space="preserve"> (L’avenir de la compétitivité européenne), septembre 2024.</w:t>
      </w:r>
    </w:p>
  </w:footnote>
  <w:footnote w:id="9">
    <w:p w14:paraId="60DC0BE8" w14:textId="3DE79053" w:rsidR="00EC2424" w:rsidRPr="001706A2" w:rsidRDefault="00EC2424"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Observatoire des technologies énergétiques propres:</w:t>
        </w:r>
      </w:hyperlink>
      <w:hyperlink r:id="rId6" w:history="1">
        <w:r>
          <w:rPr>
            <w:rStyle w:val="Hyperlink"/>
            <w:rFonts w:ascii="Times New Roman" w:hAnsi="Times New Roman"/>
          </w:rPr>
          <w:t>Carbon Capture, Utilisation and Storage in the European Union – 2024 Status Report on Technology Development, Trends, Value Chains and Markets</w:t>
        </w:r>
      </w:hyperlink>
      <w:r>
        <w:rPr>
          <w:rFonts w:ascii="Times New Roman" w:hAnsi="Times New Roman"/>
        </w:rPr>
        <w:t xml:space="preserve"> (Captage, utilisation et stockage du carbone dans l’Union européenne – Rapport de situation 2024 sur le développement technologique, les tendances, les chaînes de valeur et les marchés) – Centre commun de recherche de la Commission européenne.</w:t>
      </w:r>
    </w:p>
  </w:footnote>
  <w:footnote w:id="10">
    <w:p w14:paraId="119CDD27" w14:textId="72E90238" w:rsidR="005B46A6" w:rsidRPr="001706A2" w:rsidRDefault="005B46A6"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Document de travail des services de la Commission intitulé «</w:t>
      </w:r>
      <w:hyperlink r:id="rId7" w:history="1">
        <w:r>
          <w:rPr>
            <w:rStyle w:val="Hyperlink"/>
            <w:rFonts w:ascii="Times New Roman" w:hAnsi="Times New Roman"/>
          </w:rPr>
          <w:t>Investment needs assessment and funding availabilities to strengthen EU’s Net-Zero technology manufacturing capacity</w:t>
        </w:r>
      </w:hyperlink>
      <w:r>
        <w:rPr>
          <w:rFonts w:ascii="Times New Roman" w:hAnsi="Times New Roman"/>
        </w:rPr>
        <w:t>» (Évaluation des besoins d’investissement et disponibilité de financements pour renforcer la capacité de production de l’UE de technologies «zéro net»), SWD(2023) 68 final.</w:t>
      </w:r>
    </w:p>
  </w:footnote>
  <w:footnote w:id="11">
    <w:p w14:paraId="29E89206" w14:textId="3CCF82C4" w:rsidR="006A4E7F" w:rsidRPr="009749F8" w:rsidRDefault="006A4E7F" w:rsidP="00E45753">
      <w:pPr>
        <w:pStyle w:val="FootnoteText"/>
        <w:jc w:val="both"/>
      </w:pPr>
      <w:r>
        <w:rPr>
          <w:rStyle w:val="FootnoteReference"/>
          <w:rFonts w:ascii="Times New Roman" w:hAnsi="Times New Roman" w:cs="Times New Roman"/>
        </w:rPr>
        <w:footnoteRef/>
      </w:r>
      <w:r>
        <w:t xml:space="preserve"> </w:t>
      </w:r>
      <w:r>
        <w:rPr>
          <w:rFonts w:ascii="Times New Roman" w:hAnsi="Times New Roman"/>
        </w:rPr>
        <w:t>Article 4 du règlement (UE) 2024/1735.</w:t>
      </w:r>
    </w:p>
  </w:footnote>
  <w:footnote w:id="12">
    <w:p w14:paraId="3FBA29A1" w14:textId="53E9A034" w:rsidR="00A739BC" w:rsidRPr="001706A2" w:rsidRDefault="00A739BC" w:rsidP="00E45753">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Articles 20, 23 et chapitre II, section III, du règlement (UE) 2024/1735.</w:t>
      </w:r>
    </w:p>
  </w:footnote>
  <w:footnote w:id="13">
    <w:p w14:paraId="7CC12760" w14:textId="6008954D" w:rsidR="000D65F4" w:rsidRPr="000D65F4" w:rsidRDefault="000D65F4" w:rsidP="00E45753">
      <w:pPr>
        <w:pStyle w:val="FootnoteText"/>
        <w:jc w:val="both"/>
      </w:pPr>
      <w:r>
        <w:rPr>
          <w:rStyle w:val="FootnoteReference"/>
          <w:rFonts w:ascii="Times New Roman" w:hAnsi="Times New Roman" w:cs="Times New Roman"/>
        </w:rPr>
        <w:footnoteRef/>
      </w:r>
      <w:r>
        <w:rPr>
          <w:rFonts w:ascii="Times New Roman" w:hAnsi="Times New Roman"/>
        </w:rPr>
        <w:t xml:space="preserve"> Document de travail des services de la Commission – </w:t>
      </w:r>
      <w:hyperlink r:id="rId8" w:history="1">
        <w:r>
          <w:rPr>
            <w:rStyle w:val="Hyperlink"/>
            <w:rFonts w:ascii="Times New Roman" w:hAnsi="Times New Roman"/>
          </w:rPr>
          <w:t>Impact Assessment Report Part 1</w:t>
        </w:r>
      </w:hyperlink>
      <w:r>
        <w:rPr>
          <w:rFonts w:ascii="Times New Roman" w:hAnsi="Times New Roman"/>
        </w:rPr>
        <w:t xml:space="preserve"> (Rapport d’analyse d’impact, partie 1) accompagnant la communication de la Commission au Parlement européen, au Conseil, au Comité économique et social européen et au Comité des régions. Garantir notre avenir - objectif climatique de l’Europe pour 2040 et voie vers la neutralité climatique à l’horizon 2050 pour une société durable, juste et prospère», [SWD(2024) 63 final]. Tableau 6: Captage et utilisation industriels du carbone.</w:t>
      </w:r>
    </w:p>
  </w:footnote>
  <w:footnote w:id="14">
    <w:p w14:paraId="6D14CE31" w14:textId="454B2930" w:rsidR="006D6D38" w:rsidRPr="001706A2" w:rsidRDefault="006D6D38"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de la Commission au Parlement européen, au Conseil, au Comité économique et social européen et au Comité des régions, </w:t>
      </w:r>
      <w:hyperlink r:id="rId9" w:history="1">
        <w:r>
          <w:rPr>
            <w:rStyle w:val="Hyperlink"/>
            <w:rFonts w:ascii="Times New Roman" w:hAnsi="Times New Roman"/>
          </w:rPr>
          <w:t>«Garantir notre avenir – Objectif climatique de l’Europe pour 2040 et voie vers la neutralité climatique à l’horizon 2050 pour une société durable, juste et prospère»</w:t>
        </w:r>
      </w:hyperlink>
      <w:r>
        <w:rPr>
          <w:rFonts w:ascii="Times New Roman" w:hAnsi="Times New Roman"/>
        </w:rPr>
        <w:t xml:space="preserve"> {COM(2024) 63 final} - {SEC(2024) 64 final} - {SWD(2024) 64 final}.</w:t>
      </w:r>
    </w:p>
  </w:footnote>
  <w:footnote w:id="15">
    <w:p w14:paraId="31D8196A" w14:textId="59B964B1" w:rsidR="0095068C" w:rsidRPr="001706A2" w:rsidRDefault="0095068C"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Article 1</w:t>
      </w:r>
      <w:r>
        <w:rPr>
          <w:rFonts w:ascii="Times New Roman" w:hAnsi="Times New Roman"/>
          <w:vertAlign w:val="superscript"/>
        </w:rPr>
        <w:t>er</w:t>
      </w:r>
      <w:r>
        <w:rPr>
          <w:rFonts w:ascii="Times New Roman" w:hAnsi="Times New Roman"/>
        </w:rPr>
        <w:t xml:space="preserve"> du </w:t>
      </w:r>
      <w:hyperlink r:id="rId10" w:history="1">
        <w:r>
          <w:rPr>
            <w:rStyle w:val="Hyperlink"/>
            <w:rFonts w:ascii="Times New Roman" w:hAnsi="Times New Roman"/>
          </w:rPr>
          <w:t>règlement (UE) 2021/1119</w:t>
        </w:r>
      </w:hyperlink>
      <w:r>
        <w:rPr>
          <w:rFonts w:ascii="Times New Roman" w:hAnsi="Times New Roman"/>
        </w:rPr>
        <w:t xml:space="preserve"> du Parlement européen et du Conseil du 30 juin 2021 établissant le cadre requis pour parvenir à la neutralité climatique et modifiant les règlements (CE) nº 401/2009 et (UE) 2018/1999 («loi européenne sur le climat»)</w:t>
      </w:r>
    </w:p>
  </w:footnote>
  <w:footnote w:id="16">
    <w:p w14:paraId="503CA763" w14:textId="74851F3D" w:rsidR="009467D7" w:rsidRPr="009B1D8A" w:rsidRDefault="009467D7" w:rsidP="00E45753">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Règlement délégué (UE) 2025/1477 de la Commission</w:t>
        </w:r>
      </w:hyperlink>
      <w:r>
        <w:rPr>
          <w:rFonts w:ascii="Times New Roman" w:hAnsi="Times New Roman"/>
        </w:rPr>
        <w:t xml:space="preserve"> du 21 mai 2025 complétant le règlement (UE) 2024/1735 du Parlement européen et du Conseil afin de préciser les règles régissant le recensement des producteurs de pétrole et de gaz autorisés tenus de contribuer à l’objectif de capacité d’injection de CO</w:t>
      </w:r>
      <w:r>
        <w:rPr>
          <w:rFonts w:ascii="Times New Roman" w:hAnsi="Times New Roman"/>
          <w:vertAlign w:val="subscript"/>
        </w:rPr>
        <w:t>2</w:t>
      </w:r>
      <w:r>
        <w:rPr>
          <w:rFonts w:ascii="Times New Roman" w:hAnsi="Times New Roman"/>
        </w:rPr>
        <w:t xml:space="preserve"> disponible à l’échelle de l’Union d’ici à 2030, le calcul de leurs contributions respectives et leurs obligations de déclaration.</w:t>
      </w:r>
    </w:p>
  </w:footnote>
  <w:footnote w:id="17">
    <w:p w14:paraId="59755EF6" w14:textId="4663C7EC" w:rsidR="00EA3C77" w:rsidRPr="00CF63B7" w:rsidRDefault="00EA3C77"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Décision (UE) 2025/1479 de la Commission du 22 mai 2025</w:t>
        </w:r>
      </w:hyperlink>
      <w:r>
        <w:rPr>
          <w:rFonts w:ascii="Times New Roman" w:hAnsi="Times New Roman"/>
        </w:rPr>
        <w:t xml:space="preserve"> précisant les contributions au prorata des entités titulaires d’une autorisation au sens de l’article 1</w:t>
      </w:r>
      <w:r>
        <w:rPr>
          <w:rFonts w:ascii="Times New Roman" w:hAnsi="Times New Roman"/>
          <w:vertAlign w:val="superscript"/>
        </w:rPr>
        <w:t>er</w:t>
      </w:r>
      <w:r>
        <w:rPr>
          <w:rFonts w:ascii="Times New Roman" w:hAnsi="Times New Roman"/>
        </w:rPr>
        <w:t>, point 3), de la directive 94/22/CE du Parlement européen et du Conseil à l’objectif de capacité d’injection de CO</w:t>
      </w:r>
      <w:r>
        <w:rPr>
          <w:rFonts w:ascii="Times New Roman" w:hAnsi="Times New Roman"/>
          <w:vertAlign w:val="subscript"/>
        </w:rPr>
        <w:t>2</w:t>
      </w:r>
      <w:r>
        <w:rPr>
          <w:rFonts w:ascii="Times New Roman" w:hAnsi="Times New Roman"/>
        </w:rPr>
        <w:t xml:space="preserve"> de l’Union d’ici à 2030.</w:t>
      </w:r>
    </w:p>
  </w:footnote>
  <w:footnote w:id="18">
    <w:p w14:paraId="43C743F6" w14:textId="356C2F01" w:rsidR="00461157" w:rsidRPr="00D4497D" w:rsidRDefault="00461157"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installations Silverstone et Northern Lights, situées respectivement en Islande et en Norvège, sont entrées en service et ont commencé l’injection du CO</w:t>
      </w:r>
      <w:r>
        <w:rPr>
          <w:rFonts w:ascii="Times New Roman" w:hAnsi="Times New Roman"/>
          <w:vertAlign w:val="subscript"/>
        </w:rPr>
        <w:t>2</w:t>
      </w:r>
      <w:r>
        <w:rPr>
          <w:rFonts w:ascii="Times New Roman" w:hAnsi="Times New Roman"/>
        </w:rPr>
        <w:t xml:space="preserve"> en 2025.</w:t>
      </w:r>
    </w:p>
  </w:footnote>
  <w:footnote w:id="19">
    <w:p w14:paraId="70671EA6" w14:textId="7B999C67" w:rsidR="00B0072F" w:rsidRPr="00F054BA" w:rsidRDefault="00B0072F"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Communication de la Commission relative aux orientations à l’intention des États membres pour la mise à jour des plans nationaux en matière d’énergie et de climat pour la période 2021-2030</w:t>
        </w:r>
      </w:hyperlink>
      <w:r>
        <w:rPr>
          <w:rFonts w:ascii="Times New Roman" w:hAnsi="Times New Roman"/>
        </w:rPr>
        <w:t xml:space="preserve"> (2022/C 495/02).</w:t>
      </w:r>
    </w:p>
  </w:footnote>
  <w:footnote w:id="20">
    <w:p w14:paraId="26336463" w14:textId="6B7412AA" w:rsidR="00D322B8" w:rsidRPr="00D322B8" w:rsidRDefault="00D322B8" w:rsidP="00E45753">
      <w:pPr>
        <w:pStyle w:val="FootnoteText"/>
        <w:jc w:val="both"/>
      </w:pPr>
      <w:r>
        <w:rPr>
          <w:rStyle w:val="FootnoteReference"/>
        </w:rPr>
        <w:footnoteRef/>
      </w:r>
      <w:r>
        <w:rPr>
          <w:rFonts w:ascii="Times New Roman" w:hAnsi="Times New Roman"/>
        </w:rPr>
        <w:t xml:space="preserve"> À ce jour, la Pologne n’a toujours pas présenté de PNEC actualisé.</w:t>
      </w:r>
    </w:p>
  </w:footnote>
  <w:footnote w:id="21">
    <w:p w14:paraId="70EDC102" w14:textId="0C8B4E3E" w:rsidR="00A21ED8" w:rsidRPr="00F96721" w:rsidRDefault="00A21ED8"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Site web de la Commission européenne</w:t>
      </w:r>
      <w:r>
        <w:t>;</w:t>
      </w:r>
      <w:r>
        <w:rPr>
          <w:rFonts w:ascii="Times New Roman" w:hAnsi="Times New Roman"/>
        </w:rPr>
        <w:t xml:space="preserve"> Gestion industrielle du carbone: </w:t>
      </w:r>
      <w:hyperlink r:id="rId14" w:history="1">
        <w:r>
          <w:rPr>
            <w:rStyle w:val="Hyperlink"/>
            <w:rFonts w:ascii="Times New Roman" w:hAnsi="Times New Roman"/>
          </w:rPr>
          <w:t>The EU’s 2030 carbon storage target</w:t>
        </w:r>
      </w:hyperlink>
      <w:r>
        <w:rPr>
          <w:rFonts w:ascii="Times New Roman" w:hAnsi="Times New Roman"/>
        </w:rPr>
        <w:t xml:space="preserve"> (L’objectif de l’UE en matière de stockage de carbone à l’horizon 2030).</w:t>
      </w:r>
    </w:p>
  </w:footnote>
  <w:footnote w:id="22">
    <w:p w14:paraId="646ED535" w14:textId="1CC31F53" w:rsidR="00607A6C" w:rsidRPr="00607A6C" w:rsidRDefault="00607A6C" w:rsidP="00E45753">
      <w:pPr>
        <w:pStyle w:val="FootnoteText"/>
        <w:jc w:val="both"/>
      </w:pPr>
      <w:r>
        <w:rPr>
          <w:rStyle w:val="FootnoteReference"/>
          <w:rFonts w:ascii="Times New Roman" w:hAnsi="Times New Roman" w:cs="Times New Roman"/>
        </w:rPr>
        <w:footnoteRef/>
      </w:r>
      <w:r>
        <w:rPr>
          <w:rFonts w:ascii="Times New Roman" w:hAnsi="Times New Roman"/>
        </w:rPr>
        <w:t xml:space="preserve"> Certains États membres n’ont pas communiqué directement les chiffres relatifs à l’injection. Lorsque des projets spécifiques ont été mentionnés, les chiffres connus relatifs à la capacité d’injection ont été ajoutés.</w:t>
      </w:r>
    </w:p>
  </w:footnote>
  <w:footnote w:id="23">
    <w:p w14:paraId="2DAD0363" w14:textId="5DFC5B2D" w:rsidR="00BB6F84" w:rsidRDefault="00BB6F84" w:rsidP="00E45753">
      <w:pPr>
        <w:pStyle w:val="FootnoteText"/>
        <w:jc w:val="both"/>
      </w:pPr>
      <w:r>
        <w:rPr>
          <w:rStyle w:val="FootnoteReference"/>
          <w:rFonts w:ascii="Times New Roman" w:hAnsi="Times New Roman" w:cs="Times New Roman"/>
        </w:rPr>
        <w:footnoteRef/>
      </w:r>
      <w:r>
        <w:rPr>
          <w:rFonts w:ascii="Times New Roman" w:hAnsi="Times New Roman"/>
        </w:rPr>
        <w:t xml:space="preserve"> Le Danemark n’a pas communiqué de chiffres relatifs à la capacité d’injection et a fourni des liens vers les projets de stockage de CO</w:t>
      </w:r>
      <w:r>
        <w:rPr>
          <w:rFonts w:ascii="Times New Roman" w:hAnsi="Times New Roman"/>
          <w:vertAlign w:val="subscript"/>
        </w:rPr>
        <w:t>2</w:t>
      </w:r>
      <w:r>
        <w:rPr>
          <w:rFonts w:ascii="Times New Roman" w:hAnsi="Times New Roman"/>
        </w:rPr>
        <w:t xml:space="preserve"> suivants: Greensand, Ruby, Greenstore et Bifrost.</w:t>
      </w:r>
    </w:p>
  </w:footnote>
  <w:footnote w:id="24">
    <w:p w14:paraId="4CC37984" w14:textId="04DC9437" w:rsidR="000C6671" w:rsidRPr="000C6671" w:rsidRDefault="000C6671" w:rsidP="00E45753">
      <w:pPr>
        <w:pStyle w:val="FootnoteText"/>
        <w:jc w:val="both"/>
      </w:pPr>
      <w:r>
        <w:rPr>
          <w:rStyle w:val="FootnoteReference"/>
          <w:rFonts w:ascii="Times New Roman" w:hAnsi="Times New Roman" w:cs="Times New Roman"/>
        </w:rPr>
        <w:footnoteRef/>
      </w:r>
      <w:r>
        <w:rPr>
          <w:rFonts w:ascii="Times New Roman" w:hAnsi="Times New Roman"/>
        </w:rPr>
        <w:t xml:space="preserve"> La Belgique (Région flamande), le Danemark, la France, les Pays-Bas, la Hongrie, l’Italie, la Pologne, la Suède et la Roumanie.</w:t>
      </w:r>
    </w:p>
  </w:footnote>
  <w:footnote w:id="25">
    <w:p w14:paraId="12B4527B" w14:textId="77777777" w:rsidR="00FE1FF7" w:rsidRPr="00BB278F" w:rsidRDefault="00FE1FF7"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Danemark, la France, la Hongrie, l’Espagne et les Pays-Bas.</w:t>
      </w:r>
    </w:p>
  </w:footnote>
  <w:footnote w:id="26">
    <w:p w14:paraId="089D884C" w14:textId="78B641C2" w:rsidR="008E4E86" w:rsidRPr="00BB278F" w:rsidRDefault="008E4E86"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Danemark, l’Allemagne et l’Italie.</w:t>
      </w:r>
    </w:p>
  </w:footnote>
  <w:footnote w:id="27">
    <w:p w14:paraId="0A1FE094" w14:textId="77777777" w:rsidR="0018104C" w:rsidRPr="00BB278F" w:rsidRDefault="0018104C"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Bulgarie, la Tchéquie, l’Estonie, la Finlande, l’Allemagne, la Grèce, l’Irlande, la Lettonie, la Lituanie, le Luxembourg, Malte, la Slovénie et la Slovaquie.</w:t>
      </w:r>
    </w:p>
  </w:footnote>
  <w:footnote w:id="28">
    <w:p w14:paraId="0A1EF680" w14:textId="1A2FC378" w:rsidR="008E4E86" w:rsidRPr="00BB278F" w:rsidRDefault="008E4E86" w:rsidP="00E45753">
      <w:pPr>
        <w:pStyle w:val="FootnoteText"/>
        <w:jc w:val="both"/>
        <w:rPr>
          <w:highlight w:val="yellow"/>
        </w:rPr>
      </w:pPr>
      <w:r>
        <w:rPr>
          <w:rStyle w:val="FootnoteReference"/>
          <w:rFonts w:ascii="Times New Roman" w:hAnsi="Times New Roman" w:cs="Times New Roman"/>
        </w:rPr>
        <w:footnoteRef/>
      </w:r>
      <w:r>
        <w:rPr>
          <w:rFonts w:ascii="Times New Roman" w:hAnsi="Times New Roman"/>
        </w:rPr>
        <w:t xml:space="preserve"> La Belgique, la France, la Lettonie, la Pologne, le Portugal et les Pays-Bas.</w:t>
      </w:r>
    </w:p>
  </w:footnote>
  <w:footnote w:id="29">
    <w:p w14:paraId="57359587" w14:textId="431B31A3" w:rsidR="00081F84" w:rsidRPr="00A86A19" w:rsidRDefault="00081F84"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Tchéquie, l’Estonie, la Finlande, la Grèce et la Lituanie.</w:t>
      </w:r>
    </w:p>
  </w:footnote>
  <w:footnote w:id="30">
    <w:p w14:paraId="400F4C49" w14:textId="0B096535" w:rsidR="00A85B56" w:rsidRPr="00A86A19" w:rsidRDefault="00A85B56"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Bulgarie, la Croatie, la Hongrie, l’Irlande, le Luxembourg, Malte, la Roumanie, la Slovaquie, la Slovénie, l’Espagne et la Suède.</w:t>
      </w:r>
    </w:p>
  </w:footnote>
  <w:footnote w:id="31">
    <w:p w14:paraId="708FE86D" w14:textId="2E6B8A62" w:rsidR="00E32D61" w:rsidRPr="00E32D61" w:rsidRDefault="00E32D61" w:rsidP="00E45753">
      <w:pPr>
        <w:pStyle w:val="FootnoteText"/>
        <w:jc w:val="both"/>
      </w:pPr>
      <w:r>
        <w:rPr>
          <w:rStyle w:val="FootnoteReference"/>
          <w:rFonts w:ascii="Times New Roman" w:hAnsi="Times New Roman" w:cs="Times New Roman"/>
        </w:rPr>
        <w:footnoteRef/>
      </w:r>
      <w:r>
        <w:rPr>
          <w:rFonts w:ascii="Times New Roman" w:hAnsi="Times New Roman"/>
        </w:rPr>
        <w:t xml:space="preserve"> Considérant 43: «</w:t>
      </w:r>
      <w:r>
        <w:rPr>
          <w:rFonts w:ascii="Times New Roman" w:hAnsi="Times New Roman"/>
          <w:i/>
        </w:rPr>
        <w:t>La définition comme projets stratégiques “zéro net” des sites de stockage de CO</w:t>
      </w:r>
      <w:r>
        <w:rPr>
          <w:rFonts w:ascii="Times New Roman" w:hAnsi="Times New Roman"/>
          <w:i/>
          <w:vertAlign w:val="subscript"/>
        </w:rPr>
        <w:t>2</w:t>
      </w:r>
      <w:r>
        <w:rPr>
          <w:rFonts w:ascii="Times New Roman" w:hAnsi="Times New Roman"/>
          <w:i/>
        </w:rPr>
        <w:t xml:space="preserve"> et de tout projet connexe de capture du CO</w:t>
      </w:r>
      <w:r>
        <w:rPr>
          <w:rFonts w:ascii="Times New Roman" w:hAnsi="Times New Roman"/>
          <w:i/>
          <w:vertAlign w:val="subscript"/>
        </w:rPr>
        <w:t>2</w:t>
      </w:r>
      <w:r>
        <w:rPr>
          <w:rFonts w:ascii="Times New Roman" w:hAnsi="Times New Roman"/>
          <w:i/>
        </w:rPr>
        <w:t xml:space="preserve"> et d’infrastructures de CO</w:t>
      </w:r>
      <w:r>
        <w:rPr>
          <w:rFonts w:ascii="Times New Roman" w:hAnsi="Times New Roman"/>
          <w:i/>
          <w:vertAlign w:val="subscript"/>
        </w:rPr>
        <w:t>2</w:t>
      </w:r>
      <w:r>
        <w:rPr>
          <w:rFonts w:ascii="Times New Roman" w:hAnsi="Times New Roman"/>
          <w:i/>
        </w:rPr>
        <w:t xml:space="preserve"> qui contribuent à l’objectif de l’Union à l’horizon 2030, peut accélérer et simplifier le développement desdits sites, et la demande industrielle croissante de sites de stockage de CO</w:t>
      </w:r>
      <w:r>
        <w:rPr>
          <w:rFonts w:ascii="Times New Roman" w:hAnsi="Times New Roman"/>
          <w:i/>
          <w:vertAlign w:val="subscript"/>
        </w:rPr>
        <w:t>2</w:t>
      </w:r>
      <w:r>
        <w:rPr>
          <w:rFonts w:ascii="Times New Roman" w:hAnsi="Times New Roman"/>
          <w:i/>
        </w:rPr>
        <w:t xml:space="preserve"> peut être orientée vers les sites les plus efficaces au regard des coûts. Un volume croissant de gisements de gaz et de pétrole est en voie d’épuisement et arrive à la fin de sa durée de vie utile. Ces gisements pourraient être convertis en sites sûrs de stockage de CO</w:t>
      </w:r>
      <w:r>
        <w:rPr>
          <w:rFonts w:ascii="Times New Roman" w:hAnsi="Times New Roman"/>
          <w:i/>
          <w:vertAlign w:val="subscript"/>
        </w:rPr>
        <w:t>2</w:t>
      </w:r>
      <w:r>
        <w:rPr>
          <w:rFonts w:ascii="Times New Roman" w:hAnsi="Times New Roman"/>
          <w:i/>
        </w:rPr>
        <w:t>. En outre, l’industrie pétrolière et gazière a affirmé sa détermination à s’engager dans une transition énergétique et possède les atouts, les compétences et les connaissances nécessaires pour explorer et développer des sites de stockage supplémentaires. Pour atteindre l’objectif de 50 millions de tonnes de capacité opérationnelle annuelle d’injection de CO</w:t>
      </w:r>
      <w:r>
        <w:rPr>
          <w:rFonts w:ascii="Times New Roman" w:hAnsi="Times New Roman"/>
          <w:i/>
          <w:vertAlign w:val="subscript"/>
        </w:rPr>
        <w:t>2</w:t>
      </w:r>
      <w:r>
        <w:rPr>
          <w:rFonts w:ascii="Times New Roman" w:hAnsi="Times New Roman"/>
          <w:i/>
        </w:rPr>
        <w:t xml:space="preserve"> d’ici à 2030 à l’échelle de l’Union, le secteur doit mettre en commun ses contributions pour faire en sorte que les solutions climatiques de CSC soient disponibles en amont de la demande. Afin d’assurer un développement en temps opportun, à l’échelle de l’Union et d’un bon rapport coût-efficacité des sites de stockage de CO</w:t>
      </w:r>
      <w:r>
        <w:rPr>
          <w:rFonts w:ascii="Times New Roman" w:hAnsi="Times New Roman"/>
          <w:i/>
          <w:vertAlign w:val="subscript"/>
        </w:rPr>
        <w:t>2</w:t>
      </w:r>
      <w:r>
        <w:rPr>
          <w:rFonts w:ascii="Times New Roman" w:hAnsi="Times New Roman"/>
          <w:i/>
        </w:rPr>
        <w:t>, les titulaires de licences de production de pétrole et de gaz dans l’Union devraient contribuer à l’objectif de l’Union en matière de capacité d’injection au prorata de leurs capacités de production de pétrole et de gaz, tout en offrant des marges de manœuvre pour coopérer et tenir compte des contributions d’autres parties. Une approche fondée sur la chaîne de valeur devrait être favorisée par des mesures prises à la fois au niveau de l’Union et au niveau national. En conséquence, les titulaires de licences de production de pétrole et de gaz dans l’Union devraient entreprendre les investissements nécessaires et appuyer le développement de modèles économiques viables pour l’ensemble de la chaîne de valeur du dioxyde de carbone.</w:t>
      </w:r>
      <w:r>
        <w:rPr>
          <w:rFonts w:ascii="Times New Roman" w:hAnsi="Times New Roman"/>
        </w:rPr>
        <w:t>»</w:t>
      </w:r>
    </w:p>
  </w:footnote>
  <w:footnote w:id="32">
    <w:p w14:paraId="6954FB12" w14:textId="1C6CCF7D" w:rsidR="0044022E" w:rsidRPr="008A3DBE" w:rsidRDefault="0044022E"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L’article 20, paragraphe 2, du </w:t>
      </w:r>
      <w:hyperlink r:id="rId15" w:history="1">
        <w:r>
          <w:rPr>
            <w:rStyle w:val="Hyperlink"/>
            <w:rFonts w:ascii="Times New Roman" w:hAnsi="Times New Roman"/>
          </w:rPr>
          <w:t>règlement (UE) 2024/1735</w:t>
        </w:r>
      </w:hyperlink>
      <w:r>
        <w:rPr>
          <w:rFonts w:ascii="Times New Roman" w:hAnsi="Times New Roman"/>
        </w:rPr>
        <w:t xml:space="preserve"> prévoit que tous les sites de stockage sont conçus pour être exploités pendant une période minimale de cinq ans. </w:t>
      </w:r>
    </w:p>
  </w:footnote>
  <w:footnote w:id="33">
    <w:p w14:paraId="6002B885" w14:textId="21CA83A8" w:rsidR="00560888" w:rsidRPr="00560888" w:rsidRDefault="00560888" w:rsidP="00E45753">
      <w:pPr>
        <w:pStyle w:val="FootnoteText"/>
        <w:jc w:val="both"/>
      </w:pPr>
      <w:r>
        <w:rPr>
          <w:rStyle w:val="FootnoteReference"/>
        </w:rPr>
        <w:footnoteRef/>
      </w:r>
      <w:r>
        <w:rPr>
          <w:rFonts w:ascii="Times New Roman" w:hAnsi="Times New Roman"/>
        </w:rPr>
        <w:t xml:space="preserve"> Site web de l’Agence danoise de l’énergie – </w:t>
      </w:r>
      <w:hyperlink r:id="rId16" w:history="1">
        <w:r>
          <w:rPr>
            <w:rStyle w:val="Hyperlink"/>
            <w:rFonts w:ascii="Times New Roman" w:hAnsi="Times New Roman"/>
          </w:rPr>
          <w:t>Publications, news and analysis on CCS</w:t>
        </w:r>
      </w:hyperlink>
      <w:r>
        <w:rPr>
          <w:rFonts w:ascii="Times New Roman" w:hAnsi="Times New Roman"/>
        </w:rPr>
        <w:t xml:space="preserve"> (Publications, actualités et analyse sur le CSC) – Decision on approval of storage plan and permission to store carbon dioxide at Nini A (Nini West) offshore Denmark, Licence C2023/01 [Décision relative à l’approbation du plan de stockage et à l’autorisation de stocker du dioxyde de carbone à Nini A (Nini West) au large du Danemark, licence C2023/01].</w:t>
      </w:r>
    </w:p>
  </w:footnote>
  <w:footnote w:id="34">
    <w:p w14:paraId="7472D640" w14:textId="4344DCD9" w:rsidR="00610E88" w:rsidRPr="006551D5" w:rsidRDefault="00610E88"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Site web de Energean – </w:t>
      </w:r>
      <w:hyperlink r:id="rId17" w:anchor=":~:text=Phase%201,compressed%20form%20in%202026-2027." w:history="1">
        <w:r>
          <w:rPr>
            <w:rStyle w:val="Hyperlink"/>
            <w:rFonts w:ascii="Times New Roman" w:hAnsi="Times New Roman"/>
          </w:rPr>
          <w:t>Prinos CO</w:t>
        </w:r>
        <w:r>
          <w:rPr>
            <w:rStyle w:val="Hyperlink"/>
            <w:rFonts w:ascii="Times New Roman" w:hAnsi="Times New Roman"/>
            <w:vertAlign w:val="subscript"/>
          </w:rPr>
          <w:t>2</w:t>
        </w:r>
      </w:hyperlink>
      <w:r>
        <w:rPr>
          <w:rFonts w:ascii="Times New Roman" w:hAnsi="Times New Roman"/>
        </w:rPr>
        <w:t>.</w:t>
      </w:r>
    </w:p>
  </w:footnote>
  <w:footnote w:id="35">
    <w:p w14:paraId="03A1860F" w14:textId="4006A89C" w:rsidR="00661834" w:rsidRPr="0088456B" w:rsidRDefault="00661834"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du volume de stockage maximal divisé par la période d’injection mentionnée dans le projet de permis de stockage. Le projet Prinos prévoit deux phases, avec une capacité d’injection maximale d’un million de tonnes par an au cours de la première phase et de trois millions de tonnes par an au cours de la deuxième phase. Le permis couvre la première phase, ce qui explique l’écart avec la capacité d’injection prévue par la Grèce mentionnée dans le tableau 1.</w:t>
      </w:r>
    </w:p>
  </w:footnote>
  <w:footnote w:id="36">
    <w:p w14:paraId="11A62331" w14:textId="77777777" w:rsidR="00356014" w:rsidRPr="001A1D99" w:rsidRDefault="00356014"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Site web du </w:t>
      </w:r>
      <w:hyperlink r:id="rId18" w:history="1">
        <w:r>
          <w:rPr>
            <w:rStyle w:val="Hyperlink"/>
            <w:rFonts w:ascii="Times New Roman" w:hAnsi="Times New Roman"/>
          </w:rPr>
          <w:t>projet Porthos</w:t>
        </w:r>
      </w:hyperlink>
      <w:r>
        <w:rPr>
          <w:rFonts w:ascii="Times New Roman" w:hAnsi="Times New Roman"/>
        </w:rPr>
        <w:t>.</w:t>
      </w:r>
    </w:p>
  </w:footnote>
  <w:footnote w:id="37">
    <w:p w14:paraId="6FC9EAA2" w14:textId="77777777" w:rsidR="002F200D" w:rsidRPr="009E2FBC" w:rsidRDefault="002F200D" w:rsidP="00E45753">
      <w:pPr>
        <w:pStyle w:val="FootnoteText"/>
        <w:jc w:val="both"/>
      </w:pPr>
      <w:r>
        <w:rPr>
          <w:rStyle w:val="FootnoteReference"/>
          <w:rFonts w:ascii="Times New Roman" w:hAnsi="Times New Roman" w:cs="Times New Roman"/>
        </w:rPr>
        <w:footnoteRef/>
      </w:r>
      <w:r>
        <w:rPr>
          <w:rFonts w:ascii="Times New Roman" w:hAnsi="Times New Roman"/>
        </w:rPr>
        <w:t xml:space="preserve"> Site web de l’Agence néerlandaise pour les entreprises – </w:t>
      </w:r>
      <w:hyperlink r:id="rId19" w:history="1">
        <w:r>
          <w:rPr>
            <w:rStyle w:val="Hyperlink"/>
            <w:rFonts w:ascii="Times New Roman" w:hAnsi="Times New Roman"/>
          </w:rPr>
          <w:t>Permis de stockage de Porthos</w:t>
        </w:r>
      </w:hyperlink>
      <w:r>
        <w:rPr>
          <w:rFonts w:ascii="Times New Roman" w:hAnsi="Times New Roman"/>
        </w:rPr>
        <w:t>.</w:t>
      </w:r>
    </w:p>
  </w:footnote>
  <w:footnote w:id="38">
    <w:p w14:paraId="27D7C344" w14:textId="040333C9" w:rsidR="00AB7BA2" w:rsidRPr="008A3DBE" w:rsidRDefault="00AB7BA2"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L’article 9, paragraphe 3, de la directive 2009/31/CE dispose que le permis contient au moins «les conditions à remplir pour l’opération de stockage, la quantité totale de CO</w:t>
      </w:r>
      <w:r>
        <w:rPr>
          <w:rFonts w:ascii="Times New Roman" w:hAnsi="Times New Roman"/>
          <w:vertAlign w:val="subscript"/>
        </w:rPr>
        <w:t>2</w:t>
      </w:r>
      <w:r>
        <w:rPr>
          <w:rFonts w:ascii="Times New Roman" w:hAnsi="Times New Roman"/>
        </w:rPr>
        <w:t xml:space="preserve"> dont le stockage géologique est autorisé, les limites de pression du réservoir et les débits et pressions d’injection maximaux».</w:t>
      </w:r>
    </w:p>
  </w:footnote>
  <w:footnote w:id="39">
    <w:p w14:paraId="4C2598AA" w14:textId="5F4A3191" w:rsidR="00DC6858" w:rsidRPr="00514B51" w:rsidRDefault="00DC6858"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indiqué dans la demande de permis de stockage.</w:t>
      </w:r>
    </w:p>
  </w:footnote>
  <w:footnote w:id="40">
    <w:p w14:paraId="4B7B4645" w14:textId="79DB13B4" w:rsidR="002F09A9" w:rsidRPr="00514B51" w:rsidRDefault="002F09A9"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du volume de stockage maximal et de la période d’injection mentionnés dans la demande de permis de stockage.</w:t>
      </w:r>
    </w:p>
  </w:footnote>
  <w:footnote w:id="41">
    <w:p w14:paraId="094C8B35" w14:textId="77777777" w:rsidR="00764183" w:rsidRPr="00514B51" w:rsidRDefault="00764183"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indiqué dans la demande de permis de stockage.</w:t>
      </w:r>
    </w:p>
  </w:footnote>
  <w:footnote w:id="42">
    <w:p w14:paraId="073CC8A9" w14:textId="77777777" w:rsidR="00764183" w:rsidRPr="00514B51" w:rsidRDefault="00764183"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du volume de stockage maximal et de la période d’injection mentionnés dans la demande de permis de stockage. </w:t>
      </w:r>
    </w:p>
  </w:footnote>
  <w:footnote w:id="43">
    <w:p w14:paraId="0A4F9975" w14:textId="020A92B4" w:rsidR="00183BB1" w:rsidRPr="00514B51" w:rsidRDefault="00183BB1"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indiqué dans la demande de permis de stockage.</w:t>
      </w:r>
    </w:p>
  </w:footnote>
  <w:footnote w:id="44">
    <w:p w14:paraId="0A4F9976" w14:textId="5A4AF4EB" w:rsidR="00183BB1" w:rsidRPr="00514B51" w:rsidRDefault="00183BB1"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du volume de stockage maximal et de la période d’injection mentionnés dans le projet de permis de stockage.</w:t>
      </w:r>
    </w:p>
  </w:footnote>
  <w:footnote w:id="45">
    <w:p w14:paraId="0313B89E" w14:textId="463695ED" w:rsidR="00E12CD1" w:rsidRPr="00514B51" w:rsidRDefault="00E12CD1"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indiqué dans la demande de permis de stockage.</w:t>
      </w:r>
    </w:p>
  </w:footnote>
  <w:footnote w:id="46">
    <w:p w14:paraId="575924D9" w14:textId="2309BE5F" w:rsidR="00FD4658" w:rsidRPr="00514B51" w:rsidRDefault="00FD4658"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du volume de stockage maximal et de la période d’injection mentionnés dans la demande de permis de stockage.</w:t>
      </w:r>
    </w:p>
  </w:footnote>
  <w:footnote w:id="47">
    <w:p w14:paraId="02A8503B" w14:textId="77777777" w:rsidR="00744B15" w:rsidRPr="00514B51" w:rsidRDefault="00744B15"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indiqué dans la demande de permis de stockage.</w:t>
      </w:r>
    </w:p>
  </w:footnote>
  <w:footnote w:id="48">
    <w:p w14:paraId="2EEC205A" w14:textId="77777777" w:rsidR="00744B15" w:rsidRPr="00514B51" w:rsidRDefault="00744B15"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du volume de stockage maximal et de la période d’injection mentionnés dans la demande de permis de stockage. </w:t>
      </w:r>
    </w:p>
  </w:footnote>
  <w:footnote w:id="49">
    <w:p w14:paraId="28D1C2FD" w14:textId="77777777" w:rsidR="00C17FF4" w:rsidRPr="00514B51" w:rsidRDefault="00C17FF4"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indiqué dans la demande de permis de stockage.</w:t>
      </w:r>
    </w:p>
  </w:footnote>
  <w:footnote w:id="50">
    <w:p w14:paraId="511EA633" w14:textId="77777777" w:rsidR="00C17FF4" w:rsidRPr="00514B51" w:rsidRDefault="00C17FF4"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du volume de stockage maximal divisé par la période d’injection mentionnée dans le projet de permis</w:t>
      </w:r>
    </w:p>
  </w:footnote>
  <w:footnote w:id="51">
    <w:p w14:paraId="3FA78938" w14:textId="0BDF5EAB" w:rsidR="00B62342" w:rsidRPr="00E45753" w:rsidRDefault="00B62342" w:rsidP="00E45753">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sidRPr="00E45753">
        <w:rPr>
          <w:rFonts w:ascii="Times New Roman" w:hAnsi="Times New Roman"/>
          <w:lang w:val="en-US"/>
        </w:rPr>
        <w:t xml:space="preserve"> Site web de ONE-Dyas – </w:t>
      </w:r>
      <w:hyperlink r:id="rId20" w:anchor=":~:text=Carbon%20Storage%20%7C%20ONE-Dyas,know%20more%20about%20the%20project?" w:history="1">
        <w:r w:rsidRPr="00E45753">
          <w:rPr>
            <w:rStyle w:val="Hyperlink"/>
            <w:rFonts w:ascii="Times New Roman" w:hAnsi="Times New Roman"/>
            <w:lang w:val="en-US"/>
          </w:rPr>
          <w:t>Stockage du CO2</w:t>
        </w:r>
      </w:hyperlink>
      <w:r w:rsidRPr="00E45753">
        <w:rPr>
          <w:rFonts w:ascii="Times New Roman" w:hAnsi="Times New Roman"/>
          <w:lang w:val="en-US"/>
        </w:rPr>
        <w:t>.</w:t>
      </w:r>
    </w:p>
  </w:footnote>
  <w:footnote w:id="52">
    <w:p w14:paraId="3AC32574" w14:textId="06733DA7" w:rsidR="00B62342" w:rsidRPr="00DA346B" w:rsidRDefault="00B62342" w:rsidP="00E45753">
      <w:pPr>
        <w:pStyle w:val="FootnoteText"/>
        <w:jc w:val="both"/>
      </w:pPr>
      <w:r>
        <w:rPr>
          <w:rStyle w:val="FootnoteReference"/>
          <w:rFonts w:ascii="Times New Roman" w:hAnsi="Times New Roman" w:cs="Times New Roman"/>
        </w:rPr>
        <w:footnoteRef/>
      </w:r>
      <w:r>
        <w:rPr>
          <w:rFonts w:ascii="Times New Roman" w:hAnsi="Times New Roman"/>
        </w:rPr>
        <w:t xml:space="preserve"> Sur la base du volume de stockage maximal et de la période d’injection mentionnés dans la demande de permis de stockage. </w:t>
      </w:r>
    </w:p>
  </w:footnote>
  <w:footnote w:id="53">
    <w:p w14:paraId="78A6778B" w14:textId="0866FE19" w:rsidR="009062C7" w:rsidRPr="00CF63B7" w:rsidRDefault="009062C7"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s’agit notamment de projets pour lesquels des subventions ont été signées et de projets invités à préparer une convention de subvention. Six projets du Fonds pour l’innovation concernant le stockage de CO</w:t>
      </w:r>
      <w:r>
        <w:rPr>
          <w:rFonts w:ascii="Times New Roman" w:hAnsi="Times New Roman"/>
          <w:vertAlign w:val="subscript"/>
        </w:rPr>
        <w:t>2</w:t>
      </w:r>
      <w:r>
        <w:rPr>
          <w:rFonts w:ascii="Times New Roman" w:hAnsi="Times New Roman"/>
        </w:rPr>
        <w:t xml:space="preserve"> et couvrant la chaîne complète de CSC devraient contribuer directement au développement de sites de stockage dans l’UE d’ici à 2030: ANRAV-CCUS, Danube Removals, Greensand Future, HuCCSar, LaunchStores, et TarraCO2-Storage. Une description des projets soutenus par le Fonds pour l’innovation est disponible sur le </w:t>
      </w:r>
      <w:hyperlink r:id="rId21" w:history="1">
        <w:r>
          <w:rPr>
            <w:rStyle w:val="Hyperlink"/>
            <w:rFonts w:ascii="Times New Roman" w:hAnsi="Times New Roman"/>
          </w:rPr>
          <w:t>site web de la Commission</w:t>
        </w:r>
      </w:hyperlink>
      <w:r>
        <w:rPr>
          <w:rFonts w:ascii="Times New Roman" w:hAnsi="Times New Roman"/>
        </w:rPr>
        <w:t>.</w:t>
      </w:r>
    </w:p>
  </w:footnote>
  <w:footnote w:id="54">
    <w:p w14:paraId="0719B3EC" w14:textId="52580548" w:rsidR="000F2B76" w:rsidRPr="0088456B" w:rsidRDefault="000F2B76" w:rsidP="00E457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Site web du </w:t>
      </w:r>
      <w:hyperlink r:id="rId22">
        <w:r>
          <w:rPr>
            <w:rStyle w:val="Hyperlink"/>
            <w:rFonts w:ascii="Times New Roman" w:hAnsi="Times New Roman"/>
          </w:rPr>
          <w:t>projet LaunchStores</w:t>
        </w:r>
      </w:hyperlink>
      <w:r>
        <w:rPr>
          <w:rFonts w:ascii="Times New Roman" w:hAnsi="Times New Roman"/>
        </w:rPr>
        <w:t>. Le projet LaunchStores couvre deux sites de stockage de CO</w:t>
      </w:r>
      <w:r>
        <w:rPr>
          <w:rFonts w:ascii="Times New Roman" w:hAnsi="Times New Roman"/>
          <w:vertAlign w:val="subscript"/>
        </w:rPr>
        <w:t>2</w:t>
      </w:r>
      <w:r>
        <w:rPr>
          <w:rFonts w:ascii="Times New Roman" w:hAnsi="Times New Roman"/>
        </w:rPr>
        <w:t xml:space="preserve"> en mer: L04-A et K14-FAFC. Ce chiffre correspond au volume de stockage maximal divisé par la période d’injection mentionnée dans les projets de permis de stockage L04-A et K14-FAFC (voir tableau 5). Le projet est prévu pour une capacité d’injection maximale de 5 millions de tonnes de CO</w:t>
      </w:r>
      <w:r>
        <w:rPr>
          <w:rFonts w:ascii="Times New Roman" w:hAnsi="Times New Roman"/>
          <w:vertAlign w:val="subscript"/>
        </w:rPr>
        <w:t>2</w:t>
      </w:r>
      <w:r>
        <w:rPr>
          <w:rFonts w:ascii="Times New Roman" w:hAnsi="Times New Roman"/>
        </w:rPr>
        <w:t xml:space="preserve"> par an et une capacité d’injection moyenne de 3,3 millions de tonnes de CO</w:t>
      </w:r>
      <w:r>
        <w:rPr>
          <w:rFonts w:ascii="Times New Roman" w:hAnsi="Times New Roman"/>
          <w:vertAlign w:val="subscript"/>
        </w:rPr>
        <w:t>2</w:t>
      </w:r>
      <w:r>
        <w:rPr>
          <w:rFonts w:ascii="Times New Roman" w:hAnsi="Times New Roman"/>
        </w:rPr>
        <w:t xml:space="preserve"> par an.</w:t>
      </w:r>
    </w:p>
  </w:footnote>
  <w:footnote w:id="55">
    <w:p w14:paraId="00055FB0" w14:textId="5437507A" w:rsidR="00D43853" w:rsidRPr="00D43853" w:rsidRDefault="00D43853" w:rsidP="00E45753">
      <w:pPr>
        <w:pStyle w:val="FootnoteText"/>
        <w:jc w:val="both"/>
      </w:pPr>
      <w:r>
        <w:rPr>
          <w:rStyle w:val="FootnoteReference"/>
          <w:rFonts w:ascii="Times New Roman" w:hAnsi="Times New Roman" w:cs="Times New Roman"/>
        </w:rPr>
        <w:footnoteRef/>
      </w:r>
      <w:r>
        <w:rPr>
          <w:rFonts w:ascii="Times New Roman" w:hAnsi="Times New Roman"/>
        </w:rPr>
        <w:t xml:space="preserve"> Observatoire des technologies énergétiques propres: </w:t>
      </w:r>
      <w:hyperlink r:id="rId23" w:history="1">
        <w:r>
          <w:rPr>
            <w:rStyle w:val="Hyperlink"/>
            <w:rFonts w:ascii="Times New Roman" w:hAnsi="Times New Roman"/>
          </w:rPr>
          <w:t>Carbon Capture, Utilisation and Storage in the European Union – 2024 Status Report on Technology Development, Trends, Value Chains and Markets</w:t>
        </w:r>
      </w:hyperlink>
      <w:r>
        <w:rPr>
          <w:rFonts w:ascii="Times New Roman" w:hAnsi="Times New Roman"/>
        </w:rPr>
        <w:t xml:space="preserve"> (Captage, utilisation et stockage du carbone dans l’Union européenne – Rapport de situation 2024 sur le développement technologique, les tendances, les chaînes de valeur et les marchés) – Centre commun de recherche de la Commission européenne.</w:t>
      </w:r>
    </w:p>
  </w:footnote>
  <w:footnote w:id="56">
    <w:p w14:paraId="04849323" w14:textId="69FC1765" w:rsidR="00DD7D10" w:rsidRPr="00DD7D10" w:rsidRDefault="00DD7D10" w:rsidP="00E45753">
      <w:pPr>
        <w:pStyle w:val="FootnoteText"/>
        <w:jc w:val="both"/>
      </w:pPr>
      <w:r>
        <w:rPr>
          <w:rStyle w:val="FootnoteReference"/>
          <w:rFonts w:ascii="Times New Roman" w:hAnsi="Times New Roman" w:cs="Times New Roman"/>
        </w:rPr>
        <w:footnoteRef/>
      </w:r>
      <w:r>
        <w:rPr>
          <w:rFonts w:ascii="Times New Roman" w:hAnsi="Times New Roman"/>
        </w:rPr>
        <w:t xml:space="preserve"> Banque centrale européenne; Page d’accueil; Statistiques; </w:t>
      </w:r>
      <w:hyperlink r:id="rId24" w:history="1">
        <w:r>
          <w:rPr>
            <w:rStyle w:val="Hyperlink"/>
            <w:rFonts w:ascii="Times New Roman" w:hAnsi="Times New Roman"/>
          </w:rPr>
          <w:t>Taux de change EUR/DKK au 26 novembre 2025</w:t>
        </w:r>
      </w:hyperlink>
      <w:r>
        <w:t>.</w:t>
      </w:r>
    </w:p>
  </w:footnote>
  <w:footnote w:id="57">
    <w:p w14:paraId="15916630" w14:textId="222E1DFC" w:rsidR="00FE09DD" w:rsidRPr="003E7DC9" w:rsidRDefault="00FE09DD" w:rsidP="00E45753">
      <w:pPr>
        <w:pStyle w:val="FootnoteText"/>
        <w:jc w:val="both"/>
      </w:pPr>
      <w:r>
        <w:rPr>
          <w:rStyle w:val="FootnoteReference"/>
        </w:rPr>
        <w:footnoteRef/>
      </w:r>
      <w:r>
        <w:rPr>
          <w:rFonts w:ascii="Times New Roman" w:hAnsi="Times New Roman"/>
        </w:rPr>
        <w:t xml:space="preserve"> Ministère de l’Économie et des Finances; Accueil; Espace entreprises; </w:t>
      </w:r>
      <w:hyperlink r:id="rId25" w:history="1">
        <w:r>
          <w:rPr>
            <w:rStyle w:val="Hyperlink"/>
            <w:rFonts w:ascii="Times New Roman" w:hAnsi="Times New Roman"/>
          </w:rPr>
          <w:t>Appels à projets et à manifestations d’intérêt Grands projets industriels de décarbonation 2024</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BC42B" w14:textId="77777777" w:rsidR="00C27F1D" w:rsidRPr="00C27F1D" w:rsidRDefault="00C27F1D" w:rsidP="00C27F1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F7A0A" w14:textId="77777777" w:rsidR="00C27F1D" w:rsidRPr="00C27F1D" w:rsidRDefault="00C27F1D" w:rsidP="00C27F1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D8378" w14:textId="77777777" w:rsidR="00C27F1D" w:rsidRPr="00C27F1D" w:rsidRDefault="00C27F1D" w:rsidP="00C27F1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BB030" w14:textId="77777777" w:rsidR="00E45753" w:rsidRDefault="00E457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B42AF" w14:textId="77777777" w:rsidR="00C81F9F" w:rsidRDefault="00C81F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1B1E7" w14:textId="77777777" w:rsidR="00E45753" w:rsidRDefault="00E457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E540C" w14:textId="7E752C81" w:rsidR="001D30D9" w:rsidRPr="002708DD" w:rsidRDefault="001D30D9" w:rsidP="00476F04">
    <w:pPr>
      <w:pStyle w:val="Header"/>
      <w:rPr>
        <w:rFonts w:ascii="Times New Roman" w:hAnsi="Times New Roman" w:cs="Times New Roman"/>
        <w:b/>
        <w:bCs/>
        <w:strike/>
        <w:sz w:val="24"/>
        <w:szCs w:val="24"/>
        <w:lang w:val="fr-BE"/>
        <w14:shadow w14:blurRad="50800" w14:dist="50800" w14:dir="5400000" w14:sx="0" w14:sy="0" w14:kx="0" w14:ky="0" w14:algn="ctr">
          <w14:srgbClr w14:val="000000"/>
        </w14:shadow>
        <w14:reflection w14:blurRad="0" w14:stA="100000" w14:stPos="0" w14:endA="0" w14:endPos="0" w14:dist="0" w14:dir="0" w14:fadeDir="0" w14:sx="0" w14:sy="0" w14:kx="0" w14:ky="0" w14:algn="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F5CCC"/>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1C0078"/>
    <w:multiLevelType w:val="hybridMultilevel"/>
    <w:tmpl w:val="EE26B8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7A5AF9"/>
    <w:multiLevelType w:val="hybridMultilevel"/>
    <w:tmpl w:val="5062388E"/>
    <w:lvl w:ilvl="0" w:tplc="C93EE9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32A14"/>
    <w:multiLevelType w:val="multilevel"/>
    <w:tmpl w:val="3E76C05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16451AA"/>
    <w:multiLevelType w:val="hybridMultilevel"/>
    <w:tmpl w:val="64ACA584"/>
    <w:lvl w:ilvl="0" w:tplc="E1286CAC">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AE60DE"/>
    <w:multiLevelType w:val="hybridMultilevel"/>
    <w:tmpl w:val="F2E871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2B140DF"/>
    <w:multiLevelType w:val="multilevel"/>
    <w:tmpl w:val="61DA4210"/>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EE790B"/>
    <w:multiLevelType w:val="hybridMultilevel"/>
    <w:tmpl w:val="57EA3E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3D45772"/>
    <w:multiLevelType w:val="hybridMultilevel"/>
    <w:tmpl w:val="CF80E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D6A3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53689A"/>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8837F7C"/>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AA13F87"/>
    <w:multiLevelType w:val="multilevel"/>
    <w:tmpl w:val="595EEB04"/>
    <w:lvl w:ilvl="0">
      <w:start w:val="1"/>
      <w:numFmt w:val="bullet"/>
      <w:lvlText w:val="o"/>
      <w:lvlJc w:val="left"/>
      <w:pPr>
        <w:tabs>
          <w:tab w:val="num" w:pos="1800"/>
        </w:tabs>
        <w:ind w:left="1800" w:hanging="360"/>
      </w:pPr>
      <w:rPr>
        <w:rFonts w:ascii="Courier New" w:hAnsi="Courier New" w:cs="Courier New"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3" w15:restartNumberingAfterBreak="0">
    <w:nsid w:val="1BAF474B"/>
    <w:multiLevelType w:val="hybridMultilevel"/>
    <w:tmpl w:val="9E4692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D93597E"/>
    <w:multiLevelType w:val="hybridMultilevel"/>
    <w:tmpl w:val="05FCE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DB5D66"/>
    <w:multiLevelType w:val="hybridMultilevel"/>
    <w:tmpl w:val="A6441F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0FD5128"/>
    <w:multiLevelType w:val="multilevel"/>
    <w:tmpl w:val="376A31AE"/>
    <w:lvl w:ilvl="0">
      <w:start w:val="1"/>
      <w:numFmt w:val="decimal"/>
      <w:pStyle w:val="Heading2"/>
      <w:lvlText w:val="%1"/>
      <w:lvlJc w:val="left"/>
      <w:pPr>
        <w:ind w:left="432" w:hanging="432"/>
      </w:pPr>
      <w:rPr>
        <w:rFonts w:hint="default"/>
      </w:rPr>
    </w:lvl>
    <w:lvl w:ilvl="1">
      <w:start w:val="1"/>
      <w:numFmt w:val="decimal"/>
      <w:pStyle w:val="Heading3"/>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17705F3"/>
    <w:multiLevelType w:val="hybridMultilevel"/>
    <w:tmpl w:val="BD3A12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3FE6D8F"/>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266F22EE"/>
    <w:multiLevelType w:val="multilevel"/>
    <w:tmpl w:val="CA62C056"/>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2B906579"/>
    <w:multiLevelType w:val="hybridMultilevel"/>
    <w:tmpl w:val="96523D24"/>
    <w:lvl w:ilvl="0" w:tplc="505643EA">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CEB01F7"/>
    <w:multiLevelType w:val="hybridMultilevel"/>
    <w:tmpl w:val="73620D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32B32CA0"/>
    <w:multiLevelType w:val="multilevel"/>
    <w:tmpl w:val="2B2ECAE2"/>
    <w:lvl w:ilvl="0">
      <w:start w:val="1"/>
      <w:numFmt w:val="decimal"/>
      <w:lvlText w:val="%1."/>
      <w:lvlJc w:val="left"/>
      <w:pPr>
        <w:ind w:left="360" w:hanging="360"/>
      </w:pPr>
      <w:rPr>
        <w:rFonts w:ascii="Times New Roman" w:hAnsi="Times New Roman" w:cs="Times New Roman" w:hint="default"/>
        <w:b/>
        <w:u w:val="none"/>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1C85879"/>
    <w:multiLevelType w:val="hybridMultilevel"/>
    <w:tmpl w:val="B1941A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35C61D6"/>
    <w:multiLevelType w:val="hybridMultilevel"/>
    <w:tmpl w:val="1242D6B4"/>
    <w:lvl w:ilvl="0" w:tplc="EF46E2D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7E854E0"/>
    <w:multiLevelType w:val="hybridMultilevel"/>
    <w:tmpl w:val="DBE449CA"/>
    <w:lvl w:ilvl="0" w:tplc="A6FA3784">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D117FA"/>
    <w:multiLevelType w:val="hybridMultilevel"/>
    <w:tmpl w:val="10BECD3A"/>
    <w:lvl w:ilvl="0" w:tplc="C93EE9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1A6009"/>
    <w:multiLevelType w:val="multilevel"/>
    <w:tmpl w:val="1606573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5096602E"/>
    <w:multiLevelType w:val="hybridMultilevel"/>
    <w:tmpl w:val="C8005F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54760B61"/>
    <w:multiLevelType w:val="hybridMultilevel"/>
    <w:tmpl w:val="5D6ED68A"/>
    <w:lvl w:ilvl="0" w:tplc="6714E276">
      <w:numFmt w:val="bullet"/>
      <w:lvlText w:val=""/>
      <w:lvlJc w:val="left"/>
      <w:pPr>
        <w:ind w:left="360" w:hanging="360"/>
      </w:pPr>
      <w:rPr>
        <w:rFonts w:ascii="Symbol" w:eastAsiaTheme="minorHAnsi" w:hAnsi="Symbol" w:cstheme="minorBid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30" w15:restartNumberingAfterBreak="0">
    <w:nsid w:val="55DC29AB"/>
    <w:multiLevelType w:val="multilevel"/>
    <w:tmpl w:val="C0E6B58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EC7CE5"/>
    <w:multiLevelType w:val="multilevel"/>
    <w:tmpl w:val="399C988C"/>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6B59140D"/>
    <w:multiLevelType w:val="hybridMultilevel"/>
    <w:tmpl w:val="D03E9254"/>
    <w:lvl w:ilvl="0" w:tplc="387EC154">
      <w:start w:val="1"/>
      <w:numFmt w:val="decimal"/>
      <w:lvlText w:val="%1)"/>
      <w:lvlJc w:val="left"/>
      <w:pPr>
        <w:ind w:left="1020" w:hanging="360"/>
      </w:pPr>
    </w:lvl>
    <w:lvl w:ilvl="1" w:tplc="4A5E5B12">
      <w:start w:val="1"/>
      <w:numFmt w:val="decimal"/>
      <w:lvlText w:val="%2)"/>
      <w:lvlJc w:val="left"/>
      <w:pPr>
        <w:ind w:left="1020" w:hanging="360"/>
      </w:pPr>
    </w:lvl>
    <w:lvl w:ilvl="2" w:tplc="14AEDDD0">
      <w:start w:val="1"/>
      <w:numFmt w:val="decimal"/>
      <w:lvlText w:val="%3)"/>
      <w:lvlJc w:val="left"/>
      <w:pPr>
        <w:ind w:left="1020" w:hanging="360"/>
      </w:pPr>
    </w:lvl>
    <w:lvl w:ilvl="3" w:tplc="1FD699E6">
      <w:start w:val="1"/>
      <w:numFmt w:val="decimal"/>
      <w:lvlText w:val="%4)"/>
      <w:lvlJc w:val="left"/>
      <w:pPr>
        <w:ind w:left="1020" w:hanging="360"/>
      </w:pPr>
    </w:lvl>
    <w:lvl w:ilvl="4" w:tplc="7FC63E2E">
      <w:start w:val="1"/>
      <w:numFmt w:val="decimal"/>
      <w:lvlText w:val="%5)"/>
      <w:lvlJc w:val="left"/>
      <w:pPr>
        <w:ind w:left="1020" w:hanging="360"/>
      </w:pPr>
    </w:lvl>
    <w:lvl w:ilvl="5" w:tplc="ECD2DD3E">
      <w:start w:val="1"/>
      <w:numFmt w:val="decimal"/>
      <w:lvlText w:val="%6)"/>
      <w:lvlJc w:val="left"/>
      <w:pPr>
        <w:ind w:left="1020" w:hanging="360"/>
      </w:pPr>
    </w:lvl>
    <w:lvl w:ilvl="6" w:tplc="4BB6FADC">
      <w:start w:val="1"/>
      <w:numFmt w:val="decimal"/>
      <w:lvlText w:val="%7)"/>
      <w:lvlJc w:val="left"/>
      <w:pPr>
        <w:ind w:left="1020" w:hanging="360"/>
      </w:pPr>
    </w:lvl>
    <w:lvl w:ilvl="7" w:tplc="56FA208A">
      <w:start w:val="1"/>
      <w:numFmt w:val="decimal"/>
      <w:lvlText w:val="%8)"/>
      <w:lvlJc w:val="left"/>
      <w:pPr>
        <w:ind w:left="1020" w:hanging="360"/>
      </w:pPr>
    </w:lvl>
    <w:lvl w:ilvl="8" w:tplc="BA44638C">
      <w:start w:val="1"/>
      <w:numFmt w:val="decimal"/>
      <w:lvlText w:val="%9)"/>
      <w:lvlJc w:val="left"/>
      <w:pPr>
        <w:ind w:left="1020" w:hanging="360"/>
      </w:pPr>
    </w:lvl>
  </w:abstractNum>
  <w:abstractNum w:abstractNumId="33" w15:restartNumberingAfterBreak="0">
    <w:nsid w:val="6FD055D3"/>
    <w:multiLevelType w:val="hybridMultilevel"/>
    <w:tmpl w:val="A87C48B8"/>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0CC208E"/>
    <w:multiLevelType w:val="multilevel"/>
    <w:tmpl w:val="9C6EC87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73FC5513"/>
    <w:multiLevelType w:val="hybridMultilevel"/>
    <w:tmpl w:val="F6B8AE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4AD6117"/>
    <w:multiLevelType w:val="hybridMultilevel"/>
    <w:tmpl w:val="0442A92C"/>
    <w:lvl w:ilvl="0" w:tplc="3F18C736">
      <w:start w:val="1"/>
      <w:numFmt w:val="lowerLetter"/>
      <w:pStyle w:val="Heading4"/>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8511306"/>
    <w:multiLevelType w:val="hybridMultilevel"/>
    <w:tmpl w:val="00ECDE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A1A162A"/>
    <w:multiLevelType w:val="hybridMultilevel"/>
    <w:tmpl w:val="F716C5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7D3E7697"/>
    <w:multiLevelType w:val="hybridMultilevel"/>
    <w:tmpl w:val="AA868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F0E9933"/>
    <w:multiLevelType w:val="hybridMultilevel"/>
    <w:tmpl w:val="FFFFFFFF"/>
    <w:lvl w:ilvl="0" w:tplc="F9A832B8">
      <w:start w:val="1"/>
      <w:numFmt w:val="bullet"/>
      <w:lvlText w:val=""/>
      <w:lvlJc w:val="left"/>
      <w:pPr>
        <w:ind w:left="720" w:hanging="360"/>
      </w:pPr>
      <w:rPr>
        <w:rFonts w:ascii="Symbol" w:hAnsi="Symbol" w:hint="default"/>
      </w:rPr>
    </w:lvl>
    <w:lvl w:ilvl="1" w:tplc="182A7B58">
      <w:start w:val="1"/>
      <w:numFmt w:val="bullet"/>
      <w:lvlText w:val="o"/>
      <w:lvlJc w:val="left"/>
      <w:pPr>
        <w:ind w:left="1440" w:hanging="360"/>
      </w:pPr>
      <w:rPr>
        <w:rFonts w:ascii="Courier New" w:hAnsi="Courier New" w:hint="default"/>
      </w:rPr>
    </w:lvl>
    <w:lvl w:ilvl="2" w:tplc="60C4D762">
      <w:start w:val="1"/>
      <w:numFmt w:val="bullet"/>
      <w:lvlText w:val=""/>
      <w:lvlJc w:val="left"/>
      <w:pPr>
        <w:ind w:left="2160" w:hanging="360"/>
      </w:pPr>
      <w:rPr>
        <w:rFonts w:ascii="Wingdings" w:hAnsi="Wingdings" w:hint="default"/>
      </w:rPr>
    </w:lvl>
    <w:lvl w:ilvl="3" w:tplc="72D83A06">
      <w:start w:val="1"/>
      <w:numFmt w:val="bullet"/>
      <w:lvlText w:val=""/>
      <w:lvlJc w:val="left"/>
      <w:pPr>
        <w:ind w:left="2880" w:hanging="360"/>
      </w:pPr>
      <w:rPr>
        <w:rFonts w:ascii="Symbol" w:hAnsi="Symbol" w:hint="default"/>
      </w:rPr>
    </w:lvl>
    <w:lvl w:ilvl="4" w:tplc="536CAF14">
      <w:start w:val="1"/>
      <w:numFmt w:val="bullet"/>
      <w:lvlText w:val="o"/>
      <w:lvlJc w:val="left"/>
      <w:pPr>
        <w:ind w:left="3600" w:hanging="360"/>
      </w:pPr>
      <w:rPr>
        <w:rFonts w:ascii="Courier New" w:hAnsi="Courier New" w:hint="default"/>
      </w:rPr>
    </w:lvl>
    <w:lvl w:ilvl="5" w:tplc="41280312">
      <w:start w:val="1"/>
      <w:numFmt w:val="bullet"/>
      <w:lvlText w:val=""/>
      <w:lvlJc w:val="left"/>
      <w:pPr>
        <w:ind w:left="4320" w:hanging="360"/>
      </w:pPr>
      <w:rPr>
        <w:rFonts w:ascii="Wingdings" w:hAnsi="Wingdings" w:hint="default"/>
      </w:rPr>
    </w:lvl>
    <w:lvl w:ilvl="6" w:tplc="3A1A898E">
      <w:start w:val="1"/>
      <w:numFmt w:val="bullet"/>
      <w:lvlText w:val=""/>
      <w:lvlJc w:val="left"/>
      <w:pPr>
        <w:ind w:left="5040" w:hanging="360"/>
      </w:pPr>
      <w:rPr>
        <w:rFonts w:ascii="Symbol" w:hAnsi="Symbol" w:hint="default"/>
      </w:rPr>
    </w:lvl>
    <w:lvl w:ilvl="7" w:tplc="6C800D90">
      <w:start w:val="1"/>
      <w:numFmt w:val="bullet"/>
      <w:lvlText w:val="o"/>
      <w:lvlJc w:val="left"/>
      <w:pPr>
        <w:ind w:left="5760" w:hanging="360"/>
      </w:pPr>
      <w:rPr>
        <w:rFonts w:ascii="Courier New" w:hAnsi="Courier New" w:hint="default"/>
      </w:rPr>
    </w:lvl>
    <w:lvl w:ilvl="8" w:tplc="9C20E55C">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25"/>
  </w:num>
  <w:num w:numId="4">
    <w:abstractNumId w:val="6"/>
  </w:num>
  <w:num w:numId="5">
    <w:abstractNumId w:val="0"/>
  </w:num>
  <w:num w:numId="6">
    <w:abstractNumId w:val="11"/>
  </w:num>
  <w:num w:numId="7">
    <w:abstractNumId w:val="18"/>
  </w:num>
  <w:num w:numId="8">
    <w:abstractNumId w:val="31"/>
  </w:num>
  <w:num w:numId="9">
    <w:abstractNumId w:val="4"/>
  </w:num>
  <w:num w:numId="10">
    <w:abstractNumId w:val="24"/>
  </w:num>
  <w:num w:numId="11">
    <w:abstractNumId w:val="9"/>
  </w:num>
  <w:num w:numId="12">
    <w:abstractNumId w:val="16"/>
  </w:num>
  <w:num w:numId="13">
    <w:abstractNumId w:val="10"/>
  </w:num>
  <w:num w:numId="14">
    <w:abstractNumId w:val="32"/>
  </w:num>
  <w:num w:numId="15">
    <w:abstractNumId w:val="7"/>
  </w:num>
  <w:num w:numId="16">
    <w:abstractNumId w:val="21"/>
  </w:num>
  <w:num w:numId="17">
    <w:abstractNumId w:val="29"/>
  </w:num>
  <w:num w:numId="18">
    <w:abstractNumId w:val="37"/>
  </w:num>
  <w:num w:numId="19">
    <w:abstractNumId w:val="38"/>
  </w:num>
  <w:num w:numId="20">
    <w:abstractNumId w:val="5"/>
  </w:num>
  <w:num w:numId="21">
    <w:abstractNumId w:val="28"/>
  </w:num>
  <w:num w:numId="22">
    <w:abstractNumId w:val="1"/>
  </w:num>
  <w:num w:numId="23">
    <w:abstractNumId w:val="36"/>
  </w:num>
  <w:num w:numId="24">
    <w:abstractNumId w:val="16"/>
  </w:num>
  <w:num w:numId="25">
    <w:abstractNumId w:val="8"/>
  </w:num>
  <w:num w:numId="26">
    <w:abstractNumId w:val="2"/>
  </w:num>
  <w:num w:numId="27">
    <w:abstractNumId w:val="26"/>
  </w:num>
  <w:num w:numId="28">
    <w:abstractNumId w:val="16"/>
  </w:num>
  <w:num w:numId="29">
    <w:abstractNumId w:val="30"/>
  </w:num>
  <w:num w:numId="30">
    <w:abstractNumId w:val="19"/>
  </w:num>
  <w:num w:numId="31">
    <w:abstractNumId w:val="34"/>
  </w:num>
  <w:num w:numId="32">
    <w:abstractNumId w:val="3"/>
  </w:num>
  <w:num w:numId="33">
    <w:abstractNumId w:val="27"/>
  </w:num>
  <w:num w:numId="34">
    <w:abstractNumId w:val="12"/>
  </w:num>
  <w:num w:numId="35">
    <w:abstractNumId w:val="13"/>
  </w:num>
  <w:num w:numId="36">
    <w:abstractNumId w:val="17"/>
  </w:num>
  <w:num w:numId="37">
    <w:abstractNumId w:val="39"/>
  </w:num>
  <w:num w:numId="38">
    <w:abstractNumId w:val="35"/>
  </w:num>
  <w:num w:numId="39">
    <w:abstractNumId w:val="15"/>
  </w:num>
  <w:num w:numId="40">
    <w:abstractNumId w:val="33"/>
  </w:num>
  <w:num w:numId="41">
    <w:abstractNumId w:val="16"/>
  </w:num>
  <w:num w:numId="42">
    <w:abstractNumId w:val="40"/>
  </w:num>
  <w:num w:numId="43">
    <w:abstractNumId w:val="23"/>
  </w:num>
  <w:num w:numId="44">
    <w:abstractNumId w:val="14"/>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025829A-DEDA-4CF3-B863-F7556680146F"/>
    <w:docVar w:name="LW_COVERPAGE_TYPE" w:val="1"/>
    <w:docVar w:name="LW_CROSSREFERENCE" w:val="&lt;UNUSED&gt;"/>
    <w:docVar w:name="LW_DocType" w:val="NORMAL"/>
    <w:docVar w:name="LW_EMISSION" w:val="28.5.2026"/>
    <w:docVar w:name="LW_EMISSION_ISODATE" w:val="2026-05-2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s progrès accomplis dans la réalisation de l\u8217?objectif à l\u8217?échelle de l\u8217?Union en matière de capacité d\u8217?injection de CO2"/>
    <w:docVar w:name="LW_TYPE.DOC.CP" w:val="RAPPORT DE LA COMMISSION AU PARLEMENT EUROPÉEN ET AU CONSEIL"/>
    <w:docVar w:name="LwApiVersions" w:val="LW4CoDe 1.24.5.0; LW 9.2, Build 20251112"/>
  </w:docVars>
  <w:rsids>
    <w:rsidRoot w:val="00080CD0"/>
    <w:rsid w:val="000003D0"/>
    <w:rsid w:val="0000044F"/>
    <w:rsid w:val="000006E8"/>
    <w:rsid w:val="0000112B"/>
    <w:rsid w:val="000011E1"/>
    <w:rsid w:val="000012BB"/>
    <w:rsid w:val="000013A7"/>
    <w:rsid w:val="00002F11"/>
    <w:rsid w:val="0000327E"/>
    <w:rsid w:val="000036A8"/>
    <w:rsid w:val="00003874"/>
    <w:rsid w:val="00003B1E"/>
    <w:rsid w:val="0000406D"/>
    <w:rsid w:val="000041D9"/>
    <w:rsid w:val="000041FF"/>
    <w:rsid w:val="0000469A"/>
    <w:rsid w:val="00004E1C"/>
    <w:rsid w:val="000050E0"/>
    <w:rsid w:val="000051CD"/>
    <w:rsid w:val="0000548F"/>
    <w:rsid w:val="000055AA"/>
    <w:rsid w:val="000057A5"/>
    <w:rsid w:val="0000598C"/>
    <w:rsid w:val="00005B0B"/>
    <w:rsid w:val="00005B92"/>
    <w:rsid w:val="00005BED"/>
    <w:rsid w:val="000065DD"/>
    <w:rsid w:val="00006DFF"/>
    <w:rsid w:val="00007438"/>
    <w:rsid w:val="000074E5"/>
    <w:rsid w:val="0000779D"/>
    <w:rsid w:val="00007816"/>
    <w:rsid w:val="00007B2D"/>
    <w:rsid w:val="00007EAD"/>
    <w:rsid w:val="00010C57"/>
    <w:rsid w:val="000115E7"/>
    <w:rsid w:val="00011877"/>
    <w:rsid w:val="00012425"/>
    <w:rsid w:val="00012C9B"/>
    <w:rsid w:val="00012EAF"/>
    <w:rsid w:val="000131E7"/>
    <w:rsid w:val="00013378"/>
    <w:rsid w:val="00013981"/>
    <w:rsid w:val="00013B8F"/>
    <w:rsid w:val="00013BAF"/>
    <w:rsid w:val="000140A1"/>
    <w:rsid w:val="0001445F"/>
    <w:rsid w:val="00014567"/>
    <w:rsid w:val="00014D46"/>
    <w:rsid w:val="0001505C"/>
    <w:rsid w:val="00015166"/>
    <w:rsid w:val="0001521C"/>
    <w:rsid w:val="000159E8"/>
    <w:rsid w:val="00015F56"/>
    <w:rsid w:val="000166BA"/>
    <w:rsid w:val="0001696E"/>
    <w:rsid w:val="00016CB1"/>
    <w:rsid w:val="00016EC0"/>
    <w:rsid w:val="00017243"/>
    <w:rsid w:val="00017373"/>
    <w:rsid w:val="0001744B"/>
    <w:rsid w:val="00017704"/>
    <w:rsid w:val="00020B52"/>
    <w:rsid w:val="000212F7"/>
    <w:rsid w:val="0002157D"/>
    <w:rsid w:val="0002181A"/>
    <w:rsid w:val="00021FE9"/>
    <w:rsid w:val="000220F3"/>
    <w:rsid w:val="00022171"/>
    <w:rsid w:val="000221DC"/>
    <w:rsid w:val="000229C5"/>
    <w:rsid w:val="00022C18"/>
    <w:rsid w:val="00022D0E"/>
    <w:rsid w:val="000231BC"/>
    <w:rsid w:val="00023347"/>
    <w:rsid w:val="00023B0E"/>
    <w:rsid w:val="00023F27"/>
    <w:rsid w:val="00024126"/>
    <w:rsid w:val="0002433A"/>
    <w:rsid w:val="000243E7"/>
    <w:rsid w:val="000248B4"/>
    <w:rsid w:val="00024910"/>
    <w:rsid w:val="00024974"/>
    <w:rsid w:val="00024B81"/>
    <w:rsid w:val="00024EAA"/>
    <w:rsid w:val="00025AE5"/>
    <w:rsid w:val="00026115"/>
    <w:rsid w:val="00026356"/>
    <w:rsid w:val="00026D0C"/>
    <w:rsid w:val="00026E2F"/>
    <w:rsid w:val="00027643"/>
    <w:rsid w:val="00027EEF"/>
    <w:rsid w:val="00027F56"/>
    <w:rsid w:val="0003086F"/>
    <w:rsid w:val="00030BA4"/>
    <w:rsid w:val="00030BE8"/>
    <w:rsid w:val="00030F37"/>
    <w:rsid w:val="00031BE9"/>
    <w:rsid w:val="00031E8B"/>
    <w:rsid w:val="00031F06"/>
    <w:rsid w:val="0003226F"/>
    <w:rsid w:val="000322E7"/>
    <w:rsid w:val="00032376"/>
    <w:rsid w:val="0003275B"/>
    <w:rsid w:val="00032959"/>
    <w:rsid w:val="00032C62"/>
    <w:rsid w:val="00032E55"/>
    <w:rsid w:val="000330AA"/>
    <w:rsid w:val="000332A0"/>
    <w:rsid w:val="00033987"/>
    <w:rsid w:val="00033F35"/>
    <w:rsid w:val="00034006"/>
    <w:rsid w:val="000343FC"/>
    <w:rsid w:val="0003450D"/>
    <w:rsid w:val="000347AE"/>
    <w:rsid w:val="00034844"/>
    <w:rsid w:val="00034E65"/>
    <w:rsid w:val="00034F5C"/>
    <w:rsid w:val="000350CA"/>
    <w:rsid w:val="0003524B"/>
    <w:rsid w:val="0003536E"/>
    <w:rsid w:val="000354A8"/>
    <w:rsid w:val="000354CC"/>
    <w:rsid w:val="00035A9E"/>
    <w:rsid w:val="00035AC1"/>
    <w:rsid w:val="00035CF1"/>
    <w:rsid w:val="00036030"/>
    <w:rsid w:val="000360A4"/>
    <w:rsid w:val="000361E9"/>
    <w:rsid w:val="000364AA"/>
    <w:rsid w:val="000364C7"/>
    <w:rsid w:val="00036AE9"/>
    <w:rsid w:val="00036F88"/>
    <w:rsid w:val="00037234"/>
    <w:rsid w:val="000372CD"/>
    <w:rsid w:val="000373C4"/>
    <w:rsid w:val="000376FE"/>
    <w:rsid w:val="00037703"/>
    <w:rsid w:val="00037FD8"/>
    <w:rsid w:val="000403E1"/>
    <w:rsid w:val="0004079D"/>
    <w:rsid w:val="00040BBC"/>
    <w:rsid w:val="00040C0C"/>
    <w:rsid w:val="00040DB0"/>
    <w:rsid w:val="00040E06"/>
    <w:rsid w:val="00041124"/>
    <w:rsid w:val="00041138"/>
    <w:rsid w:val="0004154C"/>
    <w:rsid w:val="000418BF"/>
    <w:rsid w:val="00041AA9"/>
    <w:rsid w:val="00041B2F"/>
    <w:rsid w:val="00041DCB"/>
    <w:rsid w:val="0004229A"/>
    <w:rsid w:val="000424FE"/>
    <w:rsid w:val="00043B0F"/>
    <w:rsid w:val="00044205"/>
    <w:rsid w:val="00044269"/>
    <w:rsid w:val="00044B04"/>
    <w:rsid w:val="00044C24"/>
    <w:rsid w:val="0004506D"/>
    <w:rsid w:val="00045190"/>
    <w:rsid w:val="00045381"/>
    <w:rsid w:val="000454F5"/>
    <w:rsid w:val="00046174"/>
    <w:rsid w:val="00047247"/>
    <w:rsid w:val="0004728E"/>
    <w:rsid w:val="000479DA"/>
    <w:rsid w:val="00047FC3"/>
    <w:rsid w:val="00050698"/>
    <w:rsid w:val="00050AAB"/>
    <w:rsid w:val="00050EE1"/>
    <w:rsid w:val="000513EF"/>
    <w:rsid w:val="00051C02"/>
    <w:rsid w:val="00051FCD"/>
    <w:rsid w:val="0005262B"/>
    <w:rsid w:val="0005291D"/>
    <w:rsid w:val="00052A3F"/>
    <w:rsid w:val="00053181"/>
    <w:rsid w:val="000531B4"/>
    <w:rsid w:val="00053F1F"/>
    <w:rsid w:val="00054112"/>
    <w:rsid w:val="00054267"/>
    <w:rsid w:val="000542FD"/>
    <w:rsid w:val="000547E8"/>
    <w:rsid w:val="00054E83"/>
    <w:rsid w:val="000550A2"/>
    <w:rsid w:val="0005555F"/>
    <w:rsid w:val="00055609"/>
    <w:rsid w:val="00055A81"/>
    <w:rsid w:val="00055A9F"/>
    <w:rsid w:val="00055B8C"/>
    <w:rsid w:val="00055BA6"/>
    <w:rsid w:val="00055D14"/>
    <w:rsid w:val="00055F78"/>
    <w:rsid w:val="000562A8"/>
    <w:rsid w:val="0005698B"/>
    <w:rsid w:val="00057050"/>
    <w:rsid w:val="000570BC"/>
    <w:rsid w:val="0005724F"/>
    <w:rsid w:val="00057666"/>
    <w:rsid w:val="00057847"/>
    <w:rsid w:val="00057E00"/>
    <w:rsid w:val="00060067"/>
    <w:rsid w:val="00060E75"/>
    <w:rsid w:val="00061088"/>
    <w:rsid w:val="00061917"/>
    <w:rsid w:val="0006198C"/>
    <w:rsid w:val="00061D83"/>
    <w:rsid w:val="00062141"/>
    <w:rsid w:val="00062E20"/>
    <w:rsid w:val="00062FD4"/>
    <w:rsid w:val="00063A15"/>
    <w:rsid w:val="00063F51"/>
    <w:rsid w:val="0006452C"/>
    <w:rsid w:val="0006476D"/>
    <w:rsid w:val="00064F98"/>
    <w:rsid w:val="00065214"/>
    <w:rsid w:val="000656A4"/>
    <w:rsid w:val="00065724"/>
    <w:rsid w:val="00065855"/>
    <w:rsid w:val="0006592D"/>
    <w:rsid w:val="00065C89"/>
    <w:rsid w:val="00066D11"/>
    <w:rsid w:val="00066DDA"/>
    <w:rsid w:val="00066E09"/>
    <w:rsid w:val="00067126"/>
    <w:rsid w:val="00067215"/>
    <w:rsid w:val="000677FB"/>
    <w:rsid w:val="00067A0A"/>
    <w:rsid w:val="00067C86"/>
    <w:rsid w:val="0007073A"/>
    <w:rsid w:val="00070BFE"/>
    <w:rsid w:val="00070D9C"/>
    <w:rsid w:val="00071A05"/>
    <w:rsid w:val="00071D25"/>
    <w:rsid w:val="00071FDF"/>
    <w:rsid w:val="00072049"/>
    <w:rsid w:val="00072241"/>
    <w:rsid w:val="0007230A"/>
    <w:rsid w:val="00073073"/>
    <w:rsid w:val="000733FD"/>
    <w:rsid w:val="00073550"/>
    <w:rsid w:val="000740F2"/>
    <w:rsid w:val="00074201"/>
    <w:rsid w:val="000746EF"/>
    <w:rsid w:val="000747DB"/>
    <w:rsid w:val="000748BC"/>
    <w:rsid w:val="000749BA"/>
    <w:rsid w:val="00074C17"/>
    <w:rsid w:val="00074EC0"/>
    <w:rsid w:val="00075916"/>
    <w:rsid w:val="00075B8D"/>
    <w:rsid w:val="00075C16"/>
    <w:rsid w:val="00075C4A"/>
    <w:rsid w:val="00075CC5"/>
    <w:rsid w:val="00076069"/>
    <w:rsid w:val="000760F9"/>
    <w:rsid w:val="000768C0"/>
    <w:rsid w:val="00076C2A"/>
    <w:rsid w:val="0007770F"/>
    <w:rsid w:val="00077D5F"/>
    <w:rsid w:val="00077E47"/>
    <w:rsid w:val="00077FE6"/>
    <w:rsid w:val="00080065"/>
    <w:rsid w:val="000801D9"/>
    <w:rsid w:val="000808D8"/>
    <w:rsid w:val="00080A97"/>
    <w:rsid w:val="00080AB1"/>
    <w:rsid w:val="00080AF8"/>
    <w:rsid w:val="00080CC2"/>
    <w:rsid w:val="00080CD0"/>
    <w:rsid w:val="0008182A"/>
    <w:rsid w:val="00081D8E"/>
    <w:rsid w:val="00081F84"/>
    <w:rsid w:val="0008232C"/>
    <w:rsid w:val="00082A37"/>
    <w:rsid w:val="00082E8F"/>
    <w:rsid w:val="00082EAE"/>
    <w:rsid w:val="000837ED"/>
    <w:rsid w:val="000838F0"/>
    <w:rsid w:val="00083FDF"/>
    <w:rsid w:val="00084437"/>
    <w:rsid w:val="00084C84"/>
    <w:rsid w:val="000851EA"/>
    <w:rsid w:val="00085656"/>
    <w:rsid w:val="00085A63"/>
    <w:rsid w:val="00085C15"/>
    <w:rsid w:val="00086765"/>
    <w:rsid w:val="00087712"/>
    <w:rsid w:val="00090DD5"/>
    <w:rsid w:val="00090FAD"/>
    <w:rsid w:val="00091309"/>
    <w:rsid w:val="000913D1"/>
    <w:rsid w:val="00091910"/>
    <w:rsid w:val="00091D7A"/>
    <w:rsid w:val="0009215D"/>
    <w:rsid w:val="0009241C"/>
    <w:rsid w:val="00092AF1"/>
    <w:rsid w:val="00092DEC"/>
    <w:rsid w:val="00093020"/>
    <w:rsid w:val="000931D5"/>
    <w:rsid w:val="000940B4"/>
    <w:rsid w:val="00094A58"/>
    <w:rsid w:val="00094A73"/>
    <w:rsid w:val="00094A85"/>
    <w:rsid w:val="00094A95"/>
    <w:rsid w:val="00094B97"/>
    <w:rsid w:val="000950BB"/>
    <w:rsid w:val="000951C3"/>
    <w:rsid w:val="00095B85"/>
    <w:rsid w:val="00095CD7"/>
    <w:rsid w:val="0009663E"/>
    <w:rsid w:val="0009663F"/>
    <w:rsid w:val="00096902"/>
    <w:rsid w:val="00096923"/>
    <w:rsid w:val="00096B6E"/>
    <w:rsid w:val="00096E2B"/>
    <w:rsid w:val="000A00EB"/>
    <w:rsid w:val="000A01FD"/>
    <w:rsid w:val="000A0752"/>
    <w:rsid w:val="000A0D96"/>
    <w:rsid w:val="000A0E98"/>
    <w:rsid w:val="000A13A5"/>
    <w:rsid w:val="000A14DC"/>
    <w:rsid w:val="000A2502"/>
    <w:rsid w:val="000A2583"/>
    <w:rsid w:val="000A2F27"/>
    <w:rsid w:val="000A3A0C"/>
    <w:rsid w:val="000A3DB2"/>
    <w:rsid w:val="000A3E10"/>
    <w:rsid w:val="000A4AB7"/>
    <w:rsid w:val="000A4D3A"/>
    <w:rsid w:val="000A5378"/>
    <w:rsid w:val="000A5608"/>
    <w:rsid w:val="000A562D"/>
    <w:rsid w:val="000A5675"/>
    <w:rsid w:val="000A5798"/>
    <w:rsid w:val="000A5BB1"/>
    <w:rsid w:val="000A5E30"/>
    <w:rsid w:val="000A6427"/>
    <w:rsid w:val="000A686B"/>
    <w:rsid w:val="000A689E"/>
    <w:rsid w:val="000A692A"/>
    <w:rsid w:val="000A6F75"/>
    <w:rsid w:val="000B0039"/>
    <w:rsid w:val="000B02CD"/>
    <w:rsid w:val="000B0B24"/>
    <w:rsid w:val="000B0B97"/>
    <w:rsid w:val="000B0D14"/>
    <w:rsid w:val="000B1C35"/>
    <w:rsid w:val="000B1E57"/>
    <w:rsid w:val="000B1E62"/>
    <w:rsid w:val="000B25C5"/>
    <w:rsid w:val="000B2795"/>
    <w:rsid w:val="000B2D65"/>
    <w:rsid w:val="000B2E5A"/>
    <w:rsid w:val="000B2E61"/>
    <w:rsid w:val="000B3182"/>
    <w:rsid w:val="000B33FC"/>
    <w:rsid w:val="000B3B5E"/>
    <w:rsid w:val="000B3EBB"/>
    <w:rsid w:val="000B3F5A"/>
    <w:rsid w:val="000B4196"/>
    <w:rsid w:val="000B4405"/>
    <w:rsid w:val="000B4486"/>
    <w:rsid w:val="000B4AFA"/>
    <w:rsid w:val="000B55D8"/>
    <w:rsid w:val="000B56EF"/>
    <w:rsid w:val="000B58C3"/>
    <w:rsid w:val="000B5B78"/>
    <w:rsid w:val="000B5CBD"/>
    <w:rsid w:val="000B62A8"/>
    <w:rsid w:val="000B68A0"/>
    <w:rsid w:val="000B68A4"/>
    <w:rsid w:val="000B700B"/>
    <w:rsid w:val="000B718D"/>
    <w:rsid w:val="000B73EF"/>
    <w:rsid w:val="000B7585"/>
    <w:rsid w:val="000B7D5A"/>
    <w:rsid w:val="000C01B0"/>
    <w:rsid w:val="000C01CC"/>
    <w:rsid w:val="000C0DFC"/>
    <w:rsid w:val="000C10FF"/>
    <w:rsid w:val="000C174A"/>
    <w:rsid w:val="000C1D91"/>
    <w:rsid w:val="000C20D5"/>
    <w:rsid w:val="000C219C"/>
    <w:rsid w:val="000C25CC"/>
    <w:rsid w:val="000C296B"/>
    <w:rsid w:val="000C29CC"/>
    <w:rsid w:val="000C2B6A"/>
    <w:rsid w:val="000C3366"/>
    <w:rsid w:val="000C3B72"/>
    <w:rsid w:val="000C4213"/>
    <w:rsid w:val="000C47F6"/>
    <w:rsid w:val="000C4CF8"/>
    <w:rsid w:val="000C4F2C"/>
    <w:rsid w:val="000C566B"/>
    <w:rsid w:val="000C5EB5"/>
    <w:rsid w:val="000C62FA"/>
    <w:rsid w:val="000C6529"/>
    <w:rsid w:val="000C6671"/>
    <w:rsid w:val="000C6FAB"/>
    <w:rsid w:val="000C7280"/>
    <w:rsid w:val="000C7F4F"/>
    <w:rsid w:val="000D0A08"/>
    <w:rsid w:val="000D0A4B"/>
    <w:rsid w:val="000D0BC0"/>
    <w:rsid w:val="000D12AF"/>
    <w:rsid w:val="000D13A6"/>
    <w:rsid w:val="000D1738"/>
    <w:rsid w:val="000D177D"/>
    <w:rsid w:val="000D1BB3"/>
    <w:rsid w:val="000D2B35"/>
    <w:rsid w:val="000D343C"/>
    <w:rsid w:val="000D356F"/>
    <w:rsid w:val="000D3934"/>
    <w:rsid w:val="000D3F97"/>
    <w:rsid w:val="000D4530"/>
    <w:rsid w:val="000D56EB"/>
    <w:rsid w:val="000D65F4"/>
    <w:rsid w:val="000D74CC"/>
    <w:rsid w:val="000D7E7B"/>
    <w:rsid w:val="000E0571"/>
    <w:rsid w:val="000E0A62"/>
    <w:rsid w:val="000E0CA4"/>
    <w:rsid w:val="000E0F55"/>
    <w:rsid w:val="000E115E"/>
    <w:rsid w:val="000E134F"/>
    <w:rsid w:val="000E142C"/>
    <w:rsid w:val="000E1A44"/>
    <w:rsid w:val="000E1FFE"/>
    <w:rsid w:val="000E20C6"/>
    <w:rsid w:val="000E2E7C"/>
    <w:rsid w:val="000E34F3"/>
    <w:rsid w:val="000E394F"/>
    <w:rsid w:val="000E3CD3"/>
    <w:rsid w:val="000E3DCE"/>
    <w:rsid w:val="000E4545"/>
    <w:rsid w:val="000E487A"/>
    <w:rsid w:val="000E4C73"/>
    <w:rsid w:val="000E5545"/>
    <w:rsid w:val="000E5A06"/>
    <w:rsid w:val="000E5C2D"/>
    <w:rsid w:val="000E5E50"/>
    <w:rsid w:val="000E638E"/>
    <w:rsid w:val="000E6790"/>
    <w:rsid w:val="000E6B36"/>
    <w:rsid w:val="000E6E1F"/>
    <w:rsid w:val="000E704A"/>
    <w:rsid w:val="000E70A2"/>
    <w:rsid w:val="000E7619"/>
    <w:rsid w:val="000E76EF"/>
    <w:rsid w:val="000E7F12"/>
    <w:rsid w:val="000F0007"/>
    <w:rsid w:val="000F0A5A"/>
    <w:rsid w:val="000F0C55"/>
    <w:rsid w:val="000F0CEF"/>
    <w:rsid w:val="000F0FA9"/>
    <w:rsid w:val="000F1157"/>
    <w:rsid w:val="000F1169"/>
    <w:rsid w:val="000F1992"/>
    <w:rsid w:val="000F1B27"/>
    <w:rsid w:val="000F2732"/>
    <w:rsid w:val="000F2B76"/>
    <w:rsid w:val="000F2CC3"/>
    <w:rsid w:val="000F3554"/>
    <w:rsid w:val="000F3BF6"/>
    <w:rsid w:val="000F3D80"/>
    <w:rsid w:val="000F4223"/>
    <w:rsid w:val="000F45ED"/>
    <w:rsid w:val="000F4957"/>
    <w:rsid w:val="000F4B88"/>
    <w:rsid w:val="000F4E2A"/>
    <w:rsid w:val="000F5970"/>
    <w:rsid w:val="000F5B0C"/>
    <w:rsid w:val="000F5C2A"/>
    <w:rsid w:val="000F617F"/>
    <w:rsid w:val="000F6DE1"/>
    <w:rsid w:val="000F75CA"/>
    <w:rsid w:val="00100411"/>
    <w:rsid w:val="00100947"/>
    <w:rsid w:val="001010C8"/>
    <w:rsid w:val="0010121A"/>
    <w:rsid w:val="00101303"/>
    <w:rsid w:val="0010149B"/>
    <w:rsid w:val="001014BB"/>
    <w:rsid w:val="001014D4"/>
    <w:rsid w:val="00101A9B"/>
    <w:rsid w:val="00101B3E"/>
    <w:rsid w:val="00101CEF"/>
    <w:rsid w:val="001024A1"/>
    <w:rsid w:val="00102A92"/>
    <w:rsid w:val="00102AFA"/>
    <w:rsid w:val="00102D7C"/>
    <w:rsid w:val="00102F16"/>
    <w:rsid w:val="00102FD7"/>
    <w:rsid w:val="001032BF"/>
    <w:rsid w:val="00103C73"/>
    <w:rsid w:val="0010459A"/>
    <w:rsid w:val="00104950"/>
    <w:rsid w:val="00104A00"/>
    <w:rsid w:val="00104C6A"/>
    <w:rsid w:val="00104D11"/>
    <w:rsid w:val="00105421"/>
    <w:rsid w:val="00105BA7"/>
    <w:rsid w:val="00105C1B"/>
    <w:rsid w:val="00105E21"/>
    <w:rsid w:val="00106054"/>
    <w:rsid w:val="00106AFB"/>
    <w:rsid w:val="00106D8B"/>
    <w:rsid w:val="001079D4"/>
    <w:rsid w:val="001105E1"/>
    <w:rsid w:val="001109E5"/>
    <w:rsid w:val="00110B2B"/>
    <w:rsid w:val="00110B54"/>
    <w:rsid w:val="00110BE7"/>
    <w:rsid w:val="001111F9"/>
    <w:rsid w:val="00111347"/>
    <w:rsid w:val="0011199E"/>
    <w:rsid w:val="00112176"/>
    <w:rsid w:val="00112A82"/>
    <w:rsid w:val="00113654"/>
    <w:rsid w:val="00113F70"/>
    <w:rsid w:val="0011455A"/>
    <w:rsid w:val="00114B60"/>
    <w:rsid w:val="00114DF7"/>
    <w:rsid w:val="00114E5A"/>
    <w:rsid w:val="00114F15"/>
    <w:rsid w:val="00114F70"/>
    <w:rsid w:val="00115211"/>
    <w:rsid w:val="001157BD"/>
    <w:rsid w:val="00115D33"/>
    <w:rsid w:val="00116D0E"/>
    <w:rsid w:val="00116D0F"/>
    <w:rsid w:val="0011735F"/>
    <w:rsid w:val="001174A9"/>
    <w:rsid w:val="00117682"/>
    <w:rsid w:val="00117A81"/>
    <w:rsid w:val="00117C21"/>
    <w:rsid w:val="001207F4"/>
    <w:rsid w:val="00120A42"/>
    <w:rsid w:val="00120E6A"/>
    <w:rsid w:val="00121A3B"/>
    <w:rsid w:val="001222D4"/>
    <w:rsid w:val="00122747"/>
    <w:rsid w:val="00122837"/>
    <w:rsid w:val="001228B1"/>
    <w:rsid w:val="00122978"/>
    <w:rsid w:val="001229D1"/>
    <w:rsid w:val="00122A62"/>
    <w:rsid w:val="00122DD3"/>
    <w:rsid w:val="001230C9"/>
    <w:rsid w:val="00123146"/>
    <w:rsid w:val="001236D2"/>
    <w:rsid w:val="00123D49"/>
    <w:rsid w:val="00123F17"/>
    <w:rsid w:val="00123FD3"/>
    <w:rsid w:val="001240FE"/>
    <w:rsid w:val="001243D5"/>
    <w:rsid w:val="001247FE"/>
    <w:rsid w:val="001252BE"/>
    <w:rsid w:val="00125B75"/>
    <w:rsid w:val="00125D73"/>
    <w:rsid w:val="00126012"/>
    <w:rsid w:val="00126078"/>
    <w:rsid w:val="00126294"/>
    <w:rsid w:val="0012706E"/>
    <w:rsid w:val="00127445"/>
    <w:rsid w:val="001274D6"/>
    <w:rsid w:val="00127732"/>
    <w:rsid w:val="00127A4E"/>
    <w:rsid w:val="00127AD9"/>
    <w:rsid w:val="00127CA8"/>
    <w:rsid w:val="0013008C"/>
    <w:rsid w:val="0013052B"/>
    <w:rsid w:val="00130C1C"/>
    <w:rsid w:val="001319D4"/>
    <w:rsid w:val="0013241F"/>
    <w:rsid w:val="0013283C"/>
    <w:rsid w:val="00132909"/>
    <w:rsid w:val="00132FED"/>
    <w:rsid w:val="001332AD"/>
    <w:rsid w:val="00133359"/>
    <w:rsid w:val="00133459"/>
    <w:rsid w:val="00133EA7"/>
    <w:rsid w:val="0013437A"/>
    <w:rsid w:val="001349F9"/>
    <w:rsid w:val="00135195"/>
    <w:rsid w:val="0013574E"/>
    <w:rsid w:val="00135A07"/>
    <w:rsid w:val="00135D5D"/>
    <w:rsid w:val="00135E5B"/>
    <w:rsid w:val="0013657A"/>
    <w:rsid w:val="0013712D"/>
    <w:rsid w:val="00137195"/>
    <w:rsid w:val="001375AA"/>
    <w:rsid w:val="001402AC"/>
    <w:rsid w:val="001404A7"/>
    <w:rsid w:val="00141214"/>
    <w:rsid w:val="00141516"/>
    <w:rsid w:val="001418AE"/>
    <w:rsid w:val="00141D87"/>
    <w:rsid w:val="001423D9"/>
    <w:rsid w:val="00142C50"/>
    <w:rsid w:val="00142EF2"/>
    <w:rsid w:val="00142F98"/>
    <w:rsid w:val="001434A3"/>
    <w:rsid w:val="00143722"/>
    <w:rsid w:val="00143A89"/>
    <w:rsid w:val="001445E0"/>
    <w:rsid w:val="001447DE"/>
    <w:rsid w:val="00144E8F"/>
    <w:rsid w:val="00145664"/>
    <w:rsid w:val="00145AB9"/>
    <w:rsid w:val="00146043"/>
    <w:rsid w:val="00146567"/>
    <w:rsid w:val="001466B2"/>
    <w:rsid w:val="00146F4B"/>
    <w:rsid w:val="001470F0"/>
    <w:rsid w:val="00147375"/>
    <w:rsid w:val="0014760B"/>
    <w:rsid w:val="0014794B"/>
    <w:rsid w:val="00147BC0"/>
    <w:rsid w:val="00147ECB"/>
    <w:rsid w:val="00150B76"/>
    <w:rsid w:val="00150BD0"/>
    <w:rsid w:val="00151141"/>
    <w:rsid w:val="001513CF"/>
    <w:rsid w:val="00151D14"/>
    <w:rsid w:val="0015213C"/>
    <w:rsid w:val="0015268E"/>
    <w:rsid w:val="00152A8D"/>
    <w:rsid w:val="001530EE"/>
    <w:rsid w:val="00153EC0"/>
    <w:rsid w:val="00154439"/>
    <w:rsid w:val="00154932"/>
    <w:rsid w:val="00155068"/>
    <w:rsid w:val="00155418"/>
    <w:rsid w:val="0015555A"/>
    <w:rsid w:val="00155D32"/>
    <w:rsid w:val="00156188"/>
    <w:rsid w:val="00156844"/>
    <w:rsid w:val="00156D67"/>
    <w:rsid w:val="00156E7D"/>
    <w:rsid w:val="00156F51"/>
    <w:rsid w:val="00157305"/>
    <w:rsid w:val="00157C06"/>
    <w:rsid w:val="00157F15"/>
    <w:rsid w:val="00160BE2"/>
    <w:rsid w:val="00160C61"/>
    <w:rsid w:val="0016102C"/>
    <w:rsid w:val="00161045"/>
    <w:rsid w:val="00161195"/>
    <w:rsid w:val="00162002"/>
    <w:rsid w:val="001621F8"/>
    <w:rsid w:val="0016257E"/>
    <w:rsid w:val="00162818"/>
    <w:rsid w:val="00163B89"/>
    <w:rsid w:val="00163F1E"/>
    <w:rsid w:val="00164127"/>
    <w:rsid w:val="001645C5"/>
    <w:rsid w:val="001653A6"/>
    <w:rsid w:val="00165590"/>
    <w:rsid w:val="001657AB"/>
    <w:rsid w:val="00165B56"/>
    <w:rsid w:val="00165FB9"/>
    <w:rsid w:val="001662F2"/>
    <w:rsid w:val="001663AC"/>
    <w:rsid w:val="0016653E"/>
    <w:rsid w:val="0016678B"/>
    <w:rsid w:val="0016695C"/>
    <w:rsid w:val="00166C82"/>
    <w:rsid w:val="00166CBD"/>
    <w:rsid w:val="00166E3D"/>
    <w:rsid w:val="001674CB"/>
    <w:rsid w:val="00167F9A"/>
    <w:rsid w:val="001703A2"/>
    <w:rsid w:val="001706A2"/>
    <w:rsid w:val="00170BAB"/>
    <w:rsid w:val="00171113"/>
    <w:rsid w:val="001712FA"/>
    <w:rsid w:val="0017158A"/>
    <w:rsid w:val="001717A3"/>
    <w:rsid w:val="001718A2"/>
    <w:rsid w:val="001722E0"/>
    <w:rsid w:val="00172705"/>
    <w:rsid w:val="00172F16"/>
    <w:rsid w:val="00172F63"/>
    <w:rsid w:val="00172FDC"/>
    <w:rsid w:val="00173388"/>
    <w:rsid w:val="00173644"/>
    <w:rsid w:val="00173EA7"/>
    <w:rsid w:val="00173F4A"/>
    <w:rsid w:val="00174578"/>
    <w:rsid w:val="00174DEE"/>
    <w:rsid w:val="00174EF5"/>
    <w:rsid w:val="0017552C"/>
    <w:rsid w:val="001756EA"/>
    <w:rsid w:val="00175B07"/>
    <w:rsid w:val="00175EB4"/>
    <w:rsid w:val="001763F5"/>
    <w:rsid w:val="00176718"/>
    <w:rsid w:val="00176CDE"/>
    <w:rsid w:val="00176DEC"/>
    <w:rsid w:val="00177196"/>
    <w:rsid w:val="001773B4"/>
    <w:rsid w:val="00177747"/>
    <w:rsid w:val="00177BBF"/>
    <w:rsid w:val="00180334"/>
    <w:rsid w:val="00180400"/>
    <w:rsid w:val="00180D29"/>
    <w:rsid w:val="00180D42"/>
    <w:rsid w:val="0018104C"/>
    <w:rsid w:val="0018172C"/>
    <w:rsid w:val="001819F6"/>
    <w:rsid w:val="00181A49"/>
    <w:rsid w:val="00181D75"/>
    <w:rsid w:val="00181FFB"/>
    <w:rsid w:val="0018230A"/>
    <w:rsid w:val="00182F0C"/>
    <w:rsid w:val="00183099"/>
    <w:rsid w:val="0018327A"/>
    <w:rsid w:val="00183408"/>
    <w:rsid w:val="0018380D"/>
    <w:rsid w:val="00183BB1"/>
    <w:rsid w:val="001844FA"/>
    <w:rsid w:val="001850D1"/>
    <w:rsid w:val="0018529A"/>
    <w:rsid w:val="00185495"/>
    <w:rsid w:val="001859ED"/>
    <w:rsid w:val="00185B84"/>
    <w:rsid w:val="0018612F"/>
    <w:rsid w:val="00186F13"/>
    <w:rsid w:val="00187937"/>
    <w:rsid w:val="001879E3"/>
    <w:rsid w:val="00190003"/>
    <w:rsid w:val="00190274"/>
    <w:rsid w:val="001902D7"/>
    <w:rsid w:val="001903E3"/>
    <w:rsid w:val="0019041C"/>
    <w:rsid w:val="00190523"/>
    <w:rsid w:val="001909C6"/>
    <w:rsid w:val="00190D10"/>
    <w:rsid w:val="0019123F"/>
    <w:rsid w:val="0019165B"/>
    <w:rsid w:val="0019178F"/>
    <w:rsid w:val="00191B56"/>
    <w:rsid w:val="0019215E"/>
    <w:rsid w:val="00192448"/>
    <w:rsid w:val="00192A87"/>
    <w:rsid w:val="00192B11"/>
    <w:rsid w:val="0019336B"/>
    <w:rsid w:val="00193AA8"/>
    <w:rsid w:val="00193CE9"/>
    <w:rsid w:val="00194128"/>
    <w:rsid w:val="00194562"/>
    <w:rsid w:val="00195A50"/>
    <w:rsid w:val="00196309"/>
    <w:rsid w:val="001964A3"/>
    <w:rsid w:val="00196578"/>
    <w:rsid w:val="001966C5"/>
    <w:rsid w:val="00196996"/>
    <w:rsid w:val="0019704A"/>
    <w:rsid w:val="001973F8"/>
    <w:rsid w:val="001976EB"/>
    <w:rsid w:val="00197A54"/>
    <w:rsid w:val="00197E41"/>
    <w:rsid w:val="00197EA1"/>
    <w:rsid w:val="001A0640"/>
    <w:rsid w:val="001A0B0E"/>
    <w:rsid w:val="001A0DEE"/>
    <w:rsid w:val="001A0EC6"/>
    <w:rsid w:val="001A1821"/>
    <w:rsid w:val="001A19F6"/>
    <w:rsid w:val="001A1D99"/>
    <w:rsid w:val="001A1E43"/>
    <w:rsid w:val="001A1F94"/>
    <w:rsid w:val="001A1FF0"/>
    <w:rsid w:val="001A2156"/>
    <w:rsid w:val="001A255D"/>
    <w:rsid w:val="001A285A"/>
    <w:rsid w:val="001A376C"/>
    <w:rsid w:val="001A3A70"/>
    <w:rsid w:val="001A3A79"/>
    <w:rsid w:val="001A41A0"/>
    <w:rsid w:val="001A43A7"/>
    <w:rsid w:val="001A4838"/>
    <w:rsid w:val="001A5853"/>
    <w:rsid w:val="001A591F"/>
    <w:rsid w:val="001A680F"/>
    <w:rsid w:val="001A6E01"/>
    <w:rsid w:val="001A6FD7"/>
    <w:rsid w:val="001A6FDD"/>
    <w:rsid w:val="001A702F"/>
    <w:rsid w:val="001A76E7"/>
    <w:rsid w:val="001A7EB4"/>
    <w:rsid w:val="001B037D"/>
    <w:rsid w:val="001B06D7"/>
    <w:rsid w:val="001B0937"/>
    <w:rsid w:val="001B0A7F"/>
    <w:rsid w:val="001B0D79"/>
    <w:rsid w:val="001B0DCC"/>
    <w:rsid w:val="001B0F79"/>
    <w:rsid w:val="001B1A75"/>
    <w:rsid w:val="001B2513"/>
    <w:rsid w:val="001B284C"/>
    <w:rsid w:val="001B2BB0"/>
    <w:rsid w:val="001B2C63"/>
    <w:rsid w:val="001B2D8B"/>
    <w:rsid w:val="001B2E90"/>
    <w:rsid w:val="001B35F4"/>
    <w:rsid w:val="001B403A"/>
    <w:rsid w:val="001B47C5"/>
    <w:rsid w:val="001B50F9"/>
    <w:rsid w:val="001B5C3A"/>
    <w:rsid w:val="001B5CE4"/>
    <w:rsid w:val="001B5F0F"/>
    <w:rsid w:val="001B6126"/>
    <w:rsid w:val="001B6A42"/>
    <w:rsid w:val="001B6C5E"/>
    <w:rsid w:val="001B6EA9"/>
    <w:rsid w:val="001B760E"/>
    <w:rsid w:val="001B7768"/>
    <w:rsid w:val="001C08CD"/>
    <w:rsid w:val="001C0906"/>
    <w:rsid w:val="001C0E11"/>
    <w:rsid w:val="001C0FF2"/>
    <w:rsid w:val="001C126F"/>
    <w:rsid w:val="001C1383"/>
    <w:rsid w:val="001C17D7"/>
    <w:rsid w:val="001C181A"/>
    <w:rsid w:val="001C1BDE"/>
    <w:rsid w:val="001C21C3"/>
    <w:rsid w:val="001C23A4"/>
    <w:rsid w:val="001C2902"/>
    <w:rsid w:val="001C2BFA"/>
    <w:rsid w:val="001C3704"/>
    <w:rsid w:val="001C3C75"/>
    <w:rsid w:val="001C4536"/>
    <w:rsid w:val="001C45B0"/>
    <w:rsid w:val="001C4612"/>
    <w:rsid w:val="001C48ED"/>
    <w:rsid w:val="001C4D05"/>
    <w:rsid w:val="001C4DFD"/>
    <w:rsid w:val="001C51A3"/>
    <w:rsid w:val="001C57A1"/>
    <w:rsid w:val="001C69FD"/>
    <w:rsid w:val="001C6C59"/>
    <w:rsid w:val="001C6CFD"/>
    <w:rsid w:val="001C6E18"/>
    <w:rsid w:val="001C6F99"/>
    <w:rsid w:val="001C756B"/>
    <w:rsid w:val="001C75D3"/>
    <w:rsid w:val="001C7E4D"/>
    <w:rsid w:val="001C7F7A"/>
    <w:rsid w:val="001D01AB"/>
    <w:rsid w:val="001D03A6"/>
    <w:rsid w:val="001D067C"/>
    <w:rsid w:val="001D1184"/>
    <w:rsid w:val="001D17CC"/>
    <w:rsid w:val="001D189B"/>
    <w:rsid w:val="001D1FDB"/>
    <w:rsid w:val="001D2230"/>
    <w:rsid w:val="001D2686"/>
    <w:rsid w:val="001D2ABA"/>
    <w:rsid w:val="001D30D9"/>
    <w:rsid w:val="001D3531"/>
    <w:rsid w:val="001D3AE1"/>
    <w:rsid w:val="001D4BCF"/>
    <w:rsid w:val="001D4E74"/>
    <w:rsid w:val="001D4F8F"/>
    <w:rsid w:val="001D56CD"/>
    <w:rsid w:val="001D59C8"/>
    <w:rsid w:val="001D6B64"/>
    <w:rsid w:val="001D6BBF"/>
    <w:rsid w:val="001D76BB"/>
    <w:rsid w:val="001D7A7B"/>
    <w:rsid w:val="001D7C05"/>
    <w:rsid w:val="001E05B8"/>
    <w:rsid w:val="001E0A45"/>
    <w:rsid w:val="001E0DD8"/>
    <w:rsid w:val="001E1346"/>
    <w:rsid w:val="001E1B4C"/>
    <w:rsid w:val="001E1CCA"/>
    <w:rsid w:val="001E22F6"/>
    <w:rsid w:val="001E2BC6"/>
    <w:rsid w:val="001E2CD2"/>
    <w:rsid w:val="001E30E7"/>
    <w:rsid w:val="001E32F0"/>
    <w:rsid w:val="001E350C"/>
    <w:rsid w:val="001E3CA8"/>
    <w:rsid w:val="001E3FDB"/>
    <w:rsid w:val="001E4275"/>
    <w:rsid w:val="001E4A44"/>
    <w:rsid w:val="001E4AA9"/>
    <w:rsid w:val="001E4D3B"/>
    <w:rsid w:val="001E4FF5"/>
    <w:rsid w:val="001E554D"/>
    <w:rsid w:val="001E55E6"/>
    <w:rsid w:val="001E640E"/>
    <w:rsid w:val="001E6437"/>
    <w:rsid w:val="001E65B7"/>
    <w:rsid w:val="001E73B0"/>
    <w:rsid w:val="001E78D1"/>
    <w:rsid w:val="001E7B67"/>
    <w:rsid w:val="001F0A50"/>
    <w:rsid w:val="001F0B45"/>
    <w:rsid w:val="001F0E27"/>
    <w:rsid w:val="001F0EA7"/>
    <w:rsid w:val="001F14C1"/>
    <w:rsid w:val="001F14D0"/>
    <w:rsid w:val="001F14FD"/>
    <w:rsid w:val="001F17FD"/>
    <w:rsid w:val="001F1AAD"/>
    <w:rsid w:val="001F1D6C"/>
    <w:rsid w:val="001F2351"/>
    <w:rsid w:val="001F245C"/>
    <w:rsid w:val="001F2652"/>
    <w:rsid w:val="001F2A4E"/>
    <w:rsid w:val="001F2A54"/>
    <w:rsid w:val="001F2BC7"/>
    <w:rsid w:val="001F2D3F"/>
    <w:rsid w:val="001F2E4F"/>
    <w:rsid w:val="001F37F9"/>
    <w:rsid w:val="001F3BAC"/>
    <w:rsid w:val="001F434F"/>
    <w:rsid w:val="001F446C"/>
    <w:rsid w:val="001F4608"/>
    <w:rsid w:val="001F4737"/>
    <w:rsid w:val="001F4915"/>
    <w:rsid w:val="001F4A89"/>
    <w:rsid w:val="001F4DFA"/>
    <w:rsid w:val="001F5109"/>
    <w:rsid w:val="001F5246"/>
    <w:rsid w:val="001F5327"/>
    <w:rsid w:val="001F53F6"/>
    <w:rsid w:val="001F5697"/>
    <w:rsid w:val="001F5BFE"/>
    <w:rsid w:val="001F6086"/>
    <w:rsid w:val="001F631F"/>
    <w:rsid w:val="001F6A55"/>
    <w:rsid w:val="001F6BBB"/>
    <w:rsid w:val="001F7259"/>
    <w:rsid w:val="001F7D2C"/>
    <w:rsid w:val="002003C9"/>
    <w:rsid w:val="00200D81"/>
    <w:rsid w:val="0020124A"/>
    <w:rsid w:val="00202075"/>
    <w:rsid w:val="00202707"/>
    <w:rsid w:val="00202B01"/>
    <w:rsid w:val="00202E02"/>
    <w:rsid w:val="00202ECD"/>
    <w:rsid w:val="00202F78"/>
    <w:rsid w:val="00203011"/>
    <w:rsid w:val="002039DA"/>
    <w:rsid w:val="00203A1A"/>
    <w:rsid w:val="00204096"/>
    <w:rsid w:val="00204733"/>
    <w:rsid w:val="00205359"/>
    <w:rsid w:val="0020604C"/>
    <w:rsid w:val="0020643F"/>
    <w:rsid w:val="00206CBA"/>
    <w:rsid w:val="0020722A"/>
    <w:rsid w:val="00207421"/>
    <w:rsid w:val="002077E2"/>
    <w:rsid w:val="00207D10"/>
    <w:rsid w:val="00207ED0"/>
    <w:rsid w:val="00210006"/>
    <w:rsid w:val="00210481"/>
    <w:rsid w:val="00210546"/>
    <w:rsid w:val="00210B74"/>
    <w:rsid w:val="0021109E"/>
    <w:rsid w:val="002117BA"/>
    <w:rsid w:val="00211CEB"/>
    <w:rsid w:val="00211EC9"/>
    <w:rsid w:val="00212171"/>
    <w:rsid w:val="00212338"/>
    <w:rsid w:val="00212745"/>
    <w:rsid w:val="00212851"/>
    <w:rsid w:val="00212872"/>
    <w:rsid w:val="00212977"/>
    <w:rsid w:val="00212D00"/>
    <w:rsid w:val="00213160"/>
    <w:rsid w:val="0021331C"/>
    <w:rsid w:val="00213F47"/>
    <w:rsid w:val="002140F8"/>
    <w:rsid w:val="00214104"/>
    <w:rsid w:val="00214423"/>
    <w:rsid w:val="00214F3C"/>
    <w:rsid w:val="00214F95"/>
    <w:rsid w:val="00215F50"/>
    <w:rsid w:val="0021763E"/>
    <w:rsid w:val="00217651"/>
    <w:rsid w:val="002176AE"/>
    <w:rsid w:val="00217C63"/>
    <w:rsid w:val="00217D83"/>
    <w:rsid w:val="002205DA"/>
    <w:rsid w:val="00220ACA"/>
    <w:rsid w:val="00220ACD"/>
    <w:rsid w:val="0022123A"/>
    <w:rsid w:val="002219FC"/>
    <w:rsid w:val="00221C20"/>
    <w:rsid w:val="00221C91"/>
    <w:rsid w:val="0022217C"/>
    <w:rsid w:val="00222246"/>
    <w:rsid w:val="0022273D"/>
    <w:rsid w:val="00222D1E"/>
    <w:rsid w:val="00223027"/>
    <w:rsid w:val="002232DA"/>
    <w:rsid w:val="002233BF"/>
    <w:rsid w:val="00223838"/>
    <w:rsid w:val="00223ACB"/>
    <w:rsid w:val="00223D17"/>
    <w:rsid w:val="00223E85"/>
    <w:rsid w:val="00223F50"/>
    <w:rsid w:val="00224900"/>
    <w:rsid w:val="00224B64"/>
    <w:rsid w:val="00224F96"/>
    <w:rsid w:val="00225C1F"/>
    <w:rsid w:val="00226C96"/>
    <w:rsid w:val="00227205"/>
    <w:rsid w:val="002277C1"/>
    <w:rsid w:val="002277D7"/>
    <w:rsid w:val="0022786E"/>
    <w:rsid w:val="00230C84"/>
    <w:rsid w:val="00230D33"/>
    <w:rsid w:val="00230D75"/>
    <w:rsid w:val="002313BE"/>
    <w:rsid w:val="00231828"/>
    <w:rsid w:val="002318C3"/>
    <w:rsid w:val="00231B5F"/>
    <w:rsid w:val="002321B5"/>
    <w:rsid w:val="00232A4A"/>
    <w:rsid w:val="00232C87"/>
    <w:rsid w:val="00232E36"/>
    <w:rsid w:val="00233089"/>
    <w:rsid w:val="002330AE"/>
    <w:rsid w:val="0023311E"/>
    <w:rsid w:val="0023357C"/>
    <w:rsid w:val="00234281"/>
    <w:rsid w:val="00234A85"/>
    <w:rsid w:val="00234DC0"/>
    <w:rsid w:val="00234EBD"/>
    <w:rsid w:val="0023503B"/>
    <w:rsid w:val="002357D9"/>
    <w:rsid w:val="00236414"/>
    <w:rsid w:val="0023661D"/>
    <w:rsid w:val="002368FA"/>
    <w:rsid w:val="002375EA"/>
    <w:rsid w:val="002379AC"/>
    <w:rsid w:val="00237DE5"/>
    <w:rsid w:val="0024003C"/>
    <w:rsid w:val="00240312"/>
    <w:rsid w:val="00240447"/>
    <w:rsid w:val="00240463"/>
    <w:rsid w:val="00240760"/>
    <w:rsid w:val="0024123D"/>
    <w:rsid w:val="00241421"/>
    <w:rsid w:val="00241B74"/>
    <w:rsid w:val="00241B98"/>
    <w:rsid w:val="00241C89"/>
    <w:rsid w:val="00241D99"/>
    <w:rsid w:val="00241E8E"/>
    <w:rsid w:val="002427D0"/>
    <w:rsid w:val="00242CF3"/>
    <w:rsid w:val="00242F80"/>
    <w:rsid w:val="002430B4"/>
    <w:rsid w:val="00243D50"/>
    <w:rsid w:val="002448C9"/>
    <w:rsid w:val="00244E6E"/>
    <w:rsid w:val="002457B0"/>
    <w:rsid w:val="002457D0"/>
    <w:rsid w:val="00245A9D"/>
    <w:rsid w:val="002465B8"/>
    <w:rsid w:val="00246618"/>
    <w:rsid w:val="002466AE"/>
    <w:rsid w:val="00246718"/>
    <w:rsid w:val="00246823"/>
    <w:rsid w:val="00246910"/>
    <w:rsid w:val="00246FE3"/>
    <w:rsid w:val="00247475"/>
    <w:rsid w:val="002474A2"/>
    <w:rsid w:val="002477F7"/>
    <w:rsid w:val="002479C5"/>
    <w:rsid w:val="00247A97"/>
    <w:rsid w:val="00247AEA"/>
    <w:rsid w:val="00247AFB"/>
    <w:rsid w:val="00247D83"/>
    <w:rsid w:val="00247E74"/>
    <w:rsid w:val="002501B6"/>
    <w:rsid w:val="0025082B"/>
    <w:rsid w:val="00250CAB"/>
    <w:rsid w:val="00250E63"/>
    <w:rsid w:val="00250E6F"/>
    <w:rsid w:val="002514CD"/>
    <w:rsid w:val="00251DF3"/>
    <w:rsid w:val="00251DF7"/>
    <w:rsid w:val="002528E9"/>
    <w:rsid w:val="002529B6"/>
    <w:rsid w:val="002529C5"/>
    <w:rsid w:val="00252BE5"/>
    <w:rsid w:val="00253089"/>
    <w:rsid w:val="00253FCC"/>
    <w:rsid w:val="00254573"/>
    <w:rsid w:val="00254858"/>
    <w:rsid w:val="00254BB6"/>
    <w:rsid w:val="00254FDB"/>
    <w:rsid w:val="0025542A"/>
    <w:rsid w:val="00255847"/>
    <w:rsid w:val="00255BE4"/>
    <w:rsid w:val="00255D45"/>
    <w:rsid w:val="002565A4"/>
    <w:rsid w:val="00256743"/>
    <w:rsid w:val="0025684B"/>
    <w:rsid w:val="00256EE0"/>
    <w:rsid w:val="00257C81"/>
    <w:rsid w:val="00257D4D"/>
    <w:rsid w:val="00260321"/>
    <w:rsid w:val="00260877"/>
    <w:rsid w:val="00260B71"/>
    <w:rsid w:val="00260CDF"/>
    <w:rsid w:val="00261A21"/>
    <w:rsid w:val="00261EB3"/>
    <w:rsid w:val="0026213B"/>
    <w:rsid w:val="002621D6"/>
    <w:rsid w:val="0026223F"/>
    <w:rsid w:val="00262CAD"/>
    <w:rsid w:val="00262DE5"/>
    <w:rsid w:val="002631D7"/>
    <w:rsid w:val="00263259"/>
    <w:rsid w:val="00263AC4"/>
    <w:rsid w:val="0026440B"/>
    <w:rsid w:val="002646A7"/>
    <w:rsid w:val="00264CAE"/>
    <w:rsid w:val="00265198"/>
    <w:rsid w:val="0026529C"/>
    <w:rsid w:val="002652B9"/>
    <w:rsid w:val="002655D8"/>
    <w:rsid w:val="002657F3"/>
    <w:rsid w:val="00265F0A"/>
    <w:rsid w:val="00266222"/>
    <w:rsid w:val="00266780"/>
    <w:rsid w:val="00266ABE"/>
    <w:rsid w:val="00266D28"/>
    <w:rsid w:val="0026707C"/>
    <w:rsid w:val="00267496"/>
    <w:rsid w:val="00267813"/>
    <w:rsid w:val="00267C83"/>
    <w:rsid w:val="00267EF3"/>
    <w:rsid w:val="00270368"/>
    <w:rsid w:val="0027087D"/>
    <w:rsid w:val="002708DD"/>
    <w:rsid w:val="00270C8F"/>
    <w:rsid w:val="00270FB9"/>
    <w:rsid w:val="0027100A"/>
    <w:rsid w:val="00271932"/>
    <w:rsid w:val="00271B99"/>
    <w:rsid w:val="00271E97"/>
    <w:rsid w:val="002721D4"/>
    <w:rsid w:val="002721E9"/>
    <w:rsid w:val="0027290F"/>
    <w:rsid w:val="00272C3E"/>
    <w:rsid w:val="00273190"/>
    <w:rsid w:val="00273406"/>
    <w:rsid w:val="00273519"/>
    <w:rsid w:val="0027360F"/>
    <w:rsid w:val="0027364C"/>
    <w:rsid w:val="00273FF5"/>
    <w:rsid w:val="00274274"/>
    <w:rsid w:val="00274364"/>
    <w:rsid w:val="00274BBE"/>
    <w:rsid w:val="00274E80"/>
    <w:rsid w:val="00275A40"/>
    <w:rsid w:val="00275DF3"/>
    <w:rsid w:val="00276231"/>
    <w:rsid w:val="00277A9D"/>
    <w:rsid w:val="002803BF"/>
    <w:rsid w:val="0028085D"/>
    <w:rsid w:val="00280861"/>
    <w:rsid w:val="0028086A"/>
    <w:rsid w:val="00280D01"/>
    <w:rsid w:val="0028253A"/>
    <w:rsid w:val="00282E7C"/>
    <w:rsid w:val="0028316E"/>
    <w:rsid w:val="002831F4"/>
    <w:rsid w:val="002834C9"/>
    <w:rsid w:val="0028382D"/>
    <w:rsid w:val="00284D82"/>
    <w:rsid w:val="00284E07"/>
    <w:rsid w:val="00284E13"/>
    <w:rsid w:val="00284EEF"/>
    <w:rsid w:val="0028503E"/>
    <w:rsid w:val="00285B17"/>
    <w:rsid w:val="00286918"/>
    <w:rsid w:val="00286E3F"/>
    <w:rsid w:val="00287558"/>
    <w:rsid w:val="00287622"/>
    <w:rsid w:val="0028771F"/>
    <w:rsid w:val="00287897"/>
    <w:rsid w:val="0029071E"/>
    <w:rsid w:val="00290F6E"/>
    <w:rsid w:val="002913DD"/>
    <w:rsid w:val="00291C6B"/>
    <w:rsid w:val="002922CC"/>
    <w:rsid w:val="002925F5"/>
    <w:rsid w:val="002928BB"/>
    <w:rsid w:val="00292D21"/>
    <w:rsid w:val="0029324B"/>
    <w:rsid w:val="00294722"/>
    <w:rsid w:val="00294BF7"/>
    <w:rsid w:val="00295433"/>
    <w:rsid w:val="00295548"/>
    <w:rsid w:val="0029607D"/>
    <w:rsid w:val="002960AD"/>
    <w:rsid w:val="00296466"/>
    <w:rsid w:val="002965B7"/>
    <w:rsid w:val="00296681"/>
    <w:rsid w:val="00296B1C"/>
    <w:rsid w:val="0029708D"/>
    <w:rsid w:val="00297488"/>
    <w:rsid w:val="00297CC2"/>
    <w:rsid w:val="00297DCF"/>
    <w:rsid w:val="002A0372"/>
    <w:rsid w:val="002A12B3"/>
    <w:rsid w:val="002A1364"/>
    <w:rsid w:val="002A1759"/>
    <w:rsid w:val="002A2183"/>
    <w:rsid w:val="002A250D"/>
    <w:rsid w:val="002A255E"/>
    <w:rsid w:val="002A2734"/>
    <w:rsid w:val="002A2D53"/>
    <w:rsid w:val="002A369D"/>
    <w:rsid w:val="002A392C"/>
    <w:rsid w:val="002A4063"/>
    <w:rsid w:val="002A4271"/>
    <w:rsid w:val="002A4526"/>
    <w:rsid w:val="002A4685"/>
    <w:rsid w:val="002A4816"/>
    <w:rsid w:val="002A4C7D"/>
    <w:rsid w:val="002A5011"/>
    <w:rsid w:val="002A5822"/>
    <w:rsid w:val="002A5FE2"/>
    <w:rsid w:val="002A6293"/>
    <w:rsid w:val="002A62D6"/>
    <w:rsid w:val="002A6387"/>
    <w:rsid w:val="002A706F"/>
    <w:rsid w:val="002A77E3"/>
    <w:rsid w:val="002A7949"/>
    <w:rsid w:val="002A7E25"/>
    <w:rsid w:val="002B010C"/>
    <w:rsid w:val="002B01E3"/>
    <w:rsid w:val="002B09AA"/>
    <w:rsid w:val="002B1101"/>
    <w:rsid w:val="002B2CB5"/>
    <w:rsid w:val="002B2CEB"/>
    <w:rsid w:val="002B2E1D"/>
    <w:rsid w:val="002B3409"/>
    <w:rsid w:val="002B3562"/>
    <w:rsid w:val="002B4020"/>
    <w:rsid w:val="002B40BA"/>
    <w:rsid w:val="002B48BC"/>
    <w:rsid w:val="002B4A3A"/>
    <w:rsid w:val="002B5041"/>
    <w:rsid w:val="002B50DC"/>
    <w:rsid w:val="002B5BE6"/>
    <w:rsid w:val="002B683A"/>
    <w:rsid w:val="002B6B9E"/>
    <w:rsid w:val="002B7740"/>
    <w:rsid w:val="002B778E"/>
    <w:rsid w:val="002B799A"/>
    <w:rsid w:val="002B79A0"/>
    <w:rsid w:val="002B7DA9"/>
    <w:rsid w:val="002B7FC5"/>
    <w:rsid w:val="002C0020"/>
    <w:rsid w:val="002C0412"/>
    <w:rsid w:val="002C05CA"/>
    <w:rsid w:val="002C0BC1"/>
    <w:rsid w:val="002C1D43"/>
    <w:rsid w:val="002C2831"/>
    <w:rsid w:val="002C37D3"/>
    <w:rsid w:val="002C3C28"/>
    <w:rsid w:val="002C3DE6"/>
    <w:rsid w:val="002C4281"/>
    <w:rsid w:val="002C48C1"/>
    <w:rsid w:val="002C4BC5"/>
    <w:rsid w:val="002C50ED"/>
    <w:rsid w:val="002C52E6"/>
    <w:rsid w:val="002C5CE6"/>
    <w:rsid w:val="002C5D87"/>
    <w:rsid w:val="002C6379"/>
    <w:rsid w:val="002C63B1"/>
    <w:rsid w:val="002C63B4"/>
    <w:rsid w:val="002C6A5F"/>
    <w:rsid w:val="002C6B15"/>
    <w:rsid w:val="002C6C23"/>
    <w:rsid w:val="002C7155"/>
    <w:rsid w:val="002C75A4"/>
    <w:rsid w:val="002C75D5"/>
    <w:rsid w:val="002C7DDD"/>
    <w:rsid w:val="002C7E36"/>
    <w:rsid w:val="002D000C"/>
    <w:rsid w:val="002D005D"/>
    <w:rsid w:val="002D01C4"/>
    <w:rsid w:val="002D0533"/>
    <w:rsid w:val="002D06CF"/>
    <w:rsid w:val="002D0950"/>
    <w:rsid w:val="002D0DF2"/>
    <w:rsid w:val="002D1112"/>
    <w:rsid w:val="002D1237"/>
    <w:rsid w:val="002D1665"/>
    <w:rsid w:val="002D1BD6"/>
    <w:rsid w:val="002D2297"/>
    <w:rsid w:val="002D23E2"/>
    <w:rsid w:val="002D25C8"/>
    <w:rsid w:val="002D28A5"/>
    <w:rsid w:val="002D31A6"/>
    <w:rsid w:val="002D3BBD"/>
    <w:rsid w:val="002D3FA9"/>
    <w:rsid w:val="002D415B"/>
    <w:rsid w:val="002D42D2"/>
    <w:rsid w:val="002D44B7"/>
    <w:rsid w:val="002D4520"/>
    <w:rsid w:val="002D4732"/>
    <w:rsid w:val="002D4C95"/>
    <w:rsid w:val="002D59CB"/>
    <w:rsid w:val="002D5B50"/>
    <w:rsid w:val="002D5D50"/>
    <w:rsid w:val="002D62B3"/>
    <w:rsid w:val="002D645C"/>
    <w:rsid w:val="002D64D0"/>
    <w:rsid w:val="002D6A30"/>
    <w:rsid w:val="002D6FB5"/>
    <w:rsid w:val="002D7042"/>
    <w:rsid w:val="002D741B"/>
    <w:rsid w:val="002D7447"/>
    <w:rsid w:val="002D7966"/>
    <w:rsid w:val="002D7F89"/>
    <w:rsid w:val="002E0141"/>
    <w:rsid w:val="002E105E"/>
    <w:rsid w:val="002E1227"/>
    <w:rsid w:val="002E169C"/>
    <w:rsid w:val="002E1FBB"/>
    <w:rsid w:val="002E225A"/>
    <w:rsid w:val="002E2C78"/>
    <w:rsid w:val="002E2F17"/>
    <w:rsid w:val="002E2FCD"/>
    <w:rsid w:val="002E2FF6"/>
    <w:rsid w:val="002E3061"/>
    <w:rsid w:val="002E30E4"/>
    <w:rsid w:val="002E37CE"/>
    <w:rsid w:val="002E38F7"/>
    <w:rsid w:val="002E3A15"/>
    <w:rsid w:val="002E401E"/>
    <w:rsid w:val="002E41D5"/>
    <w:rsid w:val="002E4213"/>
    <w:rsid w:val="002E42C5"/>
    <w:rsid w:val="002E4535"/>
    <w:rsid w:val="002E4699"/>
    <w:rsid w:val="002E4BCC"/>
    <w:rsid w:val="002E50DF"/>
    <w:rsid w:val="002E5189"/>
    <w:rsid w:val="002E530F"/>
    <w:rsid w:val="002E5B07"/>
    <w:rsid w:val="002E5D6A"/>
    <w:rsid w:val="002E60AC"/>
    <w:rsid w:val="002E66CE"/>
    <w:rsid w:val="002E746F"/>
    <w:rsid w:val="002E7AB4"/>
    <w:rsid w:val="002E7BF1"/>
    <w:rsid w:val="002F07DF"/>
    <w:rsid w:val="002F07F4"/>
    <w:rsid w:val="002F09A9"/>
    <w:rsid w:val="002F0E8D"/>
    <w:rsid w:val="002F16D7"/>
    <w:rsid w:val="002F200D"/>
    <w:rsid w:val="002F2D49"/>
    <w:rsid w:val="002F2D68"/>
    <w:rsid w:val="002F2DF5"/>
    <w:rsid w:val="002F2EF9"/>
    <w:rsid w:val="002F3064"/>
    <w:rsid w:val="002F3684"/>
    <w:rsid w:val="002F3EAD"/>
    <w:rsid w:val="002F4821"/>
    <w:rsid w:val="002F4AFF"/>
    <w:rsid w:val="002F5A07"/>
    <w:rsid w:val="002F5BA1"/>
    <w:rsid w:val="002F5C30"/>
    <w:rsid w:val="002F6F7D"/>
    <w:rsid w:val="002F7183"/>
    <w:rsid w:val="002F779F"/>
    <w:rsid w:val="002F7C77"/>
    <w:rsid w:val="002F7E4E"/>
    <w:rsid w:val="002F7F34"/>
    <w:rsid w:val="002F7F9D"/>
    <w:rsid w:val="003002EE"/>
    <w:rsid w:val="00300301"/>
    <w:rsid w:val="0030069C"/>
    <w:rsid w:val="00300803"/>
    <w:rsid w:val="00300A93"/>
    <w:rsid w:val="00300DE9"/>
    <w:rsid w:val="00300E7D"/>
    <w:rsid w:val="00301065"/>
    <w:rsid w:val="00301E29"/>
    <w:rsid w:val="00302261"/>
    <w:rsid w:val="003022DB"/>
    <w:rsid w:val="003024E9"/>
    <w:rsid w:val="0030285A"/>
    <w:rsid w:val="00302B6D"/>
    <w:rsid w:val="003035DC"/>
    <w:rsid w:val="00303F74"/>
    <w:rsid w:val="003040F2"/>
    <w:rsid w:val="00304381"/>
    <w:rsid w:val="00304C77"/>
    <w:rsid w:val="00304F6B"/>
    <w:rsid w:val="003051E5"/>
    <w:rsid w:val="00305238"/>
    <w:rsid w:val="00305532"/>
    <w:rsid w:val="003056C5"/>
    <w:rsid w:val="00305876"/>
    <w:rsid w:val="00306165"/>
    <w:rsid w:val="003068C5"/>
    <w:rsid w:val="00306A7F"/>
    <w:rsid w:val="003070B8"/>
    <w:rsid w:val="0030749B"/>
    <w:rsid w:val="00307892"/>
    <w:rsid w:val="00307894"/>
    <w:rsid w:val="003102C5"/>
    <w:rsid w:val="003111BC"/>
    <w:rsid w:val="003113B3"/>
    <w:rsid w:val="003118E2"/>
    <w:rsid w:val="003119A8"/>
    <w:rsid w:val="00311B78"/>
    <w:rsid w:val="00311B86"/>
    <w:rsid w:val="00311F74"/>
    <w:rsid w:val="003123FD"/>
    <w:rsid w:val="00312471"/>
    <w:rsid w:val="003124C4"/>
    <w:rsid w:val="0031260C"/>
    <w:rsid w:val="00312688"/>
    <w:rsid w:val="00312C38"/>
    <w:rsid w:val="00313138"/>
    <w:rsid w:val="0031336C"/>
    <w:rsid w:val="0031369A"/>
    <w:rsid w:val="00313B36"/>
    <w:rsid w:val="00314260"/>
    <w:rsid w:val="00315070"/>
    <w:rsid w:val="0031548C"/>
    <w:rsid w:val="0031553A"/>
    <w:rsid w:val="003155B9"/>
    <w:rsid w:val="00315773"/>
    <w:rsid w:val="00315870"/>
    <w:rsid w:val="003166E4"/>
    <w:rsid w:val="00316849"/>
    <w:rsid w:val="00316EF7"/>
    <w:rsid w:val="0032084B"/>
    <w:rsid w:val="00320950"/>
    <w:rsid w:val="00320AA8"/>
    <w:rsid w:val="00320DEB"/>
    <w:rsid w:val="003210AE"/>
    <w:rsid w:val="0032131B"/>
    <w:rsid w:val="0032157A"/>
    <w:rsid w:val="00322133"/>
    <w:rsid w:val="0032360A"/>
    <w:rsid w:val="003237B3"/>
    <w:rsid w:val="00323EF0"/>
    <w:rsid w:val="00323F06"/>
    <w:rsid w:val="00323F19"/>
    <w:rsid w:val="003241B9"/>
    <w:rsid w:val="00324974"/>
    <w:rsid w:val="00324D34"/>
    <w:rsid w:val="003250BA"/>
    <w:rsid w:val="00325320"/>
    <w:rsid w:val="003254E8"/>
    <w:rsid w:val="0032556A"/>
    <w:rsid w:val="003257E9"/>
    <w:rsid w:val="00325812"/>
    <w:rsid w:val="00325B1B"/>
    <w:rsid w:val="00325D78"/>
    <w:rsid w:val="00326A27"/>
    <w:rsid w:val="00326BF5"/>
    <w:rsid w:val="00326C43"/>
    <w:rsid w:val="00327C99"/>
    <w:rsid w:val="003304B6"/>
    <w:rsid w:val="003304C1"/>
    <w:rsid w:val="0033065C"/>
    <w:rsid w:val="003307F7"/>
    <w:rsid w:val="00330A10"/>
    <w:rsid w:val="00331486"/>
    <w:rsid w:val="00331BD4"/>
    <w:rsid w:val="00332134"/>
    <w:rsid w:val="00332180"/>
    <w:rsid w:val="003321D1"/>
    <w:rsid w:val="003330E1"/>
    <w:rsid w:val="00333322"/>
    <w:rsid w:val="003335B7"/>
    <w:rsid w:val="003335CE"/>
    <w:rsid w:val="00333A22"/>
    <w:rsid w:val="00333A55"/>
    <w:rsid w:val="00333F7B"/>
    <w:rsid w:val="00334052"/>
    <w:rsid w:val="00334111"/>
    <w:rsid w:val="003345F2"/>
    <w:rsid w:val="003346B5"/>
    <w:rsid w:val="00334C5E"/>
    <w:rsid w:val="00334C7C"/>
    <w:rsid w:val="00334DDA"/>
    <w:rsid w:val="0033507F"/>
    <w:rsid w:val="003352F0"/>
    <w:rsid w:val="0033568C"/>
    <w:rsid w:val="00335AD5"/>
    <w:rsid w:val="00336053"/>
    <w:rsid w:val="003364C5"/>
    <w:rsid w:val="0033651C"/>
    <w:rsid w:val="0033694C"/>
    <w:rsid w:val="00336A0D"/>
    <w:rsid w:val="00336F76"/>
    <w:rsid w:val="0033725D"/>
    <w:rsid w:val="00337A66"/>
    <w:rsid w:val="003402B9"/>
    <w:rsid w:val="003402FC"/>
    <w:rsid w:val="0034032C"/>
    <w:rsid w:val="00340581"/>
    <w:rsid w:val="0034072E"/>
    <w:rsid w:val="0034135E"/>
    <w:rsid w:val="00341C02"/>
    <w:rsid w:val="00341E26"/>
    <w:rsid w:val="00342AAE"/>
    <w:rsid w:val="00342B13"/>
    <w:rsid w:val="0034325E"/>
    <w:rsid w:val="003434DF"/>
    <w:rsid w:val="00343612"/>
    <w:rsid w:val="0034369F"/>
    <w:rsid w:val="0034370D"/>
    <w:rsid w:val="00343B68"/>
    <w:rsid w:val="00343D1C"/>
    <w:rsid w:val="00343D7A"/>
    <w:rsid w:val="0034406B"/>
    <w:rsid w:val="00344093"/>
    <w:rsid w:val="00344289"/>
    <w:rsid w:val="00344434"/>
    <w:rsid w:val="00344D07"/>
    <w:rsid w:val="00344FD0"/>
    <w:rsid w:val="003454F6"/>
    <w:rsid w:val="00345613"/>
    <w:rsid w:val="00345C26"/>
    <w:rsid w:val="00345E5E"/>
    <w:rsid w:val="00345EC6"/>
    <w:rsid w:val="0034620C"/>
    <w:rsid w:val="0034677A"/>
    <w:rsid w:val="00346B27"/>
    <w:rsid w:val="00346C4F"/>
    <w:rsid w:val="00346E2C"/>
    <w:rsid w:val="00347DDF"/>
    <w:rsid w:val="00347F43"/>
    <w:rsid w:val="0035154E"/>
    <w:rsid w:val="00351724"/>
    <w:rsid w:val="00351C11"/>
    <w:rsid w:val="00352473"/>
    <w:rsid w:val="003527F9"/>
    <w:rsid w:val="003529D4"/>
    <w:rsid w:val="00352FAB"/>
    <w:rsid w:val="003531B1"/>
    <w:rsid w:val="0035516B"/>
    <w:rsid w:val="003554C4"/>
    <w:rsid w:val="00355A34"/>
    <w:rsid w:val="00355AFA"/>
    <w:rsid w:val="00355B72"/>
    <w:rsid w:val="00355E4B"/>
    <w:rsid w:val="00356014"/>
    <w:rsid w:val="003563EE"/>
    <w:rsid w:val="00356825"/>
    <w:rsid w:val="00357706"/>
    <w:rsid w:val="003577C6"/>
    <w:rsid w:val="00357DCD"/>
    <w:rsid w:val="00357E31"/>
    <w:rsid w:val="00357F48"/>
    <w:rsid w:val="00360A8E"/>
    <w:rsid w:val="00360BFC"/>
    <w:rsid w:val="003610AE"/>
    <w:rsid w:val="00361991"/>
    <w:rsid w:val="00361D74"/>
    <w:rsid w:val="0036233E"/>
    <w:rsid w:val="0036269C"/>
    <w:rsid w:val="00362CC2"/>
    <w:rsid w:val="003631AD"/>
    <w:rsid w:val="00363566"/>
    <w:rsid w:val="0036389C"/>
    <w:rsid w:val="003647B4"/>
    <w:rsid w:val="00364E1E"/>
    <w:rsid w:val="00364FC5"/>
    <w:rsid w:val="00365461"/>
    <w:rsid w:val="003656F4"/>
    <w:rsid w:val="00366E6A"/>
    <w:rsid w:val="00366F40"/>
    <w:rsid w:val="00366F84"/>
    <w:rsid w:val="003673A4"/>
    <w:rsid w:val="00370069"/>
    <w:rsid w:val="003702E9"/>
    <w:rsid w:val="0037095E"/>
    <w:rsid w:val="00370AC9"/>
    <w:rsid w:val="00370C8E"/>
    <w:rsid w:val="0037114E"/>
    <w:rsid w:val="003715B4"/>
    <w:rsid w:val="003717B3"/>
    <w:rsid w:val="0037196C"/>
    <w:rsid w:val="00371F05"/>
    <w:rsid w:val="00371FE0"/>
    <w:rsid w:val="003727F3"/>
    <w:rsid w:val="00372E1D"/>
    <w:rsid w:val="0037332A"/>
    <w:rsid w:val="00373A03"/>
    <w:rsid w:val="00373C16"/>
    <w:rsid w:val="00373EA3"/>
    <w:rsid w:val="00373FE1"/>
    <w:rsid w:val="003740BF"/>
    <w:rsid w:val="0037425D"/>
    <w:rsid w:val="003747B7"/>
    <w:rsid w:val="00374D13"/>
    <w:rsid w:val="00375415"/>
    <w:rsid w:val="00375451"/>
    <w:rsid w:val="003754A3"/>
    <w:rsid w:val="003759FC"/>
    <w:rsid w:val="00376059"/>
    <w:rsid w:val="003760A6"/>
    <w:rsid w:val="003769D1"/>
    <w:rsid w:val="00376CEC"/>
    <w:rsid w:val="00376DC9"/>
    <w:rsid w:val="00377327"/>
    <w:rsid w:val="0037734E"/>
    <w:rsid w:val="00377BF3"/>
    <w:rsid w:val="00380265"/>
    <w:rsid w:val="00380886"/>
    <w:rsid w:val="00380BA8"/>
    <w:rsid w:val="00380CDD"/>
    <w:rsid w:val="003813DB"/>
    <w:rsid w:val="003815E1"/>
    <w:rsid w:val="003816BC"/>
    <w:rsid w:val="00381DE7"/>
    <w:rsid w:val="00382287"/>
    <w:rsid w:val="00383C5E"/>
    <w:rsid w:val="0038412F"/>
    <w:rsid w:val="0038461C"/>
    <w:rsid w:val="00384852"/>
    <w:rsid w:val="00384D11"/>
    <w:rsid w:val="00385226"/>
    <w:rsid w:val="00385BA4"/>
    <w:rsid w:val="00385CB0"/>
    <w:rsid w:val="003860FE"/>
    <w:rsid w:val="00386326"/>
    <w:rsid w:val="00386C1D"/>
    <w:rsid w:val="00386D2C"/>
    <w:rsid w:val="00386D4C"/>
    <w:rsid w:val="00386F29"/>
    <w:rsid w:val="003871EC"/>
    <w:rsid w:val="00387CC7"/>
    <w:rsid w:val="00387D9B"/>
    <w:rsid w:val="00387DAA"/>
    <w:rsid w:val="003901FE"/>
    <w:rsid w:val="00390231"/>
    <w:rsid w:val="00391226"/>
    <w:rsid w:val="0039171E"/>
    <w:rsid w:val="00391746"/>
    <w:rsid w:val="00391FA3"/>
    <w:rsid w:val="00392396"/>
    <w:rsid w:val="003926F4"/>
    <w:rsid w:val="00392906"/>
    <w:rsid w:val="00392941"/>
    <w:rsid w:val="00392B15"/>
    <w:rsid w:val="003932F5"/>
    <w:rsid w:val="00393300"/>
    <w:rsid w:val="003934CC"/>
    <w:rsid w:val="00393750"/>
    <w:rsid w:val="00393D14"/>
    <w:rsid w:val="00394348"/>
    <w:rsid w:val="00394DD0"/>
    <w:rsid w:val="00395287"/>
    <w:rsid w:val="00395D86"/>
    <w:rsid w:val="00396952"/>
    <w:rsid w:val="00396ADF"/>
    <w:rsid w:val="00396BF5"/>
    <w:rsid w:val="00396D2A"/>
    <w:rsid w:val="00396D79"/>
    <w:rsid w:val="00396E9A"/>
    <w:rsid w:val="003972C3"/>
    <w:rsid w:val="003972D0"/>
    <w:rsid w:val="003978DD"/>
    <w:rsid w:val="00397BA2"/>
    <w:rsid w:val="00397C4B"/>
    <w:rsid w:val="003A03FC"/>
    <w:rsid w:val="003A077E"/>
    <w:rsid w:val="003A0799"/>
    <w:rsid w:val="003A0A64"/>
    <w:rsid w:val="003A10D9"/>
    <w:rsid w:val="003A1940"/>
    <w:rsid w:val="003A1999"/>
    <w:rsid w:val="003A1FCE"/>
    <w:rsid w:val="003A2068"/>
    <w:rsid w:val="003A20E8"/>
    <w:rsid w:val="003A27FC"/>
    <w:rsid w:val="003A2CBA"/>
    <w:rsid w:val="003A2EBC"/>
    <w:rsid w:val="003A3950"/>
    <w:rsid w:val="003A3BE6"/>
    <w:rsid w:val="003A40B1"/>
    <w:rsid w:val="003A507E"/>
    <w:rsid w:val="003A5701"/>
    <w:rsid w:val="003A5719"/>
    <w:rsid w:val="003A5E19"/>
    <w:rsid w:val="003A77FD"/>
    <w:rsid w:val="003A7EDE"/>
    <w:rsid w:val="003A7F98"/>
    <w:rsid w:val="003B000B"/>
    <w:rsid w:val="003B0066"/>
    <w:rsid w:val="003B0219"/>
    <w:rsid w:val="003B056A"/>
    <w:rsid w:val="003B0747"/>
    <w:rsid w:val="003B0C9C"/>
    <w:rsid w:val="003B0E70"/>
    <w:rsid w:val="003B108D"/>
    <w:rsid w:val="003B142E"/>
    <w:rsid w:val="003B1597"/>
    <w:rsid w:val="003B1664"/>
    <w:rsid w:val="003B20B3"/>
    <w:rsid w:val="003B20B6"/>
    <w:rsid w:val="003B2CF9"/>
    <w:rsid w:val="003B2F4D"/>
    <w:rsid w:val="003B31AC"/>
    <w:rsid w:val="003B3511"/>
    <w:rsid w:val="003B36D3"/>
    <w:rsid w:val="003B38A4"/>
    <w:rsid w:val="003B38FF"/>
    <w:rsid w:val="003B3B33"/>
    <w:rsid w:val="003B42AF"/>
    <w:rsid w:val="003B4AB9"/>
    <w:rsid w:val="003B5064"/>
    <w:rsid w:val="003B52CA"/>
    <w:rsid w:val="003B5B73"/>
    <w:rsid w:val="003B6BF2"/>
    <w:rsid w:val="003B6D6C"/>
    <w:rsid w:val="003B6DBE"/>
    <w:rsid w:val="003B6DE4"/>
    <w:rsid w:val="003B6E1B"/>
    <w:rsid w:val="003B711F"/>
    <w:rsid w:val="003B71B8"/>
    <w:rsid w:val="003B728B"/>
    <w:rsid w:val="003B73DF"/>
    <w:rsid w:val="003B76F1"/>
    <w:rsid w:val="003B7794"/>
    <w:rsid w:val="003B7BA8"/>
    <w:rsid w:val="003B7C20"/>
    <w:rsid w:val="003B7D42"/>
    <w:rsid w:val="003C03C6"/>
    <w:rsid w:val="003C0916"/>
    <w:rsid w:val="003C0AD3"/>
    <w:rsid w:val="003C0AF4"/>
    <w:rsid w:val="003C0D8A"/>
    <w:rsid w:val="003C15FB"/>
    <w:rsid w:val="003C17E6"/>
    <w:rsid w:val="003C1CF0"/>
    <w:rsid w:val="003C1F4E"/>
    <w:rsid w:val="003C2641"/>
    <w:rsid w:val="003C2F23"/>
    <w:rsid w:val="003C3C6C"/>
    <w:rsid w:val="003C3F0E"/>
    <w:rsid w:val="003C3F89"/>
    <w:rsid w:val="003C406C"/>
    <w:rsid w:val="003C5745"/>
    <w:rsid w:val="003C5A2B"/>
    <w:rsid w:val="003C5E87"/>
    <w:rsid w:val="003C635A"/>
    <w:rsid w:val="003C667E"/>
    <w:rsid w:val="003C6705"/>
    <w:rsid w:val="003C69B6"/>
    <w:rsid w:val="003C6CC9"/>
    <w:rsid w:val="003C70EC"/>
    <w:rsid w:val="003C72F4"/>
    <w:rsid w:val="003C7429"/>
    <w:rsid w:val="003C780D"/>
    <w:rsid w:val="003D0678"/>
    <w:rsid w:val="003D0A0A"/>
    <w:rsid w:val="003D0AC6"/>
    <w:rsid w:val="003D0BD9"/>
    <w:rsid w:val="003D0D61"/>
    <w:rsid w:val="003D0F36"/>
    <w:rsid w:val="003D0FE9"/>
    <w:rsid w:val="003D1500"/>
    <w:rsid w:val="003D176A"/>
    <w:rsid w:val="003D19C6"/>
    <w:rsid w:val="003D1D0E"/>
    <w:rsid w:val="003D1E16"/>
    <w:rsid w:val="003D20C6"/>
    <w:rsid w:val="003D2AE4"/>
    <w:rsid w:val="003D2BDC"/>
    <w:rsid w:val="003D3156"/>
    <w:rsid w:val="003D3564"/>
    <w:rsid w:val="003D35D8"/>
    <w:rsid w:val="003D3723"/>
    <w:rsid w:val="003D3B23"/>
    <w:rsid w:val="003D4544"/>
    <w:rsid w:val="003D46D2"/>
    <w:rsid w:val="003D509B"/>
    <w:rsid w:val="003D5613"/>
    <w:rsid w:val="003D5B86"/>
    <w:rsid w:val="003D5E14"/>
    <w:rsid w:val="003D6017"/>
    <w:rsid w:val="003D6700"/>
    <w:rsid w:val="003D6AD3"/>
    <w:rsid w:val="003D6F55"/>
    <w:rsid w:val="003D74A3"/>
    <w:rsid w:val="003D7A64"/>
    <w:rsid w:val="003E09AD"/>
    <w:rsid w:val="003E0BB1"/>
    <w:rsid w:val="003E14D3"/>
    <w:rsid w:val="003E1A4B"/>
    <w:rsid w:val="003E1DA2"/>
    <w:rsid w:val="003E2037"/>
    <w:rsid w:val="003E2129"/>
    <w:rsid w:val="003E273E"/>
    <w:rsid w:val="003E318F"/>
    <w:rsid w:val="003E3333"/>
    <w:rsid w:val="003E385C"/>
    <w:rsid w:val="003E3F45"/>
    <w:rsid w:val="003E3F9B"/>
    <w:rsid w:val="003E4059"/>
    <w:rsid w:val="003E4237"/>
    <w:rsid w:val="003E4461"/>
    <w:rsid w:val="003E4793"/>
    <w:rsid w:val="003E4809"/>
    <w:rsid w:val="003E4B56"/>
    <w:rsid w:val="003E51C6"/>
    <w:rsid w:val="003E5710"/>
    <w:rsid w:val="003E5843"/>
    <w:rsid w:val="003E5C48"/>
    <w:rsid w:val="003E5CC2"/>
    <w:rsid w:val="003E63AA"/>
    <w:rsid w:val="003E6955"/>
    <w:rsid w:val="003E69BE"/>
    <w:rsid w:val="003E6A49"/>
    <w:rsid w:val="003E6C18"/>
    <w:rsid w:val="003E6FA9"/>
    <w:rsid w:val="003E71A8"/>
    <w:rsid w:val="003E7A61"/>
    <w:rsid w:val="003E7DC9"/>
    <w:rsid w:val="003F017C"/>
    <w:rsid w:val="003F028E"/>
    <w:rsid w:val="003F05E7"/>
    <w:rsid w:val="003F0C48"/>
    <w:rsid w:val="003F0E78"/>
    <w:rsid w:val="003F1736"/>
    <w:rsid w:val="003F1AFF"/>
    <w:rsid w:val="003F202A"/>
    <w:rsid w:val="003F2653"/>
    <w:rsid w:val="003F2C56"/>
    <w:rsid w:val="003F2DA6"/>
    <w:rsid w:val="003F34E5"/>
    <w:rsid w:val="003F38D3"/>
    <w:rsid w:val="003F3E84"/>
    <w:rsid w:val="003F400F"/>
    <w:rsid w:val="003F42D2"/>
    <w:rsid w:val="003F42F0"/>
    <w:rsid w:val="003F4408"/>
    <w:rsid w:val="003F4477"/>
    <w:rsid w:val="003F48A8"/>
    <w:rsid w:val="003F52EC"/>
    <w:rsid w:val="003F53CE"/>
    <w:rsid w:val="003F56CE"/>
    <w:rsid w:val="003F59C3"/>
    <w:rsid w:val="003F603C"/>
    <w:rsid w:val="003F62B3"/>
    <w:rsid w:val="003F6848"/>
    <w:rsid w:val="003F6A31"/>
    <w:rsid w:val="003F6B79"/>
    <w:rsid w:val="003F6CA0"/>
    <w:rsid w:val="003F6DFD"/>
    <w:rsid w:val="003F6F28"/>
    <w:rsid w:val="003F71D9"/>
    <w:rsid w:val="003F747F"/>
    <w:rsid w:val="003F74C1"/>
    <w:rsid w:val="003F769A"/>
    <w:rsid w:val="003F78E6"/>
    <w:rsid w:val="0040050F"/>
    <w:rsid w:val="0040056F"/>
    <w:rsid w:val="00400813"/>
    <w:rsid w:val="0040087D"/>
    <w:rsid w:val="00400CCD"/>
    <w:rsid w:val="00400DB3"/>
    <w:rsid w:val="00400F13"/>
    <w:rsid w:val="00401909"/>
    <w:rsid w:val="0040224F"/>
    <w:rsid w:val="00402440"/>
    <w:rsid w:val="004032C1"/>
    <w:rsid w:val="00403913"/>
    <w:rsid w:val="00404071"/>
    <w:rsid w:val="00404522"/>
    <w:rsid w:val="004048B1"/>
    <w:rsid w:val="00404DDF"/>
    <w:rsid w:val="00404E4E"/>
    <w:rsid w:val="00405CE4"/>
    <w:rsid w:val="00406287"/>
    <w:rsid w:val="00406823"/>
    <w:rsid w:val="00407733"/>
    <w:rsid w:val="004077F5"/>
    <w:rsid w:val="00407B59"/>
    <w:rsid w:val="004102DE"/>
    <w:rsid w:val="0041033B"/>
    <w:rsid w:val="00410767"/>
    <w:rsid w:val="00410777"/>
    <w:rsid w:val="0041113C"/>
    <w:rsid w:val="00411BEB"/>
    <w:rsid w:val="00412805"/>
    <w:rsid w:val="00412B6F"/>
    <w:rsid w:val="00413478"/>
    <w:rsid w:val="004136D1"/>
    <w:rsid w:val="004136D5"/>
    <w:rsid w:val="00413A7A"/>
    <w:rsid w:val="00413B38"/>
    <w:rsid w:val="0041440D"/>
    <w:rsid w:val="004144BF"/>
    <w:rsid w:val="00415154"/>
    <w:rsid w:val="0041540A"/>
    <w:rsid w:val="00415D30"/>
    <w:rsid w:val="00415D87"/>
    <w:rsid w:val="00415E93"/>
    <w:rsid w:val="00416470"/>
    <w:rsid w:val="00416830"/>
    <w:rsid w:val="00416AF0"/>
    <w:rsid w:val="00416B4A"/>
    <w:rsid w:val="004170B6"/>
    <w:rsid w:val="004172D3"/>
    <w:rsid w:val="00417563"/>
    <w:rsid w:val="004175F1"/>
    <w:rsid w:val="00417C9C"/>
    <w:rsid w:val="0042039D"/>
    <w:rsid w:val="00420983"/>
    <w:rsid w:val="00420BB9"/>
    <w:rsid w:val="00420CF3"/>
    <w:rsid w:val="004211E8"/>
    <w:rsid w:val="004213FE"/>
    <w:rsid w:val="004214DD"/>
    <w:rsid w:val="004218C1"/>
    <w:rsid w:val="00421D7E"/>
    <w:rsid w:val="0042225A"/>
    <w:rsid w:val="00422308"/>
    <w:rsid w:val="00422787"/>
    <w:rsid w:val="00422854"/>
    <w:rsid w:val="00422A0D"/>
    <w:rsid w:val="00423739"/>
    <w:rsid w:val="00423D83"/>
    <w:rsid w:val="004249AE"/>
    <w:rsid w:val="00424E02"/>
    <w:rsid w:val="00424E52"/>
    <w:rsid w:val="00425290"/>
    <w:rsid w:val="004253CD"/>
    <w:rsid w:val="00425594"/>
    <w:rsid w:val="004256F3"/>
    <w:rsid w:val="0042580D"/>
    <w:rsid w:val="004261BF"/>
    <w:rsid w:val="00426997"/>
    <w:rsid w:val="00426AFC"/>
    <w:rsid w:val="00426F8A"/>
    <w:rsid w:val="00426FB1"/>
    <w:rsid w:val="004271BC"/>
    <w:rsid w:val="0042737C"/>
    <w:rsid w:val="00427D05"/>
    <w:rsid w:val="00427E79"/>
    <w:rsid w:val="0043065E"/>
    <w:rsid w:val="004307E3"/>
    <w:rsid w:val="00430F28"/>
    <w:rsid w:val="004311DA"/>
    <w:rsid w:val="00431532"/>
    <w:rsid w:val="00431566"/>
    <w:rsid w:val="00431A94"/>
    <w:rsid w:val="004322E4"/>
    <w:rsid w:val="004335A5"/>
    <w:rsid w:val="00433C60"/>
    <w:rsid w:val="004342CD"/>
    <w:rsid w:val="00434757"/>
    <w:rsid w:val="00434A2E"/>
    <w:rsid w:val="00434C52"/>
    <w:rsid w:val="00434D66"/>
    <w:rsid w:val="0043531E"/>
    <w:rsid w:val="004353D6"/>
    <w:rsid w:val="004357E4"/>
    <w:rsid w:val="00435815"/>
    <w:rsid w:val="00435B59"/>
    <w:rsid w:val="00435C41"/>
    <w:rsid w:val="004361C7"/>
    <w:rsid w:val="004363A2"/>
    <w:rsid w:val="0043648B"/>
    <w:rsid w:val="00436537"/>
    <w:rsid w:val="00436631"/>
    <w:rsid w:val="00436937"/>
    <w:rsid w:val="00436D41"/>
    <w:rsid w:val="004379F6"/>
    <w:rsid w:val="0044022E"/>
    <w:rsid w:val="00440E5D"/>
    <w:rsid w:val="00441195"/>
    <w:rsid w:val="004414EA"/>
    <w:rsid w:val="004416B5"/>
    <w:rsid w:val="004416CB"/>
    <w:rsid w:val="0044173B"/>
    <w:rsid w:val="00441BDB"/>
    <w:rsid w:val="00441E56"/>
    <w:rsid w:val="00442201"/>
    <w:rsid w:val="00442B54"/>
    <w:rsid w:val="0044303A"/>
    <w:rsid w:val="004431CD"/>
    <w:rsid w:val="004432EE"/>
    <w:rsid w:val="0044369C"/>
    <w:rsid w:val="00443A1F"/>
    <w:rsid w:val="00443ACC"/>
    <w:rsid w:val="00444250"/>
    <w:rsid w:val="00444363"/>
    <w:rsid w:val="00444535"/>
    <w:rsid w:val="004445CF"/>
    <w:rsid w:val="004448E9"/>
    <w:rsid w:val="00444CEB"/>
    <w:rsid w:val="00445200"/>
    <w:rsid w:val="004453CC"/>
    <w:rsid w:val="00445A66"/>
    <w:rsid w:val="00445B4F"/>
    <w:rsid w:val="00445B8E"/>
    <w:rsid w:val="00445B8F"/>
    <w:rsid w:val="00446605"/>
    <w:rsid w:val="004469E6"/>
    <w:rsid w:val="00446B27"/>
    <w:rsid w:val="00446C2D"/>
    <w:rsid w:val="00446C82"/>
    <w:rsid w:val="004470E3"/>
    <w:rsid w:val="004472B1"/>
    <w:rsid w:val="0044760F"/>
    <w:rsid w:val="00447D80"/>
    <w:rsid w:val="0045066C"/>
    <w:rsid w:val="00451318"/>
    <w:rsid w:val="00451764"/>
    <w:rsid w:val="004517F3"/>
    <w:rsid w:val="004519EE"/>
    <w:rsid w:val="004519FF"/>
    <w:rsid w:val="0045243C"/>
    <w:rsid w:val="00452A5C"/>
    <w:rsid w:val="00452B67"/>
    <w:rsid w:val="00453192"/>
    <w:rsid w:val="004532F1"/>
    <w:rsid w:val="0045375C"/>
    <w:rsid w:val="004539A2"/>
    <w:rsid w:val="00453FFC"/>
    <w:rsid w:val="004545D7"/>
    <w:rsid w:val="00454AE3"/>
    <w:rsid w:val="00455D90"/>
    <w:rsid w:val="00455DAC"/>
    <w:rsid w:val="004564A3"/>
    <w:rsid w:val="00456C8F"/>
    <w:rsid w:val="00457397"/>
    <w:rsid w:val="0045741E"/>
    <w:rsid w:val="004577A0"/>
    <w:rsid w:val="00457846"/>
    <w:rsid w:val="004578F2"/>
    <w:rsid w:val="00457B64"/>
    <w:rsid w:val="00457BE2"/>
    <w:rsid w:val="00457BF2"/>
    <w:rsid w:val="004600BF"/>
    <w:rsid w:val="00460279"/>
    <w:rsid w:val="004605D8"/>
    <w:rsid w:val="004605FA"/>
    <w:rsid w:val="0046061C"/>
    <w:rsid w:val="004607F9"/>
    <w:rsid w:val="00460B9E"/>
    <w:rsid w:val="00460F1F"/>
    <w:rsid w:val="00461157"/>
    <w:rsid w:val="0046124F"/>
    <w:rsid w:val="004613EA"/>
    <w:rsid w:val="004617E2"/>
    <w:rsid w:val="004619F4"/>
    <w:rsid w:val="00462883"/>
    <w:rsid w:val="00462B8E"/>
    <w:rsid w:val="00463167"/>
    <w:rsid w:val="00464097"/>
    <w:rsid w:val="00464414"/>
    <w:rsid w:val="00464C70"/>
    <w:rsid w:val="00464CBA"/>
    <w:rsid w:val="004653AB"/>
    <w:rsid w:val="0046583E"/>
    <w:rsid w:val="004658A7"/>
    <w:rsid w:val="004658F6"/>
    <w:rsid w:val="00465E14"/>
    <w:rsid w:val="00465FC6"/>
    <w:rsid w:val="00466162"/>
    <w:rsid w:val="0046652E"/>
    <w:rsid w:val="00466572"/>
    <w:rsid w:val="004665D5"/>
    <w:rsid w:val="0046703D"/>
    <w:rsid w:val="004671B2"/>
    <w:rsid w:val="00467793"/>
    <w:rsid w:val="00467CBA"/>
    <w:rsid w:val="00470255"/>
    <w:rsid w:val="00470BB8"/>
    <w:rsid w:val="00470F45"/>
    <w:rsid w:val="00471204"/>
    <w:rsid w:val="004715B6"/>
    <w:rsid w:val="004715DD"/>
    <w:rsid w:val="00471725"/>
    <w:rsid w:val="004717E0"/>
    <w:rsid w:val="004717EA"/>
    <w:rsid w:val="00471A30"/>
    <w:rsid w:val="00471FB5"/>
    <w:rsid w:val="0047216F"/>
    <w:rsid w:val="0047232D"/>
    <w:rsid w:val="00472666"/>
    <w:rsid w:val="00472903"/>
    <w:rsid w:val="00473129"/>
    <w:rsid w:val="004735DD"/>
    <w:rsid w:val="0047381B"/>
    <w:rsid w:val="004739E1"/>
    <w:rsid w:val="00474534"/>
    <w:rsid w:val="004746F7"/>
    <w:rsid w:val="00474B02"/>
    <w:rsid w:val="00474DED"/>
    <w:rsid w:val="004750A1"/>
    <w:rsid w:val="00475A61"/>
    <w:rsid w:val="00476058"/>
    <w:rsid w:val="004760C2"/>
    <w:rsid w:val="00476CD1"/>
    <w:rsid w:val="00476F04"/>
    <w:rsid w:val="004771FD"/>
    <w:rsid w:val="0047722B"/>
    <w:rsid w:val="004772FE"/>
    <w:rsid w:val="0047753A"/>
    <w:rsid w:val="004776A4"/>
    <w:rsid w:val="00477DD1"/>
    <w:rsid w:val="004804A6"/>
    <w:rsid w:val="00480761"/>
    <w:rsid w:val="004808D6"/>
    <w:rsid w:val="00480BE7"/>
    <w:rsid w:val="00481253"/>
    <w:rsid w:val="004816E3"/>
    <w:rsid w:val="0048170E"/>
    <w:rsid w:val="00481AAB"/>
    <w:rsid w:val="00481C51"/>
    <w:rsid w:val="00481EC1"/>
    <w:rsid w:val="0048201B"/>
    <w:rsid w:val="0048202E"/>
    <w:rsid w:val="00482167"/>
    <w:rsid w:val="00482B70"/>
    <w:rsid w:val="00482C9C"/>
    <w:rsid w:val="00483521"/>
    <w:rsid w:val="00483D37"/>
    <w:rsid w:val="0048496F"/>
    <w:rsid w:val="00484CDF"/>
    <w:rsid w:val="004852A3"/>
    <w:rsid w:val="0048531C"/>
    <w:rsid w:val="00485E12"/>
    <w:rsid w:val="004864C6"/>
    <w:rsid w:val="00486829"/>
    <w:rsid w:val="00486B4F"/>
    <w:rsid w:val="00486C06"/>
    <w:rsid w:val="00486E2C"/>
    <w:rsid w:val="00487173"/>
    <w:rsid w:val="004872BC"/>
    <w:rsid w:val="00490220"/>
    <w:rsid w:val="00490329"/>
    <w:rsid w:val="00490D58"/>
    <w:rsid w:val="0049128E"/>
    <w:rsid w:val="00491644"/>
    <w:rsid w:val="00491D4A"/>
    <w:rsid w:val="004920E2"/>
    <w:rsid w:val="00492235"/>
    <w:rsid w:val="00492474"/>
    <w:rsid w:val="00492793"/>
    <w:rsid w:val="00492A63"/>
    <w:rsid w:val="004931C2"/>
    <w:rsid w:val="0049342D"/>
    <w:rsid w:val="004948E5"/>
    <w:rsid w:val="004949C3"/>
    <w:rsid w:val="00494D5B"/>
    <w:rsid w:val="00495254"/>
    <w:rsid w:val="004952E4"/>
    <w:rsid w:val="0049532E"/>
    <w:rsid w:val="00495412"/>
    <w:rsid w:val="00495567"/>
    <w:rsid w:val="00496875"/>
    <w:rsid w:val="0049730A"/>
    <w:rsid w:val="00497314"/>
    <w:rsid w:val="0049789E"/>
    <w:rsid w:val="00497B10"/>
    <w:rsid w:val="00497C23"/>
    <w:rsid w:val="004A0045"/>
    <w:rsid w:val="004A0E04"/>
    <w:rsid w:val="004A11F3"/>
    <w:rsid w:val="004A1547"/>
    <w:rsid w:val="004A238C"/>
    <w:rsid w:val="004A2517"/>
    <w:rsid w:val="004A2574"/>
    <w:rsid w:val="004A2A3E"/>
    <w:rsid w:val="004A2B49"/>
    <w:rsid w:val="004A3943"/>
    <w:rsid w:val="004A4073"/>
    <w:rsid w:val="004A435A"/>
    <w:rsid w:val="004A45BA"/>
    <w:rsid w:val="004A4919"/>
    <w:rsid w:val="004A5902"/>
    <w:rsid w:val="004A5FDF"/>
    <w:rsid w:val="004A616D"/>
    <w:rsid w:val="004A6348"/>
    <w:rsid w:val="004A645A"/>
    <w:rsid w:val="004A7580"/>
    <w:rsid w:val="004A7B68"/>
    <w:rsid w:val="004A7B77"/>
    <w:rsid w:val="004A7E91"/>
    <w:rsid w:val="004B06BD"/>
    <w:rsid w:val="004B0CAD"/>
    <w:rsid w:val="004B0F21"/>
    <w:rsid w:val="004B100D"/>
    <w:rsid w:val="004B1C5A"/>
    <w:rsid w:val="004B1D30"/>
    <w:rsid w:val="004B22DD"/>
    <w:rsid w:val="004B26ED"/>
    <w:rsid w:val="004B28C6"/>
    <w:rsid w:val="004B296E"/>
    <w:rsid w:val="004B2F49"/>
    <w:rsid w:val="004B3A4E"/>
    <w:rsid w:val="004B4004"/>
    <w:rsid w:val="004B4ABC"/>
    <w:rsid w:val="004B4DA7"/>
    <w:rsid w:val="004B5752"/>
    <w:rsid w:val="004B57F0"/>
    <w:rsid w:val="004B6036"/>
    <w:rsid w:val="004B6414"/>
    <w:rsid w:val="004B6F3F"/>
    <w:rsid w:val="004B7152"/>
    <w:rsid w:val="004B7741"/>
    <w:rsid w:val="004C0046"/>
    <w:rsid w:val="004C03F9"/>
    <w:rsid w:val="004C0572"/>
    <w:rsid w:val="004C07F3"/>
    <w:rsid w:val="004C0D15"/>
    <w:rsid w:val="004C0D50"/>
    <w:rsid w:val="004C1AA6"/>
    <w:rsid w:val="004C1CA2"/>
    <w:rsid w:val="004C1DEE"/>
    <w:rsid w:val="004C2172"/>
    <w:rsid w:val="004C21A1"/>
    <w:rsid w:val="004C248A"/>
    <w:rsid w:val="004C2FF7"/>
    <w:rsid w:val="004C3262"/>
    <w:rsid w:val="004C374D"/>
    <w:rsid w:val="004C3F4C"/>
    <w:rsid w:val="004C466F"/>
    <w:rsid w:val="004C5E76"/>
    <w:rsid w:val="004C5ED5"/>
    <w:rsid w:val="004C6139"/>
    <w:rsid w:val="004C62D6"/>
    <w:rsid w:val="004C662A"/>
    <w:rsid w:val="004C7038"/>
    <w:rsid w:val="004C77FE"/>
    <w:rsid w:val="004C7B6B"/>
    <w:rsid w:val="004D0313"/>
    <w:rsid w:val="004D0D12"/>
    <w:rsid w:val="004D13D7"/>
    <w:rsid w:val="004D1684"/>
    <w:rsid w:val="004D1815"/>
    <w:rsid w:val="004D188F"/>
    <w:rsid w:val="004D194C"/>
    <w:rsid w:val="004D1B53"/>
    <w:rsid w:val="004D1D2B"/>
    <w:rsid w:val="004D201B"/>
    <w:rsid w:val="004D231B"/>
    <w:rsid w:val="004D2E10"/>
    <w:rsid w:val="004D3311"/>
    <w:rsid w:val="004D467C"/>
    <w:rsid w:val="004D4B30"/>
    <w:rsid w:val="004D4C85"/>
    <w:rsid w:val="004D508E"/>
    <w:rsid w:val="004D5CCB"/>
    <w:rsid w:val="004D5DDD"/>
    <w:rsid w:val="004D5F52"/>
    <w:rsid w:val="004D630A"/>
    <w:rsid w:val="004D7600"/>
    <w:rsid w:val="004D7B12"/>
    <w:rsid w:val="004D7C40"/>
    <w:rsid w:val="004E0703"/>
    <w:rsid w:val="004E0A1D"/>
    <w:rsid w:val="004E0B23"/>
    <w:rsid w:val="004E0DB2"/>
    <w:rsid w:val="004E186B"/>
    <w:rsid w:val="004E18B7"/>
    <w:rsid w:val="004E18E6"/>
    <w:rsid w:val="004E1A87"/>
    <w:rsid w:val="004E1AD5"/>
    <w:rsid w:val="004E1D9B"/>
    <w:rsid w:val="004E1F25"/>
    <w:rsid w:val="004E21D1"/>
    <w:rsid w:val="004E2574"/>
    <w:rsid w:val="004E2623"/>
    <w:rsid w:val="004E284F"/>
    <w:rsid w:val="004E2EF7"/>
    <w:rsid w:val="004E3D94"/>
    <w:rsid w:val="004E3DA9"/>
    <w:rsid w:val="004E43BD"/>
    <w:rsid w:val="004E449C"/>
    <w:rsid w:val="004E46D0"/>
    <w:rsid w:val="004E4744"/>
    <w:rsid w:val="004E496B"/>
    <w:rsid w:val="004E4C75"/>
    <w:rsid w:val="004E573A"/>
    <w:rsid w:val="004E5B5E"/>
    <w:rsid w:val="004E5F66"/>
    <w:rsid w:val="004E61BC"/>
    <w:rsid w:val="004E6507"/>
    <w:rsid w:val="004E66DC"/>
    <w:rsid w:val="004E6B4C"/>
    <w:rsid w:val="004E6CE7"/>
    <w:rsid w:val="004E7554"/>
    <w:rsid w:val="004E7600"/>
    <w:rsid w:val="004E76DE"/>
    <w:rsid w:val="004E7A2C"/>
    <w:rsid w:val="004F0BCA"/>
    <w:rsid w:val="004F0DF5"/>
    <w:rsid w:val="004F1019"/>
    <w:rsid w:val="004F11C1"/>
    <w:rsid w:val="004F1304"/>
    <w:rsid w:val="004F1692"/>
    <w:rsid w:val="004F18A3"/>
    <w:rsid w:val="004F28CD"/>
    <w:rsid w:val="004F33C6"/>
    <w:rsid w:val="004F349A"/>
    <w:rsid w:val="004F391C"/>
    <w:rsid w:val="004F3D89"/>
    <w:rsid w:val="004F4286"/>
    <w:rsid w:val="004F45E1"/>
    <w:rsid w:val="004F4725"/>
    <w:rsid w:val="004F4796"/>
    <w:rsid w:val="004F5100"/>
    <w:rsid w:val="004F52B0"/>
    <w:rsid w:val="004F52F6"/>
    <w:rsid w:val="004F53FF"/>
    <w:rsid w:val="004F5593"/>
    <w:rsid w:val="004F5A50"/>
    <w:rsid w:val="004F5D41"/>
    <w:rsid w:val="004F60C1"/>
    <w:rsid w:val="004F671B"/>
    <w:rsid w:val="004F677B"/>
    <w:rsid w:val="004F67CB"/>
    <w:rsid w:val="004F6BD9"/>
    <w:rsid w:val="004F6C6C"/>
    <w:rsid w:val="004F6D68"/>
    <w:rsid w:val="004F76A5"/>
    <w:rsid w:val="004F7798"/>
    <w:rsid w:val="004F7A24"/>
    <w:rsid w:val="004F7EE4"/>
    <w:rsid w:val="004F7F9B"/>
    <w:rsid w:val="0050026E"/>
    <w:rsid w:val="005003B4"/>
    <w:rsid w:val="0050052B"/>
    <w:rsid w:val="00500839"/>
    <w:rsid w:val="00500EC2"/>
    <w:rsid w:val="00501295"/>
    <w:rsid w:val="005013E2"/>
    <w:rsid w:val="00501BB8"/>
    <w:rsid w:val="005025A3"/>
    <w:rsid w:val="00502AFD"/>
    <w:rsid w:val="00502DC2"/>
    <w:rsid w:val="00502F8D"/>
    <w:rsid w:val="0050393D"/>
    <w:rsid w:val="00503BA0"/>
    <w:rsid w:val="005047EB"/>
    <w:rsid w:val="00504AF4"/>
    <w:rsid w:val="00504CA7"/>
    <w:rsid w:val="00504E36"/>
    <w:rsid w:val="00504F07"/>
    <w:rsid w:val="00505077"/>
    <w:rsid w:val="00505376"/>
    <w:rsid w:val="00505584"/>
    <w:rsid w:val="00505837"/>
    <w:rsid w:val="00505969"/>
    <w:rsid w:val="00506054"/>
    <w:rsid w:val="00506918"/>
    <w:rsid w:val="00507159"/>
    <w:rsid w:val="0050784D"/>
    <w:rsid w:val="005079A0"/>
    <w:rsid w:val="00507B86"/>
    <w:rsid w:val="0051000D"/>
    <w:rsid w:val="0051059D"/>
    <w:rsid w:val="00510784"/>
    <w:rsid w:val="00510DFC"/>
    <w:rsid w:val="0051122C"/>
    <w:rsid w:val="00511646"/>
    <w:rsid w:val="005125A2"/>
    <w:rsid w:val="00512EC1"/>
    <w:rsid w:val="00512ED5"/>
    <w:rsid w:val="00513099"/>
    <w:rsid w:val="00513ACE"/>
    <w:rsid w:val="00513D3B"/>
    <w:rsid w:val="005142E5"/>
    <w:rsid w:val="00514660"/>
    <w:rsid w:val="00514B51"/>
    <w:rsid w:val="00514EBA"/>
    <w:rsid w:val="00515CAA"/>
    <w:rsid w:val="00515EC2"/>
    <w:rsid w:val="00515F67"/>
    <w:rsid w:val="00516165"/>
    <w:rsid w:val="00516A60"/>
    <w:rsid w:val="00517228"/>
    <w:rsid w:val="0051722A"/>
    <w:rsid w:val="005177A8"/>
    <w:rsid w:val="00517C24"/>
    <w:rsid w:val="00517E07"/>
    <w:rsid w:val="00517E7D"/>
    <w:rsid w:val="00520408"/>
    <w:rsid w:val="00521137"/>
    <w:rsid w:val="005214EC"/>
    <w:rsid w:val="005219CA"/>
    <w:rsid w:val="00521A89"/>
    <w:rsid w:val="00521BAE"/>
    <w:rsid w:val="00521C9F"/>
    <w:rsid w:val="00521CD2"/>
    <w:rsid w:val="00522388"/>
    <w:rsid w:val="0052279F"/>
    <w:rsid w:val="0052354B"/>
    <w:rsid w:val="005236AC"/>
    <w:rsid w:val="00523C4D"/>
    <w:rsid w:val="00523D4A"/>
    <w:rsid w:val="005245BF"/>
    <w:rsid w:val="005245D7"/>
    <w:rsid w:val="0052464A"/>
    <w:rsid w:val="005247E9"/>
    <w:rsid w:val="00524C10"/>
    <w:rsid w:val="00525138"/>
    <w:rsid w:val="0052587F"/>
    <w:rsid w:val="00525B5B"/>
    <w:rsid w:val="00525F07"/>
    <w:rsid w:val="00526043"/>
    <w:rsid w:val="005260D9"/>
    <w:rsid w:val="0052650B"/>
    <w:rsid w:val="005266B7"/>
    <w:rsid w:val="00526A21"/>
    <w:rsid w:val="00526F3C"/>
    <w:rsid w:val="00527175"/>
    <w:rsid w:val="005272B8"/>
    <w:rsid w:val="005273AA"/>
    <w:rsid w:val="0052783F"/>
    <w:rsid w:val="005278DE"/>
    <w:rsid w:val="00527D95"/>
    <w:rsid w:val="00527F95"/>
    <w:rsid w:val="00530217"/>
    <w:rsid w:val="00530710"/>
    <w:rsid w:val="005308C9"/>
    <w:rsid w:val="0053098E"/>
    <w:rsid w:val="00530C8A"/>
    <w:rsid w:val="00530ECF"/>
    <w:rsid w:val="00531989"/>
    <w:rsid w:val="00531AE0"/>
    <w:rsid w:val="00531BCE"/>
    <w:rsid w:val="00531DFC"/>
    <w:rsid w:val="00532158"/>
    <w:rsid w:val="00532293"/>
    <w:rsid w:val="005322FE"/>
    <w:rsid w:val="0053286F"/>
    <w:rsid w:val="005330AE"/>
    <w:rsid w:val="0053317A"/>
    <w:rsid w:val="0053358C"/>
    <w:rsid w:val="00533645"/>
    <w:rsid w:val="005348EF"/>
    <w:rsid w:val="00534B6C"/>
    <w:rsid w:val="0053524F"/>
    <w:rsid w:val="00535251"/>
    <w:rsid w:val="005354B0"/>
    <w:rsid w:val="00535AD1"/>
    <w:rsid w:val="00535C90"/>
    <w:rsid w:val="00536787"/>
    <w:rsid w:val="005367C9"/>
    <w:rsid w:val="00537051"/>
    <w:rsid w:val="00537724"/>
    <w:rsid w:val="00537AEE"/>
    <w:rsid w:val="00537D2E"/>
    <w:rsid w:val="00537D47"/>
    <w:rsid w:val="005400B5"/>
    <w:rsid w:val="005401AC"/>
    <w:rsid w:val="0054040F"/>
    <w:rsid w:val="005405ED"/>
    <w:rsid w:val="00540622"/>
    <w:rsid w:val="00541493"/>
    <w:rsid w:val="0054173A"/>
    <w:rsid w:val="005417D1"/>
    <w:rsid w:val="00541979"/>
    <w:rsid w:val="0054246C"/>
    <w:rsid w:val="005425C3"/>
    <w:rsid w:val="005427DF"/>
    <w:rsid w:val="0054282F"/>
    <w:rsid w:val="005431A1"/>
    <w:rsid w:val="005431B2"/>
    <w:rsid w:val="00543953"/>
    <w:rsid w:val="00543C5F"/>
    <w:rsid w:val="00543ED7"/>
    <w:rsid w:val="0054409D"/>
    <w:rsid w:val="00544407"/>
    <w:rsid w:val="00544655"/>
    <w:rsid w:val="00544B06"/>
    <w:rsid w:val="00544CC6"/>
    <w:rsid w:val="00544D2B"/>
    <w:rsid w:val="00544F8C"/>
    <w:rsid w:val="005450E9"/>
    <w:rsid w:val="00545275"/>
    <w:rsid w:val="0054530F"/>
    <w:rsid w:val="00545388"/>
    <w:rsid w:val="005458E8"/>
    <w:rsid w:val="00545A9F"/>
    <w:rsid w:val="00545C00"/>
    <w:rsid w:val="00545CEA"/>
    <w:rsid w:val="00546E7E"/>
    <w:rsid w:val="005473B4"/>
    <w:rsid w:val="005475CB"/>
    <w:rsid w:val="00547DAA"/>
    <w:rsid w:val="005502A1"/>
    <w:rsid w:val="00550970"/>
    <w:rsid w:val="005511A1"/>
    <w:rsid w:val="0055131B"/>
    <w:rsid w:val="005515FD"/>
    <w:rsid w:val="005517C6"/>
    <w:rsid w:val="00551964"/>
    <w:rsid w:val="005521A9"/>
    <w:rsid w:val="005523CE"/>
    <w:rsid w:val="00552667"/>
    <w:rsid w:val="00552748"/>
    <w:rsid w:val="00552E6F"/>
    <w:rsid w:val="005530CF"/>
    <w:rsid w:val="0055349A"/>
    <w:rsid w:val="005534E7"/>
    <w:rsid w:val="00553501"/>
    <w:rsid w:val="00553548"/>
    <w:rsid w:val="00553904"/>
    <w:rsid w:val="00553A0D"/>
    <w:rsid w:val="00553E74"/>
    <w:rsid w:val="00553EEB"/>
    <w:rsid w:val="00553FAD"/>
    <w:rsid w:val="00554029"/>
    <w:rsid w:val="0055415D"/>
    <w:rsid w:val="00554239"/>
    <w:rsid w:val="00554631"/>
    <w:rsid w:val="00554F64"/>
    <w:rsid w:val="005556AB"/>
    <w:rsid w:val="00555922"/>
    <w:rsid w:val="0055635A"/>
    <w:rsid w:val="00556485"/>
    <w:rsid w:val="0055686B"/>
    <w:rsid w:val="00556C80"/>
    <w:rsid w:val="00556D55"/>
    <w:rsid w:val="00557278"/>
    <w:rsid w:val="00557867"/>
    <w:rsid w:val="00560788"/>
    <w:rsid w:val="00560888"/>
    <w:rsid w:val="00560940"/>
    <w:rsid w:val="00560A0F"/>
    <w:rsid w:val="00561AFC"/>
    <w:rsid w:val="00561C25"/>
    <w:rsid w:val="00562488"/>
    <w:rsid w:val="00562702"/>
    <w:rsid w:val="00562B19"/>
    <w:rsid w:val="00563279"/>
    <w:rsid w:val="0056396A"/>
    <w:rsid w:val="00563B99"/>
    <w:rsid w:val="00563CC0"/>
    <w:rsid w:val="00563D57"/>
    <w:rsid w:val="0056452E"/>
    <w:rsid w:val="0056473F"/>
    <w:rsid w:val="00564A33"/>
    <w:rsid w:val="00564EEC"/>
    <w:rsid w:val="00565D0C"/>
    <w:rsid w:val="00565F52"/>
    <w:rsid w:val="00566B21"/>
    <w:rsid w:val="00567275"/>
    <w:rsid w:val="005673A6"/>
    <w:rsid w:val="005679DE"/>
    <w:rsid w:val="00567BC0"/>
    <w:rsid w:val="0057046C"/>
    <w:rsid w:val="00570915"/>
    <w:rsid w:val="00570FCE"/>
    <w:rsid w:val="005711AB"/>
    <w:rsid w:val="00571315"/>
    <w:rsid w:val="005716F4"/>
    <w:rsid w:val="0057178B"/>
    <w:rsid w:val="00572190"/>
    <w:rsid w:val="0057223D"/>
    <w:rsid w:val="005723FD"/>
    <w:rsid w:val="00572DCA"/>
    <w:rsid w:val="0057357C"/>
    <w:rsid w:val="0057402E"/>
    <w:rsid w:val="00574643"/>
    <w:rsid w:val="0057464E"/>
    <w:rsid w:val="0057480C"/>
    <w:rsid w:val="00574E69"/>
    <w:rsid w:val="00574F87"/>
    <w:rsid w:val="00575510"/>
    <w:rsid w:val="00575725"/>
    <w:rsid w:val="00576AB5"/>
    <w:rsid w:val="00576DCC"/>
    <w:rsid w:val="0057706E"/>
    <w:rsid w:val="0057735D"/>
    <w:rsid w:val="005775CA"/>
    <w:rsid w:val="00577F1E"/>
    <w:rsid w:val="005800B7"/>
    <w:rsid w:val="005802AF"/>
    <w:rsid w:val="005807F8"/>
    <w:rsid w:val="00580ECC"/>
    <w:rsid w:val="00580F28"/>
    <w:rsid w:val="005813FA"/>
    <w:rsid w:val="00581510"/>
    <w:rsid w:val="00581C90"/>
    <w:rsid w:val="00581DAC"/>
    <w:rsid w:val="005822F9"/>
    <w:rsid w:val="0058271C"/>
    <w:rsid w:val="00582ABB"/>
    <w:rsid w:val="00583A6E"/>
    <w:rsid w:val="00583F6C"/>
    <w:rsid w:val="00584BD4"/>
    <w:rsid w:val="00584D4C"/>
    <w:rsid w:val="00584EFA"/>
    <w:rsid w:val="00585038"/>
    <w:rsid w:val="00585208"/>
    <w:rsid w:val="005853EC"/>
    <w:rsid w:val="00585569"/>
    <w:rsid w:val="00585957"/>
    <w:rsid w:val="00585992"/>
    <w:rsid w:val="005859F3"/>
    <w:rsid w:val="00585C8C"/>
    <w:rsid w:val="00585D97"/>
    <w:rsid w:val="00585EB8"/>
    <w:rsid w:val="00586B5F"/>
    <w:rsid w:val="00586F38"/>
    <w:rsid w:val="00587017"/>
    <w:rsid w:val="00587305"/>
    <w:rsid w:val="0058748C"/>
    <w:rsid w:val="005874A8"/>
    <w:rsid w:val="00587C85"/>
    <w:rsid w:val="00587CA6"/>
    <w:rsid w:val="00587E18"/>
    <w:rsid w:val="0059077A"/>
    <w:rsid w:val="005907C1"/>
    <w:rsid w:val="00590AE7"/>
    <w:rsid w:val="00590B2F"/>
    <w:rsid w:val="0059102D"/>
    <w:rsid w:val="00591492"/>
    <w:rsid w:val="0059170B"/>
    <w:rsid w:val="005921A4"/>
    <w:rsid w:val="005921AB"/>
    <w:rsid w:val="005922AF"/>
    <w:rsid w:val="00592323"/>
    <w:rsid w:val="00593141"/>
    <w:rsid w:val="00593F15"/>
    <w:rsid w:val="0059411F"/>
    <w:rsid w:val="005945F1"/>
    <w:rsid w:val="005946EB"/>
    <w:rsid w:val="005946FD"/>
    <w:rsid w:val="005951F8"/>
    <w:rsid w:val="0059520B"/>
    <w:rsid w:val="00595993"/>
    <w:rsid w:val="00595B82"/>
    <w:rsid w:val="0059647B"/>
    <w:rsid w:val="005964DE"/>
    <w:rsid w:val="005968A9"/>
    <w:rsid w:val="00596ACE"/>
    <w:rsid w:val="00596F57"/>
    <w:rsid w:val="00596F9F"/>
    <w:rsid w:val="005970A6"/>
    <w:rsid w:val="005977F4"/>
    <w:rsid w:val="005A0BD1"/>
    <w:rsid w:val="005A0C66"/>
    <w:rsid w:val="005A0C9A"/>
    <w:rsid w:val="005A0DE6"/>
    <w:rsid w:val="005A0E53"/>
    <w:rsid w:val="005A11F8"/>
    <w:rsid w:val="005A1742"/>
    <w:rsid w:val="005A1A6A"/>
    <w:rsid w:val="005A2175"/>
    <w:rsid w:val="005A2525"/>
    <w:rsid w:val="005A2528"/>
    <w:rsid w:val="005A3087"/>
    <w:rsid w:val="005A3733"/>
    <w:rsid w:val="005A3BBE"/>
    <w:rsid w:val="005A3E6B"/>
    <w:rsid w:val="005A42F0"/>
    <w:rsid w:val="005A4450"/>
    <w:rsid w:val="005A4488"/>
    <w:rsid w:val="005A459A"/>
    <w:rsid w:val="005A45EB"/>
    <w:rsid w:val="005A46A1"/>
    <w:rsid w:val="005A46F0"/>
    <w:rsid w:val="005A4EE2"/>
    <w:rsid w:val="005A500C"/>
    <w:rsid w:val="005A515E"/>
    <w:rsid w:val="005A59C2"/>
    <w:rsid w:val="005A5A9E"/>
    <w:rsid w:val="005A60D8"/>
    <w:rsid w:val="005A6632"/>
    <w:rsid w:val="005A68E9"/>
    <w:rsid w:val="005A6C38"/>
    <w:rsid w:val="005A6CDE"/>
    <w:rsid w:val="005A7077"/>
    <w:rsid w:val="005A7A4B"/>
    <w:rsid w:val="005A7B73"/>
    <w:rsid w:val="005A7E71"/>
    <w:rsid w:val="005B002E"/>
    <w:rsid w:val="005B01B1"/>
    <w:rsid w:val="005B0389"/>
    <w:rsid w:val="005B03C4"/>
    <w:rsid w:val="005B03F7"/>
    <w:rsid w:val="005B063B"/>
    <w:rsid w:val="005B0698"/>
    <w:rsid w:val="005B0740"/>
    <w:rsid w:val="005B0DCB"/>
    <w:rsid w:val="005B11CD"/>
    <w:rsid w:val="005B140A"/>
    <w:rsid w:val="005B23C3"/>
    <w:rsid w:val="005B28D7"/>
    <w:rsid w:val="005B3101"/>
    <w:rsid w:val="005B3221"/>
    <w:rsid w:val="005B34F4"/>
    <w:rsid w:val="005B3596"/>
    <w:rsid w:val="005B35E7"/>
    <w:rsid w:val="005B373F"/>
    <w:rsid w:val="005B3921"/>
    <w:rsid w:val="005B46A6"/>
    <w:rsid w:val="005B4DFE"/>
    <w:rsid w:val="005B4EC2"/>
    <w:rsid w:val="005B5273"/>
    <w:rsid w:val="005B5A09"/>
    <w:rsid w:val="005B5ED4"/>
    <w:rsid w:val="005B6AC3"/>
    <w:rsid w:val="005B6BDD"/>
    <w:rsid w:val="005B6EE0"/>
    <w:rsid w:val="005B7159"/>
    <w:rsid w:val="005B71E7"/>
    <w:rsid w:val="005B723F"/>
    <w:rsid w:val="005B7A8E"/>
    <w:rsid w:val="005B7CBD"/>
    <w:rsid w:val="005B7ECE"/>
    <w:rsid w:val="005C0712"/>
    <w:rsid w:val="005C0B14"/>
    <w:rsid w:val="005C1A8B"/>
    <w:rsid w:val="005C1AF2"/>
    <w:rsid w:val="005C1B73"/>
    <w:rsid w:val="005C1EB3"/>
    <w:rsid w:val="005C1F67"/>
    <w:rsid w:val="005C2001"/>
    <w:rsid w:val="005C246F"/>
    <w:rsid w:val="005C2642"/>
    <w:rsid w:val="005C2B4B"/>
    <w:rsid w:val="005C3208"/>
    <w:rsid w:val="005C3969"/>
    <w:rsid w:val="005C3EDB"/>
    <w:rsid w:val="005C4225"/>
    <w:rsid w:val="005C43E4"/>
    <w:rsid w:val="005C5133"/>
    <w:rsid w:val="005C537D"/>
    <w:rsid w:val="005C553D"/>
    <w:rsid w:val="005C5600"/>
    <w:rsid w:val="005C594D"/>
    <w:rsid w:val="005C6151"/>
    <w:rsid w:val="005C64D3"/>
    <w:rsid w:val="005C67E1"/>
    <w:rsid w:val="005C683B"/>
    <w:rsid w:val="005C6B9C"/>
    <w:rsid w:val="005C6C96"/>
    <w:rsid w:val="005C6DCA"/>
    <w:rsid w:val="005C73B9"/>
    <w:rsid w:val="005C7466"/>
    <w:rsid w:val="005C7675"/>
    <w:rsid w:val="005D0B1E"/>
    <w:rsid w:val="005D0E4A"/>
    <w:rsid w:val="005D1B68"/>
    <w:rsid w:val="005D2730"/>
    <w:rsid w:val="005D2793"/>
    <w:rsid w:val="005D29F7"/>
    <w:rsid w:val="005D3521"/>
    <w:rsid w:val="005D37D0"/>
    <w:rsid w:val="005D39F8"/>
    <w:rsid w:val="005D3BEB"/>
    <w:rsid w:val="005D6177"/>
    <w:rsid w:val="005D74C4"/>
    <w:rsid w:val="005D757F"/>
    <w:rsid w:val="005D7662"/>
    <w:rsid w:val="005D7A35"/>
    <w:rsid w:val="005D7BC0"/>
    <w:rsid w:val="005D7F21"/>
    <w:rsid w:val="005D7FC7"/>
    <w:rsid w:val="005E0167"/>
    <w:rsid w:val="005E02B0"/>
    <w:rsid w:val="005E0CEA"/>
    <w:rsid w:val="005E1811"/>
    <w:rsid w:val="005E1B16"/>
    <w:rsid w:val="005E1D3C"/>
    <w:rsid w:val="005E284E"/>
    <w:rsid w:val="005E2C4D"/>
    <w:rsid w:val="005E2EA6"/>
    <w:rsid w:val="005E306A"/>
    <w:rsid w:val="005E30AF"/>
    <w:rsid w:val="005E31D8"/>
    <w:rsid w:val="005E32C6"/>
    <w:rsid w:val="005E3AB4"/>
    <w:rsid w:val="005E3C44"/>
    <w:rsid w:val="005E4C06"/>
    <w:rsid w:val="005E5339"/>
    <w:rsid w:val="005E58B7"/>
    <w:rsid w:val="005E5C78"/>
    <w:rsid w:val="005E5CFD"/>
    <w:rsid w:val="005E668C"/>
    <w:rsid w:val="005E67E2"/>
    <w:rsid w:val="005E68AD"/>
    <w:rsid w:val="005E6B49"/>
    <w:rsid w:val="005E6F67"/>
    <w:rsid w:val="005E70C7"/>
    <w:rsid w:val="005E747E"/>
    <w:rsid w:val="005E7712"/>
    <w:rsid w:val="005E79C5"/>
    <w:rsid w:val="005E7E6F"/>
    <w:rsid w:val="005F0016"/>
    <w:rsid w:val="005F02A2"/>
    <w:rsid w:val="005F02D6"/>
    <w:rsid w:val="005F02E0"/>
    <w:rsid w:val="005F050B"/>
    <w:rsid w:val="005F09EE"/>
    <w:rsid w:val="005F0A13"/>
    <w:rsid w:val="005F0EDC"/>
    <w:rsid w:val="005F1645"/>
    <w:rsid w:val="005F1D62"/>
    <w:rsid w:val="005F1D8B"/>
    <w:rsid w:val="005F212F"/>
    <w:rsid w:val="005F23A6"/>
    <w:rsid w:val="005F2459"/>
    <w:rsid w:val="005F2870"/>
    <w:rsid w:val="005F29D5"/>
    <w:rsid w:val="005F2B5F"/>
    <w:rsid w:val="005F2D04"/>
    <w:rsid w:val="005F2E28"/>
    <w:rsid w:val="005F33C3"/>
    <w:rsid w:val="005F3409"/>
    <w:rsid w:val="005F34CF"/>
    <w:rsid w:val="005F37AD"/>
    <w:rsid w:val="005F3AFD"/>
    <w:rsid w:val="005F3CDD"/>
    <w:rsid w:val="005F3D3E"/>
    <w:rsid w:val="005F5227"/>
    <w:rsid w:val="005F5604"/>
    <w:rsid w:val="005F629D"/>
    <w:rsid w:val="005F62D1"/>
    <w:rsid w:val="005F651A"/>
    <w:rsid w:val="005F69B0"/>
    <w:rsid w:val="005F6EFE"/>
    <w:rsid w:val="005F794D"/>
    <w:rsid w:val="005F7E97"/>
    <w:rsid w:val="00600275"/>
    <w:rsid w:val="006007E7"/>
    <w:rsid w:val="006009ED"/>
    <w:rsid w:val="00600B86"/>
    <w:rsid w:val="00600CF0"/>
    <w:rsid w:val="006011BA"/>
    <w:rsid w:val="00601426"/>
    <w:rsid w:val="00601ABE"/>
    <w:rsid w:val="00601FCE"/>
    <w:rsid w:val="00603139"/>
    <w:rsid w:val="0060462F"/>
    <w:rsid w:val="00604C66"/>
    <w:rsid w:val="00604DDF"/>
    <w:rsid w:val="006058CE"/>
    <w:rsid w:val="00605B6B"/>
    <w:rsid w:val="00606640"/>
    <w:rsid w:val="00606847"/>
    <w:rsid w:val="00606D51"/>
    <w:rsid w:val="00606DCC"/>
    <w:rsid w:val="00606F37"/>
    <w:rsid w:val="00606F89"/>
    <w:rsid w:val="00606F92"/>
    <w:rsid w:val="006070EE"/>
    <w:rsid w:val="006074B7"/>
    <w:rsid w:val="00607838"/>
    <w:rsid w:val="00607A6C"/>
    <w:rsid w:val="00607E80"/>
    <w:rsid w:val="006106CB"/>
    <w:rsid w:val="00610E88"/>
    <w:rsid w:val="00611285"/>
    <w:rsid w:val="006115BA"/>
    <w:rsid w:val="006115FF"/>
    <w:rsid w:val="0061166E"/>
    <w:rsid w:val="006117F2"/>
    <w:rsid w:val="006119E2"/>
    <w:rsid w:val="006119FA"/>
    <w:rsid w:val="00611EE7"/>
    <w:rsid w:val="00612191"/>
    <w:rsid w:val="00612242"/>
    <w:rsid w:val="00612520"/>
    <w:rsid w:val="006128E7"/>
    <w:rsid w:val="00612D75"/>
    <w:rsid w:val="00612E93"/>
    <w:rsid w:val="00612EAF"/>
    <w:rsid w:val="00613355"/>
    <w:rsid w:val="006133F8"/>
    <w:rsid w:val="006133FD"/>
    <w:rsid w:val="006139B6"/>
    <w:rsid w:val="00613ED2"/>
    <w:rsid w:val="00613FA8"/>
    <w:rsid w:val="006140AF"/>
    <w:rsid w:val="00614B49"/>
    <w:rsid w:val="00614DC2"/>
    <w:rsid w:val="00614F70"/>
    <w:rsid w:val="0061535E"/>
    <w:rsid w:val="006157E0"/>
    <w:rsid w:val="00615A3F"/>
    <w:rsid w:val="00615B7D"/>
    <w:rsid w:val="00616018"/>
    <w:rsid w:val="0061626D"/>
    <w:rsid w:val="0061654B"/>
    <w:rsid w:val="006168B2"/>
    <w:rsid w:val="00617121"/>
    <w:rsid w:val="00617ABC"/>
    <w:rsid w:val="00617D52"/>
    <w:rsid w:val="006203E9"/>
    <w:rsid w:val="006204E2"/>
    <w:rsid w:val="00620BA1"/>
    <w:rsid w:val="006214E8"/>
    <w:rsid w:val="006216BC"/>
    <w:rsid w:val="006217C6"/>
    <w:rsid w:val="00621DD0"/>
    <w:rsid w:val="00622156"/>
    <w:rsid w:val="00622174"/>
    <w:rsid w:val="0062226D"/>
    <w:rsid w:val="006224D2"/>
    <w:rsid w:val="00622827"/>
    <w:rsid w:val="00622ED4"/>
    <w:rsid w:val="00623137"/>
    <w:rsid w:val="00623268"/>
    <w:rsid w:val="00623634"/>
    <w:rsid w:val="00623635"/>
    <w:rsid w:val="00623EEF"/>
    <w:rsid w:val="00623F98"/>
    <w:rsid w:val="00623FA8"/>
    <w:rsid w:val="00624653"/>
    <w:rsid w:val="006247C5"/>
    <w:rsid w:val="00624B29"/>
    <w:rsid w:val="00624D00"/>
    <w:rsid w:val="00624EAF"/>
    <w:rsid w:val="00624F04"/>
    <w:rsid w:val="006251ED"/>
    <w:rsid w:val="00625581"/>
    <w:rsid w:val="00625779"/>
    <w:rsid w:val="0062602D"/>
    <w:rsid w:val="006262BA"/>
    <w:rsid w:val="00626A2E"/>
    <w:rsid w:val="006271D8"/>
    <w:rsid w:val="00627771"/>
    <w:rsid w:val="006278AA"/>
    <w:rsid w:val="0063006C"/>
    <w:rsid w:val="006303EB"/>
    <w:rsid w:val="0063041D"/>
    <w:rsid w:val="00630435"/>
    <w:rsid w:val="006313DA"/>
    <w:rsid w:val="00631D70"/>
    <w:rsid w:val="00632900"/>
    <w:rsid w:val="00632A19"/>
    <w:rsid w:val="00633527"/>
    <w:rsid w:val="00634426"/>
    <w:rsid w:val="00634751"/>
    <w:rsid w:val="00634C09"/>
    <w:rsid w:val="00634E05"/>
    <w:rsid w:val="00634E1A"/>
    <w:rsid w:val="00634F33"/>
    <w:rsid w:val="00635063"/>
    <w:rsid w:val="006352CB"/>
    <w:rsid w:val="0063568A"/>
    <w:rsid w:val="0063572D"/>
    <w:rsid w:val="00635B68"/>
    <w:rsid w:val="00635E21"/>
    <w:rsid w:val="00635F3D"/>
    <w:rsid w:val="00636C12"/>
    <w:rsid w:val="00636CF3"/>
    <w:rsid w:val="006371A1"/>
    <w:rsid w:val="006372D0"/>
    <w:rsid w:val="006373D0"/>
    <w:rsid w:val="006379F1"/>
    <w:rsid w:val="00637CB3"/>
    <w:rsid w:val="00640217"/>
    <w:rsid w:val="006403C6"/>
    <w:rsid w:val="0064049A"/>
    <w:rsid w:val="006405B8"/>
    <w:rsid w:val="0064182E"/>
    <w:rsid w:val="006422F0"/>
    <w:rsid w:val="006425A2"/>
    <w:rsid w:val="006427D1"/>
    <w:rsid w:val="00642A31"/>
    <w:rsid w:val="00642BDC"/>
    <w:rsid w:val="00642E5A"/>
    <w:rsid w:val="00642F4F"/>
    <w:rsid w:val="006437B2"/>
    <w:rsid w:val="006439CA"/>
    <w:rsid w:val="00643B54"/>
    <w:rsid w:val="00643C4A"/>
    <w:rsid w:val="00643F1E"/>
    <w:rsid w:val="0064452F"/>
    <w:rsid w:val="00644DCF"/>
    <w:rsid w:val="006455C2"/>
    <w:rsid w:val="00645747"/>
    <w:rsid w:val="00645819"/>
    <w:rsid w:val="00645853"/>
    <w:rsid w:val="00645CB7"/>
    <w:rsid w:val="0064641E"/>
    <w:rsid w:val="00646506"/>
    <w:rsid w:val="00646633"/>
    <w:rsid w:val="00646709"/>
    <w:rsid w:val="006467BD"/>
    <w:rsid w:val="00646F2F"/>
    <w:rsid w:val="00647896"/>
    <w:rsid w:val="0065088D"/>
    <w:rsid w:val="006508A5"/>
    <w:rsid w:val="00651F9E"/>
    <w:rsid w:val="006520C1"/>
    <w:rsid w:val="00653BAF"/>
    <w:rsid w:val="006540F9"/>
    <w:rsid w:val="00654371"/>
    <w:rsid w:val="0065446D"/>
    <w:rsid w:val="00654850"/>
    <w:rsid w:val="00654951"/>
    <w:rsid w:val="00654B33"/>
    <w:rsid w:val="00654BBC"/>
    <w:rsid w:val="00654C21"/>
    <w:rsid w:val="00654D0A"/>
    <w:rsid w:val="00654F4A"/>
    <w:rsid w:val="006551D5"/>
    <w:rsid w:val="006554F4"/>
    <w:rsid w:val="00655693"/>
    <w:rsid w:val="006556E0"/>
    <w:rsid w:val="006562B3"/>
    <w:rsid w:val="0065639E"/>
    <w:rsid w:val="00656CB8"/>
    <w:rsid w:val="00656CB9"/>
    <w:rsid w:val="00656CF6"/>
    <w:rsid w:val="006578F4"/>
    <w:rsid w:val="00657A23"/>
    <w:rsid w:val="0066016F"/>
    <w:rsid w:val="00661298"/>
    <w:rsid w:val="0066169E"/>
    <w:rsid w:val="006616DF"/>
    <w:rsid w:val="00661834"/>
    <w:rsid w:val="00661A59"/>
    <w:rsid w:val="00661B6F"/>
    <w:rsid w:val="006621D0"/>
    <w:rsid w:val="00662A91"/>
    <w:rsid w:val="00662B92"/>
    <w:rsid w:val="00662C7E"/>
    <w:rsid w:val="00662D2B"/>
    <w:rsid w:val="00662D69"/>
    <w:rsid w:val="00663366"/>
    <w:rsid w:val="0066352B"/>
    <w:rsid w:val="006635D4"/>
    <w:rsid w:val="00663F3A"/>
    <w:rsid w:val="006640E9"/>
    <w:rsid w:val="006641E4"/>
    <w:rsid w:val="0066441D"/>
    <w:rsid w:val="006646F9"/>
    <w:rsid w:val="006647A4"/>
    <w:rsid w:val="006649E0"/>
    <w:rsid w:val="00664DAF"/>
    <w:rsid w:val="00664DC3"/>
    <w:rsid w:val="00664EC0"/>
    <w:rsid w:val="0066531D"/>
    <w:rsid w:val="006660E4"/>
    <w:rsid w:val="006661E8"/>
    <w:rsid w:val="00666552"/>
    <w:rsid w:val="00666679"/>
    <w:rsid w:val="006668BD"/>
    <w:rsid w:val="006669B0"/>
    <w:rsid w:val="00667081"/>
    <w:rsid w:val="006670DD"/>
    <w:rsid w:val="0066711C"/>
    <w:rsid w:val="0066777D"/>
    <w:rsid w:val="00667C80"/>
    <w:rsid w:val="00667ED4"/>
    <w:rsid w:val="006703C1"/>
    <w:rsid w:val="00670941"/>
    <w:rsid w:val="00670C9B"/>
    <w:rsid w:val="00670D9E"/>
    <w:rsid w:val="0067118B"/>
    <w:rsid w:val="0067196A"/>
    <w:rsid w:val="00671BC2"/>
    <w:rsid w:val="00671F4C"/>
    <w:rsid w:val="0067294B"/>
    <w:rsid w:val="00672AC0"/>
    <w:rsid w:val="00672CD9"/>
    <w:rsid w:val="00672D35"/>
    <w:rsid w:val="00672DC1"/>
    <w:rsid w:val="00672F6D"/>
    <w:rsid w:val="006736B1"/>
    <w:rsid w:val="006737B4"/>
    <w:rsid w:val="006737B9"/>
    <w:rsid w:val="006738B6"/>
    <w:rsid w:val="00673FC8"/>
    <w:rsid w:val="00674CB6"/>
    <w:rsid w:val="00674DEA"/>
    <w:rsid w:val="00674FD1"/>
    <w:rsid w:val="00674FDA"/>
    <w:rsid w:val="006750D4"/>
    <w:rsid w:val="00675627"/>
    <w:rsid w:val="006757E3"/>
    <w:rsid w:val="00675AC5"/>
    <w:rsid w:val="00675ACA"/>
    <w:rsid w:val="00675B33"/>
    <w:rsid w:val="00675BE3"/>
    <w:rsid w:val="00675D23"/>
    <w:rsid w:val="006761C2"/>
    <w:rsid w:val="0067669F"/>
    <w:rsid w:val="00676BA7"/>
    <w:rsid w:val="006771AF"/>
    <w:rsid w:val="00677526"/>
    <w:rsid w:val="0067787B"/>
    <w:rsid w:val="00677BA0"/>
    <w:rsid w:val="00680185"/>
    <w:rsid w:val="006801BF"/>
    <w:rsid w:val="006802F9"/>
    <w:rsid w:val="00680387"/>
    <w:rsid w:val="00680CB6"/>
    <w:rsid w:val="0068142E"/>
    <w:rsid w:val="00681590"/>
    <w:rsid w:val="00681D4F"/>
    <w:rsid w:val="00682303"/>
    <w:rsid w:val="00682FEC"/>
    <w:rsid w:val="0068313A"/>
    <w:rsid w:val="00683252"/>
    <w:rsid w:val="006834BD"/>
    <w:rsid w:val="00683E06"/>
    <w:rsid w:val="00684442"/>
    <w:rsid w:val="0068485E"/>
    <w:rsid w:val="00684EE6"/>
    <w:rsid w:val="0068502D"/>
    <w:rsid w:val="0068550A"/>
    <w:rsid w:val="00685637"/>
    <w:rsid w:val="006856F1"/>
    <w:rsid w:val="006862AD"/>
    <w:rsid w:val="00686394"/>
    <w:rsid w:val="006864F9"/>
    <w:rsid w:val="00686A76"/>
    <w:rsid w:val="00686BAD"/>
    <w:rsid w:val="00686D07"/>
    <w:rsid w:val="00686DBA"/>
    <w:rsid w:val="0068761D"/>
    <w:rsid w:val="006879E1"/>
    <w:rsid w:val="00687C77"/>
    <w:rsid w:val="00690218"/>
    <w:rsid w:val="0069043F"/>
    <w:rsid w:val="0069056B"/>
    <w:rsid w:val="00690C50"/>
    <w:rsid w:val="00690DCF"/>
    <w:rsid w:val="00691099"/>
    <w:rsid w:val="0069268A"/>
    <w:rsid w:val="00692A5C"/>
    <w:rsid w:val="00692BD2"/>
    <w:rsid w:val="00692F52"/>
    <w:rsid w:val="006932E3"/>
    <w:rsid w:val="0069333C"/>
    <w:rsid w:val="006933CE"/>
    <w:rsid w:val="00693D0E"/>
    <w:rsid w:val="00693FDD"/>
    <w:rsid w:val="00694118"/>
    <w:rsid w:val="0069440C"/>
    <w:rsid w:val="00694F9E"/>
    <w:rsid w:val="0069508D"/>
    <w:rsid w:val="00695117"/>
    <w:rsid w:val="006952F6"/>
    <w:rsid w:val="006966D0"/>
    <w:rsid w:val="00696CE8"/>
    <w:rsid w:val="006972A0"/>
    <w:rsid w:val="006972FA"/>
    <w:rsid w:val="0069743F"/>
    <w:rsid w:val="006977AC"/>
    <w:rsid w:val="0069787D"/>
    <w:rsid w:val="006978B5"/>
    <w:rsid w:val="00697A14"/>
    <w:rsid w:val="006A0207"/>
    <w:rsid w:val="006A0299"/>
    <w:rsid w:val="006A08C8"/>
    <w:rsid w:val="006A0BD4"/>
    <w:rsid w:val="006A0C5D"/>
    <w:rsid w:val="006A0DA3"/>
    <w:rsid w:val="006A10EE"/>
    <w:rsid w:val="006A148E"/>
    <w:rsid w:val="006A149E"/>
    <w:rsid w:val="006A15D9"/>
    <w:rsid w:val="006A1AB8"/>
    <w:rsid w:val="006A1F60"/>
    <w:rsid w:val="006A2216"/>
    <w:rsid w:val="006A29C5"/>
    <w:rsid w:val="006A2AB4"/>
    <w:rsid w:val="006A2C18"/>
    <w:rsid w:val="006A2DCF"/>
    <w:rsid w:val="006A31E4"/>
    <w:rsid w:val="006A32EA"/>
    <w:rsid w:val="006A4174"/>
    <w:rsid w:val="006A43F9"/>
    <w:rsid w:val="006A4E7F"/>
    <w:rsid w:val="006A52A3"/>
    <w:rsid w:val="006A549A"/>
    <w:rsid w:val="006A54D5"/>
    <w:rsid w:val="006A59AB"/>
    <w:rsid w:val="006A5B66"/>
    <w:rsid w:val="006A616F"/>
    <w:rsid w:val="006A68C6"/>
    <w:rsid w:val="006A69D9"/>
    <w:rsid w:val="006A6DA5"/>
    <w:rsid w:val="006A7103"/>
    <w:rsid w:val="006A725A"/>
    <w:rsid w:val="006A7766"/>
    <w:rsid w:val="006A7B1F"/>
    <w:rsid w:val="006A7C5B"/>
    <w:rsid w:val="006B0322"/>
    <w:rsid w:val="006B03CA"/>
    <w:rsid w:val="006B07CD"/>
    <w:rsid w:val="006B1253"/>
    <w:rsid w:val="006B20D1"/>
    <w:rsid w:val="006B2E67"/>
    <w:rsid w:val="006B2EDF"/>
    <w:rsid w:val="006B3F7E"/>
    <w:rsid w:val="006B400C"/>
    <w:rsid w:val="006B43A7"/>
    <w:rsid w:val="006B4F00"/>
    <w:rsid w:val="006B5A2C"/>
    <w:rsid w:val="006B5E67"/>
    <w:rsid w:val="006B60FB"/>
    <w:rsid w:val="006B64F8"/>
    <w:rsid w:val="006B7375"/>
    <w:rsid w:val="006B759B"/>
    <w:rsid w:val="006B77B6"/>
    <w:rsid w:val="006B7CCD"/>
    <w:rsid w:val="006C029B"/>
    <w:rsid w:val="006C03E6"/>
    <w:rsid w:val="006C1479"/>
    <w:rsid w:val="006C17F3"/>
    <w:rsid w:val="006C1862"/>
    <w:rsid w:val="006C1A53"/>
    <w:rsid w:val="006C1AC3"/>
    <w:rsid w:val="006C1AD7"/>
    <w:rsid w:val="006C1E53"/>
    <w:rsid w:val="006C1E85"/>
    <w:rsid w:val="006C1FCF"/>
    <w:rsid w:val="006C2367"/>
    <w:rsid w:val="006C26C1"/>
    <w:rsid w:val="006C29C4"/>
    <w:rsid w:val="006C2A41"/>
    <w:rsid w:val="006C323C"/>
    <w:rsid w:val="006C347C"/>
    <w:rsid w:val="006C34A4"/>
    <w:rsid w:val="006C3869"/>
    <w:rsid w:val="006C3CD5"/>
    <w:rsid w:val="006C4024"/>
    <w:rsid w:val="006C414E"/>
    <w:rsid w:val="006C44B8"/>
    <w:rsid w:val="006C4655"/>
    <w:rsid w:val="006C4856"/>
    <w:rsid w:val="006C488B"/>
    <w:rsid w:val="006C4934"/>
    <w:rsid w:val="006C518E"/>
    <w:rsid w:val="006C563A"/>
    <w:rsid w:val="006C5730"/>
    <w:rsid w:val="006C5AD6"/>
    <w:rsid w:val="006C5FCD"/>
    <w:rsid w:val="006C6A28"/>
    <w:rsid w:val="006C6DFC"/>
    <w:rsid w:val="006C7321"/>
    <w:rsid w:val="006C7D56"/>
    <w:rsid w:val="006D06BB"/>
    <w:rsid w:val="006D1D20"/>
    <w:rsid w:val="006D1DDC"/>
    <w:rsid w:val="006D2434"/>
    <w:rsid w:val="006D2683"/>
    <w:rsid w:val="006D2760"/>
    <w:rsid w:val="006D291B"/>
    <w:rsid w:val="006D2931"/>
    <w:rsid w:val="006D4D98"/>
    <w:rsid w:val="006D577D"/>
    <w:rsid w:val="006D5C20"/>
    <w:rsid w:val="006D5C59"/>
    <w:rsid w:val="006D5E72"/>
    <w:rsid w:val="006D624A"/>
    <w:rsid w:val="006D65D1"/>
    <w:rsid w:val="006D69C3"/>
    <w:rsid w:val="006D6D38"/>
    <w:rsid w:val="006D6D42"/>
    <w:rsid w:val="006D7591"/>
    <w:rsid w:val="006D7E7E"/>
    <w:rsid w:val="006E04AF"/>
    <w:rsid w:val="006E062A"/>
    <w:rsid w:val="006E08AE"/>
    <w:rsid w:val="006E0B65"/>
    <w:rsid w:val="006E0BFE"/>
    <w:rsid w:val="006E121C"/>
    <w:rsid w:val="006E12E4"/>
    <w:rsid w:val="006E1CB7"/>
    <w:rsid w:val="006E1CBA"/>
    <w:rsid w:val="006E22E0"/>
    <w:rsid w:val="006E2397"/>
    <w:rsid w:val="006E250C"/>
    <w:rsid w:val="006E267C"/>
    <w:rsid w:val="006E2799"/>
    <w:rsid w:val="006E282D"/>
    <w:rsid w:val="006E2C72"/>
    <w:rsid w:val="006E2CD8"/>
    <w:rsid w:val="006E2D0F"/>
    <w:rsid w:val="006E2F9E"/>
    <w:rsid w:val="006E3035"/>
    <w:rsid w:val="006E32A6"/>
    <w:rsid w:val="006E382D"/>
    <w:rsid w:val="006E47B0"/>
    <w:rsid w:val="006E4DA5"/>
    <w:rsid w:val="006E5A9E"/>
    <w:rsid w:val="006E60DF"/>
    <w:rsid w:val="006E62D6"/>
    <w:rsid w:val="006E656A"/>
    <w:rsid w:val="006E6AC1"/>
    <w:rsid w:val="006E71D6"/>
    <w:rsid w:val="006E7260"/>
    <w:rsid w:val="006E7364"/>
    <w:rsid w:val="006E74A2"/>
    <w:rsid w:val="006E74BB"/>
    <w:rsid w:val="006E7ADB"/>
    <w:rsid w:val="006E7C33"/>
    <w:rsid w:val="006F05F2"/>
    <w:rsid w:val="006F084D"/>
    <w:rsid w:val="006F0B9D"/>
    <w:rsid w:val="006F130F"/>
    <w:rsid w:val="006F1700"/>
    <w:rsid w:val="006F1973"/>
    <w:rsid w:val="006F1983"/>
    <w:rsid w:val="006F19E2"/>
    <w:rsid w:val="006F1B94"/>
    <w:rsid w:val="006F2056"/>
    <w:rsid w:val="006F221F"/>
    <w:rsid w:val="006F2309"/>
    <w:rsid w:val="006F2A25"/>
    <w:rsid w:val="006F3A3F"/>
    <w:rsid w:val="006F3B08"/>
    <w:rsid w:val="006F3C56"/>
    <w:rsid w:val="006F4088"/>
    <w:rsid w:val="006F5430"/>
    <w:rsid w:val="006F56C7"/>
    <w:rsid w:val="006F6102"/>
    <w:rsid w:val="006F6209"/>
    <w:rsid w:val="006F631C"/>
    <w:rsid w:val="006F6539"/>
    <w:rsid w:val="006F6759"/>
    <w:rsid w:val="006F6BB9"/>
    <w:rsid w:val="006F6D8A"/>
    <w:rsid w:val="006F6FA7"/>
    <w:rsid w:val="006F6FB7"/>
    <w:rsid w:val="006F7262"/>
    <w:rsid w:val="006F74F5"/>
    <w:rsid w:val="006F74FE"/>
    <w:rsid w:val="006F7553"/>
    <w:rsid w:val="006F77F3"/>
    <w:rsid w:val="006F7E40"/>
    <w:rsid w:val="006F7E4B"/>
    <w:rsid w:val="007009EA"/>
    <w:rsid w:val="00700D10"/>
    <w:rsid w:val="00700F5C"/>
    <w:rsid w:val="007012A8"/>
    <w:rsid w:val="007012FA"/>
    <w:rsid w:val="007017F4"/>
    <w:rsid w:val="00701D6A"/>
    <w:rsid w:val="00701DE7"/>
    <w:rsid w:val="0070200D"/>
    <w:rsid w:val="00702241"/>
    <w:rsid w:val="00702619"/>
    <w:rsid w:val="00702C63"/>
    <w:rsid w:val="00702DAC"/>
    <w:rsid w:val="00703236"/>
    <w:rsid w:val="0070323D"/>
    <w:rsid w:val="00703588"/>
    <w:rsid w:val="00704C08"/>
    <w:rsid w:val="0070522B"/>
    <w:rsid w:val="007054F9"/>
    <w:rsid w:val="007055A4"/>
    <w:rsid w:val="0070581B"/>
    <w:rsid w:val="00705EB9"/>
    <w:rsid w:val="007062F4"/>
    <w:rsid w:val="007062F6"/>
    <w:rsid w:val="007064BF"/>
    <w:rsid w:val="00706546"/>
    <w:rsid w:val="007066C1"/>
    <w:rsid w:val="00706728"/>
    <w:rsid w:val="00706C1C"/>
    <w:rsid w:val="0070700E"/>
    <w:rsid w:val="00707928"/>
    <w:rsid w:val="00707A1F"/>
    <w:rsid w:val="00707B3B"/>
    <w:rsid w:val="00707CD1"/>
    <w:rsid w:val="00707DB3"/>
    <w:rsid w:val="00710350"/>
    <w:rsid w:val="007104FE"/>
    <w:rsid w:val="0071066C"/>
    <w:rsid w:val="00710A45"/>
    <w:rsid w:val="007110A1"/>
    <w:rsid w:val="0071124E"/>
    <w:rsid w:val="007116AE"/>
    <w:rsid w:val="00711A60"/>
    <w:rsid w:val="00711A82"/>
    <w:rsid w:val="00711C81"/>
    <w:rsid w:val="00711F13"/>
    <w:rsid w:val="007120C0"/>
    <w:rsid w:val="007121AF"/>
    <w:rsid w:val="007121D4"/>
    <w:rsid w:val="007124CF"/>
    <w:rsid w:val="00712516"/>
    <w:rsid w:val="00713640"/>
    <w:rsid w:val="00713E40"/>
    <w:rsid w:val="00714340"/>
    <w:rsid w:val="00714456"/>
    <w:rsid w:val="00714683"/>
    <w:rsid w:val="00714C5F"/>
    <w:rsid w:val="00715E36"/>
    <w:rsid w:val="007161FF"/>
    <w:rsid w:val="00716396"/>
    <w:rsid w:val="007167EE"/>
    <w:rsid w:val="00716D8A"/>
    <w:rsid w:val="00716E83"/>
    <w:rsid w:val="0071729D"/>
    <w:rsid w:val="007179C5"/>
    <w:rsid w:val="00717DD3"/>
    <w:rsid w:val="00720455"/>
    <w:rsid w:val="007208AF"/>
    <w:rsid w:val="00720F6F"/>
    <w:rsid w:val="00720FE4"/>
    <w:rsid w:val="00721055"/>
    <w:rsid w:val="007217EC"/>
    <w:rsid w:val="007219A3"/>
    <w:rsid w:val="00721DFC"/>
    <w:rsid w:val="00722149"/>
    <w:rsid w:val="00722829"/>
    <w:rsid w:val="00722EAA"/>
    <w:rsid w:val="00723027"/>
    <w:rsid w:val="00723492"/>
    <w:rsid w:val="00724862"/>
    <w:rsid w:val="00724961"/>
    <w:rsid w:val="00725D97"/>
    <w:rsid w:val="00725FFE"/>
    <w:rsid w:val="007260BB"/>
    <w:rsid w:val="00727733"/>
    <w:rsid w:val="0073027B"/>
    <w:rsid w:val="00730DC2"/>
    <w:rsid w:val="00731070"/>
    <w:rsid w:val="007311D2"/>
    <w:rsid w:val="00731678"/>
    <w:rsid w:val="007318B4"/>
    <w:rsid w:val="0073238E"/>
    <w:rsid w:val="007324B0"/>
    <w:rsid w:val="00732AD9"/>
    <w:rsid w:val="007335C1"/>
    <w:rsid w:val="007336FE"/>
    <w:rsid w:val="00733DC7"/>
    <w:rsid w:val="0073401D"/>
    <w:rsid w:val="0073402C"/>
    <w:rsid w:val="007356B5"/>
    <w:rsid w:val="007359DB"/>
    <w:rsid w:val="00735A60"/>
    <w:rsid w:val="00735E01"/>
    <w:rsid w:val="00736706"/>
    <w:rsid w:val="007368E7"/>
    <w:rsid w:val="00736955"/>
    <w:rsid w:val="00736E68"/>
    <w:rsid w:val="007371F7"/>
    <w:rsid w:val="007378AF"/>
    <w:rsid w:val="00737B81"/>
    <w:rsid w:val="00740612"/>
    <w:rsid w:val="00740D7C"/>
    <w:rsid w:val="0074112F"/>
    <w:rsid w:val="00741295"/>
    <w:rsid w:val="00741A49"/>
    <w:rsid w:val="00741E41"/>
    <w:rsid w:val="00742CBB"/>
    <w:rsid w:val="00742E68"/>
    <w:rsid w:val="00742E89"/>
    <w:rsid w:val="00742ECB"/>
    <w:rsid w:val="0074327D"/>
    <w:rsid w:val="007433C0"/>
    <w:rsid w:val="0074396D"/>
    <w:rsid w:val="00743B5E"/>
    <w:rsid w:val="00743F3D"/>
    <w:rsid w:val="00744124"/>
    <w:rsid w:val="007441D4"/>
    <w:rsid w:val="00744380"/>
    <w:rsid w:val="00744657"/>
    <w:rsid w:val="00744A49"/>
    <w:rsid w:val="00744B15"/>
    <w:rsid w:val="00744CFC"/>
    <w:rsid w:val="00745606"/>
    <w:rsid w:val="0074575F"/>
    <w:rsid w:val="00745BD6"/>
    <w:rsid w:val="007465BD"/>
    <w:rsid w:val="00746704"/>
    <w:rsid w:val="00746B4D"/>
    <w:rsid w:val="0074755F"/>
    <w:rsid w:val="007475BB"/>
    <w:rsid w:val="00747606"/>
    <w:rsid w:val="00747911"/>
    <w:rsid w:val="007500BA"/>
    <w:rsid w:val="0075024D"/>
    <w:rsid w:val="00750B34"/>
    <w:rsid w:val="00750DE5"/>
    <w:rsid w:val="00750ECC"/>
    <w:rsid w:val="00751385"/>
    <w:rsid w:val="007514AA"/>
    <w:rsid w:val="007516BC"/>
    <w:rsid w:val="007516E2"/>
    <w:rsid w:val="007517C8"/>
    <w:rsid w:val="00751DFD"/>
    <w:rsid w:val="00751FB8"/>
    <w:rsid w:val="007522E2"/>
    <w:rsid w:val="007524CA"/>
    <w:rsid w:val="0075254A"/>
    <w:rsid w:val="007525DD"/>
    <w:rsid w:val="007525FE"/>
    <w:rsid w:val="00752B2D"/>
    <w:rsid w:val="00753132"/>
    <w:rsid w:val="007538CB"/>
    <w:rsid w:val="007539C3"/>
    <w:rsid w:val="00753B00"/>
    <w:rsid w:val="007540DC"/>
    <w:rsid w:val="007544C1"/>
    <w:rsid w:val="0075490E"/>
    <w:rsid w:val="00754B0B"/>
    <w:rsid w:val="00754F65"/>
    <w:rsid w:val="00755299"/>
    <w:rsid w:val="007559BB"/>
    <w:rsid w:val="00756366"/>
    <w:rsid w:val="007563B1"/>
    <w:rsid w:val="007565FC"/>
    <w:rsid w:val="007569A2"/>
    <w:rsid w:val="00756B50"/>
    <w:rsid w:val="00756C53"/>
    <w:rsid w:val="00756F56"/>
    <w:rsid w:val="00757497"/>
    <w:rsid w:val="0075751B"/>
    <w:rsid w:val="0075780C"/>
    <w:rsid w:val="007579BD"/>
    <w:rsid w:val="00757F86"/>
    <w:rsid w:val="007604FC"/>
    <w:rsid w:val="00761083"/>
    <w:rsid w:val="00761848"/>
    <w:rsid w:val="00761B5B"/>
    <w:rsid w:val="00761C18"/>
    <w:rsid w:val="00761D58"/>
    <w:rsid w:val="00762133"/>
    <w:rsid w:val="00762821"/>
    <w:rsid w:val="00762919"/>
    <w:rsid w:val="0076298A"/>
    <w:rsid w:val="00762AB6"/>
    <w:rsid w:val="00762F16"/>
    <w:rsid w:val="00763150"/>
    <w:rsid w:val="007632B5"/>
    <w:rsid w:val="00763328"/>
    <w:rsid w:val="007636B2"/>
    <w:rsid w:val="00763987"/>
    <w:rsid w:val="00763CF4"/>
    <w:rsid w:val="00763F55"/>
    <w:rsid w:val="00764172"/>
    <w:rsid w:val="00764183"/>
    <w:rsid w:val="0076465B"/>
    <w:rsid w:val="00764FD4"/>
    <w:rsid w:val="0076507F"/>
    <w:rsid w:val="00765A54"/>
    <w:rsid w:val="00765A83"/>
    <w:rsid w:val="0076615B"/>
    <w:rsid w:val="007663FB"/>
    <w:rsid w:val="00766CED"/>
    <w:rsid w:val="00767544"/>
    <w:rsid w:val="007677DE"/>
    <w:rsid w:val="00767D7E"/>
    <w:rsid w:val="007707A8"/>
    <w:rsid w:val="00770BF8"/>
    <w:rsid w:val="00770D03"/>
    <w:rsid w:val="00770F4E"/>
    <w:rsid w:val="0077114F"/>
    <w:rsid w:val="00771241"/>
    <w:rsid w:val="0077184E"/>
    <w:rsid w:val="00771D7E"/>
    <w:rsid w:val="00772042"/>
    <w:rsid w:val="0077208E"/>
    <w:rsid w:val="00772834"/>
    <w:rsid w:val="007729D5"/>
    <w:rsid w:val="00772D4E"/>
    <w:rsid w:val="00773366"/>
    <w:rsid w:val="00773830"/>
    <w:rsid w:val="00773B92"/>
    <w:rsid w:val="00773C7E"/>
    <w:rsid w:val="00774191"/>
    <w:rsid w:val="00774784"/>
    <w:rsid w:val="00775362"/>
    <w:rsid w:val="00775F81"/>
    <w:rsid w:val="0077631C"/>
    <w:rsid w:val="00776824"/>
    <w:rsid w:val="00777208"/>
    <w:rsid w:val="007775AA"/>
    <w:rsid w:val="0077786F"/>
    <w:rsid w:val="00777920"/>
    <w:rsid w:val="00777DBB"/>
    <w:rsid w:val="007804D1"/>
    <w:rsid w:val="007807AF"/>
    <w:rsid w:val="00780FAD"/>
    <w:rsid w:val="007811EF"/>
    <w:rsid w:val="00781A6D"/>
    <w:rsid w:val="00781ADE"/>
    <w:rsid w:val="007820E7"/>
    <w:rsid w:val="007828E8"/>
    <w:rsid w:val="00782C66"/>
    <w:rsid w:val="007832B2"/>
    <w:rsid w:val="00783422"/>
    <w:rsid w:val="00783515"/>
    <w:rsid w:val="007836EE"/>
    <w:rsid w:val="007840D8"/>
    <w:rsid w:val="00784312"/>
    <w:rsid w:val="0078476C"/>
    <w:rsid w:val="0078494D"/>
    <w:rsid w:val="007849D6"/>
    <w:rsid w:val="00784B3B"/>
    <w:rsid w:val="00784FA6"/>
    <w:rsid w:val="007850DF"/>
    <w:rsid w:val="00785426"/>
    <w:rsid w:val="007855AA"/>
    <w:rsid w:val="0078578E"/>
    <w:rsid w:val="00785831"/>
    <w:rsid w:val="00785895"/>
    <w:rsid w:val="007858BD"/>
    <w:rsid w:val="00785C33"/>
    <w:rsid w:val="0078605E"/>
    <w:rsid w:val="007863CE"/>
    <w:rsid w:val="007863F2"/>
    <w:rsid w:val="0078702F"/>
    <w:rsid w:val="00787233"/>
    <w:rsid w:val="0079029A"/>
    <w:rsid w:val="007904F4"/>
    <w:rsid w:val="00790669"/>
    <w:rsid w:val="00790A12"/>
    <w:rsid w:val="00790BEE"/>
    <w:rsid w:val="00790EAB"/>
    <w:rsid w:val="007914FE"/>
    <w:rsid w:val="00791517"/>
    <w:rsid w:val="00791615"/>
    <w:rsid w:val="00791FE3"/>
    <w:rsid w:val="007922D9"/>
    <w:rsid w:val="0079238F"/>
    <w:rsid w:val="007925B5"/>
    <w:rsid w:val="0079268A"/>
    <w:rsid w:val="007928E1"/>
    <w:rsid w:val="00792ED8"/>
    <w:rsid w:val="00793033"/>
    <w:rsid w:val="0079312C"/>
    <w:rsid w:val="0079331D"/>
    <w:rsid w:val="00793891"/>
    <w:rsid w:val="00793BFB"/>
    <w:rsid w:val="00794058"/>
    <w:rsid w:val="00794264"/>
    <w:rsid w:val="00794613"/>
    <w:rsid w:val="00794DB3"/>
    <w:rsid w:val="00794F91"/>
    <w:rsid w:val="007957D6"/>
    <w:rsid w:val="00795833"/>
    <w:rsid w:val="00795A8A"/>
    <w:rsid w:val="00795B11"/>
    <w:rsid w:val="00796227"/>
    <w:rsid w:val="007963ED"/>
    <w:rsid w:val="0079645F"/>
    <w:rsid w:val="00796D6C"/>
    <w:rsid w:val="0079702B"/>
    <w:rsid w:val="007971FF"/>
    <w:rsid w:val="0079760F"/>
    <w:rsid w:val="00797A04"/>
    <w:rsid w:val="007A02C5"/>
    <w:rsid w:val="007A0829"/>
    <w:rsid w:val="007A08FD"/>
    <w:rsid w:val="007A0977"/>
    <w:rsid w:val="007A0CFA"/>
    <w:rsid w:val="007A1FFD"/>
    <w:rsid w:val="007A2EF8"/>
    <w:rsid w:val="007A31EE"/>
    <w:rsid w:val="007A32ED"/>
    <w:rsid w:val="007A3AD8"/>
    <w:rsid w:val="007A3CB2"/>
    <w:rsid w:val="007A3E6F"/>
    <w:rsid w:val="007A3F5B"/>
    <w:rsid w:val="007A42B1"/>
    <w:rsid w:val="007A4654"/>
    <w:rsid w:val="007A49BB"/>
    <w:rsid w:val="007A4D29"/>
    <w:rsid w:val="007A513F"/>
    <w:rsid w:val="007A59AC"/>
    <w:rsid w:val="007A6168"/>
    <w:rsid w:val="007A6353"/>
    <w:rsid w:val="007A652E"/>
    <w:rsid w:val="007A65CF"/>
    <w:rsid w:val="007A668C"/>
    <w:rsid w:val="007A6AF3"/>
    <w:rsid w:val="007A6B8A"/>
    <w:rsid w:val="007A7715"/>
    <w:rsid w:val="007A7911"/>
    <w:rsid w:val="007B002F"/>
    <w:rsid w:val="007B0E31"/>
    <w:rsid w:val="007B10AC"/>
    <w:rsid w:val="007B14BA"/>
    <w:rsid w:val="007B180A"/>
    <w:rsid w:val="007B2027"/>
    <w:rsid w:val="007B27C5"/>
    <w:rsid w:val="007B31AF"/>
    <w:rsid w:val="007B332C"/>
    <w:rsid w:val="007B3AD7"/>
    <w:rsid w:val="007B3E96"/>
    <w:rsid w:val="007B3F2B"/>
    <w:rsid w:val="007B4B5B"/>
    <w:rsid w:val="007B55B0"/>
    <w:rsid w:val="007B57D6"/>
    <w:rsid w:val="007B58BD"/>
    <w:rsid w:val="007B5D7D"/>
    <w:rsid w:val="007B5FEC"/>
    <w:rsid w:val="007B666F"/>
    <w:rsid w:val="007B66B9"/>
    <w:rsid w:val="007B6846"/>
    <w:rsid w:val="007B6EE8"/>
    <w:rsid w:val="007B73F7"/>
    <w:rsid w:val="007B7527"/>
    <w:rsid w:val="007B782D"/>
    <w:rsid w:val="007B7C9E"/>
    <w:rsid w:val="007C03F6"/>
    <w:rsid w:val="007C08F5"/>
    <w:rsid w:val="007C0D4E"/>
    <w:rsid w:val="007C0EF9"/>
    <w:rsid w:val="007C15E0"/>
    <w:rsid w:val="007C2238"/>
    <w:rsid w:val="007C225F"/>
    <w:rsid w:val="007C273A"/>
    <w:rsid w:val="007C2AF1"/>
    <w:rsid w:val="007C3459"/>
    <w:rsid w:val="007C3F6E"/>
    <w:rsid w:val="007C3FA4"/>
    <w:rsid w:val="007C4153"/>
    <w:rsid w:val="007C50DC"/>
    <w:rsid w:val="007C5421"/>
    <w:rsid w:val="007C567B"/>
    <w:rsid w:val="007C57A5"/>
    <w:rsid w:val="007C58CF"/>
    <w:rsid w:val="007C6691"/>
    <w:rsid w:val="007C672F"/>
    <w:rsid w:val="007C6821"/>
    <w:rsid w:val="007C692F"/>
    <w:rsid w:val="007C704F"/>
    <w:rsid w:val="007C734E"/>
    <w:rsid w:val="007C7B8B"/>
    <w:rsid w:val="007D02BE"/>
    <w:rsid w:val="007D087A"/>
    <w:rsid w:val="007D162B"/>
    <w:rsid w:val="007D1736"/>
    <w:rsid w:val="007D18A2"/>
    <w:rsid w:val="007D1A63"/>
    <w:rsid w:val="007D2489"/>
    <w:rsid w:val="007D27EB"/>
    <w:rsid w:val="007D2A4E"/>
    <w:rsid w:val="007D2B85"/>
    <w:rsid w:val="007D2C14"/>
    <w:rsid w:val="007D30AE"/>
    <w:rsid w:val="007D3236"/>
    <w:rsid w:val="007D3462"/>
    <w:rsid w:val="007D406F"/>
    <w:rsid w:val="007D4070"/>
    <w:rsid w:val="007D4363"/>
    <w:rsid w:val="007D47F2"/>
    <w:rsid w:val="007D48AF"/>
    <w:rsid w:val="007D5929"/>
    <w:rsid w:val="007D6A10"/>
    <w:rsid w:val="007D6D28"/>
    <w:rsid w:val="007D7016"/>
    <w:rsid w:val="007D7104"/>
    <w:rsid w:val="007D76AC"/>
    <w:rsid w:val="007D79EE"/>
    <w:rsid w:val="007D7B58"/>
    <w:rsid w:val="007D7F37"/>
    <w:rsid w:val="007E036A"/>
    <w:rsid w:val="007E0737"/>
    <w:rsid w:val="007E0909"/>
    <w:rsid w:val="007E09D8"/>
    <w:rsid w:val="007E0D7B"/>
    <w:rsid w:val="007E0E29"/>
    <w:rsid w:val="007E1198"/>
    <w:rsid w:val="007E1AA3"/>
    <w:rsid w:val="007E1E70"/>
    <w:rsid w:val="007E20D4"/>
    <w:rsid w:val="007E24D4"/>
    <w:rsid w:val="007E26CE"/>
    <w:rsid w:val="007E281D"/>
    <w:rsid w:val="007E2B37"/>
    <w:rsid w:val="007E3C9F"/>
    <w:rsid w:val="007E3EBD"/>
    <w:rsid w:val="007E4848"/>
    <w:rsid w:val="007E4913"/>
    <w:rsid w:val="007E4C85"/>
    <w:rsid w:val="007E5964"/>
    <w:rsid w:val="007E5BC4"/>
    <w:rsid w:val="007E5DD8"/>
    <w:rsid w:val="007E6422"/>
    <w:rsid w:val="007E6A49"/>
    <w:rsid w:val="007E6BC3"/>
    <w:rsid w:val="007E71C7"/>
    <w:rsid w:val="007E727D"/>
    <w:rsid w:val="007E757C"/>
    <w:rsid w:val="007E7AFC"/>
    <w:rsid w:val="007E7D12"/>
    <w:rsid w:val="007F00E8"/>
    <w:rsid w:val="007F0F5D"/>
    <w:rsid w:val="007F13BD"/>
    <w:rsid w:val="007F16AC"/>
    <w:rsid w:val="007F19D9"/>
    <w:rsid w:val="007F1D68"/>
    <w:rsid w:val="007F1DCC"/>
    <w:rsid w:val="007F24C9"/>
    <w:rsid w:val="007F2C2C"/>
    <w:rsid w:val="007F2C2D"/>
    <w:rsid w:val="007F3033"/>
    <w:rsid w:val="007F3405"/>
    <w:rsid w:val="007F37A3"/>
    <w:rsid w:val="007F3912"/>
    <w:rsid w:val="007F3AC8"/>
    <w:rsid w:val="007F3B2A"/>
    <w:rsid w:val="007F3B45"/>
    <w:rsid w:val="007F3BE2"/>
    <w:rsid w:val="007F3D0E"/>
    <w:rsid w:val="007F4082"/>
    <w:rsid w:val="007F4488"/>
    <w:rsid w:val="007F4940"/>
    <w:rsid w:val="007F49EF"/>
    <w:rsid w:val="007F4A4A"/>
    <w:rsid w:val="007F4AAE"/>
    <w:rsid w:val="007F4E79"/>
    <w:rsid w:val="007F4F30"/>
    <w:rsid w:val="007F56ED"/>
    <w:rsid w:val="007F5797"/>
    <w:rsid w:val="007F580F"/>
    <w:rsid w:val="007F588C"/>
    <w:rsid w:val="007F5AAB"/>
    <w:rsid w:val="007F6535"/>
    <w:rsid w:val="007F6802"/>
    <w:rsid w:val="007F721D"/>
    <w:rsid w:val="007F743C"/>
    <w:rsid w:val="007F793F"/>
    <w:rsid w:val="00801A5C"/>
    <w:rsid w:val="00801F97"/>
    <w:rsid w:val="00801F9C"/>
    <w:rsid w:val="0080285B"/>
    <w:rsid w:val="008029C7"/>
    <w:rsid w:val="00802C96"/>
    <w:rsid w:val="0080307D"/>
    <w:rsid w:val="00803881"/>
    <w:rsid w:val="008039B9"/>
    <w:rsid w:val="00803E17"/>
    <w:rsid w:val="008042A1"/>
    <w:rsid w:val="008052B5"/>
    <w:rsid w:val="0080534F"/>
    <w:rsid w:val="0080542E"/>
    <w:rsid w:val="00805B11"/>
    <w:rsid w:val="00805D33"/>
    <w:rsid w:val="00805E31"/>
    <w:rsid w:val="00806063"/>
    <w:rsid w:val="00807403"/>
    <w:rsid w:val="00807986"/>
    <w:rsid w:val="00807B91"/>
    <w:rsid w:val="00807BB2"/>
    <w:rsid w:val="008106F0"/>
    <w:rsid w:val="00810814"/>
    <w:rsid w:val="00810923"/>
    <w:rsid w:val="00811669"/>
    <w:rsid w:val="00811779"/>
    <w:rsid w:val="00811986"/>
    <w:rsid w:val="00811B93"/>
    <w:rsid w:val="008121D8"/>
    <w:rsid w:val="00812614"/>
    <w:rsid w:val="00812732"/>
    <w:rsid w:val="008127DF"/>
    <w:rsid w:val="00812F5B"/>
    <w:rsid w:val="00813579"/>
    <w:rsid w:val="00813581"/>
    <w:rsid w:val="008139D5"/>
    <w:rsid w:val="00813A0E"/>
    <w:rsid w:val="00813B5C"/>
    <w:rsid w:val="00813E20"/>
    <w:rsid w:val="00813E90"/>
    <w:rsid w:val="00814B74"/>
    <w:rsid w:val="00814F2E"/>
    <w:rsid w:val="0081531C"/>
    <w:rsid w:val="008153F3"/>
    <w:rsid w:val="0081541B"/>
    <w:rsid w:val="008157DD"/>
    <w:rsid w:val="00815943"/>
    <w:rsid w:val="00815BFE"/>
    <w:rsid w:val="0081630F"/>
    <w:rsid w:val="008165BE"/>
    <w:rsid w:val="00816852"/>
    <w:rsid w:val="008168B5"/>
    <w:rsid w:val="008173DA"/>
    <w:rsid w:val="0081779B"/>
    <w:rsid w:val="00817E55"/>
    <w:rsid w:val="00817EE2"/>
    <w:rsid w:val="00820162"/>
    <w:rsid w:val="00820F64"/>
    <w:rsid w:val="00821EAD"/>
    <w:rsid w:val="00821F21"/>
    <w:rsid w:val="008223F2"/>
    <w:rsid w:val="00822A84"/>
    <w:rsid w:val="00822ACC"/>
    <w:rsid w:val="00822B07"/>
    <w:rsid w:val="00823622"/>
    <w:rsid w:val="008237A4"/>
    <w:rsid w:val="008237E6"/>
    <w:rsid w:val="00823F87"/>
    <w:rsid w:val="0082529C"/>
    <w:rsid w:val="0082583F"/>
    <w:rsid w:val="00825A18"/>
    <w:rsid w:val="00825EE1"/>
    <w:rsid w:val="008265BC"/>
    <w:rsid w:val="008272C2"/>
    <w:rsid w:val="00827689"/>
    <w:rsid w:val="00827844"/>
    <w:rsid w:val="00827B1D"/>
    <w:rsid w:val="00827B21"/>
    <w:rsid w:val="00830135"/>
    <w:rsid w:val="0083034A"/>
    <w:rsid w:val="008303D6"/>
    <w:rsid w:val="00830AC8"/>
    <w:rsid w:val="00831262"/>
    <w:rsid w:val="008312C6"/>
    <w:rsid w:val="008313C4"/>
    <w:rsid w:val="0083168A"/>
    <w:rsid w:val="00831933"/>
    <w:rsid w:val="00831FD5"/>
    <w:rsid w:val="00832391"/>
    <w:rsid w:val="0083256F"/>
    <w:rsid w:val="0083265D"/>
    <w:rsid w:val="0083269B"/>
    <w:rsid w:val="008329C3"/>
    <w:rsid w:val="00832EB3"/>
    <w:rsid w:val="0083320F"/>
    <w:rsid w:val="008334C6"/>
    <w:rsid w:val="00833806"/>
    <w:rsid w:val="00834217"/>
    <w:rsid w:val="00834432"/>
    <w:rsid w:val="00834A8F"/>
    <w:rsid w:val="00834A95"/>
    <w:rsid w:val="00834C47"/>
    <w:rsid w:val="00835056"/>
    <w:rsid w:val="0083506C"/>
    <w:rsid w:val="0083531F"/>
    <w:rsid w:val="00835440"/>
    <w:rsid w:val="0083588F"/>
    <w:rsid w:val="00835A39"/>
    <w:rsid w:val="00835B52"/>
    <w:rsid w:val="00835F35"/>
    <w:rsid w:val="008360FF"/>
    <w:rsid w:val="0083613D"/>
    <w:rsid w:val="008366CA"/>
    <w:rsid w:val="00837045"/>
    <w:rsid w:val="00837315"/>
    <w:rsid w:val="008376FC"/>
    <w:rsid w:val="00837950"/>
    <w:rsid w:val="0084045D"/>
    <w:rsid w:val="008404C3"/>
    <w:rsid w:val="008413C9"/>
    <w:rsid w:val="0084226F"/>
    <w:rsid w:val="00842309"/>
    <w:rsid w:val="00842587"/>
    <w:rsid w:val="0084289A"/>
    <w:rsid w:val="00842A2B"/>
    <w:rsid w:val="00842CD4"/>
    <w:rsid w:val="00843036"/>
    <w:rsid w:val="0084303C"/>
    <w:rsid w:val="0084304B"/>
    <w:rsid w:val="00843208"/>
    <w:rsid w:val="0084338E"/>
    <w:rsid w:val="0084396C"/>
    <w:rsid w:val="00843D87"/>
    <w:rsid w:val="00843DF6"/>
    <w:rsid w:val="00844111"/>
    <w:rsid w:val="00844248"/>
    <w:rsid w:val="00844302"/>
    <w:rsid w:val="00844714"/>
    <w:rsid w:val="00844961"/>
    <w:rsid w:val="00844B0F"/>
    <w:rsid w:val="00844F5A"/>
    <w:rsid w:val="0084548F"/>
    <w:rsid w:val="008456D8"/>
    <w:rsid w:val="008465BF"/>
    <w:rsid w:val="008469FA"/>
    <w:rsid w:val="00846C77"/>
    <w:rsid w:val="00846E66"/>
    <w:rsid w:val="00847478"/>
    <w:rsid w:val="0084783C"/>
    <w:rsid w:val="00847C3D"/>
    <w:rsid w:val="00850508"/>
    <w:rsid w:val="00851413"/>
    <w:rsid w:val="008519D1"/>
    <w:rsid w:val="00851E77"/>
    <w:rsid w:val="00852DFD"/>
    <w:rsid w:val="0085341C"/>
    <w:rsid w:val="008536FB"/>
    <w:rsid w:val="00853BE1"/>
    <w:rsid w:val="00853E8D"/>
    <w:rsid w:val="0085400C"/>
    <w:rsid w:val="00855286"/>
    <w:rsid w:val="008554BC"/>
    <w:rsid w:val="0085579A"/>
    <w:rsid w:val="008559BB"/>
    <w:rsid w:val="00856309"/>
    <w:rsid w:val="008569FE"/>
    <w:rsid w:val="00856B22"/>
    <w:rsid w:val="00856DEE"/>
    <w:rsid w:val="00856E08"/>
    <w:rsid w:val="008571FF"/>
    <w:rsid w:val="00857AB5"/>
    <w:rsid w:val="00857ED2"/>
    <w:rsid w:val="0086004B"/>
    <w:rsid w:val="00860782"/>
    <w:rsid w:val="00860D3F"/>
    <w:rsid w:val="00860ED3"/>
    <w:rsid w:val="0086100A"/>
    <w:rsid w:val="00861328"/>
    <w:rsid w:val="00861878"/>
    <w:rsid w:val="008619FB"/>
    <w:rsid w:val="00861C51"/>
    <w:rsid w:val="00861F29"/>
    <w:rsid w:val="0086203A"/>
    <w:rsid w:val="00862765"/>
    <w:rsid w:val="00862C29"/>
    <w:rsid w:val="00862CDB"/>
    <w:rsid w:val="008630F4"/>
    <w:rsid w:val="008631C1"/>
    <w:rsid w:val="008635E8"/>
    <w:rsid w:val="008637B5"/>
    <w:rsid w:val="00863876"/>
    <w:rsid w:val="00863888"/>
    <w:rsid w:val="00863C65"/>
    <w:rsid w:val="00863CF9"/>
    <w:rsid w:val="00864B83"/>
    <w:rsid w:val="00864F71"/>
    <w:rsid w:val="00865081"/>
    <w:rsid w:val="00865593"/>
    <w:rsid w:val="0086581A"/>
    <w:rsid w:val="00865A4D"/>
    <w:rsid w:val="00865A50"/>
    <w:rsid w:val="008668DE"/>
    <w:rsid w:val="00866B17"/>
    <w:rsid w:val="00866D4F"/>
    <w:rsid w:val="00866DA3"/>
    <w:rsid w:val="00867985"/>
    <w:rsid w:val="0086799E"/>
    <w:rsid w:val="00867C89"/>
    <w:rsid w:val="00870046"/>
    <w:rsid w:val="0087040D"/>
    <w:rsid w:val="008705C8"/>
    <w:rsid w:val="00870D0B"/>
    <w:rsid w:val="00871124"/>
    <w:rsid w:val="008717D7"/>
    <w:rsid w:val="00871900"/>
    <w:rsid w:val="00872001"/>
    <w:rsid w:val="00872945"/>
    <w:rsid w:val="00873104"/>
    <w:rsid w:val="0087342F"/>
    <w:rsid w:val="00873F08"/>
    <w:rsid w:val="00874E58"/>
    <w:rsid w:val="008755CF"/>
    <w:rsid w:val="0087587A"/>
    <w:rsid w:val="00876192"/>
    <w:rsid w:val="008761F1"/>
    <w:rsid w:val="008763AD"/>
    <w:rsid w:val="008765B1"/>
    <w:rsid w:val="008765D1"/>
    <w:rsid w:val="00876835"/>
    <w:rsid w:val="00876B1E"/>
    <w:rsid w:val="00876EA4"/>
    <w:rsid w:val="0087728C"/>
    <w:rsid w:val="00877A40"/>
    <w:rsid w:val="00877B55"/>
    <w:rsid w:val="00877C76"/>
    <w:rsid w:val="00880202"/>
    <w:rsid w:val="0088027B"/>
    <w:rsid w:val="008806EC"/>
    <w:rsid w:val="008806EE"/>
    <w:rsid w:val="00880A79"/>
    <w:rsid w:val="00880DAB"/>
    <w:rsid w:val="00880E84"/>
    <w:rsid w:val="00880FE1"/>
    <w:rsid w:val="00881F7D"/>
    <w:rsid w:val="00881FF6"/>
    <w:rsid w:val="0088266D"/>
    <w:rsid w:val="0088286D"/>
    <w:rsid w:val="00883477"/>
    <w:rsid w:val="00883570"/>
    <w:rsid w:val="008836F4"/>
    <w:rsid w:val="0088456B"/>
    <w:rsid w:val="0088470D"/>
    <w:rsid w:val="00884BB7"/>
    <w:rsid w:val="0088524B"/>
    <w:rsid w:val="00885CD3"/>
    <w:rsid w:val="00885F32"/>
    <w:rsid w:val="00885F49"/>
    <w:rsid w:val="008864E8"/>
    <w:rsid w:val="00886704"/>
    <w:rsid w:val="00886A61"/>
    <w:rsid w:val="00886B77"/>
    <w:rsid w:val="00886CE6"/>
    <w:rsid w:val="0088756C"/>
    <w:rsid w:val="00887EBA"/>
    <w:rsid w:val="00887F56"/>
    <w:rsid w:val="00887F59"/>
    <w:rsid w:val="00890F35"/>
    <w:rsid w:val="0089102E"/>
    <w:rsid w:val="008915E1"/>
    <w:rsid w:val="00891826"/>
    <w:rsid w:val="00891954"/>
    <w:rsid w:val="00891968"/>
    <w:rsid w:val="00891A29"/>
    <w:rsid w:val="0089204E"/>
    <w:rsid w:val="00892242"/>
    <w:rsid w:val="00892932"/>
    <w:rsid w:val="00892BAA"/>
    <w:rsid w:val="00892D73"/>
    <w:rsid w:val="00892F23"/>
    <w:rsid w:val="00893466"/>
    <w:rsid w:val="00893B83"/>
    <w:rsid w:val="00893CC2"/>
    <w:rsid w:val="00893CDA"/>
    <w:rsid w:val="008943B0"/>
    <w:rsid w:val="00894CA7"/>
    <w:rsid w:val="00894E27"/>
    <w:rsid w:val="00895002"/>
    <w:rsid w:val="00895457"/>
    <w:rsid w:val="00895736"/>
    <w:rsid w:val="00895F1C"/>
    <w:rsid w:val="0089639E"/>
    <w:rsid w:val="00896FB4"/>
    <w:rsid w:val="008970F3"/>
    <w:rsid w:val="00897617"/>
    <w:rsid w:val="008976F9"/>
    <w:rsid w:val="00897A2C"/>
    <w:rsid w:val="008A04DC"/>
    <w:rsid w:val="008A0E63"/>
    <w:rsid w:val="008A0EEE"/>
    <w:rsid w:val="008A123A"/>
    <w:rsid w:val="008A19B7"/>
    <w:rsid w:val="008A1A7A"/>
    <w:rsid w:val="008A23E3"/>
    <w:rsid w:val="008A2413"/>
    <w:rsid w:val="008A2659"/>
    <w:rsid w:val="008A2B11"/>
    <w:rsid w:val="008A326A"/>
    <w:rsid w:val="008A3A3C"/>
    <w:rsid w:val="008A3DBE"/>
    <w:rsid w:val="008A432E"/>
    <w:rsid w:val="008A45DE"/>
    <w:rsid w:val="008A474F"/>
    <w:rsid w:val="008A478B"/>
    <w:rsid w:val="008A4C9B"/>
    <w:rsid w:val="008A4DA5"/>
    <w:rsid w:val="008A52EE"/>
    <w:rsid w:val="008A52FF"/>
    <w:rsid w:val="008A560E"/>
    <w:rsid w:val="008A67DA"/>
    <w:rsid w:val="008A688E"/>
    <w:rsid w:val="008A6909"/>
    <w:rsid w:val="008A6B9E"/>
    <w:rsid w:val="008A6BDE"/>
    <w:rsid w:val="008A6D31"/>
    <w:rsid w:val="008A794D"/>
    <w:rsid w:val="008A7B64"/>
    <w:rsid w:val="008A7BFA"/>
    <w:rsid w:val="008A7EAE"/>
    <w:rsid w:val="008B0199"/>
    <w:rsid w:val="008B02C6"/>
    <w:rsid w:val="008B03BE"/>
    <w:rsid w:val="008B0F3C"/>
    <w:rsid w:val="008B0F69"/>
    <w:rsid w:val="008B159D"/>
    <w:rsid w:val="008B1EB9"/>
    <w:rsid w:val="008B2AC9"/>
    <w:rsid w:val="008B2D7F"/>
    <w:rsid w:val="008B2E4D"/>
    <w:rsid w:val="008B3313"/>
    <w:rsid w:val="008B3768"/>
    <w:rsid w:val="008B3C9C"/>
    <w:rsid w:val="008B3D4B"/>
    <w:rsid w:val="008B3DD7"/>
    <w:rsid w:val="008B4017"/>
    <w:rsid w:val="008B4572"/>
    <w:rsid w:val="008B4681"/>
    <w:rsid w:val="008B4692"/>
    <w:rsid w:val="008B4A1E"/>
    <w:rsid w:val="008B4A22"/>
    <w:rsid w:val="008B4EE1"/>
    <w:rsid w:val="008B5759"/>
    <w:rsid w:val="008B5BC1"/>
    <w:rsid w:val="008B60AF"/>
    <w:rsid w:val="008B61F9"/>
    <w:rsid w:val="008B6CF2"/>
    <w:rsid w:val="008B6EB8"/>
    <w:rsid w:val="008B70D9"/>
    <w:rsid w:val="008B758B"/>
    <w:rsid w:val="008B7776"/>
    <w:rsid w:val="008B7C1F"/>
    <w:rsid w:val="008B7DC9"/>
    <w:rsid w:val="008B7E2F"/>
    <w:rsid w:val="008B7F29"/>
    <w:rsid w:val="008B7F9A"/>
    <w:rsid w:val="008C01A7"/>
    <w:rsid w:val="008C0A61"/>
    <w:rsid w:val="008C1355"/>
    <w:rsid w:val="008C1382"/>
    <w:rsid w:val="008C14E8"/>
    <w:rsid w:val="008C1694"/>
    <w:rsid w:val="008C173E"/>
    <w:rsid w:val="008C1D7A"/>
    <w:rsid w:val="008C20E7"/>
    <w:rsid w:val="008C21C5"/>
    <w:rsid w:val="008C224B"/>
    <w:rsid w:val="008C2404"/>
    <w:rsid w:val="008C266C"/>
    <w:rsid w:val="008C2893"/>
    <w:rsid w:val="008C29F7"/>
    <w:rsid w:val="008C2B14"/>
    <w:rsid w:val="008C2F9A"/>
    <w:rsid w:val="008C3284"/>
    <w:rsid w:val="008C36EF"/>
    <w:rsid w:val="008C3B4F"/>
    <w:rsid w:val="008C4026"/>
    <w:rsid w:val="008C4317"/>
    <w:rsid w:val="008C4799"/>
    <w:rsid w:val="008C47AF"/>
    <w:rsid w:val="008C4A7F"/>
    <w:rsid w:val="008C4BAF"/>
    <w:rsid w:val="008C4CDD"/>
    <w:rsid w:val="008C59CB"/>
    <w:rsid w:val="008C5B75"/>
    <w:rsid w:val="008C645B"/>
    <w:rsid w:val="008C658A"/>
    <w:rsid w:val="008C67F6"/>
    <w:rsid w:val="008C74A6"/>
    <w:rsid w:val="008C75ED"/>
    <w:rsid w:val="008C7857"/>
    <w:rsid w:val="008C79DA"/>
    <w:rsid w:val="008C7A7D"/>
    <w:rsid w:val="008C7EE8"/>
    <w:rsid w:val="008D03D3"/>
    <w:rsid w:val="008D066A"/>
    <w:rsid w:val="008D06AE"/>
    <w:rsid w:val="008D08EB"/>
    <w:rsid w:val="008D0A53"/>
    <w:rsid w:val="008D148B"/>
    <w:rsid w:val="008D15D5"/>
    <w:rsid w:val="008D1742"/>
    <w:rsid w:val="008D18B5"/>
    <w:rsid w:val="008D198A"/>
    <w:rsid w:val="008D1C31"/>
    <w:rsid w:val="008D2D53"/>
    <w:rsid w:val="008D33BF"/>
    <w:rsid w:val="008D3BE7"/>
    <w:rsid w:val="008D3FBB"/>
    <w:rsid w:val="008D442A"/>
    <w:rsid w:val="008D4E1F"/>
    <w:rsid w:val="008D55F8"/>
    <w:rsid w:val="008D5EA2"/>
    <w:rsid w:val="008D6208"/>
    <w:rsid w:val="008D6758"/>
    <w:rsid w:val="008D6992"/>
    <w:rsid w:val="008D6BA8"/>
    <w:rsid w:val="008D7E67"/>
    <w:rsid w:val="008E0338"/>
    <w:rsid w:val="008E03E1"/>
    <w:rsid w:val="008E0995"/>
    <w:rsid w:val="008E09D9"/>
    <w:rsid w:val="008E0EB9"/>
    <w:rsid w:val="008E104A"/>
    <w:rsid w:val="008E13B0"/>
    <w:rsid w:val="008E1DFC"/>
    <w:rsid w:val="008E24A2"/>
    <w:rsid w:val="008E301F"/>
    <w:rsid w:val="008E302F"/>
    <w:rsid w:val="008E3106"/>
    <w:rsid w:val="008E3110"/>
    <w:rsid w:val="008E31C3"/>
    <w:rsid w:val="008E32E5"/>
    <w:rsid w:val="008E339F"/>
    <w:rsid w:val="008E4770"/>
    <w:rsid w:val="008E4912"/>
    <w:rsid w:val="008E4C27"/>
    <w:rsid w:val="008E4E86"/>
    <w:rsid w:val="008E52A1"/>
    <w:rsid w:val="008E5472"/>
    <w:rsid w:val="008E556F"/>
    <w:rsid w:val="008E56A1"/>
    <w:rsid w:val="008E5AAF"/>
    <w:rsid w:val="008E5C32"/>
    <w:rsid w:val="008E5D8C"/>
    <w:rsid w:val="008E5FCE"/>
    <w:rsid w:val="008E6975"/>
    <w:rsid w:val="008E6D07"/>
    <w:rsid w:val="008E77B2"/>
    <w:rsid w:val="008E7CB5"/>
    <w:rsid w:val="008E7DC5"/>
    <w:rsid w:val="008F0083"/>
    <w:rsid w:val="008F03D3"/>
    <w:rsid w:val="008F055D"/>
    <w:rsid w:val="008F0702"/>
    <w:rsid w:val="008F0A74"/>
    <w:rsid w:val="008F0BFE"/>
    <w:rsid w:val="008F10C2"/>
    <w:rsid w:val="008F13EE"/>
    <w:rsid w:val="008F1887"/>
    <w:rsid w:val="008F1AA8"/>
    <w:rsid w:val="008F1BFA"/>
    <w:rsid w:val="008F1E0A"/>
    <w:rsid w:val="008F27CF"/>
    <w:rsid w:val="008F2A74"/>
    <w:rsid w:val="008F2E94"/>
    <w:rsid w:val="008F3092"/>
    <w:rsid w:val="008F38B5"/>
    <w:rsid w:val="008F3C14"/>
    <w:rsid w:val="008F3E89"/>
    <w:rsid w:val="008F3E8B"/>
    <w:rsid w:val="008F3EA7"/>
    <w:rsid w:val="008F400D"/>
    <w:rsid w:val="008F41C3"/>
    <w:rsid w:val="008F49D5"/>
    <w:rsid w:val="008F5253"/>
    <w:rsid w:val="008F54C5"/>
    <w:rsid w:val="008F604E"/>
    <w:rsid w:val="008F6071"/>
    <w:rsid w:val="008F60E9"/>
    <w:rsid w:val="008F6456"/>
    <w:rsid w:val="008F7505"/>
    <w:rsid w:val="008F7882"/>
    <w:rsid w:val="0090080A"/>
    <w:rsid w:val="00901418"/>
    <w:rsid w:val="0090145A"/>
    <w:rsid w:val="00901586"/>
    <w:rsid w:val="00901BBB"/>
    <w:rsid w:val="0090218D"/>
    <w:rsid w:val="009024AE"/>
    <w:rsid w:val="00902C8B"/>
    <w:rsid w:val="00903D26"/>
    <w:rsid w:val="00904577"/>
    <w:rsid w:val="009049E4"/>
    <w:rsid w:val="00904CDD"/>
    <w:rsid w:val="00905C59"/>
    <w:rsid w:val="00905C70"/>
    <w:rsid w:val="00905D0A"/>
    <w:rsid w:val="009062C7"/>
    <w:rsid w:val="009064E9"/>
    <w:rsid w:val="0090666A"/>
    <w:rsid w:val="00906A35"/>
    <w:rsid w:val="00906EFF"/>
    <w:rsid w:val="00907329"/>
    <w:rsid w:val="009077F8"/>
    <w:rsid w:val="00911181"/>
    <w:rsid w:val="0091151B"/>
    <w:rsid w:val="0091181E"/>
    <w:rsid w:val="00911F25"/>
    <w:rsid w:val="00911FF3"/>
    <w:rsid w:val="009124BB"/>
    <w:rsid w:val="00912532"/>
    <w:rsid w:val="009125BF"/>
    <w:rsid w:val="009129D9"/>
    <w:rsid w:val="00912D9B"/>
    <w:rsid w:val="00913730"/>
    <w:rsid w:val="00913768"/>
    <w:rsid w:val="009137FD"/>
    <w:rsid w:val="00913A35"/>
    <w:rsid w:val="009141DA"/>
    <w:rsid w:val="0091465F"/>
    <w:rsid w:val="00914A59"/>
    <w:rsid w:val="00914BE0"/>
    <w:rsid w:val="009151AD"/>
    <w:rsid w:val="00915743"/>
    <w:rsid w:val="00915AEC"/>
    <w:rsid w:val="00915C51"/>
    <w:rsid w:val="00915DF5"/>
    <w:rsid w:val="00915FE2"/>
    <w:rsid w:val="00916062"/>
    <w:rsid w:val="00916B8A"/>
    <w:rsid w:val="00916F18"/>
    <w:rsid w:val="009178DD"/>
    <w:rsid w:val="0091793D"/>
    <w:rsid w:val="00917BD9"/>
    <w:rsid w:val="00917D87"/>
    <w:rsid w:val="009206CA"/>
    <w:rsid w:val="0092094A"/>
    <w:rsid w:val="00920B8F"/>
    <w:rsid w:val="00920FBF"/>
    <w:rsid w:val="009214D4"/>
    <w:rsid w:val="009226CC"/>
    <w:rsid w:val="00922924"/>
    <w:rsid w:val="00922C2E"/>
    <w:rsid w:val="00923088"/>
    <w:rsid w:val="009232ED"/>
    <w:rsid w:val="009235B5"/>
    <w:rsid w:val="00923635"/>
    <w:rsid w:val="009238AB"/>
    <w:rsid w:val="009244B2"/>
    <w:rsid w:val="009248C6"/>
    <w:rsid w:val="009249C0"/>
    <w:rsid w:val="00924D09"/>
    <w:rsid w:val="00925C65"/>
    <w:rsid w:val="00925FBC"/>
    <w:rsid w:val="009261F6"/>
    <w:rsid w:val="0092685E"/>
    <w:rsid w:val="00926A58"/>
    <w:rsid w:val="00926B6D"/>
    <w:rsid w:val="00926C62"/>
    <w:rsid w:val="00927DC7"/>
    <w:rsid w:val="00930544"/>
    <w:rsid w:val="00930AAB"/>
    <w:rsid w:val="00931A5C"/>
    <w:rsid w:val="00931A8E"/>
    <w:rsid w:val="00931C44"/>
    <w:rsid w:val="00932330"/>
    <w:rsid w:val="0093288D"/>
    <w:rsid w:val="00932D2B"/>
    <w:rsid w:val="00933121"/>
    <w:rsid w:val="009332C3"/>
    <w:rsid w:val="00933BFE"/>
    <w:rsid w:val="00933D70"/>
    <w:rsid w:val="00933E29"/>
    <w:rsid w:val="00933EE1"/>
    <w:rsid w:val="009348EC"/>
    <w:rsid w:val="009349DB"/>
    <w:rsid w:val="00934AD3"/>
    <w:rsid w:val="00934B1E"/>
    <w:rsid w:val="00934FF7"/>
    <w:rsid w:val="00935752"/>
    <w:rsid w:val="009358A1"/>
    <w:rsid w:val="009359E3"/>
    <w:rsid w:val="00935AAE"/>
    <w:rsid w:val="00935FD8"/>
    <w:rsid w:val="00936157"/>
    <w:rsid w:val="009361DA"/>
    <w:rsid w:val="00936665"/>
    <w:rsid w:val="00936BD6"/>
    <w:rsid w:val="00936BFB"/>
    <w:rsid w:val="009374D2"/>
    <w:rsid w:val="00937556"/>
    <w:rsid w:val="009379E2"/>
    <w:rsid w:val="00937C20"/>
    <w:rsid w:val="00937E0B"/>
    <w:rsid w:val="00940C3E"/>
    <w:rsid w:val="00941010"/>
    <w:rsid w:val="00941310"/>
    <w:rsid w:val="009414A3"/>
    <w:rsid w:val="009415B2"/>
    <w:rsid w:val="009417A6"/>
    <w:rsid w:val="009421F1"/>
    <w:rsid w:val="00942F4C"/>
    <w:rsid w:val="0094308D"/>
    <w:rsid w:val="00943604"/>
    <w:rsid w:val="00943D0E"/>
    <w:rsid w:val="009442C4"/>
    <w:rsid w:val="009444A4"/>
    <w:rsid w:val="009444CC"/>
    <w:rsid w:val="00944EB0"/>
    <w:rsid w:val="00944F6E"/>
    <w:rsid w:val="00945543"/>
    <w:rsid w:val="00945E27"/>
    <w:rsid w:val="00946436"/>
    <w:rsid w:val="00946496"/>
    <w:rsid w:val="009467D7"/>
    <w:rsid w:val="00946D52"/>
    <w:rsid w:val="009470CD"/>
    <w:rsid w:val="009478EA"/>
    <w:rsid w:val="009479DC"/>
    <w:rsid w:val="009504DE"/>
    <w:rsid w:val="009504F5"/>
    <w:rsid w:val="0095068C"/>
    <w:rsid w:val="00950754"/>
    <w:rsid w:val="00950DBD"/>
    <w:rsid w:val="00950E82"/>
    <w:rsid w:val="0095111C"/>
    <w:rsid w:val="00951478"/>
    <w:rsid w:val="00951A44"/>
    <w:rsid w:val="00951B62"/>
    <w:rsid w:val="009525F0"/>
    <w:rsid w:val="009529CF"/>
    <w:rsid w:val="009532BA"/>
    <w:rsid w:val="009536E6"/>
    <w:rsid w:val="009540D0"/>
    <w:rsid w:val="009542F7"/>
    <w:rsid w:val="00954624"/>
    <w:rsid w:val="0095642A"/>
    <w:rsid w:val="0095683F"/>
    <w:rsid w:val="00956A74"/>
    <w:rsid w:val="00956E47"/>
    <w:rsid w:val="00956FCE"/>
    <w:rsid w:val="00957730"/>
    <w:rsid w:val="00957844"/>
    <w:rsid w:val="00957891"/>
    <w:rsid w:val="009578C8"/>
    <w:rsid w:val="00957BA9"/>
    <w:rsid w:val="009602D5"/>
    <w:rsid w:val="00960925"/>
    <w:rsid w:val="00960947"/>
    <w:rsid w:val="00961387"/>
    <w:rsid w:val="009614F3"/>
    <w:rsid w:val="0096178F"/>
    <w:rsid w:val="00961847"/>
    <w:rsid w:val="0096280F"/>
    <w:rsid w:val="0096290E"/>
    <w:rsid w:val="00962965"/>
    <w:rsid w:val="00962A14"/>
    <w:rsid w:val="00962BAC"/>
    <w:rsid w:val="00963189"/>
    <w:rsid w:val="00963779"/>
    <w:rsid w:val="00963981"/>
    <w:rsid w:val="00963B82"/>
    <w:rsid w:val="0096452D"/>
    <w:rsid w:val="00964624"/>
    <w:rsid w:val="0096483D"/>
    <w:rsid w:val="009649EC"/>
    <w:rsid w:val="00964C5F"/>
    <w:rsid w:val="00965144"/>
    <w:rsid w:val="009655E3"/>
    <w:rsid w:val="00965C24"/>
    <w:rsid w:val="0096603D"/>
    <w:rsid w:val="00966228"/>
    <w:rsid w:val="009671A9"/>
    <w:rsid w:val="00967222"/>
    <w:rsid w:val="0096764A"/>
    <w:rsid w:val="00967F79"/>
    <w:rsid w:val="0097092C"/>
    <w:rsid w:val="009709EC"/>
    <w:rsid w:val="0097168F"/>
    <w:rsid w:val="00971B28"/>
    <w:rsid w:val="00971D14"/>
    <w:rsid w:val="00971E98"/>
    <w:rsid w:val="00972338"/>
    <w:rsid w:val="0097236D"/>
    <w:rsid w:val="00972437"/>
    <w:rsid w:val="009732FE"/>
    <w:rsid w:val="00973ACE"/>
    <w:rsid w:val="00973DD1"/>
    <w:rsid w:val="00973ED3"/>
    <w:rsid w:val="009741F9"/>
    <w:rsid w:val="00974238"/>
    <w:rsid w:val="009743D3"/>
    <w:rsid w:val="009746AD"/>
    <w:rsid w:val="009749F8"/>
    <w:rsid w:val="0097578E"/>
    <w:rsid w:val="00975BE8"/>
    <w:rsid w:val="00975C9C"/>
    <w:rsid w:val="009765CD"/>
    <w:rsid w:val="00976A60"/>
    <w:rsid w:val="00976A8A"/>
    <w:rsid w:val="00976C49"/>
    <w:rsid w:val="0097761D"/>
    <w:rsid w:val="0097763D"/>
    <w:rsid w:val="00977A22"/>
    <w:rsid w:val="0098033D"/>
    <w:rsid w:val="00980EB4"/>
    <w:rsid w:val="00981390"/>
    <w:rsid w:val="00981923"/>
    <w:rsid w:val="009819A3"/>
    <w:rsid w:val="00981BDC"/>
    <w:rsid w:val="00982525"/>
    <w:rsid w:val="0098383F"/>
    <w:rsid w:val="009841BE"/>
    <w:rsid w:val="009843FD"/>
    <w:rsid w:val="00984D35"/>
    <w:rsid w:val="00984DAE"/>
    <w:rsid w:val="00985008"/>
    <w:rsid w:val="00985814"/>
    <w:rsid w:val="00985E39"/>
    <w:rsid w:val="00986229"/>
    <w:rsid w:val="00986504"/>
    <w:rsid w:val="009866B3"/>
    <w:rsid w:val="00986FD3"/>
    <w:rsid w:val="0098716F"/>
    <w:rsid w:val="009875BC"/>
    <w:rsid w:val="0098788A"/>
    <w:rsid w:val="0099014E"/>
    <w:rsid w:val="009907DF"/>
    <w:rsid w:val="0099091F"/>
    <w:rsid w:val="00990932"/>
    <w:rsid w:val="00990A2E"/>
    <w:rsid w:val="00991779"/>
    <w:rsid w:val="00992204"/>
    <w:rsid w:val="00992A46"/>
    <w:rsid w:val="00992C09"/>
    <w:rsid w:val="00993275"/>
    <w:rsid w:val="009936CA"/>
    <w:rsid w:val="009939C4"/>
    <w:rsid w:val="00993BB4"/>
    <w:rsid w:val="00993D15"/>
    <w:rsid w:val="00993F54"/>
    <w:rsid w:val="009945EC"/>
    <w:rsid w:val="009949BA"/>
    <w:rsid w:val="009950BE"/>
    <w:rsid w:val="00995D5E"/>
    <w:rsid w:val="0099679A"/>
    <w:rsid w:val="0099718D"/>
    <w:rsid w:val="00997C09"/>
    <w:rsid w:val="00997C6D"/>
    <w:rsid w:val="00997EFD"/>
    <w:rsid w:val="009A07AA"/>
    <w:rsid w:val="009A0A2E"/>
    <w:rsid w:val="009A0ABC"/>
    <w:rsid w:val="009A10F3"/>
    <w:rsid w:val="009A1261"/>
    <w:rsid w:val="009A163A"/>
    <w:rsid w:val="009A21D7"/>
    <w:rsid w:val="009A2236"/>
    <w:rsid w:val="009A2A15"/>
    <w:rsid w:val="009A2C28"/>
    <w:rsid w:val="009A2C2B"/>
    <w:rsid w:val="009A35DC"/>
    <w:rsid w:val="009A4526"/>
    <w:rsid w:val="009A47D1"/>
    <w:rsid w:val="009A4ED1"/>
    <w:rsid w:val="009A512D"/>
    <w:rsid w:val="009A5523"/>
    <w:rsid w:val="009A5728"/>
    <w:rsid w:val="009A5A32"/>
    <w:rsid w:val="009A5A46"/>
    <w:rsid w:val="009A5CA0"/>
    <w:rsid w:val="009A5D12"/>
    <w:rsid w:val="009A73AD"/>
    <w:rsid w:val="009A7485"/>
    <w:rsid w:val="009A79B0"/>
    <w:rsid w:val="009B0816"/>
    <w:rsid w:val="009B084D"/>
    <w:rsid w:val="009B0E69"/>
    <w:rsid w:val="009B1D8A"/>
    <w:rsid w:val="009B1E54"/>
    <w:rsid w:val="009B2404"/>
    <w:rsid w:val="009B298F"/>
    <w:rsid w:val="009B304B"/>
    <w:rsid w:val="009B3073"/>
    <w:rsid w:val="009B30F1"/>
    <w:rsid w:val="009B34C8"/>
    <w:rsid w:val="009B4140"/>
    <w:rsid w:val="009B420B"/>
    <w:rsid w:val="009B42DA"/>
    <w:rsid w:val="009B4327"/>
    <w:rsid w:val="009B471B"/>
    <w:rsid w:val="009B47FA"/>
    <w:rsid w:val="009B4A25"/>
    <w:rsid w:val="009B509A"/>
    <w:rsid w:val="009B5750"/>
    <w:rsid w:val="009B5B71"/>
    <w:rsid w:val="009B5C76"/>
    <w:rsid w:val="009B626A"/>
    <w:rsid w:val="009B6965"/>
    <w:rsid w:val="009B70DA"/>
    <w:rsid w:val="009B73EB"/>
    <w:rsid w:val="009B7DEC"/>
    <w:rsid w:val="009C0A4B"/>
    <w:rsid w:val="009C0F1E"/>
    <w:rsid w:val="009C1129"/>
    <w:rsid w:val="009C117C"/>
    <w:rsid w:val="009C214A"/>
    <w:rsid w:val="009C2F5F"/>
    <w:rsid w:val="009C3015"/>
    <w:rsid w:val="009C32F0"/>
    <w:rsid w:val="009C37EB"/>
    <w:rsid w:val="009C38D5"/>
    <w:rsid w:val="009C399E"/>
    <w:rsid w:val="009C3BD2"/>
    <w:rsid w:val="009C4458"/>
    <w:rsid w:val="009C45E8"/>
    <w:rsid w:val="009C4A68"/>
    <w:rsid w:val="009C4C83"/>
    <w:rsid w:val="009C50A3"/>
    <w:rsid w:val="009C5110"/>
    <w:rsid w:val="009C56A0"/>
    <w:rsid w:val="009C5ADB"/>
    <w:rsid w:val="009C5E4A"/>
    <w:rsid w:val="009C5F8D"/>
    <w:rsid w:val="009C62AD"/>
    <w:rsid w:val="009C66D4"/>
    <w:rsid w:val="009C67B2"/>
    <w:rsid w:val="009C6914"/>
    <w:rsid w:val="009C6CDD"/>
    <w:rsid w:val="009C6EBF"/>
    <w:rsid w:val="009C73D5"/>
    <w:rsid w:val="009C7950"/>
    <w:rsid w:val="009C7B42"/>
    <w:rsid w:val="009C7FDB"/>
    <w:rsid w:val="009D00D5"/>
    <w:rsid w:val="009D0298"/>
    <w:rsid w:val="009D03C1"/>
    <w:rsid w:val="009D0761"/>
    <w:rsid w:val="009D0824"/>
    <w:rsid w:val="009D16D1"/>
    <w:rsid w:val="009D1865"/>
    <w:rsid w:val="009D22F3"/>
    <w:rsid w:val="009D2930"/>
    <w:rsid w:val="009D295F"/>
    <w:rsid w:val="009D357F"/>
    <w:rsid w:val="009D41BD"/>
    <w:rsid w:val="009D4338"/>
    <w:rsid w:val="009D4772"/>
    <w:rsid w:val="009D4D11"/>
    <w:rsid w:val="009D5790"/>
    <w:rsid w:val="009D5C5C"/>
    <w:rsid w:val="009D617C"/>
    <w:rsid w:val="009D6189"/>
    <w:rsid w:val="009D64C1"/>
    <w:rsid w:val="009D66C8"/>
    <w:rsid w:val="009D6C6E"/>
    <w:rsid w:val="009D6E07"/>
    <w:rsid w:val="009D7184"/>
    <w:rsid w:val="009D71A8"/>
    <w:rsid w:val="009D758B"/>
    <w:rsid w:val="009D76B5"/>
    <w:rsid w:val="009D78DB"/>
    <w:rsid w:val="009E067E"/>
    <w:rsid w:val="009E1426"/>
    <w:rsid w:val="009E1772"/>
    <w:rsid w:val="009E1930"/>
    <w:rsid w:val="009E1994"/>
    <w:rsid w:val="009E19FE"/>
    <w:rsid w:val="009E1E05"/>
    <w:rsid w:val="009E2146"/>
    <w:rsid w:val="009E24FD"/>
    <w:rsid w:val="009E2969"/>
    <w:rsid w:val="009E2FBC"/>
    <w:rsid w:val="009E323D"/>
    <w:rsid w:val="009E37F6"/>
    <w:rsid w:val="009E3BBD"/>
    <w:rsid w:val="009E3CA7"/>
    <w:rsid w:val="009E3CED"/>
    <w:rsid w:val="009E3D9A"/>
    <w:rsid w:val="009E3FC0"/>
    <w:rsid w:val="009E44C8"/>
    <w:rsid w:val="009E525C"/>
    <w:rsid w:val="009E53B3"/>
    <w:rsid w:val="009E6569"/>
    <w:rsid w:val="009E6619"/>
    <w:rsid w:val="009E6C35"/>
    <w:rsid w:val="009E6D1B"/>
    <w:rsid w:val="009E7663"/>
    <w:rsid w:val="009E77D0"/>
    <w:rsid w:val="009E7B14"/>
    <w:rsid w:val="009E7BD1"/>
    <w:rsid w:val="009E7DC9"/>
    <w:rsid w:val="009F0762"/>
    <w:rsid w:val="009F0DBB"/>
    <w:rsid w:val="009F139D"/>
    <w:rsid w:val="009F1740"/>
    <w:rsid w:val="009F1A03"/>
    <w:rsid w:val="009F1C82"/>
    <w:rsid w:val="009F22BF"/>
    <w:rsid w:val="009F234D"/>
    <w:rsid w:val="009F23E1"/>
    <w:rsid w:val="009F2D16"/>
    <w:rsid w:val="009F3600"/>
    <w:rsid w:val="009F3623"/>
    <w:rsid w:val="009F4236"/>
    <w:rsid w:val="009F43C2"/>
    <w:rsid w:val="009F4F17"/>
    <w:rsid w:val="009F5A67"/>
    <w:rsid w:val="009F5FED"/>
    <w:rsid w:val="009F6014"/>
    <w:rsid w:val="009F61C1"/>
    <w:rsid w:val="009F620C"/>
    <w:rsid w:val="009F63A0"/>
    <w:rsid w:val="009F679D"/>
    <w:rsid w:val="009F7015"/>
    <w:rsid w:val="009F7308"/>
    <w:rsid w:val="009F7343"/>
    <w:rsid w:val="009F7C7C"/>
    <w:rsid w:val="00A0008A"/>
    <w:rsid w:val="00A00BBE"/>
    <w:rsid w:val="00A00FDC"/>
    <w:rsid w:val="00A01032"/>
    <w:rsid w:val="00A01174"/>
    <w:rsid w:val="00A011F9"/>
    <w:rsid w:val="00A014BD"/>
    <w:rsid w:val="00A02575"/>
    <w:rsid w:val="00A0295D"/>
    <w:rsid w:val="00A02B53"/>
    <w:rsid w:val="00A02E73"/>
    <w:rsid w:val="00A0330E"/>
    <w:rsid w:val="00A03493"/>
    <w:rsid w:val="00A038E6"/>
    <w:rsid w:val="00A03974"/>
    <w:rsid w:val="00A04010"/>
    <w:rsid w:val="00A0444B"/>
    <w:rsid w:val="00A044C0"/>
    <w:rsid w:val="00A04637"/>
    <w:rsid w:val="00A05360"/>
    <w:rsid w:val="00A05C61"/>
    <w:rsid w:val="00A05CE5"/>
    <w:rsid w:val="00A0644C"/>
    <w:rsid w:val="00A06450"/>
    <w:rsid w:val="00A06F46"/>
    <w:rsid w:val="00A071C0"/>
    <w:rsid w:val="00A07436"/>
    <w:rsid w:val="00A07C25"/>
    <w:rsid w:val="00A07EE7"/>
    <w:rsid w:val="00A07F2A"/>
    <w:rsid w:val="00A10BC3"/>
    <w:rsid w:val="00A10F69"/>
    <w:rsid w:val="00A1135F"/>
    <w:rsid w:val="00A11DCD"/>
    <w:rsid w:val="00A11FA3"/>
    <w:rsid w:val="00A1213B"/>
    <w:rsid w:val="00A12546"/>
    <w:rsid w:val="00A126F7"/>
    <w:rsid w:val="00A12948"/>
    <w:rsid w:val="00A12B8C"/>
    <w:rsid w:val="00A12E03"/>
    <w:rsid w:val="00A130CB"/>
    <w:rsid w:val="00A13867"/>
    <w:rsid w:val="00A13D05"/>
    <w:rsid w:val="00A141F5"/>
    <w:rsid w:val="00A1475F"/>
    <w:rsid w:val="00A14C8F"/>
    <w:rsid w:val="00A14E3A"/>
    <w:rsid w:val="00A154A1"/>
    <w:rsid w:val="00A15D20"/>
    <w:rsid w:val="00A15FBE"/>
    <w:rsid w:val="00A15FCE"/>
    <w:rsid w:val="00A16635"/>
    <w:rsid w:val="00A1715A"/>
    <w:rsid w:val="00A176F0"/>
    <w:rsid w:val="00A17AB1"/>
    <w:rsid w:val="00A20024"/>
    <w:rsid w:val="00A20113"/>
    <w:rsid w:val="00A207AA"/>
    <w:rsid w:val="00A20815"/>
    <w:rsid w:val="00A20819"/>
    <w:rsid w:val="00A2116B"/>
    <w:rsid w:val="00A213B3"/>
    <w:rsid w:val="00A2174A"/>
    <w:rsid w:val="00A21ED8"/>
    <w:rsid w:val="00A21EF8"/>
    <w:rsid w:val="00A21FCF"/>
    <w:rsid w:val="00A2232B"/>
    <w:rsid w:val="00A2286A"/>
    <w:rsid w:val="00A22947"/>
    <w:rsid w:val="00A233A2"/>
    <w:rsid w:val="00A237B3"/>
    <w:rsid w:val="00A2446B"/>
    <w:rsid w:val="00A24B1D"/>
    <w:rsid w:val="00A24E83"/>
    <w:rsid w:val="00A251CB"/>
    <w:rsid w:val="00A2528B"/>
    <w:rsid w:val="00A25331"/>
    <w:rsid w:val="00A25C75"/>
    <w:rsid w:val="00A26004"/>
    <w:rsid w:val="00A26FED"/>
    <w:rsid w:val="00A2759C"/>
    <w:rsid w:val="00A30192"/>
    <w:rsid w:val="00A305E8"/>
    <w:rsid w:val="00A30AAF"/>
    <w:rsid w:val="00A31402"/>
    <w:rsid w:val="00A31973"/>
    <w:rsid w:val="00A319D5"/>
    <w:rsid w:val="00A32137"/>
    <w:rsid w:val="00A3232C"/>
    <w:rsid w:val="00A32D23"/>
    <w:rsid w:val="00A32E39"/>
    <w:rsid w:val="00A33149"/>
    <w:rsid w:val="00A332CA"/>
    <w:rsid w:val="00A332E1"/>
    <w:rsid w:val="00A33320"/>
    <w:rsid w:val="00A334BB"/>
    <w:rsid w:val="00A33771"/>
    <w:rsid w:val="00A33C47"/>
    <w:rsid w:val="00A34751"/>
    <w:rsid w:val="00A34CD0"/>
    <w:rsid w:val="00A35304"/>
    <w:rsid w:val="00A3536E"/>
    <w:rsid w:val="00A3595C"/>
    <w:rsid w:val="00A35A02"/>
    <w:rsid w:val="00A35C9A"/>
    <w:rsid w:val="00A35CBA"/>
    <w:rsid w:val="00A35F5C"/>
    <w:rsid w:val="00A36329"/>
    <w:rsid w:val="00A363E9"/>
    <w:rsid w:val="00A3672C"/>
    <w:rsid w:val="00A3682E"/>
    <w:rsid w:val="00A36AE4"/>
    <w:rsid w:val="00A36F47"/>
    <w:rsid w:val="00A406ED"/>
    <w:rsid w:val="00A40B14"/>
    <w:rsid w:val="00A40D49"/>
    <w:rsid w:val="00A41148"/>
    <w:rsid w:val="00A412B1"/>
    <w:rsid w:val="00A41429"/>
    <w:rsid w:val="00A41A46"/>
    <w:rsid w:val="00A4208F"/>
    <w:rsid w:val="00A421B8"/>
    <w:rsid w:val="00A42284"/>
    <w:rsid w:val="00A4234F"/>
    <w:rsid w:val="00A426B4"/>
    <w:rsid w:val="00A42958"/>
    <w:rsid w:val="00A42D17"/>
    <w:rsid w:val="00A4369D"/>
    <w:rsid w:val="00A43A51"/>
    <w:rsid w:val="00A43CB8"/>
    <w:rsid w:val="00A43CC2"/>
    <w:rsid w:val="00A43E65"/>
    <w:rsid w:val="00A43F57"/>
    <w:rsid w:val="00A441CD"/>
    <w:rsid w:val="00A4427E"/>
    <w:rsid w:val="00A44825"/>
    <w:rsid w:val="00A44CA7"/>
    <w:rsid w:val="00A44EEA"/>
    <w:rsid w:val="00A44F0E"/>
    <w:rsid w:val="00A44F4E"/>
    <w:rsid w:val="00A458E1"/>
    <w:rsid w:val="00A45DDF"/>
    <w:rsid w:val="00A4647A"/>
    <w:rsid w:val="00A47799"/>
    <w:rsid w:val="00A47893"/>
    <w:rsid w:val="00A47A2D"/>
    <w:rsid w:val="00A47C21"/>
    <w:rsid w:val="00A47D1C"/>
    <w:rsid w:val="00A47DC1"/>
    <w:rsid w:val="00A50105"/>
    <w:rsid w:val="00A50727"/>
    <w:rsid w:val="00A50825"/>
    <w:rsid w:val="00A50E1C"/>
    <w:rsid w:val="00A51154"/>
    <w:rsid w:val="00A51439"/>
    <w:rsid w:val="00A5195B"/>
    <w:rsid w:val="00A51AE9"/>
    <w:rsid w:val="00A51C5E"/>
    <w:rsid w:val="00A51FFB"/>
    <w:rsid w:val="00A5207C"/>
    <w:rsid w:val="00A5221C"/>
    <w:rsid w:val="00A5240F"/>
    <w:rsid w:val="00A527DD"/>
    <w:rsid w:val="00A52DD9"/>
    <w:rsid w:val="00A52E18"/>
    <w:rsid w:val="00A5360A"/>
    <w:rsid w:val="00A53ABF"/>
    <w:rsid w:val="00A5421C"/>
    <w:rsid w:val="00A54525"/>
    <w:rsid w:val="00A549F5"/>
    <w:rsid w:val="00A56098"/>
    <w:rsid w:val="00A5623E"/>
    <w:rsid w:val="00A56516"/>
    <w:rsid w:val="00A5676D"/>
    <w:rsid w:val="00A56942"/>
    <w:rsid w:val="00A5740B"/>
    <w:rsid w:val="00A57700"/>
    <w:rsid w:val="00A57D73"/>
    <w:rsid w:val="00A605CB"/>
    <w:rsid w:val="00A60C35"/>
    <w:rsid w:val="00A61009"/>
    <w:rsid w:val="00A61289"/>
    <w:rsid w:val="00A61392"/>
    <w:rsid w:val="00A613A5"/>
    <w:rsid w:val="00A617BB"/>
    <w:rsid w:val="00A61CDD"/>
    <w:rsid w:val="00A61F60"/>
    <w:rsid w:val="00A61FA4"/>
    <w:rsid w:val="00A61FF0"/>
    <w:rsid w:val="00A624BA"/>
    <w:rsid w:val="00A62CA7"/>
    <w:rsid w:val="00A632BA"/>
    <w:rsid w:val="00A6347C"/>
    <w:rsid w:val="00A63B45"/>
    <w:rsid w:val="00A648D5"/>
    <w:rsid w:val="00A64967"/>
    <w:rsid w:val="00A64B0B"/>
    <w:rsid w:val="00A659F4"/>
    <w:rsid w:val="00A66241"/>
    <w:rsid w:val="00A66A59"/>
    <w:rsid w:val="00A670F9"/>
    <w:rsid w:val="00A673F5"/>
    <w:rsid w:val="00A67453"/>
    <w:rsid w:val="00A67CE2"/>
    <w:rsid w:val="00A67D24"/>
    <w:rsid w:val="00A70309"/>
    <w:rsid w:val="00A708CB"/>
    <w:rsid w:val="00A70C15"/>
    <w:rsid w:val="00A70D23"/>
    <w:rsid w:val="00A70DF3"/>
    <w:rsid w:val="00A71B7E"/>
    <w:rsid w:val="00A72222"/>
    <w:rsid w:val="00A72298"/>
    <w:rsid w:val="00A725D5"/>
    <w:rsid w:val="00A729A9"/>
    <w:rsid w:val="00A72C7F"/>
    <w:rsid w:val="00A72CAD"/>
    <w:rsid w:val="00A7393B"/>
    <w:rsid w:val="00A739BC"/>
    <w:rsid w:val="00A74583"/>
    <w:rsid w:val="00A745EE"/>
    <w:rsid w:val="00A74E7D"/>
    <w:rsid w:val="00A75256"/>
    <w:rsid w:val="00A753CB"/>
    <w:rsid w:val="00A759B5"/>
    <w:rsid w:val="00A75A3E"/>
    <w:rsid w:val="00A75EE6"/>
    <w:rsid w:val="00A76505"/>
    <w:rsid w:val="00A765FD"/>
    <w:rsid w:val="00A76C13"/>
    <w:rsid w:val="00A76CFA"/>
    <w:rsid w:val="00A76D53"/>
    <w:rsid w:val="00A76EA6"/>
    <w:rsid w:val="00A77176"/>
    <w:rsid w:val="00A77600"/>
    <w:rsid w:val="00A778B6"/>
    <w:rsid w:val="00A802A6"/>
    <w:rsid w:val="00A803EB"/>
    <w:rsid w:val="00A806E7"/>
    <w:rsid w:val="00A8094A"/>
    <w:rsid w:val="00A81445"/>
    <w:rsid w:val="00A81E2B"/>
    <w:rsid w:val="00A81EC7"/>
    <w:rsid w:val="00A82451"/>
    <w:rsid w:val="00A82602"/>
    <w:rsid w:val="00A82699"/>
    <w:rsid w:val="00A83397"/>
    <w:rsid w:val="00A8442B"/>
    <w:rsid w:val="00A84764"/>
    <w:rsid w:val="00A84852"/>
    <w:rsid w:val="00A84958"/>
    <w:rsid w:val="00A84D82"/>
    <w:rsid w:val="00A85620"/>
    <w:rsid w:val="00A85B56"/>
    <w:rsid w:val="00A85E91"/>
    <w:rsid w:val="00A85F4E"/>
    <w:rsid w:val="00A860B9"/>
    <w:rsid w:val="00A86809"/>
    <w:rsid w:val="00A86A01"/>
    <w:rsid w:val="00A86A19"/>
    <w:rsid w:val="00A87834"/>
    <w:rsid w:val="00A87CB6"/>
    <w:rsid w:val="00A9052E"/>
    <w:rsid w:val="00A90AB6"/>
    <w:rsid w:val="00A90BB8"/>
    <w:rsid w:val="00A90E47"/>
    <w:rsid w:val="00A90F84"/>
    <w:rsid w:val="00A91631"/>
    <w:rsid w:val="00A918A0"/>
    <w:rsid w:val="00A91A47"/>
    <w:rsid w:val="00A91C8A"/>
    <w:rsid w:val="00A921AB"/>
    <w:rsid w:val="00A92A75"/>
    <w:rsid w:val="00A93D9A"/>
    <w:rsid w:val="00A949C5"/>
    <w:rsid w:val="00A94B63"/>
    <w:rsid w:val="00A9561C"/>
    <w:rsid w:val="00A9577D"/>
    <w:rsid w:val="00A95F47"/>
    <w:rsid w:val="00A965FE"/>
    <w:rsid w:val="00A966C2"/>
    <w:rsid w:val="00A96B88"/>
    <w:rsid w:val="00A9713C"/>
    <w:rsid w:val="00A97672"/>
    <w:rsid w:val="00A97AE0"/>
    <w:rsid w:val="00AA0196"/>
    <w:rsid w:val="00AA04FA"/>
    <w:rsid w:val="00AA0BC2"/>
    <w:rsid w:val="00AA0CB3"/>
    <w:rsid w:val="00AA14D1"/>
    <w:rsid w:val="00AA157E"/>
    <w:rsid w:val="00AA2182"/>
    <w:rsid w:val="00AA2340"/>
    <w:rsid w:val="00AA2A42"/>
    <w:rsid w:val="00AA2AC0"/>
    <w:rsid w:val="00AA343E"/>
    <w:rsid w:val="00AA3471"/>
    <w:rsid w:val="00AA3722"/>
    <w:rsid w:val="00AA37D8"/>
    <w:rsid w:val="00AA3DF7"/>
    <w:rsid w:val="00AA3ECE"/>
    <w:rsid w:val="00AA4965"/>
    <w:rsid w:val="00AA4FC6"/>
    <w:rsid w:val="00AA533D"/>
    <w:rsid w:val="00AA5473"/>
    <w:rsid w:val="00AA59AD"/>
    <w:rsid w:val="00AA59FF"/>
    <w:rsid w:val="00AA5F48"/>
    <w:rsid w:val="00AA604E"/>
    <w:rsid w:val="00AA611C"/>
    <w:rsid w:val="00AA6625"/>
    <w:rsid w:val="00AA6706"/>
    <w:rsid w:val="00AA6BEF"/>
    <w:rsid w:val="00AA71CC"/>
    <w:rsid w:val="00AA7645"/>
    <w:rsid w:val="00AA7864"/>
    <w:rsid w:val="00AB0467"/>
    <w:rsid w:val="00AB0C57"/>
    <w:rsid w:val="00AB0EB6"/>
    <w:rsid w:val="00AB140E"/>
    <w:rsid w:val="00AB1556"/>
    <w:rsid w:val="00AB1791"/>
    <w:rsid w:val="00AB1C86"/>
    <w:rsid w:val="00AB1DDD"/>
    <w:rsid w:val="00AB1E3C"/>
    <w:rsid w:val="00AB265E"/>
    <w:rsid w:val="00AB2764"/>
    <w:rsid w:val="00AB2880"/>
    <w:rsid w:val="00AB2B53"/>
    <w:rsid w:val="00AB327E"/>
    <w:rsid w:val="00AB434B"/>
    <w:rsid w:val="00AB44A6"/>
    <w:rsid w:val="00AB4F62"/>
    <w:rsid w:val="00AB4FF7"/>
    <w:rsid w:val="00AB500F"/>
    <w:rsid w:val="00AB5788"/>
    <w:rsid w:val="00AB6372"/>
    <w:rsid w:val="00AB66CC"/>
    <w:rsid w:val="00AB689C"/>
    <w:rsid w:val="00AB709B"/>
    <w:rsid w:val="00AB73AA"/>
    <w:rsid w:val="00AB74F5"/>
    <w:rsid w:val="00AB752B"/>
    <w:rsid w:val="00AB754E"/>
    <w:rsid w:val="00AB7BA2"/>
    <w:rsid w:val="00AC28B5"/>
    <w:rsid w:val="00AC2A67"/>
    <w:rsid w:val="00AC39CA"/>
    <w:rsid w:val="00AC3A51"/>
    <w:rsid w:val="00AC3D23"/>
    <w:rsid w:val="00AC3D55"/>
    <w:rsid w:val="00AC48EC"/>
    <w:rsid w:val="00AC5045"/>
    <w:rsid w:val="00AC5D48"/>
    <w:rsid w:val="00AC5DB0"/>
    <w:rsid w:val="00AC68A6"/>
    <w:rsid w:val="00AC7169"/>
    <w:rsid w:val="00AC7329"/>
    <w:rsid w:val="00AC781E"/>
    <w:rsid w:val="00AC7A8C"/>
    <w:rsid w:val="00AC7D7E"/>
    <w:rsid w:val="00AC7FC6"/>
    <w:rsid w:val="00AD0002"/>
    <w:rsid w:val="00AD0B40"/>
    <w:rsid w:val="00AD0E43"/>
    <w:rsid w:val="00AD152D"/>
    <w:rsid w:val="00AD1671"/>
    <w:rsid w:val="00AD1C99"/>
    <w:rsid w:val="00AD2082"/>
    <w:rsid w:val="00AD22BC"/>
    <w:rsid w:val="00AD26E1"/>
    <w:rsid w:val="00AD2D77"/>
    <w:rsid w:val="00AD2EB2"/>
    <w:rsid w:val="00AD4009"/>
    <w:rsid w:val="00AD40B7"/>
    <w:rsid w:val="00AD45C1"/>
    <w:rsid w:val="00AD4E06"/>
    <w:rsid w:val="00AD5283"/>
    <w:rsid w:val="00AD5512"/>
    <w:rsid w:val="00AD5F43"/>
    <w:rsid w:val="00AD62BC"/>
    <w:rsid w:val="00AD68A0"/>
    <w:rsid w:val="00AD699A"/>
    <w:rsid w:val="00AD73C3"/>
    <w:rsid w:val="00AD7942"/>
    <w:rsid w:val="00AD7950"/>
    <w:rsid w:val="00ADB2C3"/>
    <w:rsid w:val="00AE04B1"/>
    <w:rsid w:val="00AE0691"/>
    <w:rsid w:val="00AE0797"/>
    <w:rsid w:val="00AE0AB2"/>
    <w:rsid w:val="00AE12A1"/>
    <w:rsid w:val="00AE191C"/>
    <w:rsid w:val="00AE19AF"/>
    <w:rsid w:val="00AE19D8"/>
    <w:rsid w:val="00AE19FC"/>
    <w:rsid w:val="00AE1E08"/>
    <w:rsid w:val="00AE2279"/>
    <w:rsid w:val="00AE232D"/>
    <w:rsid w:val="00AE2983"/>
    <w:rsid w:val="00AE2AAC"/>
    <w:rsid w:val="00AE2BDC"/>
    <w:rsid w:val="00AE2F8C"/>
    <w:rsid w:val="00AE3019"/>
    <w:rsid w:val="00AE31DA"/>
    <w:rsid w:val="00AE3BF2"/>
    <w:rsid w:val="00AE3CC4"/>
    <w:rsid w:val="00AE4350"/>
    <w:rsid w:val="00AE4615"/>
    <w:rsid w:val="00AE488A"/>
    <w:rsid w:val="00AE4B17"/>
    <w:rsid w:val="00AE53C8"/>
    <w:rsid w:val="00AE5582"/>
    <w:rsid w:val="00AE580B"/>
    <w:rsid w:val="00AE5B11"/>
    <w:rsid w:val="00AE5CEC"/>
    <w:rsid w:val="00AE66AA"/>
    <w:rsid w:val="00AE6C33"/>
    <w:rsid w:val="00AE6FBA"/>
    <w:rsid w:val="00AE75DC"/>
    <w:rsid w:val="00AE771A"/>
    <w:rsid w:val="00AE7D35"/>
    <w:rsid w:val="00AE7EEB"/>
    <w:rsid w:val="00AE7EF4"/>
    <w:rsid w:val="00AF0001"/>
    <w:rsid w:val="00AF0018"/>
    <w:rsid w:val="00AF02B4"/>
    <w:rsid w:val="00AF04EC"/>
    <w:rsid w:val="00AF0A5D"/>
    <w:rsid w:val="00AF0DD1"/>
    <w:rsid w:val="00AF0F83"/>
    <w:rsid w:val="00AF1724"/>
    <w:rsid w:val="00AF1769"/>
    <w:rsid w:val="00AF1CBD"/>
    <w:rsid w:val="00AF1F65"/>
    <w:rsid w:val="00AF28FA"/>
    <w:rsid w:val="00AF311C"/>
    <w:rsid w:val="00AF3121"/>
    <w:rsid w:val="00AF424C"/>
    <w:rsid w:val="00AF4587"/>
    <w:rsid w:val="00AF478A"/>
    <w:rsid w:val="00AF4BEF"/>
    <w:rsid w:val="00AF4E5D"/>
    <w:rsid w:val="00AF53A3"/>
    <w:rsid w:val="00AF58DA"/>
    <w:rsid w:val="00AF5953"/>
    <w:rsid w:val="00AF5961"/>
    <w:rsid w:val="00AF5A77"/>
    <w:rsid w:val="00AF6117"/>
    <w:rsid w:val="00AF61D8"/>
    <w:rsid w:val="00AF62F9"/>
    <w:rsid w:val="00AF64D4"/>
    <w:rsid w:val="00AF6504"/>
    <w:rsid w:val="00AF6779"/>
    <w:rsid w:val="00AF68D2"/>
    <w:rsid w:val="00AF7123"/>
    <w:rsid w:val="00AF727B"/>
    <w:rsid w:val="00AF7B4B"/>
    <w:rsid w:val="00AF8CC0"/>
    <w:rsid w:val="00B00516"/>
    <w:rsid w:val="00B00703"/>
    <w:rsid w:val="00B0072F"/>
    <w:rsid w:val="00B00820"/>
    <w:rsid w:val="00B00DEF"/>
    <w:rsid w:val="00B00FD7"/>
    <w:rsid w:val="00B01804"/>
    <w:rsid w:val="00B01C57"/>
    <w:rsid w:val="00B01D8D"/>
    <w:rsid w:val="00B01EF4"/>
    <w:rsid w:val="00B02219"/>
    <w:rsid w:val="00B02269"/>
    <w:rsid w:val="00B02BDC"/>
    <w:rsid w:val="00B03034"/>
    <w:rsid w:val="00B0361A"/>
    <w:rsid w:val="00B03766"/>
    <w:rsid w:val="00B039B5"/>
    <w:rsid w:val="00B03B99"/>
    <w:rsid w:val="00B0400A"/>
    <w:rsid w:val="00B0416B"/>
    <w:rsid w:val="00B041FB"/>
    <w:rsid w:val="00B04D25"/>
    <w:rsid w:val="00B04D77"/>
    <w:rsid w:val="00B050C3"/>
    <w:rsid w:val="00B05779"/>
    <w:rsid w:val="00B05B32"/>
    <w:rsid w:val="00B05D99"/>
    <w:rsid w:val="00B061CD"/>
    <w:rsid w:val="00B06349"/>
    <w:rsid w:val="00B06772"/>
    <w:rsid w:val="00B06AE2"/>
    <w:rsid w:val="00B06C44"/>
    <w:rsid w:val="00B078C7"/>
    <w:rsid w:val="00B107C9"/>
    <w:rsid w:val="00B107CA"/>
    <w:rsid w:val="00B10CF7"/>
    <w:rsid w:val="00B10FE2"/>
    <w:rsid w:val="00B111EF"/>
    <w:rsid w:val="00B11290"/>
    <w:rsid w:val="00B119C6"/>
    <w:rsid w:val="00B12288"/>
    <w:rsid w:val="00B129BB"/>
    <w:rsid w:val="00B12C32"/>
    <w:rsid w:val="00B12C8B"/>
    <w:rsid w:val="00B1301A"/>
    <w:rsid w:val="00B13571"/>
    <w:rsid w:val="00B138E8"/>
    <w:rsid w:val="00B155AC"/>
    <w:rsid w:val="00B15642"/>
    <w:rsid w:val="00B15B3D"/>
    <w:rsid w:val="00B1618A"/>
    <w:rsid w:val="00B16897"/>
    <w:rsid w:val="00B16BB6"/>
    <w:rsid w:val="00B17061"/>
    <w:rsid w:val="00B172CA"/>
    <w:rsid w:val="00B1741D"/>
    <w:rsid w:val="00B17427"/>
    <w:rsid w:val="00B178C9"/>
    <w:rsid w:val="00B179B4"/>
    <w:rsid w:val="00B17FE5"/>
    <w:rsid w:val="00B20AD7"/>
    <w:rsid w:val="00B20C84"/>
    <w:rsid w:val="00B20D59"/>
    <w:rsid w:val="00B20EAA"/>
    <w:rsid w:val="00B210D9"/>
    <w:rsid w:val="00B21228"/>
    <w:rsid w:val="00B21809"/>
    <w:rsid w:val="00B21829"/>
    <w:rsid w:val="00B218EE"/>
    <w:rsid w:val="00B219FE"/>
    <w:rsid w:val="00B21F04"/>
    <w:rsid w:val="00B220C2"/>
    <w:rsid w:val="00B221FB"/>
    <w:rsid w:val="00B22ADF"/>
    <w:rsid w:val="00B22FCD"/>
    <w:rsid w:val="00B23090"/>
    <w:rsid w:val="00B231AF"/>
    <w:rsid w:val="00B23546"/>
    <w:rsid w:val="00B23B48"/>
    <w:rsid w:val="00B23D1C"/>
    <w:rsid w:val="00B23EF9"/>
    <w:rsid w:val="00B2418F"/>
    <w:rsid w:val="00B244B5"/>
    <w:rsid w:val="00B244CE"/>
    <w:rsid w:val="00B251CA"/>
    <w:rsid w:val="00B252D2"/>
    <w:rsid w:val="00B2533C"/>
    <w:rsid w:val="00B2597D"/>
    <w:rsid w:val="00B25BBF"/>
    <w:rsid w:val="00B268B0"/>
    <w:rsid w:val="00B26ABE"/>
    <w:rsid w:val="00B26C93"/>
    <w:rsid w:val="00B27370"/>
    <w:rsid w:val="00B27960"/>
    <w:rsid w:val="00B27B0C"/>
    <w:rsid w:val="00B27EDA"/>
    <w:rsid w:val="00B300A5"/>
    <w:rsid w:val="00B30425"/>
    <w:rsid w:val="00B314A5"/>
    <w:rsid w:val="00B31697"/>
    <w:rsid w:val="00B31888"/>
    <w:rsid w:val="00B318BD"/>
    <w:rsid w:val="00B318C2"/>
    <w:rsid w:val="00B32045"/>
    <w:rsid w:val="00B324A6"/>
    <w:rsid w:val="00B325AD"/>
    <w:rsid w:val="00B32F6C"/>
    <w:rsid w:val="00B330AD"/>
    <w:rsid w:val="00B336FD"/>
    <w:rsid w:val="00B341FA"/>
    <w:rsid w:val="00B346BE"/>
    <w:rsid w:val="00B34CFD"/>
    <w:rsid w:val="00B34F47"/>
    <w:rsid w:val="00B35B43"/>
    <w:rsid w:val="00B35B50"/>
    <w:rsid w:val="00B35B84"/>
    <w:rsid w:val="00B35D7C"/>
    <w:rsid w:val="00B3601F"/>
    <w:rsid w:val="00B36852"/>
    <w:rsid w:val="00B368B9"/>
    <w:rsid w:val="00B36A1E"/>
    <w:rsid w:val="00B3709E"/>
    <w:rsid w:val="00B3752C"/>
    <w:rsid w:val="00B37BAD"/>
    <w:rsid w:val="00B37BFD"/>
    <w:rsid w:val="00B37C61"/>
    <w:rsid w:val="00B37E67"/>
    <w:rsid w:val="00B4005C"/>
    <w:rsid w:val="00B404B1"/>
    <w:rsid w:val="00B40567"/>
    <w:rsid w:val="00B4077A"/>
    <w:rsid w:val="00B4087E"/>
    <w:rsid w:val="00B40ED0"/>
    <w:rsid w:val="00B4185A"/>
    <w:rsid w:val="00B41E80"/>
    <w:rsid w:val="00B41F7A"/>
    <w:rsid w:val="00B421EA"/>
    <w:rsid w:val="00B42431"/>
    <w:rsid w:val="00B42858"/>
    <w:rsid w:val="00B42A97"/>
    <w:rsid w:val="00B42ADA"/>
    <w:rsid w:val="00B43625"/>
    <w:rsid w:val="00B4499C"/>
    <w:rsid w:val="00B44C04"/>
    <w:rsid w:val="00B4501D"/>
    <w:rsid w:val="00B452DF"/>
    <w:rsid w:val="00B452F3"/>
    <w:rsid w:val="00B456F9"/>
    <w:rsid w:val="00B459D7"/>
    <w:rsid w:val="00B45B12"/>
    <w:rsid w:val="00B45C47"/>
    <w:rsid w:val="00B464BF"/>
    <w:rsid w:val="00B46642"/>
    <w:rsid w:val="00B46808"/>
    <w:rsid w:val="00B46E18"/>
    <w:rsid w:val="00B47A99"/>
    <w:rsid w:val="00B47AB7"/>
    <w:rsid w:val="00B47BD4"/>
    <w:rsid w:val="00B47E9E"/>
    <w:rsid w:val="00B500F1"/>
    <w:rsid w:val="00B51013"/>
    <w:rsid w:val="00B510B7"/>
    <w:rsid w:val="00B5124D"/>
    <w:rsid w:val="00B51E65"/>
    <w:rsid w:val="00B5222C"/>
    <w:rsid w:val="00B5246E"/>
    <w:rsid w:val="00B52928"/>
    <w:rsid w:val="00B52944"/>
    <w:rsid w:val="00B52B2F"/>
    <w:rsid w:val="00B532BF"/>
    <w:rsid w:val="00B53E4C"/>
    <w:rsid w:val="00B540A1"/>
    <w:rsid w:val="00B5417E"/>
    <w:rsid w:val="00B5485F"/>
    <w:rsid w:val="00B548D1"/>
    <w:rsid w:val="00B54960"/>
    <w:rsid w:val="00B54F80"/>
    <w:rsid w:val="00B551B8"/>
    <w:rsid w:val="00B552B4"/>
    <w:rsid w:val="00B5531B"/>
    <w:rsid w:val="00B5541B"/>
    <w:rsid w:val="00B56AE6"/>
    <w:rsid w:val="00B56B0D"/>
    <w:rsid w:val="00B56BAF"/>
    <w:rsid w:val="00B570E3"/>
    <w:rsid w:val="00B5791F"/>
    <w:rsid w:val="00B57934"/>
    <w:rsid w:val="00B5799A"/>
    <w:rsid w:val="00B57CA2"/>
    <w:rsid w:val="00B60009"/>
    <w:rsid w:val="00B60075"/>
    <w:rsid w:val="00B6024B"/>
    <w:rsid w:val="00B60ADB"/>
    <w:rsid w:val="00B60F0E"/>
    <w:rsid w:val="00B60F3A"/>
    <w:rsid w:val="00B60F3B"/>
    <w:rsid w:val="00B61128"/>
    <w:rsid w:val="00B61219"/>
    <w:rsid w:val="00B61282"/>
    <w:rsid w:val="00B61759"/>
    <w:rsid w:val="00B62342"/>
    <w:rsid w:val="00B62999"/>
    <w:rsid w:val="00B62A29"/>
    <w:rsid w:val="00B62BB3"/>
    <w:rsid w:val="00B62BE0"/>
    <w:rsid w:val="00B63397"/>
    <w:rsid w:val="00B6357D"/>
    <w:rsid w:val="00B63D12"/>
    <w:rsid w:val="00B64337"/>
    <w:rsid w:val="00B64BC3"/>
    <w:rsid w:val="00B64C5A"/>
    <w:rsid w:val="00B65446"/>
    <w:rsid w:val="00B656A5"/>
    <w:rsid w:val="00B657F0"/>
    <w:rsid w:val="00B65A7B"/>
    <w:rsid w:val="00B65EB4"/>
    <w:rsid w:val="00B65F09"/>
    <w:rsid w:val="00B6600C"/>
    <w:rsid w:val="00B6665F"/>
    <w:rsid w:val="00B66B57"/>
    <w:rsid w:val="00B66EBC"/>
    <w:rsid w:val="00B67340"/>
    <w:rsid w:val="00B676B2"/>
    <w:rsid w:val="00B67EA8"/>
    <w:rsid w:val="00B70F6F"/>
    <w:rsid w:val="00B7144B"/>
    <w:rsid w:val="00B7150C"/>
    <w:rsid w:val="00B71B47"/>
    <w:rsid w:val="00B71B9D"/>
    <w:rsid w:val="00B71FAE"/>
    <w:rsid w:val="00B7214A"/>
    <w:rsid w:val="00B7256D"/>
    <w:rsid w:val="00B72641"/>
    <w:rsid w:val="00B73038"/>
    <w:rsid w:val="00B73583"/>
    <w:rsid w:val="00B73632"/>
    <w:rsid w:val="00B742C4"/>
    <w:rsid w:val="00B746A9"/>
    <w:rsid w:val="00B7482E"/>
    <w:rsid w:val="00B74C54"/>
    <w:rsid w:val="00B74CDA"/>
    <w:rsid w:val="00B753E8"/>
    <w:rsid w:val="00B7658C"/>
    <w:rsid w:val="00B766B0"/>
    <w:rsid w:val="00B766ED"/>
    <w:rsid w:val="00B7675C"/>
    <w:rsid w:val="00B767DB"/>
    <w:rsid w:val="00B7695D"/>
    <w:rsid w:val="00B773FF"/>
    <w:rsid w:val="00B77931"/>
    <w:rsid w:val="00B7798E"/>
    <w:rsid w:val="00B808FE"/>
    <w:rsid w:val="00B81135"/>
    <w:rsid w:val="00B812E6"/>
    <w:rsid w:val="00B81991"/>
    <w:rsid w:val="00B81B23"/>
    <w:rsid w:val="00B82049"/>
    <w:rsid w:val="00B821FA"/>
    <w:rsid w:val="00B824B5"/>
    <w:rsid w:val="00B83029"/>
    <w:rsid w:val="00B83601"/>
    <w:rsid w:val="00B837CA"/>
    <w:rsid w:val="00B83F9E"/>
    <w:rsid w:val="00B844EC"/>
    <w:rsid w:val="00B8488B"/>
    <w:rsid w:val="00B84C3B"/>
    <w:rsid w:val="00B85928"/>
    <w:rsid w:val="00B85A20"/>
    <w:rsid w:val="00B85DA7"/>
    <w:rsid w:val="00B86264"/>
    <w:rsid w:val="00B86291"/>
    <w:rsid w:val="00B86B91"/>
    <w:rsid w:val="00B8789F"/>
    <w:rsid w:val="00B908B6"/>
    <w:rsid w:val="00B9105B"/>
    <w:rsid w:val="00B914EF"/>
    <w:rsid w:val="00B91709"/>
    <w:rsid w:val="00B91AE5"/>
    <w:rsid w:val="00B91B3A"/>
    <w:rsid w:val="00B91BDF"/>
    <w:rsid w:val="00B91D0C"/>
    <w:rsid w:val="00B9232B"/>
    <w:rsid w:val="00B9233C"/>
    <w:rsid w:val="00B92BEC"/>
    <w:rsid w:val="00B92C27"/>
    <w:rsid w:val="00B93B19"/>
    <w:rsid w:val="00B93D34"/>
    <w:rsid w:val="00B93DE5"/>
    <w:rsid w:val="00B93FFF"/>
    <w:rsid w:val="00B94001"/>
    <w:rsid w:val="00B94541"/>
    <w:rsid w:val="00B94BF0"/>
    <w:rsid w:val="00B95504"/>
    <w:rsid w:val="00B95520"/>
    <w:rsid w:val="00B95BFD"/>
    <w:rsid w:val="00B960CF"/>
    <w:rsid w:val="00B96987"/>
    <w:rsid w:val="00B972B6"/>
    <w:rsid w:val="00B97D94"/>
    <w:rsid w:val="00BA0118"/>
    <w:rsid w:val="00BA04AE"/>
    <w:rsid w:val="00BA09CB"/>
    <w:rsid w:val="00BA0F44"/>
    <w:rsid w:val="00BA0F9A"/>
    <w:rsid w:val="00BA125B"/>
    <w:rsid w:val="00BA1443"/>
    <w:rsid w:val="00BA1C04"/>
    <w:rsid w:val="00BA1CC9"/>
    <w:rsid w:val="00BA1D32"/>
    <w:rsid w:val="00BA1F58"/>
    <w:rsid w:val="00BA2745"/>
    <w:rsid w:val="00BA2CF0"/>
    <w:rsid w:val="00BA30FD"/>
    <w:rsid w:val="00BA31BF"/>
    <w:rsid w:val="00BA325C"/>
    <w:rsid w:val="00BA33D4"/>
    <w:rsid w:val="00BA36DC"/>
    <w:rsid w:val="00BA3788"/>
    <w:rsid w:val="00BA3910"/>
    <w:rsid w:val="00BA3A07"/>
    <w:rsid w:val="00BA3CE8"/>
    <w:rsid w:val="00BA3F1C"/>
    <w:rsid w:val="00BA3F2D"/>
    <w:rsid w:val="00BA3F35"/>
    <w:rsid w:val="00BA4390"/>
    <w:rsid w:val="00BA43D1"/>
    <w:rsid w:val="00BA47C4"/>
    <w:rsid w:val="00BA47CE"/>
    <w:rsid w:val="00BA4839"/>
    <w:rsid w:val="00BA5948"/>
    <w:rsid w:val="00BA5D8C"/>
    <w:rsid w:val="00BA6193"/>
    <w:rsid w:val="00BA6671"/>
    <w:rsid w:val="00BA66C2"/>
    <w:rsid w:val="00BA74BF"/>
    <w:rsid w:val="00BA7C98"/>
    <w:rsid w:val="00BB01BE"/>
    <w:rsid w:val="00BB0203"/>
    <w:rsid w:val="00BB0238"/>
    <w:rsid w:val="00BB03DE"/>
    <w:rsid w:val="00BB04EA"/>
    <w:rsid w:val="00BB050B"/>
    <w:rsid w:val="00BB14AC"/>
    <w:rsid w:val="00BB1667"/>
    <w:rsid w:val="00BB2128"/>
    <w:rsid w:val="00BB23ED"/>
    <w:rsid w:val="00BB273D"/>
    <w:rsid w:val="00BB278F"/>
    <w:rsid w:val="00BB2D6E"/>
    <w:rsid w:val="00BB36D8"/>
    <w:rsid w:val="00BB3858"/>
    <w:rsid w:val="00BB3D7C"/>
    <w:rsid w:val="00BB44ED"/>
    <w:rsid w:val="00BB4608"/>
    <w:rsid w:val="00BB4A66"/>
    <w:rsid w:val="00BB4CF0"/>
    <w:rsid w:val="00BB4F80"/>
    <w:rsid w:val="00BB5292"/>
    <w:rsid w:val="00BB6395"/>
    <w:rsid w:val="00BB694D"/>
    <w:rsid w:val="00BB6BFE"/>
    <w:rsid w:val="00BB6CB7"/>
    <w:rsid w:val="00BB6CC2"/>
    <w:rsid w:val="00BB6F84"/>
    <w:rsid w:val="00BB6FE1"/>
    <w:rsid w:val="00BB6FFF"/>
    <w:rsid w:val="00BB703D"/>
    <w:rsid w:val="00BB7221"/>
    <w:rsid w:val="00BB7396"/>
    <w:rsid w:val="00BB74D7"/>
    <w:rsid w:val="00BB7687"/>
    <w:rsid w:val="00BB7C1C"/>
    <w:rsid w:val="00BC01C2"/>
    <w:rsid w:val="00BC0310"/>
    <w:rsid w:val="00BC0CB0"/>
    <w:rsid w:val="00BC0F22"/>
    <w:rsid w:val="00BC0F2C"/>
    <w:rsid w:val="00BC1C16"/>
    <w:rsid w:val="00BC1C69"/>
    <w:rsid w:val="00BC1ECD"/>
    <w:rsid w:val="00BC2372"/>
    <w:rsid w:val="00BC2779"/>
    <w:rsid w:val="00BC2A8F"/>
    <w:rsid w:val="00BC2B45"/>
    <w:rsid w:val="00BC330C"/>
    <w:rsid w:val="00BC3521"/>
    <w:rsid w:val="00BC369E"/>
    <w:rsid w:val="00BC36CF"/>
    <w:rsid w:val="00BC3C78"/>
    <w:rsid w:val="00BC41B8"/>
    <w:rsid w:val="00BC420D"/>
    <w:rsid w:val="00BC47B0"/>
    <w:rsid w:val="00BC4934"/>
    <w:rsid w:val="00BC4F8B"/>
    <w:rsid w:val="00BC5802"/>
    <w:rsid w:val="00BC5976"/>
    <w:rsid w:val="00BC5B4A"/>
    <w:rsid w:val="00BC5BC4"/>
    <w:rsid w:val="00BC5C8A"/>
    <w:rsid w:val="00BC5D04"/>
    <w:rsid w:val="00BC620A"/>
    <w:rsid w:val="00BC6790"/>
    <w:rsid w:val="00BC6867"/>
    <w:rsid w:val="00BC6B50"/>
    <w:rsid w:val="00BC6CF2"/>
    <w:rsid w:val="00BC6E9F"/>
    <w:rsid w:val="00BC7377"/>
    <w:rsid w:val="00BC7504"/>
    <w:rsid w:val="00BC75B8"/>
    <w:rsid w:val="00BC7B7A"/>
    <w:rsid w:val="00BD01A4"/>
    <w:rsid w:val="00BD0295"/>
    <w:rsid w:val="00BD04A1"/>
    <w:rsid w:val="00BD0DFE"/>
    <w:rsid w:val="00BD0E77"/>
    <w:rsid w:val="00BD0E98"/>
    <w:rsid w:val="00BD1032"/>
    <w:rsid w:val="00BD22BA"/>
    <w:rsid w:val="00BD248F"/>
    <w:rsid w:val="00BD2554"/>
    <w:rsid w:val="00BD2E17"/>
    <w:rsid w:val="00BD358B"/>
    <w:rsid w:val="00BD3A61"/>
    <w:rsid w:val="00BD3ACA"/>
    <w:rsid w:val="00BD3B2B"/>
    <w:rsid w:val="00BD3B9D"/>
    <w:rsid w:val="00BD3E6E"/>
    <w:rsid w:val="00BD3FF3"/>
    <w:rsid w:val="00BD4049"/>
    <w:rsid w:val="00BD40A4"/>
    <w:rsid w:val="00BD4651"/>
    <w:rsid w:val="00BD4689"/>
    <w:rsid w:val="00BD4960"/>
    <w:rsid w:val="00BD4B62"/>
    <w:rsid w:val="00BD4BD4"/>
    <w:rsid w:val="00BD52F9"/>
    <w:rsid w:val="00BD5462"/>
    <w:rsid w:val="00BD5494"/>
    <w:rsid w:val="00BD7BBF"/>
    <w:rsid w:val="00BD7F03"/>
    <w:rsid w:val="00BE016F"/>
    <w:rsid w:val="00BE01C6"/>
    <w:rsid w:val="00BE0483"/>
    <w:rsid w:val="00BE0731"/>
    <w:rsid w:val="00BE0963"/>
    <w:rsid w:val="00BE13EC"/>
    <w:rsid w:val="00BE16A9"/>
    <w:rsid w:val="00BE1C81"/>
    <w:rsid w:val="00BE1E89"/>
    <w:rsid w:val="00BE24E1"/>
    <w:rsid w:val="00BE298E"/>
    <w:rsid w:val="00BE2C9B"/>
    <w:rsid w:val="00BE2D3B"/>
    <w:rsid w:val="00BE30DB"/>
    <w:rsid w:val="00BE3216"/>
    <w:rsid w:val="00BE347E"/>
    <w:rsid w:val="00BE3A1F"/>
    <w:rsid w:val="00BE3A57"/>
    <w:rsid w:val="00BE4FFB"/>
    <w:rsid w:val="00BE535E"/>
    <w:rsid w:val="00BE6182"/>
    <w:rsid w:val="00BE7AB5"/>
    <w:rsid w:val="00BF0316"/>
    <w:rsid w:val="00BF04AE"/>
    <w:rsid w:val="00BF0B05"/>
    <w:rsid w:val="00BF0C1D"/>
    <w:rsid w:val="00BF1027"/>
    <w:rsid w:val="00BF1328"/>
    <w:rsid w:val="00BF186E"/>
    <w:rsid w:val="00BF1950"/>
    <w:rsid w:val="00BF1E68"/>
    <w:rsid w:val="00BF22EF"/>
    <w:rsid w:val="00BF2749"/>
    <w:rsid w:val="00BF2C06"/>
    <w:rsid w:val="00BF2C32"/>
    <w:rsid w:val="00BF2C96"/>
    <w:rsid w:val="00BF2D94"/>
    <w:rsid w:val="00BF3295"/>
    <w:rsid w:val="00BF33C6"/>
    <w:rsid w:val="00BF34F3"/>
    <w:rsid w:val="00BF3717"/>
    <w:rsid w:val="00BF3AA5"/>
    <w:rsid w:val="00BF4BD7"/>
    <w:rsid w:val="00BF521E"/>
    <w:rsid w:val="00BF5519"/>
    <w:rsid w:val="00BF5933"/>
    <w:rsid w:val="00BF627A"/>
    <w:rsid w:val="00BF6741"/>
    <w:rsid w:val="00BF692E"/>
    <w:rsid w:val="00BF6DD0"/>
    <w:rsid w:val="00BF6E64"/>
    <w:rsid w:val="00BF7246"/>
    <w:rsid w:val="00BF7413"/>
    <w:rsid w:val="00BF75B1"/>
    <w:rsid w:val="00BF76AF"/>
    <w:rsid w:val="00BF7701"/>
    <w:rsid w:val="00BF78BA"/>
    <w:rsid w:val="00BF79B3"/>
    <w:rsid w:val="00C000F2"/>
    <w:rsid w:val="00C0084F"/>
    <w:rsid w:val="00C00A23"/>
    <w:rsid w:val="00C013B2"/>
    <w:rsid w:val="00C0147A"/>
    <w:rsid w:val="00C019C4"/>
    <w:rsid w:val="00C02081"/>
    <w:rsid w:val="00C024AD"/>
    <w:rsid w:val="00C0289D"/>
    <w:rsid w:val="00C02A12"/>
    <w:rsid w:val="00C02C71"/>
    <w:rsid w:val="00C030B7"/>
    <w:rsid w:val="00C03BDD"/>
    <w:rsid w:val="00C045C2"/>
    <w:rsid w:val="00C053DE"/>
    <w:rsid w:val="00C05649"/>
    <w:rsid w:val="00C05754"/>
    <w:rsid w:val="00C0580C"/>
    <w:rsid w:val="00C05819"/>
    <w:rsid w:val="00C05B10"/>
    <w:rsid w:val="00C05BB6"/>
    <w:rsid w:val="00C05C71"/>
    <w:rsid w:val="00C060FB"/>
    <w:rsid w:val="00C0627D"/>
    <w:rsid w:val="00C062AA"/>
    <w:rsid w:val="00C06465"/>
    <w:rsid w:val="00C065B1"/>
    <w:rsid w:val="00C06730"/>
    <w:rsid w:val="00C06734"/>
    <w:rsid w:val="00C06822"/>
    <w:rsid w:val="00C07447"/>
    <w:rsid w:val="00C079A5"/>
    <w:rsid w:val="00C10A76"/>
    <w:rsid w:val="00C10C8A"/>
    <w:rsid w:val="00C10FB6"/>
    <w:rsid w:val="00C110C1"/>
    <w:rsid w:val="00C112CA"/>
    <w:rsid w:val="00C11405"/>
    <w:rsid w:val="00C1140A"/>
    <w:rsid w:val="00C1162C"/>
    <w:rsid w:val="00C11A35"/>
    <w:rsid w:val="00C11B38"/>
    <w:rsid w:val="00C11CF2"/>
    <w:rsid w:val="00C11E9E"/>
    <w:rsid w:val="00C12C0D"/>
    <w:rsid w:val="00C1343F"/>
    <w:rsid w:val="00C1373A"/>
    <w:rsid w:val="00C13FF8"/>
    <w:rsid w:val="00C14395"/>
    <w:rsid w:val="00C143B5"/>
    <w:rsid w:val="00C146F7"/>
    <w:rsid w:val="00C14AAE"/>
    <w:rsid w:val="00C14B05"/>
    <w:rsid w:val="00C14C03"/>
    <w:rsid w:val="00C14F26"/>
    <w:rsid w:val="00C15004"/>
    <w:rsid w:val="00C153B1"/>
    <w:rsid w:val="00C15474"/>
    <w:rsid w:val="00C158B4"/>
    <w:rsid w:val="00C15C89"/>
    <w:rsid w:val="00C161D7"/>
    <w:rsid w:val="00C16CCF"/>
    <w:rsid w:val="00C16EFC"/>
    <w:rsid w:val="00C16F4F"/>
    <w:rsid w:val="00C17FF4"/>
    <w:rsid w:val="00C202E6"/>
    <w:rsid w:val="00C2054C"/>
    <w:rsid w:val="00C20599"/>
    <w:rsid w:val="00C20B0C"/>
    <w:rsid w:val="00C2108F"/>
    <w:rsid w:val="00C217B6"/>
    <w:rsid w:val="00C21991"/>
    <w:rsid w:val="00C21ADA"/>
    <w:rsid w:val="00C21B79"/>
    <w:rsid w:val="00C21F9D"/>
    <w:rsid w:val="00C223AE"/>
    <w:rsid w:val="00C2258F"/>
    <w:rsid w:val="00C2276F"/>
    <w:rsid w:val="00C22CC0"/>
    <w:rsid w:val="00C23168"/>
    <w:rsid w:val="00C235E7"/>
    <w:rsid w:val="00C23A6C"/>
    <w:rsid w:val="00C23D68"/>
    <w:rsid w:val="00C23EFB"/>
    <w:rsid w:val="00C2469F"/>
    <w:rsid w:val="00C2477D"/>
    <w:rsid w:val="00C24ACF"/>
    <w:rsid w:val="00C25439"/>
    <w:rsid w:val="00C25744"/>
    <w:rsid w:val="00C25D4A"/>
    <w:rsid w:val="00C25DAE"/>
    <w:rsid w:val="00C25DE6"/>
    <w:rsid w:val="00C26062"/>
    <w:rsid w:val="00C261B5"/>
    <w:rsid w:val="00C26352"/>
    <w:rsid w:val="00C26683"/>
    <w:rsid w:val="00C26821"/>
    <w:rsid w:val="00C269B0"/>
    <w:rsid w:val="00C269E6"/>
    <w:rsid w:val="00C26A87"/>
    <w:rsid w:val="00C26BEA"/>
    <w:rsid w:val="00C26D35"/>
    <w:rsid w:val="00C26FD2"/>
    <w:rsid w:val="00C27223"/>
    <w:rsid w:val="00C2769D"/>
    <w:rsid w:val="00C27DD2"/>
    <w:rsid w:val="00C27F1D"/>
    <w:rsid w:val="00C3022E"/>
    <w:rsid w:val="00C309D9"/>
    <w:rsid w:val="00C30B15"/>
    <w:rsid w:val="00C31905"/>
    <w:rsid w:val="00C31B38"/>
    <w:rsid w:val="00C3220A"/>
    <w:rsid w:val="00C323E3"/>
    <w:rsid w:val="00C324EA"/>
    <w:rsid w:val="00C32599"/>
    <w:rsid w:val="00C328D0"/>
    <w:rsid w:val="00C329C3"/>
    <w:rsid w:val="00C33567"/>
    <w:rsid w:val="00C3373C"/>
    <w:rsid w:val="00C342A6"/>
    <w:rsid w:val="00C345D5"/>
    <w:rsid w:val="00C34835"/>
    <w:rsid w:val="00C34A0A"/>
    <w:rsid w:val="00C34B59"/>
    <w:rsid w:val="00C34EAA"/>
    <w:rsid w:val="00C351C9"/>
    <w:rsid w:val="00C3556A"/>
    <w:rsid w:val="00C35795"/>
    <w:rsid w:val="00C35FFD"/>
    <w:rsid w:val="00C363FF"/>
    <w:rsid w:val="00C3658F"/>
    <w:rsid w:val="00C36E52"/>
    <w:rsid w:val="00C37718"/>
    <w:rsid w:val="00C3785C"/>
    <w:rsid w:val="00C37ADA"/>
    <w:rsid w:val="00C37D0A"/>
    <w:rsid w:val="00C37D25"/>
    <w:rsid w:val="00C400E7"/>
    <w:rsid w:val="00C402EC"/>
    <w:rsid w:val="00C4075A"/>
    <w:rsid w:val="00C40797"/>
    <w:rsid w:val="00C40E7E"/>
    <w:rsid w:val="00C41C4C"/>
    <w:rsid w:val="00C429EF"/>
    <w:rsid w:val="00C42A38"/>
    <w:rsid w:val="00C42AA9"/>
    <w:rsid w:val="00C42FFF"/>
    <w:rsid w:val="00C433E0"/>
    <w:rsid w:val="00C435E2"/>
    <w:rsid w:val="00C43B02"/>
    <w:rsid w:val="00C44085"/>
    <w:rsid w:val="00C441E2"/>
    <w:rsid w:val="00C44CC1"/>
    <w:rsid w:val="00C45C9F"/>
    <w:rsid w:val="00C45ED9"/>
    <w:rsid w:val="00C4694D"/>
    <w:rsid w:val="00C46C1C"/>
    <w:rsid w:val="00C47295"/>
    <w:rsid w:val="00C47D8F"/>
    <w:rsid w:val="00C502C2"/>
    <w:rsid w:val="00C50AD2"/>
    <w:rsid w:val="00C50B51"/>
    <w:rsid w:val="00C511A5"/>
    <w:rsid w:val="00C51322"/>
    <w:rsid w:val="00C51461"/>
    <w:rsid w:val="00C51721"/>
    <w:rsid w:val="00C51AAD"/>
    <w:rsid w:val="00C51CCD"/>
    <w:rsid w:val="00C53684"/>
    <w:rsid w:val="00C53806"/>
    <w:rsid w:val="00C53B4E"/>
    <w:rsid w:val="00C53EE7"/>
    <w:rsid w:val="00C5409A"/>
    <w:rsid w:val="00C55006"/>
    <w:rsid w:val="00C55099"/>
    <w:rsid w:val="00C550BA"/>
    <w:rsid w:val="00C55963"/>
    <w:rsid w:val="00C55A33"/>
    <w:rsid w:val="00C55A63"/>
    <w:rsid w:val="00C5622F"/>
    <w:rsid w:val="00C56AC4"/>
    <w:rsid w:val="00C570AD"/>
    <w:rsid w:val="00C57C11"/>
    <w:rsid w:val="00C603FD"/>
    <w:rsid w:val="00C6066E"/>
    <w:rsid w:val="00C6078D"/>
    <w:rsid w:val="00C60963"/>
    <w:rsid w:val="00C6107D"/>
    <w:rsid w:val="00C611B9"/>
    <w:rsid w:val="00C611CB"/>
    <w:rsid w:val="00C61CEB"/>
    <w:rsid w:val="00C62155"/>
    <w:rsid w:val="00C62320"/>
    <w:rsid w:val="00C623C7"/>
    <w:rsid w:val="00C6250A"/>
    <w:rsid w:val="00C6288C"/>
    <w:rsid w:val="00C62C04"/>
    <w:rsid w:val="00C6305D"/>
    <w:rsid w:val="00C6348D"/>
    <w:rsid w:val="00C63622"/>
    <w:rsid w:val="00C63DE6"/>
    <w:rsid w:val="00C649C9"/>
    <w:rsid w:val="00C65F8C"/>
    <w:rsid w:val="00C66015"/>
    <w:rsid w:val="00C66082"/>
    <w:rsid w:val="00C66199"/>
    <w:rsid w:val="00C662A2"/>
    <w:rsid w:val="00C66377"/>
    <w:rsid w:val="00C66464"/>
    <w:rsid w:val="00C6667D"/>
    <w:rsid w:val="00C66C9D"/>
    <w:rsid w:val="00C67586"/>
    <w:rsid w:val="00C67C89"/>
    <w:rsid w:val="00C67CE8"/>
    <w:rsid w:val="00C67DBF"/>
    <w:rsid w:val="00C6C732"/>
    <w:rsid w:val="00C7010D"/>
    <w:rsid w:val="00C70C2C"/>
    <w:rsid w:val="00C71DA2"/>
    <w:rsid w:val="00C72BE9"/>
    <w:rsid w:val="00C7324A"/>
    <w:rsid w:val="00C73A28"/>
    <w:rsid w:val="00C74890"/>
    <w:rsid w:val="00C749ED"/>
    <w:rsid w:val="00C74AC6"/>
    <w:rsid w:val="00C74B4D"/>
    <w:rsid w:val="00C7540E"/>
    <w:rsid w:val="00C75A25"/>
    <w:rsid w:val="00C75C42"/>
    <w:rsid w:val="00C75EFB"/>
    <w:rsid w:val="00C76246"/>
    <w:rsid w:val="00C76C98"/>
    <w:rsid w:val="00C7769F"/>
    <w:rsid w:val="00C77728"/>
    <w:rsid w:val="00C778BC"/>
    <w:rsid w:val="00C800F5"/>
    <w:rsid w:val="00C80A5F"/>
    <w:rsid w:val="00C811E1"/>
    <w:rsid w:val="00C812FD"/>
    <w:rsid w:val="00C81414"/>
    <w:rsid w:val="00C81CC5"/>
    <w:rsid w:val="00C81E89"/>
    <w:rsid w:val="00C81F9F"/>
    <w:rsid w:val="00C82017"/>
    <w:rsid w:val="00C82363"/>
    <w:rsid w:val="00C8238C"/>
    <w:rsid w:val="00C828FD"/>
    <w:rsid w:val="00C82A66"/>
    <w:rsid w:val="00C8300E"/>
    <w:rsid w:val="00C832F8"/>
    <w:rsid w:val="00C83726"/>
    <w:rsid w:val="00C84C62"/>
    <w:rsid w:val="00C84D55"/>
    <w:rsid w:val="00C854AC"/>
    <w:rsid w:val="00C8605E"/>
    <w:rsid w:val="00C8629A"/>
    <w:rsid w:val="00C86D83"/>
    <w:rsid w:val="00C8792C"/>
    <w:rsid w:val="00C87C6D"/>
    <w:rsid w:val="00C90023"/>
    <w:rsid w:val="00C9010C"/>
    <w:rsid w:val="00C9015A"/>
    <w:rsid w:val="00C902F4"/>
    <w:rsid w:val="00C90BF0"/>
    <w:rsid w:val="00C9113F"/>
    <w:rsid w:val="00C91298"/>
    <w:rsid w:val="00C9185C"/>
    <w:rsid w:val="00C91A3C"/>
    <w:rsid w:val="00C9206B"/>
    <w:rsid w:val="00C92941"/>
    <w:rsid w:val="00C92DAC"/>
    <w:rsid w:val="00C9305B"/>
    <w:rsid w:val="00C933A4"/>
    <w:rsid w:val="00C9354C"/>
    <w:rsid w:val="00C94980"/>
    <w:rsid w:val="00C94B60"/>
    <w:rsid w:val="00C94F19"/>
    <w:rsid w:val="00C955A5"/>
    <w:rsid w:val="00C95A51"/>
    <w:rsid w:val="00C96CEF"/>
    <w:rsid w:val="00C974C1"/>
    <w:rsid w:val="00C979D3"/>
    <w:rsid w:val="00C97AE5"/>
    <w:rsid w:val="00C97B08"/>
    <w:rsid w:val="00C97E69"/>
    <w:rsid w:val="00C9C085"/>
    <w:rsid w:val="00CA005B"/>
    <w:rsid w:val="00CA0335"/>
    <w:rsid w:val="00CA0804"/>
    <w:rsid w:val="00CA0F98"/>
    <w:rsid w:val="00CA120E"/>
    <w:rsid w:val="00CA1518"/>
    <w:rsid w:val="00CA16FD"/>
    <w:rsid w:val="00CA1A7B"/>
    <w:rsid w:val="00CA1FCC"/>
    <w:rsid w:val="00CA27A4"/>
    <w:rsid w:val="00CA2876"/>
    <w:rsid w:val="00CA2A0A"/>
    <w:rsid w:val="00CA35C5"/>
    <w:rsid w:val="00CA392C"/>
    <w:rsid w:val="00CA3991"/>
    <w:rsid w:val="00CA4AD1"/>
    <w:rsid w:val="00CA4C90"/>
    <w:rsid w:val="00CA4E7E"/>
    <w:rsid w:val="00CA4FDD"/>
    <w:rsid w:val="00CA508E"/>
    <w:rsid w:val="00CA53EE"/>
    <w:rsid w:val="00CA5588"/>
    <w:rsid w:val="00CA56EC"/>
    <w:rsid w:val="00CA5949"/>
    <w:rsid w:val="00CA5A15"/>
    <w:rsid w:val="00CA5B18"/>
    <w:rsid w:val="00CA63BD"/>
    <w:rsid w:val="00CA6596"/>
    <w:rsid w:val="00CA6B95"/>
    <w:rsid w:val="00CA6CAA"/>
    <w:rsid w:val="00CA70DB"/>
    <w:rsid w:val="00CA710E"/>
    <w:rsid w:val="00CA74E7"/>
    <w:rsid w:val="00CA7B90"/>
    <w:rsid w:val="00CA7C5D"/>
    <w:rsid w:val="00CA7CA1"/>
    <w:rsid w:val="00CB04B1"/>
    <w:rsid w:val="00CB189C"/>
    <w:rsid w:val="00CB1C01"/>
    <w:rsid w:val="00CB1E02"/>
    <w:rsid w:val="00CB1E63"/>
    <w:rsid w:val="00CB2253"/>
    <w:rsid w:val="00CB2363"/>
    <w:rsid w:val="00CB2467"/>
    <w:rsid w:val="00CB2940"/>
    <w:rsid w:val="00CB37AC"/>
    <w:rsid w:val="00CB3BCC"/>
    <w:rsid w:val="00CB45B2"/>
    <w:rsid w:val="00CB46BE"/>
    <w:rsid w:val="00CB49F7"/>
    <w:rsid w:val="00CB4EFB"/>
    <w:rsid w:val="00CB503C"/>
    <w:rsid w:val="00CB507B"/>
    <w:rsid w:val="00CB50DA"/>
    <w:rsid w:val="00CB5E2D"/>
    <w:rsid w:val="00CB6C23"/>
    <w:rsid w:val="00CB6E24"/>
    <w:rsid w:val="00CB6F7A"/>
    <w:rsid w:val="00CB6FB5"/>
    <w:rsid w:val="00CB7157"/>
    <w:rsid w:val="00CB7699"/>
    <w:rsid w:val="00CB7A27"/>
    <w:rsid w:val="00CB7A4C"/>
    <w:rsid w:val="00CB7A84"/>
    <w:rsid w:val="00CB7D93"/>
    <w:rsid w:val="00CC033F"/>
    <w:rsid w:val="00CC03F4"/>
    <w:rsid w:val="00CC0733"/>
    <w:rsid w:val="00CC0BF1"/>
    <w:rsid w:val="00CC162E"/>
    <w:rsid w:val="00CC1688"/>
    <w:rsid w:val="00CC1F52"/>
    <w:rsid w:val="00CC2C90"/>
    <w:rsid w:val="00CC2DB1"/>
    <w:rsid w:val="00CC33BD"/>
    <w:rsid w:val="00CC342F"/>
    <w:rsid w:val="00CC360E"/>
    <w:rsid w:val="00CC37D4"/>
    <w:rsid w:val="00CC382D"/>
    <w:rsid w:val="00CC410B"/>
    <w:rsid w:val="00CC4122"/>
    <w:rsid w:val="00CC60B5"/>
    <w:rsid w:val="00CC68B1"/>
    <w:rsid w:val="00CC696A"/>
    <w:rsid w:val="00CC6D82"/>
    <w:rsid w:val="00CC70E2"/>
    <w:rsid w:val="00CC7239"/>
    <w:rsid w:val="00CC73A1"/>
    <w:rsid w:val="00CC73D2"/>
    <w:rsid w:val="00CC76F0"/>
    <w:rsid w:val="00CC7C13"/>
    <w:rsid w:val="00CD0EBF"/>
    <w:rsid w:val="00CD0F25"/>
    <w:rsid w:val="00CD1617"/>
    <w:rsid w:val="00CD1EF8"/>
    <w:rsid w:val="00CD223A"/>
    <w:rsid w:val="00CD229D"/>
    <w:rsid w:val="00CD22EE"/>
    <w:rsid w:val="00CD2300"/>
    <w:rsid w:val="00CD255E"/>
    <w:rsid w:val="00CD2729"/>
    <w:rsid w:val="00CD2ACB"/>
    <w:rsid w:val="00CD327E"/>
    <w:rsid w:val="00CD38BD"/>
    <w:rsid w:val="00CD3A37"/>
    <w:rsid w:val="00CD3E4F"/>
    <w:rsid w:val="00CD4B85"/>
    <w:rsid w:val="00CD4D20"/>
    <w:rsid w:val="00CD5342"/>
    <w:rsid w:val="00CD5A1A"/>
    <w:rsid w:val="00CD61FB"/>
    <w:rsid w:val="00CD63A5"/>
    <w:rsid w:val="00CD6C0E"/>
    <w:rsid w:val="00CD6D48"/>
    <w:rsid w:val="00CD6D68"/>
    <w:rsid w:val="00CD72D8"/>
    <w:rsid w:val="00CD7461"/>
    <w:rsid w:val="00CD76FB"/>
    <w:rsid w:val="00CD7A1D"/>
    <w:rsid w:val="00CD7EAF"/>
    <w:rsid w:val="00CE14B4"/>
    <w:rsid w:val="00CE17FA"/>
    <w:rsid w:val="00CE2020"/>
    <w:rsid w:val="00CE2558"/>
    <w:rsid w:val="00CE28F4"/>
    <w:rsid w:val="00CE2C12"/>
    <w:rsid w:val="00CE2D12"/>
    <w:rsid w:val="00CE30C0"/>
    <w:rsid w:val="00CE3217"/>
    <w:rsid w:val="00CE32C6"/>
    <w:rsid w:val="00CE3863"/>
    <w:rsid w:val="00CE3FF1"/>
    <w:rsid w:val="00CE405C"/>
    <w:rsid w:val="00CE43D5"/>
    <w:rsid w:val="00CE4731"/>
    <w:rsid w:val="00CE476B"/>
    <w:rsid w:val="00CE4909"/>
    <w:rsid w:val="00CE5CBE"/>
    <w:rsid w:val="00CE69AC"/>
    <w:rsid w:val="00CE7358"/>
    <w:rsid w:val="00CE73D6"/>
    <w:rsid w:val="00CE73F8"/>
    <w:rsid w:val="00CE74A0"/>
    <w:rsid w:val="00CF07C4"/>
    <w:rsid w:val="00CF0A7A"/>
    <w:rsid w:val="00CF0ACB"/>
    <w:rsid w:val="00CF0B78"/>
    <w:rsid w:val="00CF0DB6"/>
    <w:rsid w:val="00CF1007"/>
    <w:rsid w:val="00CF107C"/>
    <w:rsid w:val="00CF1179"/>
    <w:rsid w:val="00CF1810"/>
    <w:rsid w:val="00CF18CF"/>
    <w:rsid w:val="00CF2DA9"/>
    <w:rsid w:val="00CF2FF7"/>
    <w:rsid w:val="00CF307C"/>
    <w:rsid w:val="00CF32E4"/>
    <w:rsid w:val="00CF3737"/>
    <w:rsid w:val="00CF4441"/>
    <w:rsid w:val="00CF47BC"/>
    <w:rsid w:val="00CF483B"/>
    <w:rsid w:val="00CF4B4A"/>
    <w:rsid w:val="00CF4D27"/>
    <w:rsid w:val="00CF4DBE"/>
    <w:rsid w:val="00CF5878"/>
    <w:rsid w:val="00CF5C96"/>
    <w:rsid w:val="00CF5D14"/>
    <w:rsid w:val="00CF63B7"/>
    <w:rsid w:val="00CF66AB"/>
    <w:rsid w:val="00CF680D"/>
    <w:rsid w:val="00CF6AC7"/>
    <w:rsid w:val="00CF6CE6"/>
    <w:rsid w:val="00CF6E40"/>
    <w:rsid w:val="00CF7147"/>
    <w:rsid w:val="00CF71CC"/>
    <w:rsid w:val="00CF793A"/>
    <w:rsid w:val="00CF7A63"/>
    <w:rsid w:val="00CF7B3C"/>
    <w:rsid w:val="00CF7D02"/>
    <w:rsid w:val="00CF7F66"/>
    <w:rsid w:val="00CF7F93"/>
    <w:rsid w:val="00D00376"/>
    <w:rsid w:val="00D00540"/>
    <w:rsid w:val="00D006C1"/>
    <w:rsid w:val="00D006D2"/>
    <w:rsid w:val="00D007B7"/>
    <w:rsid w:val="00D00B2A"/>
    <w:rsid w:val="00D00BDB"/>
    <w:rsid w:val="00D0106F"/>
    <w:rsid w:val="00D01784"/>
    <w:rsid w:val="00D017E6"/>
    <w:rsid w:val="00D01853"/>
    <w:rsid w:val="00D01F75"/>
    <w:rsid w:val="00D02185"/>
    <w:rsid w:val="00D0240E"/>
    <w:rsid w:val="00D02792"/>
    <w:rsid w:val="00D02F90"/>
    <w:rsid w:val="00D03188"/>
    <w:rsid w:val="00D033BD"/>
    <w:rsid w:val="00D0539F"/>
    <w:rsid w:val="00D05860"/>
    <w:rsid w:val="00D05BD4"/>
    <w:rsid w:val="00D05FB6"/>
    <w:rsid w:val="00D06BC5"/>
    <w:rsid w:val="00D073E1"/>
    <w:rsid w:val="00D07F74"/>
    <w:rsid w:val="00D10775"/>
    <w:rsid w:val="00D107E5"/>
    <w:rsid w:val="00D10F91"/>
    <w:rsid w:val="00D11FE3"/>
    <w:rsid w:val="00D12218"/>
    <w:rsid w:val="00D12AC0"/>
    <w:rsid w:val="00D12BBA"/>
    <w:rsid w:val="00D13CFA"/>
    <w:rsid w:val="00D13D41"/>
    <w:rsid w:val="00D13E57"/>
    <w:rsid w:val="00D145CF"/>
    <w:rsid w:val="00D14728"/>
    <w:rsid w:val="00D14DFB"/>
    <w:rsid w:val="00D1524A"/>
    <w:rsid w:val="00D153B3"/>
    <w:rsid w:val="00D1582B"/>
    <w:rsid w:val="00D15935"/>
    <w:rsid w:val="00D15AF2"/>
    <w:rsid w:val="00D15B3C"/>
    <w:rsid w:val="00D1655F"/>
    <w:rsid w:val="00D166DB"/>
    <w:rsid w:val="00D16A9F"/>
    <w:rsid w:val="00D1710E"/>
    <w:rsid w:val="00D17576"/>
    <w:rsid w:val="00D17F7F"/>
    <w:rsid w:val="00D2023D"/>
    <w:rsid w:val="00D20B1B"/>
    <w:rsid w:val="00D20F0C"/>
    <w:rsid w:val="00D213ED"/>
    <w:rsid w:val="00D214B7"/>
    <w:rsid w:val="00D215B5"/>
    <w:rsid w:val="00D224DD"/>
    <w:rsid w:val="00D227A5"/>
    <w:rsid w:val="00D227F1"/>
    <w:rsid w:val="00D22B97"/>
    <w:rsid w:val="00D22D3B"/>
    <w:rsid w:val="00D22F7F"/>
    <w:rsid w:val="00D238C7"/>
    <w:rsid w:val="00D243F7"/>
    <w:rsid w:val="00D243F8"/>
    <w:rsid w:val="00D244E2"/>
    <w:rsid w:val="00D249FF"/>
    <w:rsid w:val="00D24CE4"/>
    <w:rsid w:val="00D24F7E"/>
    <w:rsid w:val="00D25171"/>
    <w:rsid w:val="00D256F1"/>
    <w:rsid w:val="00D257BB"/>
    <w:rsid w:val="00D25922"/>
    <w:rsid w:val="00D25999"/>
    <w:rsid w:val="00D25DCE"/>
    <w:rsid w:val="00D25FB4"/>
    <w:rsid w:val="00D26396"/>
    <w:rsid w:val="00D263D5"/>
    <w:rsid w:val="00D267BF"/>
    <w:rsid w:val="00D26B3B"/>
    <w:rsid w:val="00D26C79"/>
    <w:rsid w:val="00D26D94"/>
    <w:rsid w:val="00D270DF"/>
    <w:rsid w:val="00D2724D"/>
    <w:rsid w:val="00D272EC"/>
    <w:rsid w:val="00D27879"/>
    <w:rsid w:val="00D27C19"/>
    <w:rsid w:val="00D27F7F"/>
    <w:rsid w:val="00D30E69"/>
    <w:rsid w:val="00D30F3C"/>
    <w:rsid w:val="00D31087"/>
    <w:rsid w:val="00D3127B"/>
    <w:rsid w:val="00D313C5"/>
    <w:rsid w:val="00D320F1"/>
    <w:rsid w:val="00D322B8"/>
    <w:rsid w:val="00D32C36"/>
    <w:rsid w:val="00D32D20"/>
    <w:rsid w:val="00D33543"/>
    <w:rsid w:val="00D335D9"/>
    <w:rsid w:val="00D3397F"/>
    <w:rsid w:val="00D33B61"/>
    <w:rsid w:val="00D3466B"/>
    <w:rsid w:val="00D346E6"/>
    <w:rsid w:val="00D34744"/>
    <w:rsid w:val="00D350F8"/>
    <w:rsid w:val="00D3552A"/>
    <w:rsid w:val="00D35AC1"/>
    <w:rsid w:val="00D366A1"/>
    <w:rsid w:val="00D36DC8"/>
    <w:rsid w:val="00D36DE5"/>
    <w:rsid w:val="00D37327"/>
    <w:rsid w:val="00D37547"/>
    <w:rsid w:val="00D375A6"/>
    <w:rsid w:val="00D37E20"/>
    <w:rsid w:val="00D404A4"/>
    <w:rsid w:val="00D404DF"/>
    <w:rsid w:val="00D406B3"/>
    <w:rsid w:val="00D414C5"/>
    <w:rsid w:val="00D417A3"/>
    <w:rsid w:val="00D41904"/>
    <w:rsid w:val="00D42913"/>
    <w:rsid w:val="00D42981"/>
    <w:rsid w:val="00D42A41"/>
    <w:rsid w:val="00D42A9B"/>
    <w:rsid w:val="00D435A8"/>
    <w:rsid w:val="00D43853"/>
    <w:rsid w:val="00D440CE"/>
    <w:rsid w:val="00D4452E"/>
    <w:rsid w:val="00D4497D"/>
    <w:rsid w:val="00D45384"/>
    <w:rsid w:val="00D45AB4"/>
    <w:rsid w:val="00D45B02"/>
    <w:rsid w:val="00D45CF1"/>
    <w:rsid w:val="00D46D45"/>
    <w:rsid w:val="00D4702E"/>
    <w:rsid w:val="00D47133"/>
    <w:rsid w:val="00D47141"/>
    <w:rsid w:val="00D47BFA"/>
    <w:rsid w:val="00D47F69"/>
    <w:rsid w:val="00D504EB"/>
    <w:rsid w:val="00D51564"/>
    <w:rsid w:val="00D517F5"/>
    <w:rsid w:val="00D51C01"/>
    <w:rsid w:val="00D51E6A"/>
    <w:rsid w:val="00D51F7D"/>
    <w:rsid w:val="00D51FD6"/>
    <w:rsid w:val="00D52291"/>
    <w:rsid w:val="00D52AFB"/>
    <w:rsid w:val="00D52F7D"/>
    <w:rsid w:val="00D53954"/>
    <w:rsid w:val="00D539C5"/>
    <w:rsid w:val="00D53E56"/>
    <w:rsid w:val="00D54061"/>
    <w:rsid w:val="00D54431"/>
    <w:rsid w:val="00D54676"/>
    <w:rsid w:val="00D54C3A"/>
    <w:rsid w:val="00D54F08"/>
    <w:rsid w:val="00D55860"/>
    <w:rsid w:val="00D559BF"/>
    <w:rsid w:val="00D55F5C"/>
    <w:rsid w:val="00D562F3"/>
    <w:rsid w:val="00D57173"/>
    <w:rsid w:val="00D57EF5"/>
    <w:rsid w:val="00D6039E"/>
    <w:rsid w:val="00D60A58"/>
    <w:rsid w:val="00D6128A"/>
    <w:rsid w:val="00D62308"/>
    <w:rsid w:val="00D623B3"/>
    <w:rsid w:val="00D62546"/>
    <w:rsid w:val="00D62749"/>
    <w:rsid w:val="00D628A0"/>
    <w:rsid w:val="00D628B8"/>
    <w:rsid w:val="00D62922"/>
    <w:rsid w:val="00D62967"/>
    <w:rsid w:val="00D62ACE"/>
    <w:rsid w:val="00D632BB"/>
    <w:rsid w:val="00D63B87"/>
    <w:rsid w:val="00D640E6"/>
    <w:rsid w:val="00D64163"/>
    <w:rsid w:val="00D644B7"/>
    <w:rsid w:val="00D64AEA"/>
    <w:rsid w:val="00D64F43"/>
    <w:rsid w:val="00D65604"/>
    <w:rsid w:val="00D66CF6"/>
    <w:rsid w:val="00D66E0F"/>
    <w:rsid w:val="00D674AF"/>
    <w:rsid w:val="00D6769E"/>
    <w:rsid w:val="00D67DDE"/>
    <w:rsid w:val="00D70364"/>
    <w:rsid w:val="00D705C7"/>
    <w:rsid w:val="00D70B2C"/>
    <w:rsid w:val="00D71279"/>
    <w:rsid w:val="00D712CB"/>
    <w:rsid w:val="00D71639"/>
    <w:rsid w:val="00D71BA3"/>
    <w:rsid w:val="00D71D2B"/>
    <w:rsid w:val="00D71E6C"/>
    <w:rsid w:val="00D71EDB"/>
    <w:rsid w:val="00D7206A"/>
    <w:rsid w:val="00D72334"/>
    <w:rsid w:val="00D725A8"/>
    <w:rsid w:val="00D72B94"/>
    <w:rsid w:val="00D72E47"/>
    <w:rsid w:val="00D73156"/>
    <w:rsid w:val="00D73DE6"/>
    <w:rsid w:val="00D74210"/>
    <w:rsid w:val="00D74B21"/>
    <w:rsid w:val="00D74D85"/>
    <w:rsid w:val="00D75689"/>
    <w:rsid w:val="00D75864"/>
    <w:rsid w:val="00D75A9C"/>
    <w:rsid w:val="00D76578"/>
    <w:rsid w:val="00D76AE0"/>
    <w:rsid w:val="00D76BA0"/>
    <w:rsid w:val="00D77046"/>
    <w:rsid w:val="00D778DD"/>
    <w:rsid w:val="00D77EC6"/>
    <w:rsid w:val="00D77F5E"/>
    <w:rsid w:val="00D80818"/>
    <w:rsid w:val="00D809F9"/>
    <w:rsid w:val="00D8179B"/>
    <w:rsid w:val="00D81F89"/>
    <w:rsid w:val="00D81FDD"/>
    <w:rsid w:val="00D823DF"/>
    <w:rsid w:val="00D82FDD"/>
    <w:rsid w:val="00D8301E"/>
    <w:rsid w:val="00D8318F"/>
    <w:rsid w:val="00D831A5"/>
    <w:rsid w:val="00D8347B"/>
    <w:rsid w:val="00D8366F"/>
    <w:rsid w:val="00D83874"/>
    <w:rsid w:val="00D8393C"/>
    <w:rsid w:val="00D839F6"/>
    <w:rsid w:val="00D83F27"/>
    <w:rsid w:val="00D84048"/>
    <w:rsid w:val="00D843B9"/>
    <w:rsid w:val="00D84664"/>
    <w:rsid w:val="00D85595"/>
    <w:rsid w:val="00D856F4"/>
    <w:rsid w:val="00D858D9"/>
    <w:rsid w:val="00D8592A"/>
    <w:rsid w:val="00D85C0E"/>
    <w:rsid w:val="00D85C6B"/>
    <w:rsid w:val="00D86167"/>
    <w:rsid w:val="00D86637"/>
    <w:rsid w:val="00D866B6"/>
    <w:rsid w:val="00D86A3A"/>
    <w:rsid w:val="00D879AA"/>
    <w:rsid w:val="00D87B09"/>
    <w:rsid w:val="00D87D2D"/>
    <w:rsid w:val="00D87E92"/>
    <w:rsid w:val="00D87F12"/>
    <w:rsid w:val="00D87F97"/>
    <w:rsid w:val="00D9043D"/>
    <w:rsid w:val="00D90E28"/>
    <w:rsid w:val="00D91002"/>
    <w:rsid w:val="00D912CE"/>
    <w:rsid w:val="00D919B2"/>
    <w:rsid w:val="00D91B88"/>
    <w:rsid w:val="00D91BEB"/>
    <w:rsid w:val="00D921FA"/>
    <w:rsid w:val="00D92DB0"/>
    <w:rsid w:val="00D92E03"/>
    <w:rsid w:val="00D935CF"/>
    <w:rsid w:val="00D9389F"/>
    <w:rsid w:val="00D93BFF"/>
    <w:rsid w:val="00D93D85"/>
    <w:rsid w:val="00D9428A"/>
    <w:rsid w:val="00D9471C"/>
    <w:rsid w:val="00D94AB1"/>
    <w:rsid w:val="00D94AFA"/>
    <w:rsid w:val="00D95553"/>
    <w:rsid w:val="00D9567D"/>
    <w:rsid w:val="00D95898"/>
    <w:rsid w:val="00D96BA2"/>
    <w:rsid w:val="00D96D6F"/>
    <w:rsid w:val="00D96FC7"/>
    <w:rsid w:val="00D9718C"/>
    <w:rsid w:val="00D971FF"/>
    <w:rsid w:val="00D974CB"/>
    <w:rsid w:val="00D97BC5"/>
    <w:rsid w:val="00D97EA1"/>
    <w:rsid w:val="00D97EA2"/>
    <w:rsid w:val="00DA0452"/>
    <w:rsid w:val="00DA0629"/>
    <w:rsid w:val="00DA0691"/>
    <w:rsid w:val="00DA0A97"/>
    <w:rsid w:val="00DA0E71"/>
    <w:rsid w:val="00DA11D9"/>
    <w:rsid w:val="00DA1563"/>
    <w:rsid w:val="00DA19B3"/>
    <w:rsid w:val="00DA1A70"/>
    <w:rsid w:val="00DA1FE4"/>
    <w:rsid w:val="00DA2232"/>
    <w:rsid w:val="00DA27BA"/>
    <w:rsid w:val="00DA2C4D"/>
    <w:rsid w:val="00DA2DD9"/>
    <w:rsid w:val="00DA302E"/>
    <w:rsid w:val="00DA3338"/>
    <w:rsid w:val="00DA346B"/>
    <w:rsid w:val="00DA3667"/>
    <w:rsid w:val="00DA3FB4"/>
    <w:rsid w:val="00DA3FC7"/>
    <w:rsid w:val="00DA4AB8"/>
    <w:rsid w:val="00DA4B8D"/>
    <w:rsid w:val="00DA53DB"/>
    <w:rsid w:val="00DA54CB"/>
    <w:rsid w:val="00DA5850"/>
    <w:rsid w:val="00DA5A90"/>
    <w:rsid w:val="00DA648D"/>
    <w:rsid w:val="00DA64E0"/>
    <w:rsid w:val="00DA67B7"/>
    <w:rsid w:val="00DA6D1B"/>
    <w:rsid w:val="00DA772D"/>
    <w:rsid w:val="00DA78AF"/>
    <w:rsid w:val="00DB046E"/>
    <w:rsid w:val="00DB056F"/>
    <w:rsid w:val="00DB094B"/>
    <w:rsid w:val="00DB0BC0"/>
    <w:rsid w:val="00DB0E5A"/>
    <w:rsid w:val="00DB0F6A"/>
    <w:rsid w:val="00DB1202"/>
    <w:rsid w:val="00DB12E5"/>
    <w:rsid w:val="00DB1ED6"/>
    <w:rsid w:val="00DB21F7"/>
    <w:rsid w:val="00DB2423"/>
    <w:rsid w:val="00DB2809"/>
    <w:rsid w:val="00DB289C"/>
    <w:rsid w:val="00DB2A80"/>
    <w:rsid w:val="00DB2C8B"/>
    <w:rsid w:val="00DB2C94"/>
    <w:rsid w:val="00DB2CF0"/>
    <w:rsid w:val="00DB2EDF"/>
    <w:rsid w:val="00DB38C2"/>
    <w:rsid w:val="00DB38D3"/>
    <w:rsid w:val="00DB4454"/>
    <w:rsid w:val="00DB464A"/>
    <w:rsid w:val="00DB4B00"/>
    <w:rsid w:val="00DB4B4F"/>
    <w:rsid w:val="00DB4C45"/>
    <w:rsid w:val="00DB4C97"/>
    <w:rsid w:val="00DB4C9C"/>
    <w:rsid w:val="00DB5072"/>
    <w:rsid w:val="00DB5135"/>
    <w:rsid w:val="00DB5286"/>
    <w:rsid w:val="00DB59F1"/>
    <w:rsid w:val="00DB60A5"/>
    <w:rsid w:val="00DB6240"/>
    <w:rsid w:val="00DB6ADA"/>
    <w:rsid w:val="00DB6DAD"/>
    <w:rsid w:val="00DB71DC"/>
    <w:rsid w:val="00DB7498"/>
    <w:rsid w:val="00DB7B04"/>
    <w:rsid w:val="00DB7B6C"/>
    <w:rsid w:val="00DB7C0B"/>
    <w:rsid w:val="00DB7DD3"/>
    <w:rsid w:val="00DC00C9"/>
    <w:rsid w:val="00DC0153"/>
    <w:rsid w:val="00DC0ACA"/>
    <w:rsid w:val="00DC11B3"/>
    <w:rsid w:val="00DC1554"/>
    <w:rsid w:val="00DC15FC"/>
    <w:rsid w:val="00DC1656"/>
    <w:rsid w:val="00DC16BD"/>
    <w:rsid w:val="00DC2278"/>
    <w:rsid w:val="00DC229D"/>
    <w:rsid w:val="00DC2457"/>
    <w:rsid w:val="00DC2AB1"/>
    <w:rsid w:val="00DC3BD7"/>
    <w:rsid w:val="00DC3BEF"/>
    <w:rsid w:val="00DC3E40"/>
    <w:rsid w:val="00DC3F57"/>
    <w:rsid w:val="00DC4434"/>
    <w:rsid w:val="00DC458F"/>
    <w:rsid w:val="00DC4C48"/>
    <w:rsid w:val="00DC4F5F"/>
    <w:rsid w:val="00DC53B8"/>
    <w:rsid w:val="00DC58FB"/>
    <w:rsid w:val="00DC5953"/>
    <w:rsid w:val="00DC5B5C"/>
    <w:rsid w:val="00DC5FF1"/>
    <w:rsid w:val="00DC6002"/>
    <w:rsid w:val="00DC6718"/>
    <w:rsid w:val="00DC6808"/>
    <w:rsid w:val="00DC6858"/>
    <w:rsid w:val="00DC6AD7"/>
    <w:rsid w:val="00DC6B2B"/>
    <w:rsid w:val="00DC74D5"/>
    <w:rsid w:val="00DC761C"/>
    <w:rsid w:val="00DC7B22"/>
    <w:rsid w:val="00DC7F2E"/>
    <w:rsid w:val="00DD06FB"/>
    <w:rsid w:val="00DD070E"/>
    <w:rsid w:val="00DD0BAE"/>
    <w:rsid w:val="00DD11EB"/>
    <w:rsid w:val="00DD137D"/>
    <w:rsid w:val="00DD17D4"/>
    <w:rsid w:val="00DD18EC"/>
    <w:rsid w:val="00DD1E5C"/>
    <w:rsid w:val="00DD1FB8"/>
    <w:rsid w:val="00DD2A54"/>
    <w:rsid w:val="00DD2C85"/>
    <w:rsid w:val="00DD3290"/>
    <w:rsid w:val="00DD3368"/>
    <w:rsid w:val="00DD3410"/>
    <w:rsid w:val="00DD4265"/>
    <w:rsid w:val="00DD47B0"/>
    <w:rsid w:val="00DD4889"/>
    <w:rsid w:val="00DD4A76"/>
    <w:rsid w:val="00DD4D22"/>
    <w:rsid w:val="00DD586C"/>
    <w:rsid w:val="00DD66EB"/>
    <w:rsid w:val="00DD70A3"/>
    <w:rsid w:val="00DD7404"/>
    <w:rsid w:val="00DD7D10"/>
    <w:rsid w:val="00DE00A2"/>
    <w:rsid w:val="00DE0393"/>
    <w:rsid w:val="00DE1286"/>
    <w:rsid w:val="00DE1B5C"/>
    <w:rsid w:val="00DE215E"/>
    <w:rsid w:val="00DE34E0"/>
    <w:rsid w:val="00DE3537"/>
    <w:rsid w:val="00DE37CF"/>
    <w:rsid w:val="00DE39B4"/>
    <w:rsid w:val="00DE43A0"/>
    <w:rsid w:val="00DE4AE3"/>
    <w:rsid w:val="00DE4D1E"/>
    <w:rsid w:val="00DE4D2F"/>
    <w:rsid w:val="00DE4EA0"/>
    <w:rsid w:val="00DE5462"/>
    <w:rsid w:val="00DE5C96"/>
    <w:rsid w:val="00DE5D29"/>
    <w:rsid w:val="00DE5F31"/>
    <w:rsid w:val="00DE60F9"/>
    <w:rsid w:val="00DE6103"/>
    <w:rsid w:val="00DE66DF"/>
    <w:rsid w:val="00DE6B56"/>
    <w:rsid w:val="00DE7101"/>
    <w:rsid w:val="00DE712E"/>
    <w:rsid w:val="00DE74E0"/>
    <w:rsid w:val="00DE79C3"/>
    <w:rsid w:val="00DE7C8F"/>
    <w:rsid w:val="00DE7E2C"/>
    <w:rsid w:val="00DF00A3"/>
    <w:rsid w:val="00DF0848"/>
    <w:rsid w:val="00DF112D"/>
    <w:rsid w:val="00DF1A3A"/>
    <w:rsid w:val="00DF1C8D"/>
    <w:rsid w:val="00DF2179"/>
    <w:rsid w:val="00DF242E"/>
    <w:rsid w:val="00DF2510"/>
    <w:rsid w:val="00DF2A56"/>
    <w:rsid w:val="00DF3CE9"/>
    <w:rsid w:val="00DF50D0"/>
    <w:rsid w:val="00DF5113"/>
    <w:rsid w:val="00DF514C"/>
    <w:rsid w:val="00DF5205"/>
    <w:rsid w:val="00DF5808"/>
    <w:rsid w:val="00DF5C1D"/>
    <w:rsid w:val="00DF5FE7"/>
    <w:rsid w:val="00DF62F5"/>
    <w:rsid w:val="00DF636C"/>
    <w:rsid w:val="00DF63A1"/>
    <w:rsid w:val="00DF707E"/>
    <w:rsid w:val="00DF7401"/>
    <w:rsid w:val="00DF7638"/>
    <w:rsid w:val="00DF7744"/>
    <w:rsid w:val="00DF7A2E"/>
    <w:rsid w:val="00DF7ADF"/>
    <w:rsid w:val="00DF7BC9"/>
    <w:rsid w:val="00DF7E77"/>
    <w:rsid w:val="00E002F2"/>
    <w:rsid w:val="00E0036C"/>
    <w:rsid w:val="00E005EF"/>
    <w:rsid w:val="00E007FD"/>
    <w:rsid w:val="00E00932"/>
    <w:rsid w:val="00E00EF8"/>
    <w:rsid w:val="00E00F5A"/>
    <w:rsid w:val="00E01043"/>
    <w:rsid w:val="00E010B8"/>
    <w:rsid w:val="00E02465"/>
    <w:rsid w:val="00E02470"/>
    <w:rsid w:val="00E026FE"/>
    <w:rsid w:val="00E0275A"/>
    <w:rsid w:val="00E027C3"/>
    <w:rsid w:val="00E0379F"/>
    <w:rsid w:val="00E03925"/>
    <w:rsid w:val="00E039D6"/>
    <w:rsid w:val="00E03B35"/>
    <w:rsid w:val="00E041DD"/>
    <w:rsid w:val="00E04B64"/>
    <w:rsid w:val="00E04BB2"/>
    <w:rsid w:val="00E04EC4"/>
    <w:rsid w:val="00E05D8B"/>
    <w:rsid w:val="00E06A7B"/>
    <w:rsid w:val="00E06C5B"/>
    <w:rsid w:val="00E06FF9"/>
    <w:rsid w:val="00E1040A"/>
    <w:rsid w:val="00E10BDD"/>
    <w:rsid w:val="00E10C5A"/>
    <w:rsid w:val="00E115FB"/>
    <w:rsid w:val="00E11807"/>
    <w:rsid w:val="00E1247D"/>
    <w:rsid w:val="00E126B1"/>
    <w:rsid w:val="00E12842"/>
    <w:rsid w:val="00E12CD1"/>
    <w:rsid w:val="00E12E93"/>
    <w:rsid w:val="00E12FB7"/>
    <w:rsid w:val="00E138DC"/>
    <w:rsid w:val="00E13ED1"/>
    <w:rsid w:val="00E13F56"/>
    <w:rsid w:val="00E142CE"/>
    <w:rsid w:val="00E14464"/>
    <w:rsid w:val="00E144A6"/>
    <w:rsid w:val="00E1467A"/>
    <w:rsid w:val="00E1578C"/>
    <w:rsid w:val="00E15843"/>
    <w:rsid w:val="00E15D05"/>
    <w:rsid w:val="00E161B4"/>
    <w:rsid w:val="00E16D30"/>
    <w:rsid w:val="00E16D61"/>
    <w:rsid w:val="00E16D6B"/>
    <w:rsid w:val="00E16F6D"/>
    <w:rsid w:val="00E17370"/>
    <w:rsid w:val="00E1775D"/>
    <w:rsid w:val="00E17F7A"/>
    <w:rsid w:val="00E2113B"/>
    <w:rsid w:val="00E212D0"/>
    <w:rsid w:val="00E2171D"/>
    <w:rsid w:val="00E21C0F"/>
    <w:rsid w:val="00E21F66"/>
    <w:rsid w:val="00E2203C"/>
    <w:rsid w:val="00E2229B"/>
    <w:rsid w:val="00E225A1"/>
    <w:rsid w:val="00E22B15"/>
    <w:rsid w:val="00E22EAE"/>
    <w:rsid w:val="00E23041"/>
    <w:rsid w:val="00E2321A"/>
    <w:rsid w:val="00E2394B"/>
    <w:rsid w:val="00E23B97"/>
    <w:rsid w:val="00E23D80"/>
    <w:rsid w:val="00E2471F"/>
    <w:rsid w:val="00E24F0F"/>
    <w:rsid w:val="00E25E68"/>
    <w:rsid w:val="00E262D1"/>
    <w:rsid w:val="00E2640E"/>
    <w:rsid w:val="00E26423"/>
    <w:rsid w:val="00E26552"/>
    <w:rsid w:val="00E26CE6"/>
    <w:rsid w:val="00E272FC"/>
    <w:rsid w:val="00E27747"/>
    <w:rsid w:val="00E30010"/>
    <w:rsid w:val="00E30021"/>
    <w:rsid w:val="00E30696"/>
    <w:rsid w:val="00E308B8"/>
    <w:rsid w:val="00E30A96"/>
    <w:rsid w:val="00E30B07"/>
    <w:rsid w:val="00E30C5F"/>
    <w:rsid w:val="00E30CC7"/>
    <w:rsid w:val="00E30EFB"/>
    <w:rsid w:val="00E310C8"/>
    <w:rsid w:val="00E31125"/>
    <w:rsid w:val="00E312F8"/>
    <w:rsid w:val="00E31B77"/>
    <w:rsid w:val="00E31CCD"/>
    <w:rsid w:val="00E32AA5"/>
    <w:rsid w:val="00E32B06"/>
    <w:rsid w:val="00E32B19"/>
    <w:rsid w:val="00E32D61"/>
    <w:rsid w:val="00E32F65"/>
    <w:rsid w:val="00E335C6"/>
    <w:rsid w:val="00E33F33"/>
    <w:rsid w:val="00E34448"/>
    <w:rsid w:val="00E3494A"/>
    <w:rsid w:val="00E34B61"/>
    <w:rsid w:val="00E34E7F"/>
    <w:rsid w:val="00E34F18"/>
    <w:rsid w:val="00E35103"/>
    <w:rsid w:val="00E353B1"/>
    <w:rsid w:val="00E3615F"/>
    <w:rsid w:val="00E3656E"/>
    <w:rsid w:val="00E366A4"/>
    <w:rsid w:val="00E367C7"/>
    <w:rsid w:val="00E36F03"/>
    <w:rsid w:val="00E370D2"/>
    <w:rsid w:val="00E37C29"/>
    <w:rsid w:val="00E404E3"/>
    <w:rsid w:val="00E40720"/>
    <w:rsid w:val="00E409DB"/>
    <w:rsid w:val="00E40A0E"/>
    <w:rsid w:val="00E413F7"/>
    <w:rsid w:val="00E41839"/>
    <w:rsid w:val="00E41F4C"/>
    <w:rsid w:val="00E41FAB"/>
    <w:rsid w:val="00E42BC7"/>
    <w:rsid w:val="00E43408"/>
    <w:rsid w:val="00E43562"/>
    <w:rsid w:val="00E43C62"/>
    <w:rsid w:val="00E43F2E"/>
    <w:rsid w:val="00E441FC"/>
    <w:rsid w:val="00E44A0F"/>
    <w:rsid w:val="00E45481"/>
    <w:rsid w:val="00E45492"/>
    <w:rsid w:val="00E45648"/>
    <w:rsid w:val="00E45753"/>
    <w:rsid w:val="00E4580B"/>
    <w:rsid w:val="00E45AFF"/>
    <w:rsid w:val="00E45C03"/>
    <w:rsid w:val="00E461EC"/>
    <w:rsid w:val="00E4620E"/>
    <w:rsid w:val="00E46727"/>
    <w:rsid w:val="00E46AE1"/>
    <w:rsid w:val="00E46CD5"/>
    <w:rsid w:val="00E4753D"/>
    <w:rsid w:val="00E47CC6"/>
    <w:rsid w:val="00E50361"/>
    <w:rsid w:val="00E503C5"/>
    <w:rsid w:val="00E5043F"/>
    <w:rsid w:val="00E505A2"/>
    <w:rsid w:val="00E5071C"/>
    <w:rsid w:val="00E510D4"/>
    <w:rsid w:val="00E5192C"/>
    <w:rsid w:val="00E51D56"/>
    <w:rsid w:val="00E520F1"/>
    <w:rsid w:val="00E52487"/>
    <w:rsid w:val="00E52791"/>
    <w:rsid w:val="00E5290C"/>
    <w:rsid w:val="00E529C3"/>
    <w:rsid w:val="00E530FF"/>
    <w:rsid w:val="00E5319B"/>
    <w:rsid w:val="00E5351D"/>
    <w:rsid w:val="00E53640"/>
    <w:rsid w:val="00E53D94"/>
    <w:rsid w:val="00E53FCE"/>
    <w:rsid w:val="00E5423B"/>
    <w:rsid w:val="00E54C63"/>
    <w:rsid w:val="00E54E1F"/>
    <w:rsid w:val="00E553BF"/>
    <w:rsid w:val="00E553C7"/>
    <w:rsid w:val="00E55407"/>
    <w:rsid w:val="00E556D6"/>
    <w:rsid w:val="00E55FEA"/>
    <w:rsid w:val="00E56626"/>
    <w:rsid w:val="00E56769"/>
    <w:rsid w:val="00E567D1"/>
    <w:rsid w:val="00E56B02"/>
    <w:rsid w:val="00E56BAB"/>
    <w:rsid w:val="00E5701D"/>
    <w:rsid w:val="00E57123"/>
    <w:rsid w:val="00E57206"/>
    <w:rsid w:val="00E57903"/>
    <w:rsid w:val="00E57A1E"/>
    <w:rsid w:val="00E57DD4"/>
    <w:rsid w:val="00E57EDD"/>
    <w:rsid w:val="00E601EE"/>
    <w:rsid w:val="00E60D75"/>
    <w:rsid w:val="00E61199"/>
    <w:rsid w:val="00E61A19"/>
    <w:rsid w:val="00E61A55"/>
    <w:rsid w:val="00E62078"/>
    <w:rsid w:val="00E62135"/>
    <w:rsid w:val="00E62485"/>
    <w:rsid w:val="00E62554"/>
    <w:rsid w:val="00E62C74"/>
    <w:rsid w:val="00E63D27"/>
    <w:rsid w:val="00E6468A"/>
    <w:rsid w:val="00E64AFD"/>
    <w:rsid w:val="00E64E57"/>
    <w:rsid w:val="00E64E8B"/>
    <w:rsid w:val="00E6519F"/>
    <w:rsid w:val="00E6542F"/>
    <w:rsid w:val="00E658CE"/>
    <w:rsid w:val="00E65BBE"/>
    <w:rsid w:val="00E664CB"/>
    <w:rsid w:val="00E665B6"/>
    <w:rsid w:val="00E665DD"/>
    <w:rsid w:val="00E6663C"/>
    <w:rsid w:val="00E6668D"/>
    <w:rsid w:val="00E66872"/>
    <w:rsid w:val="00E669C7"/>
    <w:rsid w:val="00E66E49"/>
    <w:rsid w:val="00E66EE9"/>
    <w:rsid w:val="00E66FEA"/>
    <w:rsid w:val="00E6704D"/>
    <w:rsid w:val="00E67166"/>
    <w:rsid w:val="00E67224"/>
    <w:rsid w:val="00E674EE"/>
    <w:rsid w:val="00E67F35"/>
    <w:rsid w:val="00E67F59"/>
    <w:rsid w:val="00E67F7D"/>
    <w:rsid w:val="00E67FAA"/>
    <w:rsid w:val="00E70329"/>
    <w:rsid w:val="00E70FE0"/>
    <w:rsid w:val="00E71224"/>
    <w:rsid w:val="00E713C0"/>
    <w:rsid w:val="00E719FD"/>
    <w:rsid w:val="00E7283D"/>
    <w:rsid w:val="00E7341F"/>
    <w:rsid w:val="00E73E2A"/>
    <w:rsid w:val="00E73F86"/>
    <w:rsid w:val="00E74393"/>
    <w:rsid w:val="00E746DF"/>
    <w:rsid w:val="00E75579"/>
    <w:rsid w:val="00E755F1"/>
    <w:rsid w:val="00E75731"/>
    <w:rsid w:val="00E75D1F"/>
    <w:rsid w:val="00E76083"/>
    <w:rsid w:val="00E777C1"/>
    <w:rsid w:val="00E778DD"/>
    <w:rsid w:val="00E77AB1"/>
    <w:rsid w:val="00E77E27"/>
    <w:rsid w:val="00E800B4"/>
    <w:rsid w:val="00E8033D"/>
    <w:rsid w:val="00E80364"/>
    <w:rsid w:val="00E807B6"/>
    <w:rsid w:val="00E809EB"/>
    <w:rsid w:val="00E80A56"/>
    <w:rsid w:val="00E817B4"/>
    <w:rsid w:val="00E81ACB"/>
    <w:rsid w:val="00E8214F"/>
    <w:rsid w:val="00E821CA"/>
    <w:rsid w:val="00E8253A"/>
    <w:rsid w:val="00E82801"/>
    <w:rsid w:val="00E82895"/>
    <w:rsid w:val="00E82A87"/>
    <w:rsid w:val="00E82D10"/>
    <w:rsid w:val="00E8342A"/>
    <w:rsid w:val="00E83658"/>
    <w:rsid w:val="00E838AC"/>
    <w:rsid w:val="00E8397E"/>
    <w:rsid w:val="00E83C8B"/>
    <w:rsid w:val="00E83E15"/>
    <w:rsid w:val="00E84177"/>
    <w:rsid w:val="00E84AB4"/>
    <w:rsid w:val="00E84C3D"/>
    <w:rsid w:val="00E85093"/>
    <w:rsid w:val="00E850A8"/>
    <w:rsid w:val="00E855FE"/>
    <w:rsid w:val="00E85909"/>
    <w:rsid w:val="00E85CF6"/>
    <w:rsid w:val="00E86115"/>
    <w:rsid w:val="00E8649A"/>
    <w:rsid w:val="00E86C6C"/>
    <w:rsid w:val="00E86DCE"/>
    <w:rsid w:val="00E87660"/>
    <w:rsid w:val="00E878C6"/>
    <w:rsid w:val="00E87EB8"/>
    <w:rsid w:val="00E87F85"/>
    <w:rsid w:val="00E90364"/>
    <w:rsid w:val="00E90CB1"/>
    <w:rsid w:val="00E916F8"/>
    <w:rsid w:val="00E91A04"/>
    <w:rsid w:val="00E91EA9"/>
    <w:rsid w:val="00E920C2"/>
    <w:rsid w:val="00E921B9"/>
    <w:rsid w:val="00E92BAF"/>
    <w:rsid w:val="00E92C72"/>
    <w:rsid w:val="00E92EDA"/>
    <w:rsid w:val="00E93746"/>
    <w:rsid w:val="00E93C8D"/>
    <w:rsid w:val="00E93FD6"/>
    <w:rsid w:val="00E940BD"/>
    <w:rsid w:val="00E949F5"/>
    <w:rsid w:val="00E954FD"/>
    <w:rsid w:val="00E9552D"/>
    <w:rsid w:val="00E95620"/>
    <w:rsid w:val="00E958BD"/>
    <w:rsid w:val="00E95E17"/>
    <w:rsid w:val="00E9633E"/>
    <w:rsid w:val="00E96350"/>
    <w:rsid w:val="00E96470"/>
    <w:rsid w:val="00E96624"/>
    <w:rsid w:val="00E967BE"/>
    <w:rsid w:val="00E96933"/>
    <w:rsid w:val="00E96C2B"/>
    <w:rsid w:val="00E96F17"/>
    <w:rsid w:val="00E97899"/>
    <w:rsid w:val="00E97A4E"/>
    <w:rsid w:val="00EA0806"/>
    <w:rsid w:val="00EA0CA4"/>
    <w:rsid w:val="00EA0F19"/>
    <w:rsid w:val="00EA1205"/>
    <w:rsid w:val="00EA1267"/>
    <w:rsid w:val="00EA12B3"/>
    <w:rsid w:val="00EA12BA"/>
    <w:rsid w:val="00EA1C54"/>
    <w:rsid w:val="00EA1F28"/>
    <w:rsid w:val="00EA2AC4"/>
    <w:rsid w:val="00EA340B"/>
    <w:rsid w:val="00EA37DC"/>
    <w:rsid w:val="00EA39F7"/>
    <w:rsid w:val="00EA3B3A"/>
    <w:rsid w:val="00EA3C77"/>
    <w:rsid w:val="00EA3D8B"/>
    <w:rsid w:val="00EA3E1B"/>
    <w:rsid w:val="00EA4311"/>
    <w:rsid w:val="00EA431F"/>
    <w:rsid w:val="00EA45D9"/>
    <w:rsid w:val="00EA48EA"/>
    <w:rsid w:val="00EA55DD"/>
    <w:rsid w:val="00EA59FE"/>
    <w:rsid w:val="00EA5A60"/>
    <w:rsid w:val="00EA6879"/>
    <w:rsid w:val="00EA7210"/>
    <w:rsid w:val="00EA749A"/>
    <w:rsid w:val="00EA7A2D"/>
    <w:rsid w:val="00EA7DA6"/>
    <w:rsid w:val="00EA7F2D"/>
    <w:rsid w:val="00EA7FF2"/>
    <w:rsid w:val="00EB0404"/>
    <w:rsid w:val="00EB070F"/>
    <w:rsid w:val="00EB0915"/>
    <w:rsid w:val="00EB0D1B"/>
    <w:rsid w:val="00EB0E0A"/>
    <w:rsid w:val="00EB1267"/>
    <w:rsid w:val="00EB2E0A"/>
    <w:rsid w:val="00EB332E"/>
    <w:rsid w:val="00EB36BE"/>
    <w:rsid w:val="00EB3839"/>
    <w:rsid w:val="00EB387C"/>
    <w:rsid w:val="00EB3EBA"/>
    <w:rsid w:val="00EB3FC1"/>
    <w:rsid w:val="00EB42F9"/>
    <w:rsid w:val="00EB4DB1"/>
    <w:rsid w:val="00EB58D4"/>
    <w:rsid w:val="00EB5954"/>
    <w:rsid w:val="00EB5A3F"/>
    <w:rsid w:val="00EB6118"/>
    <w:rsid w:val="00EB611A"/>
    <w:rsid w:val="00EB6D41"/>
    <w:rsid w:val="00EB6DD8"/>
    <w:rsid w:val="00EB6FD6"/>
    <w:rsid w:val="00EB7461"/>
    <w:rsid w:val="00EB78EF"/>
    <w:rsid w:val="00EB7985"/>
    <w:rsid w:val="00EB7CF4"/>
    <w:rsid w:val="00EB7D41"/>
    <w:rsid w:val="00EC1807"/>
    <w:rsid w:val="00EC1927"/>
    <w:rsid w:val="00EC1B66"/>
    <w:rsid w:val="00EC1E67"/>
    <w:rsid w:val="00EC22C6"/>
    <w:rsid w:val="00EC2301"/>
    <w:rsid w:val="00EC2424"/>
    <w:rsid w:val="00EC2F94"/>
    <w:rsid w:val="00EC3019"/>
    <w:rsid w:val="00EC31F9"/>
    <w:rsid w:val="00EC365E"/>
    <w:rsid w:val="00EC380C"/>
    <w:rsid w:val="00EC38EE"/>
    <w:rsid w:val="00EC3B40"/>
    <w:rsid w:val="00EC3F61"/>
    <w:rsid w:val="00EC4106"/>
    <w:rsid w:val="00EC45D0"/>
    <w:rsid w:val="00EC460B"/>
    <w:rsid w:val="00EC4E15"/>
    <w:rsid w:val="00EC4E52"/>
    <w:rsid w:val="00EC5998"/>
    <w:rsid w:val="00EC5AF1"/>
    <w:rsid w:val="00EC5BE9"/>
    <w:rsid w:val="00EC5D0C"/>
    <w:rsid w:val="00EC6194"/>
    <w:rsid w:val="00EC6A9E"/>
    <w:rsid w:val="00EC6F4A"/>
    <w:rsid w:val="00EC73B3"/>
    <w:rsid w:val="00EC7A75"/>
    <w:rsid w:val="00EC7D00"/>
    <w:rsid w:val="00EC7EC8"/>
    <w:rsid w:val="00EC7F8D"/>
    <w:rsid w:val="00ED0065"/>
    <w:rsid w:val="00ED0CFC"/>
    <w:rsid w:val="00ED0F5F"/>
    <w:rsid w:val="00ED0F82"/>
    <w:rsid w:val="00ED1952"/>
    <w:rsid w:val="00ED1A96"/>
    <w:rsid w:val="00ED1C92"/>
    <w:rsid w:val="00ED1D0F"/>
    <w:rsid w:val="00ED2434"/>
    <w:rsid w:val="00ED25DC"/>
    <w:rsid w:val="00ED28F0"/>
    <w:rsid w:val="00ED2CF9"/>
    <w:rsid w:val="00ED2EEE"/>
    <w:rsid w:val="00ED31FB"/>
    <w:rsid w:val="00ED3348"/>
    <w:rsid w:val="00ED389D"/>
    <w:rsid w:val="00ED3DA4"/>
    <w:rsid w:val="00ED437E"/>
    <w:rsid w:val="00ED4469"/>
    <w:rsid w:val="00ED46A3"/>
    <w:rsid w:val="00ED4CB9"/>
    <w:rsid w:val="00ED4DA6"/>
    <w:rsid w:val="00ED56F9"/>
    <w:rsid w:val="00ED590C"/>
    <w:rsid w:val="00ED5AAA"/>
    <w:rsid w:val="00ED5E91"/>
    <w:rsid w:val="00ED6D0C"/>
    <w:rsid w:val="00ED6F0F"/>
    <w:rsid w:val="00ED7314"/>
    <w:rsid w:val="00ED7B8B"/>
    <w:rsid w:val="00ED7C64"/>
    <w:rsid w:val="00ED7DFB"/>
    <w:rsid w:val="00EE04A7"/>
    <w:rsid w:val="00EE0AE7"/>
    <w:rsid w:val="00EE112C"/>
    <w:rsid w:val="00EE12BA"/>
    <w:rsid w:val="00EE1EA1"/>
    <w:rsid w:val="00EE2949"/>
    <w:rsid w:val="00EE29CE"/>
    <w:rsid w:val="00EE2B71"/>
    <w:rsid w:val="00EE373D"/>
    <w:rsid w:val="00EE39C8"/>
    <w:rsid w:val="00EE3D0E"/>
    <w:rsid w:val="00EE3EA0"/>
    <w:rsid w:val="00EE3EDA"/>
    <w:rsid w:val="00EE4DE1"/>
    <w:rsid w:val="00EE4E6D"/>
    <w:rsid w:val="00EE515D"/>
    <w:rsid w:val="00EE5226"/>
    <w:rsid w:val="00EE53B5"/>
    <w:rsid w:val="00EE5629"/>
    <w:rsid w:val="00EE5664"/>
    <w:rsid w:val="00EE5AAC"/>
    <w:rsid w:val="00EE5AB2"/>
    <w:rsid w:val="00EE5B0E"/>
    <w:rsid w:val="00EE5FE3"/>
    <w:rsid w:val="00EE618D"/>
    <w:rsid w:val="00EE6517"/>
    <w:rsid w:val="00EE67AE"/>
    <w:rsid w:val="00EE6815"/>
    <w:rsid w:val="00EE745E"/>
    <w:rsid w:val="00EE77E9"/>
    <w:rsid w:val="00EF0114"/>
    <w:rsid w:val="00EF01BD"/>
    <w:rsid w:val="00EF0526"/>
    <w:rsid w:val="00EF0891"/>
    <w:rsid w:val="00EF0ACE"/>
    <w:rsid w:val="00EF0FCD"/>
    <w:rsid w:val="00EF1471"/>
    <w:rsid w:val="00EF182A"/>
    <w:rsid w:val="00EF1CBC"/>
    <w:rsid w:val="00EF275B"/>
    <w:rsid w:val="00EF2AD2"/>
    <w:rsid w:val="00EF2C7F"/>
    <w:rsid w:val="00EF2D08"/>
    <w:rsid w:val="00EF366F"/>
    <w:rsid w:val="00EF37DD"/>
    <w:rsid w:val="00EF3D30"/>
    <w:rsid w:val="00EF4156"/>
    <w:rsid w:val="00EF4B51"/>
    <w:rsid w:val="00EF4D61"/>
    <w:rsid w:val="00EF52DC"/>
    <w:rsid w:val="00EF56DA"/>
    <w:rsid w:val="00EF5891"/>
    <w:rsid w:val="00EF660E"/>
    <w:rsid w:val="00EF68C3"/>
    <w:rsid w:val="00EF6903"/>
    <w:rsid w:val="00EF6AA6"/>
    <w:rsid w:val="00EF7398"/>
    <w:rsid w:val="00EF7556"/>
    <w:rsid w:val="00EF79CC"/>
    <w:rsid w:val="00EF7C46"/>
    <w:rsid w:val="00F00306"/>
    <w:rsid w:val="00F005F7"/>
    <w:rsid w:val="00F0070D"/>
    <w:rsid w:val="00F0122B"/>
    <w:rsid w:val="00F01450"/>
    <w:rsid w:val="00F014AE"/>
    <w:rsid w:val="00F017CC"/>
    <w:rsid w:val="00F01878"/>
    <w:rsid w:val="00F01A2A"/>
    <w:rsid w:val="00F022AA"/>
    <w:rsid w:val="00F02547"/>
    <w:rsid w:val="00F02663"/>
    <w:rsid w:val="00F026DB"/>
    <w:rsid w:val="00F02D41"/>
    <w:rsid w:val="00F03825"/>
    <w:rsid w:val="00F03886"/>
    <w:rsid w:val="00F0390D"/>
    <w:rsid w:val="00F0434A"/>
    <w:rsid w:val="00F043C0"/>
    <w:rsid w:val="00F05139"/>
    <w:rsid w:val="00F052A8"/>
    <w:rsid w:val="00F0549C"/>
    <w:rsid w:val="00F054BA"/>
    <w:rsid w:val="00F054F1"/>
    <w:rsid w:val="00F05CFF"/>
    <w:rsid w:val="00F06101"/>
    <w:rsid w:val="00F063D0"/>
    <w:rsid w:val="00F0695B"/>
    <w:rsid w:val="00F06A10"/>
    <w:rsid w:val="00F06CE0"/>
    <w:rsid w:val="00F103E7"/>
    <w:rsid w:val="00F106CE"/>
    <w:rsid w:val="00F10840"/>
    <w:rsid w:val="00F10DFB"/>
    <w:rsid w:val="00F111D3"/>
    <w:rsid w:val="00F114C5"/>
    <w:rsid w:val="00F11881"/>
    <w:rsid w:val="00F11EB0"/>
    <w:rsid w:val="00F130E6"/>
    <w:rsid w:val="00F1392B"/>
    <w:rsid w:val="00F13FAD"/>
    <w:rsid w:val="00F14027"/>
    <w:rsid w:val="00F14AD4"/>
    <w:rsid w:val="00F14BF8"/>
    <w:rsid w:val="00F14D7B"/>
    <w:rsid w:val="00F14E9F"/>
    <w:rsid w:val="00F15333"/>
    <w:rsid w:val="00F1547D"/>
    <w:rsid w:val="00F1569A"/>
    <w:rsid w:val="00F15C31"/>
    <w:rsid w:val="00F15D5C"/>
    <w:rsid w:val="00F15EB8"/>
    <w:rsid w:val="00F15F15"/>
    <w:rsid w:val="00F16075"/>
    <w:rsid w:val="00F160FB"/>
    <w:rsid w:val="00F161ED"/>
    <w:rsid w:val="00F16289"/>
    <w:rsid w:val="00F16496"/>
    <w:rsid w:val="00F1649D"/>
    <w:rsid w:val="00F16B47"/>
    <w:rsid w:val="00F16C23"/>
    <w:rsid w:val="00F16D75"/>
    <w:rsid w:val="00F1720B"/>
    <w:rsid w:val="00F17812"/>
    <w:rsid w:val="00F17CCF"/>
    <w:rsid w:val="00F17E7C"/>
    <w:rsid w:val="00F17F9A"/>
    <w:rsid w:val="00F20119"/>
    <w:rsid w:val="00F201C7"/>
    <w:rsid w:val="00F20769"/>
    <w:rsid w:val="00F207FA"/>
    <w:rsid w:val="00F2081A"/>
    <w:rsid w:val="00F20D52"/>
    <w:rsid w:val="00F21046"/>
    <w:rsid w:val="00F21410"/>
    <w:rsid w:val="00F214CD"/>
    <w:rsid w:val="00F2193F"/>
    <w:rsid w:val="00F21BA0"/>
    <w:rsid w:val="00F22516"/>
    <w:rsid w:val="00F229C7"/>
    <w:rsid w:val="00F22C0C"/>
    <w:rsid w:val="00F23191"/>
    <w:rsid w:val="00F238DD"/>
    <w:rsid w:val="00F2392E"/>
    <w:rsid w:val="00F24272"/>
    <w:rsid w:val="00F25000"/>
    <w:rsid w:val="00F251F9"/>
    <w:rsid w:val="00F25514"/>
    <w:rsid w:val="00F25AC0"/>
    <w:rsid w:val="00F25B2C"/>
    <w:rsid w:val="00F2636B"/>
    <w:rsid w:val="00F26869"/>
    <w:rsid w:val="00F2695A"/>
    <w:rsid w:val="00F26E1A"/>
    <w:rsid w:val="00F277F7"/>
    <w:rsid w:val="00F30A78"/>
    <w:rsid w:val="00F30F03"/>
    <w:rsid w:val="00F30F84"/>
    <w:rsid w:val="00F31069"/>
    <w:rsid w:val="00F315DA"/>
    <w:rsid w:val="00F31C5D"/>
    <w:rsid w:val="00F31DAD"/>
    <w:rsid w:val="00F325EF"/>
    <w:rsid w:val="00F32C7B"/>
    <w:rsid w:val="00F32FFF"/>
    <w:rsid w:val="00F33629"/>
    <w:rsid w:val="00F340A8"/>
    <w:rsid w:val="00F3468C"/>
    <w:rsid w:val="00F34A0A"/>
    <w:rsid w:val="00F34F1F"/>
    <w:rsid w:val="00F35561"/>
    <w:rsid w:val="00F355F7"/>
    <w:rsid w:val="00F35FAA"/>
    <w:rsid w:val="00F362FE"/>
    <w:rsid w:val="00F36756"/>
    <w:rsid w:val="00F36870"/>
    <w:rsid w:val="00F36BFE"/>
    <w:rsid w:val="00F37282"/>
    <w:rsid w:val="00F372B7"/>
    <w:rsid w:val="00F3746C"/>
    <w:rsid w:val="00F3795E"/>
    <w:rsid w:val="00F37A99"/>
    <w:rsid w:val="00F37C89"/>
    <w:rsid w:val="00F37F9C"/>
    <w:rsid w:val="00F40B75"/>
    <w:rsid w:val="00F4204A"/>
    <w:rsid w:val="00F42160"/>
    <w:rsid w:val="00F424E6"/>
    <w:rsid w:val="00F42B39"/>
    <w:rsid w:val="00F42F0F"/>
    <w:rsid w:val="00F43257"/>
    <w:rsid w:val="00F43451"/>
    <w:rsid w:val="00F4357C"/>
    <w:rsid w:val="00F43DF3"/>
    <w:rsid w:val="00F43F3C"/>
    <w:rsid w:val="00F442F9"/>
    <w:rsid w:val="00F444B4"/>
    <w:rsid w:val="00F44948"/>
    <w:rsid w:val="00F44E7F"/>
    <w:rsid w:val="00F44E9B"/>
    <w:rsid w:val="00F45411"/>
    <w:rsid w:val="00F4548F"/>
    <w:rsid w:val="00F454D1"/>
    <w:rsid w:val="00F45687"/>
    <w:rsid w:val="00F45BB7"/>
    <w:rsid w:val="00F45FE7"/>
    <w:rsid w:val="00F463FE"/>
    <w:rsid w:val="00F4658B"/>
    <w:rsid w:val="00F46768"/>
    <w:rsid w:val="00F47D8C"/>
    <w:rsid w:val="00F500CA"/>
    <w:rsid w:val="00F50952"/>
    <w:rsid w:val="00F512D8"/>
    <w:rsid w:val="00F51619"/>
    <w:rsid w:val="00F5174B"/>
    <w:rsid w:val="00F51C21"/>
    <w:rsid w:val="00F51EE6"/>
    <w:rsid w:val="00F52487"/>
    <w:rsid w:val="00F52B9A"/>
    <w:rsid w:val="00F52DD2"/>
    <w:rsid w:val="00F52E56"/>
    <w:rsid w:val="00F52E9F"/>
    <w:rsid w:val="00F5331E"/>
    <w:rsid w:val="00F53701"/>
    <w:rsid w:val="00F53D28"/>
    <w:rsid w:val="00F53D63"/>
    <w:rsid w:val="00F53D9E"/>
    <w:rsid w:val="00F540D4"/>
    <w:rsid w:val="00F547EB"/>
    <w:rsid w:val="00F54874"/>
    <w:rsid w:val="00F55C20"/>
    <w:rsid w:val="00F55D68"/>
    <w:rsid w:val="00F5639F"/>
    <w:rsid w:val="00F56E93"/>
    <w:rsid w:val="00F56EE2"/>
    <w:rsid w:val="00F5745D"/>
    <w:rsid w:val="00F57770"/>
    <w:rsid w:val="00F57856"/>
    <w:rsid w:val="00F57E43"/>
    <w:rsid w:val="00F57FD4"/>
    <w:rsid w:val="00F60374"/>
    <w:rsid w:val="00F6167B"/>
    <w:rsid w:val="00F6242E"/>
    <w:rsid w:val="00F624B9"/>
    <w:rsid w:val="00F6250A"/>
    <w:rsid w:val="00F62573"/>
    <w:rsid w:val="00F626B0"/>
    <w:rsid w:val="00F6281B"/>
    <w:rsid w:val="00F62CA5"/>
    <w:rsid w:val="00F62F72"/>
    <w:rsid w:val="00F635DD"/>
    <w:rsid w:val="00F6397F"/>
    <w:rsid w:val="00F63DCE"/>
    <w:rsid w:val="00F63DE2"/>
    <w:rsid w:val="00F64149"/>
    <w:rsid w:val="00F642A7"/>
    <w:rsid w:val="00F64605"/>
    <w:rsid w:val="00F64E4C"/>
    <w:rsid w:val="00F650E5"/>
    <w:rsid w:val="00F653F5"/>
    <w:rsid w:val="00F654A0"/>
    <w:rsid w:val="00F65A40"/>
    <w:rsid w:val="00F65ED2"/>
    <w:rsid w:val="00F667FE"/>
    <w:rsid w:val="00F66838"/>
    <w:rsid w:val="00F6691A"/>
    <w:rsid w:val="00F66A44"/>
    <w:rsid w:val="00F670C9"/>
    <w:rsid w:val="00F670CE"/>
    <w:rsid w:val="00F67604"/>
    <w:rsid w:val="00F67747"/>
    <w:rsid w:val="00F67A9D"/>
    <w:rsid w:val="00F67AFC"/>
    <w:rsid w:val="00F67E96"/>
    <w:rsid w:val="00F70564"/>
    <w:rsid w:val="00F70B52"/>
    <w:rsid w:val="00F719C7"/>
    <w:rsid w:val="00F71D92"/>
    <w:rsid w:val="00F725AD"/>
    <w:rsid w:val="00F7284A"/>
    <w:rsid w:val="00F72B43"/>
    <w:rsid w:val="00F72EE4"/>
    <w:rsid w:val="00F7301E"/>
    <w:rsid w:val="00F734FD"/>
    <w:rsid w:val="00F73739"/>
    <w:rsid w:val="00F73AAF"/>
    <w:rsid w:val="00F73B62"/>
    <w:rsid w:val="00F741EF"/>
    <w:rsid w:val="00F746A7"/>
    <w:rsid w:val="00F74EE7"/>
    <w:rsid w:val="00F752D4"/>
    <w:rsid w:val="00F7543B"/>
    <w:rsid w:val="00F754C3"/>
    <w:rsid w:val="00F75A64"/>
    <w:rsid w:val="00F75A74"/>
    <w:rsid w:val="00F75D5E"/>
    <w:rsid w:val="00F763F5"/>
    <w:rsid w:val="00F76554"/>
    <w:rsid w:val="00F76731"/>
    <w:rsid w:val="00F76847"/>
    <w:rsid w:val="00F768A2"/>
    <w:rsid w:val="00F7699D"/>
    <w:rsid w:val="00F76BDD"/>
    <w:rsid w:val="00F76C26"/>
    <w:rsid w:val="00F76E4B"/>
    <w:rsid w:val="00F76E72"/>
    <w:rsid w:val="00F775D4"/>
    <w:rsid w:val="00F77695"/>
    <w:rsid w:val="00F776CC"/>
    <w:rsid w:val="00F777C0"/>
    <w:rsid w:val="00F77A04"/>
    <w:rsid w:val="00F77A68"/>
    <w:rsid w:val="00F8052F"/>
    <w:rsid w:val="00F807EB"/>
    <w:rsid w:val="00F80DD5"/>
    <w:rsid w:val="00F81750"/>
    <w:rsid w:val="00F81C57"/>
    <w:rsid w:val="00F81DB0"/>
    <w:rsid w:val="00F8208A"/>
    <w:rsid w:val="00F82B5D"/>
    <w:rsid w:val="00F82B7B"/>
    <w:rsid w:val="00F82CDA"/>
    <w:rsid w:val="00F838B3"/>
    <w:rsid w:val="00F83AE8"/>
    <w:rsid w:val="00F83F67"/>
    <w:rsid w:val="00F84930"/>
    <w:rsid w:val="00F84B90"/>
    <w:rsid w:val="00F84BA9"/>
    <w:rsid w:val="00F84EAD"/>
    <w:rsid w:val="00F8508D"/>
    <w:rsid w:val="00F85468"/>
    <w:rsid w:val="00F855A1"/>
    <w:rsid w:val="00F859AD"/>
    <w:rsid w:val="00F85BAA"/>
    <w:rsid w:val="00F866E5"/>
    <w:rsid w:val="00F86F3C"/>
    <w:rsid w:val="00F872FE"/>
    <w:rsid w:val="00F8754C"/>
    <w:rsid w:val="00F877E3"/>
    <w:rsid w:val="00F9037C"/>
    <w:rsid w:val="00F9046E"/>
    <w:rsid w:val="00F90787"/>
    <w:rsid w:val="00F90B02"/>
    <w:rsid w:val="00F90B77"/>
    <w:rsid w:val="00F90BF5"/>
    <w:rsid w:val="00F90D80"/>
    <w:rsid w:val="00F91324"/>
    <w:rsid w:val="00F91552"/>
    <w:rsid w:val="00F9180F"/>
    <w:rsid w:val="00F91828"/>
    <w:rsid w:val="00F92278"/>
    <w:rsid w:val="00F93018"/>
    <w:rsid w:val="00F93261"/>
    <w:rsid w:val="00F9340F"/>
    <w:rsid w:val="00F93667"/>
    <w:rsid w:val="00F93AA3"/>
    <w:rsid w:val="00F93E7F"/>
    <w:rsid w:val="00F94807"/>
    <w:rsid w:val="00F95C20"/>
    <w:rsid w:val="00F96387"/>
    <w:rsid w:val="00F964F6"/>
    <w:rsid w:val="00F965AA"/>
    <w:rsid w:val="00F96721"/>
    <w:rsid w:val="00F97000"/>
    <w:rsid w:val="00F972F2"/>
    <w:rsid w:val="00F978ED"/>
    <w:rsid w:val="00F97C46"/>
    <w:rsid w:val="00F97C7E"/>
    <w:rsid w:val="00F97D2B"/>
    <w:rsid w:val="00F97EA6"/>
    <w:rsid w:val="00FA03B3"/>
    <w:rsid w:val="00FA07C5"/>
    <w:rsid w:val="00FA08D0"/>
    <w:rsid w:val="00FA0C7F"/>
    <w:rsid w:val="00FA0ED1"/>
    <w:rsid w:val="00FA1358"/>
    <w:rsid w:val="00FA2644"/>
    <w:rsid w:val="00FA29ED"/>
    <w:rsid w:val="00FA3498"/>
    <w:rsid w:val="00FA35AD"/>
    <w:rsid w:val="00FA35CE"/>
    <w:rsid w:val="00FA3913"/>
    <w:rsid w:val="00FA3F23"/>
    <w:rsid w:val="00FA40C9"/>
    <w:rsid w:val="00FA4801"/>
    <w:rsid w:val="00FA4B0D"/>
    <w:rsid w:val="00FA4E2B"/>
    <w:rsid w:val="00FA5144"/>
    <w:rsid w:val="00FA5A4A"/>
    <w:rsid w:val="00FA5C1E"/>
    <w:rsid w:val="00FA5D1A"/>
    <w:rsid w:val="00FA5F89"/>
    <w:rsid w:val="00FA6022"/>
    <w:rsid w:val="00FA6592"/>
    <w:rsid w:val="00FA680C"/>
    <w:rsid w:val="00FA6C43"/>
    <w:rsid w:val="00FA6C52"/>
    <w:rsid w:val="00FA6D08"/>
    <w:rsid w:val="00FA7159"/>
    <w:rsid w:val="00FA7300"/>
    <w:rsid w:val="00FA7318"/>
    <w:rsid w:val="00FA74F9"/>
    <w:rsid w:val="00FA78B1"/>
    <w:rsid w:val="00FA7B92"/>
    <w:rsid w:val="00FA7BA7"/>
    <w:rsid w:val="00FA7DFB"/>
    <w:rsid w:val="00FA9F6A"/>
    <w:rsid w:val="00FB077B"/>
    <w:rsid w:val="00FB1207"/>
    <w:rsid w:val="00FB136D"/>
    <w:rsid w:val="00FB1384"/>
    <w:rsid w:val="00FB16D4"/>
    <w:rsid w:val="00FB16DC"/>
    <w:rsid w:val="00FB258B"/>
    <w:rsid w:val="00FB2645"/>
    <w:rsid w:val="00FB2CFA"/>
    <w:rsid w:val="00FB30FA"/>
    <w:rsid w:val="00FB3845"/>
    <w:rsid w:val="00FB3912"/>
    <w:rsid w:val="00FB3976"/>
    <w:rsid w:val="00FB3F01"/>
    <w:rsid w:val="00FB46E3"/>
    <w:rsid w:val="00FB4AAD"/>
    <w:rsid w:val="00FB4E8A"/>
    <w:rsid w:val="00FB5136"/>
    <w:rsid w:val="00FB5162"/>
    <w:rsid w:val="00FB53A8"/>
    <w:rsid w:val="00FB5C7B"/>
    <w:rsid w:val="00FB630A"/>
    <w:rsid w:val="00FB73E2"/>
    <w:rsid w:val="00FB7C01"/>
    <w:rsid w:val="00FB7D2C"/>
    <w:rsid w:val="00FC0585"/>
    <w:rsid w:val="00FC05F9"/>
    <w:rsid w:val="00FC074F"/>
    <w:rsid w:val="00FC0D32"/>
    <w:rsid w:val="00FC0DA7"/>
    <w:rsid w:val="00FC126B"/>
    <w:rsid w:val="00FC1361"/>
    <w:rsid w:val="00FC1B45"/>
    <w:rsid w:val="00FC1BC0"/>
    <w:rsid w:val="00FC1E3A"/>
    <w:rsid w:val="00FC27EA"/>
    <w:rsid w:val="00FC29D9"/>
    <w:rsid w:val="00FC2A53"/>
    <w:rsid w:val="00FC2FC9"/>
    <w:rsid w:val="00FC304B"/>
    <w:rsid w:val="00FC305A"/>
    <w:rsid w:val="00FC30A6"/>
    <w:rsid w:val="00FC311D"/>
    <w:rsid w:val="00FC361C"/>
    <w:rsid w:val="00FC413B"/>
    <w:rsid w:val="00FC484A"/>
    <w:rsid w:val="00FC49F1"/>
    <w:rsid w:val="00FC4ED4"/>
    <w:rsid w:val="00FC5186"/>
    <w:rsid w:val="00FC5421"/>
    <w:rsid w:val="00FC5759"/>
    <w:rsid w:val="00FC5D1C"/>
    <w:rsid w:val="00FC5F66"/>
    <w:rsid w:val="00FC61FA"/>
    <w:rsid w:val="00FC6301"/>
    <w:rsid w:val="00FC7602"/>
    <w:rsid w:val="00FC792D"/>
    <w:rsid w:val="00FC79F3"/>
    <w:rsid w:val="00FD0DA0"/>
    <w:rsid w:val="00FD0E7C"/>
    <w:rsid w:val="00FD118D"/>
    <w:rsid w:val="00FD1735"/>
    <w:rsid w:val="00FD1C2B"/>
    <w:rsid w:val="00FD1FB7"/>
    <w:rsid w:val="00FD238B"/>
    <w:rsid w:val="00FD2487"/>
    <w:rsid w:val="00FD255F"/>
    <w:rsid w:val="00FD29A3"/>
    <w:rsid w:val="00FD2B46"/>
    <w:rsid w:val="00FD2D68"/>
    <w:rsid w:val="00FD310D"/>
    <w:rsid w:val="00FD3548"/>
    <w:rsid w:val="00FD41E3"/>
    <w:rsid w:val="00FD4658"/>
    <w:rsid w:val="00FD4A15"/>
    <w:rsid w:val="00FD4F47"/>
    <w:rsid w:val="00FD5266"/>
    <w:rsid w:val="00FD56E2"/>
    <w:rsid w:val="00FD6294"/>
    <w:rsid w:val="00FD64CD"/>
    <w:rsid w:val="00FD6CEF"/>
    <w:rsid w:val="00FD6E6A"/>
    <w:rsid w:val="00FD757E"/>
    <w:rsid w:val="00FD7BCF"/>
    <w:rsid w:val="00FD7DB7"/>
    <w:rsid w:val="00FD7E1F"/>
    <w:rsid w:val="00FE017A"/>
    <w:rsid w:val="00FE09DD"/>
    <w:rsid w:val="00FE0A4E"/>
    <w:rsid w:val="00FE0FB4"/>
    <w:rsid w:val="00FE163F"/>
    <w:rsid w:val="00FE1859"/>
    <w:rsid w:val="00FE1FF7"/>
    <w:rsid w:val="00FE213D"/>
    <w:rsid w:val="00FE22A9"/>
    <w:rsid w:val="00FE26E5"/>
    <w:rsid w:val="00FE292D"/>
    <w:rsid w:val="00FE29D1"/>
    <w:rsid w:val="00FE308C"/>
    <w:rsid w:val="00FE3463"/>
    <w:rsid w:val="00FE358F"/>
    <w:rsid w:val="00FE394D"/>
    <w:rsid w:val="00FE3A80"/>
    <w:rsid w:val="00FE4067"/>
    <w:rsid w:val="00FE48DE"/>
    <w:rsid w:val="00FE4B9D"/>
    <w:rsid w:val="00FE4E57"/>
    <w:rsid w:val="00FE5908"/>
    <w:rsid w:val="00FE602F"/>
    <w:rsid w:val="00FE6690"/>
    <w:rsid w:val="00FE6CC9"/>
    <w:rsid w:val="00FE6E15"/>
    <w:rsid w:val="00FE704F"/>
    <w:rsid w:val="00FE71E6"/>
    <w:rsid w:val="00FE75C6"/>
    <w:rsid w:val="00FE77A0"/>
    <w:rsid w:val="00FF0371"/>
    <w:rsid w:val="00FF0CDA"/>
    <w:rsid w:val="00FF0E9E"/>
    <w:rsid w:val="00FF0F07"/>
    <w:rsid w:val="00FF1181"/>
    <w:rsid w:val="00FF136B"/>
    <w:rsid w:val="00FF15C4"/>
    <w:rsid w:val="00FF171F"/>
    <w:rsid w:val="00FF19DD"/>
    <w:rsid w:val="00FF2A29"/>
    <w:rsid w:val="00FF33B1"/>
    <w:rsid w:val="00FF3516"/>
    <w:rsid w:val="00FF3A86"/>
    <w:rsid w:val="00FF4B3B"/>
    <w:rsid w:val="00FF591A"/>
    <w:rsid w:val="00FF65B6"/>
    <w:rsid w:val="00FF6652"/>
    <w:rsid w:val="00FF68B8"/>
    <w:rsid w:val="00FF6E69"/>
    <w:rsid w:val="00FF7597"/>
    <w:rsid w:val="00FF7924"/>
    <w:rsid w:val="00FF7930"/>
    <w:rsid w:val="00FF7FD3"/>
    <w:rsid w:val="01060631"/>
    <w:rsid w:val="018B69B9"/>
    <w:rsid w:val="01A5E2AC"/>
    <w:rsid w:val="020F4815"/>
    <w:rsid w:val="023AB385"/>
    <w:rsid w:val="029B0BEE"/>
    <w:rsid w:val="03872AD8"/>
    <w:rsid w:val="03B7CB7B"/>
    <w:rsid w:val="03CA8C99"/>
    <w:rsid w:val="03D90D80"/>
    <w:rsid w:val="03DC7CBD"/>
    <w:rsid w:val="03DEC317"/>
    <w:rsid w:val="03E2A1D1"/>
    <w:rsid w:val="03FF8ADA"/>
    <w:rsid w:val="044275C0"/>
    <w:rsid w:val="045BDF5C"/>
    <w:rsid w:val="04A231C4"/>
    <w:rsid w:val="04EE55EF"/>
    <w:rsid w:val="0520D8BD"/>
    <w:rsid w:val="05360014"/>
    <w:rsid w:val="054FA487"/>
    <w:rsid w:val="055DB966"/>
    <w:rsid w:val="05A173C1"/>
    <w:rsid w:val="05D485AC"/>
    <w:rsid w:val="05F59B61"/>
    <w:rsid w:val="066D2A3F"/>
    <w:rsid w:val="06B44D4A"/>
    <w:rsid w:val="06E5295F"/>
    <w:rsid w:val="06F5988A"/>
    <w:rsid w:val="0700200A"/>
    <w:rsid w:val="0759C598"/>
    <w:rsid w:val="076157A7"/>
    <w:rsid w:val="07A6C918"/>
    <w:rsid w:val="07C77AAC"/>
    <w:rsid w:val="07C9E5A8"/>
    <w:rsid w:val="07DB0161"/>
    <w:rsid w:val="07EF5813"/>
    <w:rsid w:val="07F64044"/>
    <w:rsid w:val="083B9D2F"/>
    <w:rsid w:val="0873AAA6"/>
    <w:rsid w:val="08E049FF"/>
    <w:rsid w:val="08E417D0"/>
    <w:rsid w:val="0985A37B"/>
    <w:rsid w:val="09910796"/>
    <w:rsid w:val="09B2C65A"/>
    <w:rsid w:val="09D2783F"/>
    <w:rsid w:val="09EA68D8"/>
    <w:rsid w:val="09F98D57"/>
    <w:rsid w:val="0A1EA1A8"/>
    <w:rsid w:val="0A4378D8"/>
    <w:rsid w:val="0A58EC46"/>
    <w:rsid w:val="0AAF2C7E"/>
    <w:rsid w:val="0AC1DC34"/>
    <w:rsid w:val="0ACA0B38"/>
    <w:rsid w:val="0B0BB006"/>
    <w:rsid w:val="0B2951DD"/>
    <w:rsid w:val="0B34D55B"/>
    <w:rsid w:val="0B584A2B"/>
    <w:rsid w:val="0B84DC6D"/>
    <w:rsid w:val="0BA988EE"/>
    <w:rsid w:val="0C475D3A"/>
    <w:rsid w:val="0CE2B991"/>
    <w:rsid w:val="0CE334F4"/>
    <w:rsid w:val="0D6C286E"/>
    <w:rsid w:val="0DA5AE25"/>
    <w:rsid w:val="0DD74A8A"/>
    <w:rsid w:val="0DF15508"/>
    <w:rsid w:val="0DF4DEFC"/>
    <w:rsid w:val="0E25713F"/>
    <w:rsid w:val="0F16EA71"/>
    <w:rsid w:val="0F50540A"/>
    <w:rsid w:val="0F665F23"/>
    <w:rsid w:val="0FA2A798"/>
    <w:rsid w:val="0FBF5896"/>
    <w:rsid w:val="1006BEEE"/>
    <w:rsid w:val="1041C096"/>
    <w:rsid w:val="105F02CC"/>
    <w:rsid w:val="10A8602F"/>
    <w:rsid w:val="10E6A269"/>
    <w:rsid w:val="111C75B7"/>
    <w:rsid w:val="1198696F"/>
    <w:rsid w:val="11AF7474"/>
    <w:rsid w:val="11C9BF51"/>
    <w:rsid w:val="11D6CE00"/>
    <w:rsid w:val="121344A8"/>
    <w:rsid w:val="125E0C20"/>
    <w:rsid w:val="127AF0D6"/>
    <w:rsid w:val="127D16E9"/>
    <w:rsid w:val="1287C96A"/>
    <w:rsid w:val="129EAC15"/>
    <w:rsid w:val="12AB6B93"/>
    <w:rsid w:val="12F699C3"/>
    <w:rsid w:val="13542E20"/>
    <w:rsid w:val="1363718B"/>
    <w:rsid w:val="137D7DF4"/>
    <w:rsid w:val="139BE9C0"/>
    <w:rsid w:val="13ADB0B2"/>
    <w:rsid w:val="13C893A4"/>
    <w:rsid w:val="13D120C8"/>
    <w:rsid w:val="13E499D9"/>
    <w:rsid w:val="13F34FEC"/>
    <w:rsid w:val="13FAB8EE"/>
    <w:rsid w:val="141C8CCE"/>
    <w:rsid w:val="1457473C"/>
    <w:rsid w:val="1463C115"/>
    <w:rsid w:val="148895C8"/>
    <w:rsid w:val="14E7E27F"/>
    <w:rsid w:val="15710CD6"/>
    <w:rsid w:val="15B4DD48"/>
    <w:rsid w:val="15B61DDF"/>
    <w:rsid w:val="1610D93B"/>
    <w:rsid w:val="161262F5"/>
    <w:rsid w:val="16339BF2"/>
    <w:rsid w:val="16D45D9B"/>
    <w:rsid w:val="16DB0A1F"/>
    <w:rsid w:val="171DBD61"/>
    <w:rsid w:val="172C998A"/>
    <w:rsid w:val="1751BD59"/>
    <w:rsid w:val="1785C6A3"/>
    <w:rsid w:val="17CD19C0"/>
    <w:rsid w:val="18048352"/>
    <w:rsid w:val="1819731A"/>
    <w:rsid w:val="185C6F18"/>
    <w:rsid w:val="18858450"/>
    <w:rsid w:val="18A4A7E4"/>
    <w:rsid w:val="18FE76FB"/>
    <w:rsid w:val="19414B40"/>
    <w:rsid w:val="197BD58B"/>
    <w:rsid w:val="19830420"/>
    <w:rsid w:val="19A0FDA9"/>
    <w:rsid w:val="19EBAC98"/>
    <w:rsid w:val="19F96BD6"/>
    <w:rsid w:val="1A079DD6"/>
    <w:rsid w:val="1A18B2C0"/>
    <w:rsid w:val="1A4198FD"/>
    <w:rsid w:val="1A4B3D30"/>
    <w:rsid w:val="1A687FC2"/>
    <w:rsid w:val="1AA3C584"/>
    <w:rsid w:val="1B0DE21E"/>
    <w:rsid w:val="1B1F5D55"/>
    <w:rsid w:val="1B391EEB"/>
    <w:rsid w:val="1C0C6837"/>
    <w:rsid w:val="1C3274C0"/>
    <w:rsid w:val="1C4A84BB"/>
    <w:rsid w:val="1D1049D9"/>
    <w:rsid w:val="1D140918"/>
    <w:rsid w:val="1D1634FE"/>
    <w:rsid w:val="1D2ECE24"/>
    <w:rsid w:val="1D41595B"/>
    <w:rsid w:val="1D63E2F6"/>
    <w:rsid w:val="1DA2DDD0"/>
    <w:rsid w:val="1DF26626"/>
    <w:rsid w:val="1E1044ED"/>
    <w:rsid w:val="1EA4125C"/>
    <w:rsid w:val="1EB432BA"/>
    <w:rsid w:val="1EC54C9C"/>
    <w:rsid w:val="1F5D2717"/>
    <w:rsid w:val="1FE70661"/>
    <w:rsid w:val="1FF7E5B8"/>
    <w:rsid w:val="20083BFE"/>
    <w:rsid w:val="201FC5D3"/>
    <w:rsid w:val="205E6D50"/>
    <w:rsid w:val="207D2CC9"/>
    <w:rsid w:val="21447D9D"/>
    <w:rsid w:val="215CDFCB"/>
    <w:rsid w:val="21947570"/>
    <w:rsid w:val="219B75E1"/>
    <w:rsid w:val="21AD1838"/>
    <w:rsid w:val="21B268A4"/>
    <w:rsid w:val="21D7AC16"/>
    <w:rsid w:val="222E74DE"/>
    <w:rsid w:val="224DDD42"/>
    <w:rsid w:val="22917A82"/>
    <w:rsid w:val="22BAA376"/>
    <w:rsid w:val="22BAF771"/>
    <w:rsid w:val="230BCC29"/>
    <w:rsid w:val="23203051"/>
    <w:rsid w:val="233A65DF"/>
    <w:rsid w:val="238D447B"/>
    <w:rsid w:val="239CDA0C"/>
    <w:rsid w:val="23C1D814"/>
    <w:rsid w:val="23F24EC4"/>
    <w:rsid w:val="24390379"/>
    <w:rsid w:val="245594A4"/>
    <w:rsid w:val="248299E2"/>
    <w:rsid w:val="24876770"/>
    <w:rsid w:val="24B7944B"/>
    <w:rsid w:val="250B4CA6"/>
    <w:rsid w:val="25104DA9"/>
    <w:rsid w:val="2527FBEE"/>
    <w:rsid w:val="258CCF4D"/>
    <w:rsid w:val="26069B54"/>
    <w:rsid w:val="26151B59"/>
    <w:rsid w:val="26B9421B"/>
    <w:rsid w:val="26E63847"/>
    <w:rsid w:val="26F3DFFE"/>
    <w:rsid w:val="26FE17E6"/>
    <w:rsid w:val="27174270"/>
    <w:rsid w:val="27547AFE"/>
    <w:rsid w:val="27930738"/>
    <w:rsid w:val="28200845"/>
    <w:rsid w:val="2820ED80"/>
    <w:rsid w:val="284D4BC9"/>
    <w:rsid w:val="285AC0C7"/>
    <w:rsid w:val="287038D9"/>
    <w:rsid w:val="2884FCEF"/>
    <w:rsid w:val="28BFD0AD"/>
    <w:rsid w:val="28DF6A26"/>
    <w:rsid w:val="2968CDDD"/>
    <w:rsid w:val="29B5E2D8"/>
    <w:rsid w:val="29DBC0CB"/>
    <w:rsid w:val="29EAA6CD"/>
    <w:rsid w:val="29EDE86F"/>
    <w:rsid w:val="29F0EA28"/>
    <w:rsid w:val="29F7F768"/>
    <w:rsid w:val="2A77D103"/>
    <w:rsid w:val="2A7F7849"/>
    <w:rsid w:val="2A9437D9"/>
    <w:rsid w:val="2AA28169"/>
    <w:rsid w:val="2ACCF390"/>
    <w:rsid w:val="2AD67A1E"/>
    <w:rsid w:val="2AE0E6C9"/>
    <w:rsid w:val="2AE817CC"/>
    <w:rsid w:val="2AF9F889"/>
    <w:rsid w:val="2B61C9F3"/>
    <w:rsid w:val="2BA92B52"/>
    <w:rsid w:val="2BAD7731"/>
    <w:rsid w:val="2BE99905"/>
    <w:rsid w:val="2BFB2A52"/>
    <w:rsid w:val="2C0A1235"/>
    <w:rsid w:val="2C53F9AC"/>
    <w:rsid w:val="2C5D0FE0"/>
    <w:rsid w:val="2C652A06"/>
    <w:rsid w:val="2C810949"/>
    <w:rsid w:val="2CA079F9"/>
    <w:rsid w:val="2CAB3D36"/>
    <w:rsid w:val="2D5620B5"/>
    <w:rsid w:val="2D615034"/>
    <w:rsid w:val="2E04633E"/>
    <w:rsid w:val="2E0D4F23"/>
    <w:rsid w:val="2E801909"/>
    <w:rsid w:val="2E83785C"/>
    <w:rsid w:val="2EA92912"/>
    <w:rsid w:val="2ED665E1"/>
    <w:rsid w:val="2F2101C7"/>
    <w:rsid w:val="2F22E25A"/>
    <w:rsid w:val="2F430046"/>
    <w:rsid w:val="2F632907"/>
    <w:rsid w:val="2F9EA766"/>
    <w:rsid w:val="2FB4E92F"/>
    <w:rsid w:val="2FCB39F2"/>
    <w:rsid w:val="2FE0CDA5"/>
    <w:rsid w:val="3030A3D7"/>
    <w:rsid w:val="3033B97E"/>
    <w:rsid w:val="30B0AC47"/>
    <w:rsid w:val="30BE3C69"/>
    <w:rsid w:val="30E35FDF"/>
    <w:rsid w:val="310DC97C"/>
    <w:rsid w:val="31511E98"/>
    <w:rsid w:val="31560D41"/>
    <w:rsid w:val="3184335A"/>
    <w:rsid w:val="3185E35A"/>
    <w:rsid w:val="319648BA"/>
    <w:rsid w:val="31BFA9E2"/>
    <w:rsid w:val="31EBA172"/>
    <w:rsid w:val="3237DD3C"/>
    <w:rsid w:val="325B0D56"/>
    <w:rsid w:val="3271C9D5"/>
    <w:rsid w:val="327EA370"/>
    <w:rsid w:val="32D2CB36"/>
    <w:rsid w:val="32D9594E"/>
    <w:rsid w:val="33099777"/>
    <w:rsid w:val="33283742"/>
    <w:rsid w:val="334B7EA7"/>
    <w:rsid w:val="336438A9"/>
    <w:rsid w:val="337272F4"/>
    <w:rsid w:val="338B4169"/>
    <w:rsid w:val="3397CF86"/>
    <w:rsid w:val="339B50D8"/>
    <w:rsid w:val="33DE939F"/>
    <w:rsid w:val="343666E6"/>
    <w:rsid w:val="344149EF"/>
    <w:rsid w:val="347D38B4"/>
    <w:rsid w:val="348BBA10"/>
    <w:rsid w:val="34A7D5C6"/>
    <w:rsid w:val="35058795"/>
    <w:rsid w:val="3532E811"/>
    <w:rsid w:val="35545A57"/>
    <w:rsid w:val="3584742F"/>
    <w:rsid w:val="3597AD63"/>
    <w:rsid w:val="35AFFC47"/>
    <w:rsid w:val="35C33B95"/>
    <w:rsid w:val="367822EA"/>
    <w:rsid w:val="3689BEC5"/>
    <w:rsid w:val="3699C673"/>
    <w:rsid w:val="36B32137"/>
    <w:rsid w:val="36E1840B"/>
    <w:rsid w:val="36E1C2CC"/>
    <w:rsid w:val="36E7B805"/>
    <w:rsid w:val="370D862A"/>
    <w:rsid w:val="371CDD3B"/>
    <w:rsid w:val="3789A72F"/>
    <w:rsid w:val="378BB537"/>
    <w:rsid w:val="37EBB2B2"/>
    <w:rsid w:val="3816812F"/>
    <w:rsid w:val="384231E1"/>
    <w:rsid w:val="384B56F8"/>
    <w:rsid w:val="3861D4A1"/>
    <w:rsid w:val="38D75086"/>
    <w:rsid w:val="3929B846"/>
    <w:rsid w:val="39390A5E"/>
    <w:rsid w:val="39572F77"/>
    <w:rsid w:val="399A2F90"/>
    <w:rsid w:val="39CF9969"/>
    <w:rsid w:val="3A66D53D"/>
    <w:rsid w:val="3A6AB444"/>
    <w:rsid w:val="3AB07F4A"/>
    <w:rsid w:val="3AB2CA95"/>
    <w:rsid w:val="3AC14166"/>
    <w:rsid w:val="3AD08251"/>
    <w:rsid w:val="3ADE8E7B"/>
    <w:rsid w:val="3B00BFF3"/>
    <w:rsid w:val="3B250635"/>
    <w:rsid w:val="3B29C2B0"/>
    <w:rsid w:val="3B36993A"/>
    <w:rsid w:val="3B3D8D75"/>
    <w:rsid w:val="3B7E8838"/>
    <w:rsid w:val="3B829A22"/>
    <w:rsid w:val="3BA40B5F"/>
    <w:rsid w:val="3BF10BB5"/>
    <w:rsid w:val="3BF1DA41"/>
    <w:rsid w:val="3C408A8D"/>
    <w:rsid w:val="3CA8E3F8"/>
    <w:rsid w:val="3CBDC69E"/>
    <w:rsid w:val="3CC25D7D"/>
    <w:rsid w:val="3CD52F3C"/>
    <w:rsid w:val="3D4F4A83"/>
    <w:rsid w:val="3DB839E6"/>
    <w:rsid w:val="3DB9109D"/>
    <w:rsid w:val="3DBB852B"/>
    <w:rsid w:val="3DC2627B"/>
    <w:rsid w:val="3DD5846B"/>
    <w:rsid w:val="3DE72D9F"/>
    <w:rsid w:val="3E2F563A"/>
    <w:rsid w:val="3EA0FA99"/>
    <w:rsid w:val="3ED8C556"/>
    <w:rsid w:val="3EDAA956"/>
    <w:rsid w:val="3F30F81A"/>
    <w:rsid w:val="3F4CDBF6"/>
    <w:rsid w:val="3FC16812"/>
    <w:rsid w:val="3FC99DE3"/>
    <w:rsid w:val="400059C1"/>
    <w:rsid w:val="403A7DA1"/>
    <w:rsid w:val="4045CE6A"/>
    <w:rsid w:val="405566ED"/>
    <w:rsid w:val="40612449"/>
    <w:rsid w:val="4097C077"/>
    <w:rsid w:val="40A564CF"/>
    <w:rsid w:val="40AD2802"/>
    <w:rsid w:val="40B1CA1A"/>
    <w:rsid w:val="40F9178B"/>
    <w:rsid w:val="4100C72E"/>
    <w:rsid w:val="4102A999"/>
    <w:rsid w:val="4121F939"/>
    <w:rsid w:val="4129D96B"/>
    <w:rsid w:val="4156E34A"/>
    <w:rsid w:val="41848B5E"/>
    <w:rsid w:val="41CD1A5A"/>
    <w:rsid w:val="420C4837"/>
    <w:rsid w:val="42270B19"/>
    <w:rsid w:val="42327E1B"/>
    <w:rsid w:val="425124CF"/>
    <w:rsid w:val="426A51F7"/>
    <w:rsid w:val="429506EA"/>
    <w:rsid w:val="42D15157"/>
    <w:rsid w:val="42E461DF"/>
    <w:rsid w:val="42E6BF2F"/>
    <w:rsid w:val="42E7CC4C"/>
    <w:rsid w:val="431D5003"/>
    <w:rsid w:val="437E9BC4"/>
    <w:rsid w:val="43A3F8BD"/>
    <w:rsid w:val="43B366AA"/>
    <w:rsid w:val="43C70E4F"/>
    <w:rsid w:val="43EE4D34"/>
    <w:rsid w:val="441122D1"/>
    <w:rsid w:val="445331D5"/>
    <w:rsid w:val="44BA39CF"/>
    <w:rsid w:val="44E2FD0C"/>
    <w:rsid w:val="44E719B4"/>
    <w:rsid w:val="450A70F8"/>
    <w:rsid w:val="45351A82"/>
    <w:rsid w:val="4559CCDC"/>
    <w:rsid w:val="45843A89"/>
    <w:rsid w:val="45A3C3F8"/>
    <w:rsid w:val="45AB7A6E"/>
    <w:rsid w:val="46141556"/>
    <w:rsid w:val="46833FFC"/>
    <w:rsid w:val="4703448A"/>
    <w:rsid w:val="47106BFC"/>
    <w:rsid w:val="4748D764"/>
    <w:rsid w:val="47B326C7"/>
    <w:rsid w:val="47BCECB9"/>
    <w:rsid w:val="47C16C8E"/>
    <w:rsid w:val="47F7A9E7"/>
    <w:rsid w:val="480947CD"/>
    <w:rsid w:val="48142076"/>
    <w:rsid w:val="48176983"/>
    <w:rsid w:val="489FF370"/>
    <w:rsid w:val="48E73956"/>
    <w:rsid w:val="4920ABDC"/>
    <w:rsid w:val="49644DEC"/>
    <w:rsid w:val="499390CF"/>
    <w:rsid w:val="499496CE"/>
    <w:rsid w:val="49F91041"/>
    <w:rsid w:val="4A053EEA"/>
    <w:rsid w:val="4A768A4A"/>
    <w:rsid w:val="4A8BB7DB"/>
    <w:rsid w:val="4A97F66F"/>
    <w:rsid w:val="4AA271AE"/>
    <w:rsid w:val="4AB18196"/>
    <w:rsid w:val="4AF1C013"/>
    <w:rsid w:val="4AF69E34"/>
    <w:rsid w:val="4B017C69"/>
    <w:rsid w:val="4B20F9ED"/>
    <w:rsid w:val="4B3980EA"/>
    <w:rsid w:val="4B55C28A"/>
    <w:rsid w:val="4B8B0883"/>
    <w:rsid w:val="4B9BAFC9"/>
    <w:rsid w:val="4BAD2AC6"/>
    <w:rsid w:val="4BC49645"/>
    <w:rsid w:val="4BF8662D"/>
    <w:rsid w:val="4C072535"/>
    <w:rsid w:val="4C0E1184"/>
    <w:rsid w:val="4C1941B5"/>
    <w:rsid w:val="4C31DCFC"/>
    <w:rsid w:val="4C91B6B1"/>
    <w:rsid w:val="4C9C0DEB"/>
    <w:rsid w:val="4CA42DFE"/>
    <w:rsid w:val="4D08A7D3"/>
    <w:rsid w:val="4D1C8D8A"/>
    <w:rsid w:val="4D4208A1"/>
    <w:rsid w:val="4D485FBC"/>
    <w:rsid w:val="4D4A3D64"/>
    <w:rsid w:val="4D52625A"/>
    <w:rsid w:val="4DA5C4AE"/>
    <w:rsid w:val="4DEE5306"/>
    <w:rsid w:val="4E00AC88"/>
    <w:rsid w:val="4E1B540D"/>
    <w:rsid w:val="4E687B75"/>
    <w:rsid w:val="4E7B5678"/>
    <w:rsid w:val="4EC0DA99"/>
    <w:rsid w:val="4EC802CB"/>
    <w:rsid w:val="4F18A746"/>
    <w:rsid w:val="4F1DCDB4"/>
    <w:rsid w:val="4F3A1CAD"/>
    <w:rsid w:val="4F492557"/>
    <w:rsid w:val="4F5FCC16"/>
    <w:rsid w:val="4F62F3FC"/>
    <w:rsid w:val="4F63F4B3"/>
    <w:rsid w:val="4FAB2689"/>
    <w:rsid w:val="4FBB4F85"/>
    <w:rsid w:val="4FC2D6E1"/>
    <w:rsid w:val="50024F31"/>
    <w:rsid w:val="509EC512"/>
    <w:rsid w:val="50B2DBC7"/>
    <w:rsid w:val="50B717E6"/>
    <w:rsid w:val="50C975A6"/>
    <w:rsid w:val="50EB3F86"/>
    <w:rsid w:val="50F0E240"/>
    <w:rsid w:val="50F1B6F7"/>
    <w:rsid w:val="510640D8"/>
    <w:rsid w:val="513A14AD"/>
    <w:rsid w:val="5217CA19"/>
    <w:rsid w:val="5255FB0F"/>
    <w:rsid w:val="525E1D00"/>
    <w:rsid w:val="526BDB2F"/>
    <w:rsid w:val="52A3FBEA"/>
    <w:rsid w:val="52CAFBA9"/>
    <w:rsid w:val="5315676F"/>
    <w:rsid w:val="532E9D7E"/>
    <w:rsid w:val="535E8FC3"/>
    <w:rsid w:val="538DBD60"/>
    <w:rsid w:val="53C6393E"/>
    <w:rsid w:val="541E8DE5"/>
    <w:rsid w:val="548236E2"/>
    <w:rsid w:val="54B62DF2"/>
    <w:rsid w:val="54C72EAD"/>
    <w:rsid w:val="54F7DA89"/>
    <w:rsid w:val="5529D6EF"/>
    <w:rsid w:val="55451895"/>
    <w:rsid w:val="5578C9B2"/>
    <w:rsid w:val="55870E75"/>
    <w:rsid w:val="55B74DDE"/>
    <w:rsid w:val="55D4EA33"/>
    <w:rsid w:val="56009D6D"/>
    <w:rsid w:val="56085A0D"/>
    <w:rsid w:val="5618C656"/>
    <w:rsid w:val="5690FCF6"/>
    <w:rsid w:val="56C16105"/>
    <w:rsid w:val="56CDF748"/>
    <w:rsid w:val="56E848B1"/>
    <w:rsid w:val="56FC45B3"/>
    <w:rsid w:val="57555465"/>
    <w:rsid w:val="57A1EADE"/>
    <w:rsid w:val="57E2979B"/>
    <w:rsid w:val="581EE64B"/>
    <w:rsid w:val="585A73B5"/>
    <w:rsid w:val="587A7A5E"/>
    <w:rsid w:val="58FA25FF"/>
    <w:rsid w:val="59241B06"/>
    <w:rsid w:val="592FC535"/>
    <w:rsid w:val="59450C4E"/>
    <w:rsid w:val="59B3D4B9"/>
    <w:rsid w:val="5A0F3084"/>
    <w:rsid w:val="5A2CB07B"/>
    <w:rsid w:val="5A2F344B"/>
    <w:rsid w:val="5A40F7C3"/>
    <w:rsid w:val="5A5654F6"/>
    <w:rsid w:val="5A5D8ED0"/>
    <w:rsid w:val="5A604146"/>
    <w:rsid w:val="5A82505F"/>
    <w:rsid w:val="5AD58760"/>
    <w:rsid w:val="5ADA90D7"/>
    <w:rsid w:val="5B20782A"/>
    <w:rsid w:val="5B31FE8B"/>
    <w:rsid w:val="5B4DC779"/>
    <w:rsid w:val="5B669341"/>
    <w:rsid w:val="5C4AB9AB"/>
    <w:rsid w:val="5CAF3F32"/>
    <w:rsid w:val="5CF7B68F"/>
    <w:rsid w:val="5D0541DE"/>
    <w:rsid w:val="5D29AF0C"/>
    <w:rsid w:val="5DB03597"/>
    <w:rsid w:val="5DB94444"/>
    <w:rsid w:val="5DCD311F"/>
    <w:rsid w:val="5DD63D58"/>
    <w:rsid w:val="5DE72E19"/>
    <w:rsid w:val="5E26AD1F"/>
    <w:rsid w:val="5E633146"/>
    <w:rsid w:val="5EB19A24"/>
    <w:rsid w:val="5ED197C7"/>
    <w:rsid w:val="5ED81DA7"/>
    <w:rsid w:val="5F18C8AA"/>
    <w:rsid w:val="5F55C63D"/>
    <w:rsid w:val="5F56911D"/>
    <w:rsid w:val="5F807977"/>
    <w:rsid w:val="5FB92FCB"/>
    <w:rsid w:val="5FFE8E5E"/>
    <w:rsid w:val="601DF190"/>
    <w:rsid w:val="603151ED"/>
    <w:rsid w:val="60AB0BD7"/>
    <w:rsid w:val="60C49905"/>
    <w:rsid w:val="60E175DE"/>
    <w:rsid w:val="60E1AB82"/>
    <w:rsid w:val="60F7DF6C"/>
    <w:rsid w:val="61122CBF"/>
    <w:rsid w:val="611DAFC3"/>
    <w:rsid w:val="612E93B7"/>
    <w:rsid w:val="61835400"/>
    <w:rsid w:val="618B028E"/>
    <w:rsid w:val="618D2002"/>
    <w:rsid w:val="61A6AAD2"/>
    <w:rsid w:val="61AFDE66"/>
    <w:rsid w:val="620FA5A7"/>
    <w:rsid w:val="622696B6"/>
    <w:rsid w:val="622BEF1C"/>
    <w:rsid w:val="632ED0DD"/>
    <w:rsid w:val="635F836E"/>
    <w:rsid w:val="63A4D350"/>
    <w:rsid w:val="63ECDEFD"/>
    <w:rsid w:val="641CD7D1"/>
    <w:rsid w:val="64423FB6"/>
    <w:rsid w:val="647D0258"/>
    <w:rsid w:val="647E72F0"/>
    <w:rsid w:val="64911DA0"/>
    <w:rsid w:val="649CA3CD"/>
    <w:rsid w:val="64CEBE30"/>
    <w:rsid w:val="6527608D"/>
    <w:rsid w:val="6578BA07"/>
    <w:rsid w:val="65B80764"/>
    <w:rsid w:val="65EC287D"/>
    <w:rsid w:val="66153157"/>
    <w:rsid w:val="66244A6B"/>
    <w:rsid w:val="66AF2AA3"/>
    <w:rsid w:val="672E1247"/>
    <w:rsid w:val="67343724"/>
    <w:rsid w:val="67633406"/>
    <w:rsid w:val="67B3F811"/>
    <w:rsid w:val="67EC9067"/>
    <w:rsid w:val="686BF73D"/>
    <w:rsid w:val="68A2B791"/>
    <w:rsid w:val="68EAF2BB"/>
    <w:rsid w:val="69206228"/>
    <w:rsid w:val="692529BC"/>
    <w:rsid w:val="696870BC"/>
    <w:rsid w:val="69CA936C"/>
    <w:rsid w:val="6A22939B"/>
    <w:rsid w:val="6A6C66E2"/>
    <w:rsid w:val="6A8FF640"/>
    <w:rsid w:val="6AD744D4"/>
    <w:rsid w:val="6AFEC6F0"/>
    <w:rsid w:val="6AFF275C"/>
    <w:rsid w:val="6B47CE20"/>
    <w:rsid w:val="6B6D54AA"/>
    <w:rsid w:val="6B7F5575"/>
    <w:rsid w:val="6B9FB4E9"/>
    <w:rsid w:val="6BE0C019"/>
    <w:rsid w:val="6C9BE7BD"/>
    <w:rsid w:val="6CC22015"/>
    <w:rsid w:val="6CDC33FB"/>
    <w:rsid w:val="6D03AE35"/>
    <w:rsid w:val="6D0ECC3D"/>
    <w:rsid w:val="6DB289DC"/>
    <w:rsid w:val="6DBE1BCC"/>
    <w:rsid w:val="6DCF435D"/>
    <w:rsid w:val="6E3DF88E"/>
    <w:rsid w:val="6E859C23"/>
    <w:rsid w:val="6ECA3570"/>
    <w:rsid w:val="6ED0D465"/>
    <w:rsid w:val="6F059A18"/>
    <w:rsid w:val="6F0BD52D"/>
    <w:rsid w:val="6F8ED543"/>
    <w:rsid w:val="6FB49FD6"/>
    <w:rsid w:val="6FB6A3E7"/>
    <w:rsid w:val="6FEB4C1F"/>
    <w:rsid w:val="700FE071"/>
    <w:rsid w:val="705ECD39"/>
    <w:rsid w:val="7076F2F1"/>
    <w:rsid w:val="7088EC75"/>
    <w:rsid w:val="708C9AB4"/>
    <w:rsid w:val="70A7E5E9"/>
    <w:rsid w:val="70E6E8D3"/>
    <w:rsid w:val="70F0B580"/>
    <w:rsid w:val="71088F69"/>
    <w:rsid w:val="71228826"/>
    <w:rsid w:val="712F6ACB"/>
    <w:rsid w:val="716C930F"/>
    <w:rsid w:val="719581FE"/>
    <w:rsid w:val="71A9E55D"/>
    <w:rsid w:val="71D3A2A5"/>
    <w:rsid w:val="72495F64"/>
    <w:rsid w:val="729DD57D"/>
    <w:rsid w:val="72D866ED"/>
    <w:rsid w:val="72ED7A55"/>
    <w:rsid w:val="735E6D39"/>
    <w:rsid w:val="7371B75D"/>
    <w:rsid w:val="7379AEE4"/>
    <w:rsid w:val="73943F14"/>
    <w:rsid w:val="740A11EB"/>
    <w:rsid w:val="74782BEC"/>
    <w:rsid w:val="749ED4F2"/>
    <w:rsid w:val="74CE5B90"/>
    <w:rsid w:val="74E20244"/>
    <w:rsid w:val="74F83071"/>
    <w:rsid w:val="7511CDD3"/>
    <w:rsid w:val="7530EB54"/>
    <w:rsid w:val="75769C8B"/>
    <w:rsid w:val="75799F00"/>
    <w:rsid w:val="75ABA846"/>
    <w:rsid w:val="75FC703E"/>
    <w:rsid w:val="760896FD"/>
    <w:rsid w:val="766C0357"/>
    <w:rsid w:val="766FD0C4"/>
    <w:rsid w:val="76CC96F0"/>
    <w:rsid w:val="777CF0BC"/>
    <w:rsid w:val="77D88A54"/>
    <w:rsid w:val="77EBD02D"/>
    <w:rsid w:val="77EC5A73"/>
    <w:rsid w:val="77F58224"/>
    <w:rsid w:val="780919D1"/>
    <w:rsid w:val="78680E59"/>
    <w:rsid w:val="7873D107"/>
    <w:rsid w:val="7899F950"/>
    <w:rsid w:val="78CDF70A"/>
    <w:rsid w:val="78EF23FD"/>
    <w:rsid w:val="7961D366"/>
    <w:rsid w:val="7964746C"/>
    <w:rsid w:val="79AC3530"/>
    <w:rsid w:val="79F74CC4"/>
    <w:rsid w:val="7A02D4B6"/>
    <w:rsid w:val="7A09B543"/>
    <w:rsid w:val="7A14821B"/>
    <w:rsid w:val="7A27A05B"/>
    <w:rsid w:val="7A3F1E89"/>
    <w:rsid w:val="7A4B6E62"/>
    <w:rsid w:val="7A7DA80B"/>
    <w:rsid w:val="7ABEB646"/>
    <w:rsid w:val="7B528630"/>
    <w:rsid w:val="7B5299DD"/>
    <w:rsid w:val="7B5957B3"/>
    <w:rsid w:val="7B745700"/>
    <w:rsid w:val="7B8DB459"/>
    <w:rsid w:val="7BA27CEB"/>
    <w:rsid w:val="7BD6756B"/>
    <w:rsid w:val="7BEA40C3"/>
    <w:rsid w:val="7BFE4E73"/>
    <w:rsid w:val="7C1243FF"/>
    <w:rsid w:val="7C1A42F1"/>
    <w:rsid w:val="7C1DE89F"/>
    <w:rsid w:val="7C1EA8C5"/>
    <w:rsid w:val="7C37D805"/>
    <w:rsid w:val="7C43BB2F"/>
    <w:rsid w:val="7C8C21F3"/>
    <w:rsid w:val="7C9E30A2"/>
    <w:rsid w:val="7CC272F4"/>
    <w:rsid w:val="7DB086F5"/>
    <w:rsid w:val="7DD2D232"/>
    <w:rsid w:val="7E07C4AA"/>
    <w:rsid w:val="7E129AD6"/>
    <w:rsid w:val="7E752826"/>
    <w:rsid w:val="7E809B36"/>
    <w:rsid w:val="7E8A8B1B"/>
    <w:rsid w:val="7ED22C98"/>
    <w:rsid w:val="7F0ED6F7"/>
    <w:rsid w:val="7F18EE13"/>
    <w:rsid w:val="7F374B95"/>
    <w:rsid w:val="7F3BAB00"/>
    <w:rsid w:val="7F8EA92D"/>
    <w:rsid w:val="7FC7494A"/>
    <w:rsid w:val="7FFB74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4F9842"/>
  <w15:chartTrackingRefBased/>
  <w15:docId w15:val="{D771C9E8-0BBA-4E95-8B52-3C5B4F3B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6F1"/>
  </w:style>
  <w:style w:type="paragraph" w:styleId="Heading1">
    <w:name w:val="heading 1"/>
    <w:basedOn w:val="Normal"/>
    <w:next w:val="Normal"/>
    <w:link w:val="Heading1Char"/>
    <w:uiPriority w:val="9"/>
    <w:rsid w:val="00080CD0"/>
    <w:pPr>
      <w:keepNext/>
      <w:keepLines/>
      <w:numPr>
        <w:numId w:val="8"/>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7732"/>
    <w:pPr>
      <w:keepNext/>
      <w:keepLines/>
      <w:numPr>
        <w:numId w:val="12"/>
      </w:numPr>
      <w:spacing w:before="160" w:after="80"/>
      <w:outlineLvl w:val="1"/>
    </w:pPr>
    <w:rPr>
      <w:rFonts w:ascii="Times New Roman" w:eastAsiaTheme="majorEastAsia" w:hAnsi="Times New Roman" w:cstheme="majorBidi"/>
      <w:b/>
      <w:caps/>
      <w:color w:val="000000" w:themeColor="text1"/>
      <w:sz w:val="24"/>
      <w:szCs w:val="32"/>
    </w:rPr>
  </w:style>
  <w:style w:type="paragraph" w:styleId="Heading3">
    <w:name w:val="heading 3"/>
    <w:basedOn w:val="Normal"/>
    <w:next w:val="Normal"/>
    <w:link w:val="Heading3Char"/>
    <w:uiPriority w:val="9"/>
    <w:unhideWhenUsed/>
    <w:qFormat/>
    <w:rsid w:val="00127732"/>
    <w:pPr>
      <w:keepNext/>
      <w:keepLines/>
      <w:numPr>
        <w:ilvl w:val="1"/>
        <w:numId w:val="12"/>
      </w:numPr>
      <w:spacing w:before="160" w:after="80"/>
      <w:outlineLvl w:val="2"/>
    </w:pPr>
    <w:rPr>
      <w:rFonts w:ascii="Times New Roman" w:eastAsiaTheme="majorEastAsia" w:hAnsi="Times New Roman" w:cstheme="majorBidi"/>
      <w:b/>
      <w:color w:val="000000" w:themeColor="text1"/>
      <w:sz w:val="24"/>
      <w:szCs w:val="28"/>
    </w:rPr>
  </w:style>
  <w:style w:type="paragraph" w:styleId="Heading4">
    <w:name w:val="heading 4"/>
    <w:basedOn w:val="Normal"/>
    <w:next w:val="Normal"/>
    <w:link w:val="Heading4Char"/>
    <w:uiPriority w:val="9"/>
    <w:unhideWhenUsed/>
    <w:qFormat/>
    <w:rsid w:val="009249C0"/>
    <w:pPr>
      <w:keepNext/>
      <w:keepLines/>
      <w:numPr>
        <w:numId w:val="23"/>
      </w:numPr>
      <w:spacing w:before="80" w:after="40"/>
      <w:outlineLvl w:val="3"/>
    </w:pPr>
    <w:rPr>
      <w:rFonts w:ascii="Times New Roman" w:eastAsiaTheme="majorEastAsia" w:hAnsi="Times New Roman" w:cstheme="majorBidi"/>
      <w:b/>
      <w:iCs/>
      <w:color w:val="000000" w:themeColor="text1"/>
    </w:rPr>
  </w:style>
  <w:style w:type="paragraph" w:styleId="Heading5">
    <w:name w:val="heading 5"/>
    <w:basedOn w:val="Normal"/>
    <w:next w:val="Normal"/>
    <w:link w:val="Heading5Char"/>
    <w:uiPriority w:val="9"/>
    <w:semiHidden/>
    <w:unhideWhenUsed/>
    <w:qFormat/>
    <w:rsid w:val="00080CD0"/>
    <w:pPr>
      <w:keepNext/>
      <w:keepLines/>
      <w:numPr>
        <w:ilvl w:val="4"/>
        <w:numId w:val="8"/>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0CD0"/>
    <w:pPr>
      <w:keepNext/>
      <w:keepLines/>
      <w:numPr>
        <w:ilvl w:val="5"/>
        <w:numId w:val="8"/>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CD0"/>
    <w:pPr>
      <w:keepNext/>
      <w:keepLines/>
      <w:numPr>
        <w:ilvl w:val="6"/>
        <w:numId w:val="8"/>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CD0"/>
    <w:pPr>
      <w:keepNext/>
      <w:keepLines/>
      <w:numPr>
        <w:ilvl w:val="7"/>
        <w:numId w:val="8"/>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CD0"/>
    <w:pPr>
      <w:keepNext/>
      <w:keepLines/>
      <w:numPr>
        <w:ilvl w:val="8"/>
        <w:numId w:val="8"/>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C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7732"/>
    <w:rPr>
      <w:rFonts w:ascii="Times New Roman" w:eastAsiaTheme="majorEastAsia" w:hAnsi="Times New Roman" w:cstheme="majorBidi"/>
      <w:b/>
      <w:caps/>
      <w:color w:val="000000" w:themeColor="text1"/>
      <w:sz w:val="24"/>
      <w:szCs w:val="32"/>
    </w:rPr>
  </w:style>
  <w:style w:type="character" w:customStyle="1" w:styleId="Heading3Char">
    <w:name w:val="Heading 3 Char"/>
    <w:basedOn w:val="DefaultParagraphFont"/>
    <w:link w:val="Heading3"/>
    <w:uiPriority w:val="9"/>
    <w:rsid w:val="00127732"/>
    <w:rPr>
      <w:rFonts w:ascii="Times New Roman" w:eastAsiaTheme="majorEastAsia" w:hAnsi="Times New Roman" w:cstheme="majorBidi"/>
      <w:b/>
      <w:color w:val="000000" w:themeColor="text1"/>
      <w:sz w:val="24"/>
      <w:szCs w:val="28"/>
    </w:rPr>
  </w:style>
  <w:style w:type="character" w:customStyle="1" w:styleId="Heading4Char">
    <w:name w:val="Heading 4 Char"/>
    <w:basedOn w:val="DefaultParagraphFont"/>
    <w:link w:val="Heading4"/>
    <w:uiPriority w:val="9"/>
    <w:rsid w:val="009249C0"/>
    <w:rPr>
      <w:rFonts w:ascii="Times New Roman" w:eastAsiaTheme="majorEastAsia" w:hAnsi="Times New Roman" w:cstheme="majorBidi"/>
      <w:b/>
      <w:iCs/>
      <w:color w:val="000000" w:themeColor="text1"/>
    </w:rPr>
  </w:style>
  <w:style w:type="character" w:customStyle="1" w:styleId="Heading5Char">
    <w:name w:val="Heading 5 Char"/>
    <w:basedOn w:val="DefaultParagraphFont"/>
    <w:link w:val="Heading5"/>
    <w:uiPriority w:val="9"/>
    <w:semiHidden/>
    <w:rsid w:val="00080C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0C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C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C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CD0"/>
    <w:rPr>
      <w:rFonts w:eastAsiaTheme="majorEastAsia" w:cstheme="majorBidi"/>
      <w:color w:val="272727" w:themeColor="text1" w:themeTint="D8"/>
    </w:rPr>
  </w:style>
  <w:style w:type="paragraph" w:styleId="Title">
    <w:name w:val="Title"/>
    <w:basedOn w:val="Normal"/>
    <w:next w:val="Normal"/>
    <w:link w:val="TitleChar"/>
    <w:uiPriority w:val="10"/>
    <w:qFormat/>
    <w:rsid w:val="00080C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C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C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C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CD0"/>
    <w:pPr>
      <w:spacing w:before="160"/>
      <w:jc w:val="center"/>
    </w:pPr>
    <w:rPr>
      <w:i/>
      <w:iCs/>
      <w:color w:val="404040" w:themeColor="text1" w:themeTint="BF"/>
    </w:rPr>
  </w:style>
  <w:style w:type="character" w:customStyle="1" w:styleId="QuoteChar">
    <w:name w:val="Quote Char"/>
    <w:basedOn w:val="DefaultParagraphFont"/>
    <w:link w:val="Quote"/>
    <w:uiPriority w:val="29"/>
    <w:rsid w:val="00080CD0"/>
    <w:rPr>
      <w:i/>
      <w:iCs/>
      <w:color w:val="404040" w:themeColor="text1" w:themeTint="BF"/>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Ha"/>
    <w:basedOn w:val="Normal"/>
    <w:link w:val="ListParagraphChar"/>
    <w:uiPriority w:val="1"/>
    <w:qFormat/>
    <w:rsid w:val="00080CD0"/>
    <w:pPr>
      <w:ind w:left="720"/>
      <w:contextualSpacing/>
    </w:pPr>
  </w:style>
  <w:style w:type="character" w:styleId="IntenseEmphasis">
    <w:name w:val="Intense Emphasis"/>
    <w:basedOn w:val="DefaultParagraphFont"/>
    <w:uiPriority w:val="21"/>
    <w:qFormat/>
    <w:rsid w:val="00080CD0"/>
    <w:rPr>
      <w:i/>
      <w:iCs/>
      <w:color w:val="0F4761" w:themeColor="accent1" w:themeShade="BF"/>
    </w:rPr>
  </w:style>
  <w:style w:type="paragraph" w:styleId="IntenseQuote">
    <w:name w:val="Intense Quote"/>
    <w:basedOn w:val="Normal"/>
    <w:next w:val="Normal"/>
    <w:link w:val="IntenseQuoteChar"/>
    <w:uiPriority w:val="30"/>
    <w:qFormat/>
    <w:rsid w:val="00080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0CD0"/>
    <w:rPr>
      <w:i/>
      <w:iCs/>
      <w:color w:val="0F4761" w:themeColor="accent1" w:themeShade="BF"/>
    </w:rPr>
  </w:style>
  <w:style w:type="character" w:styleId="IntenseReference">
    <w:name w:val="Intense Reference"/>
    <w:basedOn w:val="DefaultParagraphFont"/>
    <w:uiPriority w:val="32"/>
    <w:qFormat/>
    <w:rsid w:val="00080CD0"/>
    <w:rPr>
      <w:b/>
      <w:bCs/>
      <w:smallCaps/>
      <w:color w:val="0F4761" w:themeColor="accent1" w:themeShade="BF"/>
      <w:spacing w:val="5"/>
    </w:rPr>
  </w:style>
  <w:style w:type="character" w:customStyle="1" w:styleId="Marker">
    <w:name w:val="Marker"/>
    <w:basedOn w:val="DefaultParagraphFont"/>
    <w:rsid w:val="00B23D1C"/>
    <w:rPr>
      <w:color w:val="0000FF"/>
      <w:shd w:val="clear" w:color="auto" w:fill="auto"/>
    </w:rPr>
  </w:style>
  <w:style w:type="paragraph" w:styleId="Header">
    <w:name w:val="header"/>
    <w:basedOn w:val="Normal"/>
    <w:link w:val="HeaderChar"/>
    <w:uiPriority w:val="99"/>
    <w:unhideWhenUsed/>
    <w:rsid w:val="00B23D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D1C"/>
  </w:style>
  <w:style w:type="paragraph" w:styleId="Footer">
    <w:name w:val="footer"/>
    <w:basedOn w:val="Normal"/>
    <w:link w:val="FooterChar"/>
    <w:uiPriority w:val="99"/>
    <w:unhideWhenUsed/>
    <w:rsid w:val="00B23D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D1C"/>
  </w:style>
  <w:style w:type="paragraph" w:customStyle="1" w:styleId="Pagedecouverture">
    <w:name w:val="Page de couverture"/>
    <w:basedOn w:val="Normal"/>
    <w:next w:val="Normal"/>
    <w:rsid w:val="00B23D1C"/>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B23D1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23D1C"/>
    <w:rPr>
      <w:rFonts w:ascii="Times New Roman" w:hAnsi="Times New Roman" w:cs="Times New Roman"/>
      <w:sz w:val="24"/>
    </w:rPr>
  </w:style>
  <w:style w:type="paragraph" w:customStyle="1" w:styleId="FooterSensitivity">
    <w:name w:val="Footer Sensitivity"/>
    <w:basedOn w:val="Normal"/>
    <w:link w:val="FooterSensitivityChar"/>
    <w:rsid w:val="00B23D1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23D1C"/>
    <w:rPr>
      <w:rFonts w:ascii="Times New Roman" w:hAnsi="Times New Roman" w:cs="Times New Roman"/>
      <w:b/>
      <w:sz w:val="32"/>
    </w:rPr>
  </w:style>
  <w:style w:type="paragraph" w:customStyle="1" w:styleId="HeaderCoverPage">
    <w:name w:val="Header Cover Page"/>
    <w:basedOn w:val="Normal"/>
    <w:link w:val="HeaderCoverPageChar"/>
    <w:rsid w:val="00B23D1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23D1C"/>
    <w:rPr>
      <w:rFonts w:ascii="Times New Roman" w:hAnsi="Times New Roman" w:cs="Times New Roman"/>
      <w:sz w:val="24"/>
    </w:rPr>
  </w:style>
  <w:style w:type="paragraph" w:customStyle="1" w:styleId="HeaderSensitivity">
    <w:name w:val="Header Sensitivity"/>
    <w:basedOn w:val="Normal"/>
    <w:link w:val="HeaderSensitivityChar"/>
    <w:rsid w:val="00B23D1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23D1C"/>
    <w:rPr>
      <w:rFonts w:ascii="Times New Roman" w:hAnsi="Times New Roman" w:cs="Times New Roman"/>
      <w:b/>
      <w:sz w:val="32"/>
    </w:rPr>
  </w:style>
  <w:style w:type="paragraph" w:customStyle="1" w:styleId="HeaderSensitivityRight">
    <w:name w:val="Header Sensitivity Right"/>
    <w:basedOn w:val="Normal"/>
    <w:link w:val="HeaderSensitivityRightChar"/>
    <w:rsid w:val="00B23D1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23D1C"/>
    <w:rPr>
      <w:rFonts w:ascii="Times New Roman" w:hAnsi="Times New Roman" w:cs="Times New Roman"/>
      <w:sz w:val="28"/>
    </w:rPr>
  </w:style>
  <w:style w:type="paragraph" w:styleId="FootnoteText">
    <w:name w:val="footnote text"/>
    <w:basedOn w:val="Normal"/>
    <w:link w:val="FootnoteTextChar"/>
    <w:uiPriority w:val="99"/>
    <w:unhideWhenUsed/>
    <w:qFormat/>
    <w:rsid w:val="00183BB1"/>
    <w:pPr>
      <w:spacing w:after="0" w:line="240" w:lineRule="auto"/>
    </w:pPr>
    <w:rPr>
      <w:rFonts w:eastAsiaTheme="minorEastAsia"/>
      <w:kern w:val="0"/>
      <w:sz w:val="20"/>
      <w:szCs w:val="20"/>
      <w14:ligatures w14:val="none"/>
    </w:rPr>
  </w:style>
  <w:style w:type="character" w:customStyle="1" w:styleId="FootnoteTextChar">
    <w:name w:val="Footnote Text Char"/>
    <w:basedOn w:val="DefaultParagraphFont"/>
    <w:link w:val="FootnoteText"/>
    <w:uiPriority w:val="99"/>
    <w:rsid w:val="00183BB1"/>
    <w:rPr>
      <w:rFonts w:eastAsiaTheme="minorEastAsia"/>
      <w:kern w:val="0"/>
      <w:sz w:val="20"/>
      <w:szCs w:val="20"/>
      <w:lang w:val="fr-FR"/>
      <w14:ligatures w14:val="none"/>
    </w:rPr>
  </w:style>
  <w:style w:type="character" w:styleId="FootnoteReference">
    <w:name w:val="footnote reference"/>
    <w:aliases w:val="Nota,(NECG) Footnote Reference,Footnote,Footnote symbol,Ref,de nota al pie,fr,o,Footnote number,Style 6,Footnote Reference1,SUPERS,Style 4,FT Char1,fn Char1,Voetnootmarkering1,Footnote Reference Superscript,Times 10 Point,Style,Char"/>
    <w:basedOn w:val="DefaultParagraphFont"/>
    <w:uiPriority w:val="99"/>
    <w:semiHidden/>
    <w:unhideWhenUsed/>
    <w:qFormat/>
    <w:rsid w:val="00183BB1"/>
    <w:rPr>
      <w:vertAlign w:val="superscript"/>
    </w:rPr>
  </w:style>
  <w:style w:type="table" w:styleId="TableGrid">
    <w:name w:val="Table Grid"/>
    <w:basedOn w:val="TableNormal"/>
    <w:uiPriority w:val="39"/>
    <w:rsid w:val="00183BB1"/>
    <w:pPr>
      <w:spacing w:after="0" w:line="240" w:lineRule="auto"/>
    </w:pPr>
    <w:rPr>
      <w:rFonts w:eastAsiaTheme="minorEastAsia"/>
      <w:kern w:val="0"/>
      <w14:ligatures w14:val="none"/>
    </w:rPr>
    <w:tblPr/>
  </w:style>
  <w:style w:type="character" w:styleId="Hyperlink">
    <w:name w:val="Hyperlink"/>
    <w:basedOn w:val="DefaultParagraphFont"/>
    <w:uiPriority w:val="99"/>
    <w:unhideWhenUsed/>
    <w:rsid w:val="00183BB1"/>
    <w:rPr>
      <w:color w:val="467886" w:themeColor="hyperlink"/>
      <w:u w:val="single"/>
    </w:rPr>
  </w:style>
  <w:style w:type="paragraph" w:customStyle="1" w:styleId="paragraph">
    <w:name w:val="paragraph"/>
    <w:basedOn w:val="Normal"/>
    <w:rsid w:val="00183BB1"/>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customStyle="1" w:styleId="normaltextrun">
    <w:name w:val="normaltextrun"/>
    <w:basedOn w:val="DefaultParagraphFont"/>
    <w:rsid w:val="00183BB1"/>
  </w:style>
  <w:style w:type="table" w:customStyle="1" w:styleId="RicardoTable">
    <w:name w:val="Ricardo Table"/>
    <w:basedOn w:val="TableNormal"/>
    <w:uiPriority w:val="99"/>
    <w:unhideWhenUsed/>
    <w:rsid w:val="00183BB1"/>
    <w:pPr>
      <w:spacing w:before="60" w:after="60"/>
      <w:jc w:val="both"/>
    </w:pPr>
    <w:rPr>
      <w:rFonts w:ascii="Arial" w:eastAsiaTheme="minorEastAsia" w:hAnsi="Arial"/>
      <w:color w:val="000000" w:themeColor="text1"/>
      <w:kern w:val="0"/>
      <w:sz w:val="20"/>
      <w:szCs w:val="20"/>
      <w:lang w:eastAsia="en-GB"/>
      <w14:ligatures w14:val="none"/>
    </w:rPr>
    <w:tblPr>
      <w:tblBorders>
        <w:bottom w:val="single" w:sz="4" w:space="0" w:color="1A4596"/>
        <w:insideH w:val="single" w:sz="4" w:space="0" w:color="1A4596"/>
        <w:insideV w:val="single" w:sz="4" w:space="0" w:color="1A4596"/>
      </w:tblBorders>
    </w:tblPr>
    <w:tcPr>
      <w:vAlign w:val="center"/>
    </w:tcPr>
    <w:tblStylePr w:type="firstRow">
      <w:pPr>
        <w:keepNext/>
        <w:wordWrap/>
        <w:jc w:val="left"/>
      </w:pPr>
      <w:rPr>
        <w:rFonts w:ascii="Arial" w:hAnsi="Arial"/>
        <w:b/>
        <w:color w:val="FFFFFF" w:themeColor="background1"/>
        <w:sz w:val="20"/>
      </w:rPr>
      <w:tblPr/>
      <w:trPr>
        <w:tblHeader/>
      </w:trPr>
      <w:tcPr>
        <w:tcBorders>
          <w:insideH w:val="outset" w:sz="6" w:space="0" w:color="FFFFFF" w:themeColor="background1"/>
          <w:insideV w:val="outset" w:sz="6" w:space="0" w:color="FFFFFF" w:themeColor="background1"/>
        </w:tcBorders>
        <w:shd w:val="clear" w:color="auto" w:fill="1A4596"/>
      </w:tcPr>
    </w:tblStylePr>
  </w:style>
  <w:style w:type="character" w:styleId="CommentReference">
    <w:name w:val="annotation reference"/>
    <w:basedOn w:val="DefaultParagraphFont"/>
    <w:uiPriority w:val="99"/>
    <w:semiHidden/>
    <w:unhideWhenUsed/>
    <w:rsid w:val="00B00820"/>
    <w:rPr>
      <w:sz w:val="16"/>
      <w:szCs w:val="16"/>
    </w:rPr>
  </w:style>
  <w:style w:type="paragraph" w:styleId="CommentText">
    <w:name w:val="annotation text"/>
    <w:basedOn w:val="Normal"/>
    <w:link w:val="CommentTextChar"/>
    <w:uiPriority w:val="99"/>
    <w:unhideWhenUsed/>
    <w:rsid w:val="00B00820"/>
    <w:pPr>
      <w:spacing w:line="240" w:lineRule="auto"/>
    </w:pPr>
    <w:rPr>
      <w:sz w:val="20"/>
      <w:szCs w:val="20"/>
    </w:rPr>
  </w:style>
  <w:style w:type="character" w:customStyle="1" w:styleId="CommentTextChar">
    <w:name w:val="Comment Text Char"/>
    <w:basedOn w:val="DefaultParagraphFont"/>
    <w:link w:val="CommentText"/>
    <w:uiPriority w:val="99"/>
    <w:rsid w:val="00B00820"/>
    <w:rPr>
      <w:sz w:val="20"/>
      <w:szCs w:val="20"/>
    </w:rPr>
  </w:style>
  <w:style w:type="paragraph" w:styleId="CommentSubject">
    <w:name w:val="annotation subject"/>
    <w:basedOn w:val="CommentText"/>
    <w:next w:val="CommentText"/>
    <w:link w:val="CommentSubjectChar"/>
    <w:uiPriority w:val="99"/>
    <w:semiHidden/>
    <w:unhideWhenUsed/>
    <w:rsid w:val="00B00820"/>
    <w:rPr>
      <w:b/>
      <w:bCs/>
    </w:rPr>
  </w:style>
  <w:style w:type="character" w:customStyle="1" w:styleId="CommentSubjectChar">
    <w:name w:val="Comment Subject Char"/>
    <w:basedOn w:val="CommentTextChar"/>
    <w:link w:val="CommentSubject"/>
    <w:uiPriority w:val="99"/>
    <w:semiHidden/>
    <w:rsid w:val="00B00820"/>
    <w:rPr>
      <w:b/>
      <w:bCs/>
      <w:sz w:val="20"/>
      <w:szCs w:val="20"/>
    </w:rPr>
  </w:style>
  <w:style w:type="paragraph" w:styleId="TOCHeading">
    <w:name w:val="TOC Heading"/>
    <w:basedOn w:val="Heading1"/>
    <w:next w:val="Normal"/>
    <w:uiPriority w:val="39"/>
    <w:unhideWhenUsed/>
    <w:qFormat/>
    <w:rsid w:val="00221C20"/>
    <w:pPr>
      <w:spacing w:before="240" w:after="0"/>
      <w:outlineLvl w:val="9"/>
    </w:pPr>
    <w:rPr>
      <w:kern w:val="0"/>
      <w:sz w:val="32"/>
      <w:szCs w:val="32"/>
      <w14:ligatures w14:val="none"/>
    </w:rPr>
  </w:style>
  <w:style w:type="character" w:styleId="SubtleEmphasis">
    <w:name w:val="Subtle Emphasis"/>
    <w:basedOn w:val="DefaultParagraphFont"/>
    <w:uiPriority w:val="19"/>
    <w:qFormat/>
    <w:rsid w:val="005405ED"/>
    <w:rPr>
      <w:i/>
      <w:iCs/>
      <w:color w:val="404040" w:themeColor="text1" w:themeTint="BF"/>
    </w:rPr>
  </w:style>
  <w:style w:type="character" w:customStyle="1" w:styleId="UnresolvedMention">
    <w:name w:val="Unresolved Mention"/>
    <w:basedOn w:val="DefaultParagraphFont"/>
    <w:uiPriority w:val="99"/>
    <w:semiHidden/>
    <w:unhideWhenUsed/>
    <w:rsid w:val="00856309"/>
    <w:rPr>
      <w:color w:val="605E5C"/>
      <w:shd w:val="clear" w:color="auto" w:fill="E1DFDD"/>
    </w:rPr>
  </w:style>
  <w:style w:type="paragraph" w:styleId="TOC2">
    <w:name w:val="toc 2"/>
    <w:basedOn w:val="Normal"/>
    <w:next w:val="Normal"/>
    <w:autoRedefine/>
    <w:uiPriority w:val="39"/>
    <w:unhideWhenUsed/>
    <w:rsid w:val="00C91298"/>
    <w:pPr>
      <w:tabs>
        <w:tab w:val="left" w:pos="720"/>
        <w:tab w:val="right" w:leader="dot" w:pos="9350"/>
      </w:tabs>
      <w:spacing w:after="100"/>
      <w:ind w:left="220"/>
    </w:pPr>
    <w:rPr>
      <w:rFonts w:ascii="Times New Roman" w:hAnsi="Times New Roman" w:cs="Times New Roman"/>
      <w:noProof/>
    </w:rPr>
  </w:style>
  <w:style w:type="paragraph" w:styleId="TOC3">
    <w:name w:val="toc 3"/>
    <w:basedOn w:val="Normal"/>
    <w:next w:val="Normal"/>
    <w:autoRedefine/>
    <w:uiPriority w:val="39"/>
    <w:unhideWhenUsed/>
    <w:rsid w:val="00681590"/>
    <w:pPr>
      <w:spacing w:after="100"/>
      <w:ind w:left="440"/>
    </w:pPr>
  </w:style>
  <w:style w:type="paragraph" w:styleId="Revision">
    <w:name w:val="Revision"/>
    <w:hidden/>
    <w:uiPriority w:val="99"/>
    <w:semiHidden/>
    <w:rsid w:val="005C246F"/>
    <w:pPr>
      <w:spacing w:after="0" w:line="240" w:lineRule="auto"/>
    </w:pPr>
  </w:style>
  <w:style w:type="paragraph" w:customStyle="1" w:styleId="Languesfaisantfoi">
    <w:name w:val="Langues faisant foi"/>
    <w:basedOn w:val="Normal"/>
    <w:next w:val="Normal"/>
    <w:rsid w:val="00FE4E57"/>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E4E57"/>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E4E57"/>
    <w:pPr>
      <w:spacing w:after="0"/>
    </w:pPr>
  </w:style>
  <w:style w:type="paragraph" w:customStyle="1" w:styleId="IntrtEEEPagedecouverture">
    <w:name w:val="Intérêt EEE (Page de couverture)"/>
    <w:basedOn w:val="IntrtEEE"/>
    <w:next w:val="Normal"/>
    <w:rsid w:val="00FE4E57"/>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Ha Char"/>
    <w:basedOn w:val="DefaultParagraphFont"/>
    <w:link w:val="ListParagraph"/>
    <w:uiPriority w:val="1"/>
    <w:qFormat/>
    <w:locked/>
    <w:rsid w:val="006C17F3"/>
  </w:style>
  <w:style w:type="character" w:styleId="FollowedHyperlink">
    <w:name w:val="FollowedHyperlink"/>
    <w:basedOn w:val="DefaultParagraphFont"/>
    <w:uiPriority w:val="99"/>
    <w:semiHidden/>
    <w:unhideWhenUsed/>
    <w:rsid w:val="00AA7645"/>
    <w:rPr>
      <w:color w:val="96607D" w:themeColor="followedHyperlink"/>
      <w:u w:val="single"/>
    </w:rPr>
  </w:style>
  <w:style w:type="table" w:customStyle="1" w:styleId="RicardoTable1">
    <w:name w:val="Ricardo Table1"/>
    <w:basedOn w:val="TableNormal"/>
    <w:uiPriority w:val="99"/>
    <w:rsid w:val="0030285A"/>
    <w:pPr>
      <w:spacing w:before="60" w:after="60" w:line="256" w:lineRule="auto"/>
      <w:jc w:val="both"/>
    </w:pPr>
    <w:rPr>
      <w:rFonts w:ascii="Arial" w:eastAsia="MS PGothic" w:hAnsi="Arial" w:cs="Arial"/>
      <w:color w:val="000000"/>
      <w:kern w:val="0"/>
      <w:sz w:val="20"/>
      <w:szCs w:val="20"/>
      <w:lang w:eastAsia="en-GB"/>
      <w14:ligatures w14:val="none"/>
    </w:rPr>
    <w:tblPr/>
    <w:tcPr>
      <w:vAlign w:val="center"/>
    </w:tcPr>
    <w:tblStylePr w:type="firstRow">
      <w:pPr>
        <w:wordWrap/>
        <w:jc w:val="left"/>
      </w:pPr>
      <w:rPr>
        <w:rFonts w:ascii="Arial" w:hAnsi="Arial" w:cs="Arial" w:hint="default"/>
        <w:b/>
        <w:color w:val="FFFFFF"/>
        <w:sz w:val="20"/>
        <w:szCs w:val="20"/>
      </w:rPr>
      <w:tblPr/>
      <w:tcPr>
        <w:tcBorders>
          <w:insideH w:val="outset" w:sz="6" w:space="0" w:color="FFFFFF"/>
          <w:insideV w:val="outset" w:sz="6" w:space="0" w:color="FFFFFF"/>
        </w:tcBorders>
        <w:shd w:val="clear" w:color="auto" w:fill="1A4596"/>
      </w:tcPr>
    </w:tblStyle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link w:val="Caption"/>
    <w:uiPriority w:val="35"/>
    <w:locked/>
    <w:rsid w:val="0030285A"/>
    <w:rPr>
      <w:rFonts w:asciiTheme="majorHAnsi" w:eastAsiaTheme="minorEastAsia" w:hAnsiTheme="majorHAnsi" w:cs="Arial"/>
      <w:bCs/>
      <w:color w:val="1A4596"/>
      <w:lang w:eastAsia="en-GB"/>
    </w:rPr>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Char,Table legend"/>
    <w:basedOn w:val="Normal"/>
    <w:next w:val="BodyText"/>
    <w:link w:val="CaptionChar1"/>
    <w:uiPriority w:val="35"/>
    <w:unhideWhenUsed/>
    <w:qFormat/>
    <w:rsid w:val="0030285A"/>
    <w:pPr>
      <w:keepNext/>
      <w:keepLines/>
      <w:pBdr>
        <w:top w:val="single" w:sz="4" w:space="3" w:color="E8E8E8" w:themeColor="background2"/>
        <w:bottom w:val="single" w:sz="4" w:space="3" w:color="E8E8E8" w:themeColor="background2"/>
      </w:pBdr>
      <w:spacing w:before="60" w:after="240" w:line="240" w:lineRule="auto"/>
      <w:jc w:val="both"/>
    </w:pPr>
    <w:rPr>
      <w:rFonts w:asciiTheme="majorHAnsi" w:eastAsiaTheme="minorEastAsia" w:hAnsiTheme="majorHAnsi" w:cs="Arial"/>
      <w:bCs/>
      <w:color w:val="1A4596"/>
      <w:lang w:eastAsia="en-GB"/>
    </w:rPr>
  </w:style>
  <w:style w:type="paragraph" w:styleId="BodyText">
    <w:name w:val="Body Text"/>
    <w:basedOn w:val="Normal"/>
    <w:link w:val="BodyTextChar"/>
    <w:uiPriority w:val="99"/>
    <w:semiHidden/>
    <w:unhideWhenUsed/>
    <w:rsid w:val="0030285A"/>
    <w:pPr>
      <w:spacing w:after="120"/>
    </w:pPr>
  </w:style>
  <w:style w:type="character" w:customStyle="1" w:styleId="BodyTextChar">
    <w:name w:val="Body Text Char"/>
    <w:basedOn w:val="DefaultParagraphFont"/>
    <w:link w:val="BodyText"/>
    <w:uiPriority w:val="99"/>
    <w:semiHidden/>
    <w:rsid w:val="0030285A"/>
  </w:style>
  <w:style w:type="table" w:customStyle="1" w:styleId="RicardoTable2">
    <w:name w:val="Ricardo Table2"/>
    <w:basedOn w:val="TableNormal"/>
    <w:uiPriority w:val="99"/>
    <w:rsid w:val="0030285A"/>
    <w:pPr>
      <w:spacing w:before="60" w:after="60" w:line="256" w:lineRule="auto"/>
      <w:jc w:val="both"/>
    </w:pPr>
    <w:rPr>
      <w:rFonts w:ascii="Arial" w:eastAsia="MS PGothic" w:hAnsi="Arial" w:cs="Arial"/>
      <w:color w:val="000000"/>
      <w:kern w:val="0"/>
      <w:sz w:val="20"/>
      <w:szCs w:val="20"/>
      <w:lang w:eastAsia="en-GB"/>
      <w14:ligatures w14:val="none"/>
    </w:rPr>
    <w:tblPr/>
    <w:tcPr>
      <w:vAlign w:val="center"/>
    </w:tcPr>
    <w:tblStylePr w:type="firstRow">
      <w:pPr>
        <w:wordWrap/>
        <w:jc w:val="left"/>
      </w:pPr>
      <w:rPr>
        <w:rFonts w:ascii="Arial" w:hAnsi="Arial" w:cs="Arial" w:hint="default"/>
        <w:b/>
        <w:color w:val="FFFFFF"/>
        <w:sz w:val="20"/>
        <w:szCs w:val="20"/>
      </w:rPr>
      <w:tblPr/>
      <w:tcPr>
        <w:tcBorders>
          <w:insideH w:val="outset" w:sz="6" w:space="0" w:color="FFFFFF"/>
          <w:insideV w:val="outset" w:sz="6" w:space="0" w:color="FFFFFF"/>
        </w:tcBorders>
        <w:shd w:val="clear" w:color="auto" w:fill="1A4596"/>
      </w:tcPr>
    </w:tblStylePr>
  </w:style>
  <w:style w:type="character" w:customStyle="1" w:styleId="Mention">
    <w:name w:val="Mention"/>
    <w:basedOn w:val="DefaultParagraphFont"/>
    <w:uiPriority w:val="99"/>
    <w:unhideWhenUsed/>
    <w:rsid w:val="00DC6808"/>
    <w:rPr>
      <w:color w:val="2B579A"/>
      <w:shd w:val="clear" w:color="auto" w:fill="E1DFDD"/>
    </w:rPr>
  </w:style>
  <w:style w:type="paragraph" w:customStyle="1" w:styleId="oj-normal">
    <w:name w:val="oj-normal"/>
    <w:basedOn w:val="Normal"/>
    <w:rsid w:val="0049730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oj-sub">
    <w:name w:val="oj-sub"/>
    <w:basedOn w:val="DefaultParagraphFont"/>
    <w:rsid w:val="0049730A"/>
  </w:style>
  <w:style w:type="character" w:customStyle="1" w:styleId="oj-super">
    <w:name w:val="oj-super"/>
    <w:basedOn w:val="DefaultParagraphFont"/>
    <w:rsid w:val="004B2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0318">
      <w:bodyDiv w:val="1"/>
      <w:marLeft w:val="0"/>
      <w:marRight w:val="0"/>
      <w:marTop w:val="0"/>
      <w:marBottom w:val="0"/>
      <w:divBdr>
        <w:top w:val="none" w:sz="0" w:space="0" w:color="auto"/>
        <w:left w:val="none" w:sz="0" w:space="0" w:color="auto"/>
        <w:bottom w:val="none" w:sz="0" w:space="0" w:color="auto"/>
        <w:right w:val="none" w:sz="0" w:space="0" w:color="auto"/>
      </w:divBdr>
    </w:div>
    <w:div w:id="196430199">
      <w:bodyDiv w:val="1"/>
      <w:marLeft w:val="0"/>
      <w:marRight w:val="0"/>
      <w:marTop w:val="0"/>
      <w:marBottom w:val="0"/>
      <w:divBdr>
        <w:top w:val="none" w:sz="0" w:space="0" w:color="auto"/>
        <w:left w:val="none" w:sz="0" w:space="0" w:color="auto"/>
        <w:bottom w:val="none" w:sz="0" w:space="0" w:color="auto"/>
        <w:right w:val="none" w:sz="0" w:space="0" w:color="auto"/>
      </w:divBdr>
    </w:div>
    <w:div w:id="231547799">
      <w:bodyDiv w:val="1"/>
      <w:marLeft w:val="0"/>
      <w:marRight w:val="0"/>
      <w:marTop w:val="0"/>
      <w:marBottom w:val="0"/>
      <w:divBdr>
        <w:top w:val="none" w:sz="0" w:space="0" w:color="auto"/>
        <w:left w:val="none" w:sz="0" w:space="0" w:color="auto"/>
        <w:bottom w:val="none" w:sz="0" w:space="0" w:color="auto"/>
        <w:right w:val="none" w:sz="0" w:space="0" w:color="auto"/>
      </w:divBdr>
    </w:div>
    <w:div w:id="247466536">
      <w:bodyDiv w:val="1"/>
      <w:marLeft w:val="0"/>
      <w:marRight w:val="0"/>
      <w:marTop w:val="0"/>
      <w:marBottom w:val="0"/>
      <w:divBdr>
        <w:top w:val="none" w:sz="0" w:space="0" w:color="auto"/>
        <w:left w:val="none" w:sz="0" w:space="0" w:color="auto"/>
        <w:bottom w:val="none" w:sz="0" w:space="0" w:color="auto"/>
        <w:right w:val="none" w:sz="0" w:space="0" w:color="auto"/>
      </w:divBdr>
    </w:div>
    <w:div w:id="309095657">
      <w:bodyDiv w:val="1"/>
      <w:marLeft w:val="0"/>
      <w:marRight w:val="0"/>
      <w:marTop w:val="0"/>
      <w:marBottom w:val="0"/>
      <w:divBdr>
        <w:top w:val="none" w:sz="0" w:space="0" w:color="auto"/>
        <w:left w:val="none" w:sz="0" w:space="0" w:color="auto"/>
        <w:bottom w:val="none" w:sz="0" w:space="0" w:color="auto"/>
        <w:right w:val="none" w:sz="0" w:space="0" w:color="auto"/>
      </w:divBdr>
    </w:div>
    <w:div w:id="432675871">
      <w:bodyDiv w:val="1"/>
      <w:marLeft w:val="0"/>
      <w:marRight w:val="0"/>
      <w:marTop w:val="0"/>
      <w:marBottom w:val="0"/>
      <w:divBdr>
        <w:top w:val="none" w:sz="0" w:space="0" w:color="auto"/>
        <w:left w:val="none" w:sz="0" w:space="0" w:color="auto"/>
        <w:bottom w:val="none" w:sz="0" w:space="0" w:color="auto"/>
        <w:right w:val="none" w:sz="0" w:space="0" w:color="auto"/>
      </w:divBdr>
    </w:div>
    <w:div w:id="485897565">
      <w:bodyDiv w:val="1"/>
      <w:marLeft w:val="0"/>
      <w:marRight w:val="0"/>
      <w:marTop w:val="0"/>
      <w:marBottom w:val="0"/>
      <w:divBdr>
        <w:top w:val="none" w:sz="0" w:space="0" w:color="auto"/>
        <w:left w:val="none" w:sz="0" w:space="0" w:color="auto"/>
        <w:bottom w:val="none" w:sz="0" w:space="0" w:color="auto"/>
        <w:right w:val="none" w:sz="0" w:space="0" w:color="auto"/>
      </w:divBdr>
      <w:divsChild>
        <w:div w:id="349452293">
          <w:marLeft w:val="0"/>
          <w:marRight w:val="0"/>
          <w:marTop w:val="0"/>
          <w:marBottom w:val="0"/>
          <w:divBdr>
            <w:top w:val="none" w:sz="0" w:space="0" w:color="auto"/>
            <w:left w:val="none" w:sz="0" w:space="0" w:color="auto"/>
            <w:bottom w:val="none" w:sz="0" w:space="0" w:color="auto"/>
            <w:right w:val="none" w:sz="0" w:space="0" w:color="auto"/>
          </w:divBdr>
        </w:div>
        <w:div w:id="673652755">
          <w:marLeft w:val="0"/>
          <w:marRight w:val="0"/>
          <w:marTop w:val="0"/>
          <w:marBottom w:val="0"/>
          <w:divBdr>
            <w:top w:val="none" w:sz="0" w:space="0" w:color="auto"/>
            <w:left w:val="none" w:sz="0" w:space="0" w:color="auto"/>
            <w:bottom w:val="none" w:sz="0" w:space="0" w:color="auto"/>
            <w:right w:val="none" w:sz="0" w:space="0" w:color="auto"/>
          </w:divBdr>
        </w:div>
      </w:divsChild>
    </w:div>
    <w:div w:id="521013768">
      <w:bodyDiv w:val="1"/>
      <w:marLeft w:val="0"/>
      <w:marRight w:val="0"/>
      <w:marTop w:val="0"/>
      <w:marBottom w:val="0"/>
      <w:divBdr>
        <w:top w:val="none" w:sz="0" w:space="0" w:color="auto"/>
        <w:left w:val="none" w:sz="0" w:space="0" w:color="auto"/>
        <w:bottom w:val="none" w:sz="0" w:space="0" w:color="auto"/>
        <w:right w:val="none" w:sz="0" w:space="0" w:color="auto"/>
      </w:divBdr>
    </w:div>
    <w:div w:id="534924826">
      <w:bodyDiv w:val="1"/>
      <w:marLeft w:val="0"/>
      <w:marRight w:val="0"/>
      <w:marTop w:val="0"/>
      <w:marBottom w:val="0"/>
      <w:divBdr>
        <w:top w:val="none" w:sz="0" w:space="0" w:color="auto"/>
        <w:left w:val="none" w:sz="0" w:space="0" w:color="auto"/>
        <w:bottom w:val="none" w:sz="0" w:space="0" w:color="auto"/>
        <w:right w:val="none" w:sz="0" w:space="0" w:color="auto"/>
      </w:divBdr>
    </w:div>
    <w:div w:id="585462144">
      <w:bodyDiv w:val="1"/>
      <w:marLeft w:val="0"/>
      <w:marRight w:val="0"/>
      <w:marTop w:val="0"/>
      <w:marBottom w:val="0"/>
      <w:divBdr>
        <w:top w:val="none" w:sz="0" w:space="0" w:color="auto"/>
        <w:left w:val="none" w:sz="0" w:space="0" w:color="auto"/>
        <w:bottom w:val="none" w:sz="0" w:space="0" w:color="auto"/>
        <w:right w:val="none" w:sz="0" w:space="0" w:color="auto"/>
      </w:divBdr>
    </w:div>
    <w:div w:id="681470854">
      <w:bodyDiv w:val="1"/>
      <w:marLeft w:val="0"/>
      <w:marRight w:val="0"/>
      <w:marTop w:val="0"/>
      <w:marBottom w:val="0"/>
      <w:divBdr>
        <w:top w:val="none" w:sz="0" w:space="0" w:color="auto"/>
        <w:left w:val="none" w:sz="0" w:space="0" w:color="auto"/>
        <w:bottom w:val="none" w:sz="0" w:space="0" w:color="auto"/>
        <w:right w:val="none" w:sz="0" w:space="0" w:color="auto"/>
      </w:divBdr>
    </w:div>
    <w:div w:id="734428131">
      <w:bodyDiv w:val="1"/>
      <w:marLeft w:val="0"/>
      <w:marRight w:val="0"/>
      <w:marTop w:val="0"/>
      <w:marBottom w:val="0"/>
      <w:divBdr>
        <w:top w:val="none" w:sz="0" w:space="0" w:color="auto"/>
        <w:left w:val="none" w:sz="0" w:space="0" w:color="auto"/>
        <w:bottom w:val="none" w:sz="0" w:space="0" w:color="auto"/>
        <w:right w:val="none" w:sz="0" w:space="0" w:color="auto"/>
      </w:divBdr>
    </w:div>
    <w:div w:id="751586429">
      <w:bodyDiv w:val="1"/>
      <w:marLeft w:val="0"/>
      <w:marRight w:val="0"/>
      <w:marTop w:val="0"/>
      <w:marBottom w:val="0"/>
      <w:divBdr>
        <w:top w:val="none" w:sz="0" w:space="0" w:color="auto"/>
        <w:left w:val="none" w:sz="0" w:space="0" w:color="auto"/>
        <w:bottom w:val="none" w:sz="0" w:space="0" w:color="auto"/>
        <w:right w:val="none" w:sz="0" w:space="0" w:color="auto"/>
      </w:divBdr>
    </w:div>
    <w:div w:id="812403327">
      <w:bodyDiv w:val="1"/>
      <w:marLeft w:val="0"/>
      <w:marRight w:val="0"/>
      <w:marTop w:val="0"/>
      <w:marBottom w:val="0"/>
      <w:divBdr>
        <w:top w:val="none" w:sz="0" w:space="0" w:color="auto"/>
        <w:left w:val="none" w:sz="0" w:space="0" w:color="auto"/>
        <w:bottom w:val="none" w:sz="0" w:space="0" w:color="auto"/>
        <w:right w:val="none" w:sz="0" w:space="0" w:color="auto"/>
      </w:divBdr>
      <w:divsChild>
        <w:div w:id="2057704934">
          <w:marLeft w:val="0"/>
          <w:marRight w:val="0"/>
          <w:marTop w:val="0"/>
          <w:marBottom w:val="0"/>
          <w:divBdr>
            <w:top w:val="none" w:sz="0" w:space="0" w:color="auto"/>
            <w:left w:val="none" w:sz="0" w:space="0" w:color="auto"/>
            <w:bottom w:val="none" w:sz="0" w:space="0" w:color="auto"/>
            <w:right w:val="none" w:sz="0" w:space="0" w:color="auto"/>
          </w:divBdr>
        </w:div>
      </w:divsChild>
    </w:div>
    <w:div w:id="852766551">
      <w:bodyDiv w:val="1"/>
      <w:marLeft w:val="0"/>
      <w:marRight w:val="0"/>
      <w:marTop w:val="0"/>
      <w:marBottom w:val="0"/>
      <w:divBdr>
        <w:top w:val="none" w:sz="0" w:space="0" w:color="auto"/>
        <w:left w:val="none" w:sz="0" w:space="0" w:color="auto"/>
        <w:bottom w:val="none" w:sz="0" w:space="0" w:color="auto"/>
        <w:right w:val="none" w:sz="0" w:space="0" w:color="auto"/>
      </w:divBdr>
    </w:div>
    <w:div w:id="877937811">
      <w:bodyDiv w:val="1"/>
      <w:marLeft w:val="0"/>
      <w:marRight w:val="0"/>
      <w:marTop w:val="0"/>
      <w:marBottom w:val="0"/>
      <w:divBdr>
        <w:top w:val="none" w:sz="0" w:space="0" w:color="auto"/>
        <w:left w:val="none" w:sz="0" w:space="0" w:color="auto"/>
        <w:bottom w:val="none" w:sz="0" w:space="0" w:color="auto"/>
        <w:right w:val="none" w:sz="0" w:space="0" w:color="auto"/>
      </w:divBdr>
    </w:div>
    <w:div w:id="1026371899">
      <w:bodyDiv w:val="1"/>
      <w:marLeft w:val="0"/>
      <w:marRight w:val="0"/>
      <w:marTop w:val="0"/>
      <w:marBottom w:val="0"/>
      <w:divBdr>
        <w:top w:val="none" w:sz="0" w:space="0" w:color="auto"/>
        <w:left w:val="none" w:sz="0" w:space="0" w:color="auto"/>
        <w:bottom w:val="none" w:sz="0" w:space="0" w:color="auto"/>
        <w:right w:val="none" w:sz="0" w:space="0" w:color="auto"/>
      </w:divBdr>
    </w:div>
    <w:div w:id="1116174307">
      <w:bodyDiv w:val="1"/>
      <w:marLeft w:val="0"/>
      <w:marRight w:val="0"/>
      <w:marTop w:val="0"/>
      <w:marBottom w:val="0"/>
      <w:divBdr>
        <w:top w:val="none" w:sz="0" w:space="0" w:color="auto"/>
        <w:left w:val="none" w:sz="0" w:space="0" w:color="auto"/>
        <w:bottom w:val="none" w:sz="0" w:space="0" w:color="auto"/>
        <w:right w:val="none" w:sz="0" w:space="0" w:color="auto"/>
      </w:divBdr>
      <w:divsChild>
        <w:div w:id="520433261">
          <w:marLeft w:val="0"/>
          <w:marRight w:val="0"/>
          <w:marTop w:val="300"/>
          <w:marBottom w:val="240"/>
          <w:divBdr>
            <w:top w:val="none" w:sz="0" w:space="0" w:color="auto"/>
            <w:left w:val="none" w:sz="0" w:space="0" w:color="auto"/>
            <w:bottom w:val="none" w:sz="0" w:space="0" w:color="auto"/>
            <w:right w:val="none" w:sz="0" w:space="0" w:color="auto"/>
          </w:divBdr>
        </w:div>
      </w:divsChild>
    </w:div>
    <w:div w:id="1209687863">
      <w:bodyDiv w:val="1"/>
      <w:marLeft w:val="0"/>
      <w:marRight w:val="0"/>
      <w:marTop w:val="0"/>
      <w:marBottom w:val="0"/>
      <w:divBdr>
        <w:top w:val="none" w:sz="0" w:space="0" w:color="auto"/>
        <w:left w:val="none" w:sz="0" w:space="0" w:color="auto"/>
        <w:bottom w:val="none" w:sz="0" w:space="0" w:color="auto"/>
        <w:right w:val="none" w:sz="0" w:space="0" w:color="auto"/>
      </w:divBdr>
    </w:div>
    <w:div w:id="1419524366">
      <w:bodyDiv w:val="1"/>
      <w:marLeft w:val="0"/>
      <w:marRight w:val="0"/>
      <w:marTop w:val="0"/>
      <w:marBottom w:val="0"/>
      <w:divBdr>
        <w:top w:val="none" w:sz="0" w:space="0" w:color="auto"/>
        <w:left w:val="none" w:sz="0" w:space="0" w:color="auto"/>
        <w:bottom w:val="none" w:sz="0" w:space="0" w:color="auto"/>
        <w:right w:val="none" w:sz="0" w:space="0" w:color="auto"/>
      </w:divBdr>
      <w:divsChild>
        <w:div w:id="1577320785">
          <w:marLeft w:val="0"/>
          <w:marRight w:val="0"/>
          <w:marTop w:val="300"/>
          <w:marBottom w:val="240"/>
          <w:divBdr>
            <w:top w:val="none" w:sz="0" w:space="0" w:color="auto"/>
            <w:left w:val="none" w:sz="0" w:space="0" w:color="auto"/>
            <w:bottom w:val="none" w:sz="0" w:space="0" w:color="auto"/>
            <w:right w:val="none" w:sz="0" w:space="0" w:color="auto"/>
          </w:divBdr>
        </w:div>
      </w:divsChild>
    </w:div>
    <w:div w:id="1467117722">
      <w:bodyDiv w:val="1"/>
      <w:marLeft w:val="0"/>
      <w:marRight w:val="0"/>
      <w:marTop w:val="0"/>
      <w:marBottom w:val="0"/>
      <w:divBdr>
        <w:top w:val="none" w:sz="0" w:space="0" w:color="auto"/>
        <w:left w:val="none" w:sz="0" w:space="0" w:color="auto"/>
        <w:bottom w:val="none" w:sz="0" w:space="0" w:color="auto"/>
        <w:right w:val="none" w:sz="0" w:space="0" w:color="auto"/>
      </w:divBdr>
    </w:div>
    <w:div w:id="1497846910">
      <w:bodyDiv w:val="1"/>
      <w:marLeft w:val="0"/>
      <w:marRight w:val="0"/>
      <w:marTop w:val="0"/>
      <w:marBottom w:val="0"/>
      <w:divBdr>
        <w:top w:val="none" w:sz="0" w:space="0" w:color="auto"/>
        <w:left w:val="none" w:sz="0" w:space="0" w:color="auto"/>
        <w:bottom w:val="none" w:sz="0" w:space="0" w:color="auto"/>
        <w:right w:val="none" w:sz="0" w:space="0" w:color="auto"/>
      </w:divBdr>
      <w:divsChild>
        <w:div w:id="497383011">
          <w:marLeft w:val="0"/>
          <w:marRight w:val="0"/>
          <w:marTop w:val="0"/>
          <w:marBottom w:val="0"/>
          <w:divBdr>
            <w:top w:val="none" w:sz="0" w:space="0" w:color="auto"/>
            <w:left w:val="none" w:sz="0" w:space="0" w:color="auto"/>
            <w:bottom w:val="none" w:sz="0" w:space="0" w:color="auto"/>
            <w:right w:val="none" w:sz="0" w:space="0" w:color="auto"/>
          </w:divBdr>
        </w:div>
      </w:divsChild>
    </w:div>
    <w:div w:id="1530797756">
      <w:bodyDiv w:val="1"/>
      <w:marLeft w:val="0"/>
      <w:marRight w:val="0"/>
      <w:marTop w:val="0"/>
      <w:marBottom w:val="0"/>
      <w:divBdr>
        <w:top w:val="none" w:sz="0" w:space="0" w:color="auto"/>
        <w:left w:val="none" w:sz="0" w:space="0" w:color="auto"/>
        <w:bottom w:val="none" w:sz="0" w:space="0" w:color="auto"/>
        <w:right w:val="none" w:sz="0" w:space="0" w:color="auto"/>
      </w:divBdr>
      <w:divsChild>
        <w:div w:id="2103723249">
          <w:marLeft w:val="0"/>
          <w:marRight w:val="0"/>
          <w:marTop w:val="0"/>
          <w:marBottom w:val="0"/>
          <w:divBdr>
            <w:top w:val="none" w:sz="0" w:space="0" w:color="auto"/>
            <w:left w:val="none" w:sz="0" w:space="0" w:color="auto"/>
            <w:bottom w:val="none" w:sz="0" w:space="0" w:color="auto"/>
            <w:right w:val="none" w:sz="0" w:space="0" w:color="auto"/>
          </w:divBdr>
        </w:div>
      </w:divsChild>
    </w:div>
    <w:div w:id="1675061294">
      <w:bodyDiv w:val="1"/>
      <w:marLeft w:val="0"/>
      <w:marRight w:val="0"/>
      <w:marTop w:val="0"/>
      <w:marBottom w:val="0"/>
      <w:divBdr>
        <w:top w:val="none" w:sz="0" w:space="0" w:color="auto"/>
        <w:left w:val="none" w:sz="0" w:space="0" w:color="auto"/>
        <w:bottom w:val="none" w:sz="0" w:space="0" w:color="auto"/>
        <w:right w:val="none" w:sz="0" w:space="0" w:color="auto"/>
      </w:divBdr>
    </w:div>
    <w:div w:id="1835027604">
      <w:bodyDiv w:val="1"/>
      <w:marLeft w:val="0"/>
      <w:marRight w:val="0"/>
      <w:marTop w:val="0"/>
      <w:marBottom w:val="0"/>
      <w:divBdr>
        <w:top w:val="none" w:sz="0" w:space="0" w:color="auto"/>
        <w:left w:val="none" w:sz="0" w:space="0" w:color="auto"/>
        <w:bottom w:val="none" w:sz="0" w:space="0" w:color="auto"/>
        <w:right w:val="none" w:sz="0" w:space="0" w:color="auto"/>
      </w:divBdr>
    </w:div>
    <w:div w:id="1838381912">
      <w:bodyDiv w:val="1"/>
      <w:marLeft w:val="0"/>
      <w:marRight w:val="0"/>
      <w:marTop w:val="0"/>
      <w:marBottom w:val="0"/>
      <w:divBdr>
        <w:top w:val="none" w:sz="0" w:space="0" w:color="auto"/>
        <w:left w:val="none" w:sz="0" w:space="0" w:color="auto"/>
        <w:bottom w:val="none" w:sz="0" w:space="0" w:color="auto"/>
        <w:right w:val="none" w:sz="0" w:space="0" w:color="auto"/>
      </w:divBdr>
    </w:div>
    <w:div w:id="1922441967">
      <w:bodyDiv w:val="1"/>
      <w:marLeft w:val="0"/>
      <w:marRight w:val="0"/>
      <w:marTop w:val="0"/>
      <w:marBottom w:val="0"/>
      <w:divBdr>
        <w:top w:val="none" w:sz="0" w:space="0" w:color="auto"/>
        <w:left w:val="none" w:sz="0" w:space="0" w:color="auto"/>
        <w:bottom w:val="none" w:sz="0" w:space="0" w:color="auto"/>
        <w:right w:val="none" w:sz="0" w:space="0" w:color="auto"/>
      </w:divBdr>
    </w:div>
    <w:div w:id="1929653217">
      <w:bodyDiv w:val="1"/>
      <w:marLeft w:val="0"/>
      <w:marRight w:val="0"/>
      <w:marTop w:val="0"/>
      <w:marBottom w:val="0"/>
      <w:divBdr>
        <w:top w:val="none" w:sz="0" w:space="0" w:color="auto"/>
        <w:left w:val="none" w:sz="0" w:space="0" w:color="auto"/>
        <w:bottom w:val="none" w:sz="0" w:space="0" w:color="auto"/>
        <w:right w:val="none" w:sz="0" w:space="0" w:color="auto"/>
      </w:divBdr>
    </w:div>
    <w:div w:id="1983922765">
      <w:bodyDiv w:val="1"/>
      <w:marLeft w:val="0"/>
      <w:marRight w:val="0"/>
      <w:marTop w:val="0"/>
      <w:marBottom w:val="0"/>
      <w:divBdr>
        <w:top w:val="none" w:sz="0" w:space="0" w:color="auto"/>
        <w:left w:val="none" w:sz="0" w:space="0" w:color="auto"/>
        <w:bottom w:val="none" w:sz="0" w:space="0" w:color="auto"/>
        <w:right w:val="none" w:sz="0" w:space="0" w:color="auto"/>
      </w:divBdr>
    </w:div>
    <w:div w:id="2077895457">
      <w:bodyDiv w:val="1"/>
      <w:marLeft w:val="0"/>
      <w:marRight w:val="0"/>
      <w:marTop w:val="0"/>
      <w:marBottom w:val="0"/>
      <w:divBdr>
        <w:top w:val="none" w:sz="0" w:space="0" w:color="auto"/>
        <w:left w:val="none" w:sz="0" w:space="0" w:color="auto"/>
        <w:bottom w:val="none" w:sz="0" w:space="0" w:color="auto"/>
        <w:right w:val="none" w:sz="0" w:space="0" w:color="auto"/>
      </w:divBdr>
      <w:divsChild>
        <w:div w:id="471869">
          <w:marLeft w:val="0"/>
          <w:marRight w:val="0"/>
          <w:marTop w:val="0"/>
          <w:marBottom w:val="0"/>
          <w:divBdr>
            <w:top w:val="none" w:sz="0" w:space="0" w:color="auto"/>
            <w:left w:val="none" w:sz="0" w:space="0" w:color="auto"/>
            <w:bottom w:val="none" w:sz="0" w:space="0" w:color="auto"/>
            <w:right w:val="none" w:sz="0" w:space="0" w:color="auto"/>
          </w:divBdr>
        </w:div>
        <w:div w:id="1180000116">
          <w:marLeft w:val="0"/>
          <w:marRight w:val="0"/>
          <w:marTop w:val="0"/>
          <w:marBottom w:val="0"/>
          <w:divBdr>
            <w:top w:val="none" w:sz="0" w:space="0" w:color="auto"/>
            <w:left w:val="none" w:sz="0" w:space="0" w:color="auto"/>
            <w:bottom w:val="none" w:sz="0" w:space="0" w:color="auto"/>
            <w:right w:val="none" w:sz="0" w:space="0" w:color="auto"/>
          </w:divBdr>
        </w:div>
      </w:divsChild>
    </w:div>
    <w:div w:id="2127845838">
      <w:bodyDiv w:val="1"/>
      <w:marLeft w:val="0"/>
      <w:marRight w:val="0"/>
      <w:marTop w:val="0"/>
      <w:marBottom w:val="0"/>
      <w:divBdr>
        <w:top w:val="none" w:sz="0" w:space="0" w:color="auto"/>
        <w:left w:val="none" w:sz="0" w:space="0" w:color="auto"/>
        <w:bottom w:val="none" w:sz="0" w:space="0" w:color="auto"/>
        <w:right w:val="none" w:sz="0" w:space="0" w:color="auto"/>
      </w:divBdr>
    </w:div>
    <w:div w:id="213197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52024SC0063" TargetMode="External"/><Relationship Id="rId13" Type="http://schemas.openxmlformats.org/officeDocument/2006/relationships/hyperlink" Target="https://eur-lex.europa.eu/legal-content/FR/ALL/?uri=CELEX%3A52022XC1229%2802%29" TargetMode="External"/><Relationship Id="rId18" Type="http://schemas.openxmlformats.org/officeDocument/2006/relationships/hyperlink" Target="https://www.porthosco2.nl/en/project/" TargetMode="External"/><Relationship Id="rId3" Type="http://schemas.openxmlformats.org/officeDocument/2006/relationships/hyperlink" Target="https://eur-lex.europa.eu/legal-content/FR/TXT/?uri=celex%3A52024DC0062" TargetMode="External"/><Relationship Id="rId21" Type="http://schemas.openxmlformats.org/officeDocument/2006/relationships/hyperlink" Target="https://climate.ec.europa.eu/eu-action/eu-funding-climate-action/innovation-fund/innovation-fund-projects_en" TargetMode="External"/><Relationship Id="rId7" Type="http://schemas.openxmlformats.org/officeDocument/2006/relationships/hyperlink" Target="https://single-market-economy.ec.europa.eu/publications/staff-working-document-investment-needs-assessment-and-funding-availabilities-strengthen-eus-net_en" TargetMode="External"/><Relationship Id="rId12" Type="http://schemas.openxmlformats.org/officeDocument/2006/relationships/hyperlink" Target="https://eur-lex.europa.eu/legal-content/FR/TXT/PDF/?uri=OJ:L_202501479" TargetMode="External"/><Relationship Id="rId17" Type="http://schemas.openxmlformats.org/officeDocument/2006/relationships/hyperlink" Target="https://www.energean.com/operations/greece/prinos-co2/" TargetMode="External"/><Relationship Id="rId25" Type="http://schemas.openxmlformats.org/officeDocument/2006/relationships/hyperlink" Target="https://www.entreprises.gouv.fr/espace-entreprises/appels-a-projets-et-appels-a-manifestation-d-interet/grands-projets-industriels" TargetMode="External"/><Relationship Id="rId2" Type="http://schemas.openxmlformats.org/officeDocument/2006/relationships/hyperlink" Target="https://commission.europa.eu/energy-climate-change-environment/implementation-eu-countries/energy-and-climate-governance-and-reporting/national-energy-and-climate-plans_en" TargetMode="External"/><Relationship Id="rId16" Type="http://schemas.openxmlformats.org/officeDocument/2006/relationships/hyperlink" Target="https://ens.dk/en/supply-and-consumption/publications-news-and-analysis-ccs" TargetMode="External"/><Relationship Id="rId20" Type="http://schemas.openxmlformats.org/officeDocument/2006/relationships/hyperlink" Target="https://onedyas.com/ccs/" TargetMode="External"/><Relationship Id="rId1" Type="http://schemas.openxmlformats.org/officeDocument/2006/relationships/hyperlink" Target="https://climate.ec.europa.eu/eu-action/industrial-carbon-management/eus-2030-carbon-storage-target_en" TargetMode="External"/><Relationship Id="rId6" Type="http://schemas.openxmlformats.org/officeDocument/2006/relationships/hyperlink" Target="https://publications.jrc.ec.europa.eu/repository/handle/JRC139285" TargetMode="External"/><Relationship Id="rId11" Type="http://schemas.openxmlformats.org/officeDocument/2006/relationships/hyperlink" Target="https://eur-lex.europa.eu/legal-content/FR/TXT/PDF/?uri=OJ:L_202501477" TargetMode="External"/><Relationship Id="rId24" Type="http://schemas.openxmlformats.org/officeDocument/2006/relationships/hyperlink" Target="https://www.ecb.europa.eu/stats/policy_and_exchange_rates/euro_reference_exchange_rates/html/eurofxref-graph-dkk.en.html" TargetMode="External"/><Relationship Id="rId5" Type="http://schemas.openxmlformats.org/officeDocument/2006/relationships/hyperlink" Target="https://publications.jrc.ec.europa.eu/repository/handle/JRC139285" TargetMode="External"/><Relationship Id="rId15" Type="http://schemas.openxmlformats.org/officeDocument/2006/relationships/hyperlink" Target="https://eur-lex.europa.eu/legal-content/FR/TXT/?uri=OJ%3AL_202401735" TargetMode="External"/><Relationship Id="rId23" Type="http://schemas.openxmlformats.org/officeDocument/2006/relationships/hyperlink" Target="https://setis.ec.europa.eu/document/download/92c4d9a3-abcd-416c-8f1c-f5c5cb9846a9_en" TargetMode="External"/><Relationship Id="rId10" Type="http://schemas.openxmlformats.org/officeDocument/2006/relationships/hyperlink" Target="https://eur-lex.europa.eu/eli/reg/2021/1119/oj/fre" TargetMode="External"/><Relationship Id="rId19" Type="http://schemas.openxmlformats.org/officeDocument/2006/relationships/hyperlink" Target="https://www.rvo.nl/onderwerpen/bureau-energieprojecten/lopende-projecten/porthos/fase-2" TargetMode="External"/><Relationship Id="rId4" Type="http://schemas.openxmlformats.org/officeDocument/2006/relationships/hyperlink" Target="https://commission.europa.eu/topics/eu-competitiveness/draghi-report_en" TargetMode="External"/><Relationship Id="rId9" Type="http://schemas.openxmlformats.org/officeDocument/2006/relationships/hyperlink" Target="https://eur-lex.europa.eu/legal-content/FR/TXT/?uri=celex%3A52024DC0063" TargetMode="External"/><Relationship Id="rId14" Type="http://schemas.openxmlformats.org/officeDocument/2006/relationships/hyperlink" Target="https://climate.ec.europa.eu/eu-action/industrial-carbon-management/eus-2030-carbon-storage-target_en" TargetMode="External"/><Relationship Id="rId22" Type="http://schemas.openxmlformats.org/officeDocument/2006/relationships/hyperlink" Target="https://www.aramislaunchstores.com/news-insights/aramis-launch-stores-project-website-goes-live/" TargetMode="External"/></Relationships>
</file>

<file path=word/documenttasks/documenttasks1.xml><?xml version="1.0" encoding="utf-8"?>
<t:Tasks xmlns:t="http://schemas.microsoft.com/office/tasks/2019/documenttasks" xmlns:oel="http://schemas.microsoft.com/office/2019/extlst">
  <t:Task id="{3C6E67CB-1CD9-4CF1-898E-52D2BA103D63}">
    <t:Anchor>
      <t:Comment id="1590767081"/>
    </t:Anchor>
    <t:History>
      <t:Event time="2026-01-09T17:12:17.078Z" id="{852A1603-3879-42CE-8C6D-67589D36310A}">
        <t:Attribution userId="S::Daniel.KITSCHA@ec.europa.eu::2cfd285a-633f-447e-b29d-f3a4ffae7d50" userName="KITSCHA Daniel (CLIMA)" userProvider="AD"/>
        <t:Anchor>
          <t:Comment id="581195740"/>
        </t:Anchor>
        <t:Create/>
      </t:Event>
      <t:Event time="2026-01-09T17:12:17.078Z" id="{9DF6AD13-ED83-4401-ACC0-099D3FAA9039}">
        <t:Attribution userId="S::Daniel.KITSCHA@ec.europa.eu::2cfd285a-633f-447e-b29d-f3a4ffae7d50" userName="KITSCHA Daniel (CLIMA)" userProvider="AD"/>
        <t:Anchor>
          <t:Comment id="581195740"/>
        </t:Anchor>
        <t:Assign userId="S::Charles-Albert.BARETH@ec.europa.eu::18b3dbe3-6db6-4e09-be8f-4c46ed38ccd6" userName="BARETH Charles-Albert (CLIMA)" userProvider="AD"/>
      </t:Event>
      <t:Event time="2026-01-09T17:12:17.078Z" id="{20528ABC-3C6A-4131-BD6C-C93B478AED55}">
        <t:Attribution userId="S::Daniel.KITSCHA@ec.europa.eu::2cfd285a-633f-447e-b29d-f3a4ffae7d50" userName="KITSCHA Daniel (CLIMA)" userProvider="AD"/>
        <t:Anchor>
          <t:Comment id="581195740"/>
        </t:Anchor>
        <t:SetTitle title="@BARETH Charles-Albert (CLIMA) "/>
      </t:Event>
      <t:Event time="2026-01-12T11:08:30.156Z" id="{DA430217-D9B7-4860-BFBC-C4653CC54544}">
        <t:Attribution userId="S::charles-albert.bareth@ec.europa.eu::18b3dbe3-6db6-4e09-be8f-4c46ed38ccd6" userName="BARETH Charles-Albert (CLIMA)" userProvider="AD"/>
        <t:Progress percentComplete="100"/>
      </t:Event>
    </t:History>
  </t:Task>
  <t:Task id="{76DABE0D-259E-449B-98C7-3701556A058A}">
    <t:Anchor>
      <t:Comment id="2140713776"/>
    </t:Anchor>
    <t:History>
      <t:Event time="2026-01-09T17:24:58.741Z" id="{A7713629-D7F8-427C-9050-AC00D24953F0}">
        <t:Attribution userId="S::Daniel.KITSCHA@ec.europa.eu::2cfd285a-633f-447e-b29d-f3a4ffae7d50" userName="KITSCHA Daniel (CLIMA)" userProvider="AD"/>
        <t:Anchor>
          <t:Comment id="1570210179"/>
        </t:Anchor>
        <t:Create/>
      </t:Event>
      <t:Event time="2026-01-09T17:24:58.741Z" id="{FED95763-333F-4796-A0F6-3D2C35F63177}">
        <t:Attribution userId="S::Daniel.KITSCHA@ec.europa.eu::2cfd285a-633f-447e-b29d-f3a4ffae7d50" userName="KITSCHA Daniel (CLIMA)" userProvider="AD"/>
        <t:Anchor>
          <t:Comment id="1570210179"/>
        </t:Anchor>
        <t:Assign userId="S::Charles-Albert.BARETH@ec.europa.eu::18b3dbe3-6db6-4e09-be8f-4c46ed38ccd6" userName="BARETH Charles-Albert (CLIMA)" userProvider="AD"/>
      </t:Event>
      <t:Event time="2026-01-09T17:24:58.741Z" id="{340163F9-1927-43D9-9F24-30BBC4B8F959}">
        <t:Attribution userId="S::Daniel.KITSCHA@ec.europa.eu::2cfd285a-633f-447e-b29d-f3a4ffae7d50" userName="KITSCHA Daniel (CLIMA)" userProvider="AD"/>
        <t:Anchor>
          <t:Comment id="1570210179"/>
        </t:Anchor>
        <t:SetTitle title="@BARETH Charles-Albert (CLIMA) "/>
      </t:Event>
      <t:Event time="2026-01-14T10:20:51.243Z" id="{3C3FB4BC-94B9-4D0B-A7E3-65D547AC88C4}">
        <t:Attribution userId="S::charles-albert.bareth@ec.europa.eu::18b3dbe3-6db6-4e09-be8f-4c46ed38ccd6" userName="BARETH Charles-Albert (CLIMA)"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5f6e308b-c1fa-409d-8633-4b8824628b6a" xsi:nil="true"/>
    <lcf76f155ced4ddcb4097134ff3c332f xmlns="5f6e308b-c1fa-409d-8633-4b8824628b6a">
      <Terms xmlns="http://schemas.microsoft.com/office/infopath/2007/PartnerControls"/>
    </lcf76f155ced4ddcb4097134ff3c332f>
    <TaxCatchAll xmlns="8e70c616-2388-4b2b-acbc-3fc015cadcd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5F69E1628A2E45B60213B67CDFD033" ma:contentTypeVersion="15" ma:contentTypeDescription="Create a new document." ma:contentTypeScope="" ma:versionID="72a2d8d42ce9e29e5eaf02e6e61e3e72">
  <xsd:schema xmlns:xsd="http://www.w3.org/2001/XMLSchema" xmlns:xs="http://www.w3.org/2001/XMLSchema" xmlns:p="http://schemas.microsoft.com/office/2006/metadata/properties" xmlns:ns2="5f6e308b-c1fa-409d-8633-4b8824628b6a" xmlns:ns3="8e70c616-2388-4b2b-acbc-3fc015cadcd4" targetNamespace="http://schemas.microsoft.com/office/2006/metadata/properties" ma:root="true" ma:fieldsID="0f34bd448276dfb067baff04e4b52778" ns2:_="" ns3:_="">
    <xsd:import namespace="5f6e308b-c1fa-409d-8633-4b8824628b6a"/>
    <xsd:import namespace="8e70c616-2388-4b2b-acbc-3fc015cadc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at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e308b-c1fa-409d-8633-4b8824628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ate" ma:index="20" nillable="true" ma:displayName="Date" ma:format="Dropdown" ma:internalName="Date">
      <xsd:simpleType>
        <xsd:restriction base="dms:Lookup"/>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0c616-2388-4b2b-acbc-3fc015cadcd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749eea1-19b7-4bc3-adb7-c284a758f3ce}" ma:internalName="TaxCatchAll" ma:showField="CatchAllData" ma:web="8e70c616-2388-4b2b-acbc-3fc015cadc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4BE11-4293-455A-828C-2104DED2B1BC}">
  <ds:schemaRefs>
    <ds:schemaRef ds:uri="http://schemas.microsoft.com/office/2006/metadata/properties"/>
    <ds:schemaRef ds:uri="http://schemas.microsoft.com/office/infopath/2007/PartnerControls"/>
    <ds:schemaRef ds:uri="5f6e308b-c1fa-409d-8633-4b8824628b6a"/>
    <ds:schemaRef ds:uri="8e70c616-2388-4b2b-acbc-3fc015cadcd4"/>
  </ds:schemaRefs>
</ds:datastoreItem>
</file>

<file path=customXml/itemProps2.xml><?xml version="1.0" encoding="utf-8"?>
<ds:datastoreItem xmlns:ds="http://schemas.openxmlformats.org/officeDocument/2006/customXml" ds:itemID="{4643E2D6-F035-46C0-9D4D-8639A5120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e308b-c1fa-409d-8633-4b8824628b6a"/>
    <ds:schemaRef ds:uri="8e70c616-2388-4b2b-acbc-3fc015cadc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0C47EC-AA9B-4489-9B50-5007B4E83D7B}">
  <ds:schemaRefs>
    <ds:schemaRef ds:uri="http://schemas.microsoft.com/sharepoint/v3/contenttype/forms"/>
  </ds:schemaRefs>
</ds:datastoreItem>
</file>

<file path=customXml/itemProps4.xml><?xml version="1.0" encoding="utf-8"?>
<ds:datastoreItem xmlns:ds="http://schemas.openxmlformats.org/officeDocument/2006/customXml" ds:itemID="{E1C90B2D-DF13-4772-80AD-1E6F75528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6751</Words>
  <Characters>38485</Characters>
  <Application>Microsoft Office Word</Application>
  <DocSecurity>0</DocSecurity>
  <Lines>320</Lines>
  <Paragraphs>90</Paragraphs>
  <ScaleCrop>false</ScaleCrop>
  <Manager/>
  <Company/>
  <LinksUpToDate>false</LinksUpToDate>
  <CharactersWithSpaces>45146</CharactersWithSpaces>
  <SharedDoc>false</SharedDoc>
  <HLinks>
    <vt:vector size="252" baseType="variant">
      <vt:variant>
        <vt:i4>1114170</vt:i4>
      </vt:variant>
      <vt:variant>
        <vt:i4>104</vt:i4>
      </vt:variant>
      <vt:variant>
        <vt:i4>0</vt:i4>
      </vt:variant>
      <vt:variant>
        <vt:i4>5</vt:i4>
      </vt:variant>
      <vt:variant>
        <vt:lpwstr/>
      </vt:variant>
      <vt:variant>
        <vt:lpwstr>_Toc227167921</vt:lpwstr>
      </vt:variant>
      <vt:variant>
        <vt:i4>1114170</vt:i4>
      </vt:variant>
      <vt:variant>
        <vt:i4>98</vt:i4>
      </vt:variant>
      <vt:variant>
        <vt:i4>0</vt:i4>
      </vt:variant>
      <vt:variant>
        <vt:i4>5</vt:i4>
      </vt:variant>
      <vt:variant>
        <vt:lpwstr/>
      </vt:variant>
      <vt:variant>
        <vt:lpwstr>_Toc227167920</vt:lpwstr>
      </vt:variant>
      <vt:variant>
        <vt:i4>1179706</vt:i4>
      </vt:variant>
      <vt:variant>
        <vt:i4>92</vt:i4>
      </vt:variant>
      <vt:variant>
        <vt:i4>0</vt:i4>
      </vt:variant>
      <vt:variant>
        <vt:i4>5</vt:i4>
      </vt:variant>
      <vt:variant>
        <vt:lpwstr/>
      </vt:variant>
      <vt:variant>
        <vt:lpwstr>_Toc227167919</vt:lpwstr>
      </vt:variant>
      <vt:variant>
        <vt:i4>1179706</vt:i4>
      </vt:variant>
      <vt:variant>
        <vt:i4>86</vt:i4>
      </vt:variant>
      <vt:variant>
        <vt:i4>0</vt:i4>
      </vt:variant>
      <vt:variant>
        <vt:i4>5</vt:i4>
      </vt:variant>
      <vt:variant>
        <vt:lpwstr/>
      </vt:variant>
      <vt:variant>
        <vt:lpwstr>_Toc227167918</vt:lpwstr>
      </vt:variant>
      <vt:variant>
        <vt:i4>1179706</vt:i4>
      </vt:variant>
      <vt:variant>
        <vt:i4>80</vt:i4>
      </vt:variant>
      <vt:variant>
        <vt:i4>0</vt:i4>
      </vt:variant>
      <vt:variant>
        <vt:i4>5</vt:i4>
      </vt:variant>
      <vt:variant>
        <vt:lpwstr/>
      </vt:variant>
      <vt:variant>
        <vt:lpwstr>_Toc227167917</vt:lpwstr>
      </vt:variant>
      <vt:variant>
        <vt:i4>1179706</vt:i4>
      </vt:variant>
      <vt:variant>
        <vt:i4>74</vt:i4>
      </vt:variant>
      <vt:variant>
        <vt:i4>0</vt:i4>
      </vt:variant>
      <vt:variant>
        <vt:i4>5</vt:i4>
      </vt:variant>
      <vt:variant>
        <vt:lpwstr/>
      </vt:variant>
      <vt:variant>
        <vt:lpwstr>_Toc227167916</vt:lpwstr>
      </vt:variant>
      <vt:variant>
        <vt:i4>1179706</vt:i4>
      </vt:variant>
      <vt:variant>
        <vt:i4>68</vt:i4>
      </vt:variant>
      <vt:variant>
        <vt:i4>0</vt:i4>
      </vt:variant>
      <vt:variant>
        <vt:i4>5</vt:i4>
      </vt:variant>
      <vt:variant>
        <vt:lpwstr/>
      </vt:variant>
      <vt:variant>
        <vt:lpwstr>_Toc227167915</vt:lpwstr>
      </vt:variant>
      <vt:variant>
        <vt:i4>1179706</vt:i4>
      </vt:variant>
      <vt:variant>
        <vt:i4>62</vt:i4>
      </vt:variant>
      <vt:variant>
        <vt:i4>0</vt:i4>
      </vt:variant>
      <vt:variant>
        <vt:i4>5</vt:i4>
      </vt:variant>
      <vt:variant>
        <vt:lpwstr/>
      </vt:variant>
      <vt:variant>
        <vt:lpwstr>_Toc227167914</vt:lpwstr>
      </vt:variant>
      <vt:variant>
        <vt:i4>1179706</vt:i4>
      </vt:variant>
      <vt:variant>
        <vt:i4>56</vt:i4>
      </vt:variant>
      <vt:variant>
        <vt:i4>0</vt:i4>
      </vt:variant>
      <vt:variant>
        <vt:i4>5</vt:i4>
      </vt:variant>
      <vt:variant>
        <vt:lpwstr/>
      </vt:variant>
      <vt:variant>
        <vt:lpwstr>_Toc227167913</vt:lpwstr>
      </vt:variant>
      <vt:variant>
        <vt:i4>1179706</vt:i4>
      </vt:variant>
      <vt:variant>
        <vt:i4>50</vt:i4>
      </vt:variant>
      <vt:variant>
        <vt:i4>0</vt:i4>
      </vt:variant>
      <vt:variant>
        <vt:i4>5</vt:i4>
      </vt:variant>
      <vt:variant>
        <vt:lpwstr/>
      </vt:variant>
      <vt:variant>
        <vt:lpwstr>_Toc227167912</vt:lpwstr>
      </vt:variant>
      <vt:variant>
        <vt:i4>1179706</vt:i4>
      </vt:variant>
      <vt:variant>
        <vt:i4>44</vt:i4>
      </vt:variant>
      <vt:variant>
        <vt:i4>0</vt:i4>
      </vt:variant>
      <vt:variant>
        <vt:i4>5</vt:i4>
      </vt:variant>
      <vt:variant>
        <vt:lpwstr/>
      </vt:variant>
      <vt:variant>
        <vt:lpwstr>_Toc227167911</vt:lpwstr>
      </vt:variant>
      <vt:variant>
        <vt:i4>1179706</vt:i4>
      </vt:variant>
      <vt:variant>
        <vt:i4>38</vt:i4>
      </vt:variant>
      <vt:variant>
        <vt:i4>0</vt:i4>
      </vt:variant>
      <vt:variant>
        <vt:i4>5</vt:i4>
      </vt:variant>
      <vt:variant>
        <vt:lpwstr/>
      </vt:variant>
      <vt:variant>
        <vt:lpwstr>_Toc227167910</vt:lpwstr>
      </vt:variant>
      <vt:variant>
        <vt:i4>1245242</vt:i4>
      </vt:variant>
      <vt:variant>
        <vt:i4>32</vt:i4>
      </vt:variant>
      <vt:variant>
        <vt:i4>0</vt:i4>
      </vt:variant>
      <vt:variant>
        <vt:i4>5</vt:i4>
      </vt:variant>
      <vt:variant>
        <vt:lpwstr/>
      </vt:variant>
      <vt:variant>
        <vt:lpwstr>_Toc227167909</vt:lpwstr>
      </vt:variant>
      <vt:variant>
        <vt:i4>1245242</vt:i4>
      </vt:variant>
      <vt:variant>
        <vt:i4>26</vt:i4>
      </vt:variant>
      <vt:variant>
        <vt:i4>0</vt:i4>
      </vt:variant>
      <vt:variant>
        <vt:i4>5</vt:i4>
      </vt:variant>
      <vt:variant>
        <vt:lpwstr/>
      </vt:variant>
      <vt:variant>
        <vt:lpwstr>_Toc227167908</vt:lpwstr>
      </vt:variant>
      <vt:variant>
        <vt:i4>1245242</vt:i4>
      </vt:variant>
      <vt:variant>
        <vt:i4>20</vt:i4>
      </vt:variant>
      <vt:variant>
        <vt:i4>0</vt:i4>
      </vt:variant>
      <vt:variant>
        <vt:i4>5</vt:i4>
      </vt:variant>
      <vt:variant>
        <vt:lpwstr/>
      </vt:variant>
      <vt:variant>
        <vt:lpwstr>_Toc227167907</vt:lpwstr>
      </vt:variant>
      <vt:variant>
        <vt:i4>1245242</vt:i4>
      </vt:variant>
      <vt:variant>
        <vt:i4>14</vt:i4>
      </vt:variant>
      <vt:variant>
        <vt:i4>0</vt:i4>
      </vt:variant>
      <vt:variant>
        <vt:i4>5</vt:i4>
      </vt:variant>
      <vt:variant>
        <vt:lpwstr/>
      </vt:variant>
      <vt:variant>
        <vt:lpwstr>_Toc227167906</vt:lpwstr>
      </vt:variant>
      <vt:variant>
        <vt:i4>1245242</vt:i4>
      </vt:variant>
      <vt:variant>
        <vt:i4>8</vt:i4>
      </vt:variant>
      <vt:variant>
        <vt:i4>0</vt:i4>
      </vt:variant>
      <vt:variant>
        <vt:i4>5</vt:i4>
      </vt:variant>
      <vt:variant>
        <vt:lpwstr/>
      </vt:variant>
      <vt:variant>
        <vt:lpwstr>_Toc227167905</vt:lpwstr>
      </vt:variant>
      <vt:variant>
        <vt:i4>1245242</vt:i4>
      </vt:variant>
      <vt:variant>
        <vt:i4>2</vt:i4>
      </vt:variant>
      <vt:variant>
        <vt:i4>0</vt:i4>
      </vt:variant>
      <vt:variant>
        <vt:i4>5</vt:i4>
      </vt:variant>
      <vt:variant>
        <vt:lpwstr/>
      </vt:variant>
      <vt:variant>
        <vt:lpwstr>_Toc227167904</vt:lpwstr>
      </vt:variant>
      <vt:variant>
        <vt:i4>2949174</vt:i4>
      </vt:variant>
      <vt:variant>
        <vt:i4>69</vt:i4>
      </vt:variant>
      <vt:variant>
        <vt:i4>0</vt:i4>
      </vt:variant>
      <vt:variant>
        <vt:i4>5</vt:i4>
      </vt:variant>
      <vt:variant>
        <vt:lpwstr>https://www.entreprises.gouv.fr/espace-entreprises/appels-a-projets-et-appels-a-manifestation-d-interet/grands-projets-industriels</vt:lpwstr>
      </vt:variant>
      <vt:variant>
        <vt:lpwstr/>
      </vt:variant>
      <vt:variant>
        <vt:i4>5832731</vt:i4>
      </vt:variant>
      <vt:variant>
        <vt:i4>66</vt:i4>
      </vt:variant>
      <vt:variant>
        <vt:i4>0</vt:i4>
      </vt:variant>
      <vt:variant>
        <vt:i4>5</vt:i4>
      </vt:variant>
      <vt:variant>
        <vt:lpwstr>https://www.ecb.europa.eu/stats/policy_and_exchange_rates/euro_reference_exchange_rates/html/eurofxref-graph-dkk.en.html</vt:lpwstr>
      </vt:variant>
      <vt:variant>
        <vt:lpwstr/>
      </vt:variant>
      <vt:variant>
        <vt:i4>2621457</vt:i4>
      </vt:variant>
      <vt:variant>
        <vt:i4>63</vt:i4>
      </vt:variant>
      <vt:variant>
        <vt:i4>0</vt:i4>
      </vt:variant>
      <vt:variant>
        <vt:i4>5</vt:i4>
      </vt:variant>
      <vt:variant>
        <vt:lpwstr>https://setis.ec.europa.eu/document/download/92c4d9a3-abcd-416c-8f1c-f5c5cb9846a9_en</vt:lpwstr>
      </vt:variant>
      <vt:variant>
        <vt:lpwstr/>
      </vt:variant>
      <vt:variant>
        <vt:i4>5701646</vt:i4>
      </vt:variant>
      <vt:variant>
        <vt:i4>60</vt:i4>
      </vt:variant>
      <vt:variant>
        <vt:i4>0</vt:i4>
      </vt:variant>
      <vt:variant>
        <vt:i4>5</vt:i4>
      </vt:variant>
      <vt:variant>
        <vt:lpwstr>https://www.aramislaunchstores.com/news-insights/aramis-launch-stores-project-website-goes-live/</vt:lpwstr>
      </vt:variant>
      <vt:variant>
        <vt:lpwstr/>
      </vt:variant>
      <vt:variant>
        <vt:i4>2097235</vt:i4>
      </vt:variant>
      <vt:variant>
        <vt:i4>57</vt:i4>
      </vt:variant>
      <vt:variant>
        <vt:i4>0</vt:i4>
      </vt:variant>
      <vt:variant>
        <vt:i4>5</vt:i4>
      </vt:variant>
      <vt:variant>
        <vt:lpwstr>https://climate.ec.europa.eu/eu-action/eu-funding-climate-action/innovation-fund/innovation-fund-projects_en</vt:lpwstr>
      </vt:variant>
      <vt:variant>
        <vt:lpwstr/>
      </vt:variant>
      <vt:variant>
        <vt:i4>3080311</vt:i4>
      </vt:variant>
      <vt:variant>
        <vt:i4>54</vt:i4>
      </vt:variant>
      <vt:variant>
        <vt:i4>0</vt:i4>
      </vt:variant>
      <vt:variant>
        <vt:i4>5</vt:i4>
      </vt:variant>
      <vt:variant>
        <vt:lpwstr>https://onedyas.com/ccs/</vt:lpwstr>
      </vt:variant>
      <vt:variant>
        <vt:lpwstr>:~:text=Carbon%20Storage%20%7C%20ONE-Dyas,know%20more%20about%20the%20project?</vt:lpwstr>
      </vt:variant>
      <vt:variant>
        <vt:i4>6357027</vt:i4>
      </vt:variant>
      <vt:variant>
        <vt:i4>51</vt:i4>
      </vt:variant>
      <vt:variant>
        <vt:i4>0</vt:i4>
      </vt:variant>
      <vt:variant>
        <vt:i4>5</vt:i4>
      </vt:variant>
      <vt:variant>
        <vt:lpwstr>https://www.rvo.nl/onderwerpen/bureau-energieprojecten/lopende-projecten/porthos/fase-2</vt:lpwstr>
      </vt:variant>
      <vt:variant>
        <vt:lpwstr/>
      </vt:variant>
      <vt:variant>
        <vt:i4>4980805</vt:i4>
      </vt:variant>
      <vt:variant>
        <vt:i4>48</vt:i4>
      </vt:variant>
      <vt:variant>
        <vt:i4>0</vt:i4>
      </vt:variant>
      <vt:variant>
        <vt:i4>5</vt:i4>
      </vt:variant>
      <vt:variant>
        <vt:lpwstr>https://www.porthosco2.nl/en/project/</vt:lpwstr>
      </vt:variant>
      <vt:variant>
        <vt:lpwstr/>
      </vt:variant>
      <vt:variant>
        <vt:i4>4063329</vt:i4>
      </vt:variant>
      <vt:variant>
        <vt:i4>45</vt:i4>
      </vt:variant>
      <vt:variant>
        <vt:i4>0</vt:i4>
      </vt:variant>
      <vt:variant>
        <vt:i4>5</vt:i4>
      </vt:variant>
      <vt:variant>
        <vt:lpwstr>https://www.energean.com/operations/greece/prinos-co2/</vt:lpwstr>
      </vt:variant>
      <vt:variant>
        <vt:lpwstr>:~:text=Phase%201,compressed%20form%20in%202026-2027.</vt:lpwstr>
      </vt:variant>
      <vt:variant>
        <vt:i4>8060979</vt:i4>
      </vt:variant>
      <vt:variant>
        <vt:i4>42</vt:i4>
      </vt:variant>
      <vt:variant>
        <vt:i4>0</vt:i4>
      </vt:variant>
      <vt:variant>
        <vt:i4>5</vt:i4>
      </vt:variant>
      <vt:variant>
        <vt:lpwstr>https://ens.dk/en/supply-and-consumption/publications-news-and-analysis-ccs</vt:lpwstr>
      </vt:variant>
      <vt:variant>
        <vt:lpwstr/>
      </vt:variant>
      <vt:variant>
        <vt:i4>6946825</vt:i4>
      </vt:variant>
      <vt:variant>
        <vt:i4>39</vt:i4>
      </vt:variant>
      <vt:variant>
        <vt:i4>0</vt:i4>
      </vt:variant>
      <vt:variant>
        <vt:i4>5</vt:i4>
      </vt:variant>
      <vt:variant>
        <vt:lpwstr>https://eur-lex.europa.eu/legal-content/EN/TXT/?uri=OJ:L_202401735</vt:lpwstr>
      </vt:variant>
      <vt:variant>
        <vt:lpwstr/>
      </vt:variant>
      <vt:variant>
        <vt:i4>786474</vt:i4>
      </vt:variant>
      <vt:variant>
        <vt:i4>36</vt:i4>
      </vt:variant>
      <vt:variant>
        <vt:i4>0</vt:i4>
      </vt:variant>
      <vt:variant>
        <vt:i4>5</vt:i4>
      </vt:variant>
      <vt:variant>
        <vt:lpwstr>https://climate.ec.europa.eu/eu-action/industrial-carbon-management/eus-2030-carbon-storage-target_en</vt:lpwstr>
      </vt:variant>
      <vt:variant>
        <vt:lpwstr/>
      </vt:variant>
      <vt:variant>
        <vt:i4>524297</vt:i4>
      </vt:variant>
      <vt:variant>
        <vt:i4>33</vt:i4>
      </vt:variant>
      <vt:variant>
        <vt:i4>0</vt:i4>
      </vt:variant>
      <vt:variant>
        <vt:i4>5</vt:i4>
      </vt:variant>
      <vt:variant>
        <vt:lpwstr>https://eur-lex.europa.eu/legal-content/EN/ALL/?uri=CELEX:52022XC1229(02)</vt:lpwstr>
      </vt:variant>
      <vt:variant>
        <vt:lpwstr/>
      </vt:variant>
      <vt:variant>
        <vt:i4>7536711</vt:i4>
      </vt:variant>
      <vt:variant>
        <vt:i4>30</vt:i4>
      </vt:variant>
      <vt:variant>
        <vt:i4>0</vt:i4>
      </vt:variant>
      <vt:variant>
        <vt:i4>5</vt:i4>
      </vt:variant>
      <vt:variant>
        <vt:lpwstr>https://eur-lex.europa.eu/legal-content/EN/TXT/PDF/?uri=OJ:L_202501479</vt:lpwstr>
      </vt:variant>
      <vt:variant>
        <vt:lpwstr/>
      </vt:variant>
      <vt:variant>
        <vt:i4>8192071</vt:i4>
      </vt:variant>
      <vt:variant>
        <vt:i4>27</vt:i4>
      </vt:variant>
      <vt:variant>
        <vt:i4>0</vt:i4>
      </vt:variant>
      <vt:variant>
        <vt:i4>5</vt:i4>
      </vt:variant>
      <vt:variant>
        <vt:lpwstr>https://eur-lex.europa.eu/legal-content/EN/TXT/PDF/?uri=OJ:L_202501477</vt:lpwstr>
      </vt:variant>
      <vt:variant>
        <vt:lpwstr/>
      </vt:variant>
      <vt:variant>
        <vt:i4>8126575</vt:i4>
      </vt:variant>
      <vt:variant>
        <vt:i4>24</vt:i4>
      </vt:variant>
      <vt:variant>
        <vt:i4>0</vt:i4>
      </vt:variant>
      <vt:variant>
        <vt:i4>5</vt:i4>
      </vt:variant>
      <vt:variant>
        <vt:lpwstr>https://eur-lex.europa.eu/eli/reg/2021/1119/oj/eng</vt:lpwstr>
      </vt:variant>
      <vt:variant>
        <vt:lpwstr/>
      </vt:variant>
      <vt:variant>
        <vt:i4>393232</vt:i4>
      </vt:variant>
      <vt:variant>
        <vt:i4>21</vt:i4>
      </vt:variant>
      <vt:variant>
        <vt:i4>0</vt:i4>
      </vt:variant>
      <vt:variant>
        <vt:i4>5</vt:i4>
      </vt:variant>
      <vt:variant>
        <vt:lpwstr>https://eur-lex.europa.eu/legal-content/EN/TXT/?uri=celex:52024DC0063</vt:lpwstr>
      </vt:variant>
      <vt:variant>
        <vt:lpwstr/>
      </vt:variant>
      <vt:variant>
        <vt:i4>1114128</vt:i4>
      </vt:variant>
      <vt:variant>
        <vt:i4>18</vt:i4>
      </vt:variant>
      <vt:variant>
        <vt:i4>0</vt:i4>
      </vt:variant>
      <vt:variant>
        <vt:i4>5</vt:i4>
      </vt:variant>
      <vt:variant>
        <vt:lpwstr>https://eur-lex.europa.eu/legal-content/EN/TXT/?uri=celex:52024SC0063</vt:lpwstr>
      </vt:variant>
      <vt:variant>
        <vt:lpwstr/>
      </vt:variant>
      <vt:variant>
        <vt:i4>2293853</vt:i4>
      </vt:variant>
      <vt:variant>
        <vt:i4>15</vt:i4>
      </vt:variant>
      <vt:variant>
        <vt:i4>0</vt:i4>
      </vt:variant>
      <vt:variant>
        <vt:i4>5</vt:i4>
      </vt:variant>
      <vt:variant>
        <vt:lpwstr>https://single-market-economy.ec.europa.eu/publications/staff-working-document-investment-needs-assessment-and-funding-availabilities-strengthen-eus-net_en</vt:lpwstr>
      </vt:variant>
      <vt:variant>
        <vt:lpwstr/>
      </vt:variant>
      <vt:variant>
        <vt:i4>131136</vt:i4>
      </vt:variant>
      <vt:variant>
        <vt:i4>12</vt:i4>
      </vt:variant>
      <vt:variant>
        <vt:i4>0</vt:i4>
      </vt:variant>
      <vt:variant>
        <vt:i4>5</vt:i4>
      </vt:variant>
      <vt:variant>
        <vt:lpwstr>https://publications.jrc.ec.europa.eu/repository/handle/JRC139285</vt:lpwstr>
      </vt:variant>
      <vt:variant>
        <vt:lpwstr/>
      </vt:variant>
      <vt:variant>
        <vt:i4>2424849</vt:i4>
      </vt:variant>
      <vt:variant>
        <vt:i4>9</vt:i4>
      </vt:variant>
      <vt:variant>
        <vt:i4>0</vt:i4>
      </vt:variant>
      <vt:variant>
        <vt:i4>5</vt:i4>
      </vt:variant>
      <vt:variant>
        <vt:lpwstr>https://commission.europa.eu/topics/eu-competitiveness/draghi-report_en</vt:lpwstr>
      </vt:variant>
      <vt:variant>
        <vt:lpwstr/>
      </vt:variant>
      <vt:variant>
        <vt:i4>393232</vt:i4>
      </vt:variant>
      <vt:variant>
        <vt:i4>6</vt:i4>
      </vt:variant>
      <vt:variant>
        <vt:i4>0</vt:i4>
      </vt:variant>
      <vt:variant>
        <vt:i4>5</vt:i4>
      </vt:variant>
      <vt:variant>
        <vt:lpwstr>https://eur-lex.europa.eu/legal-content/EN/TXT/?uri=celex:52024DC0062</vt:lpwstr>
      </vt:variant>
      <vt:variant>
        <vt:lpwstr/>
      </vt:variant>
      <vt:variant>
        <vt:i4>7798798</vt:i4>
      </vt:variant>
      <vt:variant>
        <vt:i4>3</vt:i4>
      </vt:variant>
      <vt:variant>
        <vt:i4>0</vt:i4>
      </vt:variant>
      <vt:variant>
        <vt:i4>5</vt:i4>
      </vt:variant>
      <vt:variant>
        <vt:lpwstr>https://commission.europa.eu/energy-climate-change-environment/implementation-eu-countries/energy-and-climate-governance-and-reporting/national-energy-and-climate-plans_en</vt:lpwstr>
      </vt:variant>
      <vt:variant>
        <vt:lpwstr/>
      </vt:variant>
      <vt:variant>
        <vt:i4>4390968</vt:i4>
      </vt:variant>
      <vt:variant>
        <vt:i4>0</vt:i4>
      </vt:variant>
      <vt:variant>
        <vt:i4>0</vt:i4>
      </vt:variant>
      <vt:variant>
        <vt:i4>5</vt:i4>
      </vt:variant>
      <vt:variant>
        <vt:lpwstr>https://climate.ec.europa.eu/eu-action/industrial-carbon-management/eus-2030-carbon-storage-target_en</vt:lpwstr>
      </vt:variant>
      <vt:variant>
        <vt:lpwstr>member-states-reports-under-article-21-of-the-nzia-regulation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2026-04-08T08:45:00Z</cp:lastPrinted>
  <dcterms:created xsi:type="dcterms:W3CDTF">2026-04-16T15:15:00Z</dcterms:created>
  <dcterms:modified xsi:type="dcterms:W3CDTF">2026-05-19T06:24:00Z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2025-10-07T12:45:07Z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fc86154c-1431-4007-bd0a-54db3409323c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0x010100785F69E1628A2E45B60213B67CDFD033</vt:lpwstr>
  </property>
  <property fmtid="{D5CDD505-2E9C-101B-9397-08002B2CF9AE}" pid="18" name="MediaServiceImageTags">
    <vt:lpwstr/>
  </property>
</Properties>
</file>