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117C" w:rsidRPr="00A1183B" w:rsidRDefault="00D266F6" w:rsidP="00D266F6">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2EC3320-F007-49C4-9350-885820769754" style="width:455.25pt;height:371.25pt">
            <v:imagedata r:id="rId8" o:title=""/>
          </v:shape>
        </w:pict>
      </w:r>
    </w:p>
    <w:p w:rsidR="004B117C" w:rsidRPr="00A1183B" w:rsidRDefault="004B117C" w:rsidP="004B117C">
      <w:pPr>
        <w:rPr>
          <w:noProof/>
        </w:rPr>
        <w:sectPr w:rsidR="004B117C" w:rsidRPr="00A1183B" w:rsidSect="00D266F6">
          <w:footerReference w:type="even" r:id="rId9"/>
          <w:footerReference w:type="default" r:id="rId10"/>
          <w:pgSz w:w="11907" w:h="16839"/>
          <w:pgMar w:top="1134" w:right="1417" w:bottom="1134" w:left="1417" w:header="709" w:footer="709" w:gutter="0"/>
          <w:pgNumType w:start="0"/>
          <w:cols w:space="720"/>
          <w:docGrid w:linePitch="360"/>
        </w:sectPr>
      </w:pPr>
    </w:p>
    <w:p w:rsidR="004B117C" w:rsidRPr="00A93E2C" w:rsidRDefault="004B117C" w:rsidP="00BB6B30">
      <w:pPr>
        <w:pStyle w:val="Exposdesmotifstitre"/>
        <w:rPr>
          <w:noProof/>
        </w:rPr>
      </w:pPr>
      <w:bookmarkStart w:id="0" w:name="_GoBack"/>
      <w:bookmarkEnd w:id="0"/>
      <w:r w:rsidRPr="00A93E2C">
        <w:rPr>
          <w:noProof/>
        </w:rPr>
        <w:lastRenderedPageBreak/>
        <w:t>EXPUNERE DE MOTIVE</w:t>
      </w:r>
    </w:p>
    <w:p w:rsidR="001A6D45" w:rsidRPr="00A93E2C" w:rsidRDefault="001A6D45" w:rsidP="00B12C11">
      <w:pPr>
        <w:pStyle w:val="ManualHeading1"/>
        <w:tabs>
          <w:tab w:val="num" w:pos="1984"/>
        </w:tabs>
        <w:ind w:left="1984" w:hanging="567"/>
        <w:rPr>
          <w:noProof/>
        </w:rPr>
      </w:pPr>
      <w:r>
        <w:rPr>
          <w:noProof/>
        </w:rPr>
        <w:t>1.</w:t>
      </w:r>
      <w:r>
        <w:rPr>
          <w:noProof/>
        </w:rPr>
        <w:tab/>
      </w:r>
      <w:r w:rsidRPr="00A93E2C">
        <w:rPr>
          <w:noProof/>
        </w:rPr>
        <w:t>CONTEXTUL PROPUNERII</w:t>
      </w:r>
    </w:p>
    <w:p w:rsidR="001A6D45" w:rsidRPr="00A1183B" w:rsidRDefault="001A6D45" w:rsidP="001A6D45">
      <w:pPr>
        <w:rPr>
          <w:noProof/>
        </w:rPr>
      </w:pPr>
      <w:r w:rsidRPr="00A1183B">
        <w:rPr>
          <w:noProof/>
        </w:rPr>
        <w:t xml:space="preserve">Acordul dintre Comunitatea Europeană și Principatul Monaco privind aplicarea anumitor acte comunitare pe teritoriul Principatului Monaco (denumit în continuare „acordul”), semnat la </w:t>
      </w:r>
      <w:r w:rsidRPr="00A93E2C">
        <w:rPr>
          <w:noProof/>
        </w:rPr>
        <w:t>4</w:t>
      </w:r>
      <w:r w:rsidR="00A93E2C">
        <w:rPr>
          <w:noProof/>
        </w:rPr>
        <w:t> </w:t>
      </w:r>
      <w:r w:rsidRPr="00A1183B">
        <w:rPr>
          <w:noProof/>
        </w:rPr>
        <w:t xml:space="preserve">decembrie </w:t>
      </w:r>
      <w:r w:rsidRPr="00A93E2C">
        <w:rPr>
          <w:noProof/>
        </w:rPr>
        <w:t>2003</w:t>
      </w:r>
      <w:r w:rsidRPr="00A1183B">
        <w:rPr>
          <w:rStyle w:val="FootnoteReference"/>
          <w:bCs/>
          <w:noProof/>
          <w:szCs w:val="24"/>
        </w:rPr>
        <w:footnoteReference w:id="1"/>
      </w:r>
      <w:r w:rsidRPr="00A1183B">
        <w:rPr>
          <w:noProof/>
        </w:rPr>
        <w:t>, facilitează activitățile economice și comerțul cu medicamente de uz uman și veterinar, produse cosmetice și dispozitive medicale între părțile la acord.</w:t>
      </w:r>
    </w:p>
    <w:p w:rsidR="001A6D45" w:rsidRPr="00A1183B" w:rsidRDefault="001A6D45" w:rsidP="001A6D45">
      <w:pPr>
        <w:spacing w:after="240"/>
        <w:rPr>
          <w:bCs/>
          <w:noProof/>
          <w:szCs w:val="24"/>
        </w:rPr>
      </w:pPr>
      <w:r w:rsidRPr="00A1183B">
        <w:rPr>
          <w:noProof/>
        </w:rPr>
        <w:t>La articolul </w:t>
      </w:r>
      <w:r w:rsidRPr="00A93E2C">
        <w:rPr>
          <w:noProof/>
        </w:rPr>
        <w:t>1</w:t>
      </w:r>
      <w:r w:rsidRPr="00A1183B">
        <w:rPr>
          <w:noProof/>
        </w:rPr>
        <w:t xml:space="preserve"> alineatul (</w:t>
      </w:r>
      <w:r w:rsidRPr="00A93E2C">
        <w:rPr>
          <w:noProof/>
        </w:rPr>
        <w:t>1</w:t>
      </w:r>
      <w:r w:rsidRPr="00A1183B">
        <w:rPr>
          <w:noProof/>
        </w:rPr>
        <w:t>), acordul prevede modificarea de către comitetul mixt instituit prin acord a anexei la acord pentru a se asigura faptul că actele Uniunii care intră în domeniul de aplicare al acordului se aplică pe teritoriul Principatului Monaco.</w:t>
      </w:r>
    </w:p>
    <w:p w:rsidR="001A6D45" w:rsidRPr="00A1183B" w:rsidRDefault="001A6D45" w:rsidP="001A6D45">
      <w:pPr>
        <w:spacing w:after="240"/>
        <w:rPr>
          <w:bCs/>
          <w:noProof/>
          <w:szCs w:val="24"/>
        </w:rPr>
      </w:pPr>
      <w:r w:rsidRPr="00A1183B">
        <w:rPr>
          <w:noProof/>
        </w:rPr>
        <w:t xml:space="preserve">Anexa la acord a fost actualizată ultima dată în </w:t>
      </w:r>
      <w:r w:rsidRPr="00A93E2C">
        <w:rPr>
          <w:noProof/>
        </w:rPr>
        <w:t>2013</w:t>
      </w:r>
      <w:r w:rsidRPr="00A1183B">
        <w:rPr>
          <w:noProof/>
        </w:rPr>
        <w:t xml:space="preserve"> prin Decizia nr. </w:t>
      </w:r>
      <w:r w:rsidRPr="00A93E2C">
        <w:rPr>
          <w:noProof/>
        </w:rPr>
        <w:t>1</w:t>
      </w:r>
      <w:r w:rsidRPr="00A1183B">
        <w:rPr>
          <w:noProof/>
        </w:rPr>
        <w:t>/</w:t>
      </w:r>
      <w:r w:rsidRPr="00A93E2C">
        <w:rPr>
          <w:noProof/>
        </w:rPr>
        <w:t>2013</w:t>
      </w:r>
      <w:r w:rsidRPr="00A1183B">
        <w:rPr>
          <w:noProof/>
        </w:rPr>
        <w:t xml:space="preserve"> a Comitetului mixt</w:t>
      </w:r>
      <w:r w:rsidRPr="00A1183B">
        <w:rPr>
          <w:rStyle w:val="FootnoteReference"/>
          <w:bCs/>
          <w:noProof/>
          <w:szCs w:val="24"/>
        </w:rPr>
        <w:footnoteReference w:id="2"/>
      </w:r>
      <w:r w:rsidRPr="00A1183B">
        <w:rPr>
          <w:noProof/>
        </w:rPr>
        <w:t>. De la actualizarea respectivă, acquis-ul relevant al Uniunii a continuat să evolueze, în special prin adoptarea de noi acte legislative și modificarea actelor existente care intră în domeniul de aplicare al acordului.</w:t>
      </w:r>
    </w:p>
    <w:p w:rsidR="001A6D45" w:rsidRPr="00A1183B" w:rsidRDefault="001A6D45" w:rsidP="001A6D45">
      <w:pPr>
        <w:spacing w:after="240"/>
        <w:rPr>
          <w:bCs/>
          <w:noProof/>
          <w:szCs w:val="24"/>
        </w:rPr>
      </w:pPr>
      <w:r w:rsidRPr="00A1183B">
        <w:rPr>
          <w:noProof/>
        </w:rPr>
        <w:t>Prin urmare, pentru a se asigura aplicarea continuă, corectă și uniformă a acordului, este necesar să se actualizeze anexa pentru a reflecta stadiul actual al acquis-ului aplicabil al Uniunii.</w:t>
      </w:r>
    </w:p>
    <w:p w:rsidR="001A6D45" w:rsidRPr="00A1183B" w:rsidRDefault="001A6D45" w:rsidP="001A6D45">
      <w:pPr>
        <w:spacing w:after="240"/>
        <w:rPr>
          <w:bCs/>
          <w:noProof/>
          <w:szCs w:val="24"/>
        </w:rPr>
      </w:pPr>
      <w:r w:rsidRPr="00A1183B">
        <w:rPr>
          <w:noProof/>
        </w:rPr>
        <w:t xml:space="preserve">Prin urmare, prezenta propunere vizează actualizarea și revizuirea anexei, astfel încât aceasta să includă toate actele Uniunii care intră în domeniul de aplicare al acordului, precum și eliminarea actelor care au fost abrogate. </w:t>
      </w:r>
    </w:p>
    <w:p w:rsidR="001A6D45" w:rsidRPr="00A93E2C" w:rsidRDefault="001A6D45" w:rsidP="00B12C11">
      <w:pPr>
        <w:pStyle w:val="ManualHeading1"/>
        <w:tabs>
          <w:tab w:val="num" w:pos="1984"/>
        </w:tabs>
        <w:ind w:left="1984" w:hanging="567"/>
        <w:rPr>
          <w:noProof/>
          <w:szCs w:val="24"/>
        </w:rPr>
      </w:pPr>
      <w:r>
        <w:rPr>
          <w:noProof/>
        </w:rPr>
        <w:t>2.</w:t>
      </w:r>
      <w:r>
        <w:rPr>
          <w:noProof/>
        </w:rPr>
        <w:tab/>
      </w:r>
      <w:r w:rsidRPr="00A93E2C">
        <w:rPr>
          <w:noProof/>
        </w:rPr>
        <w:t>POZIȚIA CARE URMEAZĂ SĂ FIE LUATĂ ÎN NUMELE UNIUNII EUROPENE</w:t>
      </w:r>
    </w:p>
    <w:p w:rsidR="001A6D45" w:rsidRPr="00A1183B" w:rsidRDefault="001A6D45" w:rsidP="001A6D45">
      <w:pPr>
        <w:spacing w:after="240"/>
        <w:rPr>
          <w:bCs/>
          <w:noProof/>
          <w:szCs w:val="24"/>
        </w:rPr>
      </w:pPr>
      <w:r w:rsidRPr="00A1183B">
        <w:rPr>
          <w:noProof/>
        </w:rPr>
        <w:t>Pentru a stabili poziția care urmează să fie luată în numele Uniunii în cadrul comitetului mixt instituit prin acord, este necesară o decizie a Consiliului în temeiul articolului </w:t>
      </w:r>
      <w:r w:rsidRPr="00A93E2C">
        <w:rPr>
          <w:noProof/>
        </w:rPr>
        <w:t>218</w:t>
      </w:r>
      <w:r w:rsidRPr="00A1183B">
        <w:rPr>
          <w:noProof/>
        </w:rPr>
        <w:t xml:space="preserve"> alineatul (</w:t>
      </w:r>
      <w:r w:rsidRPr="00A93E2C">
        <w:rPr>
          <w:noProof/>
        </w:rPr>
        <w:t>9</w:t>
      </w:r>
      <w:r w:rsidRPr="00A1183B">
        <w:rPr>
          <w:noProof/>
        </w:rPr>
        <w:t>) din TFUE.</w:t>
      </w:r>
    </w:p>
    <w:p w:rsidR="001A6D45" w:rsidRPr="00A1183B" w:rsidRDefault="001A6D45" w:rsidP="001A6D45">
      <w:pPr>
        <w:spacing w:after="240"/>
        <w:rPr>
          <w:bCs/>
          <w:noProof/>
          <w:szCs w:val="24"/>
        </w:rPr>
      </w:pPr>
      <w:r w:rsidRPr="00A1183B">
        <w:rPr>
          <w:noProof/>
        </w:rPr>
        <w:t>Proiectul de decizie a comitetului mixt anexat la prezenta propunere actualizează anexa la acord în conformitate cu articolul </w:t>
      </w:r>
      <w:r w:rsidRPr="00A93E2C">
        <w:rPr>
          <w:noProof/>
        </w:rPr>
        <w:t>1</w:t>
      </w:r>
      <w:r w:rsidRPr="00A1183B">
        <w:rPr>
          <w:noProof/>
        </w:rPr>
        <w:t xml:space="preserve"> alineatul (</w:t>
      </w:r>
      <w:r w:rsidRPr="00A93E2C">
        <w:rPr>
          <w:noProof/>
        </w:rPr>
        <w:t>1</w:t>
      </w:r>
      <w:r w:rsidRPr="00A1183B">
        <w:rPr>
          <w:noProof/>
        </w:rPr>
        <w:t>) din aceasta, enumerând toate actele Uniunii care intră în prezent în domeniul de aplicare al acordului și care trebuie incluse în anexă pentru a se aplica teritoriului Principatului Monaco. Acestea sunt actele legislative de bază și actele care le modifică sau le înlocuiesc, adoptate de Parlamentul European și de Consiliu sau de Consiliu, care definesc cadrul de reglementare material aplicabil în domeniile reglementate de acord.</w:t>
      </w:r>
    </w:p>
    <w:p w:rsidR="001A6D45" w:rsidRPr="00A1183B" w:rsidRDefault="001A6D45" w:rsidP="001A6D45">
      <w:pPr>
        <w:spacing w:after="240"/>
        <w:rPr>
          <w:bCs/>
          <w:noProof/>
          <w:szCs w:val="24"/>
        </w:rPr>
      </w:pPr>
      <w:r w:rsidRPr="00A1183B">
        <w:rPr>
          <w:noProof/>
        </w:rPr>
        <w:t>În același timp, proiectul de decizie a comitetului mixt clarifică tratamentul actelor adoptate de Comisie în aplicarea actelor legislative respective. Articolul </w:t>
      </w:r>
      <w:r w:rsidRPr="00A93E2C">
        <w:rPr>
          <w:noProof/>
        </w:rPr>
        <w:t>1</w:t>
      </w:r>
      <w:r w:rsidRPr="00A1183B">
        <w:rPr>
          <w:noProof/>
        </w:rPr>
        <w:t xml:space="preserve"> alineatul (</w:t>
      </w:r>
      <w:r w:rsidRPr="00A93E2C">
        <w:rPr>
          <w:noProof/>
        </w:rPr>
        <w:t>2</w:t>
      </w:r>
      <w:r w:rsidRPr="00A1183B">
        <w:rPr>
          <w:noProof/>
        </w:rPr>
        <w:t>) din acord prevede că astfel de acte se aplică pe teritoriul Principatului Monaco, fără a fi necesară o decizie a comitetului mixt în acest sens. În consecință, actele delegate și actele de punere în aplicare adoptate de Comisie pe baza actelor enumerate în anexă se aplică automat în temeiul acordului și nu este necesar să fie enumerate individual în anexă.</w:t>
      </w:r>
    </w:p>
    <w:p w:rsidR="001A6D45" w:rsidRPr="00A1183B" w:rsidRDefault="001A6D45" w:rsidP="001A6D45">
      <w:pPr>
        <w:spacing w:after="240"/>
        <w:rPr>
          <w:bCs/>
          <w:noProof/>
          <w:szCs w:val="24"/>
        </w:rPr>
      </w:pPr>
      <w:r w:rsidRPr="00A1183B">
        <w:rPr>
          <w:noProof/>
        </w:rPr>
        <w:t xml:space="preserve">În acest context, proiectul de decizie a comitetului mixt introduce o clarificare care confirmă faptul că trimiterile din anexă la actele Uniunii trebuie înțelese ca trimiteri la actele respective, </w:t>
      </w:r>
      <w:r w:rsidRPr="00A1183B">
        <w:rPr>
          <w:noProof/>
        </w:rPr>
        <w:lastRenderedPageBreak/>
        <w:t>astfel cum au fost modificate sau înlocuite, în timp ce actele adoptate de Comisie pentru aplicarea lor se aplică în mod automat în temeiul articolului </w:t>
      </w:r>
      <w:r w:rsidRPr="00A93E2C">
        <w:rPr>
          <w:noProof/>
        </w:rPr>
        <w:t>1</w:t>
      </w:r>
      <w:r w:rsidRPr="00A1183B">
        <w:rPr>
          <w:noProof/>
        </w:rPr>
        <w:t xml:space="preserve"> alineatul (</w:t>
      </w:r>
      <w:r w:rsidRPr="00A93E2C">
        <w:rPr>
          <w:noProof/>
        </w:rPr>
        <w:t>2</w:t>
      </w:r>
      <w:r w:rsidRPr="00A1183B">
        <w:rPr>
          <w:noProof/>
        </w:rPr>
        <w:t>) din acord. Aceasta reprezintă o nouă modalitate de redactare a anexei, menită să îmbunătățească claritatea și securitatea juridică, dar care se bazează în continuare pe deplin pe aceleași norme și mecanisme prevăzute în acord.</w:t>
      </w:r>
    </w:p>
    <w:p w:rsidR="001A6D45" w:rsidRPr="00A1183B" w:rsidRDefault="001A6D45" w:rsidP="001A6D45">
      <w:pPr>
        <w:spacing w:after="240"/>
        <w:rPr>
          <w:bCs/>
          <w:noProof/>
          <w:szCs w:val="24"/>
        </w:rPr>
      </w:pPr>
      <w:r w:rsidRPr="00A1183B">
        <w:rPr>
          <w:noProof/>
        </w:rPr>
        <w:t>Această abordare nu modifică domeniul de aplicare al acordului sau repartizarea competențelor stabilită în acesta, ci asigură o prezentare actualizată, mai clară și mai durabilă a acquis-ului Uniunii aplicabil Principatului Monaco.</w:t>
      </w:r>
    </w:p>
    <w:p w:rsidR="001A6D45" w:rsidRPr="00A93E2C" w:rsidRDefault="001A6D45" w:rsidP="00B12C11">
      <w:pPr>
        <w:pStyle w:val="ManualHeading1"/>
        <w:tabs>
          <w:tab w:val="num" w:pos="1984"/>
        </w:tabs>
        <w:ind w:left="1984" w:hanging="567"/>
        <w:rPr>
          <w:noProof/>
        </w:rPr>
      </w:pPr>
      <w:r>
        <w:rPr>
          <w:noProof/>
        </w:rPr>
        <w:t>3.</w:t>
      </w:r>
      <w:r>
        <w:rPr>
          <w:noProof/>
        </w:rPr>
        <w:tab/>
      </w:r>
      <w:r w:rsidRPr="00A93E2C">
        <w:rPr>
          <w:noProof/>
        </w:rPr>
        <w:t>ELEMENTELE JURIDICE ALE PROPUNERII</w:t>
      </w:r>
    </w:p>
    <w:p w:rsidR="001A6D45" w:rsidRPr="00A93E2C" w:rsidRDefault="001A6D45" w:rsidP="001A6D45">
      <w:pPr>
        <w:spacing w:after="240"/>
        <w:rPr>
          <w:b/>
          <w:noProof/>
          <w:szCs w:val="24"/>
        </w:rPr>
      </w:pPr>
      <w:r w:rsidRPr="00A93E2C">
        <w:rPr>
          <w:b/>
          <w:noProof/>
        </w:rPr>
        <w:t>Rezumatul acțiunii propuse</w:t>
      </w:r>
    </w:p>
    <w:p w:rsidR="001A6D45" w:rsidRPr="00A1183B" w:rsidRDefault="001A6D45" w:rsidP="001A6D45">
      <w:pPr>
        <w:spacing w:after="240"/>
        <w:rPr>
          <w:bCs/>
          <w:noProof/>
          <w:szCs w:val="24"/>
        </w:rPr>
      </w:pPr>
      <w:r w:rsidRPr="00A1183B">
        <w:rPr>
          <w:noProof/>
        </w:rPr>
        <w:t>Prezentul document este o propunere de decizie a Consiliului privind poziția care trebuie adoptată în numele Uniunii în cadrul comitetului mixt instituit prin acord, care ar trebui să se întemeieze pe proiectul de decizie a comitetului mixt din anexă.</w:t>
      </w:r>
    </w:p>
    <w:p w:rsidR="001A6D45" w:rsidRPr="00A93E2C" w:rsidRDefault="001A6D45" w:rsidP="001A6D45">
      <w:pPr>
        <w:spacing w:after="240"/>
        <w:rPr>
          <w:b/>
          <w:noProof/>
          <w:szCs w:val="24"/>
        </w:rPr>
      </w:pPr>
      <w:r w:rsidRPr="00A93E2C">
        <w:rPr>
          <w:b/>
          <w:noProof/>
        </w:rPr>
        <w:t>Temeiul juridic</w:t>
      </w:r>
    </w:p>
    <w:p w:rsidR="001A6D45" w:rsidRPr="00A1183B" w:rsidRDefault="001A6D45" w:rsidP="001A6D45">
      <w:pPr>
        <w:spacing w:after="240"/>
        <w:rPr>
          <w:bCs/>
          <w:noProof/>
          <w:szCs w:val="24"/>
        </w:rPr>
      </w:pPr>
      <w:r w:rsidRPr="00A1183B">
        <w:rPr>
          <w:noProof/>
        </w:rPr>
        <w:t xml:space="preserve">Articolul </w:t>
      </w:r>
      <w:r w:rsidRPr="00A93E2C">
        <w:rPr>
          <w:noProof/>
        </w:rPr>
        <w:t>207</w:t>
      </w:r>
      <w:r w:rsidRPr="00A1183B">
        <w:rPr>
          <w:noProof/>
        </w:rPr>
        <w:t xml:space="preserve"> din Tratatul privind funcționarea Uniunii Europene coroborat cu articolul </w:t>
      </w:r>
      <w:r w:rsidRPr="00A93E2C">
        <w:rPr>
          <w:noProof/>
        </w:rPr>
        <w:t>218</w:t>
      </w:r>
      <w:r w:rsidRPr="00A1183B">
        <w:rPr>
          <w:noProof/>
        </w:rPr>
        <w:t xml:space="preserve"> alineatul (</w:t>
      </w:r>
      <w:r w:rsidRPr="00A93E2C">
        <w:rPr>
          <w:noProof/>
        </w:rPr>
        <w:t>9</w:t>
      </w:r>
      <w:r w:rsidRPr="00A1183B">
        <w:rPr>
          <w:noProof/>
        </w:rPr>
        <w:t>).</w:t>
      </w:r>
    </w:p>
    <w:p w:rsidR="001A6D45" w:rsidRPr="00A93E2C" w:rsidRDefault="001A6D45" w:rsidP="001A6D45">
      <w:pPr>
        <w:spacing w:after="240"/>
        <w:rPr>
          <w:b/>
          <w:noProof/>
          <w:szCs w:val="24"/>
        </w:rPr>
      </w:pPr>
      <w:r w:rsidRPr="00A93E2C">
        <w:rPr>
          <w:b/>
          <w:noProof/>
        </w:rPr>
        <w:t>Alegerea instrumentului</w:t>
      </w:r>
    </w:p>
    <w:p w:rsidR="001A6D45" w:rsidRPr="00A1183B" w:rsidRDefault="001A6D45" w:rsidP="001A6D45">
      <w:pPr>
        <w:spacing w:after="240"/>
        <w:rPr>
          <w:bCs/>
          <w:noProof/>
          <w:szCs w:val="24"/>
        </w:rPr>
      </w:pPr>
      <w:r w:rsidRPr="00A1183B">
        <w:rPr>
          <w:noProof/>
        </w:rPr>
        <w:t>În conformitate cu articolul </w:t>
      </w:r>
      <w:r w:rsidRPr="00A93E2C">
        <w:rPr>
          <w:noProof/>
        </w:rPr>
        <w:t>218</w:t>
      </w:r>
      <w:r w:rsidRPr="00A1183B">
        <w:rPr>
          <w:noProof/>
        </w:rPr>
        <w:t xml:space="preserve"> alineatul (</w:t>
      </w:r>
      <w:r w:rsidRPr="00A93E2C">
        <w:rPr>
          <w:noProof/>
        </w:rPr>
        <w:t>9</w:t>
      </w:r>
      <w:r w:rsidRPr="00A1183B">
        <w:rPr>
          <w:noProof/>
        </w:rPr>
        <w:t>) din Tratatul privind funcționarea Uniunii Europene, Consiliul adoptă o decizie de stabilire a poziției care trebuie adoptată în numele Uniunii în cadrul unui organism creat printr-un acord, în cazul în care acest organism trebuie să adopte decizii cu efecte juridice.</w:t>
      </w:r>
    </w:p>
    <w:p w:rsidR="001A6D45" w:rsidRPr="00A93E2C" w:rsidRDefault="001A6D45" w:rsidP="001A6D45">
      <w:pPr>
        <w:spacing w:after="240"/>
        <w:rPr>
          <w:b/>
          <w:noProof/>
          <w:szCs w:val="24"/>
        </w:rPr>
      </w:pPr>
      <w:r w:rsidRPr="00A93E2C">
        <w:rPr>
          <w:b/>
          <w:noProof/>
        </w:rPr>
        <w:t>Proporționalitatea</w:t>
      </w:r>
    </w:p>
    <w:p w:rsidR="001A6D45" w:rsidRPr="00A1183B" w:rsidRDefault="001A6D45" w:rsidP="001A6D45">
      <w:pPr>
        <w:rPr>
          <w:noProof/>
        </w:rPr>
      </w:pPr>
      <w:r w:rsidRPr="00A1183B">
        <w:rPr>
          <w:noProof/>
        </w:rPr>
        <w:t>Propunerea respectă principiul proporționalității, deoarece efectele sale se limitează strict la ceea ce este necesar pentru actualizarea anexei la acord pentru a reflecta stadiul legislației Uniunii în domeniile care intră sub incidența sa.</w:t>
      </w:r>
    </w:p>
    <w:p w:rsidR="004B117C" w:rsidRPr="00A1183B" w:rsidRDefault="004B117C" w:rsidP="00FD40BA">
      <w:pPr>
        <w:rPr>
          <w:noProof/>
        </w:rPr>
        <w:sectPr w:rsidR="004B117C" w:rsidRPr="00A1183B" w:rsidSect="00D266F6">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D40780" w:rsidRDefault="009F3889">
      <w:pPr>
        <w:pStyle w:val="Rfrenceinterinstitutionnelle"/>
        <w:rPr>
          <w:noProof/>
        </w:rPr>
      </w:pPr>
      <w:r>
        <w:rPr>
          <w:noProof/>
        </w:rPr>
        <w:lastRenderedPageBreak/>
        <w:t>2026/0128 (NLE)</w:t>
      </w:r>
    </w:p>
    <w:p w:rsidR="004B117C" w:rsidRPr="00A1183B" w:rsidRDefault="008C29E0" w:rsidP="008C29E0">
      <w:pPr>
        <w:pStyle w:val="Statut"/>
        <w:rPr>
          <w:noProof/>
        </w:rPr>
      </w:pPr>
      <w:r w:rsidRPr="008C29E0">
        <w:rPr>
          <w:noProof/>
        </w:rPr>
        <w:t>Propunere de</w:t>
      </w:r>
    </w:p>
    <w:p w:rsidR="004B117C" w:rsidRPr="00A93E2C" w:rsidRDefault="008C29E0" w:rsidP="008C29E0">
      <w:pPr>
        <w:pStyle w:val="Typedudocument"/>
        <w:rPr>
          <w:noProof/>
        </w:rPr>
      </w:pPr>
      <w:r w:rsidRPr="008C29E0">
        <w:rPr>
          <w:noProof/>
        </w:rPr>
        <w:t>DECIZIE A CONSILIULUI</w:t>
      </w:r>
    </w:p>
    <w:p w:rsidR="004B117C" w:rsidRPr="00A93E2C" w:rsidRDefault="008C29E0" w:rsidP="008C29E0">
      <w:pPr>
        <w:pStyle w:val="Titreobjet"/>
        <w:rPr>
          <w:noProof/>
        </w:rPr>
      </w:pPr>
      <w:r w:rsidRPr="008C29E0">
        <w:rPr>
          <w:noProof/>
        </w:rPr>
        <w:t>privind poziția care urmează să fie luată în numele Uniunii Europene în cadrul comitetului mixt instituit prin Acordul dintre Comunitatea Europeană și Principatul Monaco privind aplicarea anumitor acte comunitare pe teritoriul Principatului Monaco</w:t>
      </w:r>
    </w:p>
    <w:p w:rsidR="004B117C" w:rsidRPr="00A1183B" w:rsidRDefault="004B117C" w:rsidP="00BE7CB9">
      <w:pPr>
        <w:pStyle w:val="Institutionquiagit"/>
        <w:rPr>
          <w:noProof/>
        </w:rPr>
      </w:pPr>
      <w:r w:rsidRPr="00A1183B">
        <w:rPr>
          <w:noProof/>
        </w:rPr>
        <w:t>CONSILIUL UNIUNII EUROPENE,</w:t>
      </w:r>
    </w:p>
    <w:p w:rsidR="001A6D45" w:rsidRPr="00A1183B" w:rsidRDefault="001A6D45" w:rsidP="001A6D45">
      <w:pPr>
        <w:rPr>
          <w:noProof/>
        </w:rPr>
      </w:pPr>
      <w:r w:rsidRPr="00A1183B">
        <w:rPr>
          <w:noProof/>
        </w:rPr>
        <w:t xml:space="preserve">având în vedere Tratatul privind funcționarea Uniunii Europene, în special articolul </w:t>
      </w:r>
      <w:r w:rsidRPr="00A93E2C">
        <w:rPr>
          <w:noProof/>
        </w:rPr>
        <w:t>207</w:t>
      </w:r>
      <w:r w:rsidRPr="00A1183B">
        <w:rPr>
          <w:noProof/>
        </w:rPr>
        <w:t xml:space="preserve">, coroborat cu articolul </w:t>
      </w:r>
      <w:r w:rsidRPr="00A93E2C">
        <w:rPr>
          <w:noProof/>
        </w:rPr>
        <w:t>218</w:t>
      </w:r>
      <w:r w:rsidRPr="00A1183B">
        <w:rPr>
          <w:noProof/>
        </w:rPr>
        <w:t xml:space="preserve"> alineatul (</w:t>
      </w:r>
      <w:r w:rsidRPr="00A93E2C">
        <w:rPr>
          <w:noProof/>
        </w:rPr>
        <w:t>9</w:t>
      </w:r>
      <w:r w:rsidRPr="00A1183B">
        <w:rPr>
          <w:noProof/>
        </w:rPr>
        <w:t xml:space="preserve">), </w:t>
      </w:r>
    </w:p>
    <w:p w:rsidR="004B117C" w:rsidRPr="00A1183B" w:rsidRDefault="004B117C" w:rsidP="00BE7CB9">
      <w:pPr>
        <w:rPr>
          <w:noProof/>
        </w:rPr>
      </w:pPr>
      <w:r w:rsidRPr="00A1183B">
        <w:rPr>
          <w:noProof/>
        </w:rPr>
        <w:t>având în vedere propunerea Comisiei Europene,</w:t>
      </w:r>
    </w:p>
    <w:p w:rsidR="004B117C" w:rsidRPr="00A1183B" w:rsidRDefault="004B117C" w:rsidP="00BE7CB9">
      <w:pPr>
        <w:rPr>
          <w:noProof/>
        </w:rPr>
      </w:pPr>
      <w:r w:rsidRPr="00A1183B">
        <w:rPr>
          <w:noProof/>
        </w:rPr>
        <w:t>întrucât:</w:t>
      </w:r>
    </w:p>
    <w:p w:rsidR="001A6D45" w:rsidRPr="00A1183B" w:rsidRDefault="001A6D45" w:rsidP="00B12C11">
      <w:pPr>
        <w:pStyle w:val="ManualConsidrant"/>
        <w:rPr>
          <w:noProof/>
        </w:rPr>
      </w:pPr>
      <w:r>
        <w:rPr>
          <w:noProof/>
        </w:rPr>
        <w:t>(1)</w:t>
      </w:r>
      <w:r>
        <w:rPr>
          <w:noProof/>
        </w:rPr>
        <w:tab/>
      </w:r>
      <w:r w:rsidRPr="00A1183B">
        <w:rPr>
          <w:noProof/>
        </w:rPr>
        <w:t>La articolul </w:t>
      </w:r>
      <w:r w:rsidRPr="00A93E2C">
        <w:rPr>
          <w:noProof/>
        </w:rPr>
        <w:t>1</w:t>
      </w:r>
      <w:r w:rsidRPr="00A1183B">
        <w:rPr>
          <w:noProof/>
        </w:rPr>
        <w:t xml:space="preserve"> alineatul (</w:t>
      </w:r>
      <w:r w:rsidRPr="00A93E2C">
        <w:rPr>
          <w:noProof/>
        </w:rPr>
        <w:t>1</w:t>
      </w:r>
      <w:r w:rsidRPr="00A1183B">
        <w:rPr>
          <w:noProof/>
        </w:rPr>
        <w:t>), acordul prevede modificarea de către comitetul mixt instituit prin acord a anexei la acord pentru a se asigura faptul că actele Uniunii care intră în domeniul de aplicare al acordului se aplică pe teritoriul Principatului Monaco.</w:t>
      </w:r>
    </w:p>
    <w:p w:rsidR="001A6D45" w:rsidRPr="00A1183B" w:rsidRDefault="001A6D45" w:rsidP="001A6D45">
      <w:pPr>
        <w:pStyle w:val="ManualConsidrant"/>
        <w:rPr>
          <w:noProof/>
        </w:rPr>
      </w:pPr>
      <w:r>
        <w:rPr>
          <w:noProof/>
        </w:rPr>
        <w:t>(2)</w:t>
      </w:r>
      <w:r>
        <w:rPr>
          <w:noProof/>
        </w:rPr>
        <w:tab/>
      </w:r>
      <w:r w:rsidRPr="00A1183B">
        <w:rPr>
          <w:noProof/>
        </w:rPr>
        <w:t>De la intrarea în vigoare a acordului, Uniunea Europeană a adoptat o serie de acte care intră în domeniul de aplicare al acestuia, iar unele acte care figurează în anexă au fost abrogate. Prin urmare, se impune actualizarea anexei pentru a include noile acte și pentru a elimina actele care au fost abrogate.</w:t>
      </w:r>
    </w:p>
    <w:p w:rsidR="001A6D45" w:rsidRPr="00A1183B" w:rsidRDefault="001A6D45" w:rsidP="001A6D45">
      <w:pPr>
        <w:pStyle w:val="ManualConsidrant"/>
        <w:rPr>
          <w:noProof/>
        </w:rPr>
      </w:pPr>
      <w:r>
        <w:rPr>
          <w:noProof/>
        </w:rPr>
        <w:t>(3)</w:t>
      </w:r>
      <w:r>
        <w:rPr>
          <w:noProof/>
        </w:rPr>
        <w:tab/>
      </w:r>
      <w:r w:rsidRPr="00A1183B">
        <w:rPr>
          <w:noProof/>
        </w:rPr>
        <w:t xml:space="preserve">Decizia </w:t>
      </w:r>
      <w:r w:rsidRPr="00A93E2C">
        <w:rPr>
          <w:noProof/>
        </w:rPr>
        <w:t>2003</w:t>
      </w:r>
      <w:r w:rsidRPr="00A1183B">
        <w:rPr>
          <w:noProof/>
        </w:rPr>
        <w:t>/</w:t>
      </w:r>
      <w:r w:rsidRPr="00A93E2C">
        <w:rPr>
          <w:noProof/>
        </w:rPr>
        <w:t>885</w:t>
      </w:r>
      <w:r w:rsidRPr="00A1183B">
        <w:rPr>
          <w:noProof/>
        </w:rPr>
        <w:t xml:space="preserve">/CE a Consiliului din </w:t>
      </w:r>
      <w:r w:rsidRPr="00A93E2C">
        <w:rPr>
          <w:noProof/>
        </w:rPr>
        <w:t>17</w:t>
      </w:r>
      <w:r w:rsidRPr="00A1183B">
        <w:rPr>
          <w:noProof/>
        </w:rPr>
        <w:t xml:space="preserve"> noiembrie </w:t>
      </w:r>
      <w:r w:rsidRPr="00A93E2C">
        <w:rPr>
          <w:noProof/>
        </w:rPr>
        <w:t>2003</w:t>
      </w:r>
      <w:r w:rsidRPr="00A1183B">
        <w:rPr>
          <w:noProof/>
        </w:rPr>
        <w:t xml:space="preserve"> referitoare la încheierea Acordului privind aplicarea anumitor acte comunitare pe teritoriul Principatului Monaco, în special articolul </w:t>
      </w:r>
      <w:r w:rsidRPr="00A93E2C">
        <w:rPr>
          <w:noProof/>
        </w:rPr>
        <w:t>3</w:t>
      </w:r>
      <w:r w:rsidRPr="00A1183B">
        <w:rPr>
          <w:noProof/>
        </w:rPr>
        <w:t xml:space="preserve"> alineatul (</w:t>
      </w:r>
      <w:r w:rsidRPr="00A93E2C">
        <w:rPr>
          <w:noProof/>
        </w:rPr>
        <w:t>1</w:t>
      </w:r>
      <w:r w:rsidRPr="00A1183B">
        <w:rPr>
          <w:noProof/>
        </w:rPr>
        <w:t>), prevede că Uniunea Europeană este reprezentată de Comisie în cadrul comitetului mixt.</w:t>
      </w:r>
    </w:p>
    <w:p w:rsidR="001A6D45" w:rsidRPr="00A1183B" w:rsidRDefault="001A6D45" w:rsidP="001A6D45">
      <w:pPr>
        <w:pStyle w:val="ManualConsidrant"/>
        <w:rPr>
          <w:noProof/>
        </w:rPr>
      </w:pPr>
      <w:r>
        <w:rPr>
          <w:noProof/>
        </w:rPr>
        <w:t>(4)</w:t>
      </w:r>
      <w:r>
        <w:rPr>
          <w:noProof/>
        </w:rPr>
        <w:tab/>
      </w:r>
      <w:r w:rsidRPr="00A1183B">
        <w:rPr>
          <w:noProof/>
        </w:rPr>
        <w:t xml:space="preserve">Decizia </w:t>
      </w:r>
      <w:r w:rsidRPr="00A93E2C">
        <w:rPr>
          <w:noProof/>
        </w:rPr>
        <w:t>2003</w:t>
      </w:r>
      <w:r w:rsidRPr="00A1183B">
        <w:rPr>
          <w:noProof/>
        </w:rPr>
        <w:t>/</w:t>
      </w:r>
      <w:r w:rsidRPr="00A93E2C">
        <w:rPr>
          <w:noProof/>
        </w:rPr>
        <w:t>885</w:t>
      </w:r>
      <w:r w:rsidRPr="00A1183B">
        <w:rPr>
          <w:noProof/>
        </w:rPr>
        <w:t xml:space="preserve">/CE a Consiliului din </w:t>
      </w:r>
      <w:r w:rsidRPr="00A93E2C">
        <w:rPr>
          <w:noProof/>
        </w:rPr>
        <w:t>17</w:t>
      </w:r>
      <w:r w:rsidRPr="00A1183B">
        <w:rPr>
          <w:noProof/>
        </w:rPr>
        <w:t xml:space="preserve"> noiembrie </w:t>
      </w:r>
      <w:r w:rsidRPr="00A93E2C">
        <w:rPr>
          <w:noProof/>
        </w:rPr>
        <w:t>2003</w:t>
      </w:r>
      <w:r w:rsidRPr="00A1183B">
        <w:rPr>
          <w:noProof/>
        </w:rPr>
        <w:t xml:space="preserve"> prevede, în special la articolul </w:t>
      </w:r>
      <w:r w:rsidRPr="00A93E2C">
        <w:rPr>
          <w:noProof/>
        </w:rPr>
        <w:t>3</w:t>
      </w:r>
      <w:r w:rsidRPr="00A1183B">
        <w:rPr>
          <w:noProof/>
        </w:rPr>
        <w:t xml:space="preserve"> alineatul (</w:t>
      </w:r>
      <w:r w:rsidRPr="00A93E2C">
        <w:rPr>
          <w:noProof/>
        </w:rPr>
        <w:t>2</w:t>
      </w:r>
      <w:r w:rsidRPr="00A1183B">
        <w:rPr>
          <w:noProof/>
        </w:rPr>
        <w:t>), faptul că poziția Uniunii Europene în cadrul comitetului mixt este stabilită de Consiliu, la propunerea Comisiei; Consiliul hotărăște cu aceeași majoritate ca cea necesară adoptării actului Uniunii în cauză.</w:t>
      </w:r>
    </w:p>
    <w:p w:rsidR="001A6D45" w:rsidRPr="00A1183B" w:rsidRDefault="001A6D45" w:rsidP="001A6D45">
      <w:pPr>
        <w:pStyle w:val="ManualConsidrant"/>
        <w:rPr>
          <w:noProof/>
        </w:rPr>
      </w:pPr>
      <w:r>
        <w:rPr>
          <w:noProof/>
        </w:rPr>
        <w:t>(5)</w:t>
      </w:r>
      <w:r>
        <w:rPr>
          <w:noProof/>
        </w:rPr>
        <w:tab/>
      </w:r>
      <w:r w:rsidRPr="00A1183B">
        <w:rPr>
          <w:noProof/>
        </w:rPr>
        <w:t xml:space="preserve">Anexa la acord a fost modificată ultima dată prin Decizia nr. </w:t>
      </w:r>
      <w:r w:rsidRPr="00A93E2C">
        <w:rPr>
          <w:noProof/>
        </w:rPr>
        <w:t>1</w:t>
      </w:r>
      <w:r w:rsidRPr="00A1183B">
        <w:rPr>
          <w:noProof/>
        </w:rPr>
        <w:t>/</w:t>
      </w:r>
      <w:r w:rsidRPr="00A93E2C">
        <w:rPr>
          <w:noProof/>
        </w:rPr>
        <w:t>2013</w:t>
      </w:r>
      <w:r w:rsidRPr="00A1183B">
        <w:rPr>
          <w:noProof/>
        </w:rPr>
        <w:t xml:space="preserve"> a Comitetului mixt UE-Monaco, reflectând evoluțiile din legislația Uniunii care intră în domeniul de aplicare al acordului.</w:t>
      </w:r>
    </w:p>
    <w:p w:rsidR="001A6D45" w:rsidRPr="00A1183B" w:rsidRDefault="001A6D45" w:rsidP="001A6D45">
      <w:pPr>
        <w:pStyle w:val="ManualConsidrant"/>
        <w:rPr>
          <w:noProof/>
        </w:rPr>
      </w:pPr>
      <w:r>
        <w:rPr>
          <w:noProof/>
        </w:rPr>
        <w:t>(6)</w:t>
      </w:r>
      <w:r>
        <w:rPr>
          <w:noProof/>
        </w:rPr>
        <w:tab/>
      </w:r>
      <w:r w:rsidRPr="00A1183B">
        <w:rPr>
          <w:noProof/>
        </w:rPr>
        <w:t>Pentru a menține consecvența și coerența anexei la acord, Comisia solicită aprobarea anexei în ansamblu, inclusiv a tuturor actelor care urmează să fie incluse în aceasta, indiferent dacă includerea anumitor acte decurge din articolul </w:t>
      </w:r>
      <w:r w:rsidRPr="00A93E2C">
        <w:rPr>
          <w:noProof/>
        </w:rPr>
        <w:t>3</w:t>
      </w:r>
      <w:r w:rsidRPr="00A1183B">
        <w:rPr>
          <w:noProof/>
        </w:rPr>
        <w:t xml:space="preserve"> alineatul (</w:t>
      </w:r>
      <w:r w:rsidRPr="00A93E2C">
        <w:rPr>
          <w:noProof/>
        </w:rPr>
        <w:t>2</w:t>
      </w:r>
      <w:r w:rsidRPr="00A1183B">
        <w:rPr>
          <w:noProof/>
        </w:rPr>
        <w:t>) sau din articolul </w:t>
      </w:r>
      <w:r w:rsidRPr="00A93E2C">
        <w:rPr>
          <w:noProof/>
        </w:rPr>
        <w:t>3</w:t>
      </w:r>
      <w:r w:rsidRPr="00A1183B">
        <w:rPr>
          <w:noProof/>
        </w:rPr>
        <w:t xml:space="preserve"> alineatul (</w:t>
      </w:r>
      <w:r w:rsidRPr="00A93E2C">
        <w:rPr>
          <w:noProof/>
        </w:rPr>
        <w:t>3</w:t>
      </w:r>
      <w:r w:rsidRPr="00A1183B">
        <w:rPr>
          <w:noProof/>
        </w:rPr>
        <w:t xml:space="preserve">) din Decizia </w:t>
      </w:r>
      <w:r w:rsidRPr="00A93E2C">
        <w:rPr>
          <w:noProof/>
        </w:rPr>
        <w:t>2003</w:t>
      </w:r>
      <w:r w:rsidRPr="00A1183B">
        <w:rPr>
          <w:noProof/>
        </w:rPr>
        <w:t>/</w:t>
      </w:r>
      <w:r w:rsidRPr="00A93E2C">
        <w:rPr>
          <w:noProof/>
        </w:rPr>
        <w:t>885</w:t>
      </w:r>
      <w:r w:rsidRPr="00A1183B">
        <w:rPr>
          <w:noProof/>
        </w:rPr>
        <w:t>/CE a Consiliului,</w:t>
      </w:r>
    </w:p>
    <w:p w:rsidR="004B117C" w:rsidRPr="00A1183B" w:rsidRDefault="004B117C" w:rsidP="00BE7CB9">
      <w:pPr>
        <w:pStyle w:val="Formuledadoption"/>
        <w:rPr>
          <w:noProof/>
        </w:rPr>
      </w:pPr>
      <w:r w:rsidRPr="00A1183B">
        <w:rPr>
          <w:noProof/>
        </w:rPr>
        <w:t>ADOPTĂ PREZENTA DECIZIE:</w:t>
      </w:r>
    </w:p>
    <w:p w:rsidR="001A6D45" w:rsidRPr="00A93E2C" w:rsidRDefault="001A6D45" w:rsidP="001A6D45">
      <w:pPr>
        <w:pStyle w:val="Titrearticle"/>
        <w:rPr>
          <w:noProof/>
        </w:rPr>
      </w:pPr>
      <w:r w:rsidRPr="00A93E2C">
        <w:rPr>
          <w:noProof/>
        </w:rPr>
        <w:t>Articolul 1</w:t>
      </w:r>
    </w:p>
    <w:p w:rsidR="001A6D45" w:rsidRPr="00A1183B" w:rsidRDefault="001A6D45" w:rsidP="001A6D45">
      <w:pPr>
        <w:rPr>
          <w:noProof/>
        </w:rPr>
      </w:pPr>
      <w:r w:rsidRPr="00A1183B">
        <w:rPr>
          <w:noProof/>
        </w:rPr>
        <w:t xml:space="preserve">Poziția care urmează să fie luată, în numele Uniunii Europene, în cadrul comitetului mixt instituit prin Acordul dintre Comunitatea Europeană și Principatul Monaco privind aplicarea </w:t>
      </w:r>
      <w:r w:rsidRPr="00A1183B">
        <w:rPr>
          <w:noProof/>
        </w:rPr>
        <w:lastRenderedPageBreak/>
        <w:t xml:space="preserve">anumitor acte comunitare pe teritoriul Principatului Monaco din </w:t>
      </w:r>
      <w:r w:rsidRPr="00A93E2C">
        <w:rPr>
          <w:noProof/>
        </w:rPr>
        <w:t>4</w:t>
      </w:r>
      <w:r w:rsidRPr="00A1183B">
        <w:rPr>
          <w:noProof/>
        </w:rPr>
        <w:t> decembrie </w:t>
      </w:r>
      <w:r w:rsidRPr="00A93E2C">
        <w:rPr>
          <w:noProof/>
        </w:rPr>
        <w:t>2003</w:t>
      </w:r>
      <w:r w:rsidRPr="00A1183B">
        <w:rPr>
          <w:noProof/>
        </w:rPr>
        <w:t xml:space="preserve"> se bazează pe proiectul de decizie a comitetului mixt anexat la prezenta decizie.</w:t>
      </w:r>
    </w:p>
    <w:p w:rsidR="001A6D45" w:rsidRPr="00A1183B" w:rsidRDefault="00211EAB" w:rsidP="001A6D45">
      <w:pPr>
        <w:rPr>
          <w:noProof/>
        </w:rPr>
      </w:pPr>
      <w:r w:rsidRPr="00A1183B">
        <w:rPr>
          <w:noProof/>
        </w:rPr>
        <w:t>Reprezentanții Uniunii în cadrul comitetului mixt pot conveni asupra unor modificări tehnice ale proiectului de decizie a comitetului mixt fără a mai fi necesară o nouă decizie a Consiliului.</w:t>
      </w:r>
    </w:p>
    <w:p w:rsidR="001A6D45" w:rsidRPr="00A93E2C" w:rsidRDefault="001A6D45" w:rsidP="001A6D45">
      <w:pPr>
        <w:pStyle w:val="Titrearticle"/>
        <w:keepNext w:val="0"/>
        <w:rPr>
          <w:noProof/>
        </w:rPr>
      </w:pPr>
      <w:r w:rsidRPr="00A93E2C">
        <w:rPr>
          <w:noProof/>
        </w:rPr>
        <w:t>Articolul 2</w:t>
      </w:r>
    </w:p>
    <w:p w:rsidR="001A6D45" w:rsidRPr="00A1183B" w:rsidRDefault="001A6D45" w:rsidP="001A6D45">
      <w:pPr>
        <w:keepLines/>
        <w:rPr>
          <w:noProof/>
        </w:rPr>
      </w:pPr>
      <w:r w:rsidRPr="00A1183B">
        <w:rPr>
          <w:noProof/>
        </w:rPr>
        <w:t xml:space="preserve">Decizia comitetului mixt se publică în </w:t>
      </w:r>
      <w:r w:rsidRPr="00A93E2C">
        <w:rPr>
          <w:i/>
          <w:noProof/>
        </w:rPr>
        <w:t>Jurnalul Oficial al Uniunii Europene</w:t>
      </w:r>
      <w:r w:rsidRPr="00A1183B">
        <w:rPr>
          <w:noProof/>
        </w:rPr>
        <w:t>.</w:t>
      </w:r>
    </w:p>
    <w:p w:rsidR="001A6D45" w:rsidRPr="00A93E2C" w:rsidRDefault="001A6D45" w:rsidP="001A6D45">
      <w:pPr>
        <w:pStyle w:val="Titrearticle"/>
        <w:keepNext w:val="0"/>
        <w:rPr>
          <w:noProof/>
        </w:rPr>
      </w:pPr>
      <w:r w:rsidRPr="00A93E2C">
        <w:rPr>
          <w:noProof/>
        </w:rPr>
        <w:t>Articolul 3</w:t>
      </w:r>
    </w:p>
    <w:p w:rsidR="001A6D45" w:rsidRPr="00A1183B" w:rsidRDefault="001A6D45" w:rsidP="001A6D45">
      <w:pPr>
        <w:rPr>
          <w:noProof/>
        </w:rPr>
      </w:pPr>
      <w:r w:rsidRPr="00A1183B">
        <w:rPr>
          <w:noProof/>
        </w:rPr>
        <w:t>Prezenta decizie intră în vigoare la data adoptării.</w:t>
      </w:r>
    </w:p>
    <w:p w:rsidR="001A6D45" w:rsidRPr="00A1183B" w:rsidRDefault="001A6D45" w:rsidP="001A6D45">
      <w:pPr>
        <w:keepNext/>
        <w:keepLines/>
        <w:rPr>
          <w:noProof/>
        </w:rPr>
      </w:pPr>
      <w:r w:rsidRPr="00A1183B">
        <w:rPr>
          <w:noProof/>
        </w:rPr>
        <w:t>Prezenta decizie se adresează Comisiei.</w:t>
      </w:r>
    </w:p>
    <w:p w:rsidR="001A6D45" w:rsidRPr="00A1183B" w:rsidRDefault="008C29E0" w:rsidP="00973C46">
      <w:pPr>
        <w:pStyle w:val="Fait"/>
        <w:rPr>
          <w:noProof/>
        </w:rPr>
      </w:pPr>
      <w:r>
        <w:rPr>
          <w:noProof/>
        </w:rPr>
        <w:t>Adoptată la Bruxelles,</w:t>
      </w:r>
    </w:p>
    <w:p w:rsidR="001A6D45" w:rsidRPr="00A93E2C" w:rsidRDefault="001A6D45" w:rsidP="00973C46">
      <w:pPr>
        <w:pStyle w:val="Institutionquisigne"/>
        <w:rPr>
          <w:noProof/>
        </w:rPr>
      </w:pPr>
      <w:r w:rsidRPr="00A93E2C">
        <w:rPr>
          <w:noProof/>
        </w:rPr>
        <w:tab/>
        <w:t>Pentru Consiliu</w:t>
      </w:r>
    </w:p>
    <w:p w:rsidR="009F0167" w:rsidRPr="00A93E2C" w:rsidRDefault="009F0167" w:rsidP="009F0167">
      <w:pPr>
        <w:pStyle w:val="Personnequisigne"/>
        <w:rPr>
          <w:noProof/>
        </w:rPr>
      </w:pPr>
      <w:r w:rsidRPr="00A93E2C">
        <w:rPr>
          <w:noProof/>
        </w:rPr>
        <w:tab/>
        <w:t xml:space="preserve">Președintele </w:t>
      </w:r>
    </w:p>
    <w:sectPr w:rsidR="009F0167" w:rsidRPr="00A93E2C" w:rsidSect="00D266F6">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117C" w:rsidRDefault="004B117C" w:rsidP="004B117C">
      <w:pPr>
        <w:spacing w:before="0" w:after="0"/>
      </w:pPr>
      <w:r>
        <w:separator/>
      </w:r>
    </w:p>
  </w:endnote>
  <w:endnote w:type="continuationSeparator" w:id="0">
    <w:p w:rsidR="004B117C" w:rsidRDefault="004B117C" w:rsidP="004B117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6F6" w:rsidRPr="00D266F6" w:rsidRDefault="00D266F6" w:rsidP="00D266F6">
    <w:pPr>
      <w:pStyle w:val="Footer"/>
      <w:rPr>
        <w:rFonts w:ascii="Arial" w:hAnsi="Arial" w:cs="Arial"/>
        <w:b/>
        <w:sz w:val="48"/>
      </w:rPr>
    </w:pPr>
    <w:r w:rsidRPr="00D266F6">
      <w:rPr>
        <w:rFonts w:ascii="Arial" w:hAnsi="Arial" w:cs="Arial"/>
        <w:b/>
        <w:sz w:val="48"/>
      </w:rPr>
      <w:t>RO</w:t>
    </w:r>
    <w:r w:rsidRPr="00D266F6">
      <w:rPr>
        <w:rFonts w:ascii="Arial" w:hAnsi="Arial" w:cs="Arial"/>
        <w:b/>
        <w:sz w:val="48"/>
      </w:rPr>
      <w:tab/>
    </w:r>
    <w:r w:rsidRPr="00D266F6">
      <w:rPr>
        <w:rFonts w:ascii="Arial" w:hAnsi="Arial" w:cs="Arial"/>
        <w:b/>
        <w:sz w:val="48"/>
      </w:rPr>
      <w:tab/>
    </w:r>
    <w:r w:rsidRPr="00D266F6">
      <w:tab/>
    </w:r>
    <w:r w:rsidRPr="00D266F6">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6F6" w:rsidRPr="00D266F6" w:rsidRDefault="00D266F6" w:rsidP="00D266F6">
    <w:pPr>
      <w:pStyle w:val="Footer"/>
      <w:rPr>
        <w:rFonts w:ascii="Arial" w:hAnsi="Arial" w:cs="Arial"/>
        <w:b/>
        <w:sz w:val="48"/>
      </w:rPr>
    </w:pPr>
    <w:r w:rsidRPr="00D266F6">
      <w:rPr>
        <w:rFonts w:ascii="Arial" w:hAnsi="Arial" w:cs="Arial"/>
        <w:b/>
        <w:sz w:val="48"/>
      </w:rPr>
      <w:t>RO</w:t>
    </w:r>
    <w:r w:rsidRPr="00D266F6">
      <w:rPr>
        <w:rFonts w:ascii="Arial" w:hAnsi="Arial" w:cs="Arial"/>
        <w:b/>
        <w:sz w:val="48"/>
      </w:rPr>
      <w:tab/>
    </w:r>
    <w:r w:rsidRPr="00D266F6">
      <w:rPr>
        <w:rFonts w:ascii="Arial" w:hAnsi="Arial" w:cs="Arial"/>
        <w:b/>
        <w:sz w:val="48"/>
      </w:rPr>
      <w:tab/>
    </w:r>
    <w:r w:rsidRPr="00D266F6">
      <w:tab/>
    </w:r>
    <w:r w:rsidRPr="00D266F6">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6F6" w:rsidRDefault="00D266F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6F6" w:rsidRPr="00D266F6" w:rsidRDefault="00D266F6" w:rsidP="00D266F6">
    <w:pPr>
      <w:pStyle w:val="Footer"/>
      <w:rPr>
        <w:rFonts w:ascii="Arial" w:hAnsi="Arial" w:cs="Arial"/>
        <w:b/>
        <w:sz w:val="48"/>
      </w:rPr>
    </w:pPr>
    <w:r w:rsidRPr="00D266F6">
      <w:rPr>
        <w:rFonts w:ascii="Arial" w:hAnsi="Arial" w:cs="Arial"/>
        <w:b/>
        <w:sz w:val="48"/>
      </w:rPr>
      <w:t>RO</w:t>
    </w:r>
    <w:r w:rsidRPr="00D266F6">
      <w:rPr>
        <w:rFonts w:ascii="Arial" w:hAnsi="Arial" w:cs="Arial"/>
        <w:b/>
        <w:sz w:val="48"/>
      </w:rPr>
      <w:tab/>
    </w:r>
    <w:r>
      <w:fldChar w:fldCharType="begin"/>
    </w:r>
    <w:r>
      <w:instrText xml:space="preserve"> PAGE  \* MERGEFORMAT </w:instrText>
    </w:r>
    <w:r>
      <w:fldChar w:fldCharType="separate"/>
    </w:r>
    <w:r w:rsidR="00973C46">
      <w:rPr>
        <w:noProof/>
      </w:rPr>
      <w:t>4</w:t>
    </w:r>
    <w:r>
      <w:fldChar w:fldCharType="end"/>
    </w:r>
    <w:r>
      <w:tab/>
    </w:r>
    <w:r w:rsidRPr="00D266F6">
      <w:tab/>
    </w:r>
    <w:r w:rsidRPr="00D266F6">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6F6" w:rsidRDefault="00D266F6" w:rsidP="00D266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117C" w:rsidRDefault="004B117C" w:rsidP="004B117C">
      <w:pPr>
        <w:spacing w:before="0" w:after="0"/>
      </w:pPr>
      <w:r>
        <w:separator/>
      </w:r>
    </w:p>
  </w:footnote>
  <w:footnote w:type="continuationSeparator" w:id="0">
    <w:p w:rsidR="004B117C" w:rsidRDefault="004B117C" w:rsidP="004B117C">
      <w:pPr>
        <w:spacing w:before="0" w:after="0"/>
      </w:pPr>
      <w:r>
        <w:continuationSeparator/>
      </w:r>
    </w:p>
  </w:footnote>
  <w:footnote w:id="1">
    <w:p w:rsidR="001A6D45" w:rsidRPr="00312312" w:rsidRDefault="001A6D45" w:rsidP="001A6D45">
      <w:pPr>
        <w:pStyle w:val="FootnoteText"/>
      </w:pPr>
      <w:r>
        <w:rPr>
          <w:rStyle w:val="FootnoteReference"/>
        </w:rPr>
        <w:footnoteRef/>
      </w:r>
      <w:r>
        <w:tab/>
        <w:t xml:space="preserve">JO L </w:t>
      </w:r>
      <w:r w:rsidRPr="00A93E2C">
        <w:t>332</w:t>
      </w:r>
      <w:r>
        <w:t xml:space="preserve">, </w:t>
      </w:r>
      <w:r w:rsidRPr="00A93E2C">
        <w:t>19</w:t>
      </w:r>
      <w:r>
        <w:t>.</w:t>
      </w:r>
      <w:r w:rsidRPr="00A93E2C">
        <w:t>12</w:t>
      </w:r>
      <w:r>
        <w:t>.</w:t>
      </w:r>
      <w:r w:rsidRPr="00A93E2C">
        <w:t>2003</w:t>
      </w:r>
      <w:r>
        <w:t xml:space="preserve">, p. </w:t>
      </w:r>
      <w:r w:rsidRPr="00A93E2C">
        <w:t>42</w:t>
      </w:r>
      <w:r>
        <w:t>.</w:t>
      </w:r>
    </w:p>
  </w:footnote>
  <w:footnote w:id="2">
    <w:p w:rsidR="001A6D45" w:rsidRPr="00312312" w:rsidRDefault="001A6D45" w:rsidP="001A6D45">
      <w:pPr>
        <w:pStyle w:val="FootnoteText"/>
      </w:pPr>
      <w:r>
        <w:rPr>
          <w:rStyle w:val="FootnoteReference"/>
        </w:rPr>
        <w:footnoteRef/>
      </w:r>
      <w:r>
        <w:tab/>
        <w:t xml:space="preserve">JO L </w:t>
      </w:r>
      <w:r w:rsidRPr="00A93E2C">
        <w:t>245</w:t>
      </w:r>
      <w:r>
        <w:t xml:space="preserve">, </w:t>
      </w:r>
      <w:r w:rsidRPr="00A93E2C">
        <w:t>14</w:t>
      </w:r>
      <w:r>
        <w:t>.</w:t>
      </w:r>
      <w:r w:rsidRPr="00A93E2C">
        <w:t>9</w:t>
      </w:r>
      <w:r>
        <w:t>.</w:t>
      </w:r>
      <w:r w:rsidRPr="00A93E2C">
        <w:t>2013</w:t>
      </w:r>
      <w:r>
        <w:t xml:space="preserve">, p. </w:t>
      </w:r>
      <w:r w:rsidRPr="00A93E2C">
        <w:t>14</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6F6" w:rsidRDefault="00D266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6F6" w:rsidRDefault="00D266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9006C1D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947A9B5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21E0E242"/>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F162053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startOverride w:val="1"/>
    </w:lvlOverride>
  </w:num>
  <w:num w:numId="3">
    <w:abstractNumId w:val="3"/>
  </w:num>
  <w:num w:numId="4">
    <w:abstractNumId w:val="2"/>
  </w:num>
  <w:num w:numId="5">
    <w:abstractNumId w:val="1"/>
  </w:num>
  <w:num w:numId="6">
    <w:abstractNumId w:val="0"/>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 w:numId="22">
    <w:abstractNumId w:val="15"/>
  </w:num>
  <w:num w:numId="23">
    <w:abstractNumId w:val="8"/>
  </w:num>
  <w:num w:numId="24">
    <w:abstractNumId w:val="17"/>
  </w:num>
  <w:num w:numId="25">
    <w:abstractNumId w:val="7"/>
  </w:num>
  <w:num w:numId="26">
    <w:abstractNumId w:val="9"/>
  </w:num>
  <w:num w:numId="27">
    <w:abstractNumId w:val="10"/>
  </w:num>
  <w:num w:numId="28">
    <w:abstractNumId w:val="5"/>
  </w:num>
  <w:num w:numId="29">
    <w:abstractNumId w:val="16"/>
  </w:num>
  <w:num w:numId="30">
    <w:abstractNumId w:val="4"/>
  </w:num>
  <w:num w:numId="31">
    <w:abstractNumId w:val="11"/>
  </w:num>
  <w:num w:numId="32">
    <w:abstractNumId w:val="13"/>
  </w:num>
  <w:num w:numId="33">
    <w:abstractNumId w:val="14"/>
  </w:num>
  <w:num w:numId="34">
    <w:abstractNumId w:val="6"/>
  </w:num>
  <w:num w:numId="35">
    <w:abstractNumId w:val="12"/>
  </w:num>
  <w:num w:numId="36">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5-20 10:50:0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62EC3320-F007-49C4-9350-885820769754"/>
    <w:docVar w:name="LW_COVERPAGE_TYPE" w:val="1"/>
    <w:docVar w:name="LW_CreatedUtc" w:val="2026-02-11T08:52:25.6617636Z"/>
    <w:docVar w:name="LW_CROSSREFERENCE" w:val="&lt;UNUSED&gt;"/>
    <w:docVar w:name="LW_DocType" w:val="COM"/>
    <w:docVar w:name="LW_EMISSION" w:val="28.5.2026"/>
    <w:docVar w:name="LW_EMISSION_ISODATE" w:val="2026-05-28"/>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28"/>
    <w:docVar w:name="LW_REF.II.NEW.CP_YEAR" w:val="2026"/>
    <w:docVar w:name="LW_REF.INST.NEW" w:val="COM"/>
    <w:docVar w:name="LW_REF.INST.NEW_ADOPTED" w:val="final"/>
    <w:docVar w:name="LW_REF.INST.NEW_TEXT" w:val="(2026) 25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ozi\u539?ia care urmeaz\u259? s\u259? fie luat\u259? în numele Uniunii Europene în cadrul comitetului mixt instituit prin Acordul dintre Comunitatea European\u259? \u537?i Principatul Monaco privind aplicarea anumitor acte comunitare pe teritoriul Principatului Monaco"/>
    <w:docVar w:name="LW_TYPE.DOC.CP" w:val="DECIZIE A CONSILIULUI"/>
    <w:docVar w:name="LwApiVersions" w:val="LW4CoDe 1.24.5.0; LW 9.2, Build 20251112"/>
  </w:docVars>
  <w:rsids>
    <w:rsidRoot w:val="004B117C"/>
    <w:rsid w:val="00010904"/>
    <w:rsid w:val="00034239"/>
    <w:rsid w:val="00034D41"/>
    <w:rsid w:val="000539E3"/>
    <w:rsid w:val="00057079"/>
    <w:rsid w:val="00065366"/>
    <w:rsid w:val="00081A0C"/>
    <w:rsid w:val="000B38E9"/>
    <w:rsid w:val="001065F5"/>
    <w:rsid w:val="001212DA"/>
    <w:rsid w:val="001238EF"/>
    <w:rsid w:val="00197613"/>
    <w:rsid w:val="001A6D45"/>
    <w:rsid w:val="001D72A0"/>
    <w:rsid w:val="00211EAB"/>
    <w:rsid w:val="00232480"/>
    <w:rsid w:val="00233DC7"/>
    <w:rsid w:val="00247779"/>
    <w:rsid w:val="002537EA"/>
    <w:rsid w:val="002853CF"/>
    <w:rsid w:val="00285BEE"/>
    <w:rsid w:val="00294EE9"/>
    <w:rsid w:val="0029533F"/>
    <w:rsid w:val="002B24A5"/>
    <w:rsid w:val="002B30AF"/>
    <w:rsid w:val="00301150"/>
    <w:rsid w:val="0033344A"/>
    <w:rsid w:val="00336F0F"/>
    <w:rsid w:val="003C5E39"/>
    <w:rsid w:val="003E0F1A"/>
    <w:rsid w:val="0042648E"/>
    <w:rsid w:val="004532B5"/>
    <w:rsid w:val="00470470"/>
    <w:rsid w:val="00482903"/>
    <w:rsid w:val="004936D2"/>
    <w:rsid w:val="00497E76"/>
    <w:rsid w:val="004A4275"/>
    <w:rsid w:val="004B117C"/>
    <w:rsid w:val="004F3B26"/>
    <w:rsid w:val="004F7B20"/>
    <w:rsid w:val="0056633A"/>
    <w:rsid w:val="00572713"/>
    <w:rsid w:val="005B1EB6"/>
    <w:rsid w:val="005D1F90"/>
    <w:rsid w:val="00605F5A"/>
    <w:rsid w:val="00616D17"/>
    <w:rsid w:val="006E7922"/>
    <w:rsid w:val="00773331"/>
    <w:rsid w:val="007932EF"/>
    <w:rsid w:val="007E05B0"/>
    <w:rsid w:val="00863F22"/>
    <w:rsid w:val="00874D22"/>
    <w:rsid w:val="00891BC3"/>
    <w:rsid w:val="008A2914"/>
    <w:rsid w:val="008C29E0"/>
    <w:rsid w:val="008D58C3"/>
    <w:rsid w:val="008D6247"/>
    <w:rsid w:val="008E4D8E"/>
    <w:rsid w:val="008F64E9"/>
    <w:rsid w:val="00935367"/>
    <w:rsid w:val="009633FD"/>
    <w:rsid w:val="00973C46"/>
    <w:rsid w:val="009F0167"/>
    <w:rsid w:val="00A1183B"/>
    <w:rsid w:val="00A313DF"/>
    <w:rsid w:val="00A93E2C"/>
    <w:rsid w:val="00B12A40"/>
    <w:rsid w:val="00B12C11"/>
    <w:rsid w:val="00BB7B78"/>
    <w:rsid w:val="00BD58D7"/>
    <w:rsid w:val="00BE4AAC"/>
    <w:rsid w:val="00C12301"/>
    <w:rsid w:val="00C33B7F"/>
    <w:rsid w:val="00CA6F98"/>
    <w:rsid w:val="00D06A30"/>
    <w:rsid w:val="00D20381"/>
    <w:rsid w:val="00D266F6"/>
    <w:rsid w:val="00D369C3"/>
    <w:rsid w:val="00D372A8"/>
    <w:rsid w:val="00D40780"/>
    <w:rsid w:val="00D45406"/>
    <w:rsid w:val="00D67EE2"/>
    <w:rsid w:val="00E24BD9"/>
    <w:rsid w:val="00E30872"/>
    <w:rsid w:val="00E664ED"/>
    <w:rsid w:val="00EC7764"/>
    <w:rsid w:val="00EE49A1"/>
    <w:rsid w:val="00F01671"/>
    <w:rsid w:val="00F15936"/>
    <w:rsid w:val="00F376CA"/>
    <w:rsid w:val="00F82C25"/>
    <w:rsid w:val="00F82EC9"/>
    <w:rsid w:val="00FC38F8"/>
    <w:rsid w:val="00FC4812"/>
    <w:rsid w:val="00FF42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5:docId w15:val="{058790F3-9D77-4918-B071-847B64155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A6D45"/>
    <w:rPr>
      <w:sz w:val="16"/>
      <w:szCs w:val="16"/>
    </w:rPr>
  </w:style>
  <w:style w:type="paragraph" w:styleId="CommentText">
    <w:name w:val="annotation text"/>
    <w:basedOn w:val="Normal"/>
    <w:link w:val="CommentTextChar"/>
    <w:uiPriority w:val="99"/>
    <w:unhideWhenUsed/>
    <w:rsid w:val="001A6D45"/>
    <w:pPr>
      <w:spacing w:before="0" w:after="0"/>
      <w:jc w:val="left"/>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1A6D45"/>
    <w:rPr>
      <w:sz w:val="20"/>
      <w:szCs w:val="20"/>
      <w:lang w:val="ro-RO"/>
    </w:rPr>
  </w:style>
  <w:style w:type="paragraph" w:styleId="CommentSubject">
    <w:name w:val="annotation subject"/>
    <w:basedOn w:val="CommentText"/>
    <w:next w:val="CommentText"/>
    <w:link w:val="CommentSubjectChar"/>
    <w:uiPriority w:val="99"/>
    <w:semiHidden/>
    <w:unhideWhenUsed/>
    <w:rsid w:val="009F0167"/>
    <w:pPr>
      <w:spacing w:before="120" w:after="120"/>
      <w:jc w:val="both"/>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sid w:val="009F0167"/>
    <w:rPr>
      <w:rFonts w:ascii="Times New Roman" w:hAnsi="Times New Roman" w:cs="Times New Roman"/>
      <w:b/>
      <w:bCs/>
      <w:sz w:val="20"/>
      <w:szCs w:val="20"/>
      <w:lang w:val="ro-RO"/>
    </w:rPr>
  </w:style>
  <w:style w:type="character" w:styleId="Hyperlink">
    <w:name w:val="Hyperlink"/>
    <w:basedOn w:val="DefaultParagraphFont"/>
    <w:uiPriority w:val="99"/>
    <w:unhideWhenUsed/>
    <w:rsid w:val="009F0167"/>
    <w:rPr>
      <w:color w:val="0000FF" w:themeColor="hyperlink"/>
      <w:u w:val="single"/>
    </w:rPr>
  </w:style>
  <w:style w:type="character" w:customStyle="1" w:styleId="UnresolvedMention">
    <w:name w:val="Unresolved Mention"/>
    <w:basedOn w:val="DefaultParagraphFont"/>
    <w:uiPriority w:val="99"/>
    <w:semiHidden/>
    <w:unhideWhenUsed/>
    <w:rsid w:val="009F0167"/>
    <w:rPr>
      <w:color w:val="605E5C"/>
      <w:shd w:val="clear" w:color="auto" w:fill="E1DFDD"/>
    </w:rPr>
  </w:style>
  <w:style w:type="paragraph" w:styleId="ListBullet">
    <w:name w:val="List Bullet"/>
    <w:basedOn w:val="Normal"/>
    <w:uiPriority w:val="99"/>
    <w:semiHidden/>
    <w:unhideWhenUsed/>
    <w:rsid w:val="008D6247"/>
    <w:pPr>
      <w:numPr>
        <w:numId w:val="3"/>
      </w:numPr>
      <w:contextualSpacing/>
    </w:pPr>
  </w:style>
  <w:style w:type="paragraph" w:styleId="ListBullet2">
    <w:name w:val="List Bullet 2"/>
    <w:basedOn w:val="Normal"/>
    <w:uiPriority w:val="99"/>
    <w:semiHidden/>
    <w:unhideWhenUsed/>
    <w:rsid w:val="008D6247"/>
    <w:pPr>
      <w:numPr>
        <w:numId w:val="4"/>
      </w:numPr>
      <w:contextualSpacing/>
    </w:pPr>
  </w:style>
  <w:style w:type="paragraph" w:styleId="ListBullet3">
    <w:name w:val="List Bullet 3"/>
    <w:basedOn w:val="Normal"/>
    <w:uiPriority w:val="99"/>
    <w:semiHidden/>
    <w:unhideWhenUsed/>
    <w:rsid w:val="008D6247"/>
    <w:pPr>
      <w:numPr>
        <w:numId w:val="5"/>
      </w:numPr>
      <w:contextualSpacing/>
    </w:pPr>
  </w:style>
  <w:style w:type="paragraph" w:styleId="ListBullet4">
    <w:name w:val="List Bullet 4"/>
    <w:basedOn w:val="Normal"/>
    <w:uiPriority w:val="99"/>
    <w:semiHidden/>
    <w:unhideWhenUsed/>
    <w:rsid w:val="008D6247"/>
    <w:pPr>
      <w:numPr>
        <w:numId w:val="6"/>
      </w:numPr>
      <w:contextualSpacing/>
    </w:pPr>
  </w:style>
  <w:style w:type="paragraph" w:styleId="Revision">
    <w:name w:val="Revision"/>
    <w:hidden/>
    <w:uiPriority w:val="99"/>
    <w:semiHidden/>
    <w:rsid w:val="008D6247"/>
    <w:pPr>
      <w:spacing w:after="0" w:line="240" w:lineRule="auto"/>
    </w:pPr>
    <w:rPr>
      <w:rFonts w:ascii="Times New Roman" w:hAnsi="Times New Roman" w:cs="Times New Roman"/>
      <w:sz w:val="24"/>
    </w:rPr>
  </w:style>
  <w:style w:type="character" w:customStyle="1" w:styleId="HeaderChar">
    <w:name w:val="Header Char"/>
    <w:basedOn w:val="DefaultParagraphFont"/>
    <w:link w:val="Header"/>
    <w:uiPriority w:val="99"/>
    <w:rsid w:val="00D266F6"/>
    <w:rPr>
      <w:rFonts w:ascii="Times New Roman" w:hAnsi="Times New Roman" w:cs="Times New Roman"/>
      <w:sz w:val="24"/>
      <w:lang w:val="ro-RO"/>
    </w:rPr>
  </w:style>
  <w:style w:type="character" w:customStyle="1" w:styleId="FooterChar">
    <w:name w:val="Footer Char"/>
    <w:basedOn w:val="DefaultParagraphFont"/>
    <w:link w:val="Footer"/>
    <w:uiPriority w:val="99"/>
    <w:rsid w:val="00D266F6"/>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D266F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266F6"/>
    <w:pPr>
      <w:spacing w:before="0"/>
      <w:jc w:val="right"/>
    </w:pPr>
    <w:rPr>
      <w:sz w:val="28"/>
    </w:rPr>
  </w:style>
  <w:style w:type="paragraph" w:customStyle="1" w:styleId="FooterSensitivity">
    <w:name w:val="Footer Sensitivity"/>
    <w:basedOn w:val="Normal"/>
    <w:rsid w:val="00D266F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D266F6"/>
    <w:pPr>
      <w:tabs>
        <w:tab w:val="center" w:pos="4535"/>
        <w:tab w:val="right" w:pos="9071"/>
      </w:tabs>
      <w:spacing w:before="0"/>
    </w:pPr>
  </w:style>
  <w:style w:type="paragraph" w:customStyle="1" w:styleId="HeaderLandscape">
    <w:name w:val="HeaderLandscape"/>
    <w:basedOn w:val="Normal"/>
    <w:rsid w:val="00D266F6"/>
    <w:pPr>
      <w:tabs>
        <w:tab w:val="center" w:pos="7285"/>
        <w:tab w:val="right" w:pos="14003"/>
      </w:tabs>
      <w:spacing w:before="0"/>
    </w:pPr>
  </w:style>
  <w:style w:type="paragraph" w:styleId="Footer">
    <w:name w:val="footer"/>
    <w:basedOn w:val="Normal"/>
    <w:link w:val="FooterChar"/>
    <w:uiPriority w:val="99"/>
    <w:unhideWhenUsed/>
    <w:rsid w:val="00D266F6"/>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D266F6"/>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56F46A-392A-404F-871B-9A2D77A47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13</TotalTime>
  <Pages>5</Pages>
  <Words>1150</Words>
  <Characters>6557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27</cp:revision>
  <dcterms:created xsi:type="dcterms:W3CDTF">2026-04-13T08:30:00Z</dcterms:created>
  <dcterms:modified xsi:type="dcterms:W3CDTF">2026-05-20T08:50:00Z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2026-02-11T08:53:32Z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ad6f7031-bfe9-41cc-8e08-d47cc285953e</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