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2.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17C03" w:rsidRPr="00185983" w:rsidRDefault="005F0C46" w:rsidP="005F0C46">
      <w:pPr>
        <w:pStyle w:val="Pagedecouverture"/>
        <w:rPr>
          <w:noProof/>
        </w:rP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1" type="#_x0000_t75" alt="6353DD71-4619-4DB7-9A95-A30B6C6FF05B" style="width:455.25pt;height:371.25pt">
            <v:imagedata r:id="rId11" o:title=""/>
          </v:shape>
        </w:pict>
      </w:r>
    </w:p>
    <w:p w:rsidR="00717C03" w:rsidRPr="00185983" w:rsidRDefault="00717C03" w:rsidP="00717C03">
      <w:pPr>
        <w:rPr>
          <w:noProof/>
        </w:rPr>
        <w:sectPr w:rsidR="00717C03" w:rsidRPr="00185983" w:rsidSect="005F0C46">
          <w:footerReference w:type="even" r:id="rId12"/>
          <w:footerReference w:type="default" r:id="rId13"/>
          <w:pgSz w:w="11907" w:h="16839"/>
          <w:pgMar w:top="1134" w:right="1417" w:bottom="1134" w:left="1417" w:header="709" w:footer="709" w:gutter="0"/>
          <w:pgNumType w:start="0"/>
          <w:cols w:space="720"/>
          <w:docGrid w:linePitch="360"/>
        </w:sectPr>
      </w:pPr>
    </w:p>
    <w:p w:rsidR="00717C03" w:rsidRPr="00185983" w:rsidRDefault="00717C03" w:rsidP="00C92807">
      <w:pPr>
        <w:pStyle w:val="Exposdesmotifstitre"/>
        <w:rPr>
          <w:noProof/>
        </w:rPr>
      </w:pPr>
      <w:bookmarkStart w:id="0" w:name="_GoBack"/>
      <w:bookmarkEnd w:id="0"/>
      <w:r w:rsidRPr="00185983">
        <w:rPr>
          <w:noProof/>
        </w:rPr>
        <w:lastRenderedPageBreak/>
        <w:t>EXPUNERE DE MOTIVE</w:t>
      </w:r>
    </w:p>
    <w:p w:rsidR="00717C03" w:rsidRPr="00185983" w:rsidRDefault="00717C03" w:rsidP="00C05228">
      <w:pPr>
        <w:pStyle w:val="ManualHeading1"/>
        <w:rPr>
          <w:rFonts w:eastAsia="Arial Unicode MS"/>
          <w:noProof/>
        </w:rPr>
      </w:pPr>
      <w:r>
        <w:rPr>
          <w:noProof/>
        </w:rPr>
        <w:t>1.</w:t>
      </w:r>
      <w:r>
        <w:rPr>
          <w:noProof/>
        </w:rPr>
        <w:tab/>
      </w:r>
      <w:r w:rsidRPr="00185983">
        <w:rPr>
          <w:noProof/>
        </w:rPr>
        <w:t>Obiectul propunerii</w:t>
      </w:r>
    </w:p>
    <w:p w:rsidR="00717C03" w:rsidRPr="00185983" w:rsidRDefault="002C193B" w:rsidP="00C92807">
      <w:pPr>
        <w:rPr>
          <w:rFonts w:eastAsia="Arial Unicode MS"/>
          <w:noProof/>
        </w:rPr>
      </w:pPr>
      <w:r w:rsidRPr="00185983">
        <w:rPr>
          <w:noProof/>
        </w:rPr>
        <w:t>Prezenta propunere vizează decizia de stabilire a poziției care trebuie adoptată în numele Uniunii în cadrul Consiliului membrilor Consiliului Oleicol Internațional („IOC”) în ceea ce privește adoptarea preconizată, în cadrul următoarei sale sesiuni ordinare, din iunie 2026, a două decizii: „Pahar pentru degustarea uleiurilor” și „Ghid pentru instalarea unei săli de degustare”, ambele referitoare la metoda evaluării organoleptice a uleiului de măsline virgin.</w:t>
      </w:r>
    </w:p>
    <w:p w:rsidR="00717C03" w:rsidRPr="00185983" w:rsidRDefault="00717C03" w:rsidP="00C92807">
      <w:pPr>
        <w:pStyle w:val="ManualHeading1"/>
        <w:rPr>
          <w:noProof/>
        </w:rPr>
      </w:pPr>
      <w:r>
        <w:rPr>
          <w:noProof/>
        </w:rPr>
        <w:t>2.</w:t>
      </w:r>
      <w:r>
        <w:rPr>
          <w:noProof/>
        </w:rPr>
        <w:tab/>
      </w:r>
      <w:r w:rsidRPr="00185983">
        <w:rPr>
          <w:noProof/>
        </w:rPr>
        <w:t>Contextul propunerii</w:t>
      </w:r>
    </w:p>
    <w:p w:rsidR="00717C03" w:rsidRPr="00185983" w:rsidRDefault="00717C03" w:rsidP="00C33A39">
      <w:pPr>
        <w:pStyle w:val="ManualHeading2"/>
        <w:rPr>
          <w:noProof/>
        </w:rPr>
      </w:pPr>
      <w:r>
        <w:rPr>
          <w:noProof/>
        </w:rPr>
        <w:t>2.1.</w:t>
      </w:r>
      <w:r>
        <w:rPr>
          <w:noProof/>
        </w:rPr>
        <w:tab/>
      </w:r>
      <w:r w:rsidRPr="00185983">
        <w:rPr>
          <w:noProof/>
        </w:rPr>
        <w:t>Acordul internațional din 2015 cu privire la uleiul de măsline și măslinele de masă</w:t>
      </w:r>
    </w:p>
    <w:p w:rsidR="002C193B" w:rsidRPr="00185983" w:rsidRDefault="002C193B" w:rsidP="002C193B">
      <w:pPr>
        <w:rPr>
          <w:rFonts w:eastAsia="Arial Unicode MS"/>
          <w:noProof/>
        </w:rPr>
      </w:pPr>
      <w:r w:rsidRPr="00185983">
        <w:rPr>
          <w:noProof/>
        </w:rPr>
        <w:t>Acordul internațional din 2015 cu privire la uleiul de măsline și măslinele de masă („acordul”) vizează (i) luarea de măsuri în vederea uniformizării legislațiilor naționale și internaționale privind caracteristicile fizico-chimice și organoleptice ale uleiurilor de măsline, ale uleiurilor din resturi de măsline și ale măslinelor de masă, cu scopul de a elimina orice obstacole din calea schimburilor comerciale, (ii) desfășurarea de activități în materie de analiză fizico-chimică și organoleptică pentru a îmbunătăți cunoașterea caracteristicilor referitoare la compoziția și la calitatea produselor oleicole, cu scopul de a reuni norme internaționale și (iii) consolidarea rolului Consiliului Oleicol Internațional în calitate de forum de excelență pentru comunitatea științifică internațională în sectorul măslinelor și uleiului de măsline.</w:t>
      </w:r>
    </w:p>
    <w:p w:rsidR="002C193B" w:rsidRPr="00185983" w:rsidRDefault="002C193B" w:rsidP="002C193B">
      <w:pPr>
        <w:rPr>
          <w:rFonts w:eastAsia="Arial Unicode MS"/>
          <w:noProof/>
        </w:rPr>
      </w:pPr>
      <w:r w:rsidRPr="00185983">
        <w:rPr>
          <w:noProof/>
        </w:rPr>
        <w:t>Versiunea reînnoită a acordului a intrat în vigoare la 1 ianuarie 2017.</w:t>
      </w:r>
    </w:p>
    <w:p w:rsidR="00717C03" w:rsidRPr="00185983" w:rsidRDefault="002C193B" w:rsidP="00C33A39">
      <w:pPr>
        <w:rPr>
          <w:rFonts w:eastAsia="Arial Unicode MS"/>
          <w:noProof/>
        </w:rPr>
      </w:pPr>
      <w:r w:rsidRPr="00185983">
        <w:rPr>
          <w:noProof/>
        </w:rPr>
        <w:t>Uniunea Europeană este parte la acord</w:t>
      </w:r>
      <w:r w:rsidRPr="00185983">
        <w:rPr>
          <w:rStyle w:val="FootnoteReference"/>
          <w:noProof/>
        </w:rPr>
        <w:footnoteReference w:id="2"/>
      </w:r>
      <w:r w:rsidRPr="00185983">
        <w:rPr>
          <w:noProof/>
        </w:rPr>
        <w:t>.</w:t>
      </w:r>
    </w:p>
    <w:p w:rsidR="00717C03" w:rsidRPr="00185983" w:rsidRDefault="00717C03" w:rsidP="00C33A39">
      <w:pPr>
        <w:pStyle w:val="ManualHeading2"/>
        <w:rPr>
          <w:noProof/>
        </w:rPr>
      </w:pPr>
      <w:r>
        <w:rPr>
          <w:noProof/>
        </w:rPr>
        <w:t>2.2.</w:t>
      </w:r>
      <w:r>
        <w:rPr>
          <w:noProof/>
        </w:rPr>
        <w:tab/>
      </w:r>
      <w:r w:rsidRPr="00185983">
        <w:rPr>
          <w:noProof/>
        </w:rPr>
        <w:t>Consiliul membrilor</w:t>
      </w:r>
    </w:p>
    <w:p w:rsidR="002C193B" w:rsidRPr="00185983" w:rsidRDefault="002C193B" w:rsidP="002C193B">
      <w:pPr>
        <w:rPr>
          <w:noProof/>
        </w:rPr>
      </w:pPr>
      <w:r w:rsidRPr="00185983">
        <w:rPr>
          <w:noProof/>
        </w:rPr>
        <w:t>Consiliul membrilor Consiliului Oleicol Internațional („Consiliul membrilor”) este autoritatea supremă și organul decizional al IOC și exercită toate competențele și îndeplinește toate funcțiile necesare pentru realizarea obiectivelor acordului menționat. Ca parte la acord, Uniunea Europeană este membră a IOC și este reprezentată în Consiliul membrilor. Deciziile Consiliului membrilor se iau prin consens. În cazul în care nu se poate ajunge la un consens, deciziile referitoare la standardul comercial și la metode se adoptă dacă nu sunt respinse de cel puțin un sfert dintre membri sau de unul sau mai mulți membri care dețin în total cel puțin 100 de cote-părți de participare.</w:t>
      </w:r>
    </w:p>
    <w:p w:rsidR="00717C03" w:rsidRPr="00185983" w:rsidRDefault="002C193B" w:rsidP="002C193B">
      <w:pPr>
        <w:rPr>
          <w:rFonts w:eastAsia="Arial Unicode MS"/>
          <w:noProof/>
        </w:rPr>
      </w:pPr>
      <w:r w:rsidRPr="00185983">
        <w:rPr>
          <w:noProof/>
        </w:rPr>
        <w:t>În prezent, IOC are 21 de membri, iar Uniunea Europeană deține 647 de cote-părți de participare dintr-un total de 1 000.</w:t>
      </w:r>
    </w:p>
    <w:p w:rsidR="00717C03" w:rsidRPr="00185983" w:rsidRDefault="00717C03" w:rsidP="00C33A39">
      <w:pPr>
        <w:pStyle w:val="ManualHeading2"/>
        <w:rPr>
          <w:noProof/>
        </w:rPr>
      </w:pPr>
      <w:r>
        <w:rPr>
          <w:noProof/>
        </w:rPr>
        <w:t>2.3.</w:t>
      </w:r>
      <w:r>
        <w:rPr>
          <w:noProof/>
        </w:rPr>
        <w:tab/>
      </w:r>
      <w:r w:rsidRPr="00185983">
        <w:rPr>
          <w:noProof/>
        </w:rPr>
        <w:t>Actul avut în vedere al Consiliului membrilor</w:t>
      </w:r>
    </w:p>
    <w:p w:rsidR="002C193B" w:rsidRPr="00185983" w:rsidRDefault="002C193B" w:rsidP="008D01CE">
      <w:pPr>
        <w:rPr>
          <w:rFonts w:eastAsia="Arial Unicode MS"/>
          <w:noProof/>
        </w:rPr>
      </w:pPr>
      <w:r w:rsidRPr="00185983">
        <w:rPr>
          <w:noProof/>
        </w:rPr>
        <w:t xml:space="preserve">În noiembrie 2025, secretariatul executiv al IOC a prezentat membrilor săi textele a două decizii referitoare la chimie și standardizare. Ambele decizii se referă la </w:t>
      </w:r>
      <w:bookmarkStart w:id="1" w:name="_Hlk225356005"/>
      <w:r w:rsidRPr="00185983">
        <w:rPr>
          <w:noProof/>
        </w:rPr>
        <w:t>metoda evaluării organoleptice a uleiului de măsline virgin</w:t>
      </w:r>
      <w:bookmarkEnd w:id="1"/>
      <w:r w:rsidRPr="00185983">
        <w:rPr>
          <w:noProof/>
        </w:rPr>
        <w:t>:</w:t>
      </w:r>
    </w:p>
    <w:p w:rsidR="00904541" w:rsidRPr="00185983" w:rsidRDefault="00904541" w:rsidP="00B17425">
      <w:pPr>
        <w:pStyle w:val="Tiret0"/>
        <w:numPr>
          <w:ilvl w:val="0"/>
          <w:numId w:val="24"/>
        </w:numPr>
        <w:rPr>
          <w:noProof/>
        </w:rPr>
      </w:pPr>
      <w:r w:rsidRPr="00185983">
        <w:rPr>
          <w:noProof/>
        </w:rPr>
        <w:lastRenderedPageBreak/>
        <w:t>A treia versiune revizuită a documentului COI/T.20/Doc. nr. 5, „Pahar pentru degustarea uleiurilor”;</w:t>
      </w:r>
    </w:p>
    <w:p w:rsidR="001550BC" w:rsidRPr="00185983" w:rsidRDefault="00BF0904" w:rsidP="00750DD4">
      <w:pPr>
        <w:pStyle w:val="Tiret0"/>
        <w:numPr>
          <w:ilvl w:val="0"/>
          <w:numId w:val="23"/>
        </w:numPr>
        <w:rPr>
          <w:noProof/>
        </w:rPr>
      </w:pPr>
      <w:r w:rsidRPr="00185983">
        <w:rPr>
          <w:noProof/>
        </w:rPr>
        <w:t>A doua versiune revizuită a documentului COI/T.20/Doc. nr. 6, „Ghid pentru instalarea unei săli de degustare”.</w:t>
      </w:r>
    </w:p>
    <w:p w:rsidR="002C193B" w:rsidRPr="00185983" w:rsidRDefault="002C193B" w:rsidP="002C193B">
      <w:pPr>
        <w:rPr>
          <w:rFonts w:eastAsia="Arial Unicode MS"/>
          <w:noProof/>
        </w:rPr>
      </w:pPr>
      <w:r w:rsidRPr="00185983">
        <w:rPr>
          <w:noProof/>
        </w:rPr>
        <w:t>Documentul de lucru al serviciilor Comisiei care însoțește prezenta propunere include textele revizuite ale documentelor, astfel cum au fost prezentate de către secretariatul executiv.</w:t>
      </w:r>
    </w:p>
    <w:p w:rsidR="004C16EE" w:rsidRPr="00185983" w:rsidRDefault="002C193B" w:rsidP="00F604DF">
      <w:pPr>
        <w:rPr>
          <w:rFonts w:eastAsia="Arial Unicode MS"/>
          <w:noProof/>
        </w:rPr>
      </w:pPr>
      <w:r w:rsidRPr="00185983">
        <w:rPr>
          <w:noProof/>
        </w:rPr>
        <w:t>În conformitate cu articolul 20 alineatul (3) din acord, criteriile de calitate și puritate incluse în standardul comercial al IOC pentru uleiul de măsline și uleiul din resturi de măsline sunt aplicabile comerțului internațional desfășurat de membri. Mai mult, în conformitate cu articolul 75 alineatul (5) litera (e) din Regulamentul (UE) nr. 1308/2013 al Parlamentului European și al Consiliului</w:t>
      </w:r>
      <w:r w:rsidRPr="00185983">
        <w:rPr>
          <w:rStyle w:val="FootnoteReference"/>
          <w:noProof/>
        </w:rPr>
        <w:footnoteReference w:id="3"/>
      </w:r>
      <w:r w:rsidRPr="00185983">
        <w:rPr>
          <w:noProof/>
        </w:rPr>
        <w:t>, standardele de comercializare trebuie să ia în considerare recomandările standard adoptate de organismele internaționale. Standardele de comercializare sunt controlate în baza normelor stabilite în conformitate cu articolul 90a din Regulamentul (UE) nr. 1308/2013. Deciziile referitoare la versiunile revizuite ale acestor documente despre metoda evaluării organoleptice a uleiului de măsline virgin au un impact asupra modului în care sunt controlați parametrii. Așadar, deciziile sus-menționate vor avea efecte asupra dreptului UE aplicabil, mai exact Regulamentul de punere în aplicare (UE) 2022/2105 al Comisiei din 29 iulie 2022 de stabilire a normelor privind controalele de conformitate aplicate standardelor de comercializare pentru uleiul de măsline și metodele de analiză a caracteristicilor uleiului de măsline</w:t>
      </w:r>
      <w:r w:rsidRPr="00185983">
        <w:rPr>
          <w:rStyle w:val="FootnoteReference"/>
          <w:rFonts w:eastAsia="Arial Unicode MS"/>
          <w:noProof/>
        </w:rPr>
        <w:footnoteReference w:id="4"/>
      </w:r>
      <w:r w:rsidRPr="00185983">
        <w:rPr>
          <w:noProof/>
        </w:rPr>
        <w:t>.</w:t>
      </w:r>
    </w:p>
    <w:p w:rsidR="00717C03" w:rsidRPr="00185983" w:rsidRDefault="00CE4698" w:rsidP="002C193B">
      <w:pPr>
        <w:rPr>
          <w:rFonts w:eastAsia="Arial Unicode MS"/>
          <w:noProof/>
        </w:rPr>
      </w:pPr>
      <w:r w:rsidRPr="00185983">
        <w:rPr>
          <w:noProof/>
        </w:rPr>
        <w:t>Se prevede că poziția detaliată în prezenta decizie va fi adoptată în numele Uniunii în cadrul următoarei sesiuni ordinare a IOC, care va avea loc în iunie 2026.</w:t>
      </w:r>
    </w:p>
    <w:p w:rsidR="00717C03" w:rsidRPr="00185983" w:rsidRDefault="00717C03" w:rsidP="00717C03">
      <w:pPr>
        <w:pStyle w:val="ManualHeading1"/>
        <w:rPr>
          <w:rFonts w:eastAsia="Arial Unicode MS"/>
          <w:noProof/>
        </w:rPr>
      </w:pPr>
      <w:r>
        <w:rPr>
          <w:noProof/>
        </w:rPr>
        <w:t>3.</w:t>
      </w:r>
      <w:r>
        <w:rPr>
          <w:noProof/>
        </w:rPr>
        <w:tab/>
      </w:r>
      <w:r w:rsidRPr="00185983">
        <w:rPr>
          <w:noProof/>
        </w:rPr>
        <w:t>Poziția care trebuie adoptată în numele Uniunii</w:t>
      </w:r>
    </w:p>
    <w:p w:rsidR="00F604DF" w:rsidRPr="00185983" w:rsidRDefault="008D01CE" w:rsidP="00F604DF">
      <w:pPr>
        <w:rPr>
          <w:rFonts w:eastAsia="Arial Unicode MS"/>
          <w:noProof/>
        </w:rPr>
      </w:pPr>
      <w:r w:rsidRPr="00185983">
        <w:rPr>
          <w:noProof/>
        </w:rPr>
        <w:t>Ambele decizii care urmează a fi adoptate de Consiliul membrilor se referă la metoda evaluării organoleptice a uleiului de măsline virgin:</w:t>
      </w:r>
    </w:p>
    <w:p w:rsidR="00F604DF" w:rsidRPr="00185983" w:rsidRDefault="00F604DF" w:rsidP="00B03AD7">
      <w:pPr>
        <w:pStyle w:val="Tiret0"/>
        <w:numPr>
          <w:ilvl w:val="0"/>
          <w:numId w:val="22"/>
        </w:numPr>
        <w:rPr>
          <w:noProof/>
        </w:rPr>
      </w:pPr>
      <w:r w:rsidRPr="00185983">
        <w:rPr>
          <w:noProof/>
        </w:rPr>
        <w:t>A treia versiune revizuită a documentului COI/T.20/Doc. nr. 5, „Pahar pentru degustarea uleiurilor”;</w:t>
      </w:r>
    </w:p>
    <w:p w:rsidR="00F604DF" w:rsidRPr="00185983" w:rsidRDefault="00F604DF" w:rsidP="00C635E0">
      <w:pPr>
        <w:pStyle w:val="Tiret0"/>
        <w:numPr>
          <w:ilvl w:val="0"/>
          <w:numId w:val="21"/>
        </w:numPr>
        <w:rPr>
          <w:noProof/>
        </w:rPr>
      </w:pPr>
      <w:r w:rsidRPr="00185983">
        <w:rPr>
          <w:noProof/>
        </w:rPr>
        <w:t>A doua versiune revizuită a documentului COI/T.20/Doc. nr. 6, „Ghid pentru instalarea unei săli de degustare”.</w:t>
      </w:r>
    </w:p>
    <w:p w:rsidR="008D01CE" w:rsidRPr="00185983" w:rsidRDefault="008D01CE" w:rsidP="00F604DF">
      <w:pPr>
        <w:rPr>
          <w:rFonts w:eastAsia="Arial Unicode MS"/>
          <w:noProof/>
        </w:rPr>
      </w:pPr>
      <w:r w:rsidRPr="00185983">
        <w:rPr>
          <w:noProof/>
        </w:rPr>
        <w:t>Deciziile sus-menționate au fost discutate de experții științifici și tehnici din domeniul uleiului de măsline ai Comisiei și ai statelor membre. Aceste decizii contribuie la armonizarea la nivel internațional a standardelor privind uleiul de măsline și vor institui un cadru care va asigura concurența loială în comerțul cu ulei de măsline. Prin urmare, propunerile respective trebuie să fie sprijinite.</w:t>
      </w:r>
    </w:p>
    <w:p w:rsidR="008D01CE" w:rsidRPr="00185983" w:rsidRDefault="008D01CE" w:rsidP="008D01CE">
      <w:pPr>
        <w:rPr>
          <w:rFonts w:eastAsia="Arial Unicode MS"/>
          <w:noProof/>
        </w:rPr>
      </w:pPr>
      <w:r w:rsidRPr="00185983">
        <w:rPr>
          <w:noProof/>
        </w:rPr>
        <w:t>Deciziile sus-menționate corespund obiectivelor de politică ale Uniunii în ceea ce privește standardele de comercializare a produselor agricole prevăzute în partea II titlul II din Regulamentul (UE) nr. 1308/2013 al Parlamentului European și al Consiliului.</w:t>
      </w:r>
    </w:p>
    <w:p w:rsidR="00717C03" w:rsidRPr="00185983" w:rsidRDefault="006312DA" w:rsidP="008D01CE">
      <w:pPr>
        <w:rPr>
          <w:rFonts w:eastAsia="Arial Unicode MS"/>
          <w:noProof/>
        </w:rPr>
      </w:pPr>
      <w:r w:rsidRPr="00185983">
        <w:rPr>
          <w:noProof/>
        </w:rPr>
        <w:t>Poziția Uniunii este necesară pentru adoptarea deciziilor.</w:t>
      </w:r>
    </w:p>
    <w:p w:rsidR="00717C03" w:rsidRPr="00185983" w:rsidRDefault="00717C03" w:rsidP="00C92807">
      <w:pPr>
        <w:pStyle w:val="ManualHeading1"/>
        <w:rPr>
          <w:noProof/>
        </w:rPr>
      </w:pPr>
      <w:r>
        <w:rPr>
          <w:noProof/>
        </w:rPr>
        <w:lastRenderedPageBreak/>
        <w:t>4.</w:t>
      </w:r>
      <w:r>
        <w:rPr>
          <w:noProof/>
        </w:rPr>
        <w:tab/>
      </w:r>
      <w:r w:rsidRPr="00185983">
        <w:rPr>
          <w:noProof/>
        </w:rPr>
        <w:t>Temei juridic</w:t>
      </w:r>
    </w:p>
    <w:p w:rsidR="00717C03" w:rsidRPr="00185983" w:rsidRDefault="00717C03" w:rsidP="00C92807">
      <w:pPr>
        <w:pStyle w:val="ManualHeading2"/>
        <w:rPr>
          <w:noProof/>
        </w:rPr>
      </w:pPr>
      <w:r>
        <w:rPr>
          <w:noProof/>
        </w:rPr>
        <w:t>4.1.</w:t>
      </w:r>
      <w:r>
        <w:rPr>
          <w:noProof/>
        </w:rPr>
        <w:tab/>
      </w:r>
      <w:r w:rsidRPr="00185983">
        <w:rPr>
          <w:noProof/>
        </w:rPr>
        <w:t>Temeiul juridic procedural</w:t>
      </w:r>
    </w:p>
    <w:p w:rsidR="00717C03" w:rsidRPr="00185983" w:rsidRDefault="00717C03" w:rsidP="00717C03">
      <w:pPr>
        <w:pStyle w:val="ManualHeading3"/>
        <w:tabs>
          <w:tab w:val="clear" w:pos="850"/>
          <w:tab w:val="num" w:pos="1984"/>
        </w:tabs>
        <w:ind w:left="1984" w:hanging="567"/>
        <w:rPr>
          <w:noProof/>
        </w:rPr>
      </w:pPr>
      <w:r>
        <w:rPr>
          <w:noProof/>
        </w:rPr>
        <w:t>4.1.1.</w:t>
      </w:r>
      <w:r>
        <w:rPr>
          <w:noProof/>
        </w:rPr>
        <w:tab/>
      </w:r>
      <w:r w:rsidRPr="00185983">
        <w:rPr>
          <w:noProof/>
        </w:rPr>
        <w:t>Principii</w:t>
      </w:r>
    </w:p>
    <w:p w:rsidR="008D01CE" w:rsidRPr="00185983" w:rsidRDefault="008D01CE" w:rsidP="008D01CE">
      <w:pPr>
        <w:rPr>
          <w:noProof/>
        </w:rPr>
      </w:pPr>
      <w:r w:rsidRPr="00185983">
        <w:rPr>
          <w:noProof/>
        </w:rPr>
        <w:t>Articolul 218 alineatul (9) din Tratatul privind funcționarea Uniunii Europene (TFUE) prevede adoptarea unor decizii de stabilire „</w:t>
      </w:r>
      <w:r w:rsidRPr="00185983">
        <w:rPr>
          <w:i/>
          <w:noProof/>
        </w:rPr>
        <w:t>a pozițiilor care trebuie adoptate în numele Uniunii în cadrul unui organism creat printr-un acord, în cazul în care acest organism trebuie să adopte acte cu efecte juridice, cu excepția actelor care modifică sau completează cadrul instituțional al acordului</w:t>
      </w:r>
      <w:r w:rsidRPr="00185983">
        <w:rPr>
          <w:noProof/>
        </w:rPr>
        <w:t>.”</w:t>
      </w:r>
    </w:p>
    <w:p w:rsidR="00717C03" w:rsidRPr="00185983" w:rsidRDefault="008D01CE" w:rsidP="008D01CE">
      <w:pPr>
        <w:rPr>
          <w:noProof/>
        </w:rPr>
      </w:pPr>
      <w:r w:rsidRPr="00185983">
        <w:rPr>
          <w:noProof/>
        </w:rPr>
        <w:t>Noțiunea de „</w:t>
      </w:r>
      <w:r w:rsidRPr="00185983">
        <w:rPr>
          <w:i/>
          <w:noProof/>
        </w:rPr>
        <w:t>acte cu efecte juridice</w:t>
      </w:r>
      <w:r w:rsidRPr="00185983">
        <w:rPr>
          <w:noProof/>
        </w:rPr>
        <w:t>” include actele care au efecte juridice în temeiul normelor de drept internațional aplicabile organismului în cauză. Sunt, de asemenea, incluse instrumentele care nu au un caracter obligatoriu în temeiul dreptului internațional, dar care „</w:t>
      </w:r>
      <w:r w:rsidRPr="00185983">
        <w:rPr>
          <w:i/>
          <w:noProof/>
        </w:rPr>
        <w:t>au vocația de a influența în mod decisiv conținutul reglementării adoptate de legiuitorul Uniunii</w:t>
      </w:r>
      <w:r w:rsidRPr="00185983">
        <w:rPr>
          <w:noProof/>
        </w:rPr>
        <w:t>”</w:t>
      </w:r>
      <w:r w:rsidRPr="00185983">
        <w:rPr>
          <w:rStyle w:val="FootnoteReference"/>
          <w:noProof/>
        </w:rPr>
        <w:footnoteReference w:id="5"/>
      </w:r>
      <w:r w:rsidRPr="00185983">
        <w:rPr>
          <w:noProof/>
        </w:rPr>
        <w:t>.</w:t>
      </w:r>
    </w:p>
    <w:p w:rsidR="00717C03" w:rsidRPr="00185983" w:rsidRDefault="00717C03" w:rsidP="00717C03">
      <w:pPr>
        <w:pStyle w:val="ManualHeading3"/>
        <w:tabs>
          <w:tab w:val="clear" w:pos="850"/>
          <w:tab w:val="num" w:pos="1984"/>
        </w:tabs>
        <w:ind w:left="1984" w:hanging="567"/>
        <w:rPr>
          <w:noProof/>
        </w:rPr>
      </w:pPr>
      <w:r>
        <w:rPr>
          <w:noProof/>
        </w:rPr>
        <w:t>4.1.2.</w:t>
      </w:r>
      <w:r>
        <w:rPr>
          <w:noProof/>
        </w:rPr>
        <w:tab/>
      </w:r>
      <w:r w:rsidRPr="00185983">
        <w:rPr>
          <w:noProof/>
        </w:rPr>
        <w:t>Aplicarea la cazul în discuție</w:t>
      </w:r>
    </w:p>
    <w:p w:rsidR="008D01CE" w:rsidRPr="00185983" w:rsidRDefault="008D01CE" w:rsidP="008D01CE">
      <w:pPr>
        <w:rPr>
          <w:noProof/>
        </w:rPr>
      </w:pPr>
      <w:r w:rsidRPr="00185983">
        <w:rPr>
          <w:noProof/>
        </w:rPr>
        <w:t>Consiliul membrilor este un organism instituit printr-un acord, și anume prin Acordul internațional cu privire la uleiul de măsline și măslinele de masă.</w:t>
      </w:r>
    </w:p>
    <w:p w:rsidR="008D01CE" w:rsidRPr="00185983" w:rsidRDefault="008D01CE" w:rsidP="008D01CE">
      <w:pPr>
        <w:rPr>
          <w:noProof/>
        </w:rPr>
      </w:pPr>
      <w:r w:rsidRPr="00185983">
        <w:rPr>
          <w:noProof/>
        </w:rPr>
        <w:t>Actele pe care Consiliul membrilor este invitat să le adopte sunt acte cu efecte juridice. Actele avute în vedere vor fi obligatorii în temeiul dreptului internațional, în conformitate cu articolul 20 alineatul (3) din acord, și pot influența în mod decisiv conținutul legislației UE, mai exact un act de punere în aplicare referitor la controalele de conformitate aplicate standardelor de comercializare pentru uleiul de măsline, bazat pe Regulamentul (UE) nr. 1308/2013. Motivul este faptul că, în conformitate cu articolul 75 alineatul (5) litera (e) din Regulamentul (UE) nr. 1308/2013, standardele de comercializare trebuie să ia în considerare recomandările standard adoptate de organismele internaționale.</w:t>
      </w:r>
    </w:p>
    <w:p w:rsidR="008D01CE" w:rsidRPr="00185983" w:rsidRDefault="008D01CE" w:rsidP="008D01CE">
      <w:pPr>
        <w:rPr>
          <w:noProof/>
        </w:rPr>
      </w:pPr>
      <w:r w:rsidRPr="00185983">
        <w:rPr>
          <w:noProof/>
        </w:rPr>
        <w:t>Actul avut în vedere nu completează și nu aduce modificări cadrului instituțional al acordului.</w:t>
      </w:r>
    </w:p>
    <w:p w:rsidR="00717C03" w:rsidRPr="00185983" w:rsidRDefault="008D01CE" w:rsidP="008D01CE">
      <w:pPr>
        <w:rPr>
          <w:noProof/>
        </w:rPr>
      </w:pPr>
      <w:r w:rsidRPr="00185983">
        <w:rPr>
          <w:noProof/>
        </w:rPr>
        <w:t>Prin urmare, temeiul juridic procedural al propunerii de decizie este articolul 218 alineatul (9) din TFUE.</w:t>
      </w:r>
    </w:p>
    <w:p w:rsidR="00717C03" w:rsidRPr="00185983" w:rsidRDefault="00717C03" w:rsidP="00C92807">
      <w:pPr>
        <w:pStyle w:val="ManualHeading2"/>
        <w:rPr>
          <w:noProof/>
        </w:rPr>
      </w:pPr>
      <w:r>
        <w:rPr>
          <w:noProof/>
        </w:rPr>
        <w:t>4.2.</w:t>
      </w:r>
      <w:r>
        <w:rPr>
          <w:noProof/>
        </w:rPr>
        <w:tab/>
      </w:r>
      <w:r w:rsidRPr="00185983">
        <w:rPr>
          <w:noProof/>
        </w:rPr>
        <w:t>Temeiul juridic material</w:t>
      </w:r>
    </w:p>
    <w:p w:rsidR="00717C03" w:rsidRPr="00185983" w:rsidRDefault="00717C03" w:rsidP="00717C03">
      <w:pPr>
        <w:pStyle w:val="ManualHeading3"/>
        <w:tabs>
          <w:tab w:val="clear" w:pos="850"/>
          <w:tab w:val="num" w:pos="1984"/>
        </w:tabs>
        <w:ind w:left="1984" w:hanging="567"/>
        <w:rPr>
          <w:noProof/>
        </w:rPr>
      </w:pPr>
      <w:r>
        <w:rPr>
          <w:noProof/>
        </w:rPr>
        <w:t>4.2.1.</w:t>
      </w:r>
      <w:r>
        <w:rPr>
          <w:noProof/>
        </w:rPr>
        <w:tab/>
      </w:r>
      <w:r w:rsidRPr="00185983">
        <w:rPr>
          <w:noProof/>
        </w:rPr>
        <w:t>Principii</w:t>
      </w:r>
    </w:p>
    <w:p w:rsidR="00717C03" w:rsidRPr="00185983" w:rsidRDefault="008D01CE" w:rsidP="00C92807">
      <w:pPr>
        <w:rPr>
          <w:noProof/>
        </w:rPr>
      </w:pPr>
      <w:r w:rsidRPr="00185983">
        <w:rPr>
          <w:noProof/>
        </w:rPr>
        <w:t>Temeiul juridic material al unei decizii adoptate în temeiul articolului 218 alineatul (9) din TFUE depinde, în primul rând, de obiectivul și de conținutul actului avut în vedere, cu privire la care este adoptată poziția în numele Uniunii. În cazul în care actul avut în vedere urmărește două obiective sau include două elemente, iar unul dintre aceste obiective sau elemente poate fi identificat ca fiind obiectivul sau elementul principal, iar celălalt obiectiv sau element are mai degrabă un caracter accesoriu, decizia adoptată în temeiul articolului 218 alineatul (9) din TFUE trebuie să se întemeieze pe un singur temei juridic material, respectiv cel impus de obiectivul sau de elementul principal sau predominant.</w:t>
      </w:r>
    </w:p>
    <w:p w:rsidR="00717C03" w:rsidRPr="00185983" w:rsidRDefault="00717C03" w:rsidP="00717C03">
      <w:pPr>
        <w:pStyle w:val="ManualHeading3"/>
        <w:tabs>
          <w:tab w:val="clear" w:pos="850"/>
          <w:tab w:val="num" w:pos="1984"/>
        </w:tabs>
        <w:ind w:left="1984" w:hanging="567"/>
        <w:rPr>
          <w:noProof/>
        </w:rPr>
      </w:pPr>
      <w:r>
        <w:rPr>
          <w:noProof/>
        </w:rPr>
        <w:t>4.2.2.</w:t>
      </w:r>
      <w:r>
        <w:rPr>
          <w:noProof/>
        </w:rPr>
        <w:tab/>
      </w:r>
      <w:r w:rsidRPr="00185983">
        <w:rPr>
          <w:noProof/>
        </w:rPr>
        <w:t>Aplicarea la cazul în discuție</w:t>
      </w:r>
    </w:p>
    <w:p w:rsidR="00717C03" w:rsidRPr="00185983" w:rsidRDefault="008D01CE" w:rsidP="00C92807">
      <w:pPr>
        <w:rPr>
          <w:noProof/>
        </w:rPr>
      </w:pPr>
      <w:r w:rsidRPr="00185983">
        <w:rPr>
          <w:noProof/>
        </w:rPr>
        <w:t>Obiectivul principal și conținutul actului avut în vedere se referă la politica comercială comună. Prin urmare, temeiul juridic material al propunerii de decizie este articolul 207 alineatul (4) din TFUE.</w:t>
      </w:r>
    </w:p>
    <w:p w:rsidR="00717C03" w:rsidRPr="00185983" w:rsidRDefault="00717C03" w:rsidP="00C92807">
      <w:pPr>
        <w:pStyle w:val="ManualHeading2"/>
        <w:rPr>
          <w:noProof/>
        </w:rPr>
      </w:pPr>
      <w:r>
        <w:rPr>
          <w:noProof/>
        </w:rPr>
        <w:lastRenderedPageBreak/>
        <w:t>4.3.</w:t>
      </w:r>
      <w:r>
        <w:rPr>
          <w:noProof/>
        </w:rPr>
        <w:tab/>
      </w:r>
      <w:r w:rsidRPr="00185983">
        <w:rPr>
          <w:noProof/>
        </w:rPr>
        <w:t>Concluzie</w:t>
      </w:r>
    </w:p>
    <w:p w:rsidR="00717C03" w:rsidRPr="00185983" w:rsidRDefault="00717C03" w:rsidP="00C33A39">
      <w:pPr>
        <w:rPr>
          <w:noProof/>
        </w:rPr>
      </w:pPr>
      <w:r w:rsidRPr="00185983">
        <w:rPr>
          <w:noProof/>
        </w:rPr>
        <w:t>Temeiul juridic al propunerii de decizie trebuie să fie articolul 207 alineatul (4) din TFUE coroborat cu articolul 218 alineatul (9) din TFUE.</w:t>
      </w:r>
    </w:p>
    <w:p w:rsidR="00300268" w:rsidRPr="00185983" w:rsidRDefault="00300268" w:rsidP="00300268">
      <w:pPr>
        <w:pStyle w:val="ManualHeading1"/>
        <w:rPr>
          <w:noProof/>
        </w:rPr>
      </w:pPr>
      <w:r>
        <w:rPr>
          <w:noProof/>
        </w:rPr>
        <w:t>5.</w:t>
      </w:r>
      <w:r>
        <w:rPr>
          <w:noProof/>
        </w:rPr>
        <w:tab/>
      </w:r>
      <w:r w:rsidRPr="00185983">
        <w:rPr>
          <w:noProof/>
        </w:rPr>
        <w:t>Respectarea principiului „digital în mod implicit”</w:t>
      </w:r>
    </w:p>
    <w:p w:rsidR="00300268" w:rsidRPr="00185983" w:rsidRDefault="006A6B05" w:rsidP="006A6B05">
      <w:pPr>
        <w:rPr>
          <w:noProof/>
        </w:rPr>
      </w:pPr>
      <w:r w:rsidRPr="00185983">
        <w:rPr>
          <w:noProof/>
        </w:rPr>
        <w:t>Prezenta propunere nu are dimensiuni digitale, deoarece nu are relevanță în acest domeniu. Mijloacele digitale sau schimbul de date nu intră în domeniul de aplicare al propunerii.</w:t>
      </w:r>
    </w:p>
    <w:p w:rsidR="00717C03" w:rsidRPr="00185983" w:rsidRDefault="00717C03" w:rsidP="00C92807">
      <w:pPr>
        <w:rPr>
          <w:noProof/>
        </w:rPr>
        <w:sectPr w:rsidR="00717C03" w:rsidRPr="00185983" w:rsidSect="005F0C46">
          <w:headerReference w:type="even" r:id="rId14"/>
          <w:footerReference w:type="even" r:id="rId15"/>
          <w:footerReference w:type="default" r:id="rId16"/>
          <w:headerReference w:type="first" r:id="rId17"/>
          <w:footerReference w:type="first" r:id="rId18"/>
          <w:pgSz w:w="11907" w:h="16839"/>
          <w:pgMar w:top="1134" w:right="1417" w:bottom="1134" w:left="1417" w:header="709" w:footer="709" w:gutter="0"/>
          <w:cols w:space="708"/>
          <w:docGrid w:linePitch="360"/>
        </w:sectPr>
      </w:pPr>
    </w:p>
    <w:p w:rsidR="00845632" w:rsidRDefault="00E919E8">
      <w:pPr>
        <w:pStyle w:val="Rfrenceinterinstitutionnelle"/>
        <w:rPr>
          <w:noProof/>
        </w:rPr>
      </w:pPr>
      <w:r>
        <w:rPr>
          <w:noProof/>
        </w:rPr>
        <w:lastRenderedPageBreak/>
        <w:t>2026/0129 (NLE)</w:t>
      </w:r>
    </w:p>
    <w:p w:rsidR="00717C03" w:rsidRPr="00185983" w:rsidRDefault="00185983" w:rsidP="00185983">
      <w:pPr>
        <w:pStyle w:val="Statut"/>
        <w:rPr>
          <w:noProof/>
        </w:rPr>
      </w:pPr>
      <w:r w:rsidRPr="00185983">
        <w:rPr>
          <w:noProof/>
        </w:rPr>
        <w:t>Propunere de</w:t>
      </w:r>
    </w:p>
    <w:p w:rsidR="00717C03" w:rsidRPr="00185983" w:rsidRDefault="00185983" w:rsidP="00185983">
      <w:pPr>
        <w:pStyle w:val="Typedudocument"/>
        <w:rPr>
          <w:noProof/>
        </w:rPr>
      </w:pPr>
      <w:r w:rsidRPr="00185983">
        <w:rPr>
          <w:noProof/>
        </w:rPr>
        <w:t>DECIZIE A CONSILIULUI</w:t>
      </w:r>
    </w:p>
    <w:p w:rsidR="00717C03" w:rsidRPr="00185983" w:rsidRDefault="00185983" w:rsidP="00185983">
      <w:pPr>
        <w:pStyle w:val="Titreobjet"/>
        <w:rPr>
          <w:noProof/>
        </w:rPr>
      </w:pPr>
      <w:r w:rsidRPr="00185983">
        <w:rPr>
          <w:noProof/>
        </w:rPr>
        <w:t>privind poziția care trebuie adoptată în numele Uniunii Europene în cadrul Consiliului membrilor Consiliului Oleicol internațional (IOC) în ceea ce privește metoda evaluării organoleptice a uleiului de măsline virgin</w:t>
      </w:r>
    </w:p>
    <w:p w:rsidR="00717C03" w:rsidRPr="00185983" w:rsidRDefault="00717C03" w:rsidP="00C92807">
      <w:pPr>
        <w:pStyle w:val="Institutionquiagit"/>
        <w:rPr>
          <w:noProof/>
        </w:rPr>
      </w:pPr>
      <w:r w:rsidRPr="00185983">
        <w:rPr>
          <w:noProof/>
        </w:rPr>
        <w:t>CONSILIUL UNIUNII EUROPENE,</w:t>
      </w:r>
    </w:p>
    <w:p w:rsidR="00717C03" w:rsidRPr="00185983" w:rsidRDefault="00717C03" w:rsidP="00C33A39">
      <w:pPr>
        <w:rPr>
          <w:noProof/>
        </w:rPr>
      </w:pPr>
      <w:r w:rsidRPr="00185983">
        <w:rPr>
          <w:noProof/>
        </w:rPr>
        <w:t>având în vedere Tratatul privind funcționarea Uniunii Europene, în special articolul 207 alineatul (4) primul paragraf coroborat cu articolul 218 alineatul (9),</w:t>
      </w:r>
    </w:p>
    <w:p w:rsidR="00717C03" w:rsidRPr="00185983" w:rsidRDefault="00717C03" w:rsidP="00C92807">
      <w:pPr>
        <w:rPr>
          <w:noProof/>
        </w:rPr>
      </w:pPr>
      <w:r w:rsidRPr="00185983">
        <w:rPr>
          <w:noProof/>
        </w:rPr>
        <w:t>având în vedere propunerea Comisiei Europene,</w:t>
      </w:r>
    </w:p>
    <w:p w:rsidR="00717C03" w:rsidRPr="00185983" w:rsidRDefault="00717C03" w:rsidP="00C92807">
      <w:pPr>
        <w:rPr>
          <w:noProof/>
        </w:rPr>
      </w:pPr>
      <w:r w:rsidRPr="00185983">
        <w:rPr>
          <w:noProof/>
        </w:rPr>
        <w:t>întrucât:</w:t>
      </w:r>
    </w:p>
    <w:p w:rsidR="008D01CE" w:rsidRPr="00185983" w:rsidRDefault="008D01CE" w:rsidP="00970658">
      <w:pPr>
        <w:pStyle w:val="ManualConsidrant"/>
        <w:rPr>
          <w:noProof/>
        </w:rPr>
      </w:pPr>
      <w:r>
        <w:rPr>
          <w:noProof/>
        </w:rPr>
        <w:t>(1)</w:t>
      </w:r>
      <w:r>
        <w:rPr>
          <w:noProof/>
        </w:rPr>
        <w:tab/>
      </w:r>
      <w:r w:rsidRPr="00185983">
        <w:rPr>
          <w:noProof/>
        </w:rPr>
        <w:t>Acordul internațional din 2015 cu privire la uleiul de măsline și măslinele de masă („acordul”) a fost încheiat în numele Uniunii prin Decizia (UE) 2019/848 a Consiliului</w:t>
      </w:r>
      <w:r w:rsidRPr="00185983">
        <w:rPr>
          <w:rStyle w:val="FootnoteReference"/>
          <w:noProof/>
        </w:rPr>
        <w:footnoteReference w:id="6"/>
      </w:r>
      <w:r w:rsidRPr="00185983">
        <w:rPr>
          <w:noProof/>
        </w:rPr>
        <w:t>.</w:t>
      </w:r>
    </w:p>
    <w:p w:rsidR="008D01CE" w:rsidRPr="00185983" w:rsidRDefault="002324BB" w:rsidP="008D01CE">
      <w:pPr>
        <w:pStyle w:val="ManualConsidrant"/>
        <w:rPr>
          <w:noProof/>
        </w:rPr>
      </w:pPr>
      <w:r>
        <w:rPr>
          <w:noProof/>
        </w:rPr>
        <w:t>(2)</w:t>
      </w:r>
      <w:r>
        <w:rPr>
          <w:noProof/>
        </w:rPr>
        <w:tab/>
      </w:r>
      <w:r w:rsidRPr="00185983">
        <w:rPr>
          <w:noProof/>
        </w:rPr>
        <w:t>În temeiul articolului 20 din acord, Consiliul membrilor Consiliului Oleicol Internațional („Consiliul membrilor”) poate lua decizii și adopta recomandări referitoare la aplicarea dispozițiilor acordului.</w:t>
      </w:r>
    </w:p>
    <w:p w:rsidR="008D01CE" w:rsidRPr="00185983" w:rsidRDefault="009823D8" w:rsidP="008D01CE">
      <w:pPr>
        <w:pStyle w:val="ManualConsidrant"/>
        <w:rPr>
          <w:noProof/>
        </w:rPr>
      </w:pPr>
      <w:r>
        <w:rPr>
          <w:noProof/>
        </w:rPr>
        <w:t>(3)</w:t>
      </w:r>
      <w:r>
        <w:rPr>
          <w:noProof/>
        </w:rPr>
        <w:tab/>
      </w:r>
      <w:r w:rsidRPr="00185983">
        <w:rPr>
          <w:noProof/>
        </w:rPr>
        <w:t>În cadrul celei de a 123-a sesiuni, din iunie 2026, Consiliul membrilor urmează să adopte două decizii referitoare la metoda evaluării organoleptice a uleiului de măsline virgin.</w:t>
      </w:r>
    </w:p>
    <w:p w:rsidR="008D01CE" w:rsidRPr="00185983" w:rsidRDefault="008D01CE" w:rsidP="008D01CE">
      <w:pPr>
        <w:pStyle w:val="ManualConsidrant"/>
        <w:rPr>
          <w:noProof/>
        </w:rPr>
      </w:pPr>
      <w:r>
        <w:rPr>
          <w:noProof/>
        </w:rPr>
        <w:t>(4)</w:t>
      </w:r>
      <w:r>
        <w:rPr>
          <w:noProof/>
        </w:rPr>
        <w:tab/>
      </w:r>
      <w:r w:rsidRPr="00185983">
        <w:rPr>
          <w:noProof/>
        </w:rPr>
        <w:t>Deciziile în cauză au fost discutate pe larg de experți științifici și tehnici din sectorul uleiului de măsline ai Comisiei și ai statelor membre. Deciziile ar trebui să contribuie la armonizarea la nivel internațional a standardelor privind uleiul de măsline și ar trebui să instituie un cadru care să asigure o concurență echitabilă în comerțul cu produse din sectorul uleiului de măsline. Prin urmare, Uniunea ar trebui să sprijine adoptarea deciziilor respective.</w:t>
      </w:r>
    </w:p>
    <w:p w:rsidR="008D01CE" w:rsidRPr="00185983" w:rsidRDefault="008D01CE" w:rsidP="00C33A39">
      <w:pPr>
        <w:pStyle w:val="ManualConsidrant"/>
        <w:rPr>
          <w:noProof/>
        </w:rPr>
      </w:pPr>
      <w:r>
        <w:rPr>
          <w:noProof/>
        </w:rPr>
        <w:t>(5)</w:t>
      </w:r>
      <w:r>
        <w:rPr>
          <w:noProof/>
        </w:rPr>
        <w:tab/>
      </w:r>
      <w:r w:rsidRPr="00185983">
        <w:rPr>
          <w:noProof/>
        </w:rPr>
        <w:t>Este oportun să se stabilească poziția care trebuie să fie adoptată în numele Uniunii în cadrul Consiliului membrilor, întrucât deciziile care urmează să fie adoptate de IOC vor avea efecte juridice asupra Uniunii în ceea ce privește comerțul internațional cu ceilalți membri ai IOC și vor influența conținutul dreptului Uniunii, mai precis în ceea ce privește controalele de conformitate pentru uleiul de măsline adoptate de Comisie în temeiul articolului 90a din Regulamentul (UE) nr. 1308/2013 al Parlamentului European și al Consiliului</w:t>
      </w:r>
      <w:r w:rsidRPr="00185983">
        <w:rPr>
          <w:rStyle w:val="FootnoteReference"/>
          <w:noProof/>
        </w:rPr>
        <w:footnoteReference w:id="7"/>
      </w:r>
      <w:r w:rsidRPr="00185983">
        <w:rPr>
          <w:noProof/>
        </w:rPr>
        <w:t>.</w:t>
      </w:r>
    </w:p>
    <w:p w:rsidR="008D01CE" w:rsidRPr="00185983" w:rsidRDefault="008D01CE" w:rsidP="006D0675">
      <w:pPr>
        <w:pStyle w:val="ManualConsidrant"/>
        <w:rPr>
          <w:noProof/>
        </w:rPr>
      </w:pPr>
      <w:r>
        <w:rPr>
          <w:noProof/>
        </w:rPr>
        <w:lastRenderedPageBreak/>
        <w:t>(6)</w:t>
      </w:r>
      <w:r>
        <w:rPr>
          <w:noProof/>
        </w:rPr>
        <w:tab/>
      </w:r>
      <w:r w:rsidRPr="00185983">
        <w:rPr>
          <w:noProof/>
        </w:rPr>
        <w:t xml:space="preserve">Dacă, din cauza faptului că unii membri nu sunt în măsură să își dea acordul, adoptarea deciziilor este amânată în favoarea unui schimb de corespondență care să aibă loc înainte de cea de </w:t>
      </w:r>
      <w:bookmarkStart w:id="2" w:name="_Hlk225357182"/>
      <w:r w:rsidRPr="00185983">
        <w:rPr>
          <w:noProof/>
        </w:rPr>
        <w:t>a 124-a sesiune ordinară a Consiliul membrilor</w:t>
      </w:r>
      <w:bookmarkEnd w:id="2"/>
      <w:r w:rsidRPr="00185983">
        <w:rPr>
          <w:noProof/>
        </w:rPr>
        <w:t>, poziția stabilită în prezenta decizie ar trebui exprimată în numele Uniunii în cadrul schimbului de corespondență.</w:t>
      </w:r>
    </w:p>
    <w:p w:rsidR="008D01CE" w:rsidRPr="00185983" w:rsidRDefault="008D01CE" w:rsidP="008D01CE">
      <w:pPr>
        <w:pStyle w:val="ManualConsidrant"/>
        <w:rPr>
          <w:noProof/>
        </w:rPr>
      </w:pPr>
      <w:r>
        <w:rPr>
          <w:noProof/>
        </w:rPr>
        <w:t>(7)</w:t>
      </w:r>
      <w:r>
        <w:rPr>
          <w:noProof/>
        </w:rPr>
        <w:tab/>
      </w:r>
      <w:r w:rsidRPr="00185983">
        <w:rPr>
          <w:noProof/>
        </w:rPr>
        <w:t>Cu toate acestea, ar trebui să fie posibil ca reprezentanții Uniunii în Consiliul membrilor să convină asupra unor adaptări tehnice ale altor metode sau documente ale IOC, fără a fi necesară o altă decizie a Consiliului, în cazul în care respectivele adaptări tehnice rezultă din modificări legate de revizuirile celor două documente.</w:t>
      </w:r>
    </w:p>
    <w:p w:rsidR="00717C03" w:rsidRPr="00185983" w:rsidRDefault="008D01CE" w:rsidP="002E6601">
      <w:pPr>
        <w:pStyle w:val="ManualConsidrant"/>
        <w:rPr>
          <w:noProof/>
        </w:rPr>
      </w:pPr>
      <w:r>
        <w:rPr>
          <w:noProof/>
        </w:rPr>
        <w:t>(8)</w:t>
      </w:r>
      <w:r>
        <w:rPr>
          <w:noProof/>
        </w:rPr>
        <w:tab/>
      </w:r>
      <w:r w:rsidRPr="00185983">
        <w:rPr>
          <w:noProof/>
        </w:rPr>
        <w:t>În scopul apărării interesului Uniunii, reprezentanților Uniunii în Consiliul membrilor ar trebui, totuși, să li se permită să solicite amânarea adoptării deciziilor respective, dacă există probabilitatea ca poziția care trebuie adoptată în numele Uniunii să fie influențată de noi informații științifice sau tehnice prezentate înaintea celei de a 124-a sesiuni ordinare a Consiliului membrilor,</w:t>
      </w:r>
    </w:p>
    <w:p w:rsidR="00717C03" w:rsidRPr="00185983" w:rsidRDefault="00717C03" w:rsidP="00C92807">
      <w:pPr>
        <w:pStyle w:val="Formuledadoption"/>
        <w:rPr>
          <w:noProof/>
        </w:rPr>
      </w:pPr>
      <w:r w:rsidRPr="00185983">
        <w:rPr>
          <w:noProof/>
        </w:rPr>
        <w:t>ADOPTĂ PREZENTA DECIZIE:</w:t>
      </w:r>
    </w:p>
    <w:p w:rsidR="00717C03" w:rsidRPr="00185983" w:rsidRDefault="00717C03" w:rsidP="00C92807">
      <w:pPr>
        <w:pStyle w:val="Titrearticle"/>
        <w:rPr>
          <w:noProof/>
        </w:rPr>
      </w:pPr>
      <w:r w:rsidRPr="00185983">
        <w:rPr>
          <w:noProof/>
        </w:rPr>
        <w:t>Articolul 1</w:t>
      </w:r>
    </w:p>
    <w:p w:rsidR="00731039" w:rsidRPr="00185983" w:rsidRDefault="006D0675" w:rsidP="00C33A39">
      <w:pPr>
        <w:rPr>
          <w:noProof/>
        </w:rPr>
      </w:pPr>
      <w:r w:rsidRPr="00185983">
        <w:rPr>
          <w:noProof/>
        </w:rPr>
        <w:t>Uniunea sprijină adoptarea a două decizii referitoare la metoda evaluării organoleptice a uleiului de măsline virgin:</w:t>
      </w:r>
    </w:p>
    <w:p w:rsidR="00731039" w:rsidRPr="00185983" w:rsidRDefault="00731039" w:rsidP="00C635E0">
      <w:pPr>
        <w:pStyle w:val="Tiret0"/>
        <w:numPr>
          <w:ilvl w:val="0"/>
          <w:numId w:val="20"/>
        </w:numPr>
        <w:rPr>
          <w:noProof/>
        </w:rPr>
      </w:pPr>
      <w:r w:rsidRPr="00185983">
        <w:rPr>
          <w:noProof/>
        </w:rPr>
        <w:t>A treia versiune revizuită a documentului COI/T.20/Doc. nr. 5, „Pahar pentru degustarea uleiurilor”;</w:t>
      </w:r>
    </w:p>
    <w:p w:rsidR="00731039" w:rsidRPr="00185983" w:rsidRDefault="00731039" w:rsidP="00C635E0">
      <w:pPr>
        <w:pStyle w:val="Tiret0"/>
        <w:numPr>
          <w:ilvl w:val="0"/>
          <w:numId w:val="19"/>
        </w:numPr>
        <w:rPr>
          <w:noProof/>
        </w:rPr>
      </w:pPr>
      <w:r w:rsidRPr="00185983">
        <w:rPr>
          <w:noProof/>
        </w:rPr>
        <w:t>A doua versiune revizuită a documentului COI/T.20/Doc. nr. 6, „Ghid pentru instalarea unei săli de degustare”</w:t>
      </w:r>
    </w:p>
    <w:p w:rsidR="008334F0" w:rsidRPr="00185983" w:rsidRDefault="00300268" w:rsidP="00731039">
      <w:pPr>
        <w:rPr>
          <w:noProof/>
        </w:rPr>
      </w:pPr>
      <w:r w:rsidRPr="00185983">
        <w:rPr>
          <w:noProof/>
        </w:rPr>
        <w:t>de către Consiliul membrilor Consiliului Oleicol Internațional (IOC), în cadrul următoarei sesiuni ordinare a acestuia, în iunie 2026, sau în cadrul unui schimb de corespondență care să aibă loc înainte de cea de a 124-a sesiune ordinară.</w:t>
      </w:r>
    </w:p>
    <w:p w:rsidR="00717C03" w:rsidRPr="00185983" w:rsidRDefault="00717C03" w:rsidP="00C33A39">
      <w:pPr>
        <w:pStyle w:val="Titrearticle"/>
        <w:rPr>
          <w:noProof/>
        </w:rPr>
      </w:pPr>
      <w:r w:rsidRPr="00185983">
        <w:rPr>
          <w:noProof/>
        </w:rPr>
        <w:t>Articolul 2</w:t>
      </w:r>
    </w:p>
    <w:p w:rsidR="00717C03" w:rsidRPr="00185983" w:rsidRDefault="00ED3D15" w:rsidP="00C33A39">
      <w:pPr>
        <w:rPr>
          <w:noProof/>
        </w:rPr>
      </w:pPr>
      <w:r w:rsidRPr="00185983">
        <w:rPr>
          <w:noProof/>
        </w:rPr>
        <w:t>Reprezentanții Uniunii în Consiliul membrilor IOC pot să convină asupra unor adaptări tehnice ale altor metode sau documente ale IOC, fără a fi necesară o altă decizie a Consiliului, în cazul în care respectivele adaptări tehnice rezultă din modificările aduse celor două documente menționate la articolul 1.</w:t>
      </w:r>
    </w:p>
    <w:p w:rsidR="00717C03" w:rsidRPr="00185983" w:rsidRDefault="00717C03" w:rsidP="00C33A39">
      <w:pPr>
        <w:pStyle w:val="Titrearticle"/>
        <w:rPr>
          <w:noProof/>
        </w:rPr>
      </w:pPr>
      <w:r w:rsidRPr="00185983">
        <w:rPr>
          <w:noProof/>
        </w:rPr>
        <w:t>Articolul 3</w:t>
      </w:r>
    </w:p>
    <w:p w:rsidR="00717C03" w:rsidRPr="00185983" w:rsidRDefault="00300268" w:rsidP="00C33A39">
      <w:pPr>
        <w:rPr>
          <w:i/>
          <w:noProof/>
        </w:rPr>
      </w:pPr>
      <w:r w:rsidRPr="00185983">
        <w:rPr>
          <w:noProof/>
        </w:rPr>
        <w:t>Dacă există probabilitatea ca poziția menționată la articolul 1 să fie influențată de noi informații științifice sau tehnice prezentate înaintea următoarei sesiuni ordinare a Consiliului membrilor IOC, reprezentanții Uniunii solicită amânarea adoptării deciziilor respective până la stabilirea poziției Uniunii pe baza respectivelor noi informații.</w:t>
      </w:r>
    </w:p>
    <w:p w:rsidR="00300268" w:rsidRPr="00185983" w:rsidRDefault="00300268" w:rsidP="00216A32">
      <w:pPr>
        <w:pStyle w:val="Titrearticle"/>
        <w:rPr>
          <w:noProof/>
        </w:rPr>
      </w:pPr>
      <w:r w:rsidRPr="00185983">
        <w:rPr>
          <w:noProof/>
        </w:rPr>
        <w:lastRenderedPageBreak/>
        <w:t>Articolul 4</w:t>
      </w:r>
    </w:p>
    <w:p w:rsidR="00300268" w:rsidRPr="00185983" w:rsidRDefault="00300268" w:rsidP="00216A32">
      <w:pPr>
        <w:keepNext/>
        <w:keepLines/>
        <w:rPr>
          <w:noProof/>
        </w:rPr>
      </w:pPr>
      <w:r w:rsidRPr="00185983">
        <w:rPr>
          <w:noProof/>
        </w:rPr>
        <w:t>Prezenta decizie se adresează Comisiei.</w:t>
      </w:r>
    </w:p>
    <w:p w:rsidR="00717C03" w:rsidRPr="00185983" w:rsidRDefault="00185983" w:rsidP="00216A32">
      <w:pPr>
        <w:pStyle w:val="Fait"/>
        <w:rPr>
          <w:noProof/>
        </w:rPr>
      </w:pPr>
      <w:r>
        <w:rPr>
          <w:noProof/>
        </w:rPr>
        <w:t>Adoptată la Bruxelles,</w:t>
      </w:r>
    </w:p>
    <w:p w:rsidR="00717C03" w:rsidRPr="00185983" w:rsidRDefault="00717C03" w:rsidP="00216A32">
      <w:pPr>
        <w:pStyle w:val="Institutionquisigne"/>
        <w:rPr>
          <w:noProof/>
        </w:rPr>
      </w:pPr>
      <w:r w:rsidRPr="00185983">
        <w:rPr>
          <w:noProof/>
        </w:rPr>
        <w:tab/>
        <w:t>Pentru Consiliu</w:t>
      </w:r>
    </w:p>
    <w:p w:rsidR="00717C03" w:rsidRPr="00185983" w:rsidRDefault="00717C03" w:rsidP="00717C03">
      <w:pPr>
        <w:pStyle w:val="Personnequisigne"/>
        <w:rPr>
          <w:noProof/>
        </w:rPr>
      </w:pPr>
      <w:r w:rsidRPr="00185983">
        <w:rPr>
          <w:noProof/>
        </w:rPr>
        <w:tab/>
        <w:t>Președintele</w:t>
      </w:r>
    </w:p>
    <w:sectPr w:rsidR="00717C03" w:rsidRPr="00185983" w:rsidSect="005F0C46">
      <w:footnotePr>
        <w:numRestart w:val="eachSect"/>
      </w:footnotePr>
      <w:pgSz w:w="11907" w:h="16839"/>
      <w:pgMar w:top="1134" w:right="1417" w:bottom="1134" w:left="1417"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4472C" w:rsidRDefault="0064472C" w:rsidP="00717C03">
      <w:pPr>
        <w:spacing w:before="0" w:after="0"/>
      </w:pPr>
      <w:r>
        <w:separator/>
      </w:r>
    </w:p>
  </w:endnote>
  <w:endnote w:type="continuationSeparator" w:id="0">
    <w:p w:rsidR="0064472C" w:rsidRDefault="0064472C" w:rsidP="00717C03">
      <w:pPr>
        <w:spacing w:before="0" w:after="0"/>
      </w:pPr>
      <w:r>
        <w:continuationSeparator/>
      </w:r>
    </w:p>
  </w:endnote>
  <w:endnote w:type="continuationNotice" w:id="1">
    <w:p w:rsidR="0064472C" w:rsidRDefault="0064472C">
      <w:pPr>
        <w:spacing w:before="0"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00"/>
    <w:family w:val="roman"/>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F0C46" w:rsidRPr="005F0C46" w:rsidRDefault="005F0C46" w:rsidP="005F0C46">
    <w:pPr>
      <w:pStyle w:val="Footer"/>
      <w:rPr>
        <w:rFonts w:ascii="Arial" w:hAnsi="Arial" w:cs="Arial"/>
        <w:b/>
        <w:sz w:val="48"/>
      </w:rPr>
    </w:pPr>
    <w:r w:rsidRPr="005F0C46">
      <w:rPr>
        <w:rFonts w:ascii="Arial" w:hAnsi="Arial" w:cs="Arial"/>
        <w:b/>
        <w:sz w:val="48"/>
      </w:rPr>
      <w:t>RO</w:t>
    </w:r>
    <w:r w:rsidRPr="005F0C46">
      <w:rPr>
        <w:rFonts w:ascii="Arial" w:hAnsi="Arial" w:cs="Arial"/>
        <w:b/>
        <w:sz w:val="48"/>
      </w:rPr>
      <w:tab/>
    </w:r>
    <w:r w:rsidRPr="005F0C46">
      <w:rPr>
        <w:rFonts w:ascii="Arial" w:hAnsi="Arial" w:cs="Arial"/>
        <w:b/>
        <w:sz w:val="48"/>
      </w:rPr>
      <w:tab/>
    </w:r>
    <w:r w:rsidRPr="005F0C46">
      <w:tab/>
    </w:r>
    <w:r w:rsidRPr="005F0C46">
      <w:rPr>
        <w:rFonts w:ascii="Arial" w:hAnsi="Arial" w:cs="Arial"/>
        <w:b/>
        <w:sz w:val="48"/>
      </w:rPr>
      <w:t>RO</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F0C46" w:rsidRPr="005F0C46" w:rsidRDefault="005F0C46" w:rsidP="005F0C46">
    <w:pPr>
      <w:pStyle w:val="Footer"/>
      <w:rPr>
        <w:rFonts w:ascii="Arial" w:hAnsi="Arial" w:cs="Arial"/>
        <w:b/>
        <w:sz w:val="48"/>
      </w:rPr>
    </w:pPr>
    <w:r w:rsidRPr="005F0C46">
      <w:rPr>
        <w:rFonts w:ascii="Arial" w:hAnsi="Arial" w:cs="Arial"/>
        <w:b/>
        <w:sz w:val="48"/>
      </w:rPr>
      <w:t>RO</w:t>
    </w:r>
    <w:r w:rsidRPr="005F0C46">
      <w:rPr>
        <w:rFonts w:ascii="Arial" w:hAnsi="Arial" w:cs="Arial"/>
        <w:b/>
        <w:sz w:val="48"/>
      </w:rPr>
      <w:tab/>
    </w:r>
    <w:r w:rsidRPr="005F0C46">
      <w:rPr>
        <w:rFonts w:ascii="Arial" w:hAnsi="Arial" w:cs="Arial"/>
        <w:b/>
        <w:sz w:val="48"/>
      </w:rPr>
      <w:tab/>
    </w:r>
    <w:r w:rsidRPr="005F0C46">
      <w:tab/>
    </w:r>
    <w:r w:rsidRPr="005F0C46">
      <w:rPr>
        <w:rFonts w:ascii="Arial" w:hAnsi="Arial" w:cs="Arial"/>
        <w:b/>
        <w:sz w:val="48"/>
      </w:rPr>
      <w:t>RO</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F0C46" w:rsidRDefault="005F0C46">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F0C46" w:rsidRPr="005F0C46" w:rsidRDefault="005F0C46" w:rsidP="005F0C46">
    <w:pPr>
      <w:pStyle w:val="Footer"/>
      <w:rPr>
        <w:rFonts w:ascii="Arial" w:hAnsi="Arial" w:cs="Arial"/>
        <w:b/>
        <w:sz w:val="48"/>
      </w:rPr>
    </w:pPr>
    <w:r w:rsidRPr="005F0C46">
      <w:rPr>
        <w:rFonts w:ascii="Arial" w:hAnsi="Arial" w:cs="Arial"/>
        <w:b/>
        <w:sz w:val="48"/>
      </w:rPr>
      <w:t>RO</w:t>
    </w:r>
    <w:r w:rsidRPr="005F0C46">
      <w:rPr>
        <w:rFonts w:ascii="Arial" w:hAnsi="Arial" w:cs="Arial"/>
        <w:b/>
        <w:sz w:val="48"/>
      </w:rPr>
      <w:tab/>
    </w:r>
    <w:r>
      <w:fldChar w:fldCharType="begin"/>
    </w:r>
    <w:r>
      <w:instrText xml:space="preserve"> PAGE  \* MERGEFORMAT </w:instrText>
    </w:r>
    <w:r>
      <w:fldChar w:fldCharType="separate"/>
    </w:r>
    <w:r w:rsidR="00216A32">
      <w:rPr>
        <w:noProof/>
      </w:rPr>
      <w:t>2</w:t>
    </w:r>
    <w:r>
      <w:fldChar w:fldCharType="end"/>
    </w:r>
    <w:r>
      <w:tab/>
    </w:r>
    <w:r w:rsidRPr="005F0C46">
      <w:tab/>
    </w:r>
    <w:r w:rsidRPr="005F0C46">
      <w:rPr>
        <w:rFonts w:ascii="Arial" w:hAnsi="Arial" w:cs="Arial"/>
        <w:b/>
        <w:sz w:val="48"/>
      </w:rPr>
      <w:t>RO</w:t>
    </w: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F0C46" w:rsidRDefault="005F0C46" w:rsidP="005F0C4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4472C" w:rsidRDefault="0064472C" w:rsidP="00717C03">
      <w:pPr>
        <w:spacing w:before="0" w:after="0"/>
      </w:pPr>
      <w:r>
        <w:separator/>
      </w:r>
    </w:p>
  </w:footnote>
  <w:footnote w:type="continuationSeparator" w:id="0">
    <w:p w:rsidR="0064472C" w:rsidRDefault="0064472C" w:rsidP="00717C03">
      <w:pPr>
        <w:spacing w:before="0" w:after="0"/>
      </w:pPr>
      <w:r>
        <w:continuationSeparator/>
      </w:r>
    </w:p>
  </w:footnote>
  <w:footnote w:type="continuationNotice" w:id="1">
    <w:p w:rsidR="0064472C" w:rsidRDefault="0064472C">
      <w:pPr>
        <w:spacing w:before="0" w:after="0"/>
      </w:pPr>
    </w:p>
  </w:footnote>
  <w:footnote w:id="2">
    <w:p w:rsidR="002C193B" w:rsidRPr="00D0154C" w:rsidRDefault="002C193B" w:rsidP="002C193B">
      <w:pPr>
        <w:pStyle w:val="FootnoteText"/>
      </w:pPr>
      <w:r>
        <w:rPr>
          <w:rStyle w:val="FootnoteReference"/>
        </w:rPr>
        <w:footnoteRef/>
      </w:r>
      <w:r>
        <w:tab/>
        <w:t xml:space="preserve">Decizia (UE) 2016/1892 a Consiliului din 10 octombrie 2016 privind semnarea, în numele Uniunii Europene, și aplicarea provizorie a Acordului internațional din 2015 cu privire la uleiul de măsline și măslinele de masă (JO L 293, 28.10.2016, p. 2) și Decizia (UE) 2019/848 a Consiliului din 17 mai 2019 privind încheierea în numele Uniunii Europene a Acordului internațional din 2015 cu privire la uleiul de măsline și măslinele de masă (JO L 139, 27.5.2019, p. 1); ELI: </w:t>
      </w:r>
      <w:hyperlink r:id="rId1" w:history="1">
        <w:r>
          <w:rPr>
            <w:rStyle w:val="Hyperlink"/>
          </w:rPr>
          <w:t>http://data.europa.eu/eli/dec/2016/1892/oj</w:t>
        </w:r>
      </w:hyperlink>
    </w:p>
  </w:footnote>
  <w:footnote w:id="3">
    <w:p w:rsidR="002C193B" w:rsidRPr="00F0120E" w:rsidRDefault="002C193B" w:rsidP="002C193B">
      <w:pPr>
        <w:pStyle w:val="FootnoteText"/>
      </w:pPr>
      <w:r>
        <w:rPr>
          <w:rStyle w:val="FootnoteReference"/>
        </w:rPr>
        <w:footnoteRef/>
      </w:r>
      <w:r>
        <w:tab/>
        <w:t xml:space="preserve">Regulamentul (UE) nr. 1308/2013 al Parlamentului European și al Consiliului din 17 decembrie 2013 de instituire a unei organizări comune a piețelor produselor agricole și de abrogare a Regulamentelor (CEE) nr. 922/72, (CEE) nr. 234/79, (CE) nr. 1037/2001 și (CE) nr. 1234/2007 ale Consiliului (JO L 347, 20.12.2013, p. 671); ELI: </w:t>
      </w:r>
      <w:hyperlink r:id="rId2" w:tooltip="Oferă acces la acest document prin identificatorul său uniform de resurse ELI." w:history="1">
        <w:r>
          <w:rPr>
            <w:color w:val="0000FF"/>
            <w:u w:val="single"/>
          </w:rPr>
          <w:t>http://data.europa.eu/eli/reg/2013/1308/2023-01-01</w:t>
        </w:r>
      </w:hyperlink>
    </w:p>
  </w:footnote>
  <w:footnote w:id="4">
    <w:p w:rsidR="004C16EE" w:rsidRPr="004C16EE" w:rsidRDefault="004C16EE">
      <w:pPr>
        <w:pStyle w:val="FootnoteText"/>
      </w:pPr>
      <w:r>
        <w:rPr>
          <w:rStyle w:val="FootnoteReference"/>
        </w:rPr>
        <w:footnoteRef/>
      </w:r>
      <w:r>
        <w:tab/>
        <w:t xml:space="preserve">JO L 284, 4.11.2022, p. 23; ELI: </w:t>
      </w:r>
      <w:hyperlink r:id="rId3" w:history="1">
        <w:r>
          <w:rPr>
            <w:rStyle w:val="Hyperlink"/>
          </w:rPr>
          <w:t>http://data.europa.eu/eli/reg_impl/2022/2105/2022-11-04</w:t>
        </w:r>
      </w:hyperlink>
    </w:p>
  </w:footnote>
  <w:footnote w:id="5">
    <w:p w:rsidR="008D01CE" w:rsidRPr="00B035F8" w:rsidRDefault="008D01CE" w:rsidP="008D01CE">
      <w:pPr>
        <w:pStyle w:val="FootnoteText"/>
      </w:pPr>
      <w:r>
        <w:rPr>
          <w:rStyle w:val="FootnoteReference"/>
        </w:rPr>
        <w:footnoteRef/>
      </w:r>
      <w:r>
        <w:tab/>
        <w:t>Hotărârea Curții de Justiție din 7 octombrie 2014, Germania/Consiliu, C-399/12, ECLI:EU:C:2014:2258, punctele 61-64.</w:t>
      </w:r>
    </w:p>
  </w:footnote>
  <w:footnote w:id="6">
    <w:p w:rsidR="008D01CE" w:rsidRPr="000D4438" w:rsidRDefault="008D01CE" w:rsidP="008D01CE">
      <w:pPr>
        <w:pStyle w:val="FootnoteText"/>
      </w:pPr>
      <w:r>
        <w:rPr>
          <w:rStyle w:val="FootnoteReference"/>
        </w:rPr>
        <w:footnoteRef/>
      </w:r>
      <w:r>
        <w:tab/>
        <w:t xml:space="preserve">Decizia (UE) 2019/848 a Consiliului din 17 mai 2019 privind încheierea în numele Uniunii Europene a Acordului internațional din 2015 cu privire la uleiul de măsline și măslinele de masă (JO L 139, 27.5.2019, p. 1, ELI: </w:t>
      </w:r>
      <w:hyperlink r:id="rId4" w:history="1">
        <w:r>
          <w:rPr>
            <w:rStyle w:val="Hyperlink"/>
          </w:rPr>
          <w:t>http://data.europa.eu/eli/dec/2019/848/oj</w:t>
        </w:r>
      </w:hyperlink>
      <w:r>
        <w:t>).</w:t>
      </w:r>
    </w:p>
  </w:footnote>
  <w:footnote w:id="7">
    <w:p w:rsidR="008D01CE" w:rsidRPr="000B0CDE" w:rsidRDefault="008D01CE" w:rsidP="008D01CE">
      <w:pPr>
        <w:pStyle w:val="FootnoteText"/>
      </w:pPr>
      <w:r>
        <w:rPr>
          <w:rStyle w:val="FootnoteReference"/>
        </w:rPr>
        <w:footnoteRef/>
      </w:r>
      <w:r>
        <w:tab/>
        <w:t xml:space="preserve">Regulamentul (UE) nr. 1308/2013 al Parlamentului European și al Consiliului din 17 decembrie 2013 de instituire a unei organizări comune a piețelor produselor agricole și de abrogare a Regulamentelor (CEE) nr. 922/72, (CEE) nr. 234/79, (CE) nr. 1037/2001 și (CE) nr. 1234/2007 ale Consiliului (JO L 347, 20.12.2013, p. 671; ELI: </w:t>
      </w:r>
      <w:hyperlink r:id="rId5" w:tooltip="Oferă acces la acest document prin identificatorul său uniform de resurse ELI." w:history="1">
        <w:r>
          <w:rPr>
            <w:color w:val="0000FF"/>
            <w:u w:val="single"/>
          </w:rPr>
          <w:t>http://data.europa.eu/eli/reg/2013/1308/2023-01-01</w:t>
        </w:r>
      </w:hyperlink>
      <w:r>
        <w:rPr>
          <w:color w:val="0000FF"/>
          <w:u w:val="single"/>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F0C46" w:rsidRDefault="005F0C4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F0C46" w:rsidRDefault="005F0C4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62C6A95"/>
    <w:multiLevelType w:val="singleLevel"/>
    <w:tmpl w:val="02BAFA82"/>
    <w:name w:val="List Bullet 1"/>
    <w:lvl w:ilvl="0">
      <w:start w:val="1"/>
      <w:numFmt w:val="bullet"/>
      <w:lvlRestart w:val="0"/>
      <w:pStyle w:val="ListBullet1"/>
      <w:lvlText w:val=""/>
      <w:lvlJc w:val="left"/>
      <w:pPr>
        <w:tabs>
          <w:tab w:val="num" w:pos="1134"/>
        </w:tabs>
        <w:ind w:left="1134" w:hanging="283"/>
      </w:pPr>
      <w:rPr>
        <w:rFonts w:ascii="Symbol" w:hAnsi="Symbol" w:hint="default"/>
      </w:rPr>
    </w:lvl>
  </w:abstractNum>
  <w:abstractNum w:abstractNumId="1" w15:restartNumberingAfterBreak="0">
    <w:nsid w:val="128364B0"/>
    <w:multiLevelType w:val="singleLevel"/>
    <w:tmpl w:val="D084FB54"/>
    <w:lvl w:ilvl="0">
      <w:start w:val="1"/>
      <w:numFmt w:val="bullet"/>
      <w:pStyle w:val="ListDash3"/>
      <w:lvlText w:val="–"/>
      <w:lvlJc w:val="left"/>
      <w:pPr>
        <w:tabs>
          <w:tab w:val="num" w:pos="1134"/>
        </w:tabs>
        <w:ind w:left="1134" w:hanging="283"/>
      </w:pPr>
      <w:rPr>
        <w:rFonts w:ascii="Times New Roman" w:hAnsi="Times New Roman"/>
      </w:rPr>
    </w:lvl>
  </w:abstractNum>
  <w:abstractNum w:abstractNumId="2" w15:restartNumberingAfterBreak="0">
    <w:nsid w:val="13E4330B"/>
    <w:multiLevelType w:val="multilevel"/>
    <w:tmpl w:val="875C4416"/>
    <w:name w:val="List Dash 3"/>
    <w:lvl w:ilvl="0">
      <w:start w:val="1"/>
      <w:numFmt w:val="decimal"/>
      <w:pStyle w:val="ListNumber1"/>
      <w:lvlText w:val="(%1)"/>
      <w:lvlJc w:val="left"/>
      <w:pPr>
        <w:tabs>
          <w:tab w:val="num" w:pos="1560"/>
        </w:tabs>
        <w:ind w:left="1560" w:hanging="709"/>
      </w:pPr>
      <w:rPr>
        <w:rFonts w:cs="Times New Roman"/>
      </w:rPr>
    </w:lvl>
    <w:lvl w:ilvl="1">
      <w:start w:val="1"/>
      <w:numFmt w:val="lowerLetter"/>
      <w:pStyle w:val="ListNumber1Level2"/>
      <w:lvlText w:val="(%2)"/>
      <w:lvlJc w:val="left"/>
      <w:pPr>
        <w:tabs>
          <w:tab w:val="num" w:pos="2268"/>
        </w:tabs>
        <w:ind w:left="2268" w:hanging="708"/>
      </w:pPr>
      <w:rPr>
        <w:rFonts w:cs="Times New Roman"/>
      </w:rPr>
    </w:lvl>
    <w:lvl w:ilvl="2">
      <w:start w:val="1"/>
      <w:numFmt w:val="bullet"/>
      <w:pStyle w:val="ListNumber1Level3"/>
      <w:lvlText w:val="–"/>
      <w:lvlJc w:val="left"/>
      <w:pPr>
        <w:tabs>
          <w:tab w:val="num" w:pos="2977"/>
        </w:tabs>
        <w:ind w:left="2977" w:hanging="709"/>
      </w:pPr>
      <w:rPr>
        <w:rFonts w:ascii="Times New Roman" w:hAnsi="Times New Roman"/>
      </w:rPr>
    </w:lvl>
    <w:lvl w:ilvl="3">
      <w:start w:val="1"/>
      <w:numFmt w:val="bullet"/>
      <w:pStyle w:val="ListNumber1Level4"/>
      <w:lvlText w:val=""/>
      <w:lvlJc w:val="left"/>
      <w:pPr>
        <w:tabs>
          <w:tab w:val="num" w:pos="3686"/>
        </w:tabs>
        <w:ind w:left="3686" w:hanging="709"/>
      </w:pPr>
      <w:rPr>
        <w:rFonts w:ascii="Symbol" w:hAnsi="Symbol" w:hint="default"/>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3" w15:restartNumberingAfterBreak="0">
    <w:nsid w:val="1B3C78B8"/>
    <w:multiLevelType w:val="multilevel"/>
    <w:tmpl w:val="2ED4F4D0"/>
    <w:name w:val="Point"/>
    <w:lvl w:ilvl="0">
      <w:start w:val="1"/>
      <w:numFmt w:val="decimal"/>
      <w:lvlRestart w:val="0"/>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4" w15:restartNumberingAfterBreak="0">
    <w:nsid w:val="22E44180"/>
    <w:multiLevelType w:val="multilevel"/>
    <w:tmpl w:val="DFC88CEC"/>
    <w:name w:val="NumPar"/>
    <w:lvl w:ilvl="0">
      <w:start w:val="1"/>
      <w:numFmt w:val="decimal"/>
      <w:lvlRestart w:val="0"/>
      <w:pStyle w:val="NumPar1"/>
      <w:lvlText w:val="%1."/>
      <w:lvlJc w:val="left"/>
      <w:pPr>
        <w:tabs>
          <w:tab w:val="num" w:pos="850"/>
        </w:tabs>
        <w:ind w:left="850" w:hanging="850"/>
      </w:p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decimal"/>
      <w:pStyle w:val="NumPar5"/>
      <w:lvlText w:val="%1.%2.%3.%4.%5."/>
      <w:lvlJc w:val="left"/>
      <w:pPr>
        <w:tabs>
          <w:tab w:val="num" w:pos="1417"/>
        </w:tabs>
        <w:ind w:left="1417" w:hanging="1417"/>
      </w:pPr>
    </w:lvl>
    <w:lvl w:ilvl="5">
      <w:start w:val="1"/>
      <w:numFmt w:val="decimal"/>
      <w:pStyle w:val="NumPar6"/>
      <w:lvlText w:val="%1.%2.%3.%4.%5.%6."/>
      <w:lvlJc w:val="left"/>
      <w:pPr>
        <w:tabs>
          <w:tab w:val="num" w:pos="1417"/>
        </w:tabs>
        <w:ind w:left="1417" w:hanging="1417"/>
      </w:pPr>
    </w:lvl>
    <w:lvl w:ilvl="6">
      <w:start w:val="1"/>
      <w:numFmt w:val="decimal"/>
      <w:pStyle w:val="NumPar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5" w15:restartNumberingAfterBreak="0">
    <w:nsid w:val="2CB72C6E"/>
    <w:multiLevelType w:val="singleLevel"/>
    <w:tmpl w:val="10ACD464"/>
    <w:name w:val="Bullet 3"/>
    <w:lvl w:ilvl="0">
      <w:start w:val="1"/>
      <w:numFmt w:val="bullet"/>
      <w:lvlRestart w:val="0"/>
      <w:pStyle w:val="Bullet3"/>
      <w:lvlText w:val=""/>
      <w:lvlJc w:val="left"/>
      <w:pPr>
        <w:tabs>
          <w:tab w:val="num" w:pos="2551"/>
        </w:tabs>
        <w:ind w:left="2551" w:hanging="567"/>
      </w:pPr>
      <w:rPr>
        <w:rFonts w:ascii="Symbol" w:hAnsi="Symbol" w:hint="default"/>
      </w:rPr>
    </w:lvl>
  </w:abstractNum>
  <w:abstractNum w:abstractNumId="6" w15:restartNumberingAfterBreak="0">
    <w:nsid w:val="2CE9221F"/>
    <w:multiLevelType w:val="singleLevel"/>
    <w:tmpl w:val="9B4AFB48"/>
    <w:name w:val="Tiret 3"/>
    <w:lvl w:ilvl="0">
      <w:start w:val="1"/>
      <w:numFmt w:val="bullet"/>
      <w:lvlRestart w:val="0"/>
      <w:pStyle w:val="Tiret3"/>
      <w:lvlText w:val="–"/>
      <w:lvlJc w:val="left"/>
      <w:pPr>
        <w:tabs>
          <w:tab w:val="num" w:pos="2551"/>
        </w:tabs>
        <w:ind w:left="2551" w:hanging="567"/>
      </w:pPr>
    </w:lvl>
  </w:abstractNum>
  <w:abstractNum w:abstractNumId="7" w15:restartNumberingAfterBreak="0">
    <w:nsid w:val="2D293CE3"/>
    <w:multiLevelType w:val="multilevel"/>
    <w:tmpl w:val="8D7C4D2A"/>
    <w:lvl w:ilvl="0">
      <w:start w:val="1"/>
      <w:numFmt w:val="decimal"/>
      <w:pStyle w:val="LegalNumPar"/>
      <w:lvlText w:val="%1."/>
      <w:lvlJc w:val="left"/>
      <w:pPr>
        <w:ind w:left="476" w:hanging="476"/>
      </w:pPr>
      <w:rPr>
        <w:rFonts w:hint="default"/>
      </w:rPr>
    </w:lvl>
    <w:lvl w:ilvl="1">
      <w:start w:val="1"/>
      <w:numFmt w:val="lowerLetter"/>
      <w:pStyle w:val="LegalNumPar2"/>
      <w:lvlText w:val="%2."/>
      <w:lvlJc w:val="left"/>
      <w:pPr>
        <w:ind w:left="953" w:hanging="477"/>
      </w:pPr>
      <w:rPr>
        <w:rFonts w:hint="default"/>
      </w:rPr>
    </w:lvl>
    <w:lvl w:ilvl="2">
      <w:start w:val="1"/>
      <w:numFmt w:val="lowerRoman"/>
      <w:pStyle w:val="LegalNumPar3"/>
      <w:lvlText w:val="%3."/>
      <w:lvlJc w:val="left"/>
      <w:pPr>
        <w:ind w:left="1429" w:hanging="476"/>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8" w15:restartNumberingAfterBreak="0">
    <w:nsid w:val="2D820C1F"/>
    <w:multiLevelType w:val="singleLevel"/>
    <w:tmpl w:val="7896AADE"/>
    <w:name w:val="List Dash"/>
    <w:lvl w:ilvl="0">
      <w:start w:val="1"/>
      <w:numFmt w:val="bullet"/>
      <w:lvlRestart w:val="0"/>
      <w:pStyle w:val="ListDash"/>
      <w:lvlText w:val="–"/>
      <w:lvlJc w:val="left"/>
      <w:pPr>
        <w:tabs>
          <w:tab w:val="num" w:pos="283"/>
        </w:tabs>
        <w:ind w:left="283" w:hanging="283"/>
      </w:pPr>
      <w:rPr>
        <w:rFonts w:ascii="Times New Roman" w:hAnsi="Times New Roman" w:cs="Times New Roman"/>
      </w:rPr>
    </w:lvl>
  </w:abstractNum>
  <w:abstractNum w:abstractNumId="9" w15:restartNumberingAfterBreak="0">
    <w:nsid w:val="2F191641"/>
    <w:multiLevelType w:val="multilevel"/>
    <w:tmpl w:val="B67C4E92"/>
    <w:lvl w:ilvl="0">
      <w:start w:val="1"/>
      <w:numFmt w:val="decimal"/>
      <w:pStyle w:val="ListNumber3"/>
      <w:lvlText w:val="(%1)"/>
      <w:lvlJc w:val="left"/>
      <w:pPr>
        <w:tabs>
          <w:tab w:val="num" w:pos="1560"/>
        </w:tabs>
        <w:ind w:left="1560" w:hanging="709"/>
      </w:pPr>
      <w:rPr>
        <w:rFonts w:cs="Times New Roman"/>
      </w:rPr>
    </w:lvl>
    <w:lvl w:ilvl="1">
      <w:start w:val="1"/>
      <w:numFmt w:val="lowerLetter"/>
      <w:pStyle w:val="ListNumber3Level2"/>
      <w:lvlText w:val="(%2)"/>
      <w:lvlJc w:val="left"/>
      <w:pPr>
        <w:tabs>
          <w:tab w:val="num" w:pos="2268"/>
        </w:tabs>
        <w:ind w:left="2268" w:hanging="708"/>
      </w:pPr>
      <w:rPr>
        <w:rFonts w:cs="Times New Roman"/>
      </w:rPr>
    </w:lvl>
    <w:lvl w:ilvl="2">
      <w:start w:val="1"/>
      <w:numFmt w:val="bullet"/>
      <w:pStyle w:val="ListNumber3Level3"/>
      <w:lvlText w:val="–"/>
      <w:lvlJc w:val="left"/>
      <w:pPr>
        <w:tabs>
          <w:tab w:val="num" w:pos="2977"/>
        </w:tabs>
        <w:ind w:left="2977" w:hanging="709"/>
      </w:pPr>
      <w:rPr>
        <w:rFonts w:ascii="Times New Roman" w:hAnsi="Times New Roman"/>
      </w:rPr>
    </w:lvl>
    <w:lvl w:ilvl="3">
      <w:start w:val="1"/>
      <w:numFmt w:val="bullet"/>
      <w:pStyle w:val="ListNumber3Level4"/>
      <w:lvlText w:val=""/>
      <w:lvlJc w:val="left"/>
      <w:pPr>
        <w:tabs>
          <w:tab w:val="num" w:pos="3686"/>
        </w:tabs>
        <w:ind w:left="3686" w:hanging="709"/>
      </w:pPr>
      <w:rPr>
        <w:rFonts w:ascii="Symbol" w:hAnsi="Symbol" w:hint="default"/>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10" w15:restartNumberingAfterBreak="0">
    <w:nsid w:val="31CD398A"/>
    <w:multiLevelType w:val="singleLevel"/>
    <w:tmpl w:val="0276BF00"/>
    <w:lvl w:ilvl="0">
      <w:start w:val="1"/>
      <w:numFmt w:val="bullet"/>
      <w:pStyle w:val="ListDash4"/>
      <w:lvlText w:val="–"/>
      <w:lvlJc w:val="left"/>
      <w:pPr>
        <w:tabs>
          <w:tab w:val="num" w:pos="1134"/>
        </w:tabs>
        <w:ind w:left="1134" w:hanging="283"/>
      </w:pPr>
      <w:rPr>
        <w:rFonts w:ascii="Times New Roman" w:hAnsi="Times New Roman"/>
      </w:rPr>
    </w:lvl>
  </w:abstractNum>
  <w:abstractNum w:abstractNumId="11" w15:restartNumberingAfterBreak="0">
    <w:nsid w:val="398C015E"/>
    <w:multiLevelType w:val="multilevel"/>
    <w:tmpl w:val="027A66BA"/>
    <w:name w:val="List Dash 4"/>
    <w:lvl w:ilvl="0">
      <w:start w:val="1"/>
      <w:numFmt w:val="decimal"/>
      <w:pStyle w:val="ListNumber2"/>
      <w:lvlText w:val="(%1)"/>
      <w:lvlJc w:val="left"/>
      <w:pPr>
        <w:tabs>
          <w:tab w:val="num" w:pos="1560"/>
        </w:tabs>
        <w:ind w:left="1560" w:hanging="709"/>
      </w:pPr>
      <w:rPr>
        <w:rFonts w:cs="Times New Roman"/>
      </w:rPr>
    </w:lvl>
    <w:lvl w:ilvl="1">
      <w:start w:val="1"/>
      <w:numFmt w:val="lowerLetter"/>
      <w:pStyle w:val="ListNumber2Level2"/>
      <w:lvlText w:val="(%2)"/>
      <w:lvlJc w:val="left"/>
      <w:pPr>
        <w:tabs>
          <w:tab w:val="num" w:pos="2268"/>
        </w:tabs>
        <w:ind w:left="2268" w:hanging="708"/>
      </w:pPr>
      <w:rPr>
        <w:rFonts w:cs="Times New Roman"/>
      </w:rPr>
    </w:lvl>
    <w:lvl w:ilvl="2">
      <w:start w:val="1"/>
      <w:numFmt w:val="bullet"/>
      <w:pStyle w:val="ListNumber2Level3"/>
      <w:lvlText w:val="–"/>
      <w:lvlJc w:val="left"/>
      <w:pPr>
        <w:tabs>
          <w:tab w:val="num" w:pos="2977"/>
        </w:tabs>
        <w:ind w:left="2977" w:hanging="709"/>
      </w:pPr>
      <w:rPr>
        <w:rFonts w:ascii="Times New Roman" w:hAnsi="Times New Roman"/>
      </w:rPr>
    </w:lvl>
    <w:lvl w:ilvl="3">
      <w:start w:val="1"/>
      <w:numFmt w:val="bullet"/>
      <w:pStyle w:val="ListNumber2Level4"/>
      <w:lvlText w:val=""/>
      <w:lvlJc w:val="left"/>
      <w:pPr>
        <w:tabs>
          <w:tab w:val="num" w:pos="3686"/>
        </w:tabs>
        <w:ind w:left="3686" w:hanging="709"/>
      </w:pPr>
      <w:rPr>
        <w:rFonts w:ascii="Symbol" w:hAnsi="Symbol" w:hint="default"/>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12" w15:restartNumberingAfterBreak="0">
    <w:nsid w:val="42713452"/>
    <w:multiLevelType w:val="singleLevel"/>
    <w:tmpl w:val="3B8CC7EA"/>
    <w:name w:val="Tiret 1"/>
    <w:lvl w:ilvl="0">
      <w:start w:val="1"/>
      <w:numFmt w:val="bullet"/>
      <w:lvlRestart w:val="0"/>
      <w:pStyle w:val="Tiret1"/>
      <w:lvlText w:val="–"/>
      <w:lvlJc w:val="left"/>
      <w:pPr>
        <w:tabs>
          <w:tab w:val="num" w:pos="1417"/>
        </w:tabs>
        <w:ind w:left="1417" w:hanging="567"/>
      </w:pPr>
    </w:lvl>
  </w:abstractNum>
  <w:abstractNum w:abstractNumId="13" w15:restartNumberingAfterBreak="0">
    <w:nsid w:val="42FC0772"/>
    <w:multiLevelType w:val="singleLevel"/>
    <w:tmpl w:val="4128FCF8"/>
    <w:name w:val="Tiret 4"/>
    <w:lvl w:ilvl="0">
      <w:start w:val="1"/>
      <w:numFmt w:val="bullet"/>
      <w:lvlRestart w:val="0"/>
      <w:pStyle w:val="Tiret4"/>
      <w:lvlText w:val="–"/>
      <w:lvlJc w:val="left"/>
      <w:pPr>
        <w:tabs>
          <w:tab w:val="num" w:pos="3118"/>
        </w:tabs>
        <w:ind w:left="3118" w:hanging="567"/>
      </w:pPr>
    </w:lvl>
  </w:abstractNum>
  <w:abstractNum w:abstractNumId="14" w15:restartNumberingAfterBreak="0">
    <w:nsid w:val="42FC077D"/>
    <w:multiLevelType w:val="singleLevel"/>
    <w:tmpl w:val="4128FD03"/>
    <w:name w:val="Tiret 5"/>
    <w:lvl w:ilvl="0">
      <w:start w:val="1"/>
      <w:numFmt w:val="bullet"/>
      <w:lvlRestart w:val="0"/>
      <w:pStyle w:val="Tiret5"/>
      <w:lvlText w:val="–"/>
      <w:lvlJc w:val="left"/>
      <w:pPr>
        <w:tabs>
          <w:tab w:val="num" w:pos="3685"/>
        </w:tabs>
        <w:ind w:left="3685" w:hanging="567"/>
      </w:pPr>
    </w:lvl>
  </w:abstractNum>
  <w:abstractNum w:abstractNumId="15" w15:restartNumberingAfterBreak="0">
    <w:nsid w:val="4552127F"/>
    <w:multiLevelType w:val="singleLevel"/>
    <w:tmpl w:val="057A5296"/>
    <w:name w:val="Bullet 0"/>
    <w:lvl w:ilvl="0">
      <w:start w:val="1"/>
      <w:numFmt w:val="bullet"/>
      <w:lvlRestart w:val="0"/>
      <w:pStyle w:val="Bullet0"/>
      <w:lvlText w:val=""/>
      <w:lvlJc w:val="left"/>
      <w:pPr>
        <w:tabs>
          <w:tab w:val="num" w:pos="850"/>
        </w:tabs>
        <w:ind w:left="850" w:hanging="850"/>
      </w:pPr>
      <w:rPr>
        <w:rFonts w:ascii="Symbol" w:hAnsi="Symbol" w:hint="default"/>
      </w:rPr>
    </w:lvl>
  </w:abstractNum>
  <w:abstractNum w:abstractNumId="16" w15:restartNumberingAfterBreak="0">
    <w:nsid w:val="489D74ED"/>
    <w:multiLevelType w:val="singleLevel"/>
    <w:tmpl w:val="C2E2F936"/>
    <w:name w:val="List Dash 2"/>
    <w:lvl w:ilvl="0">
      <w:start w:val="1"/>
      <w:numFmt w:val="bullet"/>
      <w:lvlRestart w:val="0"/>
      <w:pStyle w:val="ListDash2"/>
      <w:lvlText w:val="–"/>
      <w:lvlJc w:val="left"/>
      <w:pPr>
        <w:tabs>
          <w:tab w:val="num" w:pos="1134"/>
        </w:tabs>
        <w:ind w:left="1134" w:hanging="283"/>
      </w:pPr>
      <w:rPr>
        <w:rFonts w:ascii="Times New Roman" w:hAnsi="Times New Roman" w:cs="Times New Roman"/>
      </w:rPr>
    </w:lvl>
  </w:abstractNum>
  <w:abstractNum w:abstractNumId="17" w15:restartNumberingAfterBreak="0">
    <w:nsid w:val="4D0C058A"/>
    <w:multiLevelType w:val="singleLevel"/>
    <w:tmpl w:val="BAE8D90E"/>
    <w:name w:val="List Dash 1"/>
    <w:lvl w:ilvl="0">
      <w:start w:val="1"/>
      <w:numFmt w:val="bullet"/>
      <w:lvlRestart w:val="0"/>
      <w:pStyle w:val="ListDash1"/>
      <w:lvlText w:val="–"/>
      <w:lvlJc w:val="left"/>
      <w:pPr>
        <w:tabs>
          <w:tab w:val="num" w:pos="1134"/>
        </w:tabs>
        <w:ind w:left="1134" w:hanging="283"/>
      </w:pPr>
      <w:rPr>
        <w:rFonts w:ascii="Times New Roman" w:hAnsi="Times New Roman" w:cs="Times New Roman"/>
      </w:rPr>
    </w:lvl>
  </w:abstractNum>
  <w:abstractNum w:abstractNumId="18" w15:restartNumberingAfterBreak="0">
    <w:nsid w:val="542A1204"/>
    <w:multiLevelType w:val="multilevel"/>
    <w:tmpl w:val="BC1E8404"/>
    <w:lvl w:ilvl="0">
      <w:start w:val="1"/>
      <w:numFmt w:val="decimal"/>
      <w:pStyle w:val="ListNumber4"/>
      <w:lvlText w:val="(%1)"/>
      <w:lvlJc w:val="left"/>
      <w:pPr>
        <w:tabs>
          <w:tab w:val="num" w:pos="1560"/>
        </w:tabs>
        <w:ind w:left="1560" w:hanging="709"/>
      </w:pPr>
      <w:rPr>
        <w:rFonts w:cs="Times New Roman"/>
      </w:rPr>
    </w:lvl>
    <w:lvl w:ilvl="1">
      <w:start w:val="1"/>
      <w:numFmt w:val="lowerLetter"/>
      <w:pStyle w:val="ListNumber4Level2"/>
      <w:lvlText w:val="(%2)"/>
      <w:lvlJc w:val="left"/>
      <w:pPr>
        <w:tabs>
          <w:tab w:val="num" w:pos="2268"/>
        </w:tabs>
        <w:ind w:left="2268" w:hanging="708"/>
      </w:pPr>
      <w:rPr>
        <w:rFonts w:cs="Times New Roman"/>
      </w:rPr>
    </w:lvl>
    <w:lvl w:ilvl="2">
      <w:start w:val="1"/>
      <w:numFmt w:val="bullet"/>
      <w:pStyle w:val="ListNumber4Level3"/>
      <w:lvlText w:val="–"/>
      <w:lvlJc w:val="left"/>
      <w:pPr>
        <w:tabs>
          <w:tab w:val="num" w:pos="2977"/>
        </w:tabs>
        <w:ind w:left="2977" w:hanging="709"/>
      </w:pPr>
      <w:rPr>
        <w:rFonts w:ascii="Times New Roman" w:hAnsi="Times New Roman"/>
      </w:rPr>
    </w:lvl>
    <w:lvl w:ilvl="3">
      <w:start w:val="1"/>
      <w:numFmt w:val="bullet"/>
      <w:pStyle w:val="ListNumber4Level4"/>
      <w:lvlText w:val=""/>
      <w:lvlJc w:val="left"/>
      <w:pPr>
        <w:tabs>
          <w:tab w:val="num" w:pos="3686"/>
        </w:tabs>
        <w:ind w:left="3686" w:hanging="709"/>
      </w:pPr>
      <w:rPr>
        <w:rFonts w:ascii="Symbol" w:hAnsi="Symbol" w:hint="default"/>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19" w15:restartNumberingAfterBreak="0">
    <w:nsid w:val="556E1D63"/>
    <w:multiLevelType w:val="singleLevel"/>
    <w:tmpl w:val="493AAFF0"/>
    <w:name w:val="Bullet 4"/>
    <w:lvl w:ilvl="0">
      <w:start w:val="1"/>
      <w:numFmt w:val="bullet"/>
      <w:lvlRestart w:val="0"/>
      <w:pStyle w:val="Bullet4"/>
      <w:lvlText w:val=""/>
      <w:lvlJc w:val="left"/>
      <w:pPr>
        <w:tabs>
          <w:tab w:val="num" w:pos="3118"/>
        </w:tabs>
        <w:ind w:left="3118" w:hanging="567"/>
      </w:pPr>
      <w:rPr>
        <w:rFonts w:ascii="Symbol" w:hAnsi="Symbol" w:hint="default"/>
      </w:rPr>
    </w:lvl>
  </w:abstractNum>
  <w:abstractNum w:abstractNumId="20" w15:restartNumberingAfterBreak="0">
    <w:nsid w:val="5B0B0635"/>
    <w:multiLevelType w:val="singleLevel"/>
    <w:tmpl w:val="017E7CEE"/>
    <w:lvl w:ilvl="0">
      <w:start w:val="1"/>
      <w:numFmt w:val="bullet"/>
      <w:lvlRestart w:val="0"/>
      <w:pStyle w:val="ListBullet4"/>
      <w:lvlText w:val=""/>
      <w:lvlJc w:val="left"/>
      <w:pPr>
        <w:tabs>
          <w:tab w:val="num" w:pos="1134"/>
        </w:tabs>
        <w:ind w:left="1134" w:hanging="283"/>
      </w:pPr>
      <w:rPr>
        <w:rFonts w:ascii="Symbol" w:hAnsi="Symbol" w:hint="default"/>
      </w:rPr>
    </w:lvl>
  </w:abstractNum>
  <w:abstractNum w:abstractNumId="21" w15:restartNumberingAfterBreak="0">
    <w:nsid w:val="5B395AAA"/>
    <w:multiLevelType w:val="singleLevel"/>
    <w:tmpl w:val="96D02E8A"/>
    <w:name w:val="Bullet 1"/>
    <w:lvl w:ilvl="0">
      <w:start w:val="1"/>
      <w:numFmt w:val="bullet"/>
      <w:lvlRestart w:val="0"/>
      <w:pStyle w:val="Bullet1"/>
      <w:lvlText w:val=""/>
      <w:lvlJc w:val="left"/>
      <w:pPr>
        <w:tabs>
          <w:tab w:val="num" w:pos="1417"/>
        </w:tabs>
        <w:ind w:left="1417" w:hanging="567"/>
      </w:pPr>
      <w:rPr>
        <w:rFonts w:ascii="Symbol" w:hAnsi="Symbol" w:hint="default"/>
      </w:rPr>
    </w:lvl>
  </w:abstractNum>
  <w:abstractNum w:abstractNumId="22" w15:restartNumberingAfterBreak="0">
    <w:nsid w:val="5C056EE5"/>
    <w:multiLevelType w:val="singleLevel"/>
    <w:tmpl w:val="3378D27C"/>
    <w:name w:val="Bullet 2"/>
    <w:lvl w:ilvl="0">
      <w:start w:val="1"/>
      <w:numFmt w:val="bullet"/>
      <w:lvlRestart w:val="0"/>
      <w:pStyle w:val="Bullet2"/>
      <w:lvlText w:val=""/>
      <w:lvlJc w:val="left"/>
      <w:pPr>
        <w:tabs>
          <w:tab w:val="num" w:pos="1984"/>
        </w:tabs>
        <w:ind w:left="1984" w:hanging="567"/>
      </w:pPr>
      <w:rPr>
        <w:rFonts w:ascii="Symbol" w:hAnsi="Symbol" w:hint="default"/>
      </w:rPr>
    </w:lvl>
  </w:abstractNum>
  <w:abstractNum w:abstractNumId="23" w15:restartNumberingAfterBreak="0">
    <w:nsid w:val="5CA31A15"/>
    <w:multiLevelType w:val="singleLevel"/>
    <w:tmpl w:val="CB981644"/>
    <w:name w:val="Tiret 0"/>
    <w:lvl w:ilvl="0">
      <w:start w:val="1"/>
      <w:numFmt w:val="bullet"/>
      <w:lvlRestart w:val="0"/>
      <w:pStyle w:val="Tiret0"/>
      <w:lvlText w:val="–"/>
      <w:lvlJc w:val="left"/>
      <w:pPr>
        <w:tabs>
          <w:tab w:val="num" w:pos="850"/>
        </w:tabs>
        <w:ind w:left="850" w:hanging="850"/>
      </w:pPr>
    </w:lvl>
  </w:abstractNum>
  <w:abstractNum w:abstractNumId="24" w15:restartNumberingAfterBreak="0">
    <w:nsid w:val="5DF84969"/>
    <w:multiLevelType w:val="singleLevel"/>
    <w:tmpl w:val="1E12021A"/>
    <w:lvl w:ilvl="0">
      <w:start w:val="1"/>
      <w:numFmt w:val="bullet"/>
      <w:pStyle w:val="ListBullet"/>
      <w:lvlText w:val=""/>
      <w:lvlJc w:val="left"/>
      <w:pPr>
        <w:tabs>
          <w:tab w:val="num" w:pos="283"/>
        </w:tabs>
        <w:ind w:left="283" w:hanging="283"/>
      </w:pPr>
      <w:rPr>
        <w:rFonts w:ascii="Symbol" w:hAnsi="Symbol" w:hint="default"/>
      </w:rPr>
    </w:lvl>
  </w:abstractNum>
  <w:abstractNum w:abstractNumId="25" w15:restartNumberingAfterBreak="0">
    <w:nsid w:val="64A12FA4"/>
    <w:multiLevelType w:val="multilevel"/>
    <w:tmpl w:val="428ECF3E"/>
    <w:name w:val="Heading"/>
    <w:lvl w:ilvl="0">
      <w:start w:val="1"/>
      <w:numFmt w:val="decimal"/>
      <w:lvlRestart w:val="0"/>
      <w:pStyle w:val="Heading1"/>
      <w:lvlText w:val="%1."/>
      <w:lvlJc w:val="left"/>
      <w:pPr>
        <w:tabs>
          <w:tab w:val="num" w:pos="850"/>
        </w:tabs>
        <w:ind w:left="850" w:hanging="850"/>
      </w:pPr>
    </w:lvl>
    <w:lvl w:ilvl="1">
      <w:start w:val="1"/>
      <w:numFmt w:val="decimal"/>
      <w:pStyle w:val="Heading2"/>
      <w:lvlText w:val="%1.%2."/>
      <w:lvlJc w:val="left"/>
      <w:pPr>
        <w:tabs>
          <w:tab w:val="num" w:pos="850"/>
        </w:tabs>
        <w:ind w:left="850" w:hanging="850"/>
      </w:pPr>
    </w:lvl>
    <w:lvl w:ilvl="2">
      <w:start w:val="1"/>
      <w:numFmt w:val="decimal"/>
      <w:pStyle w:val="Heading3"/>
      <w:lvlText w:val="%1.%2.%3."/>
      <w:lvlJc w:val="left"/>
      <w:pPr>
        <w:tabs>
          <w:tab w:val="num" w:pos="850"/>
        </w:tabs>
        <w:ind w:left="850" w:hanging="850"/>
      </w:pPr>
    </w:lvl>
    <w:lvl w:ilvl="3">
      <w:start w:val="1"/>
      <w:numFmt w:val="decimal"/>
      <w:pStyle w:val="Heading4"/>
      <w:lvlText w:val="%1.%2.%3.%4."/>
      <w:lvlJc w:val="left"/>
      <w:pPr>
        <w:tabs>
          <w:tab w:val="num" w:pos="850"/>
        </w:tabs>
        <w:ind w:left="850" w:hanging="850"/>
      </w:pPr>
    </w:lvl>
    <w:lvl w:ilvl="4">
      <w:start w:val="1"/>
      <w:numFmt w:val="decimal"/>
      <w:pStyle w:val="Heading5"/>
      <w:lvlText w:val="%1.%2.%3.%4.%5."/>
      <w:lvlJc w:val="left"/>
      <w:pPr>
        <w:tabs>
          <w:tab w:val="num" w:pos="1417"/>
        </w:tabs>
        <w:ind w:left="1417" w:hanging="1417"/>
      </w:pPr>
    </w:lvl>
    <w:lvl w:ilvl="5">
      <w:start w:val="1"/>
      <w:numFmt w:val="decimal"/>
      <w:pStyle w:val="Heading6"/>
      <w:lvlText w:val="%1.%2.%3.%4.%5.%6."/>
      <w:lvlJc w:val="left"/>
      <w:pPr>
        <w:tabs>
          <w:tab w:val="num" w:pos="1417"/>
        </w:tabs>
        <w:ind w:left="1417" w:hanging="1417"/>
      </w:pPr>
    </w:lvl>
    <w:lvl w:ilvl="6">
      <w:start w:val="1"/>
      <w:numFmt w:val="decimal"/>
      <w:pStyle w:val="Heading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6" w15:restartNumberingAfterBreak="0">
    <w:nsid w:val="67B856F6"/>
    <w:multiLevelType w:val="singleLevel"/>
    <w:tmpl w:val="0AB28E9C"/>
    <w:name w:val="Tiret 2"/>
    <w:lvl w:ilvl="0">
      <w:start w:val="1"/>
      <w:numFmt w:val="bullet"/>
      <w:lvlRestart w:val="0"/>
      <w:pStyle w:val="Tiret2"/>
      <w:lvlText w:val="–"/>
      <w:lvlJc w:val="left"/>
      <w:pPr>
        <w:tabs>
          <w:tab w:val="num" w:pos="1984"/>
        </w:tabs>
        <w:ind w:left="1984" w:hanging="567"/>
      </w:pPr>
    </w:lvl>
  </w:abstractNum>
  <w:abstractNum w:abstractNumId="27" w15:restartNumberingAfterBreak="0">
    <w:nsid w:val="71F06166"/>
    <w:multiLevelType w:val="multilevel"/>
    <w:tmpl w:val="C08066D2"/>
    <w:name w:val="0.6719891"/>
    <w:lvl w:ilvl="0">
      <w:start w:val="1"/>
      <w:numFmt w:val="decimal"/>
      <w:lvlRestart w:val="0"/>
      <w:pStyle w:val="ListNumber"/>
      <w:lvlText w:val="(%1)"/>
      <w:lvlJc w:val="left"/>
      <w:pPr>
        <w:tabs>
          <w:tab w:val="num" w:pos="709"/>
        </w:tabs>
        <w:ind w:left="709" w:hanging="709"/>
      </w:pPr>
    </w:lvl>
    <w:lvl w:ilvl="1">
      <w:start w:val="1"/>
      <w:numFmt w:val="lowerLetter"/>
      <w:pStyle w:val="ListNumberLevel2"/>
      <w:lvlText w:val="(%2)"/>
      <w:lvlJc w:val="left"/>
      <w:pPr>
        <w:tabs>
          <w:tab w:val="num" w:pos="1417"/>
        </w:tabs>
        <w:ind w:left="1417" w:hanging="708"/>
      </w:pPr>
    </w:lvl>
    <w:lvl w:ilvl="2">
      <w:start w:val="1"/>
      <w:numFmt w:val="bullet"/>
      <w:pStyle w:val="ListNumberLevel3"/>
      <w:lvlText w:val="–"/>
      <w:lvlJc w:val="left"/>
      <w:pPr>
        <w:tabs>
          <w:tab w:val="num" w:pos="2126"/>
        </w:tabs>
        <w:ind w:left="2126" w:hanging="709"/>
      </w:pPr>
      <w:rPr>
        <w:rFonts w:ascii="Times New Roman" w:hAnsi="Times New Roman" w:cs="Times New Roman"/>
      </w:rPr>
    </w:lvl>
    <w:lvl w:ilvl="3">
      <w:start w:val="1"/>
      <w:numFmt w:val="bullet"/>
      <w:pStyle w:val="ListNumberLevel4"/>
      <w:lvlText w:val=""/>
      <w:lvlJc w:val="left"/>
      <w:pPr>
        <w:tabs>
          <w:tab w:val="num" w:pos="2835"/>
        </w:tabs>
        <w:ind w:left="2835" w:hanging="709"/>
      </w:pPr>
      <w:rPr>
        <w:rFonts w:ascii="Symbol" w:hAnsi="Symbol" w:hint="default"/>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8" w15:restartNumberingAfterBreak="0">
    <w:nsid w:val="73D73F7A"/>
    <w:multiLevelType w:val="singleLevel"/>
    <w:tmpl w:val="26365734"/>
    <w:lvl w:ilvl="0">
      <w:start w:val="1"/>
      <w:numFmt w:val="bullet"/>
      <w:pStyle w:val="ListBullet2"/>
      <w:lvlText w:val=""/>
      <w:lvlJc w:val="left"/>
      <w:pPr>
        <w:tabs>
          <w:tab w:val="num" w:pos="1134"/>
        </w:tabs>
        <w:ind w:left="1134" w:hanging="283"/>
      </w:pPr>
      <w:rPr>
        <w:rFonts w:ascii="Symbol" w:hAnsi="Symbol" w:hint="default"/>
      </w:rPr>
    </w:lvl>
  </w:abstractNum>
  <w:abstractNum w:abstractNumId="29" w15:restartNumberingAfterBreak="0">
    <w:nsid w:val="76BC5C11"/>
    <w:multiLevelType w:val="singleLevel"/>
    <w:tmpl w:val="E44CE82E"/>
    <w:lvl w:ilvl="0">
      <w:start w:val="1"/>
      <w:numFmt w:val="bullet"/>
      <w:pStyle w:val="ListBullet3"/>
      <w:lvlText w:val=""/>
      <w:lvlJc w:val="left"/>
      <w:pPr>
        <w:tabs>
          <w:tab w:val="num" w:pos="1134"/>
        </w:tabs>
        <w:ind w:left="1134" w:hanging="283"/>
      </w:pPr>
      <w:rPr>
        <w:rFonts w:ascii="Symbol" w:hAnsi="Symbol" w:hint="default"/>
      </w:rPr>
    </w:lvl>
  </w:abstractNum>
  <w:abstractNum w:abstractNumId="30" w15:restartNumberingAfterBreak="0">
    <w:nsid w:val="7CBE4812"/>
    <w:multiLevelType w:val="singleLevel"/>
    <w:tmpl w:val="23C821E4"/>
    <w:name w:val="Considérant"/>
    <w:lvl w:ilvl="0">
      <w:start w:val="1"/>
      <w:numFmt w:val="decimal"/>
      <w:lvlRestart w:val="0"/>
      <w:pStyle w:val="Considrant"/>
      <w:lvlText w:val="(%1)"/>
      <w:lvlJc w:val="left"/>
      <w:pPr>
        <w:tabs>
          <w:tab w:val="num" w:pos="709"/>
        </w:tabs>
        <w:ind w:left="709" w:hanging="709"/>
      </w:pPr>
    </w:lvl>
  </w:abstractNum>
  <w:num w:numId="1">
    <w:abstractNumId w:val="0"/>
  </w:num>
  <w:num w:numId="2">
    <w:abstractNumId w:val="20"/>
  </w:num>
  <w:num w:numId="3">
    <w:abstractNumId w:val="8"/>
  </w:num>
  <w:num w:numId="4">
    <w:abstractNumId w:val="17"/>
  </w:num>
  <w:num w:numId="5">
    <w:abstractNumId w:val="16"/>
  </w:num>
  <w:num w:numId="6">
    <w:abstractNumId w:val="27"/>
  </w:num>
  <w:num w:numId="7">
    <w:abstractNumId w:val="24"/>
  </w:num>
  <w:num w:numId="8">
    <w:abstractNumId w:val="28"/>
  </w:num>
  <w:num w:numId="9">
    <w:abstractNumId w:val="29"/>
  </w:num>
  <w:num w:numId="10">
    <w:abstractNumId w:val="1"/>
  </w:num>
  <w:num w:numId="11">
    <w:abstractNumId w:val="10"/>
  </w:num>
  <w:num w:numId="12">
    <w:abstractNumId w:val="2"/>
  </w:num>
  <w:num w:numId="13">
    <w:abstractNumId w:val="11"/>
  </w:num>
  <w:num w:numId="14">
    <w:abstractNumId w:val="9"/>
  </w:num>
  <w:num w:numId="15">
    <w:abstractNumId w:val="18"/>
  </w:num>
  <w:num w:numId="16">
    <w:abstractNumId w:val="7"/>
  </w:num>
  <w:num w:numId="17">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30"/>
    <w:lvlOverride w:ilvl="0">
      <w:startOverride w:val="1"/>
    </w:lvlOverride>
  </w:num>
  <w:num w:numId="19">
    <w:abstractNumId w:val="23"/>
    <w:lvlOverride w:ilvl="0">
      <w:startOverride w:val="1"/>
    </w:lvlOverride>
  </w:num>
  <w:num w:numId="20">
    <w:abstractNumId w:val="23"/>
    <w:lvlOverride w:ilvl="0">
      <w:startOverride w:val="1"/>
    </w:lvlOverride>
  </w:num>
  <w:num w:numId="21">
    <w:abstractNumId w:val="23"/>
    <w:lvlOverride w:ilvl="0">
      <w:startOverride w:val="1"/>
    </w:lvlOverride>
  </w:num>
  <w:num w:numId="22">
    <w:abstractNumId w:val="23"/>
    <w:lvlOverride w:ilvl="0">
      <w:startOverride w:val="1"/>
    </w:lvlOverride>
  </w:num>
  <w:num w:numId="23">
    <w:abstractNumId w:val="23"/>
    <w:lvlOverride w:ilvl="0">
      <w:startOverride w:val="1"/>
    </w:lvlOverride>
  </w:num>
  <w:num w:numId="24">
    <w:abstractNumId w:val="23"/>
    <w:lvlOverride w:ilvl="0">
      <w:startOverride w:val="1"/>
    </w:lvlOverride>
  </w:num>
  <w:num w:numId="25">
    <w:abstractNumId w:val="23"/>
  </w:num>
  <w:num w:numId="26">
    <w:abstractNumId w:val="12"/>
  </w:num>
  <w:num w:numId="27">
    <w:abstractNumId w:val="26"/>
  </w:num>
  <w:num w:numId="28">
    <w:abstractNumId w:val="6"/>
  </w:num>
  <w:num w:numId="29">
    <w:abstractNumId w:val="13"/>
  </w:num>
  <w:num w:numId="30">
    <w:abstractNumId w:val="14"/>
  </w:num>
  <w:num w:numId="31">
    <w:abstractNumId w:val="4"/>
  </w:num>
  <w:num w:numId="32">
    <w:abstractNumId w:val="25"/>
  </w:num>
  <w:num w:numId="33">
    <w:abstractNumId w:val="3"/>
  </w:num>
  <w:num w:numId="34">
    <w:abstractNumId w:val="15"/>
  </w:num>
  <w:num w:numId="35">
    <w:abstractNumId w:val="21"/>
  </w:num>
  <w:num w:numId="36">
    <w:abstractNumId w:val="22"/>
  </w:num>
  <w:num w:numId="37">
    <w:abstractNumId w:val="5"/>
  </w:num>
  <w:num w:numId="38">
    <w:abstractNumId w:val="19"/>
  </w:num>
  <w:num w:numId="39">
    <w:abstractNumId w:val="30"/>
  </w:num>
  <w:numIdMacAtCleanup w:val="3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hideSpellingErrors/>
  <w:hideGrammaticalErrors/>
  <w:attachedTemplate r:id="rId1"/>
  <w:revisionView w:markup="0"/>
  <w:defaultTabStop w:val="720"/>
  <w:hyphenationZone w:val="425"/>
  <w:characterSpacingControl w:val="doNotCompress"/>
  <w:hdrShapeDefaults>
    <o:shapedefaults v:ext="edit" spidmax="2051"/>
  </w:hdrShapeDefault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R_RefLast" w:val="0"/>
    <w:docVar w:name="DQCDateTime" w:val="2026-05-20 19:25:08"/>
    <w:docVar w:name="DQCResult_Distribution" w:val="0;0"/>
    <w:docVar w:name="DQCResult_DocumentContent" w:val="0;0"/>
    <w:docVar w:name="DQCResult_DocumentSize" w:val="0;0"/>
    <w:docVar w:name="DQCResult_InvalidFootnotes" w:val="0;0"/>
    <w:docVar w:name="DQCResult_ModifiedMarkers" w:val="0;0"/>
    <w:docVar w:name="DQCResult_ModifiedNumbering" w:val="0;0"/>
    <w:docVar w:name="DQCResult_Objects" w:val="0;0"/>
    <w:docVar w:name="DQCResult_StructureCheck" w:val="0;0"/>
    <w:docVar w:name="DQCStatus" w:val="Green"/>
    <w:docVar w:name="DQCVersion" w:val="3"/>
    <w:docVar w:name="DQCWithWarnings" w:val="0"/>
    <w:docVar w:name="LW_CORRIGENDUM" w:val="&lt;UNUSED&gt;"/>
    <w:docVar w:name="LW_COVERPAGE_EXISTS" w:val="True"/>
    <w:docVar w:name="LW_COVERPAGE_GUID" w:val="6353DD71-4619-4DB7-9A95-A30B6C6FF05B"/>
    <w:docVar w:name="LW_COVERPAGE_TYPE" w:val="1"/>
    <w:docVar w:name="LW_CreatedUtc" w:val="2025-02-18T14:07:51.8136997Z"/>
    <w:docVar w:name="LW_CROSSREFERENCE" w:val="{SWD(2026) 133 final}"/>
    <w:docVar w:name="LW_DocType" w:val="COM"/>
    <w:docVar w:name="LW_EMISSION" w:val="28.5.2026"/>
    <w:docVar w:name="LW_EMISSION_ISODATE" w:val="2026-05-28"/>
    <w:docVar w:name="LW_EMISSION_LOCATION" w:val="BRX"/>
    <w:docVar w:name="LW_EMISSION_PREFIX" w:val="Bruxelles, "/>
    <w:docVar w:name="LW_EMISSION_SUFFIX" w:val=" "/>
    <w:docVar w:name="LW_ID_DOCMODEL" w:val="SJ-043"/>
    <w:docVar w:name="LW_ID_DOCSIGNATURE" w:val="SJ-019"/>
    <w:docVar w:name="LW_ID_DOCSTRUCTURE" w:val="COM/PL/ORG"/>
    <w:docVar w:name="LW_ID_DOCTYPE" w:val="SJ-043"/>
    <w:docVar w:name="LW_ID_STATUT" w:val="SJ-019"/>
    <w:docVar w:name="LW_INSERT_EXP.MOTIFS.NEW" w:val="1"/>
    <w:docVar w:name="LW_INTERETEEE.CP" w:val="&lt;UNUSED&gt;"/>
    <w:docVar w:name="LW_LANGUE" w:val="RO"/>
    <w:docVar w:name="LW_LEVEL_OF_SENSITIVITY" w:val="Standard treatment"/>
    <w:docVar w:name="LW_NOM.INST" w:val="COMISIA EUROPEAN\u258?"/>
    <w:docVar w:name="LW_NOM.INST_JOINTDOC" w:val="&lt;EMPTY&gt;"/>
    <w:docVar w:name="LW_PART_NBR" w:val="1"/>
    <w:docVar w:name="LW_PART_NBR_TOTAL" w:val="1"/>
    <w:docVar w:name="LW_REF.II.NEW.CP" w:val="NLE"/>
    <w:docVar w:name="LW_REF.II.NEW.CP_NUMBER" w:val="0129"/>
    <w:docVar w:name="LW_REF.II.NEW.CP_YEAR" w:val="2026"/>
    <w:docVar w:name="LW_REF.INST.NEW" w:val="COM"/>
    <w:docVar w:name="LW_REF.INST.NEW_ADOPTED" w:val="final"/>
    <w:docVar w:name="LW_REF.INST.NEW_TEXT" w:val="(2026) 254"/>
    <w:docVar w:name="LW_REF.INTERNE" w:val="&lt;UNUSED&gt;"/>
    <w:docVar w:name="LW_SENSITIVITY" w:val="&lt;?xml version=&quot;1.0&quot; encoding=&quot;utf-8&quot;?&gt;_x000d__x000a_&lt;SensitivityLevel xmlns:xsd=&quot;http://www.w3.org/2001/XMLSchema&quot; xmlns:xsi=&quot;http://www.w3.org/2001/XMLSchema-instance&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TATUT.CP" w:val="Propunere de"/>
    <w:docVar w:name="LW_SUPERTITRE" w:val="&lt;UNUSED&gt;"/>
    <w:docVar w:name="LW_TITRE.OBJ.CP" w:val="privind pozi\u539?ia care trebuie adoptat\u259? în numele Uniunii Europene în cadrul Consiliului membrilor Consiliului Oleicol interna\u539?ional (IOC) în ceea ce prive\u537?te metoda evalu\u259?rii organoleptice a uleiului de m\u259?sline virgin"/>
    <w:docVar w:name="LW_TYPE.DOC.CP" w:val="DECIZIE A CONSILIULUI"/>
    <w:docVar w:name="LwApiVersions" w:val="LW4CoDe 1.24.5.0; LW 9.2, Build 20251112"/>
  </w:docVars>
  <w:rsids>
    <w:rsidRoot w:val="00717C03"/>
    <w:rsid w:val="000154CB"/>
    <w:rsid w:val="0001616B"/>
    <w:rsid w:val="00016CD9"/>
    <w:rsid w:val="00025B1E"/>
    <w:rsid w:val="000465BB"/>
    <w:rsid w:val="000525F6"/>
    <w:rsid w:val="00076F8A"/>
    <w:rsid w:val="0008130A"/>
    <w:rsid w:val="00083100"/>
    <w:rsid w:val="0008571E"/>
    <w:rsid w:val="000905AB"/>
    <w:rsid w:val="000B4B24"/>
    <w:rsid w:val="000E3F60"/>
    <w:rsid w:val="0010548C"/>
    <w:rsid w:val="001065F5"/>
    <w:rsid w:val="00114CC0"/>
    <w:rsid w:val="00120654"/>
    <w:rsid w:val="001238EF"/>
    <w:rsid w:val="001462E7"/>
    <w:rsid w:val="001550BC"/>
    <w:rsid w:val="00155B27"/>
    <w:rsid w:val="00162C8D"/>
    <w:rsid w:val="00166BD3"/>
    <w:rsid w:val="00185983"/>
    <w:rsid w:val="00197613"/>
    <w:rsid w:val="001A59D0"/>
    <w:rsid w:val="001B73AC"/>
    <w:rsid w:val="001E0259"/>
    <w:rsid w:val="001F6524"/>
    <w:rsid w:val="001F65D9"/>
    <w:rsid w:val="00200E91"/>
    <w:rsid w:val="00214764"/>
    <w:rsid w:val="00216A32"/>
    <w:rsid w:val="00216CDA"/>
    <w:rsid w:val="00217066"/>
    <w:rsid w:val="00221ECA"/>
    <w:rsid w:val="002324BB"/>
    <w:rsid w:val="00233DC7"/>
    <w:rsid w:val="00247779"/>
    <w:rsid w:val="0025798A"/>
    <w:rsid w:val="0026169C"/>
    <w:rsid w:val="0027778E"/>
    <w:rsid w:val="00285BEE"/>
    <w:rsid w:val="0029533F"/>
    <w:rsid w:val="002B30AF"/>
    <w:rsid w:val="002B7B0E"/>
    <w:rsid w:val="002C0BB7"/>
    <w:rsid w:val="002C0DD4"/>
    <w:rsid w:val="002C193B"/>
    <w:rsid w:val="002D118A"/>
    <w:rsid w:val="002E0454"/>
    <w:rsid w:val="002E1CB2"/>
    <w:rsid w:val="002E29F8"/>
    <w:rsid w:val="002E6601"/>
    <w:rsid w:val="002F16D2"/>
    <w:rsid w:val="00300268"/>
    <w:rsid w:val="003114CB"/>
    <w:rsid w:val="003144ED"/>
    <w:rsid w:val="00317E48"/>
    <w:rsid w:val="0032184D"/>
    <w:rsid w:val="0032361B"/>
    <w:rsid w:val="0033344A"/>
    <w:rsid w:val="00346D7C"/>
    <w:rsid w:val="00363A6C"/>
    <w:rsid w:val="00375F78"/>
    <w:rsid w:val="00376EB0"/>
    <w:rsid w:val="00393F46"/>
    <w:rsid w:val="003A6E27"/>
    <w:rsid w:val="003B6EB6"/>
    <w:rsid w:val="003C5F47"/>
    <w:rsid w:val="003D4F2E"/>
    <w:rsid w:val="003F33BA"/>
    <w:rsid w:val="003F6DE1"/>
    <w:rsid w:val="004010D9"/>
    <w:rsid w:val="0042149A"/>
    <w:rsid w:val="0042648E"/>
    <w:rsid w:val="004438C7"/>
    <w:rsid w:val="00446323"/>
    <w:rsid w:val="0045165E"/>
    <w:rsid w:val="00453482"/>
    <w:rsid w:val="00456532"/>
    <w:rsid w:val="004565F5"/>
    <w:rsid w:val="00473AA8"/>
    <w:rsid w:val="00473C6A"/>
    <w:rsid w:val="00476EA0"/>
    <w:rsid w:val="004936D2"/>
    <w:rsid w:val="004A3E5F"/>
    <w:rsid w:val="004A6E3C"/>
    <w:rsid w:val="004B41F9"/>
    <w:rsid w:val="004C16EE"/>
    <w:rsid w:val="00540AD0"/>
    <w:rsid w:val="00544C79"/>
    <w:rsid w:val="00556540"/>
    <w:rsid w:val="00562CA4"/>
    <w:rsid w:val="00580104"/>
    <w:rsid w:val="005814E6"/>
    <w:rsid w:val="00592D30"/>
    <w:rsid w:val="005A45A0"/>
    <w:rsid w:val="005B1EB6"/>
    <w:rsid w:val="005C19C3"/>
    <w:rsid w:val="005F0C46"/>
    <w:rsid w:val="005F7F75"/>
    <w:rsid w:val="006007B2"/>
    <w:rsid w:val="006108D7"/>
    <w:rsid w:val="00621E98"/>
    <w:rsid w:val="006312DA"/>
    <w:rsid w:val="00642701"/>
    <w:rsid w:val="006446FE"/>
    <w:rsid w:val="0064472C"/>
    <w:rsid w:val="00646BD9"/>
    <w:rsid w:val="00660D03"/>
    <w:rsid w:val="00660DCA"/>
    <w:rsid w:val="006640E9"/>
    <w:rsid w:val="0066551C"/>
    <w:rsid w:val="00670A4F"/>
    <w:rsid w:val="00683565"/>
    <w:rsid w:val="00690EFB"/>
    <w:rsid w:val="00694A83"/>
    <w:rsid w:val="006A2C5D"/>
    <w:rsid w:val="006A6B05"/>
    <w:rsid w:val="006B0FA2"/>
    <w:rsid w:val="006B142A"/>
    <w:rsid w:val="006B7C9F"/>
    <w:rsid w:val="006D0675"/>
    <w:rsid w:val="006D3555"/>
    <w:rsid w:val="006D419E"/>
    <w:rsid w:val="006D57BA"/>
    <w:rsid w:val="00702039"/>
    <w:rsid w:val="00705D44"/>
    <w:rsid w:val="00712D96"/>
    <w:rsid w:val="00717C03"/>
    <w:rsid w:val="007251F3"/>
    <w:rsid w:val="00731039"/>
    <w:rsid w:val="00733483"/>
    <w:rsid w:val="00733A7E"/>
    <w:rsid w:val="00734275"/>
    <w:rsid w:val="00750DD4"/>
    <w:rsid w:val="00761667"/>
    <w:rsid w:val="007670FC"/>
    <w:rsid w:val="00773331"/>
    <w:rsid w:val="00785E0B"/>
    <w:rsid w:val="007865D8"/>
    <w:rsid w:val="007904DE"/>
    <w:rsid w:val="00791F7C"/>
    <w:rsid w:val="007932EF"/>
    <w:rsid w:val="007A1DAE"/>
    <w:rsid w:val="007A2742"/>
    <w:rsid w:val="007B2BED"/>
    <w:rsid w:val="007B3975"/>
    <w:rsid w:val="007B735A"/>
    <w:rsid w:val="007C4E74"/>
    <w:rsid w:val="007C6BB1"/>
    <w:rsid w:val="007C6DE6"/>
    <w:rsid w:val="007C7D85"/>
    <w:rsid w:val="007D1966"/>
    <w:rsid w:val="007D3CCE"/>
    <w:rsid w:val="007D4D7F"/>
    <w:rsid w:val="007E05B0"/>
    <w:rsid w:val="00815F92"/>
    <w:rsid w:val="00816DEB"/>
    <w:rsid w:val="0081762C"/>
    <w:rsid w:val="008334F0"/>
    <w:rsid w:val="00843120"/>
    <w:rsid w:val="00845632"/>
    <w:rsid w:val="0084779F"/>
    <w:rsid w:val="00860753"/>
    <w:rsid w:val="00862668"/>
    <w:rsid w:val="008656EE"/>
    <w:rsid w:val="00865AC3"/>
    <w:rsid w:val="00874D22"/>
    <w:rsid w:val="00882E08"/>
    <w:rsid w:val="008830AB"/>
    <w:rsid w:val="00890DA0"/>
    <w:rsid w:val="00890E8F"/>
    <w:rsid w:val="0089523A"/>
    <w:rsid w:val="008A2914"/>
    <w:rsid w:val="008A3A9B"/>
    <w:rsid w:val="008B3FD2"/>
    <w:rsid w:val="008C14E5"/>
    <w:rsid w:val="008D01CE"/>
    <w:rsid w:val="008D0E8B"/>
    <w:rsid w:val="008E0FD5"/>
    <w:rsid w:val="008E4D8E"/>
    <w:rsid w:val="008E4E34"/>
    <w:rsid w:val="008E610E"/>
    <w:rsid w:val="00904541"/>
    <w:rsid w:val="00911587"/>
    <w:rsid w:val="00922DA9"/>
    <w:rsid w:val="00927D3B"/>
    <w:rsid w:val="0093226C"/>
    <w:rsid w:val="00932CFA"/>
    <w:rsid w:val="00932F25"/>
    <w:rsid w:val="00941744"/>
    <w:rsid w:val="009454C1"/>
    <w:rsid w:val="00946E83"/>
    <w:rsid w:val="00951894"/>
    <w:rsid w:val="009607DB"/>
    <w:rsid w:val="00970658"/>
    <w:rsid w:val="00976266"/>
    <w:rsid w:val="009823D8"/>
    <w:rsid w:val="00992854"/>
    <w:rsid w:val="009A4EFE"/>
    <w:rsid w:val="009B3501"/>
    <w:rsid w:val="009B38AE"/>
    <w:rsid w:val="009E0353"/>
    <w:rsid w:val="009E0AA7"/>
    <w:rsid w:val="00A56986"/>
    <w:rsid w:val="00A57B28"/>
    <w:rsid w:val="00A659E0"/>
    <w:rsid w:val="00A82266"/>
    <w:rsid w:val="00A84615"/>
    <w:rsid w:val="00A93870"/>
    <w:rsid w:val="00A94DE4"/>
    <w:rsid w:val="00AB5438"/>
    <w:rsid w:val="00AC4C99"/>
    <w:rsid w:val="00AD0B0D"/>
    <w:rsid w:val="00AE23BE"/>
    <w:rsid w:val="00AF7259"/>
    <w:rsid w:val="00B00364"/>
    <w:rsid w:val="00B03AD7"/>
    <w:rsid w:val="00B046D2"/>
    <w:rsid w:val="00B12C36"/>
    <w:rsid w:val="00B1364E"/>
    <w:rsid w:val="00B14531"/>
    <w:rsid w:val="00B15A83"/>
    <w:rsid w:val="00B17425"/>
    <w:rsid w:val="00B35A42"/>
    <w:rsid w:val="00B3649B"/>
    <w:rsid w:val="00B557D9"/>
    <w:rsid w:val="00B57E0F"/>
    <w:rsid w:val="00B66310"/>
    <w:rsid w:val="00B76CB8"/>
    <w:rsid w:val="00B90DEE"/>
    <w:rsid w:val="00B94276"/>
    <w:rsid w:val="00B94543"/>
    <w:rsid w:val="00B94A1C"/>
    <w:rsid w:val="00BA7EDA"/>
    <w:rsid w:val="00BB0BE4"/>
    <w:rsid w:val="00BC110A"/>
    <w:rsid w:val="00BD4249"/>
    <w:rsid w:val="00BF0904"/>
    <w:rsid w:val="00C05228"/>
    <w:rsid w:val="00C12301"/>
    <w:rsid w:val="00C134C2"/>
    <w:rsid w:val="00C14B14"/>
    <w:rsid w:val="00C17588"/>
    <w:rsid w:val="00C33A39"/>
    <w:rsid w:val="00C427E4"/>
    <w:rsid w:val="00C635E0"/>
    <w:rsid w:val="00C63EAE"/>
    <w:rsid w:val="00C72C41"/>
    <w:rsid w:val="00C74BE6"/>
    <w:rsid w:val="00C8091F"/>
    <w:rsid w:val="00C83A30"/>
    <w:rsid w:val="00C92807"/>
    <w:rsid w:val="00C95912"/>
    <w:rsid w:val="00CB1C72"/>
    <w:rsid w:val="00CC47DE"/>
    <w:rsid w:val="00CD1503"/>
    <w:rsid w:val="00CD6ED3"/>
    <w:rsid w:val="00CE4698"/>
    <w:rsid w:val="00CF080C"/>
    <w:rsid w:val="00D20381"/>
    <w:rsid w:val="00D22641"/>
    <w:rsid w:val="00D2591C"/>
    <w:rsid w:val="00D448C3"/>
    <w:rsid w:val="00D51549"/>
    <w:rsid w:val="00D529E1"/>
    <w:rsid w:val="00D62F02"/>
    <w:rsid w:val="00D74439"/>
    <w:rsid w:val="00D84F88"/>
    <w:rsid w:val="00D9502F"/>
    <w:rsid w:val="00DA6D86"/>
    <w:rsid w:val="00DB7405"/>
    <w:rsid w:val="00DC394D"/>
    <w:rsid w:val="00DC5FDC"/>
    <w:rsid w:val="00DC60B7"/>
    <w:rsid w:val="00DD64A7"/>
    <w:rsid w:val="00DF0A15"/>
    <w:rsid w:val="00DF0E4C"/>
    <w:rsid w:val="00DF2072"/>
    <w:rsid w:val="00DF2B9B"/>
    <w:rsid w:val="00DF4767"/>
    <w:rsid w:val="00E05A41"/>
    <w:rsid w:val="00E270A3"/>
    <w:rsid w:val="00E638EC"/>
    <w:rsid w:val="00E808C7"/>
    <w:rsid w:val="00E81F02"/>
    <w:rsid w:val="00E82C45"/>
    <w:rsid w:val="00E830FC"/>
    <w:rsid w:val="00EC7C35"/>
    <w:rsid w:val="00ED3D15"/>
    <w:rsid w:val="00ED405D"/>
    <w:rsid w:val="00ED4EE3"/>
    <w:rsid w:val="00ED70F9"/>
    <w:rsid w:val="00F03CA3"/>
    <w:rsid w:val="00F2363A"/>
    <w:rsid w:val="00F2441F"/>
    <w:rsid w:val="00F34E34"/>
    <w:rsid w:val="00F50875"/>
    <w:rsid w:val="00F5379F"/>
    <w:rsid w:val="00F604DF"/>
    <w:rsid w:val="00F65485"/>
    <w:rsid w:val="00F80FD0"/>
    <w:rsid w:val="00F82C06"/>
    <w:rsid w:val="00F901E3"/>
    <w:rsid w:val="00FA39DC"/>
    <w:rsid w:val="00FA724F"/>
    <w:rsid w:val="00FB4F91"/>
    <w:rsid w:val="00FB5CE1"/>
    <w:rsid w:val="00FC37AD"/>
    <w:rsid w:val="00FC38F8"/>
    <w:rsid w:val="00FD4971"/>
    <w:rsid w:val="0605D5EB"/>
    <w:rsid w:val="1357A2C4"/>
    <w:rsid w:val="1A31FE7F"/>
    <w:rsid w:val="7D52C618"/>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2"/>
    </o:shapelayout>
  </w:shapeDefaults>
  <w:decimalSymbol w:val=","/>
  <w:listSeparator w:val=";"/>
  <w15:docId w15:val="{787D3296-D953-48B3-BE24-16680CC8C2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iPriority="0"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iPriority="0"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iPriority="0" w:unhideWhenUsed="1"/>
    <w:lsdException w:name="List Bullet 4" w:semiHidden="1" w:uiPriority="0" w:unhideWhenUsed="1"/>
    <w:lsdException w:name="List Bullet 5" w:semiHidden="1" w:unhideWhenUsed="1"/>
    <w:lsdException w:name="List Number 2" w:semiHidden="1" w:uiPriority="0" w:unhideWhenUsed="1"/>
    <w:lsdException w:name="List Number 3" w:semiHidden="1" w:uiPriority="0" w:unhideWhenUsed="1"/>
    <w:lsdException w:name="List Number 4" w:semiHidden="1" w:uiPriority="0"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0"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before="120" w:after="120" w:line="240" w:lineRule="auto"/>
      <w:jc w:val="both"/>
    </w:pPr>
    <w:rPr>
      <w:rFonts w:ascii="Times New Roman" w:hAnsi="Times New Roman" w:cs="Times New Roman"/>
      <w:sz w:val="24"/>
      <w:lang w:val="ro-RO"/>
    </w:rPr>
  </w:style>
  <w:style w:type="paragraph" w:styleId="Heading1">
    <w:name w:val="heading 1"/>
    <w:basedOn w:val="Normal"/>
    <w:next w:val="Text1"/>
    <w:link w:val="Heading1Char"/>
    <w:uiPriority w:val="9"/>
    <w:qFormat/>
    <w:pPr>
      <w:keepNext/>
      <w:numPr>
        <w:numId w:val="32"/>
      </w:numPr>
      <w:spacing w:before="360"/>
      <w:outlineLvl w:val="0"/>
    </w:pPr>
    <w:rPr>
      <w:rFonts w:eastAsiaTheme="majorEastAsia"/>
      <w:b/>
      <w:bCs/>
      <w:smallCaps/>
      <w:szCs w:val="28"/>
    </w:rPr>
  </w:style>
  <w:style w:type="paragraph" w:styleId="Heading2">
    <w:name w:val="heading 2"/>
    <w:basedOn w:val="Normal"/>
    <w:next w:val="Text1"/>
    <w:link w:val="Heading2Char"/>
    <w:uiPriority w:val="9"/>
    <w:semiHidden/>
    <w:unhideWhenUsed/>
    <w:qFormat/>
    <w:pPr>
      <w:keepNext/>
      <w:numPr>
        <w:ilvl w:val="1"/>
        <w:numId w:val="32"/>
      </w:numPr>
      <w:outlineLvl w:val="1"/>
    </w:pPr>
    <w:rPr>
      <w:rFonts w:eastAsiaTheme="majorEastAsia"/>
      <w:b/>
      <w:bCs/>
      <w:szCs w:val="26"/>
    </w:rPr>
  </w:style>
  <w:style w:type="paragraph" w:styleId="Heading3">
    <w:name w:val="heading 3"/>
    <w:basedOn w:val="Normal"/>
    <w:next w:val="Text1"/>
    <w:link w:val="Heading3Char"/>
    <w:uiPriority w:val="9"/>
    <w:semiHidden/>
    <w:unhideWhenUsed/>
    <w:qFormat/>
    <w:pPr>
      <w:keepNext/>
      <w:numPr>
        <w:ilvl w:val="2"/>
        <w:numId w:val="32"/>
      </w:numPr>
      <w:outlineLvl w:val="2"/>
    </w:pPr>
    <w:rPr>
      <w:rFonts w:eastAsiaTheme="majorEastAsia"/>
      <w:bCs/>
      <w:i/>
    </w:rPr>
  </w:style>
  <w:style w:type="paragraph" w:styleId="Heading4">
    <w:name w:val="heading 4"/>
    <w:basedOn w:val="Normal"/>
    <w:next w:val="Text1"/>
    <w:link w:val="Heading4Char"/>
    <w:uiPriority w:val="9"/>
    <w:semiHidden/>
    <w:unhideWhenUsed/>
    <w:qFormat/>
    <w:pPr>
      <w:keepNext/>
      <w:numPr>
        <w:ilvl w:val="3"/>
        <w:numId w:val="32"/>
      </w:numPr>
      <w:outlineLvl w:val="3"/>
    </w:pPr>
    <w:rPr>
      <w:rFonts w:eastAsiaTheme="majorEastAsia"/>
      <w:bCs/>
      <w:iCs/>
    </w:rPr>
  </w:style>
  <w:style w:type="paragraph" w:styleId="Heading5">
    <w:name w:val="heading 5"/>
    <w:basedOn w:val="Normal"/>
    <w:next w:val="Text2"/>
    <w:link w:val="Heading5Char"/>
    <w:uiPriority w:val="9"/>
    <w:semiHidden/>
    <w:unhideWhenUsed/>
    <w:qFormat/>
    <w:pPr>
      <w:keepNext/>
      <w:numPr>
        <w:ilvl w:val="4"/>
        <w:numId w:val="32"/>
      </w:numPr>
      <w:outlineLvl w:val="4"/>
    </w:pPr>
    <w:rPr>
      <w:rFonts w:eastAsiaTheme="majorEastAsia"/>
    </w:rPr>
  </w:style>
  <w:style w:type="paragraph" w:styleId="Heading6">
    <w:name w:val="heading 6"/>
    <w:basedOn w:val="Normal"/>
    <w:next w:val="Text2"/>
    <w:link w:val="Heading6Char"/>
    <w:uiPriority w:val="9"/>
    <w:semiHidden/>
    <w:unhideWhenUsed/>
    <w:qFormat/>
    <w:pPr>
      <w:keepNext/>
      <w:numPr>
        <w:ilvl w:val="5"/>
        <w:numId w:val="32"/>
      </w:numPr>
      <w:outlineLvl w:val="5"/>
    </w:pPr>
    <w:rPr>
      <w:rFonts w:eastAsiaTheme="majorEastAsia"/>
      <w:iCs/>
    </w:rPr>
  </w:style>
  <w:style w:type="paragraph" w:styleId="Heading7">
    <w:name w:val="heading 7"/>
    <w:basedOn w:val="Normal"/>
    <w:next w:val="Text2"/>
    <w:link w:val="Heading7Char"/>
    <w:uiPriority w:val="9"/>
    <w:semiHidden/>
    <w:unhideWhenUsed/>
    <w:qFormat/>
    <w:pPr>
      <w:keepNext/>
      <w:numPr>
        <w:ilvl w:val="6"/>
        <w:numId w:val="32"/>
      </w:numPr>
      <w:outlineLvl w:val="6"/>
    </w:pPr>
    <w:rPr>
      <w:rFonts w:eastAsiaTheme="majorEastAsia"/>
      <w:iC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Bullet4">
    <w:name w:val="List Bullet 4"/>
    <w:basedOn w:val="Normal"/>
    <w:rsid w:val="00717C03"/>
    <w:pPr>
      <w:numPr>
        <w:numId w:val="2"/>
      </w:numPr>
      <w:tabs>
        <w:tab w:val="num" w:pos="360"/>
      </w:tabs>
      <w:ind w:left="0" w:firstLine="0"/>
    </w:pPr>
    <w:rPr>
      <w:rFonts w:eastAsia="Times New Roman"/>
      <w:lang w:eastAsia="de-DE"/>
    </w:rPr>
  </w:style>
  <w:style w:type="paragraph" w:styleId="ListNumber">
    <w:name w:val="List Number"/>
    <w:basedOn w:val="Normal"/>
    <w:rsid w:val="00717C03"/>
    <w:pPr>
      <w:numPr>
        <w:numId w:val="6"/>
      </w:numPr>
    </w:pPr>
    <w:rPr>
      <w:rFonts w:eastAsia="Times New Roman"/>
      <w:lang w:eastAsia="de-DE"/>
    </w:rPr>
  </w:style>
  <w:style w:type="paragraph" w:customStyle="1" w:styleId="ListBullet1">
    <w:name w:val="List Bullet 1"/>
    <w:basedOn w:val="Normal"/>
    <w:rsid w:val="00717C03"/>
    <w:pPr>
      <w:numPr>
        <w:numId w:val="1"/>
      </w:numPr>
    </w:pPr>
    <w:rPr>
      <w:rFonts w:eastAsia="Times New Roman"/>
      <w:lang w:eastAsia="de-DE"/>
    </w:rPr>
  </w:style>
  <w:style w:type="paragraph" w:customStyle="1" w:styleId="ListDash">
    <w:name w:val="List Dash"/>
    <w:basedOn w:val="Normal"/>
    <w:rsid w:val="00717C03"/>
    <w:pPr>
      <w:numPr>
        <w:numId w:val="3"/>
      </w:numPr>
    </w:pPr>
    <w:rPr>
      <w:rFonts w:eastAsia="Times New Roman"/>
      <w:lang w:eastAsia="de-DE"/>
    </w:rPr>
  </w:style>
  <w:style w:type="paragraph" w:customStyle="1" w:styleId="ListDash1">
    <w:name w:val="List Dash 1"/>
    <w:basedOn w:val="Normal"/>
    <w:rsid w:val="00717C03"/>
    <w:pPr>
      <w:numPr>
        <w:numId w:val="4"/>
      </w:numPr>
    </w:pPr>
    <w:rPr>
      <w:rFonts w:eastAsia="Times New Roman"/>
      <w:lang w:eastAsia="de-DE"/>
    </w:rPr>
  </w:style>
  <w:style w:type="paragraph" w:customStyle="1" w:styleId="ListDash2">
    <w:name w:val="List Dash 2"/>
    <w:basedOn w:val="Normal"/>
    <w:rsid w:val="00717C03"/>
    <w:pPr>
      <w:numPr>
        <w:numId w:val="5"/>
      </w:numPr>
    </w:pPr>
    <w:rPr>
      <w:rFonts w:eastAsia="Times New Roman"/>
      <w:lang w:eastAsia="de-DE"/>
    </w:rPr>
  </w:style>
  <w:style w:type="paragraph" w:customStyle="1" w:styleId="ListNumberLevel2">
    <w:name w:val="List Number (Level 2)"/>
    <w:basedOn w:val="Normal"/>
    <w:rsid w:val="00717C03"/>
    <w:pPr>
      <w:numPr>
        <w:ilvl w:val="1"/>
        <w:numId w:val="6"/>
      </w:numPr>
    </w:pPr>
    <w:rPr>
      <w:rFonts w:eastAsia="Times New Roman"/>
      <w:lang w:eastAsia="de-DE"/>
    </w:rPr>
  </w:style>
  <w:style w:type="paragraph" w:customStyle="1" w:styleId="ListNumberLevel3">
    <w:name w:val="List Number (Level 3)"/>
    <w:basedOn w:val="Normal"/>
    <w:rsid w:val="00717C03"/>
    <w:pPr>
      <w:numPr>
        <w:ilvl w:val="2"/>
        <w:numId w:val="6"/>
      </w:numPr>
    </w:pPr>
    <w:rPr>
      <w:rFonts w:eastAsia="Times New Roman"/>
      <w:lang w:eastAsia="de-DE"/>
    </w:rPr>
  </w:style>
  <w:style w:type="paragraph" w:customStyle="1" w:styleId="ListNumberLevel4">
    <w:name w:val="List Number (Level 4)"/>
    <w:basedOn w:val="Normal"/>
    <w:rsid w:val="00717C03"/>
    <w:pPr>
      <w:numPr>
        <w:ilvl w:val="3"/>
        <w:numId w:val="6"/>
      </w:numPr>
    </w:pPr>
    <w:rPr>
      <w:rFonts w:eastAsia="Times New Roman"/>
      <w:lang w:eastAsia="de-DE"/>
    </w:rPr>
  </w:style>
  <w:style w:type="table" w:styleId="TableGrid">
    <w:name w:val="Table Grid"/>
    <w:basedOn w:val="TableNormal"/>
    <w:rsid w:val="00717C03"/>
    <w:pPr>
      <w:spacing w:before="120" w:after="120" w:line="240" w:lineRule="auto"/>
      <w:jc w:val="both"/>
    </w:pPr>
    <w:rPr>
      <w:rFonts w:ascii="Times New Roman" w:eastAsia="Times New Roman" w:hAnsi="Times New Roman" w:cs="Times New Roman"/>
      <w:sz w:val="20"/>
      <w:szCs w:val="20"/>
      <w:lang w:eastAsia="en-I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uiPriority w:val="99"/>
    <w:rsid w:val="00717C03"/>
    <w:rPr>
      <w:color w:val="0000FF"/>
      <w:u w:val="single"/>
    </w:rPr>
  </w:style>
  <w:style w:type="paragraph" w:styleId="ListBullet">
    <w:name w:val="List Bullet"/>
    <w:basedOn w:val="Normal"/>
    <w:rsid w:val="00717C03"/>
    <w:pPr>
      <w:numPr>
        <w:numId w:val="7"/>
      </w:numPr>
    </w:pPr>
    <w:rPr>
      <w:rFonts w:eastAsia="Times New Roman"/>
      <w:lang w:eastAsia="en-GB"/>
    </w:rPr>
  </w:style>
  <w:style w:type="paragraph" w:styleId="ListBullet2">
    <w:name w:val="List Bullet 2"/>
    <w:basedOn w:val="Normal"/>
    <w:rsid w:val="00717C03"/>
    <w:pPr>
      <w:numPr>
        <w:numId w:val="8"/>
      </w:numPr>
    </w:pPr>
    <w:rPr>
      <w:rFonts w:eastAsia="Times New Roman"/>
      <w:lang w:eastAsia="en-GB"/>
    </w:rPr>
  </w:style>
  <w:style w:type="paragraph" w:styleId="ListBullet3">
    <w:name w:val="List Bullet 3"/>
    <w:basedOn w:val="Normal"/>
    <w:rsid w:val="00717C03"/>
    <w:pPr>
      <w:numPr>
        <w:numId w:val="9"/>
      </w:numPr>
    </w:pPr>
    <w:rPr>
      <w:rFonts w:eastAsia="Times New Roman"/>
      <w:lang w:eastAsia="en-GB"/>
    </w:rPr>
  </w:style>
  <w:style w:type="paragraph" w:styleId="ListNumber2">
    <w:name w:val="List Number 2"/>
    <w:basedOn w:val="Normal"/>
    <w:rsid w:val="00717C03"/>
    <w:pPr>
      <w:numPr>
        <w:numId w:val="13"/>
      </w:numPr>
    </w:pPr>
    <w:rPr>
      <w:rFonts w:eastAsia="Times New Roman"/>
      <w:lang w:eastAsia="en-GB"/>
    </w:rPr>
  </w:style>
  <w:style w:type="paragraph" w:styleId="ListNumber3">
    <w:name w:val="List Number 3"/>
    <w:basedOn w:val="Normal"/>
    <w:rsid w:val="00717C03"/>
    <w:pPr>
      <w:numPr>
        <w:numId w:val="14"/>
      </w:numPr>
    </w:pPr>
    <w:rPr>
      <w:rFonts w:eastAsia="Times New Roman"/>
      <w:lang w:eastAsia="en-GB"/>
    </w:rPr>
  </w:style>
  <w:style w:type="paragraph" w:styleId="ListNumber4">
    <w:name w:val="List Number 4"/>
    <w:basedOn w:val="Normal"/>
    <w:rsid w:val="00717C03"/>
    <w:pPr>
      <w:numPr>
        <w:numId w:val="15"/>
      </w:numPr>
    </w:pPr>
    <w:rPr>
      <w:rFonts w:eastAsia="Times New Roman"/>
      <w:lang w:eastAsia="en-GB"/>
    </w:rPr>
  </w:style>
  <w:style w:type="paragraph" w:customStyle="1" w:styleId="ListDash3">
    <w:name w:val="List Dash 3"/>
    <w:basedOn w:val="Normal"/>
    <w:rsid w:val="00717C03"/>
    <w:pPr>
      <w:numPr>
        <w:numId w:val="10"/>
      </w:numPr>
    </w:pPr>
    <w:rPr>
      <w:rFonts w:eastAsia="Times New Roman"/>
      <w:lang w:eastAsia="en-GB"/>
    </w:rPr>
  </w:style>
  <w:style w:type="paragraph" w:customStyle="1" w:styleId="ListDash4">
    <w:name w:val="List Dash 4"/>
    <w:basedOn w:val="Normal"/>
    <w:rsid w:val="00717C03"/>
    <w:pPr>
      <w:numPr>
        <w:numId w:val="11"/>
      </w:numPr>
    </w:pPr>
    <w:rPr>
      <w:rFonts w:eastAsia="Times New Roman"/>
      <w:lang w:eastAsia="en-GB"/>
    </w:rPr>
  </w:style>
  <w:style w:type="paragraph" w:customStyle="1" w:styleId="ListNumber1">
    <w:name w:val="List Number 1"/>
    <w:basedOn w:val="Text1"/>
    <w:rsid w:val="00717C03"/>
    <w:pPr>
      <w:numPr>
        <w:numId w:val="12"/>
      </w:numPr>
    </w:pPr>
    <w:rPr>
      <w:rFonts w:eastAsia="Times New Roman"/>
      <w:lang w:eastAsia="en-GB"/>
    </w:rPr>
  </w:style>
  <w:style w:type="paragraph" w:customStyle="1" w:styleId="ListNumber1Level2">
    <w:name w:val="List Number 1 (Level 2)"/>
    <w:basedOn w:val="Text1"/>
    <w:rsid w:val="00717C03"/>
    <w:pPr>
      <w:numPr>
        <w:ilvl w:val="1"/>
        <w:numId w:val="12"/>
      </w:numPr>
    </w:pPr>
    <w:rPr>
      <w:rFonts w:eastAsia="Times New Roman"/>
      <w:lang w:eastAsia="en-GB"/>
    </w:rPr>
  </w:style>
  <w:style w:type="paragraph" w:customStyle="1" w:styleId="ListNumber2Level2">
    <w:name w:val="List Number 2 (Level 2)"/>
    <w:basedOn w:val="Text2"/>
    <w:rsid w:val="00717C03"/>
    <w:pPr>
      <w:numPr>
        <w:ilvl w:val="1"/>
        <w:numId w:val="13"/>
      </w:numPr>
    </w:pPr>
    <w:rPr>
      <w:rFonts w:eastAsia="Times New Roman"/>
      <w:lang w:eastAsia="en-GB"/>
    </w:rPr>
  </w:style>
  <w:style w:type="paragraph" w:customStyle="1" w:styleId="ListNumber3Level2">
    <w:name w:val="List Number 3 (Level 2)"/>
    <w:basedOn w:val="Text3"/>
    <w:rsid w:val="00717C03"/>
    <w:pPr>
      <w:numPr>
        <w:ilvl w:val="1"/>
        <w:numId w:val="14"/>
      </w:numPr>
    </w:pPr>
    <w:rPr>
      <w:rFonts w:eastAsia="Times New Roman"/>
      <w:lang w:eastAsia="en-GB"/>
    </w:rPr>
  </w:style>
  <w:style w:type="paragraph" w:customStyle="1" w:styleId="ListNumber4Level2">
    <w:name w:val="List Number 4 (Level 2)"/>
    <w:basedOn w:val="Text4"/>
    <w:rsid w:val="00717C03"/>
    <w:pPr>
      <w:numPr>
        <w:ilvl w:val="1"/>
        <w:numId w:val="15"/>
      </w:numPr>
    </w:pPr>
    <w:rPr>
      <w:rFonts w:eastAsia="Times New Roman"/>
      <w:lang w:eastAsia="en-GB"/>
    </w:rPr>
  </w:style>
  <w:style w:type="paragraph" w:customStyle="1" w:styleId="ListNumber1Level3">
    <w:name w:val="List Number 1 (Level 3)"/>
    <w:basedOn w:val="Text1"/>
    <w:rsid w:val="00717C03"/>
    <w:pPr>
      <w:numPr>
        <w:ilvl w:val="2"/>
        <w:numId w:val="12"/>
      </w:numPr>
    </w:pPr>
    <w:rPr>
      <w:rFonts w:eastAsia="Times New Roman"/>
      <w:lang w:eastAsia="en-GB"/>
    </w:rPr>
  </w:style>
  <w:style w:type="paragraph" w:customStyle="1" w:styleId="ListNumber2Level3">
    <w:name w:val="List Number 2 (Level 3)"/>
    <w:basedOn w:val="Text2"/>
    <w:rsid w:val="00717C03"/>
    <w:pPr>
      <w:numPr>
        <w:ilvl w:val="2"/>
        <w:numId w:val="13"/>
      </w:numPr>
    </w:pPr>
    <w:rPr>
      <w:rFonts w:eastAsia="Times New Roman"/>
      <w:lang w:eastAsia="en-GB"/>
    </w:rPr>
  </w:style>
  <w:style w:type="paragraph" w:customStyle="1" w:styleId="ListNumber3Level3">
    <w:name w:val="List Number 3 (Level 3)"/>
    <w:basedOn w:val="Text3"/>
    <w:rsid w:val="00717C03"/>
    <w:pPr>
      <w:numPr>
        <w:ilvl w:val="2"/>
        <w:numId w:val="14"/>
      </w:numPr>
    </w:pPr>
    <w:rPr>
      <w:rFonts w:eastAsia="Times New Roman"/>
      <w:lang w:eastAsia="en-GB"/>
    </w:rPr>
  </w:style>
  <w:style w:type="paragraph" w:customStyle="1" w:styleId="ListNumber4Level3">
    <w:name w:val="List Number 4 (Level 3)"/>
    <w:basedOn w:val="Text4"/>
    <w:rsid w:val="00717C03"/>
    <w:pPr>
      <w:numPr>
        <w:ilvl w:val="2"/>
        <w:numId w:val="15"/>
      </w:numPr>
    </w:pPr>
    <w:rPr>
      <w:rFonts w:eastAsia="Times New Roman"/>
      <w:lang w:eastAsia="en-GB"/>
    </w:rPr>
  </w:style>
  <w:style w:type="paragraph" w:customStyle="1" w:styleId="ListNumber1Level4">
    <w:name w:val="List Number 1 (Level 4)"/>
    <w:basedOn w:val="Text1"/>
    <w:rsid w:val="00717C03"/>
    <w:pPr>
      <w:numPr>
        <w:ilvl w:val="3"/>
        <w:numId w:val="12"/>
      </w:numPr>
    </w:pPr>
    <w:rPr>
      <w:rFonts w:eastAsia="Times New Roman"/>
      <w:lang w:eastAsia="en-GB"/>
    </w:rPr>
  </w:style>
  <w:style w:type="paragraph" w:customStyle="1" w:styleId="ListNumber2Level4">
    <w:name w:val="List Number 2 (Level 4)"/>
    <w:basedOn w:val="Text2"/>
    <w:rsid w:val="00717C03"/>
    <w:pPr>
      <w:numPr>
        <w:ilvl w:val="3"/>
        <w:numId w:val="13"/>
      </w:numPr>
    </w:pPr>
    <w:rPr>
      <w:rFonts w:eastAsia="Times New Roman"/>
      <w:lang w:eastAsia="en-GB"/>
    </w:rPr>
  </w:style>
  <w:style w:type="paragraph" w:customStyle="1" w:styleId="ListNumber3Level4">
    <w:name w:val="List Number 3 (Level 4)"/>
    <w:basedOn w:val="Text3"/>
    <w:rsid w:val="00717C03"/>
    <w:pPr>
      <w:numPr>
        <w:ilvl w:val="3"/>
        <w:numId w:val="14"/>
      </w:numPr>
    </w:pPr>
    <w:rPr>
      <w:rFonts w:eastAsia="Times New Roman"/>
      <w:lang w:eastAsia="en-GB"/>
    </w:rPr>
  </w:style>
  <w:style w:type="paragraph" w:customStyle="1" w:styleId="ListNumber4Level4">
    <w:name w:val="List Number 4 (Level 4)"/>
    <w:basedOn w:val="Text4"/>
    <w:rsid w:val="00717C03"/>
    <w:pPr>
      <w:numPr>
        <w:ilvl w:val="3"/>
        <w:numId w:val="15"/>
      </w:numPr>
    </w:pPr>
    <w:rPr>
      <w:rFonts w:eastAsia="Times New Roman"/>
      <w:lang w:eastAsia="en-GB"/>
    </w:rPr>
  </w:style>
  <w:style w:type="paragraph" w:customStyle="1" w:styleId="Annexetitreacte">
    <w:name w:val="Annexe titre (acte)"/>
    <w:basedOn w:val="Normal"/>
    <w:next w:val="Normal"/>
    <w:rsid w:val="00717C03"/>
    <w:pPr>
      <w:jc w:val="center"/>
    </w:pPr>
    <w:rPr>
      <w:rFonts w:eastAsia="Times New Roman"/>
      <w:b/>
      <w:u w:val="single"/>
      <w:lang w:eastAsia="en-GB"/>
    </w:rPr>
  </w:style>
  <w:style w:type="paragraph" w:customStyle="1" w:styleId="Annexetitreexposglobal">
    <w:name w:val="Annexe titre (exposé global)"/>
    <w:basedOn w:val="Normal"/>
    <w:next w:val="Normal"/>
    <w:rsid w:val="00717C03"/>
    <w:pPr>
      <w:jc w:val="center"/>
    </w:pPr>
    <w:rPr>
      <w:rFonts w:eastAsia="Times New Roman"/>
      <w:b/>
      <w:u w:val="single"/>
      <w:lang w:eastAsia="en-GB"/>
    </w:rPr>
  </w:style>
  <w:style w:type="paragraph" w:customStyle="1" w:styleId="Annexetitrefichefinacte">
    <w:name w:val="Annexe titre (fiche fin. acte)"/>
    <w:basedOn w:val="Normal"/>
    <w:next w:val="Normal"/>
    <w:rsid w:val="00717C03"/>
    <w:pPr>
      <w:jc w:val="center"/>
    </w:pPr>
    <w:rPr>
      <w:rFonts w:eastAsia="Times New Roman"/>
      <w:b/>
      <w:u w:val="single"/>
      <w:lang w:eastAsia="en-GB"/>
    </w:rPr>
  </w:style>
  <w:style w:type="paragraph" w:customStyle="1" w:styleId="Annexetitrefichefinglobale">
    <w:name w:val="Annexe titre (fiche fin. globale)"/>
    <w:basedOn w:val="Normal"/>
    <w:next w:val="Normal"/>
    <w:rsid w:val="00717C03"/>
    <w:pPr>
      <w:jc w:val="center"/>
    </w:pPr>
    <w:rPr>
      <w:rFonts w:eastAsia="Times New Roman"/>
      <w:b/>
      <w:u w:val="single"/>
      <w:lang w:eastAsia="en-GB"/>
    </w:rPr>
  </w:style>
  <w:style w:type="paragraph" w:customStyle="1" w:styleId="Annexetitreglobale">
    <w:name w:val="Annexe titre (globale)"/>
    <w:basedOn w:val="Normal"/>
    <w:next w:val="Normal"/>
    <w:rsid w:val="00717C03"/>
    <w:pPr>
      <w:jc w:val="center"/>
    </w:pPr>
    <w:rPr>
      <w:rFonts w:eastAsia="Times New Roman"/>
      <w:b/>
      <w:u w:val="single"/>
      <w:lang w:eastAsia="en-GB"/>
    </w:rPr>
  </w:style>
  <w:style w:type="paragraph" w:customStyle="1" w:styleId="Exposdesmotifstitreglobal">
    <w:name w:val="Exposé des motifs titre (global)"/>
    <w:basedOn w:val="Normal"/>
    <w:next w:val="Normal"/>
    <w:rsid w:val="00717C03"/>
    <w:pPr>
      <w:jc w:val="center"/>
    </w:pPr>
    <w:rPr>
      <w:rFonts w:eastAsia="Times New Roman"/>
      <w:b/>
      <w:u w:val="single"/>
      <w:lang w:eastAsia="en-GB"/>
    </w:rPr>
  </w:style>
  <w:style w:type="paragraph" w:customStyle="1" w:styleId="Langueoriginale">
    <w:name w:val="Langue originale"/>
    <w:basedOn w:val="Normal"/>
    <w:rsid w:val="00717C03"/>
    <w:pPr>
      <w:spacing w:before="360"/>
      <w:jc w:val="center"/>
    </w:pPr>
    <w:rPr>
      <w:rFonts w:eastAsia="Times New Roman"/>
      <w:caps/>
      <w:lang w:eastAsia="en-GB"/>
    </w:rPr>
  </w:style>
  <w:style w:type="paragraph" w:customStyle="1" w:styleId="Phrasefinale">
    <w:name w:val="Phrase finale"/>
    <w:basedOn w:val="Normal"/>
    <w:next w:val="Normal"/>
    <w:rsid w:val="00717C03"/>
    <w:pPr>
      <w:spacing w:before="360" w:after="0"/>
      <w:jc w:val="center"/>
    </w:pPr>
    <w:rPr>
      <w:rFonts w:eastAsia="Times New Roman"/>
      <w:lang w:eastAsia="en-GB"/>
    </w:rPr>
  </w:style>
  <w:style w:type="paragraph" w:customStyle="1" w:styleId="Prliminairetitre">
    <w:name w:val="Préliminaire titre"/>
    <w:basedOn w:val="Normal"/>
    <w:next w:val="Normal"/>
    <w:rsid w:val="00717C03"/>
    <w:pPr>
      <w:spacing w:before="360" w:after="360"/>
      <w:jc w:val="center"/>
    </w:pPr>
    <w:rPr>
      <w:rFonts w:eastAsia="Times New Roman"/>
      <w:b/>
      <w:lang w:eastAsia="en-GB"/>
    </w:rPr>
  </w:style>
  <w:style w:type="paragraph" w:customStyle="1" w:styleId="Prliminairetype">
    <w:name w:val="Préliminaire type"/>
    <w:basedOn w:val="Normal"/>
    <w:next w:val="Normal"/>
    <w:rsid w:val="00717C03"/>
    <w:pPr>
      <w:spacing w:before="360" w:after="0"/>
      <w:jc w:val="center"/>
    </w:pPr>
    <w:rPr>
      <w:rFonts w:eastAsia="Times New Roman"/>
      <w:b/>
      <w:lang w:eastAsia="en-GB"/>
    </w:rPr>
  </w:style>
  <w:style w:type="paragraph" w:customStyle="1" w:styleId="Rfrenceinstitutionelle">
    <w:name w:val="Référence institutionelle"/>
    <w:basedOn w:val="Normal"/>
    <w:next w:val="Statut"/>
    <w:rsid w:val="00717C03"/>
    <w:pPr>
      <w:spacing w:before="0" w:after="240"/>
      <w:ind w:left="5103"/>
      <w:jc w:val="left"/>
    </w:pPr>
    <w:rPr>
      <w:rFonts w:eastAsia="Times New Roman"/>
      <w:lang w:eastAsia="en-GB"/>
    </w:rPr>
  </w:style>
  <w:style w:type="paragraph" w:customStyle="1" w:styleId="Rfrenceinterinstitutionelle">
    <w:name w:val="Référence interinstitutionelle"/>
    <w:basedOn w:val="Normal"/>
    <w:next w:val="Statut"/>
    <w:rsid w:val="00717C03"/>
    <w:pPr>
      <w:spacing w:before="0" w:after="0"/>
      <w:ind w:left="5103"/>
      <w:jc w:val="left"/>
    </w:pPr>
    <w:rPr>
      <w:rFonts w:eastAsia="Times New Roman"/>
      <w:lang w:eastAsia="en-GB"/>
    </w:rPr>
  </w:style>
  <w:style w:type="paragraph" w:customStyle="1" w:styleId="Rfrenceinterinstitutionelleprliminaire">
    <w:name w:val="Référence interinstitutionelle (préliminaire)"/>
    <w:basedOn w:val="Normal"/>
    <w:next w:val="Normal"/>
    <w:rsid w:val="00717C03"/>
    <w:pPr>
      <w:spacing w:before="0" w:after="0"/>
      <w:ind w:left="5103"/>
      <w:jc w:val="left"/>
    </w:pPr>
    <w:rPr>
      <w:rFonts w:eastAsia="Times New Roman"/>
      <w:lang w:eastAsia="en-GB"/>
    </w:rPr>
  </w:style>
  <w:style w:type="paragraph" w:customStyle="1" w:styleId="Sous-titreobjetprliminaire">
    <w:name w:val="Sous-titre objet (préliminaire)"/>
    <w:basedOn w:val="Normal"/>
    <w:rsid w:val="00717C03"/>
    <w:pPr>
      <w:spacing w:before="0" w:after="0"/>
      <w:jc w:val="center"/>
    </w:pPr>
    <w:rPr>
      <w:rFonts w:eastAsia="Times New Roman"/>
      <w:b/>
      <w:lang w:eastAsia="en-GB"/>
    </w:rPr>
  </w:style>
  <w:style w:type="paragraph" w:customStyle="1" w:styleId="Statutprliminaire">
    <w:name w:val="Statut (préliminaire)"/>
    <w:basedOn w:val="Normal"/>
    <w:next w:val="Normal"/>
    <w:rsid w:val="00717C03"/>
    <w:pPr>
      <w:spacing w:before="360" w:after="0"/>
      <w:jc w:val="center"/>
    </w:pPr>
    <w:rPr>
      <w:rFonts w:eastAsia="Times New Roman"/>
      <w:lang w:eastAsia="en-GB"/>
    </w:rPr>
  </w:style>
  <w:style w:type="paragraph" w:customStyle="1" w:styleId="Titreobjetprliminaire">
    <w:name w:val="Titre objet (préliminaire)"/>
    <w:basedOn w:val="Normal"/>
    <w:next w:val="Normal"/>
    <w:rsid w:val="00717C03"/>
    <w:pPr>
      <w:spacing w:before="360" w:after="360"/>
      <w:jc w:val="center"/>
    </w:pPr>
    <w:rPr>
      <w:rFonts w:eastAsia="Times New Roman"/>
      <w:b/>
      <w:lang w:eastAsia="en-GB"/>
    </w:rPr>
  </w:style>
  <w:style w:type="paragraph" w:customStyle="1" w:styleId="Typedudocumentprliminaire">
    <w:name w:val="Type du document (préliminaire)"/>
    <w:basedOn w:val="Normal"/>
    <w:next w:val="Normal"/>
    <w:rsid w:val="00717C03"/>
    <w:pPr>
      <w:spacing w:before="360" w:after="0"/>
      <w:jc w:val="center"/>
    </w:pPr>
    <w:rPr>
      <w:rFonts w:eastAsia="Times New Roman"/>
      <w:b/>
      <w:lang w:eastAsia="en-GB"/>
    </w:rPr>
  </w:style>
  <w:style w:type="paragraph" w:customStyle="1" w:styleId="Fichefinancirestandardtitre">
    <w:name w:val="Fiche financière (standard) titre"/>
    <w:basedOn w:val="Normal"/>
    <w:next w:val="Normal"/>
    <w:rsid w:val="00717C03"/>
    <w:pPr>
      <w:jc w:val="center"/>
    </w:pPr>
    <w:rPr>
      <w:rFonts w:eastAsia="Times New Roman"/>
      <w:b/>
      <w:u w:val="single"/>
      <w:lang w:eastAsia="en-GB"/>
    </w:rPr>
  </w:style>
  <w:style w:type="paragraph" w:customStyle="1" w:styleId="Fichefinancirestandardtitreacte">
    <w:name w:val="Fiche financière (standard) titre (acte)"/>
    <w:basedOn w:val="Normal"/>
    <w:next w:val="Normal"/>
    <w:rsid w:val="00717C03"/>
    <w:pPr>
      <w:jc w:val="center"/>
    </w:pPr>
    <w:rPr>
      <w:rFonts w:eastAsia="Times New Roman"/>
      <w:b/>
      <w:u w:val="single"/>
      <w:lang w:eastAsia="en-GB"/>
    </w:rPr>
  </w:style>
  <w:style w:type="paragraph" w:customStyle="1" w:styleId="Fichefinanciretravailtitre">
    <w:name w:val="Fiche financière (travail) titre"/>
    <w:basedOn w:val="Normal"/>
    <w:next w:val="Normal"/>
    <w:rsid w:val="00717C03"/>
    <w:pPr>
      <w:jc w:val="center"/>
    </w:pPr>
    <w:rPr>
      <w:rFonts w:eastAsia="Times New Roman"/>
      <w:b/>
      <w:u w:val="single"/>
      <w:lang w:eastAsia="en-GB"/>
    </w:rPr>
  </w:style>
  <w:style w:type="paragraph" w:customStyle="1" w:styleId="Fichefinanciretravailtitreacte">
    <w:name w:val="Fiche financière (travail) titre (acte)"/>
    <w:basedOn w:val="Normal"/>
    <w:next w:val="Normal"/>
    <w:rsid w:val="00717C03"/>
    <w:pPr>
      <w:jc w:val="center"/>
    </w:pPr>
    <w:rPr>
      <w:rFonts w:eastAsia="Times New Roman"/>
      <w:b/>
      <w:u w:val="single"/>
      <w:lang w:eastAsia="en-GB"/>
    </w:rPr>
  </w:style>
  <w:style w:type="paragraph" w:customStyle="1" w:styleId="Fichefinancireattributiontitre">
    <w:name w:val="Fiche financière (attribution) titre"/>
    <w:basedOn w:val="Normal"/>
    <w:next w:val="Normal"/>
    <w:rsid w:val="00717C03"/>
    <w:pPr>
      <w:jc w:val="center"/>
    </w:pPr>
    <w:rPr>
      <w:rFonts w:eastAsia="Times New Roman"/>
      <w:b/>
      <w:u w:val="single"/>
      <w:lang w:eastAsia="en-GB"/>
    </w:rPr>
  </w:style>
  <w:style w:type="paragraph" w:customStyle="1" w:styleId="Fichefinancireattributiontitreacte">
    <w:name w:val="Fiche financière (attribution) titre (acte)"/>
    <w:basedOn w:val="Normal"/>
    <w:next w:val="Normal"/>
    <w:rsid w:val="00717C03"/>
    <w:pPr>
      <w:jc w:val="center"/>
    </w:pPr>
    <w:rPr>
      <w:rFonts w:eastAsia="Times New Roman"/>
      <w:b/>
      <w:u w:val="single"/>
      <w:lang w:eastAsia="en-GB"/>
    </w:rPr>
  </w:style>
  <w:style w:type="character" w:styleId="CommentReference">
    <w:name w:val="annotation reference"/>
    <w:rsid w:val="00717C03"/>
    <w:rPr>
      <w:rFonts w:cs="Times New Roman"/>
      <w:sz w:val="16"/>
      <w:szCs w:val="16"/>
    </w:rPr>
  </w:style>
  <w:style w:type="paragraph" w:styleId="CommentText">
    <w:name w:val="annotation text"/>
    <w:basedOn w:val="Normal"/>
    <w:link w:val="CommentTextChar"/>
    <w:rsid w:val="00717C03"/>
    <w:rPr>
      <w:rFonts w:eastAsia="Times New Roman"/>
      <w:sz w:val="20"/>
      <w:szCs w:val="20"/>
      <w:lang w:eastAsia="en-GB"/>
    </w:rPr>
  </w:style>
  <w:style w:type="character" w:customStyle="1" w:styleId="CommentTextChar">
    <w:name w:val="Comment Text Char"/>
    <w:basedOn w:val="DefaultParagraphFont"/>
    <w:link w:val="CommentText"/>
    <w:rsid w:val="00717C03"/>
    <w:rPr>
      <w:rFonts w:ascii="Times New Roman" w:eastAsia="Times New Roman" w:hAnsi="Times New Roman" w:cs="Times New Roman"/>
      <w:sz w:val="20"/>
      <w:szCs w:val="20"/>
      <w:lang w:val="ro-RO" w:eastAsia="en-GB"/>
    </w:rPr>
  </w:style>
  <w:style w:type="paragraph" w:styleId="CommentSubject">
    <w:name w:val="annotation subject"/>
    <w:basedOn w:val="CommentText"/>
    <w:next w:val="CommentText"/>
    <w:link w:val="CommentSubjectChar"/>
    <w:rsid w:val="00717C03"/>
    <w:rPr>
      <w:b/>
      <w:bCs/>
    </w:rPr>
  </w:style>
  <w:style w:type="character" w:customStyle="1" w:styleId="CommentSubjectChar">
    <w:name w:val="Comment Subject Char"/>
    <w:basedOn w:val="CommentTextChar"/>
    <w:link w:val="CommentSubject"/>
    <w:rsid w:val="00717C03"/>
    <w:rPr>
      <w:rFonts w:ascii="Times New Roman" w:eastAsia="Times New Roman" w:hAnsi="Times New Roman" w:cs="Times New Roman"/>
      <w:b/>
      <w:bCs/>
      <w:sz w:val="20"/>
      <w:szCs w:val="20"/>
      <w:lang w:val="ro-RO" w:eastAsia="en-GB"/>
    </w:rPr>
  </w:style>
  <w:style w:type="paragraph" w:styleId="BalloonText">
    <w:name w:val="Balloon Text"/>
    <w:basedOn w:val="Normal"/>
    <w:link w:val="BalloonTextChar"/>
    <w:rsid w:val="00717C03"/>
    <w:rPr>
      <w:rFonts w:ascii="Tahoma" w:eastAsia="Times New Roman" w:hAnsi="Tahoma" w:cs="Tahoma"/>
      <w:sz w:val="16"/>
      <w:szCs w:val="16"/>
      <w:lang w:eastAsia="en-GB"/>
    </w:rPr>
  </w:style>
  <w:style w:type="character" w:customStyle="1" w:styleId="BalloonTextChar">
    <w:name w:val="Balloon Text Char"/>
    <w:basedOn w:val="DefaultParagraphFont"/>
    <w:link w:val="BalloonText"/>
    <w:rsid w:val="00717C03"/>
    <w:rPr>
      <w:rFonts w:ascii="Tahoma" w:eastAsia="Times New Roman" w:hAnsi="Tahoma" w:cs="Tahoma"/>
      <w:sz w:val="16"/>
      <w:szCs w:val="16"/>
      <w:lang w:val="ro-RO" w:eastAsia="en-GB"/>
    </w:rPr>
  </w:style>
  <w:style w:type="paragraph" w:styleId="Caption">
    <w:name w:val="caption"/>
    <w:basedOn w:val="Normal"/>
    <w:next w:val="Normal"/>
    <w:qFormat/>
    <w:rsid w:val="00717C03"/>
    <w:rPr>
      <w:rFonts w:eastAsia="Times New Roman"/>
      <w:b/>
      <w:bCs/>
      <w:sz w:val="20"/>
      <w:szCs w:val="20"/>
      <w:lang w:eastAsia="en-GB"/>
    </w:rPr>
  </w:style>
  <w:style w:type="paragraph" w:styleId="TableofFigures">
    <w:name w:val="table of figures"/>
    <w:basedOn w:val="Normal"/>
    <w:next w:val="Normal"/>
    <w:rsid w:val="00717C03"/>
    <w:rPr>
      <w:rFonts w:eastAsia="Times New Roman"/>
      <w:lang w:eastAsia="en-GB"/>
    </w:rPr>
  </w:style>
  <w:style w:type="character" w:styleId="PageNumber">
    <w:name w:val="page number"/>
    <w:rsid w:val="00717C03"/>
  </w:style>
  <w:style w:type="character" w:customStyle="1" w:styleId="tw4winMark">
    <w:name w:val="tw4winMark"/>
    <w:rsid w:val="00717C03"/>
    <w:rPr>
      <w:vanish/>
      <w:color w:val="800080"/>
      <w:vertAlign w:val="subscript"/>
    </w:rPr>
  </w:style>
  <w:style w:type="character" w:styleId="FollowedHyperlink">
    <w:name w:val="FollowedHyperlink"/>
    <w:rsid w:val="00717C03"/>
    <w:rPr>
      <w:color w:val="800080"/>
      <w:u w:val="single"/>
    </w:rPr>
  </w:style>
  <w:style w:type="paragraph" w:customStyle="1" w:styleId="Sous-titreobjet">
    <w:name w:val="Sous-titre objet"/>
    <w:basedOn w:val="Normal"/>
    <w:rsid w:val="00717C03"/>
    <w:pPr>
      <w:spacing w:before="0" w:after="0"/>
      <w:jc w:val="center"/>
    </w:pPr>
    <w:rPr>
      <w:rFonts w:eastAsia="Times New Roman"/>
      <w:b/>
      <w:lang w:eastAsia="en-GB"/>
    </w:rPr>
  </w:style>
  <w:style w:type="paragraph" w:customStyle="1" w:styleId="Sous-titreobjetPagedecouverture">
    <w:name w:val="Sous-titre objet (Page de couverture)"/>
    <w:basedOn w:val="Sous-titreobjet"/>
    <w:rsid w:val="00717C03"/>
  </w:style>
  <w:style w:type="paragraph" w:styleId="Revision">
    <w:name w:val="Revision"/>
    <w:hidden/>
    <w:uiPriority w:val="99"/>
    <w:semiHidden/>
    <w:rsid w:val="00717C03"/>
    <w:rPr>
      <w:rFonts w:ascii="Calibri" w:eastAsia="Calibri" w:hAnsi="Calibri" w:cs="Times New Roman"/>
      <w:sz w:val="24"/>
      <w:lang w:eastAsia="en-GB"/>
    </w:rPr>
  </w:style>
  <w:style w:type="paragraph" w:customStyle="1" w:styleId="FooterCoverPage">
    <w:name w:val="Footer Cover Page"/>
    <w:basedOn w:val="Normal"/>
    <w:link w:val="FooterCoverPageChar"/>
    <w:rsid w:val="00717C03"/>
    <w:pPr>
      <w:tabs>
        <w:tab w:val="center" w:pos="4535"/>
        <w:tab w:val="right" w:pos="9071"/>
        <w:tab w:val="right" w:pos="9921"/>
      </w:tabs>
      <w:spacing w:before="360" w:after="0"/>
      <w:ind w:left="-850" w:right="-850"/>
      <w:jc w:val="left"/>
    </w:pPr>
    <w:rPr>
      <w:rFonts w:eastAsia="Calibri"/>
      <w:lang w:eastAsia="en-GB"/>
    </w:rPr>
  </w:style>
  <w:style w:type="character" w:customStyle="1" w:styleId="TOCHeadingChar">
    <w:name w:val="TOC Heading Char"/>
    <w:uiPriority w:val="39"/>
    <w:rsid w:val="00717C03"/>
    <w:rPr>
      <w:rFonts w:ascii="Times New Roman" w:hAnsi="Times New Roman" w:cs="Times New Roman"/>
      <w:b/>
      <w:sz w:val="28"/>
      <w:lang w:val="ro-RO"/>
    </w:rPr>
  </w:style>
  <w:style w:type="character" w:customStyle="1" w:styleId="FooterCoverPageChar">
    <w:name w:val="Footer Cover Page Char"/>
    <w:link w:val="FooterCoverPage"/>
    <w:rsid w:val="00717C03"/>
    <w:rPr>
      <w:rFonts w:ascii="Times New Roman" w:eastAsia="Calibri" w:hAnsi="Times New Roman" w:cs="Times New Roman"/>
      <w:sz w:val="24"/>
      <w:lang w:val="ro-RO" w:eastAsia="en-GB"/>
    </w:rPr>
  </w:style>
  <w:style w:type="paragraph" w:customStyle="1" w:styleId="HeaderCoverPage">
    <w:name w:val="Header Cover Page"/>
    <w:basedOn w:val="Normal"/>
    <w:link w:val="HeaderCoverPageChar"/>
    <w:rsid w:val="00717C03"/>
    <w:pPr>
      <w:tabs>
        <w:tab w:val="center" w:pos="4535"/>
        <w:tab w:val="right" w:pos="9071"/>
      </w:tabs>
      <w:spacing w:before="0"/>
    </w:pPr>
    <w:rPr>
      <w:rFonts w:eastAsia="Calibri"/>
      <w:lang w:eastAsia="en-GB"/>
    </w:rPr>
  </w:style>
  <w:style w:type="character" w:customStyle="1" w:styleId="HeaderCoverPageChar">
    <w:name w:val="Header Cover Page Char"/>
    <w:link w:val="HeaderCoverPage"/>
    <w:rsid w:val="00717C03"/>
    <w:rPr>
      <w:rFonts w:ascii="Times New Roman" w:eastAsia="Calibri" w:hAnsi="Times New Roman" w:cs="Times New Roman"/>
      <w:sz w:val="24"/>
      <w:lang w:val="ro-RO" w:eastAsia="en-GB"/>
    </w:rPr>
  </w:style>
  <w:style w:type="character" w:customStyle="1" w:styleId="FooterSensitivityChar">
    <w:name w:val="Footer Sensitivity Char"/>
    <w:rsid w:val="00717C03"/>
    <w:rPr>
      <w:rFonts w:ascii="Times New Roman" w:hAnsi="Times New Roman" w:cs="Times New Roman"/>
      <w:b/>
      <w:sz w:val="32"/>
      <w:lang w:val="ro-RO"/>
    </w:rPr>
  </w:style>
  <w:style w:type="character" w:customStyle="1" w:styleId="HeaderSensitivityChar">
    <w:name w:val="Header Sensitivity Char"/>
    <w:rsid w:val="00717C03"/>
    <w:rPr>
      <w:rFonts w:ascii="Times New Roman" w:hAnsi="Times New Roman" w:cs="Times New Roman"/>
      <w:b/>
      <w:sz w:val="32"/>
      <w:lang w:val="ro-RO"/>
    </w:rPr>
  </w:style>
  <w:style w:type="character" w:customStyle="1" w:styleId="HeaderSensitivityRightChar">
    <w:name w:val="Header Sensitivity Right Char"/>
    <w:rsid w:val="00717C03"/>
    <w:rPr>
      <w:rFonts w:ascii="Times New Roman" w:hAnsi="Times New Roman" w:cs="Times New Roman"/>
      <w:sz w:val="28"/>
      <w:lang w:val="ro-RO"/>
    </w:rPr>
  </w:style>
  <w:style w:type="paragraph" w:customStyle="1" w:styleId="LegalNumPar">
    <w:name w:val="LegalNumPar"/>
    <w:basedOn w:val="Normal"/>
    <w:rsid w:val="00717C03"/>
    <w:pPr>
      <w:numPr>
        <w:numId w:val="16"/>
      </w:numPr>
      <w:spacing w:line="360" w:lineRule="auto"/>
    </w:pPr>
    <w:rPr>
      <w:rFonts w:eastAsia="Times New Roman"/>
      <w:lang w:eastAsia="en-GB"/>
    </w:rPr>
  </w:style>
  <w:style w:type="paragraph" w:customStyle="1" w:styleId="LegalNumPar2">
    <w:name w:val="LegalNumPar2"/>
    <w:basedOn w:val="Normal"/>
    <w:rsid w:val="00717C03"/>
    <w:pPr>
      <w:numPr>
        <w:ilvl w:val="1"/>
        <w:numId w:val="16"/>
      </w:numPr>
      <w:spacing w:line="360" w:lineRule="auto"/>
    </w:pPr>
    <w:rPr>
      <w:rFonts w:eastAsia="Times New Roman"/>
      <w:lang w:eastAsia="en-GB"/>
    </w:rPr>
  </w:style>
  <w:style w:type="paragraph" w:customStyle="1" w:styleId="LegalNumPar3">
    <w:name w:val="LegalNumPar3"/>
    <w:basedOn w:val="Normal"/>
    <w:rsid w:val="00717C03"/>
    <w:pPr>
      <w:numPr>
        <w:ilvl w:val="2"/>
        <w:numId w:val="16"/>
      </w:numPr>
      <w:spacing w:line="360" w:lineRule="auto"/>
    </w:pPr>
    <w:rPr>
      <w:rFonts w:eastAsia="Times New Roman"/>
      <w:lang w:eastAsia="en-GB"/>
    </w:rPr>
  </w:style>
  <w:style w:type="paragraph" w:styleId="ListParagraph">
    <w:name w:val="List Paragraph"/>
    <w:basedOn w:val="Normal"/>
    <w:uiPriority w:val="34"/>
    <w:qFormat/>
    <w:rsid w:val="00717C03"/>
    <w:pPr>
      <w:ind w:left="720"/>
      <w:contextualSpacing/>
    </w:pPr>
    <w:rPr>
      <w:rFonts w:eastAsia="Times New Roman"/>
      <w:lang w:eastAsia="en-GB"/>
    </w:rPr>
  </w:style>
  <w:style w:type="character" w:customStyle="1" w:styleId="UnresolvedMention">
    <w:name w:val="Unresolved Mention"/>
    <w:basedOn w:val="DefaultParagraphFont"/>
    <w:uiPriority w:val="99"/>
    <w:semiHidden/>
    <w:unhideWhenUsed/>
    <w:rsid w:val="00717C03"/>
    <w:rPr>
      <w:color w:val="605E5C"/>
      <w:shd w:val="clear" w:color="auto" w:fill="E1DFDD"/>
    </w:rPr>
  </w:style>
  <w:style w:type="character" w:styleId="Strong">
    <w:name w:val="Strong"/>
    <w:basedOn w:val="DefaultParagraphFont"/>
    <w:qFormat/>
    <w:rsid w:val="00717C03"/>
    <w:rPr>
      <w:b/>
      <w:bCs/>
    </w:rPr>
  </w:style>
  <w:style w:type="character" w:styleId="Emphasis">
    <w:name w:val="Emphasis"/>
    <w:basedOn w:val="DefaultParagraphFont"/>
    <w:qFormat/>
    <w:rsid w:val="00717C03"/>
    <w:rPr>
      <w:i/>
      <w:iCs/>
    </w:rPr>
  </w:style>
  <w:style w:type="character" w:customStyle="1" w:styleId="Mention">
    <w:name w:val="Mention"/>
    <w:basedOn w:val="DefaultParagraphFont"/>
    <w:uiPriority w:val="99"/>
    <w:unhideWhenUsed/>
    <w:rsid w:val="00717C03"/>
    <w:rPr>
      <w:color w:val="2B579A"/>
      <w:shd w:val="clear" w:color="auto" w:fill="E1DFDD"/>
    </w:rPr>
  </w:style>
  <w:style w:type="character" w:customStyle="1" w:styleId="normaltextrun">
    <w:name w:val="normaltextrun"/>
    <w:basedOn w:val="DefaultParagraphFont"/>
    <w:rsid w:val="00717C03"/>
  </w:style>
  <w:style w:type="character" w:customStyle="1" w:styleId="eop">
    <w:name w:val="eop"/>
    <w:basedOn w:val="DefaultParagraphFont"/>
    <w:rsid w:val="00717C03"/>
  </w:style>
  <w:style w:type="character" w:customStyle="1" w:styleId="HeaderChar">
    <w:name w:val="Header Char"/>
    <w:basedOn w:val="DefaultParagraphFont"/>
    <w:link w:val="Header"/>
    <w:uiPriority w:val="99"/>
    <w:rsid w:val="005F0C46"/>
    <w:rPr>
      <w:rFonts w:ascii="Times New Roman" w:hAnsi="Times New Roman" w:cs="Times New Roman"/>
      <w:sz w:val="24"/>
      <w:lang w:val="ro-RO"/>
    </w:rPr>
  </w:style>
  <w:style w:type="character" w:customStyle="1" w:styleId="FooterChar">
    <w:name w:val="Footer Char"/>
    <w:basedOn w:val="DefaultParagraphFont"/>
    <w:link w:val="Footer"/>
    <w:uiPriority w:val="99"/>
    <w:rsid w:val="005F0C46"/>
    <w:rPr>
      <w:rFonts w:ascii="Times New Roman" w:hAnsi="Times New Roman" w:cs="Times New Roman"/>
      <w:sz w:val="24"/>
      <w:lang w:val="ro-RO"/>
    </w:rPr>
  </w:style>
  <w:style w:type="paragraph" w:styleId="FootnoteText">
    <w:name w:val="footnote text"/>
    <w:basedOn w:val="Normal"/>
    <w:link w:val="FootnoteTextChar"/>
    <w:uiPriority w:val="99"/>
    <w:semiHidden/>
    <w:unhideWhenUsed/>
    <w:pPr>
      <w:spacing w:before="0" w:after="0"/>
      <w:ind w:left="720" w:hanging="720"/>
    </w:pPr>
    <w:rPr>
      <w:sz w:val="20"/>
      <w:szCs w:val="20"/>
    </w:rPr>
  </w:style>
  <w:style w:type="character" w:customStyle="1" w:styleId="FootnoteTextChar">
    <w:name w:val="Footnote Text Char"/>
    <w:basedOn w:val="DefaultParagraphFont"/>
    <w:link w:val="FootnoteText"/>
    <w:uiPriority w:val="99"/>
    <w:semiHidden/>
    <w:rPr>
      <w:rFonts w:ascii="Times New Roman" w:hAnsi="Times New Roman" w:cs="Times New Roman"/>
      <w:sz w:val="20"/>
      <w:szCs w:val="20"/>
      <w:shd w:val="clear" w:color="auto" w:fill="auto"/>
      <w:lang w:val="en-GB"/>
    </w:rPr>
  </w:style>
  <w:style w:type="character" w:customStyle="1" w:styleId="Heading1Char">
    <w:name w:val="Heading 1 Char"/>
    <w:basedOn w:val="DefaultParagraphFont"/>
    <w:link w:val="Heading1"/>
    <w:uiPriority w:val="9"/>
    <w:rPr>
      <w:rFonts w:ascii="Times New Roman" w:eastAsiaTheme="majorEastAsia" w:hAnsi="Times New Roman" w:cs="Times New Roman"/>
      <w:b/>
      <w:bCs/>
      <w:smallCaps/>
      <w:sz w:val="24"/>
      <w:szCs w:val="28"/>
      <w:lang w:val="ro-RO"/>
    </w:rPr>
  </w:style>
  <w:style w:type="character" w:customStyle="1" w:styleId="Heading2Char">
    <w:name w:val="Heading 2 Char"/>
    <w:basedOn w:val="DefaultParagraphFont"/>
    <w:link w:val="Heading2"/>
    <w:uiPriority w:val="9"/>
    <w:semiHidden/>
    <w:rPr>
      <w:rFonts w:ascii="Times New Roman" w:eastAsiaTheme="majorEastAsia" w:hAnsi="Times New Roman" w:cs="Times New Roman"/>
      <w:b/>
      <w:bCs/>
      <w:sz w:val="24"/>
      <w:szCs w:val="26"/>
      <w:lang w:val="ro-RO"/>
    </w:rPr>
  </w:style>
  <w:style w:type="character" w:customStyle="1" w:styleId="Heading3Char">
    <w:name w:val="Heading 3 Char"/>
    <w:basedOn w:val="DefaultParagraphFont"/>
    <w:link w:val="Heading3"/>
    <w:uiPriority w:val="9"/>
    <w:semiHidden/>
    <w:rPr>
      <w:rFonts w:ascii="Times New Roman" w:eastAsiaTheme="majorEastAsia" w:hAnsi="Times New Roman" w:cs="Times New Roman"/>
      <w:bCs/>
      <w:i/>
      <w:sz w:val="24"/>
      <w:lang w:val="ro-RO"/>
    </w:rPr>
  </w:style>
  <w:style w:type="character" w:customStyle="1" w:styleId="Heading4Char">
    <w:name w:val="Heading 4 Char"/>
    <w:basedOn w:val="DefaultParagraphFont"/>
    <w:link w:val="Heading4"/>
    <w:uiPriority w:val="9"/>
    <w:semiHidden/>
    <w:rPr>
      <w:rFonts w:ascii="Times New Roman" w:eastAsiaTheme="majorEastAsia" w:hAnsi="Times New Roman" w:cs="Times New Roman"/>
      <w:bCs/>
      <w:iCs/>
      <w:sz w:val="24"/>
      <w:lang w:val="ro-RO"/>
    </w:rPr>
  </w:style>
  <w:style w:type="character" w:customStyle="1" w:styleId="Heading5Char">
    <w:name w:val="Heading 5 Char"/>
    <w:basedOn w:val="DefaultParagraphFont"/>
    <w:link w:val="Heading5"/>
    <w:uiPriority w:val="9"/>
    <w:semiHidden/>
    <w:rPr>
      <w:rFonts w:ascii="Times New Roman" w:eastAsiaTheme="majorEastAsia" w:hAnsi="Times New Roman" w:cs="Times New Roman"/>
      <w:sz w:val="24"/>
      <w:lang w:val="ro-RO"/>
    </w:rPr>
  </w:style>
  <w:style w:type="character" w:customStyle="1" w:styleId="Heading6Char">
    <w:name w:val="Heading 6 Char"/>
    <w:basedOn w:val="DefaultParagraphFont"/>
    <w:link w:val="Heading6"/>
    <w:uiPriority w:val="9"/>
    <w:semiHidden/>
    <w:rPr>
      <w:rFonts w:ascii="Times New Roman" w:eastAsiaTheme="majorEastAsia" w:hAnsi="Times New Roman" w:cs="Times New Roman"/>
      <w:iCs/>
      <w:sz w:val="24"/>
      <w:lang w:val="ro-RO"/>
    </w:rPr>
  </w:style>
  <w:style w:type="character" w:customStyle="1" w:styleId="Heading7Char">
    <w:name w:val="Heading 7 Char"/>
    <w:basedOn w:val="DefaultParagraphFont"/>
    <w:link w:val="Heading7"/>
    <w:uiPriority w:val="9"/>
    <w:semiHidden/>
    <w:rPr>
      <w:rFonts w:ascii="Times New Roman" w:eastAsiaTheme="majorEastAsia" w:hAnsi="Times New Roman" w:cs="Times New Roman"/>
      <w:iCs/>
      <w:sz w:val="24"/>
      <w:lang w:val="ro-RO"/>
    </w:rPr>
  </w:style>
  <w:style w:type="paragraph" w:styleId="TOCHeading">
    <w:name w:val="TOC Heading"/>
    <w:basedOn w:val="Normal"/>
    <w:next w:val="Normal"/>
    <w:uiPriority w:val="39"/>
    <w:semiHidden/>
    <w:unhideWhenUsed/>
    <w:qFormat/>
    <w:pPr>
      <w:spacing w:after="240"/>
      <w:jc w:val="center"/>
    </w:pPr>
    <w:rPr>
      <w:b/>
      <w:sz w:val="28"/>
    </w:rPr>
  </w:style>
  <w:style w:type="paragraph" w:styleId="TOC1">
    <w:name w:val="toc 1"/>
    <w:basedOn w:val="Normal"/>
    <w:next w:val="Normal"/>
    <w:uiPriority w:val="39"/>
    <w:semiHidden/>
    <w:unhideWhenUsed/>
    <w:pPr>
      <w:tabs>
        <w:tab w:val="right" w:leader="dot" w:pos="9071"/>
      </w:tabs>
      <w:spacing w:before="60"/>
      <w:ind w:left="850" w:hanging="850"/>
      <w:jc w:val="left"/>
    </w:pPr>
  </w:style>
  <w:style w:type="paragraph" w:styleId="TOC2">
    <w:name w:val="toc 2"/>
    <w:basedOn w:val="Normal"/>
    <w:next w:val="Normal"/>
    <w:uiPriority w:val="39"/>
    <w:semiHidden/>
    <w:unhideWhenUsed/>
    <w:pPr>
      <w:tabs>
        <w:tab w:val="right" w:leader="dot" w:pos="9071"/>
      </w:tabs>
      <w:spacing w:before="60"/>
      <w:ind w:left="850" w:hanging="850"/>
      <w:jc w:val="left"/>
    </w:pPr>
  </w:style>
  <w:style w:type="paragraph" w:styleId="TOC3">
    <w:name w:val="toc 3"/>
    <w:basedOn w:val="Normal"/>
    <w:next w:val="Normal"/>
    <w:uiPriority w:val="39"/>
    <w:semiHidden/>
    <w:unhideWhenUsed/>
    <w:pPr>
      <w:tabs>
        <w:tab w:val="right" w:leader="dot" w:pos="9071"/>
      </w:tabs>
      <w:spacing w:before="60"/>
      <w:ind w:left="850" w:hanging="850"/>
      <w:jc w:val="left"/>
    </w:pPr>
  </w:style>
  <w:style w:type="paragraph" w:styleId="TOC4">
    <w:name w:val="toc 4"/>
    <w:basedOn w:val="Normal"/>
    <w:next w:val="Normal"/>
    <w:uiPriority w:val="39"/>
    <w:semiHidden/>
    <w:unhideWhenUsed/>
    <w:pPr>
      <w:tabs>
        <w:tab w:val="right" w:leader="dot" w:pos="9071"/>
      </w:tabs>
      <w:spacing w:before="60"/>
      <w:ind w:left="850" w:hanging="850"/>
      <w:jc w:val="left"/>
    </w:pPr>
  </w:style>
  <w:style w:type="paragraph" w:styleId="TOC5">
    <w:name w:val="toc 5"/>
    <w:basedOn w:val="Normal"/>
    <w:next w:val="Normal"/>
    <w:uiPriority w:val="39"/>
    <w:semiHidden/>
    <w:unhideWhenUsed/>
    <w:pPr>
      <w:tabs>
        <w:tab w:val="right" w:leader="dot" w:pos="9071"/>
      </w:tabs>
      <w:spacing w:before="300"/>
      <w:jc w:val="left"/>
    </w:pPr>
  </w:style>
  <w:style w:type="paragraph" w:styleId="TOC6">
    <w:name w:val="toc 6"/>
    <w:basedOn w:val="Normal"/>
    <w:next w:val="Normal"/>
    <w:uiPriority w:val="39"/>
    <w:semiHidden/>
    <w:unhideWhenUsed/>
    <w:pPr>
      <w:tabs>
        <w:tab w:val="right" w:leader="dot" w:pos="9071"/>
      </w:tabs>
      <w:spacing w:before="240"/>
      <w:jc w:val="left"/>
    </w:pPr>
  </w:style>
  <w:style w:type="paragraph" w:styleId="TOC7">
    <w:name w:val="toc 7"/>
    <w:basedOn w:val="Normal"/>
    <w:next w:val="Normal"/>
    <w:uiPriority w:val="39"/>
    <w:semiHidden/>
    <w:unhideWhenUsed/>
    <w:pPr>
      <w:tabs>
        <w:tab w:val="right" w:leader="dot" w:pos="9071"/>
      </w:tabs>
      <w:spacing w:before="180"/>
      <w:jc w:val="left"/>
    </w:pPr>
  </w:style>
  <w:style w:type="paragraph" w:styleId="TOC8">
    <w:name w:val="toc 8"/>
    <w:basedOn w:val="Normal"/>
    <w:next w:val="Normal"/>
    <w:uiPriority w:val="39"/>
    <w:semiHidden/>
    <w:unhideWhenUsed/>
    <w:pPr>
      <w:tabs>
        <w:tab w:val="right" w:leader="dot" w:pos="9071"/>
      </w:tabs>
      <w:jc w:val="left"/>
    </w:pPr>
  </w:style>
  <w:style w:type="paragraph" w:styleId="TOC9">
    <w:name w:val="toc 9"/>
    <w:basedOn w:val="Normal"/>
    <w:next w:val="Normal"/>
    <w:uiPriority w:val="39"/>
    <w:semiHidden/>
    <w:unhideWhenUsed/>
    <w:pPr>
      <w:tabs>
        <w:tab w:val="right" w:leader="dot" w:pos="9071"/>
      </w:tabs>
      <w:ind w:left="1417" w:hanging="1417"/>
      <w:jc w:val="left"/>
    </w:pPr>
  </w:style>
  <w:style w:type="character" w:styleId="FootnoteReference">
    <w:name w:val="footnote reference"/>
    <w:basedOn w:val="DefaultParagraphFont"/>
    <w:uiPriority w:val="99"/>
    <w:semiHidden/>
    <w:unhideWhenUsed/>
    <w:rPr>
      <w:shd w:val="clear" w:color="auto" w:fill="auto"/>
      <w:vertAlign w:val="superscript"/>
    </w:rPr>
  </w:style>
  <w:style w:type="paragraph" w:customStyle="1" w:styleId="HeaderSensitivity">
    <w:name w:val="Header Sensitivity"/>
    <w:basedOn w:val="Normal"/>
    <w:rsid w:val="005F0C46"/>
    <w:pPr>
      <w:pBdr>
        <w:top w:val="single" w:sz="4" w:space="1" w:color="auto"/>
        <w:left w:val="single" w:sz="4" w:space="4" w:color="auto"/>
        <w:bottom w:val="single" w:sz="4" w:space="1" w:color="auto"/>
        <w:right w:val="single" w:sz="4" w:space="4" w:color="auto"/>
      </w:pBdr>
      <w:spacing w:before="0"/>
      <w:ind w:left="113" w:right="113"/>
      <w:jc w:val="center"/>
    </w:pPr>
    <w:rPr>
      <w:b/>
      <w:sz w:val="32"/>
    </w:rPr>
  </w:style>
  <w:style w:type="paragraph" w:customStyle="1" w:styleId="HeaderSensitivityRight">
    <w:name w:val="Header Sensitivity Right"/>
    <w:basedOn w:val="Normal"/>
    <w:rsid w:val="005F0C46"/>
    <w:pPr>
      <w:spacing w:before="0"/>
      <w:jc w:val="right"/>
    </w:pPr>
    <w:rPr>
      <w:sz w:val="28"/>
    </w:rPr>
  </w:style>
  <w:style w:type="paragraph" w:customStyle="1" w:styleId="FooterSensitivity">
    <w:name w:val="Footer Sensitivity"/>
    <w:basedOn w:val="Normal"/>
    <w:rsid w:val="005F0C46"/>
    <w:pPr>
      <w:pBdr>
        <w:top w:val="single" w:sz="4" w:space="1" w:color="auto"/>
        <w:left w:val="single" w:sz="4" w:space="4" w:color="auto"/>
        <w:bottom w:val="single" w:sz="4" w:space="1" w:color="auto"/>
        <w:right w:val="single" w:sz="4" w:space="4" w:color="auto"/>
      </w:pBdr>
      <w:spacing w:before="360" w:after="0"/>
      <w:ind w:left="113" w:right="113"/>
      <w:jc w:val="center"/>
    </w:pPr>
    <w:rPr>
      <w:b/>
      <w:sz w:val="32"/>
    </w:rPr>
  </w:style>
  <w:style w:type="paragraph" w:customStyle="1" w:styleId="Text1">
    <w:name w:val="Text 1"/>
    <w:basedOn w:val="Normal"/>
    <w:pPr>
      <w:ind w:left="850"/>
    </w:pPr>
  </w:style>
  <w:style w:type="paragraph" w:customStyle="1" w:styleId="Text2">
    <w:name w:val="Text 2"/>
    <w:basedOn w:val="Normal"/>
    <w:pPr>
      <w:ind w:left="1417"/>
    </w:pPr>
  </w:style>
  <w:style w:type="paragraph" w:customStyle="1" w:styleId="Text3">
    <w:name w:val="Text 3"/>
    <w:basedOn w:val="Normal"/>
    <w:pPr>
      <w:ind w:left="1984"/>
    </w:pPr>
  </w:style>
  <w:style w:type="paragraph" w:customStyle="1" w:styleId="Text4">
    <w:name w:val="Text 4"/>
    <w:basedOn w:val="Normal"/>
    <w:pPr>
      <w:ind w:left="2551"/>
    </w:pPr>
  </w:style>
  <w:style w:type="paragraph" w:customStyle="1" w:styleId="Text5">
    <w:name w:val="Text 5"/>
    <w:basedOn w:val="Normal"/>
    <w:pPr>
      <w:ind w:left="3118"/>
    </w:pPr>
  </w:style>
  <w:style w:type="paragraph" w:customStyle="1" w:styleId="Text6">
    <w:name w:val="Text 6"/>
    <w:basedOn w:val="Normal"/>
    <w:pPr>
      <w:ind w:left="3685"/>
    </w:pPr>
  </w:style>
  <w:style w:type="paragraph" w:customStyle="1" w:styleId="NormalCentered">
    <w:name w:val="Normal Centered"/>
    <w:basedOn w:val="Normal"/>
    <w:pPr>
      <w:jc w:val="center"/>
    </w:pPr>
  </w:style>
  <w:style w:type="paragraph" w:customStyle="1" w:styleId="NormalLeft">
    <w:name w:val="Normal Left"/>
    <w:basedOn w:val="Normal"/>
    <w:pPr>
      <w:jc w:val="left"/>
    </w:pPr>
  </w:style>
  <w:style w:type="paragraph" w:customStyle="1" w:styleId="NormalRight">
    <w:name w:val="Normal Right"/>
    <w:basedOn w:val="Normal"/>
    <w:pPr>
      <w:jc w:val="right"/>
    </w:pPr>
  </w:style>
  <w:style w:type="paragraph" w:customStyle="1" w:styleId="QuotedText">
    <w:name w:val="Quoted Text"/>
    <w:basedOn w:val="Normal"/>
    <w:pPr>
      <w:ind w:left="1417"/>
    </w:pPr>
  </w:style>
  <w:style w:type="paragraph" w:customStyle="1" w:styleId="Point0">
    <w:name w:val="Point 0"/>
    <w:basedOn w:val="Normal"/>
    <w:pPr>
      <w:ind w:left="850" w:hanging="850"/>
    </w:pPr>
  </w:style>
  <w:style w:type="paragraph" w:customStyle="1" w:styleId="Point1">
    <w:name w:val="Point 1"/>
    <w:basedOn w:val="Normal"/>
    <w:pPr>
      <w:ind w:left="1417" w:hanging="567"/>
    </w:pPr>
  </w:style>
  <w:style w:type="paragraph" w:customStyle="1" w:styleId="Point2">
    <w:name w:val="Point 2"/>
    <w:basedOn w:val="Normal"/>
    <w:pPr>
      <w:ind w:left="1984" w:hanging="567"/>
    </w:pPr>
  </w:style>
  <w:style w:type="paragraph" w:customStyle="1" w:styleId="Point3">
    <w:name w:val="Point 3"/>
    <w:basedOn w:val="Normal"/>
    <w:pPr>
      <w:ind w:left="2551" w:hanging="567"/>
    </w:pPr>
  </w:style>
  <w:style w:type="paragraph" w:customStyle="1" w:styleId="Point4">
    <w:name w:val="Point 4"/>
    <w:basedOn w:val="Normal"/>
    <w:pPr>
      <w:ind w:left="3118" w:hanging="567"/>
    </w:pPr>
  </w:style>
  <w:style w:type="paragraph" w:customStyle="1" w:styleId="Point5">
    <w:name w:val="Point 5"/>
    <w:basedOn w:val="Normal"/>
    <w:pPr>
      <w:ind w:left="3685" w:hanging="567"/>
    </w:pPr>
  </w:style>
  <w:style w:type="paragraph" w:customStyle="1" w:styleId="Tiret0">
    <w:name w:val="Tiret 0"/>
    <w:basedOn w:val="Point0"/>
    <w:pPr>
      <w:numPr>
        <w:numId w:val="25"/>
      </w:numPr>
    </w:pPr>
  </w:style>
  <w:style w:type="paragraph" w:customStyle="1" w:styleId="Tiret1">
    <w:name w:val="Tiret 1"/>
    <w:basedOn w:val="Point1"/>
    <w:pPr>
      <w:numPr>
        <w:numId w:val="26"/>
      </w:numPr>
    </w:pPr>
  </w:style>
  <w:style w:type="paragraph" w:customStyle="1" w:styleId="Tiret2">
    <w:name w:val="Tiret 2"/>
    <w:basedOn w:val="Point2"/>
    <w:pPr>
      <w:numPr>
        <w:numId w:val="27"/>
      </w:numPr>
    </w:pPr>
  </w:style>
  <w:style w:type="paragraph" w:customStyle="1" w:styleId="Tiret3">
    <w:name w:val="Tiret 3"/>
    <w:basedOn w:val="Point3"/>
    <w:pPr>
      <w:numPr>
        <w:numId w:val="28"/>
      </w:numPr>
    </w:pPr>
  </w:style>
  <w:style w:type="paragraph" w:customStyle="1" w:styleId="Tiret4">
    <w:name w:val="Tiret 4"/>
    <w:basedOn w:val="Point4"/>
    <w:pPr>
      <w:numPr>
        <w:numId w:val="29"/>
      </w:numPr>
    </w:pPr>
  </w:style>
  <w:style w:type="paragraph" w:customStyle="1" w:styleId="Tiret5">
    <w:name w:val="Tiret 5"/>
    <w:basedOn w:val="Point5"/>
    <w:pPr>
      <w:numPr>
        <w:numId w:val="30"/>
      </w:numPr>
    </w:pPr>
  </w:style>
  <w:style w:type="paragraph" w:customStyle="1" w:styleId="PointDouble0">
    <w:name w:val="PointDouble 0"/>
    <w:basedOn w:val="Normal"/>
    <w:pPr>
      <w:tabs>
        <w:tab w:val="left" w:pos="850"/>
      </w:tabs>
      <w:ind w:left="1417" w:hanging="1417"/>
    </w:pPr>
  </w:style>
  <w:style w:type="paragraph" w:customStyle="1" w:styleId="PointDouble1">
    <w:name w:val="PointDouble 1"/>
    <w:basedOn w:val="Normal"/>
    <w:pPr>
      <w:tabs>
        <w:tab w:val="left" w:pos="1417"/>
      </w:tabs>
      <w:ind w:left="1984" w:hanging="1134"/>
    </w:pPr>
  </w:style>
  <w:style w:type="paragraph" w:customStyle="1" w:styleId="PointDouble2">
    <w:name w:val="PointDouble 2"/>
    <w:basedOn w:val="Normal"/>
    <w:pPr>
      <w:tabs>
        <w:tab w:val="left" w:pos="1984"/>
      </w:tabs>
      <w:ind w:left="2551" w:hanging="1134"/>
    </w:pPr>
  </w:style>
  <w:style w:type="paragraph" w:customStyle="1" w:styleId="PointDouble3">
    <w:name w:val="PointDouble 3"/>
    <w:basedOn w:val="Normal"/>
    <w:pPr>
      <w:tabs>
        <w:tab w:val="left" w:pos="2551"/>
      </w:tabs>
      <w:ind w:left="3118" w:hanging="1134"/>
    </w:pPr>
  </w:style>
  <w:style w:type="paragraph" w:customStyle="1" w:styleId="PointDouble4">
    <w:name w:val="PointDouble 4"/>
    <w:basedOn w:val="Normal"/>
    <w:pPr>
      <w:tabs>
        <w:tab w:val="left" w:pos="3118"/>
      </w:tabs>
      <w:ind w:left="3685" w:hanging="1134"/>
    </w:pPr>
  </w:style>
  <w:style w:type="paragraph" w:customStyle="1" w:styleId="PointTriple0">
    <w:name w:val="PointTriple 0"/>
    <w:basedOn w:val="Normal"/>
    <w:pPr>
      <w:tabs>
        <w:tab w:val="left" w:pos="850"/>
        <w:tab w:val="left" w:pos="1417"/>
      </w:tabs>
      <w:ind w:left="1984" w:hanging="1984"/>
    </w:pPr>
  </w:style>
  <w:style w:type="paragraph" w:customStyle="1" w:styleId="PointTriple1">
    <w:name w:val="PointTriple 1"/>
    <w:basedOn w:val="Normal"/>
    <w:pPr>
      <w:tabs>
        <w:tab w:val="left" w:pos="1417"/>
        <w:tab w:val="left" w:pos="1984"/>
      </w:tabs>
      <w:ind w:left="2551" w:hanging="1701"/>
    </w:pPr>
  </w:style>
  <w:style w:type="paragraph" w:customStyle="1" w:styleId="PointTriple2">
    <w:name w:val="PointTriple 2"/>
    <w:basedOn w:val="Normal"/>
    <w:pPr>
      <w:tabs>
        <w:tab w:val="left" w:pos="1984"/>
        <w:tab w:val="left" w:pos="2551"/>
      </w:tabs>
      <w:ind w:left="3118" w:hanging="1701"/>
    </w:pPr>
  </w:style>
  <w:style w:type="paragraph" w:customStyle="1" w:styleId="PointTriple3">
    <w:name w:val="PointTriple 3"/>
    <w:basedOn w:val="Normal"/>
    <w:pPr>
      <w:tabs>
        <w:tab w:val="left" w:pos="2551"/>
        <w:tab w:val="left" w:pos="3118"/>
      </w:tabs>
      <w:ind w:left="3685" w:hanging="1701"/>
    </w:pPr>
  </w:style>
  <w:style w:type="paragraph" w:customStyle="1" w:styleId="PointTriple4">
    <w:name w:val="PointTriple 4"/>
    <w:basedOn w:val="Normal"/>
    <w:pPr>
      <w:tabs>
        <w:tab w:val="left" w:pos="3118"/>
        <w:tab w:val="left" w:pos="3685"/>
      </w:tabs>
      <w:ind w:left="4252" w:hanging="1701"/>
    </w:pPr>
  </w:style>
  <w:style w:type="paragraph" w:customStyle="1" w:styleId="NumPar1">
    <w:name w:val="NumPar 1"/>
    <w:basedOn w:val="Normal"/>
    <w:next w:val="Text1"/>
    <w:pPr>
      <w:numPr>
        <w:numId w:val="31"/>
      </w:numPr>
    </w:pPr>
  </w:style>
  <w:style w:type="paragraph" w:customStyle="1" w:styleId="NumPar2">
    <w:name w:val="NumPar 2"/>
    <w:basedOn w:val="Normal"/>
    <w:next w:val="Text1"/>
    <w:pPr>
      <w:numPr>
        <w:ilvl w:val="1"/>
        <w:numId w:val="31"/>
      </w:numPr>
    </w:pPr>
  </w:style>
  <w:style w:type="paragraph" w:customStyle="1" w:styleId="NumPar3">
    <w:name w:val="NumPar 3"/>
    <w:basedOn w:val="Normal"/>
    <w:next w:val="Text1"/>
    <w:pPr>
      <w:numPr>
        <w:ilvl w:val="2"/>
        <w:numId w:val="31"/>
      </w:numPr>
    </w:pPr>
  </w:style>
  <w:style w:type="paragraph" w:customStyle="1" w:styleId="NumPar4">
    <w:name w:val="NumPar 4"/>
    <w:basedOn w:val="Normal"/>
    <w:next w:val="Text1"/>
    <w:pPr>
      <w:numPr>
        <w:ilvl w:val="3"/>
        <w:numId w:val="31"/>
      </w:numPr>
    </w:pPr>
  </w:style>
  <w:style w:type="paragraph" w:customStyle="1" w:styleId="NumPar5">
    <w:name w:val="NumPar 5"/>
    <w:basedOn w:val="Normal"/>
    <w:next w:val="Text2"/>
    <w:pPr>
      <w:numPr>
        <w:ilvl w:val="4"/>
        <w:numId w:val="31"/>
      </w:numPr>
    </w:pPr>
  </w:style>
  <w:style w:type="paragraph" w:customStyle="1" w:styleId="NumPar6">
    <w:name w:val="NumPar 6"/>
    <w:basedOn w:val="Normal"/>
    <w:next w:val="Text2"/>
    <w:pPr>
      <w:numPr>
        <w:ilvl w:val="5"/>
        <w:numId w:val="31"/>
      </w:numPr>
    </w:pPr>
  </w:style>
  <w:style w:type="paragraph" w:customStyle="1" w:styleId="NumPar7">
    <w:name w:val="NumPar 7"/>
    <w:basedOn w:val="Normal"/>
    <w:next w:val="Text2"/>
    <w:pPr>
      <w:numPr>
        <w:ilvl w:val="6"/>
        <w:numId w:val="31"/>
      </w:numPr>
    </w:pPr>
  </w:style>
  <w:style w:type="paragraph" w:customStyle="1" w:styleId="ManualNumPar1">
    <w:name w:val="Manual NumPar 1"/>
    <w:basedOn w:val="Normal"/>
    <w:next w:val="Text1"/>
    <w:pPr>
      <w:ind w:left="850" w:hanging="850"/>
    </w:pPr>
  </w:style>
  <w:style w:type="paragraph" w:customStyle="1" w:styleId="ManualNumPar2">
    <w:name w:val="Manual NumPar 2"/>
    <w:basedOn w:val="Normal"/>
    <w:next w:val="Text1"/>
    <w:pPr>
      <w:ind w:left="850" w:hanging="850"/>
    </w:pPr>
  </w:style>
  <w:style w:type="paragraph" w:customStyle="1" w:styleId="ManualNumPar3">
    <w:name w:val="Manual NumPar 3"/>
    <w:basedOn w:val="Normal"/>
    <w:next w:val="Text1"/>
    <w:pPr>
      <w:ind w:left="850" w:hanging="850"/>
    </w:pPr>
  </w:style>
  <w:style w:type="paragraph" w:customStyle="1" w:styleId="ManualNumPar4">
    <w:name w:val="Manual NumPar 4"/>
    <w:basedOn w:val="Normal"/>
    <w:next w:val="Text1"/>
    <w:pPr>
      <w:ind w:left="850" w:hanging="850"/>
    </w:pPr>
  </w:style>
  <w:style w:type="paragraph" w:customStyle="1" w:styleId="ManualNumPar5">
    <w:name w:val="Manual NumPar 5"/>
    <w:basedOn w:val="Normal"/>
    <w:next w:val="Text2"/>
    <w:pPr>
      <w:ind w:left="1417" w:hanging="1417"/>
    </w:pPr>
  </w:style>
  <w:style w:type="paragraph" w:customStyle="1" w:styleId="ManualNumPar6">
    <w:name w:val="Manual NumPar 6"/>
    <w:basedOn w:val="Normal"/>
    <w:next w:val="Text2"/>
    <w:pPr>
      <w:ind w:left="1417" w:hanging="1417"/>
    </w:pPr>
  </w:style>
  <w:style w:type="paragraph" w:customStyle="1" w:styleId="ManualNumPar7">
    <w:name w:val="Manual NumPar 7"/>
    <w:basedOn w:val="Normal"/>
    <w:next w:val="Text2"/>
    <w:pPr>
      <w:ind w:left="1417" w:hanging="1417"/>
    </w:pPr>
  </w:style>
  <w:style w:type="paragraph" w:customStyle="1" w:styleId="QuotedNumPar">
    <w:name w:val="Quoted NumPar"/>
    <w:basedOn w:val="Normal"/>
    <w:pPr>
      <w:ind w:left="1417" w:hanging="567"/>
    </w:pPr>
  </w:style>
  <w:style w:type="paragraph" w:customStyle="1" w:styleId="ManualHeading1">
    <w:name w:val="Manual Heading 1"/>
    <w:basedOn w:val="Normal"/>
    <w:next w:val="Text1"/>
    <w:pPr>
      <w:keepNext/>
      <w:tabs>
        <w:tab w:val="left" w:pos="850"/>
      </w:tabs>
      <w:spacing w:before="360"/>
      <w:ind w:left="850" w:hanging="850"/>
      <w:outlineLvl w:val="0"/>
    </w:pPr>
    <w:rPr>
      <w:b/>
      <w:smallCaps/>
    </w:rPr>
  </w:style>
  <w:style w:type="paragraph" w:customStyle="1" w:styleId="ManualHeading2">
    <w:name w:val="Manual Heading 2"/>
    <w:basedOn w:val="Normal"/>
    <w:next w:val="Text1"/>
    <w:pPr>
      <w:keepNext/>
      <w:tabs>
        <w:tab w:val="left" w:pos="850"/>
      </w:tabs>
      <w:ind w:left="850" w:hanging="850"/>
      <w:outlineLvl w:val="1"/>
    </w:pPr>
    <w:rPr>
      <w:b/>
    </w:rPr>
  </w:style>
  <w:style w:type="paragraph" w:customStyle="1" w:styleId="ManualHeading3">
    <w:name w:val="Manual Heading 3"/>
    <w:basedOn w:val="Normal"/>
    <w:next w:val="Text1"/>
    <w:pPr>
      <w:keepNext/>
      <w:tabs>
        <w:tab w:val="left" w:pos="850"/>
      </w:tabs>
      <w:ind w:left="850" w:hanging="850"/>
      <w:outlineLvl w:val="2"/>
    </w:pPr>
    <w:rPr>
      <w:i/>
    </w:rPr>
  </w:style>
  <w:style w:type="paragraph" w:customStyle="1" w:styleId="ManualHeading4">
    <w:name w:val="Manual Heading 4"/>
    <w:basedOn w:val="Normal"/>
    <w:next w:val="Text1"/>
    <w:pPr>
      <w:keepNext/>
      <w:tabs>
        <w:tab w:val="left" w:pos="850"/>
      </w:tabs>
      <w:ind w:left="850" w:hanging="850"/>
      <w:outlineLvl w:val="3"/>
    </w:pPr>
  </w:style>
  <w:style w:type="paragraph" w:customStyle="1" w:styleId="ManualHeading5">
    <w:name w:val="Manual Heading 5"/>
    <w:basedOn w:val="Normal"/>
    <w:next w:val="Text2"/>
    <w:pPr>
      <w:keepNext/>
      <w:tabs>
        <w:tab w:val="left" w:pos="1417"/>
      </w:tabs>
      <w:ind w:left="1417" w:hanging="1417"/>
      <w:outlineLvl w:val="4"/>
    </w:pPr>
  </w:style>
  <w:style w:type="paragraph" w:customStyle="1" w:styleId="ManualHeading6">
    <w:name w:val="Manual Heading 6"/>
    <w:basedOn w:val="Normal"/>
    <w:next w:val="Text2"/>
    <w:pPr>
      <w:keepNext/>
      <w:tabs>
        <w:tab w:val="left" w:pos="1417"/>
      </w:tabs>
      <w:ind w:left="1417" w:hanging="1417"/>
      <w:outlineLvl w:val="5"/>
    </w:pPr>
  </w:style>
  <w:style w:type="paragraph" w:customStyle="1" w:styleId="ManualHeading7">
    <w:name w:val="Manual Heading 7"/>
    <w:basedOn w:val="Normal"/>
    <w:next w:val="Text2"/>
    <w:pPr>
      <w:keepNext/>
      <w:tabs>
        <w:tab w:val="left" w:pos="1417"/>
      </w:tabs>
      <w:ind w:left="1417" w:hanging="1417"/>
      <w:outlineLvl w:val="6"/>
    </w:pPr>
  </w:style>
  <w:style w:type="paragraph" w:customStyle="1" w:styleId="ChapterTitle">
    <w:name w:val="ChapterTitle"/>
    <w:basedOn w:val="Normal"/>
    <w:next w:val="Normal"/>
    <w:pPr>
      <w:keepNext/>
      <w:spacing w:after="360"/>
      <w:jc w:val="center"/>
    </w:pPr>
    <w:rPr>
      <w:b/>
      <w:sz w:val="32"/>
    </w:rPr>
  </w:style>
  <w:style w:type="paragraph" w:customStyle="1" w:styleId="PartTitle">
    <w:name w:val="PartTitle"/>
    <w:basedOn w:val="Normal"/>
    <w:next w:val="ChapterTitle"/>
    <w:pPr>
      <w:keepNext/>
      <w:pageBreakBefore/>
      <w:spacing w:after="360"/>
      <w:jc w:val="center"/>
    </w:pPr>
    <w:rPr>
      <w:b/>
      <w:sz w:val="36"/>
    </w:rPr>
  </w:style>
  <w:style w:type="paragraph" w:customStyle="1" w:styleId="SectionTitle">
    <w:name w:val="SectionTitle"/>
    <w:basedOn w:val="Normal"/>
    <w:next w:val="Heading1"/>
    <w:pPr>
      <w:keepNext/>
      <w:spacing w:after="360"/>
      <w:jc w:val="center"/>
    </w:pPr>
    <w:rPr>
      <w:b/>
      <w:smallCaps/>
      <w:sz w:val="28"/>
    </w:rPr>
  </w:style>
  <w:style w:type="paragraph" w:customStyle="1" w:styleId="TableTitle">
    <w:name w:val="Table Title"/>
    <w:basedOn w:val="Normal"/>
    <w:next w:val="Normal"/>
    <w:pPr>
      <w:jc w:val="center"/>
    </w:pPr>
    <w:rPr>
      <w:b/>
    </w:rPr>
  </w:style>
  <w:style w:type="character" w:customStyle="1" w:styleId="Marker">
    <w:name w:val="Marker"/>
    <w:basedOn w:val="DefaultParagraphFont"/>
    <w:rPr>
      <w:color w:val="0000FF"/>
      <w:shd w:val="clear" w:color="auto" w:fill="auto"/>
    </w:rPr>
  </w:style>
  <w:style w:type="character" w:customStyle="1" w:styleId="Marker1">
    <w:name w:val="Marker1"/>
    <w:basedOn w:val="DefaultParagraphFont"/>
    <w:rPr>
      <w:color w:val="008000"/>
      <w:shd w:val="clear" w:color="auto" w:fill="auto"/>
    </w:rPr>
  </w:style>
  <w:style w:type="character" w:customStyle="1" w:styleId="Marker2">
    <w:name w:val="Marker2"/>
    <w:basedOn w:val="DefaultParagraphFont"/>
    <w:rPr>
      <w:color w:val="FF0000"/>
      <w:shd w:val="clear" w:color="auto" w:fill="auto"/>
    </w:rPr>
  </w:style>
  <w:style w:type="paragraph" w:customStyle="1" w:styleId="Point0number">
    <w:name w:val="Point 0 (number)"/>
    <w:basedOn w:val="Normal"/>
    <w:pPr>
      <w:numPr>
        <w:numId w:val="33"/>
      </w:numPr>
    </w:pPr>
  </w:style>
  <w:style w:type="paragraph" w:customStyle="1" w:styleId="Point1number">
    <w:name w:val="Point 1 (number)"/>
    <w:basedOn w:val="Normal"/>
    <w:pPr>
      <w:numPr>
        <w:ilvl w:val="2"/>
        <w:numId w:val="33"/>
      </w:numPr>
    </w:pPr>
  </w:style>
  <w:style w:type="paragraph" w:customStyle="1" w:styleId="Point2number">
    <w:name w:val="Point 2 (number)"/>
    <w:basedOn w:val="Normal"/>
    <w:pPr>
      <w:numPr>
        <w:ilvl w:val="4"/>
        <w:numId w:val="33"/>
      </w:numPr>
    </w:pPr>
  </w:style>
  <w:style w:type="paragraph" w:customStyle="1" w:styleId="Point3number">
    <w:name w:val="Point 3 (number)"/>
    <w:basedOn w:val="Normal"/>
    <w:pPr>
      <w:numPr>
        <w:ilvl w:val="6"/>
        <w:numId w:val="33"/>
      </w:numPr>
    </w:pPr>
  </w:style>
  <w:style w:type="paragraph" w:customStyle="1" w:styleId="Point0letter">
    <w:name w:val="Point 0 (letter)"/>
    <w:basedOn w:val="Normal"/>
    <w:pPr>
      <w:numPr>
        <w:ilvl w:val="1"/>
        <w:numId w:val="33"/>
      </w:numPr>
    </w:pPr>
  </w:style>
  <w:style w:type="paragraph" w:customStyle="1" w:styleId="Point1letter">
    <w:name w:val="Point 1 (letter)"/>
    <w:basedOn w:val="Normal"/>
    <w:pPr>
      <w:numPr>
        <w:ilvl w:val="3"/>
        <w:numId w:val="33"/>
      </w:numPr>
    </w:pPr>
  </w:style>
  <w:style w:type="paragraph" w:customStyle="1" w:styleId="Point2letter">
    <w:name w:val="Point 2 (letter)"/>
    <w:basedOn w:val="Normal"/>
    <w:pPr>
      <w:numPr>
        <w:ilvl w:val="5"/>
        <w:numId w:val="33"/>
      </w:numPr>
    </w:pPr>
  </w:style>
  <w:style w:type="paragraph" w:customStyle="1" w:styleId="Point3letter">
    <w:name w:val="Point 3 (letter)"/>
    <w:basedOn w:val="Normal"/>
    <w:pPr>
      <w:numPr>
        <w:ilvl w:val="7"/>
        <w:numId w:val="33"/>
      </w:numPr>
    </w:pPr>
  </w:style>
  <w:style w:type="paragraph" w:customStyle="1" w:styleId="Point4letter">
    <w:name w:val="Point 4 (letter)"/>
    <w:basedOn w:val="Normal"/>
    <w:pPr>
      <w:numPr>
        <w:ilvl w:val="8"/>
        <w:numId w:val="33"/>
      </w:numPr>
    </w:pPr>
  </w:style>
  <w:style w:type="paragraph" w:customStyle="1" w:styleId="Bullet0">
    <w:name w:val="Bullet 0"/>
    <w:basedOn w:val="Normal"/>
    <w:pPr>
      <w:numPr>
        <w:numId w:val="34"/>
      </w:numPr>
    </w:pPr>
  </w:style>
  <w:style w:type="paragraph" w:customStyle="1" w:styleId="Bullet1">
    <w:name w:val="Bullet 1"/>
    <w:basedOn w:val="Normal"/>
    <w:pPr>
      <w:numPr>
        <w:numId w:val="35"/>
      </w:numPr>
    </w:pPr>
  </w:style>
  <w:style w:type="paragraph" w:customStyle="1" w:styleId="Bullet2">
    <w:name w:val="Bullet 2"/>
    <w:basedOn w:val="Normal"/>
    <w:pPr>
      <w:numPr>
        <w:numId w:val="36"/>
      </w:numPr>
    </w:pPr>
  </w:style>
  <w:style w:type="paragraph" w:customStyle="1" w:styleId="Bullet3">
    <w:name w:val="Bullet 3"/>
    <w:basedOn w:val="Normal"/>
    <w:pPr>
      <w:numPr>
        <w:numId w:val="37"/>
      </w:numPr>
    </w:pPr>
  </w:style>
  <w:style w:type="paragraph" w:customStyle="1" w:styleId="Bullet4">
    <w:name w:val="Bullet 4"/>
    <w:basedOn w:val="Normal"/>
    <w:pPr>
      <w:numPr>
        <w:numId w:val="38"/>
      </w:numPr>
    </w:pPr>
  </w:style>
  <w:style w:type="paragraph" w:customStyle="1" w:styleId="Langue">
    <w:name w:val="Langue"/>
    <w:basedOn w:val="Normal"/>
    <w:next w:val="Rfrenceinterne"/>
    <w:pPr>
      <w:framePr w:wrap="around" w:vAnchor="page" w:hAnchor="text" w:xAlign="center" w:y="14741"/>
      <w:spacing w:before="0" w:after="600"/>
      <w:jc w:val="center"/>
    </w:pPr>
    <w:rPr>
      <w:b/>
      <w:caps/>
    </w:rPr>
  </w:style>
  <w:style w:type="paragraph" w:customStyle="1" w:styleId="Nomdelinstitution">
    <w:name w:val="Nom de l'institution"/>
    <w:basedOn w:val="Normal"/>
    <w:next w:val="Emission"/>
    <w:pPr>
      <w:spacing w:before="0" w:after="0"/>
      <w:jc w:val="left"/>
    </w:pPr>
    <w:rPr>
      <w:rFonts w:ascii="Arial" w:hAnsi="Arial" w:cs="Arial"/>
    </w:rPr>
  </w:style>
  <w:style w:type="paragraph" w:customStyle="1" w:styleId="Emission">
    <w:name w:val="Emission"/>
    <w:basedOn w:val="Normal"/>
    <w:next w:val="Rfrenceinstitutionnelle"/>
    <w:pPr>
      <w:spacing w:before="0" w:after="0"/>
      <w:ind w:left="5103"/>
      <w:jc w:val="left"/>
    </w:pPr>
  </w:style>
  <w:style w:type="paragraph" w:customStyle="1" w:styleId="Rfrenceinstitutionnelle">
    <w:name w:val="Référence institutionnelle"/>
    <w:basedOn w:val="Normal"/>
    <w:next w:val="Confidentialit"/>
    <w:pPr>
      <w:spacing w:before="0" w:after="240"/>
      <w:ind w:left="5103"/>
      <w:jc w:val="left"/>
    </w:pPr>
  </w:style>
  <w:style w:type="paragraph" w:customStyle="1" w:styleId="Pagedecouverture">
    <w:name w:val="Page de couverture"/>
    <w:basedOn w:val="Normal"/>
    <w:next w:val="Normal"/>
    <w:pPr>
      <w:spacing w:before="0" w:after="0"/>
    </w:pPr>
  </w:style>
  <w:style w:type="paragraph" w:customStyle="1" w:styleId="Declassification">
    <w:name w:val="Declassification"/>
    <w:basedOn w:val="Normal"/>
    <w:next w:val="Normal"/>
    <w:pPr>
      <w:spacing w:before="0" w:after="0"/>
    </w:pPr>
  </w:style>
  <w:style w:type="paragraph" w:customStyle="1" w:styleId="Disclaimer">
    <w:name w:val="Disclaimer"/>
    <w:basedOn w:val="Normal"/>
    <w:pPr>
      <w:framePr w:w="8220" w:wrap="notBeside" w:hAnchor="margin" w:xAlign="center" w:y="10401"/>
      <w:pBdr>
        <w:top w:val="single" w:sz="6" w:space="4" w:color="auto"/>
        <w:left w:val="single" w:sz="6" w:space="7" w:color="auto"/>
        <w:bottom w:val="single" w:sz="6" w:space="4" w:color="auto"/>
        <w:right w:val="single" w:sz="6" w:space="7" w:color="auto"/>
      </w:pBdr>
      <w:shd w:val="clear" w:color="FFFFFF" w:fill="auto"/>
    </w:pPr>
  </w:style>
  <w:style w:type="paragraph" w:customStyle="1" w:styleId="SecurityMarking">
    <w:name w:val="SecurityMarking"/>
    <w:basedOn w:val="Normal"/>
    <w:pPr>
      <w:spacing w:before="0" w:after="0" w:line="276" w:lineRule="auto"/>
      <w:ind w:left="5103"/>
      <w:jc w:val="left"/>
    </w:pPr>
    <w:rPr>
      <w:sz w:val="28"/>
    </w:rPr>
  </w:style>
  <w:style w:type="paragraph" w:customStyle="1" w:styleId="DateMarking">
    <w:name w:val="DateMarking"/>
    <w:basedOn w:val="Normal"/>
    <w:pPr>
      <w:spacing w:before="0" w:after="0" w:line="276" w:lineRule="auto"/>
      <w:ind w:left="5103"/>
      <w:jc w:val="left"/>
    </w:pPr>
    <w:rPr>
      <w:i/>
      <w:sz w:val="28"/>
    </w:rPr>
  </w:style>
  <w:style w:type="paragraph" w:customStyle="1" w:styleId="ReleasableTo">
    <w:name w:val="ReleasableTo"/>
    <w:basedOn w:val="Normal"/>
    <w:pPr>
      <w:spacing w:before="0" w:after="0" w:line="276" w:lineRule="auto"/>
      <w:ind w:left="5103"/>
      <w:jc w:val="left"/>
    </w:pPr>
    <w:rPr>
      <w:i/>
      <w:sz w:val="28"/>
    </w:rPr>
  </w:style>
  <w:style w:type="paragraph" w:customStyle="1" w:styleId="Annexetitreexpos">
    <w:name w:val="Annexe titre (exposé)"/>
    <w:basedOn w:val="Normal"/>
    <w:next w:val="Normal"/>
    <w:pPr>
      <w:jc w:val="center"/>
    </w:pPr>
    <w:rPr>
      <w:b/>
      <w:u w:val="single"/>
    </w:rPr>
  </w:style>
  <w:style w:type="paragraph" w:customStyle="1" w:styleId="Annexetitre">
    <w:name w:val="Annexe titre"/>
    <w:basedOn w:val="Normal"/>
    <w:next w:val="Normal"/>
    <w:pPr>
      <w:jc w:val="center"/>
    </w:pPr>
    <w:rPr>
      <w:b/>
      <w:u w:val="single"/>
    </w:rPr>
  </w:style>
  <w:style w:type="paragraph" w:customStyle="1" w:styleId="Annexetitrefichefinancire">
    <w:name w:val="Annexe titre (fiche financière)"/>
    <w:basedOn w:val="Normal"/>
    <w:next w:val="Normal"/>
    <w:pPr>
      <w:jc w:val="center"/>
    </w:pPr>
    <w:rPr>
      <w:b/>
      <w:u w:val="single"/>
    </w:rPr>
  </w:style>
  <w:style w:type="paragraph" w:customStyle="1" w:styleId="Applicationdirecte">
    <w:name w:val="Application directe"/>
    <w:basedOn w:val="Normal"/>
    <w:next w:val="Fait"/>
    <w:pPr>
      <w:spacing w:before="480"/>
    </w:pPr>
  </w:style>
  <w:style w:type="paragraph" w:customStyle="1" w:styleId="Avertissementtitre">
    <w:name w:val="Avertissement titre"/>
    <w:basedOn w:val="Normal"/>
    <w:next w:val="Normal"/>
    <w:pPr>
      <w:keepNext/>
      <w:spacing w:before="480"/>
    </w:pPr>
    <w:rPr>
      <w:u w:val="single"/>
    </w:rPr>
  </w:style>
  <w:style w:type="paragraph" w:customStyle="1" w:styleId="Confidence">
    <w:name w:val="Confidence"/>
    <w:basedOn w:val="Normal"/>
    <w:next w:val="Normal"/>
    <w:pPr>
      <w:spacing w:before="360"/>
      <w:jc w:val="center"/>
    </w:pPr>
  </w:style>
  <w:style w:type="paragraph" w:customStyle="1" w:styleId="Confidentialit">
    <w:name w:val="Confidentialité"/>
    <w:basedOn w:val="Normal"/>
    <w:next w:val="TypedudocumentPagedecouverture"/>
    <w:pPr>
      <w:spacing w:before="240" w:after="240"/>
      <w:ind w:left="5103"/>
      <w:jc w:val="left"/>
    </w:pPr>
    <w:rPr>
      <w:i/>
      <w:sz w:val="32"/>
    </w:rPr>
  </w:style>
  <w:style w:type="paragraph" w:customStyle="1" w:styleId="Considrant">
    <w:name w:val="Considérant"/>
    <w:basedOn w:val="Normal"/>
    <w:pPr>
      <w:numPr>
        <w:numId w:val="39"/>
      </w:numPr>
    </w:pPr>
  </w:style>
  <w:style w:type="paragraph" w:customStyle="1" w:styleId="Corrigendum">
    <w:name w:val="Corrigendum"/>
    <w:basedOn w:val="Normal"/>
    <w:next w:val="Normal"/>
    <w:pPr>
      <w:spacing w:before="0" w:after="240"/>
      <w:jc w:val="left"/>
    </w:pPr>
  </w:style>
  <w:style w:type="paragraph" w:customStyle="1" w:styleId="Datedadoption">
    <w:name w:val="Date d'adoption"/>
    <w:basedOn w:val="Normal"/>
    <w:next w:val="Titreobjet"/>
    <w:pPr>
      <w:spacing w:before="360" w:after="0"/>
      <w:jc w:val="center"/>
    </w:pPr>
    <w:rPr>
      <w:b/>
    </w:rPr>
  </w:style>
  <w:style w:type="paragraph" w:customStyle="1" w:styleId="Exposdesmotifstitre">
    <w:name w:val="Exposé des motifs titre"/>
    <w:basedOn w:val="Normal"/>
    <w:next w:val="Normal"/>
    <w:pPr>
      <w:jc w:val="center"/>
    </w:pPr>
    <w:rPr>
      <w:b/>
      <w:u w:val="single"/>
    </w:rPr>
  </w:style>
  <w:style w:type="paragraph" w:customStyle="1" w:styleId="Fait">
    <w:name w:val="Fait à"/>
    <w:basedOn w:val="Normal"/>
    <w:next w:val="Institutionquisigne"/>
    <w:pPr>
      <w:keepNext/>
      <w:spacing w:after="0"/>
    </w:pPr>
  </w:style>
  <w:style w:type="paragraph" w:customStyle="1" w:styleId="Formuledadoption">
    <w:name w:val="Formule d'adoption"/>
    <w:basedOn w:val="Normal"/>
    <w:next w:val="Titrearticle"/>
    <w:pPr>
      <w:keepNext/>
    </w:pPr>
  </w:style>
  <w:style w:type="paragraph" w:customStyle="1" w:styleId="Institutionquiagit">
    <w:name w:val="Institution qui agit"/>
    <w:basedOn w:val="Normal"/>
    <w:next w:val="Normal"/>
    <w:pPr>
      <w:keepNext/>
      <w:spacing w:before="600"/>
    </w:pPr>
  </w:style>
  <w:style w:type="paragraph" w:customStyle="1" w:styleId="Institutionquisigne">
    <w:name w:val="Institution qui signe"/>
    <w:basedOn w:val="Normal"/>
    <w:next w:val="Personnequisigne"/>
    <w:pPr>
      <w:keepNext/>
      <w:tabs>
        <w:tab w:val="left" w:pos="4252"/>
      </w:tabs>
      <w:spacing w:before="720" w:after="0"/>
    </w:pPr>
    <w:rPr>
      <w:i/>
    </w:rPr>
  </w:style>
  <w:style w:type="paragraph" w:customStyle="1" w:styleId="ManualConsidrant">
    <w:name w:val="Manual Considérant"/>
    <w:basedOn w:val="Normal"/>
    <w:pPr>
      <w:ind w:left="709" w:hanging="709"/>
    </w:pPr>
  </w:style>
  <w:style w:type="paragraph" w:customStyle="1" w:styleId="Personnequisigne">
    <w:name w:val="Personne qui signe"/>
    <w:basedOn w:val="Normal"/>
    <w:next w:val="Institutionquisigne"/>
    <w:pPr>
      <w:tabs>
        <w:tab w:val="left" w:pos="4252"/>
      </w:tabs>
      <w:spacing w:before="0" w:after="0"/>
      <w:jc w:val="left"/>
    </w:pPr>
    <w:rPr>
      <w:i/>
    </w:rPr>
  </w:style>
  <w:style w:type="paragraph" w:customStyle="1" w:styleId="Rfrenceinterinstitutionnelle">
    <w:name w:val="Référence interinstitutionnelle"/>
    <w:basedOn w:val="Normal"/>
    <w:next w:val="Statut"/>
    <w:pPr>
      <w:spacing w:before="0" w:after="0"/>
      <w:ind w:left="5103"/>
      <w:jc w:val="left"/>
    </w:pPr>
  </w:style>
  <w:style w:type="paragraph" w:customStyle="1" w:styleId="Rfrenceinterne">
    <w:name w:val="Référence interne"/>
    <w:basedOn w:val="Normal"/>
    <w:next w:val="Rfrenceinterinstitutionnelle"/>
    <w:pPr>
      <w:spacing w:before="0" w:after="0"/>
      <w:ind w:left="5103"/>
      <w:jc w:val="left"/>
    </w:pPr>
  </w:style>
  <w:style w:type="paragraph" w:customStyle="1" w:styleId="Statut">
    <w:name w:val="Statut"/>
    <w:basedOn w:val="Normal"/>
    <w:next w:val="Typedudocument"/>
    <w:pPr>
      <w:spacing w:before="360" w:after="0"/>
      <w:jc w:val="center"/>
    </w:pPr>
  </w:style>
  <w:style w:type="paragraph" w:customStyle="1" w:styleId="Titrearticle">
    <w:name w:val="Titre article"/>
    <w:basedOn w:val="Normal"/>
    <w:next w:val="Normal"/>
    <w:pPr>
      <w:keepNext/>
      <w:spacing w:before="360"/>
      <w:jc w:val="center"/>
    </w:pPr>
    <w:rPr>
      <w:i/>
    </w:rPr>
  </w:style>
  <w:style w:type="paragraph" w:customStyle="1" w:styleId="Titreobjet">
    <w:name w:val="Titre objet"/>
    <w:basedOn w:val="Normal"/>
    <w:next w:val="IntrtEEE"/>
    <w:pPr>
      <w:spacing w:before="360" w:after="360"/>
      <w:jc w:val="center"/>
    </w:pPr>
    <w:rPr>
      <w:b/>
    </w:rPr>
  </w:style>
  <w:style w:type="paragraph" w:customStyle="1" w:styleId="Typedudocument">
    <w:name w:val="Type du document"/>
    <w:basedOn w:val="Normal"/>
    <w:next w:val="Titreobjet"/>
    <w:pPr>
      <w:spacing w:before="360" w:after="0"/>
      <w:jc w:val="center"/>
    </w:pPr>
    <w:rPr>
      <w:b/>
    </w:rPr>
  </w:style>
  <w:style w:type="character" w:customStyle="1" w:styleId="Added">
    <w:name w:val="Added"/>
    <w:basedOn w:val="DefaultParagraphFont"/>
    <w:rPr>
      <w:b/>
      <w:u w:val="single"/>
      <w:shd w:val="clear" w:color="auto" w:fill="auto"/>
    </w:rPr>
  </w:style>
  <w:style w:type="character" w:customStyle="1" w:styleId="Deleted">
    <w:name w:val="Deleted"/>
    <w:basedOn w:val="DefaultParagraphFont"/>
    <w:rPr>
      <w:strike/>
      <w:dstrike w:val="0"/>
      <w:shd w:val="clear" w:color="auto" w:fill="auto"/>
    </w:rPr>
  </w:style>
  <w:style w:type="paragraph" w:customStyle="1" w:styleId="Address">
    <w:name w:val="Address"/>
    <w:basedOn w:val="Normal"/>
    <w:next w:val="Normal"/>
    <w:pPr>
      <w:keepLines/>
      <w:spacing w:line="360" w:lineRule="auto"/>
      <w:ind w:left="3402"/>
      <w:jc w:val="left"/>
    </w:pPr>
  </w:style>
  <w:style w:type="paragraph" w:customStyle="1" w:styleId="Objetexterne">
    <w:name w:val="Objet externe"/>
    <w:basedOn w:val="Normal"/>
    <w:next w:val="Normal"/>
    <w:rPr>
      <w:i/>
      <w:caps/>
    </w:rPr>
  </w:style>
  <w:style w:type="paragraph" w:customStyle="1" w:styleId="Supertitre">
    <w:name w:val="Supertitre"/>
    <w:basedOn w:val="Normal"/>
    <w:next w:val="Normal"/>
    <w:pPr>
      <w:spacing w:before="0" w:after="600"/>
      <w:jc w:val="center"/>
    </w:pPr>
    <w:rPr>
      <w:b/>
    </w:rPr>
  </w:style>
  <w:style w:type="paragraph" w:customStyle="1" w:styleId="Languesfaisantfoi">
    <w:name w:val="Langues faisant foi"/>
    <w:basedOn w:val="Normal"/>
    <w:next w:val="Normal"/>
    <w:rsid w:val="00E664ED"/>
    <w:pPr>
      <w:spacing w:before="360" w:after="240"/>
      <w:jc w:val="center"/>
    </w:pPr>
  </w:style>
  <w:style w:type="paragraph" w:customStyle="1" w:styleId="Rfrencecroise">
    <w:name w:val="Référence croisée"/>
    <w:basedOn w:val="Normal"/>
    <w:pPr>
      <w:spacing w:before="0" w:after="0"/>
      <w:jc w:val="center"/>
    </w:pPr>
  </w:style>
  <w:style w:type="paragraph" w:customStyle="1" w:styleId="Fichefinanciretitre">
    <w:name w:val="Fiche financière titre"/>
    <w:basedOn w:val="Normal"/>
    <w:next w:val="Normal"/>
    <w:pPr>
      <w:jc w:val="center"/>
    </w:pPr>
    <w:rPr>
      <w:b/>
      <w:u w:val="single"/>
    </w:rPr>
  </w:style>
  <w:style w:type="paragraph" w:customStyle="1" w:styleId="DatedadoptionPagedecouverture">
    <w:name w:val="Date d'adoption (Page de couverture)"/>
    <w:basedOn w:val="Datedadoption"/>
    <w:next w:val="TitreobjetPagedecouverture"/>
  </w:style>
  <w:style w:type="paragraph" w:customStyle="1" w:styleId="RfrenceinterinstitutionnellePagedecouverture">
    <w:name w:val="Référence interinstitutionnelle (Page de couverture)"/>
    <w:basedOn w:val="Rfrenceinterinstitutionnelle"/>
    <w:next w:val="Confidentialit"/>
  </w:style>
  <w:style w:type="paragraph" w:customStyle="1" w:styleId="StatutPagedecouverture">
    <w:name w:val="Statut (Page de couverture)"/>
    <w:basedOn w:val="Statut"/>
    <w:next w:val="TypedudocumentPagedecouverture"/>
  </w:style>
  <w:style w:type="paragraph" w:customStyle="1" w:styleId="TitreobjetPagedecouverture">
    <w:name w:val="Titre objet (Page de couverture)"/>
    <w:basedOn w:val="Titreobjet"/>
    <w:next w:val="IntrtEEEPagedecouverture"/>
  </w:style>
  <w:style w:type="paragraph" w:customStyle="1" w:styleId="TypedudocumentPagedecouverture">
    <w:name w:val="Type du document (Page de couverture)"/>
    <w:basedOn w:val="Typedudocument"/>
    <w:next w:val="TitreobjetPagedecouverture"/>
  </w:style>
  <w:style w:type="paragraph" w:customStyle="1" w:styleId="Volume">
    <w:name w:val="Volume"/>
    <w:basedOn w:val="Normal"/>
    <w:next w:val="Confidentialit"/>
    <w:pPr>
      <w:spacing w:before="0" w:after="240"/>
      <w:ind w:left="5103"/>
      <w:jc w:val="left"/>
    </w:pPr>
  </w:style>
  <w:style w:type="paragraph" w:customStyle="1" w:styleId="IntrtEEE">
    <w:name w:val="Intérêt EEE"/>
    <w:basedOn w:val="Languesfaisantfoi"/>
    <w:next w:val="Normal"/>
    <w:rsid w:val="00E664ED"/>
    <w:pPr>
      <w:spacing w:after="0"/>
    </w:pPr>
  </w:style>
  <w:style w:type="paragraph" w:customStyle="1" w:styleId="Accompagnant">
    <w:name w:val="Accompagnant"/>
    <w:basedOn w:val="Normal"/>
    <w:next w:val="Typeacteprincipal"/>
    <w:pPr>
      <w:spacing w:before="0" w:after="240"/>
      <w:jc w:val="center"/>
    </w:pPr>
    <w:rPr>
      <w:b/>
      <w:i/>
    </w:rPr>
  </w:style>
  <w:style w:type="paragraph" w:customStyle="1" w:styleId="Typeacteprincipal">
    <w:name w:val="Type acte principal"/>
    <w:basedOn w:val="Normal"/>
    <w:next w:val="Objetacteprincipal"/>
    <w:pPr>
      <w:spacing w:before="0" w:after="240"/>
      <w:jc w:val="center"/>
    </w:pPr>
    <w:rPr>
      <w:b/>
    </w:rPr>
  </w:style>
  <w:style w:type="paragraph" w:customStyle="1" w:styleId="Objetacteprincipal">
    <w:name w:val="Objet acte principal"/>
    <w:basedOn w:val="Normal"/>
    <w:next w:val="Titrearticle"/>
    <w:pPr>
      <w:spacing w:before="0" w:after="360"/>
      <w:jc w:val="center"/>
    </w:pPr>
    <w:rPr>
      <w:b/>
    </w:rPr>
  </w:style>
  <w:style w:type="paragraph" w:customStyle="1" w:styleId="IntrtEEEPagedecouverture">
    <w:name w:val="Intérêt EEE (Page de couverture)"/>
    <w:basedOn w:val="IntrtEEE"/>
    <w:next w:val="Normal"/>
    <w:rsid w:val="00E664ED"/>
  </w:style>
  <w:style w:type="paragraph" w:customStyle="1" w:styleId="AccompagnantPagedecouverture">
    <w:name w:val="Accompagnant (Page de couverture)"/>
    <w:basedOn w:val="Accompagnant"/>
    <w:next w:val="TypeacteprincipalPagedecouverture"/>
  </w:style>
  <w:style w:type="paragraph" w:customStyle="1" w:styleId="TypeacteprincipalPagedecouverture">
    <w:name w:val="Type acte principal (Page de couverture)"/>
    <w:basedOn w:val="Typeacteprincipal"/>
    <w:next w:val="ObjetacteprincipalPagedecouverture"/>
  </w:style>
  <w:style w:type="paragraph" w:customStyle="1" w:styleId="ObjetacteprincipalPagedecouverture">
    <w:name w:val="Objet acte principal (Page de couverture)"/>
    <w:basedOn w:val="Objetacteprincipal"/>
    <w:next w:val="Rfrencecroise"/>
  </w:style>
  <w:style w:type="paragraph" w:customStyle="1" w:styleId="LanguesfaisantfoiPagedecouverture">
    <w:name w:val="Langues faisant foi (Page de couverture)"/>
    <w:basedOn w:val="Normal"/>
    <w:next w:val="Rfrencecroise"/>
    <w:rsid w:val="00E664ED"/>
    <w:pPr>
      <w:spacing w:before="360" w:after="240"/>
      <w:jc w:val="center"/>
    </w:pPr>
  </w:style>
  <w:style w:type="paragraph" w:styleId="Header">
    <w:name w:val="header"/>
    <w:basedOn w:val="Normal"/>
    <w:link w:val="HeaderChar"/>
    <w:uiPriority w:val="99"/>
    <w:unhideWhenUsed/>
    <w:rsid w:val="005F0C46"/>
    <w:pPr>
      <w:tabs>
        <w:tab w:val="center" w:pos="4535"/>
        <w:tab w:val="right" w:pos="9071"/>
      </w:tabs>
      <w:spacing w:before="0"/>
    </w:pPr>
  </w:style>
  <w:style w:type="paragraph" w:customStyle="1" w:styleId="HeaderLandscape">
    <w:name w:val="HeaderLandscape"/>
    <w:basedOn w:val="Normal"/>
    <w:rsid w:val="005F0C46"/>
    <w:pPr>
      <w:tabs>
        <w:tab w:val="center" w:pos="7285"/>
        <w:tab w:val="right" w:pos="14003"/>
      </w:tabs>
      <w:spacing w:before="0"/>
    </w:pPr>
  </w:style>
  <w:style w:type="paragraph" w:styleId="Footer">
    <w:name w:val="footer"/>
    <w:basedOn w:val="Normal"/>
    <w:link w:val="FooterChar"/>
    <w:uiPriority w:val="99"/>
    <w:unhideWhenUsed/>
    <w:rsid w:val="005F0C46"/>
    <w:pPr>
      <w:tabs>
        <w:tab w:val="center" w:pos="4535"/>
        <w:tab w:val="right" w:pos="9071"/>
        <w:tab w:val="right" w:pos="9921"/>
      </w:tabs>
      <w:spacing w:before="360" w:after="0"/>
      <w:ind w:left="-850" w:right="-850"/>
      <w:jc w:val="left"/>
    </w:pPr>
  </w:style>
  <w:style w:type="paragraph" w:customStyle="1" w:styleId="FooterLandscape">
    <w:name w:val="FooterLandscape"/>
    <w:basedOn w:val="Normal"/>
    <w:rsid w:val="005F0C46"/>
    <w:pPr>
      <w:tabs>
        <w:tab w:val="center" w:pos="7285"/>
        <w:tab w:val="center" w:pos="10913"/>
        <w:tab w:val="right" w:pos="15137"/>
      </w:tabs>
      <w:spacing w:before="360" w:after="0"/>
      <w:ind w:left="-567" w:right="-567"/>
      <w:jc w:val="left"/>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2.xml"/><Relationship Id="rId18" Type="http://schemas.openxmlformats.org/officeDocument/2006/relationships/footer" Target="footer5.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17"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footer" Target="footer4.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5" Type="http://schemas.openxmlformats.org/officeDocument/2006/relationships/numbering" Target="numbering.xml"/><Relationship Id="rId15" Type="http://schemas.openxmlformats.org/officeDocument/2006/relationships/footer" Target="footer3.xm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_rels/footnotes.xml.rels><?xml version="1.0" encoding="UTF-8" standalone="yes"?>
<Relationships xmlns="http://schemas.openxmlformats.org/package/2006/relationships"><Relationship Id="rId3" Type="http://schemas.openxmlformats.org/officeDocument/2006/relationships/hyperlink" Target="http://data.europa.eu/eli/reg_impl/2022/2105/2022-11-04" TargetMode="External"/><Relationship Id="rId2" Type="http://schemas.openxmlformats.org/officeDocument/2006/relationships/hyperlink" Target="http://data.europa.eu/eli/reg/2013/1308/2023-01-01" TargetMode="External"/><Relationship Id="rId1" Type="http://schemas.openxmlformats.org/officeDocument/2006/relationships/hyperlink" Target="http://data.europa.eu/eli/dec/2016/1892/oj" TargetMode="External"/><Relationship Id="rId5" Type="http://schemas.openxmlformats.org/officeDocument/2006/relationships/hyperlink" Target="http://data.europa.eu/eli/reg/2013/1308/2023-01-01" TargetMode="External"/><Relationship Id="rId4" Type="http://schemas.openxmlformats.org/officeDocument/2006/relationships/hyperlink" Target="http://data.europa.eu/eli/dec/2019/848/oj"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ublic\Documents\Templates\COM.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EC Document" ma:contentTypeID="0x010100BAD999D84E12C74482EA5120F5227F6F00217DECAAC21D6B43958DFE68658C192E" ma:contentTypeVersion="27" ma:contentTypeDescription="Create a new document in this library." ma:contentTypeScope="" ma:versionID="e7e27166b6ddd379314dbc4ffb647a9d">
  <xsd:schema xmlns:xsd="http://www.w3.org/2001/XMLSchema" xmlns:xs="http://www.w3.org/2001/XMLSchema" xmlns:p="http://schemas.microsoft.com/office/2006/metadata/properties" xmlns:ns2="http://schemas.microsoft.com/sharepoint/v3/fields" xmlns:ns3="144c03d0-0f03-451f-9d46-5279004462a4" xmlns:ns4="f7bb8512-91eb-4bfd-be42-d6f021407e9a" targetNamespace="http://schemas.microsoft.com/office/2006/metadata/properties" ma:root="true" ma:fieldsID="6ba0d890b3d934a84d947fa41105d8de" ns2:_="" ns3:_="" ns4:_="">
    <xsd:import namespace="http://schemas.microsoft.com/sharepoint/v3/fields"/>
    <xsd:import namespace="144c03d0-0f03-451f-9d46-5279004462a4"/>
    <xsd:import namespace="f7bb8512-91eb-4bfd-be42-d6f021407e9a"/>
    <xsd:element name="properties">
      <xsd:complexType>
        <xsd:sequence>
          <xsd:element name="documentManagement">
            <xsd:complexType>
              <xsd:all>
                <xsd:element ref="ns3:EC_Collab_Reference" minOccurs="0"/>
                <xsd:element ref="ns2:_Status" minOccurs="0"/>
                <xsd:element ref="ns3:EC_Collab_DocumentLanguage"/>
                <xsd:element ref="ns3:SharedWithUsers" minOccurs="0"/>
                <xsd:element ref="ns3:SharedWithDetails" minOccurs="0"/>
                <xsd:element ref="ns3:EC_Collab_Status" minOccurs="0"/>
                <xsd:element ref="ns4:MediaServiceSearchProperties" minOccurs="0"/>
                <xsd:element ref="ns4:lcf76f155ced4ddcb4097134ff3c332f" minOccurs="0"/>
                <xsd:element ref="ns3:TaxCatchAll" minOccurs="0"/>
                <xsd:element ref="ns4:MediaServiceDateTaken" minOccurs="0"/>
                <xsd:element ref="ns4:MediaServiceOCR" minOccurs="0"/>
                <xsd:element ref="ns4:MediaServiceGenerationTime" minOccurs="0"/>
                <xsd:element ref="ns4: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fields" elementFormDefault="qualified">
    <xsd:import namespace="http://schemas.microsoft.com/office/2006/documentManagement/types"/>
    <xsd:import namespace="http://schemas.microsoft.com/office/infopath/2007/PartnerControls"/>
    <xsd:element name="_Status" ma:index="13" nillable="true" ma:displayName="Status" ma:default="Not Started" ma:hidden="true" ma:internalName="_Status" ma:readOnly="false">
      <xsd:simpleType>
        <xsd:union memberTypes="dms:Text">
          <xsd:simpleType>
            <xsd:restriction base="dms:Choice">
              <xsd:enumeration value="Not Started"/>
              <xsd:enumeration value="Draft"/>
              <xsd:enumeration value="Reviewed"/>
              <xsd:enumeration value="Scheduled"/>
              <xsd:enumeration value="Published"/>
              <xsd:enumeration value="Final"/>
              <xsd:enumeration value="Expired"/>
            </xsd:restriction>
          </xsd:simpleType>
        </xsd:union>
      </xsd:simpleType>
    </xsd:element>
  </xsd:schema>
  <xsd:schema xmlns:xsd="http://www.w3.org/2001/XMLSchema" xmlns:xs="http://www.w3.org/2001/XMLSchema" xmlns:dms="http://schemas.microsoft.com/office/2006/documentManagement/types" xmlns:pc="http://schemas.microsoft.com/office/infopath/2007/PartnerControls" targetNamespace="144c03d0-0f03-451f-9d46-5279004462a4" elementFormDefault="qualified">
    <xsd:import namespace="http://schemas.microsoft.com/office/2006/documentManagement/types"/>
    <xsd:import namespace="http://schemas.microsoft.com/office/infopath/2007/PartnerControls"/>
    <xsd:element name="EC_Collab_Reference" ma:index="12" nillable="true" ma:displayName="Reference" ma:internalName="EC_Collab_Reference" ma:readOnly="false">
      <xsd:simpleType>
        <xsd:restriction base="dms:Text"/>
      </xsd:simpleType>
    </xsd:element>
    <xsd:element name="EC_Collab_DocumentLanguage" ma:index="14" ma:displayName="Language" ma:default="EN" ma:format="Dropdown" ma:internalName="EC_Collab_DocumentLanguage" ma:readOnly="false">
      <xsd:simpleType>
        <xsd:restriction base="dms:Choice">
          <xsd:enumeration value="BG"/>
          <xsd:enumeration value="ES"/>
          <xsd:enumeration value="CS"/>
          <xsd:enumeration value="DA"/>
          <xsd:enumeration value="DE"/>
          <xsd:enumeration value="ET"/>
          <xsd:enumeration value="EL"/>
          <xsd:enumeration value="EN"/>
          <xsd:enumeration value="FR"/>
          <xsd:enumeration value="GA"/>
          <xsd:enumeration value="IT"/>
          <xsd:enumeration value="LT"/>
          <xsd:enumeration value="LV"/>
          <xsd:enumeration value="HU"/>
          <xsd:enumeration value="MT"/>
          <xsd:enumeration value="NL"/>
          <xsd:enumeration value="PL"/>
          <xsd:enumeration value="PT"/>
          <xsd:enumeration value="RO"/>
          <xsd:enumeration value="SK"/>
          <xsd:enumeration value="SL"/>
          <xsd:enumeration value="FI"/>
          <xsd:enumeration value="SV"/>
          <xsd:enumeration value="HR"/>
          <xsd:enumeration value="MK"/>
          <xsd:enumeration value="TR"/>
          <xsd:enumeration value="EU"/>
          <xsd:enumeration value="CA"/>
          <xsd:enumeration value="GL"/>
          <xsd:enumeration value="AB"/>
          <xsd:enumeration value="AA"/>
          <xsd:enumeration value="AF"/>
          <xsd:enumeration value="AK"/>
          <xsd:enumeration value="SQ"/>
          <xsd:enumeration value="AM"/>
          <xsd:enumeration value="AR"/>
          <xsd:enumeration value="AN"/>
          <xsd:enumeration value="HY"/>
          <xsd:enumeration value="AS"/>
          <xsd:enumeration value="AV"/>
          <xsd:enumeration value="AE"/>
          <xsd:enumeration value="AY"/>
          <xsd:enumeration value="AZ"/>
          <xsd:enumeration value="BM"/>
          <xsd:enumeration value="BA"/>
          <xsd:enumeration value="BE"/>
          <xsd:enumeration value="BN"/>
          <xsd:enumeration value="BH"/>
          <xsd:enumeration value="BI"/>
          <xsd:enumeration value="NB"/>
          <xsd:enumeration value="BS"/>
          <xsd:enumeration value="BR"/>
          <xsd:enumeration value="MY"/>
          <xsd:enumeration value="KM"/>
          <xsd:enumeration value="CH"/>
          <xsd:enumeration value="CE"/>
          <xsd:enumeration value="NY"/>
          <xsd:enumeration value="ZH"/>
          <xsd:enumeration value="CU"/>
          <xsd:enumeration value="CV"/>
          <xsd:enumeration value="KW"/>
          <xsd:enumeration value="CO"/>
          <xsd:enumeration value="CR"/>
          <xsd:enumeration value="DV"/>
          <xsd:enumeration value="DZ"/>
          <xsd:enumeration value="EO"/>
          <xsd:enumeration value="EE"/>
          <xsd:enumeration value="FO"/>
          <xsd:enumeration value="FJ"/>
          <xsd:enumeration value="FF"/>
          <xsd:enumeration value="GD"/>
          <xsd:enumeration value="LG"/>
          <xsd:enumeration value="KA"/>
          <xsd:enumeration value="GN"/>
          <xsd:enumeration value="GU"/>
          <xsd:enumeration value="HT"/>
          <xsd:enumeration value="HA"/>
          <xsd:enumeration value="HE"/>
          <xsd:enumeration value="HZ"/>
          <xsd:enumeration value="HI"/>
          <xsd:enumeration value="HO"/>
          <xsd:enumeration value="IS"/>
          <xsd:enumeration value="IO"/>
          <xsd:enumeration value="IG"/>
          <xsd:enumeration value="ID"/>
          <xsd:enumeration value="IA"/>
          <xsd:enumeration value="IE"/>
          <xsd:enumeration value="IU"/>
          <xsd:enumeration value="IK"/>
          <xsd:enumeration value="JA"/>
          <xsd:enumeration value="JV"/>
          <xsd:enumeration value="KL"/>
          <xsd:enumeration value="KN"/>
          <xsd:enumeration value="KR"/>
          <xsd:enumeration value="KS"/>
          <xsd:enumeration value="KK"/>
          <xsd:enumeration value="KI"/>
          <xsd:enumeration value="RW"/>
          <xsd:enumeration value="KY"/>
          <xsd:enumeration value="KV"/>
          <xsd:enumeration value="KG"/>
          <xsd:enumeration value="KO"/>
          <xsd:enumeration value="KJ"/>
          <xsd:enumeration value="KU"/>
          <xsd:enumeration value="LO"/>
          <xsd:enumeration value="LA"/>
          <xsd:enumeration value="LI"/>
          <xsd:enumeration value="LN"/>
          <xsd:enumeration value="LU"/>
          <xsd:enumeration value="LB"/>
          <xsd:enumeration value="MG"/>
          <xsd:enumeration value="MS"/>
          <xsd:enumeration value="ML"/>
          <xsd:enumeration value="GV"/>
          <xsd:enumeration value="MI"/>
          <xsd:enumeration value="MR"/>
          <xsd:enumeration value="MH"/>
          <xsd:enumeration value="MN"/>
          <xsd:enumeration value="NA"/>
          <xsd:enumeration value="NV"/>
          <xsd:enumeration value="ND"/>
          <xsd:enumeration value="NR"/>
          <xsd:enumeration value="NG"/>
          <xsd:enumeration value="NE"/>
          <xsd:enumeration value="SE"/>
          <xsd:enumeration value="NO"/>
          <xsd:enumeration value="NN"/>
          <xsd:enumeration value="OC"/>
          <xsd:enumeration value="OJ"/>
          <xsd:enumeration value="OR"/>
          <xsd:enumeration value="OM"/>
          <xsd:enumeration value="OS"/>
          <xsd:enumeration value="PI"/>
          <xsd:enumeration value="PA"/>
          <xsd:enumeration value="FA"/>
          <xsd:enumeration value="PS"/>
          <xsd:enumeration value="QU"/>
          <xsd:enumeration value="RM"/>
          <xsd:enumeration value="RN"/>
          <xsd:enumeration value="RU"/>
          <xsd:enumeration value="SM"/>
          <xsd:enumeration value="SG"/>
          <xsd:enumeration value="SA"/>
          <xsd:enumeration value="SC"/>
          <xsd:enumeration value="SR"/>
          <xsd:enumeration value="SN"/>
          <xsd:enumeration value="II"/>
          <xsd:enumeration value="SD"/>
          <xsd:enumeration value="SI"/>
          <xsd:enumeration value="SO"/>
          <xsd:enumeration value="ST"/>
          <xsd:enumeration value="SU"/>
          <xsd:enumeration value="SW"/>
          <xsd:enumeration value="SS"/>
          <xsd:enumeration value="TL"/>
          <xsd:enumeration value="TY"/>
          <xsd:enumeration value="TG"/>
          <xsd:enumeration value="TA"/>
          <xsd:enumeration value="TT"/>
          <xsd:enumeration value="TE"/>
          <xsd:enumeration value="TH"/>
          <xsd:enumeration value="BO"/>
          <xsd:enumeration value="TI"/>
          <xsd:enumeration value="TO"/>
          <xsd:enumeration value="TS"/>
          <xsd:enumeration value="TN"/>
          <xsd:enumeration value="TK"/>
          <xsd:enumeration value="TW"/>
          <xsd:enumeration value="UG"/>
          <xsd:enumeration value="UK"/>
          <xsd:enumeration value="UR"/>
          <xsd:enumeration value="UZ"/>
          <xsd:enumeration value="VE"/>
          <xsd:enumeration value="VI"/>
          <xsd:enumeration value="VO"/>
          <xsd:enumeration value="WA"/>
          <xsd:enumeration value="CY"/>
          <xsd:enumeration value="FY"/>
          <xsd:enumeration value="WO"/>
          <xsd:enumeration value="XH"/>
          <xsd:enumeration value="YI"/>
          <xsd:enumeration value="YO"/>
          <xsd:enumeration value="ZA"/>
          <xsd:enumeration value="ZU"/>
        </xsd:restriction>
      </xsd:simpleType>
    </xsd:element>
    <xsd:element name="SharedWithUsers" ma:index="15"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6" nillable="true" ma:displayName="Shared With Details" ma:internalName="SharedWithDetails" ma:readOnly="true">
      <xsd:simpleType>
        <xsd:restriction base="dms:Note">
          <xsd:maxLength value="255"/>
        </xsd:restriction>
      </xsd:simpleType>
    </xsd:element>
    <xsd:element name="EC_Collab_Status" ma:index="17" nillable="true" ma:displayName="EC Status" ma:default="Not Started" ma:format="Dropdown" ma:internalName="EC_Collab_Status" ma:readOnly="false">
      <xsd:simpleType>
        <xsd:restriction base="dms:Choice">
          <xsd:enumeration value="Not Started"/>
          <xsd:enumeration value="Draft"/>
          <xsd:enumeration value="Reviewed"/>
          <xsd:enumeration value="Scheduled"/>
          <xsd:enumeration value="Published"/>
          <xsd:enumeration value="Final"/>
          <xsd:enumeration value="Expired"/>
        </xsd:restriction>
      </xsd:simpleType>
    </xsd:element>
    <xsd:element name="TaxCatchAll" ma:index="21" nillable="true" ma:displayName="Taxonomy Catch All Column" ma:hidden="true" ma:list="{51513471-611d-4aba-ae12-e8d0e877eea6}" ma:internalName="TaxCatchAll" ma:showField="CatchAllData" ma:web="144c03d0-0f03-451f-9d46-5279004462a4">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f7bb8512-91eb-4bfd-be42-d6f021407e9a" elementFormDefault="qualified">
    <xsd:import namespace="http://schemas.microsoft.com/office/2006/documentManagement/types"/>
    <xsd:import namespace="http://schemas.microsoft.com/office/infopath/2007/PartnerControls"/>
    <xsd:element name="MediaServiceSearchProperties" ma:index="18" nillable="true" ma:displayName="MediaServiceSearchProperties" ma:hidden="true" ma:internalName="MediaServiceSearchProperties" ma:readOnly="true">
      <xsd:simpleType>
        <xsd:restriction base="dms:Note"/>
      </xsd:simpleType>
    </xsd:element>
    <xsd:element name="lcf76f155ced4ddcb4097134ff3c332f" ma:index="20" nillable="true" ma:taxonomy="true" ma:internalName="lcf76f155ced4ddcb4097134ff3c332f" ma:taxonomyFieldName="MediaServiceImageTags" ma:displayName="Image Tags" ma:readOnly="false" ma:fieldId="{5cf76f15-5ced-4ddc-b409-7134ff3c332f}" ma:taxonomyMulti="true" ma:sspId="22b2fad6-9d2c-441c-a321-3f5f1e9bd928" ma:termSetId="09814cd3-568e-fe90-9814-8d621ff8fb84" ma:anchorId="fba54fb3-c3e1-fe81-a776-ca4b69148c4d" ma:open="true" ma:isKeyword="false">
      <xsd:complexType>
        <xsd:sequence>
          <xsd:element ref="pc:Terms" minOccurs="0" maxOccurs="1"/>
        </xsd:sequence>
      </xsd:complexType>
    </xsd:element>
    <xsd:element name="MediaServiceDateTaken" ma:index="22" nillable="true" ma:displayName="MediaServiceDateTaken" ma:hidden="true" ma:indexed="true" ma:internalName="MediaServiceDateTaken" ma:readOnly="true">
      <xsd:simpleType>
        <xsd:restriction base="dms:Text"/>
      </xsd:simpleType>
    </xsd:element>
    <xsd:element name="MediaServiceOCR" ma:index="23" nillable="true" ma:displayName="Extracted Text" ma:internalName="MediaServiceOCR" ma:readOnly="true">
      <xsd:simpleType>
        <xsd:restriction base="dms:Note">
          <xsd:maxLength value="255"/>
        </xsd:restriction>
      </xsd:simpleType>
    </xsd:element>
    <xsd:element name="MediaServiceGenerationTime" ma:index="24" nillable="true" ma:displayName="MediaServiceGenerationTime" ma:hidden="true" ma:internalName="MediaServiceGenerationTime" ma:readOnly="true">
      <xsd:simpleType>
        <xsd:restriction base="dms:Text"/>
      </xsd:simpleType>
    </xsd:element>
    <xsd:element name="MediaServiceEventHashCode" ma:index="25" nillable="true" ma:displayName="MediaServiceEventHashCode" ma:hidden="true" ma:internalName="MediaServiceEventHashCode"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ma:index="9" ma:displayName="Author"/>
        <xsd:element ref="dcterms:created" minOccurs="0" maxOccurs="1"/>
        <xsd:element ref="dc:identifier" minOccurs="0" maxOccurs="1"/>
        <xsd:element name="contentType" minOccurs="0" maxOccurs="1" type="xsd:string" ma:index="0" ma:displayName="Content Type"/>
        <xsd:element ref="dc:title" minOccurs="0" maxOccurs="1" ma:index="7" ma:displayName="Title"/>
        <xsd:element ref="dc:subject" minOccurs="0" maxOccurs="1" ma:index="8" ma:displayName="Subject"/>
        <xsd:element ref="dc:description" minOccurs="0" maxOccurs="1" ma:index="11" ma:displayName="Comments"/>
        <xsd:element name="keywords" minOccurs="0" maxOccurs="1" type="xsd:string" ma:index="10" ma:displayName="Keywords"/>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ma:displayName="Status"/>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EC_Collab_Reference xmlns="144c03d0-0f03-451f-9d46-5279004462a4" xsi:nil="true"/>
    <EC_Collab_Status xmlns="144c03d0-0f03-451f-9d46-5279004462a4">Not Started</EC_Collab_Status>
    <_Status xmlns="http://schemas.microsoft.com/sharepoint/v3/fields">Not Started</_Status>
    <EC_Collab_DocumentLanguage xmlns="144c03d0-0f03-451f-9d46-5279004462a4">EN</EC_Collab_DocumentLanguage>
    <lcf76f155ced4ddcb4097134ff3c332f xmlns="f7bb8512-91eb-4bfd-be42-d6f021407e9a">
      <Terms xmlns="http://schemas.microsoft.com/office/infopath/2007/PartnerControls">
        <TermInfo xmlns="http://schemas.microsoft.com/office/infopath/2007/PartnerControls">
          <TermName xmlns="http://schemas.microsoft.com/office/infopath/2007/PartnerControls"/>
          <TermId xmlns="http://schemas.microsoft.com/office/infopath/2007/PartnerControls"/>
        </TermInfo>
      </Terms>
    </lcf76f155ced4ddcb4097134ff3c332f>
    <TaxCatchAll xmlns="144c03d0-0f03-451f-9d46-5279004462a4" xsi:nil="true"/>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3D7F036-B00E-4067-AF4B-4385F0DD457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fields"/>
    <ds:schemaRef ds:uri="144c03d0-0f03-451f-9d46-5279004462a4"/>
    <ds:schemaRef ds:uri="f7bb8512-91eb-4bfd-be42-d6f021407e9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74FDC918-BB07-4957-A985-403D9B2C292B}">
  <ds:schemaRefs>
    <ds:schemaRef ds:uri="http://schemas.microsoft.com/sharepoint/v3/contenttype/forms"/>
  </ds:schemaRefs>
</ds:datastoreItem>
</file>

<file path=customXml/itemProps3.xml><?xml version="1.0" encoding="utf-8"?>
<ds:datastoreItem xmlns:ds="http://schemas.openxmlformats.org/officeDocument/2006/customXml" ds:itemID="{48177768-F1D0-4D72-82F7-6DC069A03865}">
  <ds:schemaRefs>
    <ds:schemaRef ds:uri="http://schemas.microsoft.com/office/2006/metadata/properties"/>
    <ds:schemaRef ds:uri="http://schemas.microsoft.com/office/infopath/2007/PartnerControls"/>
    <ds:schemaRef ds:uri="144c03d0-0f03-451f-9d46-5279004462a4"/>
    <ds:schemaRef ds:uri="http://schemas.microsoft.com/sharepoint/v3/fields"/>
    <ds:schemaRef ds:uri="f7bb8512-91eb-4bfd-be42-d6f021407e9a"/>
  </ds:schemaRefs>
</ds:datastoreItem>
</file>

<file path=customXml/itemProps4.xml><?xml version="1.0" encoding="utf-8"?>
<ds:datastoreItem xmlns:ds="http://schemas.openxmlformats.org/officeDocument/2006/customXml" ds:itemID="{1F74705A-9B21-45A5-8F1E-448F6209591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COM.dotm</Template>
  <TotalTime>10</TotalTime>
  <Pages>7</Pages>
  <Words>2020</Words>
  <Characters>11515</Characters>
  <Application>Microsoft Office Word</Application>
  <DocSecurity>0</DocSecurity>
  <Lines>95</Lines>
  <Paragraphs>27</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13508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EC CoDe</cp:lastModifiedBy>
  <cp:revision>22</cp:revision>
  <dcterms:created xsi:type="dcterms:W3CDTF">2026-04-15T08:55:00Z</dcterms:created>
  <dcterms:modified xsi:type="dcterms:W3CDTF">2026-05-20T17:25:00Z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ategory">
    <vt:lpwstr>COM/PL/ORG</vt:lpwstr>
  </property>
  <property fmtid="{D5CDD505-2E9C-101B-9397-08002B2CF9AE}" pid="3" name="Version">
    <vt:lpwstr>8.0.25.0</vt:lpwstr>
  </property>
  <property fmtid="{D5CDD505-2E9C-101B-9397-08002B2CF9AE}" pid="4" name="Last edited using">
    <vt:lpwstr>LW 9.2, Build 20250828</vt:lpwstr>
  </property>
  <property fmtid="{D5CDD505-2E9C-101B-9397-08002B2CF9AE}" pid="5" name="Created using">
    <vt:lpwstr>LW 9.1, Build 20240808</vt:lpwstr>
  </property>
  <property fmtid="{D5CDD505-2E9C-101B-9397-08002B2CF9AE}" pid="6" name="Part">
    <vt:lpwstr>1</vt:lpwstr>
  </property>
  <property fmtid="{D5CDD505-2E9C-101B-9397-08002B2CF9AE}" pid="7" name="Total parts">
    <vt:lpwstr>1</vt:lpwstr>
  </property>
  <property fmtid="{D5CDD505-2E9C-101B-9397-08002B2CF9AE}" pid="8" name="Level of sensitivity">
    <vt:lpwstr>Standard treatment</vt:lpwstr>
  </property>
  <property fmtid="{D5CDD505-2E9C-101B-9397-08002B2CF9AE}" pid="9" name="LWTemplateID">
    <vt:lpwstr>SJ-043</vt:lpwstr>
  </property>
  <property fmtid="{D5CDD505-2E9C-101B-9397-08002B2CF9AE}" pid="10" name="MSIP_Label_6bd9ddd1-4d20-43f6-abfa-fc3c07406f94_Enabled">
    <vt:lpwstr>true</vt:lpwstr>
  </property>
  <property fmtid="{D5CDD505-2E9C-101B-9397-08002B2CF9AE}" pid="11" name="MSIP_Label_6bd9ddd1-4d20-43f6-abfa-fc3c07406f94_SetDate">
    <vt:lpwstr>2025-02-18T14:09:49Z</vt:lpwstr>
  </property>
  <property fmtid="{D5CDD505-2E9C-101B-9397-08002B2CF9AE}" pid="12" name="MSIP_Label_6bd9ddd1-4d20-43f6-abfa-fc3c07406f94_Method">
    <vt:lpwstr>Standard</vt:lpwstr>
  </property>
  <property fmtid="{D5CDD505-2E9C-101B-9397-08002B2CF9AE}" pid="13" name="MSIP_Label_6bd9ddd1-4d20-43f6-abfa-fc3c07406f94_Name">
    <vt:lpwstr>Commission Use</vt:lpwstr>
  </property>
  <property fmtid="{D5CDD505-2E9C-101B-9397-08002B2CF9AE}" pid="14" name="MSIP_Label_6bd9ddd1-4d20-43f6-abfa-fc3c07406f94_SiteId">
    <vt:lpwstr>b24c8b06-522c-46fe-9080-70926f8dddb1</vt:lpwstr>
  </property>
  <property fmtid="{D5CDD505-2E9C-101B-9397-08002B2CF9AE}" pid="15" name="MSIP_Label_6bd9ddd1-4d20-43f6-abfa-fc3c07406f94_ActionId">
    <vt:lpwstr>8d8fc7f7-0de2-4173-b5a4-56cf084296d7</vt:lpwstr>
  </property>
  <property fmtid="{D5CDD505-2E9C-101B-9397-08002B2CF9AE}" pid="16" name="MSIP_Label_6bd9ddd1-4d20-43f6-abfa-fc3c07406f94_ContentBits">
    <vt:lpwstr>0</vt:lpwstr>
  </property>
  <property fmtid="{D5CDD505-2E9C-101B-9397-08002B2CF9AE}" pid="17" name="ContentTypeId">
    <vt:lpwstr>0x010100BAD999D84E12C74482EA5120F5227F6F00217DECAAC21D6B43958DFE68658C192E</vt:lpwstr>
  </property>
  <property fmtid="{D5CDD505-2E9C-101B-9397-08002B2CF9AE}" pid="18" name="MediaServiceImageTags">
    <vt:lpwstr/>
  </property>
  <property fmtid="{D5CDD505-2E9C-101B-9397-08002B2CF9AE}" pid="19" name="DQCStatus">
    <vt:lpwstr>Green (DQC version 03)</vt:lpwstr>
  </property>
</Properties>
</file>